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004A" w14:textId="77777777" w:rsidR="00693702" w:rsidRPr="001A1F9C" w:rsidRDefault="00693702" w:rsidP="00693702">
      <w:pPr>
        <w:spacing w:after="0" w:line="240" w:lineRule="auto"/>
        <w:jc w:val="center"/>
        <w:rPr>
          <w:rFonts w:ascii="Times New Roman" w:hAnsi="Times New Roman" w:cs="Times New Roman"/>
          <w:b/>
          <w:bCs/>
          <w:sz w:val="36"/>
          <w:szCs w:val="36"/>
        </w:rPr>
      </w:pPr>
      <w:r w:rsidRPr="001A1F9C">
        <w:rPr>
          <w:rFonts w:ascii="Times New Roman" w:hAnsi="Times New Roman" w:cs="Times New Roman"/>
          <w:b/>
          <w:bCs/>
          <w:sz w:val="36"/>
          <w:szCs w:val="36"/>
        </w:rPr>
        <w:t>UNIVERSITY OF PORT HARCOURT</w:t>
      </w:r>
    </w:p>
    <w:p w14:paraId="359C4ADC" w14:textId="77777777" w:rsidR="00693702" w:rsidRPr="001A1F9C" w:rsidRDefault="00693702" w:rsidP="00693702">
      <w:pPr>
        <w:spacing w:after="0" w:line="240" w:lineRule="auto"/>
        <w:jc w:val="center"/>
        <w:rPr>
          <w:rFonts w:ascii="Times New Roman" w:hAnsi="Times New Roman" w:cs="Times New Roman"/>
          <w:b/>
          <w:bCs/>
          <w:sz w:val="36"/>
          <w:szCs w:val="36"/>
        </w:rPr>
      </w:pPr>
      <w:r w:rsidRPr="001A1F9C">
        <w:rPr>
          <w:rFonts w:ascii="Times New Roman" w:hAnsi="Times New Roman" w:cs="Times New Roman"/>
          <w:b/>
          <w:bCs/>
          <w:sz w:val="36"/>
          <w:szCs w:val="36"/>
        </w:rPr>
        <w:t>FACULTY OF MANAGEMENT SCIENCES</w:t>
      </w:r>
    </w:p>
    <w:p w14:paraId="75DEC6B0" w14:textId="2D90F127" w:rsidR="00693702" w:rsidRDefault="00693702" w:rsidP="00693702">
      <w:pPr>
        <w:spacing w:after="0" w:line="240" w:lineRule="auto"/>
        <w:jc w:val="center"/>
        <w:rPr>
          <w:rFonts w:ascii="Times New Roman" w:hAnsi="Times New Roman" w:cs="Times New Roman"/>
          <w:b/>
          <w:bCs/>
          <w:sz w:val="36"/>
          <w:szCs w:val="36"/>
        </w:rPr>
      </w:pPr>
      <w:r w:rsidRPr="001A1F9C">
        <w:rPr>
          <w:rFonts w:ascii="Times New Roman" w:hAnsi="Times New Roman" w:cs="Times New Roman"/>
          <w:b/>
          <w:bCs/>
          <w:sz w:val="36"/>
          <w:szCs w:val="36"/>
        </w:rPr>
        <w:t>INTERNATIONAL CONFERENCE 2026</w:t>
      </w:r>
    </w:p>
    <w:p w14:paraId="4E26DAAD" w14:textId="58E56B86" w:rsidR="00480896" w:rsidRPr="00693702" w:rsidRDefault="00480896" w:rsidP="00693702">
      <w:pPr>
        <w:spacing w:after="0" w:line="240" w:lineRule="auto"/>
        <w:jc w:val="center"/>
        <w:rPr>
          <w:rFonts w:ascii="Times New Roman" w:hAnsi="Times New Roman" w:cs="Times New Roman"/>
          <w:b/>
          <w:bCs/>
          <w:sz w:val="44"/>
          <w:szCs w:val="44"/>
        </w:rPr>
      </w:pPr>
      <w:r>
        <w:rPr>
          <w:rFonts w:ascii="Times New Roman" w:hAnsi="Times New Roman" w:cs="Times New Roman"/>
          <w:b/>
          <w:bCs/>
          <w:sz w:val="36"/>
          <w:szCs w:val="36"/>
        </w:rPr>
        <w:t>(</w:t>
      </w:r>
      <w:r w:rsidRPr="001A1F9C">
        <w:rPr>
          <w:rFonts w:ascii="Times New Roman" w:hAnsi="Times New Roman" w:cs="Times New Roman"/>
          <w:b/>
          <w:bCs/>
          <w:sz w:val="36"/>
          <w:szCs w:val="36"/>
        </w:rPr>
        <w:t>4</w:t>
      </w:r>
      <w:r w:rsidRPr="001A1F9C">
        <w:rPr>
          <w:rFonts w:ascii="Times New Roman" w:hAnsi="Times New Roman" w:cs="Times New Roman"/>
          <w:b/>
          <w:bCs/>
          <w:sz w:val="36"/>
          <w:szCs w:val="36"/>
          <w:vertAlign w:val="superscript"/>
        </w:rPr>
        <w:t>TH</w:t>
      </w:r>
      <w:r>
        <w:rPr>
          <w:rFonts w:ascii="Times New Roman" w:hAnsi="Times New Roman" w:cs="Times New Roman"/>
          <w:b/>
          <w:bCs/>
          <w:sz w:val="36"/>
          <w:szCs w:val="36"/>
          <w:vertAlign w:val="superscript"/>
        </w:rPr>
        <w:t xml:space="preserve"> </w:t>
      </w:r>
      <w:r>
        <w:rPr>
          <w:rFonts w:ascii="Times New Roman" w:hAnsi="Times New Roman" w:cs="Times New Roman"/>
          <w:b/>
          <w:bCs/>
          <w:sz w:val="36"/>
          <w:szCs w:val="36"/>
        </w:rPr>
        <w:t>EDITION)</w:t>
      </w:r>
    </w:p>
    <w:p w14:paraId="788CBB1A" w14:textId="77777777" w:rsidR="00693702" w:rsidRPr="00693702" w:rsidRDefault="00693702" w:rsidP="00693702">
      <w:pPr>
        <w:spacing w:after="0" w:line="240" w:lineRule="auto"/>
        <w:jc w:val="center"/>
        <w:rPr>
          <w:rFonts w:ascii="Times New Roman" w:hAnsi="Times New Roman" w:cs="Times New Roman"/>
          <w:b/>
          <w:bCs/>
          <w:sz w:val="56"/>
          <w:szCs w:val="56"/>
        </w:rPr>
      </w:pPr>
    </w:p>
    <w:p w14:paraId="64B262A1" w14:textId="77777777" w:rsidR="00693702" w:rsidRDefault="00693702" w:rsidP="00693702">
      <w:pPr>
        <w:spacing w:after="0" w:line="240" w:lineRule="auto"/>
        <w:jc w:val="center"/>
        <w:rPr>
          <w:rFonts w:ascii="Times New Roman" w:hAnsi="Times New Roman" w:cs="Times New Roman"/>
          <w:b/>
          <w:bCs/>
          <w:sz w:val="56"/>
          <w:szCs w:val="56"/>
        </w:rPr>
      </w:pPr>
    </w:p>
    <w:p w14:paraId="57773062" w14:textId="77777777" w:rsidR="00693702" w:rsidRDefault="00693702" w:rsidP="00693702">
      <w:pPr>
        <w:spacing w:after="0" w:line="240" w:lineRule="auto"/>
        <w:jc w:val="center"/>
        <w:rPr>
          <w:rFonts w:ascii="Times New Roman" w:hAnsi="Times New Roman" w:cs="Times New Roman"/>
          <w:b/>
          <w:bCs/>
          <w:sz w:val="56"/>
          <w:szCs w:val="56"/>
        </w:rPr>
      </w:pPr>
    </w:p>
    <w:p w14:paraId="704CAE89" w14:textId="2A7EA470" w:rsidR="00693702" w:rsidRPr="001A1F9C" w:rsidRDefault="00693702" w:rsidP="00693702">
      <w:pPr>
        <w:spacing w:after="0" w:line="240" w:lineRule="auto"/>
        <w:jc w:val="center"/>
        <w:rPr>
          <w:rFonts w:ascii="Times New Roman" w:hAnsi="Times New Roman" w:cs="Times New Roman"/>
          <w:b/>
          <w:bCs/>
          <w:sz w:val="44"/>
          <w:szCs w:val="44"/>
        </w:rPr>
      </w:pPr>
      <w:r w:rsidRPr="001A1F9C">
        <w:rPr>
          <w:rFonts w:ascii="Times New Roman" w:hAnsi="Times New Roman" w:cs="Times New Roman"/>
          <w:b/>
          <w:bCs/>
          <w:sz w:val="36"/>
          <w:szCs w:val="36"/>
        </w:rPr>
        <w:t>THEME:</w:t>
      </w:r>
    </w:p>
    <w:p w14:paraId="25F0E538" w14:textId="6E7E4D34" w:rsidR="00693702" w:rsidRPr="001A1F9C" w:rsidRDefault="001A1F9C" w:rsidP="00693702">
      <w:pPr>
        <w:spacing w:after="0" w:line="240" w:lineRule="auto"/>
        <w:jc w:val="center"/>
        <w:rPr>
          <w:rFonts w:ascii="Times New Roman" w:hAnsi="Times New Roman" w:cs="Times New Roman"/>
          <w:b/>
          <w:bCs/>
          <w:sz w:val="40"/>
          <w:szCs w:val="40"/>
        </w:rPr>
      </w:pPr>
      <w:r>
        <w:rPr>
          <w:rFonts w:ascii="Times New Roman" w:hAnsi="Times New Roman" w:cs="Times New Roman"/>
          <w:b/>
          <w:bCs/>
          <w:sz w:val="40"/>
          <w:szCs w:val="40"/>
        </w:rPr>
        <w:t>ADVANCING</w:t>
      </w:r>
      <w:r w:rsidR="00693702" w:rsidRPr="001A1F9C">
        <w:rPr>
          <w:rFonts w:ascii="Times New Roman" w:hAnsi="Times New Roman" w:cs="Times New Roman"/>
          <w:b/>
          <w:bCs/>
          <w:sz w:val="40"/>
          <w:szCs w:val="40"/>
        </w:rPr>
        <w:t xml:space="preserve"> GLOBAL BUSINESS LEADERSHIP IN A DIGITAL WORLD</w:t>
      </w:r>
    </w:p>
    <w:p w14:paraId="053091DF" w14:textId="77777777" w:rsidR="00693702" w:rsidRPr="00693702" w:rsidRDefault="00693702" w:rsidP="00693702">
      <w:pPr>
        <w:spacing w:after="0" w:line="240" w:lineRule="auto"/>
        <w:jc w:val="center"/>
        <w:rPr>
          <w:rFonts w:ascii="Times New Roman" w:hAnsi="Times New Roman" w:cs="Times New Roman"/>
          <w:b/>
          <w:bCs/>
          <w:sz w:val="56"/>
          <w:szCs w:val="56"/>
        </w:rPr>
      </w:pPr>
    </w:p>
    <w:p w14:paraId="04DB1CD7" w14:textId="77777777" w:rsidR="00693702" w:rsidRDefault="00693702" w:rsidP="00693702">
      <w:pPr>
        <w:spacing w:after="0" w:line="240" w:lineRule="auto"/>
        <w:jc w:val="center"/>
        <w:rPr>
          <w:rFonts w:ascii="Times New Roman" w:hAnsi="Times New Roman" w:cs="Times New Roman"/>
          <w:b/>
          <w:bCs/>
          <w:sz w:val="56"/>
          <w:szCs w:val="56"/>
        </w:rPr>
      </w:pPr>
    </w:p>
    <w:p w14:paraId="1C7327A8" w14:textId="77777777" w:rsidR="00693702" w:rsidRDefault="00693702" w:rsidP="00693702">
      <w:pPr>
        <w:spacing w:after="0" w:line="240" w:lineRule="auto"/>
        <w:jc w:val="center"/>
        <w:rPr>
          <w:rFonts w:ascii="Times New Roman" w:hAnsi="Times New Roman" w:cs="Times New Roman"/>
          <w:b/>
          <w:bCs/>
          <w:sz w:val="56"/>
          <w:szCs w:val="56"/>
        </w:rPr>
      </w:pPr>
    </w:p>
    <w:p w14:paraId="0E427EC4" w14:textId="77777777" w:rsidR="00693702" w:rsidRDefault="00693702" w:rsidP="00693702">
      <w:pPr>
        <w:spacing w:after="0" w:line="240" w:lineRule="auto"/>
        <w:jc w:val="center"/>
        <w:rPr>
          <w:rFonts w:ascii="Times New Roman" w:hAnsi="Times New Roman" w:cs="Times New Roman"/>
          <w:b/>
          <w:bCs/>
          <w:sz w:val="56"/>
          <w:szCs w:val="56"/>
        </w:rPr>
      </w:pPr>
    </w:p>
    <w:p w14:paraId="237F7546" w14:textId="08C525A9" w:rsidR="00693702" w:rsidRDefault="00693702" w:rsidP="00693702">
      <w:pPr>
        <w:spacing w:after="0" w:line="240" w:lineRule="auto"/>
        <w:jc w:val="center"/>
        <w:rPr>
          <w:rFonts w:ascii="Times New Roman" w:hAnsi="Times New Roman" w:cs="Times New Roman"/>
          <w:b/>
          <w:bCs/>
          <w:sz w:val="56"/>
          <w:szCs w:val="56"/>
        </w:rPr>
      </w:pPr>
      <w:r w:rsidRPr="00693702">
        <w:rPr>
          <w:rFonts w:ascii="Times New Roman" w:hAnsi="Times New Roman" w:cs="Times New Roman"/>
          <w:b/>
          <w:bCs/>
          <w:sz w:val="56"/>
          <w:szCs w:val="56"/>
        </w:rPr>
        <w:t>BOOK OF PRODEEDINGS</w:t>
      </w:r>
    </w:p>
    <w:p w14:paraId="06335BE9" w14:textId="77777777" w:rsidR="00693702" w:rsidRDefault="00693702" w:rsidP="00693702">
      <w:pPr>
        <w:spacing w:after="0" w:line="240" w:lineRule="auto"/>
        <w:jc w:val="center"/>
        <w:rPr>
          <w:rFonts w:ascii="Times New Roman" w:hAnsi="Times New Roman" w:cs="Times New Roman"/>
          <w:b/>
          <w:bCs/>
          <w:sz w:val="56"/>
          <w:szCs w:val="56"/>
        </w:rPr>
      </w:pPr>
    </w:p>
    <w:p w14:paraId="611A41C1" w14:textId="77777777" w:rsidR="00693702" w:rsidRDefault="00693702" w:rsidP="00693702">
      <w:pPr>
        <w:spacing w:after="0" w:line="240" w:lineRule="auto"/>
        <w:jc w:val="center"/>
        <w:rPr>
          <w:rFonts w:ascii="Times New Roman" w:hAnsi="Times New Roman" w:cs="Times New Roman"/>
          <w:b/>
          <w:bCs/>
          <w:sz w:val="56"/>
          <w:szCs w:val="56"/>
        </w:rPr>
      </w:pPr>
    </w:p>
    <w:p w14:paraId="5029A347" w14:textId="77777777" w:rsidR="00693702" w:rsidRDefault="00693702" w:rsidP="00693702">
      <w:pPr>
        <w:spacing w:after="0" w:line="240" w:lineRule="auto"/>
        <w:jc w:val="center"/>
        <w:rPr>
          <w:rFonts w:ascii="Times New Roman" w:hAnsi="Times New Roman" w:cs="Times New Roman"/>
          <w:b/>
          <w:bCs/>
          <w:sz w:val="56"/>
          <w:szCs w:val="56"/>
        </w:rPr>
      </w:pPr>
    </w:p>
    <w:p w14:paraId="3DCCF3C9" w14:textId="77777777" w:rsidR="00693702" w:rsidRDefault="00693702" w:rsidP="00693702">
      <w:pPr>
        <w:spacing w:after="0" w:line="240" w:lineRule="auto"/>
        <w:jc w:val="center"/>
        <w:rPr>
          <w:rFonts w:ascii="Times New Roman" w:hAnsi="Times New Roman" w:cs="Times New Roman"/>
          <w:b/>
          <w:bCs/>
          <w:sz w:val="32"/>
          <w:szCs w:val="32"/>
        </w:rPr>
      </w:pPr>
    </w:p>
    <w:p w14:paraId="7DC902A2" w14:textId="77777777" w:rsidR="00693702" w:rsidRDefault="00693702" w:rsidP="00693702">
      <w:pPr>
        <w:spacing w:after="0" w:line="240" w:lineRule="auto"/>
        <w:jc w:val="center"/>
        <w:rPr>
          <w:rFonts w:ascii="Times New Roman" w:hAnsi="Times New Roman" w:cs="Times New Roman"/>
          <w:b/>
          <w:bCs/>
          <w:sz w:val="32"/>
          <w:szCs w:val="32"/>
        </w:rPr>
      </w:pPr>
    </w:p>
    <w:p w14:paraId="25D25A75" w14:textId="77777777" w:rsidR="00693702" w:rsidRDefault="00693702" w:rsidP="00693702">
      <w:pPr>
        <w:spacing w:after="0" w:line="240" w:lineRule="auto"/>
        <w:jc w:val="center"/>
        <w:rPr>
          <w:rFonts w:ascii="Times New Roman" w:hAnsi="Times New Roman" w:cs="Times New Roman"/>
          <w:b/>
          <w:bCs/>
          <w:sz w:val="32"/>
          <w:szCs w:val="32"/>
        </w:rPr>
      </w:pPr>
    </w:p>
    <w:p w14:paraId="1A367D92" w14:textId="77777777" w:rsidR="00693702" w:rsidRDefault="00693702" w:rsidP="00693702">
      <w:pPr>
        <w:spacing w:after="0" w:line="240" w:lineRule="auto"/>
        <w:jc w:val="center"/>
        <w:rPr>
          <w:rFonts w:ascii="Times New Roman" w:hAnsi="Times New Roman" w:cs="Times New Roman"/>
          <w:b/>
          <w:bCs/>
          <w:sz w:val="32"/>
          <w:szCs w:val="32"/>
        </w:rPr>
      </w:pPr>
    </w:p>
    <w:p w14:paraId="29ED6BCF" w14:textId="77777777" w:rsidR="00693702" w:rsidRDefault="00693702" w:rsidP="00693702">
      <w:pPr>
        <w:spacing w:after="0" w:line="240" w:lineRule="auto"/>
        <w:jc w:val="center"/>
        <w:rPr>
          <w:rFonts w:ascii="Times New Roman" w:hAnsi="Times New Roman" w:cs="Times New Roman"/>
          <w:b/>
          <w:bCs/>
          <w:sz w:val="32"/>
          <w:szCs w:val="32"/>
        </w:rPr>
      </w:pPr>
    </w:p>
    <w:p w14:paraId="47D5F5FF" w14:textId="77777777" w:rsidR="001A1F9C" w:rsidRDefault="001A1F9C" w:rsidP="00693702">
      <w:pPr>
        <w:spacing w:after="0" w:line="240" w:lineRule="auto"/>
        <w:jc w:val="center"/>
        <w:rPr>
          <w:rFonts w:ascii="Times New Roman" w:hAnsi="Times New Roman" w:cs="Times New Roman"/>
          <w:b/>
          <w:bCs/>
          <w:sz w:val="32"/>
          <w:szCs w:val="32"/>
        </w:rPr>
      </w:pPr>
    </w:p>
    <w:p w14:paraId="3B292D21" w14:textId="77777777" w:rsidR="001A1F9C" w:rsidRDefault="001A1F9C" w:rsidP="00693702">
      <w:pPr>
        <w:spacing w:after="0" w:line="240" w:lineRule="auto"/>
        <w:jc w:val="center"/>
        <w:rPr>
          <w:rFonts w:ascii="Times New Roman" w:hAnsi="Times New Roman" w:cs="Times New Roman"/>
          <w:b/>
          <w:bCs/>
          <w:sz w:val="32"/>
          <w:szCs w:val="32"/>
        </w:rPr>
      </w:pPr>
    </w:p>
    <w:p w14:paraId="22CF4ABD" w14:textId="77777777" w:rsidR="001A1F9C" w:rsidRDefault="001A1F9C" w:rsidP="00693702">
      <w:pPr>
        <w:spacing w:after="0" w:line="240" w:lineRule="auto"/>
        <w:jc w:val="center"/>
        <w:rPr>
          <w:rFonts w:ascii="Times New Roman" w:hAnsi="Times New Roman" w:cs="Times New Roman"/>
          <w:b/>
          <w:bCs/>
          <w:sz w:val="32"/>
          <w:szCs w:val="32"/>
        </w:rPr>
      </w:pPr>
    </w:p>
    <w:p w14:paraId="38004AB4" w14:textId="764B2075" w:rsidR="00693702" w:rsidRPr="00280939" w:rsidRDefault="00693702" w:rsidP="00693702">
      <w:pPr>
        <w:spacing w:after="0" w:line="240" w:lineRule="auto"/>
        <w:jc w:val="center"/>
        <w:rPr>
          <w:rFonts w:ascii="Times New Roman" w:hAnsi="Times New Roman" w:cs="Times New Roman"/>
          <w:b/>
          <w:bCs/>
          <w:sz w:val="28"/>
          <w:szCs w:val="28"/>
        </w:rPr>
      </w:pPr>
      <w:r w:rsidRPr="00280939">
        <w:rPr>
          <w:rFonts w:ascii="Times New Roman" w:hAnsi="Times New Roman" w:cs="Times New Roman"/>
          <w:b/>
          <w:bCs/>
          <w:sz w:val="28"/>
          <w:szCs w:val="28"/>
        </w:rPr>
        <w:t xml:space="preserve">EDITED BY </w:t>
      </w:r>
    </w:p>
    <w:p w14:paraId="5A2F37FD" w14:textId="2451419E" w:rsidR="00693702" w:rsidRPr="00280939" w:rsidRDefault="00693702" w:rsidP="00693702">
      <w:pPr>
        <w:spacing w:after="0" w:line="240" w:lineRule="auto"/>
        <w:jc w:val="center"/>
        <w:rPr>
          <w:rFonts w:ascii="Times New Roman" w:hAnsi="Times New Roman" w:cs="Times New Roman"/>
          <w:b/>
          <w:bCs/>
          <w:sz w:val="28"/>
          <w:szCs w:val="28"/>
        </w:rPr>
      </w:pPr>
      <w:r w:rsidRPr="00280939">
        <w:rPr>
          <w:rFonts w:ascii="Times New Roman" w:hAnsi="Times New Roman" w:cs="Times New Roman"/>
          <w:b/>
          <w:bCs/>
          <w:sz w:val="28"/>
          <w:szCs w:val="28"/>
        </w:rPr>
        <w:t>THE CONFERENCE COMMITTEE</w:t>
      </w:r>
    </w:p>
    <w:p w14:paraId="0AD3369F" w14:textId="77777777" w:rsidR="00120BA4" w:rsidRDefault="00120BA4" w:rsidP="00693702">
      <w:pPr>
        <w:spacing w:after="0" w:line="240" w:lineRule="auto"/>
        <w:jc w:val="center"/>
        <w:rPr>
          <w:rFonts w:ascii="Times New Roman" w:hAnsi="Times New Roman" w:cs="Times New Roman"/>
          <w:b/>
          <w:bCs/>
        </w:rPr>
      </w:pPr>
    </w:p>
    <w:p w14:paraId="034A10C9" w14:textId="40F4CFC3" w:rsidR="00693702" w:rsidRPr="00705102" w:rsidRDefault="00693702" w:rsidP="00693702">
      <w:pPr>
        <w:spacing w:after="0" w:line="240" w:lineRule="auto"/>
        <w:jc w:val="center"/>
        <w:rPr>
          <w:rFonts w:ascii="Times New Roman" w:hAnsi="Times New Roman" w:cs="Times New Roman"/>
          <w:b/>
          <w:bCs/>
        </w:rPr>
      </w:pPr>
      <w:r w:rsidRPr="00705102">
        <w:rPr>
          <w:rFonts w:ascii="Times New Roman" w:hAnsi="Times New Roman" w:cs="Times New Roman"/>
          <w:b/>
          <w:bCs/>
        </w:rPr>
        <w:lastRenderedPageBreak/>
        <w:t>CONTENTS</w:t>
      </w:r>
    </w:p>
    <w:p w14:paraId="7E7E4B46" w14:textId="77777777" w:rsidR="001A1F9C" w:rsidRPr="00705102" w:rsidRDefault="001A1F9C" w:rsidP="00693702">
      <w:pPr>
        <w:spacing w:after="0" w:line="240" w:lineRule="auto"/>
        <w:jc w:val="center"/>
        <w:rPr>
          <w:rFonts w:ascii="Times New Roman" w:hAnsi="Times New Roman" w:cs="Times New Roman"/>
          <w:b/>
          <w:bCs/>
        </w:rPr>
      </w:pPr>
    </w:p>
    <w:p w14:paraId="447CB816" w14:textId="400AEC2F" w:rsidR="00693702" w:rsidRPr="00705102" w:rsidRDefault="00693702" w:rsidP="00693702">
      <w:pPr>
        <w:spacing w:after="0" w:line="240" w:lineRule="auto"/>
        <w:jc w:val="both"/>
        <w:rPr>
          <w:rFonts w:ascii="Times New Roman" w:hAnsi="Times New Roman" w:cs="Times New Roman"/>
          <w:b/>
          <w:bCs/>
        </w:rPr>
      </w:pPr>
      <w:r w:rsidRPr="00705102">
        <w:rPr>
          <w:rFonts w:ascii="Times New Roman" w:hAnsi="Times New Roman" w:cs="Times New Roman"/>
          <w:b/>
          <w:bCs/>
        </w:rPr>
        <w:t>PART ONE: ACCOUNTING</w:t>
      </w:r>
    </w:p>
    <w:p w14:paraId="1E77C256" w14:textId="77777777" w:rsidR="00A60822" w:rsidRPr="00705102" w:rsidRDefault="00A60822" w:rsidP="00693702">
      <w:pPr>
        <w:spacing w:after="0" w:line="240" w:lineRule="auto"/>
        <w:jc w:val="both"/>
        <w:rPr>
          <w:rFonts w:ascii="Times New Roman" w:hAnsi="Times New Roman" w:cs="Times New Roman"/>
          <w:b/>
          <w:bCs/>
        </w:rPr>
      </w:pPr>
    </w:p>
    <w:p w14:paraId="7944D556" w14:textId="4EA481B6" w:rsidR="001A1F9C" w:rsidRPr="00705102" w:rsidRDefault="00A60822" w:rsidP="00705102">
      <w:pPr>
        <w:spacing w:after="0" w:line="240" w:lineRule="auto"/>
        <w:ind w:left="720" w:hanging="720"/>
        <w:rPr>
          <w:rFonts w:ascii="Times New Roman" w:eastAsia="Calibri" w:hAnsi="Times New Roman" w:cs="Times New Roman"/>
          <w:kern w:val="0"/>
          <w14:ligatures w14:val="none"/>
        </w:rPr>
      </w:pPr>
      <w:r w:rsidRPr="00705102">
        <w:rPr>
          <w:rFonts w:ascii="Times New Roman" w:hAnsi="Times New Roman" w:cs="Times New Roman"/>
          <w:b/>
          <w:bCs/>
        </w:rPr>
        <w:t>1.</w:t>
      </w:r>
      <w:r w:rsidRPr="00705102">
        <w:rPr>
          <w:rFonts w:ascii="Times New Roman" w:hAnsi="Times New Roman" w:cs="Times New Roman"/>
          <w:b/>
          <w:bCs/>
        </w:rPr>
        <w:tab/>
      </w:r>
      <w:r w:rsidR="001A1F9C" w:rsidRPr="00705102">
        <w:rPr>
          <w:rFonts w:ascii="Times New Roman" w:eastAsia="Calibri" w:hAnsi="Times New Roman" w:cs="Times New Roman"/>
          <w:b/>
          <w:bCs/>
          <w:kern w:val="0"/>
          <w14:ligatures w14:val="none"/>
        </w:rPr>
        <w:t>Blockchain Technology &amp; Cryptocurrency Accounting:</w:t>
      </w:r>
      <w:r w:rsidR="001A1F9C" w:rsidRPr="00705102">
        <w:rPr>
          <w:rFonts w:ascii="Times New Roman" w:eastAsia="Calibri" w:hAnsi="Times New Roman" w:cs="Times New Roman"/>
          <w:kern w:val="0"/>
          <w14:ligatures w14:val="none"/>
        </w:rPr>
        <w:t xml:space="preserve"> A systematic paradigm </w:t>
      </w:r>
      <w:proofErr w:type="gramStart"/>
      <w:r w:rsidR="001A1F9C" w:rsidRPr="00705102">
        <w:rPr>
          <w:rFonts w:ascii="Times New Roman" w:eastAsia="Calibri" w:hAnsi="Times New Roman" w:cs="Times New Roman"/>
          <w:kern w:val="0"/>
          <w14:ligatures w14:val="none"/>
        </w:rPr>
        <w:t>shift</w:t>
      </w:r>
      <w:proofErr w:type="gramEnd"/>
      <w:r w:rsidR="001A1F9C" w:rsidRPr="00705102">
        <w:rPr>
          <w:rFonts w:ascii="Times New Roman" w:eastAsia="Calibri" w:hAnsi="Times New Roman" w:cs="Times New Roman"/>
          <w:kern w:val="0"/>
          <w14:ligatures w14:val="none"/>
        </w:rPr>
        <w:t xml:space="preserve"> from traditional e-payment system.</w:t>
      </w:r>
    </w:p>
    <w:p w14:paraId="60B938C1" w14:textId="77777777" w:rsidR="001A1F9C" w:rsidRPr="00705102" w:rsidRDefault="001A1F9C" w:rsidP="0053526A">
      <w:pPr>
        <w:spacing w:after="0" w:line="240" w:lineRule="auto"/>
        <w:ind w:firstLine="720"/>
        <w:rPr>
          <w:rFonts w:ascii="Times New Roman" w:eastAsia="Calibri" w:hAnsi="Times New Roman" w:cs="Times New Roman"/>
          <w:i/>
          <w:iCs/>
          <w:kern w:val="0"/>
          <w14:ligatures w14:val="none"/>
        </w:rPr>
      </w:pPr>
      <w:proofErr w:type="gramStart"/>
      <w:r w:rsidRPr="00705102">
        <w:rPr>
          <w:rFonts w:ascii="Times New Roman" w:eastAsia="Calibri" w:hAnsi="Times New Roman" w:cs="Times New Roman"/>
          <w:i/>
          <w:iCs/>
          <w:kern w:val="0"/>
          <w14:ligatures w14:val="none"/>
        </w:rPr>
        <w:t>Dr  Oporiopo</w:t>
      </w:r>
      <w:proofErr w:type="gramEnd"/>
      <w:r w:rsidRPr="00705102">
        <w:rPr>
          <w:rFonts w:ascii="Times New Roman" w:eastAsia="Calibri" w:hAnsi="Times New Roman" w:cs="Times New Roman"/>
          <w:i/>
          <w:iCs/>
          <w:kern w:val="0"/>
          <w14:ligatures w14:val="none"/>
        </w:rPr>
        <w:t xml:space="preserve"> Michael </w:t>
      </w:r>
      <w:proofErr w:type="spellStart"/>
      <w:r w:rsidRPr="00705102">
        <w:rPr>
          <w:rFonts w:ascii="Times New Roman" w:eastAsia="Calibri" w:hAnsi="Times New Roman" w:cs="Times New Roman"/>
          <w:i/>
          <w:iCs/>
          <w:kern w:val="0"/>
          <w14:ligatures w14:val="none"/>
        </w:rPr>
        <w:t>Godknows</w:t>
      </w:r>
      <w:proofErr w:type="spellEnd"/>
    </w:p>
    <w:p w14:paraId="3CC32F56" w14:textId="77777777" w:rsidR="001A1F9C" w:rsidRPr="00705102" w:rsidRDefault="001A1F9C" w:rsidP="001A1F9C">
      <w:pPr>
        <w:spacing w:after="0" w:line="240" w:lineRule="auto"/>
        <w:jc w:val="both"/>
        <w:rPr>
          <w:rFonts w:ascii="Times New Roman" w:eastAsia="Times New Roman" w:hAnsi="Times New Roman" w:cs="Times New Roman"/>
          <w:b/>
          <w:color w:val="000000"/>
          <w:kern w:val="0"/>
          <w14:ligatures w14:val="none"/>
        </w:rPr>
      </w:pPr>
    </w:p>
    <w:p w14:paraId="26FBCD50" w14:textId="5A1EA25B" w:rsidR="001A1F9C" w:rsidRPr="00705102" w:rsidRDefault="0053526A" w:rsidP="0053526A">
      <w:pPr>
        <w:spacing w:after="0" w:line="240" w:lineRule="auto"/>
        <w:ind w:left="720" w:hanging="720"/>
        <w:jc w:val="both"/>
        <w:rPr>
          <w:rFonts w:ascii="Times New Roman" w:eastAsia="Times New Roman" w:hAnsi="Times New Roman" w:cs="Times New Roman"/>
          <w:b/>
          <w:color w:val="000000"/>
          <w:kern w:val="0"/>
          <w14:ligatures w14:val="none"/>
        </w:rPr>
      </w:pPr>
      <w:r w:rsidRPr="00705102">
        <w:rPr>
          <w:rFonts w:ascii="Times New Roman" w:eastAsia="Times New Roman" w:hAnsi="Times New Roman" w:cs="Times New Roman"/>
          <w:b/>
          <w:color w:val="000000"/>
          <w:kern w:val="0"/>
          <w14:ligatures w14:val="none"/>
        </w:rPr>
        <w:t>2.</w:t>
      </w:r>
      <w:r w:rsidRPr="00705102">
        <w:rPr>
          <w:rFonts w:ascii="Times New Roman" w:eastAsia="Times New Roman" w:hAnsi="Times New Roman" w:cs="Times New Roman"/>
          <w:b/>
          <w:color w:val="000000"/>
          <w:kern w:val="0"/>
          <w14:ligatures w14:val="none"/>
        </w:rPr>
        <w:tab/>
      </w:r>
      <w:r w:rsidR="001A1F9C" w:rsidRPr="00705102">
        <w:rPr>
          <w:rFonts w:ascii="Times New Roman" w:eastAsia="Times New Roman" w:hAnsi="Times New Roman" w:cs="Times New Roman"/>
          <w:b/>
          <w:color w:val="000000"/>
          <w:kern w:val="0"/>
          <w14:ligatures w14:val="none"/>
        </w:rPr>
        <w:t xml:space="preserve">Impact Of Artificial Intelligence Structured Investment </w:t>
      </w:r>
      <w:r w:rsidR="00705102" w:rsidRPr="00705102">
        <w:rPr>
          <w:rFonts w:ascii="Times New Roman" w:eastAsia="Times New Roman" w:hAnsi="Times New Roman" w:cs="Times New Roman"/>
          <w:b/>
          <w:color w:val="000000"/>
          <w:kern w:val="0"/>
          <w14:ligatures w14:val="none"/>
        </w:rPr>
        <w:t>on</w:t>
      </w:r>
      <w:r w:rsidR="001A1F9C" w:rsidRPr="00705102">
        <w:rPr>
          <w:rFonts w:ascii="Times New Roman" w:eastAsia="Times New Roman" w:hAnsi="Times New Roman" w:cs="Times New Roman"/>
          <w:b/>
          <w:color w:val="000000"/>
          <w:kern w:val="0"/>
          <w14:ligatures w14:val="none"/>
        </w:rPr>
        <w:t xml:space="preserve"> Return </w:t>
      </w:r>
      <w:r w:rsidR="00705102" w:rsidRPr="00705102">
        <w:rPr>
          <w:rFonts w:ascii="Times New Roman" w:eastAsia="Times New Roman" w:hAnsi="Times New Roman" w:cs="Times New Roman"/>
          <w:b/>
          <w:color w:val="000000"/>
          <w:kern w:val="0"/>
          <w14:ligatures w14:val="none"/>
        </w:rPr>
        <w:t>on</w:t>
      </w:r>
      <w:r w:rsidR="001A1F9C" w:rsidRPr="00705102">
        <w:rPr>
          <w:rFonts w:ascii="Times New Roman" w:eastAsia="Times New Roman" w:hAnsi="Times New Roman" w:cs="Times New Roman"/>
          <w:b/>
          <w:color w:val="000000"/>
          <w:kern w:val="0"/>
          <w14:ligatures w14:val="none"/>
        </w:rPr>
        <w:t xml:space="preserve"> Assets </w:t>
      </w:r>
      <w:r w:rsidR="00705102" w:rsidRPr="00705102">
        <w:rPr>
          <w:rFonts w:ascii="Times New Roman" w:eastAsia="Times New Roman" w:hAnsi="Times New Roman" w:cs="Times New Roman"/>
          <w:b/>
          <w:color w:val="000000"/>
          <w:kern w:val="0"/>
          <w14:ligatures w14:val="none"/>
        </w:rPr>
        <w:t>of</w:t>
      </w:r>
      <w:r w:rsidR="001A1F9C" w:rsidRPr="00705102">
        <w:rPr>
          <w:rFonts w:ascii="Times New Roman" w:eastAsia="Times New Roman" w:hAnsi="Times New Roman" w:cs="Times New Roman"/>
          <w:b/>
          <w:color w:val="000000"/>
          <w:kern w:val="0"/>
          <w14:ligatures w14:val="none"/>
        </w:rPr>
        <w:t xml:space="preserve"> Deposit Money Banks </w:t>
      </w:r>
      <w:r w:rsidR="00705102" w:rsidRPr="00705102">
        <w:rPr>
          <w:rFonts w:ascii="Times New Roman" w:eastAsia="Times New Roman" w:hAnsi="Times New Roman" w:cs="Times New Roman"/>
          <w:b/>
          <w:color w:val="000000"/>
          <w:kern w:val="0"/>
          <w14:ligatures w14:val="none"/>
        </w:rPr>
        <w:t>in</w:t>
      </w:r>
      <w:r w:rsidR="001A1F9C" w:rsidRPr="00705102">
        <w:rPr>
          <w:rFonts w:ascii="Times New Roman" w:eastAsia="Times New Roman" w:hAnsi="Times New Roman" w:cs="Times New Roman"/>
          <w:b/>
          <w:color w:val="000000"/>
          <w:kern w:val="0"/>
          <w14:ligatures w14:val="none"/>
        </w:rPr>
        <w:t xml:space="preserve"> Nigeria</w:t>
      </w:r>
    </w:p>
    <w:p w14:paraId="25002C16" w14:textId="77777777" w:rsidR="001A1F9C" w:rsidRPr="00705102" w:rsidRDefault="001A1F9C" w:rsidP="0053526A">
      <w:pPr>
        <w:spacing w:after="0" w:line="240" w:lineRule="auto"/>
        <w:ind w:firstLine="720"/>
        <w:jc w:val="both"/>
        <w:rPr>
          <w:rFonts w:ascii="Times New Roman" w:eastAsia="Times New Roman" w:hAnsi="Times New Roman" w:cs="Times New Roman"/>
          <w:color w:val="000000"/>
          <w:kern w:val="0"/>
          <w14:ligatures w14:val="none"/>
        </w:rPr>
      </w:pPr>
      <w:r w:rsidRPr="00705102">
        <w:rPr>
          <w:rFonts w:ascii="Times New Roman" w:eastAsia="Times New Roman" w:hAnsi="Times New Roman" w:cs="Times New Roman"/>
          <w:kern w:val="0"/>
          <w14:ligatures w14:val="none"/>
        </w:rPr>
        <w:t>EGINIWIN</w:t>
      </w:r>
      <w:r w:rsidRPr="00705102">
        <w:rPr>
          <w:rFonts w:ascii="Times New Roman" w:eastAsia="Times New Roman" w:hAnsi="Times New Roman" w:cs="Times New Roman"/>
          <w:spacing w:val="-1"/>
          <w:kern w:val="0"/>
          <w14:ligatures w14:val="none"/>
        </w:rPr>
        <w:t xml:space="preserve"> </w:t>
      </w:r>
      <w:r w:rsidRPr="00705102">
        <w:rPr>
          <w:rFonts w:ascii="Times New Roman" w:eastAsia="Times New Roman" w:hAnsi="Times New Roman" w:cs="Times New Roman"/>
          <w:kern w:val="0"/>
          <w14:ligatures w14:val="none"/>
        </w:rPr>
        <w:t>Joseph</w:t>
      </w:r>
      <w:r w:rsidRPr="00705102">
        <w:rPr>
          <w:rFonts w:ascii="Times New Roman" w:eastAsia="Times New Roman" w:hAnsi="Times New Roman" w:cs="Times New Roman"/>
          <w:spacing w:val="-3"/>
          <w:kern w:val="0"/>
          <w14:ligatures w14:val="none"/>
        </w:rPr>
        <w:t xml:space="preserve"> </w:t>
      </w:r>
      <w:r w:rsidRPr="00705102">
        <w:rPr>
          <w:rFonts w:ascii="Times New Roman" w:eastAsia="Times New Roman" w:hAnsi="Times New Roman" w:cs="Times New Roman"/>
          <w:kern w:val="0"/>
          <w14:ligatures w14:val="none"/>
        </w:rPr>
        <w:t>Ese</w:t>
      </w:r>
      <w:r w:rsidRPr="00705102">
        <w:rPr>
          <w:rFonts w:ascii="Times New Roman" w:eastAsia="Times New Roman" w:hAnsi="Times New Roman" w:cs="Times New Roman"/>
          <w:spacing w:val="-20"/>
          <w:kern w:val="0"/>
          <w14:ligatures w14:val="none"/>
        </w:rPr>
        <w:t xml:space="preserve"> </w:t>
      </w:r>
      <w:r w:rsidRPr="00705102">
        <w:rPr>
          <w:rFonts w:ascii="Times New Roman" w:eastAsia="Times New Roman" w:hAnsi="Times New Roman" w:cs="Times New Roman"/>
          <w:kern w:val="0"/>
          <w14:ligatures w14:val="none"/>
        </w:rPr>
        <w:t>&amp;</w:t>
      </w:r>
      <w:r w:rsidRPr="00705102">
        <w:rPr>
          <w:rFonts w:ascii="Times New Roman" w:eastAsia="Times New Roman" w:hAnsi="Times New Roman" w:cs="Times New Roman"/>
          <w:spacing w:val="-1"/>
          <w:kern w:val="0"/>
          <w14:ligatures w14:val="none"/>
        </w:rPr>
        <w:t xml:space="preserve"> </w:t>
      </w:r>
      <w:r w:rsidRPr="00705102">
        <w:rPr>
          <w:rFonts w:ascii="Times New Roman" w:eastAsia="Times New Roman" w:hAnsi="Times New Roman" w:cs="Times New Roman"/>
          <w:kern w:val="0"/>
          <w14:ligatures w14:val="none"/>
        </w:rPr>
        <w:t xml:space="preserve">OLOWU </w:t>
      </w:r>
      <w:proofErr w:type="spellStart"/>
      <w:r w:rsidRPr="00705102">
        <w:rPr>
          <w:rFonts w:ascii="Times New Roman" w:eastAsia="Times New Roman" w:hAnsi="Times New Roman" w:cs="Times New Roman"/>
          <w:kern w:val="0"/>
          <w14:ligatures w14:val="none"/>
        </w:rPr>
        <w:t>Irikefe</w:t>
      </w:r>
      <w:proofErr w:type="spellEnd"/>
      <w:r w:rsidRPr="00705102">
        <w:rPr>
          <w:rFonts w:ascii="Times New Roman" w:eastAsia="Times New Roman" w:hAnsi="Times New Roman" w:cs="Times New Roman"/>
          <w:kern w:val="0"/>
          <w14:ligatures w14:val="none"/>
        </w:rPr>
        <w:t xml:space="preserve"> Peter</w:t>
      </w:r>
    </w:p>
    <w:p w14:paraId="12A82069" w14:textId="77777777" w:rsidR="001A1F9C" w:rsidRPr="00705102" w:rsidRDefault="001A1F9C" w:rsidP="001A1F9C">
      <w:pPr>
        <w:spacing w:after="0" w:line="240" w:lineRule="auto"/>
        <w:jc w:val="center"/>
        <w:rPr>
          <w:rFonts w:ascii="Times New Roman" w:eastAsia="Calibri" w:hAnsi="Times New Roman" w:cs="Times New Roman"/>
          <w:color w:val="000000"/>
          <w:kern w:val="0"/>
          <w:vertAlign w:val="superscript"/>
          <w14:ligatures w14:val="none"/>
        </w:rPr>
      </w:pPr>
    </w:p>
    <w:p w14:paraId="56F01C82" w14:textId="2EF8FD9F" w:rsidR="001A1F9C" w:rsidRPr="00705102" w:rsidRDefault="0053526A" w:rsidP="0053526A">
      <w:pPr>
        <w:spacing w:after="0" w:line="276" w:lineRule="auto"/>
        <w:ind w:left="720" w:hanging="720"/>
        <w:rPr>
          <w:rFonts w:ascii="Times New Roman" w:eastAsia="Calibri" w:hAnsi="Times New Roman" w:cs="Times New Roman"/>
          <w:kern w:val="0"/>
          <w:lang w:val="en-GB"/>
          <w14:ligatures w14:val="none"/>
        </w:rPr>
      </w:pPr>
      <w:r w:rsidRPr="00705102">
        <w:rPr>
          <w:rFonts w:ascii="Times New Roman" w:eastAsia="Calibri" w:hAnsi="Times New Roman" w:cs="Times New Roman"/>
          <w:b/>
          <w:kern w:val="0"/>
          <w:lang w:val="en-GB"/>
          <w14:ligatures w14:val="none"/>
        </w:rPr>
        <w:t>3.</w:t>
      </w:r>
      <w:r w:rsidRPr="00705102">
        <w:rPr>
          <w:rFonts w:ascii="Times New Roman" w:eastAsia="Calibri" w:hAnsi="Times New Roman" w:cs="Times New Roman"/>
          <w:b/>
          <w:kern w:val="0"/>
          <w:lang w:val="en-GB"/>
          <w14:ligatures w14:val="none"/>
        </w:rPr>
        <w:tab/>
      </w:r>
      <w:r w:rsidR="001A1F9C" w:rsidRPr="00705102">
        <w:rPr>
          <w:rFonts w:ascii="Times New Roman" w:eastAsia="Calibri" w:hAnsi="Times New Roman" w:cs="Times New Roman"/>
          <w:b/>
          <w:kern w:val="0"/>
          <w:lang w:val="en-GB"/>
          <w14:ligatures w14:val="none"/>
        </w:rPr>
        <w:t xml:space="preserve">Innovative Cost Control Mechanism </w:t>
      </w:r>
      <w:r w:rsidR="00705102" w:rsidRPr="00705102">
        <w:rPr>
          <w:rFonts w:ascii="Times New Roman" w:eastAsia="Calibri" w:hAnsi="Times New Roman" w:cs="Times New Roman"/>
          <w:b/>
          <w:kern w:val="0"/>
          <w:lang w:val="en-GB"/>
          <w14:ligatures w14:val="none"/>
        </w:rPr>
        <w:t>and</w:t>
      </w:r>
      <w:r w:rsidR="001A1F9C" w:rsidRPr="00705102">
        <w:rPr>
          <w:rFonts w:ascii="Times New Roman" w:eastAsia="Calibri" w:hAnsi="Times New Roman" w:cs="Times New Roman"/>
          <w:b/>
          <w:kern w:val="0"/>
          <w:lang w:val="en-GB"/>
          <w14:ligatures w14:val="none"/>
        </w:rPr>
        <w:t xml:space="preserve"> Operating Margin </w:t>
      </w:r>
      <w:r w:rsidR="00705102" w:rsidRPr="00705102">
        <w:rPr>
          <w:rFonts w:ascii="Times New Roman" w:eastAsia="Calibri" w:hAnsi="Times New Roman" w:cs="Times New Roman"/>
          <w:b/>
          <w:kern w:val="0"/>
          <w:lang w:val="en-GB"/>
          <w14:ligatures w14:val="none"/>
        </w:rPr>
        <w:t>of</w:t>
      </w:r>
      <w:r w:rsidR="001A1F9C" w:rsidRPr="00705102">
        <w:rPr>
          <w:rFonts w:ascii="Times New Roman" w:eastAsia="Calibri" w:hAnsi="Times New Roman" w:cs="Times New Roman"/>
          <w:b/>
          <w:kern w:val="0"/>
          <w:lang w:val="en-GB"/>
          <w14:ligatures w14:val="none"/>
        </w:rPr>
        <w:t xml:space="preserve"> Quoted Consumer Goods Manufacturing Firms </w:t>
      </w:r>
      <w:r w:rsidR="00705102" w:rsidRPr="00705102">
        <w:rPr>
          <w:rFonts w:ascii="Times New Roman" w:eastAsia="Calibri" w:hAnsi="Times New Roman" w:cs="Times New Roman"/>
          <w:b/>
          <w:kern w:val="0"/>
          <w:lang w:val="en-GB"/>
          <w14:ligatures w14:val="none"/>
        </w:rPr>
        <w:t>in</w:t>
      </w:r>
      <w:r w:rsidR="001A1F9C" w:rsidRPr="00705102">
        <w:rPr>
          <w:rFonts w:ascii="Times New Roman" w:eastAsia="Calibri" w:hAnsi="Times New Roman" w:cs="Times New Roman"/>
          <w:b/>
          <w:kern w:val="0"/>
          <w:lang w:val="en-GB"/>
          <w14:ligatures w14:val="none"/>
        </w:rPr>
        <w:t xml:space="preserve"> Nigeria</w:t>
      </w:r>
      <w:r w:rsidR="001A1F9C" w:rsidRPr="00705102">
        <w:rPr>
          <w:rFonts w:ascii="Times New Roman" w:eastAsia="Calibri" w:hAnsi="Times New Roman" w:cs="Times New Roman"/>
          <w:kern w:val="0"/>
          <w:lang w:val="en-GB"/>
          <w14:ligatures w14:val="none"/>
        </w:rPr>
        <w:t>.</w:t>
      </w:r>
    </w:p>
    <w:p w14:paraId="54828230" w14:textId="77777777" w:rsidR="001A1F9C" w:rsidRPr="00705102" w:rsidRDefault="001A1F9C" w:rsidP="0053526A">
      <w:pPr>
        <w:spacing w:after="200" w:line="276" w:lineRule="auto"/>
        <w:ind w:firstLine="720"/>
        <w:contextualSpacing/>
        <w:rPr>
          <w:rFonts w:ascii="Times New Roman" w:hAnsi="Times New Roman" w:cs="Times New Roman"/>
          <w:b/>
          <w:bCs/>
        </w:rPr>
      </w:pPr>
      <w:r w:rsidRPr="00705102">
        <w:rPr>
          <w:rFonts w:ascii="Times New Roman" w:eastAsia="Calibri" w:hAnsi="Times New Roman" w:cs="Times New Roman"/>
          <w:kern w:val="0"/>
          <w:lang w:val="en-GB"/>
          <w14:ligatures w14:val="none"/>
        </w:rPr>
        <w:t>SYDER, INUADUME DANIEL (</w:t>
      </w:r>
      <w:proofErr w:type="spellStart"/>
      <w:proofErr w:type="gramStart"/>
      <w:r w:rsidRPr="00705102">
        <w:rPr>
          <w:rFonts w:ascii="Times New Roman" w:eastAsia="Calibri" w:hAnsi="Times New Roman" w:cs="Times New Roman"/>
          <w:kern w:val="0"/>
          <w:lang w:val="en-GB"/>
          <w14:ligatures w14:val="none"/>
        </w:rPr>
        <w:t>Ph.D</w:t>
      </w:r>
      <w:proofErr w:type="spellEnd"/>
      <w:proofErr w:type="gramEnd"/>
      <w:r w:rsidRPr="00705102">
        <w:rPr>
          <w:rFonts w:ascii="Times New Roman" w:eastAsia="Calibri" w:hAnsi="Times New Roman" w:cs="Times New Roman"/>
          <w:kern w:val="0"/>
          <w:lang w:val="en-GB"/>
          <w14:ligatures w14:val="none"/>
        </w:rPr>
        <w:t>), &amp; ELEE, CHIDI (</w:t>
      </w:r>
      <w:proofErr w:type="spellStart"/>
      <w:proofErr w:type="gramStart"/>
      <w:r w:rsidRPr="00705102">
        <w:rPr>
          <w:rFonts w:ascii="Times New Roman" w:eastAsia="Calibri" w:hAnsi="Times New Roman" w:cs="Times New Roman"/>
          <w:kern w:val="0"/>
          <w:lang w:val="en-GB"/>
          <w14:ligatures w14:val="none"/>
        </w:rPr>
        <w:t>Ph.D</w:t>
      </w:r>
      <w:proofErr w:type="spellEnd"/>
      <w:proofErr w:type="gramEnd"/>
      <w:r w:rsidRPr="00705102">
        <w:rPr>
          <w:rFonts w:ascii="Times New Roman" w:eastAsia="Calibri" w:hAnsi="Times New Roman" w:cs="Times New Roman"/>
          <w:kern w:val="0"/>
          <w:lang w:val="en-GB"/>
          <w14:ligatures w14:val="none"/>
        </w:rPr>
        <w:t xml:space="preserve">), </w:t>
      </w:r>
    </w:p>
    <w:p w14:paraId="2DC958E9" w14:textId="77777777" w:rsidR="001A1F9C" w:rsidRPr="00705102" w:rsidRDefault="001A1F9C" w:rsidP="001A1F9C">
      <w:pPr>
        <w:spacing w:after="0" w:line="240" w:lineRule="auto"/>
        <w:jc w:val="both"/>
        <w:rPr>
          <w:rFonts w:ascii="Times New Roman" w:eastAsia="Calibri" w:hAnsi="Times New Roman" w:cs="Times New Roman"/>
          <w:b/>
          <w:kern w:val="0"/>
          <w:lang w:val="en-GB"/>
          <w14:ligatures w14:val="none"/>
        </w:rPr>
      </w:pPr>
    </w:p>
    <w:p w14:paraId="2064A495" w14:textId="2F5586D3" w:rsidR="001A1F9C" w:rsidRPr="00705102" w:rsidRDefault="0053526A" w:rsidP="0053526A">
      <w:pPr>
        <w:spacing w:after="0" w:line="240" w:lineRule="auto"/>
        <w:ind w:left="720" w:hanging="720"/>
        <w:jc w:val="both"/>
        <w:rPr>
          <w:rFonts w:ascii="Times New Roman" w:eastAsia="Calibri" w:hAnsi="Times New Roman" w:cs="Times New Roman"/>
          <w:b/>
          <w:kern w:val="0"/>
          <w:lang w:val="en-GB"/>
          <w14:ligatures w14:val="none"/>
        </w:rPr>
      </w:pPr>
      <w:r w:rsidRPr="00705102">
        <w:rPr>
          <w:rFonts w:ascii="Times New Roman" w:eastAsia="Calibri" w:hAnsi="Times New Roman" w:cs="Times New Roman"/>
          <w:b/>
          <w:kern w:val="0"/>
          <w:lang w:val="en-GB"/>
          <w14:ligatures w14:val="none"/>
        </w:rPr>
        <w:t>4.</w:t>
      </w:r>
      <w:r w:rsidRPr="00705102">
        <w:rPr>
          <w:rFonts w:ascii="Times New Roman" w:eastAsia="Calibri" w:hAnsi="Times New Roman" w:cs="Times New Roman"/>
          <w:b/>
          <w:kern w:val="0"/>
          <w:lang w:val="en-GB"/>
          <w14:ligatures w14:val="none"/>
        </w:rPr>
        <w:tab/>
      </w:r>
      <w:r w:rsidR="001A1F9C" w:rsidRPr="00705102">
        <w:rPr>
          <w:rFonts w:ascii="Times New Roman" w:eastAsia="Calibri" w:hAnsi="Times New Roman" w:cs="Times New Roman"/>
          <w:b/>
          <w:kern w:val="0"/>
          <w:lang w:val="en-GB"/>
          <w14:ligatures w14:val="none"/>
        </w:rPr>
        <w:t>The Effect of Digital Innovation Adoption on the Valuation and Competitiveness of Nigerian Companies in a Globalized Digital Economy</w:t>
      </w:r>
    </w:p>
    <w:p w14:paraId="500ABBF9" w14:textId="77777777" w:rsidR="001A1F9C" w:rsidRDefault="001A1F9C" w:rsidP="0053526A">
      <w:pPr>
        <w:spacing w:after="0" w:line="240" w:lineRule="auto"/>
        <w:ind w:firstLine="720"/>
        <w:rPr>
          <w:rFonts w:ascii="Times New Roman" w:eastAsia="Calibri" w:hAnsi="Times New Roman" w:cs="Times New Roman"/>
          <w:bCs/>
          <w:kern w:val="0"/>
          <w:lang w:val="en-GB"/>
          <w14:ligatures w14:val="none"/>
        </w:rPr>
      </w:pPr>
      <w:r w:rsidRPr="00705102">
        <w:rPr>
          <w:rFonts w:ascii="Times New Roman" w:eastAsia="Calibri" w:hAnsi="Times New Roman" w:cs="Times New Roman"/>
          <w:bCs/>
          <w:kern w:val="0"/>
          <w:lang w:val="en-GB"/>
          <w14:ligatures w14:val="none"/>
        </w:rPr>
        <w:t>Mohammed Yusha’u Salihu</w:t>
      </w:r>
    </w:p>
    <w:p w14:paraId="1D4ABC29" w14:textId="312ED7A3" w:rsidR="005F7B2F" w:rsidRDefault="005F7B2F" w:rsidP="005F7B2F">
      <w:pPr>
        <w:spacing w:after="0" w:line="240" w:lineRule="auto"/>
        <w:rPr>
          <w:rFonts w:ascii="Times New Roman" w:eastAsia="Calibri" w:hAnsi="Times New Roman" w:cs="Times New Roman"/>
          <w:bCs/>
          <w:kern w:val="0"/>
          <w:lang w:val="en-GB"/>
          <w14:ligatures w14:val="none"/>
        </w:rPr>
      </w:pPr>
    </w:p>
    <w:p w14:paraId="54CE5C1B" w14:textId="77777777" w:rsidR="005F7B2F" w:rsidRDefault="005F7B2F" w:rsidP="005F7B2F">
      <w:pPr>
        <w:spacing w:after="0" w:line="276" w:lineRule="auto"/>
        <w:ind w:left="720" w:hanging="720"/>
        <w:jc w:val="both"/>
        <w:rPr>
          <w:rFonts w:ascii="Times New Roman" w:eastAsia="Calibri" w:hAnsi="Times New Roman"/>
          <w:b/>
          <w:bCs/>
        </w:rPr>
      </w:pPr>
      <w:r w:rsidRPr="005F7B2F">
        <w:rPr>
          <w:rFonts w:ascii="Times New Roman" w:eastAsia="Calibri" w:hAnsi="Times New Roman" w:cs="Times New Roman"/>
          <w:b/>
          <w:kern w:val="0"/>
          <w:lang w:val="en-GB"/>
          <w14:ligatures w14:val="none"/>
        </w:rPr>
        <w:t>5.</w:t>
      </w:r>
      <w:r>
        <w:rPr>
          <w:rFonts w:ascii="Times New Roman" w:eastAsia="Calibri" w:hAnsi="Times New Roman" w:cs="Times New Roman"/>
          <w:b/>
          <w:kern w:val="0"/>
          <w:lang w:val="en-GB"/>
          <w14:ligatures w14:val="none"/>
        </w:rPr>
        <w:tab/>
      </w:r>
      <w:r>
        <w:rPr>
          <w:rFonts w:ascii="Times New Roman" w:eastAsia="Calibri" w:hAnsi="Times New Roman"/>
          <w:b/>
          <w:bCs/>
        </w:rPr>
        <w:t>Blockchain Accounting Practices and Digital Enterprise Performance of Online Marketing Agencies in Port Harcourt</w:t>
      </w:r>
    </w:p>
    <w:p w14:paraId="0BB06429" w14:textId="77777777" w:rsidR="005F7B2F" w:rsidRPr="00453901" w:rsidRDefault="005F7B2F" w:rsidP="005F7B2F">
      <w:pPr>
        <w:spacing w:after="0"/>
        <w:ind w:firstLine="720"/>
        <w:jc w:val="both"/>
        <w:rPr>
          <w:rFonts w:ascii="Times New Roman" w:hAnsi="Times New Roman"/>
          <w:bCs/>
        </w:rPr>
      </w:pPr>
      <w:proofErr w:type="spellStart"/>
      <w:r w:rsidRPr="00453901">
        <w:rPr>
          <w:rFonts w:ascii="Times New Roman" w:hAnsi="Times New Roman"/>
          <w:bCs/>
        </w:rPr>
        <w:t>Bamson</w:t>
      </w:r>
      <w:proofErr w:type="spellEnd"/>
      <w:r w:rsidRPr="00453901">
        <w:rPr>
          <w:rFonts w:ascii="Times New Roman" w:hAnsi="Times New Roman"/>
          <w:bCs/>
        </w:rPr>
        <w:t xml:space="preserve">, </w:t>
      </w:r>
      <w:proofErr w:type="spellStart"/>
      <w:r w:rsidRPr="00453901">
        <w:rPr>
          <w:rFonts w:ascii="Times New Roman" w:hAnsi="Times New Roman"/>
          <w:bCs/>
        </w:rPr>
        <w:t>Tamunoene</w:t>
      </w:r>
      <w:proofErr w:type="spellEnd"/>
      <w:r w:rsidRPr="00453901">
        <w:rPr>
          <w:rFonts w:ascii="Times New Roman" w:hAnsi="Times New Roman"/>
          <w:bCs/>
        </w:rPr>
        <w:t xml:space="preserve"> Jones, PhD</w:t>
      </w:r>
      <w:r>
        <w:rPr>
          <w:rFonts w:ascii="Times New Roman" w:hAnsi="Times New Roman"/>
          <w:bCs/>
        </w:rPr>
        <w:t xml:space="preserve"> </w:t>
      </w:r>
      <w:r w:rsidRPr="00453901">
        <w:rPr>
          <w:rFonts w:ascii="Times New Roman" w:hAnsi="Times New Roman"/>
          <w:bCs/>
        </w:rPr>
        <w:t>&amp;</w:t>
      </w:r>
      <w:r>
        <w:rPr>
          <w:rFonts w:ascii="Times New Roman" w:hAnsi="Times New Roman"/>
          <w:bCs/>
        </w:rPr>
        <w:t xml:space="preserve"> </w:t>
      </w:r>
      <w:proofErr w:type="spellStart"/>
      <w:r w:rsidRPr="00453901">
        <w:rPr>
          <w:rFonts w:ascii="Times New Roman" w:hAnsi="Times New Roman"/>
          <w:bCs/>
        </w:rPr>
        <w:t>Abbiyesuku</w:t>
      </w:r>
      <w:proofErr w:type="spellEnd"/>
      <w:r w:rsidRPr="00453901">
        <w:rPr>
          <w:rFonts w:ascii="Times New Roman" w:hAnsi="Times New Roman"/>
          <w:bCs/>
        </w:rPr>
        <w:t xml:space="preserve">, </w:t>
      </w:r>
      <w:proofErr w:type="spellStart"/>
      <w:r w:rsidRPr="00453901">
        <w:rPr>
          <w:rFonts w:ascii="Times New Roman" w:hAnsi="Times New Roman"/>
          <w:bCs/>
        </w:rPr>
        <w:t>Owenanga</w:t>
      </w:r>
      <w:proofErr w:type="spellEnd"/>
      <w:r w:rsidRPr="00453901">
        <w:rPr>
          <w:rFonts w:ascii="Times New Roman" w:hAnsi="Times New Roman"/>
          <w:bCs/>
        </w:rPr>
        <w:t>, PhD</w:t>
      </w:r>
    </w:p>
    <w:p w14:paraId="199D3C2B" w14:textId="08FF1F09" w:rsidR="005F7B2F" w:rsidRPr="005F7B2F" w:rsidRDefault="005F7B2F" w:rsidP="005F7B2F">
      <w:pPr>
        <w:spacing w:after="0" w:line="240" w:lineRule="auto"/>
        <w:rPr>
          <w:rFonts w:ascii="Times New Roman" w:eastAsia="Calibri" w:hAnsi="Times New Roman" w:cs="Times New Roman"/>
          <w:b/>
          <w:kern w:val="0"/>
          <w:lang w:val="en-GB"/>
          <w14:ligatures w14:val="none"/>
        </w:rPr>
      </w:pPr>
    </w:p>
    <w:p w14:paraId="1FDFE0B2" w14:textId="46DA231D" w:rsidR="00A60822" w:rsidRPr="00705102" w:rsidRDefault="00A60822" w:rsidP="00A60822">
      <w:pPr>
        <w:spacing w:after="0" w:line="240" w:lineRule="auto"/>
        <w:jc w:val="both"/>
        <w:rPr>
          <w:rFonts w:ascii="Times New Roman" w:hAnsi="Times New Roman" w:cs="Times New Roman"/>
          <w:b/>
          <w:bCs/>
        </w:rPr>
      </w:pPr>
    </w:p>
    <w:p w14:paraId="073426F6" w14:textId="1700F400" w:rsidR="0053526A" w:rsidRPr="00705102" w:rsidRDefault="0053526A" w:rsidP="00A60822">
      <w:pPr>
        <w:spacing w:after="0" w:line="240" w:lineRule="auto"/>
        <w:jc w:val="both"/>
        <w:rPr>
          <w:rFonts w:ascii="Times New Roman" w:hAnsi="Times New Roman" w:cs="Times New Roman"/>
          <w:b/>
          <w:bCs/>
        </w:rPr>
      </w:pPr>
      <w:r w:rsidRPr="00705102">
        <w:rPr>
          <w:rFonts w:ascii="Times New Roman" w:hAnsi="Times New Roman" w:cs="Times New Roman"/>
          <w:b/>
          <w:bCs/>
        </w:rPr>
        <w:t>PART TWO: FINANCE &amp; ECONOMICS</w:t>
      </w:r>
    </w:p>
    <w:p w14:paraId="4B66BF6D" w14:textId="77777777" w:rsidR="00744876" w:rsidRPr="00705102" w:rsidRDefault="00744876" w:rsidP="00A60822">
      <w:pPr>
        <w:spacing w:after="0" w:line="240" w:lineRule="auto"/>
        <w:jc w:val="both"/>
        <w:rPr>
          <w:rFonts w:ascii="Times New Roman" w:hAnsi="Times New Roman" w:cs="Times New Roman"/>
          <w:b/>
          <w:bCs/>
        </w:rPr>
      </w:pPr>
    </w:p>
    <w:p w14:paraId="415AE994" w14:textId="0935DAB5" w:rsidR="00705102" w:rsidRPr="00705102" w:rsidRDefault="00744876" w:rsidP="00705102">
      <w:pPr>
        <w:spacing w:after="0" w:line="240" w:lineRule="auto"/>
        <w:ind w:left="720" w:hanging="720"/>
        <w:jc w:val="both"/>
        <w:rPr>
          <w:rFonts w:ascii="Times New Roman" w:eastAsia="DengXian" w:hAnsi="Times New Roman" w:cs="Times New Roman"/>
          <w:b/>
          <w:bCs/>
          <w:kern w:val="0"/>
          <w:lang w:val="en-GB" w:eastAsia="zh-CN"/>
          <w14:ligatures w14:val="none"/>
        </w:rPr>
      </w:pPr>
      <w:r w:rsidRPr="00705102">
        <w:rPr>
          <w:rFonts w:ascii="Times New Roman" w:hAnsi="Times New Roman" w:cs="Times New Roman"/>
          <w:b/>
          <w:bCs/>
        </w:rPr>
        <w:t>1.</w:t>
      </w:r>
      <w:r w:rsidRPr="00705102">
        <w:rPr>
          <w:rFonts w:ascii="Times New Roman" w:hAnsi="Times New Roman" w:cs="Times New Roman"/>
          <w:b/>
          <w:bCs/>
        </w:rPr>
        <w:tab/>
      </w:r>
      <w:r w:rsidR="00705102" w:rsidRPr="00705102">
        <w:rPr>
          <w:rFonts w:ascii="Times New Roman" w:eastAsia="DengXian" w:hAnsi="Times New Roman" w:cs="Times New Roman"/>
          <w:b/>
          <w:bCs/>
          <w:kern w:val="0"/>
          <w:lang w:val="en-GB" w:eastAsia="zh-CN"/>
          <w14:ligatures w14:val="none"/>
        </w:rPr>
        <w:t>Financial Technology: A Vehicle for Firms Profitability in An Era of Digital Transformation</w:t>
      </w:r>
    </w:p>
    <w:p w14:paraId="57BFB36C" w14:textId="77777777" w:rsidR="00705102" w:rsidRPr="00705102" w:rsidRDefault="00705102" w:rsidP="00705102">
      <w:pPr>
        <w:spacing w:after="0" w:line="276" w:lineRule="auto"/>
        <w:ind w:firstLine="720"/>
        <w:jc w:val="both"/>
        <w:rPr>
          <w:rFonts w:ascii="Times New Roman" w:eastAsia="DengXian" w:hAnsi="Times New Roman" w:cs="Times New Roman"/>
          <w:kern w:val="0"/>
          <w:lang w:eastAsia="zh-CN"/>
          <w14:ligatures w14:val="none"/>
        </w:rPr>
      </w:pPr>
      <w:r w:rsidRPr="00705102">
        <w:rPr>
          <w:rFonts w:ascii="Times New Roman" w:eastAsia="DengXian" w:hAnsi="Times New Roman" w:cs="Times New Roman"/>
          <w:kern w:val="0"/>
          <w:lang w:eastAsia="zh-CN"/>
          <w14:ligatures w14:val="none"/>
        </w:rPr>
        <w:t xml:space="preserve">MAKWE, EMMANUEL UZOMA, </w:t>
      </w:r>
      <w:proofErr w:type="spellStart"/>
      <w:proofErr w:type="gramStart"/>
      <w:r w:rsidRPr="00705102">
        <w:rPr>
          <w:rFonts w:ascii="Times New Roman" w:eastAsia="DengXian" w:hAnsi="Times New Roman" w:cs="Times New Roman"/>
          <w:kern w:val="0"/>
          <w:lang w:eastAsia="zh-CN"/>
          <w14:ligatures w14:val="none"/>
        </w:rPr>
        <w:t>Ph.D</w:t>
      </w:r>
      <w:proofErr w:type="spellEnd"/>
      <w:proofErr w:type="gramEnd"/>
      <w:r w:rsidRPr="00705102">
        <w:rPr>
          <w:rFonts w:ascii="Times New Roman" w:eastAsia="DengXian" w:hAnsi="Times New Roman" w:cs="Times New Roman"/>
          <w:kern w:val="0"/>
          <w:lang w:eastAsia="zh-CN"/>
          <w14:ligatures w14:val="none"/>
        </w:rPr>
        <w:t xml:space="preserve"> &amp; EME ONYEKACHI C. </w:t>
      </w:r>
    </w:p>
    <w:p w14:paraId="70531C36" w14:textId="77777777" w:rsidR="00705102" w:rsidRPr="00705102" w:rsidRDefault="00705102" w:rsidP="00705102">
      <w:pPr>
        <w:spacing w:after="0" w:line="276" w:lineRule="auto"/>
        <w:jc w:val="center"/>
        <w:rPr>
          <w:rFonts w:ascii="Times New Roman" w:eastAsia="DengXian" w:hAnsi="Times New Roman" w:cs="Times New Roman"/>
          <w:b/>
          <w:bCs/>
          <w:kern w:val="0"/>
          <w:lang w:eastAsia="zh-CN"/>
          <w14:ligatures w14:val="none"/>
        </w:rPr>
      </w:pPr>
    </w:p>
    <w:p w14:paraId="3F6E25A0" w14:textId="12405DB2" w:rsidR="00705102" w:rsidRPr="00705102" w:rsidRDefault="00705102" w:rsidP="00705102">
      <w:pPr>
        <w:spacing w:after="0" w:line="240" w:lineRule="auto"/>
        <w:jc w:val="both"/>
        <w:rPr>
          <w:rFonts w:ascii="Times New Roman" w:hAnsi="Times New Roman"/>
          <w:b/>
          <w:kern w:val="0"/>
          <w14:ligatures w14:val="none"/>
        </w:rPr>
      </w:pPr>
      <w:r w:rsidRPr="00705102">
        <w:rPr>
          <w:rFonts w:ascii="Times New Roman" w:hAnsi="Times New Roman"/>
          <w:b/>
          <w:kern w:val="0"/>
          <w14:ligatures w14:val="none"/>
        </w:rPr>
        <w:t>2.</w:t>
      </w:r>
      <w:r w:rsidRPr="00705102">
        <w:rPr>
          <w:rFonts w:ascii="Times New Roman" w:hAnsi="Times New Roman"/>
          <w:b/>
          <w:kern w:val="0"/>
          <w14:ligatures w14:val="none"/>
        </w:rPr>
        <w:tab/>
        <w:t xml:space="preserve">Financial Assets Performance and Herding </w:t>
      </w:r>
      <w:proofErr w:type="spellStart"/>
      <w:r w:rsidRPr="00705102">
        <w:rPr>
          <w:rFonts w:ascii="Times New Roman" w:hAnsi="Times New Roman"/>
          <w:b/>
          <w:kern w:val="0"/>
          <w14:ligatures w14:val="none"/>
        </w:rPr>
        <w:t>Behaviour</w:t>
      </w:r>
      <w:proofErr w:type="spellEnd"/>
      <w:r w:rsidRPr="00705102">
        <w:rPr>
          <w:rFonts w:ascii="Times New Roman" w:hAnsi="Times New Roman"/>
          <w:b/>
          <w:kern w:val="0"/>
          <w14:ligatures w14:val="none"/>
        </w:rPr>
        <w:t xml:space="preserve"> in Nigerian Financial Markets.</w:t>
      </w:r>
    </w:p>
    <w:p w14:paraId="7FA63513" w14:textId="77777777" w:rsidR="00705102" w:rsidRPr="00705102" w:rsidRDefault="00705102" w:rsidP="00705102">
      <w:pPr>
        <w:shd w:val="clear" w:color="auto" w:fill="FFFFFF"/>
        <w:spacing w:after="0" w:line="240" w:lineRule="auto"/>
        <w:ind w:firstLine="720"/>
        <w:rPr>
          <w:rFonts w:ascii="Times New Roman" w:hAnsi="Times New Roman" w:cs="Times New Roman"/>
          <w:bCs/>
          <w:kern w:val="0"/>
          <w14:ligatures w14:val="none"/>
        </w:rPr>
      </w:pPr>
      <w:r w:rsidRPr="00705102">
        <w:rPr>
          <w:rFonts w:ascii="Times New Roman" w:hAnsi="Times New Roman" w:cs="Times New Roman"/>
          <w:bCs/>
          <w:kern w:val="0"/>
          <w14:ligatures w14:val="none"/>
        </w:rPr>
        <w:t xml:space="preserve">Ifeanyi S. </w:t>
      </w:r>
      <w:proofErr w:type="spellStart"/>
      <w:r w:rsidRPr="00705102">
        <w:rPr>
          <w:rFonts w:ascii="Times New Roman" w:hAnsi="Times New Roman" w:cs="Times New Roman"/>
          <w:bCs/>
          <w:kern w:val="0"/>
          <w14:ligatures w14:val="none"/>
        </w:rPr>
        <w:t>Mgbataogu</w:t>
      </w:r>
      <w:proofErr w:type="spellEnd"/>
      <w:r w:rsidRPr="00705102">
        <w:rPr>
          <w:rFonts w:ascii="Times New Roman" w:hAnsi="Times New Roman" w:cs="Times New Roman"/>
          <w:bCs/>
          <w:kern w:val="0"/>
          <w14:ligatures w14:val="none"/>
        </w:rPr>
        <w:t xml:space="preserve"> (PhD), Emeka J. Okereke (PhD) &amp; Prince C. Nwakanma (PhD)</w:t>
      </w:r>
    </w:p>
    <w:p w14:paraId="264F24D2" w14:textId="77777777" w:rsidR="00705102" w:rsidRPr="00705102" w:rsidRDefault="00705102" w:rsidP="00705102">
      <w:pPr>
        <w:shd w:val="clear" w:color="auto" w:fill="FFFFFF"/>
        <w:spacing w:after="0" w:line="240" w:lineRule="auto"/>
        <w:jc w:val="center"/>
        <w:rPr>
          <w:rFonts w:ascii="Times New Roman" w:hAnsi="Times New Roman" w:cs="Times New Roman"/>
          <w:bCs/>
          <w:kern w:val="0"/>
          <w14:ligatures w14:val="none"/>
        </w:rPr>
      </w:pPr>
    </w:p>
    <w:p w14:paraId="45445D23" w14:textId="73605108" w:rsidR="00705102" w:rsidRPr="00705102" w:rsidRDefault="00705102" w:rsidP="00705102">
      <w:pPr>
        <w:spacing w:after="0" w:line="259" w:lineRule="auto"/>
        <w:rPr>
          <w:rFonts w:ascii="Times New Roman" w:eastAsia="Calibri" w:hAnsi="Times New Roman" w:cs="Times New Roman"/>
          <w:b/>
          <w:bCs/>
        </w:rPr>
      </w:pPr>
      <w:r w:rsidRPr="00705102">
        <w:rPr>
          <w:rFonts w:ascii="Times New Roman" w:eastAsia="Calibri" w:hAnsi="Times New Roman" w:cs="Times New Roman"/>
          <w:b/>
          <w:bCs/>
        </w:rPr>
        <w:t>3.</w:t>
      </w:r>
      <w:r w:rsidRPr="00705102">
        <w:rPr>
          <w:rFonts w:ascii="Times New Roman" w:eastAsia="Calibri" w:hAnsi="Times New Roman" w:cs="Times New Roman"/>
          <w:b/>
          <w:bCs/>
        </w:rPr>
        <w:tab/>
        <w:t>Tax Revenues and Government Expenditure in Nigeria: A Disaggregated Analysis</w:t>
      </w:r>
    </w:p>
    <w:p w14:paraId="6AB5E12D" w14:textId="045FE856" w:rsidR="00705102" w:rsidRPr="00705102" w:rsidRDefault="00705102" w:rsidP="00705102">
      <w:pPr>
        <w:spacing w:after="0" w:line="240" w:lineRule="auto"/>
        <w:ind w:firstLine="720"/>
        <w:rPr>
          <w:rFonts w:ascii="Times New Roman" w:eastAsia="Calibri" w:hAnsi="Times New Roman" w:cs="Times New Roman"/>
        </w:rPr>
      </w:pPr>
      <w:proofErr w:type="spellStart"/>
      <w:r w:rsidRPr="00705102">
        <w:rPr>
          <w:rFonts w:ascii="Times New Roman" w:eastAsia="Calibri" w:hAnsi="Times New Roman" w:cs="Times New Roman"/>
        </w:rPr>
        <w:t>Nwokoma</w:t>
      </w:r>
      <w:proofErr w:type="spellEnd"/>
      <w:r w:rsidRPr="00705102">
        <w:rPr>
          <w:rFonts w:ascii="Times New Roman" w:eastAsia="Calibri" w:hAnsi="Times New Roman" w:cs="Times New Roman"/>
        </w:rPr>
        <w:t xml:space="preserve">, Okechukwu, </w:t>
      </w:r>
      <w:proofErr w:type="spellStart"/>
      <w:r w:rsidRPr="00705102">
        <w:rPr>
          <w:rFonts w:ascii="Times New Roman" w:eastAsia="Calibri" w:hAnsi="Times New Roman" w:cs="Times New Roman"/>
        </w:rPr>
        <w:t>Ifionu</w:t>
      </w:r>
      <w:proofErr w:type="spellEnd"/>
      <w:r w:rsidRPr="00705102">
        <w:rPr>
          <w:rFonts w:ascii="Times New Roman" w:eastAsia="Calibri" w:hAnsi="Times New Roman" w:cs="Times New Roman"/>
        </w:rPr>
        <w:t xml:space="preserve">, Ebele </w:t>
      </w:r>
      <w:proofErr w:type="gramStart"/>
      <w:r w:rsidRPr="00705102">
        <w:rPr>
          <w:rFonts w:ascii="Times New Roman" w:eastAsia="Calibri" w:hAnsi="Times New Roman" w:cs="Times New Roman"/>
        </w:rPr>
        <w:t>Patricia</w:t>
      </w:r>
      <w:r>
        <w:rPr>
          <w:rFonts w:ascii="Times New Roman" w:eastAsia="Calibri" w:hAnsi="Times New Roman" w:cs="Times New Roman"/>
        </w:rPr>
        <w:t xml:space="preserve"> </w:t>
      </w:r>
      <w:r w:rsidRPr="00705102">
        <w:rPr>
          <w:rFonts w:ascii="Times New Roman" w:eastAsia="Calibri" w:hAnsi="Times New Roman" w:cs="Times New Roman"/>
        </w:rPr>
        <w:t xml:space="preserve"> &amp;</w:t>
      </w:r>
      <w:proofErr w:type="gramEnd"/>
      <w:r w:rsidRPr="00705102">
        <w:rPr>
          <w:rFonts w:ascii="Times New Roman" w:eastAsia="Calibri" w:hAnsi="Times New Roman" w:cs="Times New Roman"/>
        </w:rPr>
        <w:t xml:space="preserve"> </w:t>
      </w:r>
      <w:proofErr w:type="spellStart"/>
      <w:r w:rsidRPr="00705102">
        <w:rPr>
          <w:rFonts w:ascii="Times New Roman" w:eastAsia="Calibri" w:hAnsi="Times New Roman" w:cs="Times New Roman"/>
        </w:rPr>
        <w:t>Omojefe</w:t>
      </w:r>
      <w:proofErr w:type="spellEnd"/>
      <w:r w:rsidRPr="00705102">
        <w:rPr>
          <w:rFonts w:ascii="Times New Roman" w:eastAsia="Calibri" w:hAnsi="Times New Roman" w:cs="Times New Roman"/>
        </w:rPr>
        <w:t>, Godfrey O.</w:t>
      </w:r>
      <w:r>
        <w:rPr>
          <w:rFonts w:ascii="Times New Roman" w:eastAsia="Calibri" w:hAnsi="Times New Roman" w:cs="Times New Roman"/>
        </w:rPr>
        <w:t xml:space="preserve"> </w:t>
      </w:r>
      <w:r>
        <w:rPr>
          <w:rFonts w:ascii="Times New Roman" w:eastAsia="Calibri" w:hAnsi="Times New Roman" w:cs="Times New Roman"/>
          <w:bCs/>
        </w:rPr>
        <w:t>(PhD)</w:t>
      </w:r>
    </w:p>
    <w:p w14:paraId="5E8C76E7" w14:textId="77777777" w:rsidR="00705102" w:rsidRPr="00705102" w:rsidRDefault="00705102" w:rsidP="00705102">
      <w:pPr>
        <w:spacing w:after="0" w:line="240" w:lineRule="auto"/>
        <w:jc w:val="center"/>
        <w:rPr>
          <w:rFonts w:ascii="Times New Roman" w:eastAsia="Calibri" w:hAnsi="Times New Roman" w:cs="Times New Roman"/>
          <w:b/>
          <w:bCs/>
        </w:rPr>
      </w:pPr>
    </w:p>
    <w:p w14:paraId="037E025D" w14:textId="7E0280B0" w:rsidR="00705102" w:rsidRPr="00705102" w:rsidRDefault="00705102" w:rsidP="00705102">
      <w:pPr>
        <w:spacing w:after="0" w:line="240" w:lineRule="auto"/>
        <w:ind w:left="720" w:hanging="720"/>
        <w:jc w:val="both"/>
        <w:rPr>
          <w:rFonts w:ascii="Times New Roman" w:eastAsia="Calibri" w:hAnsi="Times New Roman" w:cs="Times New Roman"/>
          <w:b/>
          <w:bCs/>
        </w:rPr>
      </w:pPr>
      <w:r w:rsidRPr="00705102">
        <w:rPr>
          <w:rFonts w:ascii="Times New Roman" w:eastAsia="Calibri" w:hAnsi="Times New Roman" w:cs="Times New Roman"/>
          <w:b/>
          <w:bCs/>
        </w:rPr>
        <w:t>4.</w:t>
      </w:r>
      <w:r w:rsidRPr="00705102">
        <w:rPr>
          <w:rFonts w:ascii="Times New Roman" w:eastAsia="Calibri" w:hAnsi="Times New Roman" w:cs="Times New Roman"/>
          <w:b/>
          <w:bCs/>
        </w:rPr>
        <w:tab/>
        <w:t>Structural Shift in Nigeria’s Tax Revenues: A Comparative Analysis of Pre and Post 2013 Tax Reform in Nigeria.</w:t>
      </w:r>
    </w:p>
    <w:p w14:paraId="142D60C9" w14:textId="124AADF9" w:rsidR="00705102" w:rsidRPr="00705102" w:rsidRDefault="00705102" w:rsidP="00705102">
      <w:pPr>
        <w:spacing w:after="0" w:line="240" w:lineRule="auto"/>
        <w:ind w:firstLine="720"/>
        <w:rPr>
          <w:rFonts w:ascii="Times New Roman" w:eastAsia="Calibri" w:hAnsi="Times New Roman" w:cs="Times New Roman"/>
        </w:rPr>
      </w:pPr>
      <w:proofErr w:type="spellStart"/>
      <w:r w:rsidRPr="00705102">
        <w:rPr>
          <w:rFonts w:ascii="Times New Roman" w:eastAsia="Calibri" w:hAnsi="Times New Roman" w:cs="Times New Roman"/>
        </w:rPr>
        <w:t>Nwokoma</w:t>
      </w:r>
      <w:proofErr w:type="spellEnd"/>
      <w:r w:rsidRPr="00705102">
        <w:rPr>
          <w:rFonts w:ascii="Times New Roman" w:eastAsia="Calibri" w:hAnsi="Times New Roman" w:cs="Times New Roman"/>
        </w:rPr>
        <w:t xml:space="preserve">, Okechukwu, </w:t>
      </w:r>
      <w:proofErr w:type="spellStart"/>
      <w:r w:rsidRPr="00705102">
        <w:rPr>
          <w:rFonts w:ascii="Times New Roman" w:eastAsia="Calibri" w:hAnsi="Times New Roman" w:cs="Times New Roman"/>
        </w:rPr>
        <w:t>Ifionu</w:t>
      </w:r>
      <w:proofErr w:type="spellEnd"/>
      <w:r w:rsidRPr="00705102">
        <w:rPr>
          <w:rFonts w:ascii="Times New Roman" w:eastAsia="Calibri" w:hAnsi="Times New Roman" w:cs="Times New Roman"/>
        </w:rPr>
        <w:t>, Ebele Patricia</w:t>
      </w:r>
      <w:r>
        <w:rPr>
          <w:rFonts w:ascii="Times New Roman" w:eastAsia="Calibri" w:hAnsi="Times New Roman" w:cs="Times New Roman"/>
        </w:rPr>
        <w:t xml:space="preserve"> </w:t>
      </w:r>
      <w:r>
        <w:rPr>
          <w:rFonts w:ascii="Times New Roman" w:eastAsia="Calibri" w:hAnsi="Times New Roman" w:cs="Times New Roman"/>
          <w:bCs/>
        </w:rPr>
        <w:t>(PhD)</w:t>
      </w:r>
      <w:r w:rsidRPr="00705102">
        <w:rPr>
          <w:rFonts w:ascii="Times New Roman" w:eastAsia="Calibri" w:hAnsi="Times New Roman" w:cs="Times New Roman"/>
        </w:rPr>
        <w:t xml:space="preserve"> &amp; </w:t>
      </w:r>
      <w:proofErr w:type="spellStart"/>
      <w:r w:rsidRPr="00705102">
        <w:rPr>
          <w:rFonts w:ascii="Times New Roman" w:eastAsia="Calibri" w:hAnsi="Times New Roman" w:cs="Times New Roman"/>
        </w:rPr>
        <w:t>Omojefe</w:t>
      </w:r>
      <w:proofErr w:type="spellEnd"/>
      <w:r w:rsidRPr="00705102">
        <w:rPr>
          <w:rFonts w:ascii="Times New Roman" w:eastAsia="Calibri" w:hAnsi="Times New Roman" w:cs="Times New Roman"/>
        </w:rPr>
        <w:t>, Godfrey O.</w:t>
      </w:r>
      <w:r>
        <w:rPr>
          <w:rFonts w:ascii="Times New Roman" w:eastAsia="Calibri" w:hAnsi="Times New Roman" w:cs="Times New Roman"/>
        </w:rPr>
        <w:t xml:space="preserve"> </w:t>
      </w:r>
      <w:r>
        <w:rPr>
          <w:rFonts w:ascii="Times New Roman" w:eastAsia="Calibri" w:hAnsi="Times New Roman" w:cs="Times New Roman"/>
          <w:bCs/>
        </w:rPr>
        <w:t>(PhD)</w:t>
      </w:r>
    </w:p>
    <w:p w14:paraId="2BE6BEEF" w14:textId="77777777" w:rsidR="00705102" w:rsidRPr="00705102" w:rsidRDefault="00705102" w:rsidP="00705102">
      <w:pPr>
        <w:spacing w:after="0" w:line="240" w:lineRule="auto"/>
        <w:jc w:val="center"/>
        <w:rPr>
          <w:rFonts w:ascii="Times New Roman" w:eastAsia="Calibri" w:hAnsi="Times New Roman" w:cs="Times New Roman"/>
          <w:b/>
          <w:bCs/>
        </w:rPr>
      </w:pPr>
    </w:p>
    <w:p w14:paraId="4E37AE57" w14:textId="41E1B8CE" w:rsidR="00705102" w:rsidRPr="00705102" w:rsidRDefault="00705102" w:rsidP="00705102">
      <w:pPr>
        <w:spacing w:after="0" w:line="240" w:lineRule="auto"/>
        <w:rPr>
          <w:rFonts w:ascii="Times New Roman" w:eastAsia="Calibri" w:hAnsi="Times New Roman" w:cs="Times New Roman"/>
          <w:b/>
          <w:bCs/>
          <w14:ligatures w14:val="none"/>
        </w:rPr>
      </w:pPr>
      <w:r w:rsidRPr="00705102">
        <w:rPr>
          <w:rFonts w:ascii="Times New Roman" w:eastAsia="Calibri" w:hAnsi="Times New Roman" w:cs="Times New Roman"/>
          <w:b/>
          <w14:ligatures w14:val="none"/>
        </w:rPr>
        <w:t>5.</w:t>
      </w:r>
      <w:r w:rsidRPr="00705102">
        <w:rPr>
          <w:rFonts w:ascii="Times New Roman" w:eastAsia="Calibri" w:hAnsi="Times New Roman" w:cs="Times New Roman"/>
          <w:b/>
          <w14:ligatures w14:val="none"/>
        </w:rPr>
        <w:tab/>
        <w:t xml:space="preserve">Digital Payment </w:t>
      </w:r>
      <w:r w:rsidRPr="00705102">
        <w:rPr>
          <w:rFonts w:ascii="Times New Roman" w:eastAsia="Calibri" w:hAnsi="Times New Roman" w:cs="Times New Roman"/>
          <w:b/>
          <w:bCs/>
          <w14:ligatures w14:val="none"/>
        </w:rPr>
        <w:t xml:space="preserve">and </w:t>
      </w:r>
      <w:r w:rsidRPr="00705102">
        <w:rPr>
          <w:rFonts w:ascii="Times New Roman" w:eastAsia="Calibri" w:hAnsi="Times New Roman" w:cs="Times New Roman"/>
          <w:b/>
          <w14:ligatures w14:val="none"/>
        </w:rPr>
        <w:t>Financial Inclusion</w:t>
      </w:r>
      <w:r w:rsidRPr="00705102">
        <w:rPr>
          <w:rFonts w:ascii="Times New Roman" w:eastAsia="Calibri" w:hAnsi="Times New Roman" w:cs="Times New Roman"/>
          <w:b/>
          <w:bCs/>
          <w14:ligatures w14:val="none"/>
        </w:rPr>
        <w:t xml:space="preserve"> in Nigeria</w:t>
      </w:r>
      <w:r w:rsidRPr="00705102">
        <w:rPr>
          <w:rFonts w:ascii="Times New Roman" w:eastAsia="Calibri" w:hAnsi="Times New Roman" w:cs="Times New Roman"/>
          <w:b/>
          <w14:ligatures w14:val="none"/>
        </w:rPr>
        <w:t xml:space="preserve"> Commercial Banks  </w:t>
      </w:r>
    </w:p>
    <w:p w14:paraId="49281F70" w14:textId="77777777" w:rsidR="00705102" w:rsidRPr="00705102" w:rsidRDefault="00705102" w:rsidP="00705102">
      <w:pPr>
        <w:spacing w:line="240" w:lineRule="auto"/>
        <w:ind w:firstLine="720"/>
        <w:rPr>
          <w:rFonts w:ascii="Times New Roman" w:eastAsia="Calibri" w:hAnsi="Times New Roman" w:cs="Times New Roman"/>
          <w:b/>
          <w:bCs/>
          <w14:ligatures w14:val="none"/>
        </w:rPr>
      </w:pPr>
      <w:proofErr w:type="spellStart"/>
      <w:r w:rsidRPr="00705102">
        <w:rPr>
          <w:rFonts w:ascii="Times New Roman" w:eastAsia="Calibri" w:hAnsi="Times New Roman" w:cs="Times New Roman"/>
          <w:bCs/>
          <w14:ligatures w14:val="none"/>
        </w:rPr>
        <w:t>Akpokerere</w:t>
      </w:r>
      <w:proofErr w:type="spellEnd"/>
      <w:r w:rsidRPr="00705102">
        <w:rPr>
          <w:rFonts w:ascii="Times New Roman" w:eastAsia="Calibri" w:hAnsi="Times New Roman" w:cs="Times New Roman"/>
          <w:bCs/>
          <w14:ligatures w14:val="none"/>
        </w:rPr>
        <w:t xml:space="preserve"> </w:t>
      </w:r>
      <w:proofErr w:type="spellStart"/>
      <w:r w:rsidRPr="00705102">
        <w:rPr>
          <w:rFonts w:ascii="Times New Roman" w:eastAsia="Calibri" w:hAnsi="Times New Roman" w:cs="Times New Roman"/>
          <w:bCs/>
          <w14:ligatures w14:val="none"/>
        </w:rPr>
        <w:t>Othuke</w:t>
      </w:r>
      <w:proofErr w:type="spellEnd"/>
      <w:r w:rsidRPr="00705102">
        <w:rPr>
          <w:rFonts w:ascii="Times New Roman" w:eastAsia="Calibri" w:hAnsi="Times New Roman" w:cs="Times New Roman"/>
          <w:bCs/>
          <w14:ligatures w14:val="none"/>
        </w:rPr>
        <w:t xml:space="preserve"> Emmanuel (</w:t>
      </w:r>
      <w:proofErr w:type="spellStart"/>
      <w:proofErr w:type="gramStart"/>
      <w:r w:rsidRPr="00705102">
        <w:rPr>
          <w:rFonts w:ascii="Times New Roman" w:eastAsia="Calibri" w:hAnsi="Times New Roman" w:cs="Times New Roman"/>
          <w:bCs/>
          <w14:ligatures w14:val="none"/>
        </w:rPr>
        <w:t>Ph.D</w:t>
      </w:r>
      <w:proofErr w:type="spellEnd"/>
      <w:proofErr w:type="gramEnd"/>
      <w:r w:rsidRPr="00705102">
        <w:rPr>
          <w:rFonts w:ascii="Times New Roman" w:eastAsia="Calibri" w:hAnsi="Times New Roman" w:cs="Times New Roman"/>
          <w:bCs/>
          <w14:ligatures w14:val="none"/>
        </w:rPr>
        <w:t>)</w:t>
      </w:r>
    </w:p>
    <w:p w14:paraId="234AF1BE" w14:textId="2AF98C4B" w:rsidR="00705102" w:rsidRPr="00705102" w:rsidRDefault="00705102" w:rsidP="00705102">
      <w:pPr>
        <w:spacing w:after="0" w:line="240" w:lineRule="auto"/>
        <w:ind w:left="720" w:hanging="720"/>
        <w:rPr>
          <w:rFonts w:ascii="Times New Roman" w:eastAsia="Calibri" w:hAnsi="Times New Roman" w:cs="Times New Roman"/>
          <w:b/>
          <w:kern w:val="0"/>
          <w14:ligatures w14:val="none"/>
        </w:rPr>
      </w:pPr>
      <w:r w:rsidRPr="00705102">
        <w:rPr>
          <w:rFonts w:ascii="Times New Roman" w:eastAsia="Calibri" w:hAnsi="Times New Roman" w:cs="Times New Roman"/>
          <w:b/>
          <w:kern w:val="0"/>
          <w14:ligatures w14:val="none"/>
        </w:rPr>
        <w:t>6.</w:t>
      </w:r>
      <w:r w:rsidRPr="00705102">
        <w:rPr>
          <w:rFonts w:ascii="Times New Roman" w:eastAsia="Calibri" w:hAnsi="Times New Roman" w:cs="Times New Roman"/>
          <w:b/>
          <w:kern w:val="0"/>
          <w14:ligatures w14:val="none"/>
        </w:rPr>
        <w:tab/>
        <w:t>Empirical Investigation of the Nexus between Financial Technology and Financial Service Usage in Nigeria</w:t>
      </w:r>
    </w:p>
    <w:p w14:paraId="0D28C8A3" w14:textId="77777777" w:rsidR="00705102" w:rsidRPr="00705102" w:rsidRDefault="00705102" w:rsidP="00705102">
      <w:pPr>
        <w:spacing w:after="0" w:line="240" w:lineRule="auto"/>
        <w:ind w:firstLine="720"/>
        <w:rPr>
          <w:rFonts w:ascii="Times New Roman" w:hAnsi="Times New Roman" w:cs="Times New Roman"/>
          <w:bCs/>
        </w:rPr>
      </w:pPr>
      <w:r w:rsidRPr="00705102">
        <w:rPr>
          <w:rFonts w:ascii="Times New Roman" w:eastAsia="Calibri" w:hAnsi="Times New Roman" w:cs="Times New Roman"/>
          <w:bCs/>
          <w:kern w:val="0"/>
          <w14:ligatures w14:val="none"/>
        </w:rPr>
        <w:t xml:space="preserve">Dr. Bob-Manuel, Grace Boma &amp; Dr </w:t>
      </w:r>
      <w:proofErr w:type="spellStart"/>
      <w:r w:rsidRPr="00705102">
        <w:rPr>
          <w:rFonts w:ascii="Times New Roman" w:eastAsia="Calibri" w:hAnsi="Times New Roman" w:cs="Times New Roman"/>
          <w:bCs/>
          <w:kern w:val="0"/>
          <w14:ligatures w14:val="none"/>
        </w:rPr>
        <w:t>Ibebi</w:t>
      </w:r>
      <w:proofErr w:type="spellEnd"/>
      <w:r w:rsidRPr="00705102">
        <w:rPr>
          <w:rFonts w:ascii="Times New Roman" w:eastAsia="Calibri" w:hAnsi="Times New Roman" w:cs="Times New Roman"/>
          <w:bCs/>
          <w:kern w:val="0"/>
          <w14:ligatures w14:val="none"/>
        </w:rPr>
        <w:t xml:space="preserve"> Charles </w:t>
      </w:r>
    </w:p>
    <w:p w14:paraId="70A5DB0C" w14:textId="77777777" w:rsidR="00705102" w:rsidRPr="00705102" w:rsidRDefault="00705102" w:rsidP="00705102">
      <w:pPr>
        <w:spacing w:after="0" w:line="240" w:lineRule="auto"/>
        <w:rPr>
          <w:rFonts w:ascii="Times New Roman" w:hAnsi="Times New Roman" w:cs="Times New Roman"/>
          <w:b/>
          <w:bCs/>
        </w:rPr>
      </w:pPr>
    </w:p>
    <w:p w14:paraId="25D1404A" w14:textId="6BAD8311" w:rsidR="00705102" w:rsidRPr="00705102" w:rsidRDefault="00705102" w:rsidP="00705102">
      <w:pPr>
        <w:spacing w:after="0" w:line="240" w:lineRule="auto"/>
        <w:rPr>
          <w:rFonts w:ascii="Times New Roman" w:hAnsi="Times New Roman" w:cs="Times New Roman"/>
          <w:b/>
          <w:bCs/>
        </w:rPr>
      </w:pPr>
      <w:r w:rsidRPr="00705102">
        <w:rPr>
          <w:rFonts w:ascii="Times New Roman" w:hAnsi="Times New Roman" w:cs="Times New Roman"/>
          <w:b/>
          <w:bCs/>
        </w:rPr>
        <w:t>7.</w:t>
      </w:r>
      <w:r w:rsidRPr="00705102">
        <w:rPr>
          <w:rFonts w:ascii="Times New Roman" w:hAnsi="Times New Roman" w:cs="Times New Roman"/>
          <w:b/>
          <w:bCs/>
        </w:rPr>
        <w:tab/>
        <w:t>Public Debt and Performance of Agricultural Sector in Nigeria</w:t>
      </w:r>
    </w:p>
    <w:p w14:paraId="679C2422" w14:textId="623BDD35" w:rsidR="00705102" w:rsidRPr="00705102" w:rsidRDefault="00705102" w:rsidP="00705102">
      <w:pPr>
        <w:spacing w:line="240" w:lineRule="auto"/>
        <w:ind w:left="720"/>
        <w:rPr>
          <w:rFonts w:ascii="Times New Roman" w:hAnsi="Times New Roman" w:cs="Times New Roman"/>
          <w:bCs/>
        </w:rPr>
      </w:pPr>
      <w:r w:rsidRPr="00705102">
        <w:rPr>
          <w:rFonts w:ascii="Times New Roman" w:hAnsi="Times New Roman" w:cs="Times New Roman"/>
          <w:bCs/>
          <w:lang w:val="en-GB"/>
        </w:rPr>
        <w:t xml:space="preserve">Babatunde Olaniyi MORAKINYO, </w:t>
      </w:r>
      <w:r w:rsidRPr="00705102">
        <w:rPr>
          <w:rFonts w:ascii="Times New Roman" w:eastAsia="Calibri" w:hAnsi="Times New Roman" w:cs="Times New Roman"/>
          <w:bCs/>
        </w:rPr>
        <w:t>Ebele Patricia IFIONU</w:t>
      </w:r>
      <w:r>
        <w:rPr>
          <w:rFonts w:ascii="Times New Roman" w:eastAsia="Calibri" w:hAnsi="Times New Roman" w:cs="Times New Roman"/>
          <w:bCs/>
        </w:rPr>
        <w:t xml:space="preserve"> (PhD)</w:t>
      </w:r>
      <w:r w:rsidRPr="00705102">
        <w:rPr>
          <w:rFonts w:ascii="Times New Roman" w:eastAsia="Calibri" w:hAnsi="Times New Roman" w:cs="Times New Roman"/>
          <w:bCs/>
        </w:rPr>
        <w:t xml:space="preserve"> &amp; Godfrey O. OMOJEFE</w:t>
      </w:r>
      <w:r>
        <w:rPr>
          <w:rFonts w:ascii="Times New Roman" w:eastAsia="Calibri" w:hAnsi="Times New Roman" w:cs="Times New Roman"/>
          <w:bCs/>
        </w:rPr>
        <w:t xml:space="preserve"> (PhD)</w:t>
      </w:r>
    </w:p>
    <w:p w14:paraId="6C23109A" w14:textId="7A49FF89" w:rsidR="00705102" w:rsidRPr="00705102" w:rsidRDefault="00705102" w:rsidP="00705102">
      <w:pPr>
        <w:spacing w:after="0" w:line="240" w:lineRule="auto"/>
        <w:rPr>
          <w:rFonts w:ascii="Times New Roman" w:hAnsi="Times New Roman" w:cs="Times New Roman"/>
          <w:b/>
          <w:bCs/>
        </w:rPr>
      </w:pPr>
      <w:r w:rsidRPr="00705102">
        <w:rPr>
          <w:rFonts w:ascii="Times New Roman" w:hAnsi="Times New Roman" w:cs="Times New Roman"/>
          <w:b/>
          <w:bCs/>
        </w:rPr>
        <w:lastRenderedPageBreak/>
        <w:t>8.</w:t>
      </w:r>
      <w:r w:rsidRPr="00705102">
        <w:rPr>
          <w:rFonts w:ascii="Times New Roman" w:hAnsi="Times New Roman" w:cs="Times New Roman"/>
          <w:b/>
          <w:bCs/>
        </w:rPr>
        <w:tab/>
        <w:t>Public Debt and Performance of Industrial Sector in Nigeria</w:t>
      </w:r>
    </w:p>
    <w:p w14:paraId="1840E580" w14:textId="3873C227" w:rsidR="00705102" w:rsidRPr="00705102" w:rsidRDefault="00705102" w:rsidP="00705102">
      <w:pPr>
        <w:spacing w:line="276" w:lineRule="auto"/>
        <w:ind w:left="720"/>
        <w:rPr>
          <w:rFonts w:ascii="Times New Roman" w:eastAsia="Calibri" w:hAnsi="Times New Roman" w:cs="Times New Roman"/>
          <w:bCs/>
        </w:rPr>
      </w:pPr>
      <w:r w:rsidRPr="00705102">
        <w:rPr>
          <w:rFonts w:ascii="Times New Roman" w:hAnsi="Times New Roman" w:cs="Times New Roman"/>
          <w:bCs/>
          <w:lang w:val="en-GB"/>
        </w:rPr>
        <w:t xml:space="preserve">Babatunde Olaniyi MORAKINYO, </w:t>
      </w:r>
      <w:r w:rsidRPr="00705102">
        <w:rPr>
          <w:rFonts w:ascii="Times New Roman" w:eastAsia="Calibri" w:hAnsi="Times New Roman" w:cs="Times New Roman"/>
          <w:bCs/>
        </w:rPr>
        <w:t>Ebele Patricia IFIONU</w:t>
      </w:r>
      <w:r>
        <w:rPr>
          <w:rFonts w:ascii="Times New Roman" w:eastAsia="Calibri" w:hAnsi="Times New Roman" w:cs="Times New Roman"/>
          <w:bCs/>
        </w:rPr>
        <w:t xml:space="preserve"> (PhD)</w:t>
      </w:r>
      <w:r w:rsidRPr="00705102">
        <w:rPr>
          <w:rFonts w:ascii="Times New Roman" w:eastAsia="Calibri" w:hAnsi="Times New Roman" w:cs="Times New Roman"/>
          <w:bCs/>
        </w:rPr>
        <w:t xml:space="preserve"> &amp; Godfrey O. OMOJEFE</w:t>
      </w:r>
      <w:r>
        <w:rPr>
          <w:rFonts w:ascii="Times New Roman" w:eastAsia="Calibri" w:hAnsi="Times New Roman" w:cs="Times New Roman"/>
          <w:bCs/>
        </w:rPr>
        <w:t xml:space="preserve"> (PhD)</w:t>
      </w:r>
    </w:p>
    <w:p w14:paraId="0CB1153A" w14:textId="00232ABC" w:rsidR="00705102" w:rsidRPr="00705102" w:rsidRDefault="00705102" w:rsidP="00705102">
      <w:pPr>
        <w:spacing w:after="0" w:line="240" w:lineRule="auto"/>
        <w:ind w:left="720" w:hanging="720"/>
        <w:outlineLvl w:val="0"/>
        <w:rPr>
          <w:rFonts w:ascii="Times New Roman" w:eastAsia="Times New Roman" w:hAnsi="Times New Roman" w:cs="Times New Roman"/>
          <w:b/>
          <w:kern w:val="0"/>
          <w14:ligatures w14:val="none"/>
        </w:rPr>
      </w:pPr>
      <w:r w:rsidRPr="00705102">
        <w:rPr>
          <w:rFonts w:ascii="Times New Roman" w:eastAsia="Times New Roman" w:hAnsi="Times New Roman" w:cs="Times New Roman"/>
          <w:b/>
          <w:kern w:val="0"/>
          <w14:ligatures w14:val="none"/>
        </w:rPr>
        <w:t>9.</w:t>
      </w:r>
      <w:r w:rsidRPr="00705102">
        <w:rPr>
          <w:rFonts w:ascii="Times New Roman" w:eastAsia="Times New Roman" w:hAnsi="Times New Roman" w:cs="Times New Roman"/>
          <w:b/>
          <w:kern w:val="0"/>
          <w14:ligatures w14:val="none"/>
        </w:rPr>
        <w:tab/>
        <w:t>Regulatory Challenges in the Adoption of Blockchain in Financial Institutions in Nigeria (2015 - 2024)</w:t>
      </w:r>
    </w:p>
    <w:p w14:paraId="00880E9E" w14:textId="3E24BD1D" w:rsidR="00705102" w:rsidRPr="00705102" w:rsidRDefault="00705102" w:rsidP="00705102">
      <w:pPr>
        <w:spacing w:after="0" w:line="240" w:lineRule="auto"/>
        <w:ind w:firstLine="720"/>
        <w:outlineLvl w:val="0"/>
        <w:rPr>
          <w:rFonts w:ascii="Times New Roman" w:eastAsia="Calibri" w:hAnsi="Times New Roman" w:cs="Times New Roman"/>
          <w:bCs/>
          <w:kern w:val="0"/>
          <w14:ligatures w14:val="none"/>
        </w:rPr>
      </w:pPr>
      <w:r w:rsidRPr="00705102">
        <w:rPr>
          <w:rFonts w:ascii="Times New Roman" w:eastAsia="Times New Roman" w:hAnsi="Times New Roman" w:cs="Times New Roman"/>
          <w:bCs/>
          <w:kern w:val="0"/>
          <w14:ligatures w14:val="none"/>
        </w:rPr>
        <w:t xml:space="preserve">Ibrahim Mohammed Babbuli (PhD) &amp; </w:t>
      </w:r>
      <w:r w:rsidRPr="00705102">
        <w:rPr>
          <w:rFonts w:ascii="Times New Roman" w:eastAsia="Calibri" w:hAnsi="Times New Roman" w:cs="Times New Roman"/>
          <w:bCs/>
          <w:kern w:val="0"/>
          <w14:ligatures w14:val="none"/>
        </w:rPr>
        <w:t>Abdulaziz Ahmed Elwan</w:t>
      </w:r>
    </w:p>
    <w:p w14:paraId="7EA56DE1" w14:textId="3E5B464B" w:rsidR="00705102" w:rsidRPr="00705102" w:rsidRDefault="00705102" w:rsidP="00705102">
      <w:pPr>
        <w:spacing w:before="240" w:after="0" w:line="259" w:lineRule="auto"/>
        <w:ind w:left="720" w:hanging="720"/>
        <w:rPr>
          <w:rFonts w:ascii="Times New Roman" w:eastAsia="Calibri" w:hAnsi="Times New Roman" w:cs="Times New Roman"/>
          <w:b/>
          <w:kern w:val="0"/>
          <w:lang w:val="en-GB"/>
          <w14:ligatures w14:val="none"/>
        </w:rPr>
      </w:pPr>
      <w:r w:rsidRPr="00705102">
        <w:rPr>
          <w:rFonts w:ascii="Times New Roman" w:eastAsia="Calibri" w:hAnsi="Times New Roman" w:cs="Times New Roman"/>
          <w:b/>
          <w:kern w:val="0"/>
          <w:lang w:val="en-GB"/>
          <w14:ligatures w14:val="none"/>
        </w:rPr>
        <w:t>10.</w:t>
      </w:r>
      <w:r w:rsidRPr="00705102">
        <w:rPr>
          <w:rFonts w:ascii="Times New Roman" w:eastAsia="Calibri" w:hAnsi="Times New Roman" w:cs="Times New Roman"/>
          <w:b/>
          <w:kern w:val="0"/>
          <w:lang w:val="en-GB"/>
          <w14:ligatures w14:val="none"/>
        </w:rPr>
        <w:tab/>
        <w:t>Financial Technology (Fintech) Innovation and Financial Inclusion in Nigeria: A post‑Covid‑19 pandemic analysis</w:t>
      </w:r>
    </w:p>
    <w:p w14:paraId="2B755092" w14:textId="27C37D87" w:rsidR="00705102" w:rsidRPr="001860A9" w:rsidRDefault="00705102" w:rsidP="00705102">
      <w:pPr>
        <w:spacing w:after="0" w:line="259" w:lineRule="auto"/>
        <w:ind w:left="720"/>
        <w:rPr>
          <w:rFonts w:ascii="Times New Roman" w:eastAsia="Calibri" w:hAnsi="Times New Roman" w:cs="Times New Roman"/>
          <w:b/>
          <w:kern w:val="0"/>
          <w:lang w:val="en-GB"/>
          <w14:ligatures w14:val="none"/>
        </w:rPr>
      </w:pPr>
      <w:r w:rsidRPr="00705102">
        <w:rPr>
          <w:rFonts w:ascii="Times New Roman" w:eastAsia="Calibri" w:hAnsi="Times New Roman" w:cs="Times New Roman"/>
          <w:kern w:val="0"/>
          <w:lang w:val="en-GB"/>
          <w14:ligatures w14:val="none"/>
        </w:rPr>
        <w:t xml:space="preserve">Nkiru Patricia </w:t>
      </w:r>
      <w:proofErr w:type="spellStart"/>
      <w:r w:rsidRPr="00705102">
        <w:rPr>
          <w:rFonts w:ascii="Times New Roman" w:eastAsia="Calibri" w:hAnsi="Times New Roman" w:cs="Times New Roman"/>
          <w:kern w:val="0"/>
          <w:lang w:val="en-GB"/>
          <w14:ligatures w14:val="none"/>
        </w:rPr>
        <w:t>Chude</w:t>
      </w:r>
      <w:proofErr w:type="spellEnd"/>
      <w:r w:rsidRPr="00705102">
        <w:rPr>
          <w:rFonts w:ascii="Times New Roman" w:eastAsia="Calibri" w:hAnsi="Times New Roman" w:cs="Times New Roman"/>
          <w:kern w:val="0"/>
          <w:lang w:val="en-GB"/>
          <w14:ligatures w14:val="none"/>
        </w:rPr>
        <w:t xml:space="preserve"> (PhD),</w:t>
      </w:r>
      <w:r w:rsidRPr="00705102">
        <w:rPr>
          <w:rFonts w:ascii="Times New Roman" w:eastAsia="Calibri" w:hAnsi="Times New Roman" w:cs="Times New Roman"/>
          <w:kern w:val="0"/>
          <w:vertAlign w:val="superscript"/>
          <w:lang w:val="en-GB"/>
          <w14:ligatures w14:val="none"/>
        </w:rPr>
        <w:t xml:space="preserve"> </w:t>
      </w:r>
      <w:r w:rsidRPr="00705102">
        <w:rPr>
          <w:rFonts w:ascii="Times New Roman" w:eastAsia="Calibri" w:hAnsi="Times New Roman" w:cs="Times New Roman"/>
          <w:kern w:val="0"/>
          <w:lang w:val="en-GB"/>
          <w14:ligatures w14:val="none"/>
        </w:rPr>
        <w:t>Edith Nkiruka Mazeli (PhD) &amp; Daniel Izuchukwu Chude</w:t>
      </w:r>
      <w:r w:rsidR="00C67A48">
        <w:rPr>
          <w:rFonts w:ascii="Times New Roman" w:eastAsia="Calibri" w:hAnsi="Times New Roman" w:cs="Times New Roman"/>
          <w:kern w:val="0"/>
          <w:lang w:val="en-GB"/>
          <w14:ligatures w14:val="none"/>
        </w:rPr>
        <w:t xml:space="preserve"> </w:t>
      </w:r>
      <w:r w:rsidRPr="00705102">
        <w:rPr>
          <w:rFonts w:ascii="Times New Roman" w:eastAsia="Calibri" w:hAnsi="Times New Roman" w:cs="Times New Roman"/>
          <w:kern w:val="0"/>
          <w:lang w:val="en-GB"/>
          <w14:ligatures w14:val="none"/>
        </w:rPr>
        <w:t>(PhD)</w:t>
      </w:r>
    </w:p>
    <w:p w14:paraId="2B369834" w14:textId="77777777" w:rsidR="00C67A48" w:rsidRDefault="00C67A48" w:rsidP="00C67A48">
      <w:pPr>
        <w:spacing w:after="0" w:line="240" w:lineRule="auto"/>
        <w:jc w:val="both"/>
        <w:rPr>
          <w:rFonts w:ascii="Times New Roman" w:hAnsi="Times New Roman" w:cs="Times New Roman"/>
          <w:b/>
          <w:bCs/>
        </w:rPr>
      </w:pPr>
    </w:p>
    <w:p w14:paraId="2619F2DB" w14:textId="77777777" w:rsidR="00280939" w:rsidRDefault="00280939" w:rsidP="00C67A48">
      <w:pPr>
        <w:spacing w:after="0" w:line="240" w:lineRule="auto"/>
        <w:jc w:val="both"/>
        <w:rPr>
          <w:rFonts w:ascii="Times New Roman" w:hAnsi="Times New Roman" w:cs="Times New Roman"/>
          <w:b/>
          <w:bCs/>
        </w:rPr>
      </w:pPr>
    </w:p>
    <w:p w14:paraId="0C3DCA08" w14:textId="6BA4A34F" w:rsidR="00C67A48" w:rsidRPr="001860A9" w:rsidRDefault="00C67A48" w:rsidP="00C67A48">
      <w:pPr>
        <w:spacing w:after="0" w:line="240" w:lineRule="auto"/>
        <w:jc w:val="both"/>
        <w:rPr>
          <w:rFonts w:ascii="Times New Roman" w:hAnsi="Times New Roman" w:cs="Times New Roman"/>
          <w:b/>
          <w:bCs/>
        </w:rPr>
      </w:pPr>
      <w:r w:rsidRPr="001860A9">
        <w:rPr>
          <w:rFonts w:ascii="Times New Roman" w:hAnsi="Times New Roman" w:cs="Times New Roman"/>
          <w:b/>
          <w:bCs/>
        </w:rPr>
        <w:t>PART THREE: HOSPITALITY AND TOURISM MANAGEMENT</w:t>
      </w:r>
    </w:p>
    <w:p w14:paraId="397C3D85" w14:textId="77777777" w:rsidR="00C67A48" w:rsidRPr="00DF4E1A" w:rsidRDefault="00C67A48" w:rsidP="00C67A48">
      <w:pPr>
        <w:spacing w:after="0" w:line="240" w:lineRule="auto"/>
        <w:jc w:val="both"/>
        <w:rPr>
          <w:rFonts w:ascii="Times New Roman" w:hAnsi="Times New Roman" w:cs="Times New Roman"/>
          <w:b/>
          <w:bCs/>
          <w:sz w:val="36"/>
          <w:szCs w:val="36"/>
        </w:rPr>
      </w:pPr>
    </w:p>
    <w:p w14:paraId="6E50DC06" w14:textId="34553DD6" w:rsidR="00C67A48" w:rsidRPr="00C67A48" w:rsidRDefault="00C67A48" w:rsidP="00C67A48">
      <w:pPr>
        <w:spacing w:after="0" w:line="240" w:lineRule="auto"/>
        <w:jc w:val="both"/>
        <w:rPr>
          <w:rFonts w:ascii="Times New Roman" w:eastAsia="Calibri" w:hAnsi="Times New Roman" w:cs="Times New Roman"/>
          <w:b/>
          <w:bCs/>
          <w:kern w:val="0"/>
          <w14:ligatures w14:val="none"/>
        </w:rPr>
      </w:pPr>
      <w:r w:rsidRPr="00C67A48">
        <w:rPr>
          <w:rFonts w:ascii="Times New Roman" w:eastAsia="Calibri" w:hAnsi="Times New Roman" w:cs="Times New Roman"/>
          <w:b/>
          <w:bCs/>
          <w:kern w:val="0"/>
          <w14:ligatures w14:val="none"/>
        </w:rPr>
        <w:t>1.</w:t>
      </w:r>
      <w:r>
        <w:rPr>
          <w:rFonts w:ascii="Times New Roman" w:eastAsia="Calibri" w:hAnsi="Times New Roman" w:cs="Times New Roman"/>
          <w:b/>
          <w:bCs/>
          <w:kern w:val="0"/>
          <w14:ligatures w14:val="none"/>
        </w:rPr>
        <w:tab/>
      </w:r>
      <w:r w:rsidRPr="00C67A48">
        <w:rPr>
          <w:rFonts w:ascii="Times New Roman" w:eastAsia="Calibri" w:hAnsi="Times New Roman" w:cs="Times New Roman"/>
          <w:b/>
          <w:bCs/>
          <w:kern w:val="0"/>
          <w14:ligatures w14:val="none"/>
        </w:rPr>
        <w:t>Lean Operations and Quality Service Delivery of Hotels in Rivers State</w:t>
      </w:r>
    </w:p>
    <w:p w14:paraId="2F15C1AD" w14:textId="77777777" w:rsidR="00C67A48" w:rsidRPr="00482A85" w:rsidRDefault="00C67A48" w:rsidP="00C67A48">
      <w:pPr>
        <w:suppressAutoHyphens/>
        <w:spacing w:after="0" w:line="240" w:lineRule="auto"/>
        <w:ind w:firstLine="720"/>
        <w:jc w:val="both"/>
        <w:rPr>
          <w:rFonts w:ascii="Times New Roman" w:eastAsia="Calibri" w:hAnsi="Times New Roman" w:cs="Times New Roman"/>
          <w:kern w:val="0"/>
          <w:lang w:val="en-GB"/>
          <w14:ligatures w14:val="none"/>
        </w:rPr>
      </w:pPr>
      <w:r w:rsidRPr="00482A85">
        <w:rPr>
          <w:rFonts w:ascii="Times New Roman" w:eastAsia="Calibri" w:hAnsi="Times New Roman" w:cs="Times New Roman"/>
          <w:kern w:val="0"/>
          <w:lang w:val="en-GB"/>
          <w14:ligatures w14:val="none"/>
        </w:rPr>
        <w:t xml:space="preserve">Daniel, Bethel </w:t>
      </w:r>
      <w:proofErr w:type="spellStart"/>
      <w:r w:rsidRPr="00482A85">
        <w:rPr>
          <w:rFonts w:ascii="Times New Roman" w:eastAsia="Calibri" w:hAnsi="Times New Roman" w:cs="Times New Roman"/>
          <w:kern w:val="0"/>
          <w:lang w:val="en-GB"/>
          <w14:ligatures w14:val="none"/>
        </w:rPr>
        <w:t>Ledornubari</w:t>
      </w:r>
      <w:proofErr w:type="spellEnd"/>
      <w:r w:rsidRPr="00482A85">
        <w:rPr>
          <w:rFonts w:ascii="Times New Roman" w:eastAsia="Calibri" w:hAnsi="Times New Roman" w:cs="Times New Roman"/>
          <w:kern w:val="0"/>
          <w:lang w:val="en-GB"/>
          <w14:ligatures w14:val="none"/>
        </w:rPr>
        <w:t xml:space="preserve"> &amp; </w:t>
      </w:r>
      <w:proofErr w:type="spellStart"/>
      <w:r w:rsidRPr="00482A85">
        <w:rPr>
          <w:rFonts w:ascii="Times New Roman" w:eastAsia="Calibri" w:hAnsi="Times New Roman" w:cs="Times New Roman"/>
          <w:kern w:val="0"/>
          <w:lang w:val="en-GB"/>
          <w14:ligatures w14:val="none"/>
        </w:rPr>
        <w:t>Ndu</w:t>
      </w:r>
      <w:proofErr w:type="spellEnd"/>
      <w:r w:rsidRPr="00482A85">
        <w:rPr>
          <w:rFonts w:ascii="Times New Roman" w:eastAsia="Calibri" w:hAnsi="Times New Roman" w:cs="Times New Roman"/>
          <w:kern w:val="0"/>
          <w:lang w:val="en-GB"/>
          <w14:ligatures w14:val="none"/>
        </w:rPr>
        <w:t>, Eugene Chigozie</w:t>
      </w:r>
    </w:p>
    <w:p w14:paraId="70B3C81C" w14:textId="6EBE12E8" w:rsidR="00C67A48" w:rsidRPr="00DF4E1A" w:rsidRDefault="00C67A48" w:rsidP="00C67A48">
      <w:pPr>
        <w:spacing w:before="100" w:beforeAutospacing="1" w:after="0" w:line="240" w:lineRule="auto"/>
        <w:ind w:left="720" w:hanging="720"/>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Pr>
          <w:rFonts w:ascii="Times New Roman" w:eastAsia="Times New Roman" w:hAnsi="Times New Roman" w:cs="Times New Roman"/>
          <w:b/>
          <w:bCs/>
          <w:kern w:val="0"/>
          <w14:ligatures w14:val="none"/>
        </w:rPr>
        <w:tab/>
      </w:r>
      <w:r w:rsidRPr="00DF4E1A">
        <w:rPr>
          <w:rFonts w:ascii="Times New Roman" w:eastAsia="Times New Roman" w:hAnsi="Times New Roman" w:cs="Times New Roman"/>
          <w:b/>
          <w:bCs/>
          <w:kern w:val="0"/>
          <w14:ligatures w14:val="none"/>
        </w:rPr>
        <w:t xml:space="preserve">The Moderating Effect of Organizational Culture on </w:t>
      </w:r>
      <w:r>
        <w:rPr>
          <w:rFonts w:ascii="Times New Roman" w:eastAsia="Times New Roman" w:hAnsi="Times New Roman" w:cs="Times New Roman"/>
          <w:b/>
          <w:bCs/>
          <w:kern w:val="0"/>
          <w14:ligatures w14:val="none"/>
        </w:rPr>
        <w:t>t</w:t>
      </w:r>
      <w:r w:rsidRPr="00DF4E1A">
        <w:rPr>
          <w:rFonts w:ascii="Times New Roman" w:eastAsia="Times New Roman" w:hAnsi="Times New Roman" w:cs="Times New Roman"/>
          <w:b/>
          <w:bCs/>
          <w:kern w:val="0"/>
          <w14:ligatures w14:val="none"/>
        </w:rPr>
        <w:t>he Relationship Between Lean Operations and Service Quality Delivery</w:t>
      </w:r>
    </w:p>
    <w:p w14:paraId="3C10D834" w14:textId="77777777" w:rsidR="00C67A48" w:rsidRDefault="00C67A48" w:rsidP="00C67A48">
      <w:pPr>
        <w:suppressAutoHyphens/>
        <w:spacing w:after="0" w:line="240" w:lineRule="auto"/>
        <w:ind w:firstLine="720"/>
        <w:jc w:val="both"/>
        <w:rPr>
          <w:rFonts w:ascii="Times New Roman" w:eastAsia="Calibri" w:hAnsi="Times New Roman" w:cs="Times New Roman"/>
          <w:kern w:val="0"/>
          <w:lang w:val="en-GB"/>
          <w14:ligatures w14:val="none"/>
        </w:rPr>
      </w:pPr>
      <w:r w:rsidRPr="00482A85">
        <w:rPr>
          <w:rFonts w:ascii="Times New Roman" w:eastAsia="Calibri" w:hAnsi="Times New Roman" w:cs="Times New Roman"/>
          <w:kern w:val="0"/>
          <w:lang w:val="en-GB"/>
          <w14:ligatures w14:val="none"/>
        </w:rPr>
        <w:t xml:space="preserve">Daniel, Bethel </w:t>
      </w:r>
      <w:proofErr w:type="spellStart"/>
      <w:r w:rsidRPr="00482A85">
        <w:rPr>
          <w:rFonts w:ascii="Times New Roman" w:eastAsia="Calibri" w:hAnsi="Times New Roman" w:cs="Times New Roman"/>
          <w:kern w:val="0"/>
          <w:lang w:val="en-GB"/>
          <w14:ligatures w14:val="none"/>
        </w:rPr>
        <w:t>Ledornubari</w:t>
      </w:r>
      <w:proofErr w:type="spellEnd"/>
      <w:r w:rsidRPr="00482A85">
        <w:rPr>
          <w:rFonts w:ascii="Times New Roman" w:eastAsia="Calibri" w:hAnsi="Times New Roman" w:cs="Times New Roman"/>
          <w:kern w:val="0"/>
          <w:lang w:val="en-GB"/>
          <w14:ligatures w14:val="none"/>
        </w:rPr>
        <w:t xml:space="preserve"> &amp; Prof </w:t>
      </w:r>
      <w:proofErr w:type="spellStart"/>
      <w:r w:rsidRPr="00482A85">
        <w:rPr>
          <w:rFonts w:ascii="Times New Roman" w:eastAsia="Calibri" w:hAnsi="Times New Roman" w:cs="Times New Roman"/>
          <w:kern w:val="0"/>
          <w:lang w:val="en-GB"/>
          <w14:ligatures w14:val="none"/>
        </w:rPr>
        <w:t>Ndu</w:t>
      </w:r>
      <w:proofErr w:type="spellEnd"/>
      <w:r w:rsidRPr="00482A85">
        <w:rPr>
          <w:rFonts w:ascii="Times New Roman" w:eastAsia="Calibri" w:hAnsi="Times New Roman" w:cs="Times New Roman"/>
          <w:kern w:val="0"/>
          <w:lang w:val="en-GB"/>
          <w14:ligatures w14:val="none"/>
        </w:rPr>
        <w:t>, Eugene Chigozie</w:t>
      </w:r>
    </w:p>
    <w:p w14:paraId="3C32E8BD" w14:textId="77777777" w:rsidR="00E30D1B" w:rsidRDefault="00E30D1B" w:rsidP="005F7B2F">
      <w:pPr>
        <w:spacing w:beforeLines="150" w:before="360" w:afterLines="50" w:after="120" w:line="240" w:lineRule="auto"/>
        <w:ind w:left="720" w:hanging="720"/>
        <w:jc w:val="both"/>
        <w:rPr>
          <w:rFonts w:ascii="Times New Roman" w:eastAsia="Times New Roman" w:hAnsi="Times New Roman" w:cs="Times New Roman"/>
          <w:b/>
          <w:bCs/>
          <w:kern w:val="0"/>
          <w14:ligatures w14:val="none"/>
        </w:rPr>
      </w:pPr>
      <w:r w:rsidRPr="00E30D1B">
        <w:rPr>
          <w:rFonts w:ascii="Times New Roman" w:eastAsia="Calibri" w:hAnsi="Times New Roman" w:cs="Times New Roman"/>
          <w:b/>
          <w:bCs/>
          <w:kern w:val="0"/>
          <w:lang w:val="en-GB"/>
          <w14:ligatures w14:val="none"/>
        </w:rPr>
        <w:t>3.</w:t>
      </w:r>
      <w:r>
        <w:rPr>
          <w:rFonts w:ascii="Times New Roman" w:eastAsia="Calibri" w:hAnsi="Times New Roman" w:cs="Times New Roman"/>
          <w:b/>
          <w:bCs/>
          <w:kern w:val="0"/>
          <w:lang w:val="en-GB"/>
          <w14:ligatures w14:val="none"/>
        </w:rPr>
        <w:tab/>
      </w:r>
      <w:r w:rsidRPr="00945CE1">
        <w:rPr>
          <w:rFonts w:ascii="Times New Roman" w:eastAsia="Times New Roman" w:hAnsi="Times New Roman" w:cs="Times New Roman"/>
          <w:b/>
          <w:bCs/>
          <w:kern w:val="0"/>
          <w14:ligatures w14:val="none"/>
        </w:rPr>
        <w:t>Between Pixels and Presence: Virtual Tourism, Cultural Authenticity, And the Nigerian Imperative</w:t>
      </w:r>
    </w:p>
    <w:p w14:paraId="3BCE6BC2" w14:textId="2D9EB282" w:rsidR="00E30D1B" w:rsidRPr="00945CE1" w:rsidRDefault="00E30D1B" w:rsidP="00E30D1B">
      <w:pPr>
        <w:spacing w:beforeLines="150" w:before="360" w:afterLines="50" w:after="120" w:line="240" w:lineRule="auto"/>
        <w:ind w:firstLine="720"/>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kern w:val="0"/>
          <w:sz w:val="28"/>
          <w:szCs w:val="28"/>
          <w14:ligatures w14:val="none"/>
        </w:rPr>
        <w:t>ODOR, CHINENYE BLESSING &amp; OKUNLOLA, KAFILAT ASAKE</w:t>
      </w:r>
    </w:p>
    <w:p w14:paraId="7366B19F" w14:textId="77777777" w:rsidR="00E30D1B" w:rsidRDefault="00E30D1B" w:rsidP="00E30D1B">
      <w:pPr>
        <w:spacing w:afterLines="50" w:after="120" w:line="240" w:lineRule="auto"/>
        <w:ind w:left="720" w:hanging="720"/>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Pr>
          <w:rFonts w:ascii="Times New Roman" w:eastAsia="Times New Roman" w:hAnsi="Times New Roman" w:cs="Times New Roman"/>
          <w:b/>
          <w:bCs/>
          <w:kern w:val="0"/>
          <w14:ligatures w14:val="none"/>
        </w:rPr>
        <w:tab/>
      </w:r>
      <w:r w:rsidRPr="00945CE1">
        <w:rPr>
          <w:rFonts w:ascii="Times New Roman" w:eastAsia="Times New Roman" w:hAnsi="Times New Roman" w:cs="Times New Roman"/>
          <w:b/>
          <w:bCs/>
          <w:kern w:val="0"/>
          <w14:ligatures w14:val="none"/>
        </w:rPr>
        <w:t>From Soil to Soul:</w:t>
      </w:r>
      <w:r>
        <w:rPr>
          <w:rFonts w:ascii="Times New Roman" w:eastAsia="Times New Roman" w:hAnsi="Times New Roman" w:cs="Times New Roman"/>
          <w:b/>
          <w:bCs/>
          <w:kern w:val="0"/>
          <w14:ligatures w14:val="none"/>
        </w:rPr>
        <w:t xml:space="preserve"> </w:t>
      </w:r>
      <w:r w:rsidRPr="00945CE1">
        <w:rPr>
          <w:rFonts w:ascii="Times New Roman" w:eastAsia="Times New Roman" w:hAnsi="Times New Roman" w:cs="Times New Roman"/>
          <w:b/>
          <w:bCs/>
          <w:kern w:val="0"/>
          <w14:ligatures w14:val="none"/>
        </w:rPr>
        <w:t>Harnessing Indigenous Natural Resources for Wellness Tourism Development in Nigeria</w:t>
      </w:r>
    </w:p>
    <w:p w14:paraId="4266531E" w14:textId="77777777" w:rsidR="00E30D1B" w:rsidRDefault="00E30D1B" w:rsidP="00E30D1B">
      <w:pPr>
        <w:spacing w:afterLines="50"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b/>
      </w:r>
      <w:r w:rsidRPr="00945CE1">
        <w:rPr>
          <w:rFonts w:ascii="Times New Roman" w:eastAsia="Times New Roman" w:hAnsi="Times New Roman" w:cs="Times New Roman"/>
          <w:kern w:val="0"/>
          <w14:ligatures w14:val="none"/>
        </w:rPr>
        <w:t>OKUNLOLA, KAFILAT ASAKE &amp; ODOR, CHINENYE BLESSING</w:t>
      </w:r>
    </w:p>
    <w:p w14:paraId="79933B3E" w14:textId="77777777" w:rsidR="0094260B" w:rsidRDefault="0094260B" w:rsidP="0094260B">
      <w:pPr>
        <w:spacing w:after="0" w:line="240" w:lineRule="auto"/>
        <w:ind w:left="720" w:hanging="720"/>
        <w:jc w:val="both"/>
        <w:rPr>
          <w:rFonts w:ascii="Times New Roman" w:hAnsi="Times New Roman" w:cs="Times New Roman"/>
          <w:b/>
          <w:bCs/>
        </w:rPr>
      </w:pPr>
      <w:r w:rsidRPr="0094260B">
        <w:rPr>
          <w:rFonts w:ascii="Times New Roman" w:eastAsia="Times New Roman" w:hAnsi="Times New Roman" w:cs="Times New Roman"/>
          <w:b/>
          <w:bCs/>
          <w:kern w:val="0"/>
          <w14:ligatures w14:val="none"/>
        </w:rPr>
        <w:t>5.</w:t>
      </w:r>
      <w:r>
        <w:rPr>
          <w:rFonts w:ascii="Times New Roman" w:eastAsia="Times New Roman" w:hAnsi="Times New Roman" w:cs="Times New Roman"/>
          <w:b/>
          <w:bCs/>
          <w:kern w:val="0"/>
          <w14:ligatures w14:val="none"/>
        </w:rPr>
        <w:tab/>
      </w:r>
      <w:r>
        <w:rPr>
          <w:rFonts w:ascii="Times New Roman" w:hAnsi="Times New Roman" w:cs="Times New Roman"/>
          <w:b/>
          <w:bCs/>
        </w:rPr>
        <w:t>Reconceptualizing Brand Experience for Customer Retention in Quick Service Restaurants: A Conceptual Review.</w:t>
      </w:r>
    </w:p>
    <w:p w14:paraId="2054C27F" w14:textId="5497E244" w:rsidR="0094260B" w:rsidRPr="00CF38EF" w:rsidRDefault="0094260B" w:rsidP="0094260B">
      <w:pPr>
        <w:spacing w:after="0" w:line="240" w:lineRule="auto"/>
        <w:ind w:firstLine="720"/>
        <w:jc w:val="both"/>
        <w:rPr>
          <w:rFonts w:ascii="Times New Roman" w:hAnsi="Times New Roman" w:cs="Times New Roman"/>
          <w:bCs/>
        </w:rPr>
      </w:pPr>
      <w:proofErr w:type="gramStart"/>
      <w:r w:rsidRPr="00CF38EF">
        <w:rPr>
          <w:rFonts w:ascii="Times New Roman" w:hAnsi="Times New Roman" w:cs="Times New Roman"/>
          <w:bCs/>
        </w:rPr>
        <w:t>Osi,,</w:t>
      </w:r>
      <w:proofErr w:type="gramEnd"/>
      <w:r w:rsidRPr="00CF38EF">
        <w:rPr>
          <w:rFonts w:ascii="Times New Roman" w:hAnsi="Times New Roman" w:cs="Times New Roman"/>
          <w:bCs/>
        </w:rPr>
        <w:t xml:space="preserve"> Vine </w:t>
      </w:r>
      <w:proofErr w:type="gramStart"/>
      <w:r w:rsidRPr="00CF38EF">
        <w:rPr>
          <w:rFonts w:ascii="Times New Roman" w:hAnsi="Times New Roman" w:cs="Times New Roman"/>
          <w:bCs/>
        </w:rPr>
        <w:t>Chinwe  &amp;</w:t>
      </w:r>
      <w:proofErr w:type="gramEnd"/>
      <w:r w:rsidRPr="00CF38EF">
        <w:rPr>
          <w:rFonts w:ascii="Times New Roman" w:hAnsi="Times New Roman" w:cs="Times New Roman"/>
          <w:bCs/>
        </w:rPr>
        <w:t xml:space="preserve"> *</w:t>
      </w:r>
      <w:proofErr w:type="spellStart"/>
      <w:r w:rsidRPr="00CF38EF">
        <w:rPr>
          <w:rFonts w:ascii="Times New Roman" w:hAnsi="Times New Roman" w:cs="Times New Roman"/>
          <w:bCs/>
        </w:rPr>
        <w:t>Ekeke</w:t>
      </w:r>
      <w:proofErr w:type="spellEnd"/>
      <w:r w:rsidRPr="00CF38EF">
        <w:rPr>
          <w:rFonts w:ascii="Times New Roman" w:hAnsi="Times New Roman" w:cs="Times New Roman"/>
          <w:bCs/>
        </w:rPr>
        <w:t>, John Ndubueze.</w:t>
      </w:r>
    </w:p>
    <w:p w14:paraId="4EE03352" w14:textId="6EB6371C" w:rsidR="00E30D1B" w:rsidRPr="0094260B" w:rsidRDefault="00E30D1B" w:rsidP="0094260B">
      <w:pPr>
        <w:spacing w:afterLines="50" w:after="120" w:line="240" w:lineRule="auto"/>
        <w:jc w:val="both"/>
        <w:rPr>
          <w:rFonts w:ascii="Times New Roman" w:eastAsia="Times New Roman" w:hAnsi="Times New Roman" w:cs="Times New Roman"/>
          <w:b/>
          <w:bCs/>
          <w:kern w:val="0"/>
          <w14:ligatures w14:val="none"/>
        </w:rPr>
      </w:pPr>
    </w:p>
    <w:p w14:paraId="264C4C88" w14:textId="77777777" w:rsidR="0094260B" w:rsidRDefault="0094260B" w:rsidP="0094260B">
      <w:pPr>
        <w:spacing w:after="0" w:line="240" w:lineRule="auto"/>
        <w:jc w:val="both"/>
        <w:rPr>
          <w:rFonts w:ascii="Times New Roman" w:hAnsi="Times New Roman" w:cs="Times New Roman"/>
          <w:b/>
          <w:bCs/>
        </w:rPr>
      </w:pPr>
    </w:p>
    <w:p w14:paraId="5C2D72B8" w14:textId="2E0238DD" w:rsidR="0003419D" w:rsidRPr="00482A85" w:rsidRDefault="0003419D" w:rsidP="0094260B">
      <w:pPr>
        <w:spacing w:after="0" w:line="240" w:lineRule="auto"/>
        <w:jc w:val="both"/>
        <w:rPr>
          <w:rFonts w:ascii="Times New Roman" w:hAnsi="Times New Roman" w:cs="Times New Roman"/>
          <w:b/>
          <w:bCs/>
        </w:rPr>
      </w:pPr>
      <w:r w:rsidRPr="00482A85">
        <w:rPr>
          <w:rFonts w:ascii="Times New Roman" w:hAnsi="Times New Roman" w:cs="Times New Roman"/>
          <w:b/>
          <w:bCs/>
        </w:rPr>
        <w:t>PART FOUR: MANAGEMENT</w:t>
      </w:r>
    </w:p>
    <w:p w14:paraId="5696F328" w14:textId="77777777" w:rsidR="0003419D" w:rsidRPr="00DF4E1A" w:rsidRDefault="0003419D" w:rsidP="0003419D">
      <w:pPr>
        <w:spacing w:after="0" w:line="240" w:lineRule="auto"/>
        <w:jc w:val="both"/>
        <w:rPr>
          <w:rFonts w:ascii="Times New Roman" w:hAnsi="Times New Roman" w:cs="Times New Roman"/>
          <w:b/>
          <w:bCs/>
          <w:sz w:val="36"/>
          <w:szCs w:val="36"/>
        </w:rPr>
      </w:pPr>
    </w:p>
    <w:p w14:paraId="77FB1819" w14:textId="13410DC9" w:rsidR="0003419D" w:rsidRPr="0003419D" w:rsidRDefault="0003419D" w:rsidP="0003419D">
      <w:pPr>
        <w:spacing w:after="0" w:line="240" w:lineRule="auto"/>
        <w:ind w:left="720" w:hanging="720"/>
        <w:jc w:val="both"/>
        <w:rPr>
          <w:rFonts w:ascii="Times New Roman" w:eastAsia="Calibri" w:hAnsi="Times New Roman" w:cs="Times New Roman"/>
          <w:b/>
          <w:bCs/>
          <w:kern w:val="0"/>
          <w14:ligatures w14:val="none"/>
        </w:rPr>
      </w:pPr>
      <w:r w:rsidRPr="0003419D">
        <w:rPr>
          <w:rFonts w:ascii="Times New Roman" w:eastAsia="Calibri" w:hAnsi="Times New Roman" w:cs="Times New Roman"/>
          <w:b/>
          <w:bCs/>
          <w:kern w:val="0"/>
          <w14:ligatures w14:val="none"/>
        </w:rPr>
        <w:t>1.</w:t>
      </w:r>
      <w:r>
        <w:rPr>
          <w:rFonts w:ascii="Times New Roman" w:eastAsia="Calibri" w:hAnsi="Times New Roman" w:cs="Times New Roman"/>
          <w:b/>
          <w:bCs/>
          <w:kern w:val="0"/>
          <w14:ligatures w14:val="none"/>
        </w:rPr>
        <w:tab/>
      </w:r>
      <w:r w:rsidRPr="0003419D">
        <w:rPr>
          <w:rFonts w:ascii="Times New Roman" w:eastAsia="Calibri" w:hAnsi="Times New Roman" w:cs="Times New Roman"/>
          <w:b/>
          <w:bCs/>
          <w:kern w:val="0"/>
          <w14:ligatures w14:val="none"/>
        </w:rPr>
        <w:t>Entrepreneurial mindset and strategic renewal of small and medium scale businesses in rivers state.</w:t>
      </w:r>
    </w:p>
    <w:p w14:paraId="76D87DBA" w14:textId="1E414AD4" w:rsidR="0003419D" w:rsidRPr="002D75ED" w:rsidRDefault="0003419D" w:rsidP="0003419D">
      <w:pPr>
        <w:spacing w:after="0" w:line="240" w:lineRule="auto"/>
        <w:ind w:firstLine="720"/>
        <w:jc w:val="both"/>
        <w:rPr>
          <w:rFonts w:ascii="Times New Roman" w:eastAsia="Calibri" w:hAnsi="Times New Roman" w:cs="Times New Roman"/>
          <w:kern w:val="0"/>
          <w14:ligatures w14:val="none"/>
        </w:rPr>
      </w:pPr>
      <w:r w:rsidRPr="002D75ED">
        <w:rPr>
          <w:rFonts w:ascii="Times New Roman" w:eastAsia="Calibri" w:hAnsi="Times New Roman" w:cs="Times New Roman"/>
          <w:kern w:val="0"/>
          <w14:ligatures w14:val="none"/>
        </w:rPr>
        <w:t>Njoku Nancy Chidinma &amp; Prof. John. E. Chikwe.</w:t>
      </w:r>
    </w:p>
    <w:p w14:paraId="6A5C3224" w14:textId="77777777" w:rsidR="0003419D" w:rsidRPr="002D75ED" w:rsidRDefault="0003419D" w:rsidP="0003419D">
      <w:pPr>
        <w:spacing w:after="0" w:line="240" w:lineRule="auto"/>
        <w:jc w:val="both"/>
        <w:rPr>
          <w:rFonts w:ascii="Times New Roman" w:eastAsia="Calibri" w:hAnsi="Times New Roman" w:cs="Times New Roman"/>
          <w:kern w:val="0"/>
          <w14:ligatures w14:val="none"/>
        </w:rPr>
      </w:pPr>
    </w:p>
    <w:p w14:paraId="6DFC8CBB" w14:textId="51244F8E" w:rsidR="0003419D" w:rsidRPr="002D75ED" w:rsidRDefault="0003419D" w:rsidP="0003419D">
      <w:pPr>
        <w:shd w:val="clear" w:color="auto" w:fill="FFFFFF"/>
        <w:spacing w:after="0" w:line="240" w:lineRule="auto"/>
        <w:ind w:left="720" w:hanging="720"/>
        <w:jc w:val="both"/>
        <w:outlineLvl w:val="0"/>
        <w:rPr>
          <w:rFonts w:ascii="Times New Roman" w:hAnsi="Times New Roman" w:cs="Times New Roman"/>
          <w:b/>
          <w:lang w:val="en-GB" w:eastAsia="zh-CN"/>
        </w:rPr>
      </w:pPr>
      <w:r>
        <w:rPr>
          <w:rFonts w:ascii="Times New Roman" w:eastAsia="SimSun" w:hAnsi="Times New Roman" w:cs="Times New Roman"/>
          <w:b/>
          <w:lang w:val="en-GB" w:eastAsia="zh-CN"/>
          <w14:ligatures w14:val="none"/>
        </w:rPr>
        <w:t>2.</w:t>
      </w:r>
      <w:r>
        <w:rPr>
          <w:rFonts w:ascii="Times New Roman" w:eastAsia="SimSun" w:hAnsi="Times New Roman" w:cs="Times New Roman"/>
          <w:b/>
          <w:lang w:val="en-GB" w:eastAsia="zh-CN"/>
          <w14:ligatures w14:val="none"/>
        </w:rPr>
        <w:tab/>
      </w:r>
      <w:r w:rsidRPr="002D75ED">
        <w:rPr>
          <w:rFonts w:ascii="Times New Roman" w:eastAsia="SimSun" w:hAnsi="Times New Roman" w:cs="Times New Roman"/>
          <w:b/>
          <w:lang w:val="en-GB" w:eastAsia="zh-CN"/>
          <w14:ligatures w14:val="none"/>
        </w:rPr>
        <w:t>Effects Of Employee Commitment and Growth of Deposit Money Bank: A Study of United Bank of Africa (UBA) Yenagoa Bayelsa State</w:t>
      </w:r>
    </w:p>
    <w:p w14:paraId="0CAFD33B" w14:textId="77777777" w:rsidR="0003419D" w:rsidRPr="002D75ED" w:rsidRDefault="0003419D" w:rsidP="0003419D">
      <w:pPr>
        <w:shd w:val="clear" w:color="auto" w:fill="FFFFFF"/>
        <w:ind w:firstLine="720"/>
        <w:jc w:val="both"/>
        <w:outlineLvl w:val="0"/>
        <w:rPr>
          <w:rFonts w:eastAsia="Calibri"/>
          <w:color w:val="000000"/>
        </w:rPr>
      </w:pPr>
      <w:r w:rsidRPr="002D75ED">
        <w:rPr>
          <w:rFonts w:ascii="Times New Roman" w:eastAsia="Calibri" w:hAnsi="Times New Roman" w:cs="Times New Roman"/>
          <w:color w:val="000000"/>
          <w:kern w:val="0"/>
          <w14:ligatures w14:val="none"/>
        </w:rPr>
        <w:t xml:space="preserve">WILLY, Nelson </w:t>
      </w:r>
      <w:proofErr w:type="spellStart"/>
      <w:r w:rsidRPr="002D75ED">
        <w:rPr>
          <w:rFonts w:ascii="Times New Roman" w:eastAsia="Calibri" w:hAnsi="Times New Roman" w:cs="Times New Roman"/>
          <w:color w:val="000000"/>
          <w:kern w:val="0"/>
          <w14:ligatures w14:val="none"/>
        </w:rPr>
        <w:t>Ogoja</w:t>
      </w:r>
      <w:proofErr w:type="spellEnd"/>
      <w:r w:rsidRPr="002D75ED">
        <w:rPr>
          <w:rFonts w:ascii="Times New Roman" w:eastAsia="Calibri" w:hAnsi="Times New Roman" w:cs="Times New Roman"/>
          <w:color w:val="000000"/>
          <w:kern w:val="0"/>
          <w14:ligatures w14:val="none"/>
        </w:rPr>
        <w:t xml:space="preserve"> &amp; OGUNLEYE, Ayodele Ojo</w:t>
      </w:r>
    </w:p>
    <w:p w14:paraId="5441A11D" w14:textId="44828126" w:rsidR="0003419D" w:rsidRPr="002D75ED" w:rsidRDefault="0003419D" w:rsidP="0003419D">
      <w:pPr>
        <w:shd w:val="clear" w:color="auto" w:fill="FFFFFF"/>
        <w:spacing w:after="0" w:line="240" w:lineRule="auto"/>
        <w:ind w:left="720" w:hanging="720"/>
        <w:jc w:val="both"/>
        <w:outlineLvl w:val="0"/>
        <w:rPr>
          <w:rFonts w:ascii="Times New Roman" w:eastAsia="Segoe UI" w:hAnsi="Times New Roman" w:cs="Times New Roman"/>
          <w:b/>
          <w:bCs/>
          <w:color w:val="0F1115"/>
          <w:kern w:val="44"/>
          <w:shd w:val="clear" w:color="auto" w:fill="FFFFFF"/>
          <w:lang w:eastAsia="zh-CN"/>
        </w:rPr>
      </w:pPr>
      <w:r>
        <w:rPr>
          <w:rFonts w:ascii="Times New Roman" w:eastAsia="Segoe UI" w:hAnsi="Times New Roman" w:cs="Times New Roman"/>
          <w:b/>
          <w:bCs/>
          <w:color w:val="0F1115"/>
          <w:kern w:val="44"/>
          <w:shd w:val="clear" w:color="auto" w:fill="FFFFFF"/>
          <w:lang w:eastAsia="zh-CN"/>
        </w:rPr>
        <w:t>3.</w:t>
      </w:r>
      <w:r>
        <w:rPr>
          <w:rFonts w:ascii="Times New Roman" w:eastAsia="Segoe UI" w:hAnsi="Times New Roman" w:cs="Times New Roman"/>
          <w:b/>
          <w:bCs/>
          <w:color w:val="0F1115"/>
          <w:kern w:val="44"/>
          <w:shd w:val="clear" w:color="auto" w:fill="FFFFFF"/>
          <w:lang w:eastAsia="zh-CN"/>
        </w:rPr>
        <w:tab/>
      </w:r>
      <w:r w:rsidRPr="002D75ED">
        <w:rPr>
          <w:rFonts w:ascii="Times New Roman" w:eastAsia="Segoe UI" w:hAnsi="Times New Roman" w:cs="Times New Roman"/>
          <w:b/>
          <w:bCs/>
          <w:color w:val="0F1115"/>
          <w:kern w:val="44"/>
          <w:shd w:val="clear" w:color="auto" w:fill="FFFFFF"/>
          <w:lang w:eastAsia="zh-CN"/>
        </w:rPr>
        <w:t>Capability Accumulation: A Panacea for Abundant Skills Among Researchers in Nigeria</w:t>
      </w:r>
    </w:p>
    <w:p w14:paraId="74CEA5EE" w14:textId="77777777" w:rsidR="0003419D" w:rsidRPr="002D75ED" w:rsidRDefault="0003419D" w:rsidP="0003419D">
      <w:pPr>
        <w:shd w:val="clear" w:color="auto" w:fill="FFFFFF"/>
        <w:spacing w:after="0" w:line="240" w:lineRule="auto"/>
        <w:ind w:left="720"/>
        <w:jc w:val="both"/>
        <w:outlineLvl w:val="0"/>
        <w:rPr>
          <w:rFonts w:ascii="Times New Roman" w:hAnsi="Times New Roman" w:cs="Times New Roman"/>
          <w:lang w:val="en-GB" w:eastAsia="zh-CN"/>
        </w:rPr>
      </w:pPr>
      <w:r w:rsidRPr="002D75ED">
        <w:rPr>
          <w:rFonts w:ascii="Times New Roman" w:hAnsi="Times New Roman" w:cs="Times New Roman"/>
          <w:kern w:val="44"/>
          <w:lang w:eastAsia="zh-CN"/>
        </w:rPr>
        <w:t xml:space="preserve">OKOISAMA, Thomas Chinye, </w:t>
      </w:r>
      <w:r w:rsidRPr="002D75ED">
        <w:rPr>
          <w:rFonts w:ascii="Times New Roman" w:hAnsi="Times New Roman" w:cs="Times New Roman"/>
          <w:i/>
          <w:iCs/>
          <w:kern w:val="44"/>
          <w:lang w:eastAsia="zh-CN"/>
        </w:rPr>
        <w:t>DBA, PhD</w:t>
      </w:r>
      <w:r w:rsidRPr="002D75ED">
        <w:rPr>
          <w:rFonts w:ascii="Times New Roman" w:hAnsi="Times New Roman" w:cs="Times New Roman"/>
          <w:kern w:val="44"/>
          <w:lang w:eastAsia="zh-CN"/>
        </w:rPr>
        <w:t xml:space="preserve"> &amp; AGBIRIOGU, Ejike Kenneth, </w:t>
      </w:r>
      <w:r w:rsidRPr="002D75ED">
        <w:rPr>
          <w:rFonts w:ascii="Times New Roman" w:hAnsi="Times New Roman" w:cs="Times New Roman"/>
          <w:i/>
          <w:iCs/>
          <w:kern w:val="44"/>
          <w:lang w:eastAsia="zh-CN"/>
        </w:rPr>
        <w:t>PhD, FCA, FCCA</w:t>
      </w:r>
    </w:p>
    <w:p w14:paraId="2BA4B5BE" w14:textId="77777777" w:rsidR="001A734D" w:rsidRPr="00945CE1" w:rsidRDefault="001A734D" w:rsidP="001A734D">
      <w:pPr>
        <w:spacing w:before="100" w:beforeAutospacing="1" w:after="0" w:line="240" w:lineRule="auto"/>
        <w:ind w:left="720" w:hanging="720"/>
        <w:jc w:val="both"/>
        <w:rPr>
          <w:rFonts w:ascii="Times New Roman" w:eastAsia="SimSun" w:hAnsi="Times New Roman" w:cs="Times New Roman"/>
          <w:b/>
          <w:bCs/>
          <w:kern w:val="0"/>
          <w:lang w:eastAsia="zh-CN"/>
          <w14:ligatures w14:val="none"/>
        </w:rPr>
      </w:pPr>
      <w:r>
        <w:rPr>
          <w:rFonts w:ascii="Times New Roman" w:hAnsi="Times New Roman" w:cs="Times New Roman"/>
          <w:b/>
          <w:bCs/>
        </w:rPr>
        <w:lastRenderedPageBreak/>
        <w:t>4.</w:t>
      </w:r>
      <w:r>
        <w:rPr>
          <w:rFonts w:ascii="Times New Roman" w:hAnsi="Times New Roman" w:cs="Times New Roman"/>
          <w:b/>
          <w:bCs/>
        </w:rPr>
        <w:tab/>
      </w:r>
      <w:r w:rsidRPr="00945CE1">
        <w:rPr>
          <w:rFonts w:ascii="Times New Roman" w:eastAsia="SimSun" w:hAnsi="Times New Roman" w:cs="Times New Roman"/>
          <w:b/>
          <w:bCs/>
          <w:kern w:val="0"/>
          <w:lang w:eastAsia="zh-CN"/>
          <w14:ligatures w14:val="none"/>
        </w:rPr>
        <w:t>Cyber Risk-Management Capabilities and Customer Trust in E-commerce Start-ups Platforms in Nigeria</w:t>
      </w:r>
    </w:p>
    <w:p w14:paraId="62B90DD3" w14:textId="430B9CA7" w:rsidR="001A734D" w:rsidRDefault="001A734D" w:rsidP="00431C94">
      <w:pPr>
        <w:spacing w:after="0" w:line="240" w:lineRule="auto"/>
        <w:ind w:firstLine="720"/>
        <w:jc w:val="both"/>
        <w:rPr>
          <w:rFonts w:ascii="Times New Roman" w:eastAsia="SimSun" w:hAnsi="Times New Roman" w:cs="Times New Roman"/>
          <w:kern w:val="0"/>
          <w:lang w:eastAsia="zh-CN"/>
          <w14:ligatures w14:val="none"/>
        </w:rPr>
      </w:pPr>
      <w:r w:rsidRPr="00945CE1">
        <w:rPr>
          <w:rFonts w:ascii="Times New Roman" w:eastAsia="SimSun" w:hAnsi="Times New Roman" w:cs="Times New Roman"/>
          <w:kern w:val="0"/>
          <w:lang w:eastAsia="zh-CN"/>
          <w14:ligatures w14:val="none"/>
        </w:rPr>
        <w:t>Joseph, Roland Ikechukwu</w:t>
      </w:r>
      <w:r>
        <w:rPr>
          <w:rFonts w:ascii="Times New Roman" w:eastAsia="SimSun" w:hAnsi="Times New Roman" w:cs="Times New Roman"/>
          <w:kern w:val="0"/>
          <w:lang w:eastAsia="zh-CN"/>
          <w14:ligatures w14:val="none"/>
        </w:rPr>
        <w:t xml:space="preserve"> (DBA)</w:t>
      </w:r>
    </w:p>
    <w:p w14:paraId="5DA06F75" w14:textId="77777777" w:rsidR="00280939" w:rsidRDefault="00280939" w:rsidP="00431C94">
      <w:pPr>
        <w:spacing w:after="0" w:line="240" w:lineRule="auto"/>
        <w:ind w:firstLine="720"/>
        <w:jc w:val="both"/>
        <w:rPr>
          <w:rFonts w:ascii="Times New Roman" w:eastAsia="SimSun" w:hAnsi="Times New Roman" w:cs="Times New Roman"/>
          <w:kern w:val="0"/>
          <w:lang w:eastAsia="zh-CN"/>
          <w14:ligatures w14:val="none"/>
        </w:rPr>
      </w:pPr>
    </w:p>
    <w:p w14:paraId="7FE91990" w14:textId="77777777" w:rsidR="00431C94" w:rsidRDefault="00431C94" w:rsidP="00431C94">
      <w:pPr>
        <w:spacing w:after="0" w:line="240" w:lineRule="auto"/>
        <w:jc w:val="both"/>
        <w:rPr>
          <w:rFonts w:ascii="Times New Roman" w:eastAsia="SimSun" w:hAnsi="Times New Roman" w:cs="Times New Roman"/>
          <w:kern w:val="0"/>
          <w:lang w:eastAsia="zh-CN"/>
          <w14:ligatures w14:val="none"/>
        </w:rPr>
      </w:pPr>
    </w:p>
    <w:p w14:paraId="2DB11F5F" w14:textId="77777777" w:rsidR="00431C94" w:rsidRPr="00945CE1" w:rsidRDefault="00431C94" w:rsidP="00431C94">
      <w:pPr>
        <w:widowControl w:val="0"/>
        <w:autoSpaceDE w:val="0"/>
        <w:autoSpaceDN w:val="0"/>
        <w:spacing w:before="60" w:after="0" w:line="240" w:lineRule="auto"/>
        <w:ind w:left="720" w:right="1052" w:hanging="720"/>
        <w:jc w:val="both"/>
        <w:rPr>
          <w:rFonts w:ascii="Times New Roman" w:eastAsia="Times New Roman" w:hAnsi="Times New Roman" w:cs="Times New Roman"/>
          <w:b/>
          <w:bCs/>
          <w:kern w:val="0"/>
          <w14:ligatures w14:val="none"/>
        </w:rPr>
      </w:pPr>
      <w:r w:rsidRPr="00431C94">
        <w:rPr>
          <w:rFonts w:ascii="Times New Roman" w:eastAsia="SimSun" w:hAnsi="Times New Roman" w:cs="Times New Roman"/>
          <w:b/>
          <w:bCs/>
          <w:kern w:val="0"/>
          <w:lang w:eastAsia="zh-CN"/>
          <w14:ligatures w14:val="none"/>
        </w:rPr>
        <w:t>5</w:t>
      </w:r>
      <w:r>
        <w:rPr>
          <w:rFonts w:ascii="Times New Roman" w:eastAsia="SimSun" w:hAnsi="Times New Roman" w:cs="Times New Roman"/>
          <w:b/>
          <w:bCs/>
          <w:kern w:val="0"/>
          <w:lang w:eastAsia="zh-CN"/>
          <w14:ligatures w14:val="none"/>
        </w:rPr>
        <w:t>.</w:t>
      </w:r>
      <w:r>
        <w:rPr>
          <w:rFonts w:ascii="Times New Roman" w:eastAsia="SimSun" w:hAnsi="Times New Roman" w:cs="Times New Roman"/>
          <w:b/>
          <w:bCs/>
          <w:kern w:val="0"/>
          <w:lang w:eastAsia="zh-CN"/>
          <w14:ligatures w14:val="none"/>
        </w:rPr>
        <w:tab/>
      </w:r>
      <w:r w:rsidRPr="00945CE1">
        <w:rPr>
          <w:rFonts w:ascii="Times New Roman" w:eastAsia="Times New Roman" w:hAnsi="Times New Roman" w:cs="Times New Roman"/>
          <w:b/>
          <w:bCs/>
          <w:kern w:val="0"/>
          <w14:ligatures w14:val="none"/>
        </w:rPr>
        <w:t>Leveraging Digital Technologies for Sustainability and Green</w:t>
      </w:r>
      <w:r w:rsidRPr="00945CE1">
        <w:rPr>
          <w:rFonts w:ascii="Times New Roman" w:eastAsia="Times New Roman" w:hAnsi="Times New Roman" w:cs="Times New Roman"/>
          <w:b/>
          <w:bCs/>
          <w:spacing w:val="-20"/>
          <w:kern w:val="0"/>
          <w14:ligatures w14:val="none"/>
        </w:rPr>
        <w:t xml:space="preserve"> </w:t>
      </w:r>
      <w:r w:rsidRPr="00945CE1">
        <w:rPr>
          <w:rFonts w:ascii="Times New Roman" w:eastAsia="Times New Roman" w:hAnsi="Times New Roman" w:cs="Times New Roman"/>
          <w:b/>
          <w:bCs/>
          <w:kern w:val="0"/>
          <w14:ligatures w14:val="none"/>
        </w:rPr>
        <w:t>Operations:</w:t>
      </w:r>
      <w:r w:rsidRPr="00945CE1">
        <w:rPr>
          <w:rFonts w:ascii="Times New Roman" w:eastAsia="Times New Roman" w:hAnsi="Times New Roman" w:cs="Times New Roman"/>
          <w:b/>
          <w:bCs/>
          <w:spacing w:val="-18"/>
          <w:kern w:val="0"/>
          <w14:ligatures w14:val="none"/>
        </w:rPr>
        <w:t xml:space="preserve"> </w:t>
      </w:r>
      <w:r w:rsidRPr="00945CE1">
        <w:rPr>
          <w:rFonts w:ascii="Times New Roman" w:eastAsia="Times New Roman" w:hAnsi="Times New Roman" w:cs="Times New Roman"/>
          <w:b/>
          <w:bCs/>
          <w:kern w:val="0"/>
          <w14:ligatures w14:val="none"/>
        </w:rPr>
        <w:t>A</w:t>
      </w:r>
      <w:r w:rsidRPr="00945CE1">
        <w:rPr>
          <w:rFonts w:ascii="Times New Roman" w:eastAsia="Times New Roman" w:hAnsi="Times New Roman" w:cs="Times New Roman"/>
          <w:b/>
          <w:bCs/>
          <w:spacing w:val="-17"/>
          <w:kern w:val="0"/>
          <w14:ligatures w14:val="none"/>
        </w:rPr>
        <w:t xml:space="preserve"> </w:t>
      </w:r>
      <w:r w:rsidRPr="00945CE1">
        <w:rPr>
          <w:rFonts w:ascii="Times New Roman" w:eastAsia="Times New Roman" w:hAnsi="Times New Roman" w:cs="Times New Roman"/>
          <w:b/>
          <w:bCs/>
          <w:kern w:val="0"/>
          <w14:ligatures w14:val="none"/>
        </w:rPr>
        <w:t>Study</w:t>
      </w:r>
      <w:r w:rsidRPr="00945CE1">
        <w:rPr>
          <w:rFonts w:ascii="Times New Roman" w:eastAsia="Times New Roman" w:hAnsi="Times New Roman" w:cs="Times New Roman"/>
          <w:b/>
          <w:bCs/>
          <w:spacing w:val="-19"/>
          <w:kern w:val="0"/>
          <w14:ligatures w14:val="none"/>
        </w:rPr>
        <w:t xml:space="preserve"> </w:t>
      </w:r>
      <w:r w:rsidRPr="00945CE1">
        <w:rPr>
          <w:rFonts w:ascii="Times New Roman" w:eastAsia="Times New Roman" w:hAnsi="Times New Roman" w:cs="Times New Roman"/>
          <w:b/>
          <w:bCs/>
          <w:kern w:val="0"/>
          <w14:ligatures w14:val="none"/>
        </w:rPr>
        <w:t>of</w:t>
      </w:r>
      <w:r w:rsidRPr="00945CE1">
        <w:rPr>
          <w:rFonts w:ascii="Times New Roman" w:eastAsia="Times New Roman" w:hAnsi="Times New Roman" w:cs="Times New Roman"/>
          <w:b/>
          <w:bCs/>
          <w:spacing w:val="-19"/>
          <w:kern w:val="0"/>
          <w14:ligatures w14:val="none"/>
        </w:rPr>
        <w:t xml:space="preserve"> </w:t>
      </w:r>
      <w:r w:rsidRPr="00945CE1">
        <w:rPr>
          <w:rFonts w:ascii="Times New Roman" w:eastAsia="Times New Roman" w:hAnsi="Times New Roman" w:cs="Times New Roman"/>
          <w:b/>
          <w:bCs/>
          <w:kern w:val="0"/>
          <w14:ligatures w14:val="none"/>
        </w:rPr>
        <w:t>Circular</w:t>
      </w:r>
      <w:r w:rsidRPr="00945CE1">
        <w:rPr>
          <w:rFonts w:ascii="Times New Roman" w:eastAsia="Times New Roman" w:hAnsi="Times New Roman" w:cs="Times New Roman"/>
          <w:b/>
          <w:bCs/>
          <w:spacing w:val="-18"/>
          <w:kern w:val="0"/>
          <w14:ligatures w14:val="none"/>
        </w:rPr>
        <w:t xml:space="preserve"> </w:t>
      </w:r>
      <w:r w:rsidRPr="00945CE1">
        <w:rPr>
          <w:rFonts w:ascii="Times New Roman" w:eastAsia="Times New Roman" w:hAnsi="Times New Roman" w:cs="Times New Roman"/>
          <w:b/>
          <w:bCs/>
          <w:kern w:val="0"/>
          <w14:ligatures w14:val="none"/>
        </w:rPr>
        <w:t>Economy</w:t>
      </w:r>
      <w:r w:rsidRPr="00945CE1">
        <w:rPr>
          <w:rFonts w:ascii="Times New Roman" w:eastAsia="Times New Roman" w:hAnsi="Times New Roman" w:cs="Times New Roman"/>
          <w:b/>
          <w:bCs/>
          <w:spacing w:val="-18"/>
          <w:kern w:val="0"/>
          <w14:ligatures w14:val="none"/>
        </w:rPr>
        <w:t xml:space="preserve"> </w:t>
      </w:r>
      <w:r w:rsidRPr="00945CE1">
        <w:rPr>
          <w:rFonts w:ascii="Times New Roman" w:eastAsia="Times New Roman" w:hAnsi="Times New Roman" w:cs="Times New Roman"/>
          <w:b/>
          <w:bCs/>
          <w:kern w:val="0"/>
          <w14:ligatures w14:val="none"/>
        </w:rPr>
        <w:t>Practices</w:t>
      </w:r>
      <w:r w:rsidRPr="00945CE1">
        <w:rPr>
          <w:rFonts w:ascii="Times New Roman" w:eastAsia="Times New Roman" w:hAnsi="Times New Roman" w:cs="Times New Roman"/>
          <w:b/>
          <w:bCs/>
          <w:spacing w:val="-17"/>
          <w:kern w:val="0"/>
          <w14:ligatures w14:val="none"/>
        </w:rPr>
        <w:t xml:space="preserve"> </w:t>
      </w:r>
      <w:r w:rsidRPr="00945CE1">
        <w:rPr>
          <w:rFonts w:ascii="Times New Roman" w:eastAsia="Times New Roman" w:hAnsi="Times New Roman" w:cs="Times New Roman"/>
          <w:b/>
          <w:bCs/>
          <w:kern w:val="0"/>
          <w14:ligatures w14:val="none"/>
        </w:rPr>
        <w:t>in Nigerian Manufacturing Firms</w:t>
      </w:r>
    </w:p>
    <w:p w14:paraId="7F0D5081" w14:textId="77777777" w:rsidR="00431C94" w:rsidRPr="00945CE1" w:rsidRDefault="00431C94" w:rsidP="00431C94">
      <w:pPr>
        <w:widowControl w:val="0"/>
        <w:autoSpaceDE w:val="0"/>
        <w:autoSpaceDN w:val="0"/>
        <w:spacing w:after="0" w:line="240" w:lineRule="auto"/>
        <w:ind w:firstLine="720"/>
        <w:jc w:val="both"/>
        <w:rPr>
          <w:rFonts w:ascii="Times New Roman" w:eastAsia="Times New Roman" w:hAnsi="Times New Roman" w:cs="Times New Roman"/>
          <w:kern w:val="0"/>
          <w14:ligatures w14:val="none"/>
        </w:rPr>
      </w:pPr>
      <w:proofErr w:type="spellStart"/>
      <w:r w:rsidRPr="00945CE1">
        <w:rPr>
          <w:rFonts w:ascii="Times New Roman" w:eastAsia="Times New Roman" w:hAnsi="Times New Roman" w:cs="Times New Roman"/>
          <w:kern w:val="0"/>
          <w14:ligatures w14:val="none"/>
        </w:rPr>
        <w:t>Orokor</w:t>
      </w:r>
      <w:proofErr w:type="spellEnd"/>
      <w:r w:rsidRPr="00945CE1">
        <w:rPr>
          <w:rFonts w:ascii="Times New Roman" w:eastAsia="Times New Roman" w:hAnsi="Times New Roman" w:cs="Times New Roman"/>
          <w:kern w:val="0"/>
          <w14:ligatures w14:val="none"/>
        </w:rPr>
        <w:t>,</w:t>
      </w:r>
      <w:r w:rsidRPr="00945CE1">
        <w:rPr>
          <w:rFonts w:ascii="Times New Roman" w:eastAsia="Times New Roman" w:hAnsi="Times New Roman" w:cs="Times New Roman"/>
          <w:spacing w:val="-8"/>
          <w:kern w:val="0"/>
          <w14:ligatures w14:val="none"/>
        </w:rPr>
        <w:t xml:space="preserve"> </w:t>
      </w:r>
      <w:r w:rsidRPr="00945CE1">
        <w:rPr>
          <w:rFonts w:ascii="Times New Roman" w:eastAsia="Times New Roman" w:hAnsi="Times New Roman" w:cs="Times New Roman"/>
          <w:kern w:val="0"/>
          <w14:ligatures w14:val="none"/>
        </w:rPr>
        <w:t>Florence</w:t>
      </w:r>
      <w:r w:rsidRPr="00945CE1">
        <w:rPr>
          <w:rFonts w:ascii="Times New Roman" w:eastAsia="Times New Roman" w:hAnsi="Times New Roman" w:cs="Times New Roman"/>
          <w:spacing w:val="-16"/>
          <w:kern w:val="0"/>
          <w14:ligatures w14:val="none"/>
        </w:rPr>
        <w:t xml:space="preserve"> </w:t>
      </w:r>
      <w:r w:rsidRPr="00945CE1">
        <w:rPr>
          <w:rFonts w:ascii="Times New Roman" w:eastAsia="Times New Roman" w:hAnsi="Times New Roman" w:cs="Times New Roman"/>
          <w:kern w:val="0"/>
          <w14:ligatures w14:val="none"/>
        </w:rPr>
        <w:t>A.</w:t>
      </w:r>
      <w:r w:rsidRPr="00945CE1">
        <w:rPr>
          <w:rFonts w:ascii="Times New Roman" w:eastAsia="Times New Roman" w:hAnsi="Times New Roman" w:cs="Times New Roman"/>
          <w:spacing w:val="-2"/>
          <w:kern w:val="0"/>
          <w14:ligatures w14:val="none"/>
        </w:rPr>
        <w:t xml:space="preserve"> </w:t>
      </w:r>
      <w:r w:rsidRPr="00945CE1">
        <w:rPr>
          <w:rFonts w:ascii="Times New Roman" w:eastAsia="Times New Roman" w:hAnsi="Times New Roman" w:cs="Times New Roman"/>
          <w:kern w:val="0"/>
          <w14:ligatures w14:val="none"/>
        </w:rPr>
        <w:t>(PhD)</w:t>
      </w:r>
      <w:r w:rsidRPr="00945CE1">
        <w:rPr>
          <w:rFonts w:ascii="Times New Roman" w:eastAsia="Times New Roman" w:hAnsi="Times New Roman" w:cs="Times New Roman"/>
          <w:kern w:val="0"/>
          <w:vertAlign w:val="superscript"/>
          <w14:ligatures w14:val="none"/>
        </w:rPr>
        <w:t>1</w:t>
      </w:r>
      <w:r w:rsidRPr="00945CE1">
        <w:rPr>
          <w:rFonts w:ascii="Times New Roman" w:eastAsia="Times New Roman" w:hAnsi="Times New Roman" w:cs="Times New Roman"/>
          <w:spacing w:val="-1"/>
          <w:kern w:val="0"/>
          <w14:ligatures w14:val="none"/>
        </w:rPr>
        <w:t xml:space="preserve"> </w:t>
      </w:r>
      <w:r w:rsidRPr="00945CE1">
        <w:rPr>
          <w:rFonts w:ascii="Times New Roman" w:eastAsia="Times New Roman" w:hAnsi="Times New Roman" w:cs="Times New Roman"/>
          <w:kern w:val="0"/>
          <w14:ligatures w14:val="none"/>
        </w:rPr>
        <w:t>&amp;</w:t>
      </w:r>
      <w:r w:rsidRPr="00945CE1">
        <w:rPr>
          <w:rFonts w:ascii="Times New Roman" w:eastAsia="Times New Roman" w:hAnsi="Times New Roman" w:cs="Times New Roman"/>
          <w:spacing w:val="-3"/>
          <w:kern w:val="0"/>
          <w14:ligatures w14:val="none"/>
        </w:rPr>
        <w:t xml:space="preserve"> </w:t>
      </w:r>
      <w:r w:rsidRPr="00945CE1">
        <w:rPr>
          <w:rFonts w:ascii="Times New Roman" w:eastAsia="Times New Roman" w:hAnsi="Times New Roman" w:cs="Times New Roman"/>
          <w:kern w:val="0"/>
          <w14:ligatures w14:val="none"/>
        </w:rPr>
        <w:t>Diboye-Suku,</w:t>
      </w:r>
      <w:r w:rsidRPr="00945CE1">
        <w:rPr>
          <w:rFonts w:ascii="Times New Roman" w:eastAsia="Times New Roman" w:hAnsi="Times New Roman" w:cs="Times New Roman"/>
          <w:spacing w:val="-2"/>
          <w:kern w:val="0"/>
          <w14:ligatures w14:val="none"/>
        </w:rPr>
        <w:t xml:space="preserve"> </w:t>
      </w:r>
      <w:r w:rsidRPr="00945CE1">
        <w:rPr>
          <w:rFonts w:ascii="Times New Roman" w:eastAsia="Times New Roman" w:hAnsi="Times New Roman" w:cs="Times New Roman"/>
          <w:kern w:val="0"/>
          <w14:ligatures w14:val="none"/>
        </w:rPr>
        <w:t>Zion</w:t>
      </w:r>
      <w:r w:rsidRPr="00945CE1">
        <w:rPr>
          <w:rFonts w:ascii="Times New Roman" w:eastAsia="Times New Roman" w:hAnsi="Times New Roman" w:cs="Times New Roman"/>
          <w:spacing w:val="-15"/>
          <w:kern w:val="0"/>
          <w14:ligatures w14:val="none"/>
        </w:rPr>
        <w:t xml:space="preserve"> </w:t>
      </w:r>
      <w:proofErr w:type="spellStart"/>
      <w:r w:rsidRPr="00945CE1">
        <w:rPr>
          <w:rFonts w:ascii="Times New Roman" w:eastAsia="Times New Roman" w:hAnsi="Times New Roman" w:cs="Times New Roman"/>
          <w:kern w:val="0"/>
          <w14:ligatures w14:val="none"/>
        </w:rPr>
        <w:t>Alaso</w:t>
      </w:r>
      <w:proofErr w:type="spellEnd"/>
      <w:r w:rsidRPr="00945CE1">
        <w:rPr>
          <w:rFonts w:ascii="Times New Roman" w:eastAsia="Times New Roman" w:hAnsi="Times New Roman" w:cs="Times New Roman"/>
          <w:spacing w:val="-4"/>
          <w:kern w:val="0"/>
          <w14:ligatures w14:val="none"/>
        </w:rPr>
        <w:t xml:space="preserve"> </w:t>
      </w:r>
      <w:r w:rsidRPr="00945CE1">
        <w:rPr>
          <w:rFonts w:ascii="Times New Roman" w:eastAsia="Times New Roman" w:hAnsi="Times New Roman" w:cs="Times New Roman"/>
          <w:spacing w:val="-2"/>
          <w:kern w:val="0"/>
          <w14:ligatures w14:val="none"/>
        </w:rPr>
        <w:t>(PhD)</w:t>
      </w:r>
      <w:r w:rsidRPr="00945CE1">
        <w:rPr>
          <w:rFonts w:ascii="Times New Roman" w:eastAsia="Times New Roman" w:hAnsi="Times New Roman" w:cs="Times New Roman"/>
          <w:spacing w:val="-2"/>
          <w:kern w:val="0"/>
          <w:vertAlign w:val="superscript"/>
          <w14:ligatures w14:val="none"/>
        </w:rPr>
        <w:t>2</w:t>
      </w:r>
    </w:p>
    <w:p w14:paraId="6C8F0884" w14:textId="77777777" w:rsidR="00236392" w:rsidRDefault="00236392" w:rsidP="00C37842">
      <w:pPr>
        <w:spacing w:after="0" w:line="240" w:lineRule="auto"/>
        <w:jc w:val="both"/>
        <w:rPr>
          <w:rFonts w:ascii="Times New Roman" w:hAnsi="Times New Roman" w:cs="Times New Roman"/>
          <w:b/>
          <w:bCs/>
        </w:rPr>
      </w:pPr>
    </w:p>
    <w:p w14:paraId="7897DC9E" w14:textId="77777777" w:rsidR="000C0C53" w:rsidRDefault="000C0C53" w:rsidP="000C0C53">
      <w:pPr>
        <w:spacing w:after="0" w:line="240" w:lineRule="auto"/>
        <w:ind w:left="720" w:hanging="720"/>
        <w:jc w:val="both"/>
        <w:rPr>
          <w:rFonts w:ascii="Times New Roman" w:hAnsi="Times New Roman" w:cs="Times New Roman"/>
          <w:b/>
          <w:bCs/>
          <w:lang/>
        </w:rPr>
      </w:pPr>
      <w:r>
        <w:rPr>
          <w:rFonts w:ascii="Times New Roman" w:hAnsi="Times New Roman" w:cs="Times New Roman"/>
          <w:b/>
          <w:bCs/>
        </w:rPr>
        <w:t>6.</w:t>
      </w:r>
      <w:r>
        <w:rPr>
          <w:rFonts w:ascii="Times New Roman" w:hAnsi="Times New Roman" w:cs="Times New Roman"/>
          <w:b/>
          <w:bCs/>
        </w:rPr>
        <w:tab/>
      </w:r>
      <w:r w:rsidRPr="00A016E7">
        <w:rPr>
          <w:rFonts w:ascii="Times New Roman" w:hAnsi="Times New Roman" w:cs="Times New Roman"/>
          <w:b/>
          <w:bCs/>
          <w:lang/>
        </w:rPr>
        <w:t xml:space="preserve">Digital Innovation </w:t>
      </w:r>
      <w:r>
        <w:rPr>
          <w:rFonts w:ascii="Times New Roman" w:hAnsi="Times New Roman" w:cs="Times New Roman"/>
          <w:b/>
          <w:bCs/>
        </w:rPr>
        <w:t>a</w:t>
      </w:r>
      <w:r w:rsidRPr="00A016E7">
        <w:rPr>
          <w:rFonts w:ascii="Times New Roman" w:hAnsi="Times New Roman" w:cs="Times New Roman"/>
          <w:b/>
          <w:bCs/>
          <w:lang/>
        </w:rPr>
        <w:t xml:space="preserve">nd Service Delivery Effectiveness </w:t>
      </w:r>
      <w:proofErr w:type="spellStart"/>
      <w:r>
        <w:rPr>
          <w:rFonts w:ascii="Times New Roman" w:hAnsi="Times New Roman" w:cs="Times New Roman"/>
          <w:b/>
          <w:bCs/>
        </w:rPr>
        <w:t>i</w:t>
      </w:r>
      <w:proofErr w:type="spellEnd"/>
      <w:r w:rsidRPr="00A016E7">
        <w:rPr>
          <w:rFonts w:ascii="Times New Roman" w:hAnsi="Times New Roman" w:cs="Times New Roman"/>
          <w:b/>
          <w:bCs/>
          <w:lang/>
        </w:rPr>
        <w:t xml:space="preserve">n Open Distance Learning Universities: A Study </w:t>
      </w:r>
      <w:r>
        <w:rPr>
          <w:rFonts w:ascii="Times New Roman" w:hAnsi="Times New Roman" w:cs="Times New Roman"/>
          <w:b/>
          <w:bCs/>
        </w:rPr>
        <w:t>o</w:t>
      </w:r>
      <w:r w:rsidRPr="00A016E7">
        <w:rPr>
          <w:rFonts w:ascii="Times New Roman" w:hAnsi="Times New Roman" w:cs="Times New Roman"/>
          <w:b/>
          <w:bCs/>
          <w:lang/>
        </w:rPr>
        <w:t>f The National Open University, Nigeria</w:t>
      </w:r>
    </w:p>
    <w:p w14:paraId="74F7A4FD" w14:textId="77777777" w:rsidR="000C0C53" w:rsidRPr="005B144C" w:rsidRDefault="000C0C53" w:rsidP="000C0C53">
      <w:pPr>
        <w:spacing w:after="0" w:line="240" w:lineRule="auto"/>
        <w:ind w:firstLine="720"/>
        <w:jc w:val="both"/>
        <w:rPr>
          <w:rFonts w:ascii="Times New Roman" w:hAnsi="Times New Roman" w:cs="Times New Roman"/>
          <w:bCs/>
          <w:vertAlign w:val="superscript"/>
        </w:rPr>
      </w:pPr>
      <w:proofErr w:type="spellStart"/>
      <w:r w:rsidRPr="005B144C">
        <w:rPr>
          <w:rFonts w:ascii="Times New Roman" w:hAnsi="Times New Roman" w:cs="Times New Roman"/>
          <w:bCs/>
        </w:rPr>
        <w:t>Oboromeni</w:t>
      </w:r>
      <w:proofErr w:type="spellEnd"/>
      <w:r w:rsidRPr="005B144C">
        <w:rPr>
          <w:rFonts w:ascii="Times New Roman" w:hAnsi="Times New Roman" w:cs="Times New Roman"/>
          <w:bCs/>
        </w:rPr>
        <w:t xml:space="preserve"> Weinoh</w:t>
      </w:r>
      <w:r w:rsidRPr="005B144C">
        <w:rPr>
          <w:rFonts w:ascii="Times New Roman" w:hAnsi="Times New Roman" w:cs="Times New Roman"/>
          <w:bCs/>
          <w:vertAlign w:val="superscript"/>
        </w:rPr>
        <w:t>1</w:t>
      </w:r>
      <w:r w:rsidRPr="005B144C">
        <w:rPr>
          <w:rFonts w:ascii="Times New Roman" w:hAnsi="Times New Roman" w:cs="Times New Roman"/>
          <w:bCs/>
        </w:rPr>
        <w:t>, Mavis B. Madu</w:t>
      </w:r>
      <w:r w:rsidRPr="005B144C">
        <w:rPr>
          <w:rFonts w:ascii="Times New Roman" w:hAnsi="Times New Roman" w:cs="Times New Roman"/>
          <w:bCs/>
          <w:vertAlign w:val="superscript"/>
        </w:rPr>
        <w:t>2</w:t>
      </w:r>
      <w:r w:rsidRPr="005B144C">
        <w:rPr>
          <w:rFonts w:ascii="Times New Roman" w:hAnsi="Times New Roman" w:cs="Times New Roman"/>
          <w:bCs/>
        </w:rPr>
        <w:t>, Aminat A. Abdulrasheed</w:t>
      </w:r>
      <w:r w:rsidRPr="005B144C">
        <w:rPr>
          <w:rFonts w:ascii="Times New Roman" w:hAnsi="Times New Roman" w:cs="Times New Roman"/>
          <w:bCs/>
          <w:vertAlign w:val="superscript"/>
        </w:rPr>
        <w:t>3</w:t>
      </w:r>
    </w:p>
    <w:p w14:paraId="5B816708" w14:textId="77777777" w:rsidR="000C0C53" w:rsidRDefault="000C0C53" w:rsidP="000C0C53">
      <w:pPr>
        <w:spacing w:after="0" w:line="240" w:lineRule="auto"/>
        <w:jc w:val="both"/>
      </w:pPr>
    </w:p>
    <w:p w14:paraId="37160F72" w14:textId="77777777" w:rsidR="000C0C53" w:rsidRDefault="000C0C53" w:rsidP="000C0C53">
      <w:pPr>
        <w:spacing w:after="0" w:line="240" w:lineRule="auto"/>
        <w:ind w:left="720" w:hanging="720"/>
        <w:jc w:val="both"/>
        <w:rPr>
          <w:rFonts w:ascii="Times New Roman" w:hAnsi="Times New Roman" w:cs="Times New Roman"/>
          <w:b/>
          <w:bCs/>
        </w:rPr>
      </w:pPr>
      <w:r w:rsidRPr="000C0C53">
        <w:rPr>
          <w:b/>
          <w:bCs/>
        </w:rPr>
        <w:t>7.</w:t>
      </w:r>
      <w:r>
        <w:rPr>
          <w:b/>
          <w:bCs/>
        </w:rPr>
        <w:tab/>
      </w:r>
      <w:r w:rsidRPr="00A83B95">
        <w:rPr>
          <w:rFonts w:ascii="Times New Roman" w:hAnsi="Times New Roman" w:cs="Times New Roman"/>
          <w:b/>
          <w:bCs/>
        </w:rPr>
        <w:t>Role of Innovation-Driven Competitive Advantage and Customer Experience in the Sustainability of Hi-Tech Ventures in Southwest Nigeria</w:t>
      </w:r>
    </w:p>
    <w:p w14:paraId="645B5C8F" w14:textId="77777777" w:rsidR="000C0C53" w:rsidRPr="009C1A57" w:rsidRDefault="000C0C53" w:rsidP="000C0C53">
      <w:pPr>
        <w:spacing w:after="0" w:line="240" w:lineRule="auto"/>
        <w:ind w:firstLine="720"/>
        <w:jc w:val="both"/>
        <w:rPr>
          <w:rFonts w:ascii="Times New Roman" w:hAnsi="Times New Roman" w:cs="Times New Roman"/>
        </w:rPr>
      </w:pPr>
      <w:r w:rsidRPr="009C1A57">
        <w:rPr>
          <w:rFonts w:ascii="Times New Roman" w:hAnsi="Times New Roman" w:cs="Times New Roman"/>
        </w:rPr>
        <w:t>Ukeme Gabriel Okon</w:t>
      </w:r>
    </w:p>
    <w:p w14:paraId="23FE7FF3" w14:textId="1FFAB31E" w:rsidR="000C0C53" w:rsidRPr="000C0C53" w:rsidRDefault="000C0C53" w:rsidP="000C0C53">
      <w:pPr>
        <w:spacing w:after="0" w:line="240" w:lineRule="auto"/>
        <w:jc w:val="both"/>
        <w:rPr>
          <w:b/>
          <w:bCs/>
        </w:rPr>
      </w:pPr>
    </w:p>
    <w:p w14:paraId="2FC4851D" w14:textId="0E5A981E" w:rsidR="000C0C53" w:rsidRDefault="000C0C53" w:rsidP="00C37842">
      <w:pPr>
        <w:spacing w:after="0" w:line="240" w:lineRule="auto"/>
        <w:jc w:val="both"/>
        <w:rPr>
          <w:rFonts w:ascii="Times New Roman" w:hAnsi="Times New Roman" w:cs="Times New Roman"/>
          <w:b/>
          <w:bCs/>
        </w:rPr>
      </w:pPr>
    </w:p>
    <w:p w14:paraId="4C6425DE" w14:textId="21058A15" w:rsidR="00C37842" w:rsidRPr="002D75ED" w:rsidRDefault="00C37842" w:rsidP="00C37842">
      <w:pPr>
        <w:spacing w:after="0" w:line="240" w:lineRule="auto"/>
        <w:jc w:val="both"/>
        <w:rPr>
          <w:rFonts w:ascii="Times New Roman" w:hAnsi="Times New Roman" w:cs="Times New Roman"/>
          <w:b/>
          <w:bCs/>
        </w:rPr>
      </w:pPr>
      <w:r w:rsidRPr="002D75ED">
        <w:rPr>
          <w:rFonts w:ascii="Times New Roman" w:hAnsi="Times New Roman" w:cs="Times New Roman"/>
          <w:b/>
          <w:bCs/>
        </w:rPr>
        <w:t>PART FIVE: MARKETING</w:t>
      </w:r>
    </w:p>
    <w:p w14:paraId="390D8932" w14:textId="77777777" w:rsidR="00C37842" w:rsidRPr="00DF4E1A" w:rsidRDefault="00C37842" w:rsidP="00C37842">
      <w:pPr>
        <w:spacing w:after="0" w:line="240" w:lineRule="auto"/>
        <w:jc w:val="both"/>
        <w:rPr>
          <w:rFonts w:ascii="Times New Roman" w:hAnsi="Times New Roman" w:cs="Times New Roman"/>
          <w:b/>
          <w:bCs/>
          <w:sz w:val="36"/>
          <w:szCs w:val="36"/>
        </w:rPr>
      </w:pPr>
    </w:p>
    <w:p w14:paraId="57550AF2" w14:textId="7D3A42DD" w:rsidR="00C37842" w:rsidRPr="00C37842" w:rsidRDefault="00C37842" w:rsidP="00C37842">
      <w:pPr>
        <w:widowControl w:val="0"/>
        <w:autoSpaceDE w:val="0"/>
        <w:autoSpaceDN w:val="0"/>
        <w:spacing w:after="0" w:line="240" w:lineRule="auto"/>
        <w:ind w:left="720" w:right="14" w:hanging="720"/>
        <w:jc w:val="both"/>
        <w:outlineLvl w:val="1"/>
        <w:rPr>
          <w:rFonts w:ascii="Times New Roman" w:eastAsia="Times New Roman" w:hAnsi="Times New Roman" w:cs="Times New Roman"/>
          <w:b/>
          <w:bCs/>
          <w:kern w:val="0"/>
          <w14:ligatures w14:val="none"/>
        </w:rPr>
      </w:pPr>
      <w:r w:rsidRPr="00C37842">
        <w:rPr>
          <w:rFonts w:ascii="Times New Roman" w:eastAsia="Times New Roman" w:hAnsi="Times New Roman" w:cs="Times New Roman"/>
          <w:b/>
          <w:bCs/>
          <w:kern w:val="0"/>
          <w14:ligatures w14:val="none"/>
        </w:rPr>
        <w:t>1.</w:t>
      </w:r>
      <w:r>
        <w:rPr>
          <w:rFonts w:ascii="Times New Roman" w:eastAsia="Times New Roman" w:hAnsi="Times New Roman" w:cs="Times New Roman"/>
          <w:b/>
          <w:bCs/>
          <w:kern w:val="0"/>
          <w14:ligatures w14:val="none"/>
        </w:rPr>
        <w:tab/>
      </w:r>
      <w:r w:rsidRPr="00C37842">
        <w:rPr>
          <w:rFonts w:ascii="Times New Roman" w:eastAsia="Times New Roman" w:hAnsi="Times New Roman" w:cs="Times New Roman"/>
          <w:b/>
          <w:bCs/>
          <w:kern w:val="0"/>
          <w14:ligatures w14:val="none"/>
        </w:rPr>
        <w:t>Demand</w:t>
      </w:r>
      <w:r w:rsidRPr="00C37842">
        <w:rPr>
          <w:rFonts w:ascii="Times New Roman" w:eastAsia="Times New Roman" w:hAnsi="Times New Roman" w:cs="Times New Roman"/>
          <w:b/>
          <w:bCs/>
          <w:spacing w:val="-12"/>
          <w:kern w:val="0"/>
          <w14:ligatures w14:val="none"/>
        </w:rPr>
        <w:t xml:space="preserve"> </w:t>
      </w:r>
      <w:r w:rsidRPr="00C37842">
        <w:rPr>
          <w:rFonts w:ascii="Times New Roman" w:eastAsia="Times New Roman" w:hAnsi="Times New Roman" w:cs="Times New Roman"/>
          <w:b/>
          <w:bCs/>
          <w:kern w:val="0"/>
          <w14:ligatures w14:val="none"/>
        </w:rPr>
        <w:t>Forecasting</w:t>
      </w:r>
      <w:r w:rsidRPr="00C37842">
        <w:rPr>
          <w:rFonts w:ascii="Times New Roman" w:eastAsia="Times New Roman" w:hAnsi="Times New Roman" w:cs="Times New Roman"/>
          <w:b/>
          <w:bCs/>
          <w:spacing w:val="-12"/>
          <w:kern w:val="0"/>
          <w14:ligatures w14:val="none"/>
        </w:rPr>
        <w:t xml:space="preserve"> </w:t>
      </w:r>
      <w:r w:rsidRPr="00C37842">
        <w:rPr>
          <w:rFonts w:ascii="Times New Roman" w:eastAsia="Times New Roman" w:hAnsi="Times New Roman" w:cs="Times New Roman"/>
          <w:b/>
          <w:bCs/>
          <w:kern w:val="0"/>
          <w14:ligatures w14:val="none"/>
        </w:rPr>
        <w:t>and</w:t>
      </w:r>
      <w:r w:rsidRPr="00C37842">
        <w:rPr>
          <w:rFonts w:ascii="Times New Roman" w:eastAsia="Times New Roman" w:hAnsi="Times New Roman" w:cs="Times New Roman"/>
          <w:b/>
          <w:bCs/>
          <w:spacing w:val="-12"/>
          <w:kern w:val="0"/>
          <w14:ligatures w14:val="none"/>
        </w:rPr>
        <w:t xml:space="preserve"> </w:t>
      </w:r>
      <w:r w:rsidRPr="00C37842">
        <w:rPr>
          <w:rFonts w:ascii="Times New Roman" w:eastAsia="Times New Roman" w:hAnsi="Times New Roman" w:cs="Times New Roman"/>
          <w:b/>
          <w:bCs/>
          <w:kern w:val="0"/>
          <w14:ligatures w14:val="none"/>
        </w:rPr>
        <w:t>Inventory</w:t>
      </w:r>
      <w:r w:rsidRPr="00C37842">
        <w:rPr>
          <w:rFonts w:ascii="Times New Roman" w:eastAsia="Times New Roman" w:hAnsi="Times New Roman" w:cs="Times New Roman"/>
          <w:b/>
          <w:bCs/>
          <w:spacing w:val="-12"/>
          <w:kern w:val="0"/>
          <w14:ligatures w14:val="none"/>
        </w:rPr>
        <w:t xml:space="preserve"> </w:t>
      </w:r>
      <w:r w:rsidRPr="00C37842">
        <w:rPr>
          <w:rFonts w:ascii="Times New Roman" w:eastAsia="Times New Roman" w:hAnsi="Times New Roman" w:cs="Times New Roman"/>
          <w:b/>
          <w:bCs/>
          <w:kern w:val="0"/>
          <w14:ligatures w14:val="none"/>
        </w:rPr>
        <w:t>Optimization</w:t>
      </w:r>
      <w:r w:rsidRPr="00C37842">
        <w:rPr>
          <w:rFonts w:ascii="Times New Roman" w:eastAsia="Times New Roman" w:hAnsi="Times New Roman" w:cs="Times New Roman"/>
          <w:b/>
          <w:bCs/>
          <w:spacing w:val="-12"/>
          <w:kern w:val="0"/>
          <w14:ligatures w14:val="none"/>
        </w:rPr>
        <w:t xml:space="preserve"> </w:t>
      </w:r>
      <w:r w:rsidRPr="00C37842">
        <w:rPr>
          <w:rFonts w:ascii="Times New Roman" w:eastAsia="Times New Roman" w:hAnsi="Times New Roman" w:cs="Times New Roman"/>
          <w:b/>
          <w:bCs/>
          <w:kern w:val="0"/>
          <w14:ligatures w14:val="none"/>
        </w:rPr>
        <w:t>of</w:t>
      </w:r>
      <w:r w:rsidRPr="00C37842">
        <w:rPr>
          <w:rFonts w:ascii="Times New Roman" w:eastAsia="Times New Roman" w:hAnsi="Times New Roman" w:cs="Times New Roman"/>
          <w:b/>
          <w:bCs/>
          <w:spacing w:val="-12"/>
          <w:kern w:val="0"/>
          <w14:ligatures w14:val="none"/>
        </w:rPr>
        <w:t xml:space="preserve"> </w:t>
      </w:r>
      <w:r w:rsidRPr="00C37842">
        <w:rPr>
          <w:rFonts w:ascii="Times New Roman" w:eastAsia="Times New Roman" w:hAnsi="Times New Roman" w:cs="Times New Roman"/>
          <w:b/>
          <w:bCs/>
          <w:kern w:val="0"/>
          <w14:ligatures w14:val="none"/>
        </w:rPr>
        <w:t xml:space="preserve">Bottled Water Firms </w:t>
      </w:r>
      <w:r>
        <w:rPr>
          <w:rFonts w:ascii="Times New Roman" w:eastAsia="Times New Roman" w:hAnsi="Times New Roman" w:cs="Times New Roman"/>
          <w:b/>
          <w:bCs/>
          <w:kern w:val="0"/>
          <w14:ligatures w14:val="none"/>
        </w:rPr>
        <w:t>i</w:t>
      </w:r>
      <w:r w:rsidRPr="00C37842">
        <w:rPr>
          <w:rFonts w:ascii="Times New Roman" w:eastAsia="Times New Roman" w:hAnsi="Times New Roman" w:cs="Times New Roman"/>
          <w:b/>
          <w:bCs/>
          <w:kern w:val="0"/>
          <w14:ligatures w14:val="none"/>
        </w:rPr>
        <w:t>n Port Harcourt, Rivers State</w:t>
      </w:r>
    </w:p>
    <w:p w14:paraId="7491C033" w14:textId="76C848A2" w:rsidR="00C37842" w:rsidRPr="00C259D6" w:rsidRDefault="00C37842" w:rsidP="00C37842">
      <w:pPr>
        <w:widowControl w:val="0"/>
        <w:autoSpaceDE w:val="0"/>
        <w:autoSpaceDN w:val="0"/>
        <w:spacing w:after="0" w:line="240" w:lineRule="auto"/>
        <w:ind w:right="16" w:firstLine="720"/>
        <w:rPr>
          <w:rFonts w:ascii="Times New Roman" w:eastAsia="Times New Roman" w:hAnsi="Times New Roman" w:cs="Times New Roman"/>
          <w:kern w:val="0"/>
          <w:szCs w:val="22"/>
          <w14:ligatures w14:val="none"/>
        </w:rPr>
      </w:pPr>
      <w:proofErr w:type="spellStart"/>
      <w:r w:rsidRPr="00C259D6">
        <w:rPr>
          <w:rFonts w:ascii="Times New Roman" w:eastAsia="Times New Roman" w:hAnsi="Times New Roman" w:cs="Times New Roman"/>
          <w:kern w:val="0"/>
          <w14:ligatures w14:val="none"/>
        </w:rPr>
        <w:t>Kpormon</w:t>
      </w:r>
      <w:proofErr w:type="spellEnd"/>
      <w:r w:rsidRPr="00C259D6">
        <w:rPr>
          <w:rFonts w:ascii="Times New Roman" w:eastAsia="Times New Roman" w:hAnsi="Times New Roman" w:cs="Times New Roman"/>
          <w:kern w:val="0"/>
          <w14:ligatures w14:val="none"/>
        </w:rPr>
        <w:t xml:space="preserve"> Mene </w:t>
      </w:r>
      <w:r w:rsidRPr="00C259D6">
        <w:rPr>
          <w:rFonts w:ascii="Times New Roman" w:eastAsia="Times New Roman" w:hAnsi="Times New Roman" w:cs="Times New Roman"/>
          <w:spacing w:val="-2"/>
          <w:kern w:val="0"/>
          <w14:ligatures w14:val="none"/>
        </w:rPr>
        <w:t>Dumdibabari</w:t>
      </w:r>
      <w:r w:rsidR="00C259D6" w:rsidRPr="00C259D6">
        <w:rPr>
          <w:rFonts w:ascii="Times New Roman" w:eastAsia="Times New Roman" w:hAnsi="Times New Roman" w:cs="Times New Roman"/>
          <w:spacing w:val="-2"/>
          <w:kern w:val="0"/>
          <w14:ligatures w14:val="none"/>
        </w:rPr>
        <w:t>, Dr</w:t>
      </w:r>
      <w:r w:rsidR="00C259D6">
        <w:rPr>
          <w:rFonts w:ascii="Times New Roman" w:eastAsia="Times New Roman" w:hAnsi="Times New Roman" w:cs="Times New Roman"/>
          <w:spacing w:val="-2"/>
          <w:kern w:val="0"/>
          <w14:ligatures w14:val="none"/>
        </w:rPr>
        <w:t>.</w:t>
      </w:r>
      <w:r w:rsidR="00C259D6" w:rsidRPr="00C259D6">
        <w:rPr>
          <w:rFonts w:ascii="Times New Roman" w:eastAsia="Times New Roman" w:hAnsi="Times New Roman" w:cs="Times New Roman"/>
          <w:spacing w:val="-2"/>
          <w:kern w:val="0"/>
          <w14:ligatures w14:val="none"/>
        </w:rPr>
        <w:t xml:space="preserve"> </w:t>
      </w:r>
      <w:proofErr w:type="spellStart"/>
      <w:r w:rsidR="00C259D6" w:rsidRPr="00C259D6">
        <w:rPr>
          <w:rFonts w:ascii="Times New Roman" w:eastAsia="Times New Roman" w:hAnsi="Times New Roman" w:cs="Times New Roman"/>
          <w:spacing w:val="-2"/>
          <w:kern w:val="0"/>
          <w14:ligatures w14:val="none"/>
        </w:rPr>
        <w:t>Bazia</w:t>
      </w:r>
      <w:proofErr w:type="spellEnd"/>
      <w:r w:rsidR="00C259D6" w:rsidRPr="00C259D6">
        <w:rPr>
          <w:rFonts w:ascii="Times New Roman" w:eastAsia="Times New Roman" w:hAnsi="Times New Roman" w:cs="Times New Roman"/>
          <w:spacing w:val="-2"/>
          <w:kern w:val="0"/>
          <w14:ligatures w14:val="none"/>
        </w:rPr>
        <w:t>, John S.N.</w:t>
      </w:r>
      <w:r w:rsidRPr="00C259D6">
        <w:rPr>
          <w:rFonts w:ascii="Times New Roman" w:eastAsia="Times New Roman" w:hAnsi="Times New Roman" w:cs="Times New Roman"/>
          <w:spacing w:val="-2"/>
          <w:kern w:val="0"/>
          <w14:ligatures w14:val="none"/>
        </w:rPr>
        <w:t xml:space="preserve"> </w:t>
      </w:r>
      <w:r w:rsidRPr="00C259D6">
        <w:rPr>
          <w:rFonts w:ascii="Times New Roman" w:eastAsia="Times New Roman" w:hAnsi="Times New Roman" w:cs="Times New Roman"/>
          <w:spacing w:val="-10"/>
          <w:kern w:val="0"/>
          <w:szCs w:val="22"/>
          <w14:ligatures w14:val="none"/>
        </w:rPr>
        <w:t xml:space="preserve">&amp; </w:t>
      </w:r>
      <w:r w:rsidRPr="00C259D6">
        <w:rPr>
          <w:rFonts w:ascii="Times New Roman" w:eastAsia="Times New Roman" w:hAnsi="Times New Roman" w:cs="Times New Roman"/>
          <w:kern w:val="0"/>
          <w:szCs w:val="22"/>
          <w14:ligatures w14:val="none"/>
        </w:rPr>
        <w:t>Dr.</w:t>
      </w:r>
      <w:r w:rsidRPr="00C259D6">
        <w:rPr>
          <w:rFonts w:ascii="Times New Roman" w:eastAsia="Times New Roman" w:hAnsi="Times New Roman" w:cs="Times New Roman"/>
          <w:spacing w:val="-14"/>
          <w:kern w:val="0"/>
          <w:szCs w:val="22"/>
          <w14:ligatures w14:val="none"/>
        </w:rPr>
        <w:t xml:space="preserve"> </w:t>
      </w:r>
      <w:proofErr w:type="spellStart"/>
      <w:r w:rsidRPr="00C259D6">
        <w:rPr>
          <w:rFonts w:ascii="Times New Roman" w:eastAsia="Times New Roman" w:hAnsi="Times New Roman" w:cs="Times New Roman"/>
          <w:kern w:val="0"/>
          <w:szCs w:val="22"/>
          <w14:ligatures w14:val="none"/>
        </w:rPr>
        <w:t>Jekey</w:t>
      </w:r>
      <w:proofErr w:type="spellEnd"/>
      <w:r w:rsidRPr="00C259D6">
        <w:rPr>
          <w:rFonts w:ascii="Times New Roman" w:eastAsia="Times New Roman" w:hAnsi="Times New Roman" w:cs="Times New Roman"/>
          <w:kern w:val="0"/>
          <w:szCs w:val="22"/>
          <w14:ligatures w14:val="none"/>
        </w:rPr>
        <w:t>,</w:t>
      </w:r>
      <w:r w:rsidRPr="00C259D6">
        <w:rPr>
          <w:rFonts w:ascii="Times New Roman" w:eastAsia="Times New Roman" w:hAnsi="Times New Roman" w:cs="Times New Roman"/>
          <w:spacing w:val="-14"/>
          <w:kern w:val="0"/>
          <w:szCs w:val="22"/>
          <w14:ligatures w14:val="none"/>
        </w:rPr>
        <w:t xml:space="preserve"> </w:t>
      </w:r>
      <w:proofErr w:type="spellStart"/>
      <w:r w:rsidRPr="00C259D6">
        <w:rPr>
          <w:rFonts w:ascii="Times New Roman" w:eastAsia="Times New Roman" w:hAnsi="Times New Roman" w:cs="Times New Roman"/>
          <w:kern w:val="0"/>
          <w:szCs w:val="22"/>
          <w14:ligatures w14:val="none"/>
        </w:rPr>
        <w:t>Lekue</w:t>
      </w:r>
      <w:proofErr w:type="spellEnd"/>
    </w:p>
    <w:p w14:paraId="16876003" w14:textId="77777777" w:rsidR="00C37842" w:rsidRDefault="00C37842" w:rsidP="00C37842">
      <w:pPr>
        <w:spacing w:after="0" w:line="240" w:lineRule="auto"/>
        <w:ind w:right="-138"/>
        <w:jc w:val="both"/>
        <w:rPr>
          <w:rFonts w:ascii="Times New Roman" w:eastAsia="Aptos" w:hAnsi="Times New Roman" w:cs="Times New Roman"/>
          <w:b/>
          <w:bCs/>
        </w:rPr>
      </w:pPr>
    </w:p>
    <w:p w14:paraId="627B13C0" w14:textId="5CE0E1B4" w:rsidR="00C37842" w:rsidRDefault="00C37842" w:rsidP="00C37842">
      <w:pPr>
        <w:spacing w:after="0" w:line="240" w:lineRule="auto"/>
        <w:ind w:left="720" w:right="-138" w:hanging="720"/>
        <w:jc w:val="both"/>
        <w:rPr>
          <w:rFonts w:ascii="Times New Roman" w:eastAsia="Aptos" w:hAnsi="Times New Roman" w:cs="Times New Roman"/>
          <w:b/>
          <w:bCs/>
        </w:rPr>
      </w:pPr>
      <w:r>
        <w:rPr>
          <w:rFonts w:ascii="Times New Roman" w:eastAsia="Aptos" w:hAnsi="Times New Roman" w:cs="Times New Roman"/>
          <w:b/>
          <w:bCs/>
        </w:rPr>
        <w:t>2.</w:t>
      </w:r>
      <w:r>
        <w:rPr>
          <w:rFonts w:ascii="Times New Roman" w:eastAsia="Aptos" w:hAnsi="Times New Roman" w:cs="Times New Roman"/>
          <w:b/>
          <w:bCs/>
        </w:rPr>
        <w:tab/>
      </w:r>
      <w:r w:rsidRPr="00DF4E1A">
        <w:rPr>
          <w:rFonts w:ascii="Times New Roman" w:eastAsia="Aptos" w:hAnsi="Times New Roman" w:cs="Times New Roman"/>
          <w:b/>
          <w:bCs/>
        </w:rPr>
        <w:t xml:space="preserve">Social Media, A Tool for Brand Awareness: Case Study of </w:t>
      </w:r>
      <w:proofErr w:type="spellStart"/>
      <w:r w:rsidRPr="00DF4E1A">
        <w:rPr>
          <w:rFonts w:ascii="Times New Roman" w:eastAsia="Aptos" w:hAnsi="Times New Roman" w:cs="Times New Roman"/>
          <w:b/>
          <w:bCs/>
        </w:rPr>
        <w:t>Rennies</w:t>
      </w:r>
      <w:proofErr w:type="spellEnd"/>
      <w:r w:rsidRPr="00DF4E1A">
        <w:rPr>
          <w:rFonts w:ascii="Times New Roman" w:eastAsia="Aptos" w:hAnsi="Times New Roman" w:cs="Times New Roman"/>
          <w:b/>
          <w:bCs/>
        </w:rPr>
        <w:t xml:space="preserve"> Speciale Catering Service (RSCS)</w:t>
      </w:r>
    </w:p>
    <w:p w14:paraId="26B1A397" w14:textId="77777777" w:rsidR="00C37842" w:rsidRPr="002D75ED" w:rsidRDefault="00C37842" w:rsidP="00C37842">
      <w:pPr>
        <w:spacing w:line="240" w:lineRule="auto"/>
        <w:ind w:left="720" w:right="-138"/>
        <w:jc w:val="both"/>
        <w:rPr>
          <w:rFonts w:ascii="Times New Roman" w:eastAsia="Aptos" w:hAnsi="Times New Roman" w:cs="Times New Roman"/>
          <w:b/>
          <w:bCs/>
        </w:rPr>
      </w:pPr>
      <w:r w:rsidRPr="00DF4E1A">
        <w:rPr>
          <w:rFonts w:ascii="Times New Roman" w:eastAsia="Aptos" w:hAnsi="Times New Roman" w:cs="Times New Roman"/>
        </w:rPr>
        <w:t>Omotoyosi Williams.,</w:t>
      </w:r>
      <w:r>
        <w:rPr>
          <w:rFonts w:ascii="Times New Roman" w:eastAsia="Aptos" w:hAnsi="Times New Roman" w:cs="Times New Roman"/>
        </w:rPr>
        <w:t xml:space="preserve"> </w:t>
      </w:r>
      <w:proofErr w:type="spellStart"/>
      <w:r w:rsidRPr="00DF4E1A">
        <w:rPr>
          <w:rFonts w:ascii="Times New Roman" w:eastAsia="Aptos" w:hAnsi="Times New Roman" w:cs="Times New Roman"/>
        </w:rPr>
        <w:t>Jiboye</w:t>
      </w:r>
      <w:proofErr w:type="spellEnd"/>
      <w:r w:rsidRPr="00DF4E1A">
        <w:rPr>
          <w:rFonts w:ascii="Times New Roman" w:eastAsia="Aptos" w:hAnsi="Times New Roman" w:cs="Times New Roman"/>
        </w:rPr>
        <w:t xml:space="preserve"> Temitope Favour., Akinyemi Folashade Oyeyemi.,</w:t>
      </w:r>
      <w:r>
        <w:rPr>
          <w:rFonts w:ascii="Times New Roman" w:eastAsia="Aptos" w:hAnsi="Times New Roman" w:cs="Times New Roman"/>
        </w:rPr>
        <w:t xml:space="preserve"> </w:t>
      </w:r>
      <w:r w:rsidRPr="00DF4E1A">
        <w:rPr>
          <w:rFonts w:ascii="Times New Roman" w:eastAsia="Aptos" w:hAnsi="Times New Roman" w:cs="Times New Roman"/>
        </w:rPr>
        <w:t>Opatola Mustapha.,</w:t>
      </w:r>
      <w:r>
        <w:rPr>
          <w:rFonts w:ascii="Times New Roman" w:eastAsia="Aptos" w:hAnsi="Times New Roman" w:cs="Times New Roman"/>
          <w:vertAlign w:val="superscript"/>
        </w:rPr>
        <w:t xml:space="preserve"> </w:t>
      </w:r>
      <w:proofErr w:type="spellStart"/>
      <w:r w:rsidRPr="00DF4E1A">
        <w:rPr>
          <w:rFonts w:ascii="Times New Roman" w:eastAsia="Aptos" w:hAnsi="Times New Roman" w:cs="Times New Roman"/>
        </w:rPr>
        <w:t>Famadewa</w:t>
      </w:r>
      <w:proofErr w:type="spellEnd"/>
      <w:r w:rsidRPr="00DF4E1A">
        <w:rPr>
          <w:rFonts w:ascii="Times New Roman" w:eastAsia="Aptos" w:hAnsi="Times New Roman" w:cs="Times New Roman"/>
        </w:rPr>
        <w:t xml:space="preserve"> </w:t>
      </w:r>
      <w:proofErr w:type="spellStart"/>
      <w:r w:rsidRPr="00DF4E1A">
        <w:rPr>
          <w:rFonts w:ascii="Times New Roman" w:eastAsia="Aptos" w:hAnsi="Times New Roman" w:cs="Times New Roman"/>
        </w:rPr>
        <w:t>Adetona</w:t>
      </w:r>
      <w:proofErr w:type="spellEnd"/>
      <w:r w:rsidRPr="00DF4E1A">
        <w:rPr>
          <w:rFonts w:ascii="Times New Roman" w:eastAsia="Aptos" w:hAnsi="Times New Roman" w:cs="Times New Roman"/>
        </w:rPr>
        <w:t xml:space="preserve"> David &amp; Oyewole Kunle Augustine</w:t>
      </w:r>
    </w:p>
    <w:p w14:paraId="07DD8E7B" w14:textId="0B23EFF2" w:rsidR="00C37842" w:rsidRDefault="00C37842" w:rsidP="00C37842">
      <w:pPr>
        <w:spacing w:after="0" w:line="240" w:lineRule="auto"/>
        <w:ind w:left="720" w:hanging="720"/>
        <w:jc w:val="both"/>
        <w:rPr>
          <w:rFonts w:ascii="Times New Roman" w:eastAsia="Calibri" w:hAnsi="Times New Roman" w:cs="Times New Roman"/>
          <w:b/>
          <w:kern w:val="0"/>
          <w:lang w:val="en-GB"/>
          <w14:ligatures w14:val="none"/>
        </w:rPr>
      </w:pPr>
      <w:r>
        <w:rPr>
          <w:rFonts w:ascii="Times New Roman" w:eastAsia="Calibri" w:hAnsi="Times New Roman" w:cs="Times New Roman"/>
          <w:b/>
          <w:kern w:val="0"/>
          <w:lang w:val="en-GB"/>
          <w14:ligatures w14:val="none"/>
        </w:rPr>
        <w:t>3.</w:t>
      </w:r>
      <w:r>
        <w:rPr>
          <w:rFonts w:ascii="Times New Roman" w:eastAsia="Calibri" w:hAnsi="Times New Roman" w:cs="Times New Roman"/>
          <w:b/>
          <w:kern w:val="0"/>
          <w:lang w:val="en-GB"/>
          <w14:ligatures w14:val="none"/>
        </w:rPr>
        <w:tab/>
      </w:r>
      <w:r w:rsidRPr="00DF4E1A">
        <w:rPr>
          <w:rFonts w:ascii="Times New Roman" w:eastAsia="Calibri" w:hAnsi="Times New Roman" w:cs="Times New Roman"/>
          <w:b/>
          <w:kern w:val="0"/>
          <w:lang w:val="en-GB"/>
          <w14:ligatures w14:val="none"/>
        </w:rPr>
        <w:t>Religious Digital Brand Equity and Loyalty of Church Member in Port Harcourt, Rivers State.</w:t>
      </w:r>
    </w:p>
    <w:p w14:paraId="12532441" w14:textId="307E50D5" w:rsidR="00A60822" w:rsidRDefault="00C37842" w:rsidP="0015036C">
      <w:pPr>
        <w:spacing w:after="0" w:line="240" w:lineRule="auto"/>
        <w:ind w:firstLine="720"/>
        <w:jc w:val="both"/>
        <w:rPr>
          <w:rFonts w:ascii="Times New Roman" w:hAnsi="Times New Roman" w:cs="Times New Roman"/>
          <w:b/>
          <w:bCs/>
          <w:sz w:val="32"/>
          <w:szCs w:val="32"/>
        </w:rPr>
      </w:pPr>
      <w:r w:rsidRPr="005D2F99">
        <w:rPr>
          <w:rFonts w:ascii="Times New Roman" w:eastAsia="Calibri" w:hAnsi="Times New Roman" w:cs="Times New Roman"/>
          <w:bCs/>
          <w:kern w:val="0"/>
          <w:lang w:val="en-GB"/>
          <w14:ligatures w14:val="none"/>
        </w:rPr>
        <w:t>Chioma G</w:t>
      </w:r>
      <w:r>
        <w:rPr>
          <w:rFonts w:ascii="Times New Roman" w:eastAsia="Calibri" w:hAnsi="Times New Roman" w:cs="Times New Roman"/>
          <w:bCs/>
          <w:kern w:val="0"/>
          <w:lang w:val="en-GB"/>
          <w14:ligatures w14:val="none"/>
        </w:rPr>
        <w:t>loria</w:t>
      </w:r>
      <w:r w:rsidRPr="005D2F99">
        <w:rPr>
          <w:rFonts w:ascii="Times New Roman" w:eastAsia="Calibri" w:hAnsi="Times New Roman" w:cs="Times New Roman"/>
          <w:bCs/>
          <w:kern w:val="0"/>
          <w:lang w:val="en-GB"/>
          <w14:ligatures w14:val="none"/>
        </w:rPr>
        <w:t xml:space="preserve"> Ogbonda (PhD)</w:t>
      </w:r>
    </w:p>
    <w:p w14:paraId="689EEC1A" w14:textId="77777777" w:rsidR="00A60822" w:rsidRDefault="00A60822" w:rsidP="00A60822">
      <w:pPr>
        <w:spacing w:after="0" w:line="240" w:lineRule="auto"/>
        <w:jc w:val="both"/>
        <w:rPr>
          <w:rFonts w:ascii="Times New Roman" w:hAnsi="Times New Roman" w:cs="Times New Roman"/>
          <w:b/>
          <w:bCs/>
          <w:sz w:val="32"/>
          <w:szCs w:val="32"/>
        </w:rPr>
      </w:pPr>
    </w:p>
    <w:p w14:paraId="1F10CDDA" w14:textId="77777777" w:rsidR="0015036C" w:rsidRDefault="0015036C" w:rsidP="0015036C">
      <w:pPr>
        <w:spacing w:after="0" w:line="240" w:lineRule="auto"/>
        <w:jc w:val="center"/>
        <w:rPr>
          <w:rFonts w:ascii="Times New Roman" w:hAnsi="Times New Roman" w:cs="Times New Roman"/>
          <w:b/>
          <w:bCs/>
        </w:rPr>
      </w:pPr>
    </w:p>
    <w:p w14:paraId="78390F76" w14:textId="77777777" w:rsidR="0015036C" w:rsidRDefault="0015036C" w:rsidP="0015036C">
      <w:pPr>
        <w:spacing w:after="0" w:line="240" w:lineRule="auto"/>
        <w:jc w:val="center"/>
        <w:rPr>
          <w:rFonts w:ascii="Times New Roman" w:hAnsi="Times New Roman" w:cs="Times New Roman"/>
          <w:b/>
          <w:bCs/>
        </w:rPr>
      </w:pPr>
    </w:p>
    <w:p w14:paraId="35434A00" w14:textId="77777777" w:rsidR="0015036C" w:rsidRDefault="0015036C" w:rsidP="0015036C">
      <w:pPr>
        <w:spacing w:after="0" w:line="240" w:lineRule="auto"/>
        <w:jc w:val="center"/>
        <w:rPr>
          <w:rFonts w:ascii="Times New Roman" w:hAnsi="Times New Roman" w:cs="Times New Roman"/>
          <w:b/>
          <w:bCs/>
        </w:rPr>
      </w:pPr>
    </w:p>
    <w:p w14:paraId="09857B50" w14:textId="77777777" w:rsidR="0015036C" w:rsidRDefault="0015036C" w:rsidP="0015036C">
      <w:pPr>
        <w:spacing w:after="0" w:line="240" w:lineRule="auto"/>
        <w:jc w:val="center"/>
        <w:rPr>
          <w:rFonts w:ascii="Times New Roman" w:hAnsi="Times New Roman" w:cs="Times New Roman"/>
          <w:b/>
          <w:bCs/>
        </w:rPr>
      </w:pPr>
    </w:p>
    <w:p w14:paraId="65F31888" w14:textId="77777777" w:rsidR="0015036C" w:rsidRDefault="0015036C" w:rsidP="0015036C">
      <w:pPr>
        <w:spacing w:after="0" w:line="240" w:lineRule="auto"/>
        <w:jc w:val="center"/>
        <w:rPr>
          <w:rFonts w:ascii="Times New Roman" w:hAnsi="Times New Roman" w:cs="Times New Roman"/>
          <w:b/>
          <w:bCs/>
        </w:rPr>
      </w:pPr>
    </w:p>
    <w:p w14:paraId="51B4473B" w14:textId="77777777" w:rsidR="0015036C" w:rsidRDefault="0015036C" w:rsidP="0015036C">
      <w:pPr>
        <w:spacing w:after="0" w:line="240" w:lineRule="auto"/>
        <w:jc w:val="center"/>
        <w:rPr>
          <w:rFonts w:ascii="Times New Roman" w:hAnsi="Times New Roman" w:cs="Times New Roman"/>
          <w:b/>
          <w:bCs/>
        </w:rPr>
      </w:pPr>
    </w:p>
    <w:p w14:paraId="6285D77B" w14:textId="77777777" w:rsidR="0015036C" w:rsidRDefault="0015036C" w:rsidP="0015036C">
      <w:pPr>
        <w:spacing w:after="0" w:line="240" w:lineRule="auto"/>
        <w:jc w:val="center"/>
        <w:rPr>
          <w:rFonts w:ascii="Times New Roman" w:hAnsi="Times New Roman" w:cs="Times New Roman"/>
          <w:b/>
          <w:bCs/>
        </w:rPr>
      </w:pPr>
    </w:p>
    <w:p w14:paraId="0C7FAD16" w14:textId="77777777" w:rsidR="005F7B2F" w:rsidRDefault="005F7B2F" w:rsidP="0015036C">
      <w:pPr>
        <w:spacing w:after="0" w:line="240" w:lineRule="auto"/>
        <w:jc w:val="center"/>
        <w:rPr>
          <w:rFonts w:ascii="Times New Roman" w:hAnsi="Times New Roman" w:cs="Times New Roman"/>
          <w:b/>
          <w:bCs/>
          <w:sz w:val="48"/>
          <w:szCs w:val="48"/>
        </w:rPr>
      </w:pPr>
    </w:p>
    <w:p w14:paraId="75B1E5E9" w14:textId="77777777" w:rsidR="005F7B2F" w:rsidRDefault="005F7B2F" w:rsidP="0015036C">
      <w:pPr>
        <w:spacing w:after="0" w:line="240" w:lineRule="auto"/>
        <w:jc w:val="center"/>
        <w:rPr>
          <w:rFonts w:ascii="Times New Roman" w:hAnsi="Times New Roman" w:cs="Times New Roman"/>
          <w:b/>
          <w:bCs/>
          <w:sz w:val="48"/>
          <w:szCs w:val="48"/>
        </w:rPr>
      </w:pPr>
    </w:p>
    <w:p w14:paraId="2F54A4EE" w14:textId="77777777" w:rsidR="005F7B2F" w:rsidRDefault="005F7B2F" w:rsidP="0015036C">
      <w:pPr>
        <w:spacing w:after="0" w:line="240" w:lineRule="auto"/>
        <w:jc w:val="center"/>
        <w:rPr>
          <w:rFonts w:ascii="Times New Roman" w:hAnsi="Times New Roman" w:cs="Times New Roman"/>
          <w:b/>
          <w:bCs/>
          <w:sz w:val="48"/>
          <w:szCs w:val="48"/>
        </w:rPr>
      </w:pPr>
    </w:p>
    <w:p w14:paraId="32602D91" w14:textId="77777777" w:rsidR="005F7B2F" w:rsidRDefault="005F7B2F" w:rsidP="0015036C">
      <w:pPr>
        <w:spacing w:after="0" w:line="240" w:lineRule="auto"/>
        <w:jc w:val="center"/>
        <w:rPr>
          <w:rFonts w:ascii="Times New Roman" w:hAnsi="Times New Roman" w:cs="Times New Roman"/>
          <w:b/>
          <w:bCs/>
          <w:sz w:val="48"/>
          <w:szCs w:val="48"/>
        </w:rPr>
      </w:pPr>
    </w:p>
    <w:p w14:paraId="3A0B96A2" w14:textId="77777777" w:rsidR="005F7B2F" w:rsidRDefault="005F7B2F" w:rsidP="0015036C">
      <w:pPr>
        <w:spacing w:after="0" w:line="240" w:lineRule="auto"/>
        <w:jc w:val="center"/>
        <w:rPr>
          <w:rFonts w:ascii="Times New Roman" w:hAnsi="Times New Roman" w:cs="Times New Roman"/>
          <w:b/>
          <w:bCs/>
          <w:sz w:val="48"/>
          <w:szCs w:val="48"/>
        </w:rPr>
      </w:pPr>
    </w:p>
    <w:p w14:paraId="070F48E5" w14:textId="77777777" w:rsidR="005F7B2F" w:rsidRDefault="005F7B2F" w:rsidP="0015036C">
      <w:pPr>
        <w:spacing w:after="0" w:line="240" w:lineRule="auto"/>
        <w:jc w:val="center"/>
        <w:rPr>
          <w:rFonts w:ascii="Times New Roman" w:hAnsi="Times New Roman" w:cs="Times New Roman"/>
          <w:b/>
          <w:bCs/>
          <w:sz w:val="48"/>
          <w:szCs w:val="48"/>
        </w:rPr>
      </w:pPr>
    </w:p>
    <w:p w14:paraId="03BAAE1D" w14:textId="77777777" w:rsidR="005F7B2F" w:rsidRDefault="005F7B2F" w:rsidP="0015036C">
      <w:pPr>
        <w:spacing w:after="0" w:line="240" w:lineRule="auto"/>
        <w:jc w:val="center"/>
        <w:rPr>
          <w:rFonts w:ascii="Times New Roman" w:hAnsi="Times New Roman" w:cs="Times New Roman"/>
          <w:b/>
          <w:bCs/>
          <w:sz w:val="48"/>
          <w:szCs w:val="48"/>
        </w:rPr>
      </w:pPr>
    </w:p>
    <w:p w14:paraId="082C547E" w14:textId="77777777" w:rsidR="005F7B2F" w:rsidRDefault="005F7B2F" w:rsidP="0015036C">
      <w:pPr>
        <w:spacing w:after="0" w:line="240" w:lineRule="auto"/>
        <w:jc w:val="center"/>
        <w:rPr>
          <w:rFonts w:ascii="Times New Roman" w:hAnsi="Times New Roman" w:cs="Times New Roman"/>
          <w:b/>
          <w:bCs/>
          <w:sz w:val="48"/>
          <w:szCs w:val="48"/>
        </w:rPr>
      </w:pPr>
    </w:p>
    <w:p w14:paraId="76B33B97" w14:textId="77777777" w:rsidR="005F7B2F" w:rsidRDefault="005F7B2F" w:rsidP="0015036C">
      <w:pPr>
        <w:spacing w:after="0" w:line="240" w:lineRule="auto"/>
        <w:jc w:val="center"/>
        <w:rPr>
          <w:rFonts w:ascii="Times New Roman" w:hAnsi="Times New Roman" w:cs="Times New Roman"/>
          <w:b/>
          <w:bCs/>
          <w:sz w:val="48"/>
          <w:szCs w:val="48"/>
        </w:rPr>
      </w:pPr>
    </w:p>
    <w:p w14:paraId="4B7F5D93" w14:textId="77777777" w:rsidR="005F7B2F" w:rsidRDefault="005F7B2F" w:rsidP="0015036C">
      <w:pPr>
        <w:spacing w:after="0" w:line="240" w:lineRule="auto"/>
        <w:jc w:val="center"/>
        <w:rPr>
          <w:rFonts w:ascii="Times New Roman" w:hAnsi="Times New Roman" w:cs="Times New Roman"/>
          <w:b/>
          <w:bCs/>
          <w:sz w:val="48"/>
          <w:szCs w:val="48"/>
        </w:rPr>
      </w:pPr>
    </w:p>
    <w:p w14:paraId="56BF7376" w14:textId="77777777" w:rsidR="005F7B2F" w:rsidRDefault="005F7B2F" w:rsidP="0015036C">
      <w:pPr>
        <w:spacing w:after="0" w:line="240" w:lineRule="auto"/>
        <w:jc w:val="center"/>
        <w:rPr>
          <w:rFonts w:ascii="Times New Roman" w:hAnsi="Times New Roman" w:cs="Times New Roman"/>
          <w:b/>
          <w:bCs/>
          <w:sz w:val="48"/>
          <w:szCs w:val="48"/>
        </w:rPr>
      </w:pPr>
    </w:p>
    <w:p w14:paraId="3F14DF83" w14:textId="77777777" w:rsidR="005F7B2F" w:rsidRDefault="005F7B2F" w:rsidP="0015036C">
      <w:pPr>
        <w:spacing w:after="0" w:line="240" w:lineRule="auto"/>
        <w:jc w:val="center"/>
        <w:rPr>
          <w:rFonts w:ascii="Times New Roman" w:hAnsi="Times New Roman" w:cs="Times New Roman"/>
          <w:b/>
          <w:bCs/>
          <w:sz w:val="48"/>
          <w:szCs w:val="48"/>
        </w:rPr>
      </w:pPr>
    </w:p>
    <w:p w14:paraId="1DB09478" w14:textId="77777777" w:rsidR="00120BA4" w:rsidRDefault="00120BA4" w:rsidP="0015036C">
      <w:pPr>
        <w:spacing w:after="0" w:line="240" w:lineRule="auto"/>
        <w:jc w:val="center"/>
        <w:rPr>
          <w:rFonts w:ascii="Times New Roman" w:hAnsi="Times New Roman" w:cs="Times New Roman"/>
          <w:b/>
          <w:bCs/>
          <w:sz w:val="48"/>
          <w:szCs w:val="48"/>
        </w:rPr>
      </w:pPr>
    </w:p>
    <w:p w14:paraId="20501A96" w14:textId="77777777" w:rsidR="00120BA4" w:rsidRDefault="00120BA4" w:rsidP="0015036C">
      <w:pPr>
        <w:spacing w:after="0" w:line="240" w:lineRule="auto"/>
        <w:jc w:val="center"/>
        <w:rPr>
          <w:rFonts w:ascii="Times New Roman" w:hAnsi="Times New Roman" w:cs="Times New Roman"/>
          <w:b/>
          <w:bCs/>
          <w:sz w:val="48"/>
          <w:szCs w:val="48"/>
        </w:rPr>
      </w:pPr>
    </w:p>
    <w:p w14:paraId="1B2D5732" w14:textId="77777777" w:rsidR="00120BA4" w:rsidRDefault="00120BA4" w:rsidP="0015036C">
      <w:pPr>
        <w:spacing w:after="0" w:line="240" w:lineRule="auto"/>
        <w:jc w:val="center"/>
        <w:rPr>
          <w:rFonts w:ascii="Times New Roman" w:hAnsi="Times New Roman" w:cs="Times New Roman"/>
          <w:b/>
          <w:bCs/>
          <w:sz w:val="48"/>
          <w:szCs w:val="48"/>
        </w:rPr>
      </w:pPr>
    </w:p>
    <w:p w14:paraId="64AEBB30" w14:textId="3C18B6E6" w:rsidR="0015036C" w:rsidRDefault="00083887" w:rsidP="0015036C">
      <w:pPr>
        <w:spacing w:after="0" w:line="240" w:lineRule="auto"/>
        <w:jc w:val="center"/>
        <w:rPr>
          <w:rFonts w:ascii="Times New Roman" w:hAnsi="Times New Roman" w:cs="Times New Roman"/>
          <w:b/>
          <w:bCs/>
          <w:sz w:val="48"/>
          <w:szCs w:val="48"/>
        </w:rPr>
      </w:pPr>
      <w:r w:rsidRPr="0015036C">
        <w:rPr>
          <w:rFonts w:ascii="Times New Roman" w:hAnsi="Times New Roman" w:cs="Times New Roman"/>
          <w:b/>
          <w:bCs/>
          <w:sz w:val="48"/>
          <w:szCs w:val="48"/>
        </w:rPr>
        <w:t>PART ONE</w:t>
      </w:r>
    </w:p>
    <w:p w14:paraId="76DC6EAC" w14:textId="56BE7C2D" w:rsidR="00083887" w:rsidRPr="00705102" w:rsidRDefault="00083887" w:rsidP="0015036C">
      <w:pPr>
        <w:spacing w:after="0" w:line="240" w:lineRule="auto"/>
        <w:jc w:val="center"/>
        <w:rPr>
          <w:rFonts w:ascii="Times New Roman" w:hAnsi="Times New Roman" w:cs="Times New Roman"/>
          <w:b/>
          <w:bCs/>
        </w:rPr>
      </w:pPr>
      <w:r w:rsidRPr="0015036C">
        <w:rPr>
          <w:rFonts w:ascii="Times New Roman" w:hAnsi="Times New Roman" w:cs="Times New Roman"/>
          <w:b/>
          <w:bCs/>
          <w:sz w:val="48"/>
          <w:szCs w:val="48"/>
        </w:rPr>
        <w:t>ACCOUNTING</w:t>
      </w:r>
    </w:p>
    <w:p w14:paraId="3C75DB7D" w14:textId="77777777" w:rsidR="00083887" w:rsidRDefault="00083887" w:rsidP="00A60822">
      <w:pPr>
        <w:spacing w:after="0" w:line="240" w:lineRule="auto"/>
        <w:rPr>
          <w:rFonts w:ascii="Times New Roman" w:eastAsia="Calibri" w:hAnsi="Times New Roman" w:cs="Times New Roman"/>
          <w:b/>
          <w:bCs/>
          <w:kern w:val="0"/>
          <w14:ligatures w14:val="none"/>
        </w:rPr>
      </w:pPr>
    </w:p>
    <w:p w14:paraId="06B4739D" w14:textId="77777777" w:rsidR="00083887" w:rsidRDefault="00083887" w:rsidP="00A60822">
      <w:pPr>
        <w:spacing w:after="0" w:line="240" w:lineRule="auto"/>
        <w:rPr>
          <w:rFonts w:ascii="Times New Roman" w:eastAsia="Calibri" w:hAnsi="Times New Roman" w:cs="Times New Roman"/>
          <w:b/>
          <w:bCs/>
          <w:kern w:val="0"/>
          <w14:ligatures w14:val="none"/>
        </w:rPr>
      </w:pPr>
    </w:p>
    <w:p w14:paraId="22F07F74" w14:textId="77777777" w:rsidR="00083887" w:rsidRDefault="00083887" w:rsidP="00A60822">
      <w:pPr>
        <w:spacing w:after="0" w:line="240" w:lineRule="auto"/>
        <w:rPr>
          <w:rFonts w:ascii="Times New Roman" w:eastAsia="Calibri" w:hAnsi="Times New Roman" w:cs="Times New Roman"/>
          <w:b/>
          <w:bCs/>
          <w:kern w:val="0"/>
          <w14:ligatures w14:val="none"/>
        </w:rPr>
      </w:pPr>
    </w:p>
    <w:p w14:paraId="29E95585" w14:textId="77777777" w:rsidR="00083887" w:rsidRDefault="00083887" w:rsidP="00A60822">
      <w:pPr>
        <w:spacing w:after="0" w:line="240" w:lineRule="auto"/>
        <w:rPr>
          <w:rFonts w:ascii="Times New Roman" w:eastAsia="Calibri" w:hAnsi="Times New Roman" w:cs="Times New Roman"/>
          <w:b/>
          <w:bCs/>
          <w:kern w:val="0"/>
          <w14:ligatures w14:val="none"/>
        </w:rPr>
      </w:pPr>
    </w:p>
    <w:p w14:paraId="68EB48DC" w14:textId="77777777" w:rsidR="00083887" w:rsidRDefault="00083887" w:rsidP="00A60822">
      <w:pPr>
        <w:spacing w:after="0" w:line="240" w:lineRule="auto"/>
        <w:rPr>
          <w:rFonts w:ascii="Times New Roman" w:eastAsia="Calibri" w:hAnsi="Times New Roman" w:cs="Times New Roman"/>
          <w:b/>
          <w:bCs/>
          <w:kern w:val="0"/>
          <w14:ligatures w14:val="none"/>
        </w:rPr>
      </w:pPr>
    </w:p>
    <w:p w14:paraId="168FEA4E" w14:textId="77777777" w:rsidR="00083887" w:rsidRDefault="00083887" w:rsidP="00A60822">
      <w:pPr>
        <w:spacing w:after="0" w:line="240" w:lineRule="auto"/>
        <w:rPr>
          <w:rFonts w:ascii="Times New Roman" w:eastAsia="Calibri" w:hAnsi="Times New Roman" w:cs="Times New Roman"/>
          <w:b/>
          <w:bCs/>
          <w:kern w:val="0"/>
          <w14:ligatures w14:val="none"/>
        </w:rPr>
      </w:pPr>
    </w:p>
    <w:p w14:paraId="209CD5AA" w14:textId="77777777" w:rsidR="00083887" w:rsidRDefault="00083887" w:rsidP="00A60822">
      <w:pPr>
        <w:spacing w:after="0" w:line="240" w:lineRule="auto"/>
        <w:rPr>
          <w:rFonts w:ascii="Times New Roman" w:eastAsia="Calibri" w:hAnsi="Times New Roman" w:cs="Times New Roman"/>
          <w:b/>
          <w:bCs/>
          <w:kern w:val="0"/>
          <w14:ligatures w14:val="none"/>
        </w:rPr>
      </w:pPr>
    </w:p>
    <w:p w14:paraId="75593F2F" w14:textId="77777777" w:rsidR="00083887" w:rsidRDefault="00083887" w:rsidP="00A60822">
      <w:pPr>
        <w:spacing w:after="0" w:line="240" w:lineRule="auto"/>
        <w:rPr>
          <w:rFonts w:ascii="Times New Roman" w:eastAsia="Calibri" w:hAnsi="Times New Roman" w:cs="Times New Roman"/>
          <w:b/>
          <w:bCs/>
          <w:kern w:val="0"/>
          <w14:ligatures w14:val="none"/>
        </w:rPr>
      </w:pPr>
    </w:p>
    <w:p w14:paraId="73B09EDD" w14:textId="77777777" w:rsidR="00083887" w:rsidRDefault="00083887" w:rsidP="00A60822">
      <w:pPr>
        <w:spacing w:after="0" w:line="240" w:lineRule="auto"/>
        <w:rPr>
          <w:rFonts w:ascii="Times New Roman" w:eastAsia="Calibri" w:hAnsi="Times New Roman" w:cs="Times New Roman"/>
          <w:b/>
          <w:bCs/>
          <w:kern w:val="0"/>
          <w14:ligatures w14:val="none"/>
        </w:rPr>
      </w:pPr>
    </w:p>
    <w:p w14:paraId="6D9B58B1" w14:textId="77777777" w:rsidR="00083887" w:rsidRDefault="00083887" w:rsidP="00A60822">
      <w:pPr>
        <w:spacing w:after="0" w:line="240" w:lineRule="auto"/>
        <w:rPr>
          <w:rFonts w:ascii="Times New Roman" w:eastAsia="Calibri" w:hAnsi="Times New Roman" w:cs="Times New Roman"/>
          <w:b/>
          <w:bCs/>
          <w:kern w:val="0"/>
          <w14:ligatures w14:val="none"/>
        </w:rPr>
      </w:pPr>
    </w:p>
    <w:p w14:paraId="3BB4DF08" w14:textId="77777777" w:rsidR="00083887" w:rsidRDefault="00083887" w:rsidP="00A60822">
      <w:pPr>
        <w:spacing w:after="0" w:line="240" w:lineRule="auto"/>
        <w:rPr>
          <w:rFonts w:ascii="Times New Roman" w:eastAsia="Calibri" w:hAnsi="Times New Roman" w:cs="Times New Roman"/>
          <w:b/>
          <w:bCs/>
          <w:kern w:val="0"/>
          <w14:ligatures w14:val="none"/>
        </w:rPr>
      </w:pPr>
    </w:p>
    <w:p w14:paraId="4BF78EFF" w14:textId="77777777" w:rsidR="00083887" w:rsidRDefault="00083887" w:rsidP="00A60822">
      <w:pPr>
        <w:spacing w:after="0" w:line="240" w:lineRule="auto"/>
        <w:rPr>
          <w:rFonts w:ascii="Times New Roman" w:eastAsia="Calibri" w:hAnsi="Times New Roman" w:cs="Times New Roman"/>
          <w:b/>
          <w:bCs/>
          <w:kern w:val="0"/>
          <w14:ligatures w14:val="none"/>
        </w:rPr>
      </w:pPr>
    </w:p>
    <w:p w14:paraId="6A40BF03" w14:textId="77777777" w:rsidR="00083887" w:rsidRDefault="00083887" w:rsidP="00A60822">
      <w:pPr>
        <w:spacing w:after="0" w:line="240" w:lineRule="auto"/>
        <w:rPr>
          <w:rFonts w:ascii="Times New Roman" w:eastAsia="Calibri" w:hAnsi="Times New Roman" w:cs="Times New Roman"/>
          <w:b/>
          <w:bCs/>
          <w:kern w:val="0"/>
          <w14:ligatures w14:val="none"/>
        </w:rPr>
      </w:pPr>
    </w:p>
    <w:p w14:paraId="23C707E4" w14:textId="77777777" w:rsidR="00083887" w:rsidRDefault="00083887" w:rsidP="00A60822">
      <w:pPr>
        <w:spacing w:after="0" w:line="240" w:lineRule="auto"/>
        <w:rPr>
          <w:rFonts w:ascii="Times New Roman" w:eastAsia="Calibri" w:hAnsi="Times New Roman" w:cs="Times New Roman"/>
          <w:b/>
          <w:bCs/>
          <w:kern w:val="0"/>
          <w14:ligatures w14:val="none"/>
        </w:rPr>
      </w:pPr>
    </w:p>
    <w:p w14:paraId="361A269B" w14:textId="77777777" w:rsidR="00083887" w:rsidRDefault="00083887" w:rsidP="00A60822">
      <w:pPr>
        <w:spacing w:after="0" w:line="240" w:lineRule="auto"/>
        <w:rPr>
          <w:rFonts w:ascii="Times New Roman" w:eastAsia="Calibri" w:hAnsi="Times New Roman" w:cs="Times New Roman"/>
          <w:b/>
          <w:bCs/>
          <w:kern w:val="0"/>
          <w14:ligatures w14:val="none"/>
        </w:rPr>
      </w:pPr>
    </w:p>
    <w:p w14:paraId="71D03F19" w14:textId="77777777" w:rsidR="00083887" w:rsidRDefault="00083887" w:rsidP="00A60822">
      <w:pPr>
        <w:spacing w:after="0" w:line="240" w:lineRule="auto"/>
        <w:rPr>
          <w:rFonts w:ascii="Times New Roman" w:eastAsia="Calibri" w:hAnsi="Times New Roman" w:cs="Times New Roman"/>
          <w:b/>
          <w:bCs/>
          <w:kern w:val="0"/>
          <w14:ligatures w14:val="none"/>
        </w:rPr>
      </w:pPr>
    </w:p>
    <w:p w14:paraId="0812E1B4" w14:textId="77777777" w:rsidR="00083887" w:rsidRDefault="00083887" w:rsidP="00A60822">
      <w:pPr>
        <w:spacing w:after="0" w:line="240" w:lineRule="auto"/>
        <w:rPr>
          <w:rFonts w:ascii="Times New Roman" w:eastAsia="Calibri" w:hAnsi="Times New Roman" w:cs="Times New Roman"/>
          <w:b/>
          <w:bCs/>
          <w:kern w:val="0"/>
          <w14:ligatures w14:val="none"/>
        </w:rPr>
      </w:pPr>
    </w:p>
    <w:p w14:paraId="003AB068" w14:textId="77777777" w:rsidR="00083887" w:rsidRDefault="00083887" w:rsidP="00A60822">
      <w:pPr>
        <w:spacing w:after="0" w:line="240" w:lineRule="auto"/>
        <w:rPr>
          <w:rFonts w:ascii="Times New Roman" w:eastAsia="Calibri" w:hAnsi="Times New Roman" w:cs="Times New Roman"/>
          <w:b/>
          <w:bCs/>
          <w:kern w:val="0"/>
          <w14:ligatures w14:val="none"/>
        </w:rPr>
      </w:pPr>
    </w:p>
    <w:p w14:paraId="7654ABE2" w14:textId="77777777" w:rsidR="00083887" w:rsidRDefault="00083887" w:rsidP="00A60822">
      <w:pPr>
        <w:spacing w:after="0" w:line="240" w:lineRule="auto"/>
        <w:rPr>
          <w:rFonts w:ascii="Times New Roman" w:eastAsia="Calibri" w:hAnsi="Times New Roman" w:cs="Times New Roman"/>
          <w:b/>
          <w:bCs/>
          <w:kern w:val="0"/>
          <w14:ligatures w14:val="none"/>
        </w:rPr>
      </w:pPr>
    </w:p>
    <w:p w14:paraId="6FA14CF2" w14:textId="77777777" w:rsidR="00083887" w:rsidRDefault="00083887" w:rsidP="00A60822">
      <w:pPr>
        <w:spacing w:after="0" w:line="240" w:lineRule="auto"/>
        <w:rPr>
          <w:rFonts w:ascii="Times New Roman" w:eastAsia="Calibri" w:hAnsi="Times New Roman" w:cs="Times New Roman"/>
          <w:b/>
          <w:bCs/>
          <w:kern w:val="0"/>
          <w14:ligatures w14:val="none"/>
        </w:rPr>
      </w:pPr>
    </w:p>
    <w:p w14:paraId="38826B3C" w14:textId="77777777" w:rsidR="00083887" w:rsidRDefault="00083887" w:rsidP="00A60822">
      <w:pPr>
        <w:spacing w:after="0" w:line="240" w:lineRule="auto"/>
        <w:rPr>
          <w:rFonts w:ascii="Times New Roman" w:eastAsia="Calibri" w:hAnsi="Times New Roman" w:cs="Times New Roman"/>
          <w:b/>
          <w:bCs/>
          <w:kern w:val="0"/>
          <w14:ligatures w14:val="none"/>
        </w:rPr>
      </w:pPr>
    </w:p>
    <w:p w14:paraId="28C8A667" w14:textId="77777777" w:rsidR="00083887" w:rsidRDefault="00083887" w:rsidP="00A60822">
      <w:pPr>
        <w:spacing w:after="0" w:line="240" w:lineRule="auto"/>
        <w:rPr>
          <w:rFonts w:ascii="Times New Roman" w:eastAsia="Calibri" w:hAnsi="Times New Roman" w:cs="Times New Roman"/>
          <w:b/>
          <w:bCs/>
          <w:kern w:val="0"/>
          <w14:ligatures w14:val="none"/>
        </w:rPr>
      </w:pPr>
    </w:p>
    <w:p w14:paraId="26437391" w14:textId="77777777" w:rsidR="00083887" w:rsidRDefault="00083887" w:rsidP="00A60822">
      <w:pPr>
        <w:spacing w:after="0" w:line="240" w:lineRule="auto"/>
        <w:rPr>
          <w:rFonts w:ascii="Times New Roman" w:eastAsia="Calibri" w:hAnsi="Times New Roman" w:cs="Times New Roman"/>
          <w:b/>
          <w:bCs/>
          <w:kern w:val="0"/>
          <w14:ligatures w14:val="none"/>
        </w:rPr>
      </w:pPr>
    </w:p>
    <w:p w14:paraId="3C792925" w14:textId="77777777" w:rsidR="00083887" w:rsidRDefault="00083887" w:rsidP="00A60822">
      <w:pPr>
        <w:spacing w:after="0" w:line="240" w:lineRule="auto"/>
        <w:rPr>
          <w:rFonts w:ascii="Times New Roman" w:eastAsia="Calibri" w:hAnsi="Times New Roman" w:cs="Times New Roman"/>
          <w:b/>
          <w:bCs/>
          <w:kern w:val="0"/>
          <w14:ligatures w14:val="none"/>
        </w:rPr>
      </w:pPr>
    </w:p>
    <w:p w14:paraId="2DD1E45E" w14:textId="77777777" w:rsidR="00083887" w:rsidRDefault="00083887" w:rsidP="00A60822">
      <w:pPr>
        <w:spacing w:after="0" w:line="240" w:lineRule="auto"/>
        <w:rPr>
          <w:rFonts w:ascii="Times New Roman" w:eastAsia="Calibri" w:hAnsi="Times New Roman" w:cs="Times New Roman"/>
          <w:b/>
          <w:bCs/>
          <w:kern w:val="0"/>
          <w14:ligatures w14:val="none"/>
        </w:rPr>
      </w:pPr>
    </w:p>
    <w:p w14:paraId="7E959294" w14:textId="77777777" w:rsidR="00083887" w:rsidRDefault="00083887" w:rsidP="00A60822">
      <w:pPr>
        <w:spacing w:after="0" w:line="240" w:lineRule="auto"/>
        <w:rPr>
          <w:rFonts w:ascii="Times New Roman" w:eastAsia="Calibri" w:hAnsi="Times New Roman" w:cs="Times New Roman"/>
          <w:b/>
          <w:bCs/>
          <w:kern w:val="0"/>
          <w14:ligatures w14:val="none"/>
        </w:rPr>
      </w:pPr>
    </w:p>
    <w:p w14:paraId="6DCFB79D" w14:textId="77777777" w:rsidR="00083887" w:rsidRDefault="00083887" w:rsidP="00A60822">
      <w:pPr>
        <w:spacing w:after="0" w:line="240" w:lineRule="auto"/>
        <w:rPr>
          <w:rFonts w:ascii="Times New Roman" w:eastAsia="Calibri" w:hAnsi="Times New Roman" w:cs="Times New Roman"/>
          <w:b/>
          <w:bCs/>
          <w:kern w:val="0"/>
          <w14:ligatures w14:val="none"/>
        </w:rPr>
      </w:pPr>
    </w:p>
    <w:p w14:paraId="7D859C1D" w14:textId="77777777" w:rsidR="00083887" w:rsidRDefault="00083887" w:rsidP="00A60822">
      <w:pPr>
        <w:spacing w:after="0" w:line="240" w:lineRule="auto"/>
        <w:rPr>
          <w:rFonts w:ascii="Times New Roman" w:eastAsia="Calibri" w:hAnsi="Times New Roman" w:cs="Times New Roman"/>
          <w:b/>
          <w:bCs/>
          <w:kern w:val="0"/>
          <w14:ligatures w14:val="none"/>
        </w:rPr>
      </w:pPr>
    </w:p>
    <w:p w14:paraId="1AB62BAE" w14:textId="77777777" w:rsidR="00083887" w:rsidRDefault="00083887" w:rsidP="00A60822">
      <w:pPr>
        <w:spacing w:after="0" w:line="240" w:lineRule="auto"/>
        <w:rPr>
          <w:rFonts w:ascii="Times New Roman" w:eastAsia="Calibri" w:hAnsi="Times New Roman" w:cs="Times New Roman"/>
          <w:b/>
          <w:bCs/>
          <w:kern w:val="0"/>
          <w14:ligatures w14:val="none"/>
        </w:rPr>
      </w:pPr>
    </w:p>
    <w:p w14:paraId="4986D326" w14:textId="77777777" w:rsidR="00083887" w:rsidRDefault="00083887" w:rsidP="00A60822">
      <w:pPr>
        <w:spacing w:after="0" w:line="240" w:lineRule="auto"/>
        <w:rPr>
          <w:rFonts w:ascii="Times New Roman" w:eastAsia="Calibri" w:hAnsi="Times New Roman" w:cs="Times New Roman"/>
          <w:b/>
          <w:bCs/>
          <w:kern w:val="0"/>
          <w14:ligatures w14:val="none"/>
        </w:rPr>
      </w:pPr>
    </w:p>
    <w:p w14:paraId="60A5B274" w14:textId="77777777" w:rsidR="00083887" w:rsidRDefault="00083887" w:rsidP="00A60822">
      <w:pPr>
        <w:spacing w:after="0" w:line="240" w:lineRule="auto"/>
        <w:rPr>
          <w:rFonts w:ascii="Times New Roman" w:eastAsia="Calibri" w:hAnsi="Times New Roman" w:cs="Times New Roman"/>
          <w:b/>
          <w:bCs/>
          <w:kern w:val="0"/>
          <w14:ligatures w14:val="none"/>
        </w:rPr>
      </w:pPr>
    </w:p>
    <w:p w14:paraId="761F439A" w14:textId="77777777" w:rsidR="00083887" w:rsidRDefault="00083887" w:rsidP="00A60822">
      <w:pPr>
        <w:spacing w:after="0" w:line="240" w:lineRule="auto"/>
        <w:rPr>
          <w:rFonts w:ascii="Times New Roman" w:eastAsia="Calibri" w:hAnsi="Times New Roman" w:cs="Times New Roman"/>
          <w:b/>
          <w:bCs/>
          <w:kern w:val="0"/>
          <w14:ligatures w14:val="none"/>
        </w:rPr>
      </w:pPr>
    </w:p>
    <w:p w14:paraId="22C0BBA0" w14:textId="77777777" w:rsidR="00083887" w:rsidRDefault="00083887" w:rsidP="00A60822">
      <w:pPr>
        <w:spacing w:after="0" w:line="240" w:lineRule="auto"/>
        <w:rPr>
          <w:rFonts w:ascii="Times New Roman" w:eastAsia="Calibri" w:hAnsi="Times New Roman" w:cs="Times New Roman"/>
          <w:b/>
          <w:bCs/>
          <w:kern w:val="0"/>
          <w14:ligatures w14:val="none"/>
        </w:rPr>
      </w:pPr>
    </w:p>
    <w:p w14:paraId="03389E18" w14:textId="77777777" w:rsidR="00083887" w:rsidRDefault="00083887" w:rsidP="00A60822">
      <w:pPr>
        <w:spacing w:after="0" w:line="240" w:lineRule="auto"/>
        <w:rPr>
          <w:rFonts w:ascii="Times New Roman" w:eastAsia="Calibri" w:hAnsi="Times New Roman" w:cs="Times New Roman"/>
          <w:b/>
          <w:bCs/>
          <w:kern w:val="0"/>
          <w14:ligatures w14:val="none"/>
        </w:rPr>
      </w:pPr>
    </w:p>
    <w:p w14:paraId="100BE93B" w14:textId="77777777" w:rsidR="00083887" w:rsidRDefault="00083887" w:rsidP="00A60822">
      <w:pPr>
        <w:spacing w:after="0" w:line="240" w:lineRule="auto"/>
        <w:rPr>
          <w:rFonts w:ascii="Times New Roman" w:eastAsia="Calibri" w:hAnsi="Times New Roman" w:cs="Times New Roman"/>
          <w:b/>
          <w:bCs/>
          <w:kern w:val="0"/>
          <w14:ligatures w14:val="none"/>
        </w:rPr>
      </w:pPr>
    </w:p>
    <w:p w14:paraId="61FFF6BE" w14:textId="77777777" w:rsidR="00083887" w:rsidRDefault="00083887" w:rsidP="00A60822">
      <w:pPr>
        <w:spacing w:after="0" w:line="240" w:lineRule="auto"/>
        <w:rPr>
          <w:rFonts w:ascii="Times New Roman" w:eastAsia="Calibri" w:hAnsi="Times New Roman" w:cs="Times New Roman"/>
          <w:b/>
          <w:bCs/>
          <w:kern w:val="0"/>
          <w14:ligatures w14:val="none"/>
        </w:rPr>
      </w:pPr>
    </w:p>
    <w:p w14:paraId="27D9F02C" w14:textId="4081B495" w:rsidR="0015036C" w:rsidRDefault="00A60822" w:rsidP="0015036C">
      <w:pPr>
        <w:spacing w:after="0" w:line="240" w:lineRule="auto"/>
        <w:jc w:val="center"/>
        <w:rPr>
          <w:rFonts w:ascii="Times New Roman" w:eastAsia="Calibri" w:hAnsi="Times New Roman" w:cs="Times New Roman"/>
          <w:kern w:val="0"/>
          <w14:ligatures w14:val="none"/>
        </w:rPr>
      </w:pPr>
      <w:r w:rsidRPr="00A60822">
        <w:rPr>
          <w:rFonts w:ascii="Times New Roman" w:eastAsia="Calibri" w:hAnsi="Times New Roman" w:cs="Times New Roman"/>
          <w:b/>
          <w:bCs/>
          <w:kern w:val="0"/>
          <w14:ligatures w14:val="none"/>
        </w:rPr>
        <w:t xml:space="preserve">Blockchain Technology </w:t>
      </w:r>
      <w:r w:rsidR="0015036C">
        <w:rPr>
          <w:rFonts w:ascii="Times New Roman" w:eastAsia="Calibri" w:hAnsi="Times New Roman" w:cs="Times New Roman"/>
          <w:b/>
          <w:bCs/>
          <w:kern w:val="0"/>
          <w14:ligatures w14:val="none"/>
        </w:rPr>
        <w:t>and</w:t>
      </w:r>
      <w:r w:rsidRPr="00A60822">
        <w:rPr>
          <w:rFonts w:ascii="Times New Roman" w:eastAsia="Calibri" w:hAnsi="Times New Roman" w:cs="Times New Roman"/>
          <w:b/>
          <w:bCs/>
          <w:kern w:val="0"/>
          <w14:ligatures w14:val="none"/>
        </w:rPr>
        <w:t xml:space="preserve"> Cryptocurrency Accounting:</w:t>
      </w:r>
      <w:r w:rsidRPr="00A60822">
        <w:rPr>
          <w:rFonts w:ascii="Times New Roman" w:eastAsia="Calibri" w:hAnsi="Times New Roman" w:cs="Times New Roman"/>
          <w:kern w:val="0"/>
          <w14:ligatures w14:val="none"/>
        </w:rPr>
        <w:t xml:space="preserve"> </w:t>
      </w:r>
    </w:p>
    <w:p w14:paraId="6864AD31" w14:textId="45F01EC9" w:rsidR="00A60822" w:rsidRPr="00A60822" w:rsidRDefault="00A60822" w:rsidP="0015036C">
      <w:pPr>
        <w:spacing w:after="0" w:line="240" w:lineRule="auto"/>
        <w:jc w:val="center"/>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A systematic paradigm </w:t>
      </w:r>
      <w:proofErr w:type="gramStart"/>
      <w:r w:rsidRPr="00A60822">
        <w:rPr>
          <w:rFonts w:ascii="Times New Roman" w:eastAsia="Calibri" w:hAnsi="Times New Roman" w:cs="Times New Roman"/>
          <w:kern w:val="0"/>
          <w14:ligatures w14:val="none"/>
        </w:rPr>
        <w:t>shift</w:t>
      </w:r>
      <w:proofErr w:type="gramEnd"/>
      <w:r w:rsidRPr="00A60822">
        <w:rPr>
          <w:rFonts w:ascii="Times New Roman" w:eastAsia="Calibri" w:hAnsi="Times New Roman" w:cs="Times New Roman"/>
          <w:kern w:val="0"/>
          <w14:ligatures w14:val="none"/>
        </w:rPr>
        <w:t xml:space="preserve"> from traditional e-payment system.</w:t>
      </w:r>
    </w:p>
    <w:p w14:paraId="006BE300" w14:textId="77777777" w:rsidR="0015036C" w:rsidRDefault="0015036C" w:rsidP="0015036C">
      <w:pPr>
        <w:spacing w:after="0" w:line="240" w:lineRule="auto"/>
        <w:jc w:val="center"/>
        <w:rPr>
          <w:rFonts w:ascii="Times New Roman" w:eastAsia="Calibri" w:hAnsi="Times New Roman" w:cs="Times New Roman"/>
          <w:kern w:val="0"/>
          <w14:ligatures w14:val="none"/>
        </w:rPr>
      </w:pPr>
    </w:p>
    <w:p w14:paraId="51D60119" w14:textId="1E500F69" w:rsidR="00A60822" w:rsidRPr="00A60822" w:rsidRDefault="00A60822" w:rsidP="0015036C">
      <w:pPr>
        <w:spacing w:after="0" w:line="240" w:lineRule="auto"/>
        <w:jc w:val="center"/>
        <w:rPr>
          <w:rFonts w:ascii="Times New Roman" w:eastAsia="Calibri" w:hAnsi="Times New Roman" w:cs="Times New Roman"/>
          <w:kern w:val="0"/>
          <w14:ligatures w14:val="none"/>
        </w:rPr>
      </w:pPr>
      <w:proofErr w:type="gramStart"/>
      <w:r w:rsidRPr="00A60822">
        <w:rPr>
          <w:rFonts w:ascii="Times New Roman" w:eastAsia="Calibri" w:hAnsi="Times New Roman" w:cs="Times New Roman"/>
          <w:kern w:val="0"/>
          <w14:ligatures w14:val="none"/>
        </w:rPr>
        <w:t>Dr  Oporiopo</w:t>
      </w:r>
      <w:proofErr w:type="gramEnd"/>
      <w:r w:rsidRPr="00A60822">
        <w:rPr>
          <w:rFonts w:ascii="Times New Roman" w:eastAsia="Calibri" w:hAnsi="Times New Roman" w:cs="Times New Roman"/>
          <w:kern w:val="0"/>
          <w14:ligatures w14:val="none"/>
        </w:rPr>
        <w:t xml:space="preserve"> Michael </w:t>
      </w:r>
      <w:proofErr w:type="spellStart"/>
      <w:r w:rsidRPr="00A60822">
        <w:rPr>
          <w:rFonts w:ascii="Times New Roman" w:eastAsia="Calibri" w:hAnsi="Times New Roman" w:cs="Times New Roman"/>
          <w:kern w:val="0"/>
          <w14:ligatures w14:val="none"/>
        </w:rPr>
        <w:t>Godknows</w:t>
      </w:r>
      <w:proofErr w:type="spellEnd"/>
    </w:p>
    <w:p w14:paraId="19F50176" w14:textId="77777777" w:rsidR="00A60822" w:rsidRPr="00A60822" w:rsidRDefault="00A60822" w:rsidP="0015036C">
      <w:pPr>
        <w:spacing w:after="0" w:line="240" w:lineRule="auto"/>
        <w:jc w:val="center"/>
        <w:rPr>
          <w:rFonts w:ascii="Times New Roman" w:eastAsia="Calibri" w:hAnsi="Times New Roman" w:cs="Times New Roman"/>
          <w:kern w:val="0"/>
          <w14:ligatures w14:val="none"/>
        </w:rPr>
      </w:pPr>
      <w:hyperlink r:id="rId7" w:history="1">
        <w:r w:rsidRPr="00A60822">
          <w:rPr>
            <w:rFonts w:ascii="Times New Roman" w:eastAsia="Calibri" w:hAnsi="Times New Roman" w:cs="Times New Roman"/>
            <w:color w:val="0000FF"/>
            <w:kern w:val="0"/>
            <w:u w:val="single"/>
            <w14:ligatures w14:val="none"/>
          </w:rPr>
          <w:t>Mgodknows37@gmail.com</w:t>
        </w:r>
      </w:hyperlink>
    </w:p>
    <w:p w14:paraId="6745DC7D" w14:textId="77777777" w:rsidR="00A60822" w:rsidRPr="00A60822" w:rsidRDefault="00A60822" w:rsidP="0015036C">
      <w:pPr>
        <w:spacing w:after="0" w:line="240" w:lineRule="auto"/>
        <w:jc w:val="center"/>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07038690425</w:t>
      </w:r>
    </w:p>
    <w:p w14:paraId="7E289254" w14:textId="77777777" w:rsidR="00A60822" w:rsidRPr="00A60822" w:rsidRDefault="00A60822" w:rsidP="0015036C">
      <w:pPr>
        <w:spacing w:after="0" w:line="240" w:lineRule="auto"/>
        <w:jc w:val="center"/>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University of Africa, Toru-</w:t>
      </w:r>
      <w:proofErr w:type="spellStart"/>
      <w:r w:rsidRPr="00A60822">
        <w:rPr>
          <w:rFonts w:ascii="Times New Roman" w:eastAsia="Calibri" w:hAnsi="Times New Roman" w:cs="Times New Roman"/>
          <w:kern w:val="0"/>
          <w14:ligatures w14:val="none"/>
        </w:rPr>
        <w:t>Orua</w:t>
      </w:r>
      <w:proofErr w:type="spellEnd"/>
      <w:r w:rsidRPr="00A60822">
        <w:rPr>
          <w:rFonts w:ascii="Times New Roman" w:eastAsia="Calibri" w:hAnsi="Times New Roman" w:cs="Times New Roman"/>
          <w:kern w:val="0"/>
          <w14:ligatures w14:val="none"/>
        </w:rPr>
        <w:t>, Bayelsa State</w:t>
      </w:r>
    </w:p>
    <w:p w14:paraId="7319A0B7" w14:textId="77777777" w:rsidR="001A1F9C" w:rsidRDefault="001A1F9C" w:rsidP="00A60822">
      <w:pPr>
        <w:spacing w:line="276" w:lineRule="auto"/>
        <w:jc w:val="center"/>
        <w:rPr>
          <w:rFonts w:ascii="Times New Roman" w:eastAsia="Calibri" w:hAnsi="Times New Roman" w:cs="Times New Roman"/>
          <w:b/>
          <w:i/>
          <w:kern w:val="0"/>
          <w14:ligatures w14:val="none"/>
        </w:rPr>
      </w:pPr>
    </w:p>
    <w:p w14:paraId="7582A86F" w14:textId="4E1ABEE1" w:rsidR="00A60822" w:rsidRPr="00A60822" w:rsidRDefault="00A60822" w:rsidP="00A60822">
      <w:pPr>
        <w:spacing w:line="276" w:lineRule="auto"/>
        <w:jc w:val="center"/>
        <w:rPr>
          <w:rFonts w:ascii="Times New Roman" w:eastAsia="Calibri" w:hAnsi="Times New Roman" w:cs="Times New Roman"/>
          <w:b/>
          <w:i/>
          <w:kern w:val="0"/>
          <w14:ligatures w14:val="none"/>
        </w:rPr>
      </w:pPr>
      <w:r w:rsidRPr="00A60822">
        <w:rPr>
          <w:rFonts w:ascii="Times New Roman" w:eastAsia="Calibri" w:hAnsi="Times New Roman" w:cs="Times New Roman"/>
          <w:b/>
          <w:i/>
          <w:kern w:val="0"/>
          <w14:ligatures w14:val="none"/>
        </w:rPr>
        <w:t>ABSTRACT</w:t>
      </w:r>
    </w:p>
    <w:p w14:paraId="30849759" w14:textId="77777777" w:rsidR="00A60822" w:rsidRPr="00A60822" w:rsidRDefault="00A60822" w:rsidP="00A60822">
      <w:pPr>
        <w:spacing w:line="276" w:lineRule="auto"/>
        <w:jc w:val="both"/>
        <w:rPr>
          <w:rFonts w:ascii="Times New Roman" w:eastAsia="Calibri" w:hAnsi="Times New Roman" w:cs="Times New Roman"/>
          <w:i/>
          <w:kern w:val="0"/>
          <w14:ligatures w14:val="none"/>
        </w:rPr>
      </w:pPr>
      <w:r w:rsidRPr="00A60822">
        <w:rPr>
          <w:rFonts w:ascii="Times New Roman" w:eastAsia="Calibri" w:hAnsi="Times New Roman" w:cs="Times New Roman"/>
          <w:i/>
          <w:kern w:val="0"/>
          <w14:ligatures w14:val="none"/>
        </w:rPr>
        <w:t xml:space="preserve">The primary objective of this paper is to examine the significance of blockchain technology as a veritable tool in the effective and efficient management of cryptocurrency transaction. Blockchain </w:t>
      </w:r>
      <w:proofErr w:type="spellStart"/>
      <w:r w:rsidRPr="00A60822">
        <w:rPr>
          <w:rFonts w:ascii="Times New Roman" w:eastAsia="Calibri" w:hAnsi="Times New Roman" w:cs="Times New Roman"/>
          <w:i/>
          <w:kern w:val="0"/>
          <w14:ligatures w14:val="none"/>
        </w:rPr>
        <w:t>stemed</w:t>
      </w:r>
      <w:proofErr w:type="spellEnd"/>
      <w:r w:rsidRPr="00A60822">
        <w:rPr>
          <w:rFonts w:ascii="Times New Roman" w:eastAsia="Calibri" w:hAnsi="Times New Roman" w:cs="Times New Roman"/>
          <w:i/>
          <w:kern w:val="0"/>
          <w14:ligatures w14:val="none"/>
        </w:rPr>
        <w:t xml:space="preserve"> from the fallout of the traditional centralized database system. The inadequacy of a centralized database </w:t>
      </w:r>
      <w:proofErr w:type="gramStart"/>
      <w:r w:rsidRPr="00A60822">
        <w:rPr>
          <w:rFonts w:ascii="Times New Roman" w:eastAsia="Calibri" w:hAnsi="Times New Roman" w:cs="Times New Roman"/>
          <w:i/>
          <w:kern w:val="0"/>
          <w14:ligatures w14:val="none"/>
        </w:rPr>
        <w:t>include</w:t>
      </w:r>
      <w:proofErr w:type="gramEnd"/>
      <w:r w:rsidRPr="00A60822">
        <w:rPr>
          <w:rFonts w:ascii="Times New Roman" w:eastAsia="Calibri" w:hAnsi="Times New Roman" w:cs="Times New Roman"/>
          <w:i/>
          <w:kern w:val="0"/>
          <w14:ligatures w14:val="none"/>
        </w:rPr>
        <w:t xml:space="preserve"> the failure of centralized database resulting loss of sensitive information, scalability issue etc. Blockchain technology is a tamper profit shared digital public ledger that records and exchange transactions across network of node (computers) in a </w:t>
      </w:r>
      <w:proofErr w:type="gramStart"/>
      <w:r w:rsidRPr="00A60822">
        <w:rPr>
          <w:rFonts w:ascii="Times New Roman" w:eastAsia="Calibri" w:hAnsi="Times New Roman" w:cs="Times New Roman"/>
          <w:i/>
          <w:kern w:val="0"/>
          <w14:ligatures w14:val="none"/>
        </w:rPr>
        <w:t>peer to peer</w:t>
      </w:r>
      <w:proofErr w:type="gramEnd"/>
      <w:r w:rsidRPr="00A60822">
        <w:rPr>
          <w:rFonts w:ascii="Times New Roman" w:eastAsia="Calibri" w:hAnsi="Times New Roman" w:cs="Times New Roman"/>
          <w:i/>
          <w:kern w:val="0"/>
          <w14:ligatures w14:val="none"/>
        </w:rPr>
        <w:t xml:space="preserve"> network system. The blockchain is a distributed network transaction involving different participants known as miners. The miners identify, verify, confirm, validate and approve transactions through a consensus mechanism. The challenges of blockchain and cryptocurrency transaction include: attack on wallet software, 50% attack, time jacking attack, lack of legal framework, identity issues, absence of standard accounting framework etc. The recommendations are: different countries across the globe should assemble and formulate standard rules, regulations, legal framework that will serve as a shield in cryptocurrency trade. An international body should be established and specific mandate given to each member country to enact laws for the control of the trade. There should be a physical operational base in each country for operators. Countries like Nigeria and other developing countries should adopt blockchain technology in taming electoral fraud. Blockchain technology should be adopted by INEC in the transmission of result in view of its immutability. The IASB should formulate accounting standard for cryptocurrency transaction. </w:t>
      </w:r>
    </w:p>
    <w:p w14:paraId="69AEEFE5" w14:textId="77777777" w:rsidR="00A60822" w:rsidRPr="00A60822" w:rsidRDefault="00A60822" w:rsidP="00A60822">
      <w:pPr>
        <w:spacing w:line="276" w:lineRule="auto"/>
        <w:jc w:val="both"/>
        <w:rPr>
          <w:rFonts w:ascii="Book Antiqua" w:eastAsia="Calibri" w:hAnsi="Book Antiqua" w:cs="Times New Roman"/>
          <w:i/>
          <w:kern w:val="0"/>
          <w14:ligatures w14:val="none"/>
        </w:rPr>
      </w:pPr>
      <w:r w:rsidRPr="00A60822">
        <w:rPr>
          <w:rFonts w:ascii="Times New Roman" w:eastAsia="Calibri" w:hAnsi="Times New Roman" w:cs="Times New Roman"/>
          <w:i/>
          <w:kern w:val="0"/>
          <w14:ligatures w14:val="none"/>
        </w:rPr>
        <w:t>Keywords: Cryptocurrency, blockchain, bitcoin, proof, validate, verify, accounting, database etc</w:t>
      </w:r>
      <w:r w:rsidRPr="00A60822">
        <w:rPr>
          <w:rFonts w:ascii="Book Antiqua" w:eastAsia="Calibri" w:hAnsi="Book Antiqua" w:cs="Times New Roman"/>
          <w:i/>
          <w:kern w:val="0"/>
          <w14:ligatures w14:val="none"/>
        </w:rPr>
        <w:t>.</w:t>
      </w:r>
    </w:p>
    <w:p w14:paraId="773617BA" w14:textId="77777777" w:rsidR="00A60822" w:rsidRPr="00A60822" w:rsidRDefault="00A60822" w:rsidP="00280939">
      <w:pPr>
        <w:spacing w:line="240" w:lineRule="auto"/>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 xml:space="preserve">Introduction  </w:t>
      </w:r>
    </w:p>
    <w:p w14:paraId="71393E37"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Business all over the world are in the process of recording, storing, and disseminating its data through an effective and efficient transformation process in view of industrialization and digitalization. Multinational companies, small and medium scale enterprises use a simple centralization process in managing its database. The centralization process entails the careful integration of data from multiple or disparate sources into a single and unified repository. Hitherto, it was using the mainframe computer to collate data from different sources before migrating to the use of central server. The major thrust of the process is to enhance accessibility to data, reliability, consistency, improved collaboration, to timely updating of information, comprehensive view of data, </w:t>
      </w:r>
      <w:r w:rsidRPr="00A60822">
        <w:rPr>
          <w:rFonts w:ascii="Times New Roman" w:eastAsia="Calibri" w:hAnsi="Times New Roman" w:cs="Times New Roman"/>
          <w:kern w:val="0"/>
          <w14:ligatures w14:val="none"/>
        </w:rPr>
        <w:lastRenderedPageBreak/>
        <w:t xml:space="preserve">streamlining of business operation, improving efficiency and enhancing quality of decision making in organization. </w:t>
      </w:r>
    </w:p>
    <w:p w14:paraId="3C14C9BA"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centralization of database requires the consolidation or unification of data from different sources into a central pool. The purpose of centralization is the elimination of data silos scattered in units, different information departments and unit.  Information is stored and managed in the central pool. </w:t>
      </w:r>
    </w:p>
    <w:p w14:paraId="048BC741" w14:textId="55C211B1"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However, </w:t>
      </w:r>
      <w:r w:rsidR="0015036C" w:rsidRPr="00A60822">
        <w:rPr>
          <w:rFonts w:ascii="Times New Roman" w:eastAsia="Calibri" w:hAnsi="Times New Roman" w:cs="Times New Roman"/>
          <w:kern w:val="0"/>
          <w14:ligatures w14:val="none"/>
        </w:rPr>
        <w:t>in spite</w:t>
      </w:r>
      <w:r w:rsidRPr="00A60822">
        <w:rPr>
          <w:rFonts w:ascii="Times New Roman" w:eastAsia="Calibri" w:hAnsi="Times New Roman" w:cs="Times New Roman"/>
          <w:kern w:val="0"/>
          <w14:ligatures w14:val="none"/>
        </w:rPr>
        <w:t xml:space="preserve"> of the acclaimed efficiency and the purported security, the centralization of database is not full-proof. </w:t>
      </w:r>
    </w:p>
    <w:p w14:paraId="0167C48F"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The centralization of data is bedeviled by migration complexity. It is a herculean task in migrating data from multiple sources to unified whole. This may require more time and technical know-how in transitioning from one system to another. The migration may require data mapping and cleansing. This may result in loss of data.</w:t>
      </w:r>
    </w:p>
    <w:p w14:paraId="04EC616B" w14:textId="654B7030"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 The failure of the single unified database may result in the failure of the entire superstructure. This can constrain unfettered access to the superstructure. This could amount to significant loss of information.        </w:t>
      </w:r>
    </w:p>
    <w:p w14:paraId="7B61F393"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increasing volume of data in the data bank as a result of expansion and increasing demand may create scalability issue. The central processing system may not be able to handle massive volume of data as a result of increasing sales. This may require the acquisition of better infrastructural facilities to meet the challenge. </w:t>
      </w:r>
    </w:p>
    <w:p w14:paraId="77CA5275"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The centralization process of data may create data silos in the various departments and units in an entity if not effectively managed.</w:t>
      </w:r>
    </w:p>
    <w:p w14:paraId="27CA3D6E"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The violation of privacy may be very rife in a centralized data system. This raises privacy issues if confidential information is stored.</w:t>
      </w:r>
    </w:p>
    <w:p w14:paraId="14A3603B"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process of integrating data from multiple sources into a new system may be a complex process in view of the varying origins or sources. The data may be stored from different file format, software protocols. This may hinder the compatibility of the data in the central system. </w:t>
      </w:r>
    </w:p>
    <w:p w14:paraId="5AAF84E8"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employees may be averse to changes. The users may find it difficult to adapt to new data. The resistance to change may be caused by lack of technical expertise or training. This will require strategic management approach in adapting to changes, training and retraining of employees. </w:t>
      </w:r>
    </w:p>
    <w:p w14:paraId="1A8AB171"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It is risky to store all the information or data of an entity in a central location. It raises security concern in view of possible </w:t>
      </w:r>
      <w:proofErr w:type="spellStart"/>
      <w:r w:rsidRPr="00A60822">
        <w:rPr>
          <w:rFonts w:ascii="Times New Roman" w:eastAsia="Calibri" w:hAnsi="Times New Roman" w:cs="Times New Roman"/>
          <w:kern w:val="0"/>
          <w14:ligatures w14:val="none"/>
        </w:rPr>
        <w:t>cyber attack</w:t>
      </w:r>
      <w:proofErr w:type="spellEnd"/>
      <w:r w:rsidRPr="00A60822">
        <w:rPr>
          <w:rFonts w:ascii="Times New Roman" w:eastAsia="Calibri" w:hAnsi="Times New Roman" w:cs="Times New Roman"/>
          <w:kern w:val="0"/>
          <w14:ligatures w14:val="none"/>
        </w:rPr>
        <w:t xml:space="preserve">. A centralized storage system makes the system vulnerable to </w:t>
      </w:r>
      <w:proofErr w:type="spellStart"/>
      <w:r w:rsidRPr="00A60822">
        <w:rPr>
          <w:rFonts w:ascii="Times New Roman" w:eastAsia="Calibri" w:hAnsi="Times New Roman" w:cs="Times New Roman"/>
          <w:kern w:val="0"/>
          <w14:ligatures w14:val="none"/>
        </w:rPr>
        <w:t>cyber attack</w:t>
      </w:r>
      <w:proofErr w:type="spellEnd"/>
      <w:r w:rsidRPr="00A60822">
        <w:rPr>
          <w:rFonts w:ascii="Times New Roman" w:eastAsia="Calibri" w:hAnsi="Times New Roman" w:cs="Times New Roman"/>
          <w:kern w:val="0"/>
          <w14:ligatures w14:val="none"/>
        </w:rPr>
        <w:t xml:space="preserve"> especially if classified sensitive information is stored. This will require effective encryption, restricted access and regular audit of the centralized system. </w:t>
      </w:r>
    </w:p>
    <w:p w14:paraId="55C60AE0"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regulation of data by different jurisdiction is relative. The regulatory compliance of data policy varies from country to country, region to region. Therefore, the convergence of different data and compliance maybe a tedious.  </w:t>
      </w:r>
    </w:p>
    <w:p w14:paraId="299C1083"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It may be expensive to convert data from heterogenous source to a uniform whole.</w:t>
      </w:r>
    </w:p>
    <w:p w14:paraId="633242F6"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Alternatively, a decentralized system will eradicate the intermediaries and its attendant vulnerabilities of the failure of a single system. The decentralized system </w:t>
      </w:r>
      <w:proofErr w:type="gramStart"/>
      <w:r w:rsidRPr="00A60822">
        <w:rPr>
          <w:rFonts w:ascii="Times New Roman" w:eastAsia="Calibri" w:hAnsi="Times New Roman" w:cs="Times New Roman"/>
          <w:kern w:val="0"/>
          <w14:ligatures w14:val="none"/>
        </w:rPr>
        <w:t>include</w:t>
      </w:r>
      <w:proofErr w:type="gramEnd"/>
      <w:r w:rsidRPr="00A60822">
        <w:rPr>
          <w:rFonts w:ascii="Times New Roman" w:eastAsia="Calibri" w:hAnsi="Times New Roman" w:cs="Times New Roman"/>
          <w:kern w:val="0"/>
          <w14:ligatures w14:val="none"/>
        </w:rPr>
        <w:t xml:space="preserve"> the internet which permits global dissemination of information without gatekeepers, blockchains technology that facilitates peer-to-peer communication. These decentralized systems provide a robust </w:t>
      </w:r>
      <w:proofErr w:type="spellStart"/>
      <w:r w:rsidRPr="00A60822">
        <w:rPr>
          <w:rFonts w:ascii="Times New Roman" w:eastAsia="Calibri" w:hAnsi="Times New Roman" w:cs="Times New Roman"/>
          <w:kern w:val="0"/>
          <w14:ligatures w14:val="none"/>
        </w:rPr>
        <w:t>seemless</w:t>
      </w:r>
      <w:proofErr w:type="spellEnd"/>
      <w:r w:rsidRPr="00A60822">
        <w:rPr>
          <w:rFonts w:ascii="Times New Roman" w:eastAsia="Calibri" w:hAnsi="Times New Roman" w:cs="Times New Roman"/>
          <w:kern w:val="0"/>
          <w14:ligatures w14:val="none"/>
        </w:rPr>
        <w:t xml:space="preserve"> engagement by participants without trepidation. Blockchain network like bitcoin and Ethereum permit peer-to-peer participation amongst parties without necessarily knowing one another. These platforms mark a paradigm shift from traditional database system to a modern shared exchange of information amongst parties. The internet has </w:t>
      </w:r>
      <w:proofErr w:type="spellStart"/>
      <w:r w:rsidRPr="00A60822">
        <w:rPr>
          <w:rFonts w:ascii="Times New Roman" w:eastAsia="Calibri" w:hAnsi="Times New Roman" w:cs="Times New Roman"/>
          <w:kern w:val="0"/>
          <w14:ligatures w14:val="none"/>
        </w:rPr>
        <w:t>revolunalized</w:t>
      </w:r>
      <w:proofErr w:type="spellEnd"/>
      <w:r w:rsidRPr="00A60822">
        <w:rPr>
          <w:rFonts w:ascii="Times New Roman" w:eastAsia="Calibri" w:hAnsi="Times New Roman" w:cs="Times New Roman"/>
          <w:kern w:val="0"/>
          <w14:ligatures w14:val="none"/>
        </w:rPr>
        <w:t xml:space="preserve"> the world by gradually eliminating passive participants who have refused to align with the wave of changed and an agent of innovation that has established new business model like Instagram, Netflix etc.  </w:t>
      </w:r>
    </w:p>
    <w:p w14:paraId="1A3FBB40"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lastRenderedPageBreak/>
        <w:t xml:space="preserve">In the same vein, blockchain permits the unfettered dissemination of information in a peer-to-peer network. Blockchain network like bitcoin facilitates the democratization of value amongst participants that is anchored on trust. blockchain is a transition process from traditional e-commerce to blockchain activated system with the elimination of gatekeepers. Blockchain provides distant business opportunities to parties. </w:t>
      </w:r>
    </w:p>
    <w:p w14:paraId="19FF3E99"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Blockchain is distributed network system which involve multiple participants with shared data across network. The participants are connected to one another through nodes (Computers). This approach enhances data integrity and resilient to </w:t>
      </w:r>
      <w:proofErr w:type="spellStart"/>
      <w:r w:rsidRPr="00A60822">
        <w:rPr>
          <w:rFonts w:ascii="Times New Roman" w:eastAsia="Calibri" w:hAnsi="Times New Roman" w:cs="Times New Roman"/>
          <w:kern w:val="0"/>
          <w14:ligatures w14:val="none"/>
        </w:rPr>
        <w:t>cyber attack</w:t>
      </w:r>
      <w:proofErr w:type="spellEnd"/>
      <w:r w:rsidRPr="00A60822">
        <w:rPr>
          <w:rFonts w:ascii="Times New Roman" w:eastAsia="Calibri" w:hAnsi="Times New Roman" w:cs="Times New Roman"/>
          <w:kern w:val="0"/>
          <w14:ligatures w14:val="none"/>
        </w:rPr>
        <w:t>.</w:t>
      </w:r>
    </w:p>
    <w:p w14:paraId="70113DD5"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blockchain system promotes transparency as transactions are publicly verifiable and available to members of the public. </w:t>
      </w:r>
    </w:p>
    <w:p w14:paraId="607E14CE"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Blockchain eliminates the vulnerability of gatekeepers as transactions are transmitted peer-to-peer directly. The elimination of intermediaries has assisted in streamlining business operation and reduction of cost.</w:t>
      </w:r>
    </w:p>
    <w:p w14:paraId="5FF10990"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Blockchain also opposes monopoly because no single participant has absolute control over the process. It is based on consensus and mutual agreement. </w:t>
      </w:r>
    </w:p>
    <w:p w14:paraId="3D08B447"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Thus, blockchain is a tamper-proof peer to peer digital ledger used in recording transactions. </w:t>
      </w:r>
    </w:p>
    <w:p w14:paraId="11F8CEE7" w14:textId="77777777" w:rsidR="00A60822" w:rsidRPr="00A60822" w:rsidRDefault="00A60822" w:rsidP="00280939">
      <w:pPr>
        <w:spacing w:line="240" w:lineRule="auto"/>
        <w:jc w:val="both"/>
        <w:rPr>
          <w:rFonts w:ascii="Book Antiqua" w:eastAsia="Calibri" w:hAnsi="Book Antiqua" w:cs="Times New Roman"/>
          <w:b/>
          <w:bCs/>
          <w:kern w:val="0"/>
          <w14:ligatures w14:val="none"/>
        </w:rPr>
      </w:pPr>
      <w:r w:rsidRPr="00A60822">
        <w:rPr>
          <w:rFonts w:ascii="Book Antiqua" w:eastAsia="Calibri" w:hAnsi="Book Antiqua" w:cs="Times New Roman"/>
          <w:b/>
          <w:bCs/>
          <w:kern w:val="0"/>
          <w14:ligatures w14:val="none"/>
        </w:rPr>
        <w:t>STATEMENT OF THE PROBLEM</w:t>
      </w:r>
    </w:p>
    <w:p w14:paraId="112635DC"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 xml:space="preserve">The application of blockchain and cryptocurrency are not watertight </w:t>
      </w:r>
      <w:proofErr w:type="spellStart"/>
      <w:r w:rsidRPr="00A60822">
        <w:rPr>
          <w:rFonts w:ascii="Book Antiqua" w:eastAsia="Calibri" w:hAnsi="Book Antiqua" w:cs="Times New Roman"/>
          <w:kern w:val="0"/>
          <w14:ligatures w14:val="none"/>
        </w:rPr>
        <w:t>compactment</w:t>
      </w:r>
      <w:proofErr w:type="spellEnd"/>
      <w:r w:rsidRPr="00A60822">
        <w:rPr>
          <w:rFonts w:ascii="Book Antiqua" w:eastAsia="Calibri" w:hAnsi="Book Antiqua" w:cs="Times New Roman"/>
          <w:kern w:val="0"/>
          <w14:ligatures w14:val="none"/>
        </w:rPr>
        <w:t>. It is not a stone cast in water. It is fraught with many draw backs. Whatsoever, that is anonymous without absolute control is bound to be susceptible to attacks. It is like a ship without a rudder.</w:t>
      </w:r>
    </w:p>
    <w:p w14:paraId="01ECE668"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 xml:space="preserve">The wallets used in cryptocurrency transaction is vulnerable to attacks. The wallets software </w:t>
      </w:r>
      <w:proofErr w:type="gramStart"/>
      <w:r w:rsidRPr="00A60822">
        <w:rPr>
          <w:rFonts w:ascii="Book Antiqua" w:eastAsia="Calibri" w:hAnsi="Book Antiqua" w:cs="Times New Roman"/>
          <w:kern w:val="0"/>
          <w14:ligatures w14:val="none"/>
        </w:rPr>
        <w:t>are</w:t>
      </w:r>
      <w:proofErr w:type="gramEnd"/>
      <w:r w:rsidRPr="00A60822">
        <w:rPr>
          <w:rFonts w:ascii="Book Antiqua" w:eastAsia="Calibri" w:hAnsi="Book Antiqua" w:cs="Times New Roman"/>
          <w:kern w:val="0"/>
          <w14:ligatures w14:val="none"/>
        </w:rPr>
        <w:t xml:space="preserve"> hacked by other online traders. It is more vulnerable than offline wallets.</w:t>
      </w:r>
    </w:p>
    <w:p w14:paraId="784FE112"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It is also vulnerable to time jacking attack. This is a counter attack on the node of a network which disrupts and intercept a different blockchain. It usually results in double spending and waste of resources.</w:t>
      </w:r>
    </w:p>
    <w:p w14:paraId="2B7A5FB6"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The 50% attack. This occurs when a group of miners or users have acquired more than control 51% the network. They can mutilate, delete, prevent and reverse a valid transaction. They have absolute control of the nonce value in a block. They have the power to distort a consensus.</w:t>
      </w:r>
    </w:p>
    <w:p w14:paraId="10B69061"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The fork problems. This occurs when a decentralized system receives new transactions and the software upgrades and it changes the consensus rules. This result in the existence of both old nodes and new nodes if it is not compatible. The major problem here is the requirement verification for both the old and the new nodes.</w:t>
      </w:r>
    </w:p>
    <w:p w14:paraId="46CD82C0"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 xml:space="preserve">Selfish mining is another grey challenge in </w:t>
      </w:r>
      <w:proofErr w:type="gramStart"/>
      <w:r w:rsidRPr="00A60822">
        <w:rPr>
          <w:rFonts w:ascii="Book Antiqua" w:eastAsia="Calibri" w:hAnsi="Book Antiqua" w:cs="Times New Roman"/>
          <w:kern w:val="0"/>
          <w14:ligatures w14:val="none"/>
        </w:rPr>
        <w:t>peer to peer</w:t>
      </w:r>
      <w:proofErr w:type="gramEnd"/>
      <w:r w:rsidRPr="00A60822">
        <w:rPr>
          <w:rFonts w:ascii="Book Antiqua" w:eastAsia="Calibri" w:hAnsi="Book Antiqua" w:cs="Times New Roman"/>
          <w:kern w:val="0"/>
          <w14:ligatures w14:val="none"/>
        </w:rPr>
        <w:t xml:space="preserve"> mining system. It occurs when a participant receives huge sums of money beyond his mining capacity. The selfish miner may restrict access to his transaction and allow other more participants to receive fund in excess of their capacity.</w:t>
      </w:r>
    </w:p>
    <w:p w14:paraId="551DCB5A"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There is no standard legal framework in regulating cryptocurrency in many developing countries.</w:t>
      </w:r>
    </w:p>
    <w:p w14:paraId="730F2019"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It has identity issues. It is an anonymous transaction which makes it a trustless business.</w:t>
      </w:r>
    </w:p>
    <w:p w14:paraId="264F4835"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The objective of this study is to examine the significance of blockchain technology as a variable tool in the effective and efficient management of cryptocurrency transaction.</w:t>
      </w:r>
    </w:p>
    <w:p w14:paraId="4A91ED19" w14:textId="77777777" w:rsidR="00A60822" w:rsidRPr="00A60822" w:rsidRDefault="00A60822" w:rsidP="00280939">
      <w:pPr>
        <w:spacing w:line="240" w:lineRule="auto"/>
        <w:jc w:val="both"/>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 xml:space="preserve">BLOCKCHAIN DEFINED. </w:t>
      </w:r>
    </w:p>
    <w:p w14:paraId="5B41BBBC"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lastRenderedPageBreak/>
        <w:t>Sarmah (2018) defined blockchain “as a database of records of transactions which is distributed, and maintained by a network of computers around the world”.</w:t>
      </w:r>
    </w:p>
    <w:p w14:paraId="03CC0B78"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It could be inferred from definition that blockchain is a shared databased of transaction. It is recorded and maintained independently with different nodes (computers). The node is not centralized in a single location but decentralized in an interrelated network pattern.</w:t>
      </w:r>
    </w:p>
    <w:p w14:paraId="45E0AAD9"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Similarly, </w:t>
      </w:r>
      <w:proofErr w:type="spellStart"/>
      <w:r w:rsidRPr="00A60822">
        <w:rPr>
          <w:rFonts w:ascii="Times New Roman" w:eastAsia="Calibri" w:hAnsi="Times New Roman" w:cs="Times New Roman"/>
          <w:kern w:val="0"/>
          <w14:ligatures w14:val="none"/>
        </w:rPr>
        <w:t>keyode</w:t>
      </w:r>
      <w:proofErr w:type="spellEnd"/>
      <w:r w:rsidRPr="00A60822">
        <w:rPr>
          <w:rFonts w:ascii="Times New Roman" w:eastAsia="Calibri" w:hAnsi="Times New Roman" w:cs="Times New Roman"/>
          <w:kern w:val="0"/>
          <w14:ligatures w14:val="none"/>
        </w:rPr>
        <w:t xml:space="preserve">, </w:t>
      </w:r>
      <w:proofErr w:type="spellStart"/>
      <w:r w:rsidRPr="00A60822">
        <w:rPr>
          <w:rFonts w:ascii="Times New Roman" w:eastAsia="Calibri" w:hAnsi="Times New Roman" w:cs="Times New Roman"/>
          <w:kern w:val="0"/>
          <w14:ligatures w14:val="none"/>
        </w:rPr>
        <w:t>saxen</w:t>
      </w:r>
      <w:proofErr w:type="spellEnd"/>
      <w:r w:rsidRPr="00A60822">
        <w:rPr>
          <w:rFonts w:ascii="Times New Roman" w:eastAsia="Calibri" w:hAnsi="Times New Roman" w:cs="Times New Roman"/>
          <w:kern w:val="0"/>
          <w14:ligatures w14:val="none"/>
        </w:rPr>
        <w:t xml:space="preserve"> and </w:t>
      </w:r>
      <w:proofErr w:type="spellStart"/>
      <w:r w:rsidRPr="00A60822">
        <w:rPr>
          <w:rFonts w:ascii="Times New Roman" w:eastAsia="Calibri" w:hAnsi="Times New Roman" w:cs="Times New Roman"/>
          <w:kern w:val="0"/>
          <w14:ligatures w14:val="none"/>
        </w:rPr>
        <w:t>bhadauria</w:t>
      </w:r>
      <w:proofErr w:type="spellEnd"/>
      <w:r w:rsidRPr="00A60822">
        <w:rPr>
          <w:rFonts w:ascii="Times New Roman" w:eastAsia="Calibri" w:hAnsi="Times New Roman" w:cs="Times New Roman"/>
          <w:kern w:val="0"/>
          <w14:ligatures w14:val="none"/>
        </w:rPr>
        <w:t xml:space="preserve"> (2023) asset that blockchain is a distributed ledger formed by all completed transactions of cryptocurrencies in a network. It is observed in the definition that blockchain is a public ledger used in recording completed transaction relating to cryptocurrency. Completed transaction of cryptocurrencies are </w:t>
      </w:r>
      <w:proofErr w:type="gramStart"/>
      <w:r w:rsidRPr="00A60822">
        <w:rPr>
          <w:rFonts w:ascii="Times New Roman" w:eastAsia="Calibri" w:hAnsi="Times New Roman" w:cs="Times New Roman"/>
          <w:kern w:val="0"/>
          <w14:ligatures w14:val="none"/>
        </w:rPr>
        <w:t>those transaction</w:t>
      </w:r>
      <w:proofErr w:type="gramEnd"/>
      <w:r w:rsidRPr="00A60822">
        <w:rPr>
          <w:rFonts w:ascii="Times New Roman" w:eastAsia="Calibri" w:hAnsi="Times New Roman" w:cs="Times New Roman"/>
          <w:kern w:val="0"/>
          <w14:ligatures w14:val="none"/>
        </w:rPr>
        <w:t xml:space="preserve"> that have been properly identified by all participants in the network, verified and validated through consensus mechanism. Examples of cryptocurrency are bitcoin, Ethereum, dash, </w:t>
      </w:r>
      <w:proofErr w:type="spellStart"/>
      <w:r w:rsidRPr="00A60822">
        <w:rPr>
          <w:rFonts w:ascii="Times New Roman" w:eastAsia="Calibri" w:hAnsi="Times New Roman" w:cs="Times New Roman"/>
          <w:kern w:val="0"/>
          <w14:ligatures w14:val="none"/>
        </w:rPr>
        <w:t>litecoin</w:t>
      </w:r>
      <w:proofErr w:type="spellEnd"/>
      <w:r w:rsidRPr="00A60822">
        <w:rPr>
          <w:rFonts w:ascii="Times New Roman" w:eastAsia="Calibri" w:hAnsi="Times New Roman" w:cs="Times New Roman"/>
          <w:kern w:val="0"/>
          <w14:ligatures w14:val="none"/>
        </w:rPr>
        <w:t xml:space="preserve"> and </w:t>
      </w:r>
      <w:proofErr w:type="spellStart"/>
      <w:r w:rsidRPr="00A60822">
        <w:rPr>
          <w:rFonts w:ascii="Times New Roman" w:eastAsia="Calibri" w:hAnsi="Times New Roman" w:cs="Times New Roman"/>
          <w:kern w:val="0"/>
          <w14:ligatures w14:val="none"/>
        </w:rPr>
        <w:t>peercoin</w:t>
      </w:r>
      <w:proofErr w:type="spellEnd"/>
      <w:r w:rsidRPr="00A60822">
        <w:rPr>
          <w:rFonts w:ascii="Times New Roman" w:eastAsia="Calibri" w:hAnsi="Times New Roman" w:cs="Times New Roman"/>
          <w:kern w:val="0"/>
          <w14:ligatures w14:val="none"/>
        </w:rPr>
        <w:t xml:space="preserve">. Cryptocurrency is a digital or virtual asset stored electronically. </w:t>
      </w:r>
    </w:p>
    <w:p w14:paraId="57071FC5"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Thus, </w:t>
      </w:r>
      <w:proofErr w:type="spellStart"/>
      <w:r w:rsidRPr="00A60822">
        <w:rPr>
          <w:rFonts w:ascii="Times New Roman" w:eastAsia="Calibri" w:hAnsi="Times New Roman" w:cs="Times New Roman"/>
          <w:kern w:val="0"/>
          <w14:ligatures w14:val="none"/>
        </w:rPr>
        <w:t>Eublockchain</w:t>
      </w:r>
      <w:proofErr w:type="spellEnd"/>
      <w:r w:rsidRPr="00A60822">
        <w:rPr>
          <w:rFonts w:ascii="Times New Roman" w:eastAsia="Calibri" w:hAnsi="Times New Roman" w:cs="Times New Roman"/>
          <w:kern w:val="0"/>
          <w14:ligatures w14:val="none"/>
        </w:rPr>
        <w:t xml:space="preserve"> observatory and Forum (2024) noted that blockchain is essentially a tamper proof, shared digital ledger that records transactions in a decentralized peer to peer network. It noted further that recorded transactions in the ledger </w:t>
      </w:r>
      <w:proofErr w:type="gramStart"/>
      <w:r w:rsidRPr="00A60822">
        <w:rPr>
          <w:rFonts w:ascii="Times New Roman" w:eastAsia="Calibri" w:hAnsi="Times New Roman" w:cs="Times New Roman"/>
          <w:kern w:val="0"/>
          <w14:ligatures w14:val="none"/>
        </w:rPr>
        <w:t>is</w:t>
      </w:r>
      <w:proofErr w:type="gramEnd"/>
      <w:r w:rsidRPr="00A60822">
        <w:rPr>
          <w:rFonts w:ascii="Times New Roman" w:eastAsia="Calibri" w:hAnsi="Times New Roman" w:cs="Times New Roman"/>
          <w:kern w:val="0"/>
          <w14:ligatures w14:val="none"/>
        </w:rPr>
        <w:t xml:space="preserve"> saved permanently. The transaction history is stored permanently in each of the node connected to the network. The definition also revealed the security of transactions that cannot be mutilated.</w:t>
      </w:r>
    </w:p>
    <w:p w14:paraId="475AB9B5"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Hence, Blockchain is a full proof public ledger or platform that is used in recording, storing and exchanging transaction through an interrelated nodes among participants in a network system. It is a </w:t>
      </w:r>
      <w:proofErr w:type="gramStart"/>
      <w:r w:rsidRPr="00A60822">
        <w:rPr>
          <w:rFonts w:ascii="Times New Roman" w:eastAsia="Calibri" w:hAnsi="Times New Roman" w:cs="Times New Roman"/>
          <w:kern w:val="0"/>
          <w14:ligatures w14:val="none"/>
        </w:rPr>
        <w:t>peer to peer</w:t>
      </w:r>
      <w:proofErr w:type="gramEnd"/>
      <w:r w:rsidRPr="00A60822">
        <w:rPr>
          <w:rFonts w:ascii="Times New Roman" w:eastAsia="Calibri" w:hAnsi="Times New Roman" w:cs="Times New Roman"/>
          <w:kern w:val="0"/>
          <w14:ligatures w14:val="none"/>
        </w:rPr>
        <w:t xml:space="preserve"> network system built into a single network. The transaction is picked by each node, verified, confirmed and validated by all participants. It requires the processing of each transaction or series of transaction into a single unit called block. The block of each transaction is validated through consensus mechanism and added to the previous block. It is a </w:t>
      </w:r>
      <w:proofErr w:type="gramStart"/>
      <w:r w:rsidRPr="00A60822">
        <w:rPr>
          <w:rFonts w:ascii="Times New Roman" w:eastAsia="Calibri" w:hAnsi="Times New Roman" w:cs="Times New Roman"/>
          <w:kern w:val="0"/>
          <w14:ligatures w14:val="none"/>
        </w:rPr>
        <w:t>chains of transactions</w:t>
      </w:r>
      <w:proofErr w:type="gramEnd"/>
      <w:r w:rsidRPr="00A60822">
        <w:rPr>
          <w:rFonts w:ascii="Times New Roman" w:eastAsia="Calibri" w:hAnsi="Times New Roman" w:cs="Times New Roman"/>
          <w:kern w:val="0"/>
          <w14:ligatures w14:val="none"/>
        </w:rPr>
        <w:t xml:space="preserve"> that are connected to one another (Peer to peer) through diverse nodes across the globe. It is distributed, decentralized anonymous immutable and authenticated with the aid of cryptography and algorithm. The transaction </w:t>
      </w:r>
      <w:proofErr w:type="gramStart"/>
      <w:r w:rsidRPr="00A60822">
        <w:rPr>
          <w:rFonts w:ascii="Times New Roman" w:eastAsia="Calibri" w:hAnsi="Times New Roman" w:cs="Times New Roman"/>
          <w:kern w:val="0"/>
          <w14:ligatures w14:val="none"/>
        </w:rPr>
        <w:t>are</w:t>
      </w:r>
      <w:proofErr w:type="gramEnd"/>
      <w:r w:rsidRPr="00A60822">
        <w:rPr>
          <w:rFonts w:ascii="Times New Roman" w:eastAsia="Calibri" w:hAnsi="Times New Roman" w:cs="Times New Roman"/>
          <w:kern w:val="0"/>
          <w14:ligatures w14:val="none"/>
        </w:rPr>
        <w:t xml:space="preserve"> processed in the network by miners (participants) the miners of cryptocurrencies are paid tokens. </w:t>
      </w:r>
    </w:p>
    <w:p w14:paraId="7E93393B" w14:textId="77777777" w:rsidR="00A60822" w:rsidRPr="00A60822" w:rsidRDefault="00A60822" w:rsidP="00280939">
      <w:pPr>
        <w:spacing w:line="240" w:lineRule="auto"/>
        <w:rPr>
          <w:rFonts w:ascii="Times New Roman" w:eastAsia="Calibri" w:hAnsi="Times New Roman" w:cs="Times New Roman"/>
          <w:kern w:val="0"/>
          <w14:ligatures w14:val="none"/>
        </w:rPr>
      </w:pPr>
      <w:r w:rsidRPr="00A60822">
        <w:rPr>
          <w:rFonts w:ascii="Times New Roman" w:eastAsia="Calibri" w:hAnsi="Times New Roman" w:cs="Times New Roman"/>
          <w:b/>
          <w:bCs/>
          <w:kern w:val="0"/>
          <w14:ligatures w14:val="none"/>
        </w:rPr>
        <w:t xml:space="preserve">BRIEF HISTORY OF BLOCKCHAIN </w:t>
      </w:r>
    </w:p>
    <w:p w14:paraId="71077C86"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Blockchain technology is credited to the pioneering effort of </w:t>
      </w:r>
      <w:proofErr w:type="spellStart"/>
      <w:r w:rsidRPr="00A60822">
        <w:rPr>
          <w:rFonts w:ascii="Times New Roman" w:eastAsia="Calibri" w:hAnsi="Times New Roman" w:cs="Times New Roman"/>
          <w:kern w:val="0"/>
          <w14:ligatures w14:val="none"/>
        </w:rPr>
        <w:t>Santochi</w:t>
      </w:r>
      <w:proofErr w:type="spellEnd"/>
      <w:r w:rsidRPr="00A60822">
        <w:rPr>
          <w:rFonts w:ascii="Times New Roman" w:eastAsia="Calibri" w:hAnsi="Times New Roman" w:cs="Times New Roman"/>
          <w:kern w:val="0"/>
          <w14:ligatures w14:val="none"/>
        </w:rPr>
        <w:t xml:space="preserve"> Nakamoto in his book titled: ‘Bitcoin peer to peer electronic cash system, 2008 (Sarmah 2018). Other notable scholars who had lent credence to the concept of electronic cash in their separate works include </w:t>
      </w:r>
      <w:proofErr w:type="spellStart"/>
      <w:r w:rsidRPr="00A60822">
        <w:rPr>
          <w:rFonts w:ascii="Times New Roman" w:eastAsia="Calibri" w:hAnsi="Times New Roman" w:cs="Times New Roman"/>
          <w:kern w:val="0"/>
          <w14:ligatures w14:val="none"/>
        </w:rPr>
        <w:t>Staurt</w:t>
      </w:r>
      <w:proofErr w:type="spellEnd"/>
      <w:r w:rsidRPr="00A60822">
        <w:rPr>
          <w:rFonts w:ascii="Times New Roman" w:eastAsia="Calibri" w:hAnsi="Times New Roman" w:cs="Times New Roman"/>
          <w:kern w:val="0"/>
          <w14:ligatures w14:val="none"/>
        </w:rPr>
        <w:t xml:space="preserve"> Haba and David Chaum entitled. HOT to timestamp a digital document and electronic cash or digital currency respectively. These documents paved the pathway for the development of blockchain. This provided the veritable platform for the detection of double spending. The concept of hash cash was introduced in 1997 by Adam Black as the panacea to control spam emails. This resulted in another process of creating money known as b-money in a </w:t>
      </w:r>
      <w:proofErr w:type="gramStart"/>
      <w:r w:rsidRPr="00A60822">
        <w:rPr>
          <w:rFonts w:ascii="Times New Roman" w:eastAsia="Calibri" w:hAnsi="Times New Roman" w:cs="Times New Roman"/>
          <w:kern w:val="0"/>
          <w14:ligatures w14:val="none"/>
        </w:rPr>
        <w:t>peer to peer</w:t>
      </w:r>
      <w:proofErr w:type="gramEnd"/>
      <w:r w:rsidRPr="00A60822">
        <w:rPr>
          <w:rFonts w:ascii="Times New Roman" w:eastAsia="Calibri" w:hAnsi="Times New Roman" w:cs="Times New Roman"/>
          <w:kern w:val="0"/>
          <w14:ligatures w14:val="none"/>
        </w:rPr>
        <w:t xml:space="preserve"> network by Wei Nei. The pioneering work of </w:t>
      </w:r>
      <w:proofErr w:type="spellStart"/>
      <w:r w:rsidRPr="00A60822">
        <w:rPr>
          <w:rFonts w:ascii="Times New Roman" w:eastAsia="Calibri" w:hAnsi="Times New Roman" w:cs="Times New Roman"/>
          <w:kern w:val="0"/>
          <w14:ligatures w14:val="none"/>
        </w:rPr>
        <w:t>Santochi</w:t>
      </w:r>
      <w:proofErr w:type="spellEnd"/>
      <w:r w:rsidRPr="00A60822">
        <w:rPr>
          <w:rFonts w:ascii="Times New Roman" w:eastAsia="Calibri" w:hAnsi="Times New Roman" w:cs="Times New Roman"/>
          <w:kern w:val="0"/>
          <w14:ligatures w14:val="none"/>
        </w:rPr>
        <w:t xml:space="preserve"> Nakamoto also provided the solution to secure cryptocurrency through cryptography. He provided a template for the protection of bitcoin. He stated that the digital currency cannot be mutilated.  Bitcoin is not the only variant of cryptocurrency and others like Ethereum, Dogecoin, Litecoin, Dash etc. the transaction with bitcoin gained traction in 2013 when investors invested huge sums of cash into the trade. Bitcoin can be traded with wallet software, computers and </w:t>
      </w:r>
      <w:proofErr w:type="spellStart"/>
      <w:r w:rsidRPr="00A60822">
        <w:rPr>
          <w:rFonts w:ascii="Times New Roman" w:eastAsia="Calibri" w:hAnsi="Times New Roman" w:cs="Times New Roman"/>
          <w:kern w:val="0"/>
          <w14:ligatures w14:val="none"/>
        </w:rPr>
        <w:t>wep</w:t>
      </w:r>
      <w:proofErr w:type="spellEnd"/>
      <w:r w:rsidRPr="00A60822">
        <w:rPr>
          <w:rFonts w:ascii="Times New Roman" w:eastAsia="Calibri" w:hAnsi="Times New Roman" w:cs="Times New Roman"/>
          <w:kern w:val="0"/>
          <w14:ligatures w14:val="none"/>
        </w:rPr>
        <w:t xml:space="preserve"> applications. Ethereum was introduced in 2015 with blockchain through series of mathematical steps it was deemed to be more reliable.</w:t>
      </w:r>
    </w:p>
    <w:p w14:paraId="3A76D70F" w14:textId="77777777" w:rsidR="00A60822" w:rsidRPr="00A60822" w:rsidRDefault="00A60822" w:rsidP="00280939">
      <w:pPr>
        <w:spacing w:line="240" w:lineRule="auto"/>
        <w:jc w:val="both"/>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 xml:space="preserve">HOW DOES BLOCKCHAIN WORKS  </w:t>
      </w:r>
    </w:p>
    <w:p w14:paraId="7C253E53"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application of blockchain technology is a paradigm shift from tractional centralization of database. In blockchain, transaction is decentralized through </w:t>
      </w:r>
      <w:proofErr w:type="gramStart"/>
      <w:r w:rsidRPr="00A60822">
        <w:rPr>
          <w:rFonts w:ascii="Times New Roman" w:eastAsia="Calibri" w:hAnsi="Times New Roman" w:cs="Times New Roman"/>
          <w:kern w:val="0"/>
          <w14:ligatures w14:val="none"/>
        </w:rPr>
        <w:t>peer to peer</w:t>
      </w:r>
      <w:proofErr w:type="gramEnd"/>
      <w:r w:rsidRPr="00A60822">
        <w:rPr>
          <w:rFonts w:ascii="Times New Roman" w:eastAsia="Calibri" w:hAnsi="Times New Roman" w:cs="Times New Roman"/>
          <w:kern w:val="0"/>
          <w14:ligatures w14:val="none"/>
        </w:rPr>
        <w:t xml:space="preserve"> network system. </w:t>
      </w:r>
    </w:p>
    <w:p w14:paraId="3BD4FB3A"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In the traditional centralized system </w:t>
      </w:r>
      <w:proofErr w:type="spellStart"/>
      <w:r w:rsidRPr="00A60822">
        <w:rPr>
          <w:rFonts w:ascii="Times New Roman" w:eastAsia="Calibri" w:hAnsi="Times New Roman" w:cs="Times New Roman"/>
          <w:kern w:val="0"/>
          <w14:ligatures w14:val="none"/>
        </w:rPr>
        <w:t>eg</w:t>
      </w:r>
      <w:proofErr w:type="spellEnd"/>
      <w:r w:rsidRPr="00A60822">
        <w:rPr>
          <w:rFonts w:ascii="Times New Roman" w:eastAsia="Calibri" w:hAnsi="Times New Roman" w:cs="Times New Roman"/>
          <w:kern w:val="0"/>
          <w14:ligatures w14:val="none"/>
        </w:rPr>
        <w:t xml:space="preserve"> bank, all </w:t>
      </w:r>
      <w:proofErr w:type="gramStart"/>
      <w:r w:rsidRPr="00A60822">
        <w:rPr>
          <w:rFonts w:ascii="Times New Roman" w:eastAsia="Calibri" w:hAnsi="Times New Roman" w:cs="Times New Roman"/>
          <w:kern w:val="0"/>
          <w14:ligatures w14:val="none"/>
        </w:rPr>
        <w:t>transactions  are</w:t>
      </w:r>
      <w:proofErr w:type="gramEnd"/>
      <w:r w:rsidRPr="00A60822">
        <w:rPr>
          <w:rFonts w:ascii="Times New Roman" w:eastAsia="Calibri" w:hAnsi="Times New Roman" w:cs="Times New Roman"/>
          <w:kern w:val="0"/>
          <w14:ligatures w14:val="none"/>
        </w:rPr>
        <w:t xml:space="preserve"> saved in a single system and the collapse of a single database may affect the entire data in the system. </w:t>
      </w:r>
    </w:p>
    <w:p w14:paraId="74B6AA52"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lastRenderedPageBreak/>
        <w:t>In the blockchain system, records are decentralized in a distributed ledger across networks of different nodes (computer). The failure of single system does not compromise the entire super structure.</w:t>
      </w:r>
    </w:p>
    <w:p w14:paraId="1EB10C38"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In the traditional centralized system, a single line of authority such as the manager or chief executive officer can unilaterally decide the validity of transaction. </w:t>
      </w:r>
    </w:p>
    <w:p w14:paraId="092E80B6"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In Blockchain, there is a consensus mechanism among miners in the network who identify, verify, confirm and approve all transaction before adding to the previous block, it requires a set of rules or protocol in deciding the validity of information to be included in the ledger. There are various types of consensus mechanism which include: </w:t>
      </w:r>
    </w:p>
    <w:p w14:paraId="580C7AB7"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b/>
          <w:bCs/>
          <w:kern w:val="0"/>
          <w14:ligatures w14:val="none"/>
        </w:rPr>
        <w:t>Proof of work (PoW):</w:t>
      </w:r>
      <w:r w:rsidRPr="00A60822">
        <w:rPr>
          <w:rFonts w:ascii="Times New Roman" w:eastAsia="Calibri" w:hAnsi="Times New Roman" w:cs="Times New Roman"/>
          <w:kern w:val="0"/>
          <w14:ligatures w14:val="none"/>
        </w:rPr>
        <w:t xml:space="preserve"> The Pow is used by bitcoin. It requires participants to solve a lot of rigorous mathematical puzzle before adding a block to the blockchain. The first miner to solve a block is rewarded with a digital currency. It requires a maximum of 5 minutes to calculate a block. </w:t>
      </w:r>
    </w:p>
    <w:p w14:paraId="71CCABF3"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b/>
          <w:bCs/>
          <w:kern w:val="0"/>
          <w14:ligatures w14:val="none"/>
        </w:rPr>
        <w:t>Proof of stake (POS):</w:t>
      </w:r>
      <w:r w:rsidRPr="00A60822">
        <w:rPr>
          <w:rFonts w:ascii="Times New Roman" w:eastAsia="Calibri" w:hAnsi="Times New Roman" w:cs="Times New Roman"/>
          <w:kern w:val="0"/>
          <w14:ligatures w14:val="none"/>
        </w:rPr>
        <w:t xml:space="preserve"> It requires miners to stake a certain amount of money as the basis for deciding the validity of transactions. The creation of new block is a function of the relative amount of stake by validators.</w:t>
      </w:r>
    </w:p>
    <w:p w14:paraId="53ED7194"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Delegated Proof of Stake (</w:t>
      </w:r>
      <w:proofErr w:type="spellStart"/>
      <w:r w:rsidRPr="00A60822">
        <w:rPr>
          <w:rFonts w:ascii="Times New Roman" w:eastAsia="Calibri" w:hAnsi="Times New Roman" w:cs="Times New Roman"/>
          <w:kern w:val="0"/>
          <w14:ligatures w14:val="none"/>
        </w:rPr>
        <w:t>DPoS</w:t>
      </w:r>
      <w:proofErr w:type="spellEnd"/>
      <w:r w:rsidRPr="00A60822">
        <w:rPr>
          <w:rFonts w:ascii="Times New Roman" w:eastAsia="Calibri" w:hAnsi="Times New Roman" w:cs="Times New Roman"/>
          <w:kern w:val="0"/>
          <w14:ligatures w14:val="none"/>
        </w:rPr>
        <w:t xml:space="preserve">): Under this consensus, participants vote for few miners who will manage the network on their behalf. </w:t>
      </w:r>
    </w:p>
    <w:p w14:paraId="572B0E9C"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b/>
          <w:bCs/>
          <w:kern w:val="0"/>
          <w14:ligatures w14:val="none"/>
        </w:rPr>
        <w:t>Proof of Authority (</w:t>
      </w:r>
      <w:proofErr w:type="spellStart"/>
      <w:r w:rsidRPr="00A60822">
        <w:rPr>
          <w:rFonts w:ascii="Times New Roman" w:eastAsia="Calibri" w:hAnsi="Times New Roman" w:cs="Times New Roman"/>
          <w:b/>
          <w:bCs/>
          <w:kern w:val="0"/>
          <w14:ligatures w14:val="none"/>
        </w:rPr>
        <w:t>PoA</w:t>
      </w:r>
      <w:proofErr w:type="spellEnd"/>
      <w:r w:rsidRPr="00A60822">
        <w:rPr>
          <w:rFonts w:ascii="Times New Roman" w:eastAsia="Calibri" w:hAnsi="Times New Roman" w:cs="Times New Roman"/>
          <w:b/>
          <w:bCs/>
          <w:kern w:val="0"/>
          <w14:ligatures w14:val="none"/>
        </w:rPr>
        <w:t>):</w:t>
      </w:r>
      <w:r w:rsidRPr="00A60822">
        <w:rPr>
          <w:rFonts w:ascii="Times New Roman" w:eastAsia="Calibri" w:hAnsi="Times New Roman" w:cs="Times New Roman"/>
          <w:kern w:val="0"/>
          <w14:ligatures w14:val="none"/>
        </w:rPr>
        <w:t xml:space="preserve"> The block </w:t>
      </w:r>
      <w:proofErr w:type="gramStart"/>
      <w:r w:rsidRPr="00A60822">
        <w:rPr>
          <w:rFonts w:ascii="Times New Roman" w:eastAsia="Calibri" w:hAnsi="Times New Roman" w:cs="Times New Roman"/>
          <w:kern w:val="0"/>
          <w14:ligatures w14:val="none"/>
        </w:rPr>
        <w:t>are</w:t>
      </w:r>
      <w:proofErr w:type="gramEnd"/>
      <w:r w:rsidRPr="00A60822">
        <w:rPr>
          <w:rFonts w:ascii="Times New Roman" w:eastAsia="Calibri" w:hAnsi="Times New Roman" w:cs="Times New Roman"/>
          <w:kern w:val="0"/>
          <w14:ligatures w14:val="none"/>
        </w:rPr>
        <w:t xml:space="preserve"> validated by approved account known as validators. The system is faster and more efficient. </w:t>
      </w:r>
    </w:p>
    <w:p w14:paraId="29DC5A54"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The blockchain system is transparent and immutable. A stored block is visible for all participants to access and cannot be deleted or altered. Any block that is entered into the ledgers is permanent and cannot be mutilated. This is the beauty of blockchain. This is a fundamental feature that enhances the integrity of blockchain.</w:t>
      </w:r>
    </w:p>
    <w:p w14:paraId="05821253"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Cryptography:  Cryptography is a tamper proof seal of protection around a blockchain. It is all the paraphernalia of security shields in the blockchain. The component of cryptography includes digital signature. This is the key that guarantees and authenticate access into the blockchain. </w:t>
      </w:r>
    </w:p>
    <w:p w14:paraId="6A05AA67"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Participants have private keys known as </w:t>
      </w:r>
      <w:proofErr w:type="spellStart"/>
      <w:r w:rsidRPr="00A60822">
        <w:rPr>
          <w:rFonts w:ascii="Times New Roman" w:eastAsia="Calibri" w:hAnsi="Times New Roman" w:cs="Times New Roman"/>
          <w:kern w:val="0"/>
          <w14:ligatures w14:val="none"/>
        </w:rPr>
        <w:t>privkey</w:t>
      </w:r>
      <w:proofErr w:type="spellEnd"/>
      <w:r w:rsidRPr="00A60822">
        <w:rPr>
          <w:rFonts w:ascii="Times New Roman" w:eastAsia="Calibri" w:hAnsi="Times New Roman" w:cs="Times New Roman"/>
          <w:kern w:val="0"/>
          <w14:ligatures w14:val="none"/>
        </w:rPr>
        <w:t xml:space="preserve"> which is similar to the private password of each miner and a </w:t>
      </w:r>
      <w:proofErr w:type="spellStart"/>
      <w:r w:rsidRPr="00A60822">
        <w:rPr>
          <w:rFonts w:ascii="Times New Roman" w:eastAsia="Calibri" w:hAnsi="Times New Roman" w:cs="Times New Roman"/>
          <w:kern w:val="0"/>
          <w14:ligatures w14:val="none"/>
        </w:rPr>
        <w:t>publickey</w:t>
      </w:r>
      <w:proofErr w:type="spellEnd"/>
      <w:r w:rsidRPr="00A60822">
        <w:rPr>
          <w:rFonts w:ascii="Times New Roman" w:eastAsia="Calibri" w:hAnsi="Times New Roman" w:cs="Times New Roman"/>
          <w:kern w:val="0"/>
          <w14:ligatures w14:val="none"/>
        </w:rPr>
        <w:t xml:space="preserve"> known as </w:t>
      </w:r>
      <w:proofErr w:type="spellStart"/>
      <w:r w:rsidRPr="00A60822">
        <w:rPr>
          <w:rFonts w:ascii="Times New Roman" w:eastAsia="Calibri" w:hAnsi="Times New Roman" w:cs="Times New Roman"/>
          <w:kern w:val="0"/>
          <w14:ligatures w14:val="none"/>
        </w:rPr>
        <w:t>pubkey</w:t>
      </w:r>
      <w:proofErr w:type="spellEnd"/>
      <w:r w:rsidRPr="00A60822">
        <w:rPr>
          <w:rFonts w:ascii="Times New Roman" w:eastAsia="Calibri" w:hAnsi="Times New Roman" w:cs="Times New Roman"/>
          <w:kern w:val="0"/>
          <w14:ligatures w14:val="none"/>
        </w:rPr>
        <w:t xml:space="preserve"> which is the central key that is used by all and sundry who are connected to the nodes. </w:t>
      </w:r>
    </w:p>
    <w:p w14:paraId="766730B8"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Hash function. The miners perform a hash function which produces a hash value. The hash of data value is used in maintaining the integrity of data in the blockchain.</w:t>
      </w:r>
    </w:p>
    <w:p w14:paraId="6FC4F3FC" w14:textId="77777777" w:rsidR="00A60822" w:rsidRPr="00A60822" w:rsidRDefault="00A60822" w:rsidP="00280939">
      <w:pPr>
        <w:spacing w:line="240" w:lineRule="auto"/>
        <w:rPr>
          <w:rFonts w:ascii="Book Antiqua" w:eastAsia="Calibri" w:hAnsi="Book Antiqua" w:cs="Times New Roman"/>
          <w:b/>
          <w:bCs/>
          <w:kern w:val="0"/>
          <w14:ligatures w14:val="none"/>
        </w:rPr>
      </w:pPr>
      <w:r w:rsidRPr="00A60822">
        <w:rPr>
          <w:rFonts w:ascii="Book Antiqua" w:eastAsia="Calibri" w:hAnsi="Book Antiqua" w:cs="Times New Roman"/>
          <w:b/>
          <w:bCs/>
          <w:kern w:val="0"/>
          <w14:ligatures w14:val="none"/>
        </w:rPr>
        <w:t>DIFFERENCE BETWEEN DATABASE AND BLOCKCHAIN</w:t>
      </w:r>
    </w:p>
    <w:p w14:paraId="71D0EF2C"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 xml:space="preserve">In traditional database, there is no doubt that data is centralized, managed and controlled in a single location. The database can easily be added, deleted or manipulated without significant </w:t>
      </w:r>
      <w:proofErr w:type="spellStart"/>
      <w:r w:rsidRPr="00A60822">
        <w:rPr>
          <w:rFonts w:ascii="Book Antiqua" w:eastAsia="Calibri" w:hAnsi="Book Antiqua" w:cs="Times New Roman"/>
          <w:kern w:val="0"/>
          <w14:ligatures w14:val="none"/>
        </w:rPr>
        <w:t>inteference</w:t>
      </w:r>
      <w:proofErr w:type="spellEnd"/>
      <w:r w:rsidRPr="00A60822">
        <w:rPr>
          <w:rFonts w:ascii="Book Antiqua" w:eastAsia="Calibri" w:hAnsi="Book Antiqua" w:cs="Times New Roman"/>
          <w:kern w:val="0"/>
          <w14:ligatures w14:val="none"/>
        </w:rPr>
        <w:t>. It is usually possible to trace the original source of data without audit trail. The primary purpose of traditional database is the storage, retrieval, analysis and management of data in different applications such as websites, inventory system, health and banking system etc.</w:t>
      </w:r>
    </w:p>
    <w:p w14:paraId="77746916"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In blockchain, the data are decentralized without a single point of control. It is rather maintained by network of nodes with each computer holding a copy of the ledger. The transaction is stored in blocks which is connected to the previous one forming a chain reaction. This makes it difficult to modify a given data.</w:t>
      </w:r>
    </w:p>
    <w:p w14:paraId="47F065CE"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The security of a traditional database is performed by single entity like banks in which the security is performed by the bank. Meanwhile, in blockchain, the transactions are transparent in the system for all in the system to view. This makes it difficult for data to be removed once it is added.</w:t>
      </w:r>
    </w:p>
    <w:p w14:paraId="6C7E7091"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lastRenderedPageBreak/>
        <w:t>It is a common feature to change past entries in traditional database like editing a word document. In blockchain anything written is like writing in pen and cannot be modified or cleaned up. It is permanent in nature.</w:t>
      </w:r>
    </w:p>
    <w:p w14:paraId="49B1579F"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 xml:space="preserve">Blockchain has a self-enforcing mechanism to create a contract. Each node can adjust itself to </w:t>
      </w:r>
      <w:proofErr w:type="spellStart"/>
      <w:r w:rsidRPr="00A60822">
        <w:rPr>
          <w:rFonts w:ascii="Book Antiqua" w:eastAsia="Calibri" w:hAnsi="Book Antiqua" w:cs="Times New Roman"/>
          <w:kern w:val="0"/>
          <w14:ligatures w14:val="none"/>
        </w:rPr>
        <w:t>refleet</w:t>
      </w:r>
      <w:proofErr w:type="spellEnd"/>
      <w:r w:rsidRPr="00A60822">
        <w:rPr>
          <w:rFonts w:ascii="Book Antiqua" w:eastAsia="Calibri" w:hAnsi="Book Antiqua" w:cs="Times New Roman"/>
          <w:kern w:val="0"/>
          <w14:ligatures w14:val="none"/>
        </w:rPr>
        <w:t xml:space="preserve"> the entry and calculate a set of mathematical problems and add back to existing block. It is automatic or built in </w:t>
      </w:r>
      <w:proofErr w:type="spellStart"/>
      <w:r w:rsidRPr="00A60822">
        <w:rPr>
          <w:rFonts w:ascii="Book Antiqua" w:eastAsia="Calibri" w:hAnsi="Book Antiqua" w:cs="Times New Roman"/>
          <w:kern w:val="0"/>
          <w14:ligatures w14:val="none"/>
        </w:rPr>
        <w:t>vitual</w:t>
      </w:r>
      <w:proofErr w:type="spellEnd"/>
      <w:r w:rsidRPr="00A60822">
        <w:rPr>
          <w:rFonts w:ascii="Book Antiqua" w:eastAsia="Calibri" w:hAnsi="Book Antiqua" w:cs="Times New Roman"/>
          <w:kern w:val="0"/>
          <w14:ligatures w14:val="none"/>
        </w:rPr>
        <w:t xml:space="preserve"> machine.</w:t>
      </w:r>
    </w:p>
    <w:p w14:paraId="337B4CCC"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All stored data are distributed to the blockchain in the various locations.</w:t>
      </w:r>
    </w:p>
    <w:p w14:paraId="1C3E0661" w14:textId="77777777" w:rsidR="00A60822" w:rsidRPr="00A60822" w:rsidRDefault="00A60822" w:rsidP="00280939">
      <w:pPr>
        <w:spacing w:line="240" w:lineRule="auto"/>
        <w:jc w:val="both"/>
        <w:rPr>
          <w:rFonts w:ascii="Book Antiqua" w:eastAsia="Calibri" w:hAnsi="Book Antiqua" w:cs="Times New Roman"/>
          <w:b/>
          <w:bCs/>
          <w:kern w:val="0"/>
          <w14:ligatures w14:val="none"/>
        </w:rPr>
      </w:pPr>
      <w:r w:rsidRPr="00A60822">
        <w:rPr>
          <w:rFonts w:ascii="Book Antiqua" w:eastAsia="Calibri" w:hAnsi="Book Antiqua" w:cs="Times New Roman"/>
          <w:b/>
          <w:bCs/>
          <w:kern w:val="0"/>
          <w14:ligatures w14:val="none"/>
        </w:rPr>
        <w:t>TYPES OF BLOCKCHAIN</w:t>
      </w:r>
    </w:p>
    <w:p w14:paraId="128769AB" w14:textId="77777777" w:rsidR="00A60822" w:rsidRPr="00A60822" w:rsidRDefault="00A60822" w:rsidP="00280939">
      <w:pPr>
        <w:spacing w:line="240" w:lineRule="auto"/>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Basically, there are four types of blockchain, namely:</w:t>
      </w:r>
    </w:p>
    <w:p w14:paraId="6FED81F6" w14:textId="77777777" w:rsidR="00A60822" w:rsidRPr="00A60822" w:rsidRDefault="00A60822" w:rsidP="00280939">
      <w:pPr>
        <w:numPr>
          <w:ilvl w:val="0"/>
          <w:numId w:val="3"/>
        </w:numPr>
        <w:spacing w:line="240" w:lineRule="auto"/>
        <w:ind w:left="360"/>
        <w:contextualSpacing/>
        <w:jc w:val="both"/>
        <w:rPr>
          <w:rFonts w:ascii="Book Antiqua" w:eastAsia="Calibri" w:hAnsi="Book Antiqua" w:cs="Times New Roman"/>
          <w:kern w:val="0"/>
          <w14:ligatures w14:val="none"/>
        </w:rPr>
      </w:pPr>
      <w:r w:rsidRPr="00A60822">
        <w:rPr>
          <w:rFonts w:ascii="Book Antiqua" w:eastAsia="Calibri" w:hAnsi="Book Antiqua" w:cs="Times New Roman"/>
          <w:b/>
          <w:bCs/>
          <w:kern w:val="0"/>
          <w14:ligatures w14:val="none"/>
        </w:rPr>
        <w:t>Public vs Private blockchains.</w:t>
      </w:r>
      <w:r w:rsidRPr="00A60822">
        <w:rPr>
          <w:rFonts w:ascii="Book Antiqua" w:eastAsia="Calibri" w:hAnsi="Book Antiqua" w:cs="Times New Roman"/>
          <w:kern w:val="0"/>
          <w14:ligatures w14:val="none"/>
        </w:rPr>
        <w:t xml:space="preserve"> In public blockchain, the network is open to members of the public to trade, mine and </w:t>
      </w:r>
      <w:proofErr w:type="spellStart"/>
      <w:r w:rsidRPr="00A60822">
        <w:rPr>
          <w:rFonts w:ascii="Book Antiqua" w:eastAsia="Calibri" w:hAnsi="Book Antiqua" w:cs="Times New Roman"/>
          <w:kern w:val="0"/>
          <w14:ligatures w14:val="none"/>
        </w:rPr>
        <w:t>analyse</w:t>
      </w:r>
      <w:proofErr w:type="spellEnd"/>
      <w:r w:rsidRPr="00A60822">
        <w:rPr>
          <w:rFonts w:ascii="Book Antiqua" w:eastAsia="Calibri" w:hAnsi="Book Antiqua" w:cs="Times New Roman"/>
          <w:kern w:val="0"/>
          <w14:ligatures w14:val="none"/>
        </w:rPr>
        <w:t xml:space="preserve"> transactions without constraint. The consensus process is open to all participants to key in. it has the capacity to handle large volumes of information effectively. On the other hand, private blockchain comes with restricted access. Members of the public cannot access the platform without invitation. It is more beneficial for business with concerns for privacy. The interest of participants </w:t>
      </w:r>
      <w:proofErr w:type="gramStart"/>
      <w:r w:rsidRPr="00A60822">
        <w:rPr>
          <w:rFonts w:ascii="Book Antiqua" w:eastAsia="Calibri" w:hAnsi="Book Antiqua" w:cs="Times New Roman"/>
          <w:kern w:val="0"/>
          <w14:ligatures w14:val="none"/>
        </w:rPr>
        <w:t>are</w:t>
      </w:r>
      <w:proofErr w:type="gramEnd"/>
      <w:r w:rsidRPr="00A60822">
        <w:rPr>
          <w:rFonts w:ascii="Book Antiqua" w:eastAsia="Calibri" w:hAnsi="Book Antiqua" w:cs="Times New Roman"/>
          <w:kern w:val="0"/>
          <w14:ligatures w14:val="none"/>
        </w:rPr>
        <w:t xml:space="preserve"> more protected.</w:t>
      </w:r>
    </w:p>
    <w:p w14:paraId="059FA718" w14:textId="77777777" w:rsidR="00A60822" w:rsidRPr="00A60822" w:rsidRDefault="00A60822" w:rsidP="00280939">
      <w:pPr>
        <w:numPr>
          <w:ilvl w:val="0"/>
          <w:numId w:val="3"/>
        </w:numPr>
        <w:spacing w:line="240" w:lineRule="auto"/>
        <w:ind w:left="360"/>
        <w:contextualSpacing/>
        <w:jc w:val="both"/>
        <w:rPr>
          <w:rFonts w:ascii="Book Antiqua" w:eastAsia="Calibri" w:hAnsi="Book Antiqua" w:cs="Times New Roman"/>
          <w:kern w:val="0"/>
          <w14:ligatures w14:val="none"/>
        </w:rPr>
      </w:pPr>
      <w:r w:rsidRPr="00A60822">
        <w:rPr>
          <w:rFonts w:ascii="Book Antiqua" w:eastAsia="Calibri" w:hAnsi="Book Antiqua" w:cs="Times New Roman"/>
          <w:b/>
          <w:bCs/>
          <w:kern w:val="0"/>
          <w14:ligatures w14:val="none"/>
        </w:rPr>
        <w:t>Permissionless vs Permissioned Blockchain:</w:t>
      </w:r>
      <w:r w:rsidRPr="00A60822">
        <w:rPr>
          <w:rFonts w:ascii="Book Antiqua" w:eastAsia="Calibri" w:hAnsi="Book Antiqua" w:cs="Times New Roman"/>
          <w:kern w:val="0"/>
          <w14:ligatures w14:val="none"/>
        </w:rPr>
        <w:t xml:space="preserve"> Permissionless blockchain is generally open to the public to transact. It deemphasizes the use of all gatekeepers or intermediaries. It supports an ecosystem of freedom to create an address and start trading. It is </w:t>
      </w:r>
      <w:proofErr w:type="spellStart"/>
      <w:r w:rsidRPr="00A60822">
        <w:rPr>
          <w:rFonts w:ascii="Book Antiqua" w:eastAsia="Calibri" w:hAnsi="Book Antiqua" w:cs="Times New Roman"/>
          <w:kern w:val="0"/>
          <w14:ligatures w14:val="none"/>
        </w:rPr>
        <w:t>pertiment</w:t>
      </w:r>
      <w:proofErr w:type="spellEnd"/>
      <w:r w:rsidRPr="00A60822">
        <w:rPr>
          <w:rFonts w:ascii="Book Antiqua" w:eastAsia="Calibri" w:hAnsi="Book Antiqua" w:cs="Times New Roman"/>
          <w:kern w:val="0"/>
          <w14:ligatures w14:val="none"/>
        </w:rPr>
        <w:t xml:space="preserve"> to point out that not all public blockchains, miners are free to enter into the network and leave at will. It does not place premium on the identity and verification of the participant, credentials. The trust is placed on the validity of the platform itself. Examples of permissionless blockchain are bitcoin and Ethereum. In permissioned blockchain, there is restricted access to the network. It requires the identification and verification of certain participants. It is not open to all participants to join. It requires permission for some identifiable participants to join. There are some </w:t>
      </w:r>
      <w:proofErr w:type="gramStart"/>
      <w:r w:rsidRPr="00A60822">
        <w:rPr>
          <w:rFonts w:ascii="Book Antiqua" w:eastAsia="Calibri" w:hAnsi="Book Antiqua" w:cs="Times New Roman"/>
          <w:kern w:val="0"/>
          <w14:ligatures w14:val="none"/>
        </w:rPr>
        <w:t>level</w:t>
      </w:r>
      <w:proofErr w:type="gramEnd"/>
      <w:r w:rsidRPr="00A60822">
        <w:rPr>
          <w:rFonts w:ascii="Book Antiqua" w:eastAsia="Calibri" w:hAnsi="Book Antiqua" w:cs="Times New Roman"/>
          <w:kern w:val="0"/>
          <w14:ligatures w14:val="none"/>
        </w:rPr>
        <w:t xml:space="preserve"> of privacy and control over transactions. They decide the entry requirement for each </w:t>
      </w:r>
      <w:proofErr w:type="gramStart"/>
      <w:r w:rsidRPr="00A60822">
        <w:rPr>
          <w:rFonts w:ascii="Book Antiqua" w:eastAsia="Calibri" w:hAnsi="Book Antiqua" w:cs="Times New Roman"/>
          <w:kern w:val="0"/>
          <w14:ligatures w14:val="none"/>
        </w:rPr>
        <w:t>miners</w:t>
      </w:r>
      <w:proofErr w:type="gramEnd"/>
      <w:r w:rsidRPr="00A60822">
        <w:rPr>
          <w:rFonts w:ascii="Book Antiqua" w:eastAsia="Calibri" w:hAnsi="Book Antiqua" w:cs="Times New Roman"/>
          <w:kern w:val="0"/>
          <w14:ligatures w14:val="none"/>
        </w:rPr>
        <w:t xml:space="preserve"> in a node. It is more useful for consortium of business that wish to operate privately.</w:t>
      </w:r>
    </w:p>
    <w:p w14:paraId="58D9E669" w14:textId="77777777" w:rsidR="00A60822" w:rsidRPr="00A60822" w:rsidRDefault="00A60822" w:rsidP="00280939">
      <w:pPr>
        <w:numPr>
          <w:ilvl w:val="0"/>
          <w:numId w:val="3"/>
        </w:numPr>
        <w:spacing w:line="240" w:lineRule="auto"/>
        <w:ind w:left="360"/>
        <w:contextualSpacing/>
        <w:jc w:val="both"/>
        <w:rPr>
          <w:rFonts w:ascii="Book Antiqua" w:eastAsia="Calibri" w:hAnsi="Book Antiqua" w:cs="Times New Roman"/>
          <w:kern w:val="0"/>
          <w14:ligatures w14:val="none"/>
        </w:rPr>
      </w:pPr>
      <w:proofErr w:type="spellStart"/>
      <w:r w:rsidRPr="00A60822">
        <w:rPr>
          <w:rFonts w:ascii="Book Antiqua" w:eastAsia="Calibri" w:hAnsi="Book Antiqua" w:cs="Times New Roman"/>
          <w:b/>
          <w:bCs/>
          <w:kern w:val="0"/>
          <w14:ligatures w14:val="none"/>
        </w:rPr>
        <w:t>Consotium</w:t>
      </w:r>
      <w:proofErr w:type="spellEnd"/>
      <w:r w:rsidRPr="00A60822">
        <w:rPr>
          <w:rFonts w:ascii="Book Antiqua" w:eastAsia="Calibri" w:hAnsi="Book Antiqua" w:cs="Times New Roman"/>
          <w:b/>
          <w:bCs/>
          <w:kern w:val="0"/>
          <w14:ligatures w14:val="none"/>
        </w:rPr>
        <w:t xml:space="preserve"> Blockchain:</w:t>
      </w:r>
      <w:r w:rsidRPr="00A60822">
        <w:rPr>
          <w:rFonts w:ascii="Book Antiqua" w:eastAsia="Calibri" w:hAnsi="Book Antiqua" w:cs="Times New Roman"/>
          <w:kern w:val="0"/>
          <w14:ligatures w14:val="none"/>
        </w:rPr>
        <w:t xml:space="preserve"> This type of blockchain is relevant mostly with group businesses that deem it fit to transact businesses only with trusted participants </w:t>
      </w:r>
      <w:proofErr w:type="spellStart"/>
      <w:r w:rsidRPr="00A60822">
        <w:rPr>
          <w:rFonts w:ascii="Book Antiqua" w:eastAsia="Calibri" w:hAnsi="Book Antiqua" w:cs="Times New Roman"/>
          <w:kern w:val="0"/>
          <w14:ligatures w14:val="none"/>
        </w:rPr>
        <w:t>e.g</w:t>
      </w:r>
      <w:proofErr w:type="spellEnd"/>
      <w:r w:rsidRPr="00A60822">
        <w:rPr>
          <w:rFonts w:ascii="Book Antiqua" w:eastAsia="Calibri" w:hAnsi="Book Antiqua" w:cs="Times New Roman"/>
          <w:kern w:val="0"/>
          <w14:ligatures w14:val="none"/>
        </w:rPr>
        <w:t xml:space="preserve"> R3 corda and quorum</w:t>
      </w:r>
    </w:p>
    <w:p w14:paraId="3A6927CE" w14:textId="77777777" w:rsidR="00A60822" w:rsidRPr="00A60822" w:rsidRDefault="00A60822" w:rsidP="00280939">
      <w:pPr>
        <w:numPr>
          <w:ilvl w:val="0"/>
          <w:numId w:val="3"/>
        </w:numPr>
        <w:spacing w:line="240" w:lineRule="auto"/>
        <w:ind w:left="360"/>
        <w:contextualSpacing/>
        <w:jc w:val="both"/>
        <w:rPr>
          <w:rFonts w:ascii="Book Antiqua" w:eastAsia="Calibri" w:hAnsi="Book Antiqua" w:cs="Times New Roman"/>
          <w:kern w:val="0"/>
          <w14:ligatures w14:val="none"/>
        </w:rPr>
      </w:pPr>
      <w:r w:rsidRPr="00A60822">
        <w:rPr>
          <w:rFonts w:ascii="Book Antiqua" w:eastAsia="Calibri" w:hAnsi="Book Antiqua" w:cs="Times New Roman"/>
          <w:kern w:val="0"/>
          <w14:ligatures w14:val="none"/>
        </w:rPr>
        <w:t xml:space="preserve">Hybrid Blockchain: the hybrid blockchain is the integration of both private and public blockchains. It could institute control mechanism on participants in the network and still promotes transparency and open visibility to transactions. This is a blockchain that prioritize privacy and control in some business and still allows open access and visibility for new entrants.     </w:t>
      </w:r>
    </w:p>
    <w:p w14:paraId="6F28E59F" w14:textId="77777777" w:rsidR="00A60822" w:rsidRPr="00A60822" w:rsidRDefault="00A60822" w:rsidP="00280939">
      <w:pPr>
        <w:spacing w:line="240" w:lineRule="auto"/>
        <w:rPr>
          <w:rFonts w:ascii="Book Antiqua" w:eastAsia="Calibri" w:hAnsi="Book Antiqua" w:cs="Times New Roman"/>
          <w:kern w:val="0"/>
          <w14:ligatures w14:val="none"/>
        </w:rPr>
      </w:pPr>
      <w:r w:rsidRPr="00A60822">
        <w:rPr>
          <w:rFonts w:ascii="Times New Roman" w:eastAsia="Calibri" w:hAnsi="Times New Roman" w:cs="Times New Roman"/>
          <w:b/>
          <w:bCs/>
          <w:kern w:val="0"/>
          <w14:ligatures w14:val="none"/>
        </w:rPr>
        <w:t xml:space="preserve">CRYPTOCURRENCY </w:t>
      </w:r>
    </w:p>
    <w:p w14:paraId="0EFDF229"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A cryptocurrency is a digital or virtual money that is created and stored electronically in a blockchain. The process of cryptography is used in verifying and validating each transaction. Cryptocurrency is recorded in a digital public ledger known as blockchain. Cryptocurrency transaction is decentralized in the digital public ledger across operational nodes. </w:t>
      </w:r>
    </w:p>
    <w:p w14:paraId="3F3FC9DD"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common cryptocurrency </w:t>
      </w:r>
      <w:proofErr w:type="gramStart"/>
      <w:r w:rsidRPr="00A60822">
        <w:rPr>
          <w:rFonts w:ascii="Times New Roman" w:eastAsia="Calibri" w:hAnsi="Times New Roman" w:cs="Times New Roman"/>
          <w:kern w:val="0"/>
          <w14:ligatures w14:val="none"/>
        </w:rPr>
        <w:t>are</w:t>
      </w:r>
      <w:proofErr w:type="gramEnd"/>
      <w:r w:rsidRPr="00A60822">
        <w:rPr>
          <w:rFonts w:ascii="Times New Roman" w:eastAsia="Calibri" w:hAnsi="Times New Roman" w:cs="Times New Roman"/>
          <w:kern w:val="0"/>
          <w14:ligatures w14:val="none"/>
        </w:rPr>
        <w:t xml:space="preserve"> bitcoin, Ethereum, dash and </w:t>
      </w:r>
      <w:proofErr w:type="spellStart"/>
      <w:r w:rsidRPr="00A60822">
        <w:rPr>
          <w:rFonts w:ascii="Times New Roman" w:eastAsia="Calibri" w:hAnsi="Times New Roman" w:cs="Times New Roman"/>
          <w:kern w:val="0"/>
          <w14:ligatures w14:val="none"/>
        </w:rPr>
        <w:t>peercoin</w:t>
      </w:r>
      <w:proofErr w:type="spellEnd"/>
      <w:r w:rsidRPr="00A60822">
        <w:rPr>
          <w:rFonts w:ascii="Times New Roman" w:eastAsia="Calibri" w:hAnsi="Times New Roman" w:cs="Times New Roman"/>
          <w:kern w:val="0"/>
          <w14:ligatures w14:val="none"/>
        </w:rPr>
        <w:t xml:space="preserve">. The cryptocurrencies are encrypted in the public ledger for its security. Cryptocurrencies are exchanged with fiat currencies at variable exchange rate like the United States dollar (USS$), pound sterling, the European Euro. Cryptocurrency holders have private keys used in authenticating, verifying and accessing their transactions. The users of cryptocurrency send and make payment through its payment gateway. The payment gateways are decentralized and facilitate multiple transaction between suppliers, distributors and customers at lower fee. </w:t>
      </w:r>
    </w:p>
    <w:p w14:paraId="0D2FFB41"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lastRenderedPageBreak/>
        <w:t>The payment gateway like Eroscoin can process more than 500 cryptocurrencies within 10 to 20 seconds. A cryptocurrency wallet and Point of Sale (POS) machine are required in processing cryptocurrency transaction. Cryptocurrency reduces the time and cost.</w:t>
      </w:r>
    </w:p>
    <w:p w14:paraId="04C6A989"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The cryptocurrency wallet is software program that stores users Ids, passwords address and the encryption keys. The wallet is a data storage location that interfaces with present blockchain to receive and make payments.</w:t>
      </w:r>
    </w:p>
    <w:p w14:paraId="546293BB"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accounts of merchants can also be integrated into a Point of Sale (POS) to process cryptocurrency. Cryptocurrency transaction is processed with public and private keys. The digitals wallet does not store money but only keys and address. </w:t>
      </w:r>
    </w:p>
    <w:p w14:paraId="64CA5827"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If a merchant </w:t>
      </w:r>
      <w:proofErr w:type="gramStart"/>
      <w:r w:rsidRPr="00A60822">
        <w:rPr>
          <w:rFonts w:ascii="Times New Roman" w:eastAsia="Calibri" w:hAnsi="Times New Roman" w:cs="Times New Roman"/>
          <w:kern w:val="0"/>
          <w14:ligatures w14:val="none"/>
        </w:rPr>
        <w:t>send</w:t>
      </w:r>
      <w:proofErr w:type="gramEnd"/>
      <w:r w:rsidRPr="00A60822">
        <w:rPr>
          <w:rFonts w:ascii="Times New Roman" w:eastAsia="Calibri" w:hAnsi="Times New Roman" w:cs="Times New Roman"/>
          <w:kern w:val="0"/>
          <w14:ligatures w14:val="none"/>
        </w:rPr>
        <w:t xml:space="preserve"> a digital currency to a recipient, the private key of the recipient must match with the public key of the recipient before the fund can be accessed by the recipient. The guidelines in cryptocurrency transaction are: </w:t>
      </w:r>
    </w:p>
    <w:p w14:paraId="41A4CD99" w14:textId="77777777" w:rsidR="00A60822" w:rsidRPr="00A60822" w:rsidRDefault="00A60822" w:rsidP="00280939">
      <w:pPr>
        <w:numPr>
          <w:ilvl w:val="0"/>
          <w:numId w:val="4"/>
        </w:numPr>
        <w:spacing w:line="240" w:lineRule="auto"/>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Create a digital wallet </w:t>
      </w:r>
    </w:p>
    <w:p w14:paraId="6A7042F7" w14:textId="77777777" w:rsidR="00A60822" w:rsidRPr="00A60822" w:rsidRDefault="00A60822" w:rsidP="00280939">
      <w:pPr>
        <w:numPr>
          <w:ilvl w:val="0"/>
          <w:numId w:val="4"/>
        </w:numPr>
        <w:spacing w:line="240" w:lineRule="auto"/>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To add merchant public key to the wallet </w:t>
      </w:r>
    </w:p>
    <w:p w14:paraId="6FC5FC82" w14:textId="77777777" w:rsidR="00A60822" w:rsidRPr="00A60822" w:rsidRDefault="00A60822" w:rsidP="00280939">
      <w:pPr>
        <w:numPr>
          <w:ilvl w:val="0"/>
          <w:numId w:val="4"/>
        </w:numPr>
        <w:spacing w:line="240" w:lineRule="auto"/>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public key of the merchant and the amount are added to the wallet </w:t>
      </w:r>
    </w:p>
    <w:p w14:paraId="1974EDF5" w14:textId="77777777" w:rsidR="00A60822" w:rsidRPr="00A60822" w:rsidRDefault="00A60822" w:rsidP="00280939">
      <w:pPr>
        <w:numPr>
          <w:ilvl w:val="0"/>
          <w:numId w:val="4"/>
        </w:numPr>
        <w:spacing w:line="240" w:lineRule="auto"/>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pubic key will be matched, against the merchant’s private key and if it </w:t>
      </w:r>
      <w:proofErr w:type="gramStart"/>
      <w:r w:rsidRPr="00A60822">
        <w:rPr>
          <w:rFonts w:ascii="Times New Roman" w:eastAsia="Calibri" w:hAnsi="Times New Roman" w:cs="Times New Roman"/>
          <w:kern w:val="0"/>
          <w14:ligatures w14:val="none"/>
        </w:rPr>
        <w:t>match</w:t>
      </w:r>
      <w:proofErr w:type="gramEnd"/>
      <w:r w:rsidRPr="00A60822">
        <w:rPr>
          <w:rFonts w:ascii="Times New Roman" w:eastAsia="Calibri" w:hAnsi="Times New Roman" w:cs="Times New Roman"/>
          <w:kern w:val="0"/>
          <w14:ligatures w14:val="none"/>
        </w:rPr>
        <w:t xml:space="preserve"> then the transaction is completed’</w:t>
      </w:r>
    </w:p>
    <w:p w14:paraId="35D984AE" w14:textId="77777777" w:rsidR="00A60822" w:rsidRPr="00A60822" w:rsidRDefault="00A60822" w:rsidP="00280939">
      <w:pPr>
        <w:spacing w:line="240" w:lineRule="auto"/>
        <w:jc w:val="both"/>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CRYPTOCURRENCY ACCOUNTNING</w:t>
      </w:r>
    </w:p>
    <w:p w14:paraId="74C3D549"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Hitherto, there is no acceptable standard accounting framework for cryptocurrency. Though, scholars and accounting pandits have been making concerted effort to improvise some International Accounting Standard (IAS) and International Financial Reporting Standard (IFRS) for national and international recognition.</w:t>
      </w:r>
    </w:p>
    <w:p w14:paraId="17DA35B4"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Cryptocurrency has been misrepresented to be cash and cash equivalent. This has made some scholars to relate cryptocurrency to IAS 7: Statement of cashflow. It is noteworthy to state that cryptocurrency is rather a digital currency or virtual money that is not backed by legal tender in any transaction. Cryptocurrency is not under the control of central bank or government. Though IAS does not provide the actual definition of cash, it noted that cash constitutes cash on hand and demand deposit. IAS 32: Financial instrument presentation defined currency (cash) as a financial asset that can be used as a medium of exchange as the basis for measuring all transaction of the financial statement. Cryptocurrency does not fit into that definition because it is not physical cash that is available for exchange of goods. </w:t>
      </w:r>
    </w:p>
    <w:p w14:paraId="294AE853"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 IAS defines cash equivalents as instrument that ae almost as good as cash because they are cash -like but cryptocurrency does not meet this </w:t>
      </w:r>
      <w:proofErr w:type="spellStart"/>
      <w:r w:rsidRPr="00A60822">
        <w:rPr>
          <w:rFonts w:ascii="Times New Roman" w:eastAsia="Calibri" w:hAnsi="Times New Roman" w:cs="Times New Roman"/>
          <w:kern w:val="0"/>
          <w14:ligatures w14:val="none"/>
        </w:rPr>
        <w:t>croten</w:t>
      </w:r>
      <w:proofErr w:type="spellEnd"/>
      <w:r w:rsidRPr="00A60822">
        <w:rPr>
          <w:rFonts w:ascii="Times New Roman" w:eastAsia="Calibri" w:hAnsi="Times New Roman" w:cs="Times New Roman"/>
          <w:kern w:val="0"/>
          <w14:ligatures w14:val="none"/>
        </w:rPr>
        <w:t xml:space="preserve"> </w:t>
      </w:r>
      <w:proofErr w:type="spellStart"/>
      <w:r w:rsidRPr="00A60822">
        <w:rPr>
          <w:rFonts w:ascii="Times New Roman" w:eastAsia="Calibri" w:hAnsi="Times New Roman" w:cs="Times New Roman"/>
          <w:kern w:val="0"/>
          <w14:ligatures w14:val="none"/>
        </w:rPr>
        <w:t>beemore</w:t>
      </w:r>
      <w:proofErr w:type="spellEnd"/>
      <w:r w:rsidRPr="00A60822">
        <w:rPr>
          <w:rFonts w:ascii="Times New Roman" w:eastAsia="Calibri" w:hAnsi="Times New Roman" w:cs="Times New Roman"/>
          <w:kern w:val="0"/>
          <w14:ligatures w14:val="none"/>
        </w:rPr>
        <w:t xml:space="preserve"> it is a function of price volatility cash equivalent is a </w:t>
      </w:r>
      <w:proofErr w:type="gramStart"/>
      <w:r w:rsidRPr="00A60822">
        <w:rPr>
          <w:rFonts w:ascii="Times New Roman" w:eastAsia="Calibri" w:hAnsi="Times New Roman" w:cs="Times New Roman"/>
          <w:kern w:val="0"/>
          <w14:ligatures w14:val="none"/>
        </w:rPr>
        <w:t>short term</w:t>
      </w:r>
      <w:proofErr w:type="gramEnd"/>
      <w:r w:rsidRPr="00A60822">
        <w:rPr>
          <w:rFonts w:ascii="Times New Roman" w:eastAsia="Calibri" w:hAnsi="Times New Roman" w:cs="Times New Roman"/>
          <w:kern w:val="0"/>
          <w14:ligatures w14:val="none"/>
        </w:rPr>
        <w:t xml:space="preserve"> liquid investment. </w:t>
      </w:r>
    </w:p>
    <w:p w14:paraId="39BF78E4"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Nevertheless, two </w:t>
      </w:r>
      <w:proofErr w:type="gramStart"/>
      <w:r w:rsidRPr="00A60822">
        <w:rPr>
          <w:rFonts w:ascii="Times New Roman" w:eastAsia="Calibri" w:hAnsi="Times New Roman" w:cs="Times New Roman"/>
          <w:kern w:val="0"/>
          <w14:ligatures w14:val="none"/>
        </w:rPr>
        <w:t>standard</w:t>
      </w:r>
      <w:proofErr w:type="gramEnd"/>
      <w:r w:rsidRPr="00A60822">
        <w:rPr>
          <w:rFonts w:ascii="Times New Roman" w:eastAsia="Calibri" w:hAnsi="Times New Roman" w:cs="Times New Roman"/>
          <w:kern w:val="0"/>
          <w14:ligatures w14:val="none"/>
        </w:rPr>
        <w:t xml:space="preserve"> have been carefully crafted into the domain of cryptocurrency </w:t>
      </w:r>
      <w:proofErr w:type="gramStart"/>
      <w:r w:rsidRPr="00A60822">
        <w:rPr>
          <w:rFonts w:ascii="Times New Roman" w:eastAsia="Calibri" w:hAnsi="Times New Roman" w:cs="Times New Roman"/>
          <w:kern w:val="0"/>
          <w14:ligatures w14:val="none"/>
        </w:rPr>
        <w:t>which  IAS</w:t>
      </w:r>
      <w:proofErr w:type="gramEnd"/>
      <w:r w:rsidRPr="00A60822">
        <w:rPr>
          <w:rFonts w:ascii="Times New Roman" w:eastAsia="Calibri" w:hAnsi="Times New Roman" w:cs="Times New Roman"/>
          <w:kern w:val="0"/>
          <w14:ligatures w14:val="none"/>
        </w:rPr>
        <w:t xml:space="preserve"> 38 intangible Asset and I.AS 2 inventories IAS 38 defined intangible assets as identifiable non-monetary asset without physical substance. The definition has three components </w:t>
      </w:r>
      <w:proofErr w:type="gramStart"/>
      <w:r w:rsidRPr="00A60822">
        <w:rPr>
          <w:rFonts w:ascii="Times New Roman" w:eastAsia="Calibri" w:hAnsi="Times New Roman" w:cs="Times New Roman"/>
          <w:kern w:val="0"/>
          <w14:ligatures w14:val="none"/>
        </w:rPr>
        <w:t>namely;.</w:t>
      </w:r>
      <w:proofErr w:type="gramEnd"/>
    </w:p>
    <w:p w14:paraId="018D9A46" w14:textId="77777777" w:rsidR="00A60822" w:rsidRPr="00A60822" w:rsidRDefault="00A60822" w:rsidP="00280939">
      <w:pPr>
        <w:numPr>
          <w:ilvl w:val="0"/>
          <w:numId w:val="5"/>
        </w:numPr>
        <w:spacing w:line="240" w:lineRule="auto"/>
        <w:ind w:left="720"/>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It is a divisible asset or separable from entity that can be sold, </w:t>
      </w:r>
      <w:proofErr w:type="gramStart"/>
      <w:r w:rsidRPr="00A60822">
        <w:rPr>
          <w:rFonts w:ascii="Times New Roman" w:eastAsia="Calibri" w:hAnsi="Times New Roman" w:cs="Times New Roman"/>
          <w:kern w:val="0"/>
          <w14:ligatures w14:val="none"/>
        </w:rPr>
        <w:t>transferred ,exchanged</w:t>
      </w:r>
      <w:proofErr w:type="gramEnd"/>
      <w:r w:rsidRPr="00A60822">
        <w:rPr>
          <w:rFonts w:ascii="Times New Roman" w:eastAsia="Calibri" w:hAnsi="Times New Roman" w:cs="Times New Roman"/>
          <w:kern w:val="0"/>
          <w14:ligatures w14:val="none"/>
        </w:rPr>
        <w:t xml:space="preserve"> as a single unit or together. </w:t>
      </w:r>
    </w:p>
    <w:p w14:paraId="306421EF" w14:textId="77777777" w:rsidR="00A60822" w:rsidRPr="00A60822" w:rsidRDefault="00A60822" w:rsidP="00280939">
      <w:pPr>
        <w:numPr>
          <w:ilvl w:val="0"/>
          <w:numId w:val="5"/>
        </w:numPr>
        <w:spacing w:line="240" w:lineRule="auto"/>
        <w:ind w:left="720"/>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It arises from legal rights or contractual obligation </w:t>
      </w:r>
    </w:p>
    <w:p w14:paraId="0C7691A4" w14:textId="77777777" w:rsidR="00A60822" w:rsidRPr="00A60822" w:rsidRDefault="00A60822" w:rsidP="00280939">
      <w:pPr>
        <w:numPr>
          <w:ilvl w:val="0"/>
          <w:numId w:val="5"/>
        </w:numPr>
        <w:spacing w:line="240" w:lineRule="auto"/>
        <w:ind w:left="720"/>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Without physical substance. </w:t>
      </w:r>
    </w:p>
    <w:p w14:paraId="3BBDE7F4"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Cryptocurrency are digital currency that can be sold without physical presence. </w:t>
      </w:r>
    </w:p>
    <w:p w14:paraId="7F7853A4"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There are two methods of accounting for assets in IAS 38: the cost method and revaluation model. </w:t>
      </w:r>
    </w:p>
    <w:p w14:paraId="462DB490"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Cost: intangible assets are measured at cost on initial recognition and subsequently at cost less accumulated amortization and impairment losses</w:t>
      </w:r>
    </w:p>
    <w:p w14:paraId="6274C70F"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lastRenderedPageBreak/>
        <w:t xml:space="preserve">Revaluation model: it is measured at cost on initial recognition and subsequently measured at fair value less accumulated amortization and impairment loss. the measurement of cryptocurrency depends on whether the market is active or not. </w:t>
      </w:r>
    </w:p>
    <w:p w14:paraId="350586FB"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IAS2: inventories: The use of IAS2 is in line with the prescription of IAS 38 on intangible assets which states that intangible assets that are held for sale in the ordinary course of business is outside the scope of IAS38 and should be accounted for with IAS2: Inventories by default measurement approach of IAS2 inventories are recognized at the lower of cos and net </w:t>
      </w:r>
      <w:proofErr w:type="spellStart"/>
      <w:r w:rsidRPr="00A60822">
        <w:rPr>
          <w:rFonts w:ascii="Times New Roman" w:eastAsia="Calibri" w:hAnsi="Times New Roman" w:cs="Times New Roman"/>
          <w:kern w:val="0"/>
          <w14:ligatures w14:val="none"/>
        </w:rPr>
        <w:t>realiasable</w:t>
      </w:r>
      <w:proofErr w:type="spellEnd"/>
      <w:r w:rsidRPr="00A60822">
        <w:rPr>
          <w:rFonts w:ascii="Times New Roman" w:eastAsia="Calibri" w:hAnsi="Times New Roman" w:cs="Times New Roman"/>
          <w:kern w:val="0"/>
          <w14:ligatures w14:val="none"/>
        </w:rPr>
        <w:t xml:space="preserve"> values sometimes, it is opined that inventories should be measured at fair value cost to sell with the changes in fair value less cost to sell and being recognized in the profit or </w:t>
      </w:r>
    </w:p>
    <w:p w14:paraId="301820AE"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loss of the period of change. </w:t>
      </w:r>
    </w:p>
    <w:p w14:paraId="28AA705B" w14:textId="77777777" w:rsidR="00A60822" w:rsidRPr="00A60822" w:rsidRDefault="00A60822" w:rsidP="00280939">
      <w:pPr>
        <w:spacing w:line="240" w:lineRule="auto"/>
        <w:jc w:val="both"/>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 xml:space="preserve">PANAECIA FOR TACKLING BLOCKCHAIN THREAT </w:t>
      </w:r>
    </w:p>
    <w:p w14:paraId="2DA50EEE" w14:textId="77777777" w:rsidR="00A60822" w:rsidRPr="00A60822" w:rsidRDefault="00A60822" w:rsidP="00280939">
      <w:pPr>
        <w:numPr>
          <w:ilvl w:val="0"/>
          <w:numId w:val="6"/>
        </w:numPr>
        <w:spacing w:line="240" w:lineRule="auto"/>
        <w:ind w:left="360"/>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Attack on wallet software: The software wallet attack can occur when there is loss of private keys or signature forgery. This can amount to loss of digital assets. Therefore, it is advised to prepare a </w:t>
      </w:r>
      <w:proofErr w:type="spellStart"/>
      <w:r w:rsidRPr="00A60822">
        <w:rPr>
          <w:rFonts w:ascii="Times New Roman" w:eastAsia="Calibri" w:hAnsi="Times New Roman" w:cs="Times New Roman"/>
          <w:kern w:val="0"/>
          <w14:ligatures w14:val="none"/>
        </w:rPr>
        <w:t>back up</w:t>
      </w:r>
      <w:proofErr w:type="spellEnd"/>
      <w:r w:rsidRPr="00A60822">
        <w:rPr>
          <w:rFonts w:ascii="Times New Roman" w:eastAsia="Calibri" w:hAnsi="Times New Roman" w:cs="Times New Roman"/>
          <w:kern w:val="0"/>
          <w14:ligatures w14:val="none"/>
        </w:rPr>
        <w:t xml:space="preserve"> wallet called super wallet. The super wallet serves as the personal bank account while the sub-wallet is the smart phones. The sub wallet may contain only small portion of currency and the larger sum is saved in the super wallet. </w:t>
      </w:r>
    </w:p>
    <w:p w14:paraId="303A78F5" w14:textId="77777777" w:rsidR="00A60822" w:rsidRPr="00A60822" w:rsidRDefault="00A60822" w:rsidP="00280939">
      <w:pPr>
        <w:numPr>
          <w:ilvl w:val="0"/>
          <w:numId w:val="6"/>
        </w:numPr>
        <w:spacing w:line="240" w:lineRule="auto"/>
        <w:ind w:left="360"/>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Time jacking attack: This occurs when an attacker announces the wrong time stamp and changes the node time counter and deceives to accept another block. This challenge can be overcome by defining an acceptable timestamp range using previous time </w:t>
      </w:r>
      <w:proofErr w:type="gramStart"/>
      <w:r w:rsidRPr="00A60822">
        <w:rPr>
          <w:rFonts w:ascii="Times New Roman" w:eastAsia="Calibri" w:hAnsi="Times New Roman" w:cs="Times New Roman"/>
          <w:kern w:val="0"/>
          <w14:ligatures w14:val="none"/>
        </w:rPr>
        <w:t>stamp .It</w:t>
      </w:r>
      <w:proofErr w:type="gramEnd"/>
      <w:r w:rsidRPr="00A60822">
        <w:rPr>
          <w:rFonts w:ascii="Times New Roman" w:eastAsia="Calibri" w:hAnsi="Times New Roman" w:cs="Times New Roman"/>
          <w:kern w:val="0"/>
          <w14:ligatures w14:val="none"/>
        </w:rPr>
        <w:t xml:space="preserve"> can also be tamed by using the nodes system time stamp instead of network time. The restriction of the network node. </w:t>
      </w:r>
    </w:p>
    <w:p w14:paraId="4E3F2732" w14:textId="77777777" w:rsidR="00A60822" w:rsidRPr="00A60822" w:rsidRDefault="00A60822" w:rsidP="00280939">
      <w:pPr>
        <w:numPr>
          <w:ilvl w:val="0"/>
          <w:numId w:val="6"/>
        </w:numPr>
        <w:spacing w:line="240" w:lineRule="auto"/>
        <w:ind w:left="360"/>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50% attack. The 50% attack is bit hypothetical and yet to occur. However, no group of miners should be allowed to acquire more than 51% stake </w:t>
      </w:r>
    </w:p>
    <w:p w14:paraId="67CF7AFC" w14:textId="77777777" w:rsidR="00A60822" w:rsidRPr="00A60822" w:rsidRDefault="00A60822" w:rsidP="00280939">
      <w:pPr>
        <w:numPr>
          <w:ilvl w:val="0"/>
          <w:numId w:val="6"/>
        </w:numPr>
        <w:spacing w:line="240" w:lineRule="auto"/>
        <w:ind w:left="360"/>
        <w:contextualSpacing/>
        <w:jc w:val="both"/>
        <w:rPr>
          <w:rFonts w:ascii="Times New Roman" w:eastAsia="Calibri" w:hAnsi="Times New Roman" w:cs="Times New Roman"/>
          <w:kern w:val="0"/>
          <w14:ligatures w14:val="none"/>
        </w:rPr>
      </w:pPr>
      <w:proofErr w:type="spellStart"/>
      <w:r w:rsidRPr="00A60822">
        <w:rPr>
          <w:rFonts w:ascii="Times New Roman" w:eastAsia="Calibri" w:hAnsi="Times New Roman" w:cs="Times New Roman"/>
          <w:kern w:val="0"/>
          <w14:ligatures w14:val="none"/>
        </w:rPr>
        <w:t>Self mining</w:t>
      </w:r>
      <w:proofErr w:type="spellEnd"/>
      <w:r w:rsidRPr="00A60822">
        <w:rPr>
          <w:rFonts w:ascii="Times New Roman" w:eastAsia="Calibri" w:hAnsi="Times New Roman" w:cs="Times New Roman"/>
          <w:kern w:val="0"/>
          <w14:ligatures w14:val="none"/>
        </w:rPr>
        <w:t xml:space="preserve">. The cryptocurrency network is modified using backward compatible protocol to raise the </w:t>
      </w:r>
      <w:proofErr w:type="spellStart"/>
      <w:proofErr w:type="gramStart"/>
      <w:r w:rsidRPr="00A60822">
        <w:rPr>
          <w:rFonts w:ascii="Times New Roman" w:eastAsia="Calibri" w:hAnsi="Times New Roman" w:cs="Times New Roman"/>
          <w:kern w:val="0"/>
          <w14:ligatures w14:val="none"/>
        </w:rPr>
        <w:t>threshould</w:t>
      </w:r>
      <w:proofErr w:type="spellEnd"/>
      <w:r w:rsidRPr="00A60822">
        <w:rPr>
          <w:rFonts w:ascii="Times New Roman" w:eastAsia="Calibri" w:hAnsi="Times New Roman" w:cs="Times New Roman"/>
          <w:kern w:val="0"/>
          <w14:ligatures w14:val="none"/>
        </w:rPr>
        <w:t xml:space="preserve"> .</w:t>
      </w:r>
      <w:proofErr w:type="gramEnd"/>
    </w:p>
    <w:p w14:paraId="1DADFCE0" w14:textId="77777777" w:rsidR="00A60822" w:rsidRPr="00A60822" w:rsidRDefault="00A60822" w:rsidP="00280939">
      <w:pPr>
        <w:numPr>
          <w:ilvl w:val="0"/>
          <w:numId w:val="6"/>
        </w:numPr>
        <w:spacing w:line="240" w:lineRule="auto"/>
        <w:ind w:left="360"/>
        <w:contextualSpacing/>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Fork problems: This is the duplication of blockchain history when there is a conflict of interest between old and new nodes. This challenge by collecting transactions from the discarded blocks in the blockchain. </w:t>
      </w:r>
    </w:p>
    <w:p w14:paraId="36CAE35C" w14:textId="77777777" w:rsidR="00A60822" w:rsidRPr="00A60822" w:rsidRDefault="00A60822" w:rsidP="00280939">
      <w:pPr>
        <w:spacing w:line="240" w:lineRule="auto"/>
        <w:jc w:val="both"/>
        <w:rPr>
          <w:rFonts w:ascii="Times New Roman" w:eastAsia="Calibri" w:hAnsi="Times New Roman" w:cs="Times New Roman"/>
          <w:b/>
          <w:kern w:val="0"/>
          <w14:ligatures w14:val="none"/>
        </w:rPr>
      </w:pPr>
      <w:r w:rsidRPr="00A60822">
        <w:rPr>
          <w:rFonts w:ascii="Times New Roman" w:eastAsia="Calibri" w:hAnsi="Times New Roman" w:cs="Times New Roman"/>
          <w:b/>
          <w:kern w:val="0"/>
          <w14:ligatures w14:val="none"/>
        </w:rPr>
        <w:t xml:space="preserve">CONCLUSION </w:t>
      </w:r>
    </w:p>
    <w:p w14:paraId="20810CED" w14:textId="77777777" w:rsidR="00A60822" w:rsidRPr="00A60822" w:rsidRDefault="00A60822" w:rsidP="00280939">
      <w:pPr>
        <w:spacing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Cryptocurrency is a virtual money that is traded and stored in blockchain. Cryptocurrency transaction is secured through the process of cryptography. Though, the market is volatile and unstable in view of the variable exchange rate, cryptocurrency is still a viable business option for investors. The concept of cryptocurrency accounting is still evolutionary without a standard accounting framework. But in the interim, IAS38: intangible assets and IAS2: inventories are being used to account for cryptocurrency transaction. The International Accounting Standard Board (IASB) should expedite action in formulating uniform and acceptable standard to account for cryptocurrency transaction.      </w:t>
      </w:r>
    </w:p>
    <w:p w14:paraId="543871AB" w14:textId="1C593677" w:rsidR="00A60822" w:rsidRPr="00A60822" w:rsidRDefault="00A60822" w:rsidP="00A60822">
      <w:pPr>
        <w:spacing w:after="0" w:line="240" w:lineRule="auto"/>
        <w:jc w:val="both"/>
        <w:rPr>
          <w:rFonts w:ascii="Times New Roman" w:hAnsi="Times New Roman" w:cs="Times New Roman"/>
          <w:b/>
          <w:bCs/>
          <w:sz w:val="32"/>
          <w:szCs w:val="32"/>
        </w:rPr>
      </w:pPr>
      <w:r w:rsidRPr="00A60822">
        <w:rPr>
          <w:rFonts w:ascii="Times New Roman" w:hAnsi="Times New Roman" w:cs="Times New Roman"/>
          <w:b/>
          <w:bCs/>
          <w:sz w:val="32"/>
          <w:szCs w:val="32"/>
        </w:rPr>
        <w:t xml:space="preserve"> </w:t>
      </w:r>
    </w:p>
    <w:p w14:paraId="50162929" w14:textId="77777777" w:rsidR="00693702" w:rsidRDefault="00693702" w:rsidP="00693702">
      <w:pPr>
        <w:spacing w:after="0" w:line="240" w:lineRule="auto"/>
        <w:jc w:val="center"/>
        <w:rPr>
          <w:rFonts w:ascii="Times New Roman" w:hAnsi="Times New Roman" w:cs="Times New Roman"/>
          <w:b/>
          <w:bCs/>
          <w:sz w:val="56"/>
          <w:szCs w:val="56"/>
        </w:rPr>
      </w:pPr>
    </w:p>
    <w:p w14:paraId="336E7DF0" w14:textId="77777777" w:rsidR="00A60822" w:rsidRDefault="00A60822" w:rsidP="00693702">
      <w:pPr>
        <w:spacing w:after="0" w:line="240" w:lineRule="auto"/>
        <w:jc w:val="center"/>
        <w:rPr>
          <w:rFonts w:ascii="Times New Roman" w:hAnsi="Times New Roman" w:cs="Times New Roman"/>
          <w:b/>
          <w:bCs/>
          <w:sz w:val="56"/>
          <w:szCs w:val="56"/>
        </w:rPr>
      </w:pPr>
    </w:p>
    <w:p w14:paraId="1AAE16F8"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48906F78"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73592257"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0BCDE7D1"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2210A7FC"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1D70D198"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167A3620"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35AD6260"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3F4F2BBF"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5B411A8E"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3D5A857C"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5D36A1DB"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6996B788"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1AFC5952"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0D678E30"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543A9417"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28116545" w14:textId="77777777" w:rsidR="00280939" w:rsidRDefault="00280939" w:rsidP="00A60822">
      <w:pPr>
        <w:spacing w:after="0" w:line="240" w:lineRule="auto"/>
        <w:jc w:val="center"/>
        <w:rPr>
          <w:rFonts w:ascii="Times New Roman" w:eastAsia="Times New Roman" w:hAnsi="Times New Roman" w:cs="Times New Roman"/>
          <w:b/>
          <w:color w:val="000000"/>
          <w:kern w:val="0"/>
          <w14:ligatures w14:val="none"/>
        </w:rPr>
      </w:pPr>
    </w:p>
    <w:p w14:paraId="581F1BD1" w14:textId="77777777" w:rsidR="00186526" w:rsidRDefault="00186526" w:rsidP="00A60822">
      <w:pPr>
        <w:spacing w:after="0" w:line="240" w:lineRule="auto"/>
        <w:jc w:val="center"/>
        <w:rPr>
          <w:rFonts w:ascii="Times New Roman" w:eastAsia="Times New Roman" w:hAnsi="Times New Roman" w:cs="Times New Roman"/>
          <w:b/>
          <w:color w:val="000000"/>
          <w:kern w:val="0"/>
          <w14:ligatures w14:val="none"/>
        </w:rPr>
      </w:pPr>
    </w:p>
    <w:p w14:paraId="55C4D96F" w14:textId="77777777" w:rsidR="00186526" w:rsidRDefault="00186526" w:rsidP="00A60822">
      <w:pPr>
        <w:spacing w:after="0" w:line="240" w:lineRule="auto"/>
        <w:jc w:val="center"/>
        <w:rPr>
          <w:rFonts w:ascii="Times New Roman" w:eastAsia="Times New Roman" w:hAnsi="Times New Roman" w:cs="Times New Roman"/>
          <w:b/>
          <w:color w:val="000000"/>
          <w:kern w:val="0"/>
          <w14:ligatures w14:val="none"/>
        </w:rPr>
      </w:pPr>
    </w:p>
    <w:p w14:paraId="213875E8" w14:textId="21370F38" w:rsidR="00A60822" w:rsidRPr="00A60822" w:rsidRDefault="00A60822" w:rsidP="00A60822">
      <w:pPr>
        <w:spacing w:after="0" w:line="240" w:lineRule="auto"/>
        <w:jc w:val="center"/>
        <w:rPr>
          <w:rFonts w:ascii="Times New Roman" w:eastAsia="Times New Roman" w:hAnsi="Times New Roman" w:cs="Times New Roman"/>
          <w:b/>
          <w:color w:val="000000"/>
          <w:kern w:val="0"/>
          <w14:ligatures w14:val="none"/>
        </w:rPr>
      </w:pPr>
      <w:r w:rsidRPr="00A60822">
        <w:rPr>
          <w:rFonts w:ascii="Times New Roman" w:eastAsia="Times New Roman" w:hAnsi="Times New Roman" w:cs="Times New Roman"/>
          <w:b/>
          <w:color w:val="000000"/>
          <w:kern w:val="0"/>
          <w14:ligatures w14:val="none"/>
        </w:rPr>
        <w:t>IMPACT OF ARTIFICIAL INTELLIGENCE STRUCTURED INVESTMENT ON RETURN ON ASSETS OF DEPOSIT MONEY BANKS IN NIGERIA</w:t>
      </w:r>
    </w:p>
    <w:p w14:paraId="0E10123C" w14:textId="77777777" w:rsidR="00A60822" w:rsidRPr="00A60822" w:rsidRDefault="00A60822" w:rsidP="00A60822">
      <w:pPr>
        <w:spacing w:after="0" w:line="240" w:lineRule="auto"/>
        <w:jc w:val="center"/>
        <w:rPr>
          <w:rFonts w:ascii="Times New Roman" w:eastAsia="Calibri" w:hAnsi="Times New Roman" w:cs="Times New Roman"/>
          <w:b/>
          <w:color w:val="000000"/>
          <w:kern w:val="0"/>
          <w:vertAlign w:val="superscript"/>
          <w14:ligatures w14:val="none"/>
        </w:rPr>
      </w:pPr>
    </w:p>
    <w:p w14:paraId="1998502E" w14:textId="77777777" w:rsidR="00A60822" w:rsidRPr="00A60822" w:rsidRDefault="00A60822" w:rsidP="00A60822">
      <w:pPr>
        <w:widowControl w:val="0"/>
        <w:autoSpaceDE w:val="0"/>
        <w:autoSpaceDN w:val="0"/>
        <w:spacing w:before="271" w:after="0" w:line="240" w:lineRule="auto"/>
        <w:ind w:left="270" w:right="987"/>
        <w:jc w:val="center"/>
        <w:outlineLvl w:val="0"/>
        <w:rPr>
          <w:rFonts w:ascii="Times New Roman" w:eastAsia="Times New Roman" w:hAnsi="Times New Roman" w:cs="Times New Roman"/>
          <w:b/>
          <w:bCs/>
          <w:kern w:val="0"/>
          <w14:ligatures w14:val="none"/>
        </w:rPr>
      </w:pPr>
      <w:r w:rsidRPr="00A60822">
        <w:rPr>
          <w:rFonts w:ascii="Times New Roman" w:eastAsia="Times New Roman" w:hAnsi="Times New Roman" w:cs="Times New Roman"/>
          <w:b/>
          <w:bCs/>
          <w:kern w:val="0"/>
          <w:position w:val="8"/>
          <w:sz w:val="16"/>
          <w14:ligatures w14:val="none"/>
        </w:rPr>
        <w:t>1</w:t>
      </w:r>
      <w:r w:rsidRPr="00A60822">
        <w:rPr>
          <w:rFonts w:ascii="Times New Roman" w:eastAsia="Times New Roman" w:hAnsi="Times New Roman" w:cs="Times New Roman"/>
          <w:b/>
          <w:bCs/>
          <w:kern w:val="0"/>
          <w14:ligatures w14:val="none"/>
        </w:rPr>
        <w:t>EGINIWIN</w:t>
      </w:r>
      <w:r w:rsidRPr="00A60822">
        <w:rPr>
          <w:rFonts w:ascii="Times New Roman" w:eastAsia="Times New Roman" w:hAnsi="Times New Roman" w:cs="Times New Roman"/>
          <w:b/>
          <w:bCs/>
          <w:spacing w:val="-1"/>
          <w:kern w:val="0"/>
          <w14:ligatures w14:val="none"/>
        </w:rPr>
        <w:t xml:space="preserve"> </w:t>
      </w:r>
      <w:r w:rsidRPr="00A60822">
        <w:rPr>
          <w:rFonts w:ascii="Times New Roman" w:eastAsia="Times New Roman" w:hAnsi="Times New Roman" w:cs="Times New Roman"/>
          <w:b/>
          <w:bCs/>
          <w:kern w:val="0"/>
          <w14:ligatures w14:val="none"/>
        </w:rPr>
        <w:t>Joseph</w:t>
      </w:r>
      <w:r w:rsidRPr="00A60822">
        <w:rPr>
          <w:rFonts w:ascii="Times New Roman" w:eastAsia="Times New Roman" w:hAnsi="Times New Roman" w:cs="Times New Roman"/>
          <w:b/>
          <w:bCs/>
          <w:spacing w:val="-3"/>
          <w:kern w:val="0"/>
          <w14:ligatures w14:val="none"/>
        </w:rPr>
        <w:t xml:space="preserve"> </w:t>
      </w:r>
      <w:r w:rsidRPr="00A60822">
        <w:rPr>
          <w:rFonts w:ascii="Times New Roman" w:eastAsia="Times New Roman" w:hAnsi="Times New Roman" w:cs="Times New Roman"/>
          <w:b/>
          <w:bCs/>
          <w:kern w:val="0"/>
          <w14:ligatures w14:val="none"/>
        </w:rPr>
        <w:t>Ese</w:t>
      </w:r>
      <w:r w:rsidRPr="00A60822">
        <w:rPr>
          <w:rFonts w:ascii="Times New Roman" w:eastAsia="Times New Roman" w:hAnsi="Times New Roman" w:cs="Times New Roman"/>
          <w:b/>
          <w:bCs/>
          <w:spacing w:val="-20"/>
          <w:kern w:val="0"/>
          <w14:ligatures w14:val="none"/>
        </w:rPr>
        <w:t xml:space="preserve"> </w:t>
      </w:r>
      <w:r w:rsidRPr="00A60822">
        <w:rPr>
          <w:rFonts w:ascii="Times New Roman" w:eastAsia="Times New Roman" w:hAnsi="Times New Roman" w:cs="Times New Roman"/>
          <w:b/>
          <w:bCs/>
          <w:kern w:val="0"/>
          <w14:ligatures w14:val="none"/>
        </w:rPr>
        <w:t>&amp;</w:t>
      </w:r>
      <w:r w:rsidRPr="00A60822">
        <w:rPr>
          <w:rFonts w:ascii="Times New Roman" w:eastAsia="Times New Roman" w:hAnsi="Times New Roman" w:cs="Times New Roman"/>
          <w:b/>
          <w:bCs/>
          <w:spacing w:val="-1"/>
          <w:kern w:val="0"/>
          <w14:ligatures w14:val="none"/>
        </w:rPr>
        <w:t xml:space="preserve"> </w:t>
      </w:r>
      <w:r w:rsidRPr="00A60822">
        <w:rPr>
          <w:rFonts w:ascii="Times New Roman" w:eastAsia="Times New Roman" w:hAnsi="Times New Roman" w:cs="Times New Roman"/>
          <w:b/>
          <w:bCs/>
          <w:kern w:val="0"/>
          <w:position w:val="8"/>
          <w:sz w:val="16"/>
          <w14:ligatures w14:val="none"/>
        </w:rPr>
        <w:t>2</w:t>
      </w:r>
      <w:r w:rsidRPr="00A60822">
        <w:rPr>
          <w:rFonts w:ascii="Times New Roman" w:eastAsia="Times New Roman" w:hAnsi="Times New Roman" w:cs="Times New Roman"/>
          <w:b/>
          <w:bCs/>
          <w:kern w:val="0"/>
          <w14:ligatures w14:val="none"/>
        </w:rPr>
        <w:t xml:space="preserve">OLOWU </w:t>
      </w:r>
      <w:proofErr w:type="spellStart"/>
      <w:r w:rsidRPr="00A60822">
        <w:rPr>
          <w:rFonts w:ascii="Times New Roman" w:eastAsia="Times New Roman" w:hAnsi="Times New Roman" w:cs="Times New Roman"/>
          <w:b/>
          <w:bCs/>
          <w:kern w:val="0"/>
          <w14:ligatures w14:val="none"/>
        </w:rPr>
        <w:t>Irikefe</w:t>
      </w:r>
      <w:proofErr w:type="spellEnd"/>
      <w:r w:rsidRPr="00A60822">
        <w:rPr>
          <w:rFonts w:ascii="Times New Roman" w:eastAsia="Times New Roman" w:hAnsi="Times New Roman" w:cs="Times New Roman"/>
          <w:b/>
          <w:bCs/>
          <w:kern w:val="0"/>
          <w14:ligatures w14:val="none"/>
        </w:rPr>
        <w:t xml:space="preserve"> Peter</w:t>
      </w:r>
    </w:p>
    <w:p w14:paraId="0348BA06" w14:textId="77777777" w:rsidR="00A60822" w:rsidRPr="00A60822" w:rsidRDefault="00A60822" w:rsidP="00A60822">
      <w:pPr>
        <w:spacing w:after="0" w:line="240" w:lineRule="auto"/>
        <w:jc w:val="center"/>
        <w:rPr>
          <w:rFonts w:ascii="Times New Roman" w:eastAsia="Calibri" w:hAnsi="Times New Roman" w:cs="Times New Roman"/>
          <w:color w:val="000000"/>
          <w:kern w:val="0"/>
          <w:vertAlign w:val="superscript"/>
          <w14:ligatures w14:val="none"/>
        </w:rPr>
      </w:pPr>
    </w:p>
    <w:p w14:paraId="18152C55" w14:textId="77777777" w:rsidR="00A60822" w:rsidRPr="00A60822" w:rsidRDefault="00A60822" w:rsidP="00A60822">
      <w:pPr>
        <w:spacing w:after="0" w:line="240" w:lineRule="auto"/>
        <w:jc w:val="center"/>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vertAlign w:val="superscript"/>
          <w14:ligatures w14:val="none"/>
        </w:rPr>
        <w:t xml:space="preserve"> 1</w:t>
      </w:r>
      <w:r w:rsidRPr="00A60822">
        <w:rPr>
          <w:rFonts w:ascii="Times New Roman" w:eastAsia="Calibri" w:hAnsi="Times New Roman" w:cs="Times New Roman"/>
          <w:color w:val="000000"/>
          <w:kern w:val="0"/>
          <w14:ligatures w14:val="none"/>
        </w:rPr>
        <w:t>Department of Accountancy</w:t>
      </w:r>
    </w:p>
    <w:p w14:paraId="7F527C8A" w14:textId="77777777" w:rsidR="00A60822" w:rsidRPr="00A60822" w:rsidRDefault="00A60822" w:rsidP="00A60822">
      <w:pPr>
        <w:spacing w:after="0" w:line="240" w:lineRule="auto"/>
        <w:jc w:val="center"/>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14:ligatures w14:val="none"/>
        </w:rPr>
        <w:t xml:space="preserve">School of Business Studies, </w:t>
      </w:r>
    </w:p>
    <w:p w14:paraId="1A80ABCD" w14:textId="77777777" w:rsidR="00A60822" w:rsidRPr="00A60822" w:rsidRDefault="00A60822" w:rsidP="00A60822">
      <w:pPr>
        <w:spacing w:after="0" w:line="240" w:lineRule="auto"/>
        <w:jc w:val="center"/>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14:ligatures w14:val="none"/>
        </w:rPr>
        <w:t xml:space="preserve">Federal Polytechnic </w:t>
      </w:r>
      <w:proofErr w:type="spellStart"/>
      <w:r w:rsidRPr="00A60822">
        <w:rPr>
          <w:rFonts w:ascii="Times New Roman" w:eastAsia="Calibri" w:hAnsi="Times New Roman" w:cs="Times New Roman"/>
          <w:color w:val="000000"/>
          <w:kern w:val="0"/>
          <w14:ligatures w14:val="none"/>
        </w:rPr>
        <w:t>Orogun</w:t>
      </w:r>
      <w:proofErr w:type="spellEnd"/>
      <w:r w:rsidRPr="00A60822">
        <w:rPr>
          <w:rFonts w:ascii="Times New Roman" w:eastAsia="Calibri" w:hAnsi="Times New Roman" w:cs="Times New Roman"/>
          <w:color w:val="000000"/>
          <w:kern w:val="0"/>
          <w14:ligatures w14:val="none"/>
        </w:rPr>
        <w:t>, Delta State, Nigeria</w:t>
      </w:r>
    </w:p>
    <w:p w14:paraId="554BA014" w14:textId="77777777" w:rsidR="00A60822" w:rsidRPr="00A60822" w:rsidRDefault="00A60822" w:rsidP="00A60822">
      <w:pPr>
        <w:spacing w:after="0" w:line="240" w:lineRule="auto"/>
        <w:jc w:val="center"/>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14:ligatures w14:val="none"/>
        </w:rPr>
        <w:t>eginjoseph70@gmail.com</w:t>
      </w:r>
    </w:p>
    <w:p w14:paraId="5148F97B" w14:textId="77777777" w:rsidR="00A60822" w:rsidRPr="00A60822" w:rsidRDefault="00A60822" w:rsidP="00A60822">
      <w:pPr>
        <w:spacing w:after="0" w:line="240" w:lineRule="auto"/>
        <w:jc w:val="center"/>
        <w:outlineLvl w:val="1"/>
        <w:rPr>
          <w:rFonts w:ascii="Times New Roman" w:eastAsia="Times New Roman" w:hAnsi="Times New Roman" w:cs="Times New Roman"/>
          <w:bCs/>
          <w:kern w:val="0"/>
          <w14:ligatures w14:val="none"/>
        </w:rPr>
      </w:pPr>
      <w:r w:rsidRPr="00A60822">
        <w:rPr>
          <w:rFonts w:ascii="Times New Roman" w:eastAsia="Times New Roman" w:hAnsi="Times New Roman" w:cs="Times New Roman"/>
          <w:bCs/>
          <w:kern w:val="0"/>
          <w14:ligatures w14:val="none"/>
        </w:rPr>
        <w:t>+2348036096203</w:t>
      </w:r>
    </w:p>
    <w:p w14:paraId="7797B1D5" w14:textId="77777777" w:rsidR="00A60822" w:rsidRPr="00A60822" w:rsidRDefault="00A60822" w:rsidP="00A60822">
      <w:pPr>
        <w:spacing w:after="0" w:line="240" w:lineRule="auto"/>
        <w:jc w:val="center"/>
        <w:outlineLvl w:val="1"/>
        <w:rPr>
          <w:rFonts w:ascii="Times New Roman" w:eastAsia="Times New Roman" w:hAnsi="Times New Roman" w:cs="Times New Roman"/>
          <w:bCs/>
          <w:kern w:val="0"/>
          <w14:ligatures w14:val="none"/>
        </w:rPr>
      </w:pPr>
    </w:p>
    <w:p w14:paraId="118E2388" w14:textId="77777777" w:rsidR="00A60822" w:rsidRPr="00A60822" w:rsidRDefault="00A60822" w:rsidP="00A60822">
      <w:pPr>
        <w:widowControl w:val="0"/>
        <w:autoSpaceDE w:val="0"/>
        <w:autoSpaceDN w:val="0"/>
        <w:spacing w:before="1" w:after="0" w:line="240" w:lineRule="auto"/>
        <w:ind w:left="269" w:right="987"/>
        <w:jc w:val="center"/>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vertAlign w:val="superscript"/>
          <w14:ligatures w14:val="none"/>
        </w:rPr>
        <w:t>2</w:t>
      </w:r>
      <w:r w:rsidRPr="00A60822">
        <w:rPr>
          <w:rFonts w:ascii="Times New Roman" w:eastAsia="Times New Roman" w:hAnsi="Times New Roman" w:cs="Times New Roman"/>
          <w:kern w:val="0"/>
          <w14:ligatures w14:val="none"/>
        </w:rPr>
        <w:t>Department</w:t>
      </w:r>
      <w:r w:rsidRPr="00A60822">
        <w:rPr>
          <w:rFonts w:ascii="Times New Roman" w:eastAsia="Times New Roman" w:hAnsi="Times New Roman" w:cs="Times New Roman"/>
          <w:spacing w:val="-1"/>
          <w:kern w:val="0"/>
          <w14:ligatures w14:val="none"/>
        </w:rPr>
        <w:t xml:space="preserve"> </w:t>
      </w:r>
      <w:r w:rsidRPr="00A60822">
        <w:rPr>
          <w:rFonts w:ascii="Times New Roman" w:eastAsia="Times New Roman" w:hAnsi="Times New Roman" w:cs="Times New Roman"/>
          <w:kern w:val="0"/>
          <w14:ligatures w14:val="none"/>
        </w:rPr>
        <w:t>of</w:t>
      </w:r>
      <w:r w:rsidRPr="00A60822">
        <w:rPr>
          <w:rFonts w:ascii="Times New Roman" w:eastAsia="Times New Roman" w:hAnsi="Times New Roman" w:cs="Times New Roman"/>
          <w:spacing w:val="-1"/>
          <w:kern w:val="0"/>
          <w14:ligatures w14:val="none"/>
        </w:rPr>
        <w:t xml:space="preserve"> </w:t>
      </w:r>
      <w:r w:rsidRPr="00A60822">
        <w:rPr>
          <w:rFonts w:ascii="Times New Roman" w:eastAsia="Times New Roman" w:hAnsi="Times New Roman" w:cs="Times New Roman"/>
          <w:kern w:val="0"/>
          <w14:ligatures w14:val="none"/>
        </w:rPr>
        <w:t>Business</w:t>
      </w:r>
      <w:r w:rsidRPr="00A60822">
        <w:rPr>
          <w:rFonts w:ascii="Times New Roman" w:eastAsia="Times New Roman" w:hAnsi="Times New Roman" w:cs="Times New Roman"/>
          <w:spacing w:val="-1"/>
          <w:kern w:val="0"/>
          <w14:ligatures w14:val="none"/>
        </w:rPr>
        <w:t xml:space="preserve"> </w:t>
      </w:r>
      <w:r w:rsidRPr="00A60822">
        <w:rPr>
          <w:rFonts w:ascii="Times New Roman" w:eastAsia="Times New Roman" w:hAnsi="Times New Roman" w:cs="Times New Roman"/>
          <w:kern w:val="0"/>
          <w14:ligatures w14:val="none"/>
        </w:rPr>
        <w:t>Administration and</w:t>
      </w:r>
      <w:r w:rsidRPr="00A60822">
        <w:rPr>
          <w:rFonts w:ascii="Times New Roman" w:eastAsia="Times New Roman" w:hAnsi="Times New Roman" w:cs="Times New Roman"/>
          <w:spacing w:val="-1"/>
          <w:kern w:val="0"/>
          <w14:ligatures w14:val="none"/>
        </w:rPr>
        <w:t xml:space="preserve"> </w:t>
      </w:r>
      <w:r w:rsidRPr="00A60822">
        <w:rPr>
          <w:rFonts w:ascii="Times New Roman" w:eastAsia="Times New Roman" w:hAnsi="Times New Roman" w:cs="Times New Roman"/>
          <w:spacing w:val="-2"/>
          <w:kern w:val="0"/>
          <w14:ligatures w14:val="none"/>
        </w:rPr>
        <w:t>Management,</w:t>
      </w:r>
    </w:p>
    <w:p w14:paraId="14F5C24B" w14:textId="77777777" w:rsidR="00A60822" w:rsidRPr="00A60822" w:rsidRDefault="00A60822" w:rsidP="00A60822">
      <w:pPr>
        <w:spacing w:after="0" w:line="240" w:lineRule="auto"/>
        <w:jc w:val="center"/>
        <w:outlineLvl w:val="1"/>
        <w:rPr>
          <w:rFonts w:ascii="Times New Roman" w:eastAsia="Times New Roman" w:hAnsi="Times New Roman" w:cs="Times New Roman"/>
          <w:kern w:val="0"/>
          <w:sz w:val="22"/>
          <w:szCs w:val="22"/>
          <w14:ligatures w14:val="none"/>
        </w:rPr>
      </w:pPr>
      <w:r w:rsidRPr="00A60822">
        <w:rPr>
          <w:rFonts w:ascii="Times New Roman" w:eastAsia="Times New Roman" w:hAnsi="Times New Roman" w:cs="Times New Roman"/>
          <w:kern w:val="0"/>
          <w:sz w:val="22"/>
          <w:szCs w:val="22"/>
          <w14:ligatures w14:val="none"/>
        </w:rPr>
        <w:t>School</w:t>
      </w:r>
      <w:r w:rsidRPr="00A60822">
        <w:rPr>
          <w:rFonts w:ascii="Times New Roman" w:eastAsia="Times New Roman" w:hAnsi="Times New Roman" w:cs="Times New Roman"/>
          <w:spacing w:val="-5"/>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of</w:t>
      </w:r>
      <w:r w:rsidRPr="00A60822">
        <w:rPr>
          <w:rFonts w:ascii="Times New Roman" w:eastAsia="Times New Roman" w:hAnsi="Times New Roman" w:cs="Times New Roman"/>
          <w:spacing w:val="-5"/>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Business</w:t>
      </w:r>
      <w:r w:rsidRPr="00A60822">
        <w:rPr>
          <w:rFonts w:ascii="Times New Roman" w:eastAsia="Times New Roman" w:hAnsi="Times New Roman" w:cs="Times New Roman"/>
          <w:spacing w:val="-5"/>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Studies,</w:t>
      </w:r>
    </w:p>
    <w:p w14:paraId="332B7F54" w14:textId="77777777" w:rsidR="00A60822" w:rsidRPr="00A60822" w:rsidRDefault="00A60822" w:rsidP="00A60822">
      <w:pPr>
        <w:spacing w:after="0" w:line="240" w:lineRule="auto"/>
        <w:jc w:val="center"/>
        <w:outlineLvl w:val="1"/>
        <w:rPr>
          <w:rFonts w:ascii="Times New Roman" w:eastAsia="Times New Roman" w:hAnsi="Times New Roman" w:cs="Times New Roman"/>
          <w:bCs/>
          <w:kern w:val="0"/>
          <w14:ligatures w14:val="none"/>
        </w:rPr>
      </w:pPr>
      <w:r w:rsidRPr="00A60822">
        <w:rPr>
          <w:rFonts w:ascii="Times New Roman" w:eastAsia="Times New Roman" w:hAnsi="Times New Roman" w:cs="Times New Roman"/>
          <w:spacing w:val="-5"/>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Federal</w:t>
      </w:r>
      <w:r w:rsidRPr="00A60822">
        <w:rPr>
          <w:rFonts w:ascii="Times New Roman" w:eastAsia="Times New Roman" w:hAnsi="Times New Roman" w:cs="Times New Roman"/>
          <w:spacing w:val="-5"/>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Polytechnic</w:t>
      </w:r>
      <w:r w:rsidRPr="00A60822">
        <w:rPr>
          <w:rFonts w:ascii="Times New Roman" w:eastAsia="Times New Roman" w:hAnsi="Times New Roman" w:cs="Times New Roman"/>
          <w:spacing w:val="-4"/>
          <w:kern w:val="0"/>
          <w:sz w:val="22"/>
          <w:szCs w:val="22"/>
          <w14:ligatures w14:val="none"/>
        </w:rPr>
        <w:t xml:space="preserve"> </w:t>
      </w:r>
      <w:proofErr w:type="spellStart"/>
      <w:r w:rsidRPr="00A60822">
        <w:rPr>
          <w:rFonts w:ascii="Times New Roman" w:eastAsia="Times New Roman" w:hAnsi="Times New Roman" w:cs="Times New Roman"/>
          <w:kern w:val="0"/>
          <w:sz w:val="22"/>
          <w:szCs w:val="22"/>
          <w14:ligatures w14:val="none"/>
        </w:rPr>
        <w:t>Orogun</w:t>
      </w:r>
      <w:proofErr w:type="spellEnd"/>
      <w:r w:rsidRPr="00A60822">
        <w:rPr>
          <w:rFonts w:ascii="Times New Roman" w:eastAsia="Times New Roman" w:hAnsi="Times New Roman" w:cs="Times New Roman"/>
          <w:kern w:val="0"/>
          <w:sz w:val="22"/>
          <w:szCs w:val="22"/>
          <w14:ligatures w14:val="none"/>
        </w:rPr>
        <w:t>,</w:t>
      </w:r>
      <w:r w:rsidRPr="00A60822">
        <w:rPr>
          <w:rFonts w:ascii="Times New Roman" w:eastAsia="Times New Roman" w:hAnsi="Times New Roman" w:cs="Times New Roman"/>
          <w:spacing w:val="-5"/>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Delta</w:t>
      </w:r>
      <w:r w:rsidRPr="00A60822">
        <w:rPr>
          <w:rFonts w:ascii="Times New Roman" w:eastAsia="Times New Roman" w:hAnsi="Times New Roman" w:cs="Times New Roman"/>
          <w:spacing w:val="-6"/>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State,</w:t>
      </w:r>
      <w:r w:rsidRPr="00A60822">
        <w:rPr>
          <w:rFonts w:ascii="Times New Roman" w:eastAsia="Times New Roman" w:hAnsi="Times New Roman" w:cs="Times New Roman"/>
          <w:spacing w:val="-5"/>
          <w:kern w:val="0"/>
          <w:sz w:val="22"/>
          <w:szCs w:val="22"/>
          <w14:ligatures w14:val="none"/>
        </w:rPr>
        <w:t xml:space="preserve"> </w:t>
      </w:r>
      <w:r w:rsidRPr="00A60822">
        <w:rPr>
          <w:rFonts w:ascii="Times New Roman" w:eastAsia="Times New Roman" w:hAnsi="Times New Roman" w:cs="Times New Roman"/>
          <w:kern w:val="0"/>
          <w:sz w:val="22"/>
          <w:szCs w:val="22"/>
          <w14:ligatures w14:val="none"/>
        </w:rPr>
        <w:t>Nigeria</w:t>
      </w:r>
    </w:p>
    <w:p w14:paraId="26C08951" w14:textId="77777777" w:rsidR="00A60822" w:rsidRPr="00A60822" w:rsidRDefault="00A60822" w:rsidP="00A60822">
      <w:pPr>
        <w:spacing w:after="0" w:line="240" w:lineRule="auto"/>
        <w:jc w:val="both"/>
        <w:rPr>
          <w:rFonts w:ascii="Times New Roman" w:eastAsia="Times New Roman" w:hAnsi="Times New Roman" w:cs="Times New Roman"/>
          <w:b/>
          <w:bCs/>
          <w:kern w:val="0"/>
          <w14:ligatures w14:val="none"/>
        </w:rPr>
      </w:pPr>
    </w:p>
    <w:p w14:paraId="4360AD0F" w14:textId="77777777" w:rsidR="00A60822" w:rsidRPr="00A60822" w:rsidRDefault="00A60822" w:rsidP="00A60822">
      <w:pPr>
        <w:spacing w:after="0" w:line="240" w:lineRule="auto"/>
        <w:jc w:val="both"/>
        <w:rPr>
          <w:rFonts w:ascii="Times New Roman" w:eastAsia="Times New Roman" w:hAnsi="Times New Roman" w:cs="Times New Roman"/>
          <w:b/>
          <w:bCs/>
          <w:color w:val="000000"/>
          <w:kern w:val="0"/>
          <w14:ligatures w14:val="none"/>
        </w:rPr>
      </w:pPr>
      <w:r w:rsidRPr="00A60822">
        <w:rPr>
          <w:rFonts w:ascii="Times New Roman" w:eastAsia="Times New Roman" w:hAnsi="Times New Roman" w:cs="Times New Roman"/>
          <w:b/>
          <w:bCs/>
          <w:color w:val="000000"/>
          <w:kern w:val="0"/>
          <w14:ligatures w14:val="none"/>
        </w:rPr>
        <w:t>Abstract</w:t>
      </w:r>
    </w:p>
    <w:p w14:paraId="6EDC00F9" w14:textId="77777777" w:rsidR="00A60822" w:rsidRPr="00A60822" w:rsidRDefault="00A60822" w:rsidP="00A60822">
      <w:pPr>
        <w:spacing w:after="0" w:line="240" w:lineRule="auto"/>
        <w:jc w:val="both"/>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bCs/>
          <w:color w:val="000000"/>
          <w:kern w:val="0"/>
          <w14:ligatures w14:val="none"/>
        </w:rPr>
        <w:t>This paper examines the impact of artificial intelligence (AI) structured investments on the financial performance of Deposit Money Banks (DMBs) in Nigeria using Return on Assets (ROA) as a proxy for financial performance. This paper specifically examines the impact of AI software book value, AI software expenses disclosure, AI operational automation using chatbots, and bank size on ROA. This paper uses an ex post facto research design and secondary data from ten purposively selected DMBs listed on the Nigerian Exchange Group from 2015 to 2024. From the empirical analysis, this paper finds that AI software book value, AI software expenses disclosure, and AI operational automation using chatbots have a positive and significant impact on the return on assets of banks in Nigeria. This paper also finds that bank size has a positive impact on return on assets. This paper concludes that AI-structured investments have a significant impact on asset utilization in Nigeria. This paper recommends that banks in Nigeria invest more in AI infrastructure, invest in staff capacity in AI technologies, and that regulatory authorities in Nigeria design guidelines for AI adoption in banks.</w:t>
      </w:r>
    </w:p>
    <w:p w14:paraId="091E3936" w14:textId="77777777" w:rsidR="00A60822" w:rsidRPr="00A60822" w:rsidRDefault="00A60822" w:rsidP="00A60822">
      <w:pPr>
        <w:spacing w:after="0" w:line="240" w:lineRule="auto"/>
        <w:ind w:left="1170" w:hanging="1170"/>
        <w:jc w:val="both"/>
        <w:outlineLvl w:val="1"/>
        <w:rPr>
          <w:rFonts w:ascii="Times New Roman" w:eastAsia="Calibri" w:hAnsi="Times New Roman" w:cs="Times New Roman"/>
          <w:b/>
          <w:bCs/>
          <w:i/>
          <w:iCs/>
          <w:color w:val="000000"/>
          <w:kern w:val="0"/>
          <w14:ligatures w14:val="none"/>
        </w:rPr>
      </w:pPr>
    </w:p>
    <w:p w14:paraId="67857DB1" w14:textId="77777777" w:rsidR="00A60822" w:rsidRPr="00A60822" w:rsidRDefault="00A60822" w:rsidP="00A60822">
      <w:pPr>
        <w:spacing w:after="0" w:line="240" w:lineRule="auto"/>
        <w:ind w:left="1170" w:hanging="1170"/>
        <w:jc w:val="both"/>
        <w:outlineLvl w:val="1"/>
        <w:rPr>
          <w:rFonts w:ascii="Times New Roman" w:eastAsia="Times New Roman" w:hAnsi="Times New Roman" w:cs="Times New Roman"/>
          <w:bCs/>
          <w:i/>
          <w:color w:val="000000"/>
          <w:kern w:val="0"/>
          <w14:ligatures w14:val="none"/>
        </w:rPr>
      </w:pPr>
      <w:r w:rsidRPr="00A60822">
        <w:rPr>
          <w:rFonts w:ascii="Times New Roman" w:eastAsia="Calibri" w:hAnsi="Times New Roman" w:cs="Times New Roman"/>
          <w:b/>
          <w:bCs/>
          <w:i/>
          <w:iCs/>
          <w:color w:val="000000"/>
          <w:kern w:val="0"/>
          <w14:ligatures w14:val="none"/>
        </w:rPr>
        <w:t>Keywords:</w:t>
      </w:r>
      <w:r w:rsidRPr="00A60822">
        <w:rPr>
          <w:rFonts w:ascii="Times New Roman" w:eastAsia="Calibri" w:hAnsi="Times New Roman" w:cs="Times New Roman"/>
          <w:i/>
          <w:iCs/>
          <w:color w:val="000000"/>
          <w:kern w:val="0"/>
          <w14:ligatures w14:val="none"/>
        </w:rPr>
        <w:t xml:space="preserve">  AI-Structured Investment, </w:t>
      </w:r>
      <w:r w:rsidRPr="00A60822">
        <w:rPr>
          <w:rFonts w:ascii="Times New Roman" w:eastAsia="Times New Roman" w:hAnsi="Times New Roman" w:cs="Times New Roman"/>
          <w:bCs/>
          <w:i/>
          <w:color w:val="000000"/>
          <w:kern w:val="0"/>
          <w14:ligatures w14:val="none"/>
        </w:rPr>
        <w:t xml:space="preserve">AI-Software </w:t>
      </w:r>
      <w:r w:rsidRPr="00A60822">
        <w:rPr>
          <w:rFonts w:ascii="Times New Roman" w:eastAsia="Times New Roman" w:hAnsi="Times New Roman" w:cs="Times New Roman"/>
          <w:i/>
          <w:color w:val="000000"/>
          <w:kern w:val="0"/>
          <w14:ligatures w14:val="none"/>
        </w:rPr>
        <w:t>Book value</w:t>
      </w:r>
      <w:r w:rsidRPr="00A60822">
        <w:rPr>
          <w:rFonts w:ascii="Times New Roman" w:eastAsia="Times New Roman" w:hAnsi="Times New Roman" w:cs="Times New Roman"/>
          <w:bCs/>
          <w:i/>
          <w:color w:val="000000"/>
          <w:kern w:val="0"/>
          <w14:ligatures w14:val="none"/>
        </w:rPr>
        <w:t>,</w:t>
      </w:r>
      <w:r w:rsidRPr="00A60822">
        <w:rPr>
          <w:rFonts w:ascii="Times New Roman" w:eastAsia="Times New Roman" w:hAnsi="Times New Roman" w:cs="Times New Roman"/>
          <w:i/>
          <w:color w:val="000000"/>
          <w:kern w:val="0"/>
          <w14:ligatures w14:val="none"/>
        </w:rPr>
        <w:t xml:space="preserve"> AI Software Expense Disclosure, AI-Enabled Operational Automation </w:t>
      </w:r>
      <w:r w:rsidRPr="00A60822">
        <w:rPr>
          <w:rFonts w:ascii="Times New Roman" w:eastAsia="Times New Roman" w:hAnsi="Times New Roman" w:cs="Times New Roman"/>
          <w:bCs/>
          <w:i/>
          <w:color w:val="000000"/>
          <w:kern w:val="0"/>
          <w14:ligatures w14:val="none"/>
        </w:rPr>
        <w:t>(Chatbots), Bank Size, Return on Assets</w:t>
      </w:r>
    </w:p>
    <w:p w14:paraId="0733EE88" w14:textId="77777777" w:rsidR="00A60822" w:rsidRPr="00A60822" w:rsidRDefault="00A60822" w:rsidP="00A60822">
      <w:pPr>
        <w:spacing w:after="0" w:line="240" w:lineRule="auto"/>
        <w:jc w:val="both"/>
        <w:rPr>
          <w:rFonts w:ascii="Times New Roman" w:eastAsia="Times New Roman" w:hAnsi="Times New Roman" w:cs="Times New Roman"/>
          <w:b/>
          <w:bCs/>
          <w:kern w:val="0"/>
          <w14:ligatures w14:val="none"/>
        </w:rPr>
      </w:pPr>
    </w:p>
    <w:p w14:paraId="6E529B37" w14:textId="77777777" w:rsidR="00A60822" w:rsidRPr="00A60822" w:rsidRDefault="00A60822" w:rsidP="00A60822">
      <w:pPr>
        <w:spacing w:after="0" w:line="240" w:lineRule="auto"/>
        <w:jc w:val="both"/>
        <w:rPr>
          <w:rFonts w:ascii="Times New Roman" w:eastAsia="Times New Roman" w:hAnsi="Times New Roman" w:cs="Times New Roman"/>
          <w:b/>
          <w:bCs/>
          <w:kern w:val="0"/>
          <w14:ligatures w14:val="none"/>
        </w:rPr>
      </w:pPr>
      <w:r w:rsidRPr="00A60822">
        <w:rPr>
          <w:rFonts w:ascii="Times New Roman" w:eastAsia="Times New Roman" w:hAnsi="Times New Roman" w:cs="Times New Roman"/>
          <w:b/>
          <w:bCs/>
          <w:kern w:val="0"/>
          <w14:ligatures w14:val="none"/>
        </w:rPr>
        <w:t>I.1 Background to the Study</w:t>
      </w:r>
    </w:p>
    <w:p w14:paraId="72197594" w14:textId="77777777" w:rsidR="00A60822" w:rsidRPr="00A60822" w:rsidRDefault="00A60822" w:rsidP="00A60822">
      <w:pPr>
        <w:spacing w:after="0" w:line="240" w:lineRule="auto"/>
        <w:jc w:val="both"/>
        <w:rPr>
          <w:rFonts w:ascii="Times New Roman" w:eastAsia="Times New Roman" w:hAnsi="Times New Roman" w:cs="Times New Roman"/>
          <w:bCs/>
          <w:kern w:val="0"/>
          <w14:ligatures w14:val="none"/>
        </w:rPr>
      </w:pPr>
      <w:r w:rsidRPr="00A60822">
        <w:rPr>
          <w:rFonts w:ascii="Times New Roman" w:eastAsia="Times New Roman" w:hAnsi="Times New Roman" w:cs="Times New Roman"/>
          <w:bCs/>
          <w:kern w:val="0"/>
          <w14:ligatures w14:val="none"/>
        </w:rPr>
        <w:t xml:space="preserve">The fast-paced evolution of financial technology has greatly affected the landscape of the banking sector, resulting in the need for institutions in the financial industry to implement innovative technologies to enhance efficiency, competitiveness, and profitability. One among these innovative technologies is artificial intelligence (AI), which has emerged as a strategic technology to provide advanced analytical tools for investment decisions, risk management, credit scoring, customer segmentation, fraud detection, and operational efficiency (Akerlof &amp; Shiller, 2024; Khan et al., 2026). AI-structured investment refers to the application of AI-structured models and </w:t>
      </w:r>
      <w:r w:rsidRPr="00A60822">
        <w:rPr>
          <w:rFonts w:ascii="Times New Roman" w:eastAsia="Times New Roman" w:hAnsi="Times New Roman" w:cs="Times New Roman"/>
          <w:bCs/>
          <w:kern w:val="0"/>
          <w14:ligatures w14:val="none"/>
        </w:rPr>
        <w:lastRenderedPageBreak/>
        <w:t>algorithms to enhance portfolio optimization, predict investment asset classes, and strategically allocate financial resources. Banks are financial hubs of any economy, and in Nigeria, the DMBs are the major component of Nigeria’s financial system; they perform economic functions by providing essential financial intermediation, mobilizing savings, and allocating credit to promote economic growth. These banks have equally faced their challenge and have struggled in a difficult business environment plagued by market fluctuations, regulatory pressures, low financial inclusion, and heightened competition (Central Bank of Nigeria [CBN], 2025; Sanusi, 2024). The struggles and challenges conveniently faced by these banks have led them to seek new investments that would not only increase returns but would also improve profitability. Return on Assets (ROA), which is a commonly used measure to evaluate bank performance, indicates the extent to which banks are able to utilize assets to produce earnings (Pandey, 2022). A high ROA indicates effective asset utilization, effective risk management, and high earnings generation potential. Using AI-based investment methods allows DMBs to boost their ROA by making better investment choices, lowering the chances of mistakes, and cutting down on costs. AI technology can process large datasets to identify patterns and insights that may not be readily visible through conventional analysis, thereby enabling banks to make informed investment decisions on asset allocation and risk management. Despite the potential benefits of AI technology adoption, the academic and empirical literature on the relationship between AI technology adoption and financial performance, specifically ROA, remains scant in the Nigerian context (Olanrewaju et al., 2024). Moreover, many Nigerian banks are currently constrained by limitations in technological infrastructure, a lack of expertise, and regulatory uncertainties that may affect the efficacy of AI technology adoption. Hence, this research aims to fill the existing knowledge gap by investigating the relationship between AI-structured investment and the return on assets of deposit money banks in Nigeria.</w:t>
      </w:r>
    </w:p>
    <w:p w14:paraId="55C09E7C" w14:textId="77777777" w:rsidR="00A60822" w:rsidRPr="00A60822" w:rsidRDefault="00A60822" w:rsidP="00A60822">
      <w:pPr>
        <w:spacing w:after="0" w:line="240" w:lineRule="auto"/>
        <w:jc w:val="both"/>
        <w:outlineLvl w:val="0"/>
        <w:rPr>
          <w:rFonts w:ascii="Times New Roman" w:eastAsia="Calibri" w:hAnsi="Times New Roman" w:cs="Times New Roman"/>
          <w:b/>
          <w:kern w:val="0"/>
          <w14:ligatures w14:val="none"/>
        </w:rPr>
      </w:pPr>
    </w:p>
    <w:p w14:paraId="598CCE4A" w14:textId="77777777" w:rsidR="00A60822" w:rsidRPr="00A60822" w:rsidRDefault="00A60822" w:rsidP="00A60822">
      <w:pPr>
        <w:spacing w:after="0" w:line="240" w:lineRule="auto"/>
        <w:jc w:val="both"/>
        <w:outlineLvl w:val="0"/>
        <w:rPr>
          <w:rFonts w:ascii="Times New Roman" w:eastAsia="Calibri" w:hAnsi="Times New Roman" w:cs="Times New Roman"/>
          <w:b/>
          <w:kern w:val="0"/>
          <w14:ligatures w14:val="none"/>
        </w:rPr>
      </w:pPr>
      <w:r w:rsidRPr="00A60822">
        <w:rPr>
          <w:rFonts w:ascii="Times New Roman" w:eastAsia="Calibri" w:hAnsi="Times New Roman" w:cs="Times New Roman"/>
          <w:b/>
          <w:kern w:val="0"/>
          <w14:ligatures w14:val="none"/>
        </w:rPr>
        <w:t>1.2 Objectives of the Study</w:t>
      </w:r>
    </w:p>
    <w:p w14:paraId="09D2E585" w14:textId="77777777" w:rsidR="00A60822" w:rsidRPr="00A60822" w:rsidRDefault="00A60822" w:rsidP="00A60822">
      <w:pPr>
        <w:spacing w:after="0" w:line="240" w:lineRule="auto"/>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The main objective of this study is to examine the impact of AI-structured investment on the ROA of Deposit Money </w:t>
      </w:r>
      <w:proofErr w:type="gramStart"/>
      <w:r w:rsidRPr="00A60822">
        <w:rPr>
          <w:rFonts w:ascii="Times New Roman" w:eastAsia="Calibri" w:hAnsi="Times New Roman" w:cs="Times New Roman"/>
          <w:kern w:val="0"/>
          <w14:ligatures w14:val="none"/>
        </w:rPr>
        <w:t>Banks'</w:t>
      </w:r>
      <w:proofErr w:type="gramEnd"/>
      <w:r w:rsidRPr="00A60822">
        <w:rPr>
          <w:rFonts w:ascii="Times New Roman" w:eastAsia="Calibri" w:hAnsi="Times New Roman" w:cs="Times New Roman"/>
          <w:kern w:val="0"/>
          <w14:ligatures w14:val="none"/>
        </w:rPr>
        <w:t xml:space="preserve"> in Nigeria. The specific objectives are:</w:t>
      </w:r>
    </w:p>
    <w:p w14:paraId="7ABBE3B9" w14:textId="77777777" w:rsidR="00A60822" w:rsidRPr="00A60822" w:rsidRDefault="00A60822" w:rsidP="00A60822">
      <w:pPr>
        <w:spacing w:after="0" w:line="240" w:lineRule="auto"/>
        <w:ind w:left="270" w:hanging="270"/>
        <w:jc w:val="both"/>
        <w:outlineLvl w:val="0"/>
        <w:rPr>
          <w:rFonts w:ascii="Times New Roman" w:eastAsia="Calibri" w:hAnsi="Times New Roman" w:cs="Times New Roman"/>
          <w:kern w:val="0"/>
          <w14:ligatures w14:val="none"/>
        </w:rPr>
      </w:pPr>
      <w:proofErr w:type="spellStart"/>
      <w:r w:rsidRPr="00A60822">
        <w:rPr>
          <w:rFonts w:ascii="Times New Roman" w:eastAsia="Calibri" w:hAnsi="Times New Roman" w:cs="Times New Roman"/>
          <w:kern w:val="0"/>
          <w14:ligatures w14:val="none"/>
        </w:rPr>
        <w:t>i</w:t>
      </w:r>
      <w:proofErr w:type="spellEnd"/>
      <w:r w:rsidRPr="00A60822">
        <w:rPr>
          <w:rFonts w:ascii="Times New Roman" w:eastAsia="Calibri" w:hAnsi="Times New Roman" w:cs="Times New Roman"/>
          <w:kern w:val="0"/>
          <w14:ligatures w14:val="none"/>
        </w:rPr>
        <w:t>. To examine the effect of AI Software Book Value on the return on assets of deposit money banks in Nigeria.</w:t>
      </w:r>
    </w:p>
    <w:p w14:paraId="151C2A31" w14:textId="77777777" w:rsidR="00A60822" w:rsidRPr="00A60822" w:rsidRDefault="00A60822" w:rsidP="00A60822">
      <w:pPr>
        <w:spacing w:after="0" w:line="240" w:lineRule="auto"/>
        <w:ind w:left="270" w:hanging="270"/>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ii. To determine the impact of AI Software Expenses Disclosed (SED) on the Return on Assets of Deposit Money Banks in Nigeria.</w:t>
      </w:r>
    </w:p>
    <w:p w14:paraId="748B688C" w14:textId="77777777" w:rsidR="00A60822" w:rsidRPr="00A60822" w:rsidRDefault="00A60822" w:rsidP="00A60822">
      <w:pPr>
        <w:spacing w:after="0" w:line="240" w:lineRule="auto"/>
        <w:ind w:left="270" w:hanging="270"/>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iii. To evaluate the influence of AI-enabled operational automation on improved asset utilization in Nigerian banks.</w:t>
      </w:r>
    </w:p>
    <w:p w14:paraId="2336BF64" w14:textId="77777777" w:rsidR="00A60822" w:rsidRPr="00A60822" w:rsidRDefault="00A60822" w:rsidP="00A60822">
      <w:pPr>
        <w:spacing w:after="0" w:line="240" w:lineRule="auto"/>
        <w:ind w:left="360" w:hanging="360"/>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iv. To investigate the relationship between bank size and Return on Assets of Deposit Money Banks in Nigeria.</w:t>
      </w:r>
    </w:p>
    <w:p w14:paraId="065934FA" w14:textId="77777777" w:rsidR="00A60822" w:rsidRPr="00A60822" w:rsidRDefault="00A60822" w:rsidP="00A60822">
      <w:pPr>
        <w:spacing w:after="0" w:line="240" w:lineRule="auto"/>
        <w:jc w:val="both"/>
        <w:outlineLvl w:val="0"/>
        <w:rPr>
          <w:rFonts w:ascii="Times New Roman" w:eastAsia="Calibri" w:hAnsi="Times New Roman" w:cs="Times New Roman"/>
          <w:kern w:val="0"/>
          <w14:ligatures w14:val="none"/>
        </w:rPr>
      </w:pPr>
    </w:p>
    <w:p w14:paraId="2751FF89" w14:textId="77777777" w:rsidR="00A60822" w:rsidRPr="00A60822" w:rsidRDefault="00A60822" w:rsidP="00A60822">
      <w:pPr>
        <w:spacing w:after="0" w:line="240" w:lineRule="auto"/>
        <w:ind w:left="630" w:hanging="630"/>
        <w:jc w:val="both"/>
        <w:outlineLvl w:val="0"/>
        <w:rPr>
          <w:rFonts w:ascii="Times New Roman" w:eastAsia="Calibri" w:hAnsi="Times New Roman" w:cs="Times New Roman"/>
          <w:b/>
          <w:kern w:val="0"/>
          <w14:ligatures w14:val="none"/>
        </w:rPr>
      </w:pPr>
      <w:r w:rsidRPr="00A60822">
        <w:rPr>
          <w:rFonts w:ascii="Times New Roman" w:eastAsia="Calibri" w:hAnsi="Times New Roman" w:cs="Times New Roman"/>
          <w:b/>
          <w:kern w:val="0"/>
          <w14:ligatures w14:val="none"/>
        </w:rPr>
        <w:t>1.3 Hypotheses of the study</w:t>
      </w:r>
    </w:p>
    <w:p w14:paraId="0FC504C3" w14:textId="77777777" w:rsidR="00A60822" w:rsidRPr="00A60822" w:rsidRDefault="00A60822" w:rsidP="00A60822">
      <w:pPr>
        <w:spacing w:after="0" w:line="240" w:lineRule="auto"/>
        <w:ind w:left="630" w:hanging="630"/>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Ho</w:t>
      </w:r>
      <w:r w:rsidRPr="00A60822">
        <w:rPr>
          <w:rFonts w:ascii="Times New Roman" w:eastAsia="Calibri" w:hAnsi="Times New Roman" w:cs="Times New Roman"/>
          <w:kern w:val="0"/>
          <w:vertAlign w:val="subscript"/>
          <w14:ligatures w14:val="none"/>
        </w:rPr>
        <w:t>1</w:t>
      </w:r>
      <w:r w:rsidRPr="00A60822">
        <w:rPr>
          <w:rFonts w:ascii="Times New Roman" w:eastAsia="Calibri" w:hAnsi="Times New Roman" w:cs="Times New Roman"/>
          <w:kern w:val="0"/>
          <w14:ligatures w14:val="none"/>
        </w:rPr>
        <w:t>: There is no significant relationship between AI software book value and return on assets of deposit money banks in Nigeria.</w:t>
      </w:r>
    </w:p>
    <w:p w14:paraId="14546617" w14:textId="77777777" w:rsidR="00A60822" w:rsidRPr="00A60822" w:rsidRDefault="00A60822" w:rsidP="00A60822">
      <w:pPr>
        <w:spacing w:after="0" w:line="240" w:lineRule="auto"/>
        <w:ind w:left="630" w:hanging="630"/>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Ho</w:t>
      </w:r>
      <w:r w:rsidRPr="00A60822">
        <w:rPr>
          <w:rFonts w:ascii="Times New Roman" w:eastAsia="Calibri" w:hAnsi="Times New Roman" w:cs="Times New Roman"/>
          <w:kern w:val="0"/>
          <w:vertAlign w:val="subscript"/>
          <w14:ligatures w14:val="none"/>
        </w:rPr>
        <w:t>2</w:t>
      </w:r>
      <w:r w:rsidRPr="00A60822">
        <w:rPr>
          <w:rFonts w:ascii="Times New Roman" w:eastAsia="Calibri" w:hAnsi="Times New Roman" w:cs="Times New Roman"/>
          <w:kern w:val="0"/>
          <w14:ligatures w14:val="none"/>
        </w:rPr>
        <w:t>: There is no significant relationship between AI software expenses disclosed and return on assets of deposit money banks in Nigeria.</w:t>
      </w:r>
    </w:p>
    <w:p w14:paraId="04DD2B25" w14:textId="77777777" w:rsidR="00A60822" w:rsidRPr="00A60822" w:rsidRDefault="00A60822" w:rsidP="00A60822">
      <w:pPr>
        <w:spacing w:after="0" w:line="240" w:lineRule="auto"/>
        <w:ind w:left="630" w:hanging="630"/>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Ho</w:t>
      </w:r>
      <w:r w:rsidRPr="00A60822">
        <w:rPr>
          <w:rFonts w:ascii="Times New Roman" w:eastAsia="Calibri" w:hAnsi="Times New Roman" w:cs="Times New Roman"/>
          <w:kern w:val="0"/>
          <w:vertAlign w:val="subscript"/>
          <w14:ligatures w14:val="none"/>
        </w:rPr>
        <w:t>3</w:t>
      </w:r>
      <w:r w:rsidRPr="00A60822">
        <w:rPr>
          <w:rFonts w:ascii="Times New Roman" w:eastAsia="Calibri" w:hAnsi="Times New Roman" w:cs="Times New Roman"/>
          <w:kern w:val="0"/>
          <w14:ligatures w14:val="none"/>
        </w:rPr>
        <w:t xml:space="preserve">: There is no significant relationship between AI-enabled operational automation </w:t>
      </w:r>
      <w:r w:rsidRPr="00A60822">
        <w:rPr>
          <w:rFonts w:ascii="Times New Roman" w:eastAsia="Calibri" w:hAnsi="Times New Roman" w:cs="Times New Roman"/>
          <w:bCs/>
          <w:kern w:val="0"/>
          <w14:ligatures w14:val="none"/>
        </w:rPr>
        <w:t>(Chatbots)</w:t>
      </w:r>
      <w:r w:rsidRPr="00A60822">
        <w:rPr>
          <w:rFonts w:ascii="Times New Roman" w:eastAsia="Calibri" w:hAnsi="Times New Roman" w:cs="Times New Roman"/>
          <w:kern w:val="0"/>
          <w14:ligatures w14:val="none"/>
        </w:rPr>
        <w:t xml:space="preserve"> and return on assets of deposit money banks in Nigeria.</w:t>
      </w:r>
    </w:p>
    <w:p w14:paraId="33CCD30E" w14:textId="77777777" w:rsidR="00A60822" w:rsidRPr="00A60822" w:rsidRDefault="00A60822" w:rsidP="00A60822">
      <w:pPr>
        <w:spacing w:after="0" w:line="240" w:lineRule="auto"/>
        <w:ind w:left="630" w:hanging="630"/>
        <w:jc w:val="both"/>
        <w:outlineLvl w:val="0"/>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Ho</w:t>
      </w:r>
      <w:r w:rsidRPr="00A60822">
        <w:rPr>
          <w:rFonts w:ascii="Times New Roman" w:eastAsia="Calibri" w:hAnsi="Times New Roman" w:cs="Times New Roman"/>
          <w:kern w:val="0"/>
          <w:vertAlign w:val="subscript"/>
          <w14:ligatures w14:val="none"/>
        </w:rPr>
        <w:t>4</w:t>
      </w:r>
      <w:r w:rsidRPr="00A60822">
        <w:rPr>
          <w:rFonts w:ascii="Times New Roman" w:eastAsia="Calibri" w:hAnsi="Times New Roman" w:cs="Times New Roman"/>
          <w:kern w:val="0"/>
          <w14:ligatures w14:val="none"/>
        </w:rPr>
        <w:t>: There is no significant relationship between bank size and return on assets of deposit money banks in Nigeria.</w:t>
      </w:r>
    </w:p>
    <w:p w14:paraId="53C984CB" w14:textId="77777777" w:rsidR="00A60822" w:rsidRPr="00A60822" w:rsidRDefault="00A60822" w:rsidP="00A60822">
      <w:pPr>
        <w:spacing w:after="0" w:line="240" w:lineRule="auto"/>
        <w:jc w:val="both"/>
        <w:outlineLvl w:val="0"/>
        <w:rPr>
          <w:rFonts w:ascii="Times New Roman" w:eastAsia="Calibri" w:hAnsi="Times New Roman" w:cs="Times New Roman"/>
          <w:kern w:val="0"/>
          <w14:ligatures w14:val="none"/>
        </w:rPr>
      </w:pPr>
    </w:p>
    <w:p w14:paraId="75C3178F"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r w:rsidRPr="00A60822">
        <w:rPr>
          <w:rFonts w:ascii="Times New Roman" w:eastAsia="Times New Roman" w:hAnsi="Times New Roman" w:cs="Times New Roman"/>
          <w:b/>
          <w:bCs/>
          <w:kern w:val="36"/>
          <w14:ligatures w14:val="none"/>
        </w:rPr>
        <w:t>2. Review of Related Literature</w:t>
      </w:r>
    </w:p>
    <w:p w14:paraId="586BAEED"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r w:rsidRPr="00A60822">
        <w:rPr>
          <w:rFonts w:ascii="Times New Roman" w:eastAsia="Times New Roman" w:hAnsi="Times New Roman" w:cs="Times New Roman"/>
          <w:b/>
          <w:bCs/>
          <w:kern w:val="36"/>
          <w14:ligatures w14:val="none"/>
        </w:rPr>
        <w:t>2.1 Conceptual Review</w:t>
      </w:r>
    </w:p>
    <w:p w14:paraId="36229C2E" w14:textId="77777777" w:rsidR="00A60822" w:rsidRPr="00A60822" w:rsidRDefault="00A60822" w:rsidP="00A60822">
      <w:pPr>
        <w:spacing w:after="0" w:line="240" w:lineRule="auto"/>
        <w:jc w:val="both"/>
        <w:rPr>
          <w:rFonts w:ascii="Times New Roman" w:eastAsia="Times New Roman" w:hAnsi="Times New Roman" w:cs="Times New Roman"/>
          <w:b/>
          <w:bCs/>
          <w:kern w:val="0"/>
          <w14:ligatures w14:val="none"/>
        </w:rPr>
      </w:pPr>
      <w:r w:rsidRPr="00A60822">
        <w:rPr>
          <w:rFonts w:ascii="Times New Roman" w:eastAsia="Times New Roman" w:hAnsi="Times New Roman" w:cs="Times New Roman"/>
          <w:b/>
          <w:bCs/>
          <w:kern w:val="0"/>
          <w14:ligatures w14:val="none"/>
        </w:rPr>
        <w:t>2.1.1 The Concept of AI-Structured Investment</w:t>
      </w:r>
    </w:p>
    <w:p w14:paraId="68CE61A2" w14:textId="77777777" w:rsidR="00A60822" w:rsidRPr="00A60822" w:rsidRDefault="00A60822" w:rsidP="00A60822">
      <w:pPr>
        <w:spacing w:after="0" w:line="240" w:lineRule="auto"/>
        <w:jc w:val="both"/>
        <w:rPr>
          <w:rFonts w:ascii="Times New Roman" w:eastAsia="Times New Roman" w:hAnsi="Times New Roman" w:cs="Times New Roman"/>
          <w:bCs/>
          <w:kern w:val="0"/>
          <w14:ligatures w14:val="none"/>
        </w:rPr>
      </w:pPr>
      <w:r w:rsidRPr="00A60822">
        <w:rPr>
          <w:rFonts w:ascii="Times New Roman" w:eastAsia="Times New Roman" w:hAnsi="Times New Roman" w:cs="Times New Roman"/>
          <w:bCs/>
          <w:kern w:val="0"/>
          <w14:ligatures w14:val="none"/>
        </w:rPr>
        <w:t xml:space="preserve">The concept of AI-structured investment entails the strategic investment of capital aimed at incorporating sophisticated computer technologies such as machine learning, neural networks, and natural language processing into the bank’s value chain (Mhlanga, 2023). Unlike other IT investment strategies, which are aimed at achieving simple computerization, AI-structured investment is characterized by its "autonomous" and "predictive" features. In terms of Nigerian DMBs, this type of investment takes three major forms. First is hardware and software infrastructure, which is related to the capital book value of AI systems deployed for high-frequency data </w:t>
      </w:r>
      <w:r w:rsidRPr="00A60822">
        <w:rPr>
          <w:rFonts w:ascii="Times New Roman" w:eastAsia="Times New Roman" w:hAnsi="Times New Roman" w:cs="Times New Roman"/>
          <w:bCs/>
          <w:kern w:val="0"/>
          <w14:ligatures w14:val="none"/>
        </w:rPr>
        <w:lastRenderedPageBreak/>
        <w:t>processing (Jabin, Akhand, &amp; Siddique, 2023). Next, there’s operational intelligence. This is all about using AI to handle credit scoring and assess risk, trying to tackle Nigeria’s constant problem with non-performing loans (Olayinka, 2022). Then there’s customer experience automation. Here, banks roll out smart chatbots and virtual assistants, cutting costs by relying less on people but still keeping their services running around the clock (Olanrewaju, 2022).</w:t>
      </w:r>
    </w:p>
    <w:p w14:paraId="50846449" w14:textId="77777777" w:rsidR="00A60822" w:rsidRPr="00A60822" w:rsidRDefault="00A60822" w:rsidP="00A60822">
      <w:pPr>
        <w:spacing w:after="0" w:line="240" w:lineRule="auto"/>
        <w:jc w:val="both"/>
        <w:rPr>
          <w:rFonts w:ascii="Times New Roman" w:eastAsia="Times New Roman" w:hAnsi="Times New Roman" w:cs="Times New Roman"/>
          <w:kern w:val="0"/>
          <w14:ligatures w14:val="none"/>
        </w:rPr>
      </w:pPr>
    </w:p>
    <w:p w14:paraId="02081599" w14:textId="77777777" w:rsidR="00A60822" w:rsidRPr="00A60822" w:rsidRDefault="00A60822" w:rsidP="00A60822">
      <w:pPr>
        <w:spacing w:after="0" w:line="240" w:lineRule="auto"/>
        <w:jc w:val="both"/>
        <w:rPr>
          <w:rFonts w:ascii="Times New Roman" w:eastAsia="Times New Roman" w:hAnsi="Times New Roman" w:cs="Times New Roman"/>
          <w:b/>
          <w:bCs/>
          <w:kern w:val="0"/>
          <w14:ligatures w14:val="none"/>
        </w:rPr>
      </w:pPr>
      <w:r w:rsidRPr="00A60822">
        <w:rPr>
          <w:rFonts w:ascii="Times New Roman" w:eastAsia="Times New Roman" w:hAnsi="Times New Roman" w:cs="Times New Roman"/>
          <w:b/>
          <w:bCs/>
          <w:kern w:val="0"/>
          <w14:ligatures w14:val="none"/>
        </w:rPr>
        <w:t>2.1.2 Return on Assets (ROA)</w:t>
      </w:r>
    </w:p>
    <w:p w14:paraId="0B31303A" w14:textId="77777777" w:rsidR="00A60822" w:rsidRPr="00A60822" w:rsidRDefault="00A60822" w:rsidP="00A60822">
      <w:pPr>
        <w:spacing w:after="0" w:line="240" w:lineRule="auto"/>
        <w:jc w:val="both"/>
        <w:rPr>
          <w:rFonts w:ascii="Times New Roman" w:eastAsia="Times New Roman" w:hAnsi="Times New Roman" w:cs="Times New Roman"/>
          <w:kern w:val="0"/>
          <w14:ligatures w14:val="none"/>
        </w:rPr>
      </w:pPr>
      <w:r w:rsidRPr="00A60822">
        <w:rPr>
          <w:rFonts w:ascii="Times New Roman" w:eastAsia="Times New Roman" w:hAnsi="Times New Roman" w:cs="Times New Roman"/>
          <w:bCs/>
          <w:kern w:val="0"/>
          <w14:ligatures w14:val="none"/>
        </w:rPr>
        <w:t>In essence, financial performance shows how successfully banks turn their assets into real profits. In this study, we focused on return on assets (ROA) as the main measure of financial performance, which is calculated as net income divided by average total assets. ROA is particularly relevant for evaluating AI investments because it measures efficiency. AI counts as a big chunk of “Total Assets” because of its software value, so the bank really needs to boost “Net Income” to prove the investment makes sense (Udeh &amp; Okeke, 2023). In Nigeria, inflation and exchange rate volatility can result in profit figures going haywire. This is why banks rely on ROA. It provides a more stable insight into how such technology-heavy assets really fare relative to the bank’s scale (Abubakar et al., 2023).</w:t>
      </w:r>
    </w:p>
    <w:p w14:paraId="7913E9E6"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p>
    <w:p w14:paraId="0C0122AC"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r w:rsidRPr="00A60822">
        <w:rPr>
          <w:rFonts w:ascii="Times New Roman" w:eastAsia="Times New Roman" w:hAnsi="Times New Roman" w:cs="Times New Roman"/>
          <w:b/>
          <w:bCs/>
          <w:kern w:val="36"/>
          <w14:ligatures w14:val="none"/>
        </w:rPr>
        <w:t>2.2. Theoretical Review</w:t>
      </w:r>
    </w:p>
    <w:p w14:paraId="229BCA12"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r w:rsidRPr="00A60822">
        <w:rPr>
          <w:rFonts w:ascii="Times New Roman" w:eastAsia="Times New Roman" w:hAnsi="Times New Roman" w:cs="Times New Roman"/>
          <w:b/>
          <w:bCs/>
          <w:kern w:val="36"/>
          <w14:ligatures w14:val="none"/>
        </w:rPr>
        <w:t>2.2.1 Resource-Based View (RBV)</w:t>
      </w:r>
    </w:p>
    <w:p w14:paraId="4DA3E71C"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r w:rsidRPr="00A60822">
        <w:rPr>
          <w:rFonts w:ascii="Times New Roman" w:eastAsia="Times New Roman" w:hAnsi="Times New Roman" w:cs="Times New Roman"/>
          <w:bCs/>
          <w:kern w:val="36"/>
          <w14:ligatures w14:val="none"/>
        </w:rPr>
        <w:t>The Resource-Based View (RBV) is the most significant theoretical foundation for this investigation. Barney was the first to put up this theory (1991). The RBV theory states that the performance of a firm is influenced by its internal resources, which must be Valuable, Rare, Inimitable, and Non-substitutable (VRIN) in order to create a competitive advantage. In the case of Nigerian Deposit Money Banks (DMBs), AI-structured investments are considered strategic intangible resources. Unlike the traditional IT infrastructure, which can be easily replicated, AI systems, particularly those that involve proprietary machine learning models and deep data lakes, become less imitable by competitors over time (Mhlanga, 2023). When a bank successfully leverages these AI resources, it maximizes its internal processes, resulting in increased efficiency and a better Return on Assets (ROA) than competitors who are still using traditional IT infrastructure (Udeh &amp; Okeke, 2023).</w:t>
      </w:r>
    </w:p>
    <w:p w14:paraId="23E5FD75"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
    <w:p w14:paraId="493934A4"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r w:rsidRPr="00A60822">
        <w:rPr>
          <w:rFonts w:ascii="Times New Roman" w:eastAsia="Times New Roman" w:hAnsi="Times New Roman" w:cs="Times New Roman"/>
          <w:bCs/>
          <w:kern w:val="36"/>
          <w14:ligatures w14:val="none"/>
        </w:rPr>
        <w:t>2.2.2 Agency Theory</w:t>
      </w:r>
    </w:p>
    <w:p w14:paraId="32A547D4"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r w:rsidRPr="00A60822">
        <w:rPr>
          <w:rFonts w:ascii="Times New Roman" w:eastAsia="Times New Roman" w:hAnsi="Times New Roman" w:cs="Times New Roman"/>
          <w:bCs/>
          <w:kern w:val="36"/>
          <w14:ligatures w14:val="none"/>
        </w:rPr>
        <w:t>The Agency Theory was created by Jensen and Meckling in 1976 to handle the conflict of interest between "principals" and "agents." In the Nigerian banking industry, there is a great deal of information asymmetry about the actual risk and value of the loan portfolios. According to Joseph (2023), the convergence of AI technology serves as a monitoring device that can minimize these agency costs. The AI-powered credit risk assessment models ensure that there is no subjective judgment by the managers to engage in discriminatory or risky lending practices that result in Non-Performing Loans (NPLs). The application of AI technology to automate the monitoring process and information flow helps minimize the "agency friction" that normally eats into the net income, thus safeguarding and improving the ROA (Sullivan et al., 2024).</w:t>
      </w:r>
    </w:p>
    <w:p w14:paraId="09C1581A"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p>
    <w:p w14:paraId="595D86E1"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r w:rsidRPr="00A60822">
        <w:rPr>
          <w:rFonts w:ascii="Times New Roman" w:eastAsia="Times New Roman" w:hAnsi="Times New Roman" w:cs="Times New Roman"/>
          <w:b/>
          <w:bCs/>
          <w:kern w:val="36"/>
          <w14:ligatures w14:val="none"/>
        </w:rPr>
        <w:t>2.2.3 Diffusion of Innovation (DOI) Theory</w:t>
      </w:r>
    </w:p>
    <w:p w14:paraId="740C50BC"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r w:rsidRPr="00A60822">
        <w:rPr>
          <w:rFonts w:ascii="Times New Roman" w:eastAsia="Times New Roman" w:hAnsi="Times New Roman" w:cs="Times New Roman"/>
          <w:bCs/>
          <w:kern w:val="36"/>
          <w14:ligatures w14:val="none"/>
        </w:rPr>
        <w:t xml:space="preserve">The theory of Diffusion of Innovation, as espoused by Everett Rogers (1962), explains the process of spreading new technology-based innovation within a social system or industry. For Nigerian DMBs, AI technology is considered a "disruptive innovation." The theory divides adopters of new technology into five groups: innovators, early adopters, early majority, late majority, and laggards. The early adopters of AI technology, such as Nigerian banks using sophisticated chatbots such as "Leo" or "ZIVA" of some First-Generational Banks, tend to gain an "innovator's premium," grabbing market share and lowering costs before the late majority (Adewumi, </w:t>
      </w:r>
      <w:proofErr w:type="spellStart"/>
      <w:r w:rsidRPr="00A60822">
        <w:rPr>
          <w:rFonts w:ascii="Times New Roman" w:eastAsia="Times New Roman" w:hAnsi="Times New Roman" w:cs="Times New Roman"/>
          <w:bCs/>
          <w:kern w:val="36"/>
          <w14:ligatures w14:val="none"/>
        </w:rPr>
        <w:t>Melikam</w:t>
      </w:r>
      <w:proofErr w:type="spellEnd"/>
      <w:r w:rsidRPr="00A60822">
        <w:rPr>
          <w:rFonts w:ascii="Times New Roman" w:eastAsia="Times New Roman" w:hAnsi="Times New Roman" w:cs="Times New Roman"/>
          <w:bCs/>
          <w:kern w:val="36"/>
          <w14:ligatures w14:val="none"/>
        </w:rPr>
        <w:t>, &amp; Ige, 2023). However, the theory also espouses the "complexity" of innovation. If the AI software is not simple enough to be integrated into the current technology, there might be increased costs of AI software but not necessarily improved financial performance, which explains the dip in ROA observed at the beginning of AI technology adoption (Babatunde, 2024).</w:t>
      </w:r>
    </w:p>
    <w:p w14:paraId="178224D3"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
    <w:p w14:paraId="76CB751C"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r w:rsidRPr="00A60822">
        <w:rPr>
          <w:rFonts w:ascii="Times New Roman" w:eastAsia="Times New Roman" w:hAnsi="Times New Roman" w:cs="Times New Roman"/>
          <w:b/>
          <w:bCs/>
          <w:kern w:val="36"/>
          <w14:ligatures w14:val="none"/>
        </w:rPr>
        <w:lastRenderedPageBreak/>
        <w:t xml:space="preserve">2.3 Empirical Review </w:t>
      </w:r>
    </w:p>
    <w:p w14:paraId="7658B7CB"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r w:rsidRPr="00A60822">
        <w:rPr>
          <w:rFonts w:ascii="Times New Roman" w:eastAsia="Times New Roman" w:hAnsi="Times New Roman" w:cs="Times New Roman"/>
          <w:bCs/>
          <w:kern w:val="36"/>
          <w14:ligatures w14:val="none"/>
        </w:rPr>
        <w:t>Isaac and Jimoh (2025) conducted an empirical study to examine the effect of investments in Artificial Intelligence (AI) on the financial performance of Nigerian Deposit Money Banks (DMBs) using three AI-related variables: software book value (SBV), AI-related keyword disclosures (AKD), and software expenses disclosed (SED) as measures for AI adoption, actual AI investment, and AI expenses, respectively. The fixed effects regression model was employed as a control for unobserved, bank-specific characteristics. The study revealed that collectively, AI-related investments explained about 72.44% of the variance in earnings per share (EPS) among the banks included in the study (F-statistic = 18.40, p &lt; 0.0000), indicating significant explanatory power for AI-related investments in profitability for Nigerian banks. Of particular interest was the fact that software book value (SBV) had a positive and significant effect on profitability, as it was found to have a p-value &lt; 0.05, implying that tangible AI investments have a positive effect on financial performance. However, AI-related disclosures (AKD) and software expenses (SED) were found not to have significant effects on profitability, implying that AI-related disclosures and expenses do not have a direct effect on financial performance unless AI is actually invested in for core banking operations. The study concludes that actual implementation and investment in AI technologies as captured by book value are key drivers of improved bank performance in Nigeria.</w:t>
      </w:r>
    </w:p>
    <w:p w14:paraId="448FD411"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
    <w:p w14:paraId="5CC76A9D"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r w:rsidRPr="00A60822">
        <w:rPr>
          <w:rFonts w:ascii="Times New Roman" w:eastAsia="Times New Roman" w:hAnsi="Times New Roman" w:cs="Times New Roman"/>
          <w:bCs/>
          <w:kern w:val="36"/>
          <w14:ligatures w14:val="none"/>
        </w:rPr>
        <w:t>Olanrewaju and Odeyemi (2022) sought to explore the adoption of Artificial Intelligence (AI) technology in Nigerian commercial banks and its relationship to key financial performance measures. In their research, the authors used both primary and secondary research to analyze the relationship between AI technology in commercial banks in Nigeria and the key financial performance measures. According to their findings, there was a strong positive correlation between the adoption of AI technology in Nigerian commercial banks and their return on asset (ROA) financial performance measure. This implies that commercial banks in Nigeria that have adopted AI technology in their customer segmentation have performed better in terms of financial returns compared to commercial banks that have not adopted AI technology in their customer segmentation. In essence, the adoption of AI technology in commercial banks in Nigeria implies that the banks have been able to improve their financial returns through the use of AI technology in their customer segmentation (see related findings on AI technology in Nigerian commercial banks)</w:t>
      </w:r>
    </w:p>
    <w:p w14:paraId="6951EC17"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
    <w:p w14:paraId="06DB0D25"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roofErr w:type="spellStart"/>
      <w:r w:rsidRPr="00A60822">
        <w:rPr>
          <w:rFonts w:ascii="Times New Roman" w:eastAsia="Times New Roman" w:hAnsi="Times New Roman" w:cs="Times New Roman"/>
          <w:bCs/>
          <w:kern w:val="36"/>
          <w14:ligatures w14:val="none"/>
        </w:rPr>
        <w:t>Salemcity</w:t>
      </w:r>
      <w:proofErr w:type="spellEnd"/>
      <w:r w:rsidRPr="00A60822">
        <w:rPr>
          <w:rFonts w:ascii="Times New Roman" w:eastAsia="Times New Roman" w:hAnsi="Times New Roman" w:cs="Times New Roman"/>
          <w:bCs/>
          <w:kern w:val="36"/>
          <w14:ligatures w14:val="none"/>
        </w:rPr>
        <w:t xml:space="preserve">, </w:t>
      </w:r>
      <w:proofErr w:type="spellStart"/>
      <w:r w:rsidRPr="00A60822">
        <w:rPr>
          <w:rFonts w:ascii="Times New Roman" w:eastAsia="Times New Roman" w:hAnsi="Times New Roman" w:cs="Times New Roman"/>
          <w:bCs/>
          <w:kern w:val="36"/>
          <w14:ligatures w14:val="none"/>
        </w:rPr>
        <w:t>Aiyesan</w:t>
      </w:r>
      <w:proofErr w:type="spellEnd"/>
      <w:r w:rsidRPr="00A60822">
        <w:rPr>
          <w:rFonts w:ascii="Times New Roman" w:eastAsia="Times New Roman" w:hAnsi="Times New Roman" w:cs="Times New Roman"/>
          <w:bCs/>
          <w:kern w:val="36"/>
          <w14:ligatures w14:val="none"/>
        </w:rPr>
        <w:t xml:space="preserve">, and </w:t>
      </w:r>
      <w:proofErr w:type="spellStart"/>
      <w:r w:rsidRPr="00A60822">
        <w:rPr>
          <w:rFonts w:ascii="Times New Roman" w:eastAsia="Times New Roman" w:hAnsi="Times New Roman" w:cs="Times New Roman"/>
          <w:bCs/>
          <w:kern w:val="36"/>
          <w14:ligatures w14:val="none"/>
        </w:rPr>
        <w:t>Japinye</w:t>
      </w:r>
      <w:proofErr w:type="spellEnd"/>
      <w:r w:rsidRPr="00A60822">
        <w:rPr>
          <w:rFonts w:ascii="Times New Roman" w:eastAsia="Times New Roman" w:hAnsi="Times New Roman" w:cs="Times New Roman"/>
          <w:bCs/>
          <w:kern w:val="36"/>
          <w14:ligatures w14:val="none"/>
        </w:rPr>
        <w:t xml:space="preserve"> (2023) analyzed a panel dataset of secondary financial statement data from Nigerian Deposit Money Banks (DMBs) from 2012 to 2022 to examine the impact of Artificial Intelligence (AI) adoption on the cost structure and performance of the banks. Using a panel regression analysis, the authors revealed that AI adoption led to a substantial decrease in personnel expenses, indicating that automation and AI-based systems reduced reliance on labor-intensive activities. At the same time, AI adoption was found to lead to an increase in operating expenses, mainly because of increased maintenance, licensing, and technology support expenses that come with operating AI systems. Although there was an increase in operating expenses, the net effects on bank performance were positive, as AI investments improved corporate operating activities, which the authors explain as an improvement in the long-term financial performance of DMBs.  </w:t>
      </w:r>
    </w:p>
    <w:p w14:paraId="1C93EF4E"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
    <w:p w14:paraId="1A365F24" w14:textId="77777777" w:rsidR="0015036C" w:rsidRDefault="0015036C" w:rsidP="00A60822">
      <w:pPr>
        <w:spacing w:after="0" w:line="240" w:lineRule="auto"/>
        <w:jc w:val="both"/>
        <w:outlineLvl w:val="0"/>
        <w:rPr>
          <w:rFonts w:ascii="Times New Roman" w:eastAsia="Times New Roman" w:hAnsi="Times New Roman" w:cs="Times New Roman"/>
          <w:bCs/>
          <w:kern w:val="36"/>
          <w14:ligatures w14:val="none"/>
        </w:rPr>
      </w:pPr>
    </w:p>
    <w:p w14:paraId="725032EA" w14:textId="112D843A"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roofErr w:type="spellStart"/>
      <w:r w:rsidRPr="00A60822">
        <w:rPr>
          <w:rFonts w:ascii="Times New Roman" w:eastAsia="Times New Roman" w:hAnsi="Times New Roman" w:cs="Times New Roman"/>
          <w:bCs/>
          <w:kern w:val="36"/>
          <w14:ligatures w14:val="none"/>
        </w:rPr>
        <w:t>Eketu</w:t>
      </w:r>
      <w:proofErr w:type="spellEnd"/>
      <w:r w:rsidRPr="00A60822">
        <w:rPr>
          <w:rFonts w:ascii="Times New Roman" w:eastAsia="Times New Roman" w:hAnsi="Times New Roman" w:cs="Times New Roman"/>
          <w:bCs/>
          <w:kern w:val="36"/>
          <w14:ligatures w14:val="none"/>
        </w:rPr>
        <w:t xml:space="preserve">, </w:t>
      </w:r>
      <w:proofErr w:type="spellStart"/>
      <w:r w:rsidRPr="00A60822">
        <w:rPr>
          <w:rFonts w:ascii="Times New Roman" w:eastAsia="Times New Roman" w:hAnsi="Times New Roman" w:cs="Times New Roman"/>
          <w:bCs/>
          <w:kern w:val="36"/>
          <w14:ligatures w14:val="none"/>
        </w:rPr>
        <w:t>Anddison</w:t>
      </w:r>
      <w:proofErr w:type="spellEnd"/>
      <w:r w:rsidRPr="00A60822">
        <w:rPr>
          <w:rFonts w:ascii="Times New Roman" w:eastAsia="Times New Roman" w:hAnsi="Times New Roman" w:cs="Times New Roman"/>
          <w:bCs/>
          <w:kern w:val="36"/>
          <w14:ligatures w14:val="none"/>
        </w:rPr>
        <w:t xml:space="preserve">, and Joseph (2023) conducted an empirical study to explore the correlation between the adoption of Artificial Intelligence (AI) and the performance of Money Deposit Banks (DMBs) in Rivers State, Nigeria. By employing Spearman’s rank-order correlation analysis, the authors explored the correlation between the adoption of AI and various performance measures, such as economic performance, customer satisfaction, and decision-making effectiveness. The results showed very strong positive correlations between AI adoption and economic performance, confirming that banks with higher levels of AI adoption performed better in terms of economic performance. Furthermore, the study showed a strong positive correlation between AI and effective decision-making, implying that AI tools improve the speed, accuracy, and quality of managerial decisions in banking activities (p &lt; 0.05). In addition, the study found a strong positive correlation between AI and customer satisfaction, emphasizing that AI tools improve customer experiences and overall organizational performance </w:t>
      </w:r>
      <w:r w:rsidRPr="00A60822">
        <w:rPr>
          <w:rFonts w:ascii="Times New Roman" w:eastAsia="Times New Roman" w:hAnsi="Times New Roman" w:cs="Times New Roman"/>
          <w:bCs/>
          <w:kern w:val="36"/>
          <w14:ligatures w14:val="none"/>
        </w:rPr>
        <w:lastRenderedPageBreak/>
        <w:t>by contributing to the effectiveness of automated customer service activities and predictive analytics. The authors concluded that the adoption of AI is a promising strategic approach for banks seeking to enhance performance measures, improve operational efficiency, and optimize competitive positioning in the Nigerian banking industry.</w:t>
      </w:r>
    </w:p>
    <w:p w14:paraId="09BE21F7"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p>
    <w:p w14:paraId="5E29A405"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roofErr w:type="spellStart"/>
      <w:r w:rsidRPr="00A60822">
        <w:rPr>
          <w:rFonts w:ascii="Times New Roman" w:eastAsia="Times New Roman" w:hAnsi="Times New Roman" w:cs="Times New Roman"/>
          <w:bCs/>
          <w:kern w:val="36"/>
          <w14:ligatures w14:val="none"/>
        </w:rPr>
        <w:t>Oyewobi</w:t>
      </w:r>
      <w:proofErr w:type="spellEnd"/>
      <w:r w:rsidRPr="00A60822">
        <w:rPr>
          <w:rFonts w:ascii="Times New Roman" w:eastAsia="Times New Roman" w:hAnsi="Times New Roman" w:cs="Times New Roman"/>
          <w:bCs/>
          <w:kern w:val="36"/>
          <w14:ligatures w14:val="none"/>
        </w:rPr>
        <w:t xml:space="preserve"> and Lawal (2023) studied the relationship between AI investments and financial performance in Nigerian commercial banks. They used proxy measures such as book value for software assets to represent tangible AI investments. Based on their analysis, they found that AI investments, as represented by book value for software assets, have a significant and positive impact on various financial performance indicators such as Return on Assets (ROA). This suggests that banks that have more substantial AI investments in terms of tangible AI integration, represented by significant book value for their software assets, always achieve better financial performance compared to those banks that have lower AI investments and represent AI more superficially or in terms of disclosure. Thus, this analysis suggests that banks that have more substantial AI asset investments achieve better financial performance in terms of profitability and efficiency. This is due to the fact that banks using AI in practice, as represented by more substantial AI asset investments, are primarily responsible for creating value in their respective sectors. This is in line with other analyses that have shown that book value for AI-related software assets significantly enhances profitability.</w:t>
      </w:r>
    </w:p>
    <w:p w14:paraId="7E8642DB"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p>
    <w:p w14:paraId="7FBFD31A"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roofErr w:type="spellStart"/>
      <w:r w:rsidRPr="00A60822">
        <w:rPr>
          <w:rFonts w:ascii="Times New Roman" w:eastAsia="Times New Roman" w:hAnsi="Times New Roman" w:cs="Times New Roman"/>
          <w:bCs/>
          <w:kern w:val="36"/>
          <w14:ligatures w14:val="none"/>
        </w:rPr>
        <w:t>Ezeamama</w:t>
      </w:r>
      <w:proofErr w:type="spellEnd"/>
      <w:r w:rsidRPr="00A60822">
        <w:rPr>
          <w:rFonts w:ascii="Times New Roman" w:eastAsia="Times New Roman" w:hAnsi="Times New Roman" w:cs="Times New Roman"/>
          <w:bCs/>
          <w:kern w:val="36"/>
          <w14:ligatures w14:val="none"/>
        </w:rPr>
        <w:t xml:space="preserve"> and Obani (2024) sought to investigate the influence of AI-based digital banking services on financial reporting quality and profitability in Nigerian commercial banks. Through the use of secondary data and an econometric model, the authors found that digital payment systems, mobile banking technology, and AI-based savings systems have a significant influence on financial reporting quality in commercial banks in Nigeria. This is because digital payment systems, mobile banking technology, and AI-based savings systems have been shown to improve financial reporting quality by reducing the likelihood of human error in transactional recording. In addition, the findings revealed that commercial banks that have adopted digital payment systems and AI-based savings systems have higher Return on Assets (ROA) compared to banks that have not adopted digital banking channels. This implies that digital banking channels, in particular, have a significant influence on the profitability of commercial banks in Nigeria. Financial reporting transparency facilitated by AI-based digital banking systems enhances managerial decision-making, thus leading to higher profitability (see related findings on digital banking adoption and ROA in Nigerian DMBs that revealed significant positive relationships between digital penetration and financial performance in DMBs in Nigeria).</w:t>
      </w:r>
    </w:p>
    <w:p w14:paraId="7D127CE9" w14:textId="7777777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p>
    <w:p w14:paraId="3E87D52D" w14:textId="77777777" w:rsidR="0015036C" w:rsidRDefault="0015036C" w:rsidP="00A60822">
      <w:pPr>
        <w:spacing w:after="0" w:line="240" w:lineRule="auto"/>
        <w:jc w:val="both"/>
        <w:outlineLvl w:val="0"/>
        <w:rPr>
          <w:rFonts w:ascii="Times New Roman" w:eastAsia="Times New Roman" w:hAnsi="Times New Roman" w:cs="Times New Roman"/>
          <w:bCs/>
          <w:kern w:val="36"/>
          <w14:ligatures w14:val="none"/>
        </w:rPr>
      </w:pPr>
    </w:p>
    <w:p w14:paraId="494EE936" w14:textId="32ECB927" w:rsidR="00A60822" w:rsidRPr="00A60822" w:rsidRDefault="00A60822" w:rsidP="00A60822">
      <w:pPr>
        <w:spacing w:after="0" w:line="240" w:lineRule="auto"/>
        <w:jc w:val="both"/>
        <w:outlineLvl w:val="0"/>
        <w:rPr>
          <w:rFonts w:ascii="Times New Roman" w:eastAsia="Times New Roman" w:hAnsi="Times New Roman" w:cs="Times New Roman"/>
          <w:bCs/>
          <w:kern w:val="36"/>
          <w14:ligatures w14:val="none"/>
        </w:rPr>
      </w:pPr>
      <w:r w:rsidRPr="00A60822">
        <w:rPr>
          <w:rFonts w:ascii="Times New Roman" w:eastAsia="Times New Roman" w:hAnsi="Times New Roman" w:cs="Times New Roman"/>
          <w:bCs/>
          <w:kern w:val="36"/>
          <w14:ligatures w14:val="none"/>
        </w:rPr>
        <w:t xml:space="preserve">Babatunde (2024) investigated the “Productivity Paradox” in relation to the implementation of AI in Nigerian commercial banks, with special emphasis placed on the effects of AI software expenses and Robotic Process Automation (RPA) adoption on bank financial performance over time. Panel regression analysis, utilizing secondary data collected over several periods, was used to measure the short-run and long-run effects of AI implementation in Nigerian banks. Consistent with the literature, the findings indicate that, in the short run, increased AI software expenses have a negative effect on banks' Return on Assets (ROA) due to capital outlays, software maintenance, and implementation costs. Nevertheless, in the long run, approximately three years after implementation, the adoption of AI-based RPA technology has a significant positive effect on bank operational efficiency, thus leading to a dramatic improvement in banks' overall Return on Assets (ROA). These findings suggest that while the initial financial burden of AI investments may temporarily depress performance, the efficiency and productivity gains from intelligent automation ultimately generate a positive turnaround in profitability, alleviating the productivity paradox over time. Such dynamics align with broader evidence on technology investment in banks where substantial AI expenditures yield delayed but meaningful returns as systems mature and organizations optimize their use such </w:t>
      </w:r>
      <w:proofErr w:type="gramStart"/>
      <w:r w:rsidRPr="00A60822">
        <w:rPr>
          <w:rFonts w:ascii="Times New Roman" w:eastAsia="Times New Roman" w:hAnsi="Times New Roman" w:cs="Times New Roman"/>
          <w:bCs/>
          <w:kern w:val="36"/>
          <w14:ligatures w14:val="none"/>
        </w:rPr>
        <w:t>as  long</w:t>
      </w:r>
      <w:proofErr w:type="gramEnd"/>
      <w:r w:rsidRPr="00A60822">
        <w:rPr>
          <w:rFonts w:ascii="Times New Roman" w:eastAsia="Times New Roman" w:hAnsi="Times New Roman" w:cs="Times New Roman"/>
          <w:bCs/>
          <w:kern w:val="36"/>
          <w14:ligatures w14:val="none"/>
        </w:rPr>
        <w:t>-term performance effects seen in IT productivity studies in Nigeria’s banking sector.</w:t>
      </w:r>
    </w:p>
    <w:p w14:paraId="73558C1D"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p>
    <w:p w14:paraId="33ED2A06" w14:textId="77777777" w:rsidR="00A60822" w:rsidRPr="00A60822" w:rsidRDefault="00A60822" w:rsidP="00A60822">
      <w:pPr>
        <w:spacing w:after="0" w:line="240" w:lineRule="auto"/>
        <w:jc w:val="both"/>
        <w:outlineLvl w:val="0"/>
        <w:rPr>
          <w:rFonts w:ascii="Times New Roman" w:eastAsia="Times New Roman" w:hAnsi="Times New Roman" w:cs="Times New Roman"/>
          <w:b/>
          <w:bCs/>
          <w:kern w:val="36"/>
          <w14:ligatures w14:val="none"/>
        </w:rPr>
      </w:pPr>
      <w:r w:rsidRPr="00A60822">
        <w:rPr>
          <w:rFonts w:ascii="Times New Roman" w:eastAsia="Times New Roman" w:hAnsi="Times New Roman" w:cs="Times New Roman"/>
          <w:b/>
          <w:bCs/>
          <w:kern w:val="36"/>
          <w14:ligatures w14:val="none"/>
        </w:rPr>
        <w:t>3. Methodology</w:t>
      </w:r>
    </w:p>
    <w:p w14:paraId="2C71FAD4"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r w:rsidRPr="00A60822">
        <w:rPr>
          <w:rFonts w:ascii="Times New Roman" w:eastAsia="Times New Roman" w:hAnsi="Times New Roman" w:cs="Times New Roman"/>
          <w:kern w:val="0"/>
          <w14:ligatures w14:val="none"/>
        </w:rPr>
        <w:lastRenderedPageBreak/>
        <w:t>The design for conducting the study is ex post facto design. Ex post facto design is considered to be most appropriate for conducting this study since it allows for the use of existing financial information on investment for the Deposit Money Banks (DMBs) without manipulating any variable. The design will allow the researcher to investigate the relationship between AI-structured investment and Return on Assets (ROA) based on past information. The population for this study includes all fourteen (14) listed Deposit Money Banks in the Nigerian Exchange Group (NGX). The study uses a purposive sampling method to choose ten (10) of the listed DMBs on the Nigerian Exchange Group. The study will cover banks that have been consistent with their annual reports and financial information disclosure, as well as having invested in AI/digital technologies during the period of the study, from 2015 to 2024. This study will be conducted using secondary data collected from the annual reports of the selected Deposit Money Banks, the Central Bank of Nigeria (CBN) statistical bulletins, reports from the Nigerian Exchange Group (NGX), as well as the banks’ disclosure of their investments in technologies.</w:t>
      </w:r>
    </w:p>
    <w:p w14:paraId="2BB057E8" w14:textId="77777777" w:rsidR="00A60822" w:rsidRPr="00A60822" w:rsidRDefault="00A60822" w:rsidP="00A60822">
      <w:pPr>
        <w:spacing w:after="0" w:line="240" w:lineRule="auto"/>
        <w:outlineLvl w:val="1"/>
        <w:rPr>
          <w:rFonts w:ascii="Times New Roman" w:eastAsia="Times New Roman" w:hAnsi="Times New Roman" w:cs="Times New Roman"/>
          <w:b/>
          <w:bCs/>
          <w:kern w:val="0"/>
          <w14:ligatures w14:val="none"/>
        </w:rPr>
      </w:pPr>
      <w:r w:rsidRPr="00A60822">
        <w:rPr>
          <w:rFonts w:ascii="Times New Roman" w:eastAsia="Times New Roman" w:hAnsi="Times New Roman" w:cs="Times New Roman"/>
          <w:b/>
          <w:bCs/>
          <w:kern w:val="0"/>
          <w14:ligatures w14:val="none"/>
        </w:rPr>
        <w:t>3.1Model Specification</w:t>
      </w:r>
    </w:p>
    <w:p w14:paraId="27291E4C" w14:textId="77777777" w:rsidR="00A60822" w:rsidRPr="00A60822" w:rsidRDefault="00A60822" w:rsidP="00A60822">
      <w:pPr>
        <w:spacing w:after="0" w:line="240" w:lineRule="auto"/>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The functional relationship is expressed as:</w:t>
      </w:r>
    </w:p>
    <w:p w14:paraId="6F7C1A3B" w14:textId="77777777" w:rsidR="00A60822" w:rsidRPr="00A60822" w:rsidRDefault="00A60822" w:rsidP="00A60822">
      <w:pPr>
        <w:spacing w:after="0" w:line="240" w:lineRule="auto"/>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 xml:space="preserve">ROA = </w:t>
      </w:r>
      <w:proofErr w:type="gramStart"/>
      <w:r w:rsidRPr="00A60822">
        <w:rPr>
          <w:rFonts w:ascii="Times New Roman" w:eastAsia="Times New Roman" w:hAnsi="Times New Roman" w:cs="Times New Roman"/>
          <w:kern w:val="0"/>
          <w14:ligatures w14:val="none"/>
        </w:rPr>
        <w:t>f(</w:t>
      </w:r>
      <w:proofErr w:type="gramEnd"/>
      <w:r w:rsidRPr="00A60822">
        <w:rPr>
          <w:rFonts w:ascii="Times New Roman" w:eastAsia="Times New Roman" w:hAnsi="Times New Roman" w:cs="Times New Roman"/>
          <w:kern w:val="0"/>
          <w14:ligatures w14:val="none"/>
        </w:rPr>
        <w:t xml:space="preserve">AISBV, AISED, AIEOA, </w:t>
      </w:r>
      <w:proofErr w:type="gramStart"/>
      <w:r w:rsidRPr="00A60822">
        <w:rPr>
          <w:rFonts w:ascii="Times New Roman" w:eastAsia="Times New Roman" w:hAnsi="Times New Roman" w:cs="Times New Roman"/>
          <w:kern w:val="0"/>
          <w14:ligatures w14:val="none"/>
        </w:rPr>
        <w:t>BSIZE )</w:t>
      </w:r>
      <w:proofErr w:type="gramEnd"/>
      <w:r w:rsidRPr="00A60822">
        <w:rPr>
          <w:rFonts w:ascii="Times New Roman" w:eastAsia="Times New Roman" w:hAnsi="Times New Roman" w:cs="Times New Roman"/>
          <w:kern w:val="0"/>
          <w14:ligatures w14:val="none"/>
        </w:rPr>
        <w:t xml:space="preserve"> </w:t>
      </w:r>
    </w:p>
    <w:p w14:paraId="0707345C" w14:textId="77777777" w:rsidR="00A60822" w:rsidRPr="00A60822" w:rsidRDefault="00A60822" w:rsidP="00A60822">
      <w:pPr>
        <w:spacing w:after="0" w:line="240" w:lineRule="auto"/>
        <w:rPr>
          <w:rFonts w:ascii="Times New Roman" w:eastAsia="Times New Roman" w:hAnsi="Times New Roman" w:cs="Times New Roman"/>
          <w:kern w:val="0"/>
          <w14:ligatures w14:val="none"/>
        </w:rPr>
      </w:pPr>
    </w:p>
    <w:p w14:paraId="3A7068B1" w14:textId="77777777" w:rsidR="00A60822" w:rsidRPr="00A60822" w:rsidRDefault="00A60822" w:rsidP="00A60822">
      <w:pPr>
        <w:spacing w:after="0" w:line="240" w:lineRule="auto"/>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The econometric model is specified as:</w:t>
      </w:r>
    </w:p>
    <w:p w14:paraId="056D1BC8" w14:textId="77777777" w:rsidR="00A60822" w:rsidRPr="00A60822" w:rsidRDefault="00A60822" w:rsidP="00A60822">
      <w:pPr>
        <w:spacing w:after="0" w:line="240" w:lineRule="auto"/>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ROA = β</w:t>
      </w:r>
      <w:r w:rsidRPr="00A60822">
        <w:rPr>
          <w:rFonts w:ascii="Times New Roman" w:eastAsia="Times New Roman" w:hAnsi="Times New Roman" w:cs="Times New Roman"/>
          <w:kern w:val="0"/>
          <w:vertAlign w:val="subscript"/>
          <w14:ligatures w14:val="none"/>
        </w:rPr>
        <w:t>0</w:t>
      </w:r>
      <w:r w:rsidRPr="00A60822">
        <w:rPr>
          <w:rFonts w:ascii="Times New Roman" w:eastAsia="Times New Roman" w:hAnsi="Times New Roman" w:cs="Times New Roman"/>
          <w:kern w:val="0"/>
          <w14:ligatures w14:val="none"/>
        </w:rPr>
        <w:t xml:space="preserve"> + β</w:t>
      </w:r>
      <w:r w:rsidRPr="00A60822">
        <w:rPr>
          <w:rFonts w:ascii="Times New Roman" w:eastAsia="Times New Roman" w:hAnsi="Times New Roman" w:cs="Times New Roman"/>
          <w:kern w:val="0"/>
          <w:vertAlign w:val="subscript"/>
          <w14:ligatures w14:val="none"/>
        </w:rPr>
        <w:t>1</w:t>
      </w:r>
      <w:r w:rsidRPr="00A60822">
        <w:rPr>
          <w:rFonts w:ascii="Times New Roman" w:eastAsia="Times New Roman" w:hAnsi="Times New Roman" w:cs="Times New Roman"/>
          <w:kern w:val="0"/>
          <w14:ligatures w14:val="none"/>
        </w:rPr>
        <w:t>AISBV</w:t>
      </w:r>
      <w:r w:rsidRPr="00A60822">
        <w:rPr>
          <w:rFonts w:ascii="Times New Roman" w:eastAsia="Times New Roman" w:hAnsi="Times New Roman" w:cs="Times New Roman"/>
          <w:kern w:val="0"/>
          <w:vertAlign w:val="subscript"/>
          <w14:ligatures w14:val="none"/>
        </w:rPr>
        <w:t xml:space="preserve"> </w:t>
      </w:r>
      <w:r w:rsidRPr="00A60822">
        <w:rPr>
          <w:rFonts w:ascii="Times New Roman" w:eastAsia="Times New Roman" w:hAnsi="Times New Roman" w:cs="Times New Roman"/>
          <w:kern w:val="0"/>
          <w14:ligatures w14:val="none"/>
        </w:rPr>
        <w:t>+ β</w:t>
      </w:r>
      <w:r w:rsidRPr="00A60822">
        <w:rPr>
          <w:rFonts w:ascii="Times New Roman" w:eastAsia="Times New Roman" w:hAnsi="Times New Roman" w:cs="Times New Roman"/>
          <w:kern w:val="0"/>
          <w:vertAlign w:val="subscript"/>
          <w14:ligatures w14:val="none"/>
        </w:rPr>
        <w:t>2</w:t>
      </w:r>
      <w:r w:rsidRPr="00A60822">
        <w:rPr>
          <w:rFonts w:ascii="Times New Roman" w:eastAsia="Times New Roman" w:hAnsi="Times New Roman" w:cs="Times New Roman"/>
          <w:kern w:val="0"/>
          <w14:ligatures w14:val="none"/>
        </w:rPr>
        <w:t>AISED + β</w:t>
      </w:r>
      <w:r w:rsidRPr="00A60822">
        <w:rPr>
          <w:rFonts w:ascii="Times New Roman" w:eastAsia="Times New Roman" w:hAnsi="Times New Roman" w:cs="Times New Roman"/>
          <w:kern w:val="0"/>
          <w:vertAlign w:val="subscript"/>
          <w14:ligatures w14:val="none"/>
        </w:rPr>
        <w:t>3</w:t>
      </w:r>
      <w:r w:rsidRPr="00A60822">
        <w:rPr>
          <w:rFonts w:ascii="Times New Roman" w:eastAsia="Times New Roman" w:hAnsi="Times New Roman" w:cs="Times New Roman"/>
          <w:kern w:val="0"/>
          <w14:ligatures w14:val="none"/>
        </w:rPr>
        <w:t>AEO</w:t>
      </w:r>
      <w:r w:rsidRPr="00A60822">
        <w:rPr>
          <w:rFonts w:ascii="Times New Roman" w:eastAsia="Times New Roman" w:hAnsi="Times New Roman" w:cs="Times New Roman"/>
          <w:kern w:val="0"/>
          <w:vertAlign w:val="subscript"/>
          <w14:ligatures w14:val="none"/>
        </w:rPr>
        <w:t>t</w:t>
      </w:r>
      <w:r w:rsidRPr="00A60822">
        <w:rPr>
          <w:rFonts w:ascii="Times New Roman" w:eastAsia="Times New Roman" w:hAnsi="Times New Roman" w:cs="Times New Roman"/>
          <w:kern w:val="0"/>
          <w14:ligatures w14:val="none"/>
        </w:rPr>
        <w:t xml:space="preserve"> + β</w:t>
      </w:r>
      <w:r w:rsidRPr="00A60822">
        <w:rPr>
          <w:rFonts w:ascii="Times New Roman" w:eastAsia="Times New Roman" w:hAnsi="Times New Roman" w:cs="Times New Roman"/>
          <w:kern w:val="0"/>
          <w:vertAlign w:val="subscript"/>
          <w14:ligatures w14:val="none"/>
        </w:rPr>
        <w:t>4</w:t>
      </w:r>
      <w:r w:rsidRPr="00A60822">
        <w:rPr>
          <w:rFonts w:ascii="Times New Roman" w:eastAsia="Times New Roman" w:hAnsi="Times New Roman" w:cs="Times New Roman"/>
          <w:kern w:val="0"/>
          <w14:ligatures w14:val="none"/>
        </w:rPr>
        <w:t xml:space="preserve">BSIZE + e </w:t>
      </w:r>
    </w:p>
    <w:p w14:paraId="45CF7417" w14:textId="77777777" w:rsidR="00A60822" w:rsidRPr="00A60822" w:rsidRDefault="00A60822" w:rsidP="00A60822">
      <w:pPr>
        <w:spacing w:after="0" w:line="240" w:lineRule="auto"/>
        <w:rPr>
          <w:rFonts w:ascii="Times New Roman" w:eastAsia="Times New Roman" w:hAnsi="Times New Roman" w:cs="Times New Roman"/>
          <w:kern w:val="0"/>
          <w14:ligatures w14:val="none"/>
        </w:rPr>
      </w:pPr>
    </w:p>
    <w:p w14:paraId="42A5652E" w14:textId="77777777" w:rsidR="00A60822" w:rsidRPr="00A60822" w:rsidRDefault="00A60822" w:rsidP="00A60822">
      <w:pPr>
        <w:spacing w:after="0" w:line="240" w:lineRule="auto"/>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Where:</w:t>
      </w:r>
    </w:p>
    <w:p w14:paraId="5E2772D8"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 xml:space="preserve">ROA​ = Return on Assets </w:t>
      </w:r>
    </w:p>
    <w:p w14:paraId="2A6DC035"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 xml:space="preserve">AISBV = AI Software Book Value </w:t>
      </w:r>
    </w:p>
    <w:p w14:paraId="4F736EC5"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AISED = AI Software Expense Disclosure</w:t>
      </w:r>
    </w:p>
    <w:p w14:paraId="1A6D5A47"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 xml:space="preserve">AIEOA = AI-Enabled Operational Automation </w:t>
      </w:r>
      <w:r w:rsidRPr="00A60822">
        <w:rPr>
          <w:rFonts w:ascii="Times New Roman" w:eastAsia="Times New Roman" w:hAnsi="Times New Roman" w:cs="Times New Roman"/>
          <w:bCs/>
          <w:kern w:val="0"/>
          <w14:ligatures w14:val="none"/>
        </w:rPr>
        <w:t>(Chatbots)</w:t>
      </w:r>
    </w:p>
    <w:p w14:paraId="702D200B"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BSIZE = Bank Size</w:t>
      </w:r>
    </w:p>
    <w:p w14:paraId="0E33466D"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β</w:t>
      </w:r>
      <w:r w:rsidRPr="00A60822">
        <w:rPr>
          <w:rFonts w:ascii="Times New Roman" w:eastAsia="Times New Roman" w:hAnsi="Times New Roman" w:cs="Times New Roman"/>
          <w:kern w:val="0"/>
          <w:vertAlign w:val="subscript"/>
          <w14:ligatures w14:val="none"/>
        </w:rPr>
        <w:t>0</w:t>
      </w:r>
      <w:r w:rsidRPr="00A60822">
        <w:rPr>
          <w:rFonts w:ascii="Times New Roman" w:eastAsia="Times New Roman" w:hAnsi="Times New Roman" w:cs="Times New Roman"/>
          <w:kern w:val="0"/>
          <w14:ligatures w14:val="none"/>
        </w:rPr>
        <w:t xml:space="preserve"> ​ = Intercept</w:t>
      </w:r>
    </w:p>
    <w:p w14:paraId="602183F6"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β</w:t>
      </w:r>
      <w:r w:rsidRPr="00A60822">
        <w:rPr>
          <w:rFonts w:ascii="Times New Roman" w:eastAsia="Times New Roman" w:hAnsi="Times New Roman" w:cs="Times New Roman"/>
          <w:kern w:val="0"/>
          <w:vertAlign w:val="subscript"/>
          <w14:ligatures w14:val="none"/>
        </w:rPr>
        <w:t>1</w:t>
      </w:r>
      <w:r w:rsidRPr="00A60822">
        <w:rPr>
          <w:rFonts w:ascii="Times New Roman" w:eastAsia="Times New Roman" w:hAnsi="Times New Roman" w:cs="Times New Roman"/>
          <w:kern w:val="0"/>
          <w14:ligatures w14:val="none"/>
        </w:rPr>
        <w:t>– β</w:t>
      </w:r>
      <w:r w:rsidRPr="00A60822">
        <w:rPr>
          <w:rFonts w:ascii="Times New Roman" w:eastAsia="Times New Roman" w:hAnsi="Times New Roman" w:cs="Times New Roman"/>
          <w:kern w:val="0"/>
          <w:vertAlign w:val="subscript"/>
          <w14:ligatures w14:val="none"/>
        </w:rPr>
        <w:t>4</w:t>
      </w:r>
      <w:r w:rsidRPr="00A60822">
        <w:rPr>
          <w:rFonts w:ascii="Times New Roman" w:eastAsia="Times New Roman" w:hAnsi="Times New Roman" w:cs="Times New Roman"/>
          <w:kern w:val="0"/>
          <w14:ligatures w14:val="none"/>
        </w:rPr>
        <w:t xml:space="preserve"> ​ = Coefficients</w:t>
      </w:r>
    </w:p>
    <w:p w14:paraId="00D04F56"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e = Error term</w:t>
      </w:r>
    </w:p>
    <w:p w14:paraId="528036FC" w14:textId="77777777" w:rsidR="00A60822" w:rsidRPr="00A60822" w:rsidRDefault="00A60822" w:rsidP="00A60822">
      <w:pPr>
        <w:spacing w:after="0" w:line="240" w:lineRule="auto"/>
        <w:ind w:left="270"/>
        <w:rPr>
          <w:rFonts w:ascii="Times New Roman" w:eastAsia="Times New Roman" w:hAnsi="Times New Roman" w:cs="Times New Roman"/>
          <w:kern w:val="0"/>
          <w14:ligatures w14:val="none"/>
        </w:rPr>
      </w:pPr>
      <w:r w:rsidRPr="00A60822">
        <w:rPr>
          <w:rFonts w:ascii="Times New Roman" w:eastAsia="Times New Roman" w:hAnsi="Times New Roman" w:cs="Times New Roman"/>
          <w:bCs/>
          <w:color w:val="000000"/>
          <w:kern w:val="0"/>
          <w14:ligatures w14:val="none"/>
        </w:rPr>
        <w:t xml:space="preserve">Subscripts </w:t>
      </w:r>
      <w:proofErr w:type="spellStart"/>
      <w:r w:rsidRPr="00A60822">
        <w:rPr>
          <w:rFonts w:ascii="Times New Roman" w:eastAsia="Times New Roman" w:hAnsi="Times New Roman" w:cs="Times New Roman"/>
          <w:bCs/>
          <w:color w:val="000000"/>
          <w:kern w:val="0"/>
          <w14:ligatures w14:val="none"/>
        </w:rPr>
        <w:t>i</w:t>
      </w:r>
      <w:proofErr w:type="spellEnd"/>
      <w:r w:rsidRPr="00A60822">
        <w:rPr>
          <w:rFonts w:ascii="Times New Roman" w:eastAsia="Times New Roman" w:hAnsi="Times New Roman" w:cs="Times New Roman"/>
          <w:bCs/>
          <w:color w:val="000000"/>
          <w:kern w:val="0"/>
          <w14:ligatures w14:val="none"/>
        </w:rPr>
        <w:t xml:space="preserve"> and t represent bank and time period respectively.</w:t>
      </w:r>
    </w:p>
    <w:p w14:paraId="1BCA49DA"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p>
    <w:p w14:paraId="3A7FE924" w14:textId="77777777" w:rsidR="00A60822" w:rsidRPr="00A60822" w:rsidRDefault="00A60822" w:rsidP="00A60822">
      <w:pPr>
        <w:spacing w:after="0" w:line="240" w:lineRule="auto"/>
        <w:outlineLvl w:val="2"/>
        <w:rPr>
          <w:rFonts w:ascii="Times New Roman" w:eastAsia="Times New Roman" w:hAnsi="Times New Roman" w:cs="Times New Roman"/>
          <w:b/>
          <w:bCs/>
          <w:color w:val="000000"/>
          <w:kern w:val="0"/>
          <w14:ligatures w14:val="none"/>
        </w:rPr>
      </w:pPr>
      <w:r w:rsidRPr="00A60822">
        <w:rPr>
          <w:rFonts w:ascii="Times New Roman" w:eastAsia="Times New Roman" w:hAnsi="Times New Roman" w:cs="Times New Roman"/>
          <w:b/>
          <w:bCs/>
          <w:color w:val="000000"/>
          <w:kern w:val="0"/>
          <w14:ligatures w14:val="none"/>
        </w:rPr>
        <w:t>3.2 Operational measures of variables</w:t>
      </w:r>
    </w:p>
    <w:tbl>
      <w:tblPr>
        <w:tblStyle w:val="TableGrid"/>
        <w:tblW w:w="0" w:type="auto"/>
        <w:tblLook w:val="04A0" w:firstRow="1" w:lastRow="0" w:firstColumn="1" w:lastColumn="0" w:noHBand="0" w:noVBand="1"/>
      </w:tblPr>
      <w:tblGrid>
        <w:gridCol w:w="2808"/>
        <w:gridCol w:w="1980"/>
        <w:gridCol w:w="4590"/>
      </w:tblGrid>
      <w:tr w:rsidR="00A60822" w:rsidRPr="00A60822" w14:paraId="26B4CC0F" w14:textId="77777777" w:rsidTr="00D00B3F">
        <w:tc>
          <w:tcPr>
            <w:tcW w:w="2808" w:type="dxa"/>
            <w:vAlign w:val="center"/>
          </w:tcPr>
          <w:p w14:paraId="581FE5B7" w14:textId="77777777" w:rsidR="00A60822" w:rsidRPr="00A60822" w:rsidRDefault="00A60822" w:rsidP="00A60822">
            <w:pPr>
              <w:jc w:val="center"/>
              <w:rPr>
                <w:rFonts w:ascii="Times New Roman" w:eastAsia="Times New Roman" w:hAnsi="Times New Roman" w:cs="Times New Roman"/>
                <w:b/>
                <w:color w:val="000000"/>
              </w:rPr>
            </w:pPr>
            <w:r w:rsidRPr="00A60822">
              <w:rPr>
                <w:rFonts w:ascii="Times New Roman" w:eastAsia="Times New Roman" w:hAnsi="Times New Roman" w:cs="Times New Roman"/>
                <w:b/>
                <w:bCs/>
                <w:color w:val="000000"/>
              </w:rPr>
              <w:t>Variable</w:t>
            </w:r>
          </w:p>
        </w:tc>
        <w:tc>
          <w:tcPr>
            <w:tcW w:w="1980" w:type="dxa"/>
            <w:vAlign w:val="center"/>
          </w:tcPr>
          <w:p w14:paraId="5ABC7CF0" w14:textId="77777777" w:rsidR="00A60822" w:rsidRPr="00A60822" w:rsidRDefault="00A60822" w:rsidP="00A60822">
            <w:pPr>
              <w:jc w:val="center"/>
              <w:rPr>
                <w:rFonts w:ascii="Times New Roman" w:eastAsia="Times New Roman" w:hAnsi="Times New Roman" w:cs="Times New Roman"/>
                <w:b/>
                <w:color w:val="000000"/>
              </w:rPr>
            </w:pPr>
            <w:r w:rsidRPr="00A60822">
              <w:rPr>
                <w:rFonts w:ascii="Times New Roman" w:eastAsia="Times New Roman" w:hAnsi="Times New Roman" w:cs="Times New Roman"/>
                <w:b/>
                <w:bCs/>
                <w:color w:val="000000"/>
              </w:rPr>
              <w:t>Type</w:t>
            </w:r>
          </w:p>
        </w:tc>
        <w:tc>
          <w:tcPr>
            <w:tcW w:w="4590" w:type="dxa"/>
            <w:vAlign w:val="center"/>
          </w:tcPr>
          <w:p w14:paraId="0C11ECC4" w14:textId="77777777" w:rsidR="00A60822" w:rsidRPr="00A60822" w:rsidRDefault="00A60822" w:rsidP="00A60822">
            <w:pPr>
              <w:jc w:val="center"/>
              <w:rPr>
                <w:rFonts w:ascii="Times New Roman" w:eastAsia="Times New Roman" w:hAnsi="Times New Roman" w:cs="Times New Roman"/>
                <w:b/>
                <w:color w:val="000000"/>
              </w:rPr>
            </w:pPr>
            <w:r w:rsidRPr="00A60822">
              <w:rPr>
                <w:rFonts w:ascii="Times New Roman" w:eastAsia="Times New Roman" w:hAnsi="Times New Roman" w:cs="Times New Roman"/>
                <w:b/>
                <w:bCs/>
                <w:color w:val="000000"/>
              </w:rPr>
              <w:t>Measurement / Proxy</w:t>
            </w:r>
          </w:p>
        </w:tc>
      </w:tr>
      <w:tr w:rsidR="00A60822" w:rsidRPr="00A60822" w14:paraId="0DDBA64E" w14:textId="77777777" w:rsidTr="00D00B3F">
        <w:tc>
          <w:tcPr>
            <w:tcW w:w="2808" w:type="dxa"/>
          </w:tcPr>
          <w:p w14:paraId="01051F6A" w14:textId="77777777" w:rsidR="00A60822" w:rsidRPr="00A60822" w:rsidRDefault="00A60822" w:rsidP="00A60822">
            <w:pPr>
              <w:jc w:val="both"/>
              <w:outlineLvl w:val="1"/>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Return on Asset (ROA)</w:t>
            </w:r>
          </w:p>
        </w:tc>
        <w:tc>
          <w:tcPr>
            <w:tcW w:w="1980" w:type="dxa"/>
          </w:tcPr>
          <w:p w14:paraId="3C92CF51" w14:textId="77777777" w:rsidR="00A60822" w:rsidRPr="00A60822" w:rsidRDefault="00A60822" w:rsidP="00A60822">
            <w:pPr>
              <w:jc w:val="both"/>
              <w:outlineLvl w:val="1"/>
              <w:rPr>
                <w:rFonts w:ascii="Times New Roman" w:eastAsia="Times New Roman" w:hAnsi="Times New Roman" w:cs="Times New Roman"/>
                <w:bCs/>
                <w:color w:val="000000"/>
              </w:rPr>
            </w:pPr>
            <w:r w:rsidRPr="00A60822">
              <w:rPr>
                <w:rFonts w:ascii="Times New Roman" w:eastAsia="Times New Roman" w:hAnsi="Times New Roman" w:cs="Times New Roman"/>
                <w:color w:val="000000"/>
              </w:rPr>
              <w:t>Dependent</w:t>
            </w:r>
          </w:p>
        </w:tc>
        <w:tc>
          <w:tcPr>
            <w:tcW w:w="4590" w:type="dxa"/>
          </w:tcPr>
          <w:p w14:paraId="67283DE7" w14:textId="77777777" w:rsidR="00A60822" w:rsidRPr="00A60822" w:rsidRDefault="00A60822" w:rsidP="00A60822">
            <w:pPr>
              <w:outlineLvl w:val="1"/>
              <w:rPr>
                <w:rFonts w:ascii="Times New Roman" w:eastAsia="Times New Roman" w:hAnsi="Times New Roman" w:cs="Times New Roman"/>
                <w:bCs/>
                <w:color w:val="000000"/>
              </w:rPr>
            </w:pPr>
            <w:r w:rsidRPr="00A60822">
              <w:rPr>
                <w:rFonts w:ascii="Times New Roman" w:eastAsia="Times New Roman" w:hAnsi="Times New Roman" w:cs="Times New Roman"/>
                <w:color w:val="000000"/>
              </w:rPr>
              <w:t>Net income divided by total assets.</w:t>
            </w:r>
          </w:p>
        </w:tc>
      </w:tr>
      <w:tr w:rsidR="00A60822" w:rsidRPr="00A60822" w14:paraId="620EDC89" w14:textId="77777777" w:rsidTr="00D00B3F">
        <w:tc>
          <w:tcPr>
            <w:tcW w:w="2808" w:type="dxa"/>
            <w:vAlign w:val="center"/>
          </w:tcPr>
          <w:p w14:paraId="3E87BA94"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bCs/>
                <w:color w:val="000000"/>
              </w:rPr>
              <w:t>AI Software Book Value (AISBV)</w:t>
            </w:r>
          </w:p>
        </w:tc>
        <w:tc>
          <w:tcPr>
            <w:tcW w:w="1980" w:type="dxa"/>
            <w:vAlign w:val="center"/>
          </w:tcPr>
          <w:p w14:paraId="780D9B1A"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color w:val="000000"/>
              </w:rPr>
              <w:t>Independent</w:t>
            </w:r>
          </w:p>
        </w:tc>
        <w:tc>
          <w:tcPr>
            <w:tcW w:w="4590" w:type="dxa"/>
            <w:vAlign w:val="center"/>
          </w:tcPr>
          <w:p w14:paraId="3D041E65"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color w:val="000000"/>
              </w:rPr>
              <w:t>Year-end value of software assets</w:t>
            </w:r>
          </w:p>
        </w:tc>
      </w:tr>
      <w:tr w:rsidR="00A60822" w:rsidRPr="00A60822" w14:paraId="6E5F8A14" w14:textId="77777777" w:rsidTr="00D00B3F">
        <w:tc>
          <w:tcPr>
            <w:tcW w:w="2808" w:type="dxa"/>
            <w:vAlign w:val="center"/>
          </w:tcPr>
          <w:p w14:paraId="6F2F576C"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bCs/>
                <w:color w:val="000000"/>
              </w:rPr>
              <w:t>AI Software Expenses Disclosure (</w:t>
            </w:r>
            <w:r w:rsidRPr="00A60822">
              <w:rPr>
                <w:rFonts w:ascii="Times New Roman" w:eastAsia="Times New Roman" w:hAnsi="Times New Roman" w:cs="Times New Roman"/>
              </w:rPr>
              <w:t>AISED</w:t>
            </w:r>
            <w:r w:rsidRPr="00A60822">
              <w:rPr>
                <w:rFonts w:ascii="Times New Roman" w:eastAsia="Times New Roman" w:hAnsi="Times New Roman" w:cs="Times New Roman"/>
                <w:bCs/>
                <w:color w:val="000000"/>
              </w:rPr>
              <w:t>)</w:t>
            </w:r>
          </w:p>
        </w:tc>
        <w:tc>
          <w:tcPr>
            <w:tcW w:w="1980" w:type="dxa"/>
            <w:vAlign w:val="center"/>
          </w:tcPr>
          <w:p w14:paraId="0639BA68"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color w:val="000000"/>
              </w:rPr>
              <w:t>Independent</w:t>
            </w:r>
          </w:p>
        </w:tc>
        <w:tc>
          <w:tcPr>
            <w:tcW w:w="4590" w:type="dxa"/>
            <w:vAlign w:val="center"/>
          </w:tcPr>
          <w:p w14:paraId="6FB0D81B"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color w:val="000000"/>
              </w:rPr>
              <w:t>Annual software maintenance/license costs</w:t>
            </w:r>
          </w:p>
        </w:tc>
      </w:tr>
      <w:tr w:rsidR="00A60822" w:rsidRPr="00A60822" w14:paraId="7B76D913" w14:textId="77777777" w:rsidTr="00D00B3F">
        <w:tc>
          <w:tcPr>
            <w:tcW w:w="2808" w:type="dxa"/>
            <w:vAlign w:val="center"/>
          </w:tcPr>
          <w:p w14:paraId="62410E49"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rPr>
              <w:t>AI-Enabled Operational Automation (AIEOA)</w:t>
            </w:r>
          </w:p>
        </w:tc>
        <w:tc>
          <w:tcPr>
            <w:tcW w:w="1980" w:type="dxa"/>
            <w:vAlign w:val="center"/>
          </w:tcPr>
          <w:p w14:paraId="74CDEB72"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color w:val="000000"/>
              </w:rPr>
              <w:t>Independent</w:t>
            </w:r>
          </w:p>
        </w:tc>
        <w:tc>
          <w:tcPr>
            <w:tcW w:w="4590" w:type="dxa"/>
            <w:vAlign w:val="center"/>
          </w:tcPr>
          <w:p w14:paraId="1ACE67F5"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color w:val="000000"/>
              </w:rPr>
              <w:t>Presence of Ziva, Leo, Ivy, Tamada, etc.</w:t>
            </w:r>
          </w:p>
        </w:tc>
      </w:tr>
      <w:tr w:rsidR="00A60822" w:rsidRPr="00A60822" w14:paraId="4BD24A9C" w14:textId="77777777" w:rsidTr="00D00B3F">
        <w:tc>
          <w:tcPr>
            <w:tcW w:w="2808" w:type="dxa"/>
            <w:vAlign w:val="center"/>
          </w:tcPr>
          <w:p w14:paraId="19729B27" w14:textId="77777777" w:rsidR="00A60822" w:rsidRPr="00A60822" w:rsidRDefault="00A60822" w:rsidP="00A60822">
            <w:pPr>
              <w:rPr>
                <w:rFonts w:ascii="Times New Roman" w:eastAsia="Times New Roman" w:hAnsi="Times New Roman" w:cs="Times New Roman"/>
              </w:rPr>
            </w:pPr>
            <w:proofErr w:type="spellStart"/>
            <w:r w:rsidRPr="00A60822">
              <w:rPr>
                <w:rFonts w:ascii="Times New Roman" w:eastAsia="Times New Roman" w:hAnsi="Times New Roman" w:cs="Times New Roman"/>
              </w:rPr>
              <w:t>BankSize</w:t>
            </w:r>
            <w:proofErr w:type="spellEnd"/>
            <w:r w:rsidRPr="00A60822">
              <w:rPr>
                <w:rFonts w:ascii="Times New Roman" w:eastAsia="Times New Roman" w:hAnsi="Times New Roman" w:cs="Times New Roman"/>
              </w:rPr>
              <w:t xml:space="preserve"> (BSIZE)</w:t>
            </w:r>
          </w:p>
        </w:tc>
        <w:tc>
          <w:tcPr>
            <w:tcW w:w="1980" w:type="dxa"/>
            <w:vAlign w:val="center"/>
          </w:tcPr>
          <w:p w14:paraId="5CB6D459"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bCs/>
              </w:rPr>
              <w:t>Control variable</w:t>
            </w:r>
          </w:p>
        </w:tc>
        <w:tc>
          <w:tcPr>
            <w:tcW w:w="4590" w:type="dxa"/>
            <w:vAlign w:val="center"/>
          </w:tcPr>
          <w:p w14:paraId="6CFD4879" w14:textId="77777777" w:rsidR="00A60822" w:rsidRPr="00A60822" w:rsidRDefault="00A60822" w:rsidP="00A60822">
            <w:pPr>
              <w:rPr>
                <w:rFonts w:ascii="Times New Roman" w:eastAsia="Times New Roman" w:hAnsi="Times New Roman" w:cs="Times New Roman"/>
                <w:color w:val="000000"/>
              </w:rPr>
            </w:pPr>
            <w:r w:rsidRPr="00A60822">
              <w:rPr>
                <w:rFonts w:ascii="Times New Roman" w:eastAsia="Times New Roman" w:hAnsi="Times New Roman" w:cs="Times New Roman"/>
                <w:bCs/>
              </w:rPr>
              <w:t>Measured by natural logarithm of total assets</w:t>
            </w:r>
          </w:p>
        </w:tc>
      </w:tr>
    </w:tbl>
    <w:p w14:paraId="5D8517DD"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p>
    <w:p w14:paraId="55F16747" w14:textId="77777777" w:rsidR="00A60822" w:rsidRPr="00A60822" w:rsidRDefault="00A60822" w:rsidP="00A60822">
      <w:pPr>
        <w:spacing w:after="0" w:line="240" w:lineRule="auto"/>
        <w:jc w:val="both"/>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4. Analysis and Presentation of Data</w:t>
      </w:r>
    </w:p>
    <w:p w14:paraId="29140183" w14:textId="77777777" w:rsidR="00A60822" w:rsidRPr="00A60822" w:rsidRDefault="00A60822" w:rsidP="00A60822">
      <w:pPr>
        <w:spacing w:after="0" w:line="240" w:lineRule="auto"/>
        <w:jc w:val="both"/>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Table 4.1: Descriptive Statistics</w:t>
      </w:r>
    </w:p>
    <w:tbl>
      <w:tblPr>
        <w:tblStyle w:val="TableGrid"/>
        <w:tblW w:w="0" w:type="auto"/>
        <w:tblLook w:val="04A0" w:firstRow="1" w:lastRow="0" w:firstColumn="1" w:lastColumn="0" w:noHBand="0" w:noVBand="1"/>
      </w:tblPr>
      <w:tblGrid>
        <w:gridCol w:w="1915"/>
        <w:gridCol w:w="1433"/>
        <w:gridCol w:w="1710"/>
        <w:gridCol w:w="1980"/>
        <w:gridCol w:w="2538"/>
      </w:tblGrid>
      <w:tr w:rsidR="00A60822" w:rsidRPr="00A60822" w14:paraId="7227E38C" w14:textId="77777777" w:rsidTr="00D00B3F">
        <w:tc>
          <w:tcPr>
            <w:tcW w:w="1915" w:type="dxa"/>
            <w:vAlign w:val="center"/>
          </w:tcPr>
          <w:p w14:paraId="7F8AB595" w14:textId="77777777" w:rsidR="00A60822" w:rsidRPr="00A60822" w:rsidRDefault="00A60822" w:rsidP="00A60822">
            <w:pPr>
              <w:jc w:val="center"/>
              <w:rPr>
                <w:rFonts w:ascii="Times New Roman" w:eastAsia="Calibri" w:hAnsi="Times New Roman" w:cs="Times New Roman"/>
                <w:b/>
              </w:rPr>
            </w:pPr>
            <w:r w:rsidRPr="00A60822">
              <w:rPr>
                <w:rFonts w:ascii="Times New Roman" w:eastAsia="Calibri" w:hAnsi="Times New Roman" w:cs="Times New Roman"/>
                <w:b/>
              </w:rPr>
              <w:t>Variable</w:t>
            </w:r>
          </w:p>
        </w:tc>
        <w:tc>
          <w:tcPr>
            <w:tcW w:w="1433" w:type="dxa"/>
            <w:vAlign w:val="center"/>
          </w:tcPr>
          <w:p w14:paraId="076521C6" w14:textId="77777777" w:rsidR="00A60822" w:rsidRPr="00A60822" w:rsidRDefault="00A60822" w:rsidP="00A60822">
            <w:pPr>
              <w:jc w:val="center"/>
              <w:rPr>
                <w:rFonts w:ascii="Times New Roman" w:eastAsia="Calibri" w:hAnsi="Times New Roman" w:cs="Times New Roman"/>
                <w:b/>
              </w:rPr>
            </w:pPr>
            <w:r w:rsidRPr="00A60822">
              <w:rPr>
                <w:rFonts w:ascii="Times New Roman" w:eastAsia="Calibri" w:hAnsi="Times New Roman" w:cs="Times New Roman"/>
                <w:b/>
              </w:rPr>
              <w:t>Mean</w:t>
            </w:r>
          </w:p>
        </w:tc>
        <w:tc>
          <w:tcPr>
            <w:tcW w:w="1710" w:type="dxa"/>
            <w:vAlign w:val="center"/>
          </w:tcPr>
          <w:p w14:paraId="4DCD5A28" w14:textId="77777777" w:rsidR="00A60822" w:rsidRPr="00A60822" w:rsidRDefault="00A60822" w:rsidP="00A60822">
            <w:pPr>
              <w:jc w:val="center"/>
              <w:rPr>
                <w:rFonts w:ascii="Times New Roman" w:eastAsia="Calibri" w:hAnsi="Times New Roman" w:cs="Times New Roman"/>
                <w:b/>
              </w:rPr>
            </w:pPr>
            <w:r w:rsidRPr="00A60822">
              <w:rPr>
                <w:rFonts w:ascii="Times New Roman" w:eastAsia="Calibri" w:hAnsi="Times New Roman" w:cs="Times New Roman"/>
                <w:b/>
              </w:rPr>
              <w:t>Minimum</w:t>
            </w:r>
          </w:p>
        </w:tc>
        <w:tc>
          <w:tcPr>
            <w:tcW w:w="1980" w:type="dxa"/>
            <w:vAlign w:val="center"/>
          </w:tcPr>
          <w:p w14:paraId="5A089755" w14:textId="77777777" w:rsidR="00A60822" w:rsidRPr="00A60822" w:rsidRDefault="00A60822" w:rsidP="00A60822">
            <w:pPr>
              <w:jc w:val="center"/>
              <w:rPr>
                <w:rFonts w:ascii="Times New Roman" w:eastAsia="Calibri" w:hAnsi="Times New Roman" w:cs="Times New Roman"/>
                <w:b/>
              </w:rPr>
            </w:pPr>
            <w:r w:rsidRPr="00A60822">
              <w:rPr>
                <w:rFonts w:ascii="Times New Roman" w:eastAsia="Calibri" w:hAnsi="Times New Roman" w:cs="Times New Roman"/>
                <w:b/>
              </w:rPr>
              <w:t>Maximum</w:t>
            </w:r>
          </w:p>
        </w:tc>
        <w:tc>
          <w:tcPr>
            <w:tcW w:w="2538" w:type="dxa"/>
            <w:vAlign w:val="center"/>
          </w:tcPr>
          <w:p w14:paraId="16A279D0" w14:textId="77777777" w:rsidR="00A60822" w:rsidRPr="00A60822" w:rsidRDefault="00A60822" w:rsidP="00A60822">
            <w:pPr>
              <w:jc w:val="center"/>
              <w:rPr>
                <w:rFonts w:ascii="Times New Roman" w:eastAsia="Calibri" w:hAnsi="Times New Roman" w:cs="Times New Roman"/>
                <w:b/>
              </w:rPr>
            </w:pPr>
            <w:r w:rsidRPr="00A60822">
              <w:rPr>
                <w:rFonts w:ascii="Times New Roman" w:eastAsia="Calibri" w:hAnsi="Times New Roman" w:cs="Times New Roman"/>
                <w:b/>
              </w:rPr>
              <w:t>Standard Deviation</w:t>
            </w:r>
          </w:p>
        </w:tc>
      </w:tr>
      <w:tr w:rsidR="00A60822" w:rsidRPr="00A60822" w14:paraId="4D2BCEA8" w14:textId="77777777" w:rsidTr="00D00B3F">
        <w:tc>
          <w:tcPr>
            <w:tcW w:w="1915" w:type="dxa"/>
          </w:tcPr>
          <w:p w14:paraId="7F515A88"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ROA</w:t>
            </w:r>
          </w:p>
        </w:tc>
        <w:tc>
          <w:tcPr>
            <w:tcW w:w="1433" w:type="dxa"/>
          </w:tcPr>
          <w:p w14:paraId="6F0B0A2A"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0.024</w:t>
            </w:r>
          </w:p>
        </w:tc>
        <w:tc>
          <w:tcPr>
            <w:tcW w:w="1710" w:type="dxa"/>
          </w:tcPr>
          <w:p w14:paraId="1591E9B7"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-0.005</w:t>
            </w:r>
          </w:p>
        </w:tc>
        <w:tc>
          <w:tcPr>
            <w:tcW w:w="1980" w:type="dxa"/>
          </w:tcPr>
          <w:p w14:paraId="19BFE015"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0.052</w:t>
            </w:r>
          </w:p>
        </w:tc>
        <w:tc>
          <w:tcPr>
            <w:tcW w:w="2538" w:type="dxa"/>
          </w:tcPr>
          <w:p w14:paraId="71044DDB"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0.012</w:t>
            </w:r>
          </w:p>
        </w:tc>
      </w:tr>
      <w:tr w:rsidR="00A60822" w:rsidRPr="00A60822" w14:paraId="4DC4903A" w14:textId="77777777" w:rsidTr="00D00B3F">
        <w:tc>
          <w:tcPr>
            <w:tcW w:w="1915" w:type="dxa"/>
          </w:tcPr>
          <w:p w14:paraId="24A3E5DD"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AISBV</w:t>
            </w:r>
          </w:p>
        </w:tc>
        <w:tc>
          <w:tcPr>
            <w:tcW w:w="1433" w:type="dxa"/>
          </w:tcPr>
          <w:p w14:paraId="3EB6192A"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12.4</w:t>
            </w:r>
          </w:p>
        </w:tc>
        <w:tc>
          <w:tcPr>
            <w:tcW w:w="1710" w:type="dxa"/>
          </w:tcPr>
          <w:p w14:paraId="6AF03DD7"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2.1</w:t>
            </w:r>
          </w:p>
        </w:tc>
        <w:tc>
          <w:tcPr>
            <w:tcW w:w="1980" w:type="dxa"/>
          </w:tcPr>
          <w:p w14:paraId="1D815C4A"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34.6</w:t>
            </w:r>
          </w:p>
        </w:tc>
        <w:tc>
          <w:tcPr>
            <w:tcW w:w="2538" w:type="dxa"/>
          </w:tcPr>
          <w:p w14:paraId="06BE4E0A"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8.1</w:t>
            </w:r>
          </w:p>
        </w:tc>
      </w:tr>
      <w:tr w:rsidR="00A60822" w:rsidRPr="00A60822" w14:paraId="2BB03A79" w14:textId="77777777" w:rsidTr="00D00B3F">
        <w:tc>
          <w:tcPr>
            <w:tcW w:w="1915" w:type="dxa"/>
          </w:tcPr>
          <w:p w14:paraId="08DDDC90"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AISED</w:t>
            </w:r>
          </w:p>
        </w:tc>
        <w:tc>
          <w:tcPr>
            <w:tcW w:w="1433" w:type="dxa"/>
          </w:tcPr>
          <w:p w14:paraId="42632B79"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4.8</w:t>
            </w:r>
          </w:p>
        </w:tc>
        <w:tc>
          <w:tcPr>
            <w:tcW w:w="1710" w:type="dxa"/>
          </w:tcPr>
          <w:p w14:paraId="71878C68"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0.85</w:t>
            </w:r>
          </w:p>
        </w:tc>
        <w:tc>
          <w:tcPr>
            <w:tcW w:w="1980" w:type="dxa"/>
          </w:tcPr>
          <w:p w14:paraId="78226E9C"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11.40</w:t>
            </w:r>
          </w:p>
        </w:tc>
        <w:tc>
          <w:tcPr>
            <w:tcW w:w="2538" w:type="dxa"/>
          </w:tcPr>
          <w:p w14:paraId="5BFA4830"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2.25</w:t>
            </w:r>
          </w:p>
        </w:tc>
      </w:tr>
      <w:tr w:rsidR="00A60822" w:rsidRPr="00A60822" w14:paraId="795CC901" w14:textId="77777777" w:rsidTr="00D00B3F">
        <w:tc>
          <w:tcPr>
            <w:tcW w:w="1915" w:type="dxa"/>
          </w:tcPr>
          <w:p w14:paraId="22BFF00D"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AIEOA</w:t>
            </w:r>
          </w:p>
        </w:tc>
        <w:tc>
          <w:tcPr>
            <w:tcW w:w="1433" w:type="dxa"/>
          </w:tcPr>
          <w:p w14:paraId="3868F020"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4.1</w:t>
            </w:r>
          </w:p>
        </w:tc>
        <w:tc>
          <w:tcPr>
            <w:tcW w:w="1710" w:type="dxa"/>
          </w:tcPr>
          <w:p w14:paraId="2CD0C774"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0.00</w:t>
            </w:r>
          </w:p>
        </w:tc>
        <w:tc>
          <w:tcPr>
            <w:tcW w:w="1980" w:type="dxa"/>
          </w:tcPr>
          <w:p w14:paraId="60808016"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9.50</w:t>
            </w:r>
          </w:p>
        </w:tc>
        <w:tc>
          <w:tcPr>
            <w:tcW w:w="2538" w:type="dxa"/>
          </w:tcPr>
          <w:p w14:paraId="3CBEA8C1"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3.2</w:t>
            </w:r>
          </w:p>
        </w:tc>
      </w:tr>
      <w:tr w:rsidR="00A60822" w:rsidRPr="00A60822" w14:paraId="24F02B29" w14:textId="77777777" w:rsidTr="00D00B3F">
        <w:tc>
          <w:tcPr>
            <w:tcW w:w="1915" w:type="dxa"/>
          </w:tcPr>
          <w:p w14:paraId="779823D8"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BSIZE</w:t>
            </w:r>
          </w:p>
        </w:tc>
        <w:tc>
          <w:tcPr>
            <w:tcW w:w="1433" w:type="dxa"/>
          </w:tcPr>
          <w:p w14:paraId="22A418AC"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15.84</w:t>
            </w:r>
          </w:p>
        </w:tc>
        <w:tc>
          <w:tcPr>
            <w:tcW w:w="1710" w:type="dxa"/>
          </w:tcPr>
          <w:p w14:paraId="0C533410"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14.20</w:t>
            </w:r>
          </w:p>
        </w:tc>
        <w:tc>
          <w:tcPr>
            <w:tcW w:w="1980" w:type="dxa"/>
          </w:tcPr>
          <w:p w14:paraId="6F00F86A"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17.12</w:t>
            </w:r>
          </w:p>
        </w:tc>
        <w:tc>
          <w:tcPr>
            <w:tcW w:w="2538" w:type="dxa"/>
          </w:tcPr>
          <w:p w14:paraId="1346F9F7" w14:textId="77777777" w:rsidR="00A60822" w:rsidRPr="00A60822" w:rsidRDefault="00A60822" w:rsidP="00A60822">
            <w:pPr>
              <w:jc w:val="center"/>
              <w:rPr>
                <w:rFonts w:ascii="Times New Roman" w:eastAsia="Calibri" w:hAnsi="Times New Roman" w:cs="Times New Roman"/>
              </w:rPr>
            </w:pPr>
            <w:r w:rsidRPr="00A60822">
              <w:rPr>
                <w:rFonts w:ascii="Times New Roman" w:eastAsia="Calibri" w:hAnsi="Times New Roman" w:cs="Times New Roman"/>
              </w:rPr>
              <w:t>072</w:t>
            </w:r>
          </w:p>
        </w:tc>
      </w:tr>
    </w:tbl>
    <w:p w14:paraId="2CB480BD"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Source: Extracted from analyzed results</w:t>
      </w:r>
    </w:p>
    <w:p w14:paraId="23BB9905" w14:textId="77777777" w:rsidR="00A60822" w:rsidRPr="00A60822" w:rsidRDefault="00A60822" w:rsidP="00A60822">
      <w:pPr>
        <w:spacing w:after="0" w:line="240" w:lineRule="auto"/>
        <w:jc w:val="both"/>
        <w:rPr>
          <w:rFonts w:ascii="Times New Roman" w:eastAsia="Calibri" w:hAnsi="Times New Roman" w:cs="Times New Roman"/>
          <w:b/>
          <w:bCs/>
          <w:kern w:val="0"/>
          <w14:ligatures w14:val="none"/>
        </w:rPr>
      </w:pPr>
    </w:p>
    <w:p w14:paraId="6EEA1DCB" w14:textId="77777777" w:rsidR="00A60822" w:rsidRPr="00A60822" w:rsidRDefault="00A60822" w:rsidP="00A60822">
      <w:pPr>
        <w:spacing w:after="0" w:line="240" w:lineRule="auto"/>
        <w:contextualSpacing/>
        <w:jc w:val="both"/>
        <w:rPr>
          <w:rFonts w:ascii="Times New Roman" w:eastAsia="Calibri" w:hAnsi="Times New Roman" w:cs="Times New Roman"/>
          <w:bCs/>
          <w:color w:val="000000"/>
          <w:kern w:val="0"/>
          <w14:ligatures w14:val="none"/>
        </w:rPr>
      </w:pPr>
      <w:r w:rsidRPr="00A60822">
        <w:rPr>
          <w:rFonts w:ascii="Times New Roman" w:eastAsia="Calibri" w:hAnsi="Times New Roman" w:cs="Times New Roman"/>
          <w:bCs/>
          <w:color w:val="000000"/>
          <w:kern w:val="0"/>
          <w14:ligatures w14:val="none"/>
        </w:rPr>
        <w:lastRenderedPageBreak/>
        <w:t xml:space="preserve">The descriptive statistics show the operational environment of the analyzed data of </w:t>
      </w:r>
      <w:proofErr w:type="gramStart"/>
      <w:r w:rsidRPr="00A60822">
        <w:rPr>
          <w:rFonts w:ascii="Times New Roman" w:eastAsia="Calibri" w:hAnsi="Times New Roman" w:cs="Times New Roman"/>
          <w:bCs/>
          <w:color w:val="000000"/>
          <w:kern w:val="0"/>
          <w14:ligatures w14:val="none"/>
        </w:rPr>
        <w:t>ten year</w:t>
      </w:r>
      <w:proofErr w:type="gramEnd"/>
      <w:r w:rsidRPr="00A60822">
        <w:rPr>
          <w:rFonts w:ascii="Times New Roman" w:eastAsia="Calibri" w:hAnsi="Times New Roman" w:cs="Times New Roman"/>
          <w:bCs/>
          <w:color w:val="000000"/>
          <w:kern w:val="0"/>
          <w14:ligatures w14:val="none"/>
        </w:rPr>
        <w:t xml:space="preserve"> period of 2015 to 2024 sampled DMBs. The mean, minimum, maximum, and standard deviation of the analyzed data were displayed. </w:t>
      </w:r>
      <w:r w:rsidRPr="00A60822">
        <w:rPr>
          <w:rFonts w:ascii="Times New Roman" w:eastAsia="Calibri" w:hAnsi="Times New Roman" w:cs="Times New Roman"/>
          <w:kern w:val="0"/>
          <w14:ligatures w14:val="none"/>
        </w:rPr>
        <w:t xml:space="preserve">The average return on assets (ROA) of the sampled banks is 2.4%, indicating moderate profitability within the study period, </w:t>
      </w:r>
      <w:r w:rsidRPr="00A60822">
        <w:rPr>
          <w:rFonts w:ascii="Times New Roman" w:eastAsia="Calibri" w:hAnsi="Times New Roman" w:cs="Times New Roman"/>
          <w:bCs/>
          <w:color w:val="000000"/>
          <w:kern w:val="0"/>
          <w14:ligatures w14:val="none"/>
        </w:rPr>
        <w:t xml:space="preserve">while the minimum and maximum values were -0.5 and 5.2 percent, respectively, with a standard deviation of 0.012. </w:t>
      </w:r>
      <w:r w:rsidRPr="00A60822">
        <w:rPr>
          <w:rFonts w:ascii="Times New Roman" w:eastAsia="Calibri" w:hAnsi="Times New Roman" w:cs="Times New Roman"/>
          <w:color w:val="000000"/>
          <w:kern w:val="0"/>
          <w14:ligatures w14:val="none"/>
        </w:rPr>
        <w:t>Further, AISBV</w:t>
      </w:r>
      <w:r w:rsidRPr="00A60822">
        <w:rPr>
          <w:rFonts w:ascii="Times New Roman" w:eastAsia="Calibri" w:hAnsi="Times New Roman" w:cs="Times New Roman"/>
          <w:bCs/>
          <w:color w:val="000000"/>
          <w:kern w:val="0"/>
          <w14:ligatures w14:val="none"/>
        </w:rPr>
        <w:t xml:space="preserve"> and AISED have mean values of 12.4 and 4.8 respectively, suggesting that banks are allocating a considerable proportion of resources toward digital and AI-related investments. The statistics also shows that the AISBV and AISED have minimum values of 2.1 and 0.85 respectively; while their maximum values respectively show 34.6 and 11.4. Their standard deviation stood at 8.1 and 2.25. The descriptive statistics respectively revealed the mean value of 4.1 and 15.84 for </w:t>
      </w:r>
      <w:r w:rsidRPr="00A60822">
        <w:rPr>
          <w:rFonts w:ascii="Times New Roman" w:eastAsia="Times New Roman" w:hAnsi="Times New Roman" w:cs="Times New Roman"/>
          <w:bCs/>
          <w:color w:val="000000"/>
          <w:kern w:val="0"/>
          <w14:ligatures w14:val="none"/>
        </w:rPr>
        <w:t>AIEOA and BSIZE</w:t>
      </w:r>
      <w:r w:rsidRPr="00A60822">
        <w:rPr>
          <w:rFonts w:ascii="Times New Roman" w:eastAsia="Calibri" w:hAnsi="Times New Roman" w:cs="Times New Roman"/>
          <w:bCs/>
          <w:color w:val="000000"/>
          <w:kern w:val="0"/>
          <w14:ligatures w14:val="none"/>
        </w:rPr>
        <w:t xml:space="preserve">, with their minimum of zero and 14.2, and maximum of 9.5 and 17.12, while their standard deviation stood at 3.20 and 0.72 percent. </w:t>
      </w:r>
    </w:p>
    <w:p w14:paraId="2685F1CE" w14:textId="77777777" w:rsidR="00A60822" w:rsidRPr="00A60822" w:rsidRDefault="00A60822" w:rsidP="00A60822">
      <w:pPr>
        <w:spacing w:after="0" w:line="240" w:lineRule="auto"/>
        <w:contextualSpacing/>
        <w:jc w:val="both"/>
        <w:rPr>
          <w:rFonts w:ascii="Times New Roman" w:eastAsia="Calibri" w:hAnsi="Times New Roman" w:cs="Times New Roman"/>
          <w:bCs/>
          <w:color w:val="000000"/>
          <w:kern w:val="0"/>
          <w14:ligatures w14:val="none"/>
        </w:rPr>
      </w:pPr>
    </w:p>
    <w:p w14:paraId="7B9A2574" w14:textId="77777777" w:rsidR="00A60822" w:rsidRPr="00A60822" w:rsidRDefault="00A60822" w:rsidP="00A60822">
      <w:pPr>
        <w:spacing w:after="0" w:line="240" w:lineRule="auto"/>
        <w:contextualSpacing/>
        <w:jc w:val="both"/>
        <w:rPr>
          <w:rFonts w:ascii="Times New Roman" w:eastAsia="Calibri" w:hAnsi="Times New Roman" w:cs="Times New Roman"/>
          <w:b/>
          <w:bCs/>
          <w:color w:val="000000"/>
          <w:kern w:val="0"/>
          <w14:ligatures w14:val="none"/>
        </w:rPr>
      </w:pPr>
      <w:r w:rsidRPr="00A60822">
        <w:rPr>
          <w:rFonts w:ascii="Times New Roman" w:eastAsia="Calibri" w:hAnsi="Times New Roman" w:cs="Times New Roman"/>
          <w:b/>
          <w:bCs/>
          <w:color w:val="000000"/>
          <w:kern w:val="0"/>
          <w14:ligatures w14:val="none"/>
        </w:rPr>
        <w:t>4.2 Correlation Analysis</w:t>
      </w:r>
    </w:p>
    <w:p w14:paraId="639BC721" w14:textId="77777777" w:rsidR="00A60822" w:rsidRPr="00A60822" w:rsidRDefault="00A60822" w:rsidP="00A60822">
      <w:pPr>
        <w:spacing w:after="0" w:line="240" w:lineRule="auto"/>
        <w:contextualSpacing/>
        <w:jc w:val="both"/>
        <w:rPr>
          <w:rFonts w:ascii="Times New Roman" w:eastAsia="Calibri" w:hAnsi="Times New Roman" w:cs="Times New Roman"/>
          <w:b/>
          <w:bCs/>
          <w:color w:val="000000"/>
          <w:kern w:val="0"/>
          <w14:ligatures w14:val="none"/>
        </w:rPr>
      </w:pPr>
      <w:r w:rsidRPr="00A60822">
        <w:rPr>
          <w:rFonts w:ascii="Times New Roman" w:eastAsia="Calibri" w:hAnsi="Times New Roman" w:cs="Times New Roman"/>
          <w:b/>
          <w:bCs/>
          <w:color w:val="000000"/>
          <w:kern w:val="0"/>
          <w14:ligatures w14:val="none"/>
        </w:rPr>
        <w:t>Table 4.2: Correlation of Data</w:t>
      </w:r>
    </w:p>
    <w:tbl>
      <w:tblPr>
        <w:tblStyle w:val="TableGrid"/>
        <w:tblW w:w="0" w:type="auto"/>
        <w:tblInd w:w="198" w:type="dxa"/>
        <w:tblLook w:val="04A0" w:firstRow="1" w:lastRow="0" w:firstColumn="1" w:lastColumn="0" w:noHBand="0" w:noVBand="1"/>
      </w:tblPr>
      <w:tblGrid>
        <w:gridCol w:w="1110"/>
        <w:gridCol w:w="888"/>
        <w:gridCol w:w="990"/>
        <w:gridCol w:w="1080"/>
        <w:gridCol w:w="990"/>
        <w:gridCol w:w="990"/>
      </w:tblGrid>
      <w:tr w:rsidR="00A60822" w:rsidRPr="00A60822" w14:paraId="14F59129" w14:textId="77777777" w:rsidTr="00D00B3F">
        <w:tc>
          <w:tcPr>
            <w:tcW w:w="1110" w:type="dxa"/>
          </w:tcPr>
          <w:p w14:paraId="6A331DB8" w14:textId="77777777" w:rsidR="00A60822" w:rsidRPr="00A60822" w:rsidRDefault="00A60822" w:rsidP="00A60822">
            <w:pPr>
              <w:contextualSpacing/>
              <w:jc w:val="center"/>
              <w:rPr>
                <w:rFonts w:ascii="Times New Roman" w:eastAsia="Calibri" w:hAnsi="Times New Roman" w:cs="Times New Roman"/>
                <w:b/>
                <w:bCs/>
                <w:color w:val="000000"/>
              </w:rPr>
            </w:pPr>
            <w:r w:rsidRPr="00A60822">
              <w:rPr>
                <w:rFonts w:ascii="Times New Roman" w:eastAsia="Calibri" w:hAnsi="Times New Roman" w:cs="Times New Roman"/>
                <w:b/>
                <w:bCs/>
                <w:color w:val="000000"/>
              </w:rPr>
              <w:t>Variable</w:t>
            </w:r>
          </w:p>
        </w:tc>
        <w:tc>
          <w:tcPr>
            <w:tcW w:w="888" w:type="dxa"/>
          </w:tcPr>
          <w:p w14:paraId="460808CA" w14:textId="77777777" w:rsidR="00A60822" w:rsidRPr="00A60822" w:rsidRDefault="00A60822" w:rsidP="00A60822">
            <w:pPr>
              <w:contextualSpacing/>
              <w:jc w:val="center"/>
              <w:rPr>
                <w:rFonts w:ascii="Times New Roman" w:eastAsia="Calibri" w:hAnsi="Times New Roman" w:cs="Times New Roman"/>
                <w:b/>
                <w:bCs/>
                <w:color w:val="000000"/>
              </w:rPr>
            </w:pPr>
            <w:r w:rsidRPr="00A60822">
              <w:rPr>
                <w:rFonts w:ascii="Times New Roman" w:eastAsia="Calibri" w:hAnsi="Times New Roman" w:cs="Times New Roman"/>
                <w:b/>
                <w:bCs/>
                <w:color w:val="000000"/>
              </w:rPr>
              <w:t>ROA</w:t>
            </w:r>
          </w:p>
        </w:tc>
        <w:tc>
          <w:tcPr>
            <w:tcW w:w="990" w:type="dxa"/>
          </w:tcPr>
          <w:p w14:paraId="3D460B45" w14:textId="77777777" w:rsidR="00A60822" w:rsidRPr="00A60822" w:rsidRDefault="00A60822" w:rsidP="00A60822">
            <w:pPr>
              <w:contextualSpacing/>
              <w:jc w:val="center"/>
              <w:rPr>
                <w:rFonts w:ascii="Times New Roman" w:eastAsia="Calibri" w:hAnsi="Times New Roman" w:cs="Times New Roman"/>
                <w:b/>
                <w:bCs/>
                <w:color w:val="000000"/>
              </w:rPr>
            </w:pPr>
            <w:r w:rsidRPr="00A60822">
              <w:rPr>
                <w:rFonts w:ascii="Times New Roman" w:eastAsia="Calibri" w:hAnsi="Times New Roman" w:cs="Times New Roman"/>
                <w:b/>
                <w:bCs/>
                <w:color w:val="000000"/>
              </w:rPr>
              <w:t>AISBV</w:t>
            </w:r>
          </w:p>
        </w:tc>
        <w:tc>
          <w:tcPr>
            <w:tcW w:w="1080" w:type="dxa"/>
          </w:tcPr>
          <w:p w14:paraId="432B2065" w14:textId="77777777" w:rsidR="00A60822" w:rsidRPr="00A60822" w:rsidRDefault="00A60822" w:rsidP="00A60822">
            <w:pPr>
              <w:contextualSpacing/>
              <w:jc w:val="center"/>
              <w:rPr>
                <w:rFonts w:ascii="Times New Roman" w:eastAsia="Calibri" w:hAnsi="Times New Roman" w:cs="Times New Roman"/>
                <w:b/>
                <w:bCs/>
                <w:color w:val="000000"/>
              </w:rPr>
            </w:pPr>
            <w:r w:rsidRPr="00A60822">
              <w:rPr>
                <w:rFonts w:ascii="Times New Roman" w:eastAsia="Calibri" w:hAnsi="Times New Roman" w:cs="Times New Roman"/>
                <w:b/>
                <w:bCs/>
                <w:color w:val="000000"/>
              </w:rPr>
              <w:t>AISED</w:t>
            </w:r>
          </w:p>
        </w:tc>
        <w:tc>
          <w:tcPr>
            <w:tcW w:w="990" w:type="dxa"/>
          </w:tcPr>
          <w:p w14:paraId="6886A3B9" w14:textId="77777777" w:rsidR="00A60822" w:rsidRPr="00A60822" w:rsidRDefault="00A60822" w:rsidP="00A60822">
            <w:pPr>
              <w:contextualSpacing/>
              <w:jc w:val="center"/>
              <w:rPr>
                <w:rFonts w:ascii="Times New Roman" w:eastAsia="Calibri" w:hAnsi="Times New Roman" w:cs="Times New Roman"/>
                <w:b/>
                <w:bCs/>
                <w:color w:val="000000"/>
              </w:rPr>
            </w:pPr>
            <w:r w:rsidRPr="00A60822">
              <w:rPr>
                <w:rFonts w:ascii="Times New Roman" w:eastAsia="Calibri" w:hAnsi="Times New Roman" w:cs="Times New Roman"/>
                <w:b/>
                <w:bCs/>
                <w:color w:val="000000"/>
              </w:rPr>
              <w:t>AISED</w:t>
            </w:r>
          </w:p>
        </w:tc>
        <w:tc>
          <w:tcPr>
            <w:tcW w:w="990" w:type="dxa"/>
          </w:tcPr>
          <w:p w14:paraId="1043D2AB" w14:textId="77777777" w:rsidR="00A60822" w:rsidRPr="00A60822" w:rsidRDefault="00A60822" w:rsidP="00A60822">
            <w:pPr>
              <w:contextualSpacing/>
              <w:jc w:val="center"/>
              <w:rPr>
                <w:rFonts w:ascii="Times New Roman" w:eastAsia="Calibri" w:hAnsi="Times New Roman" w:cs="Times New Roman"/>
                <w:b/>
                <w:bCs/>
                <w:color w:val="000000"/>
              </w:rPr>
            </w:pPr>
            <w:r w:rsidRPr="00A60822">
              <w:rPr>
                <w:rFonts w:ascii="Times New Roman" w:eastAsia="Calibri" w:hAnsi="Times New Roman" w:cs="Times New Roman"/>
                <w:b/>
                <w:bCs/>
                <w:color w:val="000000"/>
              </w:rPr>
              <w:t>BSIZE</w:t>
            </w:r>
          </w:p>
        </w:tc>
      </w:tr>
      <w:tr w:rsidR="00A60822" w:rsidRPr="00A60822" w14:paraId="7F0E30B8" w14:textId="77777777" w:rsidTr="00D00B3F">
        <w:tc>
          <w:tcPr>
            <w:tcW w:w="1110" w:type="dxa"/>
          </w:tcPr>
          <w:p w14:paraId="2BCE9DB9"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ROA</w:t>
            </w:r>
          </w:p>
        </w:tc>
        <w:tc>
          <w:tcPr>
            <w:tcW w:w="888" w:type="dxa"/>
          </w:tcPr>
          <w:p w14:paraId="30859527"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1.00</w:t>
            </w:r>
          </w:p>
        </w:tc>
        <w:tc>
          <w:tcPr>
            <w:tcW w:w="990" w:type="dxa"/>
          </w:tcPr>
          <w:p w14:paraId="0FB7D5EF" w14:textId="77777777" w:rsidR="00A60822" w:rsidRPr="00A60822" w:rsidRDefault="00A60822" w:rsidP="00A60822">
            <w:pPr>
              <w:contextualSpacing/>
              <w:jc w:val="center"/>
              <w:rPr>
                <w:rFonts w:ascii="Times New Roman" w:eastAsia="Calibri" w:hAnsi="Times New Roman" w:cs="Times New Roman"/>
                <w:bCs/>
                <w:color w:val="000000"/>
              </w:rPr>
            </w:pPr>
          </w:p>
        </w:tc>
        <w:tc>
          <w:tcPr>
            <w:tcW w:w="1080" w:type="dxa"/>
          </w:tcPr>
          <w:p w14:paraId="1A96E05B" w14:textId="77777777" w:rsidR="00A60822" w:rsidRPr="00A60822" w:rsidRDefault="00A60822" w:rsidP="00A60822">
            <w:pPr>
              <w:contextualSpacing/>
              <w:jc w:val="center"/>
              <w:rPr>
                <w:rFonts w:ascii="Times New Roman" w:eastAsia="Calibri" w:hAnsi="Times New Roman" w:cs="Times New Roman"/>
                <w:bCs/>
                <w:color w:val="000000"/>
              </w:rPr>
            </w:pPr>
          </w:p>
        </w:tc>
        <w:tc>
          <w:tcPr>
            <w:tcW w:w="990" w:type="dxa"/>
          </w:tcPr>
          <w:p w14:paraId="2929D52F" w14:textId="77777777" w:rsidR="00A60822" w:rsidRPr="00A60822" w:rsidRDefault="00A60822" w:rsidP="00A60822">
            <w:pPr>
              <w:contextualSpacing/>
              <w:jc w:val="center"/>
              <w:rPr>
                <w:rFonts w:ascii="Times New Roman" w:eastAsia="Calibri" w:hAnsi="Times New Roman" w:cs="Times New Roman"/>
                <w:bCs/>
                <w:color w:val="000000"/>
              </w:rPr>
            </w:pPr>
          </w:p>
        </w:tc>
        <w:tc>
          <w:tcPr>
            <w:tcW w:w="990" w:type="dxa"/>
          </w:tcPr>
          <w:p w14:paraId="44E4228C" w14:textId="77777777" w:rsidR="00A60822" w:rsidRPr="00A60822" w:rsidRDefault="00A60822" w:rsidP="00A60822">
            <w:pPr>
              <w:contextualSpacing/>
              <w:jc w:val="center"/>
              <w:rPr>
                <w:rFonts w:ascii="Times New Roman" w:eastAsia="Calibri" w:hAnsi="Times New Roman" w:cs="Times New Roman"/>
                <w:bCs/>
                <w:color w:val="000000"/>
              </w:rPr>
            </w:pPr>
          </w:p>
        </w:tc>
      </w:tr>
      <w:tr w:rsidR="00A60822" w:rsidRPr="00A60822" w14:paraId="5E10BEEB" w14:textId="77777777" w:rsidTr="00D00B3F">
        <w:tc>
          <w:tcPr>
            <w:tcW w:w="1110" w:type="dxa"/>
          </w:tcPr>
          <w:p w14:paraId="5E6FF735"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AISBV</w:t>
            </w:r>
          </w:p>
        </w:tc>
        <w:tc>
          <w:tcPr>
            <w:tcW w:w="888" w:type="dxa"/>
          </w:tcPr>
          <w:p w14:paraId="086B898B"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0.45</w:t>
            </w:r>
          </w:p>
        </w:tc>
        <w:tc>
          <w:tcPr>
            <w:tcW w:w="990" w:type="dxa"/>
          </w:tcPr>
          <w:p w14:paraId="20885272"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1.00</w:t>
            </w:r>
          </w:p>
        </w:tc>
        <w:tc>
          <w:tcPr>
            <w:tcW w:w="1080" w:type="dxa"/>
          </w:tcPr>
          <w:p w14:paraId="28CF94B1" w14:textId="77777777" w:rsidR="00A60822" w:rsidRPr="00A60822" w:rsidRDefault="00A60822" w:rsidP="00A60822">
            <w:pPr>
              <w:contextualSpacing/>
              <w:jc w:val="center"/>
              <w:rPr>
                <w:rFonts w:ascii="Times New Roman" w:eastAsia="Calibri" w:hAnsi="Times New Roman" w:cs="Times New Roman"/>
                <w:bCs/>
                <w:color w:val="000000"/>
              </w:rPr>
            </w:pPr>
          </w:p>
        </w:tc>
        <w:tc>
          <w:tcPr>
            <w:tcW w:w="990" w:type="dxa"/>
          </w:tcPr>
          <w:p w14:paraId="3E880366" w14:textId="77777777" w:rsidR="00A60822" w:rsidRPr="00A60822" w:rsidRDefault="00A60822" w:rsidP="00A60822">
            <w:pPr>
              <w:contextualSpacing/>
              <w:jc w:val="center"/>
              <w:rPr>
                <w:rFonts w:ascii="Times New Roman" w:eastAsia="Calibri" w:hAnsi="Times New Roman" w:cs="Times New Roman"/>
                <w:bCs/>
                <w:color w:val="000000"/>
              </w:rPr>
            </w:pPr>
          </w:p>
        </w:tc>
        <w:tc>
          <w:tcPr>
            <w:tcW w:w="990" w:type="dxa"/>
          </w:tcPr>
          <w:p w14:paraId="02F72345" w14:textId="77777777" w:rsidR="00A60822" w:rsidRPr="00A60822" w:rsidRDefault="00A60822" w:rsidP="00A60822">
            <w:pPr>
              <w:contextualSpacing/>
              <w:jc w:val="center"/>
              <w:rPr>
                <w:rFonts w:ascii="Times New Roman" w:eastAsia="Calibri" w:hAnsi="Times New Roman" w:cs="Times New Roman"/>
                <w:bCs/>
                <w:color w:val="000000"/>
              </w:rPr>
            </w:pPr>
          </w:p>
        </w:tc>
      </w:tr>
      <w:tr w:rsidR="00A60822" w:rsidRPr="00A60822" w14:paraId="550D4A84" w14:textId="77777777" w:rsidTr="00D00B3F">
        <w:tc>
          <w:tcPr>
            <w:tcW w:w="1110" w:type="dxa"/>
          </w:tcPr>
          <w:p w14:paraId="437927B2"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AISED</w:t>
            </w:r>
          </w:p>
        </w:tc>
        <w:tc>
          <w:tcPr>
            <w:tcW w:w="888" w:type="dxa"/>
          </w:tcPr>
          <w:p w14:paraId="19F4BED8"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0.52</w:t>
            </w:r>
          </w:p>
        </w:tc>
        <w:tc>
          <w:tcPr>
            <w:tcW w:w="990" w:type="dxa"/>
          </w:tcPr>
          <w:p w14:paraId="5D4A1C83"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0.72</w:t>
            </w:r>
          </w:p>
        </w:tc>
        <w:tc>
          <w:tcPr>
            <w:tcW w:w="1080" w:type="dxa"/>
          </w:tcPr>
          <w:p w14:paraId="7F34C8B2"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1.00</w:t>
            </w:r>
          </w:p>
        </w:tc>
        <w:tc>
          <w:tcPr>
            <w:tcW w:w="990" w:type="dxa"/>
          </w:tcPr>
          <w:p w14:paraId="27043F37" w14:textId="77777777" w:rsidR="00A60822" w:rsidRPr="00A60822" w:rsidRDefault="00A60822" w:rsidP="00A60822">
            <w:pPr>
              <w:contextualSpacing/>
              <w:jc w:val="center"/>
              <w:rPr>
                <w:rFonts w:ascii="Times New Roman" w:eastAsia="Calibri" w:hAnsi="Times New Roman" w:cs="Times New Roman"/>
                <w:bCs/>
                <w:color w:val="000000"/>
              </w:rPr>
            </w:pPr>
          </w:p>
        </w:tc>
        <w:tc>
          <w:tcPr>
            <w:tcW w:w="990" w:type="dxa"/>
          </w:tcPr>
          <w:p w14:paraId="68F9DFD8" w14:textId="77777777" w:rsidR="00A60822" w:rsidRPr="00A60822" w:rsidRDefault="00A60822" w:rsidP="00A60822">
            <w:pPr>
              <w:contextualSpacing/>
              <w:jc w:val="center"/>
              <w:rPr>
                <w:rFonts w:ascii="Times New Roman" w:eastAsia="Calibri" w:hAnsi="Times New Roman" w:cs="Times New Roman"/>
                <w:bCs/>
                <w:color w:val="000000"/>
              </w:rPr>
            </w:pPr>
          </w:p>
        </w:tc>
      </w:tr>
      <w:tr w:rsidR="00A60822" w:rsidRPr="00A60822" w14:paraId="3D418B47" w14:textId="77777777" w:rsidTr="00D00B3F">
        <w:tc>
          <w:tcPr>
            <w:tcW w:w="1110" w:type="dxa"/>
          </w:tcPr>
          <w:p w14:paraId="79F09D1D"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AISED</w:t>
            </w:r>
          </w:p>
        </w:tc>
        <w:tc>
          <w:tcPr>
            <w:tcW w:w="888" w:type="dxa"/>
          </w:tcPr>
          <w:p w14:paraId="1EC868B5"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0.61</w:t>
            </w:r>
          </w:p>
        </w:tc>
        <w:tc>
          <w:tcPr>
            <w:tcW w:w="990" w:type="dxa"/>
          </w:tcPr>
          <w:p w14:paraId="0965B54F"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0.64</w:t>
            </w:r>
          </w:p>
        </w:tc>
        <w:tc>
          <w:tcPr>
            <w:tcW w:w="1080" w:type="dxa"/>
          </w:tcPr>
          <w:p w14:paraId="1DE94B1A"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0.81</w:t>
            </w:r>
          </w:p>
        </w:tc>
        <w:tc>
          <w:tcPr>
            <w:tcW w:w="990" w:type="dxa"/>
          </w:tcPr>
          <w:p w14:paraId="19F2EF27"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1.00</w:t>
            </w:r>
          </w:p>
        </w:tc>
        <w:tc>
          <w:tcPr>
            <w:tcW w:w="990" w:type="dxa"/>
          </w:tcPr>
          <w:p w14:paraId="17CD6251" w14:textId="77777777" w:rsidR="00A60822" w:rsidRPr="00A60822" w:rsidRDefault="00A60822" w:rsidP="00A60822">
            <w:pPr>
              <w:contextualSpacing/>
              <w:jc w:val="center"/>
              <w:rPr>
                <w:rFonts w:ascii="Times New Roman" w:eastAsia="Calibri" w:hAnsi="Times New Roman" w:cs="Times New Roman"/>
                <w:bCs/>
                <w:color w:val="000000"/>
              </w:rPr>
            </w:pPr>
          </w:p>
        </w:tc>
      </w:tr>
      <w:tr w:rsidR="00A60822" w:rsidRPr="00A60822" w14:paraId="3A337E4A" w14:textId="77777777" w:rsidTr="00D00B3F">
        <w:tc>
          <w:tcPr>
            <w:tcW w:w="1110" w:type="dxa"/>
          </w:tcPr>
          <w:p w14:paraId="1688F212"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BSIZE</w:t>
            </w:r>
          </w:p>
        </w:tc>
        <w:tc>
          <w:tcPr>
            <w:tcW w:w="888" w:type="dxa"/>
          </w:tcPr>
          <w:p w14:paraId="1EBB56C3"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0.32</w:t>
            </w:r>
          </w:p>
        </w:tc>
        <w:tc>
          <w:tcPr>
            <w:tcW w:w="990" w:type="dxa"/>
          </w:tcPr>
          <w:p w14:paraId="13FC2F7D"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0.40</w:t>
            </w:r>
          </w:p>
        </w:tc>
        <w:tc>
          <w:tcPr>
            <w:tcW w:w="1080" w:type="dxa"/>
          </w:tcPr>
          <w:p w14:paraId="4CB68E2C"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0.55</w:t>
            </w:r>
          </w:p>
        </w:tc>
        <w:tc>
          <w:tcPr>
            <w:tcW w:w="990" w:type="dxa"/>
          </w:tcPr>
          <w:p w14:paraId="12791DEE"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0.50</w:t>
            </w:r>
          </w:p>
        </w:tc>
        <w:tc>
          <w:tcPr>
            <w:tcW w:w="990" w:type="dxa"/>
          </w:tcPr>
          <w:p w14:paraId="4B7DF52C" w14:textId="77777777" w:rsidR="00A60822" w:rsidRPr="00A60822" w:rsidRDefault="00A60822" w:rsidP="00A60822">
            <w:pPr>
              <w:contextualSpacing/>
              <w:jc w:val="center"/>
              <w:rPr>
                <w:rFonts w:ascii="Times New Roman" w:eastAsia="Calibri" w:hAnsi="Times New Roman" w:cs="Times New Roman"/>
                <w:bCs/>
                <w:color w:val="000000"/>
              </w:rPr>
            </w:pPr>
            <w:r w:rsidRPr="00A60822">
              <w:rPr>
                <w:rFonts w:ascii="Times New Roman" w:eastAsia="Calibri" w:hAnsi="Times New Roman" w:cs="Times New Roman"/>
                <w:bCs/>
                <w:color w:val="000000"/>
              </w:rPr>
              <w:t>1.00</w:t>
            </w:r>
          </w:p>
        </w:tc>
      </w:tr>
    </w:tbl>
    <w:p w14:paraId="6480A689"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Source: Extracted from analyzed results</w:t>
      </w:r>
    </w:p>
    <w:p w14:paraId="3681C4D0" w14:textId="77777777" w:rsidR="00A60822" w:rsidRPr="00A60822" w:rsidRDefault="00A60822" w:rsidP="00A60822">
      <w:pPr>
        <w:spacing w:after="0" w:line="240" w:lineRule="auto"/>
        <w:jc w:val="both"/>
        <w:rPr>
          <w:rFonts w:ascii="Times New Roman" w:eastAsia="Times New Roman" w:hAnsi="Times New Roman" w:cs="Times New Roman"/>
          <w:bCs/>
          <w:color w:val="000000"/>
          <w:kern w:val="0"/>
          <w14:ligatures w14:val="none"/>
        </w:rPr>
      </w:pPr>
    </w:p>
    <w:p w14:paraId="2B6840BF" w14:textId="77777777" w:rsidR="00A60822" w:rsidRPr="00A60822" w:rsidRDefault="00A60822" w:rsidP="00A60822">
      <w:pPr>
        <w:spacing w:after="0" w:line="240" w:lineRule="auto"/>
        <w:jc w:val="both"/>
        <w:rPr>
          <w:rFonts w:ascii="Times New Roman" w:eastAsia="Times New Roman" w:hAnsi="Times New Roman" w:cs="Times New Roman"/>
          <w:bCs/>
          <w:color w:val="000000"/>
          <w:kern w:val="0"/>
          <w14:ligatures w14:val="none"/>
        </w:rPr>
      </w:pPr>
      <w:r w:rsidRPr="00A60822">
        <w:rPr>
          <w:rFonts w:ascii="Times New Roman" w:eastAsia="Times New Roman" w:hAnsi="Times New Roman" w:cs="Times New Roman"/>
          <w:bCs/>
          <w:color w:val="000000"/>
          <w:kern w:val="0"/>
          <w14:ligatures w14:val="none"/>
        </w:rPr>
        <w:t>Table 4.2 shows that return on assets (ROA) correlates positively with explanatory variables, especially with AIEOA, where the correlation hits a height of 0.61, which is the strongest of all the relationships, when compared to the other explanatory variable AISED AND AIEOA, which moderate a positive correlation OF 0.45 and 0.52, respectively. Further revelation shows that ROA also shows a moderate positive correlation with BSIZE (r=0.32), indicating that larger banks may perform better. Inter-correlation Among AI Variables, AISBV and AISED have a strong positive correlation (r=0.72), and AISED and AIEOA show a very strong correlation (r=0.81), while BSIZE is moderately correlated with AISBV (r=0.40) and slightly moderately correlated with other AI variables. This suggests larger banks tend to invest more in AI technologies.</w:t>
      </w:r>
    </w:p>
    <w:p w14:paraId="5988A96A" w14:textId="77777777" w:rsidR="00A60822" w:rsidRPr="00A60822" w:rsidRDefault="00A60822" w:rsidP="00A60822">
      <w:pPr>
        <w:spacing w:after="0" w:line="240" w:lineRule="auto"/>
        <w:jc w:val="both"/>
        <w:rPr>
          <w:rFonts w:ascii="Times New Roman" w:eastAsia="Times New Roman" w:hAnsi="Times New Roman" w:cs="Times New Roman"/>
          <w:b/>
          <w:bCs/>
          <w:color w:val="000000"/>
          <w:kern w:val="0"/>
          <w14:ligatures w14:val="none"/>
        </w:rPr>
      </w:pPr>
    </w:p>
    <w:p w14:paraId="6AD83307" w14:textId="77777777" w:rsidR="00A60822" w:rsidRPr="00A60822" w:rsidRDefault="00A60822" w:rsidP="00A60822">
      <w:pPr>
        <w:spacing w:after="0" w:line="240" w:lineRule="auto"/>
        <w:jc w:val="both"/>
        <w:rPr>
          <w:rFonts w:ascii="Times New Roman" w:eastAsia="Times New Roman" w:hAnsi="Times New Roman" w:cs="Times New Roman"/>
          <w:b/>
          <w:bCs/>
          <w:color w:val="000000"/>
          <w:kern w:val="0"/>
          <w14:ligatures w14:val="none"/>
        </w:rPr>
      </w:pPr>
      <w:r w:rsidRPr="00A60822">
        <w:rPr>
          <w:rFonts w:ascii="Times New Roman" w:eastAsia="Times New Roman" w:hAnsi="Times New Roman" w:cs="Times New Roman"/>
          <w:b/>
          <w:bCs/>
          <w:color w:val="000000"/>
          <w:kern w:val="0"/>
          <w14:ligatures w14:val="none"/>
        </w:rPr>
        <w:t>4.3 Regression Analysis</w:t>
      </w:r>
    </w:p>
    <w:p w14:paraId="032A867D" w14:textId="77777777" w:rsidR="00A60822" w:rsidRPr="00A60822" w:rsidRDefault="00A60822" w:rsidP="00A60822">
      <w:pPr>
        <w:spacing w:after="0" w:line="240" w:lineRule="auto"/>
        <w:jc w:val="both"/>
        <w:rPr>
          <w:rFonts w:ascii="Times New Roman" w:eastAsia="Times New Roman" w:hAnsi="Times New Roman" w:cs="Times New Roman"/>
          <w:bCs/>
          <w:color w:val="000000"/>
          <w:kern w:val="0"/>
          <w14:ligatures w14:val="none"/>
        </w:rPr>
      </w:pPr>
      <w:r w:rsidRPr="00A60822">
        <w:rPr>
          <w:rFonts w:ascii="Times New Roman" w:eastAsia="Times New Roman" w:hAnsi="Times New Roman" w:cs="Times New Roman"/>
          <w:bCs/>
          <w:color w:val="000000"/>
          <w:kern w:val="0"/>
          <w14:ligatures w14:val="none"/>
        </w:rPr>
        <w:t>Table 4.3 – Regression Results</w:t>
      </w:r>
    </w:p>
    <w:tbl>
      <w:tblPr>
        <w:tblStyle w:val="TableGrid"/>
        <w:tblW w:w="0" w:type="auto"/>
        <w:tblLook w:val="04A0" w:firstRow="1" w:lastRow="0" w:firstColumn="1" w:lastColumn="0" w:noHBand="0" w:noVBand="1"/>
      </w:tblPr>
      <w:tblGrid>
        <w:gridCol w:w="1458"/>
        <w:gridCol w:w="1620"/>
        <w:gridCol w:w="1890"/>
        <w:gridCol w:w="1350"/>
        <w:gridCol w:w="1080"/>
      </w:tblGrid>
      <w:tr w:rsidR="00A60822" w:rsidRPr="00A60822" w14:paraId="753C5E7D" w14:textId="77777777" w:rsidTr="00D00B3F">
        <w:tc>
          <w:tcPr>
            <w:tcW w:w="1458" w:type="dxa"/>
          </w:tcPr>
          <w:p w14:paraId="11760F1A" w14:textId="77777777" w:rsidR="00A60822" w:rsidRPr="00A60822" w:rsidRDefault="00A60822" w:rsidP="00A60822">
            <w:pPr>
              <w:jc w:val="both"/>
              <w:rPr>
                <w:rFonts w:ascii="Times New Roman" w:eastAsia="Times New Roman" w:hAnsi="Times New Roman" w:cs="Times New Roman"/>
                <w:b/>
                <w:bCs/>
                <w:color w:val="000000"/>
              </w:rPr>
            </w:pPr>
            <w:r w:rsidRPr="00A60822">
              <w:rPr>
                <w:rFonts w:ascii="Times New Roman" w:eastAsia="Times New Roman" w:hAnsi="Times New Roman" w:cs="Times New Roman"/>
                <w:b/>
                <w:bCs/>
                <w:color w:val="000000"/>
              </w:rPr>
              <w:t xml:space="preserve">Variable </w:t>
            </w:r>
          </w:p>
        </w:tc>
        <w:tc>
          <w:tcPr>
            <w:tcW w:w="1620" w:type="dxa"/>
          </w:tcPr>
          <w:p w14:paraId="792E19EF" w14:textId="77777777" w:rsidR="00A60822" w:rsidRPr="00A60822" w:rsidRDefault="00A60822" w:rsidP="00A60822">
            <w:pPr>
              <w:jc w:val="both"/>
              <w:rPr>
                <w:rFonts w:ascii="Times New Roman" w:eastAsia="Times New Roman" w:hAnsi="Times New Roman" w:cs="Times New Roman"/>
                <w:b/>
                <w:bCs/>
                <w:color w:val="000000"/>
              </w:rPr>
            </w:pPr>
            <w:r w:rsidRPr="00A60822">
              <w:rPr>
                <w:rFonts w:ascii="Times New Roman" w:eastAsia="Times New Roman" w:hAnsi="Times New Roman" w:cs="Times New Roman"/>
                <w:b/>
                <w:bCs/>
                <w:color w:val="000000"/>
              </w:rPr>
              <w:t xml:space="preserve">Coefficient </w:t>
            </w:r>
          </w:p>
        </w:tc>
        <w:tc>
          <w:tcPr>
            <w:tcW w:w="1890" w:type="dxa"/>
          </w:tcPr>
          <w:p w14:paraId="78A5CD39" w14:textId="77777777" w:rsidR="00A60822" w:rsidRPr="00A60822" w:rsidRDefault="00A60822" w:rsidP="00A60822">
            <w:pPr>
              <w:jc w:val="both"/>
              <w:rPr>
                <w:rFonts w:ascii="Times New Roman" w:eastAsia="Times New Roman" w:hAnsi="Times New Roman" w:cs="Times New Roman"/>
                <w:b/>
                <w:bCs/>
                <w:color w:val="000000"/>
              </w:rPr>
            </w:pPr>
            <w:r w:rsidRPr="00A60822">
              <w:rPr>
                <w:rFonts w:ascii="Times New Roman" w:eastAsia="Times New Roman" w:hAnsi="Times New Roman" w:cs="Times New Roman"/>
                <w:b/>
                <w:bCs/>
                <w:color w:val="000000"/>
              </w:rPr>
              <w:t>Standard Error</w:t>
            </w:r>
          </w:p>
        </w:tc>
        <w:tc>
          <w:tcPr>
            <w:tcW w:w="1350" w:type="dxa"/>
          </w:tcPr>
          <w:p w14:paraId="0BBEF706" w14:textId="77777777" w:rsidR="00A60822" w:rsidRPr="00A60822" w:rsidRDefault="00A60822" w:rsidP="00A60822">
            <w:pPr>
              <w:jc w:val="both"/>
              <w:rPr>
                <w:rFonts w:ascii="Times New Roman" w:eastAsia="Times New Roman" w:hAnsi="Times New Roman" w:cs="Times New Roman"/>
                <w:b/>
                <w:bCs/>
                <w:color w:val="000000"/>
              </w:rPr>
            </w:pPr>
            <w:r w:rsidRPr="00A60822">
              <w:rPr>
                <w:rFonts w:ascii="Times New Roman" w:eastAsia="Times New Roman" w:hAnsi="Times New Roman" w:cs="Times New Roman"/>
                <w:b/>
                <w:bCs/>
                <w:color w:val="000000"/>
              </w:rPr>
              <w:t>t-Statistics</w:t>
            </w:r>
          </w:p>
        </w:tc>
        <w:tc>
          <w:tcPr>
            <w:tcW w:w="1080" w:type="dxa"/>
          </w:tcPr>
          <w:p w14:paraId="381769A3" w14:textId="77777777" w:rsidR="00A60822" w:rsidRPr="00A60822" w:rsidRDefault="00A60822" w:rsidP="00A60822">
            <w:pPr>
              <w:jc w:val="both"/>
              <w:rPr>
                <w:rFonts w:ascii="Times New Roman" w:eastAsia="Times New Roman" w:hAnsi="Times New Roman" w:cs="Times New Roman"/>
                <w:b/>
                <w:bCs/>
                <w:color w:val="000000"/>
              </w:rPr>
            </w:pPr>
            <w:r w:rsidRPr="00A60822">
              <w:rPr>
                <w:rFonts w:ascii="Times New Roman" w:eastAsia="Times New Roman" w:hAnsi="Times New Roman" w:cs="Times New Roman"/>
                <w:b/>
                <w:bCs/>
                <w:color w:val="000000"/>
              </w:rPr>
              <w:t>p-value</w:t>
            </w:r>
          </w:p>
        </w:tc>
      </w:tr>
      <w:tr w:rsidR="00A60822" w:rsidRPr="00A60822" w14:paraId="02BFF107" w14:textId="77777777" w:rsidTr="00D00B3F">
        <w:tc>
          <w:tcPr>
            <w:tcW w:w="1458" w:type="dxa"/>
          </w:tcPr>
          <w:p w14:paraId="2801DE2B"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 xml:space="preserve">Constant </w:t>
            </w:r>
          </w:p>
        </w:tc>
        <w:tc>
          <w:tcPr>
            <w:tcW w:w="1620" w:type="dxa"/>
          </w:tcPr>
          <w:p w14:paraId="6AB4DBBB"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-0.018</w:t>
            </w:r>
          </w:p>
        </w:tc>
        <w:tc>
          <w:tcPr>
            <w:tcW w:w="1890" w:type="dxa"/>
          </w:tcPr>
          <w:p w14:paraId="375E730B"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0.010</w:t>
            </w:r>
          </w:p>
        </w:tc>
        <w:tc>
          <w:tcPr>
            <w:tcW w:w="1350" w:type="dxa"/>
          </w:tcPr>
          <w:p w14:paraId="3D704C3B"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-1.80</w:t>
            </w:r>
          </w:p>
        </w:tc>
        <w:tc>
          <w:tcPr>
            <w:tcW w:w="1080" w:type="dxa"/>
          </w:tcPr>
          <w:p w14:paraId="1829481B"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0.074</w:t>
            </w:r>
          </w:p>
        </w:tc>
      </w:tr>
      <w:tr w:rsidR="00A60822" w:rsidRPr="00A60822" w14:paraId="2676B0B4" w14:textId="77777777" w:rsidTr="00D00B3F">
        <w:tc>
          <w:tcPr>
            <w:tcW w:w="1458" w:type="dxa"/>
          </w:tcPr>
          <w:p w14:paraId="188E5C62"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AISBV</w:t>
            </w:r>
          </w:p>
        </w:tc>
        <w:tc>
          <w:tcPr>
            <w:tcW w:w="1620" w:type="dxa"/>
          </w:tcPr>
          <w:p w14:paraId="287ACFFB"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0.062</w:t>
            </w:r>
          </w:p>
        </w:tc>
        <w:tc>
          <w:tcPr>
            <w:tcW w:w="1890" w:type="dxa"/>
          </w:tcPr>
          <w:p w14:paraId="0A899964"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0.021</w:t>
            </w:r>
          </w:p>
        </w:tc>
        <w:tc>
          <w:tcPr>
            <w:tcW w:w="1350" w:type="dxa"/>
          </w:tcPr>
          <w:p w14:paraId="5BCE568F"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2.95</w:t>
            </w:r>
          </w:p>
        </w:tc>
        <w:tc>
          <w:tcPr>
            <w:tcW w:w="1080" w:type="dxa"/>
          </w:tcPr>
          <w:p w14:paraId="15DBA5DC"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0.004</w:t>
            </w:r>
          </w:p>
        </w:tc>
      </w:tr>
      <w:tr w:rsidR="00A60822" w:rsidRPr="00A60822" w14:paraId="207657CF" w14:textId="77777777" w:rsidTr="00D00B3F">
        <w:tc>
          <w:tcPr>
            <w:tcW w:w="1458" w:type="dxa"/>
          </w:tcPr>
          <w:p w14:paraId="3265C3AE"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AISED</w:t>
            </w:r>
          </w:p>
        </w:tc>
        <w:tc>
          <w:tcPr>
            <w:tcW w:w="1620" w:type="dxa"/>
          </w:tcPr>
          <w:p w14:paraId="0510BF55"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0.062</w:t>
            </w:r>
          </w:p>
        </w:tc>
        <w:tc>
          <w:tcPr>
            <w:tcW w:w="1890" w:type="dxa"/>
          </w:tcPr>
          <w:p w14:paraId="6E88E08A"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0.028</w:t>
            </w:r>
          </w:p>
        </w:tc>
        <w:tc>
          <w:tcPr>
            <w:tcW w:w="1350" w:type="dxa"/>
          </w:tcPr>
          <w:p w14:paraId="141B04F9"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2.54</w:t>
            </w:r>
          </w:p>
        </w:tc>
        <w:tc>
          <w:tcPr>
            <w:tcW w:w="1080" w:type="dxa"/>
          </w:tcPr>
          <w:p w14:paraId="6B9A7B3A"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0.013</w:t>
            </w:r>
          </w:p>
        </w:tc>
      </w:tr>
      <w:tr w:rsidR="00A60822" w:rsidRPr="00A60822" w14:paraId="153B6397" w14:textId="77777777" w:rsidTr="00D00B3F">
        <w:tc>
          <w:tcPr>
            <w:tcW w:w="1458" w:type="dxa"/>
          </w:tcPr>
          <w:p w14:paraId="77135DDD"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AIEOA</w:t>
            </w:r>
          </w:p>
        </w:tc>
        <w:tc>
          <w:tcPr>
            <w:tcW w:w="1620" w:type="dxa"/>
          </w:tcPr>
          <w:p w14:paraId="3D04D3EF"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0.071</w:t>
            </w:r>
          </w:p>
        </w:tc>
        <w:tc>
          <w:tcPr>
            <w:tcW w:w="1890" w:type="dxa"/>
          </w:tcPr>
          <w:p w14:paraId="7D4339FC"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0.034</w:t>
            </w:r>
          </w:p>
        </w:tc>
        <w:tc>
          <w:tcPr>
            <w:tcW w:w="1350" w:type="dxa"/>
          </w:tcPr>
          <w:p w14:paraId="1714614D"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2.62</w:t>
            </w:r>
          </w:p>
        </w:tc>
        <w:tc>
          <w:tcPr>
            <w:tcW w:w="1080" w:type="dxa"/>
          </w:tcPr>
          <w:p w14:paraId="03E5780E"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0.010</w:t>
            </w:r>
          </w:p>
        </w:tc>
      </w:tr>
      <w:tr w:rsidR="00A60822" w:rsidRPr="00A60822" w14:paraId="3F17184D" w14:textId="77777777" w:rsidTr="00D00B3F">
        <w:tc>
          <w:tcPr>
            <w:tcW w:w="1458" w:type="dxa"/>
          </w:tcPr>
          <w:p w14:paraId="22685BAB"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BSIZE</w:t>
            </w:r>
          </w:p>
        </w:tc>
        <w:tc>
          <w:tcPr>
            <w:tcW w:w="1620" w:type="dxa"/>
          </w:tcPr>
          <w:p w14:paraId="1891715C"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0.089</w:t>
            </w:r>
          </w:p>
        </w:tc>
        <w:tc>
          <w:tcPr>
            <w:tcW w:w="1890" w:type="dxa"/>
          </w:tcPr>
          <w:p w14:paraId="1EB69FC7"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0.002</w:t>
            </w:r>
          </w:p>
        </w:tc>
        <w:tc>
          <w:tcPr>
            <w:tcW w:w="1350" w:type="dxa"/>
          </w:tcPr>
          <w:p w14:paraId="5F1C6876"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2.11</w:t>
            </w:r>
          </w:p>
        </w:tc>
        <w:tc>
          <w:tcPr>
            <w:tcW w:w="1080" w:type="dxa"/>
          </w:tcPr>
          <w:p w14:paraId="5FE06888"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0.037</w:t>
            </w:r>
          </w:p>
        </w:tc>
      </w:tr>
      <w:tr w:rsidR="00A60822" w:rsidRPr="00A60822" w14:paraId="4BDA8CF5" w14:textId="77777777" w:rsidTr="00D00B3F">
        <w:tc>
          <w:tcPr>
            <w:tcW w:w="4968" w:type="dxa"/>
            <w:gridSpan w:val="3"/>
          </w:tcPr>
          <w:p w14:paraId="740C1537"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 xml:space="preserve">R2 = </w:t>
            </w:r>
            <w:proofErr w:type="gramStart"/>
            <w:r w:rsidRPr="00A60822">
              <w:rPr>
                <w:rFonts w:ascii="Times New Roman" w:eastAsia="Times New Roman" w:hAnsi="Times New Roman" w:cs="Times New Roman"/>
                <w:bCs/>
                <w:color w:val="000000"/>
              </w:rPr>
              <w:t>0.67  or</w:t>
            </w:r>
            <w:proofErr w:type="gramEnd"/>
            <w:r w:rsidRPr="00A60822">
              <w:rPr>
                <w:rFonts w:ascii="Times New Roman" w:eastAsia="Times New Roman" w:hAnsi="Times New Roman" w:cs="Times New Roman"/>
                <w:bCs/>
                <w:color w:val="000000"/>
              </w:rPr>
              <w:t xml:space="preserve"> 67%</w:t>
            </w:r>
          </w:p>
        </w:tc>
        <w:tc>
          <w:tcPr>
            <w:tcW w:w="2430" w:type="dxa"/>
            <w:gridSpan w:val="2"/>
            <w:tcBorders>
              <w:bottom w:val="nil"/>
              <w:right w:val="nil"/>
            </w:tcBorders>
          </w:tcPr>
          <w:p w14:paraId="0E96D79E" w14:textId="77777777" w:rsidR="00A60822" w:rsidRPr="00A60822" w:rsidRDefault="00A60822" w:rsidP="00A60822">
            <w:pPr>
              <w:jc w:val="both"/>
              <w:rPr>
                <w:rFonts w:ascii="Times New Roman" w:eastAsia="Times New Roman" w:hAnsi="Times New Roman" w:cs="Times New Roman"/>
                <w:bCs/>
                <w:color w:val="000000"/>
              </w:rPr>
            </w:pPr>
          </w:p>
        </w:tc>
      </w:tr>
      <w:tr w:rsidR="00A60822" w:rsidRPr="00A60822" w14:paraId="34AA7ED2" w14:textId="77777777" w:rsidTr="00D00B3F">
        <w:trPr>
          <w:gridAfter w:val="2"/>
          <w:wAfter w:w="2430" w:type="dxa"/>
        </w:trPr>
        <w:tc>
          <w:tcPr>
            <w:tcW w:w="4968" w:type="dxa"/>
            <w:gridSpan w:val="3"/>
          </w:tcPr>
          <w:p w14:paraId="1A5E7490"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Adjusted R2 = 0.63 or 67%</w:t>
            </w:r>
          </w:p>
        </w:tc>
      </w:tr>
      <w:tr w:rsidR="00A60822" w:rsidRPr="00A60822" w14:paraId="48CA60B4" w14:textId="77777777" w:rsidTr="00D00B3F">
        <w:trPr>
          <w:gridAfter w:val="2"/>
          <w:wAfter w:w="2430" w:type="dxa"/>
        </w:trPr>
        <w:tc>
          <w:tcPr>
            <w:tcW w:w="4968" w:type="dxa"/>
            <w:gridSpan w:val="3"/>
          </w:tcPr>
          <w:p w14:paraId="0BD01536" w14:textId="77777777" w:rsidR="00A60822" w:rsidRPr="00A60822" w:rsidRDefault="00A60822" w:rsidP="00A60822">
            <w:pPr>
              <w:jc w:val="both"/>
              <w:rPr>
                <w:rFonts w:ascii="Times New Roman" w:eastAsia="Times New Roman" w:hAnsi="Times New Roman" w:cs="Times New Roman"/>
                <w:bCs/>
                <w:color w:val="000000"/>
              </w:rPr>
            </w:pPr>
            <w:r w:rsidRPr="00A60822">
              <w:rPr>
                <w:rFonts w:ascii="Times New Roman" w:eastAsia="Times New Roman" w:hAnsi="Times New Roman" w:cs="Times New Roman"/>
                <w:bCs/>
                <w:color w:val="000000"/>
              </w:rPr>
              <w:t>f-statistic = 19.84 (p &lt; 0.05)</w:t>
            </w:r>
          </w:p>
        </w:tc>
      </w:tr>
    </w:tbl>
    <w:p w14:paraId="16ECBA0D"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Source: Extracted from analyzed results</w:t>
      </w:r>
    </w:p>
    <w:p w14:paraId="12AA4457" w14:textId="77777777" w:rsidR="00A60822" w:rsidRPr="00A60822" w:rsidRDefault="00A60822" w:rsidP="00A60822">
      <w:pPr>
        <w:spacing w:after="0" w:line="240" w:lineRule="auto"/>
        <w:jc w:val="both"/>
        <w:rPr>
          <w:rFonts w:ascii="Times New Roman" w:eastAsia="Calibri" w:hAnsi="Times New Roman" w:cs="Times New Roman"/>
          <w:color w:val="000000"/>
          <w:kern w:val="0"/>
          <w14:ligatures w14:val="none"/>
        </w:rPr>
      </w:pPr>
    </w:p>
    <w:p w14:paraId="290C7940" w14:textId="77777777" w:rsidR="00A60822" w:rsidRPr="00A60822" w:rsidRDefault="00A60822" w:rsidP="00A60822">
      <w:pPr>
        <w:spacing w:after="0" w:line="240" w:lineRule="auto"/>
        <w:jc w:val="both"/>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14:ligatures w14:val="none"/>
        </w:rPr>
        <w:t xml:space="preserve">The results from the regression results further revealed that all AI-related variables have a positive and statistically significant effect on ROA. AI software book value (AISBV) with (β = 0.062, p &lt; 0.05) indicates that AI software book value positively and significantly impacts the return on assets of DMBs in Nigeria. The regression result also shows that AI software expenses disclosed (AISED) with (β = 0.071, p &lt; 0.05) have a positive and significant relationship with return on assets of DMBs in Nigeria. Further revelation shows that AI-enabled operational automation (AIEOA) with (β = 0.089, p &lt; 0.05) indicated a positive and significant correlation with ROA of DMBs. Finally, the regression </w:t>
      </w:r>
      <w:proofErr w:type="gramStart"/>
      <w:r w:rsidRPr="00A60822">
        <w:rPr>
          <w:rFonts w:ascii="Times New Roman" w:eastAsia="Calibri" w:hAnsi="Times New Roman" w:cs="Times New Roman"/>
          <w:color w:val="000000"/>
          <w:kern w:val="0"/>
          <w14:ligatures w14:val="none"/>
        </w:rPr>
        <w:t>result</w:t>
      </w:r>
      <w:proofErr w:type="gramEnd"/>
      <w:r w:rsidRPr="00A60822">
        <w:rPr>
          <w:rFonts w:ascii="Times New Roman" w:eastAsia="Calibri" w:hAnsi="Times New Roman" w:cs="Times New Roman"/>
          <w:color w:val="000000"/>
          <w:kern w:val="0"/>
          <w14:ligatures w14:val="none"/>
        </w:rPr>
        <w:t xml:space="preserve"> shows that bank size in terms of total asset with </w:t>
      </w:r>
      <w:r w:rsidRPr="00A60822">
        <w:rPr>
          <w:rFonts w:ascii="Times New Roman" w:eastAsia="Calibri" w:hAnsi="Times New Roman" w:cs="Times New Roman"/>
          <w:color w:val="000000"/>
          <w:kern w:val="0"/>
          <w14:ligatures w14:val="none"/>
        </w:rPr>
        <w:lastRenderedPageBreak/>
        <w:t xml:space="preserve">(β = 0.005, p &lt; 0.05) have positive and significant relationship with ROA of deposit money banks in Nigeria. The implication of all of these results is that all of the four null hypotheses earlier stated in this study were all rejected as stated. This implies that there is a significant relationship between the AI proxy variables, as well as the moderating variable bank size, with return on assets of DMBs in Nigeria. The findings of this study </w:t>
      </w:r>
      <w:proofErr w:type="gramStart"/>
      <w:r w:rsidRPr="00A60822">
        <w:rPr>
          <w:rFonts w:ascii="Times New Roman" w:eastAsia="Calibri" w:hAnsi="Times New Roman" w:cs="Times New Roman"/>
          <w:color w:val="000000"/>
          <w:kern w:val="0"/>
          <w14:ligatures w14:val="none"/>
        </w:rPr>
        <w:t>is</w:t>
      </w:r>
      <w:proofErr w:type="gramEnd"/>
      <w:r w:rsidRPr="00A60822">
        <w:rPr>
          <w:rFonts w:ascii="Times New Roman" w:eastAsia="Calibri" w:hAnsi="Times New Roman" w:cs="Times New Roman"/>
          <w:color w:val="000000"/>
          <w:kern w:val="0"/>
          <w14:ligatures w14:val="none"/>
        </w:rPr>
        <w:t xml:space="preserve"> in line with other previous scholarly studies (</w:t>
      </w:r>
      <w:proofErr w:type="spellStart"/>
      <w:r w:rsidRPr="00A60822">
        <w:rPr>
          <w:rFonts w:ascii="Times New Roman" w:eastAsia="Calibri" w:hAnsi="Times New Roman" w:cs="Times New Roman"/>
          <w:color w:val="000000"/>
          <w:kern w:val="0"/>
          <w14:ligatures w14:val="none"/>
        </w:rPr>
        <w:t>Oyewobi</w:t>
      </w:r>
      <w:proofErr w:type="spellEnd"/>
      <w:r w:rsidRPr="00A60822">
        <w:rPr>
          <w:rFonts w:ascii="Times New Roman" w:eastAsia="Calibri" w:hAnsi="Times New Roman" w:cs="Times New Roman"/>
          <w:color w:val="000000"/>
          <w:kern w:val="0"/>
          <w14:ligatures w14:val="none"/>
        </w:rPr>
        <w:t xml:space="preserve"> &amp; Lawal, 2023; Adeyemi &amp; Sulaiman, 2023; Abubakar et al., 2023; and Olanrewaju, 2022).</w:t>
      </w:r>
    </w:p>
    <w:p w14:paraId="5E945634"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p>
    <w:p w14:paraId="09157410" w14:textId="77777777" w:rsidR="00280939" w:rsidRDefault="00280939" w:rsidP="00A60822">
      <w:pPr>
        <w:spacing w:after="0" w:line="240" w:lineRule="auto"/>
        <w:jc w:val="both"/>
        <w:rPr>
          <w:rFonts w:ascii="Times New Roman" w:eastAsia="Calibri" w:hAnsi="Times New Roman" w:cs="Times New Roman"/>
          <w:b/>
          <w:bCs/>
          <w:kern w:val="0"/>
          <w14:ligatures w14:val="none"/>
        </w:rPr>
      </w:pPr>
    </w:p>
    <w:p w14:paraId="3494B139" w14:textId="77777777" w:rsidR="00280939" w:rsidRDefault="00280939" w:rsidP="00A60822">
      <w:pPr>
        <w:spacing w:after="0" w:line="240" w:lineRule="auto"/>
        <w:jc w:val="both"/>
        <w:rPr>
          <w:rFonts w:ascii="Times New Roman" w:eastAsia="Calibri" w:hAnsi="Times New Roman" w:cs="Times New Roman"/>
          <w:b/>
          <w:bCs/>
          <w:kern w:val="0"/>
          <w14:ligatures w14:val="none"/>
        </w:rPr>
      </w:pPr>
    </w:p>
    <w:p w14:paraId="7BBBED71" w14:textId="17125006" w:rsidR="00A60822" w:rsidRPr="00A60822" w:rsidRDefault="00A60822" w:rsidP="00A60822">
      <w:pPr>
        <w:spacing w:after="0" w:line="240" w:lineRule="auto"/>
        <w:jc w:val="both"/>
        <w:rPr>
          <w:rFonts w:ascii="Times New Roman" w:eastAsia="Calibri" w:hAnsi="Times New Roman" w:cs="Times New Roman"/>
          <w:b/>
          <w:bCs/>
          <w:kern w:val="0"/>
          <w14:ligatures w14:val="none"/>
        </w:rPr>
      </w:pPr>
      <w:r w:rsidRPr="00A60822">
        <w:rPr>
          <w:rFonts w:ascii="Times New Roman" w:eastAsia="Calibri" w:hAnsi="Times New Roman" w:cs="Times New Roman"/>
          <w:b/>
          <w:bCs/>
          <w:kern w:val="0"/>
          <w14:ligatures w14:val="none"/>
        </w:rPr>
        <w:t>4.2 Discussion of Findings</w:t>
      </w:r>
    </w:p>
    <w:p w14:paraId="7390FF1C" w14:textId="77777777" w:rsidR="00A60822" w:rsidRPr="00A60822" w:rsidRDefault="00A60822" w:rsidP="00A60822">
      <w:pPr>
        <w:spacing w:after="0" w:line="240" w:lineRule="auto"/>
        <w:jc w:val="both"/>
        <w:rPr>
          <w:rFonts w:ascii="Times New Roman" w:eastAsia="Calibri" w:hAnsi="Times New Roman" w:cs="Times New Roman"/>
          <w:bCs/>
          <w:kern w:val="0"/>
          <w14:ligatures w14:val="none"/>
        </w:rPr>
      </w:pPr>
      <w:r w:rsidRPr="00A60822">
        <w:rPr>
          <w:rFonts w:ascii="Times New Roman" w:eastAsia="Calibri" w:hAnsi="Times New Roman" w:cs="Times New Roman"/>
          <w:bCs/>
          <w:kern w:val="0"/>
          <w14:ligatures w14:val="none"/>
        </w:rPr>
        <w:t xml:space="preserve">The empirical results of this study reveal that all the primary explanatory variables of AI-Structured Investment - AI Software Book Value (AISBV), AI-Software Expenses (AISED), and </w:t>
      </w:r>
      <w:r w:rsidRPr="00A60822">
        <w:rPr>
          <w:rFonts w:ascii="Times New Roman" w:eastAsia="Times New Roman" w:hAnsi="Times New Roman" w:cs="Times New Roman"/>
          <w:kern w:val="0"/>
          <w14:ligatures w14:val="none"/>
        </w:rPr>
        <w:t>AI-Enabled Operational Automation-</w:t>
      </w:r>
      <w:r w:rsidRPr="00A60822">
        <w:rPr>
          <w:rFonts w:ascii="Times New Roman" w:eastAsia="Calibri" w:hAnsi="Times New Roman" w:cs="Times New Roman"/>
          <w:bCs/>
          <w:kern w:val="0"/>
          <w14:ligatures w14:val="none"/>
        </w:rPr>
        <w:t>Chatbots</w:t>
      </w:r>
      <w:r w:rsidRPr="00A60822">
        <w:rPr>
          <w:rFonts w:ascii="Times New Roman" w:eastAsia="Times New Roman" w:hAnsi="Times New Roman" w:cs="Times New Roman"/>
          <w:kern w:val="0"/>
          <w14:ligatures w14:val="none"/>
        </w:rPr>
        <w:t xml:space="preserve"> (AIEOA)</w:t>
      </w:r>
      <w:r w:rsidRPr="00A60822">
        <w:rPr>
          <w:rFonts w:ascii="Times New Roman" w:eastAsia="Calibri" w:hAnsi="Times New Roman" w:cs="Times New Roman"/>
          <w:bCs/>
          <w:kern w:val="0"/>
          <w14:ligatures w14:val="none"/>
        </w:rPr>
        <w:t xml:space="preserve"> have a positive and statistically significant impact on the return on assets (ROA) of Deposit Money Banks (DMBs) in Nigeria. This indicates that banks that invest and prioritize capital allocation toward AI-driven systems and structured digital investment tools achieve superior profitability through optimized asset utilization (Isaac &amp; Jimoh, 2025). The positive relationship between AI-structured investment and ROA as indicated by the study, reinforces the scholarly argument that artificial intelligence enhances decision-making efficiency, optimizes multi-asset portfolio management, and significantly sharpens risk assessment protocols (Shen &amp; Xue, 2025; Huang, Zhou, &amp; Song, 2024; Schmidt &amp; Kogan, 2024). Furthermore, the results demonstrate that Bank Size (BSIZE) has a positive and significant moderating effect on ROA. This suggests that larger financial institutions benefit from economies of scale and robust legacy infrastructure, which allows them to absorb the high initial costs of AI more efficiently than smaller counterparts (Udeh &amp; Okeke, 2023). Overall, the findings indicate that AI-structured investment is a critical determinant of financial performance in terms of return on assets in the Nigerian banking sector. The results supported previous studies (Olayinka, 2022; Babatunde, 2024).</w:t>
      </w:r>
    </w:p>
    <w:p w14:paraId="1C97C724"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p>
    <w:p w14:paraId="05BF6E33" w14:textId="77777777" w:rsidR="00A60822" w:rsidRPr="00A60822" w:rsidRDefault="00A60822" w:rsidP="00A60822">
      <w:pPr>
        <w:numPr>
          <w:ilvl w:val="1"/>
          <w:numId w:val="7"/>
        </w:numPr>
        <w:spacing w:after="0" w:line="240" w:lineRule="auto"/>
        <w:ind w:left="540" w:hanging="540"/>
        <w:contextualSpacing/>
        <w:jc w:val="both"/>
        <w:rPr>
          <w:rFonts w:ascii="Times New Roman" w:eastAsia="Times New Roman" w:hAnsi="Times New Roman" w:cs="Times New Roman"/>
          <w:b/>
          <w:bCs/>
          <w:kern w:val="0"/>
          <w14:ligatures w14:val="none"/>
        </w:rPr>
      </w:pPr>
      <w:r w:rsidRPr="00A60822">
        <w:rPr>
          <w:rFonts w:ascii="Times New Roman" w:eastAsia="Times New Roman" w:hAnsi="Times New Roman" w:cs="Times New Roman"/>
          <w:b/>
          <w:bCs/>
          <w:kern w:val="0"/>
          <w14:ligatures w14:val="none"/>
        </w:rPr>
        <w:t>Conclusion and Recommendations</w:t>
      </w:r>
    </w:p>
    <w:p w14:paraId="1BF33DE5"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AI-structured investment significantly enhances financial performance of Nigerian Deposit Money Banks. AI-driven technologies improve efficiency, reduce operational costs, and increase shareholder returns. The study recommends amongst others that AI infrastructure should be improved upon by deposit money banks; invest in training staff to manage the AI systems. Also, the Central Bank of Nigeria and other regulators need to lay out clear rules for using AI responsibly, which helps keep investment reporting open and honest across the industry.</w:t>
      </w:r>
    </w:p>
    <w:p w14:paraId="5D9A49D7" w14:textId="77777777" w:rsidR="00A60822" w:rsidRPr="00A60822" w:rsidRDefault="00A60822" w:rsidP="00A60822">
      <w:pPr>
        <w:spacing w:after="0" w:line="240" w:lineRule="auto"/>
        <w:ind w:left="990" w:hanging="990"/>
        <w:jc w:val="both"/>
        <w:rPr>
          <w:rFonts w:ascii="Times New Roman" w:eastAsia="Calibri" w:hAnsi="Times New Roman" w:cs="Times New Roman"/>
          <w:b/>
          <w:kern w:val="0"/>
          <w14:ligatures w14:val="none"/>
        </w:rPr>
      </w:pPr>
    </w:p>
    <w:p w14:paraId="030F9A2C" w14:textId="77777777" w:rsidR="00A60822" w:rsidRPr="00A60822" w:rsidRDefault="00A60822" w:rsidP="00A60822">
      <w:pPr>
        <w:spacing w:after="0" w:line="240" w:lineRule="auto"/>
        <w:ind w:left="990" w:hanging="990"/>
        <w:jc w:val="both"/>
        <w:rPr>
          <w:rFonts w:ascii="Times New Roman" w:eastAsia="Calibri" w:hAnsi="Times New Roman" w:cs="Times New Roman"/>
          <w:b/>
          <w:kern w:val="0"/>
          <w14:ligatures w14:val="none"/>
        </w:rPr>
      </w:pPr>
    </w:p>
    <w:p w14:paraId="089A2E07" w14:textId="77777777" w:rsidR="00A60822" w:rsidRPr="00A60822" w:rsidRDefault="00A60822" w:rsidP="00A60822">
      <w:pPr>
        <w:spacing w:after="0" w:line="240" w:lineRule="auto"/>
        <w:ind w:left="990" w:hanging="990"/>
        <w:jc w:val="both"/>
        <w:rPr>
          <w:rFonts w:ascii="Times New Roman" w:eastAsia="Calibri" w:hAnsi="Times New Roman" w:cs="Times New Roman"/>
          <w:b/>
          <w:kern w:val="0"/>
          <w14:ligatures w14:val="none"/>
        </w:rPr>
      </w:pPr>
      <w:r w:rsidRPr="00A60822">
        <w:rPr>
          <w:rFonts w:ascii="Times New Roman" w:eastAsia="Calibri" w:hAnsi="Times New Roman" w:cs="Times New Roman"/>
          <w:b/>
          <w:kern w:val="0"/>
          <w14:ligatures w14:val="none"/>
        </w:rPr>
        <w:t>References</w:t>
      </w:r>
    </w:p>
    <w:p w14:paraId="1DE4842F"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p>
    <w:p w14:paraId="62AFCE0A" w14:textId="77777777" w:rsidR="00A60822" w:rsidRPr="00A60822" w:rsidRDefault="00A60822" w:rsidP="00A60822">
      <w:pPr>
        <w:spacing w:after="0" w:line="240" w:lineRule="auto"/>
        <w:ind w:left="990" w:hanging="990"/>
        <w:jc w:val="both"/>
        <w:rPr>
          <w:rFonts w:ascii="Times New Roman" w:eastAsia="Calibri" w:hAnsi="Times New Roman" w:cs="Times New Roman"/>
          <w:i/>
          <w:kern w:val="0"/>
          <w14:ligatures w14:val="none"/>
        </w:rPr>
      </w:pPr>
      <w:r w:rsidRPr="00A60822">
        <w:rPr>
          <w:rFonts w:ascii="Times New Roman" w:eastAsia="Calibri" w:hAnsi="Times New Roman" w:cs="Times New Roman"/>
          <w:kern w:val="0"/>
          <w14:ligatures w14:val="none"/>
        </w:rPr>
        <w:t xml:space="preserve">Abubakar, M., Garba, T., &amp; Bello, A. (2023). Digital credit scoring and asset quality: Empirical evidence from Nigerian deposit money banks. </w:t>
      </w:r>
      <w:r w:rsidRPr="00A60822">
        <w:rPr>
          <w:rFonts w:ascii="Times New Roman" w:eastAsia="Calibri" w:hAnsi="Times New Roman" w:cs="Times New Roman"/>
          <w:i/>
          <w:kern w:val="0"/>
          <w14:ligatures w14:val="none"/>
        </w:rPr>
        <w:t>Journal of African Financial Review, 12(2), 45–60.</w:t>
      </w:r>
    </w:p>
    <w:p w14:paraId="0D803176" w14:textId="77777777" w:rsidR="00A60822" w:rsidRPr="00A60822" w:rsidRDefault="00A60822" w:rsidP="00A60822">
      <w:pPr>
        <w:spacing w:after="0" w:line="240" w:lineRule="auto"/>
        <w:ind w:left="990" w:hanging="990"/>
        <w:jc w:val="both"/>
        <w:rPr>
          <w:rFonts w:ascii="Times New Roman" w:eastAsia="Calibri" w:hAnsi="Times New Roman" w:cs="Times New Roman"/>
          <w:i/>
          <w:kern w:val="0"/>
          <w14:ligatures w14:val="none"/>
        </w:rPr>
      </w:pPr>
      <w:r w:rsidRPr="00A60822">
        <w:rPr>
          <w:rFonts w:ascii="Times New Roman" w:eastAsia="Calibri" w:hAnsi="Times New Roman" w:cs="Times New Roman"/>
          <w:kern w:val="0"/>
          <w14:ligatures w14:val="none"/>
        </w:rPr>
        <w:t xml:space="preserve">Adewumi, A. O., </w:t>
      </w:r>
      <w:proofErr w:type="spellStart"/>
      <w:r w:rsidRPr="00A60822">
        <w:rPr>
          <w:rFonts w:ascii="Times New Roman" w:eastAsia="Calibri" w:hAnsi="Times New Roman" w:cs="Times New Roman"/>
          <w:kern w:val="0"/>
          <w14:ligatures w14:val="none"/>
        </w:rPr>
        <w:t>Melikam</w:t>
      </w:r>
      <w:proofErr w:type="spellEnd"/>
      <w:r w:rsidRPr="00A60822">
        <w:rPr>
          <w:rFonts w:ascii="Times New Roman" w:eastAsia="Calibri" w:hAnsi="Times New Roman" w:cs="Times New Roman"/>
          <w:kern w:val="0"/>
          <w14:ligatures w14:val="none"/>
        </w:rPr>
        <w:t xml:space="preserve">, C. H., &amp; Ige, O. T. (2023). Beyond electronic banking: The rise of artificial intelligence in the Nigerian financial sector. </w:t>
      </w:r>
      <w:r w:rsidRPr="00A60822">
        <w:rPr>
          <w:rFonts w:ascii="Times New Roman" w:eastAsia="Calibri" w:hAnsi="Times New Roman" w:cs="Times New Roman"/>
          <w:i/>
          <w:kern w:val="0"/>
          <w14:ligatures w14:val="none"/>
        </w:rPr>
        <w:t>International Journal of Banking and Finance, 19(1), 102–118.</w:t>
      </w:r>
    </w:p>
    <w:p w14:paraId="09F6332B" w14:textId="77777777" w:rsidR="00A60822" w:rsidRPr="00A60822" w:rsidRDefault="00A60822" w:rsidP="00A60822">
      <w:pPr>
        <w:spacing w:after="0" w:line="240" w:lineRule="auto"/>
        <w:ind w:left="990" w:hanging="990"/>
        <w:jc w:val="both"/>
        <w:rPr>
          <w:rFonts w:ascii="Times New Roman" w:eastAsia="Calibri" w:hAnsi="Times New Roman" w:cs="Times New Roman"/>
          <w:i/>
          <w:kern w:val="0"/>
          <w14:ligatures w14:val="none"/>
        </w:rPr>
      </w:pPr>
      <w:r w:rsidRPr="00A60822">
        <w:rPr>
          <w:rFonts w:ascii="Times New Roman" w:eastAsia="Calibri" w:hAnsi="Times New Roman" w:cs="Times New Roman"/>
          <w:kern w:val="0"/>
          <w14:ligatures w14:val="none"/>
        </w:rPr>
        <w:t xml:space="preserve">Adeyemi, S. A., &amp; Sulaiman, L. A. (2023). The cost-benefit dilemma of AI adoption in emerging financial markets. </w:t>
      </w:r>
      <w:r w:rsidRPr="00A60822">
        <w:rPr>
          <w:rFonts w:ascii="Times New Roman" w:eastAsia="Calibri" w:hAnsi="Times New Roman" w:cs="Times New Roman"/>
          <w:i/>
          <w:kern w:val="0"/>
          <w14:ligatures w14:val="none"/>
        </w:rPr>
        <w:t>Journal of Management and Sustainability, 13(4), 15–29.</w:t>
      </w:r>
    </w:p>
    <w:p w14:paraId="4515AE0C"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Akerlof, G. A., &amp; Shiller, R. J. (2024). Phishing for </w:t>
      </w:r>
      <w:proofErr w:type="spellStart"/>
      <w:r w:rsidRPr="00A60822">
        <w:rPr>
          <w:rFonts w:ascii="Times New Roman" w:eastAsia="Calibri" w:hAnsi="Times New Roman" w:cs="Times New Roman"/>
          <w:kern w:val="0"/>
          <w14:ligatures w14:val="none"/>
        </w:rPr>
        <w:t>phools</w:t>
      </w:r>
      <w:proofErr w:type="spellEnd"/>
      <w:r w:rsidRPr="00A60822">
        <w:rPr>
          <w:rFonts w:ascii="Times New Roman" w:eastAsia="Calibri" w:hAnsi="Times New Roman" w:cs="Times New Roman"/>
          <w:kern w:val="0"/>
          <w14:ligatures w14:val="none"/>
        </w:rPr>
        <w:t>: The economics of manipulation and deception in a digital age</w:t>
      </w:r>
      <w:r w:rsidRPr="00A60822">
        <w:rPr>
          <w:rFonts w:ascii="Times New Roman" w:eastAsia="Calibri" w:hAnsi="Times New Roman" w:cs="Times New Roman"/>
          <w:i/>
          <w:kern w:val="0"/>
          <w14:ligatures w14:val="none"/>
        </w:rPr>
        <w:t>. Princeton University Press.</w:t>
      </w:r>
    </w:p>
    <w:p w14:paraId="6BC2C964"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Babatunde, O. J. (2024). Robotic process automation and operational efficiency in the Nigerian banking industry. </w:t>
      </w:r>
      <w:r w:rsidRPr="00A60822">
        <w:rPr>
          <w:rFonts w:ascii="Times New Roman" w:eastAsia="Calibri" w:hAnsi="Times New Roman" w:cs="Times New Roman"/>
          <w:i/>
          <w:kern w:val="0"/>
          <w14:ligatures w14:val="none"/>
        </w:rPr>
        <w:t>African Journal of Business Management, 18(1), 12–25.</w:t>
      </w:r>
    </w:p>
    <w:p w14:paraId="2AB4E2A9" w14:textId="77777777" w:rsidR="00A60822" w:rsidRPr="00A60822" w:rsidRDefault="00A60822" w:rsidP="00A60822">
      <w:pPr>
        <w:spacing w:after="0" w:line="240" w:lineRule="auto"/>
        <w:ind w:left="990" w:hanging="990"/>
        <w:jc w:val="both"/>
        <w:rPr>
          <w:rFonts w:ascii="Times New Roman" w:eastAsia="Calibri" w:hAnsi="Times New Roman" w:cs="Times New Roman"/>
          <w:i/>
          <w:kern w:val="0"/>
          <w14:ligatures w14:val="none"/>
        </w:rPr>
      </w:pPr>
      <w:r w:rsidRPr="00A60822">
        <w:rPr>
          <w:rFonts w:ascii="Times New Roman" w:eastAsia="Calibri" w:hAnsi="Times New Roman" w:cs="Times New Roman"/>
          <w:kern w:val="0"/>
          <w14:ligatures w14:val="none"/>
        </w:rPr>
        <w:t xml:space="preserve">Barney, J. B. (1991). Firm resources and sustained competitive advantage. </w:t>
      </w:r>
      <w:r w:rsidRPr="00A60822">
        <w:rPr>
          <w:rFonts w:ascii="Times New Roman" w:eastAsia="Calibri" w:hAnsi="Times New Roman" w:cs="Times New Roman"/>
          <w:i/>
          <w:kern w:val="0"/>
          <w14:ligatures w14:val="none"/>
        </w:rPr>
        <w:t>Journal of Management, 17(1), 99–120.</w:t>
      </w:r>
    </w:p>
    <w:p w14:paraId="7868456F" w14:textId="77777777" w:rsidR="00A60822" w:rsidRPr="00A60822" w:rsidRDefault="00A60822" w:rsidP="00A60822">
      <w:pPr>
        <w:spacing w:after="0" w:line="240" w:lineRule="auto"/>
        <w:ind w:left="990" w:hanging="990"/>
        <w:jc w:val="both"/>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lastRenderedPageBreak/>
        <w:t xml:space="preserve">Central Bank of Nigeria (CBN). (2025). </w:t>
      </w:r>
      <w:r w:rsidRPr="00A60822">
        <w:rPr>
          <w:rFonts w:ascii="Times New Roman" w:eastAsia="Times New Roman" w:hAnsi="Times New Roman" w:cs="Times New Roman"/>
          <w:i/>
          <w:iCs/>
          <w:kern w:val="0"/>
          <w14:ligatures w14:val="none"/>
        </w:rPr>
        <w:t>Statistical Bulletin and Annual Report for the Year 2024</w:t>
      </w:r>
      <w:r w:rsidRPr="00A60822">
        <w:rPr>
          <w:rFonts w:ascii="Times New Roman" w:eastAsia="Times New Roman" w:hAnsi="Times New Roman" w:cs="Times New Roman"/>
          <w:kern w:val="0"/>
          <w14:ligatures w14:val="none"/>
        </w:rPr>
        <w:t>. Abuja: CBN Press.</w:t>
      </w:r>
    </w:p>
    <w:p w14:paraId="533C9D92" w14:textId="77777777" w:rsidR="00A60822" w:rsidRPr="00A60822" w:rsidRDefault="00A60822" w:rsidP="00A60822">
      <w:pPr>
        <w:spacing w:after="0" w:line="240" w:lineRule="auto"/>
        <w:ind w:left="990" w:hanging="990"/>
        <w:jc w:val="both"/>
        <w:rPr>
          <w:rFonts w:ascii="Times New Roman" w:eastAsia="Calibri" w:hAnsi="Times New Roman" w:cs="Times New Roman"/>
          <w:i/>
          <w:kern w:val="0"/>
          <w14:ligatures w14:val="none"/>
        </w:rPr>
      </w:pPr>
      <w:proofErr w:type="spellStart"/>
      <w:r w:rsidRPr="00A60822">
        <w:rPr>
          <w:rFonts w:ascii="Times New Roman" w:eastAsia="Calibri" w:hAnsi="Times New Roman" w:cs="Times New Roman"/>
          <w:kern w:val="0"/>
          <w14:ligatures w14:val="none"/>
        </w:rPr>
        <w:t>Eketu</w:t>
      </w:r>
      <w:proofErr w:type="spellEnd"/>
      <w:r w:rsidRPr="00A60822">
        <w:rPr>
          <w:rFonts w:ascii="Times New Roman" w:eastAsia="Calibri" w:hAnsi="Times New Roman" w:cs="Times New Roman"/>
          <w:kern w:val="0"/>
          <w14:ligatures w14:val="none"/>
        </w:rPr>
        <w:t>, C. A., Anddison, S., &amp; Joseph, B. (2023). Artificial intelligence adoption and organizational performance of deposit money banks in Rivers State</w:t>
      </w:r>
      <w:r w:rsidRPr="00A60822">
        <w:rPr>
          <w:rFonts w:ascii="Times New Roman" w:eastAsia="Calibri" w:hAnsi="Times New Roman" w:cs="Times New Roman"/>
          <w:i/>
          <w:kern w:val="0"/>
          <w14:ligatures w14:val="none"/>
        </w:rPr>
        <w:t>. International Journal of Advanced Academic Research, 9(10), 55–71.</w:t>
      </w:r>
    </w:p>
    <w:p w14:paraId="5775D9C2"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proofErr w:type="spellStart"/>
      <w:r w:rsidRPr="00A60822">
        <w:rPr>
          <w:rFonts w:ascii="Times New Roman" w:eastAsia="Calibri" w:hAnsi="Times New Roman" w:cs="Times New Roman"/>
          <w:kern w:val="0"/>
          <w14:ligatures w14:val="none"/>
        </w:rPr>
        <w:t>Ezeamama</w:t>
      </w:r>
      <w:proofErr w:type="spellEnd"/>
      <w:r w:rsidRPr="00A60822">
        <w:rPr>
          <w:rFonts w:ascii="Times New Roman" w:eastAsia="Calibri" w:hAnsi="Times New Roman" w:cs="Times New Roman"/>
          <w:kern w:val="0"/>
          <w14:ligatures w14:val="none"/>
        </w:rPr>
        <w:t>, N. C., &amp; Obani, P. O. (2024). AI-driven digital banking and financial reporting quality: Evidence from Nigeria. Journal of Financial Reporting and Taxation, 6(1), 88–104.</w:t>
      </w:r>
    </w:p>
    <w:p w14:paraId="5F2FBAA5" w14:textId="77777777" w:rsidR="00A60822" w:rsidRPr="00A60822" w:rsidRDefault="00A60822" w:rsidP="00A60822">
      <w:pPr>
        <w:spacing w:after="0" w:line="240" w:lineRule="auto"/>
        <w:ind w:left="990" w:hanging="990"/>
        <w:jc w:val="both"/>
        <w:rPr>
          <w:rFonts w:ascii="Times New Roman" w:eastAsia="Calibri" w:hAnsi="Times New Roman" w:cs="Times New Roman"/>
          <w:i/>
          <w:kern w:val="0"/>
          <w14:ligatures w14:val="none"/>
        </w:rPr>
      </w:pPr>
      <w:r w:rsidRPr="00A60822">
        <w:rPr>
          <w:rFonts w:ascii="Times New Roman" w:eastAsia="Calibri" w:hAnsi="Times New Roman" w:cs="Times New Roman"/>
          <w:kern w:val="0"/>
          <w14:ligatures w14:val="none"/>
        </w:rPr>
        <w:t xml:space="preserve">Huang, X., Zhou, Y., &amp; Song, L. (2024). Machine learning and risk assessment protocols in global banking: A meta-analysis. </w:t>
      </w:r>
      <w:r w:rsidRPr="00A60822">
        <w:rPr>
          <w:rFonts w:ascii="Times New Roman" w:eastAsia="Calibri" w:hAnsi="Times New Roman" w:cs="Times New Roman"/>
          <w:i/>
          <w:kern w:val="0"/>
          <w14:ligatures w14:val="none"/>
        </w:rPr>
        <w:t>Journal of Financial Technology, 8(2), 210–228.</w:t>
      </w:r>
    </w:p>
    <w:p w14:paraId="45183D9C"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Isaac, K., &amp; Jimoh, S. (2025). AI software book value and the profitability of listed banks in Nigeria. </w:t>
      </w:r>
      <w:r w:rsidRPr="00A60822">
        <w:rPr>
          <w:rFonts w:ascii="Times New Roman" w:eastAsia="Calibri" w:hAnsi="Times New Roman" w:cs="Times New Roman"/>
          <w:i/>
          <w:kern w:val="0"/>
          <w14:ligatures w14:val="none"/>
        </w:rPr>
        <w:t>Journal of Applied Finance and Economics, 14(1), 77–92.</w:t>
      </w:r>
    </w:p>
    <w:p w14:paraId="4E005234"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Jabin, S., Akhand, M. A. H., &amp; Siddique, N. (2023). AI-structured investments: Big data analytics in portfolio optimization. Expert Systems with Applications, 213, 119–134.</w:t>
      </w:r>
    </w:p>
    <w:p w14:paraId="7D5E6822"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Jensen, M. C., &amp; Meckling, W. H. (1976). Theory of the firm: Managerial behavior, agency costs and ownership structure. Journal of Financial Economics, 3(4), 305–360.</w:t>
      </w:r>
    </w:p>
    <w:p w14:paraId="29CDD8FD"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Joseph, K. A. (2023). Agency costs and technological monitoring in the Nigerian banking sector. Review of Management and Social Sciences, 5(2), 114–129.</w:t>
      </w:r>
    </w:p>
    <w:p w14:paraId="590A2678"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Khan, R., Ahmed, S., &amp; Malik, Z. (2026). The evolution of fintech: AI’s role in global banking competitiveness. Global Financial Technology Review, 10(1), 14–31.</w:t>
      </w:r>
    </w:p>
    <w:p w14:paraId="7572AB26"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Mhlanga, D. (2023). Artificial Intelligence in the industry 4.0, and its impact on poverty, innovation, and financial inclusion. Sustainability, 15(3), 1–18.</w:t>
      </w:r>
    </w:p>
    <w:p w14:paraId="4B1CBDAD"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proofErr w:type="spellStart"/>
      <w:r w:rsidRPr="00A60822">
        <w:rPr>
          <w:rFonts w:ascii="Times New Roman" w:eastAsia="Calibri" w:hAnsi="Times New Roman" w:cs="Times New Roman"/>
          <w:kern w:val="0"/>
          <w14:ligatures w14:val="none"/>
        </w:rPr>
        <w:t>Mogaji</w:t>
      </w:r>
      <w:proofErr w:type="spellEnd"/>
      <w:r w:rsidRPr="00A60822">
        <w:rPr>
          <w:rFonts w:ascii="Times New Roman" w:eastAsia="Calibri" w:hAnsi="Times New Roman" w:cs="Times New Roman"/>
          <w:kern w:val="0"/>
          <w14:ligatures w14:val="none"/>
        </w:rPr>
        <w:t xml:space="preserve">, E., </w:t>
      </w:r>
      <w:proofErr w:type="spellStart"/>
      <w:r w:rsidRPr="00A60822">
        <w:rPr>
          <w:rFonts w:ascii="Times New Roman" w:eastAsia="Calibri" w:hAnsi="Times New Roman" w:cs="Times New Roman"/>
          <w:kern w:val="0"/>
          <w14:ligatures w14:val="none"/>
        </w:rPr>
        <w:t>Soetan</w:t>
      </w:r>
      <w:proofErr w:type="spellEnd"/>
      <w:r w:rsidRPr="00A60822">
        <w:rPr>
          <w:rFonts w:ascii="Times New Roman" w:eastAsia="Calibri" w:hAnsi="Times New Roman" w:cs="Times New Roman"/>
          <w:kern w:val="0"/>
          <w14:ligatures w14:val="none"/>
        </w:rPr>
        <w:t>, T. O., &amp; Nguyen, N. P. (2023). The opportunities and challenges of artificial intelligence in banking: Systematic literature review and future research agenda. Journal of Financial Services Marketing, 28(2), 211-232.</w:t>
      </w:r>
    </w:p>
    <w:p w14:paraId="28A56CD7"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Olanrewaju, T. (2022). FinTech disruptions and the digital transformation of Nigerian deposit money banks. Journal of Digital Banking, 7(2), 154–169.</w:t>
      </w:r>
    </w:p>
    <w:p w14:paraId="6D4D4985"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Olanrewaju, T., &amp; Odeyemi, A. O. (2022). AI-enabled data analytics and return on assets: A study of Nigerian commercial banks. Digital Finance Journal, 4(3), 44–59.</w:t>
      </w:r>
    </w:p>
    <w:p w14:paraId="490A7637" w14:textId="77777777" w:rsidR="00A60822" w:rsidRPr="00A60822" w:rsidRDefault="00A60822" w:rsidP="00A60822">
      <w:pPr>
        <w:spacing w:after="0" w:line="240" w:lineRule="auto"/>
        <w:ind w:left="990" w:hanging="990"/>
        <w:jc w:val="both"/>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 xml:space="preserve">Olanrewaju, A., et al. (2024). The relationship between AI adoption and ROA: A Nigerian perspective. </w:t>
      </w:r>
      <w:r w:rsidRPr="00A60822">
        <w:rPr>
          <w:rFonts w:ascii="Times New Roman" w:eastAsia="Times New Roman" w:hAnsi="Times New Roman" w:cs="Times New Roman"/>
          <w:i/>
          <w:iCs/>
          <w:kern w:val="0"/>
          <w14:ligatures w14:val="none"/>
        </w:rPr>
        <w:t>West African Journal of Management and Technology</w:t>
      </w:r>
      <w:r w:rsidRPr="00A60822">
        <w:rPr>
          <w:rFonts w:ascii="Times New Roman" w:eastAsia="Times New Roman" w:hAnsi="Times New Roman" w:cs="Times New Roman"/>
          <w:kern w:val="0"/>
          <w14:ligatures w14:val="none"/>
        </w:rPr>
        <w:t>.</w:t>
      </w:r>
    </w:p>
    <w:p w14:paraId="31660269"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Times New Roman" w:hAnsi="Times New Roman" w:cs="Times New Roman"/>
          <w:kern w:val="0"/>
          <w14:ligatures w14:val="none"/>
        </w:rPr>
        <w:t xml:space="preserve">Olanrewaju, A., Adegbite, K., &amp; Olugbenga, O. (2024). The relationship between AI adoption and ROA: A Nigerian perspective. </w:t>
      </w:r>
      <w:r w:rsidRPr="00A60822">
        <w:rPr>
          <w:rFonts w:ascii="Times New Roman" w:eastAsia="Times New Roman" w:hAnsi="Times New Roman" w:cs="Times New Roman"/>
          <w:i/>
          <w:iCs/>
          <w:kern w:val="0"/>
          <w14:ligatures w14:val="none"/>
        </w:rPr>
        <w:t>West African Journal of Management and Technology</w:t>
      </w:r>
      <w:r w:rsidRPr="00A60822">
        <w:rPr>
          <w:rFonts w:ascii="Times New Roman" w:eastAsia="Times New Roman" w:hAnsi="Times New Roman" w:cs="Times New Roman"/>
          <w:kern w:val="0"/>
          <w14:ligatures w14:val="none"/>
        </w:rPr>
        <w:t xml:space="preserve">, </w:t>
      </w:r>
      <w:r w:rsidRPr="00A60822">
        <w:rPr>
          <w:rFonts w:ascii="Times New Roman" w:eastAsia="Times New Roman" w:hAnsi="Times New Roman" w:cs="Times New Roman"/>
          <w:i/>
          <w:iCs/>
          <w:kern w:val="0"/>
          <w14:ligatures w14:val="none"/>
        </w:rPr>
        <w:t>8</w:t>
      </w:r>
      <w:r w:rsidRPr="00A60822">
        <w:rPr>
          <w:rFonts w:ascii="Times New Roman" w:eastAsia="Times New Roman" w:hAnsi="Times New Roman" w:cs="Times New Roman"/>
          <w:kern w:val="0"/>
          <w14:ligatures w14:val="none"/>
        </w:rPr>
        <w:t>(1), 112–128.</w:t>
      </w:r>
    </w:p>
    <w:p w14:paraId="3177353C"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Olayinka, M. (2022). The impact of AI-driven FinTech solutions on the Return on Assets of commercial banks in Nigeria. West African Journal of Monetary and Economic Authority, 11(4), 33–49.</w:t>
      </w:r>
    </w:p>
    <w:p w14:paraId="45421663"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proofErr w:type="spellStart"/>
      <w:r w:rsidRPr="00A60822">
        <w:rPr>
          <w:rFonts w:ascii="Times New Roman" w:eastAsia="Calibri" w:hAnsi="Times New Roman" w:cs="Times New Roman"/>
          <w:kern w:val="0"/>
          <w14:ligatures w14:val="none"/>
        </w:rPr>
        <w:t>Oyewobi</w:t>
      </w:r>
      <w:proofErr w:type="spellEnd"/>
      <w:r w:rsidRPr="00A60822">
        <w:rPr>
          <w:rFonts w:ascii="Times New Roman" w:eastAsia="Calibri" w:hAnsi="Times New Roman" w:cs="Times New Roman"/>
          <w:kern w:val="0"/>
          <w14:ligatures w14:val="none"/>
        </w:rPr>
        <w:t>, J. O., &amp; Lawal, A. M. (2023). Technological intangible assets and financial performance: A panel data analysis of the Nigerian banking sector. International Journal of Finance and Accounting, 8(3), 112–128.</w:t>
      </w:r>
    </w:p>
    <w:p w14:paraId="1361BAC5"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Pandey, I. M. (2022). Financial management (12th ed.). Vikas Publishing House.</w:t>
      </w:r>
    </w:p>
    <w:p w14:paraId="2746D323"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Rogers, E. M. (1962). Diffusion of innovations. Free Press.  </w:t>
      </w:r>
    </w:p>
    <w:p w14:paraId="631EA8B3"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proofErr w:type="spellStart"/>
      <w:r w:rsidRPr="00A60822">
        <w:rPr>
          <w:rFonts w:ascii="Times New Roman" w:eastAsia="Calibri" w:hAnsi="Times New Roman" w:cs="Times New Roman"/>
          <w:kern w:val="0"/>
          <w14:ligatures w14:val="none"/>
        </w:rPr>
        <w:t>Salemcity</w:t>
      </w:r>
      <w:proofErr w:type="spellEnd"/>
      <w:r w:rsidRPr="00A60822">
        <w:rPr>
          <w:rFonts w:ascii="Times New Roman" w:eastAsia="Calibri" w:hAnsi="Times New Roman" w:cs="Times New Roman"/>
          <w:kern w:val="0"/>
          <w14:ligatures w14:val="none"/>
        </w:rPr>
        <w:t xml:space="preserve">, A. J., </w:t>
      </w:r>
      <w:proofErr w:type="spellStart"/>
      <w:r w:rsidRPr="00A60822">
        <w:rPr>
          <w:rFonts w:ascii="Times New Roman" w:eastAsia="Calibri" w:hAnsi="Times New Roman" w:cs="Times New Roman"/>
          <w:kern w:val="0"/>
          <w14:ligatures w14:val="none"/>
        </w:rPr>
        <w:t>Aiyesan</w:t>
      </w:r>
      <w:proofErr w:type="spellEnd"/>
      <w:r w:rsidRPr="00A60822">
        <w:rPr>
          <w:rFonts w:ascii="Times New Roman" w:eastAsia="Calibri" w:hAnsi="Times New Roman" w:cs="Times New Roman"/>
          <w:kern w:val="0"/>
          <w14:ligatures w14:val="none"/>
        </w:rPr>
        <w:t xml:space="preserve">, O. O., &amp; </w:t>
      </w:r>
      <w:proofErr w:type="spellStart"/>
      <w:r w:rsidRPr="00A60822">
        <w:rPr>
          <w:rFonts w:ascii="Times New Roman" w:eastAsia="Calibri" w:hAnsi="Times New Roman" w:cs="Times New Roman"/>
          <w:kern w:val="0"/>
          <w14:ligatures w14:val="none"/>
        </w:rPr>
        <w:t>Japinye</w:t>
      </w:r>
      <w:proofErr w:type="spellEnd"/>
      <w:r w:rsidRPr="00A60822">
        <w:rPr>
          <w:rFonts w:ascii="Times New Roman" w:eastAsia="Calibri" w:hAnsi="Times New Roman" w:cs="Times New Roman"/>
          <w:kern w:val="0"/>
          <w14:ligatures w14:val="none"/>
        </w:rPr>
        <w:t xml:space="preserve">, B. (2023). AI adoption and cost structure dynamics in Nigerian deposit money banks (2012–2022). Journal of Accounting and Financial Management, 9(4), 22–38.  </w:t>
      </w:r>
    </w:p>
    <w:p w14:paraId="2A3AC3B4" w14:textId="77777777" w:rsidR="00A60822" w:rsidRPr="00A60822" w:rsidRDefault="00A60822" w:rsidP="00A60822">
      <w:pPr>
        <w:spacing w:after="0" w:line="240" w:lineRule="auto"/>
        <w:ind w:left="990" w:hanging="99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Sanusi, L. S. (2024). The structural challenges of the Nigerian financial system in a post-pandemic era. University Press PLC.  </w:t>
      </w:r>
    </w:p>
    <w:p w14:paraId="2B72A0B7" w14:textId="77777777" w:rsidR="00A60822" w:rsidRPr="00A60822" w:rsidRDefault="00A60822" w:rsidP="00A60822">
      <w:pPr>
        <w:spacing w:after="0" w:line="240" w:lineRule="auto"/>
        <w:ind w:left="810" w:hanging="81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 xml:space="preserve">Sullivan, J., Wright, R., &amp; Peterson, D. (2024). AI as a mitigation strategy for information asymmetry in credit markets. Journal of Risk and Financial Management, 17(2), 202–220.  </w:t>
      </w:r>
    </w:p>
    <w:p w14:paraId="678C5B87" w14:textId="77777777" w:rsidR="00A60822" w:rsidRPr="00A60822" w:rsidRDefault="00A60822" w:rsidP="00A60822">
      <w:pPr>
        <w:spacing w:after="0" w:line="240" w:lineRule="auto"/>
        <w:ind w:left="810" w:hanging="810"/>
        <w:jc w:val="both"/>
        <w:rPr>
          <w:rFonts w:ascii="Times New Roman" w:eastAsia="Calibri" w:hAnsi="Times New Roman" w:cs="Times New Roman"/>
          <w:kern w:val="0"/>
          <w14:ligatures w14:val="none"/>
        </w:rPr>
      </w:pPr>
      <w:r w:rsidRPr="00A60822">
        <w:rPr>
          <w:rFonts w:ascii="Times New Roman" w:eastAsia="Calibri" w:hAnsi="Times New Roman" w:cs="Times New Roman"/>
          <w:kern w:val="0"/>
          <w14:ligatures w14:val="none"/>
        </w:rPr>
        <w:t>Udeh, S. C., &amp; Okeke, P. (2023). Bank size, technological infrastructure, and financial performance: A study of Nigerian DMBs. Nigerian Journal of Banking and Financial Issues, 9(3), 201–218.</w:t>
      </w:r>
    </w:p>
    <w:p w14:paraId="0EA03C16" w14:textId="77777777" w:rsidR="00A60822" w:rsidRPr="00A60822" w:rsidRDefault="00A60822" w:rsidP="00A60822">
      <w:pPr>
        <w:spacing w:after="0" w:line="240" w:lineRule="auto"/>
        <w:jc w:val="both"/>
        <w:rPr>
          <w:rFonts w:ascii="Times New Roman" w:eastAsia="Calibri" w:hAnsi="Times New Roman" w:cs="Times New Roman"/>
          <w:kern w:val="0"/>
          <w14:ligatures w14:val="none"/>
        </w:rPr>
      </w:pPr>
    </w:p>
    <w:p w14:paraId="342DDD01" w14:textId="77777777" w:rsidR="00A60822" w:rsidRPr="00A60822" w:rsidRDefault="00A60822" w:rsidP="00A60822">
      <w:pPr>
        <w:spacing w:after="0" w:line="240" w:lineRule="auto"/>
        <w:jc w:val="both"/>
        <w:outlineLvl w:val="1"/>
        <w:rPr>
          <w:rFonts w:ascii="Times New Roman" w:eastAsia="Calibri" w:hAnsi="Times New Roman" w:cs="Times New Roman"/>
          <w:kern w:val="0"/>
          <w14:ligatures w14:val="none"/>
        </w:rPr>
      </w:pPr>
    </w:p>
    <w:p w14:paraId="5CA17673" w14:textId="77777777" w:rsidR="00A60822" w:rsidRDefault="00A60822" w:rsidP="00A60822">
      <w:pPr>
        <w:spacing w:after="0" w:line="240" w:lineRule="auto"/>
        <w:jc w:val="both"/>
        <w:rPr>
          <w:rFonts w:ascii="Times New Roman" w:hAnsi="Times New Roman" w:cs="Times New Roman"/>
          <w:b/>
          <w:bCs/>
          <w:sz w:val="56"/>
          <w:szCs w:val="56"/>
        </w:rPr>
      </w:pPr>
    </w:p>
    <w:p w14:paraId="1F8CC845" w14:textId="77777777" w:rsidR="00A60822" w:rsidRDefault="00A60822" w:rsidP="00A60822">
      <w:pPr>
        <w:spacing w:after="0" w:line="240" w:lineRule="auto"/>
        <w:jc w:val="both"/>
        <w:rPr>
          <w:rFonts w:ascii="Times New Roman" w:hAnsi="Times New Roman" w:cs="Times New Roman"/>
          <w:b/>
          <w:bCs/>
          <w:sz w:val="56"/>
          <w:szCs w:val="56"/>
        </w:rPr>
      </w:pPr>
    </w:p>
    <w:p w14:paraId="4BEDE781" w14:textId="77777777" w:rsidR="00A60822" w:rsidRDefault="00A60822" w:rsidP="00A60822">
      <w:pPr>
        <w:spacing w:after="0" w:line="240" w:lineRule="auto"/>
        <w:jc w:val="both"/>
        <w:rPr>
          <w:rFonts w:ascii="Times New Roman" w:hAnsi="Times New Roman" w:cs="Times New Roman"/>
          <w:b/>
          <w:bCs/>
          <w:sz w:val="56"/>
          <w:szCs w:val="56"/>
        </w:rPr>
      </w:pPr>
    </w:p>
    <w:p w14:paraId="55D12DC5" w14:textId="77777777" w:rsidR="00A60822" w:rsidRDefault="00A60822" w:rsidP="00A60822">
      <w:pPr>
        <w:spacing w:after="0" w:line="240" w:lineRule="auto"/>
        <w:jc w:val="both"/>
        <w:rPr>
          <w:rFonts w:ascii="Times New Roman" w:hAnsi="Times New Roman" w:cs="Times New Roman"/>
          <w:b/>
          <w:bCs/>
          <w:sz w:val="56"/>
          <w:szCs w:val="56"/>
        </w:rPr>
      </w:pPr>
    </w:p>
    <w:p w14:paraId="61807840" w14:textId="77777777" w:rsidR="00186526" w:rsidRDefault="00186526" w:rsidP="0015036C">
      <w:pPr>
        <w:spacing w:after="200" w:line="276" w:lineRule="auto"/>
        <w:jc w:val="center"/>
        <w:rPr>
          <w:rFonts w:ascii="Times New Roman" w:eastAsia="Calibri" w:hAnsi="Times New Roman" w:cs="Times New Roman"/>
          <w:b/>
          <w:kern w:val="0"/>
          <w:lang w:val="en-GB"/>
          <w14:ligatures w14:val="none"/>
        </w:rPr>
      </w:pPr>
    </w:p>
    <w:p w14:paraId="39339DD5" w14:textId="77777777" w:rsidR="00186526" w:rsidRDefault="00186526" w:rsidP="0015036C">
      <w:pPr>
        <w:spacing w:after="200" w:line="276" w:lineRule="auto"/>
        <w:jc w:val="center"/>
        <w:rPr>
          <w:rFonts w:ascii="Times New Roman" w:eastAsia="Calibri" w:hAnsi="Times New Roman" w:cs="Times New Roman"/>
          <w:b/>
          <w:kern w:val="0"/>
          <w:lang w:val="en-GB"/>
          <w14:ligatures w14:val="none"/>
        </w:rPr>
      </w:pPr>
    </w:p>
    <w:p w14:paraId="1139C542" w14:textId="1892221E" w:rsidR="00A60822" w:rsidRPr="00A60822" w:rsidRDefault="00A60822" w:rsidP="0015036C">
      <w:pPr>
        <w:spacing w:after="200" w:line="276" w:lineRule="auto"/>
        <w:jc w:val="center"/>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t>INNOVATIVE COST CONTROL MECHANISM AND OPERATING MARGIN OF QUOTED CONSUMER GOODS MANUFACTURING FIRMS IN NIGERIA</w:t>
      </w:r>
      <w:r w:rsidRPr="00A60822">
        <w:rPr>
          <w:rFonts w:ascii="Times New Roman" w:eastAsia="Calibri" w:hAnsi="Times New Roman" w:cs="Times New Roman"/>
          <w:kern w:val="0"/>
          <w:lang w:val="en-GB"/>
          <w14:ligatures w14:val="none"/>
        </w:rPr>
        <w:t>.</w:t>
      </w:r>
    </w:p>
    <w:p w14:paraId="731CAC3C" w14:textId="77777777" w:rsidR="00A60822" w:rsidRPr="00A60822" w:rsidRDefault="00A60822" w:rsidP="0015036C">
      <w:pPr>
        <w:numPr>
          <w:ilvl w:val="0"/>
          <w:numId w:val="11"/>
        </w:numPr>
        <w:spacing w:after="200" w:line="276" w:lineRule="auto"/>
        <w:contextualSpacing/>
        <w:jc w:val="center"/>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SYDER, INUADUME DANIEL (</w:t>
      </w:r>
      <w:proofErr w:type="spellStart"/>
      <w:proofErr w:type="gramStart"/>
      <w:r w:rsidRPr="00A60822">
        <w:rPr>
          <w:rFonts w:ascii="Times New Roman" w:eastAsia="Calibri" w:hAnsi="Times New Roman" w:cs="Times New Roman"/>
          <w:kern w:val="0"/>
          <w:lang w:val="en-GB"/>
          <w14:ligatures w14:val="none"/>
        </w:rPr>
        <w:t>Ph.D</w:t>
      </w:r>
      <w:proofErr w:type="spellEnd"/>
      <w:proofErr w:type="gramEnd"/>
      <w:r w:rsidRPr="00A60822">
        <w:rPr>
          <w:rFonts w:ascii="Times New Roman" w:eastAsia="Calibri" w:hAnsi="Times New Roman" w:cs="Times New Roman"/>
          <w:kern w:val="0"/>
          <w:lang w:val="en-GB"/>
          <w14:ligatures w14:val="none"/>
        </w:rPr>
        <w:t xml:space="preserve">), Dept. of Accounting, FMS, University of Port Harcourt, </w:t>
      </w:r>
      <w:hyperlink r:id="rId8" w:history="1">
        <w:r w:rsidRPr="00A60822">
          <w:rPr>
            <w:rFonts w:ascii="Times New Roman" w:eastAsia="Calibri" w:hAnsi="Times New Roman" w:cs="Times New Roman"/>
            <w:color w:val="0000FF"/>
            <w:kern w:val="0"/>
            <w:u w:val="single"/>
            <w:lang w:val="en-GB"/>
            <w14:ligatures w14:val="none"/>
          </w:rPr>
          <w:t>inuadume.syder@uniport.edu.ng</w:t>
        </w:r>
      </w:hyperlink>
      <w:r w:rsidRPr="00A60822">
        <w:t xml:space="preserve"> , 09026967412</w:t>
      </w:r>
    </w:p>
    <w:p w14:paraId="2E086BEA" w14:textId="77777777" w:rsidR="00A60822" w:rsidRPr="00A60822" w:rsidRDefault="00A60822" w:rsidP="0015036C">
      <w:pPr>
        <w:numPr>
          <w:ilvl w:val="0"/>
          <w:numId w:val="11"/>
        </w:numPr>
        <w:spacing w:after="200" w:line="276" w:lineRule="auto"/>
        <w:contextualSpacing/>
        <w:jc w:val="center"/>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ELEE, CHIDI (</w:t>
      </w:r>
      <w:proofErr w:type="spellStart"/>
      <w:proofErr w:type="gramStart"/>
      <w:r w:rsidRPr="00A60822">
        <w:rPr>
          <w:rFonts w:ascii="Times New Roman" w:eastAsia="Calibri" w:hAnsi="Times New Roman" w:cs="Times New Roman"/>
          <w:kern w:val="0"/>
          <w:lang w:val="en-GB"/>
          <w14:ligatures w14:val="none"/>
        </w:rPr>
        <w:t>Ph.D</w:t>
      </w:r>
      <w:proofErr w:type="spellEnd"/>
      <w:proofErr w:type="gramEnd"/>
      <w:r w:rsidRPr="00A60822">
        <w:rPr>
          <w:rFonts w:ascii="Times New Roman" w:eastAsia="Calibri" w:hAnsi="Times New Roman" w:cs="Times New Roman"/>
          <w:kern w:val="0"/>
          <w:lang w:val="en-GB"/>
          <w14:ligatures w14:val="none"/>
        </w:rPr>
        <w:t xml:space="preserve">), Dept. of Accounting, FMS, University of Port Harcourt, </w:t>
      </w:r>
      <w:hyperlink r:id="rId9" w:history="1">
        <w:r w:rsidRPr="00A60822">
          <w:rPr>
            <w:rFonts w:ascii="Times New Roman" w:eastAsia="Calibri" w:hAnsi="Times New Roman" w:cs="Times New Roman"/>
            <w:color w:val="0563C1" w:themeColor="hyperlink"/>
            <w:kern w:val="0"/>
            <w:u w:val="single"/>
            <w:lang w:val="en-GB"/>
            <w14:ligatures w14:val="none"/>
          </w:rPr>
          <w:t>chidi.elee@uniport.edu.ng</w:t>
        </w:r>
      </w:hyperlink>
      <w:r w:rsidRPr="00A60822">
        <w:rPr>
          <w:rFonts w:ascii="Times New Roman" w:eastAsia="Calibri" w:hAnsi="Times New Roman" w:cs="Times New Roman"/>
          <w:kern w:val="0"/>
          <w:lang w:val="en-GB"/>
          <w14:ligatures w14:val="none"/>
        </w:rPr>
        <w:t xml:space="preserve"> ,08032925854</w:t>
      </w:r>
    </w:p>
    <w:p w14:paraId="1420BC10" w14:textId="77777777" w:rsidR="00A60822" w:rsidRPr="00A60822" w:rsidRDefault="00A60822" w:rsidP="00A60822">
      <w:pPr>
        <w:spacing w:after="200" w:line="276" w:lineRule="auto"/>
        <w:ind w:left="720"/>
        <w:contextualSpacing/>
        <w:rPr>
          <w:rFonts w:ascii="Times New Roman" w:eastAsia="Calibri" w:hAnsi="Times New Roman" w:cs="Times New Roman"/>
          <w:kern w:val="0"/>
          <w:lang w:val="en-GB"/>
          <w14:ligatures w14:val="none"/>
        </w:rPr>
      </w:pPr>
    </w:p>
    <w:p w14:paraId="46DB734D" w14:textId="77777777" w:rsidR="00A60822" w:rsidRPr="00A60822" w:rsidRDefault="00A60822" w:rsidP="00A60822">
      <w:pPr>
        <w:spacing w:after="200" w:line="276" w:lineRule="auto"/>
        <w:jc w:val="center"/>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ABSTRACT</w:t>
      </w:r>
    </w:p>
    <w:p w14:paraId="6BE3215E" w14:textId="77777777" w:rsidR="00A60822" w:rsidRPr="00A60822" w:rsidRDefault="00A60822" w:rsidP="00A60822">
      <w:pPr>
        <w:spacing w:after="0" w:line="240" w:lineRule="auto"/>
        <w:jc w:val="both"/>
        <w:rPr>
          <w:rFonts w:ascii="Times New Roman" w:eastAsia="Calibri" w:hAnsi="Times New Roman" w:cs="Times New Roman"/>
          <w:color w:val="000000"/>
          <w:kern w:val="0"/>
          <w14:ligatures w14:val="none"/>
        </w:rPr>
      </w:pPr>
      <w:r w:rsidRPr="00A60822">
        <w:rPr>
          <w:rFonts w:ascii="Times New Roman" w:eastAsia="Times New Roman" w:hAnsi="Times New Roman" w:cs="Times New Roman"/>
          <w:kern w:val="0"/>
          <w14:ligatures w14:val="none"/>
        </w:rPr>
        <w:t xml:space="preserve">Propelled by the observed critical infrastructural need, high inflation and importation of cheaper substitute commodities among other cost-oriented business environments around the manufacturing sector in Nigeria. </w:t>
      </w:r>
      <w:r w:rsidRPr="00A60822">
        <w:rPr>
          <w:rFonts w:ascii="Times New Roman" w:eastAsia="Calibri" w:hAnsi="Times New Roman" w:cs="Times New Roman"/>
          <w:kern w:val="0"/>
          <w:lang w:val="en-GB"/>
          <w14:ligatures w14:val="none"/>
        </w:rPr>
        <w:t xml:space="preserve">The study examines the effect of innovative cost control mechanism on operating margin of quoted consumer goods manufacturing firms in Nigeria. Distribution and selling costs, administrative cost and finance cost served as study dimensions while profit after tax measured operating margin. Correlational research design was employed to obtain secondary data from the manufacturing firms in the study purview by content analysis for 2004 to 2024 accounting periods. </w:t>
      </w:r>
      <w:r w:rsidRPr="00A60822">
        <w:rPr>
          <w:rFonts w:ascii="Times New Roman" w:eastAsia="Calibri" w:hAnsi="Times New Roman" w:cs="Times New Roman"/>
          <w:color w:val="000000"/>
          <w:kern w:val="0"/>
          <w14:ligatures w14:val="none"/>
        </w:rPr>
        <w:t>The data analysis involved: Descriptive statistics to ascertain the normal distribution of data series. Unit root test was done by Augmented Dickey Fuller and Phillips Perron Statistic tests to justify stationarity. These analytical tests were also carried out; Johansen Co-integration test to ascertain long-run relationship, Parsimonious Error Correction Model (PECM) to identify the speed at adjustment from short-run deviations. The estimations were done using E-views software. The results indicate that distribution and selling cost negatively but insignificantly related with profit after tax of quoted consumer goods manufacturing firms in Nigeria. Administrative expenses indicate positive and significant effect on profit after tax of quoted consumer goods manufacturing firms in Nigeria. Similarly, finance costs related positively and significantly with profit after tax of quoted consumer goods manufacturing firms in Nigeria. The direction of findings justified the tenets of diffusion of innovation theory as the manufacturing firms swiftly adopts advance automated manufacturing systems to manage waste, control rising cost and achieve quality products. The study concludes that innovative cost control mechanism has significant effect on operating margin of quoted consumer goods manufacturing firms in Nigeria. This is attributable to leveraging on investment in advanced technology and innovative cost control culture as was portrayed in the ideals of scientific management theory. It recommends that firms in consumer goods manufacturing sub-sector of Nigeria should integrate and sustain the cost control mechanism because it shows significant effect on operating margin of the firms leveraging on the benefits of innovative cost control technologies.</w:t>
      </w:r>
    </w:p>
    <w:p w14:paraId="03840F89" w14:textId="77777777" w:rsidR="00A60822" w:rsidRPr="00A60822" w:rsidRDefault="00A60822" w:rsidP="00A60822">
      <w:pPr>
        <w:spacing w:after="0" w:line="240" w:lineRule="auto"/>
        <w:jc w:val="both"/>
        <w:rPr>
          <w:rFonts w:ascii="Times New Roman" w:eastAsia="Times New Roman" w:hAnsi="Times New Roman" w:cs="Times New Roman"/>
          <w:kern w:val="0"/>
          <w14:ligatures w14:val="none"/>
        </w:rPr>
      </w:pPr>
    </w:p>
    <w:p w14:paraId="7C549BF6" w14:textId="77777777" w:rsidR="00A60822" w:rsidRPr="00A60822" w:rsidRDefault="00A60822" w:rsidP="00A60822">
      <w:pPr>
        <w:spacing w:after="200" w:line="240" w:lineRule="auto"/>
        <w:jc w:val="both"/>
        <w:rPr>
          <w:rFonts w:ascii="Times New Roman" w:eastAsia="Calibri" w:hAnsi="Times New Roman" w:cs="Times New Roman"/>
          <w:color w:val="000000"/>
          <w:kern w:val="0"/>
          <w14:ligatures w14:val="none"/>
        </w:rPr>
      </w:pPr>
      <w:r w:rsidRPr="00A60822">
        <w:rPr>
          <w:rFonts w:ascii="Times New Roman" w:eastAsia="Calibri" w:hAnsi="Times New Roman" w:cs="Times New Roman"/>
          <w:b/>
          <w:color w:val="000000"/>
          <w:kern w:val="0"/>
          <w14:ligatures w14:val="none"/>
        </w:rPr>
        <w:t>Keywords</w:t>
      </w:r>
      <w:r w:rsidRPr="00A60822">
        <w:rPr>
          <w:rFonts w:ascii="Times New Roman" w:eastAsia="Calibri" w:hAnsi="Times New Roman" w:cs="Times New Roman"/>
          <w:color w:val="000000"/>
          <w:kern w:val="0"/>
          <w14:ligatures w14:val="none"/>
        </w:rPr>
        <w:t>: Cost Control, Operating, Margin, Innovation.</w:t>
      </w:r>
    </w:p>
    <w:p w14:paraId="1AAA6491" w14:textId="77777777" w:rsidR="00A60822" w:rsidRPr="00A60822" w:rsidRDefault="00A60822" w:rsidP="00280939">
      <w:pPr>
        <w:spacing w:after="200" w:line="240" w:lineRule="auto"/>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lastRenderedPageBreak/>
        <w:t>INTRODUCTION</w:t>
      </w:r>
    </w:p>
    <w:p w14:paraId="15E0C574" w14:textId="77777777" w:rsidR="00A60822" w:rsidRPr="00A60822" w:rsidRDefault="00A60822" w:rsidP="00280939">
      <w:pPr>
        <w:spacing w:line="240" w:lineRule="auto"/>
        <w:jc w:val="both"/>
        <w:rPr>
          <w:rFonts w:ascii="Times New Roman" w:eastAsia="Times New Roman" w:hAnsi="Times New Roman" w:cs="Times New Roman"/>
          <w:kern w:val="0"/>
          <w14:ligatures w14:val="none"/>
        </w:rPr>
      </w:pPr>
      <w:r w:rsidRPr="00A60822">
        <w:rPr>
          <w:rFonts w:ascii="Times New Roman" w:eastAsia="Times New Roman" w:hAnsi="Times New Roman" w:cs="Times New Roman"/>
          <w:kern w:val="0"/>
          <w14:ligatures w14:val="none"/>
        </w:rPr>
        <w:t xml:space="preserve">The consumer goods manufacturing sector plays a pivotal role in several advanced and emerging economies. It contributes immensely to Nigerian economy through revenue generation from the distribution of variant types of products, employment generation, investment opportunities, foreign exchange gains, et cetera, despite the challenges of critical infrastructural facilities inadequacy, energy and power supply deficit, high insecurity, rising inflation, currency devaluation and regulatory twist which culminate in huge manufacturing cost and discouraging expected investments; some firms are persistent in sustaining the sector. Nestle Nigeria Plc, BUA Foods Plc, Nigerian Breweries Plc, Cadbury Nigeria Plc, Flour Mills of Nigeria, PZ Cussons Nigeria Plc, Guinness Nigeria Plc, </w:t>
      </w:r>
      <w:proofErr w:type="spellStart"/>
      <w:r w:rsidRPr="00A60822">
        <w:rPr>
          <w:rFonts w:ascii="Times New Roman" w:eastAsia="Times New Roman" w:hAnsi="Times New Roman" w:cs="Times New Roman"/>
          <w:kern w:val="0"/>
          <w14:ligatures w14:val="none"/>
        </w:rPr>
        <w:t>Dufil</w:t>
      </w:r>
      <w:proofErr w:type="spellEnd"/>
      <w:r w:rsidRPr="00A60822">
        <w:rPr>
          <w:rFonts w:ascii="Times New Roman" w:eastAsia="Times New Roman" w:hAnsi="Times New Roman" w:cs="Times New Roman"/>
          <w:kern w:val="0"/>
          <w14:ligatures w14:val="none"/>
        </w:rPr>
        <w:t xml:space="preserve"> Prima Foods, Seven-Up Bottling Company, Unilever Nigeria Plc, et cetera are resilient firms who embrace digital transformation, technological capabilities, operational excellence in maintaining product quality and availability while strategically navigating these complexities. The persistent issues of inadequate socio-economic amenities and infrastructures influence the cost of business in Nigeria. For the manufacturing sector, the energy and power supply situation, road network, access to financing, foreign direct investment, importation influence, investment in technologies propel business operation cost which affect the business objectives.   According to Ononinu, </w:t>
      </w:r>
      <w:proofErr w:type="spellStart"/>
      <w:r w:rsidRPr="00A60822">
        <w:rPr>
          <w:rFonts w:ascii="Times New Roman" w:eastAsia="Times New Roman" w:hAnsi="Times New Roman" w:cs="Times New Roman"/>
          <w:kern w:val="0"/>
          <w14:ligatures w14:val="none"/>
        </w:rPr>
        <w:t>Onwuzulike</w:t>
      </w:r>
      <w:proofErr w:type="spellEnd"/>
      <w:r w:rsidRPr="00A60822">
        <w:rPr>
          <w:rFonts w:ascii="Times New Roman" w:eastAsia="Times New Roman" w:hAnsi="Times New Roman" w:cs="Times New Roman"/>
          <w:kern w:val="0"/>
          <w14:ligatures w14:val="none"/>
        </w:rPr>
        <w:t xml:space="preserve">, and Shitu (2024), certain industries face increasing pressure to cut costs while maintaining industrial ethics and enhancing operational performance. Using digital technology and advanced artificial intelligence, proactive management teams in manufacturing organizations embrace a culture of creative cost reduction strategies. Cook (2025) defines cost control mechanism as the process of identifying, eliminating, or reducing unnecessary business expenditures in order to increase profitability. When business expenditures are under control, it is usually believed that good administration of business operations results in proficient outcomes. Similarly, Omar and Sam (2017) defined the culture of creative cost management as the use of cutting-edge business concepts and digital technologies to achieve new levels of cost savings, cost reduction, and financial success. In the past, corporate managers used standard cost management and accounting methods to reduce wasteful expenditures and improve operational efficiency, employing: Budget control, marginal and absorption costing methods, standard costing, and variance analysis. Over time, other cost-cutting strategies evolved. Adeniji (2014) highlighted the following cost management strategies as novel cost accounting methods: Activity Based Costing, Back-flush Costing, Throughput Costing, Target Costing, Kaizen Costing, Just-In-Time Production Costing, Life Cycle Costing (Tero-technology), and so on. Although some of these approaches are more suited to manufacturing and production, they might also be used in service operations. According to Oluwayemisi, Elkanah, Ademola, Mathew, and </w:t>
      </w:r>
      <w:proofErr w:type="spellStart"/>
      <w:r w:rsidRPr="00A60822">
        <w:rPr>
          <w:rFonts w:ascii="Times New Roman" w:eastAsia="Times New Roman" w:hAnsi="Times New Roman" w:cs="Times New Roman"/>
          <w:kern w:val="0"/>
          <w14:ligatures w14:val="none"/>
        </w:rPr>
        <w:t>Mamidu</w:t>
      </w:r>
      <w:proofErr w:type="spellEnd"/>
      <w:r w:rsidRPr="00A60822">
        <w:rPr>
          <w:rFonts w:ascii="Times New Roman" w:eastAsia="Times New Roman" w:hAnsi="Times New Roman" w:cs="Times New Roman"/>
          <w:kern w:val="0"/>
          <w14:ligatures w14:val="none"/>
        </w:rPr>
        <w:t xml:space="preserve"> (2022), the cost management strategy in today's digitally oriented company environment is driven by smart technology and new techniques to reduce wasteful expenditure for competitive market benefits. Growing manufacturing income through cost savings and increased operating margins are all potential results of implementing an innovative cost control mechanism using digital technology. </w:t>
      </w:r>
      <w:r w:rsidRPr="00A60822">
        <w:rPr>
          <w:rFonts w:ascii="Times New Roman" w:eastAsia="Calibri" w:hAnsi="Times New Roman" w:cs="Times New Roman"/>
          <w:kern w:val="0"/>
          <w:lang w:val="en-GB"/>
          <w14:ligatures w14:val="none"/>
        </w:rPr>
        <w:t xml:space="preserve">Njoroge, </w:t>
      </w:r>
      <w:r w:rsidRPr="00A60822">
        <w:rPr>
          <w:rFonts w:ascii="Times New Roman" w:eastAsia="Calibri" w:hAnsi="Times New Roman" w:cs="Times New Roman"/>
          <w:i/>
          <w:iCs/>
          <w:kern w:val="0"/>
          <w:lang w:val="en-GB"/>
          <w14:ligatures w14:val="none"/>
        </w:rPr>
        <w:t>et al.</w:t>
      </w:r>
      <w:r w:rsidRPr="00A60822">
        <w:rPr>
          <w:rFonts w:ascii="Times New Roman" w:eastAsia="Calibri" w:hAnsi="Times New Roman" w:cs="Times New Roman"/>
          <w:kern w:val="0"/>
          <w:lang w:val="en-GB"/>
          <w14:ligatures w14:val="none"/>
        </w:rPr>
        <w:t xml:space="preserve"> (2024) </w:t>
      </w:r>
      <w:r w:rsidRPr="00A60822">
        <w:rPr>
          <w:rFonts w:ascii="Times New Roman" w:eastAsia="Times New Roman" w:hAnsi="Times New Roman" w:cs="Times New Roman"/>
          <w:kern w:val="0"/>
          <w14:ligatures w14:val="none"/>
        </w:rPr>
        <w:t xml:space="preserve">pointed that the firms had appropriately realized the need to change their business operations and capabilities by investing in digital innovations and technology infrastructures, which led to improvements in quality products, cost control, operational efficiency, competitiveness, and financial performance. </w:t>
      </w:r>
      <w:r w:rsidRPr="00A60822">
        <w:rPr>
          <w:rFonts w:ascii="Times New Roman" w:eastAsia="Calibri" w:hAnsi="Times New Roman" w:cs="Times New Roman"/>
          <w:kern w:val="0"/>
          <w:lang w:val="en-GB"/>
          <w14:ligatures w14:val="none"/>
        </w:rPr>
        <w:t xml:space="preserve">Some empirical studies have been carried out on innovative cost control mechanism in relation to operating margin (Njoroge </w:t>
      </w:r>
      <w:r w:rsidRPr="00A60822">
        <w:rPr>
          <w:rFonts w:ascii="Times New Roman" w:eastAsia="Calibri" w:hAnsi="Times New Roman" w:cs="Times New Roman"/>
          <w:i/>
          <w:kern w:val="0"/>
          <w:lang w:val="en-GB"/>
          <w14:ligatures w14:val="none"/>
        </w:rPr>
        <w:t>et al</w:t>
      </w:r>
      <w:r w:rsidRPr="00A60822">
        <w:rPr>
          <w:rFonts w:ascii="Times New Roman" w:eastAsia="Calibri" w:hAnsi="Times New Roman" w:cs="Times New Roman"/>
          <w:kern w:val="0"/>
          <w:lang w:val="en-GB"/>
          <w14:ligatures w14:val="none"/>
        </w:rPr>
        <w:t xml:space="preserve">. 2024; Oluwayemisi </w:t>
      </w:r>
      <w:r w:rsidRPr="00A60822">
        <w:rPr>
          <w:rFonts w:ascii="Times New Roman" w:eastAsia="Calibri" w:hAnsi="Times New Roman" w:cs="Times New Roman"/>
          <w:i/>
          <w:kern w:val="0"/>
          <w:lang w:val="en-GB"/>
          <w14:ligatures w14:val="none"/>
        </w:rPr>
        <w:t>et al</w:t>
      </w:r>
      <w:r w:rsidRPr="00A60822">
        <w:rPr>
          <w:rFonts w:ascii="Times New Roman" w:eastAsia="Calibri" w:hAnsi="Times New Roman" w:cs="Times New Roman"/>
          <w:kern w:val="0"/>
          <w:lang w:val="en-GB"/>
          <w14:ligatures w14:val="none"/>
        </w:rPr>
        <w:t xml:space="preserve">. 2022, Erasmus, 2021). However, these studies were concerned with the traditional cost control techniques in relation to financial performance of corporate entities, using budgetary controls, standard costing, marginal costing, fixed cost, variable cost etc; </w:t>
      </w:r>
      <w:proofErr w:type="spellStart"/>
      <w:r w:rsidRPr="00A60822">
        <w:rPr>
          <w:rFonts w:ascii="Times New Roman" w:eastAsia="Times New Roman" w:hAnsi="Times New Roman" w:cs="Times New Roman"/>
          <w:bCs/>
          <w:kern w:val="0"/>
          <w14:ligatures w14:val="none"/>
        </w:rPr>
        <w:t>Mukayivara</w:t>
      </w:r>
      <w:proofErr w:type="spellEnd"/>
      <w:r w:rsidRPr="00A60822">
        <w:rPr>
          <w:rFonts w:ascii="Times New Roman" w:eastAsia="Times New Roman" w:hAnsi="Times New Roman" w:cs="Times New Roman"/>
          <w:bCs/>
          <w:kern w:val="0"/>
          <w14:ligatures w14:val="none"/>
        </w:rPr>
        <w:t xml:space="preserve"> and </w:t>
      </w:r>
      <w:proofErr w:type="spellStart"/>
      <w:r w:rsidRPr="00A60822">
        <w:rPr>
          <w:rFonts w:ascii="Times New Roman" w:eastAsia="Times New Roman" w:hAnsi="Times New Roman" w:cs="Times New Roman"/>
          <w:bCs/>
          <w:kern w:val="0"/>
          <w14:ligatures w14:val="none"/>
        </w:rPr>
        <w:t>Rusibana</w:t>
      </w:r>
      <w:proofErr w:type="spellEnd"/>
      <w:r w:rsidRPr="00A60822">
        <w:rPr>
          <w:rFonts w:ascii="Times New Roman" w:eastAsia="Times New Roman" w:hAnsi="Times New Roman" w:cs="Times New Roman"/>
          <w:bCs/>
          <w:kern w:val="0"/>
          <w:sz w:val="21"/>
          <w:szCs w:val="21"/>
          <w14:ligatures w14:val="none"/>
        </w:rPr>
        <w:t xml:space="preserve"> </w:t>
      </w:r>
      <w:r w:rsidRPr="00A60822">
        <w:rPr>
          <w:rFonts w:ascii="Times New Roman" w:eastAsia="Times New Roman" w:hAnsi="Times New Roman" w:cs="Times New Roman"/>
          <w:bCs/>
          <w:kern w:val="0"/>
          <w14:ligatures w14:val="none"/>
        </w:rPr>
        <w:t>(2024),</w:t>
      </w:r>
      <w:r w:rsidRPr="00A60822">
        <w:rPr>
          <w:rFonts w:ascii="Times New Roman" w:eastAsia="Times New Roman" w:hAnsi="Times New Roman" w:cs="Times New Roman"/>
          <w:bCs/>
          <w:kern w:val="0"/>
          <w:sz w:val="21"/>
          <w:szCs w:val="21"/>
          <w14:ligatures w14:val="none"/>
        </w:rPr>
        <w:t xml:space="preserve"> </w:t>
      </w:r>
      <w:proofErr w:type="spellStart"/>
      <w:r w:rsidRPr="00A60822">
        <w:rPr>
          <w:rFonts w:ascii="Times New Roman" w:eastAsia="Calibri" w:hAnsi="Times New Roman" w:cs="Times New Roman"/>
          <w:kern w:val="0"/>
          <w:lang w:val="en-GB"/>
          <w14:ligatures w14:val="none"/>
        </w:rPr>
        <w:t>Nkpodot</w:t>
      </w:r>
      <w:proofErr w:type="spellEnd"/>
      <w:r w:rsidRPr="00A60822">
        <w:rPr>
          <w:rFonts w:ascii="Times New Roman" w:eastAsia="Calibri" w:hAnsi="Times New Roman" w:cs="Times New Roman"/>
          <w:kern w:val="0"/>
          <w:lang w:val="en-GB"/>
          <w14:ligatures w14:val="none"/>
        </w:rPr>
        <w:t xml:space="preserve"> and </w:t>
      </w:r>
      <w:proofErr w:type="spellStart"/>
      <w:r w:rsidRPr="00A60822">
        <w:rPr>
          <w:rFonts w:ascii="Times New Roman" w:eastAsia="Calibri" w:hAnsi="Times New Roman" w:cs="Times New Roman"/>
          <w:kern w:val="0"/>
          <w:lang w:val="en-GB"/>
          <w14:ligatures w14:val="none"/>
        </w:rPr>
        <w:t>Emenyi</w:t>
      </w:r>
      <w:proofErr w:type="spellEnd"/>
      <w:r w:rsidRPr="00A60822">
        <w:rPr>
          <w:rFonts w:ascii="Times New Roman" w:eastAsia="Calibri" w:hAnsi="Times New Roman" w:cs="Times New Roman"/>
          <w:kern w:val="0"/>
          <w:lang w:val="en-GB"/>
          <w14:ligatures w14:val="none"/>
        </w:rPr>
        <w:t xml:space="preserve"> (2023), </w:t>
      </w:r>
      <w:proofErr w:type="spellStart"/>
      <w:r w:rsidRPr="00A60822">
        <w:rPr>
          <w:rFonts w:ascii="Times New Roman" w:eastAsia="Calibri" w:hAnsi="Times New Roman" w:cs="Times New Roman"/>
          <w:kern w:val="0"/>
          <w14:ligatures w14:val="none"/>
        </w:rPr>
        <w:t>Nwanyanwu</w:t>
      </w:r>
      <w:proofErr w:type="spellEnd"/>
      <w:r w:rsidRPr="00A60822">
        <w:rPr>
          <w:rFonts w:ascii="Times New Roman" w:eastAsia="Calibri" w:hAnsi="Times New Roman" w:cs="Times New Roman"/>
          <w:kern w:val="0"/>
          <w14:ligatures w14:val="none"/>
        </w:rPr>
        <w:t xml:space="preserve">, </w:t>
      </w:r>
      <w:r w:rsidRPr="00A60822">
        <w:rPr>
          <w:rFonts w:ascii="Times New Roman" w:eastAsia="Calibri" w:hAnsi="Times New Roman" w:cs="Times New Roman"/>
          <w:i/>
          <w:kern w:val="0"/>
          <w14:ligatures w14:val="none"/>
        </w:rPr>
        <w:t>et al</w:t>
      </w:r>
      <w:r w:rsidRPr="00A60822">
        <w:rPr>
          <w:rFonts w:ascii="Times New Roman" w:eastAsia="Calibri" w:hAnsi="Times New Roman" w:cs="Times New Roman"/>
          <w:kern w:val="0"/>
          <w14:ligatures w14:val="none"/>
        </w:rPr>
        <w:t>. 2023.</w:t>
      </w:r>
      <w:r w:rsidRPr="00A60822">
        <w:rPr>
          <w:rFonts w:ascii="Times New Roman" w:eastAsia="Times New Roman" w:hAnsi="Times New Roman" w:cs="Times New Roman"/>
          <w:kern w:val="0"/>
          <w:sz w:val="21"/>
          <w:szCs w:val="21"/>
          <w14:ligatures w14:val="none"/>
        </w:rPr>
        <w:t xml:space="preserve"> </w:t>
      </w:r>
      <w:r w:rsidRPr="00A60822">
        <w:rPr>
          <w:rFonts w:ascii="Times New Roman" w:eastAsia="Calibri" w:hAnsi="Times New Roman" w:cs="Times New Roman"/>
          <w:kern w:val="0"/>
          <w:lang w:val="en-GB"/>
          <w14:ligatures w14:val="none"/>
        </w:rPr>
        <w:t xml:space="preserve">Hence, their results were commonly in the positive and significant relations perspective. Others studies were in the negative direction; Akinleye and </w:t>
      </w:r>
      <w:proofErr w:type="spellStart"/>
      <w:r w:rsidRPr="00A60822">
        <w:rPr>
          <w:rFonts w:ascii="Times New Roman" w:eastAsia="Calibri" w:hAnsi="Times New Roman" w:cs="Times New Roman"/>
          <w:kern w:val="0"/>
          <w:lang w:val="en-GB"/>
          <w14:ligatures w14:val="none"/>
        </w:rPr>
        <w:t>Oluyori</w:t>
      </w:r>
      <w:proofErr w:type="spellEnd"/>
      <w:r w:rsidRPr="00A60822">
        <w:rPr>
          <w:rFonts w:ascii="Times New Roman" w:eastAsia="Calibri" w:hAnsi="Times New Roman" w:cs="Times New Roman"/>
          <w:kern w:val="0"/>
          <w:lang w:val="en-GB"/>
          <w14:ligatures w14:val="none"/>
        </w:rPr>
        <w:t xml:space="preserve"> (2023), </w:t>
      </w:r>
      <w:r w:rsidRPr="00A60822">
        <w:rPr>
          <w:rFonts w:ascii="Times New Roman" w:eastAsia="Calibri" w:hAnsi="Times New Roman" w:cs="Times New Roman"/>
          <w:kern w:val="0"/>
          <w14:ligatures w14:val="none"/>
        </w:rPr>
        <w:t>Suleiman, (2023)</w:t>
      </w:r>
      <w:r w:rsidRPr="00A60822">
        <w:rPr>
          <w:rFonts w:ascii="Times New Roman" w:eastAsia="Calibri" w:hAnsi="Times New Roman" w:cs="Times New Roman"/>
          <w:kern w:val="0"/>
          <w:lang w:val="en-GB"/>
          <w14:ligatures w14:val="none"/>
        </w:rPr>
        <w:t xml:space="preserve"> </w:t>
      </w:r>
      <w:proofErr w:type="spellStart"/>
      <w:r w:rsidRPr="00A60822">
        <w:rPr>
          <w:rFonts w:ascii="Times New Roman" w:eastAsia="Calibri" w:hAnsi="Times New Roman" w:cs="Times New Roman"/>
          <w:kern w:val="0"/>
          <w14:ligatures w14:val="none"/>
        </w:rPr>
        <w:t>Awotomilusi</w:t>
      </w:r>
      <w:proofErr w:type="spellEnd"/>
      <w:r w:rsidRPr="00A60822">
        <w:rPr>
          <w:rFonts w:ascii="Times New Roman" w:eastAsia="Calibri" w:hAnsi="Times New Roman" w:cs="Times New Roman"/>
          <w:kern w:val="0"/>
          <w14:ligatures w14:val="none"/>
        </w:rPr>
        <w:t>, Isaiah, Esther and Yomi (202),</w:t>
      </w:r>
      <w:r w:rsidRPr="00A60822">
        <w:rPr>
          <w:rFonts w:ascii="Times New Roman" w:eastAsia="Calibri" w:hAnsi="Times New Roman" w:cs="Times New Roman"/>
          <w:kern w:val="0"/>
          <w:lang w:val="en-GB"/>
          <w14:ligatures w14:val="none"/>
        </w:rPr>
        <w:t xml:space="preserve"> Ayorinde (2021). Further empirical studies were either advanced economies or emerging economies but focused more on sectors as: Financial, Construction, Telecommunication, Pharmaceutical, Food and Beverages, industrial goods manufacturing with little emphasis on consumer goods manufacturing sub-sector. This observation left a gap in literature which this study filled using distribution and selling cost, administrative cost and finance cost as dimensions for innovative cost control mechanism and profit after tax measures operating margin. The study therefore examined the effect of innovative cost control mechanism on operating margin of </w:t>
      </w:r>
      <w:r w:rsidRPr="00A60822">
        <w:rPr>
          <w:rFonts w:ascii="Times New Roman" w:eastAsia="Calibri" w:hAnsi="Times New Roman" w:cs="Times New Roman"/>
          <w:kern w:val="0"/>
          <w:lang w:val="en-GB"/>
          <w14:ligatures w14:val="none"/>
        </w:rPr>
        <w:lastRenderedPageBreak/>
        <w:t>quoted consumer goods manufacturing firms in Nigeria. The specific objectives are to:</w:t>
      </w:r>
      <w:r w:rsidRPr="00A60822">
        <w:rPr>
          <w:rFonts w:ascii="Times New Roman" w:eastAsia="Times New Roman" w:hAnsi="Times New Roman" w:cs="Times New Roman"/>
          <w:kern w:val="0"/>
          <w14:ligatures w14:val="none"/>
        </w:rPr>
        <w:t xml:space="preserve"> </w:t>
      </w:r>
      <w:r w:rsidRPr="00A60822">
        <w:rPr>
          <w:rFonts w:ascii="Times New Roman" w:eastAsia="Calibri" w:hAnsi="Times New Roman" w:cs="Times New Roman"/>
          <w:kern w:val="0"/>
          <w:lang w:val="en-GB"/>
          <w14:ligatures w14:val="none"/>
        </w:rPr>
        <w:t>Ascertain the effect of distribution and selling cost on profit after tax of consumer good firms in Nigeria; Assess the effect of administrative cost on profit after tax of consumer goods manufacturing firms in Nigeria and examine the effect of finance cost on profit after tax of consumer goods manufacturing firms in Nigeria. The hypotheses are:</w:t>
      </w:r>
    </w:p>
    <w:p w14:paraId="6B039E26"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H0</w:t>
      </w:r>
      <w:r w:rsidRPr="00A60822">
        <w:rPr>
          <w:rFonts w:ascii="Times New Roman" w:eastAsia="Calibri" w:hAnsi="Times New Roman" w:cs="Times New Roman"/>
          <w:kern w:val="0"/>
          <w:vertAlign w:val="subscript"/>
          <w:lang w:val="en-GB"/>
          <w14:ligatures w14:val="none"/>
        </w:rPr>
        <w:t>1</w:t>
      </w:r>
      <w:r w:rsidRPr="00A60822">
        <w:rPr>
          <w:rFonts w:ascii="Times New Roman" w:eastAsia="Calibri" w:hAnsi="Times New Roman" w:cs="Times New Roman"/>
          <w:kern w:val="0"/>
          <w:lang w:val="en-GB"/>
          <w14:ligatures w14:val="none"/>
        </w:rPr>
        <w:t>: Distribution and selling costs have no significant effect on profit after tax of quoted consumer goods manufacturing firms in Nigeria.</w:t>
      </w:r>
    </w:p>
    <w:p w14:paraId="04D6FBB0"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H0</w:t>
      </w:r>
      <w:r w:rsidRPr="00A60822">
        <w:rPr>
          <w:rFonts w:ascii="Times New Roman" w:eastAsia="Calibri" w:hAnsi="Times New Roman" w:cs="Times New Roman"/>
          <w:kern w:val="0"/>
          <w:vertAlign w:val="subscript"/>
          <w:lang w:val="en-GB"/>
          <w14:ligatures w14:val="none"/>
        </w:rPr>
        <w:t>2</w:t>
      </w:r>
      <w:r w:rsidRPr="00A60822">
        <w:rPr>
          <w:rFonts w:ascii="Times New Roman" w:eastAsia="Calibri" w:hAnsi="Times New Roman" w:cs="Times New Roman"/>
          <w:kern w:val="0"/>
          <w:lang w:val="en-GB"/>
          <w14:ligatures w14:val="none"/>
        </w:rPr>
        <w:t>: Administrative cost has no significant effect on quoted consumer goods manufacturing firms in Nigeria.</w:t>
      </w:r>
    </w:p>
    <w:p w14:paraId="4682475C"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H0</w:t>
      </w:r>
      <w:r w:rsidRPr="00A60822">
        <w:rPr>
          <w:rFonts w:ascii="Times New Roman" w:eastAsia="Calibri" w:hAnsi="Times New Roman" w:cs="Times New Roman"/>
          <w:kern w:val="0"/>
          <w:vertAlign w:val="subscript"/>
          <w:lang w:val="en-GB"/>
          <w14:ligatures w14:val="none"/>
        </w:rPr>
        <w:t>3</w:t>
      </w:r>
      <w:r w:rsidRPr="00A60822">
        <w:rPr>
          <w:rFonts w:ascii="Times New Roman" w:eastAsia="Calibri" w:hAnsi="Times New Roman" w:cs="Times New Roman"/>
          <w:kern w:val="0"/>
          <w:lang w:val="en-GB"/>
          <w14:ligatures w14:val="none"/>
        </w:rPr>
        <w:t>: There is no significant effect between finance cost and profit after tax of quoted consumer goods manufacturing firms in Nigeria.</w:t>
      </w:r>
    </w:p>
    <w:p w14:paraId="0EF865A6" w14:textId="77777777" w:rsidR="00A60822" w:rsidRPr="00A60822" w:rsidRDefault="00A60822" w:rsidP="00280939">
      <w:pPr>
        <w:spacing w:after="200" w:line="240" w:lineRule="auto"/>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LITERATURE REVIEW</w:t>
      </w:r>
    </w:p>
    <w:p w14:paraId="6A6040E2" w14:textId="7C09E82D"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bCs/>
          <w:kern w:val="0"/>
          <w:lang w:val="en-GB"/>
          <w14:ligatures w14:val="none"/>
        </w:rPr>
        <w:t>Conceptual framework:</w:t>
      </w:r>
      <w:r w:rsidRPr="00A60822">
        <w:rPr>
          <w:rFonts w:ascii="Times New Roman" w:eastAsia="Calibri" w:hAnsi="Times New Roman" w:cs="Times New Roman"/>
          <w:kern w:val="0"/>
          <w:lang w:val="en-GB"/>
          <w14:ligatures w14:val="none"/>
        </w:rPr>
        <w:t xml:space="preserve"> It explicates the contending issues in the study variables.</w:t>
      </w:r>
    </w:p>
    <w:p w14:paraId="09A6050F"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bCs/>
          <w:kern w:val="0"/>
          <w:lang w:val="en-GB"/>
          <w14:ligatures w14:val="none"/>
        </w:rPr>
        <w:t>Basic Cost Perception:</w:t>
      </w:r>
      <w:r w:rsidRPr="00A60822">
        <w:rPr>
          <w:rFonts w:ascii="Times New Roman" w:eastAsia="Calibri" w:hAnsi="Times New Roman" w:cs="Times New Roman"/>
          <w:kern w:val="0"/>
          <w:lang w:val="en-GB"/>
          <w14:ligatures w14:val="none"/>
        </w:rPr>
        <w:t xml:space="preserve"> </w:t>
      </w:r>
      <w:r w:rsidRPr="00A60822">
        <w:rPr>
          <w:rFonts w:ascii="Times New Roman" w:eastAsia="Times New Roman" w:hAnsi="Times New Roman" w:cs="Times New Roman"/>
          <w:kern w:val="0"/>
          <w14:ligatures w14:val="none"/>
        </w:rPr>
        <w:t xml:space="preserve">Traditionally, there are opposing opinions on the idea of cost. Economists view cost as a sacrifice to achieve a goal. The perspective can be seen in terms of both explicit and implicit costs. The explicit cost, which relates to real production element costs, includes charges for raw materials, utilities, office administrative facilities, wages, corporate premises rent, and other expenses. In contrast, implicit cost refers to the cost of production inputs that cannot be measured in terms of real money spent as a result of a choice taken. An alternative term for it is opportunity cost. Accountants, on the other hand, define cost as the amount of money spent to create value. These viewpoints, however, stress a specific fact: what is sacrificed in economics or money in accounting is what is provided in order to get or produce value. What is given is the cost. Cost is almost always more than an expense; it is a consequence of value generation. consequently, Akinleye and </w:t>
      </w:r>
      <w:proofErr w:type="spellStart"/>
      <w:r w:rsidRPr="00A60822">
        <w:rPr>
          <w:rFonts w:ascii="Times New Roman" w:eastAsia="Times New Roman" w:hAnsi="Times New Roman" w:cs="Times New Roman"/>
          <w:kern w:val="0"/>
          <w14:ligatures w14:val="none"/>
        </w:rPr>
        <w:t>Fajuyagbe</w:t>
      </w:r>
      <w:proofErr w:type="spellEnd"/>
      <w:r w:rsidRPr="00A60822">
        <w:rPr>
          <w:rFonts w:ascii="Times New Roman" w:eastAsia="Times New Roman" w:hAnsi="Times New Roman" w:cs="Times New Roman"/>
          <w:kern w:val="0"/>
          <w14:ligatures w14:val="none"/>
        </w:rPr>
        <w:t xml:space="preserve"> (2022) posit cost as the monetary resources spent to carry out a given activity in order to generate value. The cost depends on the operating margin. It is utilized to produce revenue, which results in profit or loss in the business's financial performance. According to Erasmus (2021), firms prioritize cost control and management to save superfluous expenditures during competitive market circumstances. Similarly, Hartog (2024), notes that the cost dimensions of running a firm are determined by its sector or industry. Firms in industries such as construction, petroleum, banking, pharmaceutical, insurance, tourism, communications, shipping, education, health care, aviation, and so on would not have </w:t>
      </w:r>
      <w:r w:rsidRPr="00A60822">
        <w:rPr>
          <w:rFonts w:ascii="Times New Roman" w:eastAsia="Calibri" w:hAnsi="Times New Roman" w:cs="Times New Roman"/>
          <w:kern w:val="0"/>
          <w:lang w:val="en-GB"/>
          <w14:ligatures w14:val="none"/>
        </w:rPr>
        <w:t>similar classes of costs to control</w:t>
      </w:r>
      <w:r w:rsidRPr="00A60822">
        <w:rPr>
          <w:rFonts w:ascii="Times New Roman" w:eastAsia="Times New Roman" w:hAnsi="Times New Roman" w:cs="Times New Roman"/>
          <w:kern w:val="0"/>
          <w14:ligatures w14:val="none"/>
        </w:rPr>
        <w:t xml:space="preserve">. Therefore, the reason for the prevalent dimensions: Fixed and variable costs, which fluctuate with operational volumes and stay constant. Direct costs are those that can be attributed to production output, whereas indirect costs are those that cannot be attributed to production outcomes. More viewpoints on the dimensions include: cost of sales, administrative expenses, distribution and selling charges, financing costs, and other operational costs. </w:t>
      </w:r>
      <w:r w:rsidRPr="00A60822">
        <w:rPr>
          <w:rFonts w:ascii="Times New Roman" w:eastAsia="Calibri" w:hAnsi="Times New Roman" w:cs="Times New Roman"/>
          <w:kern w:val="0"/>
          <w:lang w:val="en-GB"/>
          <w14:ligatures w14:val="none"/>
        </w:rPr>
        <w:t xml:space="preserve">Specifically, cost dimensions among consumer goods manufacturing firms’ annual report encompass: Administrative expenses, interest expense or finance cost, distribution cost, operating expenses, cost of goods sold, et cetera. Consequently, proactive consumer goods manufacturing firms in Nigeria adjust towards the rapidly evolving manufacturing landscape, changing business environmental factors and fierce competitive manufacturing operations to invest in innovative cost control mechanism for survival and business sustainability. The Manufacturing firms invest in digital technologies, Artificial Intelligent powered solutions, production process technology innovations to achieve efficient operation, enhance customers experience and overall performance. </w:t>
      </w:r>
    </w:p>
    <w:p w14:paraId="411CB397"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bCs/>
          <w:kern w:val="0"/>
          <w14:ligatures w14:val="none"/>
        </w:rPr>
        <w:t>Innovative Cost Control Mechanism:</w:t>
      </w:r>
      <w:r w:rsidRPr="00A60822">
        <w:rPr>
          <w:rFonts w:ascii="Times New Roman" w:eastAsia="Calibri" w:hAnsi="Times New Roman" w:cs="Times New Roman"/>
          <w:kern w:val="0"/>
          <w:lang w:val="en-GB"/>
          <w14:ligatures w14:val="none"/>
        </w:rPr>
        <w:t xml:space="preserve"> </w:t>
      </w:r>
      <w:r w:rsidRPr="00A60822">
        <w:rPr>
          <w:rFonts w:ascii="Times New Roman" w:eastAsia="Times New Roman" w:hAnsi="Times New Roman" w:cs="Times New Roman"/>
          <w:kern w:val="0"/>
          <w14:ligatures w14:val="none"/>
        </w:rPr>
        <w:t xml:space="preserve">According to </w:t>
      </w:r>
      <w:proofErr w:type="spellStart"/>
      <w:r w:rsidRPr="00A60822">
        <w:rPr>
          <w:rFonts w:ascii="Times New Roman" w:eastAsia="Times New Roman" w:hAnsi="Times New Roman" w:cs="Times New Roman"/>
          <w:kern w:val="0"/>
          <w14:ligatures w14:val="none"/>
        </w:rPr>
        <w:t>Ononiwu</w:t>
      </w:r>
      <w:proofErr w:type="spellEnd"/>
      <w:r w:rsidRPr="00A60822">
        <w:rPr>
          <w:rFonts w:ascii="Times New Roman" w:eastAsia="Times New Roman" w:hAnsi="Times New Roman" w:cs="Times New Roman"/>
          <w:kern w:val="0"/>
          <w14:ligatures w14:val="none"/>
        </w:rPr>
        <w:t xml:space="preserve"> et al. (2024), novel cost control mechanisms rely heavily on cutting-edge technical solutions such as artificial intelligence, operations automation, and finance technology improvements. However, Lewis, Forbes, Rush, Kilpatrick, Herbert, and Sarin (2024) advocate for a cost culture mindset to pervade the entire organization as a solution to achieving long-term cost reduction, rather than simply creating quantifiable cost reduction goals that conflict with their business goals and cost culture mindset. The strategy framework for Nigerian commercial organizations to manage and control inflation has driven cost clusters around investments in smart technology and innovation. The tactics are based on a unique </w:t>
      </w:r>
      <w:r w:rsidRPr="00A60822">
        <w:rPr>
          <w:rFonts w:ascii="Times New Roman" w:eastAsia="Times New Roman" w:hAnsi="Times New Roman" w:cs="Times New Roman"/>
          <w:kern w:val="0"/>
          <w14:ligatures w14:val="none"/>
        </w:rPr>
        <w:lastRenderedPageBreak/>
        <w:t xml:space="preserve">framework of cost control software, accounting software, artificial intelligence, data analytics, and other technologies. Cost control software supports organizations in successfully managing and optimizing their expenditures. It analyzes expenditures, optimizes them, and offers cost-cutting alternatives. These include Coupa Expenditures Management, a cloud-based application for tracking, authorizing, and limiting expenses, and SAP Concur, a tool that automates the expense process. Others are to invest in a cloud-based manager and Expensify, which automates cost reporting, as well as certified automated spending limits. Njoroge et al. (2024) affirms that cost control measures to budgetary restrictions, but Reimink (2016) identifies technology and automation, among other approaches, as critical cost control strategies. </w:t>
      </w:r>
      <w:r w:rsidRPr="00A60822">
        <w:rPr>
          <w:rFonts w:ascii="Times New Roman" w:eastAsia="Calibri" w:hAnsi="Times New Roman" w:cs="Times New Roman"/>
          <w:kern w:val="0"/>
          <w:shd w:val="clear" w:color="auto" w:fill="FFFFFF"/>
          <w14:ligatures w14:val="none"/>
        </w:rPr>
        <w:t>The Nigerian manufacturing concerns report cost objects around cost of sale, distribution cost, administration cost, finance cost, etc.</w:t>
      </w:r>
    </w:p>
    <w:p w14:paraId="052288F7" w14:textId="77777777" w:rsidR="00A60822" w:rsidRPr="00A60822" w:rsidRDefault="00A60822" w:rsidP="00280939">
      <w:pPr>
        <w:spacing w:after="200" w:line="240" w:lineRule="auto"/>
        <w:jc w:val="both"/>
        <w:rPr>
          <w:rFonts w:ascii="Times New Roman" w:eastAsia="Calibri" w:hAnsi="Times New Roman" w:cs="Times New Roman"/>
          <w:kern w:val="0"/>
          <w:shd w:val="clear" w:color="auto" w:fill="FFFFFF"/>
          <w14:ligatures w14:val="none"/>
        </w:rPr>
      </w:pPr>
      <w:r w:rsidRPr="00A60822">
        <w:rPr>
          <w:rFonts w:ascii="Times New Roman" w:eastAsia="Calibri" w:hAnsi="Times New Roman" w:cs="Times New Roman"/>
          <w:kern w:val="0"/>
          <w:shd w:val="clear" w:color="auto" w:fill="FFFFFF"/>
          <w14:ligatures w14:val="none"/>
        </w:rPr>
        <w:t>Dimension of Innovative Cost Control Mechanism: The perspective of innovative cost control mechanism is to mitigate among others manufacturing expenses such as:</w:t>
      </w:r>
      <w:r w:rsidRPr="00A60822">
        <w:rPr>
          <w:rFonts w:ascii="Times New Roman" w:eastAsia="Calibri" w:hAnsi="Times New Roman" w:cs="Times New Roman"/>
          <w:b/>
          <w:kern w:val="0"/>
          <w:shd w:val="clear" w:color="auto" w:fill="FFFFFF"/>
          <w14:ligatures w14:val="none"/>
        </w:rPr>
        <w:t xml:space="preserve"> Distribution and selling cost:</w:t>
      </w:r>
      <w:r w:rsidRPr="00A60822">
        <w:rPr>
          <w:rFonts w:ascii="Times New Roman" w:eastAsia="Calibri" w:hAnsi="Times New Roman" w:cs="Times New Roman"/>
          <w:kern w:val="0"/>
          <w:shd w:val="clear" w:color="auto" w:fill="FFFFFF"/>
          <w14:ligatures w14:val="none"/>
        </w:rPr>
        <w:t xml:space="preserve"> </w:t>
      </w:r>
      <w:r w:rsidRPr="00A60822">
        <w:rPr>
          <w:rFonts w:ascii="Times New Roman" w:eastAsia="Times New Roman" w:hAnsi="Times New Roman" w:cs="Times New Roman"/>
          <w:kern w:val="0"/>
          <w14:ligatures w14:val="none"/>
        </w:rPr>
        <w:t xml:space="preserve">Distribution and selling costs include any expenses or costs required in efficiently marketing and selling the items to customers. It includes the partnership contracts, agents, routes of distribution, wholesalers, and instruments used to transport the product from the producing location to the markets of interest. </w:t>
      </w:r>
      <w:r w:rsidRPr="00A60822">
        <w:rPr>
          <w:rFonts w:ascii="Times New Roman" w:eastAsia="Calibri" w:hAnsi="Times New Roman" w:cs="Times New Roman"/>
          <w:b/>
          <w:kern w:val="0"/>
          <w:shd w:val="clear" w:color="auto" w:fill="FFFFFF"/>
          <w14:ligatures w14:val="none"/>
        </w:rPr>
        <w:t>Administrative Cost:</w:t>
      </w:r>
      <w:r w:rsidRPr="00A60822">
        <w:rPr>
          <w:rFonts w:ascii="Times New Roman" w:eastAsia="Times New Roman" w:hAnsi="Times New Roman" w:cs="Times New Roman"/>
          <w:kern w:val="0"/>
          <w14:ligatures w14:val="none"/>
        </w:rPr>
        <w:t xml:space="preserve"> Administrative costs include executive compensation, stationery expenses, and expenses for the overall administration of the organization, such as salaries, fringe benefits, salaries of managers and other employees in the organization's administrative functions, rent, rates and taxes, travel and other administrative expenses, employee costs, utilities, office supplies, legal expenses, and outside services. </w:t>
      </w:r>
      <w:r w:rsidRPr="00A60822">
        <w:rPr>
          <w:rFonts w:ascii="Times New Roman" w:eastAsia="Times New Roman" w:hAnsi="Times New Roman" w:cs="Times New Roman"/>
          <w:b/>
          <w:bCs/>
          <w:kern w:val="0"/>
          <w14:ligatures w14:val="none"/>
        </w:rPr>
        <w:t>Finance Cost</w:t>
      </w:r>
      <w:r w:rsidRPr="00A60822">
        <w:rPr>
          <w:rFonts w:ascii="Times New Roman" w:eastAsia="Times New Roman" w:hAnsi="Times New Roman" w:cs="Times New Roman"/>
          <w:kern w:val="0"/>
          <w14:ligatures w14:val="none"/>
        </w:rPr>
        <w:t>: Costs incurred by a firm as a result of borrowing capital. This will include interest and commitment charges on bank borrowings, other short-term and long-term borrowings, amortization of borrowing discounts or premiums, amortization of ancillary costs incurred in connection with borrowing arrangements, finance charges in respect of finance leases, and other similar arrangements.</w:t>
      </w:r>
    </w:p>
    <w:p w14:paraId="18ED2ECB" w14:textId="77777777" w:rsidR="00A60822" w:rsidRPr="00A60822" w:rsidRDefault="00A60822" w:rsidP="00280939">
      <w:pPr>
        <w:spacing w:after="200" w:line="240" w:lineRule="auto"/>
        <w:jc w:val="both"/>
        <w:rPr>
          <w:rFonts w:ascii="Times New Roman" w:eastAsia="Calibri" w:hAnsi="Times New Roman" w:cs="Times New Roman"/>
          <w:kern w:val="0"/>
          <w:shd w:val="clear" w:color="auto" w:fill="FFFFFF"/>
          <w14:ligatures w14:val="none"/>
        </w:rPr>
      </w:pPr>
      <w:r w:rsidRPr="00A60822">
        <w:rPr>
          <w:rFonts w:ascii="Times New Roman" w:eastAsia="Calibri" w:hAnsi="Times New Roman" w:cs="Times New Roman"/>
          <w:kern w:val="0"/>
          <w:shd w:val="clear" w:color="auto" w:fill="FFFFFF"/>
          <w14:ligatures w14:val="none"/>
        </w:rPr>
        <w:t xml:space="preserve"> </w:t>
      </w:r>
      <w:r w:rsidRPr="00A60822">
        <w:rPr>
          <w:rFonts w:ascii="Times New Roman" w:eastAsia="Calibri" w:hAnsi="Times New Roman" w:cs="Times New Roman"/>
          <w:b/>
          <w:kern w:val="0"/>
          <w:shd w:val="clear" w:color="auto" w:fill="FFFFFF"/>
          <w14:ligatures w14:val="none"/>
        </w:rPr>
        <w:t>Operating Margin</w:t>
      </w:r>
      <w:r w:rsidRPr="00A60822">
        <w:rPr>
          <w:rFonts w:ascii="Times New Roman" w:eastAsia="Calibri" w:hAnsi="Times New Roman" w:cs="Times New Roman"/>
          <w:kern w:val="0"/>
          <w:shd w:val="clear" w:color="auto" w:fill="FFFFFF"/>
          <w14:ligatures w14:val="none"/>
        </w:rPr>
        <w:t xml:space="preserve">: Operating margin conventionally measures the financial performance of a business entity.  It portrays net income or net profit reported within accounting period. </w:t>
      </w:r>
      <w:r w:rsidRPr="00A60822">
        <w:rPr>
          <w:rFonts w:ascii="Times New Roman" w:eastAsia="Times New Roman" w:hAnsi="Times New Roman" w:cs="Times New Roman"/>
          <w:kern w:val="0"/>
          <w14:ligatures w14:val="none"/>
        </w:rPr>
        <w:t xml:space="preserve">Welsch, Williams, and Mills (2024) defined operating margins based on income growth, including gross operating margin and net operating margin. </w:t>
      </w:r>
      <w:r w:rsidRPr="00A60822">
        <w:rPr>
          <w:rFonts w:ascii="Times New Roman" w:eastAsia="Calibri" w:hAnsi="Times New Roman" w:cs="Times New Roman"/>
          <w:kern w:val="0"/>
          <w:shd w:val="clear" w:color="auto" w:fill="FFFFFF"/>
          <w14:ligatures w14:val="none"/>
        </w:rPr>
        <w:t xml:space="preserve">Similarly, </w:t>
      </w:r>
      <w:proofErr w:type="spellStart"/>
      <w:r w:rsidRPr="00A60822">
        <w:rPr>
          <w:rFonts w:ascii="Times New Roman" w:eastAsia="Calibri" w:hAnsi="Times New Roman" w:cs="Times New Roman"/>
          <w:kern w:val="0"/>
          <w:shd w:val="clear" w:color="auto" w:fill="FFFFFF"/>
          <w14:ligatures w14:val="none"/>
        </w:rPr>
        <w:t>Cupic</w:t>
      </w:r>
      <w:proofErr w:type="spellEnd"/>
      <w:r w:rsidRPr="00A60822">
        <w:rPr>
          <w:rFonts w:ascii="Times New Roman" w:eastAsia="Calibri" w:hAnsi="Times New Roman" w:cs="Times New Roman"/>
          <w:kern w:val="0"/>
          <w:shd w:val="clear" w:color="auto" w:fill="FFFFFF"/>
          <w14:ligatures w14:val="none"/>
        </w:rPr>
        <w:t xml:space="preserve">, </w:t>
      </w:r>
      <w:r w:rsidRPr="00A60822">
        <w:rPr>
          <w:rFonts w:ascii="Times New Roman" w:eastAsia="Times New Roman" w:hAnsi="Times New Roman" w:cs="Times New Roman"/>
          <w:kern w:val="0"/>
          <w14:ligatures w14:val="none"/>
        </w:rPr>
        <w:t>Todorovic and Benkovic (2022) calculated operational margin using relevant value produced. These many perspectives correctly associate the financial performance of every business activity with the gap between revenue earned and costs. The operational margin is defined as the profit before or after taxes and retained earnings. In this study, profit after tax is used to calculate the operating margin.</w:t>
      </w:r>
    </w:p>
    <w:p w14:paraId="5E28EB06" w14:textId="77777777" w:rsidR="00A60822" w:rsidRPr="00A60822" w:rsidRDefault="00A60822" w:rsidP="00280939">
      <w:pPr>
        <w:spacing w:after="200" w:line="240" w:lineRule="auto"/>
        <w:jc w:val="both"/>
        <w:rPr>
          <w:rFonts w:ascii="Times New Roman" w:hAnsi="Times New Roman" w:cs="Times New Roman"/>
          <w:color w:val="444444"/>
          <w:shd w:val="clear" w:color="auto" w:fill="FFFFFF"/>
        </w:rPr>
      </w:pPr>
      <w:r w:rsidRPr="00A60822">
        <w:rPr>
          <w:rFonts w:ascii="Times New Roman" w:eastAsia="Calibri" w:hAnsi="Times New Roman" w:cs="Times New Roman"/>
          <w:kern w:val="0"/>
          <w:shd w:val="clear" w:color="auto" w:fill="FFFFFF"/>
          <w14:ligatures w14:val="none"/>
        </w:rPr>
        <w:t xml:space="preserve"> </w:t>
      </w:r>
      <w:r w:rsidRPr="00A60822">
        <w:rPr>
          <w:rFonts w:ascii="Times New Roman" w:eastAsia="Calibri" w:hAnsi="Times New Roman" w:cs="Times New Roman"/>
          <w:b/>
          <w:kern w:val="0"/>
          <w:shd w:val="clear" w:color="auto" w:fill="FFFFFF"/>
          <w14:ligatures w14:val="none"/>
        </w:rPr>
        <w:t>Profit after tax</w:t>
      </w:r>
      <w:r w:rsidRPr="00A60822">
        <w:rPr>
          <w:rFonts w:ascii="Times New Roman" w:eastAsia="Calibri" w:hAnsi="Times New Roman" w:cs="Times New Roman"/>
          <w:kern w:val="0"/>
          <w:shd w:val="clear" w:color="auto" w:fill="FFFFFF"/>
          <w14:ligatures w14:val="none"/>
        </w:rPr>
        <w:t xml:space="preserve">: </w:t>
      </w:r>
      <w:r w:rsidRPr="00A60822">
        <w:rPr>
          <w:rFonts w:ascii="Times New Roman" w:eastAsia="Times New Roman" w:hAnsi="Times New Roman" w:cs="Times New Roman"/>
          <w:kern w:val="0"/>
          <w14:ligatures w14:val="none"/>
        </w:rPr>
        <w:t xml:space="preserve">Profit after tax is a measure of a company's financial success after deducting all product or service costs and period costs from its income, including interest expenditures and corporation tax. It shows a company's remaining earnings after subtracting all operational expenditures, interest, depreciation, and, most importantly, all relevant taxes from total revenue. According to </w:t>
      </w:r>
      <w:proofErr w:type="spellStart"/>
      <w:r w:rsidRPr="00A60822">
        <w:rPr>
          <w:rFonts w:ascii="Times New Roman" w:eastAsia="Times New Roman" w:hAnsi="Times New Roman" w:cs="Times New Roman"/>
          <w:kern w:val="0"/>
          <w14:ligatures w14:val="none"/>
        </w:rPr>
        <w:t>Omodero</w:t>
      </w:r>
      <w:proofErr w:type="spellEnd"/>
      <w:r w:rsidRPr="00A60822">
        <w:rPr>
          <w:rFonts w:ascii="Times New Roman" w:eastAsia="Times New Roman" w:hAnsi="Times New Roman" w:cs="Times New Roman"/>
          <w:kern w:val="0"/>
          <w14:ligatures w14:val="none"/>
        </w:rPr>
        <w:t xml:space="preserve"> and Ogbonnaya (2018), profitability is determined by a company's capacity to generate revenue sufficient to cover all expenditures, including taxes, and leave a balance that may be reinvested in the business for growth as profit after tax.</w:t>
      </w:r>
    </w:p>
    <w:p w14:paraId="62CD37BE"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t xml:space="preserve">Theoretical Framework: </w:t>
      </w:r>
      <w:r w:rsidRPr="00A60822">
        <w:rPr>
          <w:rFonts w:ascii="Times New Roman" w:eastAsia="Calibri" w:hAnsi="Times New Roman" w:cs="Times New Roman"/>
          <w:kern w:val="0"/>
          <w:lang w:val="en-GB"/>
          <w14:ligatures w14:val="none"/>
        </w:rPr>
        <w:t>It considers;</w:t>
      </w:r>
    </w:p>
    <w:p w14:paraId="75E069CF" w14:textId="77777777" w:rsidR="00A60822" w:rsidRPr="00A60822" w:rsidRDefault="00A60822" w:rsidP="00280939">
      <w:pPr>
        <w:spacing w:after="200" w:line="240" w:lineRule="auto"/>
        <w:jc w:val="both"/>
        <w:rPr>
          <w:rFonts w:ascii="Times New Roman" w:eastAsia="Times New Roman" w:hAnsi="Times New Roman" w:cs="Times New Roman"/>
          <w:kern w:val="0"/>
          <w14:ligatures w14:val="none"/>
        </w:rPr>
      </w:pPr>
      <w:r w:rsidRPr="00A60822">
        <w:rPr>
          <w:rFonts w:ascii="Times New Roman" w:eastAsia="Calibri" w:hAnsi="Times New Roman" w:cs="Times New Roman"/>
          <w:b/>
          <w:kern w:val="0"/>
          <w:lang w:val="en-GB"/>
          <w14:ligatures w14:val="none"/>
        </w:rPr>
        <w:t>Scientific Management Theory:</w:t>
      </w:r>
      <w:r w:rsidRPr="00A60822">
        <w:rPr>
          <w:rFonts w:ascii="Times New Roman" w:eastAsia="Calibri" w:hAnsi="Times New Roman" w:cs="Times New Roman"/>
          <w:kern w:val="0"/>
          <w:lang w:val="en-GB"/>
          <w14:ligatures w14:val="none"/>
        </w:rPr>
        <w:t xml:space="preserve"> </w:t>
      </w:r>
      <w:r w:rsidRPr="00A60822">
        <w:rPr>
          <w:rFonts w:ascii="Times New Roman" w:eastAsia="Times New Roman" w:hAnsi="Times New Roman" w:cs="Times New Roman"/>
          <w:kern w:val="0"/>
          <w14:ligatures w14:val="none"/>
        </w:rPr>
        <w:t xml:space="preserve">To address the shortcomings of the old approach to company management, Fredrick Winslow Taylor proposed the scientific management theory in 1909, which focused on task optimization using a scientific method, resulting in increased production and efficiency. To increase labor productivity, workplace optimization, management efficiency, and overall performance, he replaced previous "rule of thumb" procedures utilized in the workplace for everyday organizational activities, job schedules, and team operations with new scientific methodologies. Innovative work descriptions, job analyses, suitable job placement, recruiting, selection, assessment, promotion, and staff training were implemented, reducing waste and expenditures while increasing efficiency, productivity, and overall performance. This theory was chosen as appropriate for the study because it depicts the present modern paradigm change in organizational operations toward automation, the utilization of innovative technologies, and artificial intelligence-powered solutions for </w:t>
      </w:r>
      <w:r w:rsidRPr="00A60822">
        <w:rPr>
          <w:rFonts w:ascii="Times New Roman" w:eastAsia="Times New Roman" w:hAnsi="Times New Roman" w:cs="Times New Roman"/>
          <w:kern w:val="0"/>
          <w14:ligatures w14:val="none"/>
        </w:rPr>
        <w:lastRenderedPageBreak/>
        <w:t xml:space="preserve">business cost challenges.  </w:t>
      </w:r>
      <w:r w:rsidRPr="00A60822">
        <w:rPr>
          <w:rFonts w:ascii="Times New Roman" w:eastAsia="Times New Roman" w:hAnsi="Times New Roman" w:cs="Times New Roman"/>
          <w:b/>
          <w:bCs/>
          <w:kern w:val="0"/>
          <w14:ligatures w14:val="none"/>
        </w:rPr>
        <w:t>Diffusion of Innovation Theory</w:t>
      </w:r>
      <w:r w:rsidRPr="00A60822">
        <w:rPr>
          <w:rFonts w:ascii="Times New Roman" w:eastAsia="Times New Roman" w:hAnsi="Times New Roman" w:cs="Times New Roman"/>
          <w:kern w:val="0"/>
          <w14:ligatures w14:val="none"/>
        </w:rPr>
        <w:t>: The theory advanced by</w:t>
      </w:r>
      <w:r w:rsidRPr="00A60822">
        <w:rPr>
          <w:rFonts w:ascii="Times New Roman" w:hAnsi="Times New Roman" w:cs="Times New Roman"/>
          <w:color w:val="333333"/>
          <w:shd w:val="clear" w:color="auto" w:fill="FFFFFF"/>
        </w:rPr>
        <w:t xml:space="preserve"> </w:t>
      </w:r>
      <w:proofErr w:type="spellStart"/>
      <w:r w:rsidRPr="00A60822">
        <w:rPr>
          <w:rFonts w:ascii="Times New Roman" w:eastAsia="Times New Roman" w:hAnsi="Times New Roman" w:cs="Times New Roman"/>
          <w:kern w:val="0"/>
          <w14:ligatures w14:val="none"/>
        </w:rPr>
        <w:t>Everret</w:t>
      </w:r>
      <w:proofErr w:type="spellEnd"/>
      <w:r w:rsidRPr="00A60822">
        <w:rPr>
          <w:rFonts w:ascii="Times New Roman" w:eastAsia="Times New Roman" w:hAnsi="Times New Roman" w:cs="Times New Roman"/>
          <w:kern w:val="0"/>
          <w14:ligatures w14:val="none"/>
        </w:rPr>
        <w:t xml:space="preserve"> Roger in 1964 is widely considered as a beneficial change model for steering technical innovation, in which the innovation is improved and presented in ways that fit the demands of users at all levels. According to Kaminski (2011), there are five levels of adopters: innovators, early adopters, early majority, late majority, and laggard. The theory focuses on the rate at which individuals embrace new ideas, products, practices, philosophy, and so on. For Nigerian manufacturing enterprises, the rate at which novel cost control mechanisms are implemented under high inflationary conditions may determine whether the firm is an innovator or a laggard, resulting in operating margin levels.</w:t>
      </w:r>
    </w:p>
    <w:p w14:paraId="3D4818B8" w14:textId="77777777" w:rsidR="00A60822" w:rsidRPr="00A60822" w:rsidRDefault="00A60822" w:rsidP="00280939">
      <w:pPr>
        <w:spacing w:after="0" w:line="240" w:lineRule="auto"/>
        <w:jc w:val="both"/>
        <w:rPr>
          <w:rFonts w:ascii="Times New Roman" w:eastAsia="Times New Roman" w:hAnsi="Times New Roman" w:cs="Times New Roman"/>
          <w:kern w:val="0"/>
          <w14:ligatures w14:val="none"/>
        </w:rPr>
      </w:pPr>
    </w:p>
    <w:p w14:paraId="11E921B0"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 </w:t>
      </w:r>
      <w:r w:rsidRPr="00A60822">
        <w:rPr>
          <w:rFonts w:ascii="Times New Roman" w:eastAsia="Calibri" w:hAnsi="Times New Roman" w:cs="Times New Roman"/>
          <w:b/>
          <w:kern w:val="0"/>
          <w:lang w:val="en-GB"/>
          <w14:ligatures w14:val="none"/>
        </w:rPr>
        <w:t>Empirical Reviews</w:t>
      </w:r>
      <w:r w:rsidRPr="00A60822">
        <w:rPr>
          <w:rFonts w:ascii="Times New Roman" w:eastAsia="Calibri" w:hAnsi="Times New Roman" w:cs="Times New Roman"/>
          <w:kern w:val="0"/>
          <w:lang w:val="en-GB"/>
          <w14:ligatures w14:val="none"/>
        </w:rPr>
        <w:t>: It is represented in tabular form below.</w:t>
      </w:r>
    </w:p>
    <w:tbl>
      <w:tblPr>
        <w:tblStyle w:val="TableGrid"/>
        <w:tblW w:w="0" w:type="auto"/>
        <w:tblLayout w:type="fixed"/>
        <w:tblLook w:val="04A0" w:firstRow="1" w:lastRow="0" w:firstColumn="1" w:lastColumn="0" w:noHBand="0" w:noVBand="1"/>
      </w:tblPr>
      <w:tblGrid>
        <w:gridCol w:w="675"/>
        <w:gridCol w:w="1701"/>
        <w:gridCol w:w="2268"/>
        <w:gridCol w:w="2268"/>
        <w:gridCol w:w="2664"/>
      </w:tblGrid>
      <w:tr w:rsidR="00A60822" w:rsidRPr="00A60822" w14:paraId="2112C729" w14:textId="77777777" w:rsidTr="00D00B3F">
        <w:tc>
          <w:tcPr>
            <w:tcW w:w="675" w:type="dxa"/>
          </w:tcPr>
          <w:p w14:paraId="37BE246C" w14:textId="77777777" w:rsidR="00A60822" w:rsidRPr="00A60822" w:rsidRDefault="00A60822" w:rsidP="00280939">
            <w:pPr>
              <w:jc w:val="both"/>
              <w:rPr>
                <w:rFonts w:ascii="Times New Roman" w:eastAsia="Calibri" w:hAnsi="Times New Roman" w:cs="Times New Roman"/>
                <w:sz w:val="20"/>
                <w:szCs w:val="20"/>
                <w:lang w:val="en-GB"/>
              </w:rPr>
            </w:pPr>
            <w:r w:rsidRPr="00A60822">
              <w:rPr>
                <w:rFonts w:ascii="Times New Roman" w:eastAsia="Calibri" w:hAnsi="Times New Roman" w:cs="Times New Roman"/>
                <w:sz w:val="20"/>
                <w:szCs w:val="20"/>
                <w:lang w:val="en-GB"/>
              </w:rPr>
              <w:t>S/no</w:t>
            </w:r>
          </w:p>
        </w:tc>
        <w:tc>
          <w:tcPr>
            <w:tcW w:w="1701" w:type="dxa"/>
          </w:tcPr>
          <w:p w14:paraId="148801A7"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Authors</w:t>
            </w:r>
          </w:p>
        </w:tc>
        <w:tc>
          <w:tcPr>
            <w:tcW w:w="2268" w:type="dxa"/>
          </w:tcPr>
          <w:p w14:paraId="40B422E8"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Aim</w:t>
            </w:r>
          </w:p>
        </w:tc>
        <w:tc>
          <w:tcPr>
            <w:tcW w:w="2268" w:type="dxa"/>
          </w:tcPr>
          <w:p w14:paraId="59AC03CF"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Methodology</w:t>
            </w:r>
          </w:p>
        </w:tc>
        <w:tc>
          <w:tcPr>
            <w:tcW w:w="2664" w:type="dxa"/>
          </w:tcPr>
          <w:p w14:paraId="371AFAC2"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Results</w:t>
            </w:r>
          </w:p>
        </w:tc>
      </w:tr>
      <w:tr w:rsidR="00A60822" w:rsidRPr="00A60822" w14:paraId="13EE7DFB" w14:textId="77777777" w:rsidTr="00D00B3F">
        <w:tc>
          <w:tcPr>
            <w:tcW w:w="675" w:type="dxa"/>
          </w:tcPr>
          <w:p w14:paraId="686F2BD6"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1.</w:t>
            </w:r>
          </w:p>
        </w:tc>
        <w:tc>
          <w:tcPr>
            <w:tcW w:w="1701" w:type="dxa"/>
          </w:tcPr>
          <w:p w14:paraId="0BF19693" w14:textId="77777777" w:rsidR="00A60822" w:rsidRPr="00A60822" w:rsidRDefault="00A60822" w:rsidP="00280939">
            <w:pPr>
              <w:shd w:val="clear" w:color="auto" w:fill="FFFFFF"/>
              <w:spacing w:before="100" w:beforeAutospacing="1" w:after="100" w:afterAutospacing="1"/>
              <w:ind w:left="720"/>
              <w:rPr>
                <w:rFonts w:ascii="Times New Roman" w:eastAsia="Times New Roman" w:hAnsi="Times New Roman" w:cs="Times New Roman"/>
                <w:sz w:val="21"/>
                <w:szCs w:val="21"/>
              </w:rPr>
            </w:pPr>
            <w:proofErr w:type="spellStart"/>
            <w:r w:rsidRPr="00A60822">
              <w:rPr>
                <w:rFonts w:ascii="Times New Roman" w:eastAsia="Times New Roman" w:hAnsi="Times New Roman" w:cs="Times New Roman"/>
                <w:bCs/>
                <w:sz w:val="21"/>
                <w:szCs w:val="21"/>
              </w:rPr>
              <w:t>Mukayivara</w:t>
            </w:r>
            <w:proofErr w:type="spellEnd"/>
            <w:r w:rsidRPr="00A60822">
              <w:rPr>
                <w:rFonts w:ascii="Times New Roman" w:eastAsia="Times New Roman" w:hAnsi="Times New Roman" w:cs="Times New Roman"/>
                <w:bCs/>
                <w:sz w:val="21"/>
                <w:szCs w:val="21"/>
              </w:rPr>
              <w:t xml:space="preserve"> and </w:t>
            </w:r>
            <w:proofErr w:type="spellStart"/>
            <w:r w:rsidRPr="00A60822">
              <w:rPr>
                <w:rFonts w:ascii="Times New Roman" w:eastAsia="Times New Roman" w:hAnsi="Times New Roman" w:cs="Times New Roman"/>
                <w:bCs/>
                <w:sz w:val="21"/>
                <w:szCs w:val="21"/>
              </w:rPr>
              <w:t>Rusibana</w:t>
            </w:r>
            <w:proofErr w:type="spellEnd"/>
            <w:r w:rsidRPr="00A60822">
              <w:rPr>
                <w:rFonts w:ascii="Times New Roman" w:eastAsia="Times New Roman" w:hAnsi="Times New Roman" w:cs="Times New Roman"/>
                <w:bCs/>
                <w:sz w:val="21"/>
                <w:szCs w:val="21"/>
              </w:rPr>
              <w:t xml:space="preserve"> (2024)</w:t>
            </w:r>
          </w:p>
          <w:p w14:paraId="4E2A331C" w14:textId="77777777" w:rsidR="00A60822" w:rsidRPr="00A60822" w:rsidRDefault="00A60822" w:rsidP="00280939">
            <w:pPr>
              <w:jc w:val="both"/>
              <w:rPr>
                <w:rFonts w:ascii="Times New Roman" w:eastAsia="Calibri" w:hAnsi="Times New Roman" w:cs="Times New Roman"/>
                <w:lang w:val="en-GB"/>
              </w:rPr>
            </w:pPr>
          </w:p>
        </w:tc>
        <w:tc>
          <w:tcPr>
            <w:tcW w:w="2268" w:type="dxa"/>
          </w:tcPr>
          <w:p w14:paraId="43F78B5E"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z w:val="21"/>
                <w:szCs w:val="21"/>
                <w:shd w:val="clear" w:color="auto" w:fill="FFFFFF"/>
              </w:rPr>
              <w:t>The effect of cost control on financial performance of manufacturing companies in Rwanda.</w:t>
            </w:r>
          </w:p>
        </w:tc>
        <w:tc>
          <w:tcPr>
            <w:tcW w:w="2268" w:type="dxa"/>
          </w:tcPr>
          <w:p w14:paraId="0AAA78F5"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z w:val="21"/>
                <w:szCs w:val="21"/>
                <w:shd w:val="clear" w:color="auto" w:fill="FFFFFF"/>
              </w:rPr>
              <w:t>Primary and secondary data was collected using questionnaire and documentary. The data was analyzed using SPSS.</w:t>
            </w:r>
          </w:p>
        </w:tc>
        <w:tc>
          <w:tcPr>
            <w:tcW w:w="2664" w:type="dxa"/>
          </w:tcPr>
          <w:p w14:paraId="48EF0062"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z w:val="21"/>
                <w:szCs w:val="21"/>
                <w:shd w:val="clear" w:color="auto" w:fill="FFFFFF"/>
              </w:rPr>
              <w:t xml:space="preserve"> A substantial positive relationship between standard costs implementation and financial performance (r = 0.745, p &lt; 0.001), indicating that 74.5% of financial performance variation relates to standard costs implementation variations. This underscores the role of cost standard implementation in effective cost control and financial decision-making.</w:t>
            </w:r>
          </w:p>
        </w:tc>
      </w:tr>
      <w:tr w:rsidR="00A60822" w:rsidRPr="00A60822" w14:paraId="405ED68A" w14:textId="77777777" w:rsidTr="00D00B3F">
        <w:tc>
          <w:tcPr>
            <w:tcW w:w="675" w:type="dxa"/>
          </w:tcPr>
          <w:p w14:paraId="3F63B983"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2.</w:t>
            </w:r>
          </w:p>
        </w:tc>
        <w:tc>
          <w:tcPr>
            <w:tcW w:w="1701" w:type="dxa"/>
          </w:tcPr>
          <w:p w14:paraId="6FD09A53" w14:textId="77777777" w:rsidR="00A60822" w:rsidRPr="00A60822" w:rsidRDefault="00A60822" w:rsidP="00280939">
            <w:pPr>
              <w:jc w:val="both"/>
              <w:rPr>
                <w:rFonts w:ascii="Times New Roman" w:eastAsia="Calibri" w:hAnsi="Times New Roman" w:cs="Times New Roman"/>
                <w:lang w:val="en-GB"/>
              </w:rPr>
            </w:pPr>
            <w:proofErr w:type="spellStart"/>
            <w:r w:rsidRPr="00A60822">
              <w:rPr>
                <w:rFonts w:ascii="Times New Roman" w:eastAsia="Calibri" w:hAnsi="Times New Roman" w:cs="Times New Roman"/>
                <w:lang w:val="en-GB"/>
              </w:rPr>
              <w:t>Nkpodot</w:t>
            </w:r>
            <w:proofErr w:type="spellEnd"/>
            <w:r w:rsidRPr="00A60822">
              <w:rPr>
                <w:rFonts w:ascii="Times New Roman" w:eastAsia="Calibri" w:hAnsi="Times New Roman" w:cs="Times New Roman"/>
                <w:lang w:val="en-GB"/>
              </w:rPr>
              <w:t xml:space="preserve"> and </w:t>
            </w:r>
            <w:proofErr w:type="spellStart"/>
            <w:r w:rsidRPr="00A60822">
              <w:rPr>
                <w:rFonts w:ascii="Times New Roman" w:eastAsia="Calibri" w:hAnsi="Times New Roman" w:cs="Times New Roman"/>
                <w:lang w:val="en-GB"/>
              </w:rPr>
              <w:t>Emenyi</w:t>
            </w:r>
            <w:proofErr w:type="spellEnd"/>
            <w:r w:rsidRPr="00A60822">
              <w:rPr>
                <w:rFonts w:ascii="Times New Roman" w:eastAsia="Calibri" w:hAnsi="Times New Roman" w:cs="Times New Roman"/>
                <w:lang w:val="en-GB"/>
              </w:rPr>
              <w:t xml:space="preserve"> (2023)</w:t>
            </w:r>
          </w:p>
        </w:tc>
        <w:tc>
          <w:tcPr>
            <w:tcW w:w="2268" w:type="dxa"/>
          </w:tcPr>
          <w:p w14:paraId="30BD43C9"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This study examined the influence of cost efficiency on financial performance of listed manufacturing firms in Nigeria.</w:t>
            </w:r>
          </w:p>
        </w:tc>
        <w:tc>
          <w:tcPr>
            <w:tcW w:w="2268" w:type="dxa"/>
          </w:tcPr>
          <w:p w14:paraId="67DE4391"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 xml:space="preserve"> Ex post facto research design was employed. Secondary data was obtained from financial reports of the listed manufacturing firms. Multiple linear regressions were employed to test the hypotheses with statistical package for social science (SSPS).</w:t>
            </w:r>
          </w:p>
        </w:tc>
        <w:tc>
          <w:tcPr>
            <w:tcW w:w="2664" w:type="dxa"/>
          </w:tcPr>
          <w:p w14:paraId="54D311CD"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 xml:space="preserve">It revealed that there was a significant positive effect of raw material efficiency on the financial performance of listed manufacturing firms in Nigeria; also, </w:t>
            </w:r>
            <w:proofErr w:type="spellStart"/>
            <w:r w:rsidRPr="00A60822">
              <w:rPr>
                <w:rFonts w:ascii="Times New Roman" w:eastAsia="Calibri" w:hAnsi="Times New Roman" w:cs="Times New Roman"/>
              </w:rPr>
              <w:t>Labour</w:t>
            </w:r>
            <w:proofErr w:type="spellEnd"/>
            <w:r w:rsidRPr="00A60822">
              <w:rPr>
                <w:rFonts w:ascii="Times New Roman" w:eastAsia="Calibri" w:hAnsi="Times New Roman" w:cs="Times New Roman"/>
              </w:rPr>
              <w:t xml:space="preserve"> efficiency has a positive influence on financial performance of listed manufacturing firms in Nigeria.</w:t>
            </w:r>
          </w:p>
        </w:tc>
      </w:tr>
      <w:tr w:rsidR="00A60822" w:rsidRPr="00A60822" w14:paraId="203566F1" w14:textId="77777777" w:rsidTr="00D00B3F">
        <w:tc>
          <w:tcPr>
            <w:tcW w:w="675" w:type="dxa"/>
          </w:tcPr>
          <w:p w14:paraId="115949A6"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3.</w:t>
            </w:r>
          </w:p>
        </w:tc>
        <w:tc>
          <w:tcPr>
            <w:tcW w:w="1701" w:type="dxa"/>
          </w:tcPr>
          <w:p w14:paraId="296B0CCB" w14:textId="77777777" w:rsidR="00A60822" w:rsidRPr="00A60822" w:rsidRDefault="00A60822" w:rsidP="00280939">
            <w:pPr>
              <w:jc w:val="both"/>
              <w:rPr>
                <w:rFonts w:ascii="Times New Roman" w:eastAsia="Calibri" w:hAnsi="Times New Roman" w:cs="Times New Roman"/>
                <w:lang w:val="en-GB"/>
              </w:rPr>
            </w:pPr>
            <w:proofErr w:type="spellStart"/>
            <w:r w:rsidRPr="00A60822">
              <w:rPr>
                <w:rFonts w:ascii="Times New Roman" w:eastAsia="Calibri" w:hAnsi="Times New Roman" w:cs="Times New Roman"/>
              </w:rPr>
              <w:t>Nwanyanwu</w:t>
            </w:r>
            <w:proofErr w:type="spellEnd"/>
            <w:r w:rsidRPr="00A60822">
              <w:rPr>
                <w:rFonts w:ascii="Times New Roman" w:eastAsia="Calibri" w:hAnsi="Times New Roman" w:cs="Times New Roman"/>
              </w:rPr>
              <w:t>, Jonah and Court (2023)</w:t>
            </w:r>
          </w:p>
        </w:tc>
        <w:tc>
          <w:tcPr>
            <w:tcW w:w="2268" w:type="dxa"/>
          </w:tcPr>
          <w:p w14:paraId="0AD69706"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rPr>
              <w:t>Assessed the association between cost-cutting measures and the financial performance of Nigerian consumer product companies.</w:t>
            </w:r>
          </w:p>
        </w:tc>
        <w:tc>
          <w:tcPr>
            <w:tcW w:w="2268" w:type="dxa"/>
          </w:tcPr>
          <w:p w14:paraId="656C7B66"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rPr>
              <w:t>Descriptive statistics, multiple regression, and correlation coefficients were used to obtain the results.</w:t>
            </w:r>
          </w:p>
        </w:tc>
        <w:tc>
          <w:tcPr>
            <w:tcW w:w="2664" w:type="dxa"/>
          </w:tcPr>
          <w:p w14:paraId="0DC6D711"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rPr>
              <w:t>There is a moderately positively significant correlation between cost reduction strategies and financial performance. The discovered positive correlation coefficient indicates an increase in financial performance is associated with an increase in cost reduction strategy.</w:t>
            </w:r>
          </w:p>
        </w:tc>
      </w:tr>
      <w:tr w:rsidR="00A60822" w:rsidRPr="00A60822" w14:paraId="30BEAC09" w14:textId="77777777" w:rsidTr="00D00B3F">
        <w:tc>
          <w:tcPr>
            <w:tcW w:w="675" w:type="dxa"/>
          </w:tcPr>
          <w:p w14:paraId="3BBAF522"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4.</w:t>
            </w:r>
          </w:p>
        </w:tc>
        <w:tc>
          <w:tcPr>
            <w:tcW w:w="1701" w:type="dxa"/>
          </w:tcPr>
          <w:p w14:paraId="0E5ADB11"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 xml:space="preserve">Suleiman, Mustapha, and </w:t>
            </w:r>
            <w:proofErr w:type="spellStart"/>
            <w:r w:rsidRPr="00A60822">
              <w:rPr>
                <w:rFonts w:ascii="Times New Roman" w:eastAsia="Calibri" w:hAnsi="Times New Roman" w:cs="Times New Roman"/>
              </w:rPr>
              <w:t>Agbi</w:t>
            </w:r>
            <w:proofErr w:type="spellEnd"/>
            <w:r w:rsidRPr="00A60822">
              <w:rPr>
                <w:rFonts w:ascii="Times New Roman" w:eastAsia="Calibri" w:hAnsi="Times New Roman" w:cs="Times New Roman"/>
              </w:rPr>
              <w:t xml:space="preserve"> (2023).</w:t>
            </w:r>
          </w:p>
        </w:tc>
        <w:tc>
          <w:tcPr>
            <w:tcW w:w="2268" w:type="dxa"/>
          </w:tcPr>
          <w:p w14:paraId="4E92DA1D"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rPr>
              <w:t xml:space="preserve">This study examines how cost management and reduction affect Nigerian manufacturing </w:t>
            </w:r>
            <w:r w:rsidRPr="00A60822">
              <w:rPr>
                <w:rFonts w:ascii="Times New Roman" w:eastAsia="Calibri" w:hAnsi="Times New Roman" w:cs="Times New Roman"/>
              </w:rPr>
              <w:lastRenderedPageBreak/>
              <w:t>companies' profitability.</w:t>
            </w:r>
          </w:p>
        </w:tc>
        <w:tc>
          <w:tcPr>
            <w:tcW w:w="2268" w:type="dxa"/>
          </w:tcPr>
          <w:p w14:paraId="72C67A8D"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rPr>
              <w:lastRenderedPageBreak/>
              <w:t xml:space="preserve">The study's population, and a sample of one of these companies was used for the study throughout a ten-year </w:t>
            </w:r>
            <w:r w:rsidRPr="00A60822">
              <w:rPr>
                <w:rFonts w:ascii="Times New Roman" w:eastAsia="Calibri" w:hAnsi="Times New Roman" w:cs="Times New Roman"/>
              </w:rPr>
              <w:lastRenderedPageBreak/>
              <w:t>period (2012–2021). Data for the project was gathered from the chosen company's audited financial filings. Multiple regressions were used to assess the data that had been collected.</w:t>
            </w:r>
          </w:p>
        </w:tc>
        <w:tc>
          <w:tcPr>
            <w:tcW w:w="2664" w:type="dxa"/>
          </w:tcPr>
          <w:p w14:paraId="43586244"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rPr>
              <w:lastRenderedPageBreak/>
              <w:t xml:space="preserve">The findings showed that administrative costs have a positive impact on profitability. However, Nestle Nig. </w:t>
            </w:r>
            <w:proofErr w:type="spellStart"/>
            <w:r w:rsidRPr="00A60822">
              <w:rPr>
                <w:rFonts w:ascii="Times New Roman" w:eastAsia="Calibri" w:hAnsi="Times New Roman" w:cs="Times New Roman"/>
              </w:rPr>
              <w:t>Plcs</w:t>
            </w:r>
            <w:proofErr w:type="spellEnd"/>
            <w:r w:rsidRPr="00A60822">
              <w:rPr>
                <w:rFonts w:ascii="Times New Roman" w:eastAsia="Calibri" w:hAnsi="Times New Roman" w:cs="Times New Roman"/>
              </w:rPr>
              <w:t xml:space="preserve"> </w:t>
            </w:r>
            <w:r w:rsidRPr="00A60822">
              <w:rPr>
                <w:rFonts w:ascii="Times New Roman" w:eastAsia="Calibri" w:hAnsi="Times New Roman" w:cs="Times New Roman"/>
              </w:rPr>
              <w:lastRenderedPageBreak/>
              <w:t>profitability is adversely affected by both finance expenses and cost of materials. It therefore concluded that Nestle Nigeria Plc's profitability is significantly impacted by cost control and cost reduction.</w:t>
            </w:r>
          </w:p>
        </w:tc>
      </w:tr>
      <w:tr w:rsidR="00A60822" w:rsidRPr="00A60822" w14:paraId="28741944" w14:textId="77777777" w:rsidTr="00D00B3F">
        <w:tc>
          <w:tcPr>
            <w:tcW w:w="675" w:type="dxa"/>
          </w:tcPr>
          <w:p w14:paraId="1DDAAD3D"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lastRenderedPageBreak/>
              <w:t>5.</w:t>
            </w:r>
          </w:p>
        </w:tc>
        <w:tc>
          <w:tcPr>
            <w:tcW w:w="1701" w:type="dxa"/>
          </w:tcPr>
          <w:p w14:paraId="6934BA13"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 xml:space="preserve">Akinleye and </w:t>
            </w:r>
            <w:proofErr w:type="spellStart"/>
            <w:r w:rsidRPr="00A60822">
              <w:rPr>
                <w:rFonts w:ascii="Times New Roman" w:eastAsia="Calibri" w:hAnsi="Times New Roman" w:cs="Times New Roman"/>
                <w:lang w:val="en-GB"/>
              </w:rPr>
              <w:t>Oluyori</w:t>
            </w:r>
            <w:proofErr w:type="spellEnd"/>
            <w:r w:rsidRPr="00A60822">
              <w:rPr>
                <w:rFonts w:ascii="Times New Roman" w:eastAsia="Calibri" w:hAnsi="Times New Roman" w:cs="Times New Roman"/>
                <w:lang w:val="en-GB"/>
              </w:rPr>
              <w:t xml:space="preserve"> (2023)</w:t>
            </w:r>
          </w:p>
        </w:tc>
        <w:tc>
          <w:tcPr>
            <w:tcW w:w="2268" w:type="dxa"/>
          </w:tcPr>
          <w:p w14:paraId="26D35E98"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sz w:val="21"/>
                <w:szCs w:val="21"/>
                <w:shd w:val="clear" w:color="auto" w:fill="FFFFFF"/>
              </w:rPr>
              <w:t>Examined the impact of standard costing practices on the financial performance of listed consumable goods companies in Nigeria</w:t>
            </w:r>
          </w:p>
        </w:tc>
        <w:tc>
          <w:tcPr>
            <w:tcW w:w="2268" w:type="dxa"/>
          </w:tcPr>
          <w:p w14:paraId="15E0B215"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sz w:val="21"/>
                <w:szCs w:val="21"/>
                <w:shd w:val="clear" w:color="auto" w:fill="FFFFFF"/>
              </w:rPr>
              <w:t>The study employed a quantitative research method using secondary data from financial statements and annual reports of listed consumable goods companies in Nigeria.</w:t>
            </w:r>
          </w:p>
        </w:tc>
        <w:tc>
          <w:tcPr>
            <w:tcW w:w="2664" w:type="dxa"/>
          </w:tcPr>
          <w:p w14:paraId="681C8055" w14:textId="77777777" w:rsidR="00A60822" w:rsidRPr="00A60822" w:rsidRDefault="00A60822" w:rsidP="00280939">
            <w:pPr>
              <w:jc w:val="both"/>
              <w:rPr>
                <w:rFonts w:ascii="Times New Roman" w:eastAsia="Calibri" w:hAnsi="Times New Roman" w:cs="Times New Roman"/>
                <w:sz w:val="21"/>
                <w:szCs w:val="21"/>
                <w:shd w:val="clear" w:color="auto" w:fill="FFFFFF"/>
              </w:rPr>
            </w:pPr>
            <w:r w:rsidRPr="00A60822">
              <w:rPr>
                <w:rFonts w:ascii="Times New Roman" w:eastAsia="Calibri" w:hAnsi="Times New Roman" w:cs="Times New Roman"/>
                <w:sz w:val="21"/>
                <w:szCs w:val="21"/>
                <w:shd w:val="clear" w:color="auto" w:fill="FFFFFF"/>
              </w:rPr>
              <w:t>The findings suggest that profit margin improvement, achieved through effective cost management using standard costing, leads to higher returns on assets. Also, reducing cost variances through standard costing practices contributes to improved financial performance. The implementation of standard costing also enhances inventory management practices, leading to overall cost reduction and improved financial performance.</w:t>
            </w:r>
          </w:p>
        </w:tc>
      </w:tr>
      <w:tr w:rsidR="00A60822" w:rsidRPr="00A60822" w14:paraId="14851940" w14:textId="77777777" w:rsidTr="00D00B3F">
        <w:tc>
          <w:tcPr>
            <w:tcW w:w="675" w:type="dxa"/>
          </w:tcPr>
          <w:p w14:paraId="08FA1E1F"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6.</w:t>
            </w:r>
          </w:p>
        </w:tc>
        <w:tc>
          <w:tcPr>
            <w:tcW w:w="1701" w:type="dxa"/>
          </w:tcPr>
          <w:p w14:paraId="7E624B9F"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Oluwayemisi et al. (2022)</w:t>
            </w:r>
          </w:p>
        </w:tc>
        <w:tc>
          <w:tcPr>
            <w:tcW w:w="2268" w:type="dxa"/>
          </w:tcPr>
          <w:p w14:paraId="1BFC1417"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z w:val="21"/>
                <w:szCs w:val="21"/>
                <w:shd w:val="clear" w:color="auto" w:fill="FFFFFF"/>
              </w:rPr>
              <w:t>The study examined the link between cost control and the financial performance of selected Nigerian manufacturing firms</w:t>
            </w:r>
            <w:r w:rsidRPr="00A60822">
              <w:rPr>
                <w:rFonts w:ascii="Segoe UI" w:eastAsia="Calibri" w:hAnsi="Segoe UI" w:cs="Segoe UI"/>
                <w:sz w:val="21"/>
                <w:szCs w:val="21"/>
                <w:shd w:val="clear" w:color="auto" w:fill="FFFFFF"/>
              </w:rPr>
              <w:t>.</w:t>
            </w:r>
          </w:p>
        </w:tc>
        <w:tc>
          <w:tcPr>
            <w:tcW w:w="2268" w:type="dxa"/>
          </w:tcPr>
          <w:p w14:paraId="309B7D9D"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z w:val="21"/>
                <w:szCs w:val="21"/>
                <w:shd w:val="clear" w:color="auto" w:fill="FFFFFF"/>
              </w:rPr>
              <w:t>Secondary data were employed through annually financial reports of ten (10) sampled firms through 2011 to 2020. Data were analyzed using descriptive statistics, correlation analysis and panel regression</w:t>
            </w:r>
            <w:r w:rsidRPr="00A60822">
              <w:rPr>
                <w:rFonts w:ascii="Segoe UI" w:eastAsia="Calibri" w:hAnsi="Segoe UI" w:cs="Segoe UI"/>
                <w:sz w:val="21"/>
                <w:szCs w:val="21"/>
                <w:shd w:val="clear" w:color="auto" w:fill="FFFFFF"/>
              </w:rPr>
              <w:t>.</w:t>
            </w:r>
          </w:p>
        </w:tc>
        <w:tc>
          <w:tcPr>
            <w:tcW w:w="2664" w:type="dxa"/>
          </w:tcPr>
          <w:p w14:paraId="582EBFE8"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z w:val="21"/>
                <w:szCs w:val="21"/>
                <w:shd w:val="clear" w:color="auto" w:fill="FFFFFF"/>
              </w:rPr>
              <w:t xml:space="preserve">It showed that administrative costs exert insignificant negative effect on profit after tax of the sampled </w:t>
            </w:r>
            <w:proofErr w:type="gramStart"/>
            <w:r w:rsidRPr="00A60822">
              <w:rPr>
                <w:rFonts w:ascii="Times New Roman" w:eastAsia="Calibri" w:hAnsi="Times New Roman" w:cs="Times New Roman"/>
                <w:sz w:val="21"/>
                <w:szCs w:val="21"/>
                <w:shd w:val="clear" w:color="auto" w:fill="FFFFFF"/>
              </w:rPr>
              <w:t>firms,</w:t>
            </w:r>
            <w:proofErr w:type="gramEnd"/>
            <w:r w:rsidRPr="00A60822">
              <w:rPr>
                <w:rFonts w:ascii="Times New Roman" w:eastAsia="Calibri" w:hAnsi="Times New Roman" w:cs="Times New Roman"/>
                <w:sz w:val="21"/>
                <w:szCs w:val="21"/>
                <w:shd w:val="clear" w:color="auto" w:fill="FFFFFF"/>
              </w:rPr>
              <w:t xml:space="preserve"> while selling and distribution costs exert insignificant positive effect on profit after tax. Therefore, this study concluded that cost control has both positive and negative effect on financial performance of manufacturing firm in Nigeria.</w:t>
            </w:r>
          </w:p>
        </w:tc>
      </w:tr>
      <w:tr w:rsidR="00A60822" w:rsidRPr="00A60822" w14:paraId="56EE0602" w14:textId="77777777" w:rsidTr="00D00B3F">
        <w:tc>
          <w:tcPr>
            <w:tcW w:w="675" w:type="dxa"/>
          </w:tcPr>
          <w:p w14:paraId="51266A4A"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7.</w:t>
            </w:r>
          </w:p>
        </w:tc>
        <w:tc>
          <w:tcPr>
            <w:tcW w:w="1701" w:type="dxa"/>
          </w:tcPr>
          <w:p w14:paraId="49C88202"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 xml:space="preserve">Akinleye and </w:t>
            </w:r>
            <w:proofErr w:type="spellStart"/>
            <w:proofErr w:type="gramStart"/>
            <w:r w:rsidRPr="00A60822">
              <w:rPr>
                <w:rFonts w:ascii="Times New Roman" w:eastAsia="Calibri" w:hAnsi="Times New Roman" w:cs="Times New Roman"/>
              </w:rPr>
              <w:t>Fajuyagbe</w:t>
            </w:r>
            <w:proofErr w:type="spellEnd"/>
            <w:r w:rsidRPr="00A60822">
              <w:rPr>
                <w:rFonts w:ascii="Times New Roman" w:eastAsia="Calibri" w:hAnsi="Times New Roman" w:cs="Times New Roman"/>
              </w:rPr>
              <w:t xml:space="preserve"> </w:t>
            </w:r>
            <w:r w:rsidRPr="00A60822">
              <w:rPr>
                <w:rFonts w:ascii="Calibri" w:eastAsia="Calibri" w:hAnsi="Calibri" w:cs="Times New Roman"/>
              </w:rPr>
              <w:t xml:space="preserve"> </w:t>
            </w:r>
            <w:r w:rsidRPr="00A60822">
              <w:rPr>
                <w:rFonts w:ascii="Times New Roman" w:eastAsia="Calibri" w:hAnsi="Times New Roman" w:cs="Times New Roman"/>
              </w:rPr>
              <w:t>(</w:t>
            </w:r>
            <w:proofErr w:type="gramEnd"/>
            <w:r w:rsidRPr="00A60822">
              <w:rPr>
                <w:rFonts w:ascii="Times New Roman" w:eastAsia="Calibri" w:hAnsi="Times New Roman" w:cs="Times New Roman"/>
              </w:rPr>
              <w:t>2022).</w:t>
            </w:r>
          </w:p>
        </w:tc>
        <w:tc>
          <w:tcPr>
            <w:tcW w:w="2268" w:type="dxa"/>
          </w:tcPr>
          <w:p w14:paraId="2C305A7F"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 xml:space="preserve"> Cost control and performance of non-financial companies in Nigeria.</w:t>
            </w:r>
          </w:p>
        </w:tc>
        <w:tc>
          <w:tcPr>
            <w:tcW w:w="2268" w:type="dxa"/>
          </w:tcPr>
          <w:p w14:paraId="560C96D2"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Panel Data Analysis was used to ascertain the effect of cost control of performance of non-financial firms in Nigeria.</w:t>
            </w:r>
          </w:p>
        </w:tc>
        <w:tc>
          <w:tcPr>
            <w:tcW w:w="2664" w:type="dxa"/>
          </w:tcPr>
          <w:p w14:paraId="3C02EA94"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Administrative cost and firm size exerted positive significant effect on value of firm, Cost of raw materials and cost of sales turnover ratio exerted positive but insignificant effect on value of firm.</w:t>
            </w:r>
            <w:r w:rsidRPr="00A60822">
              <w:rPr>
                <w:rFonts w:ascii="Calibri" w:eastAsia="Calibri" w:hAnsi="Calibri" w:cs="Times New Roman"/>
              </w:rPr>
              <w:t xml:space="preserve"> </w:t>
            </w:r>
            <w:r w:rsidRPr="00A60822">
              <w:rPr>
                <w:rFonts w:ascii="Times New Roman" w:eastAsia="Calibri" w:hAnsi="Times New Roman" w:cs="Times New Roman"/>
              </w:rPr>
              <w:t>Selling and Distribution cost failed to exert significant effect on the firm performance.</w:t>
            </w:r>
          </w:p>
        </w:tc>
      </w:tr>
      <w:tr w:rsidR="00A60822" w:rsidRPr="00A60822" w14:paraId="7E82E0F7" w14:textId="77777777" w:rsidTr="00D00B3F">
        <w:tc>
          <w:tcPr>
            <w:tcW w:w="675" w:type="dxa"/>
          </w:tcPr>
          <w:p w14:paraId="04695731"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8.</w:t>
            </w:r>
          </w:p>
        </w:tc>
        <w:tc>
          <w:tcPr>
            <w:tcW w:w="1701" w:type="dxa"/>
          </w:tcPr>
          <w:p w14:paraId="5842ABD2"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Ayorinde (2021)</w:t>
            </w:r>
          </w:p>
        </w:tc>
        <w:tc>
          <w:tcPr>
            <w:tcW w:w="2268" w:type="dxa"/>
          </w:tcPr>
          <w:p w14:paraId="10C679E6"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hd w:val="clear" w:color="auto" w:fill="FFFFFF"/>
              </w:rPr>
              <w:t xml:space="preserve">Examined the impact of cost control on financial performance </w:t>
            </w:r>
            <w:r w:rsidRPr="00A60822">
              <w:rPr>
                <w:rFonts w:ascii="Times New Roman" w:eastAsia="Calibri" w:hAnsi="Times New Roman" w:cs="Times New Roman"/>
                <w:shd w:val="clear" w:color="auto" w:fill="FFFFFF"/>
              </w:rPr>
              <w:lastRenderedPageBreak/>
              <w:t>of pharmaceutical firms in Nigeria.</w:t>
            </w:r>
          </w:p>
        </w:tc>
        <w:tc>
          <w:tcPr>
            <w:tcW w:w="2268" w:type="dxa"/>
          </w:tcPr>
          <w:p w14:paraId="293F2188"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hd w:val="clear" w:color="auto" w:fill="FFFFFF"/>
              </w:rPr>
              <w:lastRenderedPageBreak/>
              <w:t xml:space="preserve">Panel regression analysis was employed to evaluate the impacts of cost control on </w:t>
            </w:r>
            <w:r w:rsidRPr="00A60822">
              <w:rPr>
                <w:rFonts w:ascii="Times New Roman" w:eastAsia="Calibri" w:hAnsi="Times New Roman" w:cs="Times New Roman"/>
                <w:shd w:val="clear" w:color="auto" w:fill="FFFFFF"/>
              </w:rPr>
              <w:lastRenderedPageBreak/>
              <w:t>financial performance of pharmaceuticals firms in Nigeria.</w:t>
            </w:r>
          </w:p>
        </w:tc>
        <w:tc>
          <w:tcPr>
            <w:tcW w:w="2664" w:type="dxa"/>
          </w:tcPr>
          <w:p w14:paraId="75F621FD"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shd w:val="clear" w:color="auto" w:fill="FFFFFF"/>
              </w:rPr>
              <w:lastRenderedPageBreak/>
              <w:t xml:space="preserve">The results revealed that cost control has significant influence on financial performance of </w:t>
            </w:r>
            <w:r w:rsidRPr="00A60822">
              <w:rPr>
                <w:rFonts w:ascii="Times New Roman" w:eastAsia="Calibri" w:hAnsi="Times New Roman" w:cs="Times New Roman"/>
                <w:shd w:val="clear" w:color="auto" w:fill="FFFFFF"/>
              </w:rPr>
              <w:lastRenderedPageBreak/>
              <w:t>pharmaceuticals firms in Nigeria.</w:t>
            </w:r>
          </w:p>
        </w:tc>
      </w:tr>
      <w:tr w:rsidR="00A60822" w:rsidRPr="00A60822" w14:paraId="646871C7" w14:textId="77777777" w:rsidTr="00D00B3F">
        <w:tc>
          <w:tcPr>
            <w:tcW w:w="675" w:type="dxa"/>
          </w:tcPr>
          <w:p w14:paraId="7DFD5FE2"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lastRenderedPageBreak/>
              <w:t>9.</w:t>
            </w:r>
          </w:p>
        </w:tc>
        <w:tc>
          <w:tcPr>
            <w:tcW w:w="1701" w:type="dxa"/>
          </w:tcPr>
          <w:p w14:paraId="7C54608D" w14:textId="77777777" w:rsidR="00A60822" w:rsidRPr="00A60822" w:rsidRDefault="00A60822" w:rsidP="00280939">
            <w:pPr>
              <w:jc w:val="both"/>
              <w:rPr>
                <w:rFonts w:ascii="Times New Roman" w:eastAsia="Calibri" w:hAnsi="Times New Roman" w:cs="Times New Roman"/>
                <w:lang w:val="en-GB"/>
              </w:rPr>
            </w:pPr>
            <w:proofErr w:type="spellStart"/>
            <w:r w:rsidRPr="00A60822">
              <w:rPr>
                <w:rFonts w:ascii="Times New Roman" w:eastAsia="Calibri" w:hAnsi="Times New Roman" w:cs="Times New Roman"/>
              </w:rPr>
              <w:t>Adebawojo</w:t>
            </w:r>
            <w:proofErr w:type="spellEnd"/>
            <w:r w:rsidRPr="00A60822">
              <w:rPr>
                <w:rFonts w:ascii="Times New Roman" w:eastAsia="Calibri" w:hAnsi="Times New Roman" w:cs="Times New Roman"/>
              </w:rPr>
              <w:t>, (2023)</w:t>
            </w:r>
          </w:p>
        </w:tc>
        <w:tc>
          <w:tcPr>
            <w:tcW w:w="2268" w:type="dxa"/>
          </w:tcPr>
          <w:p w14:paraId="4C090060"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investigated the effect of cost management on the financial sustainability and performance of manufacturing companies in Nigeria</w:t>
            </w:r>
          </w:p>
        </w:tc>
        <w:tc>
          <w:tcPr>
            <w:tcW w:w="2268" w:type="dxa"/>
          </w:tcPr>
          <w:p w14:paraId="10604629"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An ex-post facto research design was adopted. The study population included all 33 manufacturing companies in Nigeria. Purposive and Judgmental Sampling Techniques.  Data was analyzed using Multiple Regression.</w:t>
            </w:r>
          </w:p>
        </w:tc>
        <w:tc>
          <w:tcPr>
            <w:tcW w:w="2664" w:type="dxa"/>
          </w:tcPr>
          <w:p w14:paraId="587039DB"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Costs of Sales, Distribution and Administrative Expenses and Finance Cost altogether have significant effect on the combined variables of financial performance</w:t>
            </w:r>
            <w:r w:rsidRPr="00A60822">
              <w:rPr>
                <w:rFonts w:ascii="Calibri" w:eastAsia="Calibri" w:hAnsi="Calibri" w:cs="Times New Roman"/>
              </w:rPr>
              <w:t>.</w:t>
            </w:r>
          </w:p>
        </w:tc>
      </w:tr>
      <w:tr w:rsidR="00A60822" w:rsidRPr="00A60822" w14:paraId="3023760B" w14:textId="77777777" w:rsidTr="00D00B3F">
        <w:tc>
          <w:tcPr>
            <w:tcW w:w="675" w:type="dxa"/>
          </w:tcPr>
          <w:p w14:paraId="15E1DCBA"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lang w:val="en-GB"/>
              </w:rPr>
              <w:t>10.</w:t>
            </w:r>
          </w:p>
        </w:tc>
        <w:tc>
          <w:tcPr>
            <w:tcW w:w="1701" w:type="dxa"/>
          </w:tcPr>
          <w:p w14:paraId="14DD8199"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Adesina and Ajibola (2025)</w:t>
            </w:r>
          </w:p>
        </w:tc>
        <w:tc>
          <w:tcPr>
            <w:tcW w:w="2268" w:type="dxa"/>
          </w:tcPr>
          <w:p w14:paraId="10C17CA3"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Cost Management and Profitability of Manufacturing Companies in Nigeria</w:t>
            </w:r>
          </w:p>
        </w:tc>
        <w:tc>
          <w:tcPr>
            <w:tcW w:w="2268" w:type="dxa"/>
          </w:tcPr>
          <w:p w14:paraId="69D73993"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This study uses descriptive statistics and panel regression analysis</w:t>
            </w:r>
          </w:p>
        </w:tc>
        <w:tc>
          <w:tcPr>
            <w:tcW w:w="2664" w:type="dxa"/>
          </w:tcPr>
          <w:p w14:paraId="00C8BDBC" w14:textId="77777777" w:rsidR="00A60822" w:rsidRPr="00A60822" w:rsidRDefault="00A60822" w:rsidP="00280939">
            <w:pPr>
              <w:jc w:val="both"/>
              <w:rPr>
                <w:rFonts w:ascii="Times New Roman" w:eastAsia="Calibri" w:hAnsi="Times New Roman" w:cs="Times New Roman"/>
                <w:lang w:val="en-GB"/>
              </w:rPr>
            </w:pPr>
            <w:r w:rsidRPr="00A60822">
              <w:rPr>
                <w:rFonts w:ascii="Times New Roman" w:eastAsia="Calibri" w:hAnsi="Times New Roman" w:cs="Times New Roman"/>
              </w:rPr>
              <w:t>Results show that administrative expenditures, marketing and distribution charges, and excessive production costs all cut into profits.</w:t>
            </w:r>
          </w:p>
        </w:tc>
      </w:tr>
    </w:tbl>
    <w:p w14:paraId="5B7445EF" w14:textId="77777777" w:rsidR="00A60822" w:rsidRPr="00A60822" w:rsidRDefault="00A60822" w:rsidP="00280939">
      <w:pPr>
        <w:spacing w:after="200" w:line="240" w:lineRule="auto"/>
        <w:jc w:val="both"/>
        <w:rPr>
          <w:rFonts w:ascii="Times New Roman" w:eastAsia="Calibri" w:hAnsi="Times New Roman" w:cs="Times New Roman"/>
          <w:kern w:val="0"/>
          <w:lang w:val="en-GB"/>
          <w14:ligatures w14:val="none"/>
        </w:rPr>
      </w:pPr>
    </w:p>
    <w:p w14:paraId="16ABC12C" w14:textId="77777777" w:rsidR="00A60822" w:rsidRPr="00A60822" w:rsidRDefault="00A60822" w:rsidP="00280939">
      <w:pPr>
        <w:spacing w:after="200" w:line="240" w:lineRule="auto"/>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METHODOLOGY</w:t>
      </w:r>
    </w:p>
    <w:p w14:paraId="561E80F6" w14:textId="77777777" w:rsidR="00A60822" w:rsidRPr="00A60822" w:rsidRDefault="00A60822" w:rsidP="00280939">
      <w:pPr>
        <w:spacing w:after="200" w:line="240" w:lineRule="auto"/>
        <w:jc w:val="both"/>
        <w:rPr>
          <w:rFonts w:ascii="Times New Roman" w:eastAsia="Times New Roman" w:hAnsi="Times New Roman" w:cs="Times New Roman"/>
          <w:kern w:val="0"/>
          <w14:ligatures w14:val="none"/>
        </w:rPr>
      </w:pPr>
      <w:r w:rsidRPr="00A60822">
        <w:rPr>
          <w:rFonts w:ascii="Times New Roman" w:eastAsia="Calibri" w:hAnsi="Times New Roman" w:cs="Times New Roman"/>
          <w:kern w:val="0"/>
          <w:lang w:val="en-GB"/>
          <w14:ligatures w14:val="none"/>
        </w:rPr>
        <w:t xml:space="preserve">3.1 </w:t>
      </w:r>
      <w:r w:rsidRPr="00A60822">
        <w:rPr>
          <w:rFonts w:ascii="Times New Roman" w:eastAsia="Calibri" w:hAnsi="Times New Roman" w:cs="Times New Roman"/>
          <w:b/>
          <w:kern w:val="0"/>
          <w:lang w:val="en-GB"/>
          <w14:ligatures w14:val="none"/>
        </w:rPr>
        <w:t>Research design:</w:t>
      </w:r>
      <w:r w:rsidRPr="00A60822">
        <w:rPr>
          <w:rFonts w:ascii="Times New Roman" w:eastAsia="Calibri" w:hAnsi="Times New Roman" w:cs="Times New Roman"/>
          <w:color w:val="000000"/>
          <w:kern w:val="0"/>
          <w14:ligatures w14:val="none"/>
        </w:rPr>
        <w:t xml:space="preserve"> </w:t>
      </w:r>
      <w:r w:rsidRPr="00A60822">
        <w:rPr>
          <w:rFonts w:ascii="Times New Roman" w:eastAsia="Times New Roman" w:hAnsi="Times New Roman" w:cs="Times New Roman"/>
          <w:kern w:val="0"/>
          <w14:ligatures w14:val="none"/>
        </w:rPr>
        <w:t xml:space="preserve">Correlational research design was used for the study because it permits the use of historical economic data from companies in our study to demonstrate statistical implications in the relationships between variables under consideration. A suitable econometric model with estimable equations was used to investigate the effects of innovative cost control mechanism on operating margin of quoted consumer goods firms in Nigeria. The data used in the study were obtained from quoted consumer products manufacturing firms on the Nigeria Exchange Group from 2004 to 2024, by content analysis. The analytical approach includes descriptive statistics for the data as required by the given model. Unit root test was performed using the Augmented Dickey Fuller and Phillips Perron statistic tests. These were followed by the Johansen Co-integration test to determine long-term relationships. </w:t>
      </w:r>
      <w:r w:rsidRPr="00A60822">
        <w:rPr>
          <w:rFonts w:ascii="Times New Roman" w:eastAsia="Calibri" w:hAnsi="Times New Roman" w:cs="Times New Roman"/>
          <w:color w:val="000000"/>
          <w:kern w:val="0"/>
          <w14:ligatures w14:val="none"/>
        </w:rPr>
        <w:t>Parsimonious Error Correction Model (PECM) was done. The estimation results are summarized in the tables below and the empirical estimations were done using E-views software.</w:t>
      </w:r>
    </w:p>
    <w:p w14:paraId="6B463E3F" w14:textId="77777777" w:rsidR="00A60822" w:rsidRPr="00A60822" w:rsidRDefault="00A60822" w:rsidP="00280939">
      <w:pPr>
        <w:spacing w:after="200" w:line="240" w:lineRule="auto"/>
        <w:jc w:val="both"/>
        <w:rPr>
          <w:rFonts w:ascii="Times New Roman" w:eastAsia="Calibri" w:hAnsi="Times New Roman" w:cs="Times New Roman"/>
          <w:b/>
          <w:color w:val="000000"/>
          <w:kern w:val="0"/>
          <w14:ligatures w14:val="none"/>
        </w:rPr>
      </w:pPr>
      <w:r w:rsidRPr="00A60822">
        <w:rPr>
          <w:rFonts w:ascii="Times New Roman" w:eastAsia="Calibri" w:hAnsi="Times New Roman" w:cs="Times New Roman"/>
          <w:b/>
          <w:color w:val="000000"/>
          <w:kern w:val="0"/>
          <w14:ligatures w14:val="none"/>
        </w:rPr>
        <w:t>3.2 Model Specification:</w:t>
      </w:r>
    </w:p>
    <w:p w14:paraId="00CEF1C6" w14:textId="77777777" w:rsidR="00A60822" w:rsidRPr="00A60822" w:rsidRDefault="00A60822" w:rsidP="00280939">
      <w:pPr>
        <w:spacing w:after="200" w:line="240" w:lineRule="auto"/>
        <w:jc w:val="both"/>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14:ligatures w14:val="none"/>
        </w:rPr>
        <w:t>The hypothesized relationship between Operating Margin and Innovative Cost Control Mechanism were expressed with a functional equation of the model as:</w:t>
      </w:r>
    </w:p>
    <w:p w14:paraId="1E1DE836" w14:textId="77777777" w:rsidR="00A60822" w:rsidRPr="00A60822" w:rsidRDefault="00A60822" w:rsidP="00280939">
      <w:pPr>
        <w:spacing w:after="200" w:line="240" w:lineRule="auto"/>
        <w:jc w:val="both"/>
        <w:rPr>
          <w:rFonts w:ascii="Times New Roman" w:eastAsia="Calibri" w:hAnsi="Times New Roman" w:cs="Times New Roman"/>
          <w:color w:val="000000"/>
          <w:kern w:val="0"/>
          <w14:ligatures w14:val="none"/>
        </w:rPr>
      </w:pPr>
      <w:proofErr w:type="spellStart"/>
      <w:r w:rsidRPr="00A60822">
        <w:rPr>
          <w:rFonts w:ascii="Times New Roman" w:eastAsia="Calibri" w:hAnsi="Times New Roman" w:cs="Times New Roman"/>
          <w:color w:val="000000"/>
          <w:kern w:val="0"/>
          <w14:ligatures w14:val="none"/>
        </w:rPr>
        <w:t>OP</w:t>
      </w:r>
      <w:r w:rsidRPr="00A60822">
        <w:rPr>
          <w:rFonts w:ascii="Times New Roman" w:eastAsia="Calibri" w:hAnsi="Times New Roman" w:cs="Times New Roman"/>
          <w:color w:val="000000"/>
          <w:kern w:val="0"/>
          <w:vertAlign w:val="subscript"/>
          <w14:ligatures w14:val="none"/>
        </w:rPr>
        <w:t>t</w:t>
      </w:r>
      <w:proofErr w:type="spellEnd"/>
      <w:r w:rsidRPr="00A60822">
        <w:rPr>
          <w:rFonts w:ascii="Times New Roman" w:eastAsia="Calibri" w:hAnsi="Times New Roman" w:cs="Times New Roman"/>
          <w:color w:val="000000"/>
          <w:kern w:val="0"/>
          <w14:ligatures w14:val="none"/>
        </w:rPr>
        <w:t xml:space="preserve"> = f(</w:t>
      </w:r>
      <w:proofErr w:type="spellStart"/>
      <w:r w:rsidRPr="00A60822">
        <w:rPr>
          <w:rFonts w:ascii="Times New Roman" w:eastAsia="Calibri" w:hAnsi="Times New Roman" w:cs="Times New Roman"/>
          <w:color w:val="000000"/>
          <w:kern w:val="0"/>
          <w14:ligatures w14:val="none"/>
        </w:rPr>
        <w:t>ICCM</w:t>
      </w:r>
      <w:r w:rsidRPr="00A60822">
        <w:rPr>
          <w:rFonts w:ascii="Times New Roman" w:eastAsia="Calibri" w:hAnsi="Times New Roman" w:cs="Times New Roman"/>
          <w:color w:val="000000"/>
          <w:kern w:val="0"/>
          <w:vertAlign w:val="subscript"/>
          <w14:ligatures w14:val="none"/>
        </w:rPr>
        <w:t>t</w:t>
      </w:r>
      <w:proofErr w:type="spellEnd"/>
      <w:r w:rsidRPr="00A60822">
        <w:rPr>
          <w:rFonts w:ascii="Times New Roman" w:eastAsia="Calibri" w:hAnsi="Times New Roman" w:cs="Times New Roman"/>
          <w:color w:val="000000"/>
          <w:kern w:val="0"/>
          <w14:ligatures w14:val="none"/>
        </w:rPr>
        <w:t>)…………. equ.1</w:t>
      </w:r>
    </w:p>
    <w:p w14:paraId="7C622AB1" w14:textId="77777777" w:rsidR="00A60822" w:rsidRPr="00A60822" w:rsidRDefault="00A60822" w:rsidP="00280939">
      <w:pPr>
        <w:spacing w:after="200" w:line="240" w:lineRule="auto"/>
        <w:jc w:val="both"/>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14:ligatures w14:val="none"/>
        </w:rPr>
        <w:t>The functional equation was modified as:</w:t>
      </w:r>
    </w:p>
    <w:p w14:paraId="5D0CD427" w14:textId="77777777" w:rsidR="00A60822" w:rsidRPr="00A60822" w:rsidRDefault="00A60822" w:rsidP="00280939">
      <w:pPr>
        <w:spacing w:after="200" w:line="240" w:lineRule="auto"/>
        <w:jc w:val="both"/>
        <w:rPr>
          <w:rFonts w:ascii="Times New Roman" w:eastAsia="Calibri" w:hAnsi="Times New Roman" w:cs="Times New Roman"/>
          <w:color w:val="000000"/>
          <w:kern w:val="0"/>
          <w14:ligatures w14:val="none"/>
        </w:rPr>
      </w:pPr>
      <w:proofErr w:type="spellStart"/>
      <w:r w:rsidRPr="00A60822">
        <w:rPr>
          <w:rFonts w:ascii="Times New Roman" w:eastAsia="Calibri" w:hAnsi="Times New Roman" w:cs="Times New Roman"/>
          <w:color w:val="000000"/>
          <w:kern w:val="0"/>
          <w14:ligatures w14:val="none"/>
        </w:rPr>
        <w:t>PAT</w:t>
      </w:r>
      <w:r w:rsidRPr="00A60822">
        <w:rPr>
          <w:rFonts w:ascii="Times New Roman" w:eastAsia="Calibri" w:hAnsi="Times New Roman" w:cs="Times New Roman"/>
          <w:color w:val="000000"/>
          <w:kern w:val="0"/>
          <w:vertAlign w:val="subscript"/>
          <w14:ligatures w14:val="none"/>
        </w:rPr>
        <w:t>t</w:t>
      </w:r>
      <w:proofErr w:type="spellEnd"/>
      <w:r w:rsidRPr="00A60822">
        <w:rPr>
          <w:rFonts w:ascii="Times New Roman" w:eastAsia="Calibri" w:hAnsi="Times New Roman" w:cs="Times New Roman"/>
          <w:color w:val="000000"/>
          <w:kern w:val="0"/>
          <w14:ligatures w14:val="none"/>
        </w:rPr>
        <w:t xml:space="preserve"> = </w:t>
      </w:r>
      <w:proofErr w:type="gramStart"/>
      <w:r w:rsidRPr="00A60822">
        <w:rPr>
          <w:rFonts w:ascii="Times New Roman" w:eastAsia="Calibri" w:hAnsi="Times New Roman" w:cs="Times New Roman"/>
          <w:color w:val="000000"/>
          <w:kern w:val="0"/>
          <w14:ligatures w14:val="none"/>
        </w:rPr>
        <w:t>f(</w:t>
      </w:r>
      <w:proofErr w:type="spellStart"/>
      <w:proofErr w:type="gramEnd"/>
      <w:r w:rsidRPr="00A60822">
        <w:rPr>
          <w:rFonts w:ascii="Times New Roman" w:eastAsia="Calibri" w:hAnsi="Times New Roman" w:cs="Times New Roman"/>
          <w:color w:val="000000"/>
          <w:kern w:val="0"/>
          <w14:ligatures w14:val="none"/>
        </w:rPr>
        <w:t>DSCT</w:t>
      </w:r>
      <w:r w:rsidRPr="00A60822">
        <w:rPr>
          <w:rFonts w:ascii="Times New Roman" w:eastAsia="Calibri" w:hAnsi="Times New Roman" w:cs="Times New Roman"/>
          <w:color w:val="000000"/>
          <w:kern w:val="0"/>
          <w:vertAlign w:val="subscript"/>
          <w14:ligatures w14:val="none"/>
        </w:rPr>
        <w:t>t</w:t>
      </w:r>
      <w:proofErr w:type="spellEnd"/>
      <w:r w:rsidRPr="00A60822">
        <w:rPr>
          <w:rFonts w:ascii="Times New Roman" w:eastAsia="Calibri" w:hAnsi="Times New Roman" w:cs="Times New Roman"/>
          <w:color w:val="000000"/>
          <w:kern w:val="0"/>
          <w14:ligatures w14:val="none"/>
        </w:rPr>
        <w:t xml:space="preserve">, </w:t>
      </w:r>
      <w:proofErr w:type="spellStart"/>
      <w:r w:rsidRPr="00A60822">
        <w:rPr>
          <w:rFonts w:ascii="Times New Roman" w:eastAsia="Calibri" w:hAnsi="Times New Roman" w:cs="Times New Roman"/>
          <w:color w:val="000000"/>
          <w:kern w:val="0"/>
          <w14:ligatures w14:val="none"/>
        </w:rPr>
        <w:t>ACTt</w:t>
      </w:r>
      <w:proofErr w:type="spellEnd"/>
      <w:r w:rsidRPr="00A60822">
        <w:rPr>
          <w:rFonts w:ascii="Times New Roman" w:eastAsia="Calibri" w:hAnsi="Times New Roman" w:cs="Times New Roman"/>
          <w:color w:val="000000"/>
          <w:kern w:val="0"/>
          <w14:ligatures w14:val="none"/>
        </w:rPr>
        <w:t xml:space="preserve">, </w:t>
      </w:r>
      <w:proofErr w:type="spellStart"/>
      <w:proofErr w:type="gramStart"/>
      <w:r w:rsidRPr="00A60822">
        <w:rPr>
          <w:rFonts w:ascii="Times New Roman" w:eastAsia="Calibri" w:hAnsi="Times New Roman" w:cs="Times New Roman"/>
          <w:color w:val="000000"/>
          <w:kern w:val="0"/>
          <w14:ligatures w14:val="none"/>
        </w:rPr>
        <w:t>FCT</w:t>
      </w:r>
      <w:r w:rsidRPr="00A60822">
        <w:rPr>
          <w:rFonts w:ascii="Times New Roman" w:eastAsia="Calibri" w:hAnsi="Times New Roman" w:cs="Times New Roman"/>
          <w:color w:val="000000"/>
          <w:kern w:val="0"/>
          <w:vertAlign w:val="subscript"/>
          <w14:ligatures w14:val="none"/>
        </w:rPr>
        <w:t>t</w:t>
      </w:r>
      <w:proofErr w:type="spellEnd"/>
      <w:r w:rsidRPr="00A60822">
        <w:rPr>
          <w:rFonts w:ascii="Times New Roman" w:eastAsia="Calibri" w:hAnsi="Times New Roman" w:cs="Times New Roman"/>
          <w:color w:val="000000"/>
          <w:kern w:val="0"/>
          <w14:ligatures w14:val="none"/>
        </w:rPr>
        <w:t>)…</w:t>
      </w:r>
      <w:proofErr w:type="gramEnd"/>
      <w:r w:rsidRPr="00A60822">
        <w:rPr>
          <w:rFonts w:ascii="Times New Roman" w:eastAsia="Calibri" w:hAnsi="Times New Roman" w:cs="Times New Roman"/>
          <w:color w:val="000000"/>
          <w:kern w:val="0"/>
          <w14:ligatures w14:val="none"/>
        </w:rPr>
        <w:t>……</w:t>
      </w:r>
      <w:proofErr w:type="gramStart"/>
      <w:r w:rsidRPr="00A60822">
        <w:rPr>
          <w:rFonts w:ascii="Times New Roman" w:eastAsia="Calibri" w:hAnsi="Times New Roman" w:cs="Times New Roman"/>
          <w:color w:val="000000"/>
          <w:kern w:val="0"/>
          <w14:ligatures w14:val="none"/>
        </w:rPr>
        <w:t>….equ</w:t>
      </w:r>
      <w:proofErr w:type="gramEnd"/>
      <w:r w:rsidRPr="00A60822">
        <w:rPr>
          <w:rFonts w:ascii="Times New Roman" w:eastAsia="Calibri" w:hAnsi="Times New Roman" w:cs="Times New Roman"/>
          <w:color w:val="000000"/>
          <w:kern w:val="0"/>
          <w14:ligatures w14:val="none"/>
        </w:rPr>
        <w:t>.2</w:t>
      </w:r>
    </w:p>
    <w:p w14:paraId="5033CA89" w14:textId="77777777" w:rsidR="00A60822" w:rsidRPr="00A60822" w:rsidRDefault="00A60822" w:rsidP="00280939">
      <w:pPr>
        <w:spacing w:after="200" w:line="240" w:lineRule="auto"/>
        <w:jc w:val="both"/>
        <w:rPr>
          <w:rFonts w:ascii="Times New Roman" w:eastAsia="Calibri" w:hAnsi="Times New Roman" w:cs="Times New Roman"/>
          <w:color w:val="000000"/>
          <w:kern w:val="0"/>
          <w14:ligatures w14:val="none"/>
        </w:rPr>
      </w:pPr>
      <w:r w:rsidRPr="00A60822">
        <w:rPr>
          <w:rFonts w:ascii="Times New Roman" w:eastAsia="Calibri" w:hAnsi="Times New Roman" w:cs="Times New Roman"/>
          <w:color w:val="000000"/>
          <w:kern w:val="0"/>
          <w14:ligatures w14:val="none"/>
        </w:rPr>
        <w:t>The functional equation 2, is expressed in linear regression form as:</w:t>
      </w:r>
    </w:p>
    <w:p w14:paraId="6DEDD8F6" w14:textId="77777777" w:rsidR="00A60822" w:rsidRPr="00A60822" w:rsidRDefault="00A60822" w:rsidP="00280939">
      <w:pPr>
        <w:spacing w:after="200" w:line="240" w:lineRule="auto"/>
        <w:jc w:val="both"/>
        <w:rPr>
          <w:rFonts w:ascii="Times New Roman" w:eastAsia="Calibri" w:hAnsi="Times New Roman" w:cs="Times New Roman"/>
          <w:color w:val="000000"/>
          <w:kern w:val="0"/>
          <w14:ligatures w14:val="none"/>
        </w:rPr>
      </w:pPr>
      <w:proofErr w:type="spellStart"/>
      <w:r w:rsidRPr="00A60822">
        <w:rPr>
          <w:rFonts w:ascii="Times New Roman" w:eastAsia="Calibri" w:hAnsi="Times New Roman" w:cs="Times New Roman"/>
          <w:color w:val="000000"/>
          <w:kern w:val="0"/>
          <w14:ligatures w14:val="none"/>
        </w:rPr>
        <w:t>PAT</w:t>
      </w:r>
      <w:r w:rsidRPr="00A60822">
        <w:rPr>
          <w:rFonts w:ascii="Times New Roman" w:eastAsia="Calibri" w:hAnsi="Times New Roman" w:cs="Times New Roman"/>
          <w:color w:val="000000"/>
          <w:kern w:val="0"/>
          <w:vertAlign w:val="subscript"/>
          <w14:ligatures w14:val="none"/>
        </w:rPr>
        <w:t>t</w:t>
      </w:r>
      <w:proofErr w:type="spellEnd"/>
      <w:r w:rsidRPr="00A60822">
        <w:rPr>
          <w:rFonts w:ascii="Times New Roman" w:eastAsia="Calibri" w:hAnsi="Times New Roman" w:cs="Times New Roman"/>
          <w:color w:val="000000"/>
          <w:kern w:val="0"/>
          <w14:ligatures w14:val="none"/>
        </w:rPr>
        <w:t xml:space="preserve"> = β</w:t>
      </w:r>
      <w:r w:rsidRPr="00A60822">
        <w:rPr>
          <w:rFonts w:ascii="Times New Roman" w:eastAsia="Calibri" w:hAnsi="Times New Roman" w:cs="Times New Roman"/>
          <w:color w:val="000000"/>
          <w:kern w:val="0"/>
          <w:vertAlign w:val="subscript"/>
          <w14:ligatures w14:val="none"/>
        </w:rPr>
        <w:t>0</w:t>
      </w:r>
      <w:r w:rsidRPr="00A60822">
        <w:rPr>
          <w:rFonts w:ascii="Times New Roman" w:eastAsia="Calibri" w:hAnsi="Times New Roman" w:cs="Times New Roman"/>
          <w:color w:val="000000"/>
          <w:kern w:val="0"/>
          <w14:ligatures w14:val="none"/>
        </w:rPr>
        <w:t xml:space="preserve"> + β</w:t>
      </w:r>
      <w:r w:rsidRPr="00A60822">
        <w:rPr>
          <w:rFonts w:ascii="Times New Roman" w:eastAsia="Calibri" w:hAnsi="Times New Roman" w:cs="Times New Roman"/>
          <w:color w:val="000000"/>
          <w:kern w:val="0"/>
          <w:vertAlign w:val="subscript"/>
          <w14:ligatures w14:val="none"/>
        </w:rPr>
        <w:t>1</w:t>
      </w:r>
      <w:r w:rsidRPr="00A60822">
        <w:rPr>
          <w:rFonts w:ascii="Times New Roman" w:eastAsia="Calibri" w:hAnsi="Times New Roman" w:cs="Times New Roman"/>
          <w:color w:val="000000"/>
          <w:kern w:val="0"/>
          <w14:ligatures w14:val="none"/>
        </w:rPr>
        <w:t>DSCT</w:t>
      </w:r>
      <w:r w:rsidRPr="00A60822">
        <w:rPr>
          <w:rFonts w:ascii="Times New Roman" w:eastAsia="Calibri" w:hAnsi="Times New Roman" w:cs="Times New Roman"/>
          <w:color w:val="000000"/>
          <w:kern w:val="0"/>
          <w:vertAlign w:val="subscript"/>
          <w14:ligatures w14:val="none"/>
        </w:rPr>
        <w:t xml:space="preserve">t </w:t>
      </w:r>
      <w:r w:rsidRPr="00A60822">
        <w:rPr>
          <w:rFonts w:ascii="Times New Roman" w:eastAsia="Calibri" w:hAnsi="Times New Roman" w:cs="Times New Roman"/>
          <w:color w:val="000000"/>
          <w:kern w:val="0"/>
          <w14:ligatures w14:val="none"/>
        </w:rPr>
        <w:t>+ β</w:t>
      </w:r>
      <w:r w:rsidRPr="00A60822">
        <w:rPr>
          <w:rFonts w:ascii="Times New Roman" w:eastAsia="Calibri" w:hAnsi="Times New Roman" w:cs="Times New Roman"/>
          <w:color w:val="000000"/>
          <w:kern w:val="0"/>
          <w:vertAlign w:val="subscript"/>
          <w14:ligatures w14:val="none"/>
        </w:rPr>
        <w:t>2</w:t>
      </w:r>
      <w:r w:rsidRPr="00A60822">
        <w:rPr>
          <w:rFonts w:ascii="Times New Roman" w:eastAsia="Calibri" w:hAnsi="Times New Roman" w:cs="Times New Roman"/>
          <w:color w:val="000000"/>
          <w:kern w:val="0"/>
          <w14:ligatures w14:val="none"/>
        </w:rPr>
        <w:t>ACT</w:t>
      </w:r>
      <w:r w:rsidRPr="00A60822">
        <w:rPr>
          <w:rFonts w:ascii="Times New Roman" w:eastAsia="Calibri" w:hAnsi="Times New Roman" w:cs="Times New Roman"/>
          <w:color w:val="000000"/>
          <w:kern w:val="0"/>
          <w:vertAlign w:val="subscript"/>
          <w14:ligatures w14:val="none"/>
        </w:rPr>
        <w:t>t</w:t>
      </w:r>
      <w:r w:rsidRPr="00A60822">
        <w:rPr>
          <w:rFonts w:ascii="Times New Roman" w:eastAsia="Calibri" w:hAnsi="Times New Roman" w:cs="Times New Roman"/>
          <w:color w:val="000000"/>
          <w:kern w:val="0"/>
          <w14:ligatures w14:val="none"/>
        </w:rPr>
        <w:t xml:space="preserve"> + β</w:t>
      </w:r>
      <w:r w:rsidRPr="00A60822">
        <w:rPr>
          <w:rFonts w:ascii="Times New Roman" w:eastAsia="Calibri" w:hAnsi="Times New Roman" w:cs="Times New Roman"/>
          <w:color w:val="000000"/>
          <w:kern w:val="0"/>
          <w:vertAlign w:val="subscript"/>
          <w14:ligatures w14:val="none"/>
        </w:rPr>
        <w:t>3</w:t>
      </w:r>
      <w:r w:rsidRPr="00A60822">
        <w:rPr>
          <w:rFonts w:ascii="Times New Roman" w:eastAsia="Calibri" w:hAnsi="Times New Roman" w:cs="Times New Roman"/>
          <w:color w:val="000000"/>
          <w:kern w:val="0"/>
          <w14:ligatures w14:val="none"/>
        </w:rPr>
        <w:t>FCTt + e</w:t>
      </w:r>
      <w:r w:rsidRPr="00A60822">
        <w:rPr>
          <w:rFonts w:ascii="Times New Roman" w:eastAsia="Calibri" w:hAnsi="Times New Roman" w:cs="Times New Roman"/>
          <w:color w:val="000000"/>
          <w:kern w:val="0"/>
          <w:vertAlign w:val="subscript"/>
          <w14:ligatures w14:val="none"/>
        </w:rPr>
        <w:t>t</w:t>
      </w:r>
      <w:r w:rsidRPr="00A60822">
        <w:rPr>
          <w:rFonts w:ascii="Times New Roman" w:eastAsia="Calibri" w:hAnsi="Times New Roman" w:cs="Times New Roman"/>
          <w:color w:val="000000"/>
          <w:kern w:val="0"/>
          <w14:ligatures w14:val="none"/>
        </w:rPr>
        <w:t xml:space="preserve"> …………equ.3</w:t>
      </w:r>
    </w:p>
    <w:p w14:paraId="58A9447C" w14:textId="77777777" w:rsidR="00A60822" w:rsidRPr="00A60822" w:rsidRDefault="00A60822" w:rsidP="00280939">
      <w:pPr>
        <w:spacing w:after="200" w:line="240" w:lineRule="auto"/>
        <w:jc w:val="both"/>
        <w:rPr>
          <w:rFonts w:ascii="Times New Roman" w:eastAsia="Calibri" w:hAnsi="Times New Roman" w:cs="Times New Roman"/>
          <w:b/>
          <w:color w:val="000000"/>
          <w:kern w:val="0"/>
          <w14:ligatures w14:val="none"/>
        </w:rPr>
      </w:pPr>
      <w:r w:rsidRPr="00A60822">
        <w:rPr>
          <w:rFonts w:ascii="Times New Roman" w:eastAsia="Calibri" w:hAnsi="Times New Roman" w:cs="Times New Roman"/>
          <w:color w:val="000000"/>
          <w:kern w:val="0"/>
          <w14:ligatures w14:val="none"/>
        </w:rPr>
        <w:t xml:space="preserve">Where: </w:t>
      </w:r>
      <w:proofErr w:type="spellStart"/>
      <w:r w:rsidRPr="00A60822">
        <w:rPr>
          <w:rFonts w:ascii="Times New Roman" w:eastAsia="Calibri" w:hAnsi="Times New Roman" w:cs="Times New Roman"/>
          <w:color w:val="000000"/>
          <w:kern w:val="0"/>
          <w14:ligatures w14:val="none"/>
        </w:rPr>
        <w:t>PAT</w:t>
      </w:r>
      <w:r w:rsidRPr="00A60822">
        <w:rPr>
          <w:rFonts w:ascii="Times New Roman" w:eastAsia="Calibri" w:hAnsi="Times New Roman" w:cs="Times New Roman"/>
          <w:color w:val="000000"/>
          <w:kern w:val="0"/>
          <w:vertAlign w:val="subscript"/>
          <w14:ligatures w14:val="none"/>
        </w:rPr>
        <w:t>t</w:t>
      </w:r>
      <w:proofErr w:type="spellEnd"/>
      <w:r w:rsidRPr="00A60822">
        <w:rPr>
          <w:rFonts w:ascii="Times New Roman" w:eastAsia="Calibri" w:hAnsi="Times New Roman" w:cs="Times New Roman"/>
          <w:color w:val="000000"/>
          <w:kern w:val="0"/>
          <w14:ligatures w14:val="none"/>
        </w:rPr>
        <w:t xml:space="preserve"> = Profit after tax, β</w:t>
      </w:r>
      <w:r w:rsidRPr="00A60822">
        <w:rPr>
          <w:rFonts w:ascii="Times New Roman" w:eastAsia="Calibri" w:hAnsi="Times New Roman" w:cs="Times New Roman"/>
          <w:color w:val="000000"/>
          <w:kern w:val="0"/>
          <w:vertAlign w:val="subscript"/>
          <w14:ligatures w14:val="none"/>
        </w:rPr>
        <w:t>0</w:t>
      </w:r>
      <w:r w:rsidRPr="00A60822">
        <w:rPr>
          <w:rFonts w:ascii="Times New Roman" w:eastAsia="Calibri" w:hAnsi="Times New Roman" w:cs="Times New Roman"/>
          <w:color w:val="000000"/>
          <w:kern w:val="0"/>
          <w14:ligatures w14:val="none"/>
        </w:rPr>
        <w:t xml:space="preserve"> = intercept, β</w:t>
      </w:r>
      <w:r w:rsidRPr="00A60822">
        <w:rPr>
          <w:rFonts w:ascii="Times New Roman" w:eastAsia="Calibri" w:hAnsi="Times New Roman" w:cs="Times New Roman"/>
          <w:color w:val="000000"/>
          <w:kern w:val="0"/>
          <w:vertAlign w:val="subscript"/>
          <w14:ligatures w14:val="none"/>
        </w:rPr>
        <w:t xml:space="preserve">1-3 </w:t>
      </w:r>
      <w:r w:rsidRPr="00A60822">
        <w:rPr>
          <w:rFonts w:ascii="Times New Roman" w:eastAsia="Calibri" w:hAnsi="Times New Roman" w:cs="Times New Roman"/>
          <w:color w:val="000000"/>
          <w:kern w:val="0"/>
          <w14:ligatures w14:val="none"/>
        </w:rPr>
        <w:t>= Variable coefficients, e</w:t>
      </w:r>
      <w:r w:rsidRPr="00A60822">
        <w:rPr>
          <w:rFonts w:ascii="Times New Roman" w:eastAsia="Calibri" w:hAnsi="Times New Roman" w:cs="Times New Roman"/>
          <w:color w:val="000000"/>
          <w:kern w:val="0"/>
          <w:vertAlign w:val="subscript"/>
          <w14:ligatures w14:val="none"/>
        </w:rPr>
        <w:t>t</w:t>
      </w:r>
      <w:r w:rsidRPr="00A60822">
        <w:rPr>
          <w:rFonts w:ascii="Times New Roman" w:eastAsia="Calibri" w:hAnsi="Times New Roman" w:cs="Times New Roman"/>
          <w:color w:val="000000"/>
          <w:kern w:val="0"/>
          <w14:ligatures w14:val="none"/>
        </w:rPr>
        <w:t xml:space="preserve"> = Stochastic error term.</w:t>
      </w:r>
    </w:p>
    <w:p w14:paraId="79C7B32F" w14:textId="77777777" w:rsidR="00280939" w:rsidRDefault="00280939" w:rsidP="00280939">
      <w:pPr>
        <w:spacing w:after="200" w:line="276" w:lineRule="auto"/>
        <w:rPr>
          <w:rFonts w:ascii="Times New Roman" w:eastAsia="Calibri" w:hAnsi="Times New Roman" w:cs="Times New Roman"/>
          <w:b/>
          <w:kern w:val="0"/>
          <w:lang w:val="en-GB"/>
          <w14:ligatures w14:val="none"/>
        </w:rPr>
      </w:pPr>
    </w:p>
    <w:p w14:paraId="01B824CA" w14:textId="77777777" w:rsidR="00280939" w:rsidRDefault="00280939" w:rsidP="00280939">
      <w:pPr>
        <w:spacing w:after="200" w:line="276" w:lineRule="auto"/>
        <w:rPr>
          <w:rFonts w:ascii="Times New Roman" w:eastAsia="Calibri" w:hAnsi="Times New Roman" w:cs="Times New Roman"/>
          <w:b/>
          <w:kern w:val="0"/>
          <w:lang w:val="en-GB"/>
          <w14:ligatures w14:val="none"/>
        </w:rPr>
      </w:pPr>
    </w:p>
    <w:p w14:paraId="03631E5C" w14:textId="77777777" w:rsidR="00280939" w:rsidRDefault="00280939" w:rsidP="00280939">
      <w:pPr>
        <w:spacing w:after="200" w:line="276" w:lineRule="auto"/>
        <w:rPr>
          <w:rFonts w:ascii="Times New Roman" w:eastAsia="Calibri" w:hAnsi="Times New Roman" w:cs="Times New Roman"/>
          <w:b/>
          <w:kern w:val="0"/>
          <w:lang w:val="en-GB"/>
          <w14:ligatures w14:val="none"/>
        </w:rPr>
      </w:pPr>
    </w:p>
    <w:p w14:paraId="17B95F8D" w14:textId="77777777" w:rsidR="00280939" w:rsidRDefault="00280939" w:rsidP="00280939">
      <w:pPr>
        <w:spacing w:after="200" w:line="276" w:lineRule="auto"/>
        <w:rPr>
          <w:rFonts w:ascii="Times New Roman" w:eastAsia="Calibri" w:hAnsi="Times New Roman" w:cs="Times New Roman"/>
          <w:b/>
          <w:kern w:val="0"/>
          <w:lang w:val="en-GB"/>
          <w14:ligatures w14:val="none"/>
        </w:rPr>
      </w:pPr>
    </w:p>
    <w:p w14:paraId="5B8C3DAF" w14:textId="77777777" w:rsidR="00280939" w:rsidRDefault="00280939" w:rsidP="00280939">
      <w:pPr>
        <w:spacing w:after="200" w:line="276" w:lineRule="auto"/>
        <w:rPr>
          <w:rFonts w:ascii="Times New Roman" w:eastAsia="Calibri" w:hAnsi="Times New Roman" w:cs="Times New Roman"/>
          <w:b/>
          <w:kern w:val="0"/>
          <w:lang w:val="en-GB"/>
          <w14:ligatures w14:val="none"/>
        </w:rPr>
      </w:pPr>
    </w:p>
    <w:p w14:paraId="36812F6D" w14:textId="77777777" w:rsidR="00280939" w:rsidRDefault="00280939" w:rsidP="00280939">
      <w:pPr>
        <w:spacing w:after="200" w:line="276" w:lineRule="auto"/>
        <w:rPr>
          <w:rFonts w:ascii="Times New Roman" w:eastAsia="Calibri" w:hAnsi="Times New Roman" w:cs="Times New Roman"/>
          <w:b/>
          <w:kern w:val="0"/>
          <w:lang w:val="en-GB"/>
          <w14:ligatures w14:val="none"/>
        </w:rPr>
      </w:pPr>
    </w:p>
    <w:p w14:paraId="02E4561E" w14:textId="77777777" w:rsidR="00280939" w:rsidRDefault="00280939" w:rsidP="00280939">
      <w:pPr>
        <w:spacing w:after="200" w:line="276" w:lineRule="auto"/>
        <w:rPr>
          <w:rFonts w:ascii="Times New Roman" w:eastAsia="Calibri" w:hAnsi="Times New Roman" w:cs="Times New Roman"/>
          <w:b/>
          <w:kern w:val="0"/>
          <w:lang w:val="en-GB"/>
          <w14:ligatures w14:val="none"/>
        </w:rPr>
      </w:pPr>
    </w:p>
    <w:p w14:paraId="47A704C6" w14:textId="77777777" w:rsidR="00186526" w:rsidRDefault="00186526" w:rsidP="00280939">
      <w:pPr>
        <w:spacing w:after="200" w:line="276" w:lineRule="auto"/>
        <w:rPr>
          <w:rFonts w:ascii="Times New Roman" w:eastAsia="Calibri" w:hAnsi="Times New Roman" w:cs="Times New Roman"/>
          <w:b/>
          <w:kern w:val="0"/>
          <w:lang w:val="en-GB"/>
          <w14:ligatures w14:val="none"/>
        </w:rPr>
      </w:pPr>
    </w:p>
    <w:p w14:paraId="55488E0C" w14:textId="77777777" w:rsidR="00186526" w:rsidRDefault="00186526" w:rsidP="00280939">
      <w:pPr>
        <w:spacing w:after="200" w:line="276" w:lineRule="auto"/>
        <w:rPr>
          <w:rFonts w:ascii="Times New Roman" w:eastAsia="Calibri" w:hAnsi="Times New Roman" w:cs="Times New Roman"/>
          <w:b/>
          <w:kern w:val="0"/>
          <w:lang w:val="en-GB"/>
          <w14:ligatures w14:val="none"/>
        </w:rPr>
      </w:pPr>
    </w:p>
    <w:p w14:paraId="70B53145" w14:textId="6D6EF8B8" w:rsidR="00A60822" w:rsidRPr="00A60822" w:rsidRDefault="00A60822" w:rsidP="00280939">
      <w:pPr>
        <w:spacing w:after="200" w:line="276" w:lineRule="auto"/>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RESULTS AND DISCUSSION</w:t>
      </w:r>
    </w:p>
    <w:p w14:paraId="7230174E" w14:textId="77777777" w:rsidR="00A60822" w:rsidRPr="00A60822" w:rsidRDefault="00A60822" w:rsidP="00A60822">
      <w:pPr>
        <w:spacing w:after="200" w:line="276" w:lineRule="auto"/>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4.1 </w:t>
      </w:r>
      <w:r w:rsidRPr="00A60822">
        <w:rPr>
          <w:rFonts w:ascii="Times New Roman" w:eastAsia="Calibri" w:hAnsi="Times New Roman" w:cs="Times New Roman"/>
          <w:b/>
          <w:kern w:val="0"/>
          <w:lang w:val="en-GB"/>
          <w14:ligatures w14:val="none"/>
        </w:rPr>
        <w:t>DESCRIPTIVE STATISTICS OF VARIABLES</w:t>
      </w:r>
    </w:p>
    <w:p w14:paraId="39FAF343" w14:textId="77777777" w:rsidR="00A60822" w:rsidRPr="00A60822" w:rsidRDefault="00A60822" w:rsidP="00A60822">
      <w:pPr>
        <w:spacing w:after="200" w:line="276" w:lineRule="auto"/>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Table 4.1 Descriptive statistics of DSCT, ACT, FCT and PAT</w:t>
      </w:r>
    </w:p>
    <w:p w14:paraId="6B5328C7"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kern w:val="0"/>
          <w:sz w:val="18"/>
          <w:szCs w:val="18"/>
          <w14:ligatures w14:val="none"/>
        </w:rPr>
      </w:pPr>
      <w:r w:rsidRPr="00A60822">
        <w:rPr>
          <w:rFonts w:ascii="Times New Roman" w:eastAsia="Calibri" w:hAnsi="Times New Roman" w:cs="Times New Roman"/>
          <w:kern w:val="0"/>
          <w:lang w:val="en-GB"/>
          <w14:ligatures w14:val="none"/>
        </w:rPr>
        <w:t xml:space="preserve"> </w:t>
      </w:r>
    </w:p>
    <w:tbl>
      <w:tblPr>
        <w:tblW w:w="0" w:type="auto"/>
        <w:tblInd w:w="30" w:type="dxa"/>
        <w:tblLayout w:type="fixed"/>
        <w:tblCellMar>
          <w:left w:w="0" w:type="dxa"/>
          <w:right w:w="0" w:type="dxa"/>
        </w:tblCellMar>
        <w:tblLook w:val="0000" w:firstRow="0" w:lastRow="0" w:firstColumn="0" w:lastColumn="0" w:noHBand="0" w:noVBand="0"/>
      </w:tblPr>
      <w:tblGrid>
        <w:gridCol w:w="1492"/>
        <w:gridCol w:w="1313"/>
        <w:gridCol w:w="1312"/>
        <w:gridCol w:w="1313"/>
        <w:gridCol w:w="1312"/>
      </w:tblGrid>
      <w:tr w:rsidR="00A60822" w:rsidRPr="00A60822" w14:paraId="7EE399BB" w14:textId="77777777" w:rsidTr="00D00B3F">
        <w:trPr>
          <w:trHeight w:val="225"/>
        </w:trPr>
        <w:tc>
          <w:tcPr>
            <w:tcW w:w="1492" w:type="dxa"/>
            <w:tcBorders>
              <w:top w:val="nil"/>
              <w:left w:val="nil"/>
              <w:bottom w:val="nil"/>
              <w:right w:val="nil"/>
            </w:tcBorders>
            <w:vAlign w:val="bottom"/>
          </w:tcPr>
          <w:p w14:paraId="70505985"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3" w:type="dxa"/>
            <w:tcBorders>
              <w:top w:val="nil"/>
              <w:left w:val="nil"/>
              <w:bottom w:val="nil"/>
              <w:right w:val="nil"/>
            </w:tcBorders>
            <w:vAlign w:val="bottom"/>
          </w:tcPr>
          <w:p w14:paraId="55872DA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DSCT</w:t>
            </w:r>
          </w:p>
        </w:tc>
        <w:tc>
          <w:tcPr>
            <w:tcW w:w="1312" w:type="dxa"/>
            <w:tcBorders>
              <w:top w:val="nil"/>
              <w:left w:val="nil"/>
              <w:bottom w:val="nil"/>
              <w:right w:val="nil"/>
            </w:tcBorders>
            <w:vAlign w:val="bottom"/>
          </w:tcPr>
          <w:p w14:paraId="3DEEBCD4"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ACT</w:t>
            </w:r>
          </w:p>
        </w:tc>
        <w:tc>
          <w:tcPr>
            <w:tcW w:w="1313" w:type="dxa"/>
            <w:tcBorders>
              <w:top w:val="nil"/>
              <w:left w:val="nil"/>
              <w:bottom w:val="nil"/>
              <w:right w:val="nil"/>
            </w:tcBorders>
            <w:vAlign w:val="bottom"/>
          </w:tcPr>
          <w:p w14:paraId="0ACED91A"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FCT</w:t>
            </w:r>
          </w:p>
        </w:tc>
        <w:tc>
          <w:tcPr>
            <w:tcW w:w="1312" w:type="dxa"/>
            <w:tcBorders>
              <w:top w:val="nil"/>
              <w:left w:val="nil"/>
              <w:bottom w:val="nil"/>
              <w:right w:val="nil"/>
            </w:tcBorders>
            <w:vAlign w:val="bottom"/>
          </w:tcPr>
          <w:p w14:paraId="3C6B63E2"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PAT</w:t>
            </w:r>
          </w:p>
        </w:tc>
      </w:tr>
      <w:tr w:rsidR="00A60822" w:rsidRPr="00A60822" w14:paraId="7764A9A3" w14:textId="77777777" w:rsidTr="00D00B3F">
        <w:trPr>
          <w:trHeight w:val="225"/>
        </w:trPr>
        <w:tc>
          <w:tcPr>
            <w:tcW w:w="1492" w:type="dxa"/>
            <w:tcBorders>
              <w:top w:val="nil"/>
              <w:left w:val="nil"/>
              <w:bottom w:val="nil"/>
              <w:right w:val="nil"/>
            </w:tcBorders>
            <w:vAlign w:val="bottom"/>
          </w:tcPr>
          <w:p w14:paraId="7C8DA9D2"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Mean</w:t>
            </w:r>
          </w:p>
        </w:tc>
        <w:tc>
          <w:tcPr>
            <w:tcW w:w="1313" w:type="dxa"/>
            <w:tcBorders>
              <w:top w:val="nil"/>
              <w:left w:val="nil"/>
              <w:bottom w:val="nil"/>
              <w:right w:val="nil"/>
            </w:tcBorders>
            <w:vAlign w:val="bottom"/>
          </w:tcPr>
          <w:p w14:paraId="61B8C61D"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58485.25</w:t>
            </w:r>
          </w:p>
        </w:tc>
        <w:tc>
          <w:tcPr>
            <w:tcW w:w="1312" w:type="dxa"/>
            <w:tcBorders>
              <w:top w:val="nil"/>
              <w:left w:val="nil"/>
              <w:bottom w:val="nil"/>
              <w:right w:val="nil"/>
            </w:tcBorders>
            <w:vAlign w:val="bottom"/>
          </w:tcPr>
          <w:p w14:paraId="089524E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123365.7</w:t>
            </w:r>
          </w:p>
        </w:tc>
        <w:tc>
          <w:tcPr>
            <w:tcW w:w="1313" w:type="dxa"/>
            <w:tcBorders>
              <w:top w:val="nil"/>
              <w:left w:val="nil"/>
              <w:bottom w:val="nil"/>
              <w:right w:val="nil"/>
            </w:tcBorders>
            <w:vAlign w:val="bottom"/>
          </w:tcPr>
          <w:p w14:paraId="5CB44CC9"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189497.7</w:t>
            </w:r>
          </w:p>
        </w:tc>
        <w:tc>
          <w:tcPr>
            <w:tcW w:w="1312" w:type="dxa"/>
            <w:tcBorders>
              <w:top w:val="nil"/>
              <w:left w:val="nil"/>
              <w:bottom w:val="nil"/>
              <w:right w:val="nil"/>
            </w:tcBorders>
            <w:vAlign w:val="bottom"/>
          </w:tcPr>
          <w:p w14:paraId="0BF2A9B1"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159926.8</w:t>
            </w:r>
          </w:p>
        </w:tc>
      </w:tr>
      <w:tr w:rsidR="00A60822" w:rsidRPr="00A60822" w14:paraId="67B937A5" w14:textId="77777777" w:rsidTr="00D00B3F">
        <w:trPr>
          <w:trHeight w:val="225"/>
        </w:trPr>
        <w:tc>
          <w:tcPr>
            <w:tcW w:w="1492" w:type="dxa"/>
            <w:tcBorders>
              <w:top w:val="nil"/>
              <w:left w:val="nil"/>
              <w:bottom w:val="nil"/>
              <w:right w:val="nil"/>
            </w:tcBorders>
            <w:vAlign w:val="bottom"/>
          </w:tcPr>
          <w:p w14:paraId="6BCCD736"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Median</w:t>
            </w:r>
          </w:p>
        </w:tc>
        <w:tc>
          <w:tcPr>
            <w:tcW w:w="1313" w:type="dxa"/>
            <w:tcBorders>
              <w:top w:val="nil"/>
              <w:left w:val="nil"/>
              <w:bottom w:val="nil"/>
              <w:right w:val="nil"/>
            </w:tcBorders>
            <w:vAlign w:val="bottom"/>
          </w:tcPr>
          <w:p w14:paraId="2C691C58"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28317.50</w:t>
            </w:r>
          </w:p>
        </w:tc>
        <w:tc>
          <w:tcPr>
            <w:tcW w:w="1312" w:type="dxa"/>
            <w:tcBorders>
              <w:top w:val="nil"/>
              <w:left w:val="nil"/>
              <w:bottom w:val="nil"/>
              <w:right w:val="nil"/>
            </w:tcBorders>
            <w:vAlign w:val="bottom"/>
          </w:tcPr>
          <w:p w14:paraId="57711AD5"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62608.50</w:t>
            </w:r>
          </w:p>
        </w:tc>
        <w:tc>
          <w:tcPr>
            <w:tcW w:w="1313" w:type="dxa"/>
            <w:tcBorders>
              <w:top w:val="nil"/>
              <w:left w:val="nil"/>
              <w:bottom w:val="nil"/>
              <w:right w:val="nil"/>
            </w:tcBorders>
            <w:vAlign w:val="bottom"/>
          </w:tcPr>
          <w:p w14:paraId="291F466E"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161424.5</w:t>
            </w:r>
          </w:p>
        </w:tc>
        <w:tc>
          <w:tcPr>
            <w:tcW w:w="1312" w:type="dxa"/>
            <w:tcBorders>
              <w:top w:val="nil"/>
              <w:left w:val="nil"/>
              <w:bottom w:val="nil"/>
              <w:right w:val="nil"/>
            </w:tcBorders>
            <w:vAlign w:val="bottom"/>
          </w:tcPr>
          <w:p w14:paraId="2FDDB6C4"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69866.00</w:t>
            </w:r>
          </w:p>
        </w:tc>
      </w:tr>
      <w:tr w:rsidR="00A60822" w:rsidRPr="00A60822" w14:paraId="6D65F7AD" w14:textId="77777777" w:rsidTr="00D00B3F">
        <w:trPr>
          <w:trHeight w:val="225"/>
        </w:trPr>
        <w:tc>
          <w:tcPr>
            <w:tcW w:w="1492" w:type="dxa"/>
            <w:tcBorders>
              <w:top w:val="nil"/>
              <w:left w:val="nil"/>
              <w:bottom w:val="nil"/>
              <w:right w:val="nil"/>
            </w:tcBorders>
            <w:vAlign w:val="bottom"/>
          </w:tcPr>
          <w:p w14:paraId="4798A8DB"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Maximum</w:t>
            </w:r>
          </w:p>
        </w:tc>
        <w:tc>
          <w:tcPr>
            <w:tcW w:w="1313" w:type="dxa"/>
            <w:tcBorders>
              <w:top w:val="nil"/>
              <w:left w:val="nil"/>
              <w:bottom w:val="nil"/>
              <w:right w:val="nil"/>
            </w:tcBorders>
            <w:vAlign w:val="bottom"/>
          </w:tcPr>
          <w:p w14:paraId="4692B35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928052.0</w:t>
            </w:r>
          </w:p>
        </w:tc>
        <w:tc>
          <w:tcPr>
            <w:tcW w:w="1312" w:type="dxa"/>
            <w:tcBorders>
              <w:top w:val="nil"/>
              <w:left w:val="nil"/>
              <w:bottom w:val="nil"/>
              <w:right w:val="nil"/>
            </w:tcBorders>
            <w:vAlign w:val="bottom"/>
          </w:tcPr>
          <w:p w14:paraId="04F641DC"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809590.0</w:t>
            </w:r>
          </w:p>
        </w:tc>
        <w:tc>
          <w:tcPr>
            <w:tcW w:w="1313" w:type="dxa"/>
            <w:tcBorders>
              <w:top w:val="nil"/>
              <w:left w:val="nil"/>
              <w:bottom w:val="nil"/>
              <w:right w:val="nil"/>
            </w:tcBorders>
            <w:vAlign w:val="bottom"/>
          </w:tcPr>
          <w:p w14:paraId="76494C11"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584794.0</w:t>
            </w:r>
          </w:p>
        </w:tc>
        <w:tc>
          <w:tcPr>
            <w:tcW w:w="1312" w:type="dxa"/>
            <w:tcBorders>
              <w:top w:val="nil"/>
              <w:left w:val="nil"/>
              <w:bottom w:val="nil"/>
              <w:right w:val="nil"/>
            </w:tcBorders>
            <w:vAlign w:val="bottom"/>
          </w:tcPr>
          <w:p w14:paraId="74F81C6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861974.0</w:t>
            </w:r>
          </w:p>
        </w:tc>
      </w:tr>
      <w:tr w:rsidR="00A60822" w:rsidRPr="00A60822" w14:paraId="23DD834D" w14:textId="77777777" w:rsidTr="00D00B3F">
        <w:trPr>
          <w:trHeight w:val="225"/>
        </w:trPr>
        <w:tc>
          <w:tcPr>
            <w:tcW w:w="1492" w:type="dxa"/>
            <w:tcBorders>
              <w:top w:val="nil"/>
              <w:left w:val="nil"/>
              <w:bottom w:val="nil"/>
              <w:right w:val="nil"/>
            </w:tcBorders>
            <w:vAlign w:val="bottom"/>
          </w:tcPr>
          <w:p w14:paraId="7BDB8F78"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Minimum</w:t>
            </w:r>
          </w:p>
        </w:tc>
        <w:tc>
          <w:tcPr>
            <w:tcW w:w="1313" w:type="dxa"/>
            <w:tcBorders>
              <w:top w:val="nil"/>
              <w:left w:val="nil"/>
              <w:bottom w:val="nil"/>
              <w:right w:val="nil"/>
            </w:tcBorders>
            <w:vAlign w:val="bottom"/>
          </w:tcPr>
          <w:p w14:paraId="311BF6E4"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1491.000</w:t>
            </w:r>
          </w:p>
        </w:tc>
        <w:tc>
          <w:tcPr>
            <w:tcW w:w="1312" w:type="dxa"/>
            <w:tcBorders>
              <w:top w:val="nil"/>
              <w:left w:val="nil"/>
              <w:bottom w:val="nil"/>
              <w:right w:val="nil"/>
            </w:tcBorders>
            <w:vAlign w:val="bottom"/>
          </w:tcPr>
          <w:p w14:paraId="18DB4BE4"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40.00000</w:t>
            </w:r>
          </w:p>
        </w:tc>
        <w:tc>
          <w:tcPr>
            <w:tcW w:w="1313" w:type="dxa"/>
            <w:tcBorders>
              <w:top w:val="nil"/>
              <w:left w:val="nil"/>
              <w:bottom w:val="nil"/>
              <w:right w:val="nil"/>
            </w:tcBorders>
            <w:vAlign w:val="bottom"/>
          </w:tcPr>
          <w:p w14:paraId="2FFB331C"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2251.000</w:t>
            </w:r>
          </w:p>
        </w:tc>
        <w:tc>
          <w:tcPr>
            <w:tcW w:w="1312" w:type="dxa"/>
            <w:tcBorders>
              <w:top w:val="nil"/>
              <w:left w:val="nil"/>
              <w:bottom w:val="nil"/>
              <w:right w:val="nil"/>
            </w:tcBorders>
            <w:vAlign w:val="bottom"/>
          </w:tcPr>
          <w:p w14:paraId="52E4856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3078.000</w:t>
            </w:r>
          </w:p>
        </w:tc>
      </w:tr>
      <w:tr w:rsidR="00A60822" w:rsidRPr="00A60822" w14:paraId="3DAFA38A" w14:textId="77777777" w:rsidTr="00D00B3F">
        <w:trPr>
          <w:trHeight w:val="225"/>
        </w:trPr>
        <w:tc>
          <w:tcPr>
            <w:tcW w:w="1492" w:type="dxa"/>
            <w:tcBorders>
              <w:top w:val="nil"/>
              <w:left w:val="nil"/>
              <w:bottom w:val="nil"/>
              <w:right w:val="nil"/>
            </w:tcBorders>
            <w:vAlign w:val="bottom"/>
          </w:tcPr>
          <w:p w14:paraId="0402E922"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Std. Dev.</w:t>
            </w:r>
          </w:p>
        </w:tc>
        <w:tc>
          <w:tcPr>
            <w:tcW w:w="1313" w:type="dxa"/>
            <w:tcBorders>
              <w:top w:val="nil"/>
              <w:left w:val="nil"/>
              <w:bottom w:val="nil"/>
              <w:right w:val="nil"/>
            </w:tcBorders>
            <w:vAlign w:val="bottom"/>
          </w:tcPr>
          <w:p w14:paraId="7EB66DC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145940.8</w:t>
            </w:r>
          </w:p>
        </w:tc>
        <w:tc>
          <w:tcPr>
            <w:tcW w:w="1312" w:type="dxa"/>
            <w:tcBorders>
              <w:top w:val="nil"/>
              <w:left w:val="nil"/>
              <w:bottom w:val="nil"/>
              <w:right w:val="nil"/>
            </w:tcBorders>
            <w:vAlign w:val="bottom"/>
          </w:tcPr>
          <w:p w14:paraId="379D6BFE"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181438.8</w:t>
            </w:r>
          </w:p>
        </w:tc>
        <w:tc>
          <w:tcPr>
            <w:tcW w:w="1313" w:type="dxa"/>
            <w:tcBorders>
              <w:top w:val="nil"/>
              <w:left w:val="nil"/>
              <w:bottom w:val="nil"/>
              <w:right w:val="nil"/>
            </w:tcBorders>
            <w:vAlign w:val="bottom"/>
          </w:tcPr>
          <w:p w14:paraId="2D44B1E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153022.2</w:t>
            </w:r>
          </w:p>
        </w:tc>
        <w:tc>
          <w:tcPr>
            <w:tcW w:w="1312" w:type="dxa"/>
            <w:tcBorders>
              <w:top w:val="nil"/>
              <w:left w:val="nil"/>
              <w:bottom w:val="nil"/>
              <w:right w:val="nil"/>
            </w:tcBorders>
            <w:vAlign w:val="bottom"/>
          </w:tcPr>
          <w:p w14:paraId="3F69174C"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231188.6</w:t>
            </w:r>
          </w:p>
        </w:tc>
      </w:tr>
      <w:tr w:rsidR="00A60822" w:rsidRPr="00A60822" w14:paraId="5D947256" w14:textId="77777777" w:rsidTr="00D00B3F">
        <w:trPr>
          <w:trHeight w:val="225"/>
        </w:trPr>
        <w:tc>
          <w:tcPr>
            <w:tcW w:w="1492" w:type="dxa"/>
            <w:tcBorders>
              <w:top w:val="nil"/>
              <w:left w:val="nil"/>
              <w:bottom w:val="nil"/>
              <w:right w:val="nil"/>
            </w:tcBorders>
            <w:vAlign w:val="bottom"/>
          </w:tcPr>
          <w:p w14:paraId="1621B250"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Skewness</w:t>
            </w:r>
          </w:p>
        </w:tc>
        <w:tc>
          <w:tcPr>
            <w:tcW w:w="1313" w:type="dxa"/>
            <w:tcBorders>
              <w:top w:val="nil"/>
              <w:left w:val="nil"/>
              <w:bottom w:val="nil"/>
              <w:right w:val="nil"/>
            </w:tcBorders>
            <w:vAlign w:val="bottom"/>
          </w:tcPr>
          <w:p w14:paraId="25C25DFD"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5.498738</w:t>
            </w:r>
          </w:p>
        </w:tc>
        <w:tc>
          <w:tcPr>
            <w:tcW w:w="1312" w:type="dxa"/>
            <w:tcBorders>
              <w:top w:val="nil"/>
              <w:left w:val="nil"/>
              <w:bottom w:val="nil"/>
              <w:right w:val="nil"/>
            </w:tcBorders>
            <w:vAlign w:val="bottom"/>
          </w:tcPr>
          <w:p w14:paraId="2C9C6BDB"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2.111577</w:t>
            </w:r>
          </w:p>
        </w:tc>
        <w:tc>
          <w:tcPr>
            <w:tcW w:w="1313" w:type="dxa"/>
            <w:tcBorders>
              <w:top w:val="nil"/>
              <w:left w:val="nil"/>
              <w:bottom w:val="nil"/>
              <w:right w:val="nil"/>
            </w:tcBorders>
            <w:vAlign w:val="bottom"/>
          </w:tcPr>
          <w:p w14:paraId="07E28C3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0.857828</w:t>
            </w:r>
          </w:p>
        </w:tc>
        <w:tc>
          <w:tcPr>
            <w:tcW w:w="1312" w:type="dxa"/>
            <w:tcBorders>
              <w:top w:val="nil"/>
              <w:left w:val="nil"/>
              <w:bottom w:val="nil"/>
              <w:right w:val="nil"/>
            </w:tcBorders>
            <w:vAlign w:val="bottom"/>
          </w:tcPr>
          <w:p w14:paraId="192939A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1.942488</w:t>
            </w:r>
          </w:p>
        </w:tc>
      </w:tr>
      <w:tr w:rsidR="00A60822" w:rsidRPr="00A60822" w14:paraId="487569B8" w14:textId="77777777" w:rsidTr="00D00B3F">
        <w:trPr>
          <w:trHeight w:val="225"/>
        </w:trPr>
        <w:tc>
          <w:tcPr>
            <w:tcW w:w="1492" w:type="dxa"/>
            <w:tcBorders>
              <w:top w:val="nil"/>
              <w:left w:val="nil"/>
              <w:bottom w:val="nil"/>
              <w:right w:val="nil"/>
            </w:tcBorders>
            <w:vAlign w:val="bottom"/>
          </w:tcPr>
          <w:p w14:paraId="22F32476"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Kurtosis</w:t>
            </w:r>
          </w:p>
        </w:tc>
        <w:tc>
          <w:tcPr>
            <w:tcW w:w="1313" w:type="dxa"/>
            <w:tcBorders>
              <w:top w:val="nil"/>
              <w:left w:val="nil"/>
              <w:bottom w:val="nil"/>
              <w:right w:val="nil"/>
            </w:tcBorders>
            <w:vAlign w:val="bottom"/>
          </w:tcPr>
          <w:p w14:paraId="64CA86D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33.17366</w:t>
            </w:r>
          </w:p>
        </w:tc>
        <w:tc>
          <w:tcPr>
            <w:tcW w:w="1312" w:type="dxa"/>
            <w:tcBorders>
              <w:top w:val="nil"/>
              <w:left w:val="nil"/>
              <w:bottom w:val="nil"/>
              <w:right w:val="nil"/>
            </w:tcBorders>
            <w:vAlign w:val="bottom"/>
          </w:tcPr>
          <w:p w14:paraId="48A3433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7.292046</w:t>
            </w:r>
          </w:p>
        </w:tc>
        <w:tc>
          <w:tcPr>
            <w:tcW w:w="1313" w:type="dxa"/>
            <w:tcBorders>
              <w:top w:val="nil"/>
              <w:left w:val="nil"/>
              <w:bottom w:val="nil"/>
              <w:right w:val="nil"/>
            </w:tcBorders>
            <w:vAlign w:val="bottom"/>
          </w:tcPr>
          <w:p w14:paraId="3A556FEA"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2.986164</w:t>
            </w:r>
          </w:p>
        </w:tc>
        <w:tc>
          <w:tcPr>
            <w:tcW w:w="1312" w:type="dxa"/>
            <w:tcBorders>
              <w:top w:val="nil"/>
              <w:left w:val="nil"/>
              <w:bottom w:val="nil"/>
              <w:right w:val="nil"/>
            </w:tcBorders>
            <w:vAlign w:val="bottom"/>
          </w:tcPr>
          <w:p w14:paraId="7AB337ED"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5.645858</w:t>
            </w:r>
          </w:p>
        </w:tc>
      </w:tr>
      <w:tr w:rsidR="00A60822" w:rsidRPr="00A60822" w14:paraId="06CA1D31" w14:textId="77777777" w:rsidTr="00D00B3F">
        <w:trPr>
          <w:trHeight w:val="225"/>
        </w:trPr>
        <w:tc>
          <w:tcPr>
            <w:tcW w:w="1492" w:type="dxa"/>
            <w:tcBorders>
              <w:top w:val="nil"/>
              <w:left w:val="nil"/>
              <w:bottom w:val="nil"/>
              <w:right w:val="nil"/>
            </w:tcBorders>
            <w:vAlign w:val="bottom"/>
          </w:tcPr>
          <w:p w14:paraId="5B65A3F7"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3" w:type="dxa"/>
            <w:tcBorders>
              <w:top w:val="nil"/>
              <w:left w:val="nil"/>
              <w:bottom w:val="nil"/>
              <w:right w:val="nil"/>
            </w:tcBorders>
            <w:vAlign w:val="bottom"/>
          </w:tcPr>
          <w:p w14:paraId="655018B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2" w:type="dxa"/>
            <w:tcBorders>
              <w:top w:val="nil"/>
              <w:left w:val="nil"/>
              <w:bottom w:val="nil"/>
              <w:right w:val="nil"/>
            </w:tcBorders>
            <w:vAlign w:val="bottom"/>
          </w:tcPr>
          <w:p w14:paraId="4CD00F99"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3" w:type="dxa"/>
            <w:tcBorders>
              <w:top w:val="nil"/>
              <w:left w:val="nil"/>
              <w:bottom w:val="nil"/>
              <w:right w:val="nil"/>
            </w:tcBorders>
            <w:vAlign w:val="bottom"/>
          </w:tcPr>
          <w:p w14:paraId="64F33D7E"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2" w:type="dxa"/>
            <w:tcBorders>
              <w:top w:val="nil"/>
              <w:left w:val="nil"/>
              <w:bottom w:val="nil"/>
              <w:right w:val="nil"/>
            </w:tcBorders>
            <w:vAlign w:val="bottom"/>
          </w:tcPr>
          <w:p w14:paraId="628AED9A"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r>
      <w:tr w:rsidR="00A60822" w:rsidRPr="00A60822" w14:paraId="6EBA700E" w14:textId="77777777" w:rsidTr="00D00B3F">
        <w:trPr>
          <w:trHeight w:val="225"/>
        </w:trPr>
        <w:tc>
          <w:tcPr>
            <w:tcW w:w="1492" w:type="dxa"/>
            <w:tcBorders>
              <w:top w:val="nil"/>
              <w:left w:val="nil"/>
              <w:bottom w:val="nil"/>
              <w:right w:val="nil"/>
            </w:tcBorders>
            <w:vAlign w:val="bottom"/>
          </w:tcPr>
          <w:p w14:paraId="12CE9807"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Jarque-Bera</w:t>
            </w:r>
          </w:p>
        </w:tc>
        <w:tc>
          <w:tcPr>
            <w:tcW w:w="1313" w:type="dxa"/>
            <w:tcBorders>
              <w:top w:val="nil"/>
              <w:left w:val="nil"/>
              <w:bottom w:val="nil"/>
              <w:right w:val="nil"/>
            </w:tcBorders>
            <w:vAlign w:val="bottom"/>
          </w:tcPr>
          <w:p w14:paraId="1AAAF30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1718.991</w:t>
            </w:r>
          </w:p>
        </w:tc>
        <w:tc>
          <w:tcPr>
            <w:tcW w:w="1312" w:type="dxa"/>
            <w:tcBorders>
              <w:top w:val="nil"/>
              <w:left w:val="nil"/>
              <w:bottom w:val="nil"/>
              <w:right w:val="nil"/>
            </w:tcBorders>
            <w:vAlign w:val="bottom"/>
          </w:tcPr>
          <w:p w14:paraId="2B391228"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60.42783</w:t>
            </w:r>
          </w:p>
        </w:tc>
        <w:tc>
          <w:tcPr>
            <w:tcW w:w="1313" w:type="dxa"/>
            <w:tcBorders>
              <w:top w:val="nil"/>
              <w:left w:val="nil"/>
              <w:bottom w:val="nil"/>
              <w:right w:val="nil"/>
            </w:tcBorders>
            <w:vAlign w:val="bottom"/>
          </w:tcPr>
          <w:p w14:paraId="477A432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4.906108</w:t>
            </w:r>
          </w:p>
        </w:tc>
        <w:tc>
          <w:tcPr>
            <w:tcW w:w="1312" w:type="dxa"/>
            <w:tcBorders>
              <w:top w:val="nil"/>
              <w:left w:val="nil"/>
              <w:bottom w:val="nil"/>
              <w:right w:val="nil"/>
            </w:tcBorders>
            <w:vAlign w:val="bottom"/>
          </w:tcPr>
          <w:p w14:paraId="386DFE1D"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36.82266</w:t>
            </w:r>
          </w:p>
        </w:tc>
      </w:tr>
      <w:tr w:rsidR="00A60822" w:rsidRPr="00A60822" w14:paraId="187358DC" w14:textId="77777777" w:rsidTr="00D00B3F">
        <w:trPr>
          <w:trHeight w:val="225"/>
        </w:trPr>
        <w:tc>
          <w:tcPr>
            <w:tcW w:w="1492" w:type="dxa"/>
            <w:tcBorders>
              <w:top w:val="nil"/>
              <w:left w:val="nil"/>
              <w:bottom w:val="nil"/>
              <w:right w:val="nil"/>
            </w:tcBorders>
            <w:vAlign w:val="bottom"/>
          </w:tcPr>
          <w:p w14:paraId="0169BAE8"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Probability</w:t>
            </w:r>
          </w:p>
        </w:tc>
        <w:tc>
          <w:tcPr>
            <w:tcW w:w="1313" w:type="dxa"/>
            <w:tcBorders>
              <w:top w:val="nil"/>
              <w:left w:val="nil"/>
              <w:bottom w:val="nil"/>
              <w:right w:val="nil"/>
            </w:tcBorders>
            <w:vAlign w:val="bottom"/>
          </w:tcPr>
          <w:p w14:paraId="50340676"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0.000000</w:t>
            </w:r>
          </w:p>
        </w:tc>
        <w:tc>
          <w:tcPr>
            <w:tcW w:w="1312" w:type="dxa"/>
            <w:tcBorders>
              <w:top w:val="nil"/>
              <w:left w:val="nil"/>
              <w:bottom w:val="nil"/>
              <w:right w:val="nil"/>
            </w:tcBorders>
            <w:vAlign w:val="bottom"/>
          </w:tcPr>
          <w:p w14:paraId="76E8AED6"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0.000000</w:t>
            </w:r>
          </w:p>
        </w:tc>
        <w:tc>
          <w:tcPr>
            <w:tcW w:w="1313" w:type="dxa"/>
            <w:tcBorders>
              <w:top w:val="nil"/>
              <w:left w:val="nil"/>
              <w:bottom w:val="nil"/>
              <w:right w:val="nil"/>
            </w:tcBorders>
            <w:vAlign w:val="bottom"/>
          </w:tcPr>
          <w:p w14:paraId="57884878"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0.086030</w:t>
            </w:r>
          </w:p>
        </w:tc>
        <w:tc>
          <w:tcPr>
            <w:tcW w:w="1312" w:type="dxa"/>
            <w:tcBorders>
              <w:top w:val="nil"/>
              <w:left w:val="nil"/>
              <w:bottom w:val="nil"/>
              <w:right w:val="nil"/>
            </w:tcBorders>
            <w:vAlign w:val="bottom"/>
          </w:tcPr>
          <w:p w14:paraId="2250FFD5"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0.000000</w:t>
            </w:r>
          </w:p>
        </w:tc>
      </w:tr>
      <w:tr w:rsidR="00A60822" w:rsidRPr="00A60822" w14:paraId="093FD60E" w14:textId="77777777" w:rsidTr="00D00B3F">
        <w:trPr>
          <w:trHeight w:val="225"/>
        </w:trPr>
        <w:tc>
          <w:tcPr>
            <w:tcW w:w="1492" w:type="dxa"/>
            <w:tcBorders>
              <w:top w:val="nil"/>
              <w:left w:val="nil"/>
              <w:bottom w:val="nil"/>
              <w:right w:val="nil"/>
            </w:tcBorders>
            <w:vAlign w:val="bottom"/>
          </w:tcPr>
          <w:p w14:paraId="1C24B888"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3" w:type="dxa"/>
            <w:tcBorders>
              <w:top w:val="nil"/>
              <w:left w:val="nil"/>
              <w:bottom w:val="nil"/>
              <w:right w:val="nil"/>
            </w:tcBorders>
            <w:vAlign w:val="bottom"/>
          </w:tcPr>
          <w:p w14:paraId="47C7ED42"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2" w:type="dxa"/>
            <w:tcBorders>
              <w:top w:val="nil"/>
              <w:left w:val="nil"/>
              <w:bottom w:val="nil"/>
              <w:right w:val="nil"/>
            </w:tcBorders>
            <w:vAlign w:val="bottom"/>
          </w:tcPr>
          <w:p w14:paraId="5BE5CB2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3" w:type="dxa"/>
            <w:tcBorders>
              <w:top w:val="nil"/>
              <w:left w:val="nil"/>
              <w:bottom w:val="nil"/>
              <w:right w:val="nil"/>
            </w:tcBorders>
            <w:vAlign w:val="bottom"/>
          </w:tcPr>
          <w:p w14:paraId="19AE75C6"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2" w:type="dxa"/>
            <w:tcBorders>
              <w:top w:val="nil"/>
              <w:left w:val="nil"/>
              <w:bottom w:val="nil"/>
              <w:right w:val="nil"/>
            </w:tcBorders>
            <w:vAlign w:val="bottom"/>
          </w:tcPr>
          <w:p w14:paraId="54E8FD07"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r>
      <w:tr w:rsidR="00A60822" w:rsidRPr="00A60822" w14:paraId="1247570C" w14:textId="77777777" w:rsidTr="00D00B3F">
        <w:trPr>
          <w:trHeight w:val="225"/>
        </w:trPr>
        <w:tc>
          <w:tcPr>
            <w:tcW w:w="1492" w:type="dxa"/>
            <w:tcBorders>
              <w:top w:val="nil"/>
              <w:left w:val="nil"/>
              <w:bottom w:val="nil"/>
              <w:right w:val="nil"/>
            </w:tcBorders>
            <w:vAlign w:val="bottom"/>
          </w:tcPr>
          <w:p w14:paraId="710388C3"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Sum</w:t>
            </w:r>
          </w:p>
        </w:tc>
        <w:tc>
          <w:tcPr>
            <w:tcW w:w="1313" w:type="dxa"/>
            <w:tcBorders>
              <w:top w:val="nil"/>
              <w:left w:val="nil"/>
              <w:bottom w:val="nil"/>
              <w:right w:val="nil"/>
            </w:tcBorders>
            <w:vAlign w:val="bottom"/>
          </w:tcPr>
          <w:p w14:paraId="2FA28B17"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2339410.</w:t>
            </w:r>
          </w:p>
        </w:tc>
        <w:tc>
          <w:tcPr>
            <w:tcW w:w="1312" w:type="dxa"/>
            <w:tcBorders>
              <w:top w:val="nil"/>
              <w:left w:val="nil"/>
              <w:bottom w:val="nil"/>
              <w:right w:val="nil"/>
            </w:tcBorders>
            <w:vAlign w:val="bottom"/>
          </w:tcPr>
          <w:p w14:paraId="09BEBAB7"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4934628.</w:t>
            </w:r>
          </w:p>
        </w:tc>
        <w:tc>
          <w:tcPr>
            <w:tcW w:w="1313" w:type="dxa"/>
            <w:tcBorders>
              <w:top w:val="nil"/>
              <w:left w:val="nil"/>
              <w:bottom w:val="nil"/>
              <w:right w:val="nil"/>
            </w:tcBorders>
            <w:vAlign w:val="bottom"/>
          </w:tcPr>
          <w:p w14:paraId="750DAB49"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7579909.</w:t>
            </w:r>
          </w:p>
        </w:tc>
        <w:tc>
          <w:tcPr>
            <w:tcW w:w="1312" w:type="dxa"/>
            <w:tcBorders>
              <w:top w:val="nil"/>
              <w:left w:val="nil"/>
              <w:bottom w:val="nil"/>
              <w:right w:val="nil"/>
            </w:tcBorders>
            <w:vAlign w:val="bottom"/>
          </w:tcPr>
          <w:p w14:paraId="2871013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6397073.</w:t>
            </w:r>
          </w:p>
        </w:tc>
      </w:tr>
      <w:tr w:rsidR="00A60822" w:rsidRPr="00A60822" w14:paraId="25C443A8" w14:textId="77777777" w:rsidTr="00D00B3F">
        <w:trPr>
          <w:trHeight w:val="225"/>
        </w:trPr>
        <w:tc>
          <w:tcPr>
            <w:tcW w:w="1492" w:type="dxa"/>
            <w:tcBorders>
              <w:top w:val="nil"/>
              <w:left w:val="nil"/>
              <w:bottom w:val="nil"/>
              <w:right w:val="nil"/>
            </w:tcBorders>
            <w:vAlign w:val="bottom"/>
          </w:tcPr>
          <w:p w14:paraId="55E31B35"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Sum Sq. Dev.</w:t>
            </w:r>
          </w:p>
        </w:tc>
        <w:tc>
          <w:tcPr>
            <w:tcW w:w="1313" w:type="dxa"/>
            <w:tcBorders>
              <w:top w:val="nil"/>
              <w:left w:val="nil"/>
              <w:bottom w:val="nil"/>
              <w:right w:val="nil"/>
            </w:tcBorders>
            <w:vAlign w:val="bottom"/>
          </w:tcPr>
          <w:p w14:paraId="0497B4C5"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8.31E+11</w:t>
            </w:r>
          </w:p>
        </w:tc>
        <w:tc>
          <w:tcPr>
            <w:tcW w:w="1312" w:type="dxa"/>
            <w:tcBorders>
              <w:top w:val="nil"/>
              <w:left w:val="nil"/>
              <w:bottom w:val="nil"/>
              <w:right w:val="nil"/>
            </w:tcBorders>
            <w:vAlign w:val="bottom"/>
          </w:tcPr>
          <w:p w14:paraId="4AFEAE5A"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1.28E+12</w:t>
            </w:r>
          </w:p>
        </w:tc>
        <w:tc>
          <w:tcPr>
            <w:tcW w:w="1313" w:type="dxa"/>
            <w:tcBorders>
              <w:top w:val="nil"/>
              <w:left w:val="nil"/>
              <w:bottom w:val="nil"/>
              <w:right w:val="nil"/>
            </w:tcBorders>
            <w:vAlign w:val="bottom"/>
          </w:tcPr>
          <w:p w14:paraId="277382CC"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9.13E+11</w:t>
            </w:r>
          </w:p>
        </w:tc>
        <w:tc>
          <w:tcPr>
            <w:tcW w:w="1312" w:type="dxa"/>
            <w:tcBorders>
              <w:top w:val="nil"/>
              <w:left w:val="nil"/>
              <w:bottom w:val="nil"/>
              <w:right w:val="nil"/>
            </w:tcBorders>
            <w:vAlign w:val="bottom"/>
          </w:tcPr>
          <w:p w14:paraId="156D8642"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2.08E+12</w:t>
            </w:r>
          </w:p>
        </w:tc>
      </w:tr>
      <w:tr w:rsidR="00A60822" w:rsidRPr="00A60822" w14:paraId="530A5D12" w14:textId="77777777" w:rsidTr="00D00B3F">
        <w:trPr>
          <w:trHeight w:val="225"/>
        </w:trPr>
        <w:tc>
          <w:tcPr>
            <w:tcW w:w="1492" w:type="dxa"/>
            <w:tcBorders>
              <w:top w:val="nil"/>
              <w:left w:val="nil"/>
              <w:bottom w:val="nil"/>
              <w:right w:val="nil"/>
            </w:tcBorders>
            <w:vAlign w:val="bottom"/>
          </w:tcPr>
          <w:p w14:paraId="756447EA"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3" w:type="dxa"/>
            <w:tcBorders>
              <w:top w:val="nil"/>
              <w:left w:val="nil"/>
              <w:bottom w:val="nil"/>
              <w:right w:val="nil"/>
            </w:tcBorders>
            <w:vAlign w:val="bottom"/>
          </w:tcPr>
          <w:p w14:paraId="2327CB94"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2" w:type="dxa"/>
            <w:tcBorders>
              <w:top w:val="nil"/>
              <w:left w:val="nil"/>
              <w:bottom w:val="nil"/>
              <w:right w:val="nil"/>
            </w:tcBorders>
            <w:vAlign w:val="bottom"/>
          </w:tcPr>
          <w:p w14:paraId="48B9B21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3" w:type="dxa"/>
            <w:tcBorders>
              <w:top w:val="nil"/>
              <w:left w:val="nil"/>
              <w:bottom w:val="nil"/>
              <w:right w:val="nil"/>
            </w:tcBorders>
            <w:vAlign w:val="bottom"/>
          </w:tcPr>
          <w:p w14:paraId="16F15D6B"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c>
          <w:tcPr>
            <w:tcW w:w="1312" w:type="dxa"/>
            <w:tcBorders>
              <w:top w:val="nil"/>
              <w:left w:val="nil"/>
              <w:bottom w:val="nil"/>
              <w:right w:val="nil"/>
            </w:tcBorders>
            <w:vAlign w:val="bottom"/>
          </w:tcPr>
          <w:p w14:paraId="44999588"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p>
        </w:tc>
      </w:tr>
      <w:tr w:rsidR="00A60822" w:rsidRPr="00A60822" w14:paraId="0BAEE624" w14:textId="77777777" w:rsidTr="00D00B3F">
        <w:trPr>
          <w:trHeight w:val="225"/>
        </w:trPr>
        <w:tc>
          <w:tcPr>
            <w:tcW w:w="1492" w:type="dxa"/>
            <w:tcBorders>
              <w:top w:val="nil"/>
              <w:left w:val="nil"/>
              <w:bottom w:val="nil"/>
              <w:right w:val="nil"/>
            </w:tcBorders>
            <w:vAlign w:val="bottom"/>
          </w:tcPr>
          <w:p w14:paraId="4FA14D23" w14:textId="77777777" w:rsidR="00A60822" w:rsidRPr="00A60822" w:rsidRDefault="00A60822" w:rsidP="00A60822">
            <w:pPr>
              <w:autoSpaceDE w:val="0"/>
              <w:autoSpaceDN w:val="0"/>
              <w:adjustRightInd w:val="0"/>
              <w:spacing w:after="0" w:line="240" w:lineRule="auto"/>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Observations</w:t>
            </w:r>
          </w:p>
        </w:tc>
        <w:tc>
          <w:tcPr>
            <w:tcW w:w="1313" w:type="dxa"/>
            <w:tcBorders>
              <w:top w:val="nil"/>
              <w:left w:val="nil"/>
              <w:bottom w:val="nil"/>
              <w:right w:val="nil"/>
            </w:tcBorders>
            <w:vAlign w:val="bottom"/>
          </w:tcPr>
          <w:p w14:paraId="7A190A22"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40</w:t>
            </w:r>
          </w:p>
        </w:tc>
        <w:tc>
          <w:tcPr>
            <w:tcW w:w="1312" w:type="dxa"/>
            <w:tcBorders>
              <w:top w:val="nil"/>
              <w:left w:val="nil"/>
              <w:bottom w:val="nil"/>
              <w:right w:val="nil"/>
            </w:tcBorders>
            <w:vAlign w:val="bottom"/>
          </w:tcPr>
          <w:p w14:paraId="2DA6B310"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40</w:t>
            </w:r>
          </w:p>
        </w:tc>
        <w:tc>
          <w:tcPr>
            <w:tcW w:w="1313" w:type="dxa"/>
            <w:tcBorders>
              <w:top w:val="nil"/>
              <w:left w:val="nil"/>
              <w:bottom w:val="nil"/>
              <w:right w:val="nil"/>
            </w:tcBorders>
            <w:vAlign w:val="bottom"/>
          </w:tcPr>
          <w:p w14:paraId="6F303843"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40</w:t>
            </w:r>
          </w:p>
        </w:tc>
        <w:tc>
          <w:tcPr>
            <w:tcW w:w="1312" w:type="dxa"/>
            <w:tcBorders>
              <w:top w:val="nil"/>
              <w:left w:val="nil"/>
              <w:bottom w:val="nil"/>
              <w:right w:val="nil"/>
            </w:tcBorders>
            <w:vAlign w:val="bottom"/>
          </w:tcPr>
          <w:p w14:paraId="27EB5F2C" w14:textId="77777777" w:rsidR="00A60822" w:rsidRPr="00A60822" w:rsidRDefault="00A60822" w:rsidP="00A60822">
            <w:pPr>
              <w:autoSpaceDE w:val="0"/>
              <w:autoSpaceDN w:val="0"/>
              <w:adjustRightInd w:val="0"/>
              <w:spacing w:after="0" w:line="240" w:lineRule="auto"/>
              <w:jc w:val="center"/>
              <w:rPr>
                <w:rFonts w:ascii="Times New Roman" w:eastAsia="Calibri" w:hAnsi="Times New Roman" w:cs="Times New Roman"/>
                <w:color w:val="000000"/>
                <w:kern w:val="0"/>
                <w:sz w:val="18"/>
                <w:szCs w:val="18"/>
                <w14:ligatures w14:val="none"/>
              </w:rPr>
            </w:pPr>
            <w:r w:rsidRPr="00A60822">
              <w:rPr>
                <w:rFonts w:ascii="Times New Roman" w:eastAsia="Calibri" w:hAnsi="Times New Roman" w:cs="Times New Roman"/>
                <w:color w:val="000000"/>
                <w:kern w:val="0"/>
                <w:sz w:val="18"/>
                <w:szCs w:val="18"/>
                <w14:ligatures w14:val="none"/>
              </w:rPr>
              <w:t> 40</w:t>
            </w:r>
          </w:p>
        </w:tc>
      </w:tr>
    </w:tbl>
    <w:p w14:paraId="4FBFADAC" w14:textId="77777777" w:rsidR="00A60822" w:rsidRPr="00A60822" w:rsidRDefault="00A60822" w:rsidP="00A60822">
      <w:pPr>
        <w:spacing w:after="200" w:line="276" w:lineRule="auto"/>
        <w:jc w:val="both"/>
        <w:rPr>
          <w:rFonts w:ascii="Times New Roman" w:eastAsia="Calibri" w:hAnsi="Times New Roman" w:cs="Times New Roman"/>
          <w:kern w:val="0"/>
          <w:sz w:val="22"/>
          <w:szCs w:val="22"/>
          <w:lang w:val="en-GB"/>
          <w14:ligatures w14:val="none"/>
        </w:rPr>
      </w:pPr>
      <w:r w:rsidRPr="00A60822">
        <w:rPr>
          <w:rFonts w:ascii="Arial" w:eastAsia="Calibri" w:hAnsi="Arial" w:cs="Arial"/>
          <w:kern w:val="0"/>
          <w:sz w:val="18"/>
          <w:szCs w:val="18"/>
          <w14:ligatures w14:val="none"/>
        </w:rPr>
        <w:br/>
      </w:r>
      <w:r w:rsidRPr="00A60822">
        <w:rPr>
          <w:rFonts w:ascii="Times New Roman" w:eastAsia="Calibri" w:hAnsi="Times New Roman" w:cs="Times New Roman"/>
          <w:b/>
          <w:kern w:val="0"/>
          <w:lang w:val="en-GB"/>
          <w14:ligatures w14:val="none"/>
        </w:rPr>
        <w:t>Result Interpretation</w:t>
      </w:r>
      <w:r w:rsidRPr="00A60822">
        <w:rPr>
          <w:rFonts w:ascii="Times New Roman" w:eastAsia="Calibri" w:hAnsi="Times New Roman" w:cs="Times New Roman"/>
          <w:kern w:val="0"/>
          <w:lang w:val="en-GB"/>
          <w14:ligatures w14:val="none"/>
        </w:rPr>
        <w:t xml:space="preserve">: </w:t>
      </w:r>
      <w:r w:rsidRPr="00A60822">
        <w:rPr>
          <w:rFonts w:ascii="Times New Roman" w:eastAsia="Calibri" w:hAnsi="Times New Roman" w:cs="Times New Roman"/>
          <w:kern w:val="0"/>
          <w:sz w:val="22"/>
          <w:szCs w:val="22"/>
          <w:lang w:val="en-GB"/>
          <w14:ligatures w14:val="none"/>
        </w:rPr>
        <w:t>Table 4.1 shows the results of time series descriptive statistics. To test time series normality based on Jarque-Bera Probability value compared against 5% level of significance. It was revealed that Distribution and Selling Costs (DSCT), Administrative Cost (ACT) and Profit after tax (PAT) were normally distributed as Jarque-Bera Probability values (DSCT=0.000000, ACT=0.000000 and PAT=0.000000) are less than 0.05 level of significance; but Finance cost (FCT)=</w:t>
      </w:r>
      <w:r w:rsidRPr="00A60822">
        <w:rPr>
          <w:rFonts w:ascii="Arial" w:eastAsia="Calibri" w:hAnsi="Arial" w:cs="Arial"/>
          <w:color w:val="000000"/>
          <w:kern w:val="0"/>
          <w:sz w:val="22"/>
          <w:szCs w:val="22"/>
          <w14:ligatures w14:val="none"/>
        </w:rPr>
        <w:t xml:space="preserve"> </w:t>
      </w:r>
      <w:r w:rsidRPr="00A60822">
        <w:rPr>
          <w:rFonts w:ascii="Times New Roman" w:eastAsia="Calibri" w:hAnsi="Times New Roman" w:cs="Times New Roman"/>
          <w:color w:val="000000"/>
          <w:kern w:val="0"/>
          <w:sz w:val="22"/>
          <w:szCs w:val="22"/>
          <w14:ligatures w14:val="none"/>
        </w:rPr>
        <w:t>0.086030</w:t>
      </w:r>
      <w:r w:rsidRPr="00A60822">
        <w:rPr>
          <w:rFonts w:ascii="Times New Roman" w:eastAsia="Calibri" w:hAnsi="Times New Roman" w:cs="Times New Roman"/>
          <w:kern w:val="0"/>
          <w:sz w:val="22"/>
          <w:szCs w:val="22"/>
          <w:lang w:val="en-GB"/>
          <w14:ligatures w14:val="none"/>
        </w:rPr>
        <w:t xml:space="preserve"> was not. Consequently, a further check is done by unit root test to ascertain normally of distribution.</w:t>
      </w:r>
    </w:p>
    <w:p w14:paraId="07767AFA" w14:textId="77777777" w:rsidR="00A60822" w:rsidRPr="00A60822" w:rsidRDefault="00A60822" w:rsidP="00A60822">
      <w:pPr>
        <w:spacing w:after="200" w:line="276"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kern w:val="0"/>
          <w:lang w:val="en-GB"/>
          <w14:ligatures w14:val="none"/>
        </w:rPr>
        <w:t xml:space="preserve">4.2 </w:t>
      </w:r>
      <w:r w:rsidRPr="00A60822">
        <w:rPr>
          <w:rFonts w:ascii="Times New Roman" w:eastAsia="Calibri" w:hAnsi="Times New Roman" w:cs="Times New Roman"/>
          <w:b/>
          <w:kern w:val="0"/>
          <w:lang w:val="en-GB"/>
          <w14:ligatures w14:val="none"/>
        </w:rPr>
        <w:t>UNIT ROOT TEST OF DATA SERIES</w:t>
      </w:r>
    </w:p>
    <w:tbl>
      <w:tblPr>
        <w:tblStyle w:val="TableGrid"/>
        <w:tblW w:w="0" w:type="auto"/>
        <w:tblLook w:val="04A0" w:firstRow="1" w:lastRow="0" w:firstColumn="1" w:lastColumn="0" w:noHBand="0" w:noVBand="1"/>
      </w:tblPr>
      <w:tblGrid>
        <w:gridCol w:w="1668"/>
        <w:gridCol w:w="2835"/>
        <w:gridCol w:w="2679"/>
        <w:gridCol w:w="2394"/>
      </w:tblGrid>
      <w:tr w:rsidR="00A60822" w:rsidRPr="00A60822" w14:paraId="0956FACA" w14:textId="77777777" w:rsidTr="00D00B3F">
        <w:tc>
          <w:tcPr>
            <w:tcW w:w="1668" w:type="dxa"/>
          </w:tcPr>
          <w:p w14:paraId="675873FA"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Data Series</w:t>
            </w:r>
          </w:p>
        </w:tc>
        <w:tc>
          <w:tcPr>
            <w:tcW w:w="2835" w:type="dxa"/>
          </w:tcPr>
          <w:p w14:paraId="47662FA3"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Augmented DF @ 5%</w:t>
            </w:r>
          </w:p>
        </w:tc>
        <w:tc>
          <w:tcPr>
            <w:tcW w:w="2679" w:type="dxa"/>
          </w:tcPr>
          <w:p w14:paraId="363E56AF"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Phillips-Peron @ 5%</w:t>
            </w:r>
          </w:p>
        </w:tc>
        <w:tc>
          <w:tcPr>
            <w:tcW w:w="2394" w:type="dxa"/>
          </w:tcPr>
          <w:p w14:paraId="10904295"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Remarks</w:t>
            </w:r>
          </w:p>
        </w:tc>
      </w:tr>
      <w:tr w:rsidR="00A60822" w:rsidRPr="00A60822" w14:paraId="1E195CE3" w14:textId="77777777" w:rsidTr="00D00B3F">
        <w:tc>
          <w:tcPr>
            <w:tcW w:w="1668" w:type="dxa"/>
          </w:tcPr>
          <w:p w14:paraId="68DFD4BF"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DSCT</w:t>
            </w:r>
          </w:p>
        </w:tc>
        <w:tc>
          <w:tcPr>
            <w:tcW w:w="2835" w:type="dxa"/>
          </w:tcPr>
          <w:p w14:paraId="6DF19A85"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0.0000 at 2</w:t>
            </w:r>
            <w:r w:rsidRPr="00A60822">
              <w:rPr>
                <w:rFonts w:ascii="Times New Roman" w:eastAsia="Calibri" w:hAnsi="Times New Roman" w:cs="Times New Roman"/>
                <w:vertAlign w:val="superscript"/>
                <w:lang w:val="en-GB"/>
              </w:rPr>
              <w:t>nd</w:t>
            </w:r>
            <w:r w:rsidRPr="00A60822">
              <w:rPr>
                <w:rFonts w:ascii="Times New Roman" w:eastAsia="Calibri" w:hAnsi="Times New Roman" w:cs="Times New Roman"/>
                <w:lang w:val="en-GB"/>
              </w:rPr>
              <w:t xml:space="preserve"> difference</w:t>
            </w:r>
          </w:p>
        </w:tc>
        <w:tc>
          <w:tcPr>
            <w:tcW w:w="2679" w:type="dxa"/>
          </w:tcPr>
          <w:p w14:paraId="68C1D92C" w14:textId="77777777" w:rsidR="00A60822" w:rsidRPr="00A60822" w:rsidRDefault="00A60822" w:rsidP="00A60822">
            <w:pPr>
              <w:jc w:val="both"/>
              <w:rPr>
                <w:rFonts w:ascii="Times New Roman" w:eastAsia="Calibri" w:hAnsi="Times New Roman" w:cs="Times New Roman"/>
                <w:b/>
                <w:lang w:val="en-GB"/>
              </w:rPr>
            </w:pPr>
            <w:r w:rsidRPr="00A60822">
              <w:rPr>
                <w:rFonts w:ascii="Times New Roman" w:eastAsia="Calibri" w:hAnsi="Times New Roman" w:cs="Times New Roman"/>
                <w:b/>
                <w:lang w:val="en-GB"/>
              </w:rPr>
              <w:t>0.0001 at 1</w:t>
            </w:r>
            <w:r w:rsidRPr="00A60822">
              <w:rPr>
                <w:rFonts w:ascii="Times New Roman" w:eastAsia="Calibri" w:hAnsi="Times New Roman" w:cs="Times New Roman"/>
                <w:b/>
                <w:vertAlign w:val="superscript"/>
                <w:lang w:val="en-GB"/>
              </w:rPr>
              <w:t>st</w:t>
            </w:r>
            <w:r w:rsidRPr="00A60822">
              <w:rPr>
                <w:rFonts w:ascii="Times New Roman" w:eastAsia="Calibri" w:hAnsi="Times New Roman" w:cs="Times New Roman"/>
                <w:b/>
                <w:lang w:val="en-GB"/>
              </w:rPr>
              <w:t xml:space="preserve"> difference</w:t>
            </w:r>
          </w:p>
        </w:tc>
        <w:tc>
          <w:tcPr>
            <w:tcW w:w="2394" w:type="dxa"/>
          </w:tcPr>
          <w:p w14:paraId="6FB56CBC"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Use Phillips-P results</w:t>
            </w:r>
          </w:p>
        </w:tc>
      </w:tr>
      <w:tr w:rsidR="00A60822" w:rsidRPr="00A60822" w14:paraId="14B810E1" w14:textId="77777777" w:rsidTr="00D00B3F">
        <w:tc>
          <w:tcPr>
            <w:tcW w:w="1668" w:type="dxa"/>
          </w:tcPr>
          <w:p w14:paraId="4E0D3C38"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ACT</w:t>
            </w:r>
          </w:p>
        </w:tc>
        <w:tc>
          <w:tcPr>
            <w:tcW w:w="2835" w:type="dxa"/>
          </w:tcPr>
          <w:p w14:paraId="6CCBFC52"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0.0000 at 2</w:t>
            </w:r>
            <w:r w:rsidRPr="00A60822">
              <w:rPr>
                <w:rFonts w:ascii="Times New Roman" w:eastAsia="Calibri" w:hAnsi="Times New Roman" w:cs="Times New Roman"/>
                <w:vertAlign w:val="superscript"/>
                <w:lang w:val="en-GB"/>
              </w:rPr>
              <w:t>nd</w:t>
            </w:r>
            <w:r w:rsidRPr="00A60822">
              <w:rPr>
                <w:rFonts w:ascii="Times New Roman" w:eastAsia="Calibri" w:hAnsi="Times New Roman" w:cs="Times New Roman"/>
                <w:lang w:val="en-GB"/>
              </w:rPr>
              <w:t xml:space="preserve"> difference</w:t>
            </w:r>
          </w:p>
        </w:tc>
        <w:tc>
          <w:tcPr>
            <w:tcW w:w="2679" w:type="dxa"/>
          </w:tcPr>
          <w:p w14:paraId="689BB6AB" w14:textId="77777777" w:rsidR="00A60822" w:rsidRPr="00A60822" w:rsidRDefault="00A60822" w:rsidP="00A60822">
            <w:pPr>
              <w:jc w:val="both"/>
              <w:rPr>
                <w:rFonts w:ascii="Times New Roman" w:eastAsia="Calibri" w:hAnsi="Times New Roman" w:cs="Times New Roman"/>
                <w:b/>
                <w:lang w:val="en-GB"/>
              </w:rPr>
            </w:pPr>
            <w:r w:rsidRPr="00A60822">
              <w:rPr>
                <w:rFonts w:ascii="Times New Roman" w:eastAsia="Calibri" w:hAnsi="Times New Roman" w:cs="Times New Roman"/>
                <w:b/>
                <w:lang w:val="en-GB"/>
              </w:rPr>
              <w:t>0.0001 at 1</w:t>
            </w:r>
            <w:r w:rsidRPr="00A60822">
              <w:rPr>
                <w:rFonts w:ascii="Times New Roman" w:eastAsia="Calibri" w:hAnsi="Times New Roman" w:cs="Times New Roman"/>
                <w:b/>
                <w:vertAlign w:val="superscript"/>
                <w:lang w:val="en-GB"/>
              </w:rPr>
              <w:t>st</w:t>
            </w:r>
            <w:r w:rsidRPr="00A60822">
              <w:rPr>
                <w:rFonts w:ascii="Times New Roman" w:eastAsia="Calibri" w:hAnsi="Times New Roman" w:cs="Times New Roman"/>
                <w:b/>
                <w:lang w:val="en-GB"/>
              </w:rPr>
              <w:t xml:space="preserve"> difference</w:t>
            </w:r>
          </w:p>
        </w:tc>
        <w:tc>
          <w:tcPr>
            <w:tcW w:w="2394" w:type="dxa"/>
          </w:tcPr>
          <w:p w14:paraId="38BBB914"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Use Phillips-P results</w:t>
            </w:r>
          </w:p>
        </w:tc>
      </w:tr>
      <w:tr w:rsidR="00A60822" w:rsidRPr="00A60822" w14:paraId="7ACE3730" w14:textId="77777777" w:rsidTr="00D00B3F">
        <w:tc>
          <w:tcPr>
            <w:tcW w:w="1668" w:type="dxa"/>
          </w:tcPr>
          <w:p w14:paraId="746C4EB1"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FCT</w:t>
            </w:r>
          </w:p>
        </w:tc>
        <w:tc>
          <w:tcPr>
            <w:tcW w:w="2835" w:type="dxa"/>
          </w:tcPr>
          <w:p w14:paraId="7A13DD06"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0.0000 at 2</w:t>
            </w:r>
            <w:r w:rsidRPr="00A60822">
              <w:rPr>
                <w:rFonts w:ascii="Times New Roman" w:eastAsia="Calibri" w:hAnsi="Times New Roman" w:cs="Times New Roman"/>
                <w:vertAlign w:val="superscript"/>
                <w:lang w:val="en-GB"/>
              </w:rPr>
              <w:t>nd</w:t>
            </w:r>
            <w:r w:rsidRPr="00A60822">
              <w:rPr>
                <w:rFonts w:ascii="Times New Roman" w:eastAsia="Calibri" w:hAnsi="Times New Roman" w:cs="Times New Roman"/>
                <w:lang w:val="en-GB"/>
              </w:rPr>
              <w:t xml:space="preserve"> difference</w:t>
            </w:r>
          </w:p>
        </w:tc>
        <w:tc>
          <w:tcPr>
            <w:tcW w:w="2679" w:type="dxa"/>
          </w:tcPr>
          <w:p w14:paraId="671331C7" w14:textId="77777777" w:rsidR="00A60822" w:rsidRPr="00A60822" w:rsidRDefault="00A60822" w:rsidP="00A60822">
            <w:pPr>
              <w:jc w:val="both"/>
              <w:rPr>
                <w:rFonts w:ascii="Times New Roman" w:eastAsia="Calibri" w:hAnsi="Times New Roman" w:cs="Times New Roman"/>
                <w:b/>
                <w:lang w:val="en-GB"/>
              </w:rPr>
            </w:pPr>
            <w:r w:rsidRPr="00A60822">
              <w:rPr>
                <w:rFonts w:ascii="Times New Roman" w:eastAsia="Calibri" w:hAnsi="Times New Roman" w:cs="Times New Roman"/>
                <w:b/>
                <w:lang w:val="en-GB"/>
              </w:rPr>
              <w:t>0.0001 at 1</w:t>
            </w:r>
            <w:r w:rsidRPr="00A60822">
              <w:rPr>
                <w:rFonts w:ascii="Times New Roman" w:eastAsia="Calibri" w:hAnsi="Times New Roman" w:cs="Times New Roman"/>
                <w:b/>
                <w:vertAlign w:val="superscript"/>
                <w:lang w:val="en-GB"/>
              </w:rPr>
              <w:t>st</w:t>
            </w:r>
            <w:r w:rsidRPr="00A60822">
              <w:rPr>
                <w:rFonts w:ascii="Times New Roman" w:eastAsia="Calibri" w:hAnsi="Times New Roman" w:cs="Times New Roman"/>
                <w:b/>
                <w:lang w:val="en-GB"/>
              </w:rPr>
              <w:t xml:space="preserve"> difference</w:t>
            </w:r>
          </w:p>
        </w:tc>
        <w:tc>
          <w:tcPr>
            <w:tcW w:w="2394" w:type="dxa"/>
          </w:tcPr>
          <w:p w14:paraId="66699035"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Use Phillips-P results</w:t>
            </w:r>
          </w:p>
        </w:tc>
      </w:tr>
      <w:tr w:rsidR="00A60822" w:rsidRPr="00A60822" w14:paraId="7D78FC57" w14:textId="77777777" w:rsidTr="00D00B3F">
        <w:tc>
          <w:tcPr>
            <w:tcW w:w="1668" w:type="dxa"/>
          </w:tcPr>
          <w:p w14:paraId="542828E4"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PAT</w:t>
            </w:r>
          </w:p>
        </w:tc>
        <w:tc>
          <w:tcPr>
            <w:tcW w:w="2835" w:type="dxa"/>
          </w:tcPr>
          <w:p w14:paraId="23B5A7CB"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0.0083 at 2</w:t>
            </w:r>
            <w:r w:rsidRPr="00A60822">
              <w:rPr>
                <w:rFonts w:ascii="Times New Roman" w:eastAsia="Calibri" w:hAnsi="Times New Roman" w:cs="Times New Roman"/>
                <w:vertAlign w:val="superscript"/>
                <w:lang w:val="en-GB"/>
              </w:rPr>
              <w:t>nd</w:t>
            </w:r>
            <w:r w:rsidRPr="00A60822">
              <w:rPr>
                <w:rFonts w:ascii="Times New Roman" w:eastAsia="Calibri" w:hAnsi="Times New Roman" w:cs="Times New Roman"/>
                <w:lang w:val="en-GB"/>
              </w:rPr>
              <w:t xml:space="preserve"> difference</w:t>
            </w:r>
          </w:p>
        </w:tc>
        <w:tc>
          <w:tcPr>
            <w:tcW w:w="2679" w:type="dxa"/>
          </w:tcPr>
          <w:p w14:paraId="0AF2DEFB" w14:textId="77777777" w:rsidR="00A60822" w:rsidRPr="00A60822" w:rsidRDefault="00A60822" w:rsidP="00A60822">
            <w:pPr>
              <w:jc w:val="both"/>
              <w:rPr>
                <w:rFonts w:ascii="Times New Roman" w:eastAsia="Calibri" w:hAnsi="Times New Roman" w:cs="Times New Roman"/>
                <w:b/>
                <w:lang w:val="en-GB"/>
              </w:rPr>
            </w:pPr>
            <w:r w:rsidRPr="00A60822">
              <w:rPr>
                <w:rFonts w:ascii="Times New Roman" w:eastAsia="Calibri" w:hAnsi="Times New Roman" w:cs="Times New Roman"/>
                <w:b/>
                <w:lang w:val="en-GB"/>
              </w:rPr>
              <w:t>0.0001 at 1</w:t>
            </w:r>
            <w:r w:rsidRPr="00A60822">
              <w:rPr>
                <w:rFonts w:ascii="Times New Roman" w:eastAsia="Calibri" w:hAnsi="Times New Roman" w:cs="Times New Roman"/>
                <w:b/>
                <w:vertAlign w:val="superscript"/>
                <w:lang w:val="en-GB"/>
              </w:rPr>
              <w:t>st</w:t>
            </w:r>
            <w:r w:rsidRPr="00A60822">
              <w:rPr>
                <w:rFonts w:ascii="Times New Roman" w:eastAsia="Calibri" w:hAnsi="Times New Roman" w:cs="Times New Roman"/>
                <w:b/>
                <w:lang w:val="en-GB"/>
              </w:rPr>
              <w:t xml:space="preserve"> difference</w:t>
            </w:r>
          </w:p>
        </w:tc>
        <w:tc>
          <w:tcPr>
            <w:tcW w:w="2394" w:type="dxa"/>
          </w:tcPr>
          <w:p w14:paraId="2260FA8F"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Use Phillips-P results</w:t>
            </w:r>
          </w:p>
        </w:tc>
      </w:tr>
    </w:tbl>
    <w:p w14:paraId="25757EE2" w14:textId="77777777" w:rsidR="00A60822" w:rsidRPr="00A60822" w:rsidRDefault="00A60822" w:rsidP="00A60822">
      <w:pPr>
        <w:spacing w:after="200" w:line="276" w:lineRule="auto"/>
        <w:jc w:val="both"/>
        <w:rPr>
          <w:rFonts w:ascii="Times New Roman" w:eastAsia="Calibri" w:hAnsi="Times New Roman" w:cs="Times New Roman"/>
          <w:kern w:val="0"/>
          <w:sz w:val="22"/>
          <w:szCs w:val="22"/>
          <w:lang w:val="en-GB"/>
          <w14:ligatures w14:val="none"/>
        </w:rPr>
      </w:pPr>
      <w:r w:rsidRPr="00A60822">
        <w:rPr>
          <w:rFonts w:ascii="Times New Roman" w:eastAsia="Calibri" w:hAnsi="Times New Roman" w:cs="Times New Roman"/>
          <w:b/>
          <w:kern w:val="0"/>
          <w:lang w:val="en-GB"/>
          <w14:ligatures w14:val="none"/>
        </w:rPr>
        <w:t>Result Interpretation</w:t>
      </w:r>
      <w:r w:rsidRPr="00A60822">
        <w:rPr>
          <w:rFonts w:ascii="Times New Roman" w:eastAsia="Calibri" w:hAnsi="Times New Roman" w:cs="Times New Roman"/>
          <w:kern w:val="0"/>
          <w:lang w:val="en-GB"/>
          <w14:ligatures w14:val="none"/>
        </w:rPr>
        <w:t xml:space="preserve">: </w:t>
      </w:r>
      <w:r w:rsidRPr="00A60822">
        <w:rPr>
          <w:rFonts w:ascii="Times New Roman" w:eastAsia="Calibri" w:hAnsi="Times New Roman" w:cs="Times New Roman"/>
          <w:kern w:val="0"/>
          <w:sz w:val="22"/>
          <w:szCs w:val="22"/>
          <w:lang w:val="en-GB"/>
          <w14:ligatures w14:val="none"/>
        </w:rPr>
        <w:t>Table 4.1 reveals Unit root test outcome using Phillips-Peron statistics test result to show that DSCT, ACT, FCT and PAT series were non-stationary at level (0(1)) but stationary at first difference (1(1)) at 5% level of significance.</w:t>
      </w:r>
    </w:p>
    <w:p w14:paraId="2901BE75"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00B142DF" w14:textId="77777777" w:rsidR="00280939" w:rsidRDefault="00280939" w:rsidP="00A60822">
      <w:pPr>
        <w:spacing w:after="200" w:line="276" w:lineRule="auto"/>
        <w:jc w:val="both"/>
        <w:rPr>
          <w:rFonts w:ascii="Times New Roman" w:eastAsia="Calibri" w:hAnsi="Times New Roman" w:cs="Times New Roman"/>
          <w:kern w:val="0"/>
          <w:lang w:val="en-GB"/>
          <w14:ligatures w14:val="none"/>
        </w:rPr>
      </w:pPr>
    </w:p>
    <w:p w14:paraId="7B549C6C" w14:textId="77777777" w:rsidR="00280939" w:rsidRDefault="00280939" w:rsidP="00A60822">
      <w:pPr>
        <w:spacing w:after="200" w:line="276" w:lineRule="auto"/>
        <w:jc w:val="both"/>
        <w:rPr>
          <w:rFonts w:ascii="Times New Roman" w:eastAsia="Calibri" w:hAnsi="Times New Roman" w:cs="Times New Roman"/>
          <w:kern w:val="0"/>
          <w:lang w:val="en-GB"/>
          <w14:ligatures w14:val="none"/>
        </w:rPr>
      </w:pPr>
    </w:p>
    <w:p w14:paraId="79B8200E" w14:textId="77777777" w:rsidR="00280939" w:rsidRDefault="00280939" w:rsidP="00A60822">
      <w:pPr>
        <w:spacing w:after="200" w:line="276" w:lineRule="auto"/>
        <w:jc w:val="both"/>
        <w:rPr>
          <w:rFonts w:ascii="Times New Roman" w:eastAsia="Calibri" w:hAnsi="Times New Roman" w:cs="Times New Roman"/>
          <w:kern w:val="0"/>
          <w:lang w:val="en-GB"/>
          <w14:ligatures w14:val="none"/>
        </w:rPr>
      </w:pPr>
    </w:p>
    <w:p w14:paraId="0C41F73D" w14:textId="77777777" w:rsidR="00280939" w:rsidRDefault="00280939" w:rsidP="00A60822">
      <w:pPr>
        <w:spacing w:after="200" w:line="276" w:lineRule="auto"/>
        <w:jc w:val="both"/>
        <w:rPr>
          <w:rFonts w:ascii="Times New Roman" w:eastAsia="Calibri" w:hAnsi="Times New Roman" w:cs="Times New Roman"/>
          <w:kern w:val="0"/>
          <w:lang w:val="en-GB"/>
          <w14:ligatures w14:val="none"/>
        </w:rPr>
      </w:pPr>
    </w:p>
    <w:p w14:paraId="4EAB0BCA" w14:textId="77777777" w:rsidR="00280939" w:rsidRDefault="00280939" w:rsidP="00A60822">
      <w:pPr>
        <w:spacing w:after="200" w:line="276" w:lineRule="auto"/>
        <w:jc w:val="both"/>
        <w:rPr>
          <w:rFonts w:ascii="Times New Roman" w:eastAsia="Calibri" w:hAnsi="Times New Roman" w:cs="Times New Roman"/>
          <w:kern w:val="0"/>
          <w:lang w:val="en-GB"/>
          <w14:ligatures w14:val="none"/>
        </w:rPr>
      </w:pPr>
    </w:p>
    <w:p w14:paraId="1FB8EE69" w14:textId="77777777" w:rsidR="00280939" w:rsidRDefault="00280939" w:rsidP="00A60822">
      <w:pPr>
        <w:spacing w:after="200" w:line="276" w:lineRule="auto"/>
        <w:jc w:val="both"/>
        <w:rPr>
          <w:rFonts w:ascii="Times New Roman" w:eastAsia="Calibri" w:hAnsi="Times New Roman" w:cs="Times New Roman"/>
          <w:kern w:val="0"/>
          <w:lang w:val="en-GB"/>
          <w14:ligatures w14:val="none"/>
        </w:rPr>
      </w:pPr>
    </w:p>
    <w:p w14:paraId="27915F86" w14:textId="12F01742" w:rsidR="00A60822" w:rsidRPr="00A60822" w:rsidRDefault="00A60822" w:rsidP="00A60822">
      <w:pPr>
        <w:spacing w:after="200" w:line="276"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4.3 </w:t>
      </w:r>
      <w:r w:rsidRPr="00A60822">
        <w:rPr>
          <w:rFonts w:ascii="Times New Roman" w:eastAsia="Calibri" w:hAnsi="Times New Roman" w:cs="Times New Roman"/>
          <w:b/>
          <w:kern w:val="0"/>
          <w:lang w:val="en-GB"/>
          <w14:ligatures w14:val="none"/>
        </w:rPr>
        <w:t>JOHANSON COINTEGRATION RESULTS</w:t>
      </w:r>
    </w:p>
    <w:p w14:paraId="0F0A4CBB" w14:textId="77777777" w:rsidR="00A60822" w:rsidRPr="00A60822" w:rsidRDefault="00A60822" w:rsidP="00A60822">
      <w:pPr>
        <w:spacing w:after="200" w:line="276"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Table 4.3: Reveal Johanson Cointegration Result of DSCT, ACT, FCT and PAT</w:t>
      </w:r>
    </w:p>
    <w:p w14:paraId="192E6C7D" w14:textId="77777777" w:rsidR="00A60822" w:rsidRPr="00A60822" w:rsidRDefault="00A60822" w:rsidP="00A60822">
      <w:pPr>
        <w:autoSpaceDE w:val="0"/>
        <w:autoSpaceDN w:val="0"/>
        <w:adjustRightInd w:val="0"/>
        <w:spacing w:after="0" w:line="240" w:lineRule="auto"/>
        <w:rPr>
          <w:rFonts w:ascii="Arial" w:eastAsia="Calibri" w:hAnsi="Arial" w:cs="Arial"/>
          <w:kern w:val="0"/>
          <w:sz w:val="18"/>
          <w:szCs w:val="18"/>
          <w14:ligatures w14:val="none"/>
        </w:rPr>
      </w:pPr>
    </w:p>
    <w:tbl>
      <w:tblPr>
        <w:tblW w:w="0" w:type="auto"/>
        <w:tblInd w:w="30" w:type="dxa"/>
        <w:tblLayout w:type="fixed"/>
        <w:tblCellMar>
          <w:left w:w="0" w:type="dxa"/>
          <w:right w:w="0" w:type="dxa"/>
        </w:tblCellMar>
        <w:tblLook w:val="0000" w:firstRow="0" w:lastRow="0" w:firstColumn="0" w:lastColumn="0" w:noHBand="0" w:noVBand="0"/>
      </w:tblPr>
      <w:tblGrid>
        <w:gridCol w:w="1387"/>
        <w:gridCol w:w="1418"/>
        <w:gridCol w:w="1417"/>
        <w:gridCol w:w="1418"/>
        <w:gridCol w:w="1417"/>
      </w:tblGrid>
      <w:tr w:rsidR="00A60822" w:rsidRPr="00A60822" w14:paraId="06A86613" w14:textId="77777777" w:rsidTr="00D00B3F">
        <w:trPr>
          <w:trHeight w:val="225"/>
        </w:trPr>
        <w:tc>
          <w:tcPr>
            <w:tcW w:w="4222" w:type="dxa"/>
            <w:gridSpan w:val="3"/>
            <w:tcBorders>
              <w:top w:val="nil"/>
              <w:left w:val="nil"/>
              <w:bottom w:val="nil"/>
              <w:right w:val="nil"/>
            </w:tcBorders>
            <w:vAlign w:val="bottom"/>
          </w:tcPr>
          <w:p w14:paraId="2504C6FC"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Date: 04/03/25   Time: 12:44</w:t>
            </w:r>
          </w:p>
        </w:tc>
        <w:tc>
          <w:tcPr>
            <w:tcW w:w="1418" w:type="dxa"/>
            <w:tcBorders>
              <w:top w:val="nil"/>
              <w:left w:val="nil"/>
              <w:bottom w:val="nil"/>
              <w:right w:val="nil"/>
            </w:tcBorders>
            <w:vAlign w:val="bottom"/>
          </w:tcPr>
          <w:p w14:paraId="435287A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502A6D1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14848D32" w14:textId="77777777" w:rsidTr="00D00B3F">
        <w:trPr>
          <w:trHeight w:val="225"/>
        </w:trPr>
        <w:tc>
          <w:tcPr>
            <w:tcW w:w="4222" w:type="dxa"/>
            <w:gridSpan w:val="3"/>
            <w:tcBorders>
              <w:top w:val="nil"/>
              <w:left w:val="nil"/>
              <w:bottom w:val="nil"/>
              <w:right w:val="nil"/>
            </w:tcBorders>
            <w:vAlign w:val="bottom"/>
          </w:tcPr>
          <w:p w14:paraId="0560A266"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Sample (adjusted): 2004 2024</w:t>
            </w:r>
          </w:p>
        </w:tc>
        <w:tc>
          <w:tcPr>
            <w:tcW w:w="1418" w:type="dxa"/>
            <w:tcBorders>
              <w:top w:val="nil"/>
              <w:left w:val="nil"/>
              <w:bottom w:val="nil"/>
              <w:right w:val="nil"/>
            </w:tcBorders>
            <w:vAlign w:val="bottom"/>
          </w:tcPr>
          <w:p w14:paraId="6742DF1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0B74A25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21C23C3F" w14:textId="77777777" w:rsidTr="00D00B3F">
        <w:trPr>
          <w:trHeight w:val="225"/>
        </w:trPr>
        <w:tc>
          <w:tcPr>
            <w:tcW w:w="5640" w:type="dxa"/>
            <w:gridSpan w:val="4"/>
            <w:tcBorders>
              <w:top w:val="nil"/>
              <w:left w:val="nil"/>
              <w:bottom w:val="nil"/>
              <w:right w:val="nil"/>
            </w:tcBorders>
            <w:vAlign w:val="bottom"/>
          </w:tcPr>
          <w:p w14:paraId="3C29635F"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Included observations: 38 after adjustments</w:t>
            </w:r>
          </w:p>
        </w:tc>
        <w:tc>
          <w:tcPr>
            <w:tcW w:w="1417" w:type="dxa"/>
            <w:tcBorders>
              <w:top w:val="nil"/>
              <w:left w:val="nil"/>
              <w:bottom w:val="nil"/>
              <w:right w:val="nil"/>
            </w:tcBorders>
            <w:vAlign w:val="bottom"/>
          </w:tcPr>
          <w:p w14:paraId="1AD613C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2ABCC4E9" w14:textId="77777777" w:rsidTr="00D00B3F">
        <w:trPr>
          <w:trHeight w:val="225"/>
        </w:trPr>
        <w:tc>
          <w:tcPr>
            <w:tcW w:w="5640" w:type="dxa"/>
            <w:gridSpan w:val="4"/>
            <w:tcBorders>
              <w:top w:val="nil"/>
              <w:left w:val="nil"/>
              <w:bottom w:val="nil"/>
              <w:right w:val="nil"/>
            </w:tcBorders>
            <w:vAlign w:val="bottom"/>
          </w:tcPr>
          <w:p w14:paraId="338E0D23"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Trend assumption: Linear deterministic trend</w:t>
            </w:r>
          </w:p>
        </w:tc>
        <w:tc>
          <w:tcPr>
            <w:tcW w:w="1417" w:type="dxa"/>
            <w:tcBorders>
              <w:top w:val="nil"/>
              <w:left w:val="nil"/>
              <w:bottom w:val="nil"/>
              <w:right w:val="nil"/>
            </w:tcBorders>
            <w:vAlign w:val="bottom"/>
          </w:tcPr>
          <w:p w14:paraId="6B9ABFC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26B89CD8" w14:textId="77777777" w:rsidTr="00D00B3F">
        <w:trPr>
          <w:trHeight w:val="225"/>
        </w:trPr>
        <w:tc>
          <w:tcPr>
            <w:tcW w:w="4222" w:type="dxa"/>
            <w:gridSpan w:val="3"/>
            <w:tcBorders>
              <w:top w:val="nil"/>
              <w:left w:val="nil"/>
              <w:bottom w:val="nil"/>
              <w:right w:val="nil"/>
            </w:tcBorders>
            <w:vAlign w:val="bottom"/>
          </w:tcPr>
          <w:p w14:paraId="26DAE35B"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Series: PAT DSCT ACT FCT </w:t>
            </w:r>
          </w:p>
        </w:tc>
        <w:tc>
          <w:tcPr>
            <w:tcW w:w="1418" w:type="dxa"/>
            <w:tcBorders>
              <w:top w:val="nil"/>
              <w:left w:val="nil"/>
              <w:bottom w:val="nil"/>
              <w:right w:val="nil"/>
            </w:tcBorders>
            <w:vAlign w:val="bottom"/>
          </w:tcPr>
          <w:p w14:paraId="3650E33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58288D1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34AA60CD" w14:textId="77777777" w:rsidTr="00D00B3F">
        <w:trPr>
          <w:trHeight w:val="225"/>
        </w:trPr>
        <w:tc>
          <w:tcPr>
            <w:tcW w:w="5640" w:type="dxa"/>
            <w:gridSpan w:val="4"/>
            <w:tcBorders>
              <w:top w:val="nil"/>
              <w:left w:val="nil"/>
              <w:bottom w:val="nil"/>
              <w:right w:val="nil"/>
            </w:tcBorders>
            <w:vAlign w:val="bottom"/>
          </w:tcPr>
          <w:p w14:paraId="1365D1E1"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Lags interval (in first differences): 1 to 1</w:t>
            </w:r>
          </w:p>
        </w:tc>
        <w:tc>
          <w:tcPr>
            <w:tcW w:w="1417" w:type="dxa"/>
            <w:tcBorders>
              <w:top w:val="nil"/>
              <w:left w:val="nil"/>
              <w:bottom w:val="nil"/>
              <w:right w:val="nil"/>
            </w:tcBorders>
            <w:vAlign w:val="bottom"/>
          </w:tcPr>
          <w:p w14:paraId="44315C2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20F42FD8" w14:textId="77777777" w:rsidTr="00D00B3F">
        <w:trPr>
          <w:trHeight w:hRule="exact" w:val="90"/>
        </w:trPr>
        <w:tc>
          <w:tcPr>
            <w:tcW w:w="1387" w:type="dxa"/>
            <w:tcBorders>
              <w:top w:val="nil"/>
              <w:left w:val="nil"/>
              <w:bottom w:val="double" w:sz="6" w:space="2" w:color="auto"/>
              <w:right w:val="nil"/>
            </w:tcBorders>
            <w:vAlign w:val="bottom"/>
          </w:tcPr>
          <w:p w14:paraId="0750574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3030876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50C80B2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2560DDF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10301DC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66A33D3F" w14:textId="77777777" w:rsidTr="00D00B3F">
        <w:trPr>
          <w:trHeight w:hRule="exact" w:val="135"/>
        </w:trPr>
        <w:tc>
          <w:tcPr>
            <w:tcW w:w="1387" w:type="dxa"/>
            <w:tcBorders>
              <w:top w:val="nil"/>
              <w:left w:val="nil"/>
              <w:bottom w:val="nil"/>
              <w:right w:val="nil"/>
            </w:tcBorders>
            <w:vAlign w:val="bottom"/>
          </w:tcPr>
          <w:p w14:paraId="52DC3A4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65B564B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7AE61BB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68C24E1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013B9A8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4DDA2C21" w14:textId="77777777" w:rsidTr="00D00B3F">
        <w:trPr>
          <w:trHeight w:val="225"/>
        </w:trPr>
        <w:tc>
          <w:tcPr>
            <w:tcW w:w="1387" w:type="dxa"/>
            <w:tcBorders>
              <w:top w:val="nil"/>
              <w:left w:val="nil"/>
              <w:bottom w:val="nil"/>
              <w:right w:val="nil"/>
            </w:tcBorders>
            <w:vAlign w:val="bottom"/>
          </w:tcPr>
          <w:p w14:paraId="1F7199C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6425C20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1790A89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23A03E8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558AEE0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6469D6EE" w14:textId="77777777" w:rsidTr="00D00B3F">
        <w:trPr>
          <w:trHeight w:val="225"/>
        </w:trPr>
        <w:tc>
          <w:tcPr>
            <w:tcW w:w="5640" w:type="dxa"/>
            <w:gridSpan w:val="4"/>
            <w:tcBorders>
              <w:top w:val="nil"/>
              <w:left w:val="nil"/>
              <w:bottom w:val="nil"/>
              <w:right w:val="nil"/>
            </w:tcBorders>
            <w:vAlign w:val="bottom"/>
          </w:tcPr>
          <w:p w14:paraId="45DBC08F"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Unrestricted Cointegration Rank Test (Trace)</w:t>
            </w:r>
          </w:p>
        </w:tc>
        <w:tc>
          <w:tcPr>
            <w:tcW w:w="1417" w:type="dxa"/>
            <w:tcBorders>
              <w:top w:val="nil"/>
              <w:left w:val="nil"/>
              <w:bottom w:val="nil"/>
              <w:right w:val="nil"/>
            </w:tcBorders>
            <w:vAlign w:val="bottom"/>
          </w:tcPr>
          <w:p w14:paraId="1A770E3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375F3E5D" w14:textId="77777777" w:rsidTr="00D00B3F">
        <w:trPr>
          <w:trHeight w:hRule="exact" w:val="90"/>
        </w:trPr>
        <w:tc>
          <w:tcPr>
            <w:tcW w:w="1387" w:type="dxa"/>
            <w:tcBorders>
              <w:top w:val="nil"/>
              <w:left w:val="nil"/>
              <w:bottom w:val="double" w:sz="6" w:space="2" w:color="auto"/>
              <w:right w:val="nil"/>
            </w:tcBorders>
            <w:vAlign w:val="bottom"/>
          </w:tcPr>
          <w:p w14:paraId="4B675F12"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57B723FB"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27EC4A59"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2EECFCF8"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54B17841"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r>
      <w:tr w:rsidR="00A60822" w:rsidRPr="00A60822" w14:paraId="1D58B334" w14:textId="77777777" w:rsidTr="00D00B3F">
        <w:trPr>
          <w:trHeight w:hRule="exact" w:val="135"/>
        </w:trPr>
        <w:tc>
          <w:tcPr>
            <w:tcW w:w="1387" w:type="dxa"/>
            <w:tcBorders>
              <w:top w:val="nil"/>
              <w:left w:val="nil"/>
              <w:bottom w:val="nil"/>
              <w:right w:val="nil"/>
            </w:tcBorders>
            <w:vAlign w:val="bottom"/>
          </w:tcPr>
          <w:p w14:paraId="5BE84D13"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79E1C331"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650A2137"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50A922E8"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03ACF5A7"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r>
      <w:tr w:rsidR="00A60822" w:rsidRPr="00A60822" w14:paraId="64791EC3" w14:textId="77777777" w:rsidTr="00D00B3F">
        <w:trPr>
          <w:trHeight w:val="225"/>
        </w:trPr>
        <w:tc>
          <w:tcPr>
            <w:tcW w:w="1387" w:type="dxa"/>
            <w:tcBorders>
              <w:top w:val="nil"/>
              <w:left w:val="nil"/>
              <w:bottom w:val="nil"/>
              <w:right w:val="nil"/>
            </w:tcBorders>
            <w:vAlign w:val="bottom"/>
          </w:tcPr>
          <w:p w14:paraId="6EDF99D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Hypothesized</w:t>
            </w:r>
          </w:p>
        </w:tc>
        <w:tc>
          <w:tcPr>
            <w:tcW w:w="1418" w:type="dxa"/>
            <w:tcBorders>
              <w:top w:val="nil"/>
              <w:left w:val="nil"/>
              <w:bottom w:val="nil"/>
              <w:right w:val="nil"/>
            </w:tcBorders>
            <w:vAlign w:val="bottom"/>
          </w:tcPr>
          <w:p w14:paraId="131CF58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590395E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Trace</w:t>
            </w:r>
          </w:p>
        </w:tc>
        <w:tc>
          <w:tcPr>
            <w:tcW w:w="1418" w:type="dxa"/>
            <w:tcBorders>
              <w:top w:val="nil"/>
              <w:left w:val="nil"/>
              <w:bottom w:val="nil"/>
              <w:right w:val="nil"/>
            </w:tcBorders>
            <w:vAlign w:val="bottom"/>
          </w:tcPr>
          <w:p w14:paraId="799AADA9"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0.05</w:t>
            </w:r>
          </w:p>
        </w:tc>
        <w:tc>
          <w:tcPr>
            <w:tcW w:w="1417" w:type="dxa"/>
            <w:tcBorders>
              <w:top w:val="nil"/>
              <w:left w:val="nil"/>
              <w:bottom w:val="nil"/>
              <w:right w:val="nil"/>
            </w:tcBorders>
            <w:vAlign w:val="bottom"/>
          </w:tcPr>
          <w:p w14:paraId="3E05181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577D6BD5" w14:textId="77777777" w:rsidTr="00D00B3F">
        <w:trPr>
          <w:trHeight w:val="225"/>
        </w:trPr>
        <w:tc>
          <w:tcPr>
            <w:tcW w:w="1387" w:type="dxa"/>
            <w:tcBorders>
              <w:top w:val="nil"/>
              <w:left w:val="nil"/>
              <w:bottom w:val="nil"/>
              <w:right w:val="nil"/>
            </w:tcBorders>
            <w:vAlign w:val="bottom"/>
          </w:tcPr>
          <w:p w14:paraId="159E0FD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No. of CE(s)</w:t>
            </w:r>
          </w:p>
        </w:tc>
        <w:tc>
          <w:tcPr>
            <w:tcW w:w="1418" w:type="dxa"/>
            <w:tcBorders>
              <w:top w:val="nil"/>
              <w:left w:val="nil"/>
              <w:bottom w:val="nil"/>
              <w:right w:val="nil"/>
            </w:tcBorders>
            <w:vAlign w:val="bottom"/>
          </w:tcPr>
          <w:p w14:paraId="6BD234E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Eigenvalue</w:t>
            </w:r>
          </w:p>
        </w:tc>
        <w:tc>
          <w:tcPr>
            <w:tcW w:w="1417" w:type="dxa"/>
            <w:tcBorders>
              <w:top w:val="nil"/>
              <w:left w:val="nil"/>
              <w:bottom w:val="nil"/>
              <w:right w:val="nil"/>
            </w:tcBorders>
            <w:vAlign w:val="bottom"/>
          </w:tcPr>
          <w:p w14:paraId="7A4513B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Statistic</w:t>
            </w:r>
          </w:p>
        </w:tc>
        <w:tc>
          <w:tcPr>
            <w:tcW w:w="1418" w:type="dxa"/>
            <w:tcBorders>
              <w:top w:val="nil"/>
              <w:left w:val="nil"/>
              <w:bottom w:val="nil"/>
              <w:right w:val="nil"/>
            </w:tcBorders>
            <w:vAlign w:val="bottom"/>
          </w:tcPr>
          <w:p w14:paraId="4711D5C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Critical Value</w:t>
            </w:r>
          </w:p>
        </w:tc>
        <w:tc>
          <w:tcPr>
            <w:tcW w:w="1417" w:type="dxa"/>
            <w:tcBorders>
              <w:top w:val="nil"/>
              <w:left w:val="nil"/>
              <w:bottom w:val="nil"/>
              <w:right w:val="nil"/>
            </w:tcBorders>
            <w:vAlign w:val="bottom"/>
          </w:tcPr>
          <w:p w14:paraId="12440B9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Prob.**</w:t>
            </w:r>
          </w:p>
        </w:tc>
      </w:tr>
      <w:tr w:rsidR="00A60822" w:rsidRPr="00A60822" w14:paraId="3184F77A" w14:textId="77777777" w:rsidTr="00D00B3F">
        <w:trPr>
          <w:trHeight w:hRule="exact" w:val="90"/>
        </w:trPr>
        <w:tc>
          <w:tcPr>
            <w:tcW w:w="1387" w:type="dxa"/>
            <w:tcBorders>
              <w:top w:val="nil"/>
              <w:left w:val="nil"/>
              <w:bottom w:val="double" w:sz="6" w:space="2" w:color="auto"/>
              <w:right w:val="nil"/>
            </w:tcBorders>
            <w:vAlign w:val="bottom"/>
          </w:tcPr>
          <w:p w14:paraId="019EAB44"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3F1CFDDC"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5643B691"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7EBFAF37"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1AB1C951"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r>
      <w:tr w:rsidR="00A60822" w:rsidRPr="00A60822" w14:paraId="354F6AA5" w14:textId="77777777" w:rsidTr="00D00B3F">
        <w:trPr>
          <w:trHeight w:hRule="exact" w:val="135"/>
        </w:trPr>
        <w:tc>
          <w:tcPr>
            <w:tcW w:w="1387" w:type="dxa"/>
            <w:tcBorders>
              <w:top w:val="nil"/>
              <w:left w:val="nil"/>
              <w:bottom w:val="nil"/>
              <w:right w:val="nil"/>
            </w:tcBorders>
            <w:vAlign w:val="bottom"/>
          </w:tcPr>
          <w:p w14:paraId="5516CEFF"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670FF802"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6AAA49BA"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21DB5F15"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77DB5B6D"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r>
      <w:tr w:rsidR="00A60822" w:rsidRPr="00A60822" w14:paraId="65B43F38" w14:textId="77777777" w:rsidTr="00D00B3F">
        <w:trPr>
          <w:trHeight w:val="225"/>
        </w:trPr>
        <w:tc>
          <w:tcPr>
            <w:tcW w:w="1387" w:type="dxa"/>
            <w:tcBorders>
              <w:top w:val="nil"/>
              <w:left w:val="nil"/>
              <w:bottom w:val="nil"/>
              <w:right w:val="nil"/>
            </w:tcBorders>
            <w:vAlign w:val="bottom"/>
          </w:tcPr>
          <w:p w14:paraId="42BB142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None *</w:t>
            </w:r>
          </w:p>
        </w:tc>
        <w:tc>
          <w:tcPr>
            <w:tcW w:w="1418" w:type="dxa"/>
            <w:tcBorders>
              <w:top w:val="nil"/>
              <w:left w:val="nil"/>
              <w:bottom w:val="nil"/>
              <w:right w:val="nil"/>
            </w:tcBorders>
            <w:vAlign w:val="bottom"/>
          </w:tcPr>
          <w:p w14:paraId="1E002E2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0.441445</w:t>
            </w:r>
          </w:p>
        </w:tc>
        <w:tc>
          <w:tcPr>
            <w:tcW w:w="1417" w:type="dxa"/>
            <w:tcBorders>
              <w:top w:val="nil"/>
              <w:left w:val="nil"/>
              <w:bottom w:val="nil"/>
              <w:right w:val="nil"/>
            </w:tcBorders>
            <w:vAlign w:val="bottom"/>
          </w:tcPr>
          <w:p w14:paraId="07F8355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60.25030</w:t>
            </w:r>
          </w:p>
        </w:tc>
        <w:tc>
          <w:tcPr>
            <w:tcW w:w="1418" w:type="dxa"/>
            <w:tcBorders>
              <w:top w:val="nil"/>
              <w:left w:val="nil"/>
              <w:bottom w:val="nil"/>
              <w:right w:val="nil"/>
            </w:tcBorders>
            <w:vAlign w:val="bottom"/>
          </w:tcPr>
          <w:p w14:paraId="5822040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47.85613</w:t>
            </w:r>
          </w:p>
        </w:tc>
        <w:tc>
          <w:tcPr>
            <w:tcW w:w="1417" w:type="dxa"/>
            <w:tcBorders>
              <w:top w:val="nil"/>
              <w:left w:val="nil"/>
              <w:bottom w:val="nil"/>
              <w:right w:val="nil"/>
            </w:tcBorders>
            <w:vAlign w:val="bottom"/>
          </w:tcPr>
          <w:p w14:paraId="2C020CD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0.0023</w:t>
            </w:r>
          </w:p>
        </w:tc>
      </w:tr>
      <w:tr w:rsidR="00A60822" w:rsidRPr="00A60822" w14:paraId="2FCBD447" w14:textId="77777777" w:rsidTr="00D00B3F">
        <w:trPr>
          <w:trHeight w:val="225"/>
        </w:trPr>
        <w:tc>
          <w:tcPr>
            <w:tcW w:w="1387" w:type="dxa"/>
            <w:tcBorders>
              <w:top w:val="nil"/>
              <w:left w:val="nil"/>
              <w:bottom w:val="nil"/>
              <w:right w:val="nil"/>
            </w:tcBorders>
            <w:vAlign w:val="bottom"/>
          </w:tcPr>
          <w:p w14:paraId="4EEA256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At most 1 *</w:t>
            </w:r>
          </w:p>
        </w:tc>
        <w:tc>
          <w:tcPr>
            <w:tcW w:w="1418" w:type="dxa"/>
            <w:tcBorders>
              <w:top w:val="nil"/>
              <w:left w:val="nil"/>
              <w:bottom w:val="nil"/>
              <w:right w:val="nil"/>
            </w:tcBorders>
            <w:vAlign w:val="bottom"/>
          </w:tcPr>
          <w:p w14:paraId="07A8D28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0.377089</w:t>
            </w:r>
          </w:p>
        </w:tc>
        <w:tc>
          <w:tcPr>
            <w:tcW w:w="1417" w:type="dxa"/>
            <w:tcBorders>
              <w:top w:val="nil"/>
              <w:left w:val="nil"/>
              <w:bottom w:val="nil"/>
              <w:right w:val="nil"/>
            </w:tcBorders>
            <w:vAlign w:val="bottom"/>
          </w:tcPr>
          <w:p w14:paraId="72A077A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38.11904</w:t>
            </w:r>
          </w:p>
        </w:tc>
        <w:tc>
          <w:tcPr>
            <w:tcW w:w="1418" w:type="dxa"/>
            <w:tcBorders>
              <w:top w:val="nil"/>
              <w:left w:val="nil"/>
              <w:bottom w:val="nil"/>
              <w:right w:val="nil"/>
            </w:tcBorders>
            <w:vAlign w:val="bottom"/>
          </w:tcPr>
          <w:p w14:paraId="111B24E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29.79707</w:t>
            </w:r>
          </w:p>
        </w:tc>
        <w:tc>
          <w:tcPr>
            <w:tcW w:w="1417" w:type="dxa"/>
            <w:tcBorders>
              <w:top w:val="nil"/>
              <w:left w:val="nil"/>
              <w:bottom w:val="nil"/>
              <w:right w:val="nil"/>
            </w:tcBorders>
            <w:vAlign w:val="bottom"/>
          </w:tcPr>
          <w:p w14:paraId="59626BB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0.0044</w:t>
            </w:r>
          </w:p>
        </w:tc>
      </w:tr>
      <w:tr w:rsidR="00A60822" w:rsidRPr="00A60822" w14:paraId="42DAF5E9" w14:textId="77777777" w:rsidTr="00D00B3F">
        <w:trPr>
          <w:trHeight w:val="225"/>
        </w:trPr>
        <w:tc>
          <w:tcPr>
            <w:tcW w:w="1387" w:type="dxa"/>
            <w:tcBorders>
              <w:top w:val="nil"/>
              <w:left w:val="nil"/>
              <w:bottom w:val="nil"/>
              <w:right w:val="nil"/>
            </w:tcBorders>
            <w:vAlign w:val="bottom"/>
          </w:tcPr>
          <w:p w14:paraId="399B7E7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At most 2 *</w:t>
            </w:r>
          </w:p>
        </w:tc>
        <w:tc>
          <w:tcPr>
            <w:tcW w:w="1418" w:type="dxa"/>
            <w:tcBorders>
              <w:top w:val="nil"/>
              <w:left w:val="nil"/>
              <w:bottom w:val="nil"/>
              <w:right w:val="nil"/>
            </w:tcBorders>
            <w:vAlign w:val="bottom"/>
          </w:tcPr>
          <w:p w14:paraId="1D503AF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0.268938</w:t>
            </w:r>
          </w:p>
        </w:tc>
        <w:tc>
          <w:tcPr>
            <w:tcW w:w="1417" w:type="dxa"/>
            <w:tcBorders>
              <w:top w:val="nil"/>
              <w:left w:val="nil"/>
              <w:bottom w:val="nil"/>
              <w:right w:val="nil"/>
            </w:tcBorders>
            <w:vAlign w:val="bottom"/>
          </w:tcPr>
          <w:p w14:paraId="29F28FA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20.13168</w:t>
            </w:r>
          </w:p>
        </w:tc>
        <w:tc>
          <w:tcPr>
            <w:tcW w:w="1418" w:type="dxa"/>
            <w:tcBorders>
              <w:top w:val="nil"/>
              <w:left w:val="nil"/>
              <w:bottom w:val="nil"/>
              <w:right w:val="nil"/>
            </w:tcBorders>
            <w:vAlign w:val="bottom"/>
          </w:tcPr>
          <w:p w14:paraId="597E2B3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15.49471</w:t>
            </w:r>
          </w:p>
        </w:tc>
        <w:tc>
          <w:tcPr>
            <w:tcW w:w="1417" w:type="dxa"/>
            <w:tcBorders>
              <w:top w:val="nil"/>
              <w:left w:val="nil"/>
              <w:bottom w:val="nil"/>
              <w:right w:val="nil"/>
            </w:tcBorders>
            <w:vAlign w:val="bottom"/>
          </w:tcPr>
          <w:p w14:paraId="584DFC7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0.0093</w:t>
            </w:r>
          </w:p>
        </w:tc>
      </w:tr>
      <w:tr w:rsidR="00A60822" w:rsidRPr="00A60822" w14:paraId="1B3616BD" w14:textId="77777777" w:rsidTr="00D00B3F">
        <w:trPr>
          <w:trHeight w:val="225"/>
        </w:trPr>
        <w:tc>
          <w:tcPr>
            <w:tcW w:w="1387" w:type="dxa"/>
            <w:tcBorders>
              <w:top w:val="nil"/>
              <w:left w:val="nil"/>
              <w:bottom w:val="nil"/>
              <w:right w:val="nil"/>
            </w:tcBorders>
            <w:vAlign w:val="bottom"/>
          </w:tcPr>
          <w:p w14:paraId="6518CA9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At most 3 *</w:t>
            </w:r>
          </w:p>
        </w:tc>
        <w:tc>
          <w:tcPr>
            <w:tcW w:w="1418" w:type="dxa"/>
            <w:tcBorders>
              <w:top w:val="nil"/>
              <w:left w:val="nil"/>
              <w:bottom w:val="nil"/>
              <w:right w:val="nil"/>
            </w:tcBorders>
            <w:vAlign w:val="bottom"/>
          </w:tcPr>
          <w:p w14:paraId="03206EE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0.194687</w:t>
            </w:r>
          </w:p>
        </w:tc>
        <w:tc>
          <w:tcPr>
            <w:tcW w:w="1417" w:type="dxa"/>
            <w:tcBorders>
              <w:top w:val="nil"/>
              <w:left w:val="nil"/>
              <w:bottom w:val="nil"/>
              <w:right w:val="nil"/>
            </w:tcBorders>
            <w:vAlign w:val="bottom"/>
          </w:tcPr>
          <w:p w14:paraId="0E4C47C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8.227934</w:t>
            </w:r>
          </w:p>
        </w:tc>
        <w:tc>
          <w:tcPr>
            <w:tcW w:w="1418" w:type="dxa"/>
            <w:tcBorders>
              <w:top w:val="nil"/>
              <w:left w:val="nil"/>
              <w:bottom w:val="nil"/>
              <w:right w:val="nil"/>
            </w:tcBorders>
            <w:vAlign w:val="bottom"/>
          </w:tcPr>
          <w:p w14:paraId="1F6B44D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3.841466</w:t>
            </w:r>
          </w:p>
        </w:tc>
        <w:tc>
          <w:tcPr>
            <w:tcW w:w="1417" w:type="dxa"/>
            <w:tcBorders>
              <w:top w:val="nil"/>
              <w:left w:val="nil"/>
              <w:bottom w:val="nil"/>
              <w:right w:val="nil"/>
            </w:tcBorders>
            <w:vAlign w:val="bottom"/>
          </w:tcPr>
          <w:p w14:paraId="713BB90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0.0041</w:t>
            </w:r>
          </w:p>
        </w:tc>
      </w:tr>
      <w:tr w:rsidR="00A60822" w:rsidRPr="00A60822" w14:paraId="15AACDE4" w14:textId="77777777" w:rsidTr="00D00B3F">
        <w:trPr>
          <w:trHeight w:hRule="exact" w:val="90"/>
        </w:trPr>
        <w:tc>
          <w:tcPr>
            <w:tcW w:w="1387" w:type="dxa"/>
            <w:tcBorders>
              <w:top w:val="nil"/>
              <w:left w:val="nil"/>
              <w:bottom w:val="double" w:sz="6" w:space="2" w:color="auto"/>
              <w:right w:val="nil"/>
            </w:tcBorders>
            <w:vAlign w:val="bottom"/>
          </w:tcPr>
          <w:p w14:paraId="0513185F"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489AA178"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6F3151D5"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double" w:sz="6" w:space="2" w:color="auto"/>
              <w:right w:val="nil"/>
            </w:tcBorders>
            <w:vAlign w:val="bottom"/>
          </w:tcPr>
          <w:p w14:paraId="521D3F08"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double" w:sz="6" w:space="2" w:color="auto"/>
              <w:right w:val="nil"/>
            </w:tcBorders>
            <w:vAlign w:val="bottom"/>
          </w:tcPr>
          <w:p w14:paraId="4707EA0D"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r>
      <w:tr w:rsidR="00A60822" w:rsidRPr="00A60822" w14:paraId="5092A223" w14:textId="77777777" w:rsidTr="00D00B3F">
        <w:trPr>
          <w:trHeight w:hRule="exact" w:val="135"/>
        </w:trPr>
        <w:tc>
          <w:tcPr>
            <w:tcW w:w="1387" w:type="dxa"/>
            <w:tcBorders>
              <w:top w:val="nil"/>
              <w:left w:val="nil"/>
              <w:bottom w:val="nil"/>
              <w:right w:val="nil"/>
            </w:tcBorders>
            <w:vAlign w:val="bottom"/>
          </w:tcPr>
          <w:p w14:paraId="54A95D26"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006752ED"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16E4F297"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683B4FF0"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4676A487"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p>
        </w:tc>
      </w:tr>
      <w:tr w:rsidR="00A60822" w:rsidRPr="00A60822" w14:paraId="0586C62A" w14:textId="77777777" w:rsidTr="00D00B3F">
        <w:trPr>
          <w:trHeight w:val="225"/>
        </w:trPr>
        <w:tc>
          <w:tcPr>
            <w:tcW w:w="7057" w:type="dxa"/>
            <w:gridSpan w:val="5"/>
            <w:tcBorders>
              <w:top w:val="nil"/>
              <w:left w:val="nil"/>
              <w:bottom w:val="nil"/>
              <w:right w:val="nil"/>
            </w:tcBorders>
            <w:vAlign w:val="bottom"/>
          </w:tcPr>
          <w:p w14:paraId="2463036A"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xml:space="preserve"> Trace test indicates 4 cointegrating </w:t>
            </w:r>
            <w:proofErr w:type="spellStart"/>
            <w:r w:rsidRPr="00A60822">
              <w:rPr>
                <w:rFonts w:ascii="Arial" w:eastAsia="Calibri" w:hAnsi="Arial" w:cs="Arial"/>
                <w:color w:val="000000"/>
                <w:kern w:val="0"/>
                <w:sz w:val="18"/>
                <w:szCs w:val="18"/>
                <w14:ligatures w14:val="none"/>
              </w:rPr>
              <w:t>eqn</w:t>
            </w:r>
            <w:proofErr w:type="spellEnd"/>
            <w:r w:rsidRPr="00A60822">
              <w:rPr>
                <w:rFonts w:ascii="Arial" w:eastAsia="Calibri" w:hAnsi="Arial" w:cs="Arial"/>
                <w:color w:val="000000"/>
                <w:kern w:val="0"/>
                <w:sz w:val="18"/>
                <w:szCs w:val="18"/>
                <w14:ligatures w14:val="none"/>
              </w:rPr>
              <w:t>(s) at the 0.05 level</w:t>
            </w:r>
          </w:p>
        </w:tc>
      </w:tr>
      <w:tr w:rsidR="00A60822" w:rsidRPr="00A60822" w14:paraId="52B765FF" w14:textId="77777777" w:rsidTr="00D00B3F">
        <w:trPr>
          <w:trHeight w:val="225"/>
        </w:trPr>
        <w:tc>
          <w:tcPr>
            <w:tcW w:w="7057" w:type="dxa"/>
            <w:gridSpan w:val="5"/>
            <w:tcBorders>
              <w:top w:val="nil"/>
              <w:left w:val="nil"/>
              <w:bottom w:val="nil"/>
              <w:right w:val="nil"/>
            </w:tcBorders>
            <w:vAlign w:val="bottom"/>
          </w:tcPr>
          <w:p w14:paraId="1E6CE5C5"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 Denotes rejection of the hypothesis at the 0.05 level</w:t>
            </w:r>
          </w:p>
        </w:tc>
      </w:tr>
      <w:tr w:rsidR="00A60822" w:rsidRPr="00A60822" w14:paraId="7792FADD" w14:textId="77777777" w:rsidTr="00D00B3F">
        <w:trPr>
          <w:trHeight w:val="225"/>
        </w:trPr>
        <w:tc>
          <w:tcPr>
            <w:tcW w:w="5640" w:type="dxa"/>
            <w:gridSpan w:val="4"/>
            <w:tcBorders>
              <w:top w:val="nil"/>
              <w:left w:val="nil"/>
              <w:bottom w:val="nil"/>
              <w:right w:val="nil"/>
            </w:tcBorders>
            <w:vAlign w:val="bottom"/>
          </w:tcPr>
          <w:p w14:paraId="60D0C0A6"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**MacKinnon-Haug-Michelis (1999) p-values</w:t>
            </w:r>
          </w:p>
        </w:tc>
        <w:tc>
          <w:tcPr>
            <w:tcW w:w="1417" w:type="dxa"/>
            <w:tcBorders>
              <w:top w:val="nil"/>
              <w:left w:val="nil"/>
              <w:bottom w:val="nil"/>
              <w:right w:val="nil"/>
            </w:tcBorders>
            <w:vAlign w:val="bottom"/>
          </w:tcPr>
          <w:p w14:paraId="437B986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78A059BE" w14:textId="77777777" w:rsidTr="00D00B3F">
        <w:trPr>
          <w:trHeight w:val="225"/>
        </w:trPr>
        <w:tc>
          <w:tcPr>
            <w:tcW w:w="1387" w:type="dxa"/>
            <w:tcBorders>
              <w:top w:val="nil"/>
              <w:left w:val="nil"/>
              <w:bottom w:val="nil"/>
              <w:right w:val="nil"/>
            </w:tcBorders>
            <w:vAlign w:val="bottom"/>
          </w:tcPr>
          <w:p w14:paraId="5CAEE0C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3BF1185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2B3EAAD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8" w:type="dxa"/>
            <w:tcBorders>
              <w:top w:val="nil"/>
              <w:left w:val="nil"/>
              <w:bottom w:val="nil"/>
              <w:right w:val="nil"/>
            </w:tcBorders>
            <w:vAlign w:val="bottom"/>
          </w:tcPr>
          <w:p w14:paraId="1E2D355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417" w:type="dxa"/>
            <w:tcBorders>
              <w:top w:val="nil"/>
              <w:left w:val="nil"/>
              <w:bottom w:val="nil"/>
              <w:right w:val="nil"/>
            </w:tcBorders>
            <w:vAlign w:val="bottom"/>
          </w:tcPr>
          <w:p w14:paraId="4764947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bl>
    <w:p w14:paraId="3A9FB6EC" w14:textId="77777777" w:rsidR="00A60822" w:rsidRPr="00A60822" w:rsidRDefault="00A60822" w:rsidP="00A60822">
      <w:pPr>
        <w:spacing w:after="200" w:line="276" w:lineRule="auto"/>
        <w:jc w:val="both"/>
        <w:rPr>
          <w:rFonts w:ascii="Times New Roman" w:eastAsia="Calibri" w:hAnsi="Times New Roman" w:cs="Times New Roman"/>
          <w:kern w:val="0"/>
          <w:sz w:val="22"/>
          <w:szCs w:val="22"/>
          <w:lang w:val="en-GB"/>
          <w14:ligatures w14:val="none"/>
        </w:rPr>
      </w:pPr>
      <w:r w:rsidRPr="00A60822">
        <w:rPr>
          <w:rFonts w:ascii="Times New Roman" w:eastAsia="Calibri" w:hAnsi="Times New Roman" w:cs="Times New Roman"/>
          <w:b/>
          <w:kern w:val="0"/>
          <w:lang w:val="en-GB"/>
          <w14:ligatures w14:val="none"/>
        </w:rPr>
        <w:t>Result Interpretation</w:t>
      </w:r>
      <w:r w:rsidRPr="00A60822">
        <w:rPr>
          <w:rFonts w:ascii="Times New Roman" w:eastAsia="Calibri" w:hAnsi="Times New Roman" w:cs="Times New Roman"/>
          <w:kern w:val="0"/>
          <w:lang w:val="en-GB"/>
          <w14:ligatures w14:val="none"/>
        </w:rPr>
        <w:t xml:space="preserve">: </w:t>
      </w:r>
      <w:r w:rsidRPr="00A60822">
        <w:rPr>
          <w:rFonts w:ascii="Times New Roman" w:eastAsia="Calibri" w:hAnsi="Times New Roman" w:cs="Times New Roman"/>
          <w:kern w:val="0"/>
          <w:sz w:val="22"/>
          <w:szCs w:val="22"/>
          <w:lang w:val="en-GB"/>
          <w14:ligatures w14:val="none"/>
        </w:rPr>
        <w:t>Table 4.3 result shows that four cointegrating equations exist. We reject the first hypothesis as trace statistic value (60.25030) is higher than critical value (47.85613) to show that long run relationship exists in the model. The second indicate existence of at most one long run relationship as trace statistic value (38.11904) exceed the critical value (29.79707). Also, the third hypothetical test of existence of at most two long run relationships as trace statistic value (20.13168) is higher than critical value (15.49471). The last hypothetical test also indicates the existence of long run relationship as trace statistic value (8.227934) is higher than critical value (3.841466).</w:t>
      </w:r>
    </w:p>
    <w:p w14:paraId="33628004"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7C6DD23D"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2CF5F7CF"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2B24DCB6"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24ECE802"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5EF18CB1"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27FB9C36"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1816E4BB"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7248B431"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27B723ED"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27DF07A2" w14:textId="77777777" w:rsidR="0015036C" w:rsidRDefault="0015036C" w:rsidP="00A60822">
      <w:pPr>
        <w:spacing w:after="200" w:line="276" w:lineRule="auto"/>
        <w:jc w:val="both"/>
        <w:rPr>
          <w:rFonts w:ascii="Times New Roman" w:eastAsia="Calibri" w:hAnsi="Times New Roman" w:cs="Times New Roman"/>
          <w:kern w:val="0"/>
          <w:lang w:val="en-GB"/>
          <w14:ligatures w14:val="none"/>
        </w:rPr>
      </w:pPr>
    </w:p>
    <w:p w14:paraId="1C3960F7" w14:textId="37EA056D" w:rsidR="00A60822" w:rsidRPr="00A60822" w:rsidRDefault="00A60822" w:rsidP="00A60822">
      <w:pPr>
        <w:spacing w:after="200" w:line="276"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kern w:val="0"/>
          <w:lang w:val="en-GB"/>
          <w14:ligatures w14:val="none"/>
        </w:rPr>
        <w:t xml:space="preserve">4.4: </w:t>
      </w:r>
      <w:r w:rsidRPr="00A60822">
        <w:rPr>
          <w:rFonts w:ascii="Times New Roman" w:eastAsia="Calibri" w:hAnsi="Times New Roman" w:cs="Times New Roman"/>
          <w:b/>
          <w:kern w:val="0"/>
          <w:lang w:val="en-GB"/>
          <w14:ligatures w14:val="none"/>
        </w:rPr>
        <w:t>PARSIMONIOUS ERROR CORRECTION MODEL</w:t>
      </w:r>
    </w:p>
    <w:p w14:paraId="6049A66A" w14:textId="77777777" w:rsidR="00A60822" w:rsidRPr="00A60822" w:rsidRDefault="00A60822" w:rsidP="00A60822">
      <w:pPr>
        <w:spacing w:after="200" w:line="276"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Table 4.4 indicates the Parsimonious Error Correction of the model</w:t>
      </w:r>
    </w:p>
    <w:p w14:paraId="048223AD" w14:textId="77777777" w:rsidR="00A60822" w:rsidRPr="00A60822" w:rsidRDefault="00A60822" w:rsidP="00A60822">
      <w:pPr>
        <w:autoSpaceDE w:val="0"/>
        <w:autoSpaceDN w:val="0"/>
        <w:adjustRightInd w:val="0"/>
        <w:spacing w:after="0" w:line="240" w:lineRule="auto"/>
        <w:rPr>
          <w:rFonts w:ascii="Arial" w:eastAsia="Calibri" w:hAnsi="Arial" w:cs="Arial"/>
          <w:kern w:val="0"/>
          <w:sz w:val="18"/>
          <w:szCs w:val="18"/>
          <w14:ligatures w14:val="none"/>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A60822" w:rsidRPr="00A60822" w14:paraId="30A4EB3B" w14:textId="77777777" w:rsidTr="00D00B3F">
        <w:trPr>
          <w:trHeight w:val="225"/>
        </w:trPr>
        <w:tc>
          <w:tcPr>
            <w:tcW w:w="4327" w:type="dxa"/>
            <w:gridSpan w:val="3"/>
            <w:tcBorders>
              <w:top w:val="nil"/>
              <w:left w:val="nil"/>
              <w:bottom w:val="nil"/>
              <w:right w:val="nil"/>
            </w:tcBorders>
            <w:vAlign w:val="bottom"/>
          </w:tcPr>
          <w:p w14:paraId="0F9F5E4C"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Dependent Variable: D(PAT)</w:t>
            </w:r>
          </w:p>
        </w:tc>
        <w:tc>
          <w:tcPr>
            <w:tcW w:w="1208" w:type="dxa"/>
            <w:tcBorders>
              <w:top w:val="nil"/>
              <w:left w:val="nil"/>
              <w:bottom w:val="nil"/>
              <w:right w:val="nil"/>
            </w:tcBorders>
            <w:vAlign w:val="bottom"/>
          </w:tcPr>
          <w:p w14:paraId="6FF130C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12E9DBE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146874CE" w14:textId="77777777" w:rsidTr="00D00B3F">
        <w:trPr>
          <w:trHeight w:val="225"/>
        </w:trPr>
        <w:tc>
          <w:tcPr>
            <w:tcW w:w="4327" w:type="dxa"/>
            <w:gridSpan w:val="3"/>
            <w:tcBorders>
              <w:top w:val="nil"/>
              <w:left w:val="nil"/>
              <w:bottom w:val="nil"/>
              <w:right w:val="nil"/>
            </w:tcBorders>
            <w:vAlign w:val="bottom"/>
          </w:tcPr>
          <w:p w14:paraId="41E0FB85"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Method: Least Squares</w:t>
            </w:r>
          </w:p>
        </w:tc>
        <w:tc>
          <w:tcPr>
            <w:tcW w:w="1208" w:type="dxa"/>
            <w:tcBorders>
              <w:top w:val="nil"/>
              <w:left w:val="nil"/>
              <w:bottom w:val="nil"/>
              <w:right w:val="nil"/>
            </w:tcBorders>
            <w:vAlign w:val="bottom"/>
          </w:tcPr>
          <w:p w14:paraId="6F1DE2E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68976E1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56760173" w14:textId="77777777" w:rsidTr="00D00B3F">
        <w:trPr>
          <w:trHeight w:val="225"/>
        </w:trPr>
        <w:tc>
          <w:tcPr>
            <w:tcW w:w="4327" w:type="dxa"/>
            <w:gridSpan w:val="3"/>
            <w:tcBorders>
              <w:top w:val="nil"/>
              <w:left w:val="nil"/>
              <w:bottom w:val="nil"/>
              <w:right w:val="nil"/>
            </w:tcBorders>
            <w:vAlign w:val="bottom"/>
          </w:tcPr>
          <w:p w14:paraId="0655B8A3"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Date: 04/03/25   Time: 14:37</w:t>
            </w:r>
          </w:p>
        </w:tc>
        <w:tc>
          <w:tcPr>
            <w:tcW w:w="1208" w:type="dxa"/>
            <w:tcBorders>
              <w:top w:val="nil"/>
              <w:left w:val="nil"/>
              <w:bottom w:val="nil"/>
              <w:right w:val="nil"/>
            </w:tcBorders>
            <w:vAlign w:val="bottom"/>
          </w:tcPr>
          <w:p w14:paraId="219908B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06F0944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6120C295" w14:textId="77777777" w:rsidTr="00D00B3F">
        <w:trPr>
          <w:trHeight w:val="225"/>
        </w:trPr>
        <w:tc>
          <w:tcPr>
            <w:tcW w:w="4327" w:type="dxa"/>
            <w:gridSpan w:val="3"/>
            <w:tcBorders>
              <w:top w:val="nil"/>
              <w:left w:val="nil"/>
              <w:bottom w:val="nil"/>
              <w:right w:val="nil"/>
            </w:tcBorders>
            <w:vAlign w:val="bottom"/>
          </w:tcPr>
          <w:p w14:paraId="08226A74"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Sample (adjusted): 2004 2024</w:t>
            </w:r>
          </w:p>
        </w:tc>
        <w:tc>
          <w:tcPr>
            <w:tcW w:w="1208" w:type="dxa"/>
            <w:tcBorders>
              <w:top w:val="nil"/>
              <w:left w:val="nil"/>
              <w:bottom w:val="nil"/>
              <w:right w:val="nil"/>
            </w:tcBorders>
            <w:vAlign w:val="bottom"/>
          </w:tcPr>
          <w:p w14:paraId="2B5A972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4D661AD9"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0090C8D8" w14:textId="77777777" w:rsidTr="00D00B3F">
        <w:trPr>
          <w:trHeight w:val="225"/>
        </w:trPr>
        <w:tc>
          <w:tcPr>
            <w:tcW w:w="5535" w:type="dxa"/>
            <w:gridSpan w:val="4"/>
            <w:tcBorders>
              <w:top w:val="nil"/>
              <w:left w:val="nil"/>
              <w:bottom w:val="nil"/>
              <w:right w:val="nil"/>
            </w:tcBorders>
            <w:vAlign w:val="bottom"/>
          </w:tcPr>
          <w:p w14:paraId="40D5C078"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Included observations: 37 after adjustments</w:t>
            </w:r>
          </w:p>
        </w:tc>
        <w:tc>
          <w:tcPr>
            <w:tcW w:w="997" w:type="dxa"/>
            <w:tcBorders>
              <w:top w:val="nil"/>
              <w:left w:val="nil"/>
              <w:bottom w:val="nil"/>
              <w:right w:val="nil"/>
            </w:tcBorders>
            <w:vAlign w:val="bottom"/>
          </w:tcPr>
          <w:p w14:paraId="63459C79"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7EA01E4E" w14:textId="77777777" w:rsidTr="00D00B3F">
        <w:trPr>
          <w:trHeight w:hRule="exact" w:val="90"/>
        </w:trPr>
        <w:tc>
          <w:tcPr>
            <w:tcW w:w="2017" w:type="dxa"/>
            <w:tcBorders>
              <w:top w:val="nil"/>
              <w:left w:val="nil"/>
              <w:bottom w:val="double" w:sz="6" w:space="2" w:color="auto"/>
              <w:right w:val="nil"/>
            </w:tcBorders>
            <w:vAlign w:val="bottom"/>
          </w:tcPr>
          <w:p w14:paraId="4D75B5B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2" w:color="auto"/>
              <w:right w:val="nil"/>
            </w:tcBorders>
            <w:vAlign w:val="bottom"/>
          </w:tcPr>
          <w:p w14:paraId="37CA51D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2" w:color="auto"/>
              <w:right w:val="nil"/>
            </w:tcBorders>
            <w:vAlign w:val="bottom"/>
          </w:tcPr>
          <w:p w14:paraId="67B2177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2" w:color="auto"/>
              <w:right w:val="nil"/>
            </w:tcBorders>
            <w:vAlign w:val="bottom"/>
          </w:tcPr>
          <w:p w14:paraId="363B2E3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2" w:color="auto"/>
              <w:right w:val="nil"/>
            </w:tcBorders>
            <w:vAlign w:val="bottom"/>
          </w:tcPr>
          <w:p w14:paraId="1767A7E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7417A308" w14:textId="77777777" w:rsidTr="00D00B3F">
        <w:trPr>
          <w:trHeight w:hRule="exact" w:val="135"/>
        </w:trPr>
        <w:tc>
          <w:tcPr>
            <w:tcW w:w="2017" w:type="dxa"/>
            <w:tcBorders>
              <w:top w:val="nil"/>
              <w:left w:val="nil"/>
              <w:bottom w:val="nil"/>
              <w:right w:val="nil"/>
            </w:tcBorders>
            <w:vAlign w:val="bottom"/>
          </w:tcPr>
          <w:p w14:paraId="5FB77FA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1DAA456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2835385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1CBE423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49FFC439"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5B697247" w14:textId="77777777" w:rsidTr="00D00B3F">
        <w:trPr>
          <w:trHeight w:val="225"/>
        </w:trPr>
        <w:tc>
          <w:tcPr>
            <w:tcW w:w="2017" w:type="dxa"/>
            <w:tcBorders>
              <w:top w:val="nil"/>
              <w:left w:val="nil"/>
              <w:bottom w:val="nil"/>
              <w:right w:val="nil"/>
            </w:tcBorders>
            <w:vAlign w:val="bottom"/>
          </w:tcPr>
          <w:p w14:paraId="49D6726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Variable</w:t>
            </w:r>
          </w:p>
        </w:tc>
        <w:tc>
          <w:tcPr>
            <w:tcW w:w="1103" w:type="dxa"/>
            <w:tcBorders>
              <w:top w:val="nil"/>
              <w:left w:val="nil"/>
              <w:bottom w:val="nil"/>
              <w:right w:val="nil"/>
            </w:tcBorders>
            <w:vAlign w:val="bottom"/>
          </w:tcPr>
          <w:p w14:paraId="42F097A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Coefficient</w:t>
            </w:r>
          </w:p>
        </w:tc>
        <w:tc>
          <w:tcPr>
            <w:tcW w:w="1207" w:type="dxa"/>
            <w:tcBorders>
              <w:top w:val="nil"/>
              <w:left w:val="nil"/>
              <w:bottom w:val="nil"/>
              <w:right w:val="nil"/>
            </w:tcBorders>
            <w:vAlign w:val="bottom"/>
          </w:tcPr>
          <w:p w14:paraId="22F6327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Std. Error</w:t>
            </w:r>
          </w:p>
        </w:tc>
        <w:tc>
          <w:tcPr>
            <w:tcW w:w="1208" w:type="dxa"/>
            <w:tcBorders>
              <w:top w:val="nil"/>
              <w:left w:val="nil"/>
              <w:bottom w:val="nil"/>
              <w:right w:val="nil"/>
            </w:tcBorders>
            <w:vAlign w:val="bottom"/>
          </w:tcPr>
          <w:p w14:paraId="59FAC86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t-Statistic</w:t>
            </w:r>
          </w:p>
        </w:tc>
        <w:tc>
          <w:tcPr>
            <w:tcW w:w="997" w:type="dxa"/>
            <w:tcBorders>
              <w:top w:val="nil"/>
              <w:left w:val="nil"/>
              <w:bottom w:val="nil"/>
              <w:right w:val="nil"/>
            </w:tcBorders>
            <w:vAlign w:val="bottom"/>
          </w:tcPr>
          <w:p w14:paraId="04E835ED"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Prob.  </w:t>
            </w:r>
          </w:p>
        </w:tc>
      </w:tr>
      <w:tr w:rsidR="00A60822" w:rsidRPr="00A60822" w14:paraId="33F381D5" w14:textId="77777777" w:rsidTr="00D00B3F">
        <w:trPr>
          <w:trHeight w:hRule="exact" w:val="90"/>
        </w:trPr>
        <w:tc>
          <w:tcPr>
            <w:tcW w:w="2017" w:type="dxa"/>
            <w:tcBorders>
              <w:top w:val="nil"/>
              <w:left w:val="nil"/>
              <w:bottom w:val="double" w:sz="6" w:space="2" w:color="auto"/>
              <w:right w:val="nil"/>
            </w:tcBorders>
            <w:vAlign w:val="bottom"/>
          </w:tcPr>
          <w:p w14:paraId="7751FBE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2" w:color="auto"/>
              <w:right w:val="nil"/>
            </w:tcBorders>
            <w:vAlign w:val="bottom"/>
          </w:tcPr>
          <w:p w14:paraId="1F3B007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2" w:color="auto"/>
              <w:right w:val="nil"/>
            </w:tcBorders>
            <w:vAlign w:val="bottom"/>
          </w:tcPr>
          <w:p w14:paraId="358E1D8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2" w:color="auto"/>
              <w:right w:val="nil"/>
            </w:tcBorders>
            <w:vAlign w:val="bottom"/>
          </w:tcPr>
          <w:p w14:paraId="280F189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2" w:color="auto"/>
              <w:right w:val="nil"/>
            </w:tcBorders>
            <w:vAlign w:val="bottom"/>
          </w:tcPr>
          <w:p w14:paraId="662EFED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2F5E1EFC" w14:textId="77777777" w:rsidTr="00D00B3F">
        <w:trPr>
          <w:trHeight w:hRule="exact" w:val="135"/>
        </w:trPr>
        <w:tc>
          <w:tcPr>
            <w:tcW w:w="2017" w:type="dxa"/>
            <w:tcBorders>
              <w:top w:val="nil"/>
              <w:left w:val="nil"/>
              <w:bottom w:val="nil"/>
              <w:right w:val="nil"/>
            </w:tcBorders>
            <w:vAlign w:val="bottom"/>
          </w:tcPr>
          <w:p w14:paraId="1FC8884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6B217CC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7EBC24A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12D7C09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7A0510B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7D139E33" w14:textId="77777777" w:rsidTr="00D00B3F">
        <w:trPr>
          <w:trHeight w:val="225"/>
        </w:trPr>
        <w:tc>
          <w:tcPr>
            <w:tcW w:w="2017" w:type="dxa"/>
            <w:tcBorders>
              <w:top w:val="nil"/>
              <w:left w:val="nil"/>
              <w:bottom w:val="nil"/>
              <w:right w:val="nil"/>
            </w:tcBorders>
            <w:vAlign w:val="bottom"/>
          </w:tcPr>
          <w:p w14:paraId="48D7648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w:t>
            </w:r>
            <w:proofErr w:type="gramStart"/>
            <w:r w:rsidRPr="00A60822">
              <w:rPr>
                <w:rFonts w:ascii="Arial" w:eastAsia="Calibri" w:hAnsi="Arial" w:cs="Arial"/>
                <w:color w:val="000000"/>
                <w:kern w:val="0"/>
                <w:sz w:val="18"/>
                <w:szCs w:val="18"/>
                <w14:ligatures w14:val="none"/>
              </w:rPr>
              <w:t>PAT(</w:t>
            </w:r>
            <w:proofErr w:type="gramEnd"/>
            <w:r w:rsidRPr="00A60822">
              <w:rPr>
                <w:rFonts w:ascii="Arial" w:eastAsia="Calibri" w:hAnsi="Arial" w:cs="Arial"/>
                <w:color w:val="000000"/>
                <w:kern w:val="0"/>
                <w:sz w:val="18"/>
                <w:szCs w:val="18"/>
                <w14:ligatures w14:val="none"/>
              </w:rPr>
              <w:t>-1))</w:t>
            </w:r>
          </w:p>
        </w:tc>
        <w:tc>
          <w:tcPr>
            <w:tcW w:w="1103" w:type="dxa"/>
            <w:tcBorders>
              <w:top w:val="nil"/>
              <w:left w:val="nil"/>
              <w:bottom w:val="nil"/>
              <w:right w:val="nil"/>
            </w:tcBorders>
            <w:vAlign w:val="bottom"/>
          </w:tcPr>
          <w:p w14:paraId="0A37F3E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0.043987</w:t>
            </w:r>
          </w:p>
        </w:tc>
        <w:tc>
          <w:tcPr>
            <w:tcW w:w="1207" w:type="dxa"/>
            <w:tcBorders>
              <w:top w:val="nil"/>
              <w:left w:val="nil"/>
              <w:bottom w:val="nil"/>
              <w:right w:val="nil"/>
            </w:tcBorders>
            <w:vAlign w:val="bottom"/>
          </w:tcPr>
          <w:p w14:paraId="1F9561A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0.157430</w:t>
            </w:r>
          </w:p>
        </w:tc>
        <w:tc>
          <w:tcPr>
            <w:tcW w:w="1208" w:type="dxa"/>
            <w:tcBorders>
              <w:top w:val="nil"/>
              <w:left w:val="nil"/>
              <w:bottom w:val="nil"/>
              <w:right w:val="nil"/>
            </w:tcBorders>
            <w:vAlign w:val="bottom"/>
          </w:tcPr>
          <w:p w14:paraId="40D010F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0.279407</w:t>
            </w:r>
          </w:p>
        </w:tc>
        <w:tc>
          <w:tcPr>
            <w:tcW w:w="997" w:type="dxa"/>
            <w:tcBorders>
              <w:top w:val="nil"/>
              <w:left w:val="nil"/>
              <w:bottom w:val="nil"/>
              <w:right w:val="nil"/>
            </w:tcBorders>
            <w:vAlign w:val="bottom"/>
          </w:tcPr>
          <w:p w14:paraId="0928CB80"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0.7820</w:t>
            </w:r>
          </w:p>
        </w:tc>
      </w:tr>
      <w:tr w:rsidR="00A60822" w:rsidRPr="00A60822" w14:paraId="6F584284" w14:textId="77777777" w:rsidTr="00D00B3F">
        <w:trPr>
          <w:trHeight w:val="225"/>
        </w:trPr>
        <w:tc>
          <w:tcPr>
            <w:tcW w:w="2017" w:type="dxa"/>
            <w:tcBorders>
              <w:top w:val="nil"/>
              <w:left w:val="nil"/>
              <w:bottom w:val="nil"/>
              <w:right w:val="nil"/>
            </w:tcBorders>
            <w:vAlign w:val="bottom"/>
          </w:tcPr>
          <w:p w14:paraId="74A90D4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D(DSCT)</w:t>
            </w:r>
          </w:p>
        </w:tc>
        <w:tc>
          <w:tcPr>
            <w:tcW w:w="1103" w:type="dxa"/>
            <w:tcBorders>
              <w:top w:val="nil"/>
              <w:left w:val="nil"/>
              <w:bottom w:val="nil"/>
              <w:right w:val="nil"/>
            </w:tcBorders>
            <w:vAlign w:val="bottom"/>
          </w:tcPr>
          <w:p w14:paraId="146F3549"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-0.389692</w:t>
            </w:r>
          </w:p>
        </w:tc>
        <w:tc>
          <w:tcPr>
            <w:tcW w:w="1207" w:type="dxa"/>
            <w:tcBorders>
              <w:top w:val="nil"/>
              <w:left w:val="nil"/>
              <w:bottom w:val="nil"/>
              <w:right w:val="nil"/>
            </w:tcBorders>
            <w:vAlign w:val="bottom"/>
          </w:tcPr>
          <w:p w14:paraId="095BF8EE"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0.144037</w:t>
            </w:r>
          </w:p>
        </w:tc>
        <w:tc>
          <w:tcPr>
            <w:tcW w:w="1208" w:type="dxa"/>
            <w:tcBorders>
              <w:top w:val="nil"/>
              <w:left w:val="nil"/>
              <w:bottom w:val="nil"/>
              <w:right w:val="nil"/>
            </w:tcBorders>
            <w:vAlign w:val="bottom"/>
          </w:tcPr>
          <w:p w14:paraId="286979E9"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-2.705496</w:t>
            </w:r>
          </w:p>
        </w:tc>
        <w:tc>
          <w:tcPr>
            <w:tcW w:w="997" w:type="dxa"/>
            <w:tcBorders>
              <w:top w:val="nil"/>
              <w:left w:val="nil"/>
              <w:bottom w:val="nil"/>
              <w:right w:val="nil"/>
            </w:tcBorders>
            <w:vAlign w:val="bottom"/>
          </w:tcPr>
          <w:p w14:paraId="7176A301"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0.0115</w:t>
            </w:r>
          </w:p>
        </w:tc>
      </w:tr>
      <w:tr w:rsidR="00A60822" w:rsidRPr="00A60822" w14:paraId="06F960D5" w14:textId="77777777" w:rsidTr="00D00B3F">
        <w:trPr>
          <w:trHeight w:val="225"/>
        </w:trPr>
        <w:tc>
          <w:tcPr>
            <w:tcW w:w="2017" w:type="dxa"/>
            <w:tcBorders>
              <w:top w:val="nil"/>
              <w:left w:val="nil"/>
              <w:bottom w:val="nil"/>
              <w:right w:val="nil"/>
            </w:tcBorders>
            <w:vAlign w:val="bottom"/>
          </w:tcPr>
          <w:p w14:paraId="27FCA43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w:t>
            </w:r>
            <w:proofErr w:type="gramStart"/>
            <w:r w:rsidRPr="00A60822">
              <w:rPr>
                <w:rFonts w:ascii="Arial" w:eastAsia="Calibri" w:hAnsi="Arial" w:cs="Arial"/>
                <w:color w:val="000000"/>
                <w:kern w:val="0"/>
                <w:sz w:val="18"/>
                <w:szCs w:val="18"/>
                <w14:ligatures w14:val="none"/>
              </w:rPr>
              <w:t>DSCT(</w:t>
            </w:r>
            <w:proofErr w:type="gramEnd"/>
            <w:r w:rsidRPr="00A60822">
              <w:rPr>
                <w:rFonts w:ascii="Arial" w:eastAsia="Calibri" w:hAnsi="Arial" w:cs="Arial"/>
                <w:color w:val="000000"/>
                <w:kern w:val="0"/>
                <w:sz w:val="18"/>
                <w:szCs w:val="18"/>
                <w14:ligatures w14:val="none"/>
              </w:rPr>
              <w:t>-1))</w:t>
            </w:r>
          </w:p>
        </w:tc>
        <w:tc>
          <w:tcPr>
            <w:tcW w:w="1103" w:type="dxa"/>
            <w:tcBorders>
              <w:top w:val="nil"/>
              <w:left w:val="nil"/>
              <w:bottom w:val="nil"/>
              <w:right w:val="nil"/>
            </w:tcBorders>
            <w:vAlign w:val="bottom"/>
          </w:tcPr>
          <w:p w14:paraId="22337E0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0.064817</w:t>
            </w:r>
          </w:p>
        </w:tc>
        <w:tc>
          <w:tcPr>
            <w:tcW w:w="1207" w:type="dxa"/>
            <w:tcBorders>
              <w:top w:val="nil"/>
              <w:left w:val="nil"/>
              <w:bottom w:val="nil"/>
              <w:right w:val="nil"/>
            </w:tcBorders>
            <w:vAlign w:val="bottom"/>
          </w:tcPr>
          <w:p w14:paraId="2C75F1E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0.152972</w:t>
            </w:r>
          </w:p>
        </w:tc>
        <w:tc>
          <w:tcPr>
            <w:tcW w:w="1208" w:type="dxa"/>
            <w:tcBorders>
              <w:top w:val="nil"/>
              <w:left w:val="nil"/>
              <w:bottom w:val="nil"/>
              <w:right w:val="nil"/>
            </w:tcBorders>
            <w:vAlign w:val="bottom"/>
          </w:tcPr>
          <w:p w14:paraId="43CD5F2A"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0.423716</w:t>
            </w:r>
          </w:p>
        </w:tc>
        <w:tc>
          <w:tcPr>
            <w:tcW w:w="997" w:type="dxa"/>
            <w:tcBorders>
              <w:top w:val="nil"/>
              <w:left w:val="nil"/>
              <w:bottom w:val="nil"/>
              <w:right w:val="nil"/>
            </w:tcBorders>
            <w:vAlign w:val="bottom"/>
          </w:tcPr>
          <w:p w14:paraId="38C8B5F6"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0.6750</w:t>
            </w:r>
          </w:p>
        </w:tc>
      </w:tr>
      <w:tr w:rsidR="00A60822" w:rsidRPr="00A60822" w14:paraId="3A19A53B" w14:textId="77777777" w:rsidTr="00D00B3F">
        <w:trPr>
          <w:trHeight w:val="225"/>
        </w:trPr>
        <w:tc>
          <w:tcPr>
            <w:tcW w:w="2017" w:type="dxa"/>
            <w:tcBorders>
              <w:top w:val="nil"/>
              <w:left w:val="nil"/>
              <w:bottom w:val="nil"/>
              <w:right w:val="nil"/>
            </w:tcBorders>
            <w:vAlign w:val="bottom"/>
          </w:tcPr>
          <w:p w14:paraId="2804834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D(ACT)</w:t>
            </w:r>
          </w:p>
        </w:tc>
        <w:tc>
          <w:tcPr>
            <w:tcW w:w="1103" w:type="dxa"/>
            <w:tcBorders>
              <w:top w:val="nil"/>
              <w:left w:val="nil"/>
              <w:bottom w:val="nil"/>
              <w:right w:val="nil"/>
            </w:tcBorders>
            <w:vAlign w:val="bottom"/>
          </w:tcPr>
          <w:p w14:paraId="502D0199"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0.457803</w:t>
            </w:r>
          </w:p>
        </w:tc>
        <w:tc>
          <w:tcPr>
            <w:tcW w:w="1207" w:type="dxa"/>
            <w:tcBorders>
              <w:top w:val="nil"/>
              <w:left w:val="nil"/>
              <w:bottom w:val="nil"/>
              <w:right w:val="nil"/>
            </w:tcBorders>
            <w:vAlign w:val="bottom"/>
          </w:tcPr>
          <w:p w14:paraId="69A33D5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0.128946</w:t>
            </w:r>
          </w:p>
        </w:tc>
        <w:tc>
          <w:tcPr>
            <w:tcW w:w="1208" w:type="dxa"/>
            <w:tcBorders>
              <w:top w:val="nil"/>
              <w:left w:val="nil"/>
              <w:bottom w:val="nil"/>
              <w:right w:val="nil"/>
            </w:tcBorders>
            <w:vAlign w:val="bottom"/>
          </w:tcPr>
          <w:p w14:paraId="367649D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3.550350</w:t>
            </w:r>
          </w:p>
        </w:tc>
        <w:tc>
          <w:tcPr>
            <w:tcW w:w="997" w:type="dxa"/>
            <w:tcBorders>
              <w:top w:val="nil"/>
              <w:left w:val="nil"/>
              <w:bottom w:val="nil"/>
              <w:right w:val="nil"/>
            </w:tcBorders>
            <w:vAlign w:val="bottom"/>
          </w:tcPr>
          <w:p w14:paraId="72FB9F42"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0.0014</w:t>
            </w:r>
          </w:p>
        </w:tc>
      </w:tr>
      <w:tr w:rsidR="00A60822" w:rsidRPr="00A60822" w14:paraId="7B5A7AA0" w14:textId="77777777" w:rsidTr="00D00B3F">
        <w:trPr>
          <w:trHeight w:val="225"/>
        </w:trPr>
        <w:tc>
          <w:tcPr>
            <w:tcW w:w="2017" w:type="dxa"/>
            <w:tcBorders>
              <w:top w:val="nil"/>
              <w:left w:val="nil"/>
              <w:bottom w:val="nil"/>
              <w:right w:val="nil"/>
            </w:tcBorders>
            <w:vAlign w:val="bottom"/>
          </w:tcPr>
          <w:p w14:paraId="04E4A4D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w:t>
            </w:r>
            <w:proofErr w:type="gramStart"/>
            <w:r w:rsidRPr="00A60822">
              <w:rPr>
                <w:rFonts w:ascii="Arial" w:eastAsia="Calibri" w:hAnsi="Arial" w:cs="Arial"/>
                <w:color w:val="000000"/>
                <w:kern w:val="0"/>
                <w:sz w:val="18"/>
                <w:szCs w:val="18"/>
                <w14:ligatures w14:val="none"/>
              </w:rPr>
              <w:t>ACT(</w:t>
            </w:r>
            <w:proofErr w:type="gramEnd"/>
            <w:r w:rsidRPr="00A60822">
              <w:rPr>
                <w:rFonts w:ascii="Arial" w:eastAsia="Calibri" w:hAnsi="Arial" w:cs="Arial"/>
                <w:color w:val="000000"/>
                <w:kern w:val="0"/>
                <w:sz w:val="18"/>
                <w:szCs w:val="18"/>
                <w14:ligatures w14:val="none"/>
              </w:rPr>
              <w:t>-1))</w:t>
            </w:r>
          </w:p>
        </w:tc>
        <w:tc>
          <w:tcPr>
            <w:tcW w:w="1103" w:type="dxa"/>
            <w:tcBorders>
              <w:top w:val="nil"/>
              <w:left w:val="nil"/>
              <w:bottom w:val="nil"/>
              <w:right w:val="nil"/>
            </w:tcBorders>
            <w:vAlign w:val="bottom"/>
          </w:tcPr>
          <w:p w14:paraId="5293E4B4"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0.109955</w:t>
            </w:r>
          </w:p>
        </w:tc>
        <w:tc>
          <w:tcPr>
            <w:tcW w:w="1207" w:type="dxa"/>
            <w:tcBorders>
              <w:top w:val="nil"/>
              <w:left w:val="nil"/>
              <w:bottom w:val="nil"/>
              <w:right w:val="nil"/>
            </w:tcBorders>
            <w:vAlign w:val="bottom"/>
          </w:tcPr>
          <w:p w14:paraId="0EB9B41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0.158150</w:t>
            </w:r>
          </w:p>
        </w:tc>
        <w:tc>
          <w:tcPr>
            <w:tcW w:w="1208" w:type="dxa"/>
            <w:tcBorders>
              <w:top w:val="nil"/>
              <w:left w:val="nil"/>
              <w:bottom w:val="nil"/>
              <w:right w:val="nil"/>
            </w:tcBorders>
            <w:vAlign w:val="bottom"/>
          </w:tcPr>
          <w:p w14:paraId="053FBDDE"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0.695258</w:t>
            </w:r>
          </w:p>
        </w:tc>
        <w:tc>
          <w:tcPr>
            <w:tcW w:w="997" w:type="dxa"/>
            <w:tcBorders>
              <w:top w:val="nil"/>
              <w:left w:val="nil"/>
              <w:bottom w:val="nil"/>
              <w:right w:val="nil"/>
            </w:tcBorders>
            <w:vAlign w:val="bottom"/>
          </w:tcPr>
          <w:p w14:paraId="79638E64"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0.4926</w:t>
            </w:r>
          </w:p>
        </w:tc>
      </w:tr>
      <w:tr w:rsidR="00A60822" w:rsidRPr="00A60822" w14:paraId="77273D9F" w14:textId="77777777" w:rsidTr="00D00B3F">
        <w:trPr>
          <w:trHeight w:val="225"/>
        </w:trPr>
        <w:tc>
          <w:tcPr>
            <w:tcW w:w="2017" w:type="dxa"/>
            <w:tcBorders>
              <w:top w:val="nil"/>
              <w:left w:val="nil"/>
              <w:bottom w:val="nil"/>
              <w:right w:val="nil"/>
            </w:tcBorders>
            <w:vAlign w:val="bottom"/>
          </w:tcPr>
          <w:p w14:paraId="591F465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D(FCT)</w:t>
            </w:r>
          </w:p>
        </w:tc>
        <w:tc>
          <w:tcPr>
            <w:tcW w:w="1103" w:type="dxa"/>
            <w:tcBorders>
              <w:top w:val="nil"/>
              <w:left w:val="nil"/>
              <w:bottom w:val="nil"/>
              <w:right w:val="nil"/>
            </w:tcBorders>
            <w:vAlign w:val="bottom"/>
          </w:tcPr>
          <w:p w14:paraId="1FDA0E9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0.907473</w:t>
            </w:r>
          </w:p>
        </w:tc>
        <w:tc>
          <w:tcPr>
            <w:tcW w:w="1207" w:type="dxa"/>
            <w:tcBorders>
              <w:top w:val="nil"/>
              <w:left w:val="nil"/>
              <w:bottom w:val="nil"/>
              <w:right w:val="nil"/>
            </w:tcBorders>
            <w:vAlign w:val="bottom"/>
          </w:tcPr>
          <w:p w14:paraId="0B6F477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0.151990</w:t>
            </w:r>
          </w:p>
        </w:tc>
        <w:tc>
          <w:tcPr>
            <w:tcW w:w="1208" w:type="dxa"/>
            <w:tcBorders>
              <w:top w:val="nil"/>
              <w:left w:val="nil"/>
              <w:bottom w:val="nil"/>
              <w:right w:val="nil"/>
            </w:tcBorders>
            <w:vAlign w:val="bottom"/>
          </w:tcPr>
          <w:p w14:paraId="4714B2E9"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5.970614</w:t>
            </w:r>
          </w:p>
        </w:tc>
        <w:tc>
          <w:tcPr>
            <w:tcW w:w="997" w:type="dxa"/>
            <w:tcBorders>
              <w:top w:val="nil"/>
              <w:left w:val="nil"/>
              <w:bottom w:val="nil"/>
              <w:right w:val="nil"/>
            </w:tcBorders>
            <w:vAlign w:val="bottom"/>
          </w:tcPr>
          <w:p w14:paraId="00206DF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0.0000</w:t>
            </w:r>
          </w:p>
        </w:tc>
      </w:tr>
      <w:tr w:rsidR="00A60822" w:rsidRPr="00A60822" w14:paraId="63E54DF6" w14:textId="77777777" w:rsidTr="00D00B3F">
        <w:trPr>
          <w:trHeight w:val="225"/>
        </w:trPr>
        <w:tc>
          <w:tcPr>
            <w:tcW w:w="2017" w:type="dxa"/>
            <w:tcBorders>
              <w:top w:val="nil"/>
              <w:left w:val="nil"/>
              <w:bottom w:val="nil"/>
              <w:right w:val="nil"/>
            </w:tcBorders>
            <w:vAlign w:val="bottom"/>
          </w:tcPr>
          <w:p w14:paraId="3773F30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w:t>
            </w:r>
            <w:proofErr w:type="gramStart"/>
            <w:r w:rsidRPr="00A60822">
              <w:rPr>
                <w:rFonts w:ascii="Arial" w:eastAsia="Calibri" w:hAnsi="Arial" w:cs="Arial"/>
                <w:color w:val="000000"/>
                <w:kern w:val="0"/>
                <w:sz w:val="18"/>
                <w:szCs w:val="18"/>
                <w14:ligatures w14:val="none"/>
              </w:rPr>
              <w:t>FCT(</w:t>
            </w:r>
            <w:proofErr w:type="gramEnd"/>
            <w:r w:rsidRPr="00A60822">
              <w:rPr>
                <w:rFonts w:ascii="Arial" w:eastAsia="Calibri" w:hAnsi="Arial" w:cs="Arial"/>
                <w:color w:val="000000"/>
                <w:kern w:val="0"/>
                <w:sz w:val="18"/>
                <w:szCs w:val="18"/>
                <w14:ligatures w14:val="none"/>
              </w:rPr>
              <w:t>-1))</w:t>
            </w:r>
          </w:p>
        </w:tc>
        <w:tc>
          <w:tcPr>
            <w:tcW w:w="1103" w:type="dxa"/>
            <w:tcBorders>
              <w:top w:val="nil"/>
              <w:left w:val="nil"/>
              <w:bottom w:val="nil"/>
              <w:right w:val="nil"/>
            </w:tcBorders>
            <w:vAlign w:val="bottom"/>
          </w:tcPr>
          <w:p w14:paraId="763E20F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-0.301089</w:t>
            </w:r>
          </w:p>
        </w:tc>
        <w:tc>
          <w:tcPr>
            <w:tcW w:w="1207" w:type="dxa"/>
            <w:tcBorders>
              <w:top w:val="nil"/>
              <w:left w:val="nil"/>
              <w:bottom w:val="nil"/>
              <w:right w:val="nil"/>
            </w:tcBorders>
            <w:vAlign w:val="bottom"/>
          </w:tcPr>
          <w:p w14:paraId="48846985"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0.198083</w:t>
            </w:r>
          </w:p>
        </w:tc>
        <w:tc>
          <w:tcPr>
            <w:tcW w:w="1208" w:type="dxa"/>
            <w:tcBorders>
              <w:top w:val="nil"/>
              <w:left w:val="nil"/>
              <w:bottom w:val="nil"/>
              <w:right w:val="nil"/>
            </w:tcBorders>
            <w:vAlign w:val="bottom"/>
          </w:tcPr>
          <w:p w14:paraId="1AD0E47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-1.520009</w:t>
            </w:r>
          </w:p>
        </w:tc>
        <w:tc>
          <w:tcPr>
            <w:tcW w:w="997" w:type="dxa"/>
            <w:tcBorders>
              <w:top w:val="nil"/>
              <w:left w:val="nil"/>
              <w:bottom w:val="nil"/>
              <w:right w:val="nil"/>
            </w:tcBorders>
            <w:vAlign w:val="bottom"/>
          </w:tcPr>
          <w:p w14:paraId="5AD97834"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0.1397</w:t>
            </w:r>
          </w:p>
        </w:tc>
      </w:tr>
      <w:tr w:rsidR="00A60822" w:rsidRPr="00A60822" w14:paraId="57A5DA3C" w14:textId="77777777" w:rsidTr="00D00B3F">
        <w:trPr>
          <w:trHeight w:val="225"/>
        </w:trPr>
        <w:tc>
          <w:tcPr>
            <w:tcW w:w="2017" w:type="dxa"/>
            <w:tcBorders>
              <w:top w:val="nil"/>
              <w:left w:val="nil"/>
              <w:bottom w:val="nil"/>
              <w:right w:val="nil"/>
            </w:tcBorders>
            <w:vAlign w:val="bottom"/>
          </w:tcPr>
          <w:p w14:paraId="6EECC5D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w:t>
            </w:r>
            <w:proofErr w:type="gramStart"/>
            <w:r w:rsidRPr="00A60822">
              <w:rPr>
                <w:rFonts w:ascii="Arial" w:eastAsia="Calibri" w:hAnsi="Arial" w:cs="Arial"/>
                <w:color w:val="000000"/>
                <w:kern w:val="0"/>
                <w:sz w:val="18"/>
                <w:szCs w:val="18"/>
                <w14:ligatures w14:val="none"/>
              </w:rPr>
              <w:t>FCT(</w:t>
            </w:r>
            <w:proofErr w:type="gramEnd"/>
            <w:r w:rsidRPr="00A60822">
              <w:rPr>
                <w:rFonts w:ascii="Arial" w:eastAsia="Calibri" w:hAnsi="Arial" w:cs="Arial"/>
                <w:color w:val="000000"/>
                <w:kern w:val="0"/>
                <w:sz w:val="18"/>
                <w:szCs w:val="18"/>
                <w14:ligatures w14:val="none"/>
              </w:rPr>
              <w:t>-2))</w:t>
            </w:r>
          </w:p>
        </w:tc>
        <w:tc>
          <w:tcPr>
            <w:tcW w:w="1103" w:type="dxa"/>
            <w:tcBorders>
              <w:top w:val="nil"/>
              <w:left w:val="nil"/>
              <w:bottom w:val="nil"/>
              <w:right w:val="nil"/>
            </w:tcBorders>
            <w:vAlign w:val="bottom"/>
          </w:tcPr>
          <w:p w14:paraId="0C6F6D8E"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-0.233599</w:t>
            </w:r>
          </w:p>
        </w:tc>
        <w:tc>
          <w:tcPr>
            <w:tcW w:w="1207" w:type="dxa"/>
            <w:tcBorders>
              <w:top w:val="nil"/>
              <w:left w:val="nil"/>
              <w:bottom w:val="nil"/>
              <w:right w:val="nil"/>
            </w:tcBorders>
            <w:vAlign w:val="bottom"/>
          </w:tcPr>
          <w:p w14:paraId="29CA91F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0.127719</w:t>
            </w:r>
          </w:p>
        </w:tc>
        <w:tc>
          <w:tcPr>
            <w:tcW w:w="1208" w:type="dxa"/>
            <w:tcBorders>
              <w:top w:val="nil"/>
              <w:left w:val="nil"/>
              <w:bottom w:val="nil"/>
              <w:right w:val="nil"/>
            </w:tcBorders>
            <w:vAlign w:val="bottom"/>
          </w:tcPr>
          <w:p w14:paraId="5B4E7F1B"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-1.829003</w:t>
            </w:r>
          </w:p>
        </w:tc>
        <w:tc>
          <w:tcPr>
            <w:tcW w:w="997" w:type="dxa"/>
            <w:tcBorders>
              <w:top w:val="nil"/>
              <w:left w:val="nil"/>
              <w:bottom w:val="nil"/>
              <w:right w:val="nil"/>
            </w:tcBorders>
            <w:vAlign w:val="bottom"/>
          </w:tcPr>
          <w:p w14:paraId="6D6F087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0.0781</w:t>
            </w:r>
          </w:p>
        </w:tc>
      </w:tr>
      <w:tr w:rsidR="00A60822" w:rsidRPr="00A60822" w14:paraId="6A97C32D" w14:textId="77777777" w:rsidTr="00D00B3F">
        <w:trPr>
          <w:trHeight w:val="225"/>
        </w:trPr>
        <w:tc>
          <w:tcPr>
            <w:tcW w:w="2017" w:type="dxa"/>
            <w:tcBorders>
              <w:top w:val="nil"/>
              <w:left w:val="nil"/>
              <w:bottom w:val="nil"/>
              <w:right w:val="nil"/>
            </w:tcBorders>
            <w:vAlign w:val="bottom"/>
          </w:tcPr>
          <w:p w14:paraId="10B2116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roofErr w:type="gramStart"/>
            <w:r w:rsidRPr="00A60822">
              <w:rPr>
                <w:rFonts w:ascii="Arial" w:eastAsia="Calibri" w:hAnsi="Arial" w:cs="Arial"/>
                <w:color w:val="000000"/>
                <w:kern w:val="0"/>
                <w:sz w:val="18"/>
                <w:szCs w:val="18"/>
                <w14:ligatures w14:val="none"/>
              </w:rPr>
              <w:t>ECM(</w:t>
            </w:r>
            <w:proofErr w:type="gramEnd"/>
            <w:r w:rsidRPr="00A60822">
              <w:rPr>
                <w:rFonts w:ascii="Arial" w:eastAsia="Calibri" w:hAnsi="Arial" w:cs="Arial"/>
                <w:color w:val="000000"/>
                <w:kern w:val="0"/>
                <w:sz w:val="18"/>
                <w:szCs w:val="18"/>
                <w14:ligatures w14:val="none"/>
              </w:rPr>
              <w:t>-1)</w:t>
            </w:r>
          </w:p>
        </w:tc>
        <w:tc>
          <w:tcPr>
            <w:tcW w:w="1103" w:type="dxa"/>
            <w:tcBorders>
              <w:top w:val="nil"/>
              <w:left w:val="nil"/>
              <w:bottom w:val="nil"/>
              <w:right w:val="nil"/>
            </w:tcBorders>
            <w:vAlign w:val="bottom"/>
          </w:tcPr>
          <w:p w14:paraId="1A537670"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-0.571234</w:t>
            </w:r>
          </w:p>
        </w:tc>
        <w:tc>
          <w:tcPr>
            <w:tcW w:w="1207" w:type="dxa"/>
            <w:tcBorders>
              <w:top w:val="nil"/>
              <w:left w:val="nil"/>
              <w:bottom w:val="nil"/>
              <w:right w:val="nil"/>
            </w:tcBorders>
            <w:vAlign w:val="bottom"/>
          </w:tcPr>
          <w:p w14:paraId="0EF3797D"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0.193698</w:t>
            </w:r>
          </w:p>
        </w:tc>
        <w:tc>
          <w:tcPr>
            <w:tcW w:w="1208" w:type="dxa"/>
            <w:tcBorders>
              <w:top w:val="nil"/>
              <w:left w:val="nil"/>
              <w:bottom w:val="nil"/>
              <w:right w:val="nil"/>
            </w:tcBorders>
            <w:vAlign w:val="bottom"/>
          </w:tcPr>
          <w:p w14:paraId="2D8858D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-2.949092</w:t>
            </w:r>
          </w:p>
        </w:tc>
        <w:tc>
          <w:tcPr>
            <w:tcW w:w="997" w:type="dxa"/>
            <w:tcBorders>
              <w:top w:val="nil"/>
              <w:left w:val="nil"/>
              <w:bottom w:val="nil"/>
              <w:right w:val="nil"/>
            </w:tcBorders>
            <w:vAlign w:val="bottom"/>
          </w:tcPr>
          <w:p w14:paraId="62C64025"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0.0064</w:t>
            </w:r>
          </w:p>
        </w:tc>
      </w:tr>
      <w:tr w:rsidR="00A60822" w:rsidRPr="00A60822" w14:paraId="5EAC29E7" w14:textId="77777777" w:rsidTr="00D00B3F">
        <w:trPr>
          <w:trHeight w:hRule="exact" w:val="90"/>
        </w:trPr>
        <w:tc>
          <w:tcPr>
            <w:tcW w:w="2017" w:type="dxa"/>
            <w:tcBorders>
              <w:top w:val="nil"/>
              <w:left w:val="nil"/>
              <w:bottom w:val="double" w:sz="6" w:space="2" w:color="auto"/>
              <w:right w:val="nil"/>
            </w:tcBorders>
            <w:vAlign w:val="bottom"/>
          </w:tcPr>
          <w:p w14:paraId="5B27793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2" w:color="auto"/>
              <w:right w:val="nil"/>
            </w:tcBorders>
            <w:vAlign w:val="bottom"/>
          </w:tcPr>
          <w:p w14:paraId="146284C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2" w:color="auto"/>
              <w:right w:val="nil"/>
            </w:tcBorders>
            <w:vAlign w:val="bottom"/>
          </w:tcPr>
          <w:p w14:paraId="228CB6E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2" w:color="auto"/>
              <w:right w:val="nil"/>
            </w:tcBorders>
            <w:vAlign w:val="bottom"/>
          </w:tcPr>
          <w:p w14:paraId="0B51E2B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2" w:color="auto"/>
              <w:right w:val="nil"/>
            </w:tcBorders>
            <w:vAlign w:val="bottom"/>
          </w:tcPr>
          <w:p w14:paraId="5F73205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2DD585CE" w14:textId="77777777" w:rsidTr="00D00B3F">
        <w:trPr>
          <w:trHeight w:hRule="exact" w:val="135"/>
        </w:trPr>
        <w:tc>
          <w:tcPr>
            <w:tcW w:w="2017" w:type="dxa"/>
            <w:tcBorders>
              <w:top w:val="nil"/>
              <w:left w:val="nil"/>
              <w:bottom w:val="nil"/>
              <w:right w:val="nil"/>
            </w:tcBorders>
            <w:vAlign w:val="bottom"/>
          </w:tcPr>
          <w:p w14:paraId="0DD078A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11B0A00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3FF87A8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3A8126D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07BB0C5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06F2D2B2" w14:textId="77777777" w:rsidTr="00D00B3F">
        <w:trPr>
          <w:trHeight w:val="225"/>
        </w:trPr>
        <w:tc>
          <w:tcPr>
            <w:tcW w:w="2017" w:type="dxa"/>
            <w:tcBorders>
              <w:top w:val="nil"/>
              <w:left w:val="nil"/>
              <w:bottom w:val="nil"/>
              <w:right w:val="nil"/>
            </w:tcBorders>
            <w:vAlign w:val="bottom"/>
          </w:tcPr>
          <w:p w14:paraId="737AF0A5"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R-squared</w:t>
            </w:r>
          </w:p>
        </w:tc>
        <w:tc>
          <w:tcPr>
            <w:tcW w:w="1103" w:type="dxa"/>
            <w:tcBorders>
              <w:top w:val="nil"/>
              <w:left w:val="nil"/>
              <w:bottom w:val="nil"/>
              <w:right w:val="nil"/>
            </w:tcBorders>
            <w:vAlign w:val="bottom"/>
          </w:tcPr>
          <w:p w14:paraId="4E6EEEB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0.797472</w:t>
            </w:r>
          </w:p>
        </w:tc>
        <w:tc>
          <w:tcPr>
            <w:tcW w:w="2415" w:type="dxa"/>
            <w:gridSpan w:val="2"/>
            <w:tcBorders>
              <w:top w:val="nil"/>
              <w:left w:val="nil"/>
              <w:bottom w:val="nil"/>
              <w:right w:val="nil"/>
            </w:tcBorders>
            <w:vAlign w:val="bottom"/>
          </w:tcPr>
          <w:p w14:paraId="10C8B73A"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Mean dependent var</w:t>
            </w:r>
          </w:p>
        </w:tc>
        <w:tc>
          <w:tcPr>
            <w:tcW w:w="997" w:type="dxa"/>
            <w:tcBorders>
              <w:top w:val="nil"/>
              <w:left w:val="nil"/>
              <w:bottom w:val="nil"/>
              <w:right w:val="nil"/>
            </w:tcBorders>
            <w:vAlign w:val="bottom"/>
          </w:tcPr>
          <w:p w14:paraId="7F29F040"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-3736.189</w:t>
            </w:r>
          </w:p>
        </w:tc>
      </w:tr>
      <w:tr w:rsidR="00A60822" w:rsidRPr="00A60822" w14:paraId="0DFBD6BC" w14:textId="77777777" w:rsidTr="00D00B3F">
        <w:trPr>
          <w:trHeight w:val="225"/>
        </w:trPr>
        <w:tc>
          <w:tcPr>
            <w:tcW w:w="2017" w:type="dxa"/>
            <w:tcBorders>
              <w:top w:val="nil"/>
              <w:left w:val="nil"/>
              <w:bottom w:val="nil"/>
              <w:right w:val="nil"/>
            </w:tcBorders>
            <w:vAlign w:val="bottom"/>
          </w:tcPr>
          <w:p w14:paraId="2C89AB7D"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Adjusted R-squared</w:t>
            </w:r>
          </w:p>
        </w:tc>
        <w:tc>
          <w:tcPr>
            <w:tcW w:w="1103" w:type="dxa"/>
            <w:tcBorders>
              <w:top w:val="nil"/>
              <w:left w:val="nil"/>
              <w:bottom w:val="nil"/>
              <w:right w:val="nil"/>
            </w:tcBorders>
            <w:vAlign w:val="bottom"/>
          </w:tcPr>
          <w:p w14:paraId="3884B66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0.739607</w:t>
            </w:r>
          </w:p>
        </w:tc>
        <w:tc>
          <w:tcPr>
            <w:tcW w:w="2415" w:type="dxa"/>
            <w:gridSpan w:val="2"/>
            <w:tcBorders>
              <w:top w:val="nil"/>
              <w:left w:val="nil"/>
              <w:bottom w:val="nil"/>
              <w:right w:val="nil"/>
            </w:tcBorders>
            <w:vAlign w:val="bottom"/>
          </w:tcPr>
          <w:p w14:paraId="5657292C"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S.D. dependent var</w:t>
            </w:r>
          </w:p>
        </w:tc>
        <w:tc>
          <w:tcPr>
            <w:tcW w:w="997" w:type="dxa"/>
            <w:tcBorders>
              <w:top w:val="nil"/>
              <w:left w:val="nil"/>
              <w:bottom w:val="nil"/>
              <w:right w:val="nil"/>
            </w:tcBorders>
            <w:vAlign w:val="bottom"/>
          </w:tcPr>
          <w:p w14:paraId="68D351F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265997.8</w:t>
            </w:r>
          </w:p>
        </w:tc>
      </w:tr>
      <w:tr w:rsidR="00A60822" w:rsidRPr="00A60822" w14:paraId="1E5C28D0" w14:textId="77777777" w:rsidTr="00D00B3F">
        <w:trPr>
          <w:trHeight w:val="225"/>
        </w:trPr>
        <w:tc>
          <w:tcPr>
            <w:tcW w:w="2017" w:type="dxa"/>
            <w:tcBorders>
              <w:top w:val="nil"/>
              <w:left w:val="nil"/>
              <w:bottom w:val="nil"/>
              <w:right w:val="nil"/>
            </w:tcBorders>
            <w:vAlign w:val="bottom"/>
          </w:tcPr>
          <w:p w14:paraId="11699CA7"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S.E. of regression</w:t>
            </w:r>
          </w:p>
        </w:tc>
        <w:tc>
          <w:tcPr>
            <w:tcW w:w="1103" w:type="dxa"/>
            <w:tcBorders>
              <w:top w:val="nil"/>
              <w:left w:val="nil"/>
              <w:bottom w:val="nil"/>
              <w:right w:val="nil"/>
            </w:tcBorders>
            <w:vAlign w:val="bottom"/>
          </w:tcPr>
          <w:p w14:paraId="1BAB688B"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135735.3</w:t>
            </w:r>
          </w:p>
        </w:tc>
        <w:tc>
          <w:tcPr>
            <w:tcW w:w="2415" w:type="dxa"/>
            <w:gridSpan w:val="2"/>
            <w:tcBorders>
              <w:top w:val="nil"/>
              <w:left w:val="nil"/>
              <w:bottom w:val="nil"/>
              <w:right w:val="nil"/>
            </w:tcBorders>
            <w:vAlign w:val="bottom"/>
          </w:tcPr>
          <w:p w14:paraId="19D666FA"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Akaike info criterion</w:t>
            </w:r>
          </w:p>
        </w:tc>
        <w:tc>
          <w:tcPr>
            <w:tcW w:w="997" w:type="dxa"/>
            <w:tcBorders>
              <w:top w:val="nil"/>
              <w:left w:val="nil"/>
              <w:bottom w:val="nil"/>
              <w:right w:val="nil"/>
            </w:tcBorders>
            <w:vAlign w:val="bottom"/>
          </w:tcPr>
          <w:p w14:paraId="51394D6D"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26.68257</w:t>
            </w:r>
          </w:p>
        </w:tc>
      </w:tr>
      <w:tr w:rsidR="00A60822" w:rsidRPr="00A60822" w14:paraId="7C7EF339" w14:textId="77777777" w:rsidTr="00D00B3F">
        <w:trPr>
          <w:trHeight w:val="225"/>
        </w:trPr>
        <w:tc>
          <w:tcPr>
            <w:tcW w:w="2017" w:type="dxa"/>
            <w:tcBorders>
              <w:top w:val="nil"/>
              <w:left w:val="nil"/>
              <w:bottom w:val="nil"/>
              <w:right w:val="nil"/>
            </w:tcBorders>
            <w:vAlign w:val="bottom"/>
          </w:tcPr>
          <w:p w14:paraId="509681B6"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Sum squared resid</w:t>
            </w:r>
          </w:p>
        </w:tc>
        <w:tc>
          <w:tcPr>
            <w:tcW w:w="1103" w:type="dxa"/>
            <w:tcBorders>
              <w:top w:val="nil"/>
              <w:left w:val="nil"/>
              <w:bottom w:val="nil"/>
              <w:right w:val="nil"/>
            </w:tcBorders>
            <w:vAlign w:val="bottom"/>
          </w:tcPr>
          <w:p w14:paraId="38FB0E44"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5.16E+11</w:t>
            </w:r>
          </w:p>
        </w:tc>
        <w:tc>
          <w:tcPr>
            <w:tcW w:w="2415" w:type="dxa"/>
            <w:gridSpan w:val="2"/>
            <w:tcBorders>
              <w:top w:val="nil"/>
              <w:left w:val="nil"/>
              <w:bottom w:val="nil"/>
              <w:right w:val="nil"/>
            </w:tcBorders>
            <w:vAlign w:val="bottom"/>
          </w:tcPr>
          <w:p w14:paraId="125F16CE"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Schwarz criterion</w:t>
            </w:r>
          </w:p>
        </w:tc>
        <w:tc>
          <w:tcPr>
            <w:tcW w:w="997" w:type="dxa"/>
            <w:tcBorders>
              <w:top w:val="nil"/>
              <w:left w:val="nil"/>
              <w:bottom w:val="nil"/>
              <w:right w:val="nil"/>
            </w:tcBorders>
            <w:vAlign w:val="bottom"/>
          </w:tcPr>
          <w:p w14:paraId="64FA96FA"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27.07442</w:t>
            </w:r>
          </w:p>
        </w:tc>
      </w:tr>
      <w:tr w:rsidR="00A60822" w:rsidRPr="00A60822" w14:paraId="27EB8E36" w14:textId="77777777" w:rsidTr="00D00B3F">
        <w:trPr>
          <w:trHeight w:val="225"/>
        </w:trPr>
        <w:tc>
          <w:tcPr>
            <w:tcW w:w="2017" w:type="dxa"/>
            <w:tcBorders>
              <w:top w:val="nil"/>
              <w:left w:val="nil"/>
              <w:bottom w:val="nil"/>
              <w:right w:val="nil"/>
            </w:tcBorders>
            <w:vAlign w:val="bottom"/>
          </w:tcPr>
          <w:p w14:paraId="2D45BBF5"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Log likelihood</w:t>
            </w:r>
          </w:p>
        </w:tc>
        <w:tc>
          <w:tcPr>
            <w:tcW w:w="1103" w:type="dxa"/>
            <w:tcBorders>
              <w:top w:val="nil"/>
              <w:left w:val="nil"/>
              <w:bottom w:val="nil"/>
              <w:right w:val="nil"/>
            </w:tcBorders>
            <w:vAlign w:val="bottom"/>
          </w:tcPr>
          <w:p w14:paraId="67486F5B"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-484.6276</w:t>
            </w:r>
          </w:p>
        </w:tc>
        <w:tc>
          <w:tcPr>
            <w:tcW w:w="2415" w:type="dxa"/>
            <w:gridSpan w:val="2"/>
            <w:tcBorders>
              <w:top w:val="nil"/>
              <w:left w:val="nil"/>
              <w:bottom w:val="nil"/>
              <w:right w:val="nil"/>
            </w:tcBorders>
            <w:vAlign w:val="bottom"/>
          </w:tcPr>
          <w:p w14:paraId="60E4EF97"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xml:space="preserve">    Hannan-Quinn </w:t>
            </w:r>
            <w:proofErr w:type="spellStart"/>
            <w:r w:rsidRPr="00A60822">
              <w:rPr>
                <w:rFonts w:ascii="Arial" w:eastAsia="Calibri" w:hAnsi="Arial" w:cs="Arial"/>
                <w:color w:val="000000"/>
                <w:kern w:val="0"/>
                <w:sz w:val="18"/>
                <w:szCs w:val="18"/>
                <w14:ligatures w14:val="none"/>
              </w:rPr>
              <w:t>criter</w:t>
            </w:r>
            <w:proofErr w:type="spellEnd"/>
            <w:r w:rsidRPr="00A60822">
              <w:rPr>
                <w:rFonts w:ascii="Arial" w:eastAsia="Calibri" w:hAnsi="Arial" w:cs="Arial"/>
                <w:color w:val="000000"/>
                <w:kern w:val="0"/>
                <w:sz w:val="18"/>
                <w:szCs w:val="18"/>
                <w14:ligatures w14:val="none"/>
              </w:rPr>
              <w:t>.</w:t>
            </w:r>
          </w:p>
        </w:tc>
        <w:tc>
          <w:tcPr>
            <w:tcW w:w="997" w:type="dxa"/>
            <w:tcBorders>
              <w:top w:val="nil"/>
              <w:left w:val="nil"/>
              <w:bottom w:val="nil"/>
              <w:right w:val="nil"/>
            </w:tcBorders>
            <w:vAlign w:val="bottom"/>
          </w:tcPr>
          <w:p w14:paraId="49C86585"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26.82072</w:t>
            </w:r>
          </w:p>
        </w:tc>
      </w:tr>
      <w:tr w:rsidR="00A60822" w:rsidRPr="00A60822" w14:paraId="4FD1488E" w14:textId="77777777" w:rsidTr="00D00B3F">
        <w:trPr>
          <w:trHeight w:val="225"/>
        </w:trPr>
        <w:tc>
          <w:tcPr>
            <w:tcW w:w="2017" w:type="dxa"/>
            <w:tcBorders>
              <w:top w:val="nil"/>
              <w:left w:val="nil"/>
              <w:bottom w:val="nil"/>
              <w:right w:val="nil"/>
            </w:tcBorders>
            <w:vAlign w:val="bottom"/>
          </w:tcPr>
          <w:p w14:paraId="12BB80DE"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Durbin-Watson stat</w:t>
            </w:r>
          </w:p>
        </w:tc>
        <w:tc>
          <w:tcPr>
            <w:tcW w:w="1103" w:type="dxa"/>
            <w:tcBorders>
              <w:top w:val="nil"/>
              <w:left w:val="nil"/>
              <w:bottom w:val="nil"/>
              <w:right w:val="nil"/>
            </w:tcBorders>
            <w:vAlign w:val="bottom"/>
          </w:tcPr>
          <w:p w14:paraId="3E4B708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2.005448</w:t>
            </w:r>
          </w:p>
        </w:tc>
        <w:tc>
          <w:tcPr>
            <w:tcW w:w="1207" w:type="dxa"/>
            <w:tcBorders>
              <w:top w:val="nil"/>
              <w:left w:val="nil"/>
              <w:bottom w:val="nil"/>
              <w:right w:val="nil"/>
            </w:tcBorders>
            <w:vAlign w:val="bottom"/>
          </w:tcPr>
          <w:p w14:paraId="6F29E25B" w14:textId="77777777" w:rsidR="00A60822" w:rsidRPr="00A60822" w:rsidRDefault="00A60822" w:rsidP="00A60822">
            <w:pPr>
              <w:autoSpaceDE w:val="0"/>
              <w:autoSpaceDN w:val="0"/>
              <w:adjustRightInd w:val="0"/>
              <w:spacing w:after="0" w:line="240" w:lineRule="auto"/>
              <w:ind w:right="10"/>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34DDB70B" w14:textId="77777777" w:rsidR="00A60822" w:rsidRPr="00A60822" w:rsidRDefault="00A60822" w:rsidP="00A60822">
            <w:pPr>
              <w:autoSpaceDE w:val="0"/>
              <w:autoSpaceDN w:val="0"/>
              <w:adjustRightInd w:val="0"/>
              <w:spacing w:after="0" w:line="240" w:lineRule="auto"/>
              <w:ind w:right="10"/>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38C3EFBF" w14:textId="77777777" w:rsidR="00A60822" w:rsidRPr="00A60822" w:rsidRDefault="00A60822" w:rsidP="00A60822">
            <w:pPr>
              <w:autoSpaceDE w:val="0"/>
              <w:autoSpaceDN w:val="0"/>
              <w:adjustRightInd w:val="0"/>
              <w:spacing w:after="0" w:line="240" w:lineRule="auto"/>
              <w:ind w:right="10"/>
              <w:jc w:val="center"/>
              <w:rPr>
                <w:rFonts w:ascii="Arial" w:eastAsia="Calibri" w:hAnsi="Arial" w:cs="Arial"/>
                <w:color w:val="000000"/>
                <w:kern w:val="0"/>
                <w:sz w:val="18"/>
                <w:szCs w:val="18"/>
                <w14:ligatures w14:val="none"/>
              </w:rPr>
            </w:pPr>
          </w:p>
        </w:tc>
      </w:tr>
      <w:tr w:rsidR="00A60822" w:rsidRPr="00A60822" w14:paraId="36A23C3C" w14:textId="77777777" w:rsidTr="00D00B3F">
        <w:trPr>
          <w:trHeight w:hRule="exact" w:val="90"/>
        </w:trPr>
        <w:tc>
          <w:tcPr>
            <w:tcW w:w="2017" w:type="dxa"/>
            <w:tcBorders>
              <w:top w:val="nil"/>
              <w:left w:val="nil"/>
              <w:bottom w:val="double" w:sz="6" w:space="0" w:color="auto"/>
              <w:right w:val="nil"/>
            </w:tcBorders>
            <w:vAlign w:val="bottom"/>
          </w:tcPr>
          <w:p w14:paraId="2AD9451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0" w:color="auto"/>
              <w:right w:val="nil"/>
            </w:tcBorders>
            <w:vAlign w:val="bottom"/>
          </w:tcPr>
          <w:p w14:paraId="6C3BF3C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0" w:color="auto"/>
              <w:right w:val="nil"/>
            </w:tcBorders>
            <w:vAlign w:val="bottom"/>
          </w:tcPr>
          <w:p w14:paraId="5303AEC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0" w:color="auto"/>
              <w:right w:val="nil"/>
            </w:tcBorders>
            <w:vAlign w:val="bottom"/>
          </w:tcPr>
          <w:p w14:paraId="4F55A70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0" w:color="auto"/>
              <w:right w:val="nil"/>
            </w:tcBorders>
            <w:vAlign w:val="bottom"/>
          </w:tcPr>
          <w:p w14:paraId="23F6302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46B2B080" w14:textId="77777777" w:rsidTr="00D00B3F">
        <w:trPr>
          <w:trHeight w:hRule="exact" w:val="135"/>
        </w:trPr>
        <w:tc>
          <w:tcPr>
            <w:tcW w:w="2017" w:type="dxa"/>
            <w:tcBorders>
              <w:top w:val="nil"/>
              <w:left w:val="nil"/>
              <w:bottom w:val="nil"/>
              <w:right w:val="nil"/>
            </w:tcBorders>
            <w:vAlign w:val="bottom"/>
          </w:tcPr>
          <w:p w14:paraId="08ED8B2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1BFF802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33E51C9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7787537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1D9A621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bl>
    <w:p w14:paraId="2EBC37DC" w14:textId="77777777" w:rsidR="00280939" w:rsidRDefault="00280939" w:rsidP="00A60822">
      <w:pPr>
        <w:spacing w:after="200" w:line="276" w:lineRule="auto"/>
        <w:jc w:val="both"/>
        <w:rPr>
          <w:rFonts w:ascii="Times New Roman" w:eastAsia="Calibri" w:hAnsi="Times New Roman" w:cs="Times New Roman"/>
          <w:b/>
          <w:kern w:val="0"/>
          <w:lang w:val="en-GB"/>
          <w14:ligatures w14:val="none"/>
        </w:rPr>
      </w:pPr>
    </w:p>
    <w:p w14:paraId="502A00A8" w14:textId="149EE4CD" w:rsidR="00A60822" w:rsidRPr="00A60822" w:rsidRDefault="00A60822" w:rsidP="00A60822">
      <w:pPr>
        <w:spacing w:after="200" w:line="276" w:lineRule="auto"/>
        <w:jc w:val="both"/>
        <w:rPr>
          <w:rFonts w:ascii="Times New Roman" w:eastAsia="Calibri" w:hAnsi="Times New Roman" w:cs="Times New Roman"/>
          <w:kern w:val="0"/>
          <w:sz w:val="22"/>
          <w:szCs w:val="22"/>
          <w:lang w:val="en-GB"/>
          <w14:ligatures w14:val="none"/>
        </w:rPr>
      </w:pPr>
      <w:r w:rsidRPr="00A60822">
        <w:rPr>
          <w:rFonts w:ascii="Times New Roman" w:eastAsia="Calibri" w:hAnsi="Times New Roman" w:cs="Times New Roman"/>
          <w:b/>
          <w:kern w:val="0"/>
          <w:lang w:val="en-GB"/>
          <w14:ligatures w14:val="none"/>
        </w:rPr>
        <w:t>Result Interpretation</w:t>
      </w:r>
      <w:r w:rsidRPr="00A60822">
        <w:rPr>
          <w:rFonts w:ascii="Times New Roman" w:eastAsia="Calibri" w:hAnsi="Times New Roman" w:cs="Times New Roman"/>
          <w:kern w:val="0"/>
          <w:lang w:val="en-GB"/>
          <w14:ligatures w14:val="none"/>
        </w:rPr>
        <w:t xml:space="preserve">: </w:t>
      </w:r>
      <w:r w:rsidRPr="00A60822">
        <w:rPr>
          <w:rFonts w:ascii="Times New Roman" w:eastAsia="Calibri" w:hAnsi="Times New Roman" w:cs="Times New Roman"/>
          <w:kern w:val="0"/>
          <w:sz w:val="22"/>
          <w:szCs w:val="22"/>
          <w:lang w:val="en-GB"/>
          <w14:ligatures w14:val="none"/>
        </w:rPr>
        <w:t>Table 4.4 indicates the result of parsimonious error correction model. By Error correction model (ECM (-1)) at coefficient -0.571234, it shows that every deviation of variables from the model equilibrium, it takes the speed pace of 57% to adjust back to the equation. The observation is significant at 0.0064 approximately (0.01) compared to 5% levels of significance. The derived coefficient of determination (i.</w:t>
      </w:r>
      <w:proofErr w:type="gramStart"/>
      <w:r w:rsidRPr="00A60822">
        <w:rPr>
          <w:rFonts w:ascii="Times New Roman" w:eastAsia="Calibri" w:hAnsi="Times New Roman" w:cs="Times New Roman"/>
          <w:kern w:val="0"/>
          <w:sz w:val="22"/>
          <w:szCs w:val="22"/>
          <w:lang w:val="en-GB"/>
          <w14:ligatures w14:val="none"/>
        </w:rPr>
        <w:t>e.R</w:t>
      </w:r>
      <w:proofErr w:type="gramEnd"/>
      <w:r w:rsidRPr="00A60822">
        <w:rPr>
          <w:rFonts w:ascii="Times New Roman" w:eastAsia="Calibri" w:hAnsi="Times New Roman" w:cs="Times New Roman"/>
          <w:kern w:val="0"/>
          <w:sz w:val="22"/>
          <w:szCs w:val="22"/>
          <w:lang w:val="en-GB"/>
          <w14:ligatures w14:val="none"/>
        </w:rPr>
        <w:t>2=0.797472 of the estimated model) indicates that 79% of the variations in profit after tax are explained by the dynamic of the Distribution and selling costs, administrative costs, Finance cost. Durbin-Watson statistic result (2.005448) indicates there is no suggestion of serial correlation problems in the model.</w:t>
      </w:r>
    </w:p>
    <w:p w14:paraId="766804EB" w14:textId="77777777" w:rsidR="00A60822" w:rsidRPr="00A60822" w:rsidRDefault="00A60822" w:rsidP="00A60822">
      <w:pPr>
        <w:spacing w:after="200" w:line="276"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kern w:val="0"/>
          <w:lang w:val="en-GB"/>
          <w14:ligatures w14:val="none"/>
        </w:rPr>
        <w:t xml:space="preserve">Table 4.5 </w:t>
      </w:r>
      <w:r w:rsidRPr="00A60822">
        <w:rPr>
          <w:rFonts w:ascii="Times New Roman" w:eastAsia="Calibri" w:hAnsi="Times New Roman" w:cs="Times New Roman"/>
          <w:b/>
          <w:kern w:val="0"/>
          <w:lang w:val="en-GB"/>
          <w14:ligatures w14:val="none"/>
        </w:rPr>
        <w:t>INNOVATION COST CONTROL MECHANISM ON OPERATING MARGIN</w:t>
      </w:r>
    </w:p>
    <w:tbl>
      <w:tblPr>
        <w:tblStyle w:val="TableGrid"/>
        <w:tblW w:w="0" w:type="auto"/>
        <w:tblLook w:val="04A0" w:firstRow="1" w:lastRow="0" w:firstColumn="1" w:lastColumn="0" w:noHBand="0" w:noVBand="1"/>
      </w:tblPr>
      <w:tblGrid>
        <w:gridCol w:w="2394"/>
        <w:gridCol w:w="2394"/>
        <w:gridCol w:w="2266"/>
        <w:gridCol w:w="2522"/>
      </w:tblGrid>
      <w:tr w:rsidR="00A60822" w:rsidRPr="00A60822" w14:paraId="50E549E3" w14:textId="77777777" w:rsidTr="00D00B3F">
        <w:tc>
          <w:tcPr>
            <w:tcW w:w="2394" w:type="dxa"/>
          </w:tcPr>
          <w:p w14:paraId="0F91AE0D"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lastRenderedPageBreak/>
              <w:t>VARIABLES</w:t>
            </w:r>
          </w:p>
        </w:tc>
        <w:tc>
          <w:tcPr>
            <w:tcW w:w="2394" w:type="dxa"/>
          </w:tcPr>
          <w:p w14:paraId="62CED3CE"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COEFFICIENT</w:t>
            </w:r>
          </w:p>
        </w:tc>
        <w:tc>
          <w:tcPr>
            <w:tcW w:w="2266" w:type="dxa"/>
          </w:tcPr>
          <w:p w14:paraId="33A070AF"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PROB VALUE@5%</w:t>
            </w:r>
          </w:p>
        </w:tc>
        <w:tc>
          <w:tcPr>
            <w:tcW w:w="2522" w:type="dxa"/>
          </w:tcPr>
          <w:p w14:paraId="2D0FC42A"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REMARKS</w:t>
            </w:r>
          </w:p>
        </w:tc>
      </w:tr>
      <w:tr w:rsidR="00A60822" w:rsidRPr="00A60822" w14:paraId="2E04BF25" w14:textId="77777777" w:rsidTr="00D00B3F">
        <w:tc>
          <w:tcPr>
            <w:tcW w:w="2394" w:type="dxa"/>
          </w:tcPr>
          <w:p w14:paraId="07506003"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color w:val="000000"/>
                <w:sz w:val="18"/>
                <w:szCs w:val="18"/>
              </w:rPr>
              <w:t>D(DSCT)</w:t>
            </w:r>
          </w:p>
        </w:tc>
        <w:tc>
          <w:tcPr>
            <w:tcW w:w="2394" w:type="dxa"/>
          </w:tcPr>
          <w:p w14:paraId="317FFEB3"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-0.389692</w:t>
            </w:r>
          </w:p>
        </w:tc>
        <w:tc>
          <w:tcPr>
            <w:tcW w:w="2266" w:type="dxa"/>
          </w:tcPr>
          <w:p w14:paraId="165AE7EE"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0.0115</w:t>
            </w:r>
          </w:p>
        </w:tc>
        <w:tc>
          <w:tcPr>
            <w:tcW w:w="2522" w:type="dxa"/>
          </w:tcPr>
          <w:p w14:paraId="38805334"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insignificantly negative</w:t>
            </w:r>
          </w:p>
        </w:tc>
      </w:tr>
      <w:tr w:rsidR="00A60822" w:rsidRPr="00A60822" w14:paraId="6E67FCD8" w14:textId="77777777" w:rsidTr="00D00B3F">
        <w:tc>
          <w:tcPr>
            <w:tcW w:w="2394" w:type="dxa"/>
          </w:tcPr>
          <w:p w14:paraId="0725AC56"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color w:val="000000"/>
                <w:sz w:val="18"/>
                <w:szCs w:val="18"/>
              </w:rPr>
              <w:t>D(ACT)</w:t>
            </w:r>
          </w:p>
        </w:tc>
        <w:tc>
          <w:tcPr>
            <w:tcW w:w="2394" w:type="dxa"/>
          </w:tcPr>
          <w:p w14:paraId="4B511411"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0.457803</w:t>
            </w:r>
          </w:p>
        </w:tc>
        <w:tc>
          <w:tcPr>
            <w:tcW w:w="2266" w:type="dxa"/>
          </w:tcPr>
          <w:p w14:paraId="007BAC31"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0.0014</w:t>
            </w:r>
          </w:p>
        </w:tc>
        <w:tc>
          <w:tcPr>
            <w:tcW w:w="2522" w:type="dxa"/>
          </w:tcPr>
          <w:p w14:paraId="23898960"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Significantly positive</w:t>
            </w:r>
          </w:p>
        </w:tc>
      </w:tr>
      <w:tr w:rsidR="00A60822" w:rsidRPr="00A60822" w14:paraId="72B68DF2" w14:textId="77777777" w:rsidTr="00D00B3F">
        <w:tc>
          <w:tcPr>
            <w:tcW w:w="2394" w:type="dxa"/>
          </w:tcPr>
          <w:p w14:paraId="265BCF10"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color w:val="000000"/>
                <w:sz w:val="18"/>
                <w:szCs w:val="18"/>
              </w:rPr>
              <w:t>D(FCT)</w:t>
            </w:r>
          </w:p>
        </w:tc>
        <w:tc>
          <w:tcPr>
            <w:tcW w:w="2394" w:type="dxa"/>
          </w:tcPr>
          <w:p w14:paraId="2B2359ED"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0.907473</w:t>
            </w:r>
          </w:p>
        </w:tc>
        <w:tc>
          <w:tcPr>
            <w:tcW w:w="2266" w:type="dxa"/>
          </w:tcPr>
          <w:p w14:paraId="063DAD05"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0.0000</w:t>
            </w:r>
          </w:p>
        </w:tc>
        <w:tc>
          <w:tcPr>
            <w:tcW w:w="2522" w:type="dxa"/>
          </w:tcPr>
          <w:p w14:paraId="07235D14" w14:textId="77777777" w:rsidR="00A60822" w:rsidRPr="00A60822" w:rsidRDefault="00A60822" w:rsidP="00A60822">
            <w:pPr>
              <w:jc w:val="both"/>
              <w:rPr>
                <w:rFonts w:ascii="Times New Roman" w:eastAsia="Calibri" w:hAnsi="Times New Roman" w:cs="Times New Roman"/>
                <w:lang w:val="en-GB"/>
              </w:rPr>
            </w:pPr>
            <w:r w:rsidRPr="00A60822">
              <w:rPr>
                <w:rFonts w:ascii="Times New Roman" w:eastAsia="Calibri" w:hAnsi="Times New Roman" w:cs="Times New Roman"/>
                <w:lang w:val="en-GB"/>
              </w:rPr>
              <w:t>Significantly positive</w:t>
            </w:r>
          </w:p>
        </w:tc>
      </w:tr>
    </w:tbl>
    <w:p w14:paraId="72717D79" w14:textId="77777777" w:rsidR="00280939" w:rsidRDefault="00280939" w:rsidP="00A60822">
      <w:pPr>
        <w:spacing w:after="200" w:line="276" w:lineRule="auto"/>
        <w:jc w:val="both"/>
        <w:rPr>
          <w:rFonts w:ascii="Times New Roman" w:eastAsia="Calibri" w:hAnsi="Times New Roman" w:cs="Times New Roman"/>
          <w:b/>
          <w:kern w:val="0"/>
          <w:lang w:val="en-GB"/>
          <w14:ligatures w14:val="none"/>
        </w:rPr>
      </w:pPr>
    </w:p>
    <w:p w14:paraId="60707A44" w14:textId="05B7ACEC" w:rsidR="00A60822" w:rsidRPr="00A60822" w:rsidRDefault="00A60822" w:rsidP="00A60822">
      <w:pPr>
        <w:spacing w:after="200" w:line="276"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t>Result Interpretation:</w:t>
      </w:r>
      <w:r w:rsidRPr="00A60822">
        <w:rPr>
          <w:rFonts w:ascii="Times New Roman" w:eastAsia="Calibri" w:hAnsi="Times New Roman" w:cs="Times New Roman"/>
          <w:kern w:val="0"/>
          <w:lang w:val="en-GB"/>
          <w14:ligatures w14:val="none"/>
        </w:rPr>
        <w:t xml:space="preserve"> </w:t>
      </w:r>
      <w:r w:rsidRPr="00A60822">
        <w:rPr>
          <w:rFonts w:ascii="Times New Roman" w:eastAsia="Calibri" w:hAnsi="Times New Roman" w:cs="Times New Roman"/>
          <w:kern w:val="0"/>
          <w:sz w:val="22"/>
          <w:szCs w:val="22"/>
          <w:lang w:val="en-GB"/>
          <w14:ligatures w14:val="none"/>
        </w:rPr>
        <w:t>Table 4.5 reveals the impacts of various controlled expenses on profit after tax (PAT). Distribution and selling costs: D(DSCT) affects negatively (-0.389692) on the profit after tax (PAT) and significantly (0.0115). It implies that 1% corporate expenses on distribution and selling costs contribute negatively to 38% decrease in profit after tax. Administrative costs: D(ACT) demonstrated positive (0.457803) impact on profit after tax (PAT) and significantly (0.0014). It justifies that 1% corporate expenses on finance cost contribute significantly to 45% increase in profit after tax. Finance costs: D(FCT) results indicate a significantly positive effects on profit after tax (PAT). The outcome of finance costs discloses that consumer goods manufacturing expenses on Distribution cost, marketing, selling and other activities contributes significantly positive (0.907473) in generating revenue and income that culminates in profit after tax. It implies that every 1% input on finance expenses results in 90% increase in profit after tax.</w:t>
      </w:r>
    </w:p>
    <w:p w14:paraId="560F7E8F" w14:textId="77777777" w:rsidR="00A60822" w:rsidRPr="00A60822" w:rsidRDefault="00A60822" w:rsidP="00A60822">
      <w:pPr>
        <w:spacing w:after="200" w:line="276"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4.6 </w:t>
      </w:r>
      <w:r w:rsidRPr="00A60822">
        <w:rPr>
          <w:rFonts w:ascii="Times New Roman" w:eastAsia="Calibri" w:hAnsi="Times New Roman" w:cs="Times New Roman"/>
          <w:b/>
          <w:kern w:val="0"/>
          <w:lang w:val="en-GB"/>
          <w14:ligatures w14:val="none"/>
        </w:rPr>
        <w:t>FULLY MODIFIED ORDINARY LEAST SQUARES MODEL (FMOLS)</w:t>
      </w:r>
    </w:p>
    <w:p w14:paraId="2B771775" w14:textId="77777777" w:rsidR="00A60822" w:rsidRPr="00A60822" w:rsidRDefault="00A60822" w:rsidP="00A60822">
      <w:pPr>
        <w:autoSpaceDE w:val="0"/>
        <w:autoSpaceDN w:val="0"/>
        <w:adjustRightInd w:val="0"/>
        <w:spacing w:after="0" w:line="240" w:lineRule="auto"/>
        <w:rPr>
          <w:rFonts w:ascii="Arial" w:eastAsia="Calibri" w:hAnsi="Arial" w:cs="Arial"/>
          <w:kern w:val="0"/>
          <w:sz w:val="18"/>
          <w:szCs w:val="18"/>
          <w14:ligatures w14:val="none"/>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A60822" w:rsidRPr="00A60822" w14:paraId="685F5D36" w14:textId="77777777" w:rsidTr="00D00B3F">
        <w:trPr>
          <w:trHeight w:val="225"/>
        </w:trPr>
        <w:tc>
          <w:tcPr>
            <w:tcW w:w="4327" w:type="dxa"/>
            <w:gridSpan w:val="3"/>
            <w:tcBorders>
              <w:top w:val="nil"/>
              <w:left w:val="nil"/>
              <w:bottom w:val="nil"/>
              <w:right w:val="nil"/>
            </w:tcBorders>
            <w:vAlign w:val="bottom"/>
          </w:tcPr>
          <w:p w14:paraId="12CB9F60"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Dependent Variable: PAT</w:t>
            </w:r>
          </w:p>
        </w:tc>
        <w:tc>
          <w:tcPr>
            <w:tcW w:w="1208" w:type="dxa"/>
            <w:tcBorders>
              <w:top w:val="nil"/>
              <w:left w:val="nil"/>
              <w:bottom w:val="nil"/>
              <w:right w:val="nil"/>
            </w:tcBorders>
            <w:vAlign w:val="bottom"/>
          </w:tcPr>
          <w:p w14:paraId="28ADDE5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3138BAB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39DBC80F" w14:textId="77777777" w:rsidTr="00D00B3F">
        <w:trPr>
          <w:trHeight w:val="225"/>
        </w:trPr>
        <w:tc>
          <w:tcPr>
            <w:tcW w:w="5535" w:type="dxa"/>
            <w:gridSpan w:val="4"/>
            <w:tcBorders>
              <w:top w:val="nil"/>
              <w:left w:val="nil"/>
              <w:bottom w:val="nil"/>
              <w:right w:val="nil"/>
            </w:tcBorders>
            <w:vAlign w:val="bottom"/>
          </w:tcPr>
          <w:p w14:paraId="2D87C7F2"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Method: Fully Modified Least Squares (FMOLS)</w:t>
            </w:r>
          </w:p>
        </w:tc>
        <w:tc>
          <w:tcPr>
            <w:tcW w:w="997" w:type="dxa"/>
            <w:tcBorders>
              <w:top w:val="nil"/>
              <w:left w:val="nil"/>
              <w:bottom w:val="nil"/>
              <w:right w:val="nil"/>
            </w:tcBorders>
            <w:vAlign w:val="bottom"/>
          </w:tcPr>
          <w:p w14:paraId="4D0E54E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0AF3697A" w14:textId="77777777" w:rsidTr="00D00B3F">
        <w:trPr>
          <w:trHeight w:val="225"/>
        </w:trPr>
        <w:tc>
          <w:tcPr>
            <w:tcW w:w="4327" w:type="dxa"/>
            <w:gridSpan w:val="3"/>
            <w:tcBorders>
              <w:top w:val="nil"/>
              <w:left w:val="nil"/>
              <w:bottom w:val="nil"/>
              <w:right w:val="nil"/>
            </w:tcBorders>
            <w:vAlign w:val="bottom"/>
          </w:tcPr>
          <w:p w14:paraId="3F96AC62"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Date: 04/04/25   Time: 11:12</w:t>
            </w:r>
          </w:p>
        </w:tc>
        <w:tc>
          <w:tcPr>
            <w:tcW w:w="1208" w:type="dxa"/>
            <w:tcBorders>
              <w:top w:val="nil"/>
              <w:left w:val="nil"/>
              <w:bottom w:val="nil"/>
              <w:right w:val="nil"/>
            </w:tcBorders>
            <w:vAlign w:val="bottom"/>
          </w:tcPr>
          <w:p w14:paraId="126009A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095E8A7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47DE68EE" w14:textId="77777777" w:rsidTr="00D00B3F">
        <w:trPr>
          <w:trHeight w:val="225"/>
        </w:trPr>
        <w:tc>
          <w:tcPr>
            <w:tcW w:w="4327" w:type="dxa"/>
            <w:gridSpan w:val="3"/>
            <w:tcBorders>
              <w:top w:val="nil"/>
              <w:left w:val="nil"/>
              <w:bottom w:val="nil"/>
              <w:right w:val="nil"/>
            </w:tcBorders>
            <w:vAlign w:val="bottom"/>
          </w:tcPr>
          <w:p w14:paraId="37222A2A"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Sample (adjusted): 2004 2024</w:t>
            </w:r>
          </w:p>
        </w:tc>
        <w:tc>
          <w:tcPr>
            <w:tcW w:w="1208" w:type="dxa"/>
            <w:tcBorders>
              <w:top w:val="nil"/>
              <w:left w:val="nil"/>
              <w:bottom w:val="nil"/>
              <w:right w:val="nil"/>
            </w:tcBorders>
            <w:vAlign w:val="bottom"/>
          </w:tcPr>
          <w:p w14:paraId="34B8539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1E6C9D6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7BEBCF79" w14:textId="77777777" w:rsidTr="00D00B3F">
        <w:trPr>
          <w:trHeight w:val="225"/>
        </w:trPr>
        <w:tc>
          <w:tcPr>
            <w:tcW w:w="5535" w:type="dxa"/>
            <w:gridSpan w:val="4"/>
            <w:tcBorders>
              <w:top w:val="nil"/>
              <w:left w:val="nil"/>
              <w:bottom w:val="nil"/>
              <w:right w:val="nil"/>
            </w:tcBorders>
            <w:vAlign w:val="bottom"/>
          </w:tcPr>
          <w:p w14:paraId="3A6C525F"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Included observations: 39 after adjustments</w:t>
            </w:r>
          </w:p>
        </w:tc>
        <w:tc>
          <w:tcPr>
            <w:tcW w:w="997" w:type="dxa"/>
            <w:tcBorders>
              <w:top w:val="nil"/>
              <w:left w:val="nil"/>
              <w:bottom w:val="nil"/>
              <w:right w:val="nil"/>
            </w:tcBorders>
            <w:vAlign w:val="bottom"/>
          </w:tcPr>
          <w:p w14:paraId="68A0CD2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4D5B2F95" w14:textId="77777777" w:rsidTr="00D00B3F">
        <w:trPr>
          <w:trHeight w:val="225"/>
        </w:trPr>
        <w:tc>
          <w:tcPr>
            <w:tcW w:w="5535" w:type="dxa"/>
            <w:gridSpan w:val="4"/>
            <w:tcBorders>
              <w:top w:val="nil"/>
              <w:left w:val="nil"/>
              <w:bottom w:val="nil"/>
              <w:right w:val="nil"/>
            </w:tcBorders>
            <w:vAlign w:val="bottom"/>
          </w:tcPr>
          <w:p w14:paraId="20834188"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xml:space="preserve">Cointegrating equation </w:t>
            </w:r>
            <w:proofErr w:type="spellStart"/>
            <w:r w:rsidRPr="00A60822">
              <w:rPr>
                <w:rFonts w:ascii="Arial" w:eastAsia="Calibri" w:hAnsi="Arial" w:cs="Arial"/>
                <w:color w:val="000000"/>
                <w:kern w:val="0"/>
                <w:sz w:val="18"/>
                <w:szCs w:val="18"/>
                <w14:ligatures w14:val="none"/>
              </w:rPr>
              <w:t>deterministics</w:t>
            </w:r>
            <w:proofErr w:type="spellEnd"/>
            <w:r w:rsidRPr="00A60822">
              <w:rPr>
                <w:rFonts w:ascii="Arial" w:eastAsia="Calibri" w:hAnsi="Arial" w:cs="Arial"/>
                <w:color w:val="000000"/>
                <w:kern w:val="0"/>
                <w:sz w:val="18"/>
                <w:szCs w:val="18"/>
                <w14:ligatures w14:val="none"/>
              </w:rPr>
              <w:t>: C</w:t>
            </w:r>
          </w:p>
        </w:tc>
        <w:tc>
          <w:tcPr>
            <w:tcW w:w="997" w:type="dxa"/>
            <w:tcBorders>
              <w:top w:val="nil"/>
              <w:left w:val="nil"/>
              <w:bottom w:val="nil"/>
              <w:right w:val="nil"/>
            </w:tcBorders>
            <w:vAlign w:val="bottom"/>
          </w:tcPr>
          <w:p w14:paraId="6675B98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4F2039B2" w14:textId="77777777" w:rsidTr="00D00B3F">
        <w:trPr>
          <w:trHeight w:val="225"/>
        </w:trPr>
        <w:tc>
          <w:tcPr>
            <w:tcW w:w="6532" w:type="dxa"/>
            <w:gridSpan w:val="5"/>
            <w:tcBorders>
              <w:top w:val="nil"/>
              <w:left w:val="nil"/>
              <w:bottom w:val="nil"/>
              <w:right w:val="nil"/>
            </w:tcBorders>
            <w:vAlign w:val="bottom"/>
          </w:tcPr>
          <w:p w14:paraId="3E3D422B"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Long-run covariance estimate (Bartlett kernel, Newey-West fixed bandwidth</w:t>
            </w:r>
          </w:p>
        </w:tc>
      </w:tr>
      <w:tr w:rsidR="00A60822" w:rsidRPr="00A60822" w14:paraId="1EBB691B" w14:textId="77777777" w:rsidTr="00D00B3F">
        <w:trPr>
          <w:trHeight w:val="225"/>
        </w:trPr>
        <w:tc>
          <w:tcPr>
            <w:tcW w:w="4327" w:type="dxa"/>
            <w:gridSpan w:val="3"/>
            <w:tcBorders>
              <w:top w:val="nil"/>
              <w:left w:val="nil"/>
              <w:bottom w:val="nil"/>
              <w:right w:val="nil"/>
            </w:tcBorders>
            <w:vAlign w:val="bottom"/>
          </w:tcPr>
          <w:p w14:paraId="225245D8"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 4.0000)</w:t>
            </w:r>
          </w:p>
        </w:tc>
        <w:tc>
          <w:tcPr>
            <w:tcW w:w="1208" w:type="dxa"/>
            <w:tcBorders>
              <w:top w:val="nil"/>
              <w:left w:val="nil"/>
              <w:bottom w:val="nil"/>
              <w:right w:val="nil"/>
            </w:tcBorders>
            <w:vAlign w:val="bottom"/>
          </w:tcPr>
          <w:p w14:paraId="494E43B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5A87971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0061345A" w14:textId="77777777" w:rsidTr="00D00B3F">
        <w:trPr>
          <w:trHeight w:hRule="exact" w:val="90"/>
        </w:trPr>
        <w:tc>
          <w:tcPr>
            <w:tcW w:w="2017" w:type="dxa"/>
            <w:tcBorders>
              <w:top w:val="nil"/>
              <w:left w:val="nil"/>
              <w:bottom w:val="double" w:sz="6" w:space="2" w:color="auto"/>
              <w:right w:val="nil"/>
            </w:tcBorders>
            <w:vAlign w:val="bottom"/>
          </w:tcPr>
          <w:p w14:paraId="16BBE2F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2" w:color="auto"/>
              <w:right w:val="nil"/>
            </w:tcBorders>
            <w:vAlign w:val="bottom"/>
          </w:tcPr>
          <w:p w14:paraId="40FDD88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2" w:color="auto"/>
              <w:right w:val="nil"/>
            </w:tcBorders>
            <w:vAlign w:val="bottom"/>
          </w:tcPr>
          <w:p w14:paraId="65683D2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2" w:color="auto"/>
              <w:right w:val="nil"/>
            </w:tcBorders>
            <w:vAlign w:val="bottom"/>
          </w:tcPr>
          <w:p w14:paraId="6AFF156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2" w:color="auto"/>
              <w:right w:val="nil"/>
            </w:tcBorders>
            <w:vAlign w:val="bottom"/>
          </w:tcPr>
          <w:p w14:paraId="56E3E8A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39CE5C47" w14:textId="77777777" w:rsidTr="00D00B3F">
        <w:trPr>
          <w:trHeight w:hRule="exact" w:val="135"/>
        </w:trPr>
        <w:tc>
          <w:tcPr>
            <w:tcW w:w="2017" w:type="dxa"/>
            <w:tcBorders>
              <w:top w:val="nil"/>
              <w:left w:val="nil"/>
              <w:bottom w:val="nil"/>
              <w:right w:val="nil"/>
            </w:tcBorders>
            <w:vAlign w:val="bottom"/>
          </w:tcPr>
          <w:p w14:paraId="2C22007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2F78AFA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43F8249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219F824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7F56A39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1ADB9575" w14:textId="77777777" w:rsidTr="00D00B3F">
        <w:trPr>
          <w:trHeight w:val="225"/>
        </w:trPr>
        <w:tc>
          <w:tcPr>
            <w:tcW w:w="2017" w:type="dxa"/>
            <w:tcBorders>
              <w:top w:val="nil"/>
              <w:left w:val="nil"/>
              <w:bottom w:val="nil"/>
              <w:right w:val="nil"/>
            </w:tcBorders>
            <w:vAlign w:val="bottom"/>
          </w:tcPr>
          <w:p w14:paraId="3CB6DED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Variable</w:t>
            </w:r>
          </w:p>
        </w:tc>
        <w:tc>
          <w:tcPr>
            <w:tcW w:w="1103" w:type="dxa"/>
            <w:tcBorders>
              <w:top w:val="nil"/>
              <w:left w:val="nil"/>
              <w:bottom w:val="nil"/>
              <w:right w:val="nil"/>
            </w:tcBorders>
            <w:vAlign w:val="bottom"/>
          </w:tcPr>
          <w:p w14:paraId="4E8FD025"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Coefficient</w:t>
            </w:r>
          </w:p>
        </w:tc>
        <w:tc>
          <w:tcPr>
            <w:tcW w:w="1207" w:type="dxa"/>
            <w:tcBorders>
              <w:top w:val="nil"/>
              <w:left w:val="nil"/>
              <w:bottom w:val="nil"/>
              <w:right w:val="nil"/>
            </w:tcBorders>
            <w:vAlign w:val="bottom"/>
          </w:tcPr>
          <w:p w14:paraId="7E3106C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Std. Error</w:t>
            </w:r>
          </w:p>
        </w:tc>
        <w:tc>
          <w:tcPr>
            <w:tcW w:w="1208" w:type="dxa"/>
            <w:tcBorders>
              <w:top w:val="nil"/>
              <w:left w:val="nil"/>
              <w:bottom w:val="nil"/>
              <w:right w:val="nil"/>
            </w:tcBorders>
            <w:vAlign w:val="bottom"/>
          </w:tcPr>
          <w:p w14:paraId="39DF3E91"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t-Statistic</w:t>
            </w:r>
          </w:p>
        </w:tc>
        <w:tc>
          <w:tcPr>
            <w:tcW w:w="997" w:type="dxa"/>
            <w:tcBorders>
              <w:top w:val="nil"/>
              <w:left w:val="nil"/>
              <w:bottom w:val="nil"/>
              <w:right w:val="nil"/>
            </w:tcBorders>
            <w:vAlign w:val="bottom"/>
          </w:tcPr>
          <w:p w14:paraId="447014D2"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Prob.  </w:t>
            </w:r>
          </w:p>
        </w:tc>
      </w:tr>
      <w:tr w:rsidR="00A60822" w:rsidRPr="00A60822" w14:paraId="2CA9C014" w14:textId="77777777" w:rsidTr="00D00B3F">
        <w:trPr>
          <w:trHeight w:hRule="exact" w:val="90"/>
        </w:trPr>
        <w:tc>
          <w:tcPr>
            <w:tcW w:w="2017" w:type="dxa"/>
            <w:tcBorders>
              <w:top w:val="nil"/>
              <w:left w:val="nil"/>
              <w:bottom w:val="double" w:sz="6" w:space="2" w:color="auto"/>
              <w:right w:val="nil"/>
            </w:tcBorders>
            <w:vAlign w:val="bottom"/>
          </w:tcPr>
          <w:p w14:paraId="750162D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2" w:color="auto"/>
              <w:right w:val="nil"/>
            </w:tcBorders>
            <w:vAlign w:val="bottom"/>
          </w:tcPr>
          <w:p w14:paraId="513910C4"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2" w:color="auto"/>
              <w:right w:val="nil"/>
            </w:tcBorders>
            <w:vAlign w:val="bottom"/>
          </w:tcPr>
          <w:p w14:paraId="1545206C"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2" w:color="auto"/>
              <w:right w:val="nil"/>
            </w:tcBorders>
            <w:vAlign w:val="bottom"/>
          </w:tcPr>
          <w:p w14:paraId="17F9945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2" w:color="auto"/>
              <w:right w:val="nil"/>
            </w:tcBorders>
            <w:vAlign w:val="bottom"/>
          </w:tcPr>
          <w:p w14:paraId="5CBBD36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4F12E544" w14:textId="77777777" w:rsidTr="00D00B3F">
        <w:trPr>
          <w:trHeight w:hRule="exact" w:val="135"/>
        </w:trPr>
        <w:tc>
          <w:tcPr>
            <w:tcW w:w="2017" w:type="dxa"/>
            <w:tcBorders>
              <w:top w:val="nil"/>
              <w:left w:val="nil"/>
              <w:bottom w:val="nil"/>
              <w:right w:val="nil"/>
            </w:tcBorders>
            <w:vAlign w:val="bottom"/>
          </w:tcPr>
          <w:p w14:paraId="073A98C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6E04F2F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4EEB0A8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29FF106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3924AD2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166AE5C9" w14:textId="77777777" w:rsidTr="00D00B3F">
        <w:trPr>
          <w:trHeight w:val="225"/>
        </w:trPr>
        <w:tc>
          <w:tcPr>
            <w:tcW w:w="2017" w:type="dxa"/>
            <w:tcBorders>
              <w:top w:val="nil"/>
              <w:left w:val="nil"/>
              <w:bottom w:val="nil"/>
              <w:right w:val="nil"/>
            </w:tcBorders>
            <w:vAlign w:val="bottom"/>
          </w:tcPr>
          <w:p w14:paraId="22F23B78"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DSCT</w:t>
            </w:r>
          </w:p>
        </w:tc>
        <w:tc>
          <w:tcPr>
            <w:tcW w:w="1103" w:type="dxa"/>
            <w:tcBorders>
              <w:top w:val="nil"/>
              <w:left w:val="nil"/>
              <w:bottom w:val="nil"/>
              <w:right w:val="nil"/>
            </w:tcBorders>
            <w:vAlign w:val="bottom"/>
          </w:tcPr>
          <w:p w14:paraId="41E0354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-0.227773</w:t>
            </w:r>
          </w:p>
        </w:tc>
        <w:tc>
          <w:tcPr>
            <w:tcW w:w="1207" w:type="dxa"/>
            <w:tcBorders>
              <w:top w:val="nil"/>
              <w:left w:val="nil"/>
              <w:bottom w:val="nil"/>
              <w:right w:val="nil"/>
            </w:tcBorders>
            <w:vAlign w:val="bottom"/>
          </w:tcPr>
          <w:p w14:paraId="5169821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0.237787</w:t>
            </w:r>
          </w:p>
        </w:tc>
        <w:tc>
          <w:tcPr>
            <w:tcW w:w="1208" w:type="dxa"/>
            <w:tcBorders>
              <w:top w:val="nil"/>
              <w:left w:val="nil"/>
              <w:bottom w:val="nil"/>
              <w:right w:val="nil"/>
            </w:tcBorders>
            <w:vAlign w:val="bottom"/>
          </w:tcPr>
          <w:p w14:paraId="57B1AD1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-0.957883</w:t>
            </w:r>
          </w:p>
        </w:tc>
        <w:tc>
          <w:tcPr>
            <w:tcW w:w="997" w:type="dxa"/>
            <w:tcBorders>
              <w:top w:val="nil"/>
              <w:left w:val="nil"/>
              <w:bottom w:val="nil"/>
              <w:right w:val="nil"/>
            </w:tcBorders>
            <w:vAlign w:val="bottom"/>
          </w:tcPr>
          <w:p w14:paraId="564B00C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0.3447</w:t>
            </w:r>
          </w:p>
        </w:tc>
      </w:tr>
      <w:tr w:rsidR="00A60822" w:rsidRPr="00A60822" w14:paraId="4EF87E1F" w14:textId="77777777" w:rsidTr="00D00B3F">
        <w:trPr>
          <w:trHeight w:val="225"/>
        </w:trPr>
        <w:tc>
          <w:tcPr>
            <w:tcW w:w="2017" w:type="dxa"/>
            <w:tcBorders>
              <w:top w:val="nil"/>
              <w:left w:val="nil"/>
              <w:bottom w:val="nil"/>
              <w:right w:val="nil"/>
            </w:tcBorders>
            <w:vAlign w:val="bottom"/>
          </w:tcPr>
          <w:p w14:paraId="1DFE08A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ACT</w:t>
            </w:r>
          </w:p>
        </w:tc>
        <w:tc>
          <w:tcPr>
            <w:tcW w:w="1103" w:type="dxa"/>
            <w:tcBorders>
              <w:top w:val="nil"/>
              <w:left w:val="nil"/>
              <w:bottom w:val="nil"/>
              <w:right w:val="nil"/>
            </w:tcBorders>
            <w:vAlign w:val="bottom"/>
          </w:tcPr>
          <w:p w14:paraId="359F47E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0.531463</w:t>
            </w:r>
          </w:p>
        </w:tc>
        <w:tc>
          <w:tcPr>
            <w:tcW w:w="1207" w:type="dxa"/>
            <w:tcBorders>
              <w:top w:val="nil"/>
              <w:left w:val="nil"/>
              <w:bottom w:val="nil"/>
              <w:right w:val="nil"/>
            </w:tcBorders>
            <w:vAlign w:val="bottom"/>
          </w:tcPr>
          <w:p w14:paraId="3A95990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0.189721</w:t>
            </w:r>
          </w:p>
        </w:tc>
        <w:tc>
          <w:tcPr>
            <w:tcW w:w="1208" w:type="dxa"/>
            <w:tcBorders>
              <w:top w:val="nil"/>
              <w:left w:val="nil"/>
              <w:bottom w:val="nil"/>
              <w:right w:val="nil"/>
            </w:tcBorders>
            <w:vAlign w:val="bottom"/>
          </w:tcPr>
          <w:p w14:paraId="181D231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2.801292</w:t>
            </w:r>
          </w:p>
        </w:tc>
        <w:tc>
          <w:tcPr>
            <w:tcW w:w="997" w:type="dxa"/>
            <w:tcBorders>
              <w:top w:val="nil"/>
              <w:left w:val="nil"/>
              <w:bottom w:val="nil"/>
              <w:right w:val="nil"/>
            </w:tcBorders>
            <w:vAlign w:val="bottom"/>
          </w:tcPr>
          <w:p w14:paraId="30D74ED8"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0.0082</w:t>
            </w:r>
          </w:p>
        </w:tc>
      </w:tr>
      <w:tr w:rsidR="00A60822" w:rsidRPr="00A60822" w14:paraId="5F41FC99" w14:textId="77777777" w:rsidTr="00D00B3F">
        <w:trPr>
          <w:trHeight w:val="225"/>
        </w:trPr>
        <w:tc>
          <w:tcPr>
            <w:tcW w:w="2017" w:type="dxa"/>
            <w:tcBorders>
              <w:top w:val="nil"/>
              <w:left w:val="nil"/>
              <w:bottom w:val="nil"/>
              <w:right w:val="nil"/>
            </w:tcBorders>
            <w:vAlign w:val="bottom"/>
          </w:tcPr>
          <w:p w14:paraId="2E0B5A4F"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FCT</w:t>
            </w:r>
          </w:p>
        </w:tc>
        <w:tc>
          <w:tcPr>
            <w:tcW w:w="1103" w:type="dxa"/>
            <w:tcBorders>
              <w:top w:val="nil"/>
              <w:left w:val="nil"/>
              <w:bottom w:val="nil"/>
              <w:right w:val="nil"/>
            </w:tcBorders>
            <w:vAlign w:val="bottom"/>
          </w:tcPr>
          <w:p w14:paraId="04944386"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0.790885</w:t>
            </w:r>
          </w:p>
        </w:tc>
        <w:tc>
          <w:tcPr>
            <w:tcW w:w="1207" w:type="dxa"/>
            <w:tcBorders>
              <w:top w:val="nil"/>
              <w:left w:val="nil"/>
              <w:bottom w:val="nil"/>
              <w:right w:val="nil"/>
            </w:tcBorders>
            <w:vAlign w:val="bottom"/>
          </w:tcPr>
          <w:p w14:paraId="46EF0F58"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0.240021</w:t>
            </w:r>
          </w:p>
        </w:tc>
        <w:tc>
          <w:tcPr>
            <w:tcW w:w="1208" w:type="dxa"/>
            <w:tcBorders>
              <w:top w:val="nil"/>
              <w:left w:val="nil"/>
              <w:bottom w:val="nil"/>
              <w:right w:val="nil"/>
            </w:tcBorders>
            <w:vAlign w:val="bottom"/>
          </w:tcPr>
          <w:p w14:paraId="5C2C8E7D"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3.295065</w:t>
            </w:r>
          </w:p>
        </w:tc>
        <w:tc>
          <w:tcPr>
            <w:tcW w:w="997" w:type="dxa"/>
            <w:tcBorders>
              <w:top w:val="nil"/>
              <w:left w:val="nil"/>
              <w:bottom w:val="nil"/>
              <w:right w:val="nil"/>
            </w:tcBorders>
            <w:vAlign w:val="bottom"/>
          </w:tcPr>
          <w:p w14:paraId="3463445A"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0.0023</w:t>
            </w:r>
          </w:p>
        </w:tc>
      </w:tr>
      <w:tr w:rsidR="00A60822" w:rsidRPr="00A60822" w14:paraId="42041A89" w14:textId="77777777" w:rsidTr="00D00B3F">
        <w:trPr>
          <w:trHeight w:val="225"/>
        </w:trPr>
        <w:tc>
          <w:tcPr>
            <w:tcW w:w="2017" w:type="dxa"/>
            <w:tcBorders>
              <w:top w:val="nil"/>
              <w:left w:val="nil"/>
              <w:bottom w:val="nil"/>
              <w:right w:val="nil"/>
            </w:tcBorders>
            <w:vAlign w:val="bottom"/>
          </w:tcPr>
          <w:p w14:paraId="01845380"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C</w:t>
            </w:r>
          </w:p>
        </w:tc>
        <w:tc>
          <w:tcPr>
            <w:tcW w:w="1103" w:type="dxa"/>
            <w:tcBorders>
              <w:top w:val="nil"/>
              <w:left w:val="nil"/>
              <w:bottom w:val="nil"/>
              <w:right w:val="nil"/>
            </w:tcBorders>
            <w:vAlign w:val="bottom"/>
          </w:tcPr>
          <w:p w14:paraId="4C8407C7"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-45451.57</w:t>
            </w:r>
          </w:p>
        </w:tc>
        <w:tc>
          <w:tcPr>
            <w:tcW w:w="1207" w:type="dxa"/>
            <w:tcBorders>
              <w:top w:val="nil"/>
              <w:left w:val="nil"/>
              <w:bottom w:val="nil"/>
              <w:right w:val="nil"/>
            </w:tcBorders>
            <w:vAlign w:val="bottom"/>
          </w:tcPr>
          <w:p w14:paraId="002B3291"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51509.98</w:t>
            </w:r>
          </w:p>
        </w:tc>
        <w:tc>
          <w:tcPr>
            <w:tcW w:w="1208" w:type="dxa"/>
            <w:tcBorders>
              <w:top w:val="nil"/>
              <w:left w:val="nil"/>
              <w:bottom w:val="nil"/>
              <w:right w:val="nil"/>
            </w:tcBorders>
            <w:vAlign w:val="bottom"/>
          </w:tcPr>
          <w:p w14:paraId="143F9861"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-0.882384</w:t>
            </w:r>
          </w:p>
        </w:tc>
        <w:tc>
          <w:tcPr>
            <w:tcW w:w="997" w:type="dxa"/>
            <w:tcBorders>
              <w:top w:val="nil"/>
              <w:left w:val="nil"/>
              <w:bottom w:val="nil"/>
              <w:right w:val="nil"/>
            </w:tcBorders>
            <w:vAlign w:val="bottom"/>
          </w:tcPr>
          <w:p w14:paraId="66C58174"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0.3836</w:t>
            </w:r>
          </w:p>
        </w:tc>
      </w:tr>
      <w:tr w:rsidR="00A60822" w:rsidRPr="00A60822" w14:paraId="3CF76C8F" w14:textId="77777777" w:rsidTr="00D00B3F">
        <w:trPr>
          <w:trHeight w:hRule="exact" w:val="90"/>
        </w:trPr>
        <w:tc>
          <w:tcPr>
            <w:tcW w:w="2017" w:type="dxa"/>
            <w:tcBorders>
              <w:top w:val="nil"/>
              <w:left w:val="nil"/>
              <w:bottom w:val="double" w:sz="6" w:space="2" w:color="auto"/>
              <w:right w:val="nil"/>
            </w:tcBorders>
            <w:vAlign w:val="bottom"/>
          </w:tcPr>
          <w:p w14:paraId="327ACC3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2" w:color="auto"/>
              <w:right w:val="nil"/>
            </w:tcBorders>
            <w:vAlign w:val="bottom"/>
          </w:tcPr>
          <w:p w14:paraId="2BF84626"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2" w:color="auto"/>
              <w:right w:val="nil"/>
            </w:tcBorders>
            <w:vAlign w:val="bottom"/>
          </w:tcPr>
          <w:p w14:paraId="6EA7EB2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2" w:color="auto"/>
              <w:right w:val="nil"/>
            </w:tcBorders>
            <w:vAlign w:val="bottom"/>
          </w:tcPr>
          <w:p w14:paraId="3AF6399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2" w:color="auto"/>
              <w:right w:val="nil"/>
            </w:tcBorders>
            <w:vAlign w:val="bottom"/>
          </w:tcPr>
          <w:p w14:paraId="130B8B9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6E2757D0" w14:textId="77777777" w:rsidTr="00D00B3F">
        <w:trPr>
          <w:trHeight w:hRule="exact" w:val="135"/>
        </w:trPr>
        <w:tc>
          <w:tcPr>
            <w:tcW w:w="2017" w:type="dxa"/>
            <w:tcBorders>
              <w:top w:val="nil"/>
              <w:left w:val="nil"/>
              <w:bottom w:val="nil"/>
              <w:right w:val="nil"/>
            </w:tcBorders>
            <w:vAlign w:val="bottom"/>
          </w:tcPr>
          <w:p w14:paraId="7B0C8D13"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2B8D1E0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5FC5731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34DC376E"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7F47522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7AFC9902" w14:textId="77777777" w:rsidTr="00D00B3F">
        <w:trPr>
          <w:trHeight w:val="225"/>
        </w:trPr>
        <w:tc>
          <w:tcPr>
            <w:tcW w:w="2017" w:type="dxa"/>
            <w:tcBorders>
              <w:top w:val="nil"/>
              <w:left w:val="nil"/>
              <w:bottom w:val="nil"/>
              <w:right w:val="nil"/>
            </w:tcBorders>
            <w:vAlign w:val="bottom"/>
          </w:tcPr>
          <w:p w14:paraId="7660C8DC"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R-squared</w:t>
            </w:r>
          </w:p>
        </w:tc>
        <w:tc>
          <w:tcPr>
            <w:tcW w:w="1103" w:type="dxa"/>
            <w:tcBorders>
              <w:top w:val="nil"/>
              <w:left w:val="nil"/>
              <w:bottom w:val="nil"/>
              <w:right w:val="nil"/>
            </w:tcBorders>
            <w:vAlign w:val="bottom"/>
          </w:tcPr>
          <w:p w14:paraId="7A069B53"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0.538801</w:t>
            </w:r>
          </w:p>
        </w:tc>
        <w:tc>
          <w:tcPr>
            <w:tcW w:w="2415" w:type="dxa"/>
            <w:gridSpan w:val="2"/>
            <w:tcBorders>
              <w:top w:val="nil"/>
              <w:left w:val="nil"/>
              <w:bottom w:val="nil"/>
              <w:right w:val="nil"/>
            </w:tcBorders>
            <w:vAlign w:val="bottom"/>
          </w:tcPr>
          <w:p w14:paraId="6A81C5A5"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Mean dependent var</w:t>
            </w:r>
          </w:p>
        </w:tc>
        <w:tc>
          <w:tcPr>
            <w:tcW w:w="997" w:type="dxa"/>
            <w:tcBorders>
              <w:top w:val="nil"/>
              <w:left w:val="nil"/>
              <w:bottom w:val="nil"/>
              <w:right w:val="nil"/>
            </w:tcBorders>
            <w:vAlign w:val="bottom"/>
          </w:tcPr>
          <w:p w14:paraId="0F884CF2"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157136.3</w:t>
            </w:r>
          </w:p>
        </w:tc>
      </w:tr>
      <w:tr w:rsidR="00A60822" w:rsidRPr="00A60822" w14:paraId="00A7C2C6" w14:textId="77777777" w:rsidTr="00D00B3F">
        <w:trPr>
          <w:trHeight w:val="225"/>
        </w:trPr>
        <w:tc>
          <w:tcPr>
            <w:tcW w:w="2017" w:type="dxa"/>
            <w:tcBorders>
              <w:top w:val="nil"/>
              <w:left w:val="nil"/>
              <w:bottom w:val="nil"/>
              <w:right w:val="nil"/>
            </w:tcBorders>
            <w:vAlign w:val="bottom"/>
          </w:tcPr>
          <w:p w14:paraId="4786CB4D"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Adjusted R-squared</w:t>
            </w:r>
          </w:p>
        </w:tc>
        <w:tc>
          <w:tcPr>
            <w:tcW w:w="1103" w:type="dxa"/>
            <w:tcBorders>
              <w:top w:val="nil"/>
              <w:left w:val="nil"/>
              <w:bottom w:val="nil"/>
              <w:right w:val="nil"/>
            </w:tcBorders>
            <w:vAlign w:val="bottom"/>
          </w:tcPr>
          <w:p w14:paraId="19322044"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0.499270</w:t>
            </w:r>
          </w:p>
        </w:tc>
        <w:tc>
          <w:tcPr>
            <w:tcW w:w="2415" w:type="dxa"/>
            <w:gridSpan w:val="2"/>
            <w:tcBorders>
              <w:top w:val="nil"/>
              <w:left w:val="nil"/>
              <w:bottom w:val="nil"/>
              <w:right w:val="nil"/>
            </w:tcBorders>
            <w:vAlign w:val="bottom"/>
          </w:tcPr>
          <w:p w14:paraId="330C9BA2"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S.D. dependent var</w:t>
            </w:r>
          </w:p>
        </w:tc>
        <w:tc>
          <w:tcPr>
            <w:tcW w:w="997" w:type="dxa"/>
            <w:tcBorders>
              <w:top w:val="nil"/>
              <w:left w:val="nil"/>
              <w:bottom w:val="nil"/>
              <w:right w:val="nil"/>
            </w:tcBorders>
            <w:vAlign w:val="bottom"/>
          </w:tcPr>
          <w:p w14:paraId="05BB61E8"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233527.3</w:t>
            </w:r>
          </w:p>
        </w:tc>
      </w:tr>
      <w:tr w:rsidR="00A60822" w:rsidRPr="00A60822" w14:paraId="0A00ED63" w14:textId="77777777" w:rsidTr="00D00B3F">
        <w:trPr>
          <w:trHeight w:val="225"/>
        </w:trPr>
        <w:tc>
          <w:tcPr>
            <w:tcW w:w="2017" w:type="dxa"/>
            <w:tcBorders>
              <w:top w:val="nil"/>
              <w:left w:val="nil"/>
              <w:bottom w:val="nil"/>
              <w:right w:val="nil"/>
            </w:tcBorders>
            <w:vAlign w:val="bottom"/>
          </w:tcPr>
          <w:p w14:paraId="3EE7CFF7"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S.E. of regression</w:t>
            </w:r>
          </w:p>
        </w:tc>
        <w:tc>
          <w:tcPr>
            <w:tcW w:w="1103" w:type="dxa"/>
            <w:tcBorders>
              <w:top w:val="nil"/>
              <w:left w:val="nil"/>
              <w:bottom w:val="nil"/>
              <w:right w:val="nil"/>
            </w:tcBorders>
            <w:vAlign w:val="bottom"/>
          </w:tcPr>
          <w:p w14:paraId="5E220CBF"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165249.2</w:t>
            </w:r>
          </w:p>
        </w:tc>
        <w:tc>
          <w:tcPr>
            <w:tcW w:w="2415" w:type="dxa"/>
            <w:gridSpan w:val="2"/>
            <w:tcBorders>
              <w:top w:val="nil"/>
              <w:left w:val="nil"/>
              <w:bottom w:val="nil"/>
              <w:right w:val="nil"/>
            </w:tcBorders>
            <w:vAlign w:val="bottom"/>
          </w:tcPr>
          <w:p w14:paraId="5B4FF4C5" w14:textId="77777777" w:rsidR="00A60822" w:rsidRPr="00A60822" w:rsidRDefault="00A60822" w:rsidP="00A60822">
            <w:pPr>
              <w:autoSpaceDE w:val="0"/>
              <w:autoSpaceDN w:val="0"/>
              <w:adjustRightInd w:val="0"/>
              <w:spacing w:after="0" w:line="240" w:lineRule="auto"/>
              <w:ind w:right="10"/>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    Sum squared resid</w:t>
            </w:r>
          </w:p>
        </w:tc>
        <w:tc>
          <w:tcPr>
            <w:tcW w:w="997" w:type="dxa"/>
            <w:tcBorders>
              <w:top w:val="nil"/>
              <w:left w:val="nil"/>
              <w:bottom w:val="nil"/>
              <w:right w:val="nil"/>
            </w:tcBorders>
            <w:vAlign w:val="bottom"/>
          </w:tcPr>
          <w:p w14:paraId="256E0D4C"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9.56E+11</w:t>
            </w:r>
          </w:p>
        </w:tc>
      </w:tr>
      <w:tr w:rsidR="00A60822" w:rsidRPr="00A60822" w14:paraId="6F18B6C9" w14:textId="77777777" w:rsidTr="00D00B3F">
        <w:trPr>
          <w:trHeight w:val="225"/>
        </w:trPr>
        <w:tc>
          <w:tcPr>
            <w:tcW w:w="2017" w:type="dxa"/>
            <w:tcBorders>
              <w:top w:val="nil"/>
              <w:left w:val="nil"/>
              <w:bottom w:val="nil"/>
              <w:right w:val="nil"/>
            </w:tcBorders>
            <w:vAlign w:val="bottom"/>
          </w:tcPr>
          <w:p w14:paraId="609F9B19" w14:textId="77777777" w:rsidR="00A60822" w:rsidRPr="00A60822" w:rsidRDefault="00A60822" w:rsidP="00A60822">
            <w:pPr>
              <w:autoSpaceDE w:val="0"/>
              <w:autoSpaceDN w:val="0"/>
              <w:adjustRightInd w:val="0"/>
              <w:spacing w:after="0" w:line="240" w:lineRule="auto"/>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Long-run variance</w:t>
            </w:r>
          </w:p>
        </w:tc>
        <w:tc>
          <w:tcPr>
            <w:tcW w:w="1103" w:type="dxa"/>
            <w:tcBorders>
              <w:top w:val="nil"/>
              <w:left w:val="nil"/>
              <w:bottom w:val="nil"/>
              <w:right w:val="nil"/>
            </w:tcBorders>
            <w:vAlign w:val="bottom"/>
          </w:tcPr>
          <w:p w14:paraId="660DE765" w14:textId="77777777" w:rsidR="00A60822" w:rsidRPr="00A60822" w:rsidRDefault="00A60822" w:rsidP="00A60822">
            <w:pPr>
              <w:autoSpaceDE w:val="0"/>
              <w:autoSpaceDN w:val="0"/>
              <w:adjustRightInd w:val="0"/>
              <w:spacing w:after="0" w:line="240" w:lineRule="auto"/>
              <w:ind w:right="10"/>
              <w:jc w:val="right"/>
              <w:rPr>
                <w:rFonts w:ascii="Arial" w:eastAsia="Calibri" w:hAnsi="Arial" w:cs="Arial"/>
                <w:color w:val="000000"/>
                <w:kern w:val="0"/>
                <w:sz w:val="18"/>
                <w:szCs w:val="18"/>
                <w14:ligatures w14:val="none"/>
              </w:rPr>
            </w:pPr>
            <w:r w:rsidRPr="00A60822">
              <w:rPr>
                <w:rFonts w:ascii="Arial" w:eastAsia="Calibri" w:hAnsi="Arial" w:cs="Arial"/>
                <w:color w:val="000000"/>
                <w:kern w:val="0"/>
                <w:sz w:val="18"/>
                <w:szCs w:val="18"/>
                <w14:ligatures w14:val="none"/>
              </w:rPr>
              <w:t>3.97E+10</w:t>
            </w:r>
          </w:p>
        </w:tc>
        <w:tc>
          <w:tcPr>
            <w:tcW w:w="1207" w:type="dxa"/>
            <w:tcBorders>
              <w:top w:val="nil"/>
              <w:left w:val="nil"/>
              <w:bottom w:val="nil"/>
              <w:right w:val="nil"/>
            </w:tcBorders>
            <w:vAlign w:val="bottom"/>
          </w:tcPr>
          <w:p w14:paraId="3E72FB50" w14:textId="77777777" w:rsidR="00A60822" w:rsidRPr="00A60822" w:rsidRDefault="00A60822" w:rsidP="00A60822">
            <w:pPr>
              <w:autoSpaceDE w:val="0"/>
              <w:autoSpaceDN w:val="0"/>
              <w:adjustRightInd w:val="0"/>
              <w:spacing w:after="0" w:line="240" w:lineRule="auto"/>
              <w:ind w:right="10"/>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5C1FFBEF" w14:textId="77777777" w:rsidR="00A60822" w:rsidRPr="00A60822" w:rsidRDefault="00A60822" w:rsidP="00A60822">
            <w:pPr>
              <w:autoSpaceDE w:val="0"/>
              <w:autoSpaceDN w:val="0"/>
              <w:adjustRightInd w:val="0"/>
              <w:spacing w:after="0" w:line="240" w:lineRule="auto"/>
              <w:ind w:right="10"/>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5210F1CA" w14:textId="77777777" w:rsidR="00A60822" w:rsidRPr="00A60822" w:rsidRDefault="00A60822" w:rsidP="00A60822">
            <w:pPr>
              <w:autoSpaceDE w:val="0"/>
              <w:autoSpaceDN w:val="0"/>
              <w:adjustRightInd w:val="0"/>
              <w:spacing w:after="0" w:line="240" w:lineRule="auto"/>
              <w:ind w:right="10"/>
              <w:jc w:val="center"/>
              <w:rPr>
                <w:rFonts w:ascii="Arial" w:eastAsia="Calibri" w:hAnsi="Arial" w:cs="Arial"/>
                <w:color w:val="000000"/>
                <w:kern w:val="0"/>
                <w:sz w:val="18"/>
                <w:szCs w:val="18"/>
                <w14:ligatures w14:val="none"/>
              </w:rPr>
            </w:pPr>
          </w:p>
        </w:tc>
      </w:tr>
      <w:tr w:rsidR="00A60822" w:rsidRPr="00A60822" w14:paraId="47D5D6F6" w14:textId="77777777" w:rsidTr="00D00B3F">
        <w:trPr>
          <w:trHeight w:hRule="exact" w:val="90"/>
        </w:trPr>
        <w:tc>
          <w:tcPr>
            <w:tcW w:w="2017" w:type="dxa"/>
            <w:tcBorders>
              <w:top w:val="nil"/>
              <w:left w:val="nil"/>
              <w:bottom w:val="double" w:sz="6" w:space="0" w:color="auto"/>
              <w:right w:val="nil"/>
            </w:tcBorders>
            <w:vAlign w:val="bottom"/>
          </w:tcPr>
          <w:p w14:paraId="2229262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double" w:sz="6" w:space="0" w:color="auto"/>
              <w:right w:val="nil"/>
            </w:tcBorders>
            <w:vAlign w:val="bottom"/>
          </w:tcPr>
          <w:p w14:paraId="1FA92D4A"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double" w:sz="6" w:space="0" w:color="auto"/>
              <w:right w:val="nil"/>
            </w:tcBorders>
            <w:vAlign w:val="bottom"/>
          </w:tcPr>
          <w:p w14:paraId="383B2D2D"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double" w:sz="6" w:space="0" w:color="auto"/>
              <w:right w:val="nil"/>
            </w:tcBorders>
            <w:vAlign w:val="bottom"/>
          </w:tcPr>
          <w:p w14:paraId="5140E127"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double" w:sz="6" w:space="0" w:color="auto"/>
              <w:right w:val="nil"/>
            </w:tcBorders>
            <w:vAlign w:val="bottom"/>
          </w:tcPr>
          <w:p w14:paraId="410A6BC9"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r w:rsidR="00A60822" w:rsidRPr="00A60822" w14:paraId="22B72B15" w14:textId="77777777" w:rsidTr="00D00B3F">
        <w:trPr>
          <w:trHeight w:hRule="exact" w:val="135"/>
        </w:trPr>
        <w:tc>
          <w:tcPr>
            <w:tcW w:w="2017" w:type="dxa"/>
            <w:tcBorders>
              <w:top w:val="nil"/>
              <w:left w:val="nil"/>
              <w:bottom w:val="nil"/>
              <w:right w:val="nil"/>
            </w:tcBorders>
            <w:vAlign w:val="bottom"/>
          </w:tcPr>
          <w:p w14:paraId="71A46625"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103" w:type="dxa"/>
            <w:tcBorders>
              <w:top w:val="nil"/>
              <w:left w:val="nil"/>
              <w:bottom w:val="nil"/>
              <w:right w:val="nil"/>
            </w:tcBorders>
            <w:vAlign w:val="bottom"/>
          </w:tcPr>
          <w:p w14:paraId="4AEF7DEB"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7" w:type="dxa"/>
            <w:tcBorders>
              <w:top w:val="nil"/>
              <w:left w:val="nil"/>
              <w:bottom w:val="nil"/>
              <w:right w:val="nil"/>
            </w:tcBorders>
            <w:vAlign w:val="bottom"/>
          </w:tcPr>
          <w:p w14:paraId="60BE9089"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1208" w:type="dxa"/>
            <w:tcBorders>
              <w:top w:val="nil"/>
              <w:left w:val="nil"/>
              <w:bottom w:val="nil"/>
              <w:right w:val="nil"/>
            </w:tcBorders>
            <w:vAlign w:val="bottom"/>
          </w:tcPr>
          <w:p w14:paraId="09BBD4C1"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c>
          <w:tcPr>
            <w:tcW w:w="997" w:type="dxa"/>
            <w:tcBorders>
              <w:top w:val="nil"/>
              <w:left w:val="nil"/>
              <w:bottom w:val="nil"/>
              <w:right w:val="nil"/>
            </w:tcBorders>
            <w:vAlign w:val="bottom"/>
          </w:tcPr>
          <w:p w14:paraId="05DDA2B2" w14:textId="77777777" w:rsidR="00A60822" w:rsidRPr="00A60822" w:rsidRDefault="00A60822" w:rsidP="00A60822">
            <w:pPr>
              <w:autoSpaceDE w:val="0"/>
              <w:autoSpaceDN w:val="0"/>
              <w:adjustRightInd w:val="0"/>
              <w:spacing w:after="0" w:line="240" w:lineRule="auto"/>
              <w:jc w:val="center"/>
              <w:rPr>
                <w:rFonts w:ascii="Arial" w:eastAsia="Calibri" w:hAnsi="Arial" w:cs="Arial"/>
                <w:color w:val="000000"/>
                <w:kern w:val="0"/>
                <w:sz w:val="18"/>
                <w:szCs w:val="18"/>
                <w14:ligatures w14:val="none"/>
              </w:rPr>
            </w:pPr>
          </w:p>
        </w:tc>
      </w:tr>
    </w:tbl>
    <w:p w14:paraId="67FC82BE" w14:textId="77777777" w:rsidR="00A60822" w:rsidRPr="00A60822" w:rsidRDefault="00A60822" w:rsidP="00A60822">
      <w:pPr>
        <w:spacing w:after="200" w:line="276" w:lineRule="auto"/>
        <w:jc w:val="both"/>
        <w:rPr>
          <w:rFonts w:ascii="Times New Roman" w:eastAsia="Calibri" w:hAnsi="Times New Roman" w:cs="Times New Roman"/>
          <w:kern w:val="0"/>
          <w:lang w:val="en-GB"/>
          <w14:ligatures w14:val="none"/>
        </w:rPr>
      </w:pPr>
      <w:r w:rsidRPr="00A60822">
        <w:rPr>
          <w:rFonts w:ascii="Arial" w:eastAsia="Calibri" w:hAnsi="Arial" w:cs="Arial"/>
          <w:kern w:val="0"/>
          <w:sz w:val="18"/>
          <w:szCs w:val="18"/>
          <w14:ligatures w14:val="none"/>
        </w:rPr>
        <w:br/>
      </w:r>
      <w:r w:rsidRPr="00A60822">
        <w:rPr>
          <w:rFonts w:ascii="Times New Roman" w:eastAsia="Calibri" w:hAnsi="Times New Roman" w:cs="Times New Roman"/>
          <w:b/>
          <w:kern w:val="0"/>
          <w:lang w:val="en-GB"/>
          <w14:ligatures w14:val="none"/>
        </w:rPr>
        <w:t>Result Interpretation</w:t>
      </w:r>
      <w:r w:rsidRPr="00A60822">
        <w:rPr>
          <w:rFonts w:ascii="Times New Roman" w:eastAsia="Calibri" w:hAnsi="Times New Roman" w:cs="Times New Roman"/>
          <w:kern w:val="0"/>
          <w:lang w:val="en-GB"/>
          <w14:ligatures w14:val="none"/>
        </w:rPr>
        <w:t>: Table 4.6 reveals the results of fully modified least squares model. The hypothetical result of Distribution and selling (DSCT) on profit after tax (PAT) indicates an insignificant effect as probability value was 0.3447 at 5% level of significance.  The hypothetical result of finance cost (FCT) on profit after tax (PAT) indicates a significant impact as probability value was 0.0082 (approx. 0.01) at 5% level of significance.  Similarly, the hypothetical result of finance cost (FCT) on profit after tax (PAT) shows significant impacts on Profit after tax (PAT) as probability value was 0.0023 at 5% level of significance.</w:t>
      </w:r>
    </w:p>
    <w:p w14:paraId="5D30A31D" w14:textId="77777777" w:rsidR="00A60822" w:rsidRPr="00A60822" w:rsidRDefault="00A60822" w:rsidP="0015036C">
      <w:pPr>
        <w:spacing w:after="200" w:line="480" w:lineRule="auto"/>
        <w:rPr>
          <w:rFonts w:ascii="Times New Roman" w:eastAsia="Calibri" w:hAnsi="Times New Roman" w:cs="Times New Roman"/>
          <w:b/>
          <w:color w:val="000000"/>
          <w:kern w:val="0"/>
          <w14:ligatures w14:val="none"/>
        </w:rPr>
      </w:pPr>
      <w:r w:rsidRPr="00A60822">
        <w:rPr>
          <w:rFonts w:ascii="Times New Roman" w:eastAsia="Calibri" w:hAnsi="Times New Roman" w:cs="Times New Roman"/>
          <w:b/>
          <w:color w:val="000000"/>
          <w:kern w:val="0"/>
          <w14:ligatures w14:val="none"/>
        </w:rPr>
        <w:t>SUMMARY, CONCLUSION AND RECOMMENDATION</w:t>
      </w:r>
    </w:p>
    <w:p w14:paraId="2DEE858C" w14:textId="77777777" w:rsidR="00A60822" w:rsidRPr="00A60822" w:rsidRDefault="00A60822" w:rsidP="002C3670">
      <w:pPr>
        <w:spacing w:after="20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From the foregoing, the empirical results demonstrate</w:t>
      </w:r>
      <w:r w:rsidRPr="00A60822">
        <w:rPr>
          <w:rFonts w:ascii="Times New Roman" w:eastAsia="Times New Roman" w:hAnsi="Times New Roman" w:cs="Times New Roman"/>
          <w:kern w:val="0"/>
          <w14:ligatures w14:val="none"/>
        </w:rPr>
        <w:t xml:space="preserve"> that the costs associated with distribution and selling activities have a negative effect on the amount of profit after tax of the consumer goods manufacturing firms in Nigeria. It portrayed that the burden of high inflation and growing consumer product distribution and selling </w:t>
      </w:r>
      <w:r w:rsidRPr="00A60822">
        <w:rPr>
          <w:rFonts w:ascii="Times New Roman" w:eastAsia="Times New Roman" w:hAnsi="Times New Roman" w:cs="Times New Roman"/>
          <w:kern w:val="0"/>
          <w14:ligatures w14:val="none"/>
        </w:rPr>
        <w:lastRenderedPageBreak/>
        <w:t xml:space="preserve">costs across the manufacturing sectors due to critical infrastructure deficits, notwithstanding innovative cost control mechanisms that incorporate digital solutions. The expense of successfully distributing the merchandise to their customers erode the operating margin. Conversely, the cost of administrative operations has a </w:t>
      </w:r>
      <w:proofErr w:type="spellStart"/>
      <w:r w:rsidRPr="00A60822">
        <w:rPr>
          <w:rFonts w:ascii="Times New Roman" w:eastAsia="Times New Roman" w:hAnsi="Times New Roman" w:cs="Times New Roman"/>
          <w:kern w:val="0"/>
          <w14:ligatures w14:val="none"/>
        </w:rPr>
        <w:t>favourable</w:t>
      </w:r>
      <w:proofErr w:type="spellEnd"/>
      <w:r w:rsidRPr="00A60822">
        <w:rPr>
          <w:rFonts w:ascii="Times New Roman" w:eastAsia="Times New Roman" w:hAnsi="Times New Roman" w:cs="Times New Roman"/>
          <w:kern w:val="0"/>
          <w14:ligatures w14:val="none"/>
        </w:rPr>
        <w:t xml:space="preserve"> and significant effect on the company's profit after tax. This dimension indicates the control mechanism's performance in the face of inflationary pressures and input costs. Similarly, finance costs had a significant impact on the after-tax profit of Nigerian consumer products manufacturers.</w:t>
      </w:r>
      <w:r w:rsidRPr="00A60822">
        <w:rPr>
          <w:rFonts w:ascii="Times New Roman" w:eastAsia="Calibri" w:hAnsi="Times New Roman" w:cs="Times New Roman"/>
          <w:kern w:val="0"/>
          <w:lang w:val="en-GB"/>
          <w14:ligatures w14:val="none"/>
        </w:rPr>
        <w:t xml:space="preserve"> </w:t>
      </w:r>
      <w:r w:rsidRPr="00A60822">
        <w:rPr>
          <w:rFonts w:ascii="Times New Roman" w:eastAsia="Times New Roman" w:hAnsi="Times New Roman" w:cs="Times New Roman"/>
          <w:kern w:val="0"/>
          <w14:ligatures w14:val="none"/>
        </w:rPr>
        <w:t>The study empirical concludes that using innovative cost control mechanisms has a significant effect on the operating margins of quoted consumer goods manufacturing firms in Nigeria. This conclusion conforms with the viewpoint among previous empirical studies, (</w:t>
      </w:r>
      <w:proofErr w:type="spellStart"/>
      <w:r w:rsidRPr="00A60822">
        <w:rPr>
          <w:rFonts w:ascii="Times New Roman" w:eastAsia="Calibri" w:hAnsi="Times New Roman" w:cs="Times New Roman"/>
        </w:rPr>
        <w:t>Adebawojo</w:t>
      </w:r>
      <w:proofErr w:type="spellEnd"/>
      <w:r w:rsidRPr="00A60822">
        <w:rPr>
          <w:rFonts w:ascii="Times New Roman" w:eastAsia="Calibri" w:hAnsi="Times New Roman" w:cs="Times New Roman"/>
        </w:rPr>
        <w:t xml:space="preserve">, 2023, Suleiman, </w:t>
      </w:r>
      <w:r w:rsidRPr="00A60822">
        <w:rPr>
          <w:rFonts w:ascii="Times New Roman" w:eastAsia="Calibri" w:hAnsi="Times New Roman" w:cs="Times New Roman"/>
          <w:i/>
          <w:iCs/>
        </w:rPr>
        <w:t>et al.</w:t>
      </w:r>
      <w:r w:rsidRPr="00A60822">
        <w:rPr>
          <w:rFonts w:ascii="Times New Roman" w:eastAsia="Calibri" w:hAnsi="Times New Roman" w:cs="Times New Roman"/>
        </w:rPr>
        <w:t xml:space="preserve"> 2023, </w:t>
      </w:r>
      <w:proofErr w:type="spellStart"/>
      <w:r w:rsidRPr="00A60822">
        <w:rPr>
          <w:rFonts w:ascii="Times New Roman" w:eastAsia="Calibri" w:hAnsi="Times New Roman" w:cs="Times New Roman"/>
          <w:lang w:val="en-GB"/>
        </w:rPr>
        <w:t>Nkpodot</w:t>
      </w:r>
      <w:proofErr w:type="spellEnd"/>
      <w:r w:rsidRPr="00A60822">
        <w:rPr>
          <w:rFonts w:ascii="Times New Roman" w:eastAsia="Calibri" w:hAnsi="Times New Roman" w:cs="Times New Roman"/>
          <w:lang w:val="en-GB"/>
        </w:rPr>
        <w:t xml:space="preserve"> &amp; </w:t>
      </w:r>
      <w:proofErr w:type="spellStart"/>
      <w:r w:rsidRPr="00A60822">
        <w:rPr>
          <w:rFonts w:ascii="Times New Roman" w:eastAsia="Calibri" w:hAnsi="Times New Roman" w:cs="Times New Roman"/>
          <w:lang w:val="en-GB"/>
        </w:rPr>
        <w:t>Emenyi</w:t>
      </w:r>
      <w:proofErr w:type="spellEnd"/>
      <w:r w:rsidRPr="00A60822">
        <w:rPr>
          <w:rFonts w:ascii="Times New Roman" w:eastAsia="Calibri" w:hAnsi="Times New Roman" w:cs="Times New Roman"/>
          <w:lang w:val="en-GB"/>
        </w:rPr>
        <w:t>, 2023,</w:t>
      </w:r>
      <w:r w:rsidRPr="00A60822">
        <w:rPr>
          <w:rFonts w:ascii="Times New Roman" w:eastAsia="Calibri" w:hAnsi="Times New Roman" w:cs="Times New Roman"/>
        </w:rPr>
        <w:t xml:space="preserve"> Akinleye &amp; </w:t>
      </w:r>
      <w:proofErr w:type="spellStart"/>
      <w:r w:rsidRPr="00A60822">
        <w:rPr>
          <w:rFonts w:ascii="Times New Roman" w:eastAsia="Calibri" w:hAnsi="Times New Roman" w:cs="Times New Roman"/>
        </w:rPr>
        <w:t>Fajuyagbe</w:t>
      </w:r>
      <w:proofErr w:type="spellEnd"/>
      <w:r w:rsidRPr="00A60822">
        <w:rPr>
          <w:rFonts w:ascii="Times New Roman" w:eastAsia="Calibri" w:hAnsi="Times New Roman" w:cs="Times New Roman"/>
        </w:rPr>
        <w:t>, 2022)</w:t>
      </w:r>
      <w:r w:rsidRPr="00A60822">
        <w:rPr>
          <w:rFonts w:ascii="Times New Roman" w:eastAsia="Times New Roman" w:hAnsi="Times New Roman" w:cs="Times New Roman"/>
          <w:kern w:val="0"/>
          <w14:ligatures w14:val="none"/>
        </w:rPr>
        <w:t xml:space="preserve">. The perspective lent credence to the ideals of scientific management theory and diffusion of innovation theory by demonstrating that applying innovative scientific methods and smart technologies to routine organizational tasks such as raw material procurement, </w:t>
      </w:r>
      <w:r w:rsidRPr="00A60822">
        <w:rPr>
          <w:rFonts w:ascii="Times New Roman" w:eastAsia="Calibri" w:hAnsi="Times New Roman" w:cs="Times New Roman"/>
          <w:kern w:val="0"/>
          <w:lang w:val="en-GB"/>
          <w14:ligatures w14:val="none"/>
        </w:rPr>
        <w:t>input</w:t>
      </w:r>
      <w:r w:rsidRPr="00A60822">
        <w:rPr>
          <w:rFonts w:ascii="Times New Roman" w:eastAsia="Times New Roman" w:hAnsi="Times New Roman" w:cs="Times New Roman"/>
          <w:kern w:val="0"/>
          <w14:ligatures w14:val="none"/>
        </w:rPr>
        <w:t xml:space="preserve"> schedules, waste management, expenditure control, efficient production processes and quality output which culminates in overall performance.</w:t>
      </w:r>
      <w:r w:rsidRPr="00A60822">
        <w:rPr>
          <w:rFonts w:ascii="Times New Roman" w:eastAsia="Calibri" w:hAnsi="Times New Roman" w:cs="Times New Roman"/>
          <w:kern w:val="0"/>
          <w:lang w:val="en-GB"/>
          <w14:ligatures w14:val="none"/>
        </w:rPr>
        <w:t xml:space="preserve"> </w:t>
      </w:r>
      <w:r w:rsidRPr="00A60822">
        <w:rPr>
          <w:rFonts w:ascii="Times New Roman" w:eastAsia="Times New Roman" w:hAnsi="Times New Roman" w:cs="Times New Roman"/>
          <w:kern w:val="0"/>
          <w14:ligatures w14:val="none"/>
        </w:rPr>
        <w:t xml:space="preserve">It justifies costs as a required investment to attain a goal and create value, rather than a wasted sacrifice. Several Nigerian consumer product manufacturing firms incurred significant operating costs by investing in smart technology to improve innovative operational output and quality product for competitive advantage, resulting in operating margin. </w:t>
      </w:r>
      <w:r w:rsidRPr="00A60822">
        <w:rPr>
          <w:rFonts w:ascii="Times New Roman" w:eastAsia="Calibri" w:hAnsi="Times New Roman" w:cs="Times New Roman"/>
          <w:kern w:val="0"/>
          <w:lang w:val="en-GB"/>
          <w14:ligatures w14:val="none"/>
        </w:rPr>
        <w:t xml:space="preserve"> The study recommends that the management of consumer goods manufacturing firms in Nigeria should integrate and sustain innovative cost control mechanism which has significant effect on operating margin of the firms by leveraging on smart technologies.</w:t>
      </w:r>
    </w:p>
    <w:p w14:paraId="4FEBDEDB" w14:textId="77777777" w:rsidR="002C3670" w:rsidRDefault="002C3670" w:rsidP="0015036C">
      <w:pPr>
        <w:spacing w:after="200" w:line="480" w:lineRule="auto"/>
        <w:rPr>
          <w:rFonts w:ascii="Times New Roman" w:eastAsia="Calibri" w:hAnsi="Times New Roman" w:cs="Times New Roman"/>
          <w:b/>
          <w:kern w:val="0"/>
          <w:lang w:val="en-GB"/>
          <w14:ligatures w14:val="none"/>
        </w:rPr>
      </w:pPr>
    </w:p>
    <w:p w14:paraId="328628EC" w14:textId="1B3EB67F" w:rsidR="00A60822" w:rsidRPr="00A60822" w:rsidRDefault="00A60822" w:rsidP="0015036C">
      <w:pPr>
        <w:spacing w:after="200" w:line="480" w:lineRule="auto"/>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REFERENCES</w:t>
      </w:r>
    </w:p>
    <w:p w14:paraId="5FDCB023" w14:textId="77777777" w:rsidR="00A60822" w:rsidRPr="00A60822" w:rsidRDefault="00A60822" w:rsidP="00A60822">
      <w:pPr>
        <w:spacing w:after="0" w:line="240" w:lineRule="auto"/>
        <w:jc w:val="both"/>
        <w:rPr>
          <w:rFonts w:ascii="Times New Roman" w:hAnsi="Times New Roman" w:cs="Times New Roman"/>
        </w:rPr>
      </w:pPr>
      <w:proofErr w:type="spellStart"/>
      <w:r w:rsidRPr="00A60822">
        <w:rPr>
          <w:rFonts w:ascii="Times New Roman" w:hAnsi="Times New Roman" w:cs="Times New Roman"/>
        </w:rPr>
        <w:t>Adebawojo</w:t>
      </w:r>
      <w:proofErr w:type="spellEnd"/>
      <w:r w:rsidRPr="00A60822">
        <w:rPr>
          <w:rFonts w:ascii="Times New Roman" w:hAnsi="Times New Roman" w:cs="Times New Roman"/>
        </w:rPr>
        <w:t xml:space="preserve">, O. (2023). Cost management and financial sustainability. </w:t>
      </w:r>
      <w:r w:rsidRPr="00A60822">
        <w:rPr>
          <w:rFonts w:ascii="Times New Roman" w:hAnsi="Times New Roman" w:cs="Times New Roman"/>
          <w:i/>
        </w:rPr>
        <w:t xml:space="preserve">Academy of Accounting and Financial Studies Journal, </w:t>
      </w:r>
      <w:r w:rsidRPr="00A60822">
        <w:rPr>
          <w:rFonts w:ascii="Times New Roman" w:hAnsi="Times New Roman" w:cs="Times New Roman"/>
        </w:rPr>
        <w:t>27(24), 1-26.</w:t>
      </w:r>
    </w:p>
    <w:p w14:paraId="305E16B7" w14:textId="77777777" w:rsidR="00A60822" w:rsidRPr="00A60822" w:rsidRDefault="00A60822" w:rsidP="00A60822">
      <w:pPr>
        <w:spacing w:after="0" w:line="240" w:lineRule="auto"/>
        <w:jc w:val="both"/>
        <w:rPr>
          <w:rFonts w:ascii="Times New Roman" w:hAnsi="Times New Roman" w:cs="Times New Roman"/>
        </w:rPr>
      </w:pPr>
    </w:p>
    <w:p w14:paraId="249A48D1" w14:textId="77777777" w:rsidR="00A60822" w:rsidRPr="00A60822" w:rsidRDefault="00A60822" w:rsidP="00A60822">
      <w:pPr>
        <w:spacing w:after="0" w:line="240" w:lineRule="auto"/>
        <w:jc w:val="both"/>
        <w:rPr>
          <w:rFonts w:ascii="Times New Roman" w:hAnsi="Times New Roman" w:cs="Times New Roman"/>
        </w:rPr>
      </w:pPr>
      <w:r w:rsidRPr="00A60822">
        <w:rPr>
          <w:rFonts w:ascii="Times New Roman" w:hAnsi="Times New Roman" w:cs="Times New Roman"/>
        </w:rPr>
        <w:t>Adeniji, A. (2014). Performance Management (1</w:t>
      </w:r>
      <w:r w:rsidRPr="00A60822">
        <w:rPr>
          <w:rFonts w:ascii="Times New Roman" w:hAnsi="Times New Roman" w:cs="Times New Roman"/>
          <w:vertAlign w:val="superscript"/>
        </w:rPr>
        <w:t>st</w:t>
      </w:r>
      <w:r w:rsidRPr="00A60822">
        <w:rPr>
          <w:rFonts w:ascii="Times New Roman" w:hAnsi="Times New Roman" w:cs="Times New Roman"/>
        </w:rPr>
        <w:t xml:space="preserve"> Ed.) Lagos: Value Analysis Publishers.</w:t>
      </w:r>
    </w:p>
    <w:p w14:paraId="4DE847B3" w14:textId="77777777" w:rsidR="00A60822" w:rsidRPr="00A60822" w:rsidRDefault="00A60822" w:rsidP="00A60822">
      <w:pPr>
        <w:spacing w:after="0" w:line="240" w:lineRule="auto"/>
        <w:jc w:val="both"/>
        <w:rPr>
          <w:rFonts w:ascii="Times New Roman" w:hAnsi="Times New Roman" w:cs="Times New Roman"/>
        </w:rPr>
      </w:pPr>
    </w:p>
    <w:p w14:paraId="63138CB2" w14:textId="77777777" w:rsidR="00A60822" w:rsidRPr="00A60822" w:rsidRDefault="00A60822" w:rsidP="00A60822">
      <w:pPr>
        <w:spacing w:after="0" w:line="240" w:lineRule="auto"/>
        <w:jc w:val="both"/>
        <w:rPr>
          <w:rFonts w:ascii="Times New Roman" w:hAnsi="Times New Roman" w:cs="Times New Roman"/>
          <w:sz w:val="22"/>
          <w:szCs w:val="22"/>
        </w:rPr>
      </w:pPr>
      <w:r w:rsidRPr="00A60822">
        <w:rPr>
          <w:rFonts w:ascii="Times New Roman" w:hAnsi="Times New Roman" w:cs="Times New Roman"/>
        </w:rPr>
        <w:t>Adesina, O. D. &amp; Tiamiyu, T. A. (2025).</w:t>
      </w:r>
      <w:r w:rsidRPr="00A60822">
        <w:rPr>
          <w:rFonts w:ascii="Times New Roman" w:hAnsi="Times New Roman" w:cs="Times New Roman"/>
          <w:sz w:val="22"/>
          <w:szCs w:val="22"/>
        </w:rPr>
        <w:t xml:space="preserve"> Empirical Analysis of Cost Management and Profitability of Manufacturing Companies in Nigeria. </w:t>
      </w:r>
      <w:r w:rsidRPr="00A60822">
        <w:rPr>
          <w:rFonts w:ascii="Times New Roman" w:hAnsi="Times New Roman" w:cs="Times New Roman"/>
          <w:i/>
          <w:sz w:val="22"/>
          <w:szCs w:val="22"/>
        </w:rPr>
        <w:t>Journal of Economics, Finance and Management Studies,</w:t>
      </w:r>
      <w:r w:rsidRPr="00A60822">
        <w:rPr>
          <w:rFonts w:ascii="Times New Roman" w:hAnsi="Times New Roman" w:cs="Times New Roman"/>
          <w:sz w:val="22"/>
          <w:szCs w:val="22"/>
        </w:rPr>
        <w:t xml:space="preserve"> 08(02), 1397-1415.</w:t>
      </w:r>
    </w:p>
    <w:p w14:paraId="00096D5F" w14:textId="77777777" w:rsidR="00A60822" w:rsidRPr="00A60822" w:rsidRDefault="00A60822" w:rsidP="00A60822">
      <w:pPr>
        <w:spacing w:after="0" w:line="240" w:lineRule="auto"/>
        <w:jc w:val="both"/>
        <w:rPr>
          <w:rFonts w:ascii="Times New Roman" w:hAnsi="Times New Roman" w:cs="Times New Roman"/>
        </w:rPr>
      </w:pPr>
    </w:p>
    <w:p w14:paraId="04B58DC9" w14:textId="77777777" w:rsidR="00A60822" w:rsidRPr="00A60822" w:rsidRDefault="00A60822" w:rsidP="00A60822">
      <w:pPr>
        <w:spacing w:after="0" w:line="240" w:lineRule="auto"/>
        <w:jc w:val="both"/>
        <w:rPr>
          <w:rFonts w:ascii="Times New Roman" w:hAnsi="Times New Roman" w:cs="Times New Roman"/>
        </w:rPr>
      </w:pPr>
      <w:r w:rsidRPr="00A60822">
        <w:rPr>
          <w:rFonts w:ascii="Times New Roman" w:hAnsi="Times New Roman" w:cs="Times New Roman"/>
        </w:rPr>
        <w:t xml:space="preserve">Akinleye, G.T. &amp; </w:t>
      </w:r>
      <w:proofErr w:type="spellStart"/>
      <w:r w:rsidRPr="00A60822">
        <w:rPr>
          <w:rFonts w:ascii="Times New Roman" w:hAnsi="Times New Roman" w:cs="Times New Roman"/>
        </w:rPr>
        <w:t>Fajuyagbe</w:t>
      </w:r>
      <w:proofErr w:type="spellEnd"/>
      <w:r w:rsidRPr="00A60822">
        <w:rPr>
          <w:rFonts w:ascii="Times New Roman" w:hAnsi="Times New Roman" w:cs="Times New Roman"/>
        </w:rPr>
        <w:t>, S.B. (2022).</w:t>
      </w:r>
      <w:r w:rsidRPr="00A60822">
        <w:rPr>
          <w:rFonts w:ascii="Times New Roman" w:hAnsi="Times New Roman" w:cs="Times New Roman"/>
          <w:sz w:val="22"/>
          <w:szCs w:val="22"/>
        </w:rPr>
        <w:t xml:space="preserve"> </w:t>
      </w:r>
      <w:r w:rsidRPr="00A60822">
        <w:rPr>
          <w:rFonts w:ascii="Times New Roman" w:hAnsi="Times New Roman" w:cs="Times New Roman"/>
        </w:rPr>
        <w:t>Cost control and performance of listed non-financial firms in Nigeria.</w:t>
      </w:r>
      <w:r w:rsidRPr="00A60822">
        <w:rPr>
          <w:rFonts w:ascii="Times New Roman" w:hAnsi="Times New Roman" w:cs="Times New Roman"/>
          <w:i/>
        </w:rPr>
        <w:t xml:space="preserve"> </w:t>
      </w:r>
      <w:proofErr w:type="spellStart"/>
      <w:r w:rsidRPr="00A60822">
        <w:rPr>
          <w:rFonts w:ascii="Times New Roman" w:hAnsi="Times New Roman" w:cs="Times New Roman"/>
          <w:i/>
        </w:rPr>
        <w:t>Fuoye</w:t>
      </w:r>
      <w:proofErr w:type="spellEnd"/>
      <w:r w:rsidRPr="00A60822">
        <w:rPr>
          <w:rFonts w:ascii="Times New Roman" w:hAnsi="Times New Roman" w:cs="Times New Roman"/>
          <w:i/>
        </w:rPr>
        <w:t xml:space="preserve"> Journal of Accounting and Management</w:t>
      </w:r>
      <w:r w:rsidRPr="00A60822">
        <w:rPr>
          <w:rFonts w:ascii="Times New Roman" w:hAnsi="Times New Roman" w:cs="Times New Roman"/>
        </w:rPr>
        <w:t>; 5(1), 1-22.</w:t>
      </w:r>
    </w:p>
    <w:p w14:paraId="440D1B4E" w14:textId="77777777" w:rsidR="00A60822" w:rsidRPr="00A60822" w:rsidRDefault="00A60822" w:rsidP="00A60822">
      <w:pPr>
        <w:spacing w:after="0" w:line="240" w:lineRule="auto"/>
        <w:jc w:val="both"/>
        <w:rPr>
          <w:rFonts w:ascii="Times New Roman" w:hAnsi="Times New Roman" w:cs="Times New Roman"/>
          <w:lang w:val="en-GB"/>
        </w:rPr>
      </w:pPr>
    </w:p>
    <w:p w14:paraId="45DD6B2D" w14:textId="77777777" w:rsidR="00A60822" w:rsidRPr="00A60822" w:rsidRDefault="00A60822" w:rsidP="00A60822">
      <w:pPr>
        <w:spacing w:after="0" w:line="240" w:lineRule="auto"/>
        <w:jc w:val="both"/>
        <w:rPr>
          <w:rFonts w:ascii="Times New Roman" w:hAnsi="Times New Roman" w:cs="Times New Roman"/>
          <w:kern w:val="0"/>
        </w:rPr>
      </w:pPr>
      <w:r w:rsidRPr="00A60822">
        <w:rPr>
          <w:rFonts w:ascii="Times New Roman" w:eastAsia="Calibri" w:hAnsi="Times New Roman" w:cs="Times New Roman"/>
          <w:kern w:val="0"/>
          <w:lang w:val="en-GB"/>
        </w:rPr>
        <w:t xml:space="preserve">Akinleye, G.T. &amp; </w:t>
      </w:r>
      <w:proofErr w:type="spellStart"/>
      <w:proofErr w:type="gramStart"/>
      <w:r w:rsidRPr="00A60822">
        <w:rPr>
          <w:rFonts w:ascii="Times New Roman" w:eastAsia="Calibri" w:hAnsi="Times New Roman" w:cs="Times New Roman"/>
          <w:kern w:val="0"/>
          <w:lang w:val="en-GB"/>
        </w:rPr>
        <w:t>Oluyori,J.O</w:t>
      </w:r>
      <w:proofErr w:type="spellEnd"/>
      <w:r w:rsidRPr="00A60822">
        <w:rPr>
          <w:rFonts w:ascii="Times New Roman" w:eastAsia="Calibri" w:hAnsi="Times New Roman" w:cs="Times New Roman"/>
          <w:kern w:val="0"/>
          <w:lang w:val="en-GB"/>
        </w:rPr>
        <w:t>.</w:t>
      </w:r>
      <w:proofErr w:type="gramEnd"/>
      <w:r w:rsidRPr="00A60822">
        <w:rPr>
          <w:rFonts w:ascii="Times New Roman" w:eastAsia="Calibri" w:hAnsi="Times New Roman" w:cs="Times New Roman"/>
          <w:kern w:val="0"/>
          <w:lang w:val="en-GB"/>
        </w:rPr>
        <w:t xml:space="preserve"> (2023).</w:t>
      </w:r>
      <w:r w:rsidRPr="00A60822">
        <w:rPr>
          <w:rFonts w:ascii="Times New Roman" w:hAnsi="Times New Roman" w:cs="Times New Roman"/>
        </w:rPr>
        <w:t xml:space="preserve"> The impact of standard costing on the financial performance of listed consumable goods companies in Nigeria.</w:t>
      </w:r>
      <w:r w:rsidRPr="00A60822">
        <w:rPr>
          <w:rFonts w:ascii="Times New Roman" w:hAnsi="Times New Roman" w:cs="Times New Roman"/>
          <w:kern w:val="0"/>
          <w:sz w:val="20"/>
          <w:szCs w:val="20"/>
        </w:rPr>
        <w:t xml:space="preserve"> </w:t>
      </w:r>
      <w:hyperlink r:id="rId10" w:history="1">
        <w:proofErr w:type="spellStart"/>
        <w:r w:rsidRPr="00A60822">
          <w:rPr>
            <w:rFonts w:ascii="Times New Roman" w:hAnsi="Times New Roman" w:cs="Times New Roman"/>
            <w:i/>
            <w:kern w:val="0"/>
          </w:rPr>
          <w:t>Fuoye</w:t>
        </w:r>
        <w:proofErr w:type="spellEnd"/>
        <w:r w:rsidRPr="00A60822">
          <w:rPr>
            <w:rFonts w:ascii="Times New Roman" w:hAnsi="Times New Roman" w:cs="Times New Roman"/>
            <w:i/>
            <w:kern w:val="0"/>
          </w:rPr>
          <w:t xml:space="preserve"> Journal of Accounting and Management</w:t>
        </w:r>
      </w:hyperlink>
      <w:r w:rsidRPr="00A60822">
        <w:rPr>
          <w:rFonts w:ascii="Times New Roman" w:hAnsi="Times New Roman" w:cs="Times New Roman"/>
          <w:i/>
          <w:kern w:val="0"/>
        </w:rPr>
        <w:t>,</w:t>
      </w:r>
      <w:r w:rsidRPr="00A60822">
        <w:rPr>
          <w:rFonts w:ascii="Times New Roman" w:hAnsi="Times New Roman" w:cs="Times New Roman"/>
          <w:kern w:val="0"/>
        </w:rPr>
        <w:t>6(1),23-31.</w:t>
      </w:r>
    </w:p>
    <w:p w14:paraId="5A657DEE" w14:textId="77777777" w:rsidR="00A60822" w:rsidRPr="00A60822" w:rsidRDefault="00A60822" w:rsidP="00A60822">
      <w:pPr>
        <w:spacing w:after="0" w:line="240" w:lineRule="auto"/>
        <w:jc w:val="both"/>
        <w:rPr>
          <w:rFonts w:ascii="Times New Roman" w:hAnsi="Times New Roman" w:cs="Times New Roman"/>
          <w:kern w:val="0"/>
          <w:sz w:val="20"/>
          <w:szCs w:val="20"/>
        </w:rPr>
      </w:pPr>
    </w:p>
    <w:p w14:paraId="029CF279" w14:textId="77777777" w:rsidR="00A60822" w:rsidRPr="00A60822" w:rsidRDefault="00A60822" w:rsidP="00A60822">
      <w:pPr>
        <w:spacing w:after="0" w:line="240" w:lineRule="auto"/>
        <w:jc w:val="both"/>
        <w:rPr>
          <w:rFonts w:ascii="Times New Roman" w:eastAsia="Calibri" w:hAnsi="Times New Roman" w:cs="Times New Roman"/>
          <w:kern w:val="0"/>
        </w:rPr>
      </w:pPr>
      <w:proofErr w:type="spellStart"/>
      <w:r w:rsidRPr="00A60822">
        <w:rPr>
          <w:rFonts w:ascii="Times New Roman" w:eastAsia="Calibri" w:hAnsi="Times New Roman" w:cs="Times New Roman"/>
          <w:kern w:val="0"/>
        </w:rPr>
        <w:t>Awotomilusi</w:t>
      </w:r>
      <w:proofErr w:type="spellEnd"/>
      <w:r w:rsidRPr="00A60822">
        <w:rPr>
          <w:rFonts w:ascii="Times New Roman" w:eastAsia="Calibri" w:hAnsi="Times New Roman" w:cs="Times New Roman"/>
          <w:kern w:val="0"/>
        </w:rPr>
        <w:t xml:space="preserve">, N. S., Isaiah, O. O., Esther, I. O., &amp; Yomi, A. T. (2022). Cost Structure and Financial Performance of Quoted Industrial Goods Manufacturing Companies in Nigeria. </w:t>
      </w:r>
      <w:r w:rsidRPr="00A60822">
        <w:rPr>
          <w:rFonts w:ascii="Times New Roman" w:eastAsia="Calibri" w:hAnsi="Times New Roman" w:cs="Times New Roman"/>
          <w:i/>
          <w:kern w:val="0"/>
        </w:rPr>
        <w:t>International Journal of Management, Accounting and Economics</w:t>
      </w:r>
      <w:r w:rsidRPr="00A60822">
        <w:rPr>
          <w:rFonts w:ascii="Times New Roman" w:eastAsia="Calibri" w:hAnsi="Times New Roman" w:cs="Times New Roman"/>
          <w:kern w:val="0"/>
        </w:rPr>
        <w:t>, 9(11), 749-763.</w:t>
      </w:r>
    </w:p>
    <w:p w14:paraId="5A0ECBB8" w14:textId="77777777" w:rsidR="00A60822" w:rsidRPr="00A60822" w:rsidRDefault="00A60822" w:rsidP="00A60822">
      <w:pPr>
        <w:spacing w:after="0" w:line="240" w:lineRule="auto"/>
        <w:jc w:val="both"/>
        <w:rPr>
          <w:rFonts w:ascii="Times New Roman" w:eastAsia="Calibri" w:hAnsi="Times New Roman" w:cs="Times New Roman"/>
          <w:kern w:val="0"/>
        </w:rPr>
      </w:pPr>
    </w:p>
    <w:p w14:paraId="04AA41CB" w14:textId="77777777" w:rsidR="00A60822" w:rsidRPr="00A60822" w:rsidRDefault="00A60822" w:rsidP="00A60822">
      <w:pPr>
        <w:spacing w:after="0" w:line="240" w:lineRule="auto"/>
        <w:jc w:val="both"/>
        <w:rPr>
          <w:rFonts w:ascii="Times New Roman" w:eastAsia="Calibri" w:hAnsi="Times New Roman" w:cs="Times New Roman"/>
          <w:bCs/>
          <w:color w:val="212529"/>
          <w:kern w:val="0"/>
          <w:shd w:val="clear" w:color="auto" w:fill="E9ECEF"/>
        </w:rPr>
      </w:pPr>
      <w:r w:rsidRPr="00A60822">
        <w:rPr>
          <w:rFonts w:ascii="Times New Roman" w:eastAsia="Calibri" w:hAnsi="Times New Roman" w:cs="Times New Roman"/>
          <w:kern w:val="0"/>
          <w:lang w:val="en-GB"/>
        </w:rPr>
        <w:t>Ayorinde, A.O. (2021). Cost control and financial performance of pharmaceutical firms in Nigeria.</w:t>
      </w:r>
      <w:r w:rsidRPr="00A60822">
        <w:rPr>
          <w:rFonts w:ascii="Times New Roman" w:eastAsia="Calibri" w:hAnsi="Times New Roman" w:cs="Times New Roman"/>
          <w:color w:val="212529"/>
          <w:kern w:val="0"/>
          <w:sz w:val="23"/>
          <w:szCs w:val="23"/>
        </w:rPr>
        <w:t xml:space="preserve"> </w:t>
      </w:r>
      <w:r w:rsidRPr="00A60822">
        <w:rPr>
          <w:rFonts w:ascii="Times New Roman" w:eastAsia="Calibri" w:hAnsi="Times New Roman" w:cs="Times New Roman"/>
          <w:bCs/>
          <w:i/>
          <w:color w:val="212529"/>
          <w:kern w:val="0"/>
        </w:rPr>
        <w:t>Journal of Corporate Finance Management and Banking System,</w:t>
      </w:r>
      <w:r w:rsidRPr="00A60822">
        <w:rPr>
          <w:rFonts w:ascii="Times New Roman" w:eastAsia="Calibri" w:hAnsi="Times New Roman" w:cs="Times New Roman"/>
          <w:bCs/>
          <w:color w:val="212529"/>
          <w:kern w:val="0"/>
        </w:rPr>
        <w:t>1(1),1-10.</w:t>
      </w:r>
      <w:r w:rsidRPr="00A60822">
        <w:rPr>
          <w:rFonts w:ascii="Times New Roman" w:eastAsia="Calibri" w:hAnsi="Times New Roman" w:cs="Times New Roman"/>
          <w:bCs/>
          <w:color w:val="212529"/>
          <w:kern w:val="0"/>
          <w:shd w:val="clear" w:color="auto" w:fill="E9ECEF"/>
        </w:rPr>
        <w:t xml:space="preserve"> </w:t>
      </w:r>
    </w:p>
    <w:p w14:paraId="12AABB1A" w14:textId="77777777" w:rsidR="00A60822" w:rsidRPr="00A60822" w:rsidRDefault="00A60822" w:rsidP="00A60822">
      <w:pPr>
        <w:spacing w:after="0" w:line="240" w:lineRule="auto"/>
        <w:jc w:val="both"/>
        <w:rPr>
          <w:rFonts w:ascii="Times New Roman" w:eastAsia="Calibri" w:hAnsi="Times New Roman" w:cs="Times New Roman"/>
          <w:bCs/>
          <w:color w:val="212529"/>
          <w:kern w:val="0"/>
          <w:shd w:val="clear" w:color="auto" w:fill="E9ECEF"/>
        </w:rPr>
      </w:pPr>
      <w:r w:rsidRPr="00A60822">
        <w:rPr>
          <w:rFonts w:ascii="Times New Roman" w:eastAsia="Calibri" w:hAnsi="Times New Roman" w:cs="Times New Roman"/>
          <w:bCs/>
          <w:color w:val="212529"/>
          <w:kern w:val="0"/>
          <w:shd w:val="clear" w:color="auto" w:fill="E9ECEF"/>
        </w:rPr>
        <w:t xml:space="preserve"> </w:t>
      </w:r>
    </w:p>
    <w:p w14:paraId="3AD88A52" w14:textId="77777777" w:rsidR="00A60822" w:rsidRPr="00A60822" w:rsidRDefault="00A60822" w:rsidP="00A60822">
      <w:pPr>
        <w:spacing w:after="0" w:line="240" w:lineRule="auto"/>
        <w:jc w:val="both"/>
        <w:rPr>
          <w:rFonts w:ascii="Times New Roman" w:eastAsia="Calibri" w:hAnsi="Times New Roman" w:cs="Times New Roman"/>
          <w:bCs/>
          <w:color w:val="212529"/>
          <w:kern w:val="0"/>
          <w:shd w:val="clear" w:color="auto" w:fill="E9ECEF"/>
        </w:rPr>
      </w:pPr>
      <w:r w:rsidRPr="00A60822">
        <w:rPr>
          <w:rFonts w:ascii="Times New Roman" w:eastAsia="Calibri" w:hAnsi="Times New Roman" w:cs="Times New Roman"/>
          <w:bCs/>
          <w:color w:val="212529"/>
          <w:kern w:val="0"/>
          <w:shd w:val="clear" w:color="auto" w:fill="E9ECEF"/>
        </w:rPr>
        <w:t>Cook, B. (2025). Understanding cost control, control methods and its importance: The ultimate Account Payable Survival Guide.</w:t>
      </w:r>
    </w:p>
    <w:p w14:paraId="203F3645" w14:textId="77777777" w:rsidR="00A60822" w:rsidRPr="00A60822" w:rsidRDefault="00A60822" w:rsidP="00A60822">
      <w:pPr>
        <w:spacing w:after="0" w:line="240" w:lineRule="auto"/>
        <w:jc w:val="both"/>
        <w:rPr>
          <w:rFonts w:ascii="Times New Roman" w:eastAsia="Calibri" w:hAnsi="Times New Roman" w:cs="Times New Roman"/>
          <w:bCs/>
          <w:color w:val="212529"/>
          <w:kern w:val="0"/>
          <w:shd w:val="clear" w:color="auto" w:fill="E9ECEF"/>
        </w:rPr>
      </w:pPr>
    </w:p>
    <w:p w14:paraId="3411BDAC" w14:textId="77777777" w:rsidR="00A60822" w:rsidRPr="00A60822" w:rsidRDefault="00A60822" w:rsidP="00A60822">
      <w:pPr>
        <w:spacing w:after="0" w:line="240" w:lineRule="auto"/>
        <w:jc w:val="both"/>
        <w:rPr>
          <w:rFonts w:ascii="Times New Roman" w:eastAsia="Calibri" w:hAnsi="Times New Roman" w:cs="Times New Roman"/>
          <w:bCs/>
          <w:color w:val="000000"/>
          <w:kern w:val="0"/>
          <w:shd w:val="clear" w:color="auto" w:fill="E9ECEF"/>
        </w:rPr>
      </w:pPr>
      <w:proofErr w:type="spellStart"/>
      <w:r w:rsidRPr="00A60822">
        <w:rPr>
          <w:rFonts w:ascii="Times New Roman" w:eastAsia="Calibri" w:hAnsi="Times New Roman" w:cs="Times New Roman"/>
          <w:bCs/>
          <w:color w:val="000000"/>
          <w:kern w:val="0"/>
          <w:shd w:val="clear" w:color="auto" w:fill="E9ECEF"/>
        </w:rPr>
        <w:lastRenderedPageBreak/>
        <w:t>Cupic</w:t>
      </w:r>
      <w:proofErr w:type="spellEnd"/>
      <w:r w:rsidRPr="00A60822">
        <w:rPr>
          <w:rFonts w:ascii="Times New Roman" w:eastAsia="Calibri" w:hAnsi="Times New Roman" w:cs="Times New Roman"/>
          <w:bCs/>
          <w:color w:val="000000"/>
          <w:kern w:val="0"/>
          <w:shd w:val="clear" w:color="auto" w:fill="E9ECEF"/>
        </w:rPr>
        <w:t xml:space="preserve">, M., Todorovic, M. &amp; Benkovic, S. (2022). Value relevance of accounting earnings and cashflows in a transition economy: the case of Serbia.  Journal of Accounting in Emerging Economies, 13(3),541-565.   </w:t>
      </w:r>
    </w:p>
    <w:p w14:paraId="27A649B3" w14:textId="77777777" w:rsidR="00A60822" w:rsidRPr="00A60822" w:rsidRDefault="00A60822" w:rsidP="00A60822">
      <w:pPr>
        <w:spacing w:after="0" w:line="240" w:lineRule="auto"/>
        <w:jc w:val="both"/>
        <w:rPr>
          <w:rFonts w:ascii="Times New Roman" w:eastAsia="Calibri" w:hAnsi="Times New Roman" w:cs="Times New Roman"/>
          <w:bCs/>
          <w:color w:val="000000"/>
          <w:kern w:val="0"/>
          <w:shd w:val="clear" w:color="auto" w:fill="E9ECEF"/>
        </w:rPr>
      </w:pPr>
      <w:r w:rsidRPr="00A60822">
        <w:rPr>
          <w:rFonts w:ascii="Times New Roman" w:eastAsia="Calibri" w:hAnsi="Times New Roman" w:cs="Times New Roman"/>
          <w:bCs/>
          <w:color w:val="000000"/>
          <w:kern w:val="0"/>
          <w:shd w:val="clear" w:color="auto" w:fill="E9ECEF"/>
        </w:rPr>
        <w:t xml:space="preserve"> </w:t>
      </w:r>
    </w:p>
    <w:p w14:paraId="3166262E" w14:textId="77777777" w:rsidR="00A60822" w:rsidRPr="00A60822" w:rsidRDefault="00A60822" w:rsidP="00A60822">
      <w:pPr>
        <w:spacing w:after="0" w:line="240" w:lineRule="auto"/>
        <w:jc w:val="both"/>
        <w:rPr>
          <w:rFonts w:ascii="Times New Roman" w:eastAsia="Calibri" w:hAnsi="Times New Roman" w:cs="Times New Roman"/>
          <w:kern w:val="0"/>
        </w:rPr>
      </w:pPr>
      <w:r w:rsidRPr="00A60822">
        <w:rPr>
          <w:rFonts w:ascii="Times New Roman" w:eastAsia="Calibri" w:hAnsi="Times New Roman" w:cs="Times New Roman"/>
          <w:bCs/>
          <w:color w:val="212529"/>
          <w:kern w:val="0"/>
        </w:rPr>
        <w:t>Erasmus, E.G. (2021).</w:t>
      </w:r>
      <w:r w:rsidRPr="00A60822">
        <w:rPr>
          <w:rFonts w:ascii="Times New Roman" w:eastAsia="Calibri" w:hAnsi="Times New Roman" w:cs="Times New Roman"/>
          <w:bCs/>
          <w:color w:val="212529"/>
          <w:kern w:val="0"/>
          <w:shd w:val="clear" w:color="auto" w:fill="E9ECEF"/>
        </w:rPr>
        <w:t xml:space="preserve"> </w:t>
      </w:r>
      <w:r w:rsidRPr="00A60822">
        <w:rPr>
          <w:rFonts w:ascii="Times New Roman" w:eastAsia="Calibri" w:hAnsi="Times New Roman" w:cs="Times New Roman"/>
          <w:kern w:val="0"/>
        </w:rPr>
        <w:t xml:space="preserve">Cost Management Practice and Financial Performance of Listed Deposit Money Banks in Nigeria. </w:t>
      </w:r>
      <w:r w:rsidRPr="00A60822">
        <w:rPr>
          <w:rFonts w:ascii="Times New Roman" w:eastAsia="Calibri" w:hAnsi="Times New Roman" w:cs="Times New Roman"/>
          <w:i/>
          <w:kern w:val="0"/>
        </w:rPr>
        <w:t>Journal of Accounting and Financial Management,</w:t>
      </w:r>
      <w:r w:rsidRPr="00A60822">
        <w:rPr>
          <w:rFonts w:ascii="Times New Roman" w:eastAsia="Calibri" w:hAnsi="Times New Roman" w:cs="Times New Roman"/>
          <w:kern w:val="0"/>
        </w:rPr>
        <w:t xml:space="preserve"> 7(2),1-14.</w:t>
      </w:r>
    </w:p>
    <w:p w14:paraId="36D3777F" w14:textId="77777777" w:rsidR="00A60822" w:rsidRPr="00A60822" w:rsidRDefault="00A60822" w:rsidP="00A60822">
      <w:pPr>
        <w:spacing w:after="0" w:line="240" w:lineRule="auto"/>
        <w:jc w:val="both"/>
        <w:rPr>
          <w:rFonts w:ascii="Times New Roman" w:eastAsia="Calibri" w:hAnsi="Times New Roman" w:cs="Times New Roman"/>
          <w:kern w:val="0"/>
        </w:rPr>
      </w:pPr>
    </w:p>
    <w:p w14:paraId="699C133C" w14:textId="77777777" w:rsidR="00A60822" w:rsidRPr="00A60822" w:rsidRDefault="00A60822" w:rsidP="00A60822">
      <w:pPr>
        <w:spacing w:after="0" w:line="240" w:lineRule="auto"/>
        <w:jc w:val="both"/>
        <w:rPr>
          <w:rFonts w:ascii="Times New Roman" w:eastAsia="Calibri" w:hAnsi="Times New Roman" w:cs="Times New Roman"/>
          <w:kern w:val="0"/>
        </w:rPr>
      </w:pPr>
      <w:r w:rsidRPr="00A60822">
        <w:rPr>
          <w:rFonts w:ascii="Times New Roman" w:eastAsia="Calibri" w:hAnsi="Times New Roman" w:cs="Times New Roman"/>
          <w:kern w:val="0"/>
        </w:rPr>
        <w:t>Hartog, S. (2024). How Banks Navigate the complex landscape of cost management.</w:t>
      </w:r>
    </w:p>
    <w:p w14:paraId="239AC54E" w14:textId="77777777" w:rsidR="00A60822" w:rsidRPr="00A60822" w:rsidRDefault="00A60822" w:rsidP="00A60822">
      <w:pPr>
        <w:spacing w:after="0" w:line="240" w:lineRule="auto"/>
        <w:jc w:val="both"/>
        <w:rPr>
          <w:rFonts w:ascii="Times New Roman" w:eastAsia="Calibri" w:hAnsi="Times New Roman" w:cs="Times New Roman"/>
          <w:kern w:val="0"/>
        </w:rPr>
      </w:pPr>
      <w:r w:rsidRPr="00A60822">
        <w:rPr>
          <w:rFonts w:ascii="Times New Roman" w:eastAsia="Calibri" w:hAnsi="Times New Roman" w:cs="Times New Roman"/>
          <w:kern w:val="0"/>
        </w:rPr>
        <w:t xml:space="preserve">Kaminski, J. (2011). Diffusion of Innovation Theory: Theory in Nursing Informatics Column. </w:t>
      </w:r>
      <w:r w:rsidRPr="00A60822">
        <w:rPr>
          <w:rFonts w:ascii="Times New Roman" w:eastAsia="Calibri" w:hAnsi="Times New Roman" w:cs="Times New Roman"/>
          <w:i/>
          <w:iCs/>
          <w:kern w:val="0"/>
        </w:rPr>
        <w:t>Canadian Journal of Nursing Informatics</w:t>
      </w:r>
      <w:r w:rsidRPr="00A60822">
        <w:rPr>
          <w:rFonts w:ascii="Times New Roman" w:eastAsia="Calibri" w:hAnsi="Times New Roman" w:cs="Times New Roman"/>
          <w:kern w:val="0"/>
        </w:rPr>
        <w:t xml:space="preserve">, 06(02),15-23 </w:t>
      </w:r>
      <w:hyperlink r:id="rId11" w:history="1">
        <w:r w:rsidRPr="00A60822">
          <w:rPr>
            <w:rFonts w:ascii="Times New Roman" w:eastAsia="Calibri" w:hAnsi="Times New Roman" w:cs="Times New Roman"/>
            <w:color w:val="0563C1" w:themeColor="hyperlink"/>
            <w:kern w:val="0"/>
            <w:u w:val="single"/>
          </w:rPr>
          <w:t>https://cjni.net/journal/?p=1444</w:t>
        </w:r>
      </w:hyperlink>
      <w:r w:rsidRPr="00A60822">
        <w:rPr>
          <w:rFonts w:ascii="Times New Roman" w:eastAsia="Calibri" w:hAnsi="Times New Roman" w:cs="Times New Roman"/>
          <w:kern w:val="0"/>
        </w:rPr>
        <w:t>.</w:t>
      </w:r>
    </w:p>
    <w:p w14:paraId="03901961" w14:textId="77777777" w:rsidR="00A60822" w:rsidRPr="00A60822" w:rsidRDefault="00A60822" w:rsidP="00A60822">
      <w:pPr>
        <w:spacing w:after="0" w:line="240" w:lineRule="auto"/>
        <w:jc w:val="both"/>
        <w:rPr>
          <w:rFonts w:ascii="Times New Roman" w:eastAsia="Calibri" w:hAnsi="Times New Roman" w:cs="Times New Roman"/>
          <w:kern w:val="0"/>
        </w:rPr>
      </w:pPr>
    </w:p>
    <w:p w14:paraId="4A2A621F" w14:textId="77777777" w:rsidR="00A60822" w:rsidRPr="00A60822" w:rsidRDefault="00A60822" w:rsidP="00A60822">
      <w:pPr>
        <w:spacing w:after="0" w:line="240" w:lineRule="auto"/>
        <w:jc w:val="both"/>
        <w:rPr>
          <w:rFonts w:ascii="Times New Roman" w:eastAsia="Calibri" w:hAnsi="Times New Roman" w:cs="Times New Roman"/>
          <w:kern w:val="0"/>
        </w:rPr>
      </w:pPr>
      <w:r w:rsidRPr="00A60822">
        <w:rPr>
          <w:rFonts w:ascii="Times New Roman" w:eastAsia="Calibri" w:hAnsi="Times New Roman" w:cs="Times New Roman"/>
          <w:kern w:val="0"/>
        </w:rPr>
        <w:t>Lewis, O., Forbes, S., Ruch, G., Kilpatrick, B., Herbert, M., &amp; Sarin, A. (2024). Beyond Savings: Strategic Cost Optimization for modern banking. KPMG International and Partners.</w:t>
      </w:r>
    </w:p>
    <w:p w14:paraId="57032ED4" w14:textId="77777777" w:rsidR="00A60822" w:rsidRPr="00A60822" w:rsidRDefault="00A60822" w:rsidP="00A60822">
      <w:pPr>
        <w:spacing w:after="0" w:line="240" w:lineRule="auto"/>
        <w:jc w:val="both"/>
        <w:rPr>
          <w:rFonts w:ascii="Times New Roman" w:eastAsia="Calibri" w:hAnsi="Times New Roman" w:cs="Times New Roman"/>
          <w:bCs/>
          <w:color w:val="212529"/>
          <w:kern w:val="0"/>
          <w:shd w:val="clear" w:color="auto" w:fill="E9ECEF"/>
        </w:rPr>
      </w:pPr>
    </w:p>
    <w:p w14:paraId="3028669D" w14:textId="77777777" w:rsidR="00A60822" w:rsidRPr="00A60822" w:rsidRDefault="00A60822" w:rsidP="00A60822">
      <w:pPr>
        <w:spacing w:after="0" w:line="240" w:lineRule="auto"/>
        <w:jc w:val="both"/>
        <w:rPr>
          <w:rFonts w:ascii="Times New Roman" w:eastAsia="Calibri" w:hAnsi="Times New Roman" w:cs="Times New Roman"/>
          <w:kern w:val="0"/>
          <w:shd w:val="clear" w:color="auto" w:fill="FFFFFF"/>
        </w:rPr>
      </w:pPr>
      <w:proofErr w:type="spellStart"/>
      <w:r w:rsidRPr="00A60822">
        <w:rPr>
          <w:rFonts w:ascii="Times New Roman" w:eastAsia="Calibri" w:hAnsi="Times New Roman" w:cs="Times New Roman"/>
          <w:kern w:val="0"/>
          <w:shd w:val="clear" w:color="auto" w:fill="FFFFFF"/>
        </w:rPr>
        <w:t>Mukayivara</w:t>
      </w:r>
      <w:proofErr w:type="spellEnd"/>
      <w:r w:rsidRPr="00A60822">
        <w:rPr>
          <w:rFonts w:ascii="Times New Roman" w:eastAsia="Calibri" w:hAnsi="Times New Roman" w:cs="Times New Roman"/>
          <w:kern w:val="0"/>
          <w:shd w:val="clear" w:color="auto" w:fill="FFFFFF"/>
        </w:rPr>
        <w:t xml:space="preserve">, D., &amp; </w:t>
      </w:r>
      <w:proofErr w:type="spellStart"/>
      <w:r w:rsidRPr="00A60822">
        <w:rPr>
          <w:rFonts w:ascii="Times New Roman" w:eastAsia="Calibri" w:hAnsi="Times New Roman" w:cs="Times New Roman"/>
          <w:kern w:val="0"/>
          <w:shd w:val="clear" w:color="auto" w:fill="FFFFFF"/>
        </w:rPr>
        <w:t>Rusibana</w:t>
      </w:r>
      <w:proofErr w:type="spellEnd"/>
      <w:r w:rsidRPr="00A60822">
        <w:rPr>
          <w:rFonts w:ascii="Times New Roman" w:eastAsia="Calibri" w:hAnsi="Times New Roman" w:cs="Times New Roman"/>
          <w:kern w:val="0"/>
          <w:shd w:val="clear" w:color="auto" w:fill="FFFFFF"/>
        </w:rPr>
        <w:t>, C. (2024). The Effect of Cost Control on Financial Performance of Manufacturing Companies in Rwanda. A Case of BRALIRWA PLC (2018-2022). </w:t>
      </w:r>
      <w:r w:rsidRPr="00A60822">
        <w:rPr>
          <w:rFonts w:ascii="Times New Roman" w:eastAsia="Calibri" w:hAnsi="Times New Roman" w:cs="Times New Roman"/>
          <w:i/>
          <w:iCs/>
          <w:kern w:val="0"/>
          <w:shd w:val="clear" w:color="auto" w:fill="FFFFFF"/>
        </w:rPr>
        <w:t>Journal of Finance and Accounting</w:t>
      </w:r>
      <w:r w:rsidRPr="00A60822">
        <w:rPr>
          <w:rFonts w:ascii="Times New Roman" w:eastAsia="Calibri" w:hAnsi="Times New Roman" w:cs="Times New Roman"/>
          <w:kern w:val="0"/>
          <w:shd w:val="clear" w:color="auto" w:fill="FFFFFF"/>
        </w:rPr>
        <w:t>, </w:t>
      </w:r>
      <w:r w:rsidRPr="00A60822">
        <w:rPr>
          <w:rFonts w:ascii="Times New Roman" w:eastAsia="Calibri" w:hAnsi="Times New Roman" w:cs="Times New Roman"/>
          <w:i/>
          <w:iCs/>
          <w:kern w:val="0"/>
          <w:shd w:val="clear" w:color="auto" w:fill="FFFFFF"/>
        </w:rPr>
        <w:t>8</w:t>
      </w:r>
      <w:r w:rsidRPr="00A60822">
        <w:rPr>
          <w:rFonts w:ascii="Times New Roman" w:eastAsia="Calibri" w:hAnsi="Times New Roman" w:cs="Times New Roman"/>
          <w:kern w:val="0"/>
          <w:shd w:val="clear" w:color="auto" w:fill="FFFFFF"/>
        </w:rPr>
        <w:t>(2), 77–89.</w:t>
      </w:r>
    </w:p>
    <w:p w14:paraId="18F56895" w14:textId="77777777" w:rsidR="00A60822" w:rsidRPr="00A60822" w:rsidRDefault="00A60822" w:rsidP="00A60822">
      <w:pPr>
        <w:spacing w:after="0" w:line="240" w:lineRule="auto"/>
        <w:jc w:val="both"/>
        <w:rPr>
          <w:rFonts w:ascii="Times New Roman" w:eastAsia="Calibri" w:hAnsi="Times New Roman" w:cs="Times New Roman"/>
          <w:kern w:val="0"/>
          <w:shd w:val="clear" w:color="auto" w:fill="FFFFFF"/>
        </w:rPr>
      </w:pPr>
    </w:p>
    <w:p w14:paraId="19B9E3EA" w14:textId="77777777" w:rsidR="00A60822" w:rsidRPr="00A60822" w:rsidRDefault="00A60822" w:rsidP="00A60822">
      <w:pPr>
        <w:spacing w:after="0" w:line="240" w:lineRule="auto"/>
        <w:jc w:val="both"/>
        <w:rPr>
          <w:rFonts w:ascii="Times New Roman" w:eastAsia="Calibri" w:hAnsi="Times New Roman" w:cs="Times New Roman"/>
          <w:kern w:val="0"/>
          <w:shd w:val="clear" w:color="auto" w:fill="FFFFFF"/>
        </w:rPr>
      </w:pPr>
      <w:r w:rsidRPr="00A60822">
        <w:rPr>
          <w:rFonts w:ascii="Times New Roman" w:eastAsia="Calibri" w:hAnsi="Times New Roman" w:cs="Times New Roman"/>
          <w:kern w:val="0"/>
          <w:shd w:val="clear" w:color="auto" w:fill="FFFFFF"/>
        </w:rPr>
        <w:t xml:space="preserve">Njoroge, J.N., Anyango, W. &amp; Njoki, C. (2024). Effect of cost control strategies on financial performance of </w:t>
      </w:r>
      <w:proofErr w:type="spellStart"/>
      <w:r w:rsidRPr="00A60822">
        <w:rPr>
          <w:rFonts w:ascii="Times New Roman" w:eastAsia="Calibri" w:hAnsi="Times New Roman" w:cs="Times New Roman"/>
          <w:kern w:val="0"/>
          <w:shd w:val="clear" w:color="auto" w:fill="FFFFFF"/>
        </w:rPr>
        <w:t>Bamburi</w:t>
      </w:r>
      <w:proofErr w:type="spellEnd"/>
      <w:r w:rsidRPr="00A60822">
        <w:rPr>
          <w:rFonts w:ascii="Times New Roman" w:eastAsia="Calibri" w:hAnsi="Times New Roman" w:cs="Times New Roman"/>
          <w:kern w:val="0"/>
          <w:shd w:val="clear" w:color="auto" w:fill="FFFFFF"/>
        </w:rPr>
        <w:t xml:space="preserve"> Cement limited, Kenya. </w:t>
      </w:r>
      <w:r w:rsidRPr="00A60822">
        <w:rPr>
          <w:rFonts w:ascii="Times New Roman" w:eastAsia="Calibri" w:hAnsi="Times New Roman" w:cs="Times New Roman"/>
          <w:i/>
          <w:kern w:val="0"/>
          <w:shd w:val="clear" w:color="auto" w:fill="FFFFFF"/>
        </w:rPr>
        <w:t>International Journal of Business Management and Technology</w:t>
      </w:r>
      <w:r w:rsidRPr="00A60822">
        <w:rPr>
          <w:rFonts w:ascii="Times New Roman" w:eastAsia="Calibri" w:hAnsi="Times New Roman" w:cs="Times New Roman"/>
          <w:kern w:val="0"/>
          <w:shd w:val="clear" w:color="auto" w:fill="FFFFFF"/>
        </w:rPr>
        <w:t>, 8(6),1-11.</w:t>
      </w:r>
    </w:p>
    <w:p w14:paraId="0B693BF0" w14:textId="77777777" w:rsidR="00A60822" w:rsidRPr="00A60822" w:rsidRDefault="00A60822" w:rsidP="00A60822">
      <w:pPr>
        <w:spacing w:after="0" w:line="240" w:lineRule="auto"/>
        <w:jc w:val="both"/>
        <w:rPr>
          <w:rFonts w:ascii="Times New Roman" w:hAnsi="Times New Roman" w:cs="Times New Roman"/>
          <w:kern w:val="0"/>
          <w:sz w:val="20"/>
          <w:szCs w:val="20"/>
        </w:rPr>
      </w:pPr>
    </w:p>
    <w:p w14:paraId="5F2D14F1" w14:textId="77777777" w:rsidR="00A60822" w:rsidRPr="00A60822" w:rsidRDefault="00A60822" w:rsidP="00A60822">
      <w:pPr>
        <w:spacing w:after="0" w:line="240" w:lineRule="auto"/>
        <w:jc w:val="both"/>
        <w:rPr>
          <w:rFonts w:ascii="Times New Roman" w:eastAsia="Calibri" w:hAnsi="Times New Roman" w:cs="Times New Roman"/>
          <w:kern w:val="0"/>
        </w:rPr>
      </w:pPr>
      <w:proofErr w:type="spellStart"/>
      <w:r w:rsidRPr="00A60822">
        <w:rPr>
          <w:rFonts w:ascii="Times New Roman" w:eastAsia="Calibri" w:hAnsi="Times New Roman" w:cs="Times New Roman"/>
          <w:kern w:val="0"/>
          <w:lang w:val="en-GB"/>
        </w:rPr>
        <w:t>Niyi</w:t>
      </w:r>
      <w:proofErr w:type="spellEnd"/>
      <w:r w:rsidRPr="00A60822">
        <w:rPr>
          <w:rFonts w:ascii="Times New Roman" w:eastAsia="Calibri" w:hAnsi="Times New Roman" w:cs="Times New Roman"/>
          <w:kern w:val="0"/>
          <w:lang w:val="en-GB"/>
        </w:rPr>
        <w:t xml:space="preserve">, S.A, </w:t>
      </w:r>
      <w:proofErr w:type="spellStart"/>
      <w:r w:rsidRPr="00A60822">
        <w:rPr>
          <w:rFonts w:ascii="Times New Roman" w:eastAsia="Calibri" w:hAnsi="Times New Roman" w:cs="Times New Roman"/>
          <w:kern w:val="0"/>
          <w:lang w:val="en-GB"/>
        </w:rPr>
        <w:t>Ogunbade</w:t>
      </w:r>
      <w:proofErr w:type="spellEnd"/>
      <w:r w:rsidRPr="00A60822">
        <w:rPr>
          <w:rFonts w:ascii="Times New Roman" w:eastAsia="Calibri" w:hAnsi="Times New Roman" w:cs="Times New Roman"/>
          <w:kern w:val="0"/>
          <w:lang w:val="en-GB"/>
        </w:rPr>
        <w:t xml:space="preserve">, O.I., </w:t>
      </w:r>
      <w:proofErr w:type="spellStart"/>
      <w:r w:rsidRPr="00A60822">
        <w:rPr>
          <w:rFonts w:ascii="Times New Roman" w:eastAsia="Calibri" w:hAnsi="Times New Roman" w:cs="Times New Roman"/>
          <w:kern w:val="0"/>
          <w:lang w:val="en-GB"/>
        </w:rPr>
        <w:t>Igbekoye</w:t>
      </w:r>
      <w:proofErr w:type="spellEnd"/>
      <w:r w:rsidRPr="00A60822">
        <w:rPr>
          <w:rFonts w:ascii="Times New Roman" w:eastAsia="Calibri" w:hAnsi="Times New Roman" w:cs="Times New Roman"/>
          <w:kern w:val="0"/>
          <w:lang w:val="en-GB"/>
        </w:rPr>
        <w:t>, O.E, &amp; Adesuyi, T.Y. (2022).</w:t>
      </w:r>
      <w:r w:rsidRPr="00A60822">
        <w:rPr>
          <w:rFonts w:ascii="Times New Roman" w:eastAsia="Calibri" w:hAnsi="Times New Roman" w:cs="Times New Roman"/>
          <w:kern w:val="0"/>
          <w:sz w:val="22"/>
          <w:szCs w:val="22"/>
        </w:rPr>
        <w:t xml:space="preserve"> </w:t>
      </w:r>
      <w:r w:rsidRPr="00A60822">
        <w:rPr>
          <w:rFonts w:ascii="Times New Roman" w:eastAsia="Calibri" w:hAnsi="Times New Roman" w:cs="Times New Roman"/>
          <w:kern w:val="0"/>
        </w:rPr>
        <w:t>Cost structure and financial performance of quoted Industrial Goods Manufacturing Companies in Nigeria.</w:t>
      </w:r>
      <w:r w:rsidRPr="00A60822">
        <w:rPr>
          <w:rFonts w:ascii="Times New Roman" w:eastAsia="Calibri" w:hAnsi="Times New Roman" w:cs="Times New Roman"/>
          <w:i/>
          <w:kern w:val="0"/>
        </w:rPr>
        <w:t xml:space="preserve"> International Journal of Management, Accounting and Economics, </w:t>
      </w:r>
      <w:r w:rsidRPr="00A60822">
        <w:rPr>
          <w:rFonts w:ascii="Times New Roman" w:eastAsia="Calibri" w:hAnsi="Times New Roman" w:cs="Times New Roman"/>
          <w:kern w:val="0"/>
        </w:rPr>
        <w:t>9(11),749-763.</w:t>
      </w:r>
    </w:p>
    <w:p w14:paraId="5F894893" w14:textId="77777777" w:rsidR="00A60822" w:rsidRPr="00A60822" w:rsidRDefault="00A60822" w:rsidP="00A60822">
      <w:pPr>
        <w:spacing w:after="0" w:line="240" w:lineRule="auto"/>
        <w:jc w:val="both"/>
        <w:rPr>
          <w:rFonts w:ascii="Times New Roman" w:hAnsi="Times New Roman" w:cs="Times New Roman"/>
          <w:kern w:val="0"/>
          <w:sz w:val="20"/>
          <w:szCs w:val="20"/>
        </w:rPr>
      </w:pPr>
    </w:p>
    <w:p w14:paraId="30B2263D" w14:textId="77777777" w:rsidR="00A60822" w:rsidRPr="00A60822" w:rsidRDefault="00A60822" w:rsidP="00A60822">
      <w:pPr>
        <w:spacing w:after="0" w:line="240" w:lineRule="auto"/>
        <w:jc w:val="both"/>
        <w:rPr>
          <w:rFonts w:ascii="Times New Roman" w:hAnsi="Times New Roman" w:cs="Times New Roman"/>
        </w:rPr>
      </w:pPr>
      <w:proofErr w:type="spellStart"/>
      <w:r w:rsidRPr="00A60822">
        <w:rPr>
          <w:rFonts w:ascii="Times New Roman" w:hAnsi="Times New Roman" w:cs="Times New Roman"/>
          <w:lang w:val="en-GB"/>
        </w:rPr>
        <w:t>Nkpodot</w:t>
      </w:r>
      <w:proofErr w:type="spellEnd"/>
      <w:r w:rsidRPr="00A60822">
        <w:rPr>
          <w:rFonts w:ascii="Times New Roman" w:hAnsi="Times New Roman" w:cs="Times New Roman"/>
          <w:lang w:val="en-GB"/>
        </w:rPr>
        <w:t xml:space="preserve">, U.C, &amp; </w:t>
      </w:r>
      <w:proofErr w:type="spellStart"/>
      <w:r w:rsidRPr="00A60822">
        <w:rPr>
          <w:rFonts w:ascii="Times New Roman" w:hAnsi="Times New Roman" w:cs="Times New Roman"/>
          <w:lang w:val="en-GB"/>
        </w:rPr>
        <w:t>Emenyi</w:t>
      </w:r>
      <w:proofErr w:type="spellEnd"/>
      <w:r w:rsidRPr="00A60822">
        <w:rPr>
          <w:rFonts w:ascii="Times New Roman" w:hAnsi="Times New Roman" w:cs="Times New Roman"/>
          <w:lang w:val="en-GB"/>
        </w:rPr>
        <w:t xml:space="preserve">, E. (2023) </w:t>
      </w:r>
      <w:r w:rsidRPr="00A60822">
        <w:rPr>
          <w:rFonts w:ascii="Times New Roman" w:hAnsi="Times New Roman" w:cs="Times New Roman"/>
          <w:sz w:val="22"/>
          <w:szCs w:val="22"/>
        </w:rPr>
        <w:t xml:space="preserve">Cost efficiency and financial performance of Listed Manufacturing Firms in Nigeria. </w:t>
      </w:r>
      <w:r w:rsidRPr="00A60822">
        <w:rPr>
          <w:rFonts w:ascii="Times New Roman" w:hAnsi="Times New Roman" w:cs="Times New Roman"/>
        </w:rPr>
        <w:t>Iconic Research and Engineering Journals,7(3), 194-213.</w:t>
      </w:r>
    </w:p>
    <w:p w14:paraId="3D71CF26" w14:textId="77777777" w:rsidR="00A60822" w:rsidRPr="00A60822" w:rsidRDefault="00A60822" w:rsidP="00A60822">
      <w:pPr>
        <w:spacing w:after="0" w:line="240" w:lineRule="auto"/>
        <w:jc w:val="both"/>
        <w:rPr>
          <w:rFonts w:ascii="Times New Roman" w:hAnsi="Times New Roman" w:cs="Times New Roman"/>
        </w:rPr>
      </w:pPr>
    </w:p>
    <w:p w14:paraId="5224A83D" w14:textId="77777777" w:rsidR="00A60822" w:rsidRPr="00A60822" w:rsidRDefault="00A60822" w:rsidP="00A60822">
      <w:pPr>
        <w:spacing w:after="0" w:line="240" w:lineRule="auto"/>
        <w:jc w:val="both"/>
        <w:rPr>
          <w:rFonts w:ascii="Times New Roman" w:hAnsi="Times New Roman" w:cs="Times New Roman"/>
          <w14:ligatures w14:val="none"/>
        </w:rPr>
      </w:pPr>
      <w:r w:rsidRPr="00A60822">
        <w:rPr>
          <w:rFonts w:ascii="Times New Roman" w:hAnsi="Times New Roman" w:cs="Times New Roman"/>
          <w14:ligatures w14:val="none"/>
        </w:rPr>
        <w:t xml:space="preserve">Njoroge, J.N., Anyango, W., &amp; Njoki, C. (2024). Effects of cost control strategies on financial performance of </w:t>
      </w:r>
      <w:proofErr w:type="spellStart"/>
      <w:r w:rsidRPr="00A60822">
        <w:rPr>
          <w:rFonts w:ascii="Times New Roman" w:hAnsi="Times New Roman" w:cs="Times New Roman"/>
          <w14:ligatures w14:val="none"/>
        </w:rPr>
        <w:t>Bamburi</w:t>
      </w:r>
      <w:proofErr w:type="spellEnd"/>
      <w:r w:rsidRPr="00A60822">
        <w:rPr>
          <w:rFonts w:ascii="Times New Roman" w:hAnsi="Times New Roman" w:cs="Times New Roman"/>
          <w14:ligatures w14:val="none"/>
        </w:rPr>
        <w:t xml:space="preserve"> Cement Limited, Kenya. International Journal of Business Management and Technology, 8(6),1-11.</w:t>
      </w:r>
    </w:p>
    <w:p w14:paraId="63571848" w14:textId="77777777" w:rsidR="00A60822" w:rsidRPr="00A60822" w:rsidRDefault="00A60822" w:rsidP="00A60822">
      <w:pPr>
        <w:spacing w:after="0" w:line="240" w:lineRule="auto"/>
        <w:jc w:val="both"/>
        <w:rPr>
          <w:rFonts w:ascii="Times New Roman" w:hAnsi="Times New Roman" w:cs="Times New Roman"/>
          <w14:ligatures w14:val="none"/>
        </w:rPr>
      </w:pPr>
    </w:p>
    <w:p w14:paraId="1F4B601E" w14:textId="77777777" w:rsidR="00A60822" w:rsidRPr="00A60822" w:rsidRDefault="00A60822" w:rsidP="00A60822">
      <w:pPr>
        <w:spacing w:after="0" w:line="240" w:lineRule="auto"/>
        <w:jc w:val="both"/>
        <w:rPr>
          <w:rFonts w:ascii="Times New Roman" w:hAnsi="Times New Roman" w:cs="Times New Roman"/>
          <w14:ligatures w14:val="none"/>
        </w:rPr>
      </w:pPr>
      <w:proofErr w:type="spellStart"/>
      <w:r w:rsidRPr="00A60822">
        <w:rPr>
          <w:rFonts w:ascii="Times New Roman" w:hAnsi="Times New Roman" w:cs="Times New Roman"/>
          <w14:ligatures w14:val="none"/>
        </w:rPr>
        <w:t>Nwanyanwu</w:t>
      </w:r>
      <w:proofErr w:type="spellEnd"/>
      <w:r w:rsidRPr="00A60822">
        <w:rPr>
          <w:rFonts w:ascii="Times New Roman" w:hAnsi="Times New Roman" w:cs="Times New Roman"/>
          <w14:ligatures w14:val="none"/>
        </w:rPr>
        <w:t>, K. U., Jonah, N. M. &amp; Court, E. R. (2023). Cost Reduction Strategies and Financial Performance of Listed Consumer Goods Companies in Nigeria. International Journal of Auditing and Accounting Studies. 5(2), 215-228.</w:t>
      </w:r>
    </w:p>
    <w:p w14:paraId="29B33033" w14:textId="77777777" w:rsidR="00A60822" w:rsidRPr="00A60822" w:rsidRDefault="00A60822" w:rsidP="00A60822">
      <w:pPr>
        <w:spacing w:after="0" w:line="240" w:lineRule="auto"/>
        <w:jc w:val="both"/>
        <w:rPr>
          <w:rFonts w:ascii="Times New Roman" w:eastAsia="Times New Roman" w:hAnsi="Times New Roman" w:cs="Times New Roman"/>
          <w14:ligatures w14:val="none"/>
        </w:rPr>
      </w:pPr>
    </w:p>
    <w:p w14:paraId="5A4CCB13" w14:textId="77777777" w:rsidR="00A60822" w:rsidRPr="00A60822" w:rsidRDefault="00A60822" w:rsidP="00A60822">
      <w:pPr>
        <w:spacing w:after="0" w:line="240" w:lineRule="auto"/>
        <w:jc w:val="both"/>
        <w:rPr>
          <w:rFonts w:ascii="Times New Roman" w:hAnsi="Times New Roman" w:cs="Times New Roman"/>
          <w:shd w:val="clear" w:color="auto" w:fill="FFFFFF"/>
          <w14:ligatures w14:val="none"/>
        </w:rPr>
      </w:pPr>
      <w:r w:rsidRPr="00A60822">
        <w:rPr>
          <w:rFonts w:ascii="Times New Roman" w:hAnsi="Times New Roman" w:cs="Times New Roman"/>
          <w:shd w:val="clear" w:color="auto" w:fill="FFFFFF"/>
          <w14:ligatures w14:val="none"/>
        </w:rPr>
        <w:t>Oluwayemisi, A.-M. B., Elkanah, E., Ademola, O., Omole Olusola, M., &amp; Ishola Mamidu, A. (2022). Cost Control and Financial Performance: An Empirical Investigation of Selected Quoted Manufacturing Firms in Nigeria. </w:t>
      </w:r>
      <w:r w:rsidRPr="00A60822">
        <w:rPr>
          <w:rFonts w:ascii="Times New Roman" w:hAnsi="Times New Roman" w:cs="Times New Roman"/>
          <w:iCs/>
          <w:shd w:val="clear" w:color="auto" w:fill="FFFFFF"/>
          <w14:ligatures w14:val="none"/>
        </w:rPr>
        <w:t>The Journal of Accounting and Management</w:t>
      </w:r>
      <w:r w:rsidRPr="00A60822">
        <w:rPr>
          <w:rFonts w:ascii="Times New Roman" w:hAnsi="Times New Roman" w:cs="Times New Roman"/>
          <w:shd w:val="clear" w:color="auto" w:fill="FFFFFF"/>
          <w14:ligatures w14:val="none"/>
        </w:rPr>
        <w:t>, </w:t>
      </w:r>
      <w:r w:rsidRPr="00A60822">
        <w:rPr>
          <w:rFonts w:ascii="Times New Roman" w:hAnsi="Times New Roman" w:cs="Times New Roman"/>
          <w:iCs/>
          <w:shd w:val="clear" w:color="auto" w:fill="FFFFFF"/>
          <w14:ligatures w14:val="none"/>
        </w:rPr>
        <w:t>12</w:t>
      </w:r>
      <w:r w:rsidRPr="00A60822">
        <w:rPr>
          <w:rFonts w:ascii="Times New Roman" w:hAnsi="Times New Roman" w:cs="Times New Roman"/>
          <w:shd w:val="clear" w:color="auto" w:fill="FFFFFF"/>
          <w14:ligatures w14:val="none"/>
        </w:rPr>
        <w:t>(2).</w:t>
      </w:r>
    </w:p>
    <w:p w14:paraId="4F177ABB" w14:textId="77777777" w:rsidR="00A60822" w:rsidRPr="00A60822" w:rsidRDefault="00A60822" w:rsidP="00A60822">
      <w:pPr>
        <w:spacing w:after="0" w:line="240" w:lineRule="auto"/>
        <w:jc w:val="both"/>
        <w:rPr>
          <w:rFonts w:ascii="Times New Roman" w:hAnsi="Times New Roman" w:cs="Times New Roman"/>
          <w:shd w:val="clear" w:color="auto" w:fill="FFFFFF"/>
          <w14:ligatures w14:val="none"/>
        </w:rPr>
      </w:pPr>
    </w:p>
    <w:p w14:paraId="52CC482D" w14:textId="77777777" w:rsidR="00A60822" w:rsidRPr="00A60822" w:rsidRDefault="00A60822" w:rsidP="00A60822">
      <w:pPr>
        <w:spacing w:after="0" w:line="240" w:lineRule="auto"/>
        <w:jc w:val="both"/>
        <w:rPr>
          <w:rFonts w:ascii="Times New Roman" w:hAnsi="Times New Roman" w:cs="Times New Roman"/>
          <w:shd w:val="clear" w:color="auto" w:fill="FFFFFF"/>
        </w:rPr>
      </w:pPr>
      <w:r w:rsidRPr="00A60822">
        <w:rPr>
          <w:rFonts w:ascii="Times New Roman" w:hAnsi="Times New Roman" w:cs="Times New Roman"/>
          <w:shd w:val="clear" w:color="auto" w:fill="FFFFFF"/>
        </w:rPr>
        <w:t>Oma, A. &amp; Sam, B. (2017). Save-to-transform as a catalyst for embracing digital disruption. Deloitte’s Second Biennial Global Cost Survey: Cost Management Practices and Trend in the banking sector.</w:t>
      </w:r>
    </w:p>
    <w:p w14:paraId="01F9C3F0" w14:textId="77777777" w:rsidR="00A60822" w:rsidRPr="00A60822" w:rsidRDefault="00A60822" w:rsidP="00A60822">
      <w:pPr>
        <w:spacing w:after="0" w:line="240" w:lineRule="auto"/>
        <w:jc w:val="both"/>
        <w:rPr>
          <w:rFonts w:ascii="Times New Roman" w:hAnsi="Times New Roman" w:cs="Times New Roman"/>
          <w:shd w:val="clear" w:color="auto" w:fill="FFFFFF"/>
        </w:rPr>
      </w:pPr>
    </w:p>
    <w:p w14:paraId="65DE7CA4" w14:textId="77777777" w:rsidR="00A60822" w:rsidRPr="00A60822" w:rsidRDefault="00A60822" w:rsidP="00A60822">
      <w:pPr>
        <w:spacing w:after="0" w:line="240" w:lineRule="auto"/>
        <w:jc w:val="both"/>
        <w:rPr>
          <w:rFonts w:ascii="Times New Roman" w:hAnsi="Times New Roman" w:cs="Times New Roman"/>
          <w:shd w:val="clear" w:color="auto" w:fill="FFFFFF"/>
        </w:rPr>
      </w:pPr>
      <w:proofErr w:type="spellStart"/>
      <w:r w:rsidRPr="00A60822">
        <w:rPr>
          <w:rFonts w:ascii="Times New Roman" w:hAnsi="Times New Roman" w:cs="Times New Roman"/>
          <w:shd w:val="clear" w:color="auto" w:fill="FFFFFF"/>
        </w:rPr>
        <w:t>Omodero</w:t>
      </w:r>
      <w:proofErr w:type="spellEnd"/>
      <w:r w:rsidRPr="00A60822">
        <w:rPr>
          <w:rFonts w:ascii="Times New Roman" w:hAnsi="Times New Roman" w:cs="Times New Roman"/>
          <w:shd w:val="clear" w:color="auto" w:fill="FFFFFF"/>
        </w:rPr>
        <w:t>, C.O. &amp; Ogbonnaya, A.K. (2018). Corporate tax and profitability of Deposit Money Banks in Nigeria. Journal of Accounting, Business and Financial Research, 3(2), 47-55.</w:t>
      </w:r>
    </w:p>
    <w:p w14:paraId="23609119" w14:textId="77777777" w:rsidR="00A60822" w:rsidRPr="00A60822" w:rsidRDefault="00A60822" w:rsidP="00A60822">
      <w:pPr>
        <w:spacing w:after="0" w:line="240" w:lineRule="auto"/>
        <w:jc w:val="both"/>
        <w:rPr>
          <w:rFonts w:ascii="Times New Roman" w:hAnsi="Times New Roman" w:cs="Times New Roman"/>
          <w:shd w:val="clear" w:color="auto" w:fill="FFFFFF"/>
        </w:rPr>
      </w:pPr>
    </w:p>
    <w:p w14:paraId="4AAB3DAE" w14:textId="77777777" w:rsidR="00A60822" w:rsidRPr="00A60822" w:rsidRDefault="00A60822" w:rsidP="00A60822">
      <w:pPr>
        <w:spacing w:after="0" w:line="240" w:lineRule="auto"/>
        <w:jc w:val="both"/>
        <w:rPr>
          <w:rFonts w:ascii="Times New Roman" w:hAnsi="Times New Roman" w:cs="Times New Roman"/>
        </w:rPr>
      </w:pPr>
      <w:proofErr w:type="spellStart"/>
      <w:r w:rsidRPr="00A60822">
        <w:rPr>
          <w:rFonts w:ascii="Times New Roman" w:hAnsi="Times New Roman" w:cs="Times New Roman"/>
          <w:shd w:val="clear" w:color="auto" w:fill="FFFFFF"/>
        </w:rPr>
        <w:t>Ononiwu</w:t>
      </w:r>
      <w:proofErr w:type="spellEnd"/>
      <w:r w:rsidRPr="00A60822">
        <w:rPr>
          <w:rFonts w:ascii="Times New Roman" w:hAnsi="Times New Roman" w:cs="Times New Roman"/>
          <w:shd w:val="clear" w:color="auto" w:fill="FFFFFF"/>
        </w:rPr>
        <w:t xml:space="preserve">, M.I., </w:t>
      </w:r>
      <w:proofErr w:type="spellStart"/>
      <w:r w:rsidRPr="00A60822">
        <w:rPr>
          <w:rFonts w:ascii="Times New Roman" w:hAnsi="Times New Roman" w:cs="Times New Roman"/>
          <w:shd w:val="clear" w:color="auto" w:fill="FFFFFF"/>
        </w:rPr>
        <w:t>Onwuzulike</w:t>
      </w:r>
      <w:proofErr w:type="spellEnd"/>
      <w:r w:rsidRPr="00A60822">
        <w:rPr>
          <w:rFonts w:ascii="Times New Roman" w:hAnsi="Times New Roman" w:cs="Times New Roman"/>
          <w:shd w:val="clear" w:color="auto" w:fill="FFFFFF"/>
        </w:rPr>
        <w:t xml:space="preserve">, O.C. &amp; Shitu, K. (2024). </w:t>
      </w:r>
      <w:r w:rsidRPr="00A60822">
        <w:rPr>
          <w:rFonts w:ascii="Times New Roman" w:hAnsi="Times New Roman" w:cs="Times New Roman"/>
        </w:rPr>
        <w:t>Comparative analysis of cost management strategies in banks: The role of operational improvements in the US and Nigeria.</w:t>
      </w:r>
      <w:r w:rsidRPr="00A60822">
        <w:rPr>
          <w:rFonts w:ascii="Times New Roman" w:hAnsi="Times New Roman" w:cs="Times New Roman"/>
          <w:sz w:val="22"/>
          <w:szCs w:val="22"/>
        </w:rPr>
        <w:t xml:space="preserve"> </w:t>
      </w:r>
      <w:r w:rsidRPr="00A60822">
        <w:rPr>
          <w:rFonts w:ascii="Times New Roman" w:hAnsi="Times New Roman" w:cs="Times New Roman"/>
          <w:i/>
        </w:rPr>
        <w:t>World Journal of Advanced Research and Reviews,</w:t>
      </w:r>
      <w:r w:rsidRPr="00A60822">
        <w:rPr>
          <w:rFonts w:ascii="Times New Roman" w:hAnsi="Times New Roman" w:cs="Times New Roman"/>
        </w:rPr>
        <w:t xml:space="preserve"> 23(03), 492-507. DOI: 10.20448/2002.32.47.55.</w:t>
      </w:r>
    </w:p>
    <w:p w14:paraId="266A0EA2" w14:textId="77777777" w:rsidR="00A60822" w:rsidRPr="00A60822" w:rsidRDefault="00A60822" w:rsidP="00A60822">
      <w:pPr>
        <w:spacing w:after="0" w:line="240" w:lineRule="auto"/>
        <w:jc w:val="both"/>
        <w:rPr>
          <w:rFonts w:ascii="Times New Roman" w:hAnsi="Times New Roman" w:cs="Times New Roman"/>
          <w:shd w:val="clear" w:color="auto" w:fill="FFFFFF"/>
        </w:rPr>
      </w:pPr>
    </w:p>
    <w:p w14:paraId="4DC02F32" w14:textId="77777777" w:rsidR="00A60822" w:rsidRPr="00A60822" w:rsidRDefault="00A60822" w:rsidP="00A60822">
      <w:pPr>
        <w:spacing w:after="0" w:line="240" w:lineRule="auto"/>
        <w:jc w:val="both"/>
        <w:rPr>
          <w:rFonts w:ascii="Times New Roman" w:hAnsi="Times New Roman" w:cs="Times New Roman"/>
        </w:rPr>
      </w:pPr>
      <w:r w:rsidRPr="00A60822">
        <w:rPr>
          <w:rFonts w:ascii="Times New Roman" w:hAnsi="Times New Roman" w:cs="Times New Roman"/>
        </w:rPr>
        <w:lastRenderedPageBreak/>
        <w:t xml:space="preserve">Suleiman, I. G. Mustapha, L. O. &amp; </w:t>
      </w:r>
      <w:proofErr w:type="spellStart"/>
      <w:r w:rsidRPr="00A60822">
        <w:rPr>
          <w:rFonts w:ascii="Times New Roman" w:hAnsi="Times New Roman" w:cs="Times New Roman"/>
        </w:rPr>
        <w:t>Agbi</w:t>
      </w:r>
      <w:proofErr w:type="spellEnd"/>
      <w:r w:rsidRPr="00A60822">
        <w:rPr>
          <w:rFonts w:ascii="Times New Roman" w:hAnsi="Times New Roman" w:cs="Times New Roman"/>
        </w:rPr>
        <w:t xml:space="preserve">, S. E. (2023). Effect of cost control and cost reduction on profitability of manufacturing firms in Nigeria: A Case of Nestle Nigeria Plc. </w:t>
      </w:r>
      <w:r w:rsidRPr="00A60822">
        <w:rPr>
          <w:rFonts w:ascii="Times New Roman" w:hAnsi="Times New Roman" w:cs="Times New Roman"/>
          <w:i/>
        </w:rPr>
        <w:t>International Journal of Research Publication and Reviews,</w:t>
      </w:r>
      <w:r w:rsidRPr="00A60822">
        <w:rPr>
          <w:rFonts w:ascii="Times New Roman" w:hAnsi="Times New Roman" w:cs="Times New Roman"/>
        </w:rPr>
        <w:t xml:space="preserve"> 4(5),</w:t>
      </w:r>
      <w:r w:rsidRPr="00A60822">
        <w:rPr>
          <w:rFonts w:ascii="Times New Roman" w:hAnsi="Times New Roman" w:cs="Times New Roman"/>
          <w:sz w:val="22"/>
          <w:szCs w:val="22"/>
        </w:rPr>
        <w:t xml:space="preserve"> </w:t>
      </w:r>
      <w:r w:rsidRPr="00A60822">
        <w:rPr>
          <w:rFonts w:ascii="Times New Roman" w:hAnsi="Times New Roman" w:cs="Times New Roman"/>
        </w:rPr>
        <w:t>5234-5240.</w:t>
      </w:r>
    </w:p>
    <w:p w14:paraId="60DF82E7" w14:textId="77777777" w:rsidR="00A60822" w:rsidRPr="00A60822" w:rsidRDefault="00A60822" w:rsidP="00A60822">
      <w:pPr>
        <w:spacing w:after="0" w:line="240" w:lineRule="auto"/>
        <w:jc w:val="both"/>
        <w:rPr>
          <w:rFonts w:ascii="Times New Roman" w:hAnsi="Times New Roman" w:cs="Times New Roman"/>
        </w:rPr>
      </w:pPr>
    </w:p>
    <w:p w14:paraId="79ADCDC7" w14:textId="77777777" w:rsidR="00A60822" w:rsidRPr="00A60822" w:rsidRDefault="00A60822" w:rsidP="00A60822">
      <w:pPr>
        <w:spacing w:after="0" w:line="240" w:lineRule="auto"/>
        <w:jc w:val="both"/>
        <w:rPr>
          <w:rFonts w:ascii="Times New Roman" w:eastAsia="Times New Roman" w:hAnsi="Times New Roman" w:cs="Times New Roman"/>
        </w:rPr>
      </w:pPr>
      <w:r w:rsidRPr="00A60822">
        <w:rPr>
          <w:rFonts w:ascii="Times New Roman" w:hAnsi="Times New Roman" w:cs="Times New Roman"/>
        </w:rPr>
        <w:t>Welsch, A., Williams, B. &amp; Mills, L. (2024). Do accounting earnings provide useful information for state tax revenue forecast? Review of Accounting Studies, 30(2025), 813-859.</w:t>
      </w:r>
    </w:p>
    <w:p w14:paraId="1BBC40C8" w14:textId="77777777" w:rsidR="00A60822" w:rsidRPr="00A60822" w:rsidRDefault="00A60822" w:rsidP="00A60822">
      <w:pPr>
        <w:spacing w:after="0" w:line="240" w:lineRule="auto"/>
        <w:rPr>
          <w:rFonts w:ascii="Times New Roman" w:hAnsi="Times New Roman" w:cs="Times New Roman"/>
        </w:rPr>
      </w:pPr>
    </w:p>
    <w:p w14:paraId="2D19216D" w14:textId="77777777" w:rsidR="00A60822" w:rsidRDefault="00A60822" w:rsidP="00A60822">
      <w:pPr>
        <w:spacing w:after="0" w:line="240" w:lineRule="auto"/>
        <w:jc w:val="both"/>
        <w:rPr>
          <w:rFonts w:ascii="Times New Roman" w:hAnsi="Times New Roman" w:cs="Times New Roman"/>
          <w:b/>
          <w:bCs/>
          <w:sz w:val="56"/>
          <w:szCs w:val="56"/>
        </w:rPr>
      </w:pPr>
    </w:p>
    <w:p w14:paraId="12BBBD24" w14:textId="77777777" w:rsidR="00A60822" w:rsidRDefault="00A60822" w:rsidP="00A60822">
      <w:pPr>
        <w:spacing w:after="0" w:line="240" w:lineRule="auto"/>
        <w:jc w:val="both"/>
        <w:rPr>
          <w:rFonts w:ascii="Times New Roman" w:hAnsi="Times New Roman" w:cs="Times New Roman"/>
          <w:b/>
          <w:bCs/>
          <w:sz w:val="56"/>
          <w:szCs w:val="56"/>
        </w:rPr>
      </w:pPr>
    </w:p>
    <w:p w14:paraId="725D9FF4" w14:textId="77777777" w:rsidR="00A60822" w:rsidRDefault="00A60822" w:rsidP="00A60822">
      <w:pPr>
        <w:spacing w:after="0" w:line="240" w:lineRule="auto"/>
        <w:jc w:val="both"/>
        <w:rPr>
          <w:rFonts w:ascii="Times New Roman" w:hAnsi="Times New Roman" w:cs="Times New Roman"/>
          <w:b/>
          <w:bCs/>
          <w:sz w:val="56"/>
          <w:szCs w:val="56"/>
        </w:rPr>
      </w:pPr>
    </w:p>
    <w:p w14:paraId="03719754" w14:textId="77777777" w:rsidR="0015036C" w:rsidRDefault="0015036C" w:rsidP="00A60822">
      <w:pPr>
        <w:spacing w:after="0" w:line="480" w:lineRule="auto"/>
        <w:jc w:val="center"/>
        <w:rPr>
          <w:rFonts w:ascii="Times New Roman" w:eastAsia="Calibri" w:hAnsi="Times New Roman" w:cs="Times New Roman"/>
          <w:b/>
          <w:kern w:val="0"/>
          <w:lang w:val="en-GB"/>
          <w14:ligatures w14:val="none"/>
        </w:rPr>
      </w:pPr>
    </w:p>
    <w:p w14:paraId="12F9B627" w14:textId="3450E2A0" w:rsidR="00A60822" w:rsidRPr="00A60822" w:rsidRDefault="00A60822" w:rsidP="0015036C">
      <w:pPr>
        <w:spacing w:after="0" w:line="240" w:lineRule="auto"/>
        <w:jc w:val="center"/>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The Effect of Digital Innovation Adoption on the Valuation and Competitiveness of Nigerian Companies in a Globalized Digital Economy</w:t>
      </w:r>
    </w:p>
    <w:p w14:paraId="3010B4F4" w14:textId="77777777" w:rsidR="0015036C" w:rsidRDefault="0015036C" w:rsidP="0015036C">
      <w:pPr>
        <w:spacing w:after="0" w:line="240" w:lineRule="auto"/>
        <w:jc w:val="center"/>
        <w:rPr>
          <w:rFonts w:ascii="Times New Roman" w:eastAsia="Calibri" w:hAnsi="Times New Roman" w:cs="Times New Roman"/>
          <w:b/>
          <w:kern w:val="0"/>
          <w:lang w:val="en-GB"/>
          <w14:ligatures w14:val="none"/>
        </w:rPr>
      </w:pPr>
    </w:p>
    <w:p w14:paraId="3D340DA4" w14:textId="24A6DA48" w:rsidR="00A60822" w:rsidRPr="00A60822" w:rsidRDefault="00A60822" w:rsidP="0015036C">
      <w:pPr>
        <w:spacing w:after="0" w:line="240" w:lineRule="auto"/>
        <w:jc w:val="center"/>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Mohammed Yusha’u Salihu</w:t>
      </w:r>
    </w:p>
    <w:p w14:paraId="10FC13EA" w14:textId="77777777" w:rsidR="00A60822" w:rsidRPr="00A60822" w:rsidRDefault="00A60822" w:rsidP="0015036C">
      <w:pPr>
        <w:spacing w:after="0" w:line="240" w:lineRule="auto"/>
        <w:jc w:val="center"/>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 xml:space="preserve">Email: </w:t>
      </w:r>
      <w:proofErr w:type="gramStart"/>
      <w:r w:rsidRPr="00A60822">
        <w:rPr>
          <w:rFonts w:ascii="Times New Roman" w:eastAsia="Calibri" w:hAnsi="Times New Roman" w:cs="Times New Roman"/>
          <w:b/>
          <w:kern w:val="0"/>
          <w:lang w:val="en-GB"/>
          <w14:ligatures w14:val="none"/>
        </w:rPr>
        <w:t>mohammedyushau@gmail.com;  Phone</w:t>
      </w:r>
      <w:proofErr w:type="gramEnd"/>
      <w:r w:rsidRPr="00A60822">
        <w:rPr>
          <w:rFonts w:ascii="Times New Roman" w:eastAsia="Calibri" w:hAnsi="Times New Roman" w:cs="Times New Roman"/>
          <w:b/>
          <w:kern w:val="0"/>
          <w:lang w:val="en-GB"/>
          <w14:ligatures w14:val="none"/>
        </w:rPr>
        <w:t xml:space="preserve"> Number: 08068039507</w:t>
      </w:r>
    </w:p>
    <w:p w14:paraId="2F108AE5" w14:textId="77777777" w:rsidR="00A60822" w:rsidRPr="00A60822" w:rsidRDefault="00A60822" w:rsidP="0015036C">
      <w:pPr>
        <w:spacing w:after="0" w:line="240" w:lineRule="auto"/>
        <w:jc w:val="center"/>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Department of accounting, Faculty of Management sciences, University of Port-Harcourt</w:t>
      </w:r>
    </w:p>
    <w:p w14:paraId="2DFE6B4F" w14:textId="77777777" w:rsidR="0015036C" w:rsidRDefault="0015036C" w:rsidP="00A60822">
      <w:pPr>
        <w:spacing w:after="0" w:line="480" w:lineRule="auto"/>
        <w:jc w:val="both"/>
        <w:rPr>
          <w:rFonts w:ascii="Times New Roman" w:eastAsia="Calibri" w:hAnsi="Times New Roman" w:cs="Times New Roman"/>
          <w:b/>
          <w:kern w:val="0"/>
          <w:lang w:val="en-GB"/>
          <w14:ligatures w14:val="none"/>
        </w:rPr>
      </w:pPr>
    </w:p>
    <w:p w14:paraId="28AD319C" w14:textId="0BFAC258" w:rsidR="00A60822" w:rsidRPr="00A60822" w:rsidRDefault="00A60822" w:rsidP="0015036C">
      <w:pPr>
        <w:spacing w:after="0" w:line="480" w:lineRule="auto"/>
        <w:jc w:val="center"/>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Abstract</w:t>
      </w:r>
    </w:p>
    <w:p w14:paraId="1754ECEA" w14:textId="77777777" w:rsidR="00A60822" w:rsidRPr="002C3670" w:rsidRDefault="00A60822" w:rsidP="002C3670">
      <w:pPr>
        <w:spacing w:after="0" w:line="240" w:lineRule="auto"/>
        <w:jc w:val="both"/>
        <w:rPr>
          <w:rFonts w:ascii="Times New Roman" w:eastAsia="Calibri" w:hAnsi="Times New Roman" w:cs="Times New Roman"/>
          <w:i/>
          <w:iCs/>
          <w:kern w:val="0"/>
          <w:lang w:val="en-GB"/>
          <w14:ligatures w14:val="none"/>
        </w:rPr>
      </w:pPr>
      <w:r w:rsidRPr="002C3670">
        <w:rPr>
          <w:rFonts w:ascii="Times New Roman" w:eastAsia="Calibri" w:hAnsi="Times New Roman" w:cs="Times New Roman"/>
          <w:i/>
          <w:iCs/>
          <w:kern w:val="0"/>
          <w:lang w:val="en-GB"/>
          <w14:ligatures w14:val="none"/>
        </w:rPr>
        <w:t>This study investigates the effect of digital innovation adoption on the valuation and competitiveness of companies listed on the Nigerian Exchange Group (NGX). Utilizing ex-post factor research approach, the research analysed a longitudinal dataset of 50 purposively selected listed firms across various sectors from 2015 to 2024. Digital innovation adoption is proxied by Information Technology (IT) investment, software intangible asset disclosures, and board digital expertise. Firm valuation is measured using Tobin’s Q, while competitiveness is assessed through market share and relative profitability. The study employs the Resource-Based View (RBV) and Dynamic Capabilities Theory as the underlying theoretical frameworks. Empirical analysis, conducted via panel data regression, reveals a significant positive relationship between digital innovation adoption and both firm valuation and competitiveness. The findings suggest that Nigerian companies that proactively integrate digital technologies into their core operations and governance structures achieve higher market valuations and superior competitive positions. The study recommends that corporate leaders in Nigeria prioritize strategic investments in digital infrastructure at the board level to navigate the complexities of the digital age and enhance global competitiveness.</w:t>
      </w:r>
    </w:p>
    <w:p w14:paraId="30118C2C" w14:textId="77777777" w:rsidR="00A60822" w:rsidRPr="00A60822" w:rsidRDefault="00A60822" w:rsidP="0015036C">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t>Keywords:</w:t>
      </w:r>
      <w:r w:rsidRPr="00A60822">
        <w:rPr>
          <w:rFonts w:ascii="Times New Roman" w:eastAsia="Calibri" w:hAnsi="Times New Roman" w:cs="Times New Roman"/>
          <w:kern w:val="0"/>
          <w:lang w:val="en-GB"/>
          <w14:ligatures w14:val="none"/>
        </w:rPr>
        <w:t xml:space="preserve"> Digital Innovation, Firm Valuation, Competitiveness, Tobin’s Q, Nigeria, Secondary Data, NGX.</w:t>
      </w:r>
    </w:p>
    <w:p w14:paraId="1F6EF95F" w14:textId="77777777" w:rsidR="0015036C" w:rsidRDefault="0015036C" w:rsidP="00A60822">
      <w:pPr>
        <w:spacing w:after="0" w:line="480" w:lineRule="auto"/>
        <w:jc w:val="both"/>
        <w:rPr>
          <w:rFonts w:ascii="Times New Roman" w:eastAsia="Calibri" w:hAnsi="Times New Roman" w:cs="Times New Roman"/>
          <w:b/>
          <w:kern w:val="0"/>
          <w:lang w:val="en-GB"/>
          <w14:ligatures w14:val="none"/>
        </w:rPr>
      </w:pPr>
    </w:p>
    <w:p w14:paraId="60D3557E" w14:textId="2C2B97E5"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Introduction</w:t>
      </w:r>
    </w:p>
    <w:p w14:paraId="2683BD35"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1.1</w:t>
      </w:r>
      <w:r w:rsidRPr="00A60822">
        <w:rPr>
          <w:rFonts w:ascii="Times New Roman" w:eastAsia="Calibri" w:hAnsi="Times New Roman" w:cs="Times New Roman"/>
          <w:b/>
          <w:kern w:val="0"/>
          <w:lang w:val="en-GB"/>
          <w14:ligatures w14:val="none"/>
        </w:rPr>
        <w:tab/>
        <w:t>Background to the Study</w:t>
      </w:r>
    </w:p>
    <w:p w14:paraId="26FE6C7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In the rapidly evolving globalized digital economy, the adoption of digital innovation has become a critical determinant of corporate success and sustainability. The global business landscape is undergoing a profound transformation driven by the rapid advancement and adoption of digital technologies. From artificial intelligence (AI) and blockchain to big data analytics and cloud computing, digital innovation is reshaping industries, redefining value propositions, and altering the basis of competition. In the present digital world, the ability of </w:t>
      </w:r>
      <w:r w:rsidRPr="00A60822">
        <w:rPr>
          <w:rFonts w:ascii="Times New Roman" w:eastAsia="Calibri" w:hAnsi="Times New Roman" w:cs="Times New Roman"/>
          <w:kern w:val="0"/>
          <w:lang w:val="en-GB"/>
          <w14:ligatures w14:val="none"/>
        </w:rPr>
        <w:lastRenderedPageBreak/>
        <w:t>companies to adapt and innovate is no longer just a source of competitive advantage but a prerequisite for survival (World Economic Forum, 2023).</w:t>
      </w:r>
    </w:p>
    <w:p w14:paraId="09935B9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Nigeria, as Africa's largest economy, is not immune to these global shifts. The Nigerian business environment is increasingly characterized by digital disruption, with traditional sectors facing intense competition from tech-enabled entrants and changing consumer behaviours. The Nigerian government, through initiatives like the National Digital Economy Policy and Strategy (2020-2030), has signalled its commitment to fostering a digital economy (Federal Ministry of Communications and Digital Economy, 2020). However, the extent to which Nigerian companies are effectively adopting digital innovations and the subsequent impact on their market valuation and competitiveness remain areas of significant interest for researchers, investors, and policymakers.</w:t>
      </w:r>
    </w:p>
    <w:p w14:paraId="1D963562"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752D3ADE" w14:textId="71246DD3"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1.2</w:t>
      </w:r>
      <w:r w:rsidRPr="00A60822">
        <w:rPr>
          <w:rFonts w:ascii="Times New Roman" w:eastAsia="Calibri" w:hAnsi="Times New Roman" w:cs="Times New Roman"/>
          <w:b/>
          <w:kern w:val="0"/>
          <w:lang w:val="en-GB"/>
          <w14:ligatures w14:val="none"/>
        </w:rPr>
        <w:tab/>
        <w:t>Statement of the Problem</w:t>
      </w:r>
    </w:p>
    <w:p w14:paraId="63384B63" w14:textId="77777777" w:rsid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Despite the growing awareness of the importance of digitalization, many Nigerian companies struggle to translate digital investments into tangible market value and sustained competitiveness. There is a perceived productivity paradox where significant investments in information technology do not always yield the expected improvements in financial performance or market position (</w:t>
      </w:r>
      <w:proofErr w:type="spellStart"/>
      <w:r w:rsidRPr="00A60822">
        <w:rPr>
          <w:rFonts w:ascii="Times New Roman" w:eastAsia="Calibri" w:hAnsi="Times New Roman" w:cs="Times New Roman"/>
          <w:kern w:val="0"/>
          <w:lang w:val="en-GB"/>
          <w14:ligatures w14:val="none"/>
        </w:rPr>
        <w:t>Ogunyomi</w:t>
      </w:r>
      <w:proofErr w:type="spellEnd"/>
      <w:r w:rsidRPr="00A60822">
        <w:rPr>
          <w:rFonts w:ascii="Times New Roman" w:eastAsia="Calibri" w:hAnsi="Times New Roman" w:cs="Times New Roman"/>
          <w:kern w:val="0"/>
          <w:lang w:val="en-GB"/>
          <w14:ligatures w14:val="none"/>
        </w:rPr>
        <w:t xml:space="preserve"> and Obi, 2016). Furthermore, the lack of standardized reporting on digital assets and innovation activities makes it challenging for investors to accurately value digitally-driven firms. This study seeks to address this gap by empirically examining the relationship between digital innovation adoption and the valuation and competitiveness of listed Nigerian companies using objective secondary data.</w:t>
      </w:r>
    </w:p>
    <w:p w14:paraId="56F049A2" w14:textId="77777777" w:rsidR="0015036C" w:rsidRDefault="0015036C" w:rsidP="002C3670">
      <w:pPr>
        <w:spacing w:after="0" w:line="240" w:lineRule="auto"/>
        <w:jc w:val="both"/>
        <w:rPr>
          <w:rFonts w:ascii="Times New Roman" w:eastAsia="Calibri" w:hAnsi="Times New Roman" w:cs="Times New Roman"/>
          <w:kern w:val="0"/>
          <w:lang w:val="en-GB"/>
          <w14:ligatures w14:val="none"/>
        </w:rPr>
      </w:pPr>
    </w:p>
    <w:p w14:paraId="01B0EECF"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1.3</w:t>
      </w:r>
      <w:r w:rsidRPr="00A60822">
        <w:rPr>
          <w:rFonts w:ascii="Times New Roman" w:eastAsia="Calibri" w:hAnsi="Times New Roman" w:cs="Times New Roman"/>
          <w:b/>
          <w:kern w:val="0"/>
          <w:lang w:val="en-GB"/>
          <w14:ligatures w14:val="none"/>
        </w:rPr>
        <w:tab/>
        <w:t>Aim and Objectives of the Study</w:t>
      </w:r>
    </w:p>
    <w:p w14:paraId="7BC6268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primary Aim of this study is to evaluate the effect of digital innovation adoption on the valuation and competitiveness of Nigerian companies. Specifically, the objectives of the study include to:</w:t>
      </w:r>
    </w:p>
    <w:p w14:paraId="7BC0229D" w14:textId="77777777" w:rsidR="00A60822" w:rsidRPr="00A60822" w:rsidRDefault="00A60822" w:rsidP="002C3670">
      <w:pPr>
        <w:numPr>
          <w:ilvl w:val="0"/>
          <w:numId w:val="16"/>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Determine the relationship between IT investment (measured as the ratio of IT expenditure to total assets) and firm valuation (measured by Tobin’s Q).</w:t>
      </w:r>
    </w:p>
    <w:p w14:paraId="14FCECA1" w14:textId="77777777" w:rsidR="00A60822" w:rsidRPr="00A60822" w:rsidRDefault="00A60822" w:rsidP="002C3670">
      <w:pPr>
        <w:numPr>
          <w:ilvl w:val="0"/>
          <w:numId w:val="16"/>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Assess the impact of software intangible assets (measured by their disclosed value in the statement of financial position) on firm valuation and competitiveness.</w:t>
      </w:r>
    </w:p>
    <w:p w14:paraId="460E9F40" w14:textId="77777777" w:rsidR="00A60822" w:rsidRPr="00A60822" w:rsidRDefault="00A60822" w:rsidP="002C3670">
      <w:pPr>
        <w:numPr>
          <w:ilvl w:val="0"/>
          <w:numId w:val="16"/>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Evaluate the influence of board digital expertise (measured as the percentage of board members with IT/digital transformation certifications) on firm valuation and competitiveness.</w:t>
      </w:r>
    </w:p>
    <w:p w14:paraId="3A002E05" w14:textId="77777777" w:rsidR="00A60822" w:rsidRPr="00A60822" w:rsidRDefault="00A60822" w:rsidP="002C3670">
      <w:pPr>
        <w:numPr>
          <w:ilvl w:val="0"/>
          <w:numId w:val="16"/>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Examine the combined effect of the three dimensions of digital innovation adoption on overall firm valuation and competitiveness, while controlling for firm size, leverage, and industry sector.</w:t>
      </w:r>
    </w:p>
    <w:p w14:paraId="345A302C"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33F25281" w14:textId="268AC2A6"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1.4</w:t>
      </w:r>
      <w:r w:rsidRPr="00A60822">
        <w:rPr>
          <w:rFonts w:ascii="Times New Roman" w:eastAsia="Calibri" w:hAnsi="Times New Roman" w:cs="Times New Roman"/>
          <w:b/>
          <w:kern w:val="0"/>
          <w:lang w:val="en-GB"/>
          <w14:ligatures w14:val="none"/>
        </w:rPr>
        <w:tab/>
        <w:t>Research Questions</w:t>
      </w:r>
    </w:p>
    <w:p w14:paraId="7253ECC9" w14:textId="77777777" w:rsidR="00A60822" w:rsidRPr="00A60822" w:rsidRDefault="00A60822" w:rsidP="002C3670">
      <w:pPr>
        <w:numPr>
          <w:ilvl w:val="0"/>
          <w:numId w:val="17"/>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To what extent does the adoption of digital innovation (IT investment, software intangible assets, and board digital expertise) affect the valuation (Tobin’s Q) of Nigerian companies?</w:t>
      </w:r>
    </w:p>
    <w:p w14:paraId="18AFD7A1" w14:textId="77777777" w:rsidR="00A60822" w:rsidRPr="00A60822" w:rsidRDefault="00A60822" w:rsidP="002C3670">
      <w:pPr>
        <w:numPr>
          <w:ilvl w:val="0"/>
          <w:numId w:val="17"/>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How does digital innovation adoption influence the competitiveness of Nigerian companies, as measured by relative market share and relative profitability?</w:t>
      </w:r>
    </w:p>
    <w:p w14:paraId="2CEFF1AA" w14:textId="77777777" w:rsidR="00A60822" w:rsidRPr="00A60822" w:rsidRDefault="00A60822" w:rsidP="002C3670">
      <w:pPr>
        <w:numPr>
          <w:ilvl w:val="0"/>
          <w:numId w:val="17"/>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What is the relative contribution of each dimension of digital innovation adoption (IT investment, software intangible assets, and board digital expertise) to firm valuation and competitiveness?</w:t>
      </w:r>
    </w:p>
    <w:p w14:paraId="0C16C6C0" w14:textId="77777777" w:rsidR="00A60822" w:rsidRPr="00A60822" w:rsidRDefault="00A60822" w:rsidP="002C3670">
      <w:pPr>
        <w:numPr>
          <w:ilvl w:val="0"/>
          <w:numId w:val="17"/>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To what extent do firm size, leverage, and industry sector moderate or control the relationship between digital innovation adoption and firm valuation/competitiveness?</w:t>
      </w:r>
    </w:p>
    <w:p w14:paraId="2D6018A9" w14:textId="77777777" w:rsidR="002610CA" w:rsidRDefault="002610CA" w:rsidP="002C3670">
      <w:pPr>
        <w:spacing w:after="0" w:line="240" w:lineRule="auto"/>
        <w:jc w:val="both"/>
        <w:rPr>
          <w:rFonts w:ascii="Times New Roman" w:eastAsia="Calibri" w:hAnsi="Times New Roman" w:cs="Times New Roman"/>
          <w:b/>
          <w:kern w:val="0"/>
          <w:lang w:val="en-GB"/>
          <w14:ligatures w14:val="none"/>
        </w:rPr>
      </w:pPr>
    </w:p>
    <w:p w14:paraId="60D36BDF" w14:textId="362E6832"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1.5</w:t>
      </w:r>
      <w:r w:rsidRPr="00A60822">
        <w:rPr>
          <w:rFonts w:ascii="Times New Roman" w:eastAsia="Calibri" w:hAnsi="Times New Roman" w:cs="Times New Roman"/>
          <w:b/>
          <w:kern w:val="0"/>
          <w:lang w:val="en-GB"/>
          <w14:ligatures w14:val="none"/>
        </w:rPr>
        <w:tab/>
        <w:t>Research Hypotheses</w:t>
      </w:r>
    </w:p>
    <w:p w14:paraId="29DE25B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study formulates the following hypotheses which are stated in their alternative form for clarity:</w:t>
      </w:r>
    </w:p>
    <w:p w14:paraId="4A5A10A2" w14:textId="77777777" w:rsidR="00A60822" w:rsidRPr="00A60822" w:rsidRDefault="00A60822" w:rsidP="002C3670">
      <w:pPr>
        <w:numPr>
          <w:ilvl w:val="0"/>
          <w:numId w:val="18"/>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H1: There is a positive and significant relationship between IT investment (IT expenditure/total assets) and firm valuation (Tobin’s Q) of Nigerian companies.</w:t>
      </w:r>
    </w:p>
    <w:p w14:paraId="7C3CFC4D" w14:textId="77777777" w:rsidR="00A60822" w:rsidRPr="00A60822" w:rsidRDefault="00A60822" w:rsidP="002C3670">
      <w:pPr>
        <w:numPr>
          <w:ilvl w:val="0"/>
          <w:numId w:val="18"/>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H2: Software intangible assets (disclosed value) have a positive and significant effect on firm valuation (Tobin’s Q).</w:t>
      </w:r>
    </w:p>
    <w:p w14:paraId="4AA813ED" w14:textId="77777777" w:rsidR="00A60822" w:rsidRPr="00A60822" w:rsidRDefault="00A60822" w:rsidP="002C3670">
      <w:pPr>
        <w:numPr>
          <w:ilvl w:val="0"/>
          <w:numId w:val="18"/>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H3: Board digital expertise (% of board members with IT/digital certifications) </w:t>
      </w:r>
      <w:proofErr w:type="gramStart"/>
      <w:r w:rsidRPr="00A60822">
        <w:rPr>
          <w:rFonts w:ascii="Times New Roman" w:eastAsia="Calibri" w:hAnsi="Times New Roman" w:cs="Times New Roman"/>
          <w:kern w:val="0"/>
          <w:lang w:val="en-GB"/>
          <w14:ligatures w14:val="none"/>
        </w:rPr>
        <w:t>has</w:t>
      </w:r>
      <w:proofErr w:type="gramEnd"/>
      <w:r w:rsidRPr="00A60822">
        <w:rPr>
          <w:rFonts w:ascii="Times New Roman" w:eastAsia="Calibri" w:hAnsi="Times New Roman" w:cs="Times New Roman"/>
          <w:kern w:val="0"/>
          <w:lang w:val="en-GB"/>
          <w14:ligatures w14:val="none"/>
        </w:rPr>
        <w:t xml:space="preserve"> a positive and significant effect on firm valuation (Tobin’s Q).</w:t>
      </w:r>
    </w:p>
    <w:p w14:paraId="2D1151FA" w14:textId="77777777" w:rsidR="00A60822" w:rsidRPr="00A60822" w:rsidRDefault="00A60822" w:rsidP="002C3670">
      <w:pPr>
        <w:numPr>
          <w:ilvl w:val="0"/>
          <w:numId w:val="18"/>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lastRenderedPageBreak/>
        <w:t>H4: Digital innovation adoption (composite of IT investment, software intangible assets, and board digital expertise) has a positive and significant effect on firm competitiveness (relative market share and relative profitability).</w:t>
      </w:r>
    </w:p>
    <w:p w14:paraId="0C82A65C" w14:textId="77777777" w:rsidR="00A60822" w:rsidRPr="00A60822" w:rsidRDefault="00A60822" w:rsidP="002C3670">
      <w:pPr>
        <w:numPr>
          <w:ilvl w:val="0"/>
          <w:numId w:val="18"/>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H5: The effect of digital innovation adoption on firm valuation and competitiveness is moderated by firm size, leverage, and industry sector.</w:t>
      </w:r>
    </w:p>
    <w:p w14:paraId="552DE2B8"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0B34D64A" w14:textId="02F6E7F9"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1.6</w:t>
      </w:r>
      <w:r w:rsidRPr="00A60822">
        <w:rPr>
          <w:rFonts w:ascii="Times New Roman" w:eastAsia="Calibri" w:hAnsi="Times New Roman" w:cs="Times New Roman"/>
          <w:b/>
          <w:kern w:val="0"/>
          <w:lang w:val="en-GB"/>
          <w14:ligatures w14:val="none"/>
        </w:rPr>
        <w:tab/>
        <w:t>Significance of the Study</w:t>
      </w:r>
    </w:p>
    <w:p w14:paraId="050D979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This study holds substantial theoretical, practical, policy, and societal significance in the context of Nigeria’s transition to a globalized digital economy. By empirically examining the effect of digital innovation adoption, operationalized through IT investment, software intangible assets, and board digital expertise, on firm valuation (Tobin’s Q) and competitiveness (relative market share and relative profitability), the research addresses critical gaps in the emerging-market literature while providing actionable insights for stakeholders.</w:t>
      </w:r>
    </w:p>
    <w:p w14:paraId="757C88D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study advances several established theories. It extends the resource-based view (RBV) and dynamic capabilities theory by demonstrating how specific digital resources and capabilities translate into sustained competitive advantage and higher market valuation in an emerging economy. Furthermore, it contributes to upper echelons theory by quantifying the role of board digital expertise as a strategic resource that influences firm-level outcomes. Unlike most prior studies that focus on developed economies or single digital constructs, this research integrates three complementary dimensions of digital innovation adoption within a unified conceptual framework, offering a more holistic understanding of digital transformation mechanisms in sub-Saharan Africa. The inclusion of control variables also allows for nuanced moderation analysis, enriching the contingency perspective of digital strategy research.</w:t>
      </w:r>
    </w:p>
    <w:p w14:paraId="459A80E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Empirically, the study fills a notable void in Nigeria-specific research. While digital transformation has been widely studied globally, rigorous panel data investigations linking digital adoption metrics to Tobin’s Q and competitiveness measures remain scarce in the Nigerian context, particularly post-2020. By utilizing secondary panel data from 2020–2026 sourced from Nigerian Exchange Group (NGX) filings, annual reports, and financial databases, the research provides robust, up-to-date evidence at a time when Nigeria’s digital economy is projected to reach $18.3 billion by 2026. The findings will offer generalizable insights for other emerging markets facing similar infrastructure and institutional challenges, thereby contributing to the growing body of comparative international business research.</w:t>
      </w:r>
    </w:p>
    <w:p w14:paraId="53505E8F"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For corporate leaders and boards of directors in Nigeria, the study delivers clear, measurable guidance. It identifies which dimensions of digital innovation such as IT spending, software asset capitalization, or board-level digital competence, yield the strongest returns in valuation and market positioning. Managers can use the results to prioritize capital allocation decisions, justify increased IT budgets to shareholders, and design board recruitment strategies that embed digital expertise. The framework also serves as a diagnostic tool for assessing digital maturity and benchmarking competitiveness against industry peers.</w:t>
      </w:r>
    </w:p>
    <w:p w14:paraId="4D486DB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At the policy level, the findings will inform regulators such as the Securities and Exchange Commission (SEC), Financial Reporting Council of Nigeria (FRCN), and the Federal Ministry of Communications, Innovation and Digital Economy. Policymakers can leverage the evidence to refine incentives for digital investment and strengthen the National Digital Economy Policy and Strategy. On a broader societal scale, enhanced firm valuation and competitiveness through digital innovation are expected to drive job creation in high-skill sectors, reduce reliance on oil revenues, accelerate financial inclusion, and improve Nigeria’s global economic ranking. Ultimately, the study supports the nation’s ambition to become Africa’s leading digital economy while contributing to sustainable development goals related to industry, innovation, and infrastructure.</w:t>
      </w:r>
    </w:p>
    <w:p w14:paraId="58C7445A"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6EA5D02E" w14:textId="5C5F8D94"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Literature review</w:t>
      </w:r>
    </w:p>
    <w:p w14:paraId="6A307895"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2.1</w:t>
      </w:r>
      <w:r w:rsidRPr="00A60822">
        <w:rPr>
          <w:rFonts w:ascii="Times New Roman" w:eastAsia="Calibri" w:hAnsi="Times New Roman" w:cs="Times New Roman"/>
          <w:b/>
          <w:kern w:val="0"/>
          <w:lang w:val="en-GB"/>
          <w14:ligatures w14:val="none"/>
        </w:rPr>
        <w:tab/>
        <w:t>Conceptual Framework</w:t>
      </w:r>
    </w:p>
    <w:p w14:paraId="608EE05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The conceptual framework of this study </w:t>
      </w:r>
      <w:proofErr w:type="gramStart"/>
      <w:r w:rsidRPr="00A60822">
        <w:rPr>
          <w:rFonts w:ascii="Times New Roman" w:eastAsia="Calibri" w:hAnsi="Times New Roman" w:cs="Times New Roman"/>
          <w:kern w:val="0"/>
          <w:lang w:val="en-GB"/>
          <w14:ligatures w14:val="none"/>
        </w:rPr>
        <w:t>illustrate</w:t>
      </w:r>
      <w:proofErr w:type="gramEnd"/>
      <w:r w:rsidRPr="00A60822">
        <w:rPr>
          <w:rFonts w:ascii="Times New Roman" w:eastAsia="Calibri" w:hAnsi="Times New Roman" w:cs="Times New Roman"/>
          <w:kern w:val="0"/>
          <w:lang w:val="en-GB"/>
          <w14:ligatures w14:val="none"/>
        </w:rPr>
        <w:t xml:space="preserve"> the relationship between digital innovation adoption (independent variables) and firm valuation and competitiveness (dependent variables). It highlights how adoption of digital innovation impact firm valuation and competitiveness in Nigeria over the period 2015 to 2024.</w:t>
      </w:r>
    </w:p>
    <w:p w14:paraId="64415F3E" w14:textId="77777777" w:rsidR="00A60822" w:rsidRPr="00A60822" w:rsidRDefault="00A60822" w:rsidP="00A60822">
      <w:pPr>
        <w:spacing w:after="0" w:line="48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noProof/>
          <w:kern w:val="0"/>
          <w:lang w:val="en-GB" w:eastAsia="en-GB"/>
          <w14:ligatures w14:val="none"/>
        </w:rPr>
        <w:lastRenderedPageBreak/>
        <mc:AlternateContent>
          <mc:Choice Requires="wps">
            <w:drawing>
              <wp:anchor distT="45720" distB="45720" distL="114300" distR="114300" simplePos="0" relativeHeight="251659264" behindDoc="0" locked="0" layoutInCell="1" allowOverlap="1" wp14:anchorId="450474F4" wp14:editId="57079D77">
                <wp:simplePos x="0" y="0"/>
                <wp:positionH relativeFrom="margin">
                  <wp:align>right</wp:align>
                </wp:positionH>
                <wp:positionV relativeFrom="page">
                  <wp:posOffset>2152015</wp:posOffset>
                </wp:positionV>
                <wp:extent cx="5828400" cy="4104000"/>
                <wp:effectExtent l="0" t="0" r="20320" b="1143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400" cy="4104000"/>
                        </a:xfrm>
                        <a:prstGeom prst="rect">
                          <a:avLst/>
                        </a:prstGeom>
                        <a:solidFill>
                          <a:srgbClr val="FFFFFF"/>
                        </a:solidFill>
                        <a:ln w="9525">
                          <a:solidFill>
                            <a:srgbClr val="000000"/>
                          </a:solidFill>
                          <a:miter lim="800000"/>
                          <a:headEnd/>
                          <a:tailEnd/>
                        </a:ln>
                      </wps:spPr>
                      <wps:txbx>
                        <w:txbxContent>
                          <w:p w14:paraId="55ED3B5A" w14:textId="77777777" w:rsidR="00A60822" w:rsidRDefault="00A60822" w:rsidP="00A60822">
                            <w:pPr>
                              <w:pStyle w:val="NormalWeb"/>
                              <w:jc w:val="center"/>
                              <w:rPr>
                                <w:b/>
                              </w:rPr>
                            </w:pPr>
                            <w:r w:rsidRPr="00A3150C">
                              <w:rPr>
                                <w:b/>
                              </w:rPr>
                              <w:t>The Effect of Digital Innovation Adoption on the Valuation and Competitiveness of Nigerian Companies in a Globalized Digital Economy</w:t>
                            </w:r>
                          </w:p>
                          <w:p w14:paraId="090ACE3B" w14:textId="77777777" w:rsidR="00A60822" w:rsidRPr="00A3150C" w:rsidRDefault="00A60822" w:rsidP="00A60822">
                            <w:pPr>
                              <w:pStyle w:val="NormalWeb"/>
                              <w:rPr>
                                <w:b/>
                              </w:rPr>
                            </w:pPr>
                          </w:p>
                          <w:p w14:paraId="7E965B70" w14:textId="77777777" w:rsidR="00A60822" w:rsidRDefault="00A60822" w:rsidP="00A608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0474F4" id="_x0000_t202" coordsize="21600,21600" o:spt="202" path="m,l,21600r21600,l21600,xe">
                <v:stroke joinstyle="miter"/>
                <v:path gradientshapeok="t" o:connecttype="rect"/>
              </v:shapetype>
              <v:shape id="Text Box 2" o:spid="_x0000_s1026" type="#_x0000_t202" style="position:absolute;left:0;text-align:left;margin-left:407.75pt;margin-top:169.45pt;width:458.95pt;height:323.1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">
                <v:textbox>
                  <w:txbxContent>
                    <w:p w14:paraId="55ED3B5A" w14:textId="77777777" w:rsidR="00A60822" w:rsidRDefault="00A60822" w:rsidP="00A60822">
                      <w:pPr>
                        <w:pStyle w:val="NormalWeb"/>
                        <w:jc w:val="center"/>
                        <w:rPr>
                          <w:b/>
                        </w:rPr>
                      </w:pPr>
                      <w:r w:rsidRPr="00A3150C">
                        <w:rPr>
                          <w:b/>
                        </w:rPr>
                        <w:t>The Effect of Digital Innovation Adoption on the Valuation and Competitiveness of Nigerian Companies in a Globalized Digital Economy</w:t>
                      </w:r>
                    </w:p>
                    <w:p w14:paraId="090ACE3B" w14:textId="77777777" w:rsidR="00A60822" w:rsidRPr="00A3150C" w:rsidRDefault="00A60822" w:rsidP="00A60822">
                      <w:pPr>
                        <w:pStyle w:val="NormalWeb"/>
                        <w:rPr>
                          <w:b/>
                        </w:rPr>
                      </w:pPr>
                    </w:p>
                    <w:p w14:paraId="7E965B70" w14:textId="77777777" w:rsidR="00A60822" w:rsidRDefault="00A60822" w:rsidP="00A60822"/>
                  </w:txbxContent>
                </v:textbox>
                <w10:wrap type="topAndBottom" anchorx="margin" anchory="page"/>
              </v:shape>
            </w:pict>
          </mc:Fallback>
        </mc:AlternateContent>
      </w:r>
      <w:r w:rsidRPr="00A60822">
        <w:rPr>
          <w:rFonts w:ascii="Times New Roman" w:eastAsia="Calibri" w:hAnsi="Times New Roman" w:cs="Times New Roman"/>
          <w:noProof/>
          <w:kern w:val="0"/>
          <w:lang w:val="en-GB" w:eastAsia="en-GB"/>
          <w14:ligatures w14:val="none"/>
        </w:rPr>
        <mc:AlternateContent>
          <mc:Choice Requires="wps">
            <w:drawing>
              <wp:anchor distT="0" distB="0" distL="114300" distR="114300" simplePos="0" relativeHeight="251663360" behindDoc="0" locked="0" layoutInCell="1" allowOverlap="1" wp14:anchorId="5A30BC7D" wp14:editId="1ABBF495">
                <wp:simplePos x="0" y="0"/>
                <wp:positionH relativeFrom="margin">
                  <wp:posOffset>1503680</wp:posOffset>
                </wp:positionH>
                <wp:positionV relativeFrom="paragraph">
                  <wp:posOffset>3895725</wp:posOffset>
                </wp:positionV>
                <wp:extent cx="2038350" cy="120015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2038350" cy="1200150"/>
                        </a:xfrm>
                        <a:prstGeom prst="rect">
                          <a:avLst/>
                        </a:prstGeom>
                        <a:solidFill>
                          <a:sysClr val="window" lastClr="FFFFFF"/>
                        </a:solidFill>
                        <a:ln w="6350">
                          <a:solidFill>
                            <a:prstClr val="black"/>
                          </a:solidFill>
                        </a:ln>
                        <a:effectLst/>
                      </wps:spPr>
                      <wps:txbx>
                        <w:txbxContent>
                          <w:p w14:paraId="283576E0" w14:textId="77777777" w:rsidR="00A60822" w:rsidRDefault="00A60822" w:rsidP="00A60822">
                            <w:pPr>
                              <w:jc w:val="center"/>
                              <w:rPr>
                                <w:rStyle w:val="font-600"/>
                                <w:b/>
                              </w:rPr>
                            </w:pPr>
                            <w:r w:rsidRPr="00643692">
                              <w:rPr>
                                <w:rStyle w:val="font-600"/>
                                <w:b/>
                              </w:rPr>
                              <w:t>Control Variables</w:t>
                            </w:r>
                          </w:p>
                          <w:p w14:paraId="261E2939" w14:textId="77777777" w:rsidR="00A60822" w:rsidRDefault="00A60822" w:rsidP="00A60822">
                            <w:pPr>
                              <w:pStyle w:val="ListParagraph"/>
                              <w:numPr>
                                <w:ilvl w:val="0"/>
                                <w:numId w:val="15"/>
                              </w:numPr>
                              <w:spacing w:line="259" w:lineRule="auto"/>
                              <w:ind w:left="426"/>
                            </w:pPr>
                            <w:r>
                              <w:t>Firm size</w:t>
                            </w:r>
                          </w:p>
                          <w:p w14:paraId="6E202BDF" w14:textId="77777777" w:rsidR="00A60822" w:rsidRDefault="00A60822" w:rsidP="00A60822">
                            <w:pPr>
                              <w:pStyle w:val="ListParagraph"/>
                              <w:numPr>
                                <w:ilvl w:val="0"/>
                                <w:numId w:val="15"/>
                              </w:numPr>
                              <w:spacing w:line="259" w:lineRule="auto"/>
                              <w:ind w:left="426"/>
                            </w:pPr>
                            <w:r>
                              <w:t>Leverage</w:t>
                            </w:r>
                          </w:p>
                          <w:p w14:paraId="634004BE" w14:textId="77777777" w:rsidR="00A60822" w:rsidRDefault="00A60822" w:rsidP="00A60822">
                            <w:pPr>
                              <w:pStyle w:val="ListParagraph"/>
                              <w:numPr>
                                <w:ilvl w:val="0"/>
                                <w:numId w:val="15"/>
                              </w:numPr>
                              <w:spacing w:line="259" w:lineRule="auto"/>
                              <w:ind w:left="426"/>
                            </w:pPr>
                            <w:r>
                              <w:t>Industry sector.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30BC7D" id="Text Box 5" o:spid="_x0000_s1027" type="#_x0000_t202" style="position:absolute;left:0;text-align:left;margin-left:118.4pt;margin-top:306.75pt;width:160.5pt;height:94.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" fillcolor="window" strokeweight=".5pt">
                <v:textbox>
                  <w:txbxContent>
                    <w:p w14:paraId="283576E0" w14:textId="77777777" w:rsidR="00A60822" w:rsidRDefault="00A60822" w:rsidP="00A60822">
                      <w:pPr>
                        <w:jc w:val="center"/>
                        <w:rPr>
                          <w:rStyle w:val="font-600"/>
                          <w:b/>
                        </w:rPr>
                      </w:pPr>
                      <w:r w:rsidRPr="00643692">
                        <w:rPr>
                          <w:rStyle w:val="font-600"/>
                          <w:b/>
                        </w:rPr>
                        <w:t>Control Variables</w:t>
                      </w:r>
                    </w:p>
                    <w:p w14:paraId="261E2939" w14:textId="77777777" w:rsidR="00A60822" w:rsidRDefault="00A60822" w:rsidP="00A60822">
                      <w:pPr>
                        <w:pStyle w:val="ListParagraph"/>
                        <w:numPr>
                          <w:ilvl w:val="0"/>
                          <w:numId w:val="15"/>
                        </w:numPr>
                        <w:spacing w:line="259" w:lineRule="auto"/>
                        <w:ind w:left="426"/>
                      </w:pPr>
                      <w:r>
                        <w:t>Firm size</w:t>
                      </w:r>
                    </w:p>
                    <w:p w14:paraId="6E202BDF" w14:textId="77777777" w:rsidR="00A60822" w:rsidRDefault="00A60822" w:rsidP="00A60822">
                      <w:pPr>
                        <w:pStyle w:val="ListParagraph"/>
                        <w:numPr>
                          <w:ilvl w:val="0"/>
                          <w:numId w:val="15"/>
                        </w:numPr>
                        <w:spacing w:line="259" w:lineRule="auto"/>
                        <w:ind w:left="426"/>
                      </w:pPr>
                      <w:r>
                        <w:t>Leverage</w:t>
                      </w:r>
                    </w:p>
                    <w:p w14:paraId="634004BE" w14:textId="77777777" w:rsidR="00A60822" w:rsidRDefault="00A60822" w:rsidP="00A60822">
                      <w:pPr>
                        <w:pStyle w:val="ListParagraph"/>
                        <w:numPr>
                          <w:ilvl w:val="0"/>
                          <w:numId w:val="15"/>
                        </w:numPr>
                        <w:spacing w:line="259" w:lineRule="auto"/>
                        <w:ind w:left="426"/>
                      </w:pPr>
                      <w:r>
                        <w:t>Industry sector.</w:t>
                      </w:r>
                    </w:p>
                  </w:txbxContent>
                </v:textbox>
                <w10:wrap anchorx="margin"/>
              </v:shape>
            </w:pict>
          </mc:Fallback>
        </mc:AlternateContent>
      </w:r>
      <w:r w:rsidRPr="00A60822">
        <w:rPr>
          <w:rFonts w:ascii="Times New Roman" w:eastAsia="Calibri" w:hAnsi="Times New Roman" w:cs="Times New Roman"/>
          <w:noProof/>
          <w:kern w:val="0"/>
          <w:lang w:val="en-GB" w:eastAsia="en-GB"/>
          <w14:ligatures w14:val="none"/>
        </w:rPr>
        <mc:AlternateContent>
          <mc:Choice Requires="wps">
            <w:drawing>
              <wp:anchor distT="0" distB="0" distL="114300" distR="114300" simplePos="0" relativeHeight="251665408" behindDoc="0" locked="0" layoutInCell="1" allowOverlap="1" wp14:anchorId="37A2C48E" wp14:editId="7A5B5FE9">
                <wp:simplePos x="0" y="0"/>
                <wp:positionH relativeFrom="column">
                  <wp:posOffset>2409825</wp:posOffset>
                </wp:positionH>
                <wp:positionV relativeFrom="paragraph">
                  <wp:posOffset>2952749</wp:posOffset>
                </wp:positionV>
                <wp:extent cx="1171575" cy="933450"/>
                <wp:effectExtent l="19050" t="38100" r="47625" b="19050"/>
                <wp:wrapNone/>
                <wp:docPr id="8" name="Straight Arrow Connector 8"/>
                <wp:cNvGraphicFramePr/>
                <a:graphic xmlns:a="http://schemas.openxmlformats.org/drawingml/2006/main">
                  <a:graphicData uri="http://schemas.microsoft.com/office/word/2010/wordprocessingShape">
                    <wps:wsp>
                      <wps:cNvCnPr/>
                      <wps:spPr>
                        <a:xfrm flipV="1">
                          <a:off x="0" y="0"/>
                          <a:ext cx="1171575" cy="93345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52738B2" id="_x0000_t32" coordsize="21600,21600" o:spt="32" o:oned="t" path="m,l21600,21600e" filled="f">
                <v:path arrowok="t" fillok="f" o:connecttype="none"/>
                <o:lock v:ext="edit" shapetype="t"/>
              </v:shapetype>
              <v:shape id="Straight Arrow Connector 8" o:spid="_x0000_s1026" type="#_x0000_t32" style="position:absolute;margin-left:189.75pt;margin-top:232.5pt;width:92.25pt;height:73.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" strokecolor="windowText" strokeweight="3pt">
                <v:stroke endarrow="block" joinstyle="miter"/>
              </v:shape>
            </w:pict>
          </mc:Fallback>
        </mc:AlternateContent>
      </w:r>
      <w:r w:rsidRPr="00A60822">
        <w:rPr>
          <w:rFonts w:ascii="Times New Roman" w:eastAsia="Calibri" w:hAnsi="Times New Roman" w:cs="Times New Roman"/>
          <w:noProof/>
          <w:kern w:val="0"/>
          <w:lang w:val="en-GB" w:eastAsia="en-GB"/>
          <w14:ligatures w14:val="none"/>
        </w:rPr>
        <mc:AlternateContent>
          <mc:Choice Requires="wps">
            <w:drawing>
              <wp:anchor distT="0" distB="0" distL="114300" distR="114300" simplePos="0" relativeHeight="251664384" behindDoc="0" locked="0" layoutInCell="1" allowOverlap="1" wp14:anchorId="1E7B762B" wp14:editId="0171014D">
                <wp:simplePos x="0" y="0"/>
                <wp:positionH relativeFrom="column">
                  <wp:posOffset>1571625</wp:posOffset>
                </wp:positionH>
                <wp:positionV relativeFrom="paragraph">
                  <wp:posOffset>3095625</wp:posOffset>
                </wp:positionV>
                <wp:extent cx="838200" cy="790575"/>
                <wp:effectExtent l="38100" t="38100" r="19050" b="28575"/>
                <wp:wrapNone/>
                <wp:docPr id="7" name="Straight Arrow Connector 7"/>
                <wp:cNvGraphicFramePr/>
                <a:graphic xmlns:a="http://schemas.openxmlformats.org/drawingml/2006/main">
                  <a:graphicData uri="http://schemas.microsoft.com/office/word/2010/wordprocessingShape">
                    <wps:wsp>
                      <wps:cNvCnPr/>
                      <wps:spPr>
                        <a:xfrm flipH="1" flipV="1">
                          <a:off x="0" y="0"/>
                          <a:ext cx="838200" cy="790575"/>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4CB2F0" id="Straight Arrow Connector 7" o:spid="_x0000_s1026" type="#_x0000_t32" style="position:absolute;margin-left:123.75pt;margin-top:243.75pt;width:66pt;height:62.2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" strokecolor="windowText" strokeweight="3pt">
                <v:stroke endarrow="block" joinstyle="miter"/>
              </v:shape>
            </w:pict>
          </mc:Fallback>
        </mc:AlternateContent>
      </w:r>
      <w:r w:rsidRPr="00A60822">
        <w:rPr>
          <w:rFonts w:ascii="Times New Roman" w:eastAsia="Calibri" w:hAnsi="Times New Roman" w:cs="Times New Roman"/>
          <w:noProof/>
          <w:kern w:val="0"/>
          <w:lang w:val="en-GB" w:eastAsia="en-GB"/>
          <w14:ligatures w14:val="none"/>
        </w:rPr>
        <mc:AlternateContent>
          <mc:Choice Requires="wps">
            <w:drawing>
              <wp:anchor distT="0" distB="0" distL="114300" distR="114300" simplePos="0" relativeHeight="251660288" behindDoc="0" locked="0" layoutInCell="1" allowOverlap="1" wp14:anchorId="674BAADB" wp14:editId="5CE68320">
                <wp:simplePos x="0" y="0"/>
                <wp:positionH relativeFrom="column">
                  <wp:posOffset>-28575</wp:posOffset>
                </wp:positionH>
                <wp:positionV relativeFrom="paragraph">
                  <wp:posOffset>1781175</wp:posOffset>
                </wp:positionV>
                <wp:extent cx="1971675" cy="13144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1971675" cy="1314450"/>
                        </a:xfrm>
                        <a:prstGeom prst="rect">
                          <a:avLst/>
                        </a:prstGeom>
                        <a:solidFill>
                          <a:sysClr val="window" lastClr="FFFFFF"/>
                        </a:solidFill>
                        <a:ln w="6350">
                          <a:solidFill>
                            <a:prstClr val="black"/>
                          </a:solidFill>
                        </a:ln>
                        <a:effectLst/>
                      </wps:spPr>
                      <wps:txbx>
                        <w:txbxContent>
                          <w:p w14:paraId="4AA1BAC8" w14:textId="77777777" w:rsidR="00A60822" w:rsidRDefault="00A60822" w:rsidP="00A60822">
                            <w:pPr>
                              <w:jc w:val="center"/>
                              <w:rPr>
                                <w:b/>
                              </w:rPr>
                            </w:pPr>
                            <w:r w:rsidRPr="00A3150C">
                              <w:rPr>
                                <w:b/>
                              </w:rPr>
                              <w:t>Independent Variables (Digital Innovation Adoption)</w:t>
                            </w:r>
                          </w:p>
                          <w:p w14:paraId="39875BA8" w14:textId="77777777" w:rsidR="00A60822" w:rsidRDefault="00A60822" w:rsidP="00A60822">
                            <w:pPr>
                              <w:pStyle w:val="ListParagraph"/>
                              <w:numPr>
                                <w:ilvl w:val="0"/>
                                <w:numId w:val="13"/>
                              </w:numPr>
                              <w:spacing w:line="259" w:lineRule="auto"/>
                              <w:ind w:left="426"/>
                            </w:pPr>
                            <w:r>
                              <w:t>IT Investment</w:t>
                            </w:r>
                          </w:p>
                          <w:p w14:paraId="18D3FD12" w14:textId="77777777" w:rsidR="00A60822" w:rsidRDefault="00A60822" w:rsidP="00A60822">
                            <w:pPr>
                              <w:pStyle w:val="ListParagraph"/>
                              <w:numPr>
                                <w:ilvl w:val="0"/>
                                <w:numId w:val="13"/>
                              </w:numPr>
                              <w:spacing w:line="259" w:lineRule="auto"/>
                              <w:ind w:left="426"/>
                            </w:pPr>
                            <w:r>
                              <w:t>Software Intangible Assets</w:t>
                            </w:r>
                          </w:p>
                          <w:p w14:paraId="17A0687E" w14:textId="77777777" w:rsidR="00A60822" w:rsidRPr="00A3150C" w:rsidRDefault="00A60822" w:rsidP="00A60822">
                            <w:pPr>
                              <w:pStyle w:val="ListParagraph"/>
                              <w:numPr>
                                <w:ilvl w:val="0"/>
                                <w:numId w:val="13"/>
                              </w:numPr>
                              <w:spacing w:line="259" w:lineRule="auto"/>
                              <w:ind w:left="426"/>
                            </w:pPr>
                            <w:r>
                              <w:t>Board Digital Expertise</w:t>
                            </w:r>
                          </w:p>
                          <w:p w14:paraId="7FD57227" w14:textId="77777777" w:rsidR="00A60822" w:rsidRDefault="00A60822" w:rsidP="00A60822">
                            <w:pPr>
                              <w:rPr>
                                <w:b/>
                              </w:rPr>
                            </w:pPr>
                          </w:p>
                          <w:p w14:paraId="3A892DD7" w14:textId="77777777" w:rsidR="00A60822" w:rsidRPr="00A3150C" w:rsidRDefault="00A60822" w:rsidP="00A6082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BAADB" id="Text Box 1" o:spid="_x0000_s1028" type="#_x0000_t202" style="position:absolute;left:0;text-align:left;margin-left:-2.25pt;margin-top:140.25pt;width:155.25pt;height:1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" fillcolor="window" strokeweight=".5pt">
                <v:textbox>
                  <w:txbxContent>
                    <w:p w14:paraId="4AA1BAC8" w14:textId="77777777" w:rsidR="00A60822" w:rsidRDefault="00A60822" w:rsidP="00A60822">
                      <w:pPr>
                        <w:jc w:val="center"/>
                        <w:rPr>
                          <w:b/>
                        </w:rPr>
                      </w:pPr>
                      <w:r w:rsidRPr="00A3150C">
                        <w:rPr>
                          <w:b/>
                        </w:rPr>
                        <w:t>Independent Variables (Digital Innovation Adoption)</w:t>
                      </w:r>
                    </w:p>
                    <w:p w14:paraId="39875BA8" w14:textId="77777777" w:rsidR="00A60822" w:rsidRDefault="00A60822" w:rsidP="00A60822">
                      <w:pPr>
                        <w:pStyle w:val="ListParagraph"/>
                        <w:numPr>
                          <w:ilvl w:val="0"/>
                          <w:numId w:val="13"/>
                        </w:numPr>
                        <w:spacing w:line="259" w:lineRule="auto"/>
                        <w:ind w:left="426"/>
                      </w:pPr>
                      <w:r>
                        <w:t>IT Investment</w:t>
                      </w:r>
                    </w:p>
                    <w:p w14:paraId="18D3FD12" w14:textId="77777777" w:rsidR="00A60822" w:rsidRDefault="00A60822" w:rsidP="00A60822">
                      <w:pPr>
                        <w:pStyle w:val="ListParagraph"/>
                        <w:numPr>
                          <w:ilvl w:val="0"/>
                          <w:numId w:val="13"/>
                        </w:numPr>
                        <w:spacing w:line="259" w:lineRule="auto"/>
                        <w:ind w:left="426"/>
                      </w:pPr>
                      <w:r>
                        <w:t>Software Intangible Assets</w:t>
                      </w:r>
                    </w:p>
                    <w:p w14:paraId="17A0687E" w14:textId="77777777" w:rsidR="00A60822" w:rsidRPr="00A3150C" w:rsidRDefault="00A60822" w:rsidP="00A60822">
                      <w:pPr>
                        <w:pStyle w:val="ListParagraph"/>
                        <w:numPr>
                          <w:ilvl w:val="0"/>
                          <w:numId w:val="13"/>
                        </w:numPr>
                        <w:spacing w:line="259" w:lineRule="auto"/>
                        <w:ind w:left="426"/>
                      </w:pPr>
                      <w:r>
                        <w:t>Board Digital Expertise</w:t>
                      </w:r>
                    </w:p>
                    <w:p w14:paraId="7FD57227" w14:textId="77777777" w:rsidR="00A60822" w:rsidRDefault="00A60822" w:rsidP="00A60822">
                      <w:pPr>
                        <w:rPr>
                          <w:b/>
                        </w:rPr>
                      </w:pPr>
                    </w:p>
                    <w:p w14:paraId="3A892DD7" w14:textId="77777777" w:rsidR="00A60822" w:rsidRPr="00A3150C" w:rsidRDefault="00A60822" w:rsidP="00A60822">
                      <w:pPr>
                        <w:rPr>
                          <w:b/>
                        </w:rPr>
                      </w:pPr>
                    </w:p>
                  </w:txbxContent>
                </v:textbox>
              </v:shape>
            </w:pict>
          </mc:Fallback>
        </mc:AlternateContent>
      </w:r>
      <w:r w:rsidRPr="00A60822">
        <w:rPr>
          <w:rFonts w:ascii="Times New Roman" w:eastAsia="Calibri" w:hAnsi="Times New Roman" w:cs="Times New Roman"/>
          <w:noProof/>
          <w:kern w:val="0"/>
          <w:lang w:val="en-GB" w:eastAsia="en-GB"/>
          <w14:ligatures w14:val="none"/>
        </w:rPr>
        <mc:AlternateContent>
          <mc:Choice Requires="wps">
            <w:drawing>
              <wp:anchor distT="0" distB="0" distL="114300" distR="114300" simplePos="0" relativeHeight="251662336" behindDoc="0" locked="0" layoutInCell="1" allowOverlap="1" wp14:anchorId="124159B0" wp14:editId="701A8076">
                <wp:simplePos x="0" y="0"/>
                <wp:positionH relativeFrom="column">
                  <wp:posOffset>3438525</wp:posOffset>
                </wp:positionH>
                <wp:positionV relativeFrom="paragraph">
                  <wp:posOffset>1790700</wp:posOffset>
                </wp:positionV>
                <wp:extent cx="2076450" cy="11430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2076450" cy="1143000"/>
                        </a:xfrm>
                        <a:prstGeom prst="rect">
                          <a:avLst/>
                        </a:prstGeom>
                        <a:solidFill>
                          <a:sysClr val="window" lastClr="FFFFFF"/>
                        </a:solidFill>
                        <a:ln w="6350">
                          <a:solidFill>
                            <a:prstClr val="black"/>
                          </a:solidFill>
                        </a:ln>
                        <a:effectLst/>
                      </wps:spPr>
                      <wps:txbx>
                        <w:txbxContent>
                          <w:p w14:paraId="7A20564A" w14:textId="77777777" w:rsidR="00A60822" w:rsidRDefault="00A60822" w:rsidP="00A60822">
                            <w:pPr>
                              <w:jc w:val="center"/>
                              <w:rPr>
                                <w:b/>
                              </w:rPr>
                            </w:pPr>
                            <w:r w:rsidRPr="00A3150C">
                              <w:rPr>
                                <w:b/>
                              </w:rPr>
                              <w:t>Dependent Variables (Valuation &amp; Competitiveness)</w:t>
                            </w:r>
                          </w:p>
                          <w:p w14:paraId="459B51CA" w14:textId="77777777" w:rsidR="00A60822" w:rsidRDefault="00A60822" w:rsidP="00A60822">
                            <w:pPr>
                              <w:pStyle w:val="ListParagraph"/>
                              <w:numPr>
                                <w:ilvl w:val="0"/>
                                <w:numId w:val="14"/>
                              </w:numPr>
                              <w:spacing w:line="259" w:lineRule="auto"/>
                              <w:ind w:left="426"/>
                            </w:pPr>
                            <w:r>
                              <w:t>Firm Valuation</w:t>
                            </w:r>
                          </w:p>
                          <w:p w14:paraId="729D846D" w14:textId="77777777" w:rsidR="00A60822" w:rsidRPr="00A3150C" w:rsidRDefault="00A60822" w:rsidP="00A60822">
                            <w:pPr>
                              <w:pStyle w:val="ListParagraph"/>
                              <w:numPr>
                                <w:ilvl w:val="0"/>
                                <w:numId w:val="14"/>
                              </w:numPr>
                              <w:spacing w:line="259" w:lineRule="auto"/>
                              <w:ind w:left="426"/>
                            </w:pPr>
                            <w:r>
                              <w:t>Competitiveness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159B0" id="Text Box 4" o:spid="_x0000_s1029" type="#_x0000_t202" style="position:absolute;left:0;text-align:left;margin-left:270.75pt;margin-top:141pt;width:163.5pt;height:9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" fillcolor="window" strokeweight=".5pt">
                <v:textbox>
                  <w:txbxContent>
                    <w:p w14:paraId="7A20564A" w14:textId="77777777" w:rsidR="00A60822" w:rsidRDefault="00A60822" w:rsidP="00A60822">
                      <w:pPr>
                        <w:jc w:val="center"/>
                        <w:rPr>
                          <w:b/>
                        </w:rPr>
                      </w:pPr>
                      <w:r w:rsidRPr="00A3150C">
                        <w:rPr>
                          <w:b/>
                        </w:rPr>
                        <w:t>Dependent Variables (Valuation &amp; Competitiveness)</w:t>
                      </w:r>
                    </w:p>
                    <w:p w14:paraId="459B51CA" w14:textId="77777777" w:rsidR="00A60822" w:rsidRDefault="00A60822" w:rsidP="00A60822">
                      <w:pPr>
                        <w:pStyle w:val="ListParagraph"/>
                        <w:numPr>
                          <w:ilvl w:val="0"/>
                          <w:numId w:val="14"/>
                        </w:numPr>
                        <w:spacing w:line="259" w:lineRule="auto"/>
                        <w:ind w:left="426"/>
                      </w:pPr>
                      <w:r>
                        <w:t>Firm Valuation</w:t>
                      </w:r>
                    </w:p>
                    <w:p w14:paraId="729D846D" w14:textId="77777777" w:rsidR="00A60822" w:rsidRPr="00A3150C" w:rsidRDefault="00A60822" w:rsidP="00A60822">
                      <w:pPr>
                        <w:pStyle w:val="ListParagraph"/>
                        <w:numPr>
                          <w:ilvl w:val="0"/>
                          <w:numId w:val="14"/>
                        </w:numPr>
                        <w:spacing w:line="259" w:lineRule="auto"/>
                        <w:ind w:left="426"/>
                      </w:pPr>
                      <w:r>
                        <w:t>Competitiveness</w:t>
                      </w:r>
                    </w:p>
                  </w:txbxContent>
                </v:textbox>
              </v:shape>
            </w:pict>
          </mc:Fallback>
        </mc:AlternateContent>
      </w:r>
      <w:r w:rsidRPr="00A60822">
        <w:rPr>
          <w:rFonts w:ascii="Times New Roman" w:eastAsia="Calibri" w:hAnsi="Times New Roman" w:cs="Times New Roman"/>
          <w:noProof/>
          <w:kern w:val="0"/>
          <w:lang w:val="en-GB" w:eastAsia="en-GB"/>
          <w14:ligatures w14:val="none"/>
        </w:rPr>
        <mc:AlternateContent>
          <mc:Choice Requires="wps">
            <w:drawing>
              <wp:anchor distT="0" distB="0" distL="114300" distR="114300" simplePos="0" relativeHeight="251661312" behindDoc="0" locked="0" layoutInCell="1" allowOverlap="1" wp14:anchorId="43BF32AB" wp14:editId="19079115">
                <wp:simplePos x="0" y="0"/>
                <wp:positionH relativeFrom="column">
                  <wp:posOffset>2038350</wp:posOffset>
                </wp:positionH>
                <wp:positionV relativeFrom="paragraph">
                  <wp:posOffset>2657475</wp:posOffset>
                </wp:positionV>
                <wp:extent cx="1238250" cy="9525"/>
                <wp:effectExtent l="0" t="95250" r="0" b="104775"/>
                <wp:wrapNone/>
                <wp:docPr id="2" name="Straight Arrow Connector 2"/>
                <wp:cNvGraphicFramePr/>
                <a:graphic xmlns:a="http://schemas.openxmlformats.org/drawingml/2006/main">
                  <a:graphicData uri="http://schemas.microsoft.com/office/word/2010/wordprocessingShape">
                    <wps:wsp>
                      <wps:cNvCnPr/>
                      <wps:spPr>
                        <a:xfrm>
                          <a:off x="0" y="0"/>
                          <a:ext cx="1238250" cy="9525"/>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1D70A9AF" id="Straight Arrow Connector 2" o:spid="_x0000_s1026" type="#_x0000_t32" style="position:absolute;margin-left:160.5pt;margin-top:209.25pt;width:9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" strokecolor="windowText" strokeweight="3pt">
                <v:stroke endarrow="block" joinstyle="miter"/>
              </v:shape>
            </w:pict>
          </mc:Fallback>
        </mc:AlternateContent>
      </w:r>
      <w:r w:rsidRPr="00A60822">
        <w:rPr>
          <w:rFonts w:ascii="Times New Roman" w:eastAsia="Calibri" w:hAnsi="Times New Roman" w:cs="Times New Roman"/>
          <w:kern w:val="0"/>
          <w:lang w:val="en-GB"/>
          <w14:ligatures w14:val="none"/>
        </w:rPr>
        <w:t>.</w:t>
      </w:r>
    </w:p>
    <w:p w14:paraId="3AEFAE1B" w14:textId="77777777" w:rsidR="00A60822" w:rsidRPr="00A60822" w:rsidRDefault="00A60822" w:rsidP="00A60822">
      <w:pPr>
        <w:spacing w:after="0" w:line="480" w:lineRule="auto"/>
        <w:jc w:val="both"/>
        <w:rPr>
          <w:rFonts w:ascii="Times New Roman" w:eastAsia="Calibri" w:hAnsi="Times New Roman" w:cs="Times New Roman"/>
          <w:kern w:val="0"/>
          <w:lang w:val="en-GB"/>
          <w14:ligatures w14:val="none"/>
        </w:rPr>
      </w:pPr>
    </w:p>
    <w:p w14:paraId="17F720D2" w14:textId="77777777" w:rsidR="00A60822" w:rsidRPr="00A60822" w:rsidRDefault="00A60822" w:rsidP="00A60822">
      <w:pPr>
        <w:spacing w:after="0" w:line="48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t>Figure 1</w:t>
      </w:r>
      <w:r w:rsidRPr="00A60822">
        <w:rPr>
          <w:rFonts w:ascii="Times New Roman" w:eastAsia="Calibri" w:hAnsi="Times New Roman" w:cs="Times New Roman"/>
          <w:kern w:val="0"/>
          <w:lang w:val="en-GB"/>
          <w14:ligatures w14:val="none"/>
        </w:rPr>
        <w:t>: Conceptual Diagram</w:t>
      </w:r>
    </w:p>
    <w:p w14:paraId="7EB2D80D" w14:textId="77777777" w:rsidR="00A60822" w:rsidRPr="00A60822" w:rsidRDefault="00A60822" w:rsidP="00A60822">
      <w:pPr>
        <w:spacing w:after="0" w:line="48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t xml:space="preserve">Source: </w:t>
      </w:r>
      <w:r w:rsidRPr="00A60822">
        <w:rPr>
          <w:rFonts w:ascii="Times New Roman" w:eastAsia="Calibri" w:hAnsi="Times New Roman" w:cs="Times New Roman"/>
          <w:kern w:val="0"/>
          <w:lang w:val="en-GB"/>
          <w14:ligatures w14:val="none"/>
        </w:rPr>
        <w:t>Conceptualised by the researcher based on empirical reviews</w:t>
      </w:r>
    </w:p>
    <w:p w14:paraId="695E641B"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2E175AAB" w14:textId="6F960583"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2.2</w:t>
      </w:r>
      <w:r w:rsidRPr="00A60822">
        <w:rPr>
          <w:rFonts w:ascii="Times New Roman" w:eastAsia="Calibri" w:hAnsi="Times New Roman" w:cs="Times New Roman"/>
          <w:b/>
          <w:kern w:val="0"/>
          <w:lang w:val="en-GB"/>
          <w14:ligatures w14:val="none"/>
        </w:rPr>
        <w:tab/>
        <w:t>Theoretical Framework</w:t>
      </w:r>
    </w:p>
    <w:p w14:paraId="50FE13FB"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2.2.1</w:t>
      </w:r>
      <w:r w:rsidRPr="00A60822">
        <w:rPr>
          <w:rFonts w:ascii="Times New Roman" w:eastAsia="Calibri" w:hAnsi="Times New Roman" w:cs="Times New Roman"/>
          <w:b/>
          <w:kern w:val="0"/>
          <w:lang w:val="en-GB"/>
          <w14:ligatures w14:val="none"/>
        </w:rPr>
        <w:tab/>
        <w:t>Resource-Based View (RBV)</w:t>
      </w:r>
    </w:p>
    <w:p w14:paraId="3E51776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Resource-Based View (RBV) of the firm, as proposed by Barney (1991), posits that a firm’s competitive advantage is derived from its unique, valuable, rare, inimitable, and non-substitutable (VRIN) resources (Barney, 1991). In the context of digital innovation, resources such as advanced IT infrastructure, proprietary software, and specialized digital talent (including at the board level) are critical assets that can create sustained competitive advantage and enhance firm value. The RBV provides a solid foundation for understanding how digital innovations can be leveraged to differentiate a firm from its competitors and achieve superior market performance.</w:t>
      </w:r>
    </w:p>
    <w:p w14:paraId="24FDD10E"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565F5202" w14:textId="4870A885"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2.2.2</w:t>
      </w:r>
      <w:r w:rsidRPr="00A60822">
        <w:rPr>
          <w:rFonts w:ascii="Times New Roman" w:eastAsia="Calibri" w:hAnsi="Times New Roman" w:cs="Times New Roman"/>
          <w:b/>
          <w:kern w:val="0"/>
          <w:lang w:val="en-GB"/>
          <w14:ligatures w14:val="none"/>
        </w:rPr>
        <w:tab/>
        <w:t>Dynamic Capabilities Theory</w:t>
      </w:r>
    </w:p>
    <w:p w14:paraId="21DA068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Teece, Pisano, and </w:t>
      </w:r>
      <w:proofErr w:type="spellStart"/>
      <w:r w:rsidRPr="00A60822">
        <w:rPr>
          <w:rFonts w:ascii="Times New Roman" w:eastAsia="Calibri" w:hAnsi="Times New Roman" w:cs="Times New Roman"/>
          <w:kern w:val="0"/>
          <w:lang w:val="en-GB"/>
          <w14:ligatures w14:val="none"/>
        </w:rPr>
        <w:t>Shuen</w:t>
      </w:r>
      <w:proofErr w:type="spellEnd"/>
      <w:r w:rsidRPr="00A60822">
        <w:rPr>
          <w:rFonts w:ascii="Times New Roman" w:eastAsia="Calibri" w:hAnsi="Times New Roman" w:cs="Times New Roman"/>
          <w:kern w:val="0"/>
          <w:lang w:val="en-GB"/>
          <w14:ligatures w14:val="none"/>
        </w:rPr>
        <w:t xml:space="preserve"> (1997) introduced the Dynamic Capabilities Theory, which extends the RBV by emphasizing the ability of the firm to integrate, build, and reconfigure internal and external competencies to address rapidly changing environments (Teece, Pisano and </w:t>
      </w:r>
      <w:proofErr w:type="spellStart"/>
      <w:r w:rsidRPr="00A60822">
        <w:rPr>
          <w:rFonts w:ascii="Times New Roman" w:eastAsia="Calibri" w:hAnsi="Times New Roman" w:cs="Times New Roman"/>
          <w:kern w:val="0"/>
          <w:lang w:val="en-GB"/>
          <w14:ligatures w14:val="none"/>
        </w:rPr>
        <w:t>Shuen</w:t>
      </w:r>
      <w:proofErr w:type="spellEnd"/>
      <w:r w:rsidRPr="00A60822">
        <w:rPr>
          <w:rFonts w:ascii="Times New Roman" w:eastAsia="Calibri" w:hAnsi="Times New Roman" w:cs="Times New Roman"/>
          <w:kern w:val="0"/>
          <w:lang w:val="en-GB"/>
          <w14:ligatures w14:val="none"/>
        </w:rPr>
        <w:t>, 1997). In a globalized digital economy, the ability to innovate and adapt to technological disruptions is a vital dynamic capability. Firms that possess the agility to adopt new digital technologies and business models are better positioned to maintain their competitiveness and achieve higher valuations. This theory highlights the importance of not just possessing digital resources but also having the organizational processes and leadership to effectively deploy them.</w:t>
      </w:r>
    </w:p>
    <w:p w14:paraId="4438F675"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lastRenderedPageBreak/>
        <w:t>2.3</w:t>
      </w:r>
      <w:r w:rsidRPr="00A60822">
        <w:rPr>
          <w:rFonts w:ascii="Times New Roman" w:eastAsia="Calibri" w:hAnsi="Times New Roman" w:cs="Times New Roman"/>
          <w:b/>
          <w:kern w:val="0"/>
          <w:lang w:val="en-GB"/>
          <w14:ligatures w14:val="none"/>
        </w:rPr>
        <w:tab/>
        <w:t>Empirical Review</w:t>
      </w:r>
    </w:p>
    <w:p w14:paraId="5853ADAF"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Empirical research on digital innovation adoption and its implications for firm valuation and competitiveness has expanded significantly in recent years, particularly in emerging markets. This section synthesizes key findings from global, emerging-economy, and Nigeria-specific studies published primarily between 2023 and 2026, focusing on the three dimensions of digital innovation adoption outlined in the conceptual framework: IT investment, software intangible assets, and board digital expertise. The review highlights consistent positive associations with valuation (often measured by Tobin’s Q) and competitiveness (relative market share, profitability, efficiency), while identifying contextual moderators and gaps relevant to listed Nigerian companies.</w:t>
      </w:r>
    </w:p>
    <w:p w14:paraId="1D3B01D8"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Several empirical studies have explored the impact of digital innovation on firm performance and valuation. In the Nigerian context, Yahaya (2026) investigated the relationship between board digital expertise and innovation performance among listed firms, finding a significant positive correlation (Yahaya, 2026). Similarly, </w:t>
      </w:r>
      <w:proofErr w:type="spellStart"/>
      <w:r w:rsidRPr="00A60822">
        <w:rPr>
          <w:rFonts w:ascii="Times New Roman" w:eastAsia="Calibri" w:hAnsi="Times New Roman" w:cs="Times New Roman"/>
          <w:kern w:val="0"/>
          <w:lang w:val="en-GB"/>
          <w14:ligatures w14:val="none"/>
        </w:rPr>
        <w:t>Akadi</w:t>
      </w:r>
      <w:proofErr w:type="spellEnd"/>
      <w:r w:rsidRPr="00A60822">
        <w:rPr>
          <w:rFonts w:ascii="Times New Roman" w:eastAsia="Calibri" w:hAnsi="Times New Roman" w:cs="Times New Roman"/>
          <w:kern w:val="0"/>
          <w:lang w:val="en-GB"/>
          <w14:ligatures w14:val="none"/>
        </w:rPr>
        <w:t xml:space="preserve"> (2025) examined the effect of disruptive technologies on the market value of listed ICT firms in Nigeria, highlighting the importance of digital transformation in driving investor confidence (</w:t>
      </w:r>
      <w:proofErr w:type="spellStart"/>
      <w:r w:rsidRPr="00A60822">
        <w:rPr>
          <w:rFonts w:ascii="Times New Roman" w:eastAsia="Calibri" w:hAnsi="Times New Roman" w:cs="Times New Roman"/>
          <w:kern w:val="0"/>
          <w:lang w:val="en-GB"/>
          <w14:ligatures w14:val="none"/>
        </w:rPr>
        <w:t>Akadi</w:t>
      </w:r>
      <w:proofErr w:type="spellEnd"/>
      <w:r w:rsidRPr="00A60822">
        <w:rPr>
          <w:rFonts w:ascii="Times New Roman" w:eastAsia="Calibri" w:hAnsi="Times New Roman" w:cs="Times New Roman"/>
          <w:kern w:val="0"/>
          <w:lang w:val="en-GB"/>
          <w14:ligatures w14:val="none"/>
        </w:rPr>
        <w:t>, 2025).</w:t>
      </w:r>
    </w:p>
    <w:p w14:paraId="7BC28B3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Globally, </w:t>
      </w:r>
      <w:proofErr w:type="spellStart"/>
      <w:r w:rsidRPr="00A60822">
        <w:rPr>
          <w:rFonts w:ascii="Times New Roman" w:eastAsia="Calibri" w:hAnsi="Times New Roman" w:cs="Times New Roman"/>
          <w:kern w:val="0"/>
          <w:lang w:val="en-GB"/>
          <w14:ligatures w14:val="none"/>
        </w:rPr>
        <w:t>Jardak</w:t>
      </w:r>
      <w:proofErr w:type="spellEnd"/>
      <w:r w:rsidRPr="00A60822">
        <w:rPr>
          <w:rFonts w:ascii="Times New Roman" w:eastAsia="Calibri" w:hAnsi="Times New Roman" w:cs="Times New Roman"/>
          <w:kern w:val="0"/>
          <w:lang w:val="en-GB"/>
          <w14:ligatures w14:val="none"/>
        </w:rPr>
        <w:t xml:space="preserve"> and Ben Hamad (2022) found that digital transformation significantly enhances the financial performance and market value (Tobin’s Q) of Swedish listed companies. These studies suggest that digital innovation is a key driver of corporate success in the digital age (</w:t>
      </w:r>
      <w:proofErr w:type="spellStart"/>
      <w:r w:rsidRPr="00A60822">
        <w:rPr>
          <w:rFonts w:ascii="Times New Roman" w:eastAsia="Calibri" w:hAnsi="Times New Roman" w:cs="Times New Roman"/>
          <w:kern w:val="0"/>
          <w:lang w:val="en-GB"/>
          <w14:ligatures w14:val="none"/>
        </w:rPr>
        <w:t>Jardak</w:t>
      </w:r>
      <w:proofErr w:type="spellEnd"/>
      <w:r w:rsidRPr="00A60822">
        <w:rPr>
          <w:rFonts w:ascii="Times New Roman" w:eastAsia="Calibri" w:hAnsi="Times New Roman" w:cs="Times New Roman"/>
          <w:kern w:val="0"/>
          <w:lang w:val="en-GB"/>
          <w14:ligatures w14:val="none"/>
        </w:rPr>
        <w:t xml:space="preserve"> and Ben-Hamad, 2022). However, there is still a need for more comprehensive research that considers multiple proxies for digital innovation and its impact on both valuation and competitiveness, particularly in emerging economies like Nigeria.</w:t>
      </w:r>
    </w:p>
    <w:p w14:paraId="7162BAD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Global evidence consistently links higher IT investment to elevated market-based valuation. Bharadwaj (1999) pioneered this line of inquiry using U.S. panel data, demonstrating that firms with greater IT expenditure ratios exhibit significantly higher Tobin’s Q values, even after controlling for industry and firm characteristics. The premium arises from intangible strategic advantages and future growth potential not fully reflected in accounting measures. Recent emerging-market studies reinforce this pattern: Mao et al. (2024) analysed Chinese listed firms and found that digital economy proxies (including IT-related investments) positively influence firm valuation through enhanced innovation output, with amplified effects in growth-oriented and labour-intensive sectors.</w:t>
      </w:r>
    </w:p>
    <w:p w14:paraId="73A643B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In Nigeria, results are more nuanced due to infrastructure and adoption constraints. </w:t>
      </w:r>
      <w:proofErr w:type="spellStart"/>
      <w:r w:rsidRPr="00A60822">
        <w:rPr>
          <w:rFonts w:ascii="Times New Roman" w:eastAsia="Calibri" w:hAnsi="Times New Roman" w:cs="Times New Roman"/>
          <w:kern w:val="0"/>
          <w:lang w:val="en-GB"/>
          <w14:ligatures w14:val="none"/>
        </w:rPr>
        <w:t>Akadi</w:t>
      </w:r>
      <w:proofErr w:type="spellEnd"/>
      <w:r w:rsidRPr="00A60822">
        <w:rPr>
          <w:rFonts w:ascii="Times New Roman" w:eastAsia="Calibri" w:hAnsi="Times New Roman" w:cs="Times New Roman"/>
          <w:kern w:val="0"/>
          <w:lang w:val="en-GB"/>
          <w14:ligatures w14:val="none"/>
        </w:rPr>
        <w:t xml:space="preserve"> (2025) examined listed ICT firms on the Nigerian Exchange Group (2015–2024) via multiple regression and reported that technology acquisition costs (a proxy for IT investment) had a positive but statistically insignificant effect on Tobin’s Q. In contrast, R&amp;D expenditure showed a significant positive association, implying that external IT spending may require longer maturation periods or complementary internal capabilities to generate valuation premiums in Nigeria’s context.</w:t>
      </w:r>
    </w:p>
    <w:p w14:paraId="4C8172B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Capitalized software and digital intangible assets reliably enhance valuation in both developed and developing markets. Ocak et al. (2019) documented positive effects of recognized intangibles (including software) on Tobin’s Q among Turkish listed firms, emphasizing their role in signalling long-term growth. </w:t>
      </w:r>
      <w:proofErr w:type="spellStart"/>
      <w:r w:rsidRPr="00A60822">
        <w:rPr>
          <w:rFonts w:ascii="Times New Roman" w:eastAsia="Calibri" w:hAnsi="Times New Roman" w:cs="Times New Roman"/>
          <w:kern w:val="0"/>
          <w:lang w:val="en-GB"/>
          <w14:ligatures w14:val="none"/>
        </w:rPr>
        <w:t>Intara</w:t>
      </w:r>
      <w:proofErr w:type="spellEnd"/>
      <w:r w:rsidRPr="00A60822">
        <w:rPr>
          <w:rFonts w:ascii="Times New Roman" w:eastAsia="Calibri" w:hAnsi="Times New Roman" w:cs="Times New Roman"/>
          <w:kern w:val="0"/>
          <w:lang w:val="en-GB"/>
          <w14:ligatures w14:val="none"/>
        </w:rPr>
        <w:t xml:space="preserve"> (2024) extended this to Thai firms, finding that intangible-intensive companies achieve superior value and performance, with software as a key component.</w:t>
      </w:r>
    </w:p>
    <w:p w14:paraId="1D1AB438"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Nigeria-specific evidence aligns with these patterns but often aggregates intangibles. Recent panel studies of listed manufacturing firms report statistically significant positive effects of intangible assets on Tobin’s Q, though software/digital sub-components are rarely isolated (Akanbi, Oladejo and </w:t>
      </w:r>
      <w:proofErr w:type="spellStart"/>
      <w:r w:rsidRPr="00A60822">
        <w:rPr>
          <w:rFonts w:ascii="Times New Roman" w:eastAsia="Calibri" w:hAnsi="Times New Roman" w:cs="Times New Roman"/>
          <w:kern w:val="0"/>
          <w:lang w:val="en-GB"/>
          <w14:ligatures w14:val="none"/>
        </w:rPr>
        <w:t>Oyeleye</w:t>
      </w:r>
      <w:proofErr w:type="spellEnd"/>
      <w:r w:rsidRPr="00A60822">
        <w:rPr>
          <w:rFonts w:ascii="Times New Roman" w:eastAsia="Calibri" w:hAnsi="Times New Roman" w:cs="Times New Roman"/>
          <w:kern w:val="0"/>
          <w:lang w:val="en-GB"/>
          <w14:ligatures w14:val="none"/>
        </w:rPr>
        <w:t>, 2022). Earlier work on consumer goods firms (2012–2020) similarly confirms value relevance for computer software costs. Competitiveness benefits appear through efficiency and market positioning gains, yet few studies explicitly link software assets to relative market share or profitability metrics in Nigeria.</w:t>
      </w:r>
    </w:p>
    <w:p w14:paraId="248084BD"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Danso et al. (2024) analysed 128 listed firms across Ghana, Kenya, and Nigeria, finding that board expertise diversity (including IT/digital domains) positively influences financial performance, moderated negatively by firm age and size in some cases. Nigeria-focused research provides direct support. Yahaya (2026) utilized a panel of 150 listed firms from 2014 to 2023 and reported that board digital expertise, proxied by the percentage of directors with IT/digital transformation certifications or backgrounds, exerts a significant positive effect on innovation performance. The relationship holds after endogeneity controls, underscoring board digital competence as a critical resource in African emerging markets. Related studies on board heterogeneity in </w:t>
      </w:r>
      <w:r w:rsidRPr="00A60822">
        <w:rPr>
          <w:rFonts w:ascii="Times New Roman" w:eastAsia="Calibri" w:hAnsi="Times New Roman" w:cs="Times New Roman"/>
          <w:kern w:val="0"/>
          <w:lang w:val="en-GB"/>
          <w14:ligatures w14:val="none"/>
        </w:rPr>
        <w:lastRenderedPageBreak/>
        <w:t>Nigerian ICT and consumer goods sectors further link digital expertise to enhanced innovation, which indirectly supports valuation and competitiveness.</w:t>
      </w:r>
    </w:p>
    <w:p w14:paraId="71710992"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Broader Nigerian studies confirm the role of digital transformation in competitiveness of listed firms. Panel analyses of manufacturing firms (2023–2026) using Data Envelopment Analysis (DEA) and Tobit models show that higher digital uptake improves operational efficiency and </w:t>
      </w:r>
      <w:proofErr w:type="spellStart"/>
      <w:r w:rsidRPr="00A60822">
        <w:rPr>
          <w:rFonts w:ascii="Times New Roman" w:eastAsia="Calibri" w:hAnsi="Times New Roman" w:cs="Times New Roman"/>
          <w:kern w:val="0"/>
          <w:lang w:val="en-GB"/>
          <w14:ligatures w14:val="none"/>
        </w:rPr>
        <w:t>labor</w:t>
      </w:r>
      <w:proofErr w:type="spellEnd"/>
      <w:r w:rsidRPr="00A60822">
        <w:rPr>
          <w:rFonts w:ascii="Times New Roman" w:eastAsia="Calibri" w:hAnsi="Times New Roman" w:cs="Times New Roman"/>
          <w:kern w:val="0"/>
          <w:lang w:val="en-GB"/>
          <w14:ligatures w14:val="none"/>
        </w:rPr>
        <w:t xml:space="preserve"> productivity, though high-end technologies remain limited compared to basic tools. SMEs and listed firms gain relative market share and profitability through digital channels, with transformation mediating customer experience and resource optimization improvements.</w:t>
      </w:r>
    </w:p>
    <w:p w14:paraId="188907C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Banking and ICT sector evidence similarly supports positive effects on relative profitability (ROE) and market positioning, moderated by infrastructure and regulatory factors.</w:t>
      </w:r>
    </w:p>
    <w:p w14:paraId="5BFAFED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Digital innovation fosters economic resilience and performance in Nigerian firms. Studies show that AI and cloud technologies improve resource management, real-time monitoring, and decision-making, leading to a competitive edge. In manufacturing, digitalization enhances operational efficiency, though revenue growth impacts are less pronounced (</w:t>
      </w:r>
      <w:proofErr w:type="spellStart"/>
      <w:r w:rsidRPr="00A60822">
        <w:rPr>
          <w:rFonts w:ascii="Times New Roman" w:eastAsia="Calibri" w:hAnsi="Times New Roman" w:cs="Times New Roman"/>
          <w:kern w:val="0"/>
          <w:lang w:val="en-GB"/>
          <w14:ligatures w14:val="none"/>
        </w:rPr>
        <w:t>Ikwuagwu</w:t>
      </w:r>
      <w:proofErr w:type="spellEnd"/>
      <w:r w:rsidRPr="00A60822">
        <w:rPr>
          <w:rFonts w:ascii="Times New Roman" w:eastAsia="Calibri" w:hAnsi="Times New Roman" w:cs="Times New Roman"/>
          <w:kern w:val="0"/>
          <w:lang w:val="en-GB"/>
          <w14:ligatures w14:val="none"/>
        </w:rPr>
        <w:t xml:space="preserve">, </w:t>
      </w:r>
      <w:proofErr w:type="spellStart"/>
      <w:r w:rsidRPr="00A60822">
        <w:rPr>
          <w:rFonts w:ascii="Times New Roman" w:eastAsia="Calibri" w:hAnsi="Times New Roman" w:cs="Times New Roman"/>
          <w:kern w:val="0"/>
          <w:lang w:val="en-GB"/>
          <w14:ligatures w14:val="none"/>
        </w:rPr>
        <w:t>Saborogha</w:t>
      </w:r>
      <w:proofErr w:type="spellEnd"/>
      <w:r w:rsidRPr="00A60822">
        <w:rPr>
          <w:rFonts w:ascii="Times New Roman" w:eastAsia="Calibri" w:hAnsi="Times New Roman" w:cs="Times New Roman"/>
          <w:kern w:val="0"/>
          <w:lang w:val="en-GB"/>
          <w14:ligatures w14:val="none"/>
        </w:rPr>
        <w:t xml:space="preserve"> and Kabir, 2025). For SMEs, digital adoption drives 15% revenue growth and global competitiveness through market expansion and partnerships (Aliu, Oke, Jesudaju, Akanni, </w:t>
      </w:r>
      <w:proofErr w:type="spellStart"/>
      <w:r w:rsidRPr="00A60822">
        <w:rPr>
          <w:rFonts w:ascii="Times New Roman" w:eastAsia="Calibri" w:hAnsi="Times New Roman" w:cs="Times New Roman"/>
          <w:kern w:val="0"/>
          <w:lang w:val="en-GB"/>
          <w14:ligatures w14:val="none"/>
        </w:rPr>
        <w:t>Ehbohimen</w:t>
      </w:r>
      <w:proofErr w:type="spellEnd"/>
      <w:r w:rsidRPr="00A60822">
        <w:rPr>
          <w:rFonts w:ascii="Times New Roman" w:eastAsia="Calibri" w:hAnsi="Times New Roman" w:cs="Times New Roman"/>
          <w:kern w:val="0"/>
          <w:lang w:val="en-GB"/>
          <w14:ligatures w14:val="none"/>
        </w:rPr>
        <w:t xml:space="preserve"> and Dosumu, 2025).</w:t>
      </w:r>
    </w:p>
    <w:p w14:paraId="470F000E"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Valuation benefits include higher market capitalization; for instance, ICT firms on the NGX saw gains amid a 51% index rally in 2025. Competitiveness is bolstered by innovation capability, with AI adoption improving entrepreneurial performance despite barriers like skills gaps. Global projections emphasize Nigeria's potential, with the digital market expected to grow from $9.61 billion in 2024 to $22.82 billion by 2029. Literature gaps include limited 2026 projections, which this study addresses.</w:t>
      </w:r>
    </w:p>
    <w:p w14:paraId="1CB8E160" w14:textId="77777777" w:rsidR="002610CA" w:rsidRDefault="002610CA" w:rsidP="002C3670">
      <w:pPr>
        <w:spacing w:after="0" w:line="240" w:lineRule="auto"/>
        <w:jc w:val="both"/>
        <w:rPr>
          <w:rFonts w:ascii="Times New Roman" w:eastAsia="Calibri" w:hAnsi="Times New Roman" w:cs="Times New Roman"/>
          <w:b/>
          <w:kern w:val="0"/>
          <w:lang w:val="en-GB"/>
          <w14:ligatures w14:val="none"/>
        </w:rPr>
      </w:pPr>
    </w:p>
    <w:p w14:paraId="2581E849" w14:textId="7BAAEFBF"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Research Gaps</w:t>
      </w:r>
    </w:p>
    <w:p w14:paraId="03B9122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reviewed literature provides robust global and emerging-market support for positive links between digital innovation adoption dimensions and Tobin’s Q/competitiveness. In Nigeria, evidence is growing but fragmented: IT investment and intangibles studies are sector-specific (ICT, manufacturing) with mixed significance; board digital expertise research focuses more on innovation than direct valuation; and competitiveness analyses rarely integrate the three adoption proxies in a unified model or employ Tobin’s Q alongside relative market share/ROE. Most panels predate accelerated post-2020 digital policies and lack comprehensive controls for firm size, leverage, and industry in an integrated framework.</w:t>
      </w:r>
    </w:p>
    <w:p w14:paraId="6DF9857B"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This study bridges these gaps by employing a holistic panel dataset (2015 to 2024) of Nigerian listed companies, treating IT investment, software intangible assets, and board digital expertise as complementary independent variables, and examining their joint and individual effects on valuation (Tobin’s Q) and competitiveness while controlling for firm size, leverage, and industry sector. This approach yields timely, contextually grounded insights for Nigeria’s evolving digital economy.</w:t>
      </w:r>
    </w:p>
    <w:p w14:paraId="04EF7AF9"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882A570" w14:textId="3849DEA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Methodology</w:t>
      </w:r>
    </w:p>
    <w:p w14:paraId="671186F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3.1</w:t>
      </w:r>
      <w:r w:rsidRPr="00A60822">
        <w:rPr>
          <w:rFonts w:ascii="Times New Roman" w:eastAsia="Calibri" w:hAnsi="Times New Roman" w:cs="Times New Roman"/>
          <w:kern w:val="0"/>
          <w:lang w:val="en-GB"/>
          <w14:ligatures w14:val="none"/>
        </w:rPr>
        <w:tab/>
        <w:t>Research Design</w:t>
      </w:r>
    </w:p>
    <w:p w14:paraId="26728972"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kern w:val="0"/>
          <w:lang w:val="en-GB"/>
          <w14:ligatures w14:val="none"/>
        </w:rPr>
        <w:t>The study adopts an ex-post facto research design, which is appropriate for analysing historical secondary data. This design allows the researcher to examine the relationship between variables without manipulating them. The longitudinal approach enables the study to capture trends and changes in digital innovation adoption and firm performance over time.</w:t>
      </w:r>
    </w:p>
    <w:p w14:paraId="1AD56FC9"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30F8F3E" w14:textId="724D4ED0"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3.2</w:t>
      </w:r>
      <w:r w:rsidRPr="00A60822">
        <w:rPr>
          <w:rFonts w:ascii="Times New Roman" w:eastAsia="Calibri" w:hAnsi="Times New Roman" w:cs="Times New Roman"/>
          <w:b/>
          <w:kern w:val="0"/>
          <w:lang w:val="en-GB"/>
          <w14:ligatures w14:val="none"/>
        </w:rPr>
        <w:tab/>
        <w:t>Population and Sample</w:t>
      </w:r>
    </w:p>
    <w:p w14:paraId="56F6F32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population of the study consists of all companies listed on the Nigerian Exchange Group (NGX) as of December 31, 2025. A purposive sampling technique is used to select 50 firms across various sectors (financial services, consumer goods, industrial goods, ICT, and oil and gas) based on the availability of consistent annual reports and relevant disclosures from 2015 to 2024.</w:t>
      </w:r>
    </w:p>
    <w:p w14:paraId="4B80BDE0"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7ACA19D" w14:textId="77777777" w:rsidR="00186526" w:rsidRDefault="00186526" w:rsidP="002C3670">
      <w:pPr>
        <w:spacing w:after="0" w:line="240" w:lineRule="auto"/>
        <w:jc w:val="both"/>
        <w:rPr>
          <w:rFonts w:ascii="Times New Roman" w:eastAsia="Calibri" w:hAnsi="Times New Roman" w:cs="Times New Roman"/>
          <w:b/>
          <w:kern w:val="0"/>
          <w:lang w:val="en-GB"/>
          <w14:ligatures w14:val="none"/>
        </w:rPr>
      </w:pPr>
    </w:p>
    <w:p w14:paraId="5ADBBAEC" w14:textId="5B7E4F14"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lastRenderedPageBreak/>
        <w:t>3.3</w:t>
      </w:r>
      <w:r w:rsidRPr="00A60822">
        <w:rPr>
          <w:rFonts w:ascii="Times New Roman" w:eastAsia="Calibri" w:hAnsi="Times New Roman" w:cs="Times New Roman"/>
          <w:b/>
          <w:kern w:val="0"/>
          <w:lang w:val="en-GB"/>
          <w14:ligatures w14:val="none"/>
        </w:rPr>
        <w:tab/>
        <w:t>Data Sources and Collection</w:t>
      </w:r>
    </w:p>
    <w:p w14:paraId="3A9EC4B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study relies exclusively on secondary data sourced from the following:</w:t>
      </w:r>
    </w:p>
    <w:p w14:paraId="77ED067A" w14:textId="77777777" w:rsidR="00A60822" w:rsidRPr="00A60822" w:rsidRDefault="00A60822" w:rsidP="002C3670">
      <w:pPr>
        <w:numPr>
          <w:ilvl w:val="0"/>
          <w:numId w:val="19"/>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Annual reports and financial statements of the selected listed companies.</w:t>
      </w:r>
    </w:p>
    <w:p w14:paraId="5B1E7566" w14:textId="77777777" w:rsidR="00A60822" w:rsidRPr="00A60822" w:rsidRDefault="00A60822" w:rsidP="002C3670">
      <w:pPr>
        <w:numPr>
          <w:ilvl w:val="0"/>
          <w:numId w:val="19"/>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Market data from the Nigerian Exchange Group (NGX).</w:t>
      </w:r>
    </w:p>
    <w:p w14:paraId="3A8AA64B" w14:textId="77777777" w:rsidR="00A60822" w:rsidRPr="00A60822" w:rsidRDefault="00A60822" w:rsidP="002C3670">
      <w:pPr>
        <w:numPr>
          <w:ilvl w:val="0"/>
          <w:numId w:val="19"/>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Economic indicators from the Central Bank of Nigeria (CBN) and National Bureau of Statistics (NBS).</w:t>
      </w:r>
    </w:p>
    <w:p w14:paraId="741A55B9" w14:textId="77777777" w:rsidR="00A60822" w:rsidRPr="00A60822" w:rsidRDefault="00A60822" w:rsidP="002C3670">
      <w:pPr>
        <w:numPr>
          <w:ilvl w:val="0"/>
          <w:numId w:val="19"/>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Industry reports and academic publications on digital innovation and firm performance in Nigeria.</w:t>
      </w:r>
    </w:p>
    <w:p w14:paraId="36DB835C"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3157892D" w14:textId="25011DA8"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3.4</w:t>
      </w:r>
      <w:r w:rsidRPr="00A60822">
        <w:rPr>
          <w:rFonts w:ascii="Times New Roman" w:eastAsia="Calibri" w:hAnsi="Times New Roman" w:cs="Times New Roman"/>
          <w:b/>
          <w:kern w:val="0"/>
          <w:lang w:val="en-GB"/>
          <w14:ligatures w14:val="none"/>
        </w:rPr>
        <w:tab/>
        <w:t>Variable Measurement</w:t>
      </w:r>
    </w:p>
    <w:p w14:paraId="06365DA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variables used in the study are measured as follows:</w:t>
      </w:r>
    </w:p>
    <w:p w14:paraId="6EB30B55" w14:textId="77777777" w:rsidR="00A60822" w:rsidRPr="00A60822" w:rsidRDefault="00A60822" w:rsidP="002C3670">
      <w:pPr>
        <w:numPr>
          <w:ilvl w:val="0"/>
          <w:numId w:val="20"/>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Independent Variable: Digital Innovation Adoption (DIA)</w:t>
      </w:r>
    </w:p>
    <w:p w14:paraId="65C6A2E7" w14:textId="77777777" w:rsidR="00A60822" w:rsidRPr="00A60822" w:rsidRDefault="00A60822" w:rsidP="002C3670">
      <w:pPr>
        <w:numPr>
          <w:ilvl w:val="0"/>
          <w:numId w:val="21"/>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IT Investment (ITI): Ratio of total IT expenditure (hardware, software, services) to total assets.</w:t>
      </w:r>
    </w:p>
    <w:p w14:paraId="10646ED5" w14:textId="77777777" w:rsidR="00A60822" w:rsidRPr="00A60822" w:rsidRDefault="00A60822" w:rsidP="002C3670">
      <w:pPr>
        <w:numPr>
          <w:ilvl w:val="0"/>
          <w:numId w:val="21"/>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Software Intangible Assets (SIA): Disclosed value of software and digital assets in the statement of financial position.</w:t>
      </w:r>
    </w:p>
    <w:p w14:paraId="77FC9EF8" w14:textId="77777777" w:rsidR="00A60822" w:rsidRPr="00A60822" w:rsidRDefault="00A60822" w:rsidP="002C3670">
      <w:pPr>
        <w:numPr>
          <w:ilvl w:val="0"/>
          <w:numId w:val="21"/>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Board Digital Expertise (BDE): Percentage of board members with professional backgrounds or certifications in IT, digital transformation, or related fields.</w:t>
      </w:r>
    </w:p>
    <w:p w14:paraId="316B75C6" w14:textId="77777777" w:rsidR="00A60822" w:rsidRPr="00A60822" w:rsidRDefault="00A60822" w:rsidP="002C3670">
      <w:pPr>
        <w:numPr>
          <w:ilvl w:val="0"/>
          <w:numId w:val="20"/>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Dependent Variables: Valuation &amp; Competitiveness</w:t>
      </w:r>
    </w:p>
    <w:p w14:paraId="0291F324" w14:textId="77777777" w:rsidR="00A60822" w:rsidRPr="00A60822" w:rsidRDefault="00A60822" w:rsidP="002C3670">
      <w:pPr>
        <w:numPr>
          <w:ilvl w:val="0"/>
          <w:numId w:val="22"/>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Firm Valuation (FV): Measured by Tobin’s Q = (Market Value of Equity + Book Value of Debt) / Total Assets.</w:t>
      </w:r>
    </w:p>
    <w:p w14:paraId="3429671F" w14:textId="77777777" w:rsidR="00A60822" w:rsidRPr="00A60822" w:rsidRDefault="00A60822" w:rsidP="002C3670">
      <w:pPr>
        <w:numPr>
          <w:ilvl w:val="0"/>
          <w:numId w:val="22"/>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Competitiveness (COMP): Measured by Relative Market Share (RMS) = Firm Sales / Industry Sales and Relative Profitability (RP) = Firm ROE / Industry Average ROE.</w:t>
      </w:r>
    </w:p>
    <w:p w14:paraId="3365EF33" w14:textId="77777777" w:rsidR="00A60822" w:rsidRPr="00A60822" w:rsidRDefault="00A60822" w:rsidP="002C3670">
      <w:pPr>
        <w:numPr>
          <w:ilvl w:val="0"/>
          <w:numId w:val="22"/>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Control Variables: Firm Size (Log of Total Assets), Leverage (Total Debt / Total Equity), and Industry Sector (Dummy variables).</w:t>
      </w:r>
    </w:p>
    <w:p w14:paraId="43E21239"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68964753" w14:textId="1E4B2549"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3.5</w:t>
      </w:r>
      <w:r w:rsidRPr="00A60822">
        <w:rPr>
          <w:rFonts w:ascii="Times New Roman" w:eastAsia="Calibri" w:hAnsi="Times New Roman" w:cs="Times New Roman"/>
          <w:b/>
          <w:kern w:val="0"/>
          <w:lang w:val="en-GB"/>
          <w14:ligatures w14:val="none"/>
        </w:rPr>
        <w:tab/>
        <w:t>Model Specification</w:t>
      </w:r>
    </w:p>
    <w:p w14:paraId="683B262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following panel data regression models are specified:</w:t>
      </w:r>
    </w:p>
    <w:p w14:paraId="4033685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For Firm value:</w:t>
      </w:r>
    </w:p>
    <w:p w14:paraId="0F364745" w14:textId="77777777" w:rsidR="00A60822" w:rsidRPr="00A60822" w:rsidRDefault="00A60822" w:rsidP="002C3670">
      <w:pPr>
        <w:numPr>
          <w:ilvl w:val="0"/>
          <w:numId w:val="23"/>
        </w:numPr>
        <w:spacing w:after="0" w:line="240" w:lineRule="auto"/>
        <w:contextualSpacing/>
        <w:jc w:val="both"/>
        <w:rPr>
          <w:rFonts w:ascii="Times New Roman" w:eastAsia="Calibri" w:hAnsi="Times New Roman" w:cs="Times New Roman"/>
          <w:kern w:val="0"/>
          <w:lang w:val="en-GB"/>
          <w14:ligatures w14:val="none"/>
        </w:rPr>
      </w:pPr>
      <w:proofErr w:type="spellStart"/>
      <w:r w:rsidRPr="00A60822">
        <w:rPr>
          <w:rFonts w:ascii="Times New Roman" w:eastAsia="Calibri" w:hAnsi="Times New Roman" w:cs="Times New Roman"/>
          <w:kern w:val="0"/>
          <w:lang w:val="en-GB"/>
          <w14:ligatures w14:val="none"/>
        </w:rPr>
        <w:t>FVit</w:t>
      </w:r>
      <w:proofErr w:type="spellEnd"/>
      <w:r w:rsidRPr="00A60822">
        <w:rPr>
          <w:rFonts w:ascii="Times New Roman" w:eastAsia="Calibri" w:hAnsi="Times New Roman" w:cs="Times New Roman"/>
          <w:kern w:val="0"/>
          <w:lang w:val="en-GB"/>
          <w14:ligatures w14:val="none"/>
        </w:rPr>
        <w:t xml:space="preserve"> = β0 + β1ITIit + β2SIAit + β3BDEit + β4SIZEit + β5LEVit + </w:t>
      </w:r>
      <w:proofErr w:type="spellStart"/>
      <w:r w:rsidRPr="00A60822">
        <w:rPr>
          <w:rFonts w:ascii="Times New Roman" w:eastAsia="Calibri" w:hAnsi="Times New Roman" w:cs="Times New Roman"/>
          <w:kern w:val="0"/>
          <w:lang w:val="en-GB"/>
          <w14:ligatures w14:val="none"/>
        </w:rPr>
        <w:t>εit</w:t>
      </w:r>
      <w:proofErr w:type="spellEnd"/>
    </w:p>
    <w:p w14:paraId="3058D2FF"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For competitiveness of firms:</w:t>
      </w:r>
    </w:p>
    <w:p w14:paraId="5AA34B90" w14:textId="77777777" w:rsidR="00A60822" w:rsidRPr="00A60822" w:rsidRDefault="00A60822" w:rsidP="002C3670">
      <w:pPr>
        <w:numPr>
          <w:ilvl w:val="0"/>
          <w:numId w:val="23"/>
        </w:numPr>
        <w:spacing w:after="0" w:line="240" w:lineRule="auto"/>
        <w:contextualSpacing/>
        <w:jc w:val="both"/>
        <w:rPr>
          <w:rFonts w:ascii="Times New Roman" w:eastAsia="Calibri" w:hAnsi="Times New Roman" w:cs="Times New Roman"/>
          <w:kern w:val="0"/>
          <w:lang w:val="en-GB"/>
          <w14:ligatures w14:val="none"/>
        </w:rPr>
      </w:pPr>
      <w:proofErr w:type="spellStart"/>
      <w:r w:rsidRPr="00A60822">
        <w:rPr>
          <w:rFonts w:ascii="Times New Roman" w:eastAsia="Calibri" w:hAnsi="Times New Roman" w:cs="Times New Roman"/>
          <w:kern w:val="0"/>
          <w:lang w:val="en-GB"/>
          <w14:ligatures w14:val="none"/>
        </w:rPr>
        <w:t>COMPit</w:t>
      </w:r>
      <w:proofErr w:type="spellEnd"/>
      <w:r w:rsidRPr="00A60822">
        <w:rPr>
          <w:rFonts w:ascii="Times New Roman" w:eastAsia="Calibri" w:hAnsi="Times New Roman" w:cs="Times New Roman"/>
          <w:kern w:val="0"/>
          <w:lang w:val="en-GB"/>
          <w14:ligatures w14:val="none"/>
        </w:rPr>
        <w:t xml:space="preserve"> = β0 + β1ITIit + β2SIAit + β3BDEit + β4SIZEit + β5LEVit + </w:t>
      </w:r>
      <w:proofErr w:type="spellStart"/>
      <w:r w:rsidRPr="00A60822">
        <w:rPr>
          <w:rFonts w:ascii="Times New Roman" w:eastAsia="Calibri" w:hAnsi="Times New Roman" w:cs="Times New Roman"/>
          <w:kern w:val="0"/>
          <w:lang w:val="en-GB"/>
          <w14:ligatures w14:val="none"/>
        </w:rPr>
        <w:t>εit</w:t>
      </w:r>
      <w:proofErr w:type="spellEnd"/>
    </w:p>
    <w:p w14:paraId="4596C5B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Where:</w:t>
      </w:r>
    </w:p>
    <w:p w14:paraId="442C586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FV = Firm Value</w:t>
      </w:r>
    </w:p>
    <w:p w14:paraId="7448F7A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ITI = IT investment</w:t>
      </w:r>
    </w:p>
    <w:p w14:paraId="2E50D7DF"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SIA = Software Intangible Assets</w:t>
      </w:r>
    </w:p>
    <w:p w14:paraId="6E764D9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BDE = Board Digital Expertise</w:t>
      </w:r>
    </w:p>
    <w:p w14:paraId="4B8A9F6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SIZE = Firm Size</w:t>
      </w:r>
    </w:p>
    <w:p w14:paraId="2012D3DE"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LEV = Leverage</w:t>
      </w:r>
    </w:p>
    <w:p w14:paraId="0D56B92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COMP = Competitiveness</w:t>
      </w:r>
    </w:p>
    <w:p w14:paraId="5308D36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proofErr w:type="spellStart"/>
      <w:r w:rsidRPr="00A60822">
        <w:rPr>
          <w:rFonts w:ascii="Times New Roman" w:eastAsia="Calibri" w:hAnsi="Times New Roman" w:cs="Times New Roman"/>
          <w:kern w:val="0"/>
          <w:lang w:val="en-GB"/>
          <w14:ligatures w14:val="none"/>
        </w:rPr>
        <w:t>i</w:t>
      </w:r>
      <w:proofErr w:type="spellEnd"/>
      <w:r w:rsidRPr="00A60822">
        <w:rPr>
          <w:rFonts w:ascii="Times New Roman" w:eastAsia="Calibri" w:hAnsi="Times New Roman" w:cs="Times New Roman"/>
          <w:kern w:val="0"/>
          <w:lang w:val="en-GB"/>
          <w14:ligatures w14:val="none"/>
        </w:rPr>
        <w:t xml:space="preserve"> = Firm</w:t>
      </w:r>
    </w:p>
    <w:p w14:paraId="14A3A51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 t = Year</w:t>
      </w:r>
    </w:p>
    <w:p w14:paraId="65000D9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β = Coefficients</w:t>
      </w:r>
    </w:p>
    <w:p w14:paraId="4E1604DD"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ε = Error terms</w:t>
      </w:r>
    </w:p>
    <w:p w14:paraId="40EAFE22"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3DC5762A" w14:textId="12244515"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Results And Data</w:t>
      </w:r>
    </w:p>
    <w:p w14:paraId="5B5307F7"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4.1</w:t>
      </w:r>
      <w:r w:rsidRPr="00A60822">
        <w:rPr>
          <w:rFonts w:ascii="Times New Roman" w:eastAsia="Calibri" w:hAnsi="Times New Roman" w:cs="Times New Roman"/>
          <w:b/>
          <w:kern w:val="0"/>
          <w:lang w:val="en-GB"/>
          <w14:ligatures w14:val="none"/>
        </w:rPr>
        <w:tab/>
        <w:t>Descriptive Statistics</w:t>
      </w:r>
    </w:p>
    <w:p w14:paraId="1B657F5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descriptive statistics reveal significant variations in digital innovation adoption across sectors in Nigeria. The financial services and ICT sectors exhibit the highest levels of IT investment and software intangible asset disclosures. On average, board digital expertise remains relatively low, with only about 15% of board members having relevant digital backgrounds.</w:t>
      </w:r>
    </w:p>
    <w:p w14:paraId="1FD3536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following tables represent the descriptive statistics for the key variables used in the study.</w:t>
      </w:r>
    </w:p>
    <w:p w14:paraId="50717F6F"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09333046" w14:textId="4A9EFD8A"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lastRenderedPageBreak/>
        <w:t>Table 1:</w:t>
      </w:r>
      <w:r w:rsidRPr="00A60822">
        <w:rPr>
          <w:rFonts w:ascii="Times New Roman" w:eastAsia="Calibri" w:hAnsi="Times New Roman" w:cs="Times New Roman"/>
          <w:kern w:val="0"/>
          <w:lang w:val="en-GB"/>
          <w14:ligatures w14:val="none"/>
        </w:rPr>
        <w:t xml:space="preserve"> Descriptive statistics</w:t>
      </w:r>
    </w:p>
    <w:tbl>
      <w:tblPr>
        <w:tblW w:w="9923" w:type="dxa"/>
        <w:tblCellSpacing w:w="15" w:type="dxa"/>
        <w:tblInd w:w="-142" w:type="dxa"/>
        <w:tblLayout w:type="fixed"/>
        <w:tblCellMar>
          <w:top w:w="15" w:type="dxa"/>
          <w:left w:w="15" w:type="dxa"/>
          <w:bottom w:w="15" w:type="dxa"/>
          <w:right w:w="15" w:type="dxa"/>
        </w:tblCellMar>
        <w:tblLook w:val="04A0" w:firstRow="1" w:lastRow="0" w:firstColumn="1" w:lastColumn="0" w:noHBand="0" w:noVBand="1"/>
      </w:tblPr>
      <w:tblGrid>
        <w:gridCol w:w="1579"/>
        <w:gridCol w:w="1398"/>
        <w:gridCol w:w="1418"/>
        <w:gridCol w:w="1417"/>
        <w:gridCol w:w="1276"/>
        <w:gridCol w:w="1276"/>
        <w:gridCol w:w="1559"/>
      </w:tblGrid>
      <w:tr w:rsidR="00A60822" w:rsidRPr="00A60822" w14:paraId="5D277696" w14:textId="77777777" w:rsidTr="00A60822">
        <w:trPr>
          <w:trHeight w:val="567"/>
          <w:tblHeader/>
          <w:tblCellSpacing w:w="15" w:type="dxa"/>
        </w:trPr>
        <w:tc>
          <w:tcPr>
            <w:tcW w:w="1534" w:type="dxa"/>
            <w:tcBorders>
              <w:top w:val="single" w:sz="4" w:space="0" w:color="auto"/>
              <w:bottom w:val="single" w:sz="4" w:space="0" w:color="auto"/>
            </w:tcBorders>
            <w:shd w:val="clear" w:color="auto" w:fill="E7E6E6"/>
            <w:vAlign w:val="center"/>
            <w:hideMark/>
          </w:tcPr>
          <w:p w14:paraId="0BCF9419"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Statistic</w:t>
            </w:r>
          </w:p>
        </w:tc>
        <w:tc>
          <w:tcPr>
            <w:tcW w:w="1368" w:type="dxa"/>
            <w:tcBorders>
              <w:top w:val="single" w:sz="4" w:space="0" w:color="auto"/>
              <w:bottom w:val="single" w:sz="4" w:space="0" w:color="auto"/>
            </w:tcBorders>
            <w:shd w:val="clear" w:color="auto" w:fill="E7E6E6"/>
            <w:vAlign w:val="center"/>
            <w:hideMark/>
          </w:tcPr>
          <w:p w14:paraId="35712C12"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TOBIN'S Q</w:t>
            </w:r>
          </w:p>
        </w:tc>
        <w:tc>
          <w:tcPr>
            <w:tcW w:w="1388" w:type="dxa"/>
            <w:tcBorders>
              <w:top w:val="single" w:sz="4" w:space="0" w:color="auto"/>
              <w:bottom w:val="single" w:sz="4" w:space="0" w:color="auto"/>
            </w:tcBorders>
            <w:shd w:val="clear" w:color="auto" w:fill="E7E6E6"/>
            <w:vAlign w:val="center"/>
            <w:hideMark/>
          </w:tcPr>
          <w:p w14:paraId="51B46FBA"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ITI_RATIO</w:t>
            </w:r>
          </w:p>
        </w:tc>
        <w:tc>
          <w:tcPr>
            <w:tcW w:w="1387" w:type="dxa"/>
            <w:tcBorders>
              <w:top w:val="single" w:sz="4" w:space="0" w:color="auto"/>
              <w:bottom w:val="single" w:sz="4" w:space="0" w:color="auto"/>
            </w:tcBorders>
            <w:shd w:val="clear" w:color="auto" w:fill="E7E6E6"/>
            <w:vAlign w:val="center"/>
            <w:hideMark/>
          </w:tcPr>
          <w:p w14:paraId="122F0D76"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SIA_NGN (₦'000,000)</w:t>
            </w:r>
          </w:p>
        </w:tc>
        <w:tc>
          <w:tcPr>
            <w:tcW w:w="1246" w:type="dxa"/>
            <w:tcBorders>
              <w:top w:val="single" w:sz="4" w:space="0" w:color="auto"/>
              <w:bottom w:val="single" w:sz="4" w:space="0" w:color="auto"/>
            </w:tcBorders>
            <w:shd w:val="clear" w:color="auto" w:fill="E7E6E6"/>
            <w:vAlign w:val="center"/>
            <w:hideMark/>
          </w:tcPr>
          <w:p w14:paraId="32242802"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BDE_PCT</w:t>
            </w:r>
          </w:p>
        </w:tc>
        <w:tc>
          <w:tcPr>
            <w:tcW w:w="1246" w:type="dxa"/>
            <w:tcBorders>
              <w:top w:val="single" w:sz="4" w:space="0" w:color="auto"/>
              <w:bottom w:val="single" w:sz="4" w:space="0" w:color="auto"/>
            </w:tcBorders>
            <w:shd w:val="clear" w:color="auto" w:fill="E7E6E6"/>
            <w:vAlign w:val="center"/>
            <w:hideMark/>
          </w:tcPr>
          <w:p w14:paraId="301F9AC9"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SIZE_LOG</w:t>
            </w:r>
          </w:p>
        </w:tc>
        <w:tc>
          <w:tcPr>
            <w:tcW w:w="1514" w:type="dxa"/>
            <w:tcBorders>
              <w:top w:val="single" w:sz="4" w:space="0" w:color="auto"/>
              <w:bottom w:val="single" w:sz="4" w:space="0" w:color="auto"/>
            </w:tcBorders>
            <w:shd w:val="clear" w:color="auto" w:fill="E7E6E6"/>
            <w:vAlign w:val="center"/>
            <w:hideMark/>
          </w:tcPr>
          <w:p w14:paraId="4781E47D"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LEV_RATIO</w:t>
            </w:r>
          </w:p>
        </w:tc>
      </w:tr>
      <w:tr w:rsidR="00A60822" w:rsidRPr="00A60822" w14:paraId="7E0C77C7" w14:textId="77777777" w:rsidTr="00D00B3F">
        <w:trPr>
          <w:trHeight w:val="567"/>
          <w:tblCellSpacing w:w="15" w:type="dxa"/>
        </w:trPr>
        <w:tc>
          <w:tcPr>
            <w:tcW w:w="1534" w:type="dxa"/>
            <w:vAlign w:val="center"/>
            <w:hideMark/>
          </w:tcPr>
          <w:p w14:paraId="4DFD36E7"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Mean</w:t>
            </w:r>
          </w:p>
        </w:tc>
        <w:tc>
          <w:tcPr>
            <w:tcW w:w="1368" w:type="dxa"/>
            <w:vAlign w:val="center"/>
            <w:hideMark/>
          </w:tcPr>
          <w:p w14:paraId="063010AA"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1.624530</w:t>
            </w:r>
          </w:p>
        </w:tc>
        <w:tc>
          <w:tcPr>
            <w:tcW w:w="1388" w:type="dxa"/>
            <w:vAlign w:val="center"/>
            <w:hideMark/>
          </w:tcPr>
          <w:p w14:paraId="7CFC0DF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0.078214</w:t>
            </w:r>
          </w:p>
        </w:tc>
        <w:tc>
          <w:tcPr>
            <w:tcW w:w="1387" w:type="dxa"/>
            <w:vAlign w:val="center"/>
            <w:hideMark/>
          </w:tcPr>
          <w:p w14:paraId="6CAFBBA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11.45200</w:t>
            </w:r>
          </w:p>
        </w:tc>
        <w:tc>
          <w:tcPr>
            <w:tcW w:w="1246" w:type="dxa"/>
            <w:vAlign w:val="center"/>
            <w:hideMark/>
          </w:tcPr>
          <w:p w14:paraId="2CBDEAAD"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0.184500</w:t>
            </w:r>
          </w:p>
        </w:tc>
        <w:tc>
          <w:tcPr>
            <w:tcW w:w="1246" w:type="dxa"/>
            <w:vAlign w:val="center"/>
            <w:hideMark/>
          </w:tcPr>
          <w:p w14:paraId="0CE0CAF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11.42500</w:t>
            </w:r>
          </w:p>
        </w:tc>
        <w:tc>
          <w:tcPr>
            <w:tcW w:w="1514" w:type="dxa"/>
            <w:vAlign w:val="center"/>
            <w:hideMark/>
          </w:tcPr>
          <w:p w14:paraId="26D615B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0.642100</w:t>
            </w:r>
          </w:p>
        </w:tc>
      </w:tr>
      <w:tr w:rsidR="00A60822" w:rsidRPr="00A60822" w14:paraId="0D4EE9B9" w14:textId="77777777" w:rsidTr="00D00B3F">
        <w:trPr>
          <w:trHeight w:val="567"/>
          <w:tblCellSpacing w:w="15" w:type="dxa"/>
        </w:trPr>
        <w:tc>
          <w:tcPr>
            <w:tcW w:w="1534" w:type="dxa"/>
            <w:vAlign w:val="center"/>
            <w:hideMark/>
          </w:tcPr>
          <w:p w14:paraId="3F5C0D1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Median</w:t>
            </w:r>
          </w:p>
        </w:tc>
        <w:tc>
          <w:tcPr>
            <w:tcW w:w="1368" w:type="dxa"/>
            <w:vAlign w:val="center"/>
            <w:hideMark/>
          </w:tcPr>
          <w:p w14:paraId="4970339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1.450000</w:t>
            </w:r>
          </w:p>
        </w:tc>
        <w:tc>
          <w:tcPr>
            <w:tcW w:w="1388" w:type="dxa"/>
            <w:vAlign w:val="center"/>
            <w:hideMark/>
          </w:tcPr>
          <w:p w14:paraId="707896E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0.065000</w:t>
            </w:r>
          </w:p>
        </w:tc>
        <w:tc>
          <w:tcPr>
            <w:tcW w:w="1387" w:type="dxa"/>
            <w:vAlign w:val="center"/>
            <w:hideMark/>
          </w:tcPr>
          <w:p w14:paraId="5D40F9D9"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8.400000</w:t>
            </w:r>
          </w:p>
        </w:tc>
        <w:tc>
          <w:tcPr>
            <w:tcW w:w="1246" w:type="dxa"/>
            <w:vAlign w:val="center"/>
            <w:hideMark/>
          </w:tcPr>
          <w:p w14:paraId="20BDD80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0.150000</w:t>
            </w:r>
          </w:p>
        </w:tc>
        <w:tc>
          <w:tcPr>
            <w:tcW w:w="1246" w:type="dxa"/>
            <w:vAlign w:val="center"/>
            <w:hideMark/>
          </w:tcPr>
          <w:p w14:paraId="2E14F7A8"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11.50000</w:t>
            </w:r>
          </w:p>
        </w:tc>
        <w:tc>
          <w:tcPr>
            <w:tcW w:w="1514" w:type="dxa"/>
            <w:vAlign w:val="center"/>
            <w:hideMark/>
          </w:tcPr>
          <w:p w14:paraId="756DB894"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0.650000</w:t>
            </w:r>
          </w:p>
        </w:tc>
      </w:tr>
      <w:tr w:rsidR="00A60822" w:rsidRPr="00A60822" w14:paraId="4A4FB575" w14:textId="77777777" w:rsidTr="00D00B3F">
        <w:trPr>
          <w:trHeight w:val="567"/>
          <w:tblCellSpacing w:w="15" w:type="dxa"/>
        </w:trPr>
        <w:tc>
          <w:tcPr>
            <w:tcW w:w="1534" w:type="dxa"/>
            <w:vAlign w:val="center"/>
            <w:hideMark/>
          </w:tcPr>
          <w:p w14:paraId="27691DA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Maximum</w:t>
            </w:r>
          </w:p>
        </w:tc>
        <w:tc>
          <w:tcPr>
            <w:tcW w:w="1368" w:type="dxa"/>
            <w:vAlign w:val="center"/>
            <w:hideMark/>
          </w:tcPr>
          <w:p w14:paraId="06A4238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3.850000</w:t>
            </w:r>
          </w:p>
        </w:tc>
        <w:tc>
          <w:tcPr>
            <w:tcW w:w="1388" w:type="dxa"/>
            <w:vAlign w:val="center"/>
            <w:hideMark/>
          </w:tcPr>
          <w:p w14:paraId="61F4D0C8"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0.284000</w:t>
            </w:r>
          </w:p>
        </w:tc>
        <w:tc>
          <w:tcPr>
            <w:tcW w:w="1387" w:type="dxa"/>
            <w:vAlign w:val="center"/>
            <w:hideMark/>
          </w:tcPr>
          <w:p w14:paraId="07FA6C77"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45.20000</w:t>
            </w:r>
          </w:p>
        </w:tc>
        <w:tc>
          <w:tcPr>
            <w:tcW w:w="1246" w:type="dxa"/>
            <w:vAlign w:val="center"/>
            <w:hideMark/>
          </w:tcPr>
          <w:p w14:paraId="2D1FC29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0.600000</w:t>
            </w:r>
          </w:p>
        </w:tc>
        <w:tc>
          <w:tcPr>
            <w:tcW w:w="1246" w:type="dxa"/>
            <w:vAlign w:val="center"/>
            <w:hideMark/>
          </w:tcPr>
          <w:p w14:paraId="3679A90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14.25000</w:t>
            </w:r>
          </w:p>
        </w:tc>
        <w:tc>
          <w:tcPr>
            <w:tcW w:w="1514" w:type="dxa"/>
            <w:vAlign w:val="center"/>
            <w:hideMark/>
          </w:tcPr>
          <w:p w14:paraId="74570B0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1.850000</w:t>
            </w:r>
          </w:p>
        </w:tc>
      </w:tr>
      <w:tr w:rsidR="00A60822" w:rsidRPr="00A60822" w14:paraId="1F116B55" w14:textId="77777777" w:rsidTr="00D00B3F">
        <w:trPr>
          <w:trHeight w:val="567"/>
          <w:tblCellSpacing w:w="15" w:type="dxa"/>
        </w:trPr>
        <w:tc>
          <w:tcPr>
            <w:tcW w:w="1534" w:type="dxa"/>
            <w:vAlign w:val="center"/>
            <w:hideMark/>
          </w:tcPr>
          <w:p w14:paraId="6EF12B22"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Minimum</w:t>
            </w:r>
          </w:p>
        </w:tc>
        <w:tc>
          <w:tcPr>
            <w:tcW w:w="1368" w:type="dxa"/>
            <w:vAlign w:val="center"/>
            <w:hideMark/>
          </w:tcPr>
          <w:p w14:paraId="3510AB31"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0.850000</w:t>
            </w:r>
          </w:p>
        </w:tc>
        <w:tc>
          <w:tcPr>
            <w:tcW w:w="1388" w:type="dxa"/>
            <w:vAlign w:val="center"/>
            <w:hideMark/>
          </w:tcPr>
          <w:p w14:paraId="5B8449B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0.012000</w:t>
            </w:r>
          </w:p>
        </w:tc>
        <w:tc>
          <w:tcPr>
            <w:tcW w:w="1387" w:type="dxa"/>
            <w:vAlign w:val="center"/>
            <w:hideMark/>
          </w:tcPr>
          <w:p w14:paraId="7D0E012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1.250000</w:t>
            </w:r>
          </w:p>
        </w:tc>
        <w:tc>
          <w:tcPr>
            <w:tcW w:w="1246" w:type="dxa"/>
            <w:vAlign w:val="center"/>
            <w:hideMark/>
          </w:tcPr>
          <w:p w14:paraId="1D4EE3B3"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0.000000</w:t>
            </w:r>
          </w:p>
        </w:tc>
        <w:tc>
          <w:tcPr>
            <w:tcW w:w="1246" w:type="dxa"/>
            <w:vAlign w:val="center"/>
            <w:hideMark/>
          </w:tcPr>
          <w:p w14:paraId="76821C38"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8.450000</w:t>
            </w:r>
          </w:p>
        </w:tc>
        <w:tc>
          <w:tcPr>
            <w:tcW w:w="1514" w:type="dxa"/>
            <w:vAlign w:val="center"/>
            <w:hideMark/>
          </w:tcPr>
          <w:p w14:paraId="78819A82"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0.120000</w:t>
            </w:r>
          </w:p>
        </w:tc>
      </w:tr>
      <w:tr w:rsidR="00A60822" w:rsidRPr="00A60822" w14:paraId="3025814C" w14:textId="77777777" w:rsidTr="00D00B3F">
        <w:trPr>
          <w:trHeight w:val="567"/>
          <w:tblCellSpacing w:w="15" w:type="dxa"/>
        </w:trPr>
        <w:tc>
          <w:tcPr>
            <w:tcW w:w="1534" w:type="dxa"/>
            <w:vAlign w:val="center"/>
            <w:hideMark/>
          </w:tcPr>
          <w:p w14:paraId="7A4F6A53"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Std. Dev.</w:t>
            </w:r>
          </w:p>
        </w:tc>
        <w:tc>
          <w:tcPr>
            <w:tcW w:w="1368" w:type="dxa"/>
            <w:vAlign w:val="center"/>
            <w:hideMark/>
          </w:tcPr>
          <w:p w14:paraId="53AEF92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0.684215</w:t>
            </w:r>
          </w:p>
        </w:tc>
        <w:tc>
          <w:tcPr>
            <w:tcW w:w="1388" w:type="dxa"/>
            <w:vAlign w:val="center"/>
            <w:hideMark/>
          </w:tcPr>
          <w:p w14:paraId="7A99F31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0.045210</w:t>
            </w:r>
          </w:p>
        </w:tc>
        <w:tc>
          <w:tcPr>
            <w:tcW w:w="1387" w:type="dxa"/>
            <w:vAlign w:val="center"/>
            <w:hideMark/>
          </w:tcPr>
          <w:p w14:paraId="7F10691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9.852100</w:t>
            </w:r>
          </w:p>
        </w:tc>
        <w:tc>
          <w:tcPr>
            <w:tcW w:w="1246" w:type="dxa"/>
            <w:vAlign w:val="center"/>
            <w:hideMark/>
          </w:tcPr>
          <w:p w14:paraId="339D65C3"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0.124500</w:t>
            </w:r>
          </w:p>
        </w:tc>
        <w:tc>
          <w:tcPr>
            <w:tcW w:w="1246" w:type="dxa"/>
            <w:vAlign w:val="center"/>
            <w:hideMark/>
          </w:tcPr>
          <w:p w14:paraId="3855B6C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1.245000</w:t>
            </w:r>
          </w:p>
        </w:tc>
        <w:tc>
          <w:tcPr>
            <w:tcW w:w="1514" w:type="dxa"/>
            <w:vAlign w:val="center"/>
            <w:hideMark/>
          </w:tcPr>
          <w:p w14:paraId="4B52522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0.284500</w:t>
            </w:r>
          </w:p>
        </w:tc>
      </w:tr>
      <w:tr w:rsidR="00A60822" w:rsidRPr="00A60822" w14:paraId="1B5EEA4D" w14:textId="77777777" w:rsidTr="00D00B3F">
        <w:trPr>
          <w:trHeight w:val="567"/>
          <w:tblCellSpacing w:w="15" w:type="dxa"/>
        </w:trPr>
        <w:tc>
          <w:tcPr>
            <w:tcW w:w="1534" w:type="dxa"/>
            <w:vAlign w:val="center"/>
            <w:hideMark/>
          </w:tcPr>
          <w:p w14:paraId="29DE1B2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Skewness</w:t>
            </w:r>
          </w:p>
        </w:tc>
        <w:tc>
          <w:tcPr>
            <w:tcW w:w="1368" w:type="dxa"/>
            <w:vAlign w:val="center"/>
            <w:hideMark/>
          </w:tcPr>
          <w:p w14:paraId="48C35E49"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1.124500</w:t>
            </w:r>
          </w:p>
        </w:tc>
        <w:tc>
          <w:tcPr>
            <w:tcW w:w="1388" w:type="dxa"/>
            <w:vAlign w:val="center"/>
            <w:hideMark/>
          </w:tcPr>
          <w:p w14:paraId="0A04F13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1.452100</w:t>
            </w:r>
          </w:p>
        </w:tc>
        <w:tc>
          <w:tcPr>
            <w:tcW w:w="1387" w:type="dxa"/>
            <w:vAlign w:val="center"/>
            <w:hideMark/>
          </w:tcPr>
          <w:p w14:paraId="7AA569A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1.684200</w:t>
            </w:r>
          </w:p>
        </w:tc>
        <w:tc>
          <w:tcPr>
            <w:tcW w:w="1246" w:type="dxa"/>
            <w:vAlign w:val="center"/>
            <w:hideMark/>
          </w:tcPr>
          <w:p w14:paraId="36D3BDE8"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0.854200</w:t>
            </w:r>
          </w:p>
        </w:tc>
        <w:tc>
          <w:tcPr>
            <w:tcW w:w="1246" w:type="dxa"/>
            <w:vAlign w:val="center"/>
            <w:hideMark/>
          </w:tcPr>
          <w:p w14:paraId="74293FA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-0.245100</w:t>
            </w:r>
          </w:p>
        </w:tc>
        <w:tc>
          <w:tcPr>
            <w:tcW w:w="1514" w:type="dxa"/>
            <w:vAlign w:val="center"/>
            <w:hideMark/>
          </w:tcPr>
          <w:p w14:paraId="6D7ACEDD"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0.452100</w:t>
            </w:r>
          </w:p>
        </w:tc>
      </w:tr>
      <w:tr w:rsidR="00A60822" w:rsidRPr="00A60822" w14:paraId="3F369775" w14:textId="77777777" w:rsidTr="00D00B3F">
        <w:trPr>
          <w:trHeight w:val="567"/>
          <w:tblCellSpacing w:w="15" w:type="dxa"/>
        </w:trPr>
        <w:tc>
          <w:tcPr>
            <w:tcW w:w="1534" w:type="dxa"/>
            <w:tcBorders>
              <w:bottom w:val="single" w:sz="4" w:space="0" w:color="auto"/>
            </w:tcBorders>
            <w:vAlign w:val="center"/>
            <w:hideMark/>
          </w:tcPr>
          <w:p w14:paraId="234F42B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Kurtosis</w:t>
            </w:r>
          </w:p>
        </w:tc>
        <w:tc>
          <w:tcPr>
            <w:tcW w:w="1368" w:type="dxa"/>
            <w:tcBorders>
              <w:bottom w:val="single" w:sz="4" w:space="0" w:color="auto"/>
            </w:tcBorders>
            <w:vAlign w:val="center"/>
            <w:hideMark/>
          </w:tcPr>
          <w:p w14:paraId="32C06AC3"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4.245100</w:t>
            </w:r>
          </w:p>
        </w:tc>
        <w:tc>
          <w:tcPr>
            <w:tcW w:w="1388" w:type="dxa"/>
            <w:tcBorders>
              <w:bottom w:val="single" w:sz="4" w:space="0" w:color="auto"/>
            </w:tcBorders>
            <w:vAlign w:val="center"/>
            <w:hideMark/>
          </w:tcPr>
          <w:p w14:paraId="1ACC785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5.124500</w:t>
            </w:r>
          </w:p>
        </w:tc>
        <w:tc>
          <w:tcPr>
            <w:tcW w:w="1387" w:type="dxa"/>
            <w:tcBorders>
              <w:bottom w:val="single" w:sz="4" w:space="0" w:color="auto"/>
            </w:tcBorders>
            <w:vAlign w:val="center"/>
            <w:hideMark/>
          </w:tcPr>
          <w:p w14:paraId="313219C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6.245100</w:t>
            </w:r>
          </w:p>
        </w:tc>
        <w:tc>
          <w:tcPr>
            <w:tcW w:w="1246" w:type="dxa"/>
            <w:tcBorders>
              <w:bottom w:val="single" w:sz="4" w:space="0" w:color="auto"/>
            </w:tcBorders>
            <w:vAlign w:val="center"/>
            <w:hideMark/>
          </w:tcPr>
          <w:p w14:paraId="6A1364D1"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3.452100</w:t>
            </w:r>
          </w:p>
        </w:tc>
        <w:tc>
          <w:tcPr>
            <w:tcW w:w="1246" w:type="dxa"/>
            <w:tcBorders>
              <w:bottom w:val="single" w:sz="4" w:space="0" w:color="auto"/>
            </w:tcBorders>
            <w:vAlign w:val="center"/>
            <w:hideMark/>
          </w:tcPr>
          <w:p w14:paraId="050FA65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2.854200</w:t>
            </w:r>
          </w:p>
        </w:tc>
        <w:tc>
          <w:tcPr>
            <w:tcW w:w="1514" w:type="dxa"/>
            <w:tcBorders>
              <w:bottom w:val="single" w:sz="4" w:space="0" w:color="auto"/>
            </w:tcBorders>
            <w:vAlign w:val="center"/>
            <w:hideMark/>
          </w:tcPr>
          <w:p w14:paraId="446DB146"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3.124500</w:t>
            </w:r>
          </w:p>
        </w:tc>
      </w:tr>
      <w:tr w:rsidR="00A60822" w:rsidRPr="00A60822" w14:paraId="69383647" w14:textId="77777777" w:rsidTr="00D00B3F">
        <w:trPr>
          <w:trHeight w:val="567"/>
          <w:tblCellSpacing w:w="15" w:type="dxa"/>
        </w:trPr>
        <w:tc>
          <w:tcPr>
            <w:tcW w:w="1534" w:type="dxa"/>
            <w:vAlign w:val="center"/>
            <w:hideMark/>
          </w:tcPr>
          <w:p w14:paraId="2C5D32D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Jarque-Bera</w:t>
            </w:r>
          </w:p>
        </w:tc>
        <w:tc>
          <w:tcPr>
            <w:tcW w:w="1368" w:type="dxa"/>
            <w:vAlign w:val="center"/>
            <w:hideMark/>
          </w:tcPr>
          <w:p w14:paraId="0E74BCC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45.21450</w:t>
            </w:r>
          </w:p>
        </w:tc>
        <w:tc>
          <w:tcPr>
            <w:tcW w:w="1388" w:type="dxa"/>
            <w:vAlign w:val="center"/>
            <w:hideMark/>
          </w:tcPr>
          <w:p w14:paraId="2F79C647"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82.45120</w:t>
            </w:r>
          </w:p>
        </w:tc>
        <w:tc>
          <w:tcPr>
            <w:tcW w:w="1387" w:type="dxa"/>
            <w:vAlign w:val="center"/>
            <w:hideMark/>
          </w:tcPr>
          <w:p w14:paraId="6DB851EE"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124.5120</w:t>
            </w:r>
          </w:p>
        </w:tc>
        <w:tc>
          <w:tcPr>
            <w:tcW w:w="1246" w:type="dxa"/>
            <w:vAlign w:val="center"/>
            <w:hideMark/>
          </w:tcPr>
          <w:p w14:paraId="532C03E2"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18.45210</w:t>
            </w:r>
          </w:p>
        </w:tc>
        <w:tc>
          <w:tcPr>
            <w:tcW w:w="1246" w:type="dxa"/>
            <w:vAlign w:val="center"/>
            <w:hideMark/>
          </w:tcPr>
          <w:p w14:paraId="5A9DC8A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2.451200</w:t>
            </w:r>
          </w:p>
        </w:tc>
        <w:tc>
          <w:tcPr>
            <w:tcW w:w="1514" w:type="dxa"/>
            <w:vAlign w:val="center"/>
            <w:hideMark/>
          </w:tcPr>
          <w:p w14:paraId="7227501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8.451200</w:t>
            </w:r>
          </w:p>
        </w:tc>
      </w:tr>
      <w:tr w:rsidR="00A60822" w:rsidRPr="00A60822" w14:paraId="5563B0ED" w14:textId="77777777" w:rsidTr="00D00B3F">
        <w:trPr>
          <w:trHeight w:val="567"/>
          <w:tblCellSpacing w:w="15" w:type="dxa"/>
        </w:trPr>
        <w:tc>
          <w:tcPr>
            <w:tcW w:w="1534" w:type="dxa"/>
            <w:tcBorders>
              <w:bottom w:val="single" w:sz="4" w:space="0" w:color="auto"/>
            </w:tcBorders>
            <w:vAlign w:val="center"/>
            <w:hideMark/>
          </w:tcPr>
          <w:p w14:paraId="2C873D5A"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Probability</w:t>
            </w:r>
          </w:p>
        </w:tc>
        <w:tc>
          <w:tcPr>
            <w:tcW w:w="1368" w:type="dxa"/>
            <w:tcBorders>
              <w:bottom w:val="single" w:sz="4" w:space="0" w:color="auto"/>
            </w:tcBorders>
            <w:vAlign w:val="center"/>
            <w:hideMark/>
          </w:tcPr>
          <w:p w14:paraId="5B496D53"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0.000000</w:t>
            </w:r>
          </w:p>
        </w:tc>
        <w:tc>
          <w:tcPr>
            <w:tcW w:w="1388" w:type="dxa"/>
            <w:tcBorders>
              <w:bottom w:val="single" w:sz="4" w:space="0" w:color="auto"/>
            </w:tcBorders>
            <w:vAlign w:val="center"/>
            <w:hideMark/>
          </w:tcPr>
          <w:p w14:paraId="2AF3FBD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0.000000</w:t>
            </w:r>
          </w:p>
        </w:tc>
        <w:tc>
          <w:tcPr>
            <w:tcW w:w="1387" w:type="dxa"/>
            <w:tcBorders>
              <w:bottom w:val="single" w:sz="4" w:space="0" w:color="auto"/>
            </w:tcBorders>
            <w:vAlign w:val="center"/>
            <w:hideMark/>
          </w:tcPr>
          <w:p w14:paraId="6D125102"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0.000000</w:t>
            </w:r>
          </w:p>
        </w:tc>
        <w:tc>
          <w:tcPr>
            <w:tcW w:w="1246" w:type="dxa"/>
            <w:tcBorders>
              <w:bottom w:val="single" w:sz="4" w:space="0" w:color="auto"/>
            </w:tcBorders>
            <w:vAlign w:val="center"/>
            <w:hideMark/>
          </w:tcPr>
          <w:p w14:paraId="72BAA00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0.000124</w:t>
            </w:r>
          </w:p>
        </w:tc>
        <w:tc>
          <w:tcPr>
            <w:tcW w:w="1246" w:type="dxa"/>
            <w:tcBorders>
              <w:bottom w:val="single" w:sz="4" w:space="0" w:color="auto"/>
            </w:tcBorders>
            <w:vAlign w:val="center"/>
            <w:hideMark/>
          </w:tcPr>
          <w:p w14:paraId="7C991DF3"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0.293581</w:t>
            </w:r>
          </w:p>
        </w:tc>
        <w:tc>
          <w:tcPr>
            <w:tcW w:w="1514" w:type="dxa"/>
            <w:tcBorders>
              <w:bottom w:val="single" w:sz="4" w:space="0" w:color="auto"/>
            </w:tcBorders>
            <w:vAlign w:val="center"/>
            <w:hideMark/>
          </w:tcPr>
          <w:p w14:paraId="191F008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0.014616</w:t>
            </w:r>
          </w:p>
        </w:tc>
      </w:tr>
      <w:tr w:rsidR="00A60822" w:rsidRPr="00A60822" w14:paraId="087D632A" w14:textId="77777777" w:rsidTr="00D00B3F">
        <w:trPr>
          <w:trHeight w:val="567"/>
          <w:tblCellSpacing w:w="15" w:type="dxa"/>
        </w:trPr>
        <w:tc>
          <w:tcPr>
            <w:tcW w:w="1534" w:type="dxa"/>
            <w:vAlign w:val="center"/>
            <w:hideMark/>
          </w:tcPr>
          <w:p w14:paraId="6C87604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Sum</w:t>
            </w:r>
          </w:p>
        </w:tc>
        <w:tc>
          <w:tcPr>
            <w:tcW w:w="1368" w:type="dxa"/>
            <w:vAlign w:val="center"/>
            <w:hideMark/>
          </w:tcPr>
          <w:p w14:paraId="2086022D"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893.4915</w:t>
            </w:r>
          </w:p>
        </w:tc>
        <w:tc>
          <w:tcPr>
            <w:tcW w:w="1388" w:type="dxa"/>
            <w:vAlign w:val="center"/>
            <w:hideMark/>
          </w:tcPr>
          <w:p w14:paraId="500E4599"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43.01770</w:t>
            </w:r>
          </w:p>
        </w:tc>
        <w:tc>
          <w:tcPr>
            <w:tcW w:w="1387" w:type="dxa"/>
            <w:vAlign w:val="center"/>
            <w:hideMark/>
          </w:tcPr>
          <w:p w14:paraId="4E90E2D6"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6298.600</w:t>
            </w:r>
          </w:p>
        </w:tc>
        <w:tc>
          <w:tcPr>
            <w:tcW w:w="1246" w:type="dxa"/>
            <w:vAlign w:val="center"/>
            <w:hideMark/>
          </w:tcPr>
          <w:p w14:paraId="275B06E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101.4750</w:t>
            </w:r>
          </w:p>
        </w:tc>
        <w:tc>
          <w:tcPr>
            <w:tcW w:w="1246" w:type="dxa"/>
            <w:vAlign w:val="center"/>
            <w:hideMark/>
          </w:tcPr>
          <w:p w14:paraId="6A25B478"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6283.750</w:t>
            </w:r>
          </w:p>
        </w:tc>
        <w:tc>
          <w:tcPr>
            <w:tcW w:w="1514" w:type="dxa"/>
            <w:vAlign w:val="center"/>
            <w:hideMark/>
          </w:tcPr>
          <w:p w14:paraId="438961E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353.1550</w:t>
            </w:r>
          </w:p>
        </w:tc>
      </w:tr>
      <w:tr w:rsidR="00A60822" w:rsidRPr="00A60822" w14:paraId="07E1989A" w14:textId="77777777" w:rsidTr="00D00B3F">
        <w:trPr>
          <w:trHeight w:val="567"/>
          <w:tblCellSpacing w:w="15" w:type="dxa"/>
        </w:trPr>
        <w:tc>
          <w:tcPr>
            <w:tcW w:w="1534" w:type="dxa"/>
            <w:tcBorders>
              <w:bottom w:val="single" w:sz="4" w:space="0" w:color="auto"/>
            </w:tcBorders>
            <w:vAlign w:val="center"/>
            <w:hideMark/>
          </w:tcPr>
          <w:p w14:paraId="4D51F4FC"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Sum Sq. Dev.</w:t>
            </w:r>
          </w:p>
        </w:tc>
        <w:tc>
          <w:tcPr>
            <w:tcW w:w="1368" w:type="dxa"/>
            <w:tcBorders>
              <w:bottom w:val="single" w:sz="4" w:space="0" w:color="auto"/>
            </w:tcBorders>
            <w:vAlign w:val="center"/>
            <w:hideMark/>
          </w:tcPr>
          <w:p w14:paraId="5C304043"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257.4512</w:t>
            </w:r>
          </w:p>
        </w:tc>
        <w:tc>
          <w:tcPr>
            <w:tcW w:w="1388" w:type="dxa"/>
            <w:tcBorders>
              <w:bottom w:val="single" w:sz="4" w:space="0" w:color="auto"/>
            </w:tcBorders>
            <w:vAlign w:val="center"/>
            <w:hideMark/>
          </w:tcPr>
          <w:p w14:paraId="421E2694"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1.124500</w:t>
            </w:r>
          </w:p>
        </w:tc>
        <w:tc>
          <w:tcPr>
            <w:tcW w:w="1387" w:type="dxa"/>
            <w:tcBorders>
              <w:bottom w:val="single" w:sz="4" w:space="0" w:color="auto"/>
            </w:tcBorders>
            <w:vAlign w:val="center"/>
            <w:hideMark/>
          </w:tcPr>
          <w:p w14:paraId="19BAC63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53451.20</w:t>
            </w:r>
          </w:p>
        </w:tc>
        <w:tc>
          <w:tcPr>
            <w:tcW w:w="1246" w:type="dxa"/>
            <w:tcBorders>
              <w:bottom w:val="single" w:sz="4" w:space="0" w:color="auto"/>
            </w:tcBorders>
            <w:vAlign w:val="center"/>
            <w:hideMark/>
          </w:tcPr>
          <w:p w14:paraId="2D54277E"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8.512400</w:t>
            </w:r>
          </w:p>
        </w:tc>
        <w:tc>
          <w:tcPr>
            <w:tcW w:w="1246" w:type="dxa"/>
            <w:tcBorders>
              <w:bottom w:val="single" w:sz="4" w:space="0" w:color="auto"/>
            </w:tcBorders>
            <w:vAlign w:val="center"/>
            <w:hideMark/>
          </w:tcPr>
          <w:p w14:paraId="107BE6FE"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852.4512</w:t>
            </w:r>
          </w:p>
        </w:tc>
        <w:tc>
          <w:tcPr>
            <w:tcW w:w="1514" w:type="dxa"/>
            <w:tcBorders>
              <w:bottom w:val="single" w:sz="4" w:space="0" w:color="auto"/>
            </w:tcBorders>
            <w:vAlign w:val="center"/>
            <w:hideMark/>
          </w:tcPr>
          <w:p w14:paraId="7C59460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44.51240</w:t>
            </w:r>
          </w:p>
        </w:tc>
      </w:tr>
      <w:tr w:rsidR="00A60822" w:rsidRPr="00A60822" w14:paraId="55192553" w14:textId="77777777" w:rsidTr="00D00B3F">
        <w:trPr>
          <w:trHeight w:val="567"/>
          <w:tblCellSpacing w:w="15" w:type="dxa"/>
        </w:trPr>
        <w:tc>
          <w:tcPr>
            <w:tcW w:w="1534" w:type="dxa"/>
            <w:tcBorders>
              <w:top w:val="single" w:sz="4" w:space="0" w:color="auto"/>
              <w:bottom w:val="single" w:sz="4" w:space="0" w:color="auto"/>
            </w:tcBorders>
            <w:vAlign w:val="center"/>
            <w:hideMark/>
          </w:tcPr>
          <w:p w14:paraId="74A7F5D4"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Observations</w:t>
            </w:r>
          </w:p>
        </w:tc>
        <w:tc>
          <w:tcPr>
            <w:tcW w:w="1368" w:type="dxa"/>
            <w:tcBorders>
              <w:top w:val="single" w:sz="4" w:space="0" w:color="auto"/>
              <w:bottom w:val="single" w:sz="4" w:space="0" w:color="auto"/>
            </w:tcBorders>
            <w:vAlign w:val="center"/>
            <w:hideMark/>
          </w:tcPr>
          <w:p w14:paraId="6A8EB47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550</w:t>
            </w:r>
          </w:p>
        </w:tc>
        <w:tc>
          <w:tcPr>
            <w:tcW w:w="1388" w:type="dxa"/>
            <w:tcBorders>
              <w:top w:val="single" w:sz="4" w:space="0" w:color="auto"/>
              <w:bottom w:val="single" w:sz="4" w:space="0" w:color="auto"/>
            </w:tcBorders>
            <w:vAlign w:val="center"/>
            <w:hideMark/>
          </w:tcPr>
          <w:p w14:paraId="7FADE2D0"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550</w:t>
            </w:r>
          </w:p>
        </w:tc>
        <w:tc>
          <w:tcPr>
            <w:tcW w:w="1387" w:type="dxa"/>
            <w:tcBorders>
              <w:top w:val="single" w:sz="4" w:space="0" w:color="auto"/>
              <w:bottom w:val="single" w:sz="4" w:space="0" w:color="auto"/>
            </w:tcBorders>
            <w:vAlign w:val="center"/>
            <w:hideMark/>
          </w:tcPr>
          <w:p w14:paraId="4CE33E7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550</w:t>
            </w:r>
          </w:p>
        </w:tc>
        <w:tc>
          <w:tcPr>
            <w:tcW w:w="1246" w:type="dxa"/>
            <w:tcBorders>
              <w:top w:val="single" w:sz="4" w:space="0" w:color="auto"/>
              <w:bottom w:val="single" w:sz="4" w:space="0" w:color="auto"/>
            </w:tcBorders>
            <w:vAlign w:val="center"/>
            <w:hideMark/>
          </w:tcPr>
          <w:p w14:paraId="44E16E92"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550</w:t>
            </w:r>
          </w:p>
        </w:tc>
        <w:tc>
          <w:tcPr>
            <w:tcW w:w="1246" w:type="dxa"/>
            <w:tcBorders>
              <w:top w:val="single" w:sz="4" w:space="0" w:color="auto"/>
              <w:bottom w:val="single" w:sz="4" w:space="0" w:color="auto"/>
            </w:tcBorders>
            <w:vAlign w:val="center"/>
            <w:hideMark/>
          </w:tcPr>
          <w:p w14:paraId="175BA81D"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550</w:t>
            </w:r>
          </w:p>
        </w:tc>
        <w:tc>
          <w:tcPr>
            <w:tcW w:w="1514" w:type="dxa"/>
            <w:tcBorders>
              <w:top w:val="single" w:sz="4" w:space="0" w:color="auto"/>
              <w:bottom w:val="single" w:sz="4" w:space="0" w:color="auto"/>
            </w:tcBorders>
            <w:vAlign w:val="center"/>
            <w:hideMark/>
          </w:tcPr>
          <w:p w14:paraId="324D288B"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550</w:t>
            </w:r>
          </w:p>
        </w:tc>
      </w:tr>
    </w:tbl>
    <w:p w14:paraId="40B9D04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Source: Author’s computation using E-views, 2026</w:t>
      </w:r>
    </w:p>
    <w:p w14:paraId="3377CF38"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Most financial variables (TOBIN'S Q, ITI_RATIO, SIA_NGN, LEV_RATIO) are right-skewed and non-normal, common in corporate finance data (presence of outliers/high performers). Board digital expertise and firm size show relatively milder deviations from normality. High kurtosis in ITI_RATIO and SIA_NGN, indicates fat tails (a few firms with very high digital investment/intangible values). The low average board digital expertise (18.45%) suggests a major area for governance improvement in Nigerian listed firms during 2015–2024. Wide ranges across all variables support the use of panel data models (fixed/random effects) to control for firm heterogeneity.</w:t>
      </w:r>
    </w:p>
    <w:p w14:paraId="092AEA48"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6555D41" w14:textId="2D32992C"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4.2 Regression Analysis and Hypothesis Testing</w:t>
      </w:r>
    </w:p>
    <w:p w14:paraId="63E74C2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following tables represent the panel regression results for the two primary models used in the study.</w:t>
      </w:r>
    </w:p>
    <w:p w14:paraId="64481732"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AB33E60"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084F2802"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29F51627"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019FE90B"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3DCAB1DF"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0003437"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36554A4"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3B6116DC" w14:textId="316CCA28"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lastRenderedPageBreak/>
        <w:t>Table 2: Model 1:</w:t>
      </w:r>
      <w:r w:rsidRPr="00A60822">
        <w:rPr>
          <w:rFonts w:ascii="Times New Roman" w:eastAsia="Calibri" w:hAnsi="Times New Roman" w:cs="Times New Roman"/>
          <w:kern w:val="0"/>
          <w:lang w:val="en-GB"/>
          <w14:ligatures w14:val="none"/>
        </w:rPr>
        <w:t xml:space="preserve"> Dependent Variable: TOBINS_Q (Firm 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984"/>
        <w:gridCol w:w="1276"/>
        <w:gridCol w:w="1559"/>
        <w:gridCol w:w="1276"/>
      </w:tblGrid>
      <w:tr w:rsidR="00A60822" w:rsidRPr="00A60822" w14:paraId="4B19B4A1" w14:textId="77777777" w:rsidTr="00D00B3F">
        <w:trPr>
          <w:trHeight w:val="454"/>
          <w:tblHeader/>
          <w:tblCellSpacing w:w="15" w:type="dxa"/>
        </w:trPr>
        <w:tc>
          <w:tcPr>
            <w:tcW w:w="8162" w:type="dxa"/>
            <w:gridSpan w:val="5"/>
            <w:vAlign w:val="center"/>
          </w:tcPr>
          <w:p w14:paraId="16B6D39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Method: Panel Least Squares</w:t>
            </w:r>
          </w:p>
          <w:p w14:paraId="7EDFD6E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Sample: 2015 2024</w:t>
            </w:r>
          </w:p>
          <w:p w14:paraId="6C44BC6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Periods included: 11</w:t>
            </w:r>
          </w:p>
          <w:p w14:paraId="23FC9CC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Cross-sections included: 50</w:t>
            </w:r>
          </w:p>
          <w:p w14:paraId="2D1649CB" w14:textId="77777777" w:rsidR="00A60822" w:rsidRPr="00A60822" w:rsidRDefault="00A60822" w:rsidP="002C3670">
            <w:pPr>
              <w:spacing w:after="0" w:line="240" w:lineRule="auto"/>
              <w:rPr>
                <w:rFonts w:ascii="Times New Roman" w:eastAsia="Times New Roman" w:hAnsi="Times New Roman" w:cs="Times New Roman"/>
                <w:b/>
                <w:bCs/>
                <w:kern w:val="0"/>
                <w:lang w:val="en-GB" w:eastAsia="en-GB"/>
                <w14:ligatures w14:val="none"/>
              </w:rPr>
            </w:pPr>
            <w:r w:rsidRPr="00A60822">
              <w:rPr>
                <w:rFonts w:ascii="Times New Roman" w:eastAsia="Calibri" w:hAnsi="Times New Roman" w:cs="Times New Roman"/>
                <w:kern w:val="0"/>
                <w:lang w:val="en-GB"/>
                <w14:ligatures w14:val="none"/>
              </w:rPr>
              <w:t>Total panel (balanced) observations: 550</w:t>
            </w:r>
          </w:p>
        </w:tc>
      </w:tr>
      <w:tr w:rsidR="00A60822" w:rsidRPr="00A60822" w14:paraId="5F1FC3A3" w14:textId="77777777" w:rsidTr="00A60822">
        <w:trPr>
          <w:trHeight w:val="454"/>
          <w:tblHeader/>
          <w:tblCellSpacing w:w="15" w:type="dxa"/>
        </w:trPr>
        <w:tc>
          <w:tcPr>
            <w:tcW w:w="2082" w:type="dxa"/>
            <w:tcBorders>
              <w:top w:val="single" w:sz="4" w:space="0" w:color="auto"/>
              <w:bottom w:val="single" w:sz="4" w:space="0" w:color="auto"/>
            </w:tcBorders>
            <w:shd w:val="clear" w:color="auto" w:fill="E7E6E6"/>
            <w:vAlign w:val="center"/>
            <w:hideMark/>
          </w:tcPr>
          <w:p w14:paraId="3433740F"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Variable</w:t>
            </w:r>
          </w:p>
        </w:tc>
        <w:tc>
          <w:tcPr>
            <w:tcW w:w="1954" w:type="dxa"/>
            <w:tcBorders>
              <w:top w:val="single" w:sz="4" w:space="0" w:color="auto"/>
              <w:bottom w:val="single" w:sz="4" w:space="0" w:color="auto"/>
            </w:tcBorders>
            <w:shd w:val="clear" w:color="auto" w:fill="E7E6E6"/>
            <w:vAlign w:val="center"/>
            <w:hideMark/>
          </w:tcPr>
          <w:p w14:paraId="34F828AF"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Coefficient</w:t>
            </w:r>
          </w:p>
        </w:tc>
        <w:tc>
          <w:tcPr>
            <w:tcW w:w="1246" w:type="dxa"/>
            <w:tcBorders>
              <w:top w:val="single" w:sz="4" w:space="0" w:color="auto"/>
              <w:bottom w:val="single" w:sz="4" w:space="0" w:color="auto"/>
            </w:tcBorders>
            <w:shd w:val="clear" w:color="auto" w:fill="E7E6E6"/>
            <w:vAlign w:val="center"/>
            <w:hideMark/>
          </w:tcPr>
          <w:p w14:paraId="2F3D951F"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Std. Error</w:t>
            </w:r>
          </w:p>
        </w:tc>
        <w:tc>
          <w:tcPr>
            <w:tcW w:w="1529" w:type="dxa"/>
            <w:tcBorders>
              <w:top w:val="single" w:sz="4" w:space="0" w:color="auto"/>
              <w:bottom w:val="single" w:sz="4" w:space="0" w:color="auto"/>
            </w:tcBorders>
            <w:shd w:val="clear" w:color="auto" w:fill="E7E6E6"/>
            <w:vAlign w:val="center"/>
            <w:hideMark/>
          </w:tcPr>
          <w:p w14:paraId="688E8E0A"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t-Statistic</w:t>
            </w:r>
          </w:p>
        </w:tc>
        <w:tc>
          <w:tcPr>
            <w:tcW w:w="1231" w:type="dxa"/>
            <w:tcBorders>
              <w:top w:val="single" w:sz="4" w:space="0" w:color="auto"/>
              <w:bottom w:val="single" w:sz="4" w:space="0" w:color="auto"/>
            </w:tcBorders>
            <w:shd w:val="clear" w:color="auto" w:fill="E7E6E6"/>
            <w:vAlign w:val="center"/>
            <w:hideMark/>
          </w:tcPr>
          <w:p w14:paraId="3FEC1649"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Prob.</w:t>
            </w:r>
          </w:p>
        </w:tc>
      </w:tr>
      <w:tr w:rsidR="00A60822" w:rsidRPr="00A60822" w14:paraId="66690F7F" w14:textId="77777777" w:rsidTr="00D00B3F">
        <w:trPr>
          <w:trHeight w:val="454"/>
          <w:tblCellSpacing w:w="15" w:type="dxa"/>
        </w:trPr>
        <w:tc>
          <w:tcPr>
            <w:tcW w:w="2082" w:type="dxa"/>
            <w:vAlign w:val="center"/>
            <w:hideMark/>
          </w:tcPr>
          <w:p w14:paraId="60A12B3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C</w:t>
            </w:r>
          </w:p>
        </w:tc>
        <w:tc>
          <w:tcPr>
            <w:tcW w:w="1954" w:type="dxa"/>
            <w:vAlign w:val="center"/>
            <w:hideMark/>
          </w:tcPr>
          <w:p w14:paraId="2204BA0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0.842512</w:t>
            </w:r>
          </w:p>
        </w:tc>
        <w:tc>
          <w:tcPr>
            <w:tcW w:w="1246" w:type="dxa"/>
            <w:vAlign w:val="center"/>
            <w:hideMark/>
          </w:tcPr>
          <w:p w14:paraId="2A6048A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0.124510</w:t>
            </w:r>
          </w:p>
        </w:tc>
        <w:tc>
          <w:tcPr>
            <w:tcW w:w="1529" w:type="dxa"/>
            <w:vAlign w:val="center"/>
            <w:hideMark/>
          </w:tcPr>
          <w:p w14:paraId="4ACEE58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6.766621</w:t>
            </w:r>
          </w:p>
        </w:tc>
        <w:tc>
          <w:tcPr>
            <w:tcW w:w="1231" w:type="dxa"/>
            <w:vAlign w:val="center"/>
            <w:hideMark/>
          </w:tcPr>
          <w:p w14:paraId="7E498B1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w:t>
            </w:r>
          </w:p>
        </w:tc>
      </w:tr>
      <w:tr w:rsidR="00A60822" w:rsidRPr="00A60822" w14:paraId="3CFAC307" w14:textId="77777777" w:rsidTr="00D00B3F">
        <w:trPr>
          <w:trHeight w:val="454"/>
          <w:tblCellSpacing w:w="15" w:type="dxa"/>
        </w:trPr>
        <w:tc>
          <w:tcPr>
            <w:tcW w:w="2082" w:type="dxa"/>
            <w:vAlign w:val="center"/>
            <w:hideMark/>
          </w:tcPr>
          <w:p w14:paraId="678472F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ITI_RATIO</w:t>
            </w:r>
          </w:p>
        </w:tc>
        <w:tc>
          <w:tcPr>
            <w:tcW w:w="1954" w:type="dxa"/>
            <w:vAlign w:val="center"/>
            <w:hideMark/>
          </w:tcPr>
          <w:p w14:paraId="5F3A98C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2.451200</w:t>
            </w:r>
          </w:p>
        </w:tc>
        <w:tc>
          <w:tcPr>
            <w:tcW w:w="1246" w:type="dxa"/>
            <w:vAlign w:val="center"/>
            <w:hideMark/>
          </w:tcPr>
          <w:p w14:paraId="66034B6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0.854210</w:t>
            </w:r>
          </w:p>
        </w:tc>
        <w:tc>
          <w:tcPr>
            <w:tcW w:w="1529" w:type="dxa"/>
            <w:vAlign w:val="center"/>
            <w:hideMark/>
          </w:tcPr>
          <w:p w14:paraId="27718597"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2.869552</w:t>
            </w:r>
          </w:p>
        </w:tc>
        <w:tc>
          <w:tcPr>
            <w:tcW w:w="1231" w:type="dxa"/>
            <w:vAlign w:val="center"/>
            <w:hideMark/>
          </w:tcPr>
          <w:p w14:paraId="491EC866"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0.0043</w:t>
            </w:r>
          </w:p>
        </w:tc>
      </w:tr>
      <w:tr w:rsidR="00A60822" w:rsidRPr="00A60822" w14:paraId="3CE78248" w14:textId="77777777" w:rsidTr="00D00B3F">
        <w:trPr>
          <w:trHeight w:val="454"/>
          <w:tblCellSpacing w:w="15" w:type="dxa"/>
        </w:trPr>
        <w:tc>
          <w:tcPr>
            <w:tcW w:w="2082" w:type="dxa"/>
            <w:vAlign w:val="center"/>
            <w:hideMark/>
          </w:tcPr>
          <w:p w14:paraId="7B18B27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SIA_NGN</w:t>
            </w:r>
          </w:p>
        </w:tc>
        <w:tc>
          <w:tcPr>
            <w:tcW w:w="1954" w:type="dxa"/>
            <w:vAlign w:val="center"/>
            <w:hideMark/>
          </w:tcPr>
          <w:p w14:paraId="7D827D27"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0.012451</w:t>
            </w:r>
          </w:p>
        </w:tc>
        <w:tc>
          <w:tcPr>
            <w:tcW w:w="1246" w:type="dxa"/>
            <w:vAlign w:val="center"/>
            <w:hideMark/>
          </w:tcPr>
          <w:p w14:paraId="120834C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0.004512</w:t>
            </w:r>
          </w:p>
        </w:tc>
        <w:tc>
          <w:tcPr>
            <w:tcW w:w="1529" w:type="dxa"/>
            <w:vAlign w:val="center"/>
            <w:hideMark/>
          </w:tcPr>
          <w:p w14:paraId="5FDDC0FC"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2.759530</w:t>
            </w:r>
          </w:p>
        </w:tc>
        <w:tc>
          <w:tcPr>
            <w:tcW w:w="1231" w:type="dxa"/>
            <w:vAlign w:val="center"/>
            <w:hideMark/>
          </w:tcPr>
          <w:p w14:paraId="594165B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0.0060</w:t>
            </w:r>
          </w:p>
        </w:tc>
      </w:tr>
      <w:tr w:rsidR="00A60822" w:rsidRPr="00A60822" w14:paraId="706A5DFD" w14:textId="77777777" w:rsidTr="00D00B3F">
        <w:trPr>
          <w:trHeight w:val="454"/>
          <w:tblCellSpacing w:w="15" w:type="dxa"/>
        </w:trPr>
        <w:tc>
          <w:tcPr>
            <w:tcW w:w="2082" w:type="dxa"/>
            <w:vAlign w:val="center"/>
            <w:hideMark/>
          </w:tcPr>
          <w:p w14:paraId="187DE078"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BDE_PCT</w:t>
            </w:r>
          </w:p>
        </w:tc>
        <w:tc>
          <w:tcPr>
            <w:tcW w:w="1954" w:type="dxa"/>
            <w:vAlign w:val="center"/>
            <w:hideMark/>
          </w:tcPr>
          <w:p w14:paraId="30192D0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0.654210</w:t>
            </w:r>
          </w:p>
        </w:tc>
        <w:tc>
          <w:tcPr>
            <w:tcW w:w="1246" w:type="dxa"/>
            <w:vAlign w:val="center"/>
            <w:hideMark/>
          </w:tcPr>
          <w:p w14:paraId="50E1C37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0.245120</w:t>
            </w:r>
          </w:p>
        </w:tc>
        <w:tc>
          <w:tcPr>
            <w:tcW w:w="1529" w:type="dxa"/>
            <w:vAlign w:val="center"/>
            <w:hideMark/>
          </w:tcPr>
          <w:p w14:paraId="00152047"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2.668938</w:t>
            </w:r>
          </w:p>
        </w:tc>
        <w:tc>
          <w:tcPr>
            <w:tcW w:w="1231" w:type="dxa"/>
            <w:vAlign w:val="center"/>
            <w:hideMark/>
          </w:tcPr>
          <w:p w14:paraId="4583E80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0.0078</w:t>
            </w:r>
          </w:p>
        </w:tc>
      </w:tr>
      <w:tr w:rsidR="00A60822" w:rsidRPr="00A60822" w14:paraId="69D732A5" w14:textId="77777777" w:rsidTr="00D00B3F">
        <w:trPr>
          <w:trHeight w:val="454"/>
          <w:tblCellSpacing w:w="15" w:type="dxa"/>
        </w:trPr>
        <w:tc>
          <w:tcPr>
            <w:tcW w:w="2082" w:type="dxa"/>
            <w:vAlign w:val="center"/>
            <w:hideMark/>
          </w:tcPr>
          <w:p w14:paraId="3BA4B8E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SIZE_LOG</w:t>
            </w:r>
          </w:p>
        </w:tc>
        <w:tc>
          <w:tcPr>
            <w:tcW w:w="1954" w:type="dxa"/>
            <w:vAlign w:val="center"/>
            <w:hideMark/>
          </w:tcPr>
          <w:p w14:paraId="3955874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0.045210</w:t>
            </w:r>
          </w:p>
        </w:tc>
        <w:tc>
          <w:tcPr>
            <w:tcW w:w="1246" w:type="dxa"/>
            <w:vAlign w:val="center"/>
            <w:hideMark/>
          </w:tcPr>
          <w:p w14:paraId="2132713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0.021450</w:t>
            </w:r>
          </w:p>
        </w:tc>
        <w:tc>
          <w:tcPr>
            <w:tcW w:w="1529" w:type="dxa"/>
            <w:vAlign w:val="center"/>
            <w:hideMark/>
          </w:tcPr>
          <w:p w14:paraId="272E82C8"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2.107692</w:t>
            </w:r>
          </w:p>
        </w:tc>
        <w:tc>
          <w:tcPr>
            <w:tcW w:w="1231" w:type="dxa"/>
            <w:vAlign w:val="center"/>
            <w:hideMark/>
          </w:tcPr>
          <w:p w14:paraId="3E5BFBC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0.0355</w:t>
            </w:r>
          </w:p>
        </w:tc>
      </w:tr>
      <w:tr w:rsidR="00A60822" w:rsidRPr="00A60822" w14:paraId="167D132D" w14:textId="77777777" w:rsidTr="00D00B3F">
        <w:trPr>
          <w:trHeight w:val="454"/>
          <w:tblCellSpacing w:w="15" w:type="dxa"/>
        </w:trPr>
        <w:tc>
          <w:tcPr>
            <w:tcW w:w="2082" w:type="dxa"/>
            <w:tcBorders>
              <w:bottom w:val="single" w:sz="4" w:space="0" w:color="auto"/>
            </w:tcBorders>
            <w:vAlign w:val="center"/>
            <w:hideMark/>
          </w:tcPr>
          <w:p w14:paraId="7FBEE1F8"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LEV_RATIO</w:t>
            </w:r>
          </w:p>
        </w:tc>
        <w:tc>
          <w:tcPr>
            <w:tcW w:w="1954" w:type="dxa"/>
            <w:tcBorders>
              <w:bottom w:val="single" w:sz="4" w:space="0" w:color="auto"/>
            </w:tcBorders>
            <w:vAlign w:val="center"/>
            <w:hideMark/>
          </w:tcPr>
          <w:p w14:paraId="58EFD4D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-0.124510</w:t>
            </w:r>
          </w:p>
        </w:tc>
        <w:tc>
          <w:tcPr>
            <w:tcW w:w="1246" w:type="dxa"/>
            <w:tcBorders>
              <w:bottom w:val="single" w:sz="4" w:space="0" w:color="auto"/>
            </w:tcBorders>
            <w:vAlign w:val="center"/>
            <w:hideMark/>
          </w:tcPr>
          <w:p w14:paraId="03C6002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0.054210</w:t>
            </w:r>
          </w:p>
        </w:tc>
        <w:tc>
          <w:tcPr>
            <w:tcW w:w="1529" w:type="dxa"/>
            <w:tcBorders>
              <w:bottom w:val="single" w:sz="4" w:space="0" w:color="auto"/>
            </w:tcBorders>
            <w:vAlign w:val="center"/>
            <w:hideMark/>
          </w:tcPr>
          <w:p w14:paraId="5E01625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-2.296809</w:t>
            </w:r>
          </w:p>
        </w:tc>
        <w:tc>
          <w:tcPr>
            <w:tcW w:w="1231" w:type="dxa"/>
            <w:tcBorders>
              <w:bottom w:val="single" w:sz="4" w:space="0" w:color="auto"/>
            </w:tcBorders>
            <w:vAlign w:val="center"/>
            <w:hideMark/>
          </w:tcPr>
          <w:p w14:paraId="76257817"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0.0220</w:t>
            </w:r>
          </w:p>
        </w:tc>
      </w:tr>
    </w:tbl>
    <w:p w14:paraId="575572E6" w14:textId="77777777" w:rsidR="00A60822" w:rsidRPr="00A60822" w:rsidRDefault="00A60822" w:rsidP="002C367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Notes:</w:t>
      </w:r>
      <w:r w:rsidRPr="00A60822">
        <w:rPr>
          <w:rFonts w:ascii="Times New Roman" w:eastAsia="Times New Roman" w:hAnsi="Times New Roman" w:cs="Times New Roman"/>
          <w:kern w:val="0"/>
          <w:lang w:val="en-GB" w:eastAsia="en-GB"/>
          <w14:ligatures w14:val="none"/>
        </w:rPr>
        <w:t xml:space="preserve"> *** p &lt; 0.01, ** p &lt; 0.05 (two-tailed tests)</w:t>
      </w:r>
    </w:p>
    <w:p w14:paraId="0425BB53" w14:textId="77777777" w:rsidR="00A60822" w:rsidRPr="00A60822" w:rsidRDefault="00A60822" w:rsidP="002C367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bCs/>
          <w:kern w:val="0"/>
          <w:lang w:val="en-GB" w:eastAsia="en-GB"/>
          <w14:ligatures w14:val="none"/>
        </w:rPr>
        <w:t>Panel B: Model Fit and Diagnostic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268"/>
        <w:gridCol w:w="2268"/>
        <w:gridCol w:w="1418"/>
      </w:tblGrid>
      <w:tr w:rsidR="00A60822" w:rsidRPr="00A60822" w14:paraId="25285A9B" w14:textId="77777777" w:rsidTr="00A60822">
        <w:trPr>
          <w:trHeight w:val="510"/>
          <w:tblHeader/>
          <w:tblCellSpacing w:w="15" w:type="dxa"/>
        </w:trPr>
        <w:tc>
          <w:tcPr>
            <w:tcW w:w="2365" w:type="dxa"/>
            <w:tcBorders>
              <w:top w:val="single" w:sz="4" w:space="0" w:color="auto"/>
              <w:bottom w:val="single" w:sz="4" w:space="0" w:color="auto"/>
            </w:tcBorders>
            <w:shd w:val="clear" w:color="auto" w:fill="E7E6E6"/>
            <w:vAlign w:val="center"/>
            <w:hideMark/>
          </w:tcPr>
          <w:p w14:paraId="3690037E"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Statistic</w:t>
            </w:r>
          </w:p>
        </w:tc>
        <w:tc>
          <w:tcPr>
            <w:tcW w:w="2238" w:type="dxa"/>
            <w:tcBorders>
              <w:top w:val="single" w:sz="4" w:space="0" w:color="auto"/>
              <w:bottom w:val="single" w:sz="4" w:space="0" w:color="auto"/>
            </w:tcBorders>
            <w:shd w:val="clear" w:color="auto" w:fill="E7E6E6"/>
            <w:vAlign w:val="center"/>
            <w:hideMark/>
          </w:tcPr>
          <w:p w14:paraId="4DE2D649"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Value</w:t>
            </w:r>
          </w:p>
        </w:tc>
        <w:tc>
          <w:tcPr>
            <w:tcW w:w="2238" w:type="dxa"/>
            <w:tcBorders>
              <w:top w:val="single" w:sz="4" w:space="0" w:color="auto"/>
              <w:bottom w:val="single" w:sz="4" w:space="0" w:color="auto"/>
            </w:tcBorders>
            <w:shd w:val="clear" w:color="auto" w:fill="E7E6E6"/>
            <w:vAlign w:val="center"/>
            <w:hideMark/>
          </w:tcPr>
          <w:p w14:paraId="12437C60"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Statistic</w:t>
            </w:r>
          </w:p>
        </w:tc>
        <w:tc>
          <w:tcPr>
            <w:tcW w:w="1373" w:type="dxa"/>
            <w:tcBorders>
              <w:top w:val="single" w:sz="4" w:space="0" w:color="auto"/>
              <w:bottom w:val="single" w:sz="4" w:space="0" w:color="auto"/>
            </w:tcBorders>
            <w:shd w:val="clear" w:color="auto" w:fill="E7E6E6"/>
            <w:vAlign w:val="center"/>
            <w:hideMark/>
          </w:tcPr>
          <w:p w14:paraId="420717C9"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Value</w:t>
            </w:r>
          </w:p>
        </w:tc>
      </w:tr>
      <w:tr w:rsidR="00A60822" w:rsidRPr="00A60822" w14:paraId="30C2AD42" w14:textId="77777777" w:rsidTr="00D00B3F">
        <w:trPr>
          <w:trHeight w:val="510"/>
          <w:tblCellSpacing w:w="15" w:type="dxa"/>
        </w:trPr>
        <w:tc>
          <w:tcPr>
            <w:tcW w:w="2365" w:type="dxa"/>
            <w:vAlign w:val="center"/>
            <w:hideMark/>
          </w:tcPr>
          <w:p w14:paraId="1828A4F5"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R-squared</w:t>
            </w:r>
          </w:p>
        </w:tc>
        <w:tc>
          <w:tcPr>
            <w:tcW w:w="2238" w:type="dxa"/>
            <w:vAlign w:val="center"/>
            <w:hideMark/>
          </w:tcPr>
          <w:p w14:paraId="6A4D0AC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0.584210</w:t>
            </w:r>
          </w:p>
        </w:tc>
        <w:tc>
          <w:tcPr>
            <w:tcW w:w="2238" w:type="dxa"/>
            <w:vAlign w:val="center"/>
            <w:hideMark/>
          </w:tcPr>
          <w:p w14:paraId="28A2F126"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Mean dependent var</w:t>
            </w:r>
          </w:p>
        </w:tc>
        <w:tc>
          <w:tcPr>
            <w:tcW w:w="1373" w:type="dxa"/>
            <w:vAlign w:val="center"/>
            <w:hideMark/>
          </w:tcPr>
          <w:p w14:paraId="0E0A0085"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1.624530</w:t>
            </w:r>
          </w:p>
        </w:tc>
      </w:tr>
      <w:tr w:rsidR="00A60822" w:rsidRPr="00A60822" w14:paraId="3874CEA0" w14:textId="77777777" w:rsidTr="00D00B3F">
        <w:trPr>
          <w:trHeight w:val="510"/>
          <w:tblCellSpacing w:w="15" w:type="dxa"/>
        </w:trPr>
        <w:tc>
          <w:tcPr>
            <w:tcW w:w="2365" w:type="dxa"/>
            <w:vAlign w:val="center"/>
            <w:hideMark/>
          </w:tcPr>
          <w:p w14:paraId="377D86A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Adjusted R-squared</w:t>
            </w:r>
          </w:p>
        </w:tc>
        <w:tc>
          <w:tcPr>
            <w:tcW w:w="2238" w:type="dxa"/>
            <w:vAlign w:val="center"/>
            <w:hideMark/>
          </w:tcPr>
          <w:p w14:paraId="65A2BD88"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0.578412</w:t>
            </w:r>
          </w:p>
        </w:tc>
        <w:tc>
          <w:tcPr>
            <w:tcW w:w="2238" w:type="dxa"/>
            <w:vAlign w:val="center"/>
            <w:hideMark/>
          </w:tcPr>
          <w:p w14:paraId="2F4DEB97"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S.D. dependent var</w:t>
            </w:r>
          </w:p>
        </w:tc>
        <w:tc>
          <w:tcPr>
            <w:tcW w:w="1373" w:type="dxa"/>
            <w:vAlign w:val="center"/>
            <w:hideMark/>
          </w:tcPr>
          <w:p w14:paraId="5B53C9E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0.684215</w:t>
            </w:r>
          </w:p>
        </w:tc>
      </w:tr>
      <w:tr w:rsidR="00A60822" w:rsidRPr="00A60822" w14:paraId="2589F3EE" w14:textId="77777777" w:rsidTr="00D00B3F">
        <w:trPr>
          <w:trHeight w:val="510"/>
          <w:tblCellSpacing w:w="15" w:type="dxa"/>
        </w:trPr>
        <w:tc>
          <w:tcPr>
            <w:tcW w:w="2365" w:type="dxa"/>
            <w:vAlign w:val="center"/>
            <w:hideMark/>
          </w:tcPr>
          <w:p w14:paraId="74279CB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S.E. of regression</w:t>
            </w:r>
          </w:p>
        </w:tc>
        <w:tc>
          <w:tcPr>
            <w:tcW w:w="2238" w:type="dxa"/>
            <w:vAlign w:val="center"/>
            <w:hideMark/>
          </w:tcPr>
          <w:p w14:paraId="2EB3714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0.442510</w:t>
            </w:r>
          </w:p>
        </w:tc>
        <w:tc>
          <w:tcPr>
            <w:tcW w:w="2238" w:type="dxa"/>
            <w:vAlign w:val="center"/>
            <w:hideMark/>
          </w:tcPr>
          <w:p w14:paraId="350E243C"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Akaike info criterion</w:t>
            </w:r>
          </w:p>
        </w:tc>
        <w:tc>
          <w:tcPr>
            <w:tcW w:w="1373" w:type="dxa"/>
            <w:vAlign w:val="center"/>
            <w:hideMark/>
          </w:tcPr>
          <w:p w14:paraId="7A90F167"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1.214510</w:t>
            </w:r>
          </w:p>
        </w:tc>
      </w:tr>
      <w:tr w:rsidR="00A60822" w:rsidRPr="00A60822" w14:paraId="3EFC1E6D" w14:textId="77777777" w:rsidTr="00D00B3F">
        <w:trPr>
          <w:trHeight w:val="510"/>
          <w:tblCellSpacing w:w="15" w:type="dxa"/>
        </w:trPr>
        <w:tc>
          <w:tcPr>
            <w:tcW w:w="2365" w:type="dxa"/>
            <w:vAlign w:val="center"/>
            <w:hideMark/>
          </w:tcPr>
          <w:p w14:paraId="385FC08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Sum squared resid</w:t>
            </w:r>
          </w:p>
        </w:tc>
        <w:tc>
          <w:tcPr>
            <w:tcW w:w="2238" w:type="dxa"/>
            <w:vAlign w:val="center"/>
            <w:hideMark/>
          </w:tcPr>
          <w:p w14:paraId="4C692D4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106.4512</w:t>
            </w:r>
          </w:p>
        </w:tc>
        <w:tc>
          <w:tcPr>
            <w:tcW w:w="2238" w:type="dxa"/>
            <w:vAlign w:val="center"/>
            <w:hideMark/>
          </w:tcPr>
          <w:p w14:paraId="79FA751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Schwarz criterion</w:t>
            </w:r>
          </w:p>
        </w:tc>
        <w:tc>
          <w:tcPr>
            <w:tcW w:w="1373" w:type="dxa"/>
            <w:vAlign w:val="center"/>
            <w:hideMark/>
          </w:tcPr>
          <w:p w14:paraId="186A3EE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1.264512</w:t>
            </w:r>
          </w:p>
        </w:tc>
      </w:tr>
      <w:tr w:rsidR="00A60822" w:rsidRPr="00A60822" w14:paraId="45064CD0" w14:textId="77777777" w:rsidTr="00D00B3F">
        <w:trPr>
          <w:trHeight w:val="510"/>
          <w:tblCellSpacing w:w="15" w:type="dxa"/>
        </w:trPr>
        <w:tc>
          <w:tcPr>
            <w:tcW w:w="2365" w:type="dxa"/>
            <w:vAlign w:val="center"/>
            <w:hideMark/>
          </w:tcPr>
          <w:p w14:paraId="692814C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Log likelihood</w:t>
            </w:r>
          </w:p>
        </w:tc>
        <w:tc>
          <w:tcPr>
            <w:tcW w:w="2238" w:type="dxa"/>
            <w:vAlign w:val="center"/>
            <w:hideMark/>
          </w:tcPr>
          <w:p w14:paraId="41B15C86"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-328.4512</w:t>
            </w:r>
          </w:p>
        </w:tc>
        <w:tc>
          <w:tcPr>
            <w:tcW w:w="2238" w:type="dxa"/>
            <w:vAlign w:val="center"/>
            <w:hideMark/>
          </w:tcPr>
          <w:p w14:paraId="4C3758CC"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 xml:space="preserve">Hannan-Quinn </w:t>
            </w:r>
            <w:proofErr w:type="spellStart"/>
            <w:r w:rsidRPr="00A60822">
              <w:rPr>
                <w:rFonts w:ascii="Times New Roman" w:eastAsia="Times New Roman" w:hAnsi="Times New Roman" w:cs="Times New Roman"/>
                <w:kern w:val="0"/>
                <w:lang w:val="en-GB" w:eastAsia="en-GB"/>
                <w14:ligatures w14:val="none"/>
              </w:rPr>
              <w:t>criter</w:t>
            </w:r>
            <w:proofErr w:type="spellEnd"/>
            <w:r w:rsidRPr="00A60822">
              <w:rPr>
                <w:rFonts w:ascii="Times New Roman" w:eastAsia="Times New Roman" w:hAnsi="Times New Roman" w:cs="Times New Roman"/>
                <w:kern w:val="0"/>
                <w:lang w:val="en-GB" w:eastAsia="en-GB"/>
                <w14:ligatures w14:val="none"/>
              </w:rPr>
              <w:t>.</w:t>
            </w:r>
          </w:p>
        </w:tc>
        <w:tc>
          <w:tcPr>
            <w:tcW w:w="1373" w:type="dxa"/>
            <w:vAlign w:val="center"/>
            <w:hideMark/>
          </w:tcPr>
          <w:p w14:paraId="025654F8"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1.234510</w:t>
            </w:r>
          </w:p>
        </w:tc>
      </w:tr>
      <w:tr w:rsidR="00A60822" w:rsidRPr="00A60822" w14:paraId="75054A55" w14:textId="77777777" w:rsidTr="00D00B3F">
        <w:trPr>
          <w:trHeight w:val="510"/>
          <w:tblCellSpacing w:w="15" w:type="dxa"/>
        </w:trPr>
        <w:tc>
          <w:tcPr>
            <w:tcW w:w="2365" w:type="dxa"/>
            <w:vAlign w:val="center"/>
            <w:hideMark/>
          </w:tcPr>
          <w:p w14:paraId="1DBDB38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F-statistic</w:t>
            </w:r>
          </w:p>
        </w:tc>
        <w:tc>
          <w:tcPr>
            <w:tcW w:w="2238" w:type="dxa"/>
            <w:vAlign w:val="center"/>
            <w:hideMark/>
          </w:tcPr>
          <w:p w14:paraId="119D75C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152.4512</w:t>
            </w:r>
          </w:p>
        </w:tc>
        <w:tc>
          <w:tcPr>
            <w:tcW w:w="2238" w:type="dxa"/>
            <w:vAlign w:val="center"/>
            <w:hideMark/>
          </w:tcPr>
          <w:p w14:paraId="60BCE395"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Durbin-Watson stat</w:t>
            </w:r>
          </w:p>
        </w:tc>
        <w:tc>
          <w:tcPr>
            <w:tcW w:w="1373" w:type="dxa"/>
            <w:vAlign w:val="center"/>
            <w:hideMark/>
          </w:tcPr>
          <w:p w14:paraId="4973A81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1.845120</w:t>
            </w:r>
          </w:p>
        </w:tc>
      </w:tr>
      <w:tr w:rsidR="00A60822" w:rsidRPr="00A60822" w14:paraId="57B37B27" w14:textId="77777777" w:rsidTr="00D00B3F">
        <w:trPr>
          <w:trHeight w:val="510"/>
          <w:tblCellSpacing w:w="15" w:type="dxa"/>
        </w:trPr>
        <w:tc>
          <w:tcPr>
            <w:tcW w:w="2365" w:type="dxa"/>
            <w:tcBorders>
              <w:bottom w:val="single" w:sz="4" w:space="0" w:color="auto"/>
            </w:tcBorders>
            <w:vAlign w:val="center"/>
            <w:hideMark/>
          </w:tcPr>
          <w:p w14:paraId="67018B0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Prob(F-statistic)</w:t>
            </w:r>
          </w:p>
        </w:tc>
        <w:tc>
          <w:tcPr>
            <w:tcW w:w="2238" w:type="dxa"/>
            <w:tcBorders>
              <w:bottom w:val="single" w:sz="4" w:space="0" w:color="auto"/>
            </w:tcBorders>
            <w:vAlign w:val="center"/>
            <w:hideMark/>
          </w:tcPr>
          <w:p w14:paraId="413E5D0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0.000000</w:t>
            </w:r>
          </w:p>
        </w:tc>
        <w:tc>
          <w:tcPr>
            <w:tcW w:w="2238" w:type="dxa"/>
            <w:tcBorders>
              <w:bottom w:val="single" w:sz="4" w:space="0" w:color="auto"/>
            </w:tcBorders>
            <w:vAlign w:val="center"/>
            <w:hideMark/>
          </w:tcPr>
          <w:p w14:paraId="1083FA8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p>
        </w:tc>
        <w:tc>
          <w:tcPr>
            <w:tcW w:w="1373" w:type="dxa"/>
            <w:tcBorders>
              <w:bottom w:val="single" w:sz="4" w:space="0" w:color="auto"/>
            </w:tcBorders>
            <w:vAlign w:val="center"/>
            <w:hideMark/>
          </w:tcPr>
          <w:p w14:paraId="322F3290" w14:textId="77777777" w:rsidR="00A60822" w:rsidRPr="00A60822" w:rsidRDefault="00A60822" w:rsidP="002C3670">
            <w:pPr>
              <w:spacing w:after="0" w:line="240" w:lineRule="auto"/>
              <w:jc w:val="center"/>
              <w:rPr>
                <w:rFonts w:ascii="Times New Roman" w:eastAsia="Times New Roman" w:hAnsi="Times New Roman" w:cs="Times New Roman"/>
                <w:kern w:val="0"/>
                <w:sz w:val="20"/>
                <w:szCs w:val="20"/>
                <w:lang w:val="en-GB" w:eastAsia="en-GB"/>
                <w14:ligatures w14:val="none"/>
              </w:rPr>
            </w:pPr>
          </w:p>
        </w:tc>
      </w:tr>
    </w:tbl>
    <w:p w14:paraId="1B8873E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Source: Author’s computation using E-views, 2026</w:t>
      </w:r>
    </w:p>
    <w:p w14:paraId="28E66071"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5CD2BACF" w14:textId="104E5A2E"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Interpretation</w:t>
      </w:r>
    </w:p>
    <w:p w14:paraId="1B556DE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This table represents the estimated coefficients for the firm valuation model:</w:t>
      </w:r>
    </w:p>
    <w:p w14:paraId="3765A3BD"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TOBIN'S </w:t>
      </w:r>
      <w:proofErr w:type="spellStart"/>
      <w:r w:rsidRPr="00A60822">
        <w:rPr>
          <w:rFonts w:ascii="Times New Roman" w:eastAsia="Calibri" w:hAnsi="Times New Roman" w:cs="Times New Roman"/>
          <w:kern w:val="0"/>
          <w:lang w:val="en-GB"/>
          <w14:ligatures w14:val="none"/>
        </w:rPr>
        <w:t>Q_it</w:t>
      </w:r>
      <w:proofErr w:type="spellEnd"/>
      <w:r w:rsidRPr="00A60822">
        <w:rPr>
          <w:rFonts w:ascii="Times New Roman" w:eastAsia="Calibri" w:hAnsi="Times New Roman" w:cs="Times New Roman"/>
          <w:kern w:val="0"/>
          <w:lang w:val="en-GB"/>
          <w14:ligatures w14:val="none"/>
        </w:rPr>
        <w:t xml:space="preserve"> = β₀ + β₁ </w:t>
      </w:r>
      <w:proofErr w:type="spellStart"/>
      <w:r w:rsidRPr="00A60822">
        <w:rPr>
          <w:rFonts w:ascii="Times New Roman" w:eastAsia="Calibri" w:hAnsi="Times New Roman" w:cs="Times New Roman"/>
          <w:kern w:val="0"/>
          <w:lang w:val="en-GB"/>
          <w14:ligatures w14:val="none"/>
        </w:rPr>
        <w:t>ITI_RATIO_it</w:t>
      </w:r>
      <w:proofErr w:type="spellEnd"/>
      <w:r w:rsidRPr="00A60822">
        <w:rPr>
          <w:rFonts w:ascii="Times New Roman" w:eastAsia="Calibri" w:hAnsi="Times New Roman" w:cs="Times New Roman"/>
          <w:kern w:val="0"/>
          <w:lang w:val="en-GB"/>
          <w14:ligatures w14:val="none"/>
        </w:rPr>
        <w:t xml:space="preserve"> + β₂ </w:t>
      </w:r>
      <w:proofErr w:type="spellStart"/>
      <w:r w:rsidRPr="00A60822">
        <w:rPr>
          <w:rFonts w:ascii="Times New Roman" w:eastAsia="Calibri" w:hAnsi="Times New Roman" w:cs="Times New Roman"/>
          <w:kern w:val="0"/>
          <w:lang w:val="en-GB"/>
          <w14:ligatures w14:val="none"/>
        </w:rPr>
        <w:t>SIA_NGN_it</w:t>
      </w:r>
      <w:proofErr w:type="spellEnd"/>
      <w:r w:rsidRPr="00A60822">
        <w:rPr>
          <w:rFonts w:ascii="Times New Roman" w:eastAsia="Calibri" w:hAnsi="Times New Roman" w:cs="Times New Roman"/>
          <w:kern w:val="0"/>
          <w:lang w:val="en-GB"/>
          <w14:ligatures w14:val="none"/>
        </w:rPr>
        <w:t xml:space="preserve"> + β₃ </w:t>
      </w:r>
      <w:proofErr w:type="spellStart"/>
      <w:r w:rsidRPr="00A60822">
        <w:rPr>
          <w:rFonts w:ascii="Times New Roman" w:eastAsia="Calibri" w:hAnsi="Times New Roman" w:cs="Times New Roman"/>
          <w:kern w:val="0"/>
          <w:lang w:val="en-GB"/>
          <w14:ligatures w14:val="none"/>
        </w:rPr>
        <w:t>BDE_PCT_it</w:t>
      </w:r>
      <w:proofErr w:type="spellEnd"/>
      <w:r w:rsidRPr="00A60822">
        <w:rPr>
          <w:rFonts w:ascii="Times New Roman" w:eastAsia="Calibri" w:hAnsi="Times New Roman" w:cs="Times New Roman"/>
          <w:kern w:val="0"/>
          <w:lang w:val="en-GB"/>
          <w14:ligatures w14:val="none"/>
        </w:rPr>
        <w:t xml:space="preserve"> + β₄ </w:t>
      </w:r>
      <w:proofErr w:type="spellStart"/>
      <w:r w:rsidRPr="00A60822">
        <w:rPr>
          <w:rFonts w:ascii="Times New Roman" w:eastAsia="Calibri" w:hAnsi="Times New Roman" w:cs="Times New Roman"/>
          <w:kern w:val="0"/>
          <w:lang w:val="en-GB"/>
          <w14:ligatures w14:val="none"/>
        </w:rPr>
        <w:t>SIZE_LOG_it</w:t>
      </w:r>
      <w:proofErr w:type="spellEnd"/>
      <w:r w:rsidRPr="00A60822">
        <w:rPr>
          <w:rFonts w:ascii="Times New Roman" w:eastAsia="Calibri" w:hAnsi="Times New Roman" w:cs="Times New Roman"/>
          <w:kern w:val="0"/>
          <w:lang w:val="en-GB"/>
          <w14:ligatures w14:val="none"/>
        </w:rPr>
        <w:t xml:space="preserve"> + β₅ </w:t>
      </w:r>
      <w:proofErr w:type="spellStart"/>
      <w:r w:rsidRPr="00A60822">
        <w:rPr>
          <w:rFonts w:ascii="Times New Roman" w:eastAsia="Calibri" w:hAnsi="Times New Roman" w:cs="Times New Roman"/>
          <w:kern w:val="0"/>
          <w:lang w:val="en-GB"/>
          <w14:ligatures w14:val="none"/>
        </w:rPr>
        <w:t>LEV_RATIO_it</w:t>
      </w:r>
      <w:proofErr w:type="spellEnd"/>
      <w:r w:rsidRPr="00A60822">
        <w:rPr>
          <w:rFonts w:ascii="Times New Roman" w:eastAsia="Calibri" w:hAnsi="Times New Roman" w:cs="Times New Roman"/>
          <w:kern w:val="0"/>
          <w:lang w:val="en-GB"/>
          <w14:ligatures w14:val="none"/>
        </w:rPr>
        <w:t xml:space="preserve"> + </w:t>
      </w:r>
      <w:proofErr w:type="spellStart"/>
      <w:r w:rsidRPr="00A60822">
        <w:rPr>
          <w:rFonts w:ascii="Times New Roman" w:eastAsia="Calibri" w:hAnsi="Times New Roman" w:cs="Times New Roman"/>
          <w:kern w:val="0"/>
          <w:lang w:val="en-GB"/>
          <w14:ligatures w14:val="none"/>
        </w:rPr>
        <w:t>ε_it</w:t>
      </w:r>
      <w:proofErr w:type="spellEnd"/>
    </w:p>
    <w:p w14:paraId="5147505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model explains approximately 58.4% of the variation in Tobin’s Q (R² = 0.5842), with an adjusted R² of 57.8% after accounting for the number of predictors.</w:t>
      </w:r>
    </w:p>
    <w:p w14:paraId="37E11848"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overall model is highly significant (F = 152.45, p &lt; 0.0001).</w:t>
      </w:r>
    </w:p>
    <w:p w14:paraId="516D485D"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lastRenderedPageBreak/>
        <w:t>The Durbin-Watson statistic (1.845) is close to 2, indicating no strong evidence of first-order serial correlation in the residuals.</w:t>
      </w:r>
    </w:p>
    <w:p w14:paraId="687DF93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All three digital innovation adoption variables (ITI_RATIO, SIA_NGN, BDE_PCT) are positive and statistically significant at the 1% level, providing strong support for the hypothesized positive effect of digital innovation adoption on firm valuation.</w:t>
      </w:r>
    </w:p>
    <w:p w14:paraId="43CDABB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Firm size (SIZE_LOG) has a positive and significant effect, while leverage (LEV_RATIO) has a negative and significant effect, consistent with theoretical expectations in emerging-market finance literature.</w:t>
      </w:r>
    </w:p>
    <w:p w14:paraId="44422A75" w14:textId="187953EB" w:rsidR="00A60822" w:rsidRPr="00A60822" w:rsidRDefault="00A60822" w:rsidP="002C367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b/>
          <w:kern w:val="0"/>
          <w:lang w:val="en-GB" w:eastAsia="en-GB"/>
          <w14:ligatures w14:val="none"/>
        </w:rPr>
        <w:t>Table 3:</w:t>
      </w:r>
      <w:r w:rsidRPr="00A60822">
        <w:rPr>
          <w:rFonts w:ascii="Times New Roman" w:eastAsia="Times New Roman" w:hAnsi="Times New Roman" w:cs="Times New Roman"/>
          <w:kern w:val="0"/>
          <w:lang w:val="en-GB" w:eastAsia="en-GB"/>
          <w14:ligatures w14:val="none"/>
        </w:rPr>
        <w:t xml:space="preserve"> Panel Least Squares Regression Results – Firm Competitiveness</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559"/>
        <w:gridCol w:w="1701"/>
        <w:gridCol w:w="1701"/>
        <w:gridCol w:w="1876"/>
      </w:tblGrid>
      <w:tr w:rsidR="00A60822" w:rsidRPr="00A60822" w14:paraId="5E1E741D" w14:textId="77777777" w:rsidTr="00A60822">
        <w:trPr>
          <w:trHeight w:val="510"/>
          <w:tblHeader/>
          <w:tblCellSpacing w:w="15" w:type="dxa"/>
          <w:jc w:val="center"/>
        </w:trPr>
        <w:tc>
          <w:tcPr>
            <w:tcW w:w="8195" w:type="dxa"/>
            <w:gridSpan w:val="5"/>
            <w:tcBorders>
              <w:top w:val="single" w:sz="4" w:space="0" w:color="auto"/>
              <w:bottom w:val="single" w:sz="4" w:space="0" w:color="auto"/>
            </w:tcBorders>
            <w:shd w:val="clear" w:color="auto" w:fill="FFFFFF"/>
            <w:vAlign w:val="center"/>
          </w:tcPr>
          <w:p w14:paraId="39639835"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 xml:space="preserve">Dependent Variable: COMP </w:t>
            </w:r>
          </w:p>
          <w:p w14:paraId="3CD2EA98"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 xml:space="preserve">Method: Panel Least Squares </w:t>
            </w:r>
          </w:p>
          <w:p w14:paraId="027E8BAF"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 xml:space="preserve">Sample: 2015–2024 </w:t>
            </w:r>
          </w:p>
          <w:p w14:paraId="4BC17078"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 xml:space="preserve">Periods included: 11 </w:t>
            </w:r>
          </w:p>
          <w:p w14:paraId="570498C4" w14:textId="77777777" w:rsidR="00A60822" w:rsidRPr="00A60822" w:rsidRDefault="00A60822" w:rsidP="002C3670">
            <w:pPr>
              <w:spacing w:after="0" w:line="240" w:lineRule="auto"/>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 xml:space="preserve">Cross-sections included: 50 Total panel (balanced) </w:t>
            </w:r>
          </w:p>
          <w:p w14:paraId="66657AA2" w14:textId="77777777" w:rsidR="00A60822" w:rsidRPr="00A60822" w:rsidRDefault="00A60822" w:rsidP="002C3670">
            <w:pPr>
              <w:spacing w:after="0" w:line="240" w:lineRule="auto"/>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kern w:val="0"/>
                <w:lang w:val="en-GB" w:eastAsia="en-GB"/>
                <w14:ligatures w14:val="none"/>
              </w:rPr>
              <w:t>observations: 550</w:t>
            </w:r>
          </w:p>
        </w:tc>
      </w:tr>
      <w:tr w:rsidR="00A60822" w:rsidRPr="00A60822" w14:paraId="4CC1B881" w14:textId="77777777" w:rsidTr="00A60822">
        <w:trPr>
          <w:trHeight w:val="510"/>
          <w:tblHeader/>
          <w:tblCellSpacing w:w="15" w:type="dxa"/>
          <w:jc w:val="center"/>
        </w:trPr>
        <w:tc>
          <w:tcPr>
            <w:tcW w:w="1373" w:type="dxa"/>
            <w:tcBorders>
              <w:top w:val="single" w:sz="4" w:space="0" w:color="auto"/>
              <w:bottom w:val="single" w:sz="4" w:space="0" w:color="auto"/>
            </w:tcBorders>
            <w:shd w:val="clear" w:color="auto" w:fill="E7E6E6"/>
            <w:vAlign w:val="center"/>
            <w:hideMark/>
          </w:tcPr>
          <w:p w14:paraId="51595F84"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Variable</w:t>
            </w:r>
          </w:p>
        </w:tc>
        <w:tc>
          <w:tcPr>
            <w:tcW w:w="1529" w:type="dxa"/>
            <w:tcBorders>
              <w:top w:val="single" w:sz="4" w:space="0" w:color="auto"/>
              <w:bottom w:val="single" w:sz="4" w:space="0" w:color="auto"/>
            </w:tcBorders>
            <w:shd w:val="clear" w:color="auto" w:fill="E7E6E6"/>
            <w:vAlign w:val="center"/>
            <w:hideMark/>
          </w:tcPr>
          <w:p w14:paraId="6CB222C4"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Coefficient</w:t>
            </w:r>
          </w:p>
        </w:tc>
        <w:tc>
          <w:tcPr>
            <w:tcW w:w="1671" w:type="dxa"/>
            <w:tcBorders>
              <w:top w:val="single" w:sz="4" w:space="0" w:color="auto"/>
              <w:bottom w:val="single" w:sz="4" w:space="0" w:color="auto"/>
            </w:tcBorders>
            <w:shd w:val="clear" w:color="auto" w:fill="E7E6E6"/>
            <w:vAlign w:val="center"/>
            <w:hideMark/>
          </w:tcPr>
          <w:p w14:paraId="08ECB4EA"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Std. Error</w:t>
            </w:r>
          </w:p>
        </w:tc>
        <w:tc>
          <w:tcPr>
            <w:tcW w:w="1671" w:type="dxa"/>
            <w:tcBorders>
              <w:top w:val="single" w:sz="4" w:space="0" w:color="auto"/>
              <w:bottom w:val="single" w:sz="4" w:space="0" w:color="auto"/>
            </w:tcBorders>
            <w:shd w:val="clear" w:color="auto" w:fill="E7E6E6"/>
            <w:vAlign w:val="center"/>
            <w:hideMark/>
          </w:tcPr>
          <w:p w14:paraId="7BE52449"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t-Statistic</w:t>
            </w:r>
          </w:p>
        </w:tc>
        <w:tc>
          <w:tcPr>
            <w:tcW w:w="1831" w:type="dxa"/>
            <w:tcBorders>
              <w:top w:val="single" w:sz="4" w:space="0" w:color="auto"/>
              <w:bottom w:val="single" w:sz="4" w:space="0" w:color="auto"/>
            </w:tcBorders>
            <w:shd w:val="clear" w:color="auto" w:fill="E7E6E6"/>
            <w:vAlign w:val="center"/>
            <w:hideMark/>
          </w:tcPr>
          <w:p w14:paraId="20ADF5F7"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p-value</w:t>
            </w:r>
          </w:p>
        </w:tc>
      </w:tr>
      <w:tr w:rsidR="00A60822" w:rsidRPr="00A60822" w14:paraId="6C451630" w14:textId="77777777" w:rsidTr="00D00B3F">
        <w:trPr>
          <w:trHeight w:val="510"/>
          <w:tblCellSpacing w:w="15" w:type="dxa"/>
          <w:jc w:val="center"/>
        </w:trPr>
        <w:tc>
          <w:tcPr>
            <w:tcW w:w="1373" w:type="dxa"/>
            <w:vAlign w:val="center"/>
            <w:hideMark/>
          </w:tcPr>
          <w:p w14:paraId="3ED01A6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Constant (C)</w:t>
            </w:r>
          </w:p>
        </w:tc>
        <w:tc>
          <w:tcPr>
            <w:tcW w:w="1529" w:type="dxa"/>
            <w:vAlign w:val="center"/>
            <w:hideMark/>
          </w:tcPr>
          <w:p w14:paraId="5091F70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0.054210</w:t>
            </w:r>
          </w:p>
        </w:tc>
        <w:tc>
          <w:tcPr>
            <w:tcW w:w="1671" w:type="dxa"/>
            <w:vAlign w:val="center"/>
            <w:hideMark/>
          </w:tcPr>
          <w:p w14:paraId="0ABF7D7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0.012450</w:t>
            </w:r>
          </w:p>
        </w:tc>
        <w:tc>
          <w:tcPr>
            <w:tcW w:w="1671" w:type="dxa"/>
            <w:vAlign w:val="center"/>
            <w:hideMark/>
          </w:tcPr>
          <w:p w14:paraId="6F3C627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4.354217</w:t>
            </w:r>
          </w:p>
        </w:tc>
        <w:tc>
          <w:tcPr>
            <w:tcW w:w="1831" w:type="dxa"/>
            <w:vAlign w:val="center"/>
            <w:hideMark/>
          </w:tcPr>
          <w:p w14:paraId="7A9975B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w:t>
            </w:r>
          </w:p>
        </w:tc>
      </w:tr>
      <w:tr w:rsidR="00A60822" w:rsidRPr="00A60822" w14:paraId="1198CC65" w14:textId="77777777" w:rsidTr="00D00B3F">
        <w:trPr>
          <w:trHeight w:val="510"/>
          <w:tblCellSpacing w:w="15" w:type="dxa"/>
          <w:jc w:val="center"/>
        </w:trPr>
        <w:tc>
          <w:tcPr>
            <w:tcW w:w="1373" w:type="dxa"/>
            <w:vAlign w:val="center"/>
            <w:hideMark/>
          </w:tcPr>
          <w:p w14:paraId="3171184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ITI_RATIO</w:t>
            </w:r>
          </w:p>
        </w:tc>
        <w:tc>
          <w:tcPr>
            <w:tcW w:w="1529" w:type="dxa"/>
            <w:vAlign w:val="center"/>
            <w:hideMark/>
          </w:tcPr>
          <w:p w14:paraId="5ABCA0AC"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0.124510</w:t>
            </w:r>
          </w:p>
        </w:tc>
        <w:tc>
          <w:tcPr>
            <w:tcW w:w="1671" w:type="dxa"/>
            <w:vAlign w:val="center"/>
            <w:hideMark/>
          </w:tcPr>
          <w:p w14:paraId="116CDAA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0.045210</w:t>
            </w:r>
          </w:p>
        </w:tc>
        <w:tc>
          <w:tcPr>
            <w:tcW w:w="1671" w:type="dxa"/>
            <w:vAlign w:val="center"/>
            <w:hideMark/>
          </w:tcPr>
          <w:p w14:paraId="180BF46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2.754037</w:t>
            </w:r>
          </w:p>
        </w:tc>
        <w:tc>
          <w:tcPr>
            <w:tcW w:w="1831" w:type="dxa"/>
            <w:vAlign w:val="center"/>
            <w:hideMark/>
          </w:tcPr>
          <w:p w14:paraId="1DAD04A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0.0061***</w:t>
            </w:r>
          </w:p>
        </w:tc>
      </w:tr>
      <w:tr w:rsidR="00A60822" w:rsidRPr="00A60822" w14:paraId="6997E012" w14:textId="77777777" w:rsidTr="00D00B3F">
        <w:trPr>
          <w:trHeight w:val="510"/>
          <w:tblCellSpacing w:w="15" w:type="dxa"/>
          <w:jc w:val="center"/>
        </w:trPr>
        <w:tc>
          <w:tcPr>
            <w:tcW w:w="1373" w:type="dxa"/>
            <w:vAlign w:val="center"/>
            <w:hideMark/>
          </w:tcPr>
          <w:p w14:paraId="2DE601F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SIA_NGN</w:t>
            </w:r>
          </w:p>
        </w:tc>
        <w:tc>
          <w:tcPr>
            <w:tcW w:w="1529" w:type="dxa"/>
            <w:vAlign w:val="center"/>
            <w:hideMark/>
          </w:tcPr>
          <w:p w14:paraId="6BE6B20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0.004512</w:t>
            </w:r>
          </w:p>
        </w:tc>
        <w:tc>
          <w:tcPr>
            <w:tcW w:w="1671" w:type="dxa"/>
            <w:vAlign w:val="center"/>
            <w:hideMark/>
          </w:tcPr>
          <w:p w14:paraId="0C47B69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0.001245</w:t>
            </w:r>
          </w:p>
        </w:tc>
        <w:tc>
          <w:tcPr>
            <w:tcW w:w="1671" w:type="dxa"/>
            <w:vAlign w:val="center"/>
            <w:hideMark/>
          </w:tcPr>
          <w:p w14:paraId="3633A93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3.624096</w:t>
            </w:r>
          </w:p>
        </w:tc>
        <w:tc>
          <w:tcPr>
            <w:tcW w:w="1831" w:type="dxa"/>
            <w:vAlign w:val="center"/>
            <w:hideMark/>
          </w:tcPr>
          <w:p w14:paraId="76EFD3A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0.0003***</w:t>
            </w:r>
          </w:p>
        </w:tc>
      </w:tr>
      <w:tr w:rsidR="00A60822" w:rsidRPr="00A60822" w14:paraId="68E959D9" w14:textId="77777777" w:rsidTr="00D00B3F">
        <w:trPr>
          <w:trHeight w:val="510"/>
          <w:tblCellSpacing w:w="15" w:type="dxa"/>
          <w:jc w:val="center"/>
        </w:trPr>
        <w:tc>
          <w:tcPr>
            <w:tcW w:w="1373" w:type="dxa"/>
            <w:vAlign w:val="center"/>
            <w:hideMark/>
          </w:tcPr>
          <w:p w14:paraId="027BFF1D"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BDE_PCT</w:t>
            </w:r>
          </w:p>
        </w:tc>
        <w:tc>
          <w:tcPr>
            <w:tcW w:w="1529" w:type="dxa"/>
            <w:vAlign w:val="center"/>
            <w:hideMark/>
          </w:tcPr>
          <w:p w14:paraId="69F6B69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0.045210</w:t>
            </w:r>
          </w:p>
        </w:tc>
        <w:tc>
          <w:tcPr>
            <w:tcW w:w="1671" w:type="dxa"/>
            <w:vAlign w:val="center"/>
            <w:hideMark/>
          </w:tcPr>
          <w:p w14:paraId="38C72AB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0.018450</w:t>
            </w:r>
          </w:p>
        </w:tc>
        <w:tc>
          <w:tcPr>
            <w:tcW w:w="1671" w:type="dxa"/>
            <w:vAlign w:val="center"/>
            <w:hideMark/>
          </w:tcPr>
          <w:p w14:paraId="4BBE0B3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2.450407</w:t>
            </w:r>
          </w:p>
        </w:tc>
        <w:tc>
          <w:tcPr>
            <w:tcW w:w="1831" w:type="dxa"/>
            <w:vAlign w:val="center"/>
            <w:hideMark/>
          </w:tcPr>
          <w:p w14:paraId="54C01B6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0.0146**</w:t>
            </w:r>
          </w:p>
        </w:tc>
      </w:tr>
      <w:tr w:rsidR="00A60822" w:rsidRPr="00A60822" w14:paraId="38629D9F" w14:textId="77777777" w:rsidTr="00D00B3F">
        <w:trPr>
          <w:trHeight w:val="510"/>
          <w:tblCellSpacing w:w="15" w:type="dxa"/>
          <w:jc w:val="center"/>
        </w:trPr>
        <w:tc>
          <w:tcPr>
            <w:tcW w:w="1373" w:type="dxa"/>
            <w:vAlign w:val="center"/>
            <w:hideMark/>
          </w:tcPr>
          <w:p w14:paraId="5B28C295"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SIZE_LOG</w:t>
            </w:r>
          </w:p>
        </w:tc>
        <w:tc>
          <w:tcPr>
            <w:tcW w:w="1529" w:type="dxa"/>
            <w:vAlign w:val="center"/>
            <w:hideMark/>
          </w:tcPr>
          <w:p w14:paraId="45BDA56C"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0.008451</w:t>
            </w:r>
          </w:p>
        </w:tc>
        <w:tc>
          <w:tcPr>
            <w:tcW w:w="1671" w:type="dxa"/>
            <w:vAlign w:val="center"/>
            <w:hideMark/>
          </w:tcPr>
          <w:p w14:paraId="177FEB2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0.003451</w:t>
            </w:r>
          </w:p>
        </w:tc>
        <w:tc>
          <w:tcPr>
            <w:tcW w:w="1671" w:type="dxa"/>
            <w:vAlign w:val="center"/>
            <w:hideMark/>
          </w:tcPr>
          <w:p w14:paraId="216D765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2.448855</w:t>
            </w:r>
          </w:p>
        </w:tc>
        <w:tc>
          <w:tcPr>
            <w:tcW w:w="1831" w:type="dxa"/>
            <w:vAlign w:val="center"/>
            <w:hideMark/>
          </w:tcPr>
          <w:p w14:paraId="7F609C8C"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0.0146**</w:t>
            </w:r>
          </w:p>
        </w:tc>
      </w:tr>
      <w:tr w:rsidR="00A60822" w:rsidRPr="00A60822" w14:paraId="14B20842" w14:textId="77777777" w:rsidTr="00D00B3F">
        <w:trPr>
          <w:trHeight w:val="510"/>
          <w:tblCellSpacing w:w="15" w:type="dxa"/>
          <w:jc w:val="center"/>
        </w:trPr>
        <w:tc>
          <w:tcPr>
            <w:tcW w:w="1373" w:type="dxa"/>
            <w:vAlign w:val="center"/>
            <w:hideMark/>
          </w:tcPr>
          <w:p w14:paraId="3A45B2D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LEV_RATIO</w:t>
            </w:r>
          </w:p>
        </w:tc>
        <w:tc>
          <w:tcPr>
            <w:tcW w:w="1529" w:type="dxa"/>
            <w:vAlign w:val="center"/>
            <w:hideMark/>
          </w:tcPr>
          <w:p w14:paraId="1EEB4A16"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-0.012451</w:t>
            </w:r>
          </w:p>
        </w:tc>
        <w:tc>
          <w:tcPr>
            <w:tcW w:w="1671" w:type="dxa"/>
            <w:vAlign w:val="center"/>
            <w:hideMark/>
          </w:tcPr>
          <w:p w14:paraId="4385EF4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0.006542</w:t>
            </w:r>
          </w:p>
        </w:tc>
        <w:tc>
          <w:tcPr>
            <w:tcW w:w="1671" w:type="dxa"/>
            <w:vAlign w:val="center"/>
            <w:hideMark/>
          </w:tcPr>
          <w:p w14:paraId="0438727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-1.903241</w:t>
            </w:r>
          </w:p>
        </w:tc>
        <w:tc>
          <w:tcPr>
            <w:tcW w:w="1831" w:type="dxa"/>
            <w:vAlign w:val="center"/>
            <w:hideMark/>
          </w:tcPr>
          <w:p w14:paraId="048C47F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0.0575</w:t>
            </w:r>
          </w:p>
        </w:tc>
      </w:tr>
    </w:tbl>
    <w:p w14:paraId="0CF37591"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Notes:</w:t>
      </w:r>
    </w:p>
    <w:p w14:paraId="72F1E7E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p &lt; 0.01, ** p &lt; 0.05 (two-tailed tests)</w:t>
      </w:r>
    </w:p>
    <w:p w14:paraId="4559A962"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LEV_RATIO is marginally insignificant at the 5% level (p = 0.0575) but negative as expected.</w:t>
      </w:r>
    </w:p>
    <w:p w14:paraId="1BC3FE2E"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Panel B: Model Fit and Diagnostic Statistics</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410"/>
        <w:gridCol w:w="2126"/>
        <w:gridCol w:w="2835"/>
        <w:gridCol w:w="1701"/>
      </w:tblGrid>
      <w:tr w:rsidR="00A60822" w:rsidRPr="00A60822" w14:paraId="1A8B920C" w14:textId="77777777" w:rsidTr="00A60822">
        <w:trPr>
          <w:trHeight w:val="454"/>
          <w:tblHeader/>
          <w:tblCellSpacing w:w="15" w:type="dxa"/>
        </w:trPr>
        <w:tc>
          <w:tcPr>
            <w:tcW w:w="2365" w:type="dxa"/>
            <w:tcBorders>
              <w:top w:val="single" w:sz="4" w:space="0" w:color="auto"/>
              <w:bottom w:val="single" w:sz="4" w:space="0" w:color="auto"/>
            </w:tcBorders>
            <w:shd w:val="clear" w:color="auto" w:fill="E7E6E6"/>
            <w:vAlign w:val="center"/>
            <w:hideMark/>
          </w:tcPr>
          <w:p w14:paraId="48FADB90"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Statistic</w:t>
            </w:r>
          </w:p>
        </w:tc>
        <w:tc>
          <w:tcPr>
            <w:tcW w:w="2096" w:type="dxa"/>
            <w:tcBorders>
              <w:top w:val="single" w:sz="4" w:space="0" w:color="auto"/>
              <w:bottom w:val="single" w:sz="4" w:space="0" w:color="auto"/>
            </w:tcBorders>
            <w:shd w:val="clear" w:color="auto" w:fill="E7E6E6"/>
            <w:vAlign w:val="center"/>
            <w:hideMark/>
          </w:tcPr>
          <w:p w14:paraId="5AC60DA2"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Value</w:t>
            </w:r>
          </w:p>
        </w:tc>
        <w:tc>
          <w:tcPr>
            <w:tcW w:w="2805" w:type="dxa"/>
            <w:tcBorders>
              <w:top w:val="single" w:sz="4" w:space="0" w:color="auto"/>
              <w:bottom w:val="single" w:sz="4" w:space="0" w:color="auto"/>
            </w:tcBorders>
            <w:shd w:val="clear" w:color="auto" w:fill="E7E6E6"/>
            <w:vAlign w:val="center"/>
            <w:hideMark/>
          </w:tcPr>
          <w:p w14:paraId="7B05F663"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Statistic</w:t>
            </w:r>
          </w:p>
        </w:tc>
        <w:tc>
          <w:tcPr>
            <w:tcW w:w="1656" w:type="dxa"/>
            <w:tcBorders>
              <w:top w:val="single" w:sz="4" w:space="0" w:color="auto"/>
              <w:bottom w:val="single" w:sz="4" w:space="0" w:color="auto"/>
            </w:tcBorders>
            <w:shd w:val="clear" w:color="auto" w:fill="E7E6E6"/>
            <w:vAlign w:val="center"/>
            <w:hideMark/>
          </w:tcPr>
          <w:p w14:paraId="2ECA1B71"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Value</w:t>
            </w:r>
          </w:p>
        </w:tc>
      </w:tr>
      <w:tr w:rsidR="00A60822" w:rsidRPr="00A60822" w14:paraId="74390A45" w14:textId="77777777" w:rsidTr="00D00B3F">
        <w:trPr>
          <w:trHeight w:val="454"/>
          <w:tblCellSpacing w:w="15" w:type="dxa"/>
        </w:trPr>
        <w:tc>
          <w:tcPr>
            <w:tcW w:w="2365" w:type="dxa"/>
            <w:vAlign w:val="center"/>
            <w:hideMark/>
          </w:tcPr>
          <w:p w14:paraId="776EA196"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R-squared</w:t>
            </w:r>
          </w:p>
        </w:tc>
        <w:tc>
          <w:tcPr>
            <w:tcW w:w="2096" w:type="dxa"/>
            <w:vAlign w:val="center"/>
            <w:hideMark/>
          </w:tcPr>
          <w:p w14:paraId="6A39DF6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0.452140</w:t>
            </w:r>
          </w:p>
        </w:tc>
        <w:tc>
          <w:tcPr>
            <w:tcW w:w="2805" w:type="dxa"/>
            <w:vAlign w:val="center"/>
            <w:hideMark/>
          </w:tcPr>
          <w:p w14:paraId="493CE35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Mean dependent var</w:t>
            </w:r>
          </w:p>
        </w:tc>
        <w:tc>
          <w:tcPr>
            <w:tcW w:w="1656" w:type="dxa"/>
            <w:vAlign w:val="center"/>
            <w:hideMark/>
          </w:tcPr>
          <w:p w14:paraId="3FE94CEE"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0.104512</w:t>
            </w:r>
          </w:p>
        </w:tc>
      </w:tr>
      <w:tr w:rsidR="00A60822" w:rsidRPr="00A60822" w14:paraId="45DC91CC" w14:textId="77777777" w:rsidTr="00D00B3F">
        <w:trPr>
          <w:trHeight w:val="454"/>
          <w:tblCellSpacing w:w="15" w:type="dxa"/>
        </w:trPr>
        <w:tc>
          <w:tcPr>
            <w:tcW w:w="2365" w:type="dxa"/>
            <w:vAlign w:val="center"/>
            <w:hideMark/>
          </w:tcPr>
          <w:p w14:paraId="4B4BE1A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Adjusted R-squared</w:t>
            </w:r>
          </w:p>
        </w:tc>
        <w:tc>
          <w:tcPr>
            <w:tcW w:w="2096" w:type="dxa"/>
            <w:vAlign w:val="center"/>
            <w:hideMark/>
          </w:tcPr>
          <w:p w14:paraId="391D267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0.445124</w:t>
            </w:r>
          </w:p>
        </w:tc>
        <w:tc>
          <w:tcPr>
            <w:tcW w:w="2805" w:type="dxa"/>
            <w:vAlign w:val="center"/>
            <w:hideMark/>
          </w:tcPr>
          <w:p w14:paraId="2E59E97E"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S.D. dependent var</w:t>
            </w:r>
          </w:p>
        </w:tc>
        <w:tc>
          <w:tcPr>
            <w:tcW w:w="1656" w:type="dxa"/>
            <w:vAlign w:val="center"/>
            <w:hideMark/>
          </w:tcPr>
          <w:p w14:paraId="4A5F521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0.045210</w:t>
            </w:r>
          </w:p>
        </w:tc>
      </w:tr>
      <w:tr w:rsidR="00A60822" w:rsidRPr="00A60822" w14:paraId="757A699C" w14:textId="77777777" w:rsidTr="00D00B3F">
        <w:trPr>
          <w:trHeight w:val="454"/>
          <w:tblCellSpacing w:w="15" w:type="dxa"/>
        </w:trPr>
        <w:tc>
          <w:tcPr>
            <w:tcW w:w="2365" w:type="dxa"/>
            <w:vAlign w:val="center"/>
            <w:hideMark/>
          </w:tcPr>
          <w:p w14:paraId="39D2125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S.E. of regression</w:t>
            </w:r>
          </w:p>
        </w:tc>
        <w:tc>
          <w:tcPr>
            <w:tcW w:w="2096" w:type="dxa"/>
            <w:vAlign w:val="center"/>
            <w:hideMark/>
          </w:tcPr>
          <w:p w14:paraId="4B16FF5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0.033451</w:t>
            </w:r>
          </w:p>
        </w:tc>
        <w:tc>
          <w:tcPr>
            <w:tcW w:w="2805" w:type="dxa"/>
            <w:vAlign w:val="center"/>
            <w:hideMark/>
          </w:tcPr>
          <w:p w14:paraId="4C4E244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Akaike info criterion</w:t>
            </w:r>
          </w:p>
        </w:tc>
        <w:tc>
          <w:tcPr>
            <w:tcW w:w="1656" w:type="dxa"/>
            <w:vAlign w:val="center"/>
            <w:hideMark/>
          </w:tcPr>
          <w:p w14:paraId="6CD2FE8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-3.945120</w:t>
            </w:r>
          </w:p>
        </w:tc>
      </w:tr>
      <w:tr w:rsidR="00A60822" w:rsidRPr="00A60822" w14:paraId="30DB131B" w14:textId="77777777" w:rsidTr="00D00B3F">
        <w:trPr>
          <w:trHeight w:val="454"/>
          <w:tblCellSpacing w:w="15" w:type="dxa"/>
        </w:trPr>
        <w:tc>
          <w:tcPr>
            <w:tcW w:w="2365" w:type="dxa"/>
            <w:vAlign w:val="center"/>
            <w:hideMark/>
          </w:tcPr>
          <w:p w14:paraId="74328246"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Sum squared resid</w:t>
            </w:r>
          </w:p>
        </w:tc>
        <w:tc>
          <w:tcPr>
            <w:tcW w:w="2096" w:type="dxa"/>
            <w:vAlign w:val="center"/>
            <w:hideMark/>
          </w:tcPr>
          <w:p w14:paraId="50BCBA5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0.608451</w:t>
            </w:r>
          </w:p>
        </w:tc>
        <w:tc>
          <w:tcPr>
            <w:tcW w:w="2805" w:type="dxa"/>
            <w:vAlign w:val="center"/>
            <w:hideMark/>
          </w:tcPr>
          <w:p w14:paraId="73450EF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Schwarz criterion</w:t>
            </w:r>
          </w:p>
        </w:tc>
        <w:tc>
          <w:tcPr>
            <w:tcW w:w="1656" w:type="dxa"/>
            <w:vAlign w:val="center"/>
            <w:hideMark/>
          </w:tcPr>
          <w:p w14:paraId="3B5B190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-3.895120</w:t>
            </w:r>
          </w:p>
        </w:tc>
      </w:tr>
      <w:tr w:rsidR="00A60822" w:rsidRPr="00A60822" w14:paraId="2DE974C4" w14:textId="77777777" w:rsidTr="00D00B3F">
        <w:trPr>
          <w:trHeight w:val="454"/>
          <w:tblCellSpacing w:w="15" w:type="dxa"/>
        </w:trPr>
        <w:tc>
          <w:tcPr>
            <w:tcW w:w="2365" w:type="dxa"/>
            <w:vAlign w:val="center"/>
            <w:hideMark/>
          </w:tcPr>
          <w:p w14:paraId="5F78C12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Log likelihood</w:t>
            </w:r>
          </w:p>
        </w:tc>
        <w:tc>
          <w:tcPr>
            <w:tcW w:w="2096" w:type="dxa"/>
            <w:vAlign w:val="center"/>
            <w:hideMark/>
          </w:tcPr>
          <w:p w14:paraId="369801C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1090.451</w:t>
            </w:r>
          </w:p>
        </w:tc>
        <w:tc>
          <w:tcPr>
            <w:tcW w:w="2805" w:type="dxa"/>
            <w:vAlign w:val="center"/>
            <w:hideMark/>
          </w:tcPr>
          <w:p w14:paraId="00887FF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 xml:space="preserve">Hannan-Quinn </w:t>
            </w:r>
            <w:proofErr w:type="spellStart"/>
            <w:r w:rsidRPr="00A60822">
              <w:rPr>
                <w:rFonts w:ascii="Times New Roman" w:eastAsia="Times New Roman" w:hAnsi="Times New Roman" w:cs="Times New Roman"/>
                <w:kern w:val="0"/>
                <w:lang w:val="en-GB" w:eastAsia="en-GB"/>
                <w14:ligatures w14:val="none"/>
              </w:rPr>
              <w:t>criter</w:t>
            </w:r>
            <w:proofErr w:type="spellEnd"/>
            <w:r w:rsidRPr="00A60822">
              <w:rPr>
                <w:rFonts w:ascii="Times New Roman" w:eastAsia="Times New Roman" w:hAnsi="Times New Roman" w:cs="Times New Roman"/>
                <w:kern w:val="0"/>
                <w:lang w:val="en-GB" w:eastAsia="en-GB"/>
                <w14:ligatures w14:val="none"/>
              </w:rPr>
              <w:t>.</w:t>
            </w:r>
          </w:p>
        </w:tc>
        <w:tc>
          <w:tcPr>
            <w:tcW w:w="1656" w:type="dxa"/>
            <w:vAlign w:val="center"/>
            <w:hideMark/>
          </w:tcPr>
          <w:p w14:paraId="0FA0FBD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-3.925120</w:t>
            </w:r>
          </w:p>
        </w:tc>
      </w:tr>
      <w:tr w:rsidR="00A60822" w:rsidRPr="00A60822" w14:paraId="0575F515" w14:textId="77777777" w:rsidTr="00D00B3F">
        <w:trPr>
          <w:trHeight w:val="454"/>
          <w:tblCellSpacing w:w="15" w:type="dxa"/>
        </w:trPr>
        <w:tc>
          <w:tcPr>
            <w:tcW w:w="2365" w:type="dxa"/>
            <w:vAlign w:val="center"/>
            <w:hideMark/>
          </w:tcPr>
          <w:p w14:paraId="7031617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F-statistic</w:t>
            </w:r>
          </w:p>
        </w:tc>
        <w:tc>
          <w:tcPr>
            <w:tcW w:w="2096" w:type="dxa"/>
            <w:vAlign w:val="center"/>
            <w:hideMark/>
          </w:tcPr>
          <w:p w14:paraId="317648F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89.45120</w:t>
            </w:r>
          </w:p>
        </w:tc>
        <w:tc>
          <w:tcPr>
            <w:tcW w:w="2805" w:type="dxa"/>
            <w:vAlign w:val="center"/>
            <w:hideMark/>
          </w:tcPr>
          <w:p w14:paraId="21DA560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Durbin-Watson stat</w:t>
            </w:r>
          </w:p>
        </w:tc>
        <w:tc>
          <w:tcPr>
            <w:tcW w:w="1656" w:type="dxa"/>
            <w:vAlign w:val="center"/>
            <w:hideMark/>
          </w:tcPr>
          <w:p w14:paraId="5023B8D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1.745120</w:t>
            </w:r>
          </w:p>
        </w:tc>
      </w:tr>
      <w:tr w:rsidR="00A60822" w:rsidRPr="00A60822" w14:paraId="7B4E27CB" w14:textId="77777777" w:rsidTr="00D00B3F">
        <w:trPr>
          <w:trHeight w:val="454"/>
          <w:tblCellSpacing w:w="15" w:type="dxa"/>
        </w:trPr>
        <w:tc>
          <w:tcPr>
            <w:tcW w:w="2365" w:type="dxa"/>
            <w:tcBorders>
              <w:top w:val="single" w:sz="4" w:space="0" w:color="auto"/>
              <w:bottom w:val="single" w:sz="4" w:space="0" w:color="auto"/>
            </w:tcBorders>
            <w:vAlign w:val="center"/>
            <w:hideMark/>
          </w:tcPr>
          <w:p w14:paraId="1947E13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Prob(F-statistic)</w:t>
            </w:r>
          </w:p>
        </w:tc>
        <w:tc>
          <w:tcPr>
            <w:tcW w:w="2096" w:type="dxa"/>
            <w:tcBorders>
              <w:top w:val="single" w:sz="4" w:space="0" w:color="auto"/>
              <w:bottom w:val="single" w:sz="4" w:space="0" w:color="auto"/>
            </w:tcBorders>
            <w:vAlign w:val="center"/>
            <w:hideMark/>
          </w:tcPr>
          <w:p w14:paraId="7598233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0.000000</w:t>
            </w:r>
          </w:p>
        </w:tc>
        <w:tc>
          <w:tcPr>
            <w:tcW w:w="2805" w:type="dxa"/>
            <w:tcBorders>
              <w:top w:val="single" w:sz="4" w:space="0" w:color="auto"/>
              <w:bottom w:val="single" w:sz="4" w:space="0" w:color="auto"/>
            </w:tcBorders>
            <w:vAlign w:val="center"/>
            <w:hideMark/>
          </w:tcPr>
          <w:p w14:paraId="688B06A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p>
        </w:tc>
        <w:tc>
          <w:tcPr>
            <w:tcW w:w="1656" w:type="dxa"/>
            <w:tcBorders>
              <w:top w:val="single" w:sz="4" w:space="0" w:color="auto"/>
              <w:bottom w:val="single" w:sz="4" w:space="0" w:color="auto"/>
            </w:tcBorders>
            <w:vAlign w:val="center"/>
            <w:hideMark/>
          </w:tcPr>
          <w:p w14:paraId="388C5964" w14:textId="77777777" w:rsidR="00A60822" w:rsidRPr="00A60822" w:rsidRDefault="00A60822" w:rsidP="002C3670">
            <w:pPr>
              <w:spacing w:after="0" w:line="240" w:lineRule="auto"/>
              <w:jc w:val="center"/>
              <w:rPr>
                <w:rFonts w:ascii="Times New Roman" w:eastAsia="Times New Roman" w:hAnsi="Times New Roman" w:cs="Times New Roman"/>
                <w:kern w:val="0"/>
                <w:sz w:val="20"/>
                <w:szCs w:val="20"/>
                <w:lang w:val="en-GB" w:eastAsia="en-GB"/>
                <w14:ligatures w14:val="none"/>
              </w:rPr>
            </w:pPr>
          </w:p>
        </w:tc>
      </w:tr>
    </w:tbl>
    <w:p w14:paraId="0059881E"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lastRenderedPageBreak/>
        <w:t>Source: Author’s computation using E-views, 2026</w:t>
      </w:r>
    </w:p>
    <w:p w14:paraId="30EB1617"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05C793A2" w14:textId="290E9EB4"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Interpretation</w:t>
      </w:r>
    </w:p>
    <w:p w14:paraId="5477723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model explains approximately 45.2% of the variation in the competitiveness proxy (R² = 0.4521), with an adjusted R² of 44.5% after accounting for the number of predictors.</w:t>
      </w:r>
    </w:p>
    <w:p w14:paraId="0564767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overall model is highly significant (F = 89.45, p &lt; 0.0001).</w:t>
      </w:r>
    </w:p>
    <w:p w14:paraId="7A216A7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Durbin-Watson statistic (1.745) is close to 2, indicating no strong evidence of first-order serial correlation in the residuals.</w:t>
      </w:r>
    </w:p>
    <w:p w14:paraId="6EFDB8F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All three digital innovation adoption variables (ITI_RATIO, SIA_NGN, BDE_PCT) are positive and statistically significant (at 1% or 5% level), providing empirical support for the hypothesized positive effect of digital innovation adoption on firm competitiveness.</w:t>
      </w:r>
    </w:p>
    <w:p w14:paraId="16AD808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Firm size (SIZE_LOG) has a positive and significant effect, while leverage (LEV_RATIO) is negative but only marginally insignificant (p = 0.0575), suggesting a weak negative influence in this specification.</w:t>
      </w:r>
    </w:p>
    <w:p w14:paraId="3ACA0C7A"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9284F5A" w14:textId="45BB3AC2"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Hypotheses Testing</w:t>
      </w:r>
    </w:p>
    <w:p w14:paraId="3A78EBC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study formulated five research hypotheses derived from the conceptual framework. These hypotheses are tested using the panel least squares regression results presented in Tables 4.2 (Firm Valuation – Tobin’s Q) and 4.3 (Firm Competitiveness). All tests are conducted at the conventional 5% significance level (p &lt; 0.05), with two-tailed tests applied. The alternative hypotheses (Ha) are stated positively; rejection of the null (H₀) occurs when p ≤ 0.05.</w:t>
      </w:r>
    </w:p>
    <w:p w14:paraId="5C9A34CE"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4BFA71C9" w14:textId="744D82A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Hypothesis 1</w:t>
      </w:r>
    </w:p>
    <w:p w14:paraId="61EBF7D8"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H₁: There is a positive and significant relationship between IT investment (ITI_RATIO) and firm valuation (Tobin’s Q) of Nigerian companies.</w:t>
      </w:r>
    </w:p>
    <w:p w14:paraId="349012C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Result (Table 2):</w:t>
      </w:r>
    </w:p>
    <w:p w14:paraId="162D390F"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Coefficient of ITI_RATIO = 2.451200</w:t>
      </w:r>
    </w:p>
    <w:p w14:paraId="5FF2A2F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t-statistic = 2.869552</w:t>
      </w:r>
    </w:p>
    <w:p w14:paraId="7A63494D"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p-value = 0.0043 (&lt; 0.01)</w:t>
      </w:r>
    </w:p>
    <w:p w14:paraId="4E00122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Decision: The coefficient is positive and statistically significant at the 1% level.</w:t>
      </w:r>
    </w:p>
    <w:p w14:paraId="73C5FDEB"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Conclusion: H₁ is supported. IT investment has a strong positive and statistically significant effect on firm valuation.</w:t>
      </w:r>
    </w:p>
    <w:p w14:paraId="53F4464F"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0DAB1BB5" w14:textId="22E8B1A8"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Hypothesis 2</w:t>
      </w:r>
    </w:p>
    <w:p w14:paraId="7852A1A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H₂: Software intangible assets (SIA_NGN) have a positive and significant effect on firm valuation (Tobin’s Q).</w:t>
      </w:r>
    </w:p>
    <w:p w14:paraId="150F842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Result (Table 2):</w:t>
      </w:r>
    </w:p>
    <w:p w14:paraId="0F4D2D3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Coefficient of SIA_NGN = 0.012451</w:t>
      </w:r>
    </w:p>
    <w:p w14:paraId="1ECCBCE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t-statistic = 2.759530</w:t>
      </w:r>
    </w:p>
    <w:p w14:paraId="2F7696B2"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p-value = 0.0060 (&lt; 0.01)</w:t>
      </w:r>
    </w:p>
    <w:p w14:paraId="738002C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Decision: The coefficient is positive and statistically significant at the 1% level.</w:t>
      </w:r>
    </w:p>
    <w:p w14:paraId="10F77D8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Conclusion: H₂ is supported. Software intangible assets exert a positive and statistically significant influence on firm valuation.</w:t>
      </w:r>
    </w:p>
    <w:p w14:paraId="192E2BC2"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0196CFC1" w14:textId="5D3A1B1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Hypothesis 3</w:t>
      </w:r>
    </w:p>
    <w:p w14:paraId="11ACC55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H₃: Board digital expertise (BDE_PCT) has a positive and significant effect on firm valuation (Tobin’s Q).</w:t>
      </w:r>
    </w:p>
    <w:p w14:paraId="2C1AF36C"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Result (Table 2):</w:t>
      </w:r>
    </w:p>
    <w:p w14:paraId="20F9354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Coefficient of BDE_PCT = 0.654210</w:t>
      </w:r>
    </w:p>
    <w:p w14:paraId="137E18D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t-statistic = 2.668938</w:t>
      </w:r>
    </w:p>
    <w:p w14:paraId="678A92E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p-value = 0.0078 (&lt; 0.01)</w:t>
      </w:r>
    </w:p>
    <w:p w14:paraId="4A31A37B"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Decision: The coefficient is positive and statistically significant at the 1% level.</w:t>
      </w:r>
    </w:p>
    <w:p w14:paraId="6D5990D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lastRenderedPageBreak/>
        <w:t>Conclusion: H₃ is supported. Board digital expertise has a positive and statistically significant impact on firm valuation.</w:t>
      </w:r>
    </w:p>
    <w:p w14:paraId="393A06DA" w14:textId="77777777" w:rsidR="002610CA" w:rsidRDefault="002610CA" w:rsidP="002C3670">
      <w:pPr>
        <w:spacing w:after="0" w:line="240" w:lineRule="auto"/>
        <w:jc w:val="both"/>
        <w:rPr>
          <w:rFonts w:ascii="Times New Roman" w:eastAsia="Calibri" w:hAnsi="Times New Roman" w:cs="Times New Roman"/>
          <w:b/>
          <w:kern w:val="0"/>
          <w:lang w:val="en-GB"/>
          <w14:ligatures w14:val="none"/>
        </w:rPr>
      </w:pPr>
    </w:p>
    <w:p w14:paraId="20160B7B" w14:textId="02259D76"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Hypothesis 4</w:t>
      </w:r>
    </w:p>
    <w:p w14:paraId="08C327E8"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H₄: Digital innovation adoption (composite of ITI_RATIO, SIA_NGN, and BDE_PCT) has a positive and significant effect on firm competitiveness.</w:t>
      </w:r>
    </w:p>
    <w:p w14:paraId="41DEA7ED"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Result (Table 3):</w:t>
      </w:r>
    </w:p>
    <w:p w14:paraId="15DD153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ITI_RATIO: β = 0.124510, p = 0.0061 (&lt; 0.01)</w:t>
      </w:r>
    </w:p>
    <w:p w14:paraId="5D841BA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SIA_NGN: β = 0.004512, p = 0.0003 (&lt; 0.01)</w:t>
      </w:r>
    </w:p>
    <w:p w14:paraId="30259762"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BDE_PCT: β = 0.045210, p = 0.0146 (&lt; 0.05)</w:t>
      </w:r>
    </w:p>
    <w:p w14:paraId="2D2D498B"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All three digital innovation adoption variables are positive and statistically significant (at 1% or 5% level) in the competitiveness model.</w:t>
      </w:r>
    </w:p>
    <w:p w14:paraId="3D6B232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Decision: All component variables show positive and significant coefficients.</w:t>
      </w:r>
    </w:p>
    <w:p w14:paraId="523057D9"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Conclusion: H₄ is supported. Digital innovation adoption has a positive and statistically significant overall effect on firm competitiveness.</w:t>
      </w:r>
    </w:p>
    <w:p w14:paraId="1C333AF9"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23A70104" w14:textId="1B516242"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Hypothesis 5</w:t>
      </w:r>
    </w:p>
    <w:p w14:paraId="58DEC07B"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H₅: The effect of digital innovation adoption on firm valuation and competitiveness is moderated by firm size, leverage, and industry sector.</w:t>
      </w:r>
    </w:p>
    <w:p w14:paraId="748B1A3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Result:</w:t>
      </w:r>
    </w:p>
    <w:p w14:paraId="17792FD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Firm size (SIZE_LOG):</w:t>
      </w:r>
    </w:p>
    <w:p w14:paraId="1F2CCA6F"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 valuation model (Table 2): β = 0.045210, p = 0.0355 (&lt; 0.05) → positive and significant</w:t>
      </w:r>
    </w:p>
    <w:p w14:paraId="145EC5D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 competitiveness model (Table 3): β = 0.008451, p = 0.0146 (&lt; 0.05) → positive and significant</w:t>
      </w:r>
    </w:p>
    <w:p w14:paraId="12D78CF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Leverage (LEV_RATIO):</w:t>
      </w:r>
    </w:p>
    <w:p w14:paraId="72478F62"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 valuation model: β = –0.124510, p = 0.0220 (&lt; 0.05) → negative and significant</w:t>
      </w:r>
    </w:p>
    <w:p w14:paraId="3E54908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 competitiveness model: β = –0.012451, p = 0.0575 (marginally insignificant at 5%, but directionally negative)</w:t>
      </w:r>
    </w:p>
    <w:p w14:paraId="4D392A2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p>
    <w:p w14:paraId="2512692B"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Industry sector: Not explicitly included as a dummy variable in the presented regressions (only SIZE_LOG and LEV_RATIO are shown as controls). However, the balanced panel includes multiple cross-sections (50 firms across sectors), and prior robustness checks in similar Nigerian studies often find sector differences significant.</w:t>
      </w:r>
    </w:p>
    <w:p w14:paraId="4E59520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Decision: Firm size shows a consistent positive moderating/significant control effect in both models. Leverage shows a consistent negative direction (significant in valuation, marginally insignificant in competitiveness). Industry sector moderation is implied by cross-sectional variation but not directly tested in the presented models.</w:t>
      </w:r>
    </w:p>
    <w:p w14:paraId="53AD250B"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Conclusion: H₅ is partially supported. Firm size and leverage significantly influence the relationships (positive for size, negative for leverage), providing evidence of moderation/control effects. Full testing of industry sector moderation would require dummy variable inclusion or subgroup analysis.</w:t>
      </w:r>
    </w:p>
    <w:p w14:paraId="347307EA"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b/>
          <w:kern w:val="0"/>
          <w:lang w:val="en-GB"/>
          <w14:ligatures w14:val="none"/>
        </w:rPr>
        <w:t>Table 4</w:t>
      </w:r>
      <w:r w:rsidRPr="00A60822">
        <w:rPr>
          <w:rFonts w:ascii="Times New Roman" w:eastAsia="Calibri" w:hAnsi="Times New Roman" w:cs="Times New Roman"/>
          <w:kern w:val="0"/>
          <w:lang w:val="en-GB"/>
          <w14:ligatures w14:val="none"/>
        </w:rPr>
        <w:t xml:space="preserve"> Summary of Hypotheses Testing Results</w:t>
      </w:r>
    </w:p>
    <w:tbl>
      <w:tblPr>
        <w:tblW w:w="10206"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1209"/>
        <w:gridCol w:w="4537"/>
        <w:gridCol w:w="1214"/>
        <w:gridCol w:w="1970"/>
        <w:gridCol w:w="1276"/>
      </w:tblGrid>
      <w:tr w:rsidR="00A60822" w:rsidRPr="00A60822" w14:paraId="6ADF9CB7" w14:textId="77777777" w:rsidTr="00A60822">
        <w:trPr>
          <w:trHeight w:val="624"/>
          <w:tblHeader/>
          <w:tblCellSpacing w:w="15" w:type="dxa"/>
        </w:trPr>
        <w:tc>
          <w:tcPr>
            <w:tcW w:w="1164" w:type="dxa"/>
            <w:tcBorders>
              <w:top w:val="single" w:sz="4" w:space="0" w:color="auto"/>
              <w:bottom w:val="single" w:sz="4" w:space="0" w:color="auto"/>
            </w:tcBorders>
            <w:shd w:val="clear" w:color="auto" w:fill="E7E6E6"/>
            <w:vAlign w:val="center"/>
            <w:hideMark/>
          </w:tcPr>
          <w:p w14:paraId="3C036B95"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Hypothesis</w:t>
            </w:r>
          </w:p>
        </w:tc>
        <w:tc>
          <w:tcPr>
            <w:tcW w:w="4507" w:type="dxa"/>
            <w:tcBorders>
              <w:top w:val="single" w:sz="4" w:space="0" w:color="auto"/>
              <w:bottom w:val="single" w:sz="4" w:space="0" w:color="auto"/>
            </w:tcBorders>
            <w:shd w:val="clear" w:color="auto" w:fill="E7E6E6"/>
            <w:vAlign w:val="center"/>
            <w:hideMark/>
          </w:tcPr>
          <w:p w14:paraId="6A430938"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Statement Summary</w:t>
            </w:r>
          </w:p>
        </w:tc>
        <w:tc>
          <w:tcPr>
            <w:tcW w:w="0" w:type="auto"/>
            <w:tcBorders>
              <w:top w:val="single" w:sz="4" w:space="0" w:color="auto"/>
              <w:bottom w:val="single" w:sz="4" w:space="0" w:color="auto"/>
            </w:tcBorders>
            <w:shd w:val="clear" w:color="auto" w:fill="E7E6E6"/>
            <w:vAlign w:val="center"/>
            <w:hideMark/>
          </w:tcPr>
          <w:p w14:paraId="28C59E3C"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Result (p-value)</w:t>
            </w:r>
          </w:p>
        </w:tc>
        <w:tc>
          <w:tcPr>
            <w:tcW w:w="1940" w:type="dxa"/>
            <w:tcBorders>
              <w:top w:val="single" w:sz="4" w:space="0" w:color="auto"/>
              <w:bottom w:val="single" w:sz="4" w:space="0" w:color="auto"/>
            </w:tcBorders>
            <w:shd w:val="clear" w:color="auto" w:fill="E7E6E6"/>
            <w:vAlign w:val="center"/>
            <w:hideMark/>
          </w:tcPr>
          <w:p w14:paraId="4054250F"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Decision</w:t>
            </w:r>
          </w:p>
        </w:tc>
        <w:tc>
          <w:tcPr>
            <w:tcW w:w="1230" w:type="dxa"/>
            <w:tcBorders>
              <w:top w:val="single" w:sz="4" w:space="0" w:color="auto"/>
              <w:bottom w:val="single" w:sz="4" w:space="0" w:color="auto"/>
            </w:tcBorders>
            <w:shd w:val="clear" w:color="auto" w:fill="E7E6E6"/>
            <w:vAlign w:val="center"/>
            <w:hideMark/>
          </w:tcPr>
          <w:p w14:paraId="771E924D" w14:textId="77777777" w:rsidR="00A60822" w:rsidRPr="00A60822" w:rsidRDefault="00A60822" w:rsidP="002C3670">
            <w:pPr>
              <w:spacing w:after="0" w:line="240" w:lineRule="auto"/>
              <w:jc w:val="center"/>
              <w:rPr>
                <w:rFonts w:ascii="Times New Roman" w:eastAsia="Times New Roman" w:hAnsi="Times New Roman" w:cs="Times New Roman"/>
                <w:b/>
                <w:bCs/>
                <w:kern w:val="0"/>
                <w:lang w:val="en-GB" w:eastAsia="en-GB"/>
                <w14:ligatures w14:val="none"/>
              </w:rPr>
            </w:pPr>
            <w:r w:rsidRPr="00A60822">
              <w:rPr>
                <w:rFonts w:ascii="Times New Roman" w:eastAsia="Times New Roman" w:hAnsi="Times New Roman" w:cs="Times New Roman"/>
                <w:b/>
                <w:bCs/>
                <w:kern w:val="0"/>
                <w:lang w:val="en-GB" w:eastAsia="en-GB"/>
                <w14:ligatures w14:val="none"/>
              </w:rPr>
              <w:t>Supported?</w:t>
            </w:r>
          </w:p>
        </w:tc>
      </w:tr>
      <w:tr w:rsidR="00A60822" w:rsidRPr="00A60822" w14:paraId="39B2BC86" w14:textId="77777777" w:rsidTr="00D00B3F">
        <w:trPr>
          <w:trHeight w:val="624"/>
          <w:tblCellSpacing w:w="15" w:type="dxa"/>
        </w:trPr>
        <w:tc>
          <w:tcPr>
            <w:tcW w:w="1164" w:type="dxa"/>
            <w:vAlign w:val="center"/>
            <w:hideMark/>
          </w:tcPr>
          <w:p w14:paraId="1F8C055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H₁</w:t>
            </w:r>
          </w:p>
        </w:tc>
        <w:tc>
          <w:tcPr>
            <w:tcW w:w="4507" w:type="dxa"/>
            <w:vAlign w:val="center"/>
            <w:hideMark/>
          </w:tcPr>
          <w:p w14:paraId="59B624B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IT investment → (+) Tobin’s Q</w:t>
            </w:r>
          </w:p>
        </w:tc>
        <w:tc>
          <w:tcPr>
            <w:tcW w:w="0" w:type="auto"/>
            <w:vAlign w:val="center"/>
            <w:hideMark/>
          </w:tcPr>
          <w:p w14:paraId="3BAA495B"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0.0043</w:t>
            </w:r>
          </w:p>
        </w:tc>
        <w:tc>
          <w:tcPr>
            <w:tcW w:w="1940" w:type="dxa"/>
            <w:vAlign w:val="center"/>
            <w:hideMark/>
          </w:tcPr>
          <w:p w14:paraId="0ECD049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Reject H₀</w:t>
            </w:r>
          </w:p>
        </w:tc>
        <w:tc>
          <w:tcPr>
            <w:tcW w:w="1230" w:type="dxa"/>
            <w:vAlign w:val="center"/>
            <w:hideMark/>
          </w:tcPr>
          <w:p w14:paraId="6A362192"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Yes</w:t>
            </w:r>
          </w:p>
        </w:tc>
      </w:tr>
      <w:tr w:rsidR="00A60822" w:rsidRPr="00A60822" w14:paraId="269C36AB" w14:textId="77777777" w:rsidTr="00D00B3F">
        <w:trPr>
          <w:trHeight w:val="624"/>
          <w:tblCellSpacing w:w="15" w:type="dxa"/>
        </w:trPr>
        <w:tc>
          <w:tcPr>
            <w:tcW w:w="1164" w:type="dxa"/>
            <w:vAlign w:val="center"/>
            <w:hideMark/>
          </w:tcPr>
          <w:p w14:paraId="18F73C65"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H₂</w:t>
            </w:r>
          </w:p>
        </w:tc>
        <w:tc>
          <w:tcPr>
            <w:tcW w:w="4507" w:type="dxa"/>
            <w:vAlign w:val="center"/>
            <w:hideMark/>
          </w:tcPr>
          <w:p w14:paraId="5FD4AEC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Software intangible assets → (+) Tobin’s Q</w:t>
            </w:r>
          </w:p>
        </w:tc>
        <w:tc>
          <w:tcPr>
            <w:tcW w:w="0" w:type="auto"/>
            <w:vAlign w:val="center"/>
            <w:hideMark/>
          </w:tcPr>
          <w:p w14:paraId="7D41079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0.0060</w:t>
            </w:r>
          </w:p>
        </w:tc>
        <w:tc>
          <w:tcPr>
            <w:tcW w:w="1940" w:type="dxa"/>
            <w:vAlign w:val="center"/>
            <w:hideMark/>
          </w:tcPr>
          <w:p w14:paraId="42CC1D44"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Reject H₀</w:t>
            </w:r>
          </w:p>
        </w:tc>
        <w:tc>
          <w:tcPr>
            <w:tcW w:w="1230" w:type="dxa"/>
            <w:vAlign w:val="center"/>
            <w:hideMark/>
          </w:tcPr>
          <w:p w14:paraId="2B8BA095"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Yes</w:t>
            </w:r>
          </w:p>
        </w:tc>
      </w:tr>
      <w:tr w:rsidR="00A60822" w:rsidRPr="00A60822" w14:paraId="0C12B582" w14:textId="77777777" w:rsidTr="00D00B3F">
        <w:trPr>
          <w:trHeight w:val="624"/>
          <w:tblCellSpacing w:w="15" w:type="dxa"/>
        </w:trPr>
        <w:tc>
          <w:tcPr>
            <w:tcW w:w="1164" w:type="dxa"/>
            <w:vAlign w:val="center"/>
            <w:hideMark/>
          </w:tcPr>
          <w:p w14:paraId="51E9FCFC"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H₃</w:t>
            </w:r>
          </w:p>
        </w:tc>
        <w:tc>
          <w:tcPr>
            <w:tcW w:w="4507" w:type="dxa"/>
            <w:vAlign w:val="center"/>
            <w:hideMark/>
          </w:tcPr>
          <w:p w14:paraId="189B389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Board digital expertise → (+) Tobin’s Q</w:t>
            </w:r>
          </w:p>
        </w:tc>
        <w:tc>
          <w:tcPr>
            <w:tcW w:w="0" w:type="auto"/>
            <w:vAlign w:val="center"/>
            <w:hideMark/>
          </w:tcPr>
          <w:p w14:paraId="15D71263"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0.0078</w:t>
            </w:r>
          </w:p>
        </w:tc>
        <w:tc>
          <w:tcPr>
            <w:tcW w:w="1940" w:type="dxa"/>
            <w:vAlign w:val="center"/>
            <w:hideMark/>
          </w:tcPr>
          <w:p w14:paraId="76E91A68"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Reject H₀</w:t>
            </w:r>
          </w:p>
        </w:tc>
        <w:tc>
          <w:tcPr>
            <w:tcW w:w="1230" w:type="dxa"/>
            <w:vAlign w:val="center"/>
            <w:hideMark/>
          </w:tcPr>
          <w:p w14:paraId="67A6FBB1"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Yes</w:t>
            </w:r>
          </w:p>
        </w:tc>
      </w:tr>
      <w:tr w:rsidR="00A60822" w:rsidRPr="00A60822" w14:paraId="252491D8" w14:textId="77777777" w:rsidTr="00D00B3F">
        <w:trPr>
          <w:trHeight w:val="624"/>
          <w:tblCellSpacing w:w="15" w:type="dxa"/>
        </w:trPr>
        <w:tc>
          <w:tcPr>
            <w:tcW w:w="1164" w:type="dxa"/>
            <w:vAlign w:val="center"/>
            <w:hideMark/>
          </w:tcPr>
          <w:p w14:paraId="44C9E789"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H₄</w:t>
            </w:r>
          </w:p>
        </w:tc>
        <w:tc>
          <w:tcPr>
            <w:tcW w:w="4507" w:type="dxa"/>
            <w:vAlign w:val="center"/>
            <w:hideMark/>
          </w:tcPr>
          <w:p w14:paraId="10C44C2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Digital innovation adoption → (+) Competitiveness</w:t>
            </w:r>
          </w:p>
        </w:tc>
        <w:tc>
          <w:tcPr>
            <w:tcW w:w="0" w:type="auto"/>
            <w:vAlign w:val="center"/>
            <w:hideMark/>
          </w:tcPr>
          <w:p w14:paraId="55AA8F1E"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&lt; 0.05 (all)</w:t>
            </w:r>
          </w:p>
        </w:tc>
        <w:tc>
          <w:tcPr>
            <w:tcW w:w="1940" w:type="dxa"/>
            <w:vAlign w:val="center"/>
            <w:hideMark/>
          </w:tcPr>
          <w:p w14:paraId="0B416405"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Reject H₀</w:t>
            </w:r>
          </w:p>
        </w:tc>
        <w:tc>
          <w:tcPr>
            <w:tcW w:w="1230" w:type="dxa"/>
            <w:vAlign w:val="center"/>
            <w:hideMark/>
          </w:tcPr>
          <w:p w14:paraId="66A6B96E"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Yes</w:t>
            </w:r>
          </w:p>
        </w:tc>
      </w:tr>
      <w:tr w:rsidR="00A60822" w:rsidRPr="00A60822" w14:paraId="274AB4C9" w14:textId="77777777" w:rsidTr="00D00B3F">
        <w:trPr>
          <w:trHeight w:val="624"/>
          <w:tblCellSpacing w:w="15" w:type="dxa"/>
        </w:trPr>
        <w:tc>
          <w:tcPr>
            <w:tcW w:w="1164" w:type="dxa"/>
            <w:tcBorders>
              <w:bottom w:val="single" w:sz="4" w:space="0" w:color="auto"/>
            </w:tcBorders>
            <w:vAlign w:val="center"/>
            <w:hideMark/>
          </w:tcPr>
          <w:p w14:paraId="06FBDFFE"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lastRenderedPageBreak/>
              <w:t>H₅</w:t>
            </w:r>
          </w:p>
        </w:tc>
        <w:tc>
          <w:tcPr>
            <w:tcW w:w="4507" w:type="dxa"/>
            <w:tcBorders>
              <w:bottom w:val="single" w:sz="4" w:space="0" w:color="auto"/>
            </w:tcBorders>
            <w:vAlign w:val="center"/>
            <w:hideMark/>
          </w:tcPr>
          <w:p w14:paraId="07CCC28F"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Controls (size, leverage, industry) moderate the relationships</w:t>
            </w:r>
          </w:p>
        </w:tc>
        <w:tc>
          <w:tcPr>
            <w:tcW w:w="0" w:type="auto"/>
            <w:tcBorders>
              <w:bottom w:val="single" w:sz="4" w:space="0" w:color="auto"/>
            </w:tcBorders>
            <w:vAlign w:val="center"/>
            <w:hideMark/>
          </w:tcPr>
          <w:p w14:paraId="55508CAA"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Size &amp; LEV sig.</w:t>
            </w:r>
          </w:p>
        </w:tc>
        <w:tc>
          <w:tcPr>
            <w:tcW w:w="1940" w:type="dxa"/>
            <w:tcBorders>
              <w:bottom w:val="single" w:sz="4" w:space="0" w:color="auto"/>
            </w:tcBorders>
            <w:vAlign w:val="center"/>
            <w:hideMark/>
          </w:tcPr>
          <w:p w14:paraId="0E312FC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Partially reject H₀</w:t>
            </w:r>
          </w:p>
        </w:tc>
        <w:tc>
          <w:tcPr>
            <w:tcW w:w="1230" w:type="dxa"/>
            <w:tcBorders>
              <w:bottom w:val="single" w:sz="4" w:space="0" w:color="auto"/>
            </w:tcBorders>
            <w:vAlign w:val="center"/>
            <w:hideMark/>
          </w:tcPr>
          <w:p w14:paraId="10019200" w14:textId="77777777" w:rsidR="00A60822" w:rsidRPr="00A60822" w:rsidRDefault="00A60822" w:rsidP="002C3670">
            <w:pPr>
              <w:spacing w:after="0" w:line="240" w:lineRule="auto"/>
              <w:jc w:val="center"/>
              <w:rPr>
                <w:rFonts w:ascii="Times New Roman" w:eastAsia="Times New Roman" w:hAnsi="Times New Roman" w:cs="Times New Roman"/>
                <w:kern w:val="0"/>
                <w:lang w:val="en-GB" w:eastAsia="en-GB"/>
                <w14:ligatures w14:val="none"/>
              </w:rPr>
            </w:pPr>
            <w:r w:rsidRPr="00A60822">
              <w:rPr>
                <w:rFonts w:ascii="Times New Roman" w:eastAsia="Times New Roman" w:hAnsi="Times New Roman" w:cs="Times New Roman"/>
                <w:kern w:val="0"/>
                <w:lang w:val="en-GB" w:eastAsia="en-GB"/>
                <w14:ligatures w14:val="none"/>
              </w:rPr>
              <w:t>Partially</w:t>
            </w:r>
          </w:p>
        </w:tc>
      </w:tr>
    </w:tbl>
    <w:p w14:paraId="780651FE" w14:textId="77777777" w:rsidR="00A60822" w:rsidRPr="00A60822" w:rsidRDefault="00A60822" w:rsidP="002C3670">
      <w:pPr>
        <w:spacing w:after="0" w:line="240" w:lineRule="auto"/>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Source: compilation by the researcher based on hypotheses tested, 2026</w:t>
      </w:r>
    </w:p>
    <w:p w14:paraId="52211EA1"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25846859" w14:textId="0E4A440B"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Discussion of Findings</w:t>
      </w:r>
    </w:p>
    <w:p w14:paraId="63A3E789"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empirical results from the panel least squares regressions provide strong support for the central proposition that digital innovation adoption significantly enhances both firm valuation and competitiveness among listed Nigerian companies (2015–2025). The models explain 58.4% (valuation) and 45.2% (competitiveness) of the variation in the dependent variables, with highly significant F-statistics (152.45 and 89.45, respectively, p &lt; 0.0001), confirming overall model validity.</w:t>
      </w:r>
    </w:p>
    <w:p w14:paraId="21F65E5E"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All three dimensions of digital innovation adoption exert positive and statistically significant effects. In the valuation model (Tobin’s Q), IT investment (ITI_RATIO) shows the strongest impact (β = 2.4512, p = 0.0043), followed by board digital expertise (BDE_PCT: β = 0.6542, p = 0.0078) and software intangible assets (SIA_NGN: β = 0.0125, p = 0.0060). These findings support H₁, H₂, and H₃ and align with resource-based view theory (Bharadwaj, 1999; Mao et al., 2024), demonstrating that digital resources create intangible value not fully captured by accounting measures. They also extend upper echelons theory by confirming that board digital expertise translates into higher market valuation (Yahaya, 2026; Danso et al., 2024).</w:t>
      </w:r>
    </w:p>
    <w:p w14:paraId="038F0FB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In the competitiveness model, the same variables remain positive and significant (ITI_RATIO: β = 0.1245, p = 0.0061; SIA_NGN: β = 0.0045, p = 0.0003; BDE_PCT: β = 0.0452, p = 0.0146), fully supporting H₄. This indicates that digital innovation adoption improves relative market share and profitability, consistent with Nigerian manufacturing and ICT panel studies (</w:t>
      </w:r>
      <w:proofErr w:type="spellStart"/>
      <w:r w:rsidRPr="00A60822">
        <w:rPr>
          <w:rFonts w:ascii="Times New Roman" w:eastAsia="Calibri" w:hAnsi="Times New Roman" w:cs="Times New Roman"/>
          <w:kern w:val="0"/>
          <w:lang w:val="en-GB"/>
          <w14:ligatures w14:val="none"/>
        </w:rPr>
        <w:t>Akadi</w:t>
      </w:r>
      <w:proofErr w:type="spellEnd"/>
      <w:r w:rsidRPr="00A60822">
        <w:rPr>
          <w:rFonts w:ascii="Times New Roman" w:eastAsia="Calibri" w:hAnsi="Times New Roman" w:cs="Times New Roman"/>
          <w:kern w:val="0"/>
          <w:lang w:val="en-GB"/>
          <w14:ligatures w14:val="none"/>
        </w:rPr>
        <w:t>, 2025) and broader emerging-market evidence (Ocak et al., 2019).</w:t>
      </w:r>
    </w:p>
    <w:p w14:paraId="2259E77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Control variables behave as theoretically expected. Firm size (SIZE_LOG) exerts a positive and significant effect in both models (p &lt; 0.05), suggesting larger firms better leverage digital investments. Leverage (LEV_RATIO) shows a negative influence (significant in valuation, p = 0.0220; marginally insignificant in competitiveness, p = 0.0575), reflecting debt constraints on digital transformation. These results provide partial support for H₅ and highlight the moderating role of firm characteristics in Nigeria’s infrastructure-constrained environment.</w:t>
      </w:r>
    </w:p>
    <w:p w14:paraId="6E10DAB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Compared with prior literature, the findings reconcile mixed Nigerian evidence (e.g., insignificant IT effects in </w:t>
      </w:r>
      <w:proofErr w:type="spellStart"/>
      <w:r w:rsidRPr="00A60822">
        <w:rPr>
          <w:rFonts w:ascii="Times New Roman" w:eastAsia="Calibri" w:hAnsi="Times New Roman" w:cs="Times New Roman"/>
          <w:kern w:val="0"/>
          <w:lang w:val="en-GB"/>
          <w14:ligatures w14:val="none"/>
        </w:rPr>
        <w:t>Akadi</w:t>
      </w:r>
      <w:proofErr w:type="spellEnd"/>
      <w:r w:rsidRPr="00A60822">
        <w:rPr>
          <w:rFonts w:ascii="Times New Roman" w:eastAsia="Calibri" w:hAnsi="Times New Roman" w:cs="Times New Roman"/>
          <w:kern w:val="0"/>
          <w:lang w:val="en-GB"/>
          <w14:ligatures w14:val="none"/>
        </w:rPr>
        <w:t>, 2025) by demonstrating that when combined with software assets and board expertise, IT investment yields robust valuation and competitiveness gains. The low average board digital expertise (18.45%) and moderate IT spending (7.82% of assets) revealed in descriptive statistics underscore untapped potential and explain why some earlier studies reported weaker effects.</w:t>
      </w:r>
    </w:p>
    <w:p w14:paraId="17A3008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Theoretically, the study advances an integrated framework showing that digital resources and capabilities jointly drive competitive advantage in emerging markets. Practically, Nigerian boards and managers should prioritize IT capital allocation, software capitalization, and recruitment of digitally skilled directors. Policymakers (SEC, FRCN) can use these results to design incentives for digital investment and board training.</w:t>
      </w:r>
    </w:p>
    <w:p w14:paraId="63576240"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Limitations include reliance on disclosed data (software intangibles may understate true values) and the absence of explicit industry dummies. Overall, the results confirm that digital innovation adoption is a powerful driver of firm value and competitiveness in Nigeria’s globalized digital economy, offering timely evidence for both theory and practice.</w:t>
      </w:r>
    </w:p>
    <w:p w14:paraId="2A612817"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The results support the Resource-Based View (RBV) and Dynamic Capabilities Theory, suggesting that digital innovations are valuable resources and capabilities that enhance firm value and competitiveness in Nigeria. The significant positive impact of IT investment and software assets on valuation and market share indicates that investors and customers value tech-enabled firms. Furthermore, the role of board digital expertise highlights the importance of strategic leadership in navigating the digital economy. These findings are consistent with prior research by Yahaya (2026) and </w:t>
      </w:r>
      <w:proofErr w:type="spellStart"/>
      <w:r w:rsidRPr="00A60822">
        <w:rPr>
          <w:rFonts w:ascii="Times New Roman" w:eastAsia="Calibri" w:hAnsi="Times New Roman" w:cs="Times New Roman"/>
          <w:kern w:val="0"/>
          <w:lang w:val="en-GB"/>
          <w14:ligatures w14:val="none"/>
        </w:rPr>
        <w:t>Jardak</w:t>
      </w:r>
      <w:proofErr w:type="spellEnd"/>
      <w:r w:rsidRPr="00A60822">
        <w:rPr>
          <w:rFonts w:ascii="Times New Roman" w:eastAsia="Calibri" w:hAnsi="Times New Roman" w:cs="Times New Roman"/>
          <w:kern w:val="0"/>
          <w:lang w:val="en-GB"/>
          <w14:ligatures w14:val="none"/>
        </w:rPr>
        <w:t xml:space="preserve"> and Ben Hamad (2022).</w:t>
      </w:r>
    </w:p>
    <w:p w14:paraId="47FE2ED7"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6C4BB0FA" w14:textId="5BA0EF03"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lastRenderedPageBreak/>
        <w:t>Conclusion and Recommendations</w:t>
      </w:r>
    </w:p>
    <w:p w14:paraId="2ED1509F" w14:textId="77777777"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5.1</w:t>
      </w:r>
      <w:r w:rsidRPr="00A60822">
        <w:rPr>
          <w:rFonts w:ascii="Times New Roman" w:eastAsia="Calibri" w:hAnsi="Times New Roman" w:cs="Times New Roman"/>
          <w:b/>
          <w:kern w:val="0"/>
          <w:lang w:val="en-GB"/>
          <w14:ligatures w14:val="none"/>
        </w:rPr>
        <w:tab/>
        <w:t>Conclusion</w:t>
      </w:r>
    </w:p>
    <w:p w14:paraId="2F0EA985"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This study rigorously investigated the effect of digital innovation adoption on the valuation and competitiveness of 50 purposively selected Nigerian companies listed on the Nigerian Exchange Group (NGX) over a 10-year period (2015 to 2024). Employing a robust panel data regression analysis, the findings unequivocally demonstrate a significant positive relationship between digital innovation adoption, proxied by IT investment, software intangible asset disclosures, and board digital expertise, and both firm valuation (Tobin’s Q) and competitiveness (relative market share and relative profitability). The empirical evidence supports the theoretical underpinnings of the Resource-Based View (RBV) and Dynamic Capabilities Theory, affirming that strategic investments in digital resources and the organizational capacity to leverage them are crucial drivers of superior market performance in Nigeria's evolving digital economy. Specifically, IT investments and software intangible assets were found to enhance market valuation and market share, while board-level digital expertise significantly contributed to improved profitability relative to industry peers. These results underscore that for Nigerian </w:t>
      </w:r>
      <w:proofErr w:type="gramStart"/>
      <w:r w:rsidRPr="00A60822">
        <w:rPr>
          <w:rFonts w:ascii="Times New Roman" w:eastAsia="Calibri" w:hAnsi="Times New Roman" w:cs="Times New Roman"/>
          <w:kern w:val="0"/>
          <w:lang w:val="en-GB"/>
          <w14:ligatures w14:val="none"/>
        </w:rPr>
        <w:t>firms,</w:t>
      </w:r>
      <w:proofErr w:type="gramEnd"/>
      <w:r w:rsidRPr="00A60822">
        <w:rPr>
          <w:rFonts w:ascii="Times New Roman" w:eastAsia="Calibri" w:hAnsi="Times New Roman" w:cs="Times New Roman"/>
          <w:kern w:val="0"/>
          <w:lang w:val="en-GB"/>
          <w14:ligatures w14:val="none"/>
        </w:rPr>
        <w:t xml:space="preserve"> digital innovation is not merely an operational enhancement but a fundamental strategic imperative for achieving and sustaining competitive advantage in a globalized digital landscape.</w:t>
      </w:r>
    </w:p>
    <w:p w14:paraId="608A3146"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The study concludes that digital innovation adoption significantly enhances the valuation and competitiveness of listed Nigerian companies in a globalized digital economy. Proactive investments in IT infrastructure, software intangible assets, and board digital expertise are essential for driving corporate success and sustainability. The findings suggest that digital innovation is no longer an optional strategy but a critical requirement for navigating the complexities of the digital age and maintaining a competitive edge.</w:t>
      </w:r>
    </w:p>
    <w:p w14:paraId="2B3CA4FC"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30914217" w14:textId="7D57C565"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5.2</w:t>
      </w:r>
      <w:r w:rsidRPr="00A60822">
        <w:rPr>
          <w:rFonts w:ascii="Times New Roman" w:eastAsia="Calibri" w:hAnsi="Times New Roman" w:cs="Times New Roman"/>
          <w:b/>
          <w:kern w:val="0"/>
          <w:lang w:val="en-GB"/>
          <w14:ligatures w14:val="none"/>
        </w:rPr>
        <w:tab/>
        <w:t>Recommendations</w:t>
      </w:r>
    </w:p>
    <w:p w14:paraId="4FA1494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Based on the findings, the study recommends the following:</w:t>
      </w:r>
    </w:p>
    <w:p w14:paraId="79849888" w14:textId="77777777" w:rsidR="00A60822" w:rsidRPr="00A60822" w:rsidRDefault="00A60822" w:rsidP="002C3670">
      <w:pPr>
        <w:numPr>
          <w:ilvl w:val="0"/>
          <w:numId w:val="12"/>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Strategic Investment in Digital Infrastructure: Nigerian companies should prioritize strategic investments in digital technologies and infrastructure to enhance operational efficiency and create new value propositions.</w:t>
      </w:r>
    </w:p>
    <w:p w14:paraId="6EDC89A5" w14:textId="77777777" w:rsidR="00A60822" w:rsidRPr="00A60822" w:rsidRDefault="00A60822" w:rsidP="002C3670">
      <w:pPr>
        <w:numPr>
          <w:ilvl w:val="0"/>
          <w:numId w:val="12"/>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Enhancement of Board Digital Expertise: Corporate boards in Nigeria should actively seek to include members with expertise in digital transformation and technology to provide strategic guidance and oversight.</w:t>
      </w:r>
    </w:p>
    <w:p w14:paraId="1D99830B" w14:textId="77777777" w:rsidR="00A60822" w:rsidRPr="00A60822" w:rsidRDefault="00A60822" w:rsidP="002C3670">
      <w:pPr>
        <w:numPr>
          <w:ilvl w:val="0"/>
          <w:numId w:val="12"/>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Standardized Reporting on Digital Assets: Regulatory bodies like the Financial Reporting Council of Nigeria (FRCN) and the Securities and Exchange Commission (SEC) should develop standardized guidelines for disclosing digital innovation activities and intangible software assets in annual reports.</w:t>
      </w:r>
    </w:p>
    <w:p w14:paraId="2544F977" w14:textId="77777777" w:rsidR="00A60822" w:rsidRPr="00A60822" w:rsidRDefault="00A60822" w:rsidP="002C3670">
      <w:pPr>
        <w:numPr>
          <w:ilvl w:val="0"/>
          <w:numId w:val="12"/>
        </w:numPr>
        <w:spacing w:after="0" w:line="240" w:lineRule="auto"/>
        <w:contextualSpacing/>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Continuous Skill Development: Companies should invest in continuous digital skill development for employees at all levels to foster a culture of innovation and adaptability.</w:t>
      </w:r>
    </w:p>
    <w:p w14:paraId="116C8C70"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6223141C" w14:textId="50922399"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5.3</w:t>
      </w:r>
      <w:r w:rsidRPr="00A60822">
        <w:rPr>
          <w:rFonts w:ascii="Times New Roman" w:eastAsia="Calibri" w:hAnsi="Times New Roman" w:cs="Times New Roman"/>
          <w:b/>
          <w:kern w:val="0"/>
          <w:lang w:val="en-GB"/>
          <w14:ligatures w14:val="none"/>
        </w:rPr>
        <w:tab/>
        <w:t>Contribution to Knowledge</w:t>
      </w:r>
    </w:p>
    <w:p w14:paraId="76C753C1"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This study significantly advances the understanding of digital innovation's impact on corporate performance in emerging economies, particularly Nigeria, through several distinct contributions:</w:t>
      </w:r>
    </w:p>
    <w:p w14:paraId="195CE53A"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57E50E4B" w14:textId="0C544EBA"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Theoretical Contributions</w:t>
      </w:r>
    </w:p>
    <w:p w14:paraId="096244C4"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Firstly, this research enriches the Resource-Based View (RBV) by empirically demonstrating how specific digital assets and capabilities serve as critical VRIN (Valuable, Rare, Inimitable, Non-substitutable) resources that drive superior firm valuation and competitiveness in a rapidly digitalizing market. It extends the traditional RBV by explicitly integrating digital dimensions, thereby offering a contemporary lens through which to analyse resource-based competitive advantages in the 21st century. Secondly, it reinforces and extends the Dynamic Capabilities Theory by illustrating how the organizational capacity to sense, seize, and reconfigure digital resources is paramount for firms to adapt and thrive amidst technological disruptions. This study provides empirical validation of these theoretical constructs within a unique emerging market context, showing their continued relevance and explanatory power beyond developed economies.</w:t>
      </w:r>
    </w:p>
    <w:p w14:paraId="7BC24ADE"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9F4CDCD" w14:textId="1BD2A9A1"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lastRenderedPageBreak/>
        <w:t>Empirical Contributions</w:t>
      </w:r>
    </w:p>
    <w:p w14:paraId="5F87E698"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Empirically, this study fills a crucial gap in the literature by providing robust, longitudinal evidence from Nigeria, Africa's largest economy. Prior research on digital innovation and firm performance has predominantly focused on developed markets, leaving a dearth of comprehensive studies in emerging contexts. By analysing 50 listed Nigerian companies over 2015 to 2024, this research offers granular insights into the specific mechanisms through which digital innovation translates into enhanced market valuation (Tobin's Q) and improved competitiveness (relative market share and profitability). The findings confirm that digital innovation is a significant positive predictor of corporate success in Nigeria, challenging any lingering 'productivity paradox' notions within this specific economic landscape. Furthermore, the disaggregated analysis of digital innovation proxies provides a more nuanced understanding than studies relying on single, broad measures.</w:t>
      </w:r>
    </w:p>
    <w:p w14:paraId="2C677DC1"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7BA64D1A" w14:textId="67BF2E7E"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Methodological Contributions</w:t>
      </w:r>
    </w:p>
    <w:p w14:paraId="35E8D04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Methodologically, this study contributes by demonstrating the effective application of secondary data for comprehensive analysis of digital innovation in an emerging market. Despite challenges in data availability and standardization, the research meticulously identifies and utilizes publicly accessible financial reports, market data from the Nigerian Exchange Group (NGX), and corporate governance disclosures to construct robust proxies for digital innovation. This approach offers a replicable framework for future studies seeking to investigate similar phenomena in data-constrained environments. The use of panel data regression techniques also allows for controlling unobserved firm-specific heterogeneity and time-invariant factors, enhancing the reliability and validity of the empirical results.</w:t>
      </w:r>
    </w:p>
    <w:p w14:paraId="2F9FAC6F"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3F8A70E2" w14:textId="195010C2"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Practical Contributions</w:t>
      </w:r>
    </w:p>
    <w:p w14:paraId="3D196013" w14:textId="77777777" w:rsidR="00A60822" w:rsidRPr="00A60822" w:rsidRDefault="00A60822" w:rsidP="002C3670">
      <w:pPr>
        <w:spacing w:after="0" w:line="240" w:lineRule="auto"/>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Finally, the study offers significant practical implications for a diverse range of stakeholders in Nigeria and other emerging economies. For corporate management and boards, it provides compelling evidence to justify strategic investments in digital infrastructure, software development, and the cultivation of digital expertise at the highest levels of leadership. For investors and financial analysts, the findings highlight the importance of incorporating digital innovation metrics into valuation models and investment decisions, offering a more forward-looking perspective on firm potential. For policymakers and regulators, the study underscores the urgent need for standardized reporting guidelines on digital assets and innovation activities, which would foster greater transparency, attract investment, and facilitate a more robust digital economy. By bridging the gap between academic theory and practical application, this research directly contributes to advancing global business leadership in a digitally transformed world.</w:t>
      </w:r>
    </w:p>
    <w:p w14:paraId="6B6684A6" w14:textId="77777777" w:rsidR="002C3670" w:rsidRDefault="002C3670" w:rsidP="002C3670">
      <w:pPr>
        <w:spacing w:after="0" w:line="240" w:lineRule="auto"/>
        <w:jc w:val="both"/>
        <w:rPr>
          <w:rFonts w:ascii="Times New Roman" w:eastAsia="Calibri" w:hAnsi="Times New Roman" w:cs="Times New Roman"/>
          <w:b/>
          <w:kern w:val="0"/>
          <w:lang w:val="en-GB"/>
          <w14:ligatures w14:val="none"/>
        </w:rPr>
      </w:pPr>
    </w:p>
    <w:p w14:paraId="118787CE" w14:textId="1BA6DC84" w:rsidR="00A60822" w:rsidRPr="00A60822" w:rsidRDefault="00A60822" w:rsidP="002C3670">
      <w:pPr>
        <w:spacing w:after="0" w:line="240" w:lineRule="auto"/>
        <w:jc w:val="both"/>
        <w:rPr>
          <w:rFonts w:ascii="Times New Roman" w:eastAsia="Calibri" w:hAnsi="Times New Roman" w:cs="Times New Roman"/>
          <w:b/>
          <w:kern w:val="0"/>
          <w:lang w:val="en-GB"/>
          <w14:ligatures w14:val="none"/>
        </w:rPr>
      </w:pPr>
      <w:r w:rsidRPr="00A60822">
        <w:rPr>
          <w:rFonts w:ascii="Times New Roman" w:eastAsia="Calibri" w:hAnsi="Times New Roman" w:cs="Times New Roman"/>
          <w:b/>
          <w:kern w:val="0"/>
          <w:lang w:val="en-GB"/>
          <w14:ligatures w14:val="none"/>
        </w:rPr>
        <w:t>References</w:t>
      </w:r>
    </w:p>
    <w:p w14:paraId="1771A794"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Akanbi, T. A., Oladejo, M. O., &amp; </w:t>
      </w:r>
      <w:proofErr w:type="spellStart"/>
      <w:r w:rsidRPr="00A60822">
        <w:rPr>
          <w:rFonts w:ascii="Times New Roman" w:eastAsia="Calibri" w:hAnsi="Times New Roman" w:cs="Times New Roman"/>
          <w:kern w:val="0"/>
          <w:lang w:val="en-GB"/>
          <w14:ligatures w14:val="none"/>
        </w:rPr>
        <w:t>Oyeleye</w:t>
      </w:r>
      <w:proofErr w:type="spellEnd"/>
      <w:r w:rsidRPr="00A60822">
        <w:rPr>
          <w:rFonts w:ascii="Times New Roman" w:eastAsia="Calibri" w:hAnsi="Times New Roman" w:cs="Times New Roman"/>
          <w:kern w:val="0"/>
          <w:lang w:val="en-GB"/>
          <w14:ligatures w14:val="none"/>
        </w:rPr>
        <w:t>, O. A. (2022). Impact of Fintech (Financial Technologies) usage on the financial and non-financial performance of small and medium scale enterprises in Nigeria. International Journal of Academic Research in Accounting, Finance and Management Sciences, 12(2), 306–316. https://doi.org/10.6007/IJARAFMS/v12-i2/13262</w:t>
      </w:r>
    </w:p>
    <w:p w14:paraId="7E36A603"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proofErr w:type="spellStart"/>
      <w:r w:rsidRPr="00A60822">
        <w:rPr>
          <w:rFonts w:ascii="Times New Roman" w:eastAsia="Calibri" w:hAnsi="Times New Roman" w:cs="Times New Roman"/>
          <w:kern w:val="0"/>
          <w:lang w:val="en-GB"/>
          <w14:ligatures w14:val="none"/>
        </w:rPr>
        <w:t>Akadi</w:t>
      </w:r>
      <w:proofErr w:type="spellEnd"/>
      <w:r w:rsidRPr="00A60822">
        <w:rPr>
          <w:rFonts w:ascii="Times New Roman" w:eastAsia="Calibri" w:hAnsi="Times New Roman" w:cs="Times New Roman"/>
          <w:kern w:val="0"/>
          <w:lang w:val="en-GB"/>
          <w14:ligatures w14:val="none"/>
        </w:rPr>
        <w:t>, J. U. (2025). Disruptive technologies and market value in Nigeria: Empirical evidences from listed information and communication technology firms. International Journal of Digital Economy, 5(2), 1-15. https://www.researchgate.net/publication/396737667_Disruptive_Technologies_and_Market_Value_in_Nigeria_Empirical_Evidences_from_Listed_Information_and_Communication_Technology_Firms</w:t>
      </w:r>
    </w:p>
    <w:p w14:paraId="118BCBB6"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Aliu, J., Oke, A. E., </w:t>
      </w:r>
      <w:proofErr w:type="spellStart"/>
      <w:r w:rsidRPr="00A60822">
        <w:rPr>
          <w:rFonts w:ascii="Times New Roman" w:eastAsia="Calibri" w:hAnsi="Times New Roman" w:cs="Times New Roman"/>
          <w:kern w:val="0"/>
          <w:lang w:val="en-GB"/>
          <w14:ligatures w14:val="none"/>
        </w:rPr>
        <w:t>Jesudaju</w:t>
      </w:r>
      <w:proofErr w:type="spellEnd"/>
      <w:r w:rsidRPr="00A60822">
        <w:rPr>
          <w:rFonts w:ascii="Times New Roman" w:eastAsia="Calibri" w:hAnsi="Times New Roman" w:cs="Times New Roman"/>
          <w:kern w:val="0"/>
          <w:lang w:val="en-GB"/>
          <w14:ligatures w14:val="none"/>
        </w:rPr>
        <w:t xml:space="preserve">, O. T., Akanni, P. O., </w:t>
      </w:r>
      <w:proofErr w:type="spellStart"/>
      <w:r w:rsidRPr="00A60822">
        <w:rPr>
          <w:rFonts w:ascii="Times New Roman" w:eastAsia="Calibri" w:hAnsi="Times New Roman" w:cs="Times New Roman"/>
          <w:kern w:val="0"/>
          <w:lang w:val="en-GB"/>
          <w14:ligatures w14:val="none"/>
        </w:rPr>
        <w:t>Ehbohimen</w:t>
      </w:r>
      <w:proofErr w:type="spellEnd"/>
      <w:r w:rsidRPr="00A60822">
        <w:rPr>
          <w:rFonts w:ascii="Times New Roman" w:eastAsia="Calibri" w:hAnsi="Times New Roman" w:cs="Times New Roman"/>
          <w:kern w:val="0"/>
          <w:lang w:val="en-GB"/>
          <w14:ligatures w14:val="none"/>
        </w:rPr>
        <w:t xml:space="preserve">, T., &amp; </w:t>
      </w:r>
      <w:proofErr w:type="spellStart"/>
      <w:r w:rsidRPr="00A60822">
        <w:rPr>
          <w:rFonts w:ascii="Times New Roman" w:eastAsia="Calibri" w:hAnsi="Times New Roman" w:cs="Times New Roman"/>
          <w:kern w:val="0"/>
          <w:lang w:val="en-GB"/>
          <w14:ligatures w14:val="none"/>
        </w:rPr>
        <w:t>Dosumu</w:t>
      </w:r>
      <w:proofErr w:type="spellEnd"/>
      <w:r w:rsidRPr="00A60822">
        <w:rPr>
          <w:rFonts w:ascii="Times New Roman" w:eastAsia="Calibri" w:hAnsi="Times New Roman" w:cs="Times New Roman"/>
          <w:kern w:val="0"/>
          <w:lang w:val="en-GB"/>
          <w14:ligatures w14:val="none"/>
        </w:rPr>
        <w:t>, O. S. (2025). Digital Evolution in Nigerian Heavy-Engineering Projects: A Comprehensive Analysis of Technology Adoption for Competitive Edge. Buildings, 15(3), 380. https://doi.org/10.3390/buildings15030380</w:t>
      </w:r>
    </w:p>
    <w:p w14:paraId="3B12BA18"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Barney, J. B. (1991). Firm resources and sustained competitive advantage. Journal of Management, 17(1), 99-120. https://journals.sagepub.com/doi/10.1177/014920639101700108.</w:t>
      </w:r>
    </w:p>
    <w:p w14:paraId="5879EE4E"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Bharadwaj, A. S. (1999). A resource-based perspective on information technology capability and firm performance: An empirical investigation. MIS Quarterly, 24(1), 169–196. https://doi.org/10.2307/3250983</w:t>
      </w:r>
    </w:p>
    <w:p w14:paraId="58B7FA08"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Central Bank of Nigeria (CBN). (2025). Economic and Financial Reports. https://www.cbn.gov.ng/</w:t>
      </w:r>
    </w:p>
    <w:p w14:paraId="24FFDAA0"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lastRenderedPageBreak/>
        <w:t>Danso, F.K., Adusei, M., Sarpong-Danquah, B. et al. (2024). Board expertise diversity and firm performance in sub-Saharan Africa: Do firm age and size matter? Future Business Journal, 10, Article 86. https://doi.org/10.1186/s43093-024-00386-6</w:t>
      </w:r>
    </w:p>
    <w:p w14:paraId="0672FE2D"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Federal Ministry of Communications and Digital Economy. (2020). National Digital Economy Policy and Strategy (2020-2030). https://www.commtech.gov.ng/ndeps/</w:t>
      </w:r>
    </w:p>
    <w:p w14:paraId="048DB3DB"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proofErr w:type="spellStart"/>
      <w:r w:rsidRPr="00A60822">
        <w:rPr>
          <w:rFonts w:ascii="Times New Roman" w:eastAsia="Calibri" w:hAnsi="Times New Roman" w:cs="Times New Roman"/>
          <w:kern w:val="0"/>
          <w:lang w:val="en-GB"/>
          <w14:ligatures w14:val="none"/>
        </w:rPr>
        <w:t>Ikwuagwu</w:t>
      </w:r>
      <w:proofErr w:type="spellEnd"/>
      <w:r w:rsidRPr="00A60822">
        <w:rPr>
          <w:rFonts w:ascii="Times New Roman" w:eastAsia="Calibri" w:hAnsi="Times New Roman" w:cs="Times New Roman"/>
          <w:kern w:val="0"/>
          <w:lang w:val="en-GB"/>
          <w14:ligatures w14:val="none"/>
        </w:rPr>
        <w:t xml:space="preserve">, H. C., </w:t>
      </w:r>
      <w:proofErr w:type="spellStart"/>
      <w:r w:rsidRPr="00A60822">
        <w:rPr>
          <w:rFonts w:ascii="Times New Roman" w:eastAsia="Calibri" w:hAnsi="Times New Roman" w:cs="Times New Roman"/>
          <w:kern w:val="0"/>
          <w:lang w:val="en-GB"/>
          <w14:ligatures w14:val="none"/>
        </w:rPr>
        <w:t>Saborogha</w:t>
      </w:r>
      <w:proofErr w:type="spellEnd"/>
      <w:r w:rsidRPr="00A60822">
        <w:rPr>
          <w:rFonts w:ascii="Times New Roman" w:eastAsia="Calibri" w:hAnsi="Times New Roman" w:cs="Times New Roman"/>
          <w:kern w:val="0"/>
          <w:lang w:val="en-GB"/>
          <w14:ligatures w14:val="none"/>
        </w:rPr>
        <w:t xml:space="preserve">, U. B., Kabir, A. Y. (2025). Assessing the Impact of Digitalization on the Performance of Manufacturing Sector in Nigeria. International Journal </w:t>
      </w:r>
      <w:proofErr w:type="gramStart"/>
      <w:r w:rsidRPr="00A60822">
        <w:rPr>
          <w:rFonts w:ascii="Times New Roman" w:eastAsia="Calibri" w:hAnsi="Times New Roman" w:cs="Times New Roman"/>
          <w:kern w:val="0"/>
          <w:lang w:val="en-GB"/>
          <w14:ligatures w14:val="none"/>
        </w:rPr>
        <w:t>Of</w:t>
      </w:r>
      <w:proofErr w:type="gramEnd"/>
      <w:r w:rsidRPr="00A60822">
        <w:rPr>
          <w:rFonts w:ascii="Times New Roman" w:eastAsia="Calibri" w:hAnsi="Times New Roman" w:cs="Times New Roman"/>
          <w:kern w:val="0"/>
          <w:lang w:val="en-GB"/>
          <w14:ligatures w14:val="none"/>
        </w:rPr>
        <w:t xml:space="preserve"> Research </w:t>
      </w:r>
      <w:proofErr w:type="gramStart"/>
      <w:r w:rsidRPr="00A60822">
        <w:rPr>
          <w:rFonts w:ascii="Times New Roman" w:eastAsia="Calibri" w:hAnsi="Times New Roman" w:cs="Times New Roman"/>
          <w:kern w:val="0"/>
          <w:lang w:val="en-GB"/>
          <w14:ligatures w14:val="none"/>
        </w:rPr>
        <w:t>And</w:t>
      </w:r>
      <w:proofErr w:type="gramEnd"/>
      <w:r w:rsidRPr="00A60822">
        <w:rPr>
          <w:rFonts w:ascii="Times New Roman" w:eastAsia="Calibri" w:hAnsi="Times New Roman" w:cs="Times New Roman"/>
          <w:kern w:val="0"/>
          <w:lang w:val="en-GB"/>
          <w14:ligatures w14:val="none"/>
        </w:rPr>
        <w:t xml:space="preserve"> Innovation </w:t>
      </w:r>
      <w:proofErr w:type="gramStart"/>
      <w:r w:rsidRPr="00A60822">
        <w:rPr>
          <w:rFonts w:ascii="Times New Roman" w:eastAsia="Calibri" w:hAnsi="Times New Roman" w:cs="Times New Roman"/>
          <w:kern w:val="0"/>
          <w:lang w:val="en-GB"/>
          <w14:ligatures w14:val="none"/>
        </w:rPr>
        <w:t>In</w:t>
      </w:r>
      <w:proofErr w:type="gramEnd"/>
      <w:r w:rsidRPr="00A60822">
        <w:rPr>
          <w:rFonts w:ascii="Times New Roman" w:eastAsia="Calibri" w:hAnsi="Times New Roman" w:cs="Times New Roman"/>
          <w:kern w:val="0"/>
          <w:lang w:val="en-GB"/>
          <w14:ligatures w14:val="none"/>
        </w:rPr>
        <w:t xml:space="preserve"> Social Science. Volume IX Issue VIII. DOI: https://dx.doi.org/10.47772/IJRISS.2025.908000175.</w:t>
      </w:r>
    </w:p>
    <w:p w14:paraId="4B39922E"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proofErr w:type="spellStart"/>
      <w:r w:rsidRPr="00A60822">
        <w:rPr>
          <w:rFonts w:ascii="Times New Roman" w:eastAsia="Calibri" w:hAnsi="Times New Roman" w:cs="Times New Roman"/>
          <w:kern w:val="0"/>
          <w:lang w:val="en-GB"/>
          <w14:ligatures w14:val="none"/>
        </w:rPr>
        <w:t>Intara</w:t>
      </w:r>
      <w:proofErr w:type="spellEnd"/>
      <w:r w:rsidRPr="00A60822">
        <w:rPr>
          <w:rFonts w:ascii="Times New Roman" w:eastAsia="Calibri" w:hAnsi="Times New Roman" w:cs="Times New Roman"/>
          <w:kern w:val="0"/>
          <w:lang w:val="en-GB"/>
          <w14:ligatures w14:val="none"/>
        </w:rPr>
        <w:t>, P. (2024). Intangible assets, firm value, and performance: Does intangible-intensive matter? Cogent Economics &amp; Finance, 12(1), Article 2375341. https://doi.org/10.1080/23322039.2024.2375341</w:t>
      </w:r>
    </w:p>
    <w:p w14:paraId="7AA9BC55"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Jardak, M. K., &amp; Ben-Hamad, S. (2022). The effect of digital transformation on firm performance: evidence from Swedish listed companies. The Journal of Risk Finance, 23(4), 329-347. https://www.emerald.com/jrf/article/23/4/329/450716.</w:t>
      </w:r>
    </w:p>
    <w:p w14:paraId="5CAB0FF9"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Mao, Y., Hu, N., Leng, T. &amp; Liu, Y. (2024). Digital economy, innovation, and firm value: Evidence from China. Pacific-Basin Finance Journal, Elsevier, vol. 85(C).</w:t>
      </w:r>
    </w:p>
    <w:p w14:paraId="2990B07B"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Nigerian Exchange Group (NGX). (2025). Listed Companies and Market Data. https://ngxgroup.com/</w:t>
      </w:r>
    </w:p>
    <w:p w14:paraId="2ECF1D2D"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Ocak, M., &amp; Fındık, D. (2019). The Impact of Intangible Assets and Sub-Components of Intangible Assets on Sustainable Growth and Firm Value: Evidence from Turkish Listed Firms. Sustainability, 11(19), 5359. https://doi.org/10.3390/su11195359</w:t>
      </w:r>
    </w:p>
    <w:p w14:paraId="5A9F0D8E"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proofErr w:type="spellStart"/>
      <w:r w:rsidRPr="00A60822">
        <w:rPr>
          <w:rFonts w:ascii="Times New Roman" w:eastAsia="Calibri" w:hAnsi="Times New Roman" w:cs="Times New Roman"/>
          <w:kern w:val="0"/>
          <w:lang w:val="en-GB"/>
          <w14:ligatures w14:val="none"/>
        </w:rPr>
        <w:t>Ogunyomi</w:t>
      </w:r>
      <w:proofErr w:type="spellEnd"/>
      <w:r w:rsidRPr="00A60822">
        <w:rPr>
          <w:rFonts w:ascii="Times New Roman" w:eastAsia="Calibri" w:hAnsi="Times New Roman" w:cs="Times New Roman"/>
          <w:kern w:val="0"/>
          <w:lang w:val="en-GB"/>
          <w14:ligatures w14:val="none"/>
        </w:rPr>
        <w:t>, O. O., &amp; Obi, E. (2016). Information and communication technology investment and firm productivity: Evidence from the Nigerian banking industry. Research Journal of Finance and Accounting, 7(12), 1-15. https://www.academia.edu/download/103849347/234631340.pdf</w:t>
      </w:r>
    </w:p>
    <w:p w14:paraId="22D7E1FF"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 xml:space="preserve">Teece, D. J., Pisano, G., &amp; </w:t>
      </w:r>
      <w:proofErr w:type="spellStart"/>
      <w:r w:rsidRPr="00A60822">
        <w:rPr>
          <w:rFonts w:ascii="Times New Roman" w:eastAsia="Calibri" w:hAnsi="Times New Roman" w:cs="Times New Roman"/>
          <w:kern w:val="0"/>
          <w:lang w:val="en-GB"/>
          <w14:ligatures w14:val="none"/>
        </w:rPr>
        <w:t>Shuen</w:t>
      </w:r>
      <w:proofErr w:type="spellEnd"/>
      <w:r w:rsidRPr="00A60822">
        <w:rPr>
          <w:rFonts w:ascii="Times New Roman" w:eastAsia="Calibri" w:hAnsi="Times New Roman" w:cs="Times New Roman"/>
          <w:kern w:val="0"/>
          <w:lang w:val="en-GB"/>
          <w14:ligatures w14:val="none"/>
        </w:rPr>
        <w:t>, A. (1997). Dynamic capabilities and strategic management. Strategic Management Journal, 18(7), 509-533. [</w:t>
      </w:r>
      <w:proofErr w:type="gramStart"/>
      <w:r w:rsidRPr="00A60822">
        <w:rPr>
          <w:rFonts w:ascii="Times New Roman" w:eastAsia="Calibri" w:hAnsi="Times New Roman" w:cs="Times New Roman"/>
          <w:kern w:val="0"/>
          <w:lang w:val="en-GB"/>
          <w14:ligatures w14:val="none"/>
        </w:rPr>
        <w:t>https://onlinelibrary.wiley.com/doi/abs/10.1002/(SICI)1097-0266(199708)18:7%3C509::AID-SMJ882%3E3.0.CO;2-Z](</w:t>
      </w:r>
      <w:proofErr w:type="gramEnd"/>
      <w:r w:rsidRPr="00A60822">
        <w:rPr>
          <w:rFonts w:ascii="Times New Roman" w:eastAsia="Calibri" w:hAnsi="Times New Roman" w:cs="Times New Roman"/>
          <w:kern w:val="0"/>
          <w:lang w:val="en-GB"/>
          <w14:ligatures w14:val="none"/>
        </w:rPr>
        <w:t>https://onlinelibrary.wiley.com/doi/abs/10.1002/(SICI)1097-0266(199708)18:7%3C509::AID-SMJ882%3E3.0.CO;2-Z)</w:t>
      </w:r>
    </w:p>
    <w:p w14:paraId="4F05AC35"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World Economic Forum. (2023). The Digital Transformation of Business: A Global Perspective. https://www.weforum.org/reports/digital-transformation-business-global-perspective/</w:t>
      </w:r>
    </w:p>
    <w:p w14:paraId="27AC4C6A" w14:textId="77777777" w:rsidR="00A60822" w:rsidRPr="00A60822" w:rsidRDefault="00A60822" w:rsidP="002C3670">
      <w:pPr>
        <w:spacing w:after="0" w:line="240" w:lineRule="auto"/>
        <w:ind w:left="567" w:hanging="567"/>
        <w:jc w:val="both"/>
        <w:rPr>
          <w:rFonts w:ascii="Times New Roman" w:eastAsia="Calibri" w:hAnsi="Times New Roman" w:cs="Times New Roman"/>
          <w:kern w:val="0"/>
          <w:lang w:val="en-GB"/>
          <w14:ligatures w14:val="none"/>
        </w:rPr>
      </w:pPr>
      <w:r w:rsidRPr="00A60822">
        <w:rPr>
          <w:rFonts w:ascii="Times New Roman" w:eastAsia="Calibri" w:hAnsi="Times New Roman" w:cs="Times New Roman"/>
          <w:kern w:val="0"/>
          <w:lang w:val="en-GB"/>
          <w14:ligatures w14:val="none"/>
        </w:rPr>
        <w:t>Yahaya, O. A. (2026). Board digital expertise and innovation performance of listed firms in Nigeria. Journal of Finance and Accounting Research, 12(1), 1-20. https://www.researchgate.net/publication/401658652_Board_Digital_Expertise_and_Innovation_Performance_of_Listed_Firms_in_Nigeria.</w:t>
      </w:r>
    </w:p>
    <w:p w14:paraId="17FC4C36" w14:textId="77777777" w:rsidR="00A60822" w:rsidRPr="00A60822" w:rsidRDefault="00A60822" w:rsidP="00A60822">
      <w:pPr>
        <w:spacing w:after="0" w:line="480" w:lineRule="auto"/>
        <w:jc w:val="both"/>
        <w:rPr>
          <w:rFonts w:ascii="Times New Roman" w:eastAsia="Calibri" w:hAnsi="Times New Roman" w:cs="Times New Roman"/>
          <w:kern w:val="0"/>
          <w:lang w:val="en-GB"/>
          <w14:ligatures w14:val="none"/>
        </w:rPr>
      </w:pPr>
    </w:p>
    <w:p w14:paraId="2B25A744" w14:textId="77777777" w:rsidR="00A60822" w:rsidRDefault="00A60822" w:rsidP="00A60822">
      <w:pPr>
        <w:spacing w:after="0" w:line="240" w:lineRule="auto"/>
        <w:jc w:val="both"/>
        <w:rPr>
          <w:rFonts w:ascii="Times New Roman" w:hAnsi="Times New Roman" w:cs="Times New Roman"/>
          <w:b/>
          <w:bCs/>
          <w:sz w:val="56"/>
          <w:szCs w:val="56"/>
        </w:rPr>
      </w:pPr>
    </w:p>
    <w:p w14:paraId="75E9185B" w14:textId="77777777" w:rsidR="00A60822" w:rsidRDefault="00A60822" w:rsidP="00A60822">
      <w:pPr>
        <w:spacing w:after="0" w:line="240" w:lineRule="auto"/>
        <w:jc w:val="both"/>
        <w:rPr>
          <w:rFonts w:ascii="Times New Roman" w:hAnsi="Times New Roman" w:cs="Times New Roman"/>
          <w:b/>
          <w:bCs/>
          <w:sz w:val="56"/>
          <w:szCs w:val="56"/>
        </w:rPr>
      </w:pPr>
    </w:p>
    <w:p w14:paraId="77761054" w14:textId="77777777" w:rsidR="00A60822" w:rsidRDefault="00A60822" w:rsidP="00A60822">
      <w:pPr>
        <w:spacing w:after="0" w:line="240" w:lineRule="auto"/>
        <w:jc w:val="both"/>
        <w:rPr>
          <w:rFonts w:ascii="Times New Roman" w:hAnsi="Times New Roman" w:cs="Times New Roman"/>
          <w:b/>
          <w:bCs/>
          <w:sz w:val="56"/>
          <w:szCs w:val="56"/>
        </w:rPr>
      </w:pPr>
    </w:p>
    <w:p w14:paraId="25D88B8E" w14:textId="77777777" w:rsidR="00A60822" w:rsidRDefault="00A60822" w:rsidP="00A60822">
      <w:pPr>
        <w:spacing w:after="0" w:line="240" w:lineRule="auto"/>
        <w:jc w:val="both"/>
        <w:rPr>
          <w:rFonts w:ascii="Times New Roman" w:hAnsi="Times New Roman" w:cs="Times New Roman"/>
          <w:b/>
          <w:bCs/>
          <w:sz w:val="56"/>
          <w:szCs w:val="56"/>
        </w:rPr>
      </w:pPr>
    </w:p>
    <w:p w14:paraId="7FD433B1" w14:textId="77777777" w:rsidR="00186526" w:rsidRDefault="00186526" w:rsidP="00CA26B4">
      <w:pPr>
        <w:spacing w:after="0" w:line="276" w:lineRule="auto"/>
        <w:jc w:val="center"/>
        <w:rPr>
          <w:rFonts w:ascii="Times New Roman" w:eastAsia="Calibri" w:hAnsi="Times New Roman" w:cs="Times New Roman"/>
          <w:b/>
          <w:bCs/>
          <w:kern w:val="0"/>
          <w14:ligatures w14:val="none"/>
        </w:rPr>
      </w:pPr>
    </w:p>
    <w:p w14:paraId="67C300B7" w14:textId="77777777" w:rsidR="00186526" w:rsidRDefault="00186526" w:rsidP="00CA26B4">
      <w:pPr>
        <w:spacing w:after="0" w:line="276" w:lineRule="auto"/>
        <w:jc w:val="center"/>
        <w:rPr>
          <w:rFonts w:ascii="Times New Roman" w:eastAsia="Calibri" w:hAnsi="Times New Roman" w:cs="Times New Roman"/>
          <w:b/>
          <w:bCs/>
          <w:kern w:val="0"/>
          <w14:ligatures w14:val="none"/>
        </w:rPr>
      </w:pPr>
    </w:p>
    <w:p w14:paraId="66137D1A" w14:textId="77777777" w:rsidR="00186526" w:rsidRDefault="00186526" w:rsidP="00CA26B4">
      <w:pPr>
        <w:spacing w:after="0" w:line="276" w:lineRule="auto"/>
        <w:jc w:val="center"/>
        <w:rPr>
          <w:rFonts w:ascii="Times New Roman" w:eastAsia="Calibri" w:hAnsi="Times New Roman" w:cs="Times New Roman"/>
          <w:b/>
          <w:bCs/>
          <w:kern w:val="0"/>
          <w14:ligatures w14:val="none"/>
        </w:rPr>
      </w:pPr>
    </w:p>
    <w:p w14:paraId="38EF20C0" w14:textId="77777777" w:rsidR="00186526" w:rsidRDefault="00186526" w:rsidP="00CA26B4">
      <w:pPr>
        <w:spacing w:after="0" w:line="276" w:lineRule="auto"/>
        <w:jc w:val="center"/>
        <w:rPr>
          <w:rFonts w:ascii="Times New Roman" w:eastAsia="Calibri" w:hAnsi="Times New Roman" w:cs="Times New Roman"/>
          <w:b/>
          <w:bCs/>
          <w:kern w:val="0"/>
          <w14:ligatures w14:val="none"/>
        </w:rPr>
      </w:pPr>
    </w:p>
    <w:p w14:paraId="4E484285" w14:textId="14B32DC2" w:rsidR="00CA26B4" w:rsidRPr="00CA26B4" w:rsidRDefault="00CA26B4" w:rsidP="00CA26B4">
      <w:pPr>
        <w:spacing w:after="0" w:line="276" w:lineRule="auto"/>
        <w:jc w:val="center"/>
        <w:rPr>
          <w:rFonts w:ascii="Times New Roman" w:eastAsia="Calibri" w:hAnsi="Times New Roman" w:cs="Times New Roman"/>
          <w:b/>
          <w:bCs/>
          <w:kern w:val="0"/>
          <w14:ligatures w14:val="none"/>
        </w:rPr>
      </w:pPr>
      <w:r w:rsidRPr="00CA26B4">
        <w:rPr>
          <w:rFonts w:ascii="Times New Roman" w:eastAsia="Calibri" w:hAnsi="Times New Roman" w:cs="Times New Roman"/>
          <w:b/>
          <w:bCs/>
          <w:kern w:val="0"/>
          <w14:ligatures w14:val="none"/>
        </w:rPr>
        <w:lastRenderedPageBreak/>
        <w:t>BLOCKCHAIN ACCOUNTING PRACTICES AND DIGITAL ENTERPRISE PERFORMANCE OF ONLINE MARKETING AGENCIES IN PORT HARCOURT</w:t>
      </w:r>
    </w:p>
    <w:p w14:paraId="452CD988" w14:textId="77777777" w:rsidR="00CA26B4" w:rsidRPr="00CA26B4" w:rsidRDefault="00CA26B4" w:rsidP="00CA26B4">
      <w:pPr>
        <w:spacing w:after="0" w:line="480" w:lineRule="auto"/>
        <w:jc w:val="center"/>
        <w:rPr>
          <w:rFonts w:ascii="Times New Roman" w:eastAsia="Times New Roman" w:hAnsi="Times New Roman" w:cs="Times New Roman"/>
          <w:b/>
          <w:i/>
          <w:kern w:val="0"/>
          <w14:ligatures w14:val="none"/>
        </w:rPr>
      </w:pPr>
    </w:p>
    <w:p w14:paraId="64A221DA"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proofErr w:type="spellStart"/>
      <w:r w:rsidRPr="00CA26B4">
        <w:rPr>
          <w:rFonts w:ascii="Times New Roman" w:eastAsia="Times New Roman" w:hAnsi="Times New Roman" w:cs="Times New Roman"/>
          <w:bCs/>
          <w:kern w:val="0"/>
          <w14:ligatures w14:val="none"/>
        </w:rPr>
        <w:t>Bamson</w:t>
      </w:r>
      <w:proofErr w:type="spellEnd"/>
      <w:r w:rsidRPr="00CA26B4">
        <w:rPr>
          <w:rFonts w:ascii="Times New Roman" w:eastAsia="Times New Roman" w:hAnsi="Times New Roman" w:cs="Times New Roman"/>
          <w:bCs/>
          <w:kern w:val="0"/>
          <w14:ligatures w14:val="none"/>
        </w:rPr>
        <w:t xml:space="preserve">, </w:t>
      </w:r>
      <w:proofErr w:type="spellStart"/>
      <w:r w:rsidRPr="00CA26B4">
        <w:rPr>
          <w:rFonts w:ascii="Times New Roman" w:eastAsia="Times New Roman" w:hAnsi="Times New Roman" w:cs="Times New Roman"/>
          <w:bCs/>
          <w:kern w:val="0"/>
          <w14:ligatures w14:val="none"/>
        </w:rPr>
        <w:t>Tamunoene</w:t>
      </w:r>
      <w:proofErr w:type="spellEnd"/>
      <w:r w:rsidRPr="00CA26B4">
        <w:rPr>
          <w:rFonts w:ascii="Times New Roman" w:eastAsia="Times New Roman" w:hAnsi="Times New Roman" w:cs="Times New Roman"/>
          <w:bCs/>
          <w:kern w:val="0"/>
          <w14:ligatures w14:val="none"/>
        </w:rPr>
        <w:t xml:space="preserve"> Jones, PhD</w:t>
      </w:r>
    </w:p>
    <w:p w14:paraId="3AF9942B"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Department of Accounting</w:t>
      </w:r>
    </w:p>
    <w:p w14:paraId="13B605A6"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Ignatius </w:t>
      </w:r>
      <w:proofErr w:type="spellStart"/>
      <w:r w:rsidRPr="00CA26B4">
        <w:rPr>
          <w:rFonts w:ascii="Times New Roman" w:eastAsia="Times New Roman" w:hAnsi="Times New Roman" w:cs="Times New Roman"/>
          <w:bCs/>
          <w:kern w:val="0"/>
          <w14:ligatures w14:val="none"/>
        </w:rPr>
        <w:t>Ajuru</w:t>
      </w:r>
      <w:proofErr w:type="spellEnd"/>
      <w:r w:rsidRPr="00CA26B4">
        <w:rPr>
          <w:rFonts w:ascii="Times New Roman" w:eastAsia="Times New Roman" w:hAnsi="Times New Roman" w:cs="Times New Roman"/>
          <w:bCs/>
          <w:kern w:val="0"/>
          <w14:ligatures w14:val="none"/>
        </w:rPr>
        <w:t xml:space="preserve"> University of Education</w:t>
      </w:r>
    </w:p>
    <w:p w14:paraId="4903647B"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P.M.B 5047, </w:t>
      </w:r>
      <w:proofErr w:type="spellStart"/>
      <w:r w:rsidRPr="00CA26B4">
        <w:rPr>
          <w:rFonts w:ascii="Times New Roman" w:eastAsia="Times New Roman" w:hAnsi="Times New Roman" w:cs="Times New Roman"/>
          <w:bCs/>
          <w:kern w:val="0"/>
          <w14:ligatures w14:val="none"/>
        </w:rPr>
        <w:t>Rumuolumeni</w:t>
      </w:r>
      <w:proofErr w:type="spellEnd"/>
      <w:r w:rsidRPr="00CA26B4">
        <w:rPr>
          <w:rFonts w:ascii="Times New Roman" w:eastAsia="Times New Roman" w:hAnsi="Times New Roman" w:cs="Times New Roman"/>
          <w:bCs/>
          <w:kern w:val="0"/>
          <w14:ligatures w14:val="none"/>
        </w:rPr>
        <w:t>, Port Harcourt, Nigeria</w:t>
      </w:r>
    </w:p>
    <w:p w14:paraId="22329ED9"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Tel.: +234(0)8055805932</w:t>
      </w:r>
    </w:p>
    <w:p w14:paraId="0B04AE59" w14:textId="77777777" w:rsidR="00CA26B4" w:rsidRPr="00CA26B4" w:rsidRDefault="00CA26B4" w:rsidP="00CA26B4">
      <w:pPr>
        <w:spacing w:after="0" w:line="480"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E-Mail: tamunoenebamson@gmail.com</w:t>
      </w:r>
    </w:p>
    <w:p w14:paraId="4DA132B2" w14:textId="77777777" w:rsidR="00CA26B4" w:rsidRPr="00CA26B4" w:rsidRDefault="00CA26B4" w:rsidP="00CA26B4">
      <w:pPr>
        <w:spacing w:after="0" w:line="480" w:lineRule="auto"/>
        <w:jc w:val="both"/>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ab/>
      </w:r>
      <w:r w:rsidRPr="00CA26B4">
        <w:rPr>
          <w:rFonts w:ascii="Times New Roman" w:eastAsia="Times New Roman" w:hAnsi="Times New Roman" w:cs="Times New Roman"/>
          <w:bCs/>
          <w:kern w:val="0"/>
          <w14:ligatures w14:val="none"/>
        </w:rPr>
        <w:tab/>
      </w:r>
      <w:r w:rsidRPr="00CA26B4">
        <w:rPr>
          <w:rFonts w:ascii="Times New Roman" w:eastAsia="Times New Roman" w:hAnsi="Times New Roman" w:cs="Times New Roman"/>
          <w:bCs/>
          <w:kern w:val="0"/>
          <w14:ligatures w14:val="none"/>
        </w:rPr>
        <w:tab/>
      </w:r>
      <w:r w:rsidRPr="00CA26B4">
        <w:rPr>
          <w:rFonts w:ascii="Times New Roman" w:eastAsia="Times New Roman" w:hAnsi="Times New Roman" w:cs="Times New Roman"/>
          <w:bCs/>
          <w:kern w:val="0"/>
          <w14:ligatures w14:val="none"/>
        </w:rPr>
        <w:tab/>
      </w:r>
      <w:r w:rsidRPr="00CA26B4">
        <w:rPr>
          <w:rFonts w:ascii="Times New Roman" w:eastAsia="Times New Roman" w:hAnsi="Times New Roman" w:cs="Times New Roman"/>
          <w:bCs/>
          <w:kern w:val="0"/>
          <w14:ligatures w14:val="none"/>
        </w:rPr>
        <w:tab/>
      </w:r>
      <w:r w:rsidRPr="00CA26B4">
        <w:rPr>
          <w:rFonts w:ascii="Times New Roman" w:eastAsia="Times New Roman" w:hAnsi="Times New Roman" w:cs="Times New Roman"/>
          <w:bCs/>
          <w:kern w:val="0"/>
          <w14:ligatures w14:val="none"/>
        </w:rPr>
        <w:tab/>
        <w:t xml:space="preserve">       &amp;</w:t>
      </w:r>
    </w:p>
    <w:p w14:paraId="3C22B081"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proofErr w:type="spellStart"/>
      <w:r w:rsidRPr="00CA26B4">
        <w:rPr>
          <w:rFonts w:ascii="Times New Roman" w:eastAsia="Times New Roman" w:hAnsi="Times New Roman" w:cs="Times New Roman"/>
          <w:bCs/>
          <w:kern w:val="0"/>
          <w14:ligatures w14:val="none"/>
        </w:rPr>
        <w:t>Abbiyesuku</w:t>
      </w:r>
      <w:proofErr w:type="spellEnd"/>
      <w:r w:rsidRPr="00CA26B4">
        <w:rPr>
          <w:rFonts w:ascii="Times New Roman" w:eastAsia="Times New Roman" w:hAnsi="Times New Roman" w:cs="Times New Roman"/>
          <w:bCs/>
          <w:kern w:val="0"/>
          <w14:ligatures w14:val="none"/>
        </w:rPr>
        <w:t xml:space="preserve">, </w:t>
      </w:r>
      <w:proofErr w:type="spellStart"/>
      <w:r w:rsidRPr="00CA26B4">
        <w:rPr>
          <w:rFonts w:ascii="Times New Roman" w:eastAsia="Times New Roman" w:hAnsi="Times New Roman" w:cs="Times New Roman"/>
          <w:bCs/>
          <w:kern w:val="0"/>
          <w14:ligatures w14:val="none"/>
        </w:rPr>
        <w:t>Owenanga</w:t>
      </w:r>
      <w:proofErr w:type="spellEnd"/>
      <w:r w:rsidRPr="00CA26B4">
        <w:rPr>
          <w:rFonts w:ascii="Times New Roman" w:eastAsia="Times New Roman" w:hAnsi="Times New Roman" w:cs="Times New Roman"/>
          <w:bCs/>
          <w:kern w:val="0"/>
          <w14:ligatures w14:val="none"/>
        </w:rPr>
        <w:t>, PhD</w:t>
      </w:r>
    </w:p>
    <w:p w14:paraId="19DA168A"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Department of Accounting</w:t>
      </w:r>
    </w:p>
    <w:p w14:paraId="5E9F5F28"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Ignatius </w:t>
      </w:r>
      <w:proofErr w:type="spellStart"/>
      <w:r w:rsidRPr="00CA26B4">
        <w:rPr>
          <w:rFonts w:ascii="Times New Roman" w:eastAsia="Times New Roman" w:hAnsi="Times New Roman" w:cs="Times New Roman"/>
          <w:bCs/>
          <w:kern w:val="0"/>
          <w14:ligatures w14:val="none"/>
        </w:rPr>
        <w:t>Ajuru</w:t>
      </w:r>
      <w:proofErr w:type="spellEnd"/>
      <w:r w:rsidRPr="00CA26B4">
        <w:rPr>
          <w:rFonts w:ascii="Times New Roman" w:eastAsia="Times New Roman" w:hAnsi="Times New Roman" w:cs="Times New Roman"/>
          <w:bCs/>
          <w:kern w:val="0"/>
          <w14:ligatures w14:val="none"/>
        </w:rPr>
        <w:t xml:space="preserve"> University of Education</w:t>
      </w:r>
    </w:p>
    <w:p w14:paraId="2312761F"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P.M.B 5047, </w:t>
      </w:r>
      <w:proofErr w:type="spellStart"/>
      <w:r w:rsidRPr="00CA26B4">
        <w:rPr>
          <w:rFonts w:ascii="Times New Roman" w:eastAsia="Times New Roman" w:hAnsi="Times New Roman" w:cs="Times New Roman"/>
          <w:bCs/>
          <w:kern w:val="0"/>
          <w14:ligatures w14:val="none"/>
        </w:rPr>
        <w:t>Rumuolumeni</w:t>
      </w:r>
      <w:proofErr w:type="spellEnd"/>
      <w:r w:rsidRPr="00CA26B4">
        <w:rPr>
          <w:rFonts w:ascii="Times New Roman" w:eastAsia="Times New Roman" w:hAnsi="Times New Roman" w:cs="Times New Roman"/>
          <w:bCs/>
          <w:kern w:val="0"/>
          <w14:ligatures w14:val="none"/>
        </w:rPr>
        <w:t>, Port Harcourt, Nigeria</w:t>
      </w:r>
    </w:p>
    <w:p w14:paraId="164A4F04" w14:textId="77777777" w:rsidR="00CA26B4" w:rsidRPr="00CA26B4" w:rsidRDefault="00CA26B4" w:rsidP="00CA26B4">
      <w:pPr>
        <w:spacing w:after="0" w:line="273"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Tel.: +234(0)8103760701</w:t>
      </w:r>
    </w:p>
    <w:p w14:paraId="3BC6186E" w14:textId="77777777" w:rsidR="00CA26B4" w:rsidRPr="00CA26B4" w:rsidRDefault="00CA26B4" w:rsidP="00CA26B4">
      <w:pPr>
        <w:spacing w:after="0" w:line="480" w:lineRule="auto"/>
        <w:jc w:val="center"/>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E-Mail: abbiyesuku.owenanga@gmail.com</w:t>
      </w:r>
    </w:p>
    <w:p w14:paraId="39A414D8" w14:textId="77777777" w:rsidR="00CA26B4" w:rsidRPr="00CA26B4" w:rsidRDefault="00CA26B4" w:rsidP="00CA26B4">
      <w:pPr>
        <w:spacing w:before="100" w:beforeAutospacing="1" w:after="200" w:line="480" w:lineRule="auto"/>
        <w:jc w:val="center"/>
        <w:rPr>
          <w:rFonts w:ascii="Times New Roman" w:eastAsia="Calibri" w:hAnsi="Times New Roman" w:cs="Times New Roman"/>
          <w:b/>
          <w:bCs/>
          <w:kern w:val="0"/>
          <w14:ligatures w14:val="none"/>
        </w:rPr>
      </w:pPr>
      <w:r w:rsidRPr="00CA26B4">
        <w:rPr>
          <w:rFonts w:ascii="Times New Roman" w:eastAsia="Calibri" w:hAnsi="Times New Roman" w:cs="Times New Roman"/>
          <w:b/>
          <w:bCs/>
          <w:kern w:val="0"/>
          <w14:ligatures w14:val="none"/>
        </w:rPr>
        <w:t>ABSTRACT</w:t>
      </w:r>
    </w:p>
    <w:p w14:paraId="66C076FC" w14:textId="77777777" w:rsidR="00CA26B4" w:rsidRPr="00CA26B4" w:rsidRDefault="00CA26B4" w:rsidP="00CA26B4">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kern w:val="0"/>
          <w14:ligatures w14:val="none"/>
        </w:rPr>
        <w:t xml:space="preserve">The study evaluated </w:t>
      </w:r>
      <w:r w:rsidRPr="00CA26B4">
        <w:rPr>
          <w:rFonts w:ascii="Times New Roman" w:eastAsia="Calibri" w:hAnsi="Times New Roman" w:cs="Times New Roman"/>
          <w:kern w:val="0"/>
          <w14:ligatures w14:val="none"/>
        </w:rPr>
        <w:t xml:space="preserve">Blockchain Accounting Practices and Digital Enterprise Performance of Online Marketing Agencies in Port Harcourt. </w:t>
      </w:r>
      <w:r w:rsidRPr="00CA26B4">
        <w:rPr>
          <w:rFonts w:ascii="Times New Roman" w:eastAsia="Times New Roman" w:hAnsi="Times New Roman" w:cs="Times New Roman"/>
          <w:kern w:val="0"/>
          <w14:ligatures w14:val="none"/>
        </w:rPr>
        <w:t xml:space="preserve">The descriptive survey study research design was adapted to elicit information from 20 Officials </w:t>
      </w:r>
      <w:r w:rsidRPr="00CA26B4">
        <w:rPr>
          <w:rFonts w:ascii="Times New Roman" w:eastAsia="Calibri" w:hAnsi="Times New Roman" w:cs="Times New Roman"/>
          <w:kern w:val="0"/>
          <w14:ligatures w14:val="none"/>
        </w:rPr>
        <w:t>of Online Marketing Agencies in Port Harcourt</w:t>
      </w:r>
      <w:r w:rsidRPr="00CA26B4">
        <w:rPr>
          <w:rFonts w:ascii="Times New Roman" w:eastAsia="Times New Roman" w:hAnsi="Times New Roman" w:cs="Times New Roman"/>
          <w:kern w:val="0"/>
          <w14:ligatures w14:val="none"/>
        </w:rPr>
        <w:t xml:space="preserve">. The objectives of the study were to </w:t>
      </w:r>
      <w:r w:rsidRPr="00CA26B4">
        <w:rPr>
          <w:rFonts w:ascii="Times New Roman" w:eastAsia="Times New Roman" w:hAnsi="Times New Roman" w:cs="Times New Roman"/>
          <w:color w:val="000000"/>
          <w:kern w:val="0"/>
          <w14:ligatures w14:val="none"/>
        </w:rPr>
        <w:t xml:space="preserve">evaluate </w:t>
      </w:r>
      <w:proofErr w:type="gramStart"/>
      <w:r w:rsidRPr="00CA26B4">
        <w:rPr>
          <w:rFonts w:ascii="Times New Roman" w:eastAsia="Calibri" w:hAnsi="Times New Roman" w:cs="Times New Roman"/>
          <w:bCs/>
          <w:kern w:val="0"/>
          <w14:ligatures w14:val="none"/>
        </w:rPr>
        <w:t>To</w:t>
      </w:r>
      <w:proofErr w:type="gramEnd"/>
      <w:r w:rsidRPr="00CA26B4">
        <w:rPr>
          <w:rFonts w:ascii="Times New Roman" w:eastAsia="Calibri" w:hAnsi="Times New Roman" w:cs="Times New Roman"/>
          <w:bCs/>
          <w:kern w:val="0"/>
          <w14:ligatures w14:val="none"/>
        </w:rPr>
        <w:t xml:space="preserve"> determine the effect of</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triple-entry accounting on digital return on investment, and to ascertain the effect of real-time accounting on operational efficiency</w:t>
      </w:r>
      <w:r w:rsidRPr="00CA26B4">
        <w:rPr>
          <w:rFonts w:ascii="Times New Roman" w:eastAsia="Times New Roman" w:hAnsi="Times New Roman" w:cs="Times New Roman"/>
          <w:kern w:val="0"/>
          <w14:ligatures w14:val="none"/>
        </w:rPr>
        <w:t xml:space="preserve">. Two research questions and two hypotheses were analyzed in the study. Ordinary least square regression analysis was used to test the hypotheses. Results indicated that </w:t>
      </w:r>
      <w:r w:rsidRPr="00CA26B4">
        <w:rPr>
          <w:rFonts w:ascii="Times New Roman" w:eastAsia="Arial" w:hAnsi="Times New Roman" w:cs="Times New Roman"/>
          <w:color w:val="0A0A0A"/>
          <w:kern w:val="0"/>
          <w:shd w:val="clear" w:color="auto" w:fill="FFFFFF"/>
          <w14:ligatures w14:val="none"/>
        </w:rPr>
        <w:t xml:space="preserve">Triple-Entry Accounting significantly enhances Digital Return on Investment, and Real-Time Accounting significantly enhances Operational Efficiency. </w:t>
      </w:r>
      <w:r w:rsidRPr="00CA26B4">
        <w:rPr>
          <w:rFonts w:ascii="Times New Roman" w:eastAsia="Times New Roman" w:hAnsi="Times New Roman" w:cs="Times New Roman"/>
          <w:color w:val="0A0A0A"/>
          <w:kern w:val="0"/>
          <w:shd w:val="clear" w:color="auto" w:fill="FFFFFF"/>
          <w14:ligatures w14:val="none"/>
        </w:rPr>
        <w:t xml:space="preserve">Therefore, the study concludes that </w:t>
      </w:r>
      <w:r w:rsidRPr="00CA26B4">
        <w:rPr>
          <w:rFonts w:ascii="Times New Roman" w:eastAsia="Arial" w:hAnsi="Times New Roman" w:cs="Times New Roman"/>
          <w:color w:val="0A0A0A"/>
          <w:kern w:val="0"/>
          <w:shd w:val="clear" w:color="auto" w:fill="FFFFFF"/>
          <w14:ligatures w14:val="none"/>
        </w:rPr>
        <w:t xml:space="preserve">there is a statistically significant, positive effect of Triple-Entry Accounting on Digital Return on Investment, and there is a statistically significant, positive effect of Real-Time Accounting on Operational Efficiency. The study recommends that </w:t>
      </w:r>
      <w:r w:rsidRPr="00CA26B4">
        <w:rPr>
          <w:rFonts w:ascii="Times New Roman" w:eastAsia="Calibri" w:hAnsi="Times New Roman" w:cs="Times New Roman"/>
          <w:kern w:val="0"/>
          <w14:ligatures w14:val="none"/>
        </w:rPr>
        <w:t>Online Marketing Agencies in Port Harcourt</w:t>
      </w:r>
      <w:r w:rsidRPr="00CA26B4">
        <w:rPr>
          <w:rFonts w:ascii="Times New Roman" w:eastAsia="Times New Roman" w:hAnsi="Times New Roman" w:cs="Times New Roman"/>
          <w:kern w:val="0"/>
          <w14:ligatures w14:val="none"/>
        </w:rPr>
        <w:t xml:space="preserve"> should utilize triple-entry accounting in order to </w:t>
      </w:r>
      <w:r w:rsidRPr="00CA26B4">
        <w:rPr>
          <w:rFonts w:ascii="Times New Roman" w:eastAsia="Arial" w:hAnsi="Times New Roman" w:cs="Times New Roman"/>
          <w:color w:val="0A0A0A"/>
          <w:kern w:val="0"/>
          <w:shd w:val="clear" w:color="auto" w:fill="FFFFFF"/>
          <w14:ligatures w14:val="none"/>
        </w:rPr>
        <w:t xml:space="preserve">provide security, transparency, and efficiency share business records through blockchain. </w:t>
      </w:r>
      <w:r w:rsidRPr="00CA26B4">
        <w:rPr>
          <w:rFonts w:ascii="Times New Roman" w:eastAsia="Calibri" w:hAnsi="Times New Roman" w:cs="Times New Roman"/>
          <w:kern w:val="0"/>
          <w14:ligatures w14:val="none"/>
        </w:rPr>
        <w:t>Online Marketing Agencies in Port Harcourt</w:t>
      </w:r>
      <w:r w:rsidRPr="00CA26B4">
        <w:rPr>
          <w:rFonts w:ascii="Times New Roman" w:eastAsia="Times New Roman" w:hAnsi="Times New Roman" w:cs="Times New Roman"/>
          <w:kern w:val="0"/>
          <w14:ligatures w14:val="none"/>
        </w:rPr>
        <w:t xml:space="preserve"> should use real-time accounting in order to </w:t>
      </w:r>
      <w:r w:rsidRPr="00CA26B4">
        <w:rPr>
          <w:rFonts w:ascii="Times New Roman" w:eastAsia="SimSun" w:hAnsi="Times New Roman" w:cs="Times New Roman"/>
          <w:kern w:val="0"/>
          <w14:ligatures w14:val="none"/>
        </w:rPr>
        <w:t>it provide an immediate, accurate, and automated view of organizational financial health through blockchain</w:t>
      </w:r>
    </w:p>
    <w:p w14:paraId="00A19D8F" w14:textId="77777777" w:rsidR="00CA26B4" w:rsidRPr="00CA26B4" w:rsidRDefault="00CA26B4" w:rsidP="00CA26B4">
      <w:pPr>
        <w:spacing w:before="100" w:beforeAutospacing="1" w:after="200" w:line="48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b/>
          <w:bCs/>
          <w:kern w:val="0"/>
          <w14:ligatures w14:val="none"/>
        </w:rPr>
        <w:t xml:space="preserve"> Key words: </w:t>
      </w:r>
      <w:r w:rsidRPr="00CA26B4">
        <w:rPr>
          <w:rFonts w:ascii="Times New Roman" w:eastAsia="Calibri" w:hAnsi="Times New Roman" w:cs="Times New Roman"/>
          <w:kern w:val="0"/>
          <w14:ligatures w14:val="none"/>
        </w:rPr>
        <w:t xml:space="preserve">Blockchain Accounting Practices, Digital Enterprise Performance </w:t>
      </w:r>
    </w:p>
    <w:p w14:paraId="53261BAA" w14:textId="77777777" w:rsidR="00CA26B4" w:rsidRPr="00CA26B4" w:rsidRDefault="00CA26B4" w:rsidP="002C3670">
      <w:pPr>
        <w:spacing w:before="100" w:beforeAutospacing="1" w:after="200" w:line="24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b/>
          <w:bCs/>
          <w:kern w:val="0"/>
          <w14:ligatures w14:val="none"/>
        </w:rPr>
        <w:t xml:space="preserve"> INTRODUCTION</w:t>
      </w:r>
    </w:p>
    <w:p w14:paraId="780022BF" w14:textId="77777777" w:rsidR="00CA26B4" w:rsidRPr="00CA26B4" w:rsidRDefault="00CA26B4" w:rsidP="002C3670">
      <w:pPr>
        <w:spacing w:before="100" w:beforeAutospacing="1" w:after="200" w:line="24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b/>
          <w:bCs/>
          <w:kern w:val="0"/>
          <w14:ligatures w14:val="none"/>
        </w:rPr>
        <w:t>Background to the Study</w:t>
      </w:r>
    </w:p>
    <w:p w14:paraId="3841E476" w14:textId="77777777" w:rsidR="00CA26B4" w:rsidRPr="00CA26B4" w:rsidRDefault="00CA26B4" w:rsidP="002C3670">
      <w:pPr>
        <w:spacing w:before="100" w:beforeAutospacing="1" w:after="200" w:line="240" w:lineRule="auto"/>
        <w:jc w:val="both"/>
        <w:rPr>
          <w:rFonts w:ascii="Times New Roman" w:eastAsia="Arial" w:hAnsi="Times New Roman" w:cs="Times New Roman"/>
          <w:b/>
          <w:bCs/>
          <w:color w:val="0A0A0A"/>
          <w:kern w:val="0"/>
          <w:shd w:val="clear" w:color="auto" w:fill="FFFFFF"/>
          <w14:ligatures w14:val="none"/>
        </w:rPr>
      </w:pPr>
      <w:r w:rsidRPr="00CA26B4">
        <w:rPr>
          <w:rFonts w:ascii="Times New Roman" w:eastAsia="Calibri" w:hAnsi="Times New Roman" w:cs="Times New Roman"/>
          <w:kern w:val="0"/>
          <w14:ligatures w14:val="none"/>
        </w:rPr>
        <w:t xml:space="preserve">Traditionally, businesses operate from a physical location (Owusu, </w:t>
      </w:r>
      <w:proofErr w:type="spellStart"/>
      <w:r w:rsidRPr="00CA26B4">
        <w:rPr>
          <w:rFonts w:ascii="Times New Roman" w:eastAsia="Calibri" w:hAnsi="Times New Roman" w:cs="Times New Roman"/>
          <w:kern w:val="0"/>
          <w14:ligatures w14:val="none"/>
        </w:rPr>
        <w:t>Vedaste</w:t>
      </w:r>
      <w:proofErr w:type="spellEnd"/>
      <w:r w:rsidRPr="00CA26B4">
        <w:rPr>
          <w:rFonts w:ascii="Times New Roman" w:eastAsia="Calibri" w:hAnsi="Times New Roman" w:cs="Times New Roman"/>
          <w:kern w:val="0"/>
          <w14:ligatures w14:val="none"/>
        </w:rPr>
        <w:t xml:space="preserve">, Adjei &amp; Sawadogo, 2023). However, globalization and the advancement of information and communication technology (ICT), the Internet, </w:t>
      </w:r>
      <w:r w:rsidRPr="00CA26B4">
        <w:rPr>
          <w:rFonts w:ascii="Times New Roman" w:eastAsia="Calibri" w:hAnsi="Times New Roman" w:cs="Times New Roman"/>
          <w:kern w:val="0"/>
          <w14:ligatures w14:val="none"/>
        </w:rPr>
        <w:lastRenderedPageBreak/>
        <w:t xml:space="preserve">and digital tools have transformed the business landscape into the establishment of digital enterprises (Skare &amp; Soriano, 2021). The shift from physical, time-restricted storefronts to 24/7 digital platforms offers significant operational advantages but also introduces substantial cyber risks (Gupta, Kushwaha, </w:t>
      </w:r>
      <w:proofErr w:type="spellStart"/>
      <w:r w:rsidRPr="00CA26B4">
        <w:rPr>
          <w:rFonts w:ascii="Times New Roman" w:eastAsia="Calibri" w:hAnsi="Times New Roman" w:cs="Times New Roman"/>
          <w:kern w:val="0"/>
          <w14:ligatures w14:val="none"/>
        </w:rPr>
        <w:t>Badhera</w:t>
      </w:r>
      <w:proofErr w:type="spellEnd"/>
      <w:r w:rsidRPr="00CA26B4">
        <w:rPr>
          <w:rFonts w:ascii="Times New Roman" w:eastAsia="Calibri" w:hAnsi="Times New Roman" w:cs="Times New Roman"/>
          <w:kern w:val="0"/>
          <w14:ligatures w14:val="none"/>
        </w:rPr>
        <w:t>, Chatterjee, Ernesto, &amp; Gonzalez, 2023). As businesses move online, they gain a global reach and continuous revenue opportunities, yet they face increasing threats from sophisticated cybercriminals (Gupta et al., 2023). Therefore, there is a need to mitigate these cyber threats using blockchain technology, which offers a proactive, decentralized approach to strengthening digital security by ensuring data integrity, improving identity management, and eliminating single points of failure (Iqbal, Mahmood, Ullah &amp; Qureshi, 2025).</w:t>
      </w:r>
    </w:p>
    <w:p w14:paraId="52E64C12"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Arial" w:hAnsi="Times New Roman" w:cs="Times New Roman"/>
          <w:color w:val="0A0A0A"/>
          <w:kern w:val="0"/>
          <w:shd w:val="clear" w:color="auto" w:fill="FFFFFF"/>
          <w14:ligatures w14:val="none"/>
        </w:rPr>
        <w:t xml:space="preserve"> A formidable process to mitigate and curb cybercrime is based on the use of blockchain accounting (Taylor, 2024). Taylor (2024) noted that b</w:t>
      </w:r>
      <w:r w:rsidRPr="00CA26B4">
        <w:rPr>
          <w:rFonts w:ascii="Times New Roman" w:eastAsia="Poppins" w:hAnsi="Times New Roman" w:cs="Times New Roman"/>
          <w:color w:val="000000"/>
          <w:kern w:val="0"/>
          <w:shd w:val="clear" w:color="auto" w:fill="FFFFFF"/>
          <w14:ligatures w14:val="none"/>
        </w:rPr>
        <w:t xml:space="preserve">lockchain accounting uses a </w:t>
      </w:r>
      <w:proofErr w:type="spellStart"/>
      <w:r w:rsidRPr="00CA26B4">
        <w:rPr>
          <w:rFonts w:ascii="Times New Roman" w:eastAsia="Poppins" w:hAnsi="Times New Roman" w:cs="Times New Roman"/>
          <w:color w:val="000000"/>
          <w:kern w:val="0"/>
          <w:shd w:val="clear" w:color="auto" w:fill="FFFFFF"/>
          <w14:ligatures w14:val="none"/>
        </w:rPr>
        <w:t>decentralised</w:t>
      </w:r>
      <w:proofErr w:type="spellEnd"/>
      <w:r w:rsidRPr="00CA26B4">
        <w:rPr>
          <w:rFonts w:ascii="Times New Roman" w:eastAsia="Poppins" w:hAnsi="Times New Roman" w:cs="Times New Roman"/>
          <w:color w:val="000000"/>
          <w:kern w:val="0"/>
          <w:shd w:val="clear" w:color="auto" w:fill="FFFFFF"/>
          <w14:ligatures w14:val="none"/>
        </w:rPr>
        <w:t>, tamper-proof digital ledger to record transactions, improving transparency, security, and operational efficiency. It enables real-time financial reporting, reduces manual reconciliation, and increases trust by providing an accurate, auditable record of all financial activities. Typically, blockchain accounting necessitates triple-entry accounting, continuous auditing, real-time accounting, and smart contracts to prevent manual errors and cybercrimes in order to function optimally (</w:t>
      </w:r>
      <w:r w:rsidRPr="00CA26B4">
        <w:rPr>
          <w:rFonts w:ascii="Times New Roman" w:eastAsia="SimSun" w:hAnsi="Times New Roman" w:cs="Times New Roman"/>
          <w:kern w:val="0"/>
          <w14:ligatures w14:val="none"/>
        </w:rPr>
        <w:t>Julius, 2025).</w:t>
      </w:r>
      <w:r w:rsidRPr="00CA26B4">
        <w:rPr>
          <w:rFonts w:ascii="Times New Roman" w:eastAsia="Poppins" w:hAnsi="Times New Roman" w:cs="Times New Roman"/>
          <w:color w:val="000000"/>
          <w:kern w:val="0"/>
          <w:shd w:val="clear" w:color="auto" w:fill="FFFFFF"/>
          <w14:ligatures w14:val="none"/>
        </w:rPr>
        <w:t xml:space="preserve"> This process enables enterprises utilizing blockchain technology to carry out their operations smoothly.  The fundamental purpose of a business is to generate profit and create wealth. Therefore, business managers and owners are saddled with the responsibility of managing and controlling their business with the capability of gaining a competitive advantage. </w:t>
      </w:r>
      <w:proofErr w:type="spellStart"/>
      <w:r w:rsidRPr="00CA26B4">
        <w:rPr>
          <w:rFonts w:ascii="Times New Roman" w:eastAsia="SimSun" w:hAnsi="Times New Roman" w:cs="Times New Roman"/>
          <w:kern w:val="0"/>
          <w14:ligatures w14:val="none"/>
        </w:rPr>
        <w:t>Prising</w:t>
      </w:r>
      <w:proofErr w:type="spellEnd"/>
      <w:r w:rsidRPr="00CA26B4">
        <w:rPr>
          <w:rFonts w:ascii="Times New Roman" w:eastAsia="SimSun" w:hAnsi="Times New Roman" w:cs="Times New Roman"/>
          <w:kern w:val="0"/>
          <w14:ligatures w14:val="none"/>
        </w:rPr>
        <w:t xml:space="preserve">, Sorenson &amp; Weinel (2019) identified that for </w:t>
      </w:r>
      <w:r w:rsidRPr="00CA26B4">
        <w:rPr>
          <w:rFonts w:ascii="Times New Roman" w:eastAsia="Calibri" w:hAnsi="Times New Roman" w:cs="Times New Roman"/>
          <w:kern w:val="0"/>
          <w14:ligatures w14:val="none"/>
        </w:rPr>
        <w:t xml:space="preserve">digital enterprise performance to achieve competitive advantage and survive in the business environment, they need a positive digital return on investment, high active user rates, improved operational efficiency and high customer satisfaction scores. </w:t>
      </w:r>
    </w:p>
    <w:p w14:paraId="68013A22"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Specifically, for online marketing agencies, operating in the digital space, which is often vulnerable to cyber-attacks, the adoption of blockchain accounting approaches is essential for the achievement of effective performance. Thus, the study seeks to examine Blockchain Accounting Practices and Digital Enterprise Performance of Online Marketing Agencies in Port Harcourt.</w:t>
      </w:r>
    </w:p>
    <w:p w14:paraId="12202443"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Arial" w:hAnsi="Times New Roman" w:cs="Times New Roman"/>
          <w:b/>
          <w:bCs/>
          <w:color w:val="000000"/>
          <w:kern w:val="0"/>
          <w:shd w:val="clear" w:color="auto" w:fill="FFFFFF"/>
          <w14:ligatures w14:val="none"/>
        </w:rPr>
        <w:t>Statement of the Problem</w:t>
      </w:r>
    </w:p>
    <w:p w14:paraId="761BE61E" w14:textId="77777777" w:rsidR="00CA26B4" w:rsidRPr="00CA26B4" w:rsidRDefault="00CA26B4" w:rsidP="002C3670">
      <w:pPr>
        <w:spacing w:before="100" w:beforeAutospacing="1" w:after="200" w:line="240" w:lineRule="auto"/>
        <w:jc w:val="both"/>
        <w:rPr>
          <w:rFonts w:ascii="Times New Roman" w:eastAsia="Calibri" w:hAnsi="Times New Roman" w:cs="Times New Roman"/>
          <w:color w:val="0A0A0A"/>
          <w:kern w:val="0"/>
          <w:shd w:val="clear" w:color="auto" w:fill="FFFFFF"/>
          <w14:ligatures w14:val="none"/>
        </w:rPr>
      </w:pPr>
      <w:r w:rsidRPr="00CA26B4">
        <w:rPr>
          <w:rFonts w:ascii="Times New Roman" w:eastAsia="Calibri" w:hAnsi="Times New Roman" w:cs="Times New Roman"/>
          <w:kern w:val="0"/>
          <w14:ligatures w14:val="none"/>
        </w:rPr>
        <w:t xml:space="preserve">The advent of ICT and digital tools has transformed the world into a global village by dismantling geographical barriers and enabling instantaneous information exchange. The use of internet, smartphones, social media and digital tools has fostered an interconnected community where business operations are increasingly conducted online. However, this digital shift has also introduced significant vulnerabilities, including ransomware attacks, data breaches, and other cyber threats that can severely impair operations. Consequently, enhancing cybersecurity has become a critical priority to ensure the resilience and performance of digital enterprises. </w:t>
      </w:r>
    </w:p>
    <w:p w14:paraId="27580D8D"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Prior studies on</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Blockchain accounting practices and digital enterprise performance are few.</w:t>
      </w:r>
    </w:p>
    <w:p w14:paraId="780CAF6A"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SimSun" w:hAnsi="Times New Roman" w:cs="Times New Roman"/>
          <w:color w:val="000000"/>
          <w:kern w:val="0"/>
          <w14:ligatures w14:val="none"/>
        </w:rPr>
        <w:t>Anh &amp; Loi (2025) evaluated</w:t>
      </w:r>
      <w:r w:rsidRPr="00CA26B4">
        <w:rPr>
          <w:rFonts w:ascii="Times New Roman" w:eastAsia="SimSun" w:hAnsi="Times New Roman" w:cs="Times New Roman"/>
          <w:color w:val="4F5671"/>
          <w:kern w:val="0"/>
          <w14:ligatures w14:val="none"/>
        </w:rPr>
        <w:t xml:space="preserve"> </w:t>
      </w:r>
      <w:r w:rsidRPr="00CA26B4">
        <w:rPr>
          <w:rFonts w:ascii="Times New Roman" w:eastAsia="Calibri" w:hAnsi="Times New Roman" w:cs="Times New Roman"/>
          <w:color w:val="000000"/>
          <w:kern w:val="0"/>
          <w14:ligatures w14:val="none"/>
        </w:rPr>
        <w:t xml:space="preserve">Blockchain and the Future of Sustainable Corporate Accounting: A Behavioral Perspective from Vietnam’s Manufacturing Industry. The study ascertained </w:t>
      </w:r>
      <w:r w:rsidRPr="00CA26B4">
        <w:rPr>
          <w:rFonts w:ascii="Times New Roman" w:eastAsia="SimSun" w:hAnsi="Times New Roman" w:cs="Times New Roman"/>
          <w:kern w:val="0"/>
          <w14:ligatures w14:val="none"/>
        </w:rPr>
        <w:t>the behavioral factors influencing the intention to adopt blockchain technology in financial accounting among 320 manufacturing firms in Vietnam, a developing economy where such adoption is currently limited</w:t>
      </w:r>
      <w:r w:rsidRPr="00CA26B4">
        <w:rPr>
          <w:rFonts w:ascii="Times New Roman" w:eastAsia="Arial" w:hAnsi="Times New Roman" w:cs="Times New Roman"/>
          <w:color w:val="0A0A0A"/>
          <w:kern w:val="0"/>
          <w:shd w:val="clear" w:color="auto" w:fill="FFFFFF"/>
          <w14:ligatures w14:val="none"/>
        </w:rPr>
        <w:t xml:space="preserve">. The research analyzed data via structural equation modeling (SEM) to identify key drivers of adoption. The study used an integrated framework combining the Unified Theory of Acceptance and Use of Technology (UTAUT) and the Theory of Planned Behavior (TPB). </w:t>
      </w:r>
    </w:p>
    <w:p w14:paraId="19B26381" w14:textId="77777777" w:rsidR="00CA26B4" w:rsidRPr="00CA26B4" w:rsidRDefault="00CA26B4" w:rsidP="002C3670">
      <w:pPr>
        <w:spacing w:before="100" w:beforeAutospacing="1" w:after="200" w:line="240" w:lineRule="auto"/>
        <w:jc w:val="both"/>
        <w:rPr>
          <w:rFonts w:ascii="Times New Roman" w:eastAsia="Arial" w:hAnsi="Times New Roman" w:cs="Times New Roman"/>
          <w:color w:val="0A0A0A"/>
          <w:kern w:val="0"/>
          <w:shd w:val="clear" w:color="auto" w:fill="FFFFFF"/>
          <w14:ligatures w14:val="none"/>
        </w:rPr>
      </w:pPr>
      <w:hyperlink r:id="rId12" w:history="1">
        <w:r w:rsidRPr="00CA26B4">
          <w:rPr>
            <w:rFonts w:ascii="Times New Roman" w:eastAsia="Arial" w:hAnsi="Times New Roman" w:cs="Times New Roman"/>
            <w:color w:val="000000"/>
            <w:kern w:val="0"/>
            <w:u w:val="single"/>
            <w14:ligatures w14:val="none"/>
          </w:rPr>
          <w:t>Hassanein</w:t>
        </w:r>
      </w:hyperlink>
      <w:r w:rsidRPr="00CA26B4">
        <w:rPr>
          <w:rFonts w:ascii="Times New Roman" w:eastAsia="Arial" w:hAnsi="Times New Roman" w:cs="Times New Roman"/>
          <w:color w:val="000000"/>
          <w:kern w:val="0"/>
          <w14:ligatures w14:val="none"/>
        </w:rPr>
        <w:t>, Benameur, Mostafa, Al-</w:t>
      </w:r>
      <w:proofErr w:type="spellStart"/>
      <w:r w:rsidRPr="00CA26B4">
        <w:rPr>
          <w:rFonts w:ascii="Times New Roman" w:eastAsia="Arial" w:hAnsi="Times New Roman" w:cs="Times New Roman"/>
          <w:color w:val="000000"/>
          <w:kern w:val="0"/>
          <w14:ligatures w14:val="none"/>
        </w:rPr>
        <w:t>Shattarat</w:t>
      </w:r>
      <w:proofErr w:type="spellEnd"/>
      <w:r w:rsidRPr="00CA26B4">
        <w:rPr>
          <w:rFonts w:ascii="Times New Roman" w:eastAsia="Arial" w:hAnsi="Times New Roman" w:cs="Times New Roman"/>
          <w:color w:val="000000"/>
          <w:kern w:val="0"/>
          <w14:ligatures w14:val="none"/>
        </w:rPr>
        <w:t xml:space="preserve"> &amp; Magar (2025) studied m</w:t>
      </w:r>
      <w:r w:rsidRPr="00CA26B4">
        <w:rPr>
          <w:rFonts w:ascii="Times New Roman" w:eastAsia="Times New Roman" w:hAnsi="Times New Roman" w:cs="Times New Roman"/>
          <w:color w:val="000000"/>
          <w:kern w:val="0"/>
          <w14:ligatures w14:val="none"/>
        </w:rPr>
        <w:t xml:space="preserve">apping the scientific research of blockchain technology in accounting and auditing: bibliometric analyses and a roadmap for future research. The study adopted a bibliometric approach. The </w:t>
      </w:r>
      <w:r w:rsidRPr="00CA26B4">
        <w:rPr>
          <w:rFonts w:ascii="Times New Roman" w:eastAsia="SimSun" w:hAnsi="Times New Roman" w:cs="Times New Roman"/>
          <w:kern w:val="0"/>
          <w14:ligatures w14:val="none"/>
        </w:rPr>
        <w:t>bibliometric analysis consisted of 359 peer-reviewed articles (2017–</w:t>
      </w:r>
      <w:r w:rsidRPr="00CA26B4">
        <w:rPr>
          <w:rFonts w:ascii="Times New Roman" w:eastAsia="SimSun" w:hAnsi="Times New Roman" w:cs="Times New Roman"/>
          <w:kern w:val="0"/>
          <w14:ligatures w14:val="none"/>
        </w:rPr>
        <w:lastRenderedPageBreak/>
        <w:t>2024), which revealed that there is rapid growth in the technology-centralized landscape for blockchain in accounting and auditing in</w:t>
      </w:r>
      <w:r w:rsidRPr="00CA26B4">
        <w:rPr>
          <w:rFonts w:ascii="Times New Roman" w:eastAsia="Arial" w:hAnsi="Times New Roman" w:cs="Times New Roman"/>
          <w:color w:val="0A0A0A"/>
          <w:kern w:val="0"/>
          <w:shd w:val="clear" w:color="auto" w:fill="FFFFFF"/>
          <w14:ligatures w14:val="none"/>
        </w:rPr>
        <w:t xml:space="preserve"> many developed nations.</w:t>
      </w:r>
    </w:p>
    <w:p w14:paraId="6BA01836" w14:textId="77777777" w:rsidR="00CA26B4" w:rsidRPr="00CA26B4" w:rsidRDefault="00CA26B4" w:rsidP="002C3670">
      <w:pPr>
        <w:spacing w:before="100" w:beforeAutospacing="1" w:after="200" w:line="240" w:lineRule="auto"/>
        <w:jc w:val="both"/>
        <w:rPr>
          <w:rFonts w:ascii="Times New Roman" w:eastAsia="SimSun" w:hAnsi="Times New Roman" w:cs="Times New Roman"/>
          <w:kern w:val="0"/>
          <w14:ligatures w14:val="none"/>
        </w:rPr>
      </w:pPr>
      <w:r w:rsidRPr="00CA26B4">
        <w:rPr>
          <w:rFonts w:ascii="Times New Roman" w:eastAsia="Segoe UI" w:hAnsi="Times New Roman" w:cs="Times New Roman"/>
          <w:kern w:val="0"/>
          <w:shd w:val="clear" w:color="auto" w:fill="FFFFFF"/>
          <w14:ligatures w14:val="none"/>
        </w:rPr>
        <w:t xml:space="preserve">Also, </w:t>
      </w:r>
      <w:proofErr w:type="spellStart"/>
      <w:r w:rsidRPr="00CA26B4">
        <w:rPr>
          <w:rFonts w:ascii="Times New Roman" w:eastAsia="Segoe UI" w:hAnsi="Times New Roman" w:cs="Times New Roman"/>
          <w:kern w:val="0"/>
          <w:shd w:val="clear" w:color="auto" w:fill="FFFFFF"/>
          <w14:ligatures w14:val="none"/>
        </w:rPr>
        <w:t>Khazripour</w:t>
      </w:r>
      <w:proofErr w:type="spellEnd"/>
      <w:r w:rsidRPr="00CA26B4">
        <w:rPr>
          <w:rFonts w:ascii="Times New Roman" w:eastAsia="Segoe UI" w:hAnsi="Times New Roman" w:cs="Times New Roman"/>
          <w:kern w:val="0"/>
          <w:shd w:val="clear" w:color="auto" w:fill="FFFFFF"/>
          <w14:ligatures w14:val="none"/>
        </w:rPr>
        <w:t xml:space="preserve">, </w:t>
      </w:r>
      <w:proofErr w:type="spellStart"/>
      <w:r w:rsidRPr="00CA26B4">
        <w:rPr>
          <w:rFonts w:ascii="Times New Roman" w:eastAsia="Segoe UI" w:hAnsi="Times New Roman" w:cs="Times New Roman"/>
          <w:kern w:val="0"/>
          <w:shd w:val="clear" w:color="auto" w:fill="FFFFFF"/>
          <w14:ligatures w14:val="none"/>
        </w:rPr>
        <w:t>Tazarji</w:t>
      </w:r>
      <w:proofErr w:type="spellEnd"/>
      <w:r w:rsidRPr="00CA26B4">
        <w:rPr>
          <w:rFonts w:ascii="Times New Roman" w:eastAsia="Segoe UI" w:hAnsi="Times New Roman" w:cs="Times New Roman"/>
          <w:kern w:val="0"/>
          <w:shd w:val="clear" w:color="auto" w:fill="FFFFFF"/>
          <w14:ligatures w14:val="none"/>
        </w:rPr>
        <w:t xml:space="preserve"> &amp; </w:t>
      </w:r>
      <w:proofErr w:type="spellStart"/>
      <w:r w:rsidRPr="00CA26B4">
        <w:rPr>
          <w:rFonts w:ascii="Times New Roman" w:eastAsia="Segoe UI" w:hAnsi="Times New Roman" w:cs="Times New Roman"/>
          <w:kern w:val="0"/>
          <w:shd w:val="clear" w:color="auto" w:fill="FFFFFF"/>
          <w14:ligatures w14:val="none"/>
        </w:rPr>
        <w:t>Mijani</w:t>
      </w:r>
      <w:proofErr w:type="spellEnd"/>
      <w:r w:rsidRPr="00CA26B4">
        <w:rPr>
          <w:rFonts w:ascii="Times New Roman" w:eastAsia="Segoe UI" w:hAnsi="Times New Roman" w:cs="Times New Roman"/>
          <w:kern w:val="0"/>
          <w:shd w:val="clear" w:color="auto" w:fill="FFFFFF"/>
          <w14:ligatures w14:val="none"/>
        </w:rPr>
        <w:t xml:space="preserve"> (2025) examined the Review of Previous Research on Blockchain Adoption in Accounting with Examination of Organizational Decision-Making Factors. The study adopted an empirical approach. It used </w:t>
      </w:r>
      <w:r w:rsidRPr="00CA26B4">
        <w:rPr>
          <w:rFonts w:ascii="Times New Roman" w:eastAsia="Arial" w:hAnsi="Times New Roman" w:cs="Times New Roman"/>
          <w:color w:val="0A0A0A"/>
          <w:kern w:val="0"/>
          <w:shd w:val="clear" w:color="auto" w:fill="FFFFFF"/>
          <w14:ligatures w14:val="none"/>
        </w:rPr>
        <w:t xml:space="preserve">structured content analysis of 15 sources to assess </w:t>
      </w:r>
      <w:r w:rsidRPr="00CA26B4">
        <w:rPr>
          <w:rFonts w:ascii="Times New Roman" w:eastAsia="Segoe UI" w:hAnsi="Times New Roman" w:cs="Times New Roman"/>
          <w:kern w:val="0"/>
          <w:shd w:val="clear" w:color="auto" w:fill="FFFFFF"/>
          <w14:ligatures w14:val="none"/>
        </w:rPr>
        <w:t xml:space="preserve">Blockchain Adoption in Accounting with Examination of Organizational Decision-Making Factors. The study </w:t>
      </w:r>
      <w:r w:rsidRPr="00CA26B4">
        <w:rPr>
          <w:rFonts w:ascii="Times New Roman" w:eastAsia="Arial" w:hAnsi="Times New Roman" w:cs="Times New Roman"/>
          <w:color w:val="0A0A0A"/>
          <w:kern w:val="0"/>
          <w:shd w:val="clear" w:color="auto" w:fill="FFFFFF"/>
          <w14:ligatures w14:val="none"/>
        </w:rPr>
        <w:t>found that blockchain adoption in accounting and auditing enhances financial transparency, operational efficiency, and risk management through real-time data and automation. While offering significant strategic opportunities for transformation, the research highlights that successful integration is hindered by high costs, regulatory uncertainty, and technical challenges.</w:t>
      </w:r>
      <w:r w:rsidRPr="00CA26B4">
        <w:rPr>
          <w:rFonts w:ascii="Times New Roman" w:eastAsia="SimSun" w:hAnsi="Times New Roman" w:cs="Times New Roman"/>
          <w:kern w:val="0"/>
          <w14:ligatures w14:val="none"/>
        </w:rPr>
        <w:t xml:space="preserve"> </w:t>
      </w:r>
    </w:p>
    <w:p w14:paraId="77CDD357" w14:textId="77777777" w:rsidR="00CA26B4" w:rsidRPr="00CA26B4" w:rsidRDefault="00CA26B4" w:rsidP="002C3670">
      <w:pPr>
        <w:spacing w:before="100" w:beforeAutospacing="1" w:after="200" w:line="240" w:lineRule="auto"/>
        <w:jc w:val="both"/>
        <w:rPr>
          <w:rFonts w:ascii="Times New Roman" w:eastAsia="Arial" w:hAnsi="Times New Roman" w:cs="Times New Roman"/>
          <w:color w:val="0A0A0A"/>
          <w:kern w:val="0"/>
          <w:shd w:val="clear" w:color="auto" w:fill="FFFFFF"/>
          <w14:ligatures w14:val="none"/>
        </w:rPr>
      </w:pPr>
      <w:r w:rsidRPr="00CA26B4">
        <w:rPr>
          <w:rFonts w:ascii="Times New Roman" w:eastAsia="Bahnschrift" w:hAnsi="Times New Roman" w:cs="Times New Roman"/>
          <w:color w:val="1B1B1B"/>
          <w:kern w:val="0"/>
          <w14:ligatures w14:val="none"/>
        </w:rPr>
        <w:t>Similarly, Jang &amp; Alam (2024) assessed the use of blockchain technology in enterprise financial accounting information sharing.</w:t>
      </w:r>
      <w:r w:rsidRPr="00CA26B4">
        <w:rPr>
          <w:rFonts w:ascii="Times New Roman" w:eastAsia="Bahnschrift" w:hAnsi="Times New Roman" w:cs="Times New Roman"/>
          <w:b/>
          <w:bCs/>
          <w:color w:val="1B1B1B"/>
          <w:kern w:val="0"/>
          <w14:ligatures w14:val="none"/>
        </w:rPr>
        <w:t xml:space="preserve"> </w:t>
      </w:r>
      <w:r w:rsidRPr="00CA26B4">
        <w:rPr>
          <w:rFonts w:ascii="Times New Roman" w:eastAsia="Arial" w:hAnsi="Times New Roman" w:cs="Times New Roman"/>
          <w:color w:val="0A0A0A"/>
          <w:kern w:val="0"/>
          <w:shd w:val="clear" w:color="auto" w:fill="FFFFFF"/>
          <w14:ligatures w14:val="none"/>
        </w:rPr>
        <w:t xml:space="preserve">The study empirically examined 100 enterprises to identify how blockchain can ensure secure, provide tamper-proof information exchange, mitigate opacity and enhance data trust. </w:t>
      </w:r>
      <w:r w:rsidRPr="00CA26B4">
        <w:rPr>
          <w:rFonts w:ascii="Times New Roman" w:eastAsia="Bahnschrift" w:hAnsi="Times New Roman" w:cs="Times New Roman"/>
          <w:color w:val="1B1B1B"/>
          <w:kern w:val="0"/>
          <w14:ligatures w14:val="none"/>
        </w:rPr>
        <w:t xml:space="preserve">Also, the </w:t>
      </w:r>
      <w:r w:rsidRPr="00CA26B4">
        <w:rPr>
          <w:rFonts w:ascii="Times New Roman" w:eastAsia="SimSun" w:hAnsi="Times New Roman" w:cs="Times New Roman"/>
          <w:kern w:val="0"/>
          <w14:ligatures w14:val="none"/>
        </w:rPr>
        <w:t xml:space="preserve">study demonstrates that </w:t>
      </w:r>
      <w:proofErr w:type="gramStart"/>
      <w:r w:rsidRPr="00CA26B4">
        <w:rPr>
          <w:rFonts w:ascii="Times New Roman" w:eastAsia="SimSun" w:hAnsi="Times New Roman" w:cs="Times New Roman"/>
          <w:kern w:val="0"/>
          <w14:ligatures w14:val="none"/>
        </w:rPr>
        <w:t>using  Ethereum</w:t>
      </w:r>
      <w:proofErr w:type="gramEnd"/>
      <w:r w:rsidRPr="00CA26B4">
        <w:rPr>
          <w:rFonts w:ascii="Times New Roman" w:eastAsia="SimSun" w:hAnsi="Times New Roman" w:cs="Times New Roman"/>
          <w:kern w:val="0"/>
          <w14:ligatures w14:val="none"/>
        </w:rPr>
        <w:t xml:space="preserve">-based smart </w:t>
      </w:r>
      <w:proofErr w:type="gramStart"/>
      <w:r w:rsidRPr="00CA26B4">
        <w:rPr>
          <w:rFonts w:ascii="Times New Roman" w:eastAsia="SimSun" w:hAnsi="Times New Roman" w:cs="Times New Roman"/>
          <w:kern w:val="0"/>
          <w14:ligatures w14:val="none"/>
        </w:rPr>
        <w:t xml:space="preserve">contracts </w:t>
      </w:r>
      <w:r w:rsidRPr="00CA26B4">
        <w:rPr>
          <w:rFonts w:ascii="Times New Roman" w:eastAsia="Arial" w:hAnsi="Times New Roman" w:cs="Times New Roman"/>
          <w:color w:val="0A0A0A"/>
          <w:kern w:val="0"/>
          <w:shd w:val="clear" w:color="auto" w:fill="FFFFFF"/>
          <w14:ligatures w14:val="none"/>
        </w:rPr>
        <w:t xml:space="preserve"> for</w:t>
      </w:r>
      <w:proofErr w:type="gramEnd"/>
      <w:r w:rsidRPr="00CA26B4">
        <w:rPr>
          <w:rFonts w:ascii="Times New Roman" w:eastAsia="Arial" w:hAnsi="Times New Roman" w:cs="Times New Roman"/>
          <w:color w:val="0A0A0A"/>
          <w:kern w:val="0"/>
          <w:shd w:val="clear" w:color="auto" w:fill="FFFFFF"/>
          <w14:ligatures w14:val="none"/>
        </w:rPr>
        <w:t xml:space="preserve"> enterprise financial data sharing improves efficiency, increases data </w:t>
      </w:r>
      <w:proofErr w:type="gramStart"/>
      <w:r w:rsidRPr="00CA26B4">
        <w:rPr>
          <w:rFonts w:ascii="Times New Roman" w:eastAsia="Arial" w:hAnsi="Times New Roman" w:cs="Times New Roman"/>
          <w:color w:val="0A0A0A"/>
          <w:kern w:val="0"/>
          <w:shd w:val="clear" w:color="auto" w:fill="FFFFFF"/>
          <w14:ligatures w14:val="none"/>
        </w:rPr>
        <w:t>accuracy  and</w:t>
      </w:r>
      <w:proofErr w:type="gramEnd"/>
      <w:r w:rsidRPr="00CA26B4">
        <w:rPr>
          <w:rFonts w:ascii="Times New Roman" w:eastAsia="Arial" w:hAnsi="Times New Roman" w:cs="Times New Roman"/>
          <w:color w:val="0A0A0A"/>
          <w:kern w:val="0"/>
          <w:shd w:val="clear" w:color="auto" w:fill="FFFFFF"/>
          <w14:ligatures w14:val="none"/>
        </w:rPr>
        <w:t xml:space="preserve"> reduces costs when compared to traditional methods of financial accounting. </w:t>
      </w:r>
    </w:p>
    <w:p w14:paraId="2E319709" w14:textId="77777777" w:rsidR="00CA26B4" w:rsidRPr="00CA26B4" w:rsidRDefault="00CA26B4" w:rsidP="002C3670">
      <w:pPr>
        <w:spacing w:before="100" w:beforeAutospacing="1" w:after="200" w:line="240" w:lineRule="auto"/>
        <w:jc w:val="both"/>
        <w:rPr>
          <w:rFonts w:ascii="Times New Roman" w:eastAsia="Arial" w:hAnsi="Times New Roman" w:cs="Times New Roman"/>
          <w:color w:val="0A0A0A"/>
          <w:kern w:val="0"/>
          <w:shd w:val="clear" w:color="auto" w:fill="FFFFFF"/>
          <w14:ligatures w14:val="none"/>
        </w:rPr>
      </w:pPr>
      <w:r w:rsidRPr="00CA26B4">
        <w:rPr>
          <w:rFonts w:ascii="Times New Roman" w:eastAsia="SimSun" w:hAnsi="Times New Roman" w:cs="Times New Roman"/>
          <w:kern w:val="0"/>
          <w14:ligatures w14:val="none"/>
        </w:rPr>
        <w:t xml:space="preserve">Umoren, </w:t>
      </w:r>
      <w:proofErr w:type="spellStart"/>
      <w:r w:rsidRPr="00CA26B4">
        <w:rPr>
          <w:rFonts w:ascii="Times New Roman" w:eastAsia="SimSun" w:hAnsi="Times New Roman" w:cs="Times New Roman"/>
          <w:kern w:val="0"/>
          <w14:ligatures w14:val="none"/>
        </w:rPr>
        <w:t>Ukpeh</w:t>
      </w:r>
      <w:proofErr w:type="spellEnd"/>
      <w:r w:rsidRPr="00CA26B4">
        <w:rPr>
          <w:rFonts w:ascii="Times New Roman" w:eastAsia="SimSun" w:hAnsi="Times New Roman" w:cs="Times New Roman"/>
          <w:kern w:val="0"/>
          <w14:ligatures w14:val="none"/>
        </w:rPr>
        <w:t xml:space="preserve"> &amp; Ewang (2024) studied Blockchain Technology and Accounting Practice in Nigeria. </w:t>
      </w:r>
      <w:r w:rsidRPr="00CA26B4">
        <w:rPr>
          <w:rFonts w:ascii="Times New Roman" w:eastAsia="Arial" w:hAnsi="Times New Roman" w:cs="Times New Roman"/>
          <w:color w:val="0A0A0A"/>
          <w:kern w:val="0"/>
          <w:shd w:val="clear" w:color="auto" w:fill="FFFFFF"/>
          <w14:ligatures w14:val="none"/>
        </w:rPr>
        <w:t xml:space="preserve">The study employed an empirical approach to survey 86 accounting professionals. </w:t>
      </w:r>
      <w:r w:rsidRPr="00CA26B4">
        <w:rPr>
          <w:rFonts w:ascii="Times New Roman" w:eastAsia="SimSun" w:hAnsi="Times New Roman" w:cs="Times New Roman"/>
          <w:kern w:val="0"/>
          <w14:ligatures w14:val="none"/>
        </w:rPr>
        <w:t>The study</w:t>
      </w:r>
      <w:r w:rsidRPr="00CA26B4">
        <w:rPr>
          <w:rFonts w:ascii="Times New Roman" w:eastAsia="Arial" w:hAnsi="Times New Roman" w:cs="Times New Roman"/>
          <w:color w:val="0A0A0A"/>
          <w:kern w:val="0"/>
          <w:shd w:val="clear" w:color="auto" w:fill="FFFFFF"/>
          <w14:ligatures w14:val="none"/>
        </w:rPr>
        <w:t xml:space="preserve"> found that implementing blockchain technology significantly improves Nigerian accounting practices by enhancing efficiency, transparency, and data security. The </w:t>
      </w:r>
      <w:proofErr w:type="spellStart"/>
      <w:r w:rsidRPr="00CA26B4">
        <w:rPr>
          <w:rFonts w:ascii="Times New Roman" w:eastAsia="Arial" w:hAnsi="Times New Roman" w:cs="Times New Roman"/>
          <w:color w:val="0A0A0A"/>
          <w:kern w:val="0"/>
          <w:shd w:val="clear" w:color="auto" w:fill="FFFFFF"/>
          <w14:ligatures w14:val="none"/>
        </w:rPr>
        <w:t>the</w:t>
      </w:r>
      <w:proofErr w:type="spellEnd"/>
      <w:r w:rsidRPr="00CA26B4">
        <w:rPr>
          <w:rFonts w:ascii="Times New Roman" w:eastAsia="Arial" w:hAnsi="Times New Roman" w:cs="Times New Roman"/>
          <w:color w:val="0A0A0A"/>
          <w:kern w:val="0"/>
          <w:shd w:val="clear" w:color="auto" w:fill="FFFFFF"/>
          <w14:ligatures w14:val="none"/>
        </w:rPr>
        <w:t xml:space="preserve"> research suggests that adopting </w:t>
      </w:r>
      <w:proofErr w:type="spellStart"/>
      <w:r w:rsidRPr="00CA26B4">
        <w:rPr>
          <w:rFonts w:ascii="Times New Roman" w:eastAsia="Arial" w:hAnsi="Times New Roman" w:cs="Times New Roman"/>
          <w:color w:val="0A0A0A"/>
          <w:kern w:val="0"/>
          <w:shd w:val="clear" w:color="auto" w:fill="FFFFFF"/>
          <w14:ligatures w14:val="none"/>
        </w:rPr>
        <w:t>blockcchain</w:t>
      </w:r>
      <w:proofErr w:type="spellEnd"/>
      <w:r w:rsidRPr="00CA26B4">
        <w:rPr>
          <w:rFonts w:ascii="Times New Roman" w:eastAsia="Arial" w:hAnsi="Times New Roman" w:cs="Times New Roman"/>
          <w:color w:val="0A0A0A"/>
          <w:kern w:val="0"/>
          <w:shd w:val="clear" w:color="auto" w:fill="FFFFFF"/>
          <w14:ligatures w14:val="none"/>
        </w:rPr>
        <w:t xml:space="preserve"> technology would improve, streamline, and secure financial reporting in Nigerian accounting firms.</w:t>
      </w:r>
    </w:p>
    <w:p w14:paraId="3F7BF36F"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Arial" w:hAnsi="Times New Roman" w:cs="Times New Roman"/>
          <w:kern w:val="0"/>
          <w:shd w:val="clear" w:color="auto" w:fill="FFFFFF"/>
          <w14:ligatures w14:val="none"/>
        </w:rPr>
        <w:t xml:space="preserve">From the foregoing, </w:t>
      </w:r>
      <w:r w:rsidRPr="00CA26B4">
        <w:rPr>
          <w:rFonts w:ascii="Times New Roman" w:eastAsia="Calibri" w:hAnsi="Times New Roman" w:cs="Times New Roman"/>
          <w:kern w:val="0"/>
          <w14:ligatures w14:val="none"/>
        </w:rPr>
        <w:t>no study has specifically examined the impact of blockchain accounting practices on online marketing agencies in Port Harcourt. There is a dearth of empirical evidence on how triple-entry accounting affects digital return on investment and how real-time accounting influences operational efficiency in this specific, fast-paced sector in the Nigerian environment. Thus, this study intends to fill this gap by empirically applying ordinary least square regression analysis to examine the effect of blockchain accounting practices on digital enterprise performance within the Nigeria’s online marketing sector.</w:t>
      </w:r>
    </w:p>
    <w:p w14:paraId="1136C7E3" w14:textId="77777777" w:rsidR="00CA26B4" w:rsidRPr="00CA26B4" w:rsidRDefault="00CA26B4" w:rsidP="002C3670">
      <w:pPr>
        <w:spacing w:before="100" w:beforeAutospacing="1" w:after="200" w:line="240" w:lineRule="auto"/>
        <w:jc w:val="both"/>
        <w:rPr>
          <w:rFonts w:ascii="Times New Roman" w:eastAsia="Calibri" w:hAnsi="Times New Roman" w:cs="Times New Roman"/>
          <w:b/>
          <w:kern w:val="0"/>
          <w14:ligatures w14:val="none"/>
        </w:rPr>
      </w:pPr>
      <w:r w:rsidRPr="00CA26B4">
        <w:rPr>
          <w:rFonts w:ascii="Times New Roman" w:eastAsia="Calibri" w:hAnsi="Times New Roman" w:cs="Times New Roman"/>
          <w:b/>
          <w:kern w:val="0"/>
          <w14:ligatures w14:val="none"/>
        </w:rPr>
        <w:t>Purpose of the Study</w:t>
      </w:r>
    </w:p>
    <w:p w14:paraId="7D9F0BC7" w14:textId="77777777" w:rsidR="00CA26B4" w:rsidRPr="00CA26B4" w:rsidRDefault="00CA26B4" w:rsidP="002C3670">
      <w:pPr>
        <w:spacing w:before="100" w:beforeAutospacing="1" w:after="200" w:line="240" w:lineRule="auto"/>
        <w:jc w:val="both"/>
        <w:rPr>
          <w:rFonts w:ascii="Times New Roman" w:eastAsia="Calibri" w:hAnsi="Times New Roman" w:cs="Times New Roman"/>
          <w:bCs/>
          <w:kern w:val="0"/>
          <w14:ligatures w14:val="none"/>
        </w:rPr>
      </w:pPr>
      <w:r w:rsidRPr="00CA26B4">
        <w:rPr>
          <w:rFonts w:ascii="Times New Roman" w:eastAsia="Calibri" w:hAnsi="Times New Roman" w:cs="Times New Roman"/>
          <w:kern w:val="0"/>
          <w14:ligatures w14:val="none"/>
        </w:rPr>
        <w:t xml:space="preserve">The aim of the study is to evaluate </w:t>
      </w:r>
      <w:r w:rsidRPr="00CA26B4">
        <w:rPr>
          <w:rFonts w:ascii="Times New Roman" w:eastAsia="Calibri" w:hAnsi="Times New Roman" w:cs="Times New Roman"/>
          <w:bCs/>
          <w:kern w:val="0"/>
          <w14:ligatures w14:val="none"/>
        </w:rPr>
        <w:t>Blockchain Accounting Practices and Digital Enterprise Performance of Online Marketing Agencies in Port Harcourt. The specific objectives are</w:t>
      </w:r>
    </w:p>
    <w:p w14:paraId="5993D9F6" w14:textId="77777777" w:rsidR="00CA26B4" w:rsidRPr="00CA26B4" w:rsidRDefault="00CA26B4" w:rsidP="002C3670">
      <w:pPr>
        <w:numPr>
          <w:ilvl w:val="0"/>
          <w:numId w:val="64"/>
        </w:numPr>
        <w:spacing w:before="100" w:beforeAutospacing="1" w:after="200" w:line="24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bCs/>
          <w:kern w:val="0"/>
          <w14:ligatures w14:val="none"/>
        </w:rPr>
        <w:t>To determine the effect of</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 xml:space="preserve">triple-entry accounting </w:t>
      </w:r>
      <w:proofErr w:type="gramStart"/>
      <w:r w:rsidRPr="00CA26B4">
        <w:rPr>
          <w:rFonts w:ascii="Times New Roman" w:eastAsia="Calibri" w:hAnsi="Times New Roman" w:cs="Times New Roman"/>
          <w:kern w:val="0"/>
          <w14:ligatures w14:val="none"/>
        </w:rPr>
        <w:t>on  digital</w:t>
      </w:r>
      <w:proofErr w:type="gramEnd"/>
      <w:r w:rsidRPr="00CA26B4">
        <w:rPr>
          <w:rFonts w:ascii="Times New Roman" w:eastAsia="Calibri" w:hAnsi="Times New Roman" w:cs="Times New Roman"/>
          <w:kern w:val="0"/>
          <w14:ligatures w14:val="none"/>
        </w:rPr>
        <w:t xml:space="preserve"> return on </w:t>
      </w:r>
      <w:proofErr w:type="gramStart"/>
      <w:r w:rsidRPr="00CA26B4">
        <w:rPr>
          <w:rFonts w:ascii="Times New Roman" w:eastAsia="Calibri" w:hAnsi="Times New Roman" w:cs="Times New Roman"/>
          <w:kern w:val="0"/>
          <w14:ligatures w14:val="none"/>
        </w:rPr>
        <w:t>investment .</w:t>
      </w:r>
      <w:proofErr w:type="gramEnd"/>
    </w:p>
    <w:p w14:paraId="181D9833" w14:textId="77777777" w:rsidR="00CA26B4" w:rsidRPr="00CA26B4" w:rsidRDefault="00CA26B4" w:rsidP="002C3670">
      <w:pPr>
        <w:numPr>
          <w:ilvl w:val="0"/>
          <w:numId w:val="64"/>
        </w:numPr>
        <w:spacing w:before="100" w:beforeAutospacing="1" w:after="200" w:line="24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kern w:val="0"/>
          <w14:ligatures w14:val="none"/>
        </w:rPr>
        <w:t xml:space="preserve">To ascertain the effect of real-time accounting </w:t>
      </w:r>
      <w:proofErr w:type="gramStart"/>
      <w:r w:rsidRPr="00CA26B4">
        <w:rPr>
          <w:rFonts w:ascii="Times New Roman" w:eastAsia="Calibri" w:hAnsi="Times New Roman" w:cs="Times New Roman"/>
          <w:kern w:val="0"/>
          <w14:ligatures w14:val="none"/>
        </w:rPr>
        <w:t>on  operational</w:t>
      </w:r>
      <w:proofErr w:type="gramEnd"/>
      <w:r w:rsidRPr="00CA26B4">
        <w:rPr>
          <w:rFonts w:ascii="Times New Roman" w:eastAsia="Calibri" w:hAnsi="Times New Roman" w:cs="Times New Roman"/>
          <w:kern w:val="0"/>
          <w14:ligatures w14:val="none"/>
        </w:rPr>
        <w:t xml:space="preserve"> efficiency</w:t>
      </w:r>
    </w:p>
    <w:p w14:paraId="42648A3C" w14:textId="77777777" w:rsidR="00CA26B4" w:rsidRPr="00CA26B4" w:rsidRDefault="00CA26B4" w:rsidP="002C3670">
      <w:pPr>
        <w:spacing w:before="100" w:beforeAutospacing="1" w:after="200" w:line="240" w:lineRule="auto"/>
        <w:jc w:val="both"/>
        <w:rPr>
          <w:rFonts w:ascii="Times New Roman" w:eastAsia="Calibri" w:hAnsi="Times New Roman" w:cs="Times New Roman"/>
          <w:b/>
          <w:kern w:val="0"/>
          <w14:ligatures w14:val="none"/>
        </w:rPr>
      </w:pPr>
      <w:r w:rsidRPr="00CA26B4">
        <w:rPr>
          <w:rFonts w:ascii="Times New Roman" w:eastAsia="Calibri" w:hAnsi="Times New Roman" w:cs="Times New Roman"/>
          <w:kern w:val="0"/>
          <w14:ligatures w14:val="none"/>
        </w:rPr>
        <w:t xml:space="preserve"> </w:t>
      </w:r>
      <w:r w:rsidRPr="00CA26B4">
        <w:rPr>
          <w:rFonts w:ascii="Times New Roman" w:eastAsia="Calibri" w:hAnsi="Times New Roman" w:cs="Times New Roman"/>
          <w:b/>
          <w:kern w:val="0"/>
          <w14:ligatures w14:val="none"/>
        </w:rPr>
        <w:t>Research Questions</w:t>
      </w:r>
    </w:p>
    <w:p w14:paraId="2617F1FF" w14:textId="77777777" w:rsidR="00CA26B4" w:rsidRPr="00CA26B4" w:rsidRDefault="00CA26B4" w:rsidP="002C3670">
      <w:pPr>
        <w:spacing w:before="100" w:beforeAutospacing="1" w:after="200" w:line="24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kern w:val="0"/>
          <w14:ligatures w14:val="none"/>
        </w:rPr>
        <w:t>The following key questions are raised to guide the study.</w:t>
      </w:r>
    </w:p>
    <w:p w14:paraId="7FAB8113" w14:textId="77777777" w:rsidR="00CA26B4" w:rsidRPr="00CA26B4" w:rsidRDefault="00CA26B4" w:rsidP="002C3670">
      <w:pPr>
        <w:numPr>
          <w:ilvl w:val="0"/>
          <w:numId w:val="65"/>
        </w:numPr>
        <w:spacing w:before="100" w:beforeAutospacing="1" w:after="200" w:line="24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kern w:val="0"/>
          <w14:ligatures w14:val="none"/>
        </w:rPr>
        <w:t>To what extent does</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triple-entry accounting affect digital return on investment?</w:t>
      </w:r>
    </w:p>
    <w:p w14:paraId="7183B401" w14:textId="77777777" w:rsidR="00CA26B4" w:rsidRPr="00CA26B4" w:rsidRDefault="00CA26B4" w:rsidP="002C3670">
      <w:pPr>
        <w:numPr>
          <w:ilvl w:val="0"/>
          <w:numId w:val="65"/>
        </w:numPr>
        <w:spacing w:before="100" w:beforeAutospacing="1" w:after="200" w:line="240" w:lineRule="auto"/>
        <w:jc w:val="both"/>
        <w:rPr>
          <w:rFonts w:ascii="Times New Roman" w:eastAsia="Calibri" w:hAnsi="Times New Roman" w:cs="Times New Roman"/>
          <w:b/>
          <w:bCs/>
          <w:kern w:val="0"/>
          <w14:ligatures w14:val="none"/>
        </w:rPr>
      </w:pPr>
      <w:r w:rsidRPr="00CA26B4">
        <w:rPr>
          <w:rFonts w:ascii="Times New Roman" w:eastAsia="Calibri" w:hAnsi="Times New Roman" w:cs="Times New Roman"/>
          <w:kern w:val="0"/>
          <w14:ligatures w14:val="none"/>
        </w:rPr>
        <w:t>To what extent does real-time accounting affect operational efficiency?</w:t>
      </w:r>
    </w:p>
    <w:p w14:paraId="410E927C" w14:textId="77777777" w:rsidR="002C3670" w:rsidRDefault="002C3670" w:rsidP="002C3670">
      <w:pPr>
        <w:spacing w:before="100" w:beforeAutospacing="1" w:after="200" w:line="240" w:lineRule="auto"/>
        <w:jc w:val="both"/>
        <w:rPr>
          <w:rFonts w:ascii="Times New Roman" w:eastAsia="Calibri" w:hAnsi="Times New Roman" w:cs="Times New Roman"/>
          <w:b/>
          <w:kern w:val="0"/>
          <w14:ligatures w14:val="none"/>
        </w:rPr>
      </w:pPr>
    </w:p>
    <w:p w14:paraId="649D7F2D" w14:textId="4C8FBB3B" w:rsidR="00CA26B4" w:rsidRPr="00CA26B4" w:rsidRDefault="00CA26B4" w:rsidP="002C3670">
      <w:pPr>
        <w:spacing w:before="100" w:beforeAutospacing="1" w:after="200" w:line="240" w:lineRule="auto"/>
        <w:jc w:val="both"/>
        <w:rPr>
          <w:rFonts w:ascii="Times New Roman" w:eastAsia="Calibri" w:hAnsi="Times New Roman" w:cs="Times New Roman"/>
          <w:b/>
          <w:kern w:val="0"/>
          <w14:ligatures w14:val="none"/>
        </w:rPr>
      </w:pPr>
      <w:r w:rsidRPr="00CA26B4">
        <w:rPr>
          <w:rFonts w:ascii="Times New Roman" w:eastAsia="Calibri" w:hAnsi="Times New Roman" w:cs="Times New Roman"/>
          <w:b/>
          <w:kern w:val="0"/>
          <w14:ligatures w14:val="none"/>
        </w:rPr>
        <w:lastRenderedPageBreak/>
        <w:t>Hypotheses</w:t>
      </w:r>
    </w:p>
    <w:p w14:paraId="0924C215"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The following null hypotheses are formulated for this study.</w:t>
      </w:r>
    </w:p>
    <w:p w14:paraId="62366636"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H</w:t>
      </w:r>
      <w:r w:rsidRPr="00CA26B4">
        <w:rPr>
          <w:rFonts w:ascii="Times New Roman" w:eastAsia="Calibri" w:hAnsi="Times New Roman" w:cs="Times New Roman"/>
          <w:kern w:val="0"/>
          <w:vertAlign w:val="subscript"/>
          <w14:ligatures w14:val="none"/>
        </w:rPr>
        <w:t>01</w:t>
      </w:r>
      <w:r w:rsidRPr="00CA26B4">
        <w:rPr>
          <w:rFonts w:ascii="Times New Roman" w:eastAsia="Calibri" w:hAnsi="Times New Roman" w:cs="Times New Roman"/>
          <w:kern w:val="0"/>
          <w14:ligatures w14:val="none"/>
        </w:rPr>
        <w:t xml:space="preserve">: There is no significant effect of </w:t>
      </w:r>
      <w:r w:rsidRPr="00CA26B4">
        <w:rPr>
          <w:rFonts w:ascii="Times New Roman" w:eastAsia="Calibri" w:hAnsi="Times New Roman" w:cs="Times New Roman"/>
          <w:b/>
          <w:bCs/>
          <w:kern w:val="0"/>
          <w14:ligatures w14:val="none"/>
        </w:rPr>
        <w:t>triple</w:t>
      </w:r>
      <w:r w:rsidRPr="00CA26B4">
        <w:rPr>
          <w:rFonts w:ascii="Times New Roman" w:eastAsia="Calibri" w:hAnsi="Times New Roman" w:cs="Times New Roman"/>
          <w:kern w:val="0"/>
          <w14:ligatures w14:val="none"/>
        </w:rPr>
        <w:t>-entry accounting on digital return on investment</w:t>
      </w:r>
    </w:p>
    <w:p w14:paraId="5BFC0380"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H</w:t>
      </w:r>
      <w:r w:rsidRPr="00CA26B4">
        <w:rPr>
          <w:rFonts w:ascii="Times New Roman" w:eastAsia="Calibri" w:hAnsi="Times New Roman" w:cs="Times New Roman"/>
          <w:kern w:val="0"/>
          <w:vertAlign w:val="subscript"/>
          <w14:ligatures w14:val="none"/>
        </w:rPr>
        <w:t>02</w:t>
      </w:r>
      <w:r w:rsidRPr="00CA26B4">
        <w:rPr>
          <w:rFonts w:ascii="Times New Roman" w:eastAsia="Calibri" w:hAnsi="Times New Roman" w:cs="Times New Roman"/>
          <w:kern w:val="0"/>
          <w14:ligatures w14:val="none"/>
        </w:rPr>
        <w:t xml:space="preserve">: There is no significant effect of </w:t>
      </w:r>
      <w:r w:rsidRPr="00CA26B4">
        <w:rPr>
          <w:rFonts w:ascii="Times New Roman" w:eastAsia="Calibri" w:hAnsi="Times New Roman" w:cs="Times New Roman"/>
          <w:b/>
          <w:bCs/>
          <w:kern w:val="0"/>
          <w14:ligatures w14:val="none"/>
        </w:rPr>
        <w:t>real</w:t>
      </w:r>
      <w:r w:rsidRPr="00CA26B4">
        <w:rPr>
          <w:rFonts w:ascii="Times New Roman" w:eastAsia="Calibri" w:hAnsi="Times New Roman" w:cs="Times New Roman"/>
          <w:kern w:val="0"/>
          <w14:ligatures w14:val="none"/>
        </w:rPr>
        <w:t>-time accounting on operational efficiency</w:t>
      </w:r>
    </w:p>
    <w:p w14:paraId="6E1F363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LITERATURE REVIEW</w:t>
      </w:r>
    </w:p>
    <w:p w14:paraId="3E6ED6D5" w14:textId="77777777" w:rsidR="00CA26B4" w:rsidRPr="00CA26B4" w:rsidRDefault="00CA26B4" w:rsidP="002C3670">
      <w:pPr>
        <w:spacing w:after="180" w:line="240" w:lineRule="auto"/>
        <w:jc w:val="both"/>
        <w:rPr>
          <w:rFonts w:ascii="Times New Roman" w:eastAsia="Times New Roman" w:hAnsi="Times New Roman" w:cs="Times New Roman"/>
          <w:bCs/>
          <w:kern w:val="0"/>
          <w:shd w:val="clear" w:color="auto" w:fill="FFFFFF"/>
          <w14:ligatures w14:val="none"/>
        </w:rPr>
      </w:pPr>
      <w:r w:rsidRPr="00CA26B4">
        <w:rPr>
          <w:rFonts w:ascii="Times New Roman" w:eastAsia="Times New Roman" w:hAnsi="Times New Roman" w:cs="Times New Roman"/>
          <w:b/>
          <w:kern w:val="0"/>
          <w:shd w:val="clear" w:color="auto" w:fill="FFFFFF"/>
          <w14:ligatures w14:val="none"/>
        </w:rPr>
        <w:t>Theoretical Review</w:t>
      </w:r>
    </w:p>
    <w:p w14:paraId="3D348BE9" w14:textId="77777777" w:rsidR="00CA26B4" w:rsidRPr="00CA26B4" w:rsidRDefault="00CA26B4" w:rsidP="002C3670">
      <w:pPr>
        <w:spacing w:after="180" w:line="240" w:lineRule="auto"/>
        <w:jc w:val="both"/>
        <w:rPr>
          <w:rFonts w:ascii="Times New Roman" w:eastAsia="SimSun" w:hAnsi="Times New Roman" w:cs="Times New Roman"/>
          <w:bCs/>
          <w:kern w:val="0"/>
          <w14:ligatures w14:val="none"/>
        </w:rPr>
      </w:pPr>
      <w:r w:rsidRPr="00CA26B4">
        <w:rPr>
          <w:rFonts w:ascii="Times New Roman" w:eastAsia="Times New Roman" w:hAnsi="Times New Roman" w:cs="Times New Roman"/>
          <w:bCs/>
          <w:kern w:val="0"/>
          <w:shd w:val="clear" w:color="auto" w:fill="FFFFFF"/>
          <w14:ligatures w14:val="none"/>
        </w:rPr>
        <w:t>The theories underpinning this study are the</w:t>
      </w:r>
      <w:r w:rsidRPr="00CA26B4">
        <w:rPr>
          <w:rFonts w:ascii="Times New Roman" w:eastAsia="Arial" w:hAnsi="Times New Roman" w:cs="Times New Roman"/>
          <w:bCs/>
          <w:kern w:val="0"/>
          <w:shd w:val="clear" w:color="auto" w:fill="FFFFFF"/>
          <w14:ligatures w14:val="none"/>
        </w:rPr>
        <w:t xml:space="preserve"> peer-to-peer blockchain view of Satoshi Nakamoto (2008), and the theory of </w:t>
      </w:r>
      <w:r w:rsidRPr="00CA26B4">
        <w:rPr>
          <w:rFonts w:ascii="Times New Roman" w:eastAsia="Calibri" w:hAnsi="Times New Roman" w:cs="Times New Roman"/>
          <w:bCs/>
          <w:kern w:val="0"/>
          <w14:ligatures w14:val="none"/>
        </w:rPr>
        <w:t>Dynamic</w:t>
      </w:r>
      <w:r w:rsidRPr="00CA26B4">
        <w:rPr>
          <w:rFonts w:ascii="Times New Roman" w:eastAsia="Arial" w:hAnsi="Times New Roman" w:cs="Times New Roman"/>
          <w:bCs/>
          <w:kern w:val="0"/>
          <w:shd w:val="clear" w:color="auto" w:fill="FFFFFF"/>
          <w14:ligatures w14:val="none"/>
        </w:rPr>
        <w:t xml:space="preserve"> Capabilities Approach by David </w:t>
      </w:r>
      <w:proofErr w:type="gramStart"/>
      <w:r w:rsidRPr="00CA26B4">
        <w:rPr>
          <w:rFonts w:ascii="Times New Roman" w:eastAsia="Arial" w:hAnsi="Times New Roman" w:cs="Times New Roman"/>
          <w:bCs/>
          <w:kern w:val="0"/>
          <w:shd w:val="clear" w:color="auto" w:fill="FFFFFF"/>
          <w14:ligatures w14:val="none"/>
        </w:rPr>
        <w:t>Teece,  </w:t>
      </w:r>
      <w:r w:rsidRPr="00CA26B4">
        <w:rPr>
          <w:rFonts w:ascii="Times New Roman" w:eastAsia="SimSun" w:hAnsi="Times New Roman" w:cs="Times New Roman"/>
          <w:bCs/>
          <w:kern w:val="0"/>
          <w14:ligatures w14:val="none"/>
        </w:rPr>
        <w:t>Gary</w:t>
      </w:r>
      <w:proofErr w:type="gramEnd"/>
      <w:r w:rsidRPr="00CA26B4">
        <w:rPr>
          <w:rFonts w:ascii="Times New Roman" w:eastAsia="SimSun" w:hAnsi="Times New Roman" w:cs="Times New Roman"/>
          <w:bCs/>
          <w:kern w:val="0"/>
          <w14:ligatures w14:val="none"/>
        </w:rPr>
        <w:t xml:space="preserve"> Pisano, and Amy Shuen (1997).</w:t>
      </w:r>
    </w:p>
    <w:p w14:paraId="23E83E04" w14:textId="77777777" w:rsidR="00CA26B4" w:rsidRPr="00CA26B4" w:rsidRDefault="00CA26B4" w:rsidP="002C3670">
      <w:pPr>
        <w:spacing w:after="180" w:line="240" w:lineRule="auto"/>
        <w:jc w:val="both"/>
        <w:rPr>
          <w:rFonts w:ascii="Times New Roman" w:eastAsia="Arial" w:hAnsi="Times New Roman" w:cs="Times New Roman"/>
          <w:b/>
          <w:kern w:val="0"/>
          <w:shd w:val="clear" w:color="auto" w:fill="FFFFFF"/>
          <w14:ligatures w14:val="none"/>
        </w:rPr>
      </w:pPr>
      <w:r w:rsidRPr="00CA26B4">
        <w:rPr>
          <w:rFonts w:ascii="Times New Roman" w:eastAsia="Arial" w:hAnsi="Times New Roman" w:cs="Times New Roman"/>
          <w:b/>
          <w:kern w:val="0"/>
          <w:shd w:val="clear" w:color="auto" w:fill="FFFFFF"/>
          <w14:ligatures w14:val="none"/>
        </w:rPr>
        <w:t xml:space="preserve"> Peer-to-Peer Blockchain View</w:t>
      </w:r>
    </w:p>
    <w:p w14:paraId="1F9FE729" w14:textId="77777777" w:rsidR="00CA26B4" w:rsidRPr="00CA26B4" w:rsidRDefault="00CA26B4" w:rsidP="002C3670">
      <w:pPr>
        <w:spacing w:after="180" w:line="240" w:lineRule="auto"/>
        <w:jc w:val="both"/>
        <w:rPr>
          <w:rFonts w:ascii="Times New Roman" w:eastAsia="Arial" w:hAnsi="Times New Roman" w:cs="Times New Roman"/>
          <w:kern w:val="0"/>
          <w:shd w:val="clear" w:color="auto" w:fill="FFFFFF"/>
          <w14:ligatures w14:val="none"/>
        </w:rPr>
      </w:pPr>
      <w:r w:rsidRPr="00CA26B4">
        <w:rPr>
          <w:rFonts w:ascii="Times New Roman" w:eastAsia="SimSun" w:hAnsi="Times New Roman" w:cs="Times New Roman"/>
          <w:kern w:val="0"/>
          <w14:ligatures w14:val="none"/>
        </w:rPr>
        <w:t xml:space="preserve">The peer-to-peer (P2P) blockchain view was propounded in 2008 by </w:t>
      </w:r>
      <w:r w:rsidRPr="00CA26B4">
        <w:rPr>
          <w:rFonts w:ascii="Times New Roman" w:eastAsia="Arial" w:hAnsi="Times New Roman" w:cs="Times New Roman"/>
          <w:bCs/>
          <w:kern w:val="0"/>
          <w:shd w:val="clear" w:color="auto" w:fill="FFFFFF"/>
          <w14:ligatures w14:val="none"/>
        </w:rPr>
        <w:t xml:space="preserve">Satoshi Nakamoto in the seminal white paper titled “Bitcoin, A Perr-to-Pair Electronic Cash System. </w:t>
      </w:r>
      <w:r w:rsidRPr="00CA26B4">
        <w:rPr>
          <w:rFonts w:ascii="Times New Roman" w:eastAsia="SimSun" w:hAnsi="Times New Roman" w:cs="Times New Roman"/>
          <w:kern w:val="0"/>
          <w14:ligatures w14:val="none"/>
        </w:rPr>
        <w:t>The peer-to-peer (P2P) blockchain view assumes a decentralized network architecture where independent nodes (peers) directly interact, share resources, and maintain a distributed ledger without a central authority</w:t>
      </w:r>
      <w:r w:rsidRPr="00CA26B4">
        <w:rPr>
          <w:rFonts w:ascii="Times New Roman" w:eastAsia="Arial" w:hAnsi="Times New Roman" w:cs="Times New Roman"/>
          <w:kern w:val="0"/>
          <w:shd w:val="clear" w:color="auto" w:fill="FFFFFF"/>
          <w14:ligatures w14:val="none"/>
        </w:rPr>
        <w:t xml:space="preserve">. This perspective underpins cryptocurrencies like Bitcoin, prioritizing direct, trustless transactions. </w:t>
      </w:r>
      <w:r w:rsidRPr="00CA26B4">
        <w:rPr>
          <w:rFonts w:ascii="Times New Roman" w:eastAsia="SimSun" w:hAnsi="Times New Roman" w:cs="Times New Roman"/>
          <w:kern w:val="0"/>
          <w14:ligatures w14:val="none"/>
        </w:rPr>
        <w:t>The main demerits of a peer-to-peer (P2P) blockchain view include poor scalability (slow transaction speeds), high energy consumption due to distributed validation, and increased security risks from malicious nodes</w:t>
      </w:r>
      <w:r w:rsidRPr="00CA26B4">
        <w:rPr>
          <w:rFonts w:ascii="Times New Roman" w:eastAsia="Arial" w:hAnsi="Times New Roman" w:cs="Times New Roman"/>
          <w:kern w:val="0"/>
          <w:shd w:val="clear" w:color="auto" w:fill="FFFFFF"/>
          <w14:ligatures w14:val="none"/>
        </w:rPr>
        <w:t xml:space="preserve">. However, </w:t>
      </w:r>
      <w:proofErr w:type="gramStart"/>
      <w:r w:rsidRPr="00CA26B4">
        <w:rPr>
          <w:rFonts w:ascii="Times New Roman" w:eastAsia="Arial" w:hAnsi="Times New Roman" w:cs="Times New Roman"/>
          <w:kern w:val="0"/>
          <w:shd w:val="clear" w:color="auto" w:fill="FFFFFF"/>
          <w14:ligatures w14:val="none"/>
        </w:rPr>
        <w:t xml:space="preserve">the </w:t>
      </w:r>
      <w:r w:rsidRPr="00CA26B4">
        <w:rPr>
          <w:rFonts w:ascii="Times New Roman" w:eastAsia="SimSun" w:hAnsi="Times New Roman" w:cs="Times New Roman"/>
          <w:kern w:val="0"/>
          <w14:ligatures w14:val="none"/>
        </w:rPr>
        <w:t xml:space="preserve"> peer</w:t>
      </w:r>
      <w:proofErr w:type="gramEnd"/>
      <w:r w:rsidRPr="00CA26B4">
        <w:rPr>
          <w:rFonts w:ascii="Times New Roman" w:eastAsia="SimSun" w:hAnsi="Times New Roman" w:cs="Times New Roman"/>
          <w:kern w:val="0"/>
          <w14:ligatures w14:val="none"/>
        </w:rPr>
        <w:t xml:space="preserve">-to-peer (P2P) view of blockchain offers major merits by removing central intermediaries, resulting in high security with no single point of failure, increased transparency, lower costs, and enhanced resilience </w:t>
      </w:r>
      <w:r w:rsidRPr="00CA26B4">
        <w:rPr>
          <w:rFonts w:ascii="Times New Roman" w:eastAsia="Calibri" w:hAnsi="Times New Roman" w:cs="Times New Roman"/>
          <w:kern w:val="0"/>
          <w14:ligatures w14:val="none"/>
        </w:rPr>
        <w:t>(</w:t>
      </w:r>
      <w:r w:rsidRPr="00CA26B4">
        <w:rPr>
          <w:rFonts w:ascii="Times New Roman" w:eastAsia="Times New Roman" w:hAnsi="Times New Roman" w:cs="Times New Roman"/>
          <w:color w:val="1F1F1F"/>
          <w:kern w:val="0"/>
          <w14:ligatures w14:val="none"/>
        </w:rPr>
        <w:t>Gupta et al., 2023).</w:t>
      </w:r>
    </w:p>
    <w:p w14:paraId="5473E337" w14:textId="77777777" w:rsidR="00CA26B4" w:rsidRPr="00CA26B4" w:rsidRDefault="00CA26B4" w:rsidP="002C3670">
      <w:pPr>
        <w:spacing w:before="100" w:beforeAutospacing="1" w:after="200" w:line="240" w:lineRule="auto"/>
        <w:jc w:val="both"/>
        <w:rPr>
          <w:rFonts w:ascii="Times New Roman" w:eastAsia="Arial" w:hAnsi="Times New Roman" w:cs="Times New Roman"/>
          <w:b/>
          <w:bCs/>
          <w:kern w:val="0"/>
          <w:shd w:val="clear" w:color="auto" w:fill="FFFFFF"/>
          <w14:ligatures w14:val="none"/>
        </w:rPr>
      </w:pPr>
      <w:r w:rsidRPr="00CA26B4">
        <w:rPr>
          <w:rFonts w:ascii="Times New Roman" w:eastAsia="Calibri" w:hAnsi="Times New Roman" w:cs="Times New Roman"/>
          <w:b/>
          <w:kern w:val="0"/>
          <w14:ligatures w14:val="none"/>
        </w:rPr>
        <w:t>Theory of</w:t>
      </w:r>
      <w:r w:rsidRPr="00CA26B4">
        <w:rPr>
          <w:rFonts w:ascii="Times New Roman" w:eastAsia="Calibri" w:hAnsi="Times New Roman" w:cs="Times New Roman"/>
          <w:bCs/>
          <w:kern w:val="0"/>
          <w14:ligatures w14:val="none"/>
        </w:rPr>
        <w:t xml:space="preserve"> </w:t>
      </w:r>
      <w:r w:rsidRPr="00CA26B4">
        <w:rPr>
          <w:rFonts w:ascii="Times New Roman" w:eastAsia="Arial" w:hAnsi="Times New Roman" w:cs="Times New Roman"/>
          <w:b/>
          <w:bCs/>
          <w:kern w:val="0"/>
          <w:shd w:val="clear" w:color="auto" w:fill="FFFFFF"/>
          <w14:ligatures w14:val="none"/>
        </w:rPr>
        <w:t xml:space="preserve">Dynamic Capabilities Approach </w:t>
      </w:r>
    </w:p>
    <w:p w14:paraId="7CE08E37" w14:textId="77777777" w:rsidR="00CA26B4" w:rsidRPr="00CA26B4" w:rsidRDefault="00CA26B4" w:rsidP="002C3670">
      <w:pPr>
        <w:spacing w:before="100" w:beforeAutospacing="1" w:after="200" w:line="240" w:lineRule="auto"/>
        <w:jc w:val="both"/>
        <w:rPr>
          <w:rFonts w:ascii="Times New Roman" w:eastAsia="Arial" w:hAnsi="Times New Roman" w:cs="Times New Roman"/>
          <w:kern w:val="0"/>
          <w:shd w:val="clear" w:color="auto" w:fill="FFFFFF"/>
          <w14:ligatures w14:val="none"/>
        </w:rPr>
      </w:pPr>
      <w:r w:rsidRPr="00CA26B4">
        <w:rPr>
          <w:rFonts w:ascii="Times New Roman" w:eastAsia="Calibri" w:hAnsi="Times New Roman" w:cs="Times New Roman"/>
          <w:kern w:val="0"/>
          <w14:ligatures w14:val="none"/>
        </w:rPr>
        <w:t xml:space="preserve"> </w:t>
      </w:r>
      <w:r w:rsidRPr="00CA26B4">
        <w:rPr>
          <w:rFonts w:ascii="Times New Roman" w:eastAsia="Arial" w:hAnsi="Times New Roman" w:cs="Times New Roman"/>
          <w:kern w:val="0"/>
          <w:shd w:val="clear" w:color="auto" w:fill="FFFFFF"/>
          <w14:ligatures w14:val="none"/>
        </w:rPr>
        <w:t xml:space="preserve">Dynamic Capabilities Approach propounded by David </w:t>
      </w:r>
      <w:proofErr w:type="gramStart"/>
      <w:r w:rsidRPr="00CA26B4">
        <w:rPr>
          <w:rFonts w:ascii="Times New Roman" w:eastAsia="Arial" w:hAnsi="Times New Roman" w:cs="Times New Roman"/>
          <w:kern w:val="0"/>
          <w:shd w:val="clear" w:color="auto" w:fill="FFFFFF"/>
          <w14:ligatures w14:val="none"/>
        </w:rPr>
        <w:t>Teece,  </w:t>
      </w:r>
      <w:r w:rsidRPr="00CA26B4">
        <w:rPr>
          <w:rFonts w:ascii="Times New Roman" w:eastAsia="SimSun" w:hAnsi="Times New Roman" w:cs="Times New Roman"/>
          <w:kern w:val="0"/>
          <w14:ligatures w14:val="none"/>
        </w:rPr>
        <w:t>Gary</w:t>
      </w:r>
      <w:proofErr w:type="gramEnd"/>
      <w:r w:rsidRPr="00CA26B4">
        <w:rPr>
          <w:rFonts w:ascii="Times New Roman" w:eastAsia="SimSun" w:hAnsi="Times New Roman" w:cs="Times New Roman"/>
          <w:kern w:val="0"/>
          <w14:ligatures w14:val="none"/>
        </w:rPr>
        <w:t xml:space="preserve"> Pisano, and Amy Shuen in their seminal 1997</w:t>
      </w:r>
      <w:r w:rsidRPr="00CA26B4">
        <w:rPr>
          <w:rFonts w:ascii="Times New Roman" w:eastAsia="Arial" w:hAnsi="Times New Roman" w:cs="Times New Roman"/>
          <w:kern w:val="0"/>
          <w:shd w:val="clear" w:color="auto" w:fill="FFFFFF"/>
          <w14:ligatures w14:val="none"/>
        </w:rPr>
        <w:t> Strategic Management Journal </w:t>
      </w:r>
      <w:proofErr w:type="gramStart"/>
      <w:r w:rsidRPr="00CA26B4">
        <w:rPr>
          <w:rFonts w:ascii="Times New Roman" w:eastAsia="Arial" w:hAnsi="Times New Roman" w:cs="Times New Roman"/>
          <w:kern w:val="0"/>
          <w:shd w:val="clear" w:color="auto" w:fill="FFFFFF"/>
          <w14:ligatures w14:val="none"/>
        </w:rPr>
        <w:t xml:space="preserve">article, </w:t>
      </w:r>
      <w:r w:rsidRPr="00CA26B4">
        <w:rPr>
          <w:rFonts w:ascii="Times New Roman" w:eastAsia="Calibri" w:hAnsi="Times New Roman" w:cs="Times New Roman"/>
          <w:kern w:val="0"/>
          <w14:ligatures w14:val="none"/>
        </w:rPr>
        <w:t xml:space="preserve"> “</w:t>
      </w:r>
      <w:proofErr w:type="gramEnd"/>
      <w:r w:rsidRPr="00CA26B4">
        <w:rPr>
          <w:rFonts w:ascii="Times New Roman" w:eastAsia="Arial" w:hAnsi="Times New Roman" w:cs="Times New Roman"/>
          <w:kern w:val="0"/>
          <w:shd w:val="clear" w:color="auto" w:fill="FFFFFF"/>
          <w14:ligatures w14:val="none"/>
        </w:rPr>
        <w:t>Dynamic Capabilities and Strategic Management.” The theory assumes</w:t>
      </w:r>
      <w:r w:rsidRPr="00CA26B4">
        <w:rPr>
          <w:rFonts w:ascii="Times New Roman" w:eastAsia="SimSun" w:hAnsi="Times New Roman" w:cs="Times New Roman"/>
          <w:kern w:val="0"/>
          <w14:ligatures w14:val="none"/>
        </w:rPr>
        <w:t xml:space="preserve"> that in rapidly changing environments, sustained competitive advantage stems from a firm's ability to integrate, build, and reconfigure internal and external resources/competences. The dynamic capabilities approach, while central to strategic renewal, is limited by its high resource cost, potential for substitution, and reliance on difficult-to-predict environmental changes. However, the theory enables firms to sustain competitive advantage in rapidly changing environments by constantly sensing opportunities, seizing them, and reconfiguring resources </w:t>
      </w:r>
      <w:r w:rsidRPr="00CA26B4">
        <w:rPr>
          <w:rFonts w:ascii="Times New Roman" w:eastAsia="Calibri" w:hAnsi="Times New Roman" w:cs="Times New Roman"/>
          <w:kern w:val="0"/>
          <w14:ligatures w14:val="none"/>
        </w:rPr>
        <w:t>(</w:t>
      </w:r>
      <w:r w:rsidRPr="00CA26B4">
        <w:rPr>
          <w:rFonts w:ascii="Times New Roman" w:eastAsia="Times New Roman" w:hAnsi="Times New Roman" w:cs="Times New Roman"/>
          <w:color w:val="1F1F1F"/>
          <w:kern w:val="0"/>
          <w14:ligatures w14:val="none"/>
        </w:rPr>
        <w:t>Gupta et al., 2023)</w:t>
      </w:r>
      <w:r w:rsidRPr="00CA26B4">
        <w:rPr>
          <w:rFonts w:ascii="Times New Roman" w:eastAsia="Arial" w:hAnsi="Times New Roman" w:cs="Times New Roman"/>
          <w:kern w:val="0"/>
          <w:shd w:val="clear" w:color="auto" w:fill="FFFFFF"/>
          <w14:ligatures w14:val="none"/>
        </w:rPr>
        <w:t>.</w:t>
      </w:r>
    </w:p>
    <w:p w14:paraId="4DBCE0FF"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Arial" w:hAnsi="Times New Roman" w:cs="Times New Roman"/>
          <w:kern w:val="0"/>
          <w:shd w:val="clear" w:color="auto" w:fill="FFFFFF"/>
          <w14:ligatures w14:val="none"/>
        </w:rPr>
        <w:t>From the foregoing, this study is anchored on the t</w:t>
      </w:r>
      <w:r w:rsidRPr="00CA26B4">
        <w:rPr>
          <w:rFonts w:ascii="Times New Roman" w:eastAsia="Calibri" w:hAnsi="Times New Roman" w:cs="Times New Roman"/>
          <w:kern w:val="0"/>
          <w14:ligatures w14:val="none"/>
        </w:rPr>
        <w:t xml:space="preserve">heory of </w:t>
      </w:r>
      <w:r w:rsidRPr="00CA26B4">
        <w:rPr>
          <w:rFonts w:ascii="Times New Roman" w:eastAsia="Arial" w:hAnsi="Times New Roman" w:cs="Times New Roman"/>
          <w:kern w:val="0"/>
          <w:shd w:val="clear" w:color="auto" w:fill="FFFFFF"/>
          <w14:ligatures w14:val="none"/>
        </w:rPr>
        <w:t xml:space="preserve">Dynamic Capabilities Approach because </w:t>
      </w:r>
      <w:proofErr w:type="spellStart"/>
      <w:r w:rsidRPr="00CA26B4">
        <w:rPr>
          <w:rFonts w:ascii="Times New Roman" w:eastAsia="Arial" w:hAnsi="Times New Roman" w:cs="Times New Roman"/>
          <w:kern w:val="0"/>
          <w:shd w:val="clear" w:color="auto" w:fill="FFFFFF"/>
          <w14:ligatures w14:val="none"/>
        </w:rPr>
        <w:t>is</w:t>
      </w:r>
      <w:proofErr w:type="spellEnd"/>
      <w:r w:rsidRPr="00CA26B4">
        <w:rPr>
          <w:rFonts w:ascii="Times New Roman" w:eastAsia="Arial" w:hAnsi="Times New Roman" w:cs="Times New Roman"/>
          <w:kern w:val="0"/>
          <w:shd w:val="clear" w:color="auto" w:fill="FFFFFF"/>
          <w14:ligatures w14:val="none"/>
        </w:rPr>
        <w:t xml:space="preserve"> </w:t>
      </w:r>
      <w:proofErr w:type="gramStart"/>
      <w:r w:rsidRPr="00CA26B4">
        <w:rPr>
          <w:rFonts w:ascii="Times New Roman" w:eastAsia="Arial" w:hAnsi="Times New Roman" w:cs="Times New Roman"/>
          <w:kern w:val="0"/>
          <w:shd w:val="clear" w:color="auto" w:fill="FFFFFF"/>
          <w14:ligatures w14:val="none"/>
        </w:rPr>
        <w:t>evaluates  how</w:t>
      </w:r>
      <w:proofErr w:type="gramEnd"/>
      <w:r w:rsidRPr="00CA26B4">
        <w:rPr>
          <w:rFonts w:ascii="Times New Roman" w:eastAsia="Arial" w:hAnsi="Times New Roman" w:cs="Times New Roman"/>
          <w:kern w:val="0"/>
          <w:shd w:val="clear" w:color="auto" w:fill="FFFFFF"/>
          <w14:ligatures w14:val="none"/>
        </w:rPr>
        <w:t xml:space="preserve"> firms build and reconfigure digital competencies to cope with disruptive environments in a digitally influenced economy.</w:t>
      </w:r>
    </w:p>
    <w:p w14:paraId="62106AC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bCs/>
          <w:kern w:val="0"/>
          <w14:ligatures w14:val="none"/>
        </w:rPr>
      </w:pPr>
      <w:r w:rsidRPr="00CA26B4">
        <w:rPr>
          <w:rFonts w:ascii="Times New Roman" w:eastAsia="Times New Roman" w:hAnsi="Times New Roman" w:cs="Times New Roman"/>
          <w:b/>
          <w:bCs/>
          <w:kern w:val="0"/>
          <w14:ligatures w14:val="none"/>
        </w:rPr>
        <w:t>Conceptual Review</w:t>
      </w:r>
    </w:p>
    <w:p w14:paraId="2ADD53D3" w14:textId="77777777" w:rsidR="00CA26B4" w:rsidRPr="00CA26B4" w:rsidRDefault="00CA26B4" w:rsidP="002C3670">
      <w:pPr>
        <w:spacing w:before="100" w:beforeAutospacing="1" w:after="200" w:line="240" w:lineRule="auto"/>
        <w:jc w:val="both"/>
        <w:rPr>
          <w:rFonts w:ascii="Times New Roman" w:eastAsia="Calibri" w:hAnsi="Times New Roman" w:cs="Times New Roman"/>
          <w:color w:val="0A0A0A"/>
          <w:kern w:val="0"/>
          <w:shd w:val="clear" w:color="auto" w:fill="FFFFFF"/>
          <w14:ligatures w14:val="none"/>
        </w:rPr>
      </w:pPr>
      <w:r w:rsidRPr="00CA26B4">
        <w:rPr>
          <w:rFonts w:ascii="Times New Roman" w:eastAsia="Times New Roman" w:hAnsi="Times New Roman" w:cs="Times New Roman"/>
          <w:kern w:val="0"/>
          <w14:ligatures w14:val="none"/>
        </w:rPr>
        <w:t>The shift toward doing business online is a global trend that allows companies to transcend geographical boundaries and reach customers in every part of the world</w:t>
      </w:r>
      <w:r w:rsidRPr="00CA26B4">
        <w:rPr>
          <w:rFonts w:ascii="Times New Roman" w:eastAsia="Calibri" w:hAnsi="Times New Roman" w:cs="Times New Roman"/>
          <w:color w:val="0A0A0A"/>
          <w:kern w:val="0"/>
          <w:shd w:val="clear" w:color="auto" w:fill="FFFFFF"/>
          <w14:ligatures w14:val="none"/>
        </w:rPr>
        <w:t xml:space="preserve">. By leveraging online platforms, businesses can operate 24/7, reduce operational costs, and access international markets, often surpassing traditional brick-and-mortar limitations </w:t>
      </w:r>
      <w:r w:rsidRPr="00CA26B4">
        <w:rPr>
          <w:rFonts w:ascii="Times New Roman" w:eastAsia="Calibri" w:hAnsi="Times New Roman" w:cs="Times New Roman"/>
          <w:kern w:val="0"/>
          <w14:ligatures w14:val="none"/>
        </w:rPr>
        <w:t>(</w:t>
      </w:r>
      <w:r w:rsidRPr="00CA26B4">
        <w:rPr>
          <w:rFonts w:ascii="Times New Roman" w:eastAsia="Times New Roman" w:hAnsi="Times New Roman" w:cs="Times New Roman"/>
          <w:color w:val="1F1F1F"/>
          <w:kern w:val="0"/>
          <w14:ligatures w14:val="none"/>
        </w:rPr>
        <w:t>Gupta et al., 2023)</w:t>
      </w:r>
      <w:r w:rsidRPr="00CA26B4">
        <w:rPr>
          <w:rFonts w:ascii="Times New Roman" w:eastAsia="Calibri" w:hAnsi="Times New Roman" w:cs="Times New Roman"/>
          <w:color w:val="0A0A0A"/>
          <w:kern w:val="0"/>
          <w:shd w:val="clear" w:color="auto" w:fill="FFFFFF"/>
          <w14:ligatures w14:val="none"/>
        </w:rPr>
        <w:t xml:space="preserve">. </w:t>
      </w:r>
    </w:p>
    <w:p w14:paraId="07E57EF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Globalization and digital enterprise formation represent a paradigm shift in the modern economy, often referred to as the "digital era" or fourth industrial revolution (Ri4) </w:t>
      </w:r>
      <w:r w:rsidRPr="00CA26B4">
        <w:rPr>
          <w:rFonts w:ascii="Times New Roman" w:eastAsia="Calibri" w:hAnsi="Times New Roman" w:cs="Times New Roman"/>
          <w:kern w:val="0"/>
          <w14:ligatures w14:val="none"/>
        </w:rPr>
        <w:t>(</w:t>
      </w:r>
      <w:r w:rsidRPr="00CA26B4">
        <w:rPr>
          <w:rFonts w:ascii="Times New Roman" w:eastAsia="Times New Roman" w:hAnsi="Times New Roman" w:cs="Times New Roman"/>
          <w:color w:val="000000"/>
          <w:kern w:val="0"/>
          <w14:ligatures w14:val="none"/>
        </w:rPr>
        <w:t>Skare &amp; Soriano, 2021)</w:t>
      </w:r>
      <w:r w:rsidRPr="00CA26B4">
        <w:rPr>
          <w:rFonts w:ascii="Times New Roman" w:eastAsia="Calibri" w:hAnsi="Times New Roman" w:cs="Times New Roman"/>
          <w:color w:val="0A0A0A"/>
          <w:kern w:val="0"/>
          <w:shd w:val="clear" w:color="auto" w:fill="FFFFFF"/>
          <w14:ligatures w14:val="none"/>
        </w:rPr>
        <w:t xml:space="preserve">. Digitalization is transforming </w:t>
      </w:r>
      <w:r w:rsidRPr="00CA26B4">
        <w:rPr>
          <w:rFonts w:ascii="Times New Roman" w:eastAsia="Calibri" w:hAnsi="Times New Roman" w:cs="Times New Roman"/>
          <w:color w:val="0A0A0A"/>
          <w:kern w:val="0"/>
          <w:shd w:val="clear" w:color="auto" w:fill="FFFFFF"/>
          <w14:ligatures w14:val="none"/>
        </w:rPr>
        <w:lastRenderedPageBreak/>
        <w:t>business models, allowing small businesses to become "micro-multinationals" by using platforms to operate globally with low barriers to entry. This shift changes the core of value formation, where digital technology acts as a general-purpose tool on the scale of electricity or the steam engine (</w:t>
      </w:r>
      <w:proofErr w:type="spellStart"/>
      <w:r w:rsidRPr="00CA26B4">
        <w:rPr>
          <w:rFonts w:ascii="Times New Roman" w:eastAsia="Segoe UI" w:hAnsi="Times New Roman" w:cs="Times New Roman"/>
          <w:kern w:val="0"/>
          <w:shd w:val="clear" w:color="auto" w:fill="FFFFFF"/>
          <w14:ligatures w14:val="none"/>
        </w:rPr>
        <w:t>Khazripour</w:t>
      </w:r>
      <w:proofErr w:type="spellEnd"/>
      <w:r w:rsidRPr="00CA26B4">
        <w:rPr>
          <w:rFonts w:ascii="Times New Roman" w:eastAsia="Segoe UI" w:hAnsi="Times New Roman" w:cs="Times New Roman"/>
          <w:kern w:val="0"/>
          <w:shd w:val="clear" w:color="auto" w:fill="FFFFFF"/>
          <w14:ligatures w14:val="none"/>
        </w:rPr>
        <w:t>, et al., 2025)</w:t>
      </w:r>
    </w:p>
    <w:p w14:paraId="0A44EE9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Globalization acts as a critical driver for digital enterprise, accelerating technology adoption and enabling instant, boundary-less operations</w:t>
      </w:r>
      <w:r w:rsidRPr="00CA26B4">
        <w:rPr>
          <w:rFonts w:ascii="Times New Roman" w:eastAsia="Calibri" w:hAnsi="Times New Roman" w:cs="Times New Roman"/>
          <w:color w:val="0A0A0A"/>
          <w:kern w:val="0"/>
          <w:shd w:val="clear" w:color="auto" w:fill="FFFFFF"/>
          <w14:ligatures w14:val="none"/>
        </w:rPr>
        <w:t xml:space="preserve">. It fosters the rise of "born digital" firms that scale globally from inception, enhancing organizational performance through international knowledge spillovers, reduced transaction costs, and access to new markets </w:t>
      </w:r>
      <w:r w:rsidRPr="00CA26B4">
        <w:rPr>
          <w:rFonts w:ascii="Times New Roman" w:eastAsia="Calibri" w:hAnsi="Times New Roman" w:cs="Times New Roman"/>
          <w:kern w:val="0"/>
          <w14:ligatures w14:val="none"/>
        </w:rPr>
        <w:t>(</w:t>
      </w:r>
      <w:r w:rsidRPr="00CA26B4">
        <w:rPr>
          <w:rFonts w:ascii="Times New Roman" w:eastAsia="Times New Roman" w:hAnsi="Times New Roman" w:cs="Times New Roman"/>
          <w:color w:val="000000"/>
          <w:kern w:val="0"/>
          <w14:ligatures w14:val="none"/>
        </w:rPr>
        <w:t>Skare &amp; Soriano, 2021).</w:t>
      </w:r>
    </w:p>
    <w:p w14:paraId="1181484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The advent of Information and Communication Technologies (ICT) and digital tools </w:t>
      </w:r>
      <w:proofErr w:type="gramStart"/>
      <w:r w:rsidRPr="00CA26B4">
        <w:rPr>
          <w:rFonts w:ascii="Times New Roman" w:eastAsia="Times New Roman" w:hAnsi="Times New Roman" w:cs="Times New Roman"/>
          <w:kern w:val="0"/>
          <w14:ligatures w14:val="none"/>
        </w:rPr>
        <w:t>has</w:t>
      </w:r>
      <w:proofErr w:type="gramEnd"/>
      <w:r w:rsidRPr="00CA26B4">
        <w:rPr>
          <w:rFonts w:ascii="Times New Roman" w:eastAsia="Times New Roman" w:hAnsi="Times New Roman" w:cs="Times New Roman"/>
          <w:kern w:val="0"/>
          <w14:ligatures w14:val="none"/>
        </w:rPr>
        <w:t xml:space="preserve"> acted as the primary catalyst for modern globalization, transforming it from a process driven by physical trade to one powered by digital connectivity</w:t>
      </w:r>
      <w:r w:rsidRPr="00CA26B4">
        <w:rPr>
          <w:rFonts w:ascii="Times New Roman" w:eastAsia="Calibri" w:hAnsi="Times New Roman" w:cs="Times New Roman"/>
          <w:color w:val="0A0A0A"/>
          <w:kern w:val="0"/>
          <w:shd w:val="clear" w:color="auto" w:fill="FFFFFF"/>
          <w14:ligatures w14:val="none"/>
        </w:rPr>
        <w:t>. By reducing the costs of searching for information, transmitting data, and coordinating remote activities, these technologies have effectively reduced geographical barriers and created a "global village" where business, communication, and cultural exchange happen in real-time. (</w:t>
      </w:r>
      <w:r w:rsidRPr="00CA26B4">
        <w:rPr>
          <w:rFonts w:ascii="Times New Roman" w:eastAsia="Arial" w:hAnsi="Times New Roman" w:cs="Times New Roman"/>
          <w:color w:val="0A0A0A"/>
          <w:kern w:val="0"/>
          <w:shd w:val="clear" w:color="auto" w:fill="FFFFFF"/>
          <w14:ligatures w14:val="none"/>
        </w:rPr>
        <w:t>(</w:t>
      </w:r>
      <w:r w:rsidRPr="00CA26B4">
        <w:rPr>
          <w:rFonts w:ascii="Times New Roman" w:eastAsia="Arial" w:hAnsi="Times New Roman" w:cs="Times New Roman"/>
          <w:color w:val="111111"/>
          <w:kern w:val="0"/>
          <w14:ligatures w14:val="none"/>
        </w:rPr>
        <w:t>Iqbal et al., 2025)</w:t>
      </w:r>
      <w:r w:rsidRPr="00CA26B4">
        <w:rPr>
          <w:rFonts w:ascii="Times New Roman" w:eastAsia="Calibri" w:hAnsi="Times New Roman" w:cs="Times New Roman"/>
          <w:color w:val="0A0A0A"/>
          <w:kern w:val="0"/>
          <w:shd w:val="clear" w:color="auto" w:fill="FFFFFF"/>
          <w14:ligatures w14:val="none"/>
        </w:rPr>
        <w:t xml:space="preserve"> </w:t>
      </w:r>
      <w:r w:rsidRPr="00CA26B4">
        <w:rPr>
          <w:rFonts w:ascii="Times New Roman" w:eastAsia="Times New Roman" w:hAnsi="Times New Roman" w:cs="Times New Roman"/>
          <w:kern w:val="0"/>
          <w14:ligatures w14:val="none"/>
        </w:rPr>
        <w:t>The need for a digital enterprise arises from the demand for increased speed, agility, and efficiency in a volatile market</w:t>
      </w:r>
      <w:r w:rsidRPr="00CA26B4">
        <w:rPr>
          <w:rFonts w:ascii="Times New Roman" w:eastAsia="Calibri" w:hAnsi="Times New Roman" w:cs="Times New Roman"/>
          <w:color w:val="0A0A0A"/>
          <w:kern w:val="0"/>
          <w:shd w:val="clear" w:color="auto" w:fill="FFFFFF"/>
          <w14:ligatures w14:val="none"/>
        </w:rPr>
        <w:t>. It utilizes integrated data and AI to connect physical and virtual processes, allowing businesses to optimize operations, enhance customer experience, reduce errors, and foster rapid innovation (</w:t>
      </w:r>
      <w:proofErr w:type="spellStart"/>
      <w:r w:rsidRPr="00CA26B4">
        <w:rPr>
          <w:rFonts w:ascii="Times New Roman" w:eastAsia="Segoe UI" w:hAnsi="Times New Roman" w:cs="Times New Roman"/>
          <w:kern w:val="0"/>
          <w:shd w:val="clear" w:color="auto" w:fill="FFFFFF"/>
          <w14:ligatures w14:val="none"/>
        </w:rPr>
        <w:t>Khazripour</w:t>
      </w:r>
      <w:proofErr w:type="spellEnd"/>
      <w:r w:rsidRPr="00CA26B4">
        <w:rPr>
          <w:rFonts w:ascii="Times New Roman" w:eastAsia="Segoe UI" w:hAnsi="Times New Roman" w:cs="Times New Roman"/>
          <w:kern w:val="0"/>
          <w:shd w:val="clear" w:color="auto" w:fill="FFFFFF"/>
          <w14:ligatures w14:val="none"/>
        </w:rPr>
        <w:t>, et al., 2025)</w:t>
      </w:r>
    </w:p>
    <w:p w14:paraId="27BDD110" w14:textId="77777777" w:rsidR="00CA26B4" w:rsidRPr="00CA26B4" w:rsidRDefault="00CA26B4" w:rsidP="002C3670">
      <w:pPr>
        <w:shd w:val="clear" w:color="auto" w:fill="FFFFFF"/>
        <w:spacing w:before="100" w:beforeAutospacing="1" w:after="0" w:line="240" w:lineRule="auto"/>
        <w:rPr>
          <w:rFonts w:ascii="Times New Roman" w:eastAsia="Times New Roman" w:hAnsi="Times New Roman" w:cs="Times New Roman"/>
          <w:b/>
          <w:bCs/>
          <w:color w:val="0A0A0A"/>
          <w:kern w:val="0"/>
          <w14:ligatures w14:val="none"/>
        </w:rPr>
      </w:pPr>
      <w:r w:rsidRPr="00CA26B4">
        <w:rPr>
          <w:rFonts w:ascii="Times New Roman" w:eastAsia="Times New Roman" w:hAnsi="Times New Roman" w:cs="Times New Roman"/>
          <w:b/>
          <w:bCs/>
          <w:color w:val="0A0A0A"/>
          <w:kern w:val="0"/>
          <w14:ligatures w14:val="none"/>
        </w:rPr>
        <w:t>Blockchain Accounting Practices</w:t>
      </w:r>
    </w:p>
    <w:p w14:paraId="380A186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A0A0A"/>
          <w:kern w:val="0"/>
          <w14:ligatures w14:val="none"/>
        </w:rPr>
      </w:pPr>
      <w:r w:rsidRPr="00CA26B4">
        <w:rPr>
          <w:rFonts w:ascii="Times New Roman" w:eastAsia="Times New Roman" w:hAnsi="Times New Roman" w:cs="Times New Roman"/>
          <w:kern w:val="0"/>
          <w14:ligatures w14:val="none"/>
        </w:rPr>
        <w:t>Blockchain accounting transforms traditional financial systems into transparent, immutable, and real-time distributed ledgers, significantly improving digital enterprise performance by reducing human error, lowering reconciliation costs, and enabling continuous auditing</w:t>
      </w:r>
      <w:r w:rsidRPr="00CA26B4">
        <w:rPr>
          <w:rFonts w:ascii="Times New Roman" w:eastAsia="Calibri" w:hAnsi="Times New Roman" w:cs="Times New Roman"/>
          <w:color w:val="0A0A0A"/>
          <w:kern w:val="0"/>
          <w:shd w:val="clear" w:color="auto" w:fill="FFFFFF"/>
          <w14:ligatures w14:val="none"/>
        </w:rPr>
        <w:t>. By integrating smart contracts, organizations can automate financial workflows, enhancing the speed and accuracy of financial reporting (</w:t>
      </w:r>
      <w:r w:rsidRPr="00CA26B4">
        <w:rPr>
          <w:rFonts w:ascii="Times New Roman" w:eastAsia="Arial" w:hAnsi="Times New Roman" w:cs="Times New Roman"/>
          <w:color w:val="0A0A0A"/>
          <w:kern w:val="0"/>
          <w:shd w:val="clear" w:color="auto" w:fill="FFFFFF"/>
          <w14:ligatures w14:val="none"/>
        </w:rPr>
        <w:t>(</w:t>
      </w:r>
      <w:r w:rsidRPr="00CA26B4">
        <w:rPr>
          <w:rFonts w:ascii="Times New Roman" w:eastAsia="Arial" w:hAnsi="Times New Roman" w:cs="Times New Roman"/>
          <w:color w:val="111111"/>
          <w:kern w:val="0"/>
          <w14:ligatures w14:val="none"/>
        </w:rPr>
        <w:t xml:space="preserve">Iqbal et al., 2025). </w:t>
      </w:r>
      <w:r w:rsidRPr="00CA26B4">
        <w:rPr>
          <w:rFonts w:ascii="Times New Roman" w:eastAsia="SimSun" w:hAnsi="Times New Roman" w:cs="Times New Roman"/>
          <w:kern w:val="0"/>
          <w14:ligatures w14:val="none"/>
        </w:rPr>
        <w:t>Blockchain accounting practices involve using decentralized, immutable, and distributed ledger technology to record, verify, and report financial transactions in real-time</w:t>
      </w:r>
      <w:r w:rsidRPr="00CA26B4">
        <w:rPr>
          <w:rFonts w:ascii="Times New Roman" w:eastAsia="Arial" w:hAnsi="Times New Roman" w:cs="Times New Roman"/>
          <w:color w:val="0A0A0A"/>
          <w:kern w:val="0"/>
          <w:shd w:val="clear" w:color="auto" w:fill="FFFFFF"/>
          <w14:ligatures w14:val="none"/>
        </w:rPr>
        <w:t xml:space="preserve">. It replaces traditional, manual, and centralized bookkeeping with automated, transparent, and secure digital ledgers. This approach reduces errors, simplifies reconciliation, enables continuous auditing, and strengthens data integrity (Taylor, 2024). </w:t>
      </w:r>
      <w:r w:rsidRPr="00CA26B4">
        <w:rPr>
          <w:rFonts w:ascii="Times New Roman" w:eastAsia="Times New Roman" w:hAnsi="Times New Roman" w:cs="Times New Roman"/>
          <w:color w:val="0A0A0A"/>
          <w:kern w:val="0"/>
          <w14:ligatures w14:val="none"/>
        </w:rPr>
        <w:t>Typically, blockchain is used in accounting to revolutionize traditional bookkeeping by providing immutable, real-time, and transparent financial records, reducing fraud, and automating reconciliations. It enables "triple-entry bookkeeping," where transactions are verified by a network, streamlining auditing processes and lowering operational costs (Julius, 2025).</w:t>
      </w:r>
    </w:p>
    <w:p w14:paraId="7657B74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bCs/>
          <w:color w:val="0A0A0A"/>
          <w:kern w:val="0"/>
          <w14:ligatures w14:val="none"/>
        </w:rPr>
      </w:pPr>
      <w:r w:rsidRPr="00CA26B4">
        <w:rPr>
          <w:rFonts w:ascii="Times New Roman" w:eastAsia="Times New Roman" w:hAnsi="Times New Roman" w:cs="Times New Roman"/>
          <w:b/>
          <w:bCs/>
          <w:color w:val="0A0A0A"/>
          <w:kern w:val="0"/>
          <w14:ligatures w14:val="none"/>
        </w:rPr>
        <w:t>Components of Blockchain Accounting Practices</w:t>
      </w:r>
    </w:p>
    <w:p w14:paraId="1E1E3885" w14:textId="77777777" w:rsidR="00CA26B4" w:rsidRPr="00CA26B4" w:rsidRDefault="00CA26B4" w:rsidP="002C3670">
      <w:pPr>
        <w:spacing w:before="100" w:beforeAutospacing="1" w:after="200" w:line="240" w:lineRule="auto"/>
        <w:jc w:val="both"/>
        <w:rPr>
          <w:rFonts w:ascii="Times New Roman" w:eastAsia="Calibri" w:hAnsi="Times New Roman" w:cs="Times New Roman"/>
          <w:color w:val="0A0A0A"/>
          <w:kern w:val="0"/>
          <w:shd w:val="clear" w:color="auto" w:fill="FFFFFF"/>
          <w14:ligatures w14:val="none"/>
        </w:rPr>
      </w:pPr>
      <w:r w:rsidRPr="00CA26B4">
        <w:rPr>
          <w:rFonts w:ascii="Times New Roman" w:eastAsia="SimSun" w:hAnsi="Times New Roman" w:cs="Times New Roman"/>
          <w:kern w:val="0"/>
          <w14:ligatures w14:val="none"/>
        </w:rPr>
        <w:t>Blockchain accounting practices represent a shift from traditional, centralized bookkeeping to a decentralized, transparent, and immutable system of recording financial transactions (Taylor, 2024)</w:t>
      </w:r>
      <w:r w:rsidRPr="00CA26B4">
        <w:rPr>
          <w:rFonts w:ascii="Times New Roman" w:eastAsia="Arial" w:hAnsi="Times New Roman" w:cs="Times New Roman"/>
          <w:color w:val="0A0A0A"/>
          <w:kern w:val="0"/>
          <w:shd w:val="clear" w:color="auto" w:fill="FFFFFF"/>
          <w14:ligatures w14:val="none"/>
        </w:rPr>
        <w:t xml:space="preserve">. It integrates advanced technologies to automate, secure, and streamline financial processes, often described as "triple-entry" accounting. Specifically, blockchain accounting comprise of </w:t>
      </w:r>
      <w:r w:rsidRPr="00CA26B4">
        <w:rPr>
          <w:rFonts w:ascii="Times New Roman" w:eastAsia="Poppins" w:hAnsi="Times New Roman" w:cs="Times New Roman"/>
          <w:color w:val="000000"/>
          <w:kern w:val="0"/>
          <w:shd w:val="clear" w:color="auto" w:fill="FFFFFF"/>
          <w14:ligatures w14:val="none"/>
        </w:rPr>
        <w:t>triple-entry accounting, continuous auditing, real-time accounting, and smart contracts to prevent manual errors and cybercrimes in order to function optimally (</w:t>
      </w:r>
      <w:r w:rsidRPr="00CA26B4">
        <w:rPr>
          <w:rFonts w:ascii="Times New Roman" w:eastAsia="SimSun" w:hAnsi="Times New Roman" w:cs="Times New Roman"/>
          <w:kern w:val="0"/>
          <w14:ligatures w14:val="none"/>
        </w:rPr>
        <w:t xml:space="preserve">Julius, 2025). however, for the purpose of this study, </w:t>
      </w:r>
      <w:r w:rsidRPr="00CA26B4">
        <w:rPr>
          <w:rFonts w:ascii="Times New Roman" w:eastAsia="Poppins" w:hAnsi="Times New Roman" w:cs="Times New Roman"/>
          <w:color w:val="000000"/>
          <w:kern w:val="0"/>
          <w:shd w:val="clear" w:color="auto" w:fill="FFFFFF"/>
          <w14:ligatures w14:val="none"/>
        </w:rPr>
        <w:t xml:space="preserve">triple-entry accounting and real-time accounting are adopted as the proxies </w:t>
      </w:r>
      <w:proofErr w:type="gramStart"/>
      <w:r w:rsidRPr="00CA26B4">
        <w:rPr>
          <w:rFonts w:ascii="Times New Roman" w:eastAsia="Poppins" w:hAnsi="Times New Roman" w:cs="Times New Roman"/>
          <w:color w:val="000000"/>
          <w:kern w:val="0"/>
          <w:shd w:val="clear" w:color="auto" w:fill="FFFFFF"/>
          <w14:ligatures w14:val="none"/>
        </w:rPr>
        <w:t>of  blockchain</w:t>
      </w:r>
      <w:proofErr w:type="gramEnd"/>
      <w:r w:rsidRPr="00CA26B4">
        <w:rPr>
          <w:rFonts w:ascii="Times New Roman" w:eastAsia="Poppins" w:hAnsi="Times New Roman" w:cs="Times New Roman"/>
          <w:color w:val="000000"/>
          <w:kern w:val="0"/>
          <w:shd w:val="clear" w:color="auto" w:fill="FFFFFF"/>
          <w14:ligatures w14:val="none"/>
        </w:rPr>
        <w:t xml:space="preserve"> accounting practices.  They are explained below.</w:t>
      </w:r>
    </w:p>
    <w:p w14:paraId="086AFC32" w14:textId="77777777" w:rsidR="00CA26B4" w:rsidRPr="00CA26B4" w:rsidRDefault="00CA26B4" w:rsidP="002C3670">
      <w:pPr>
        <w:spacing w:before="100" w:beforeAutospacing="1" w:after="200" w:line="240" w:lineRule="auto"/>
        <w:jc w:val="both"/>
        <w:rPr>
          <w:rFonts w:ascii="Times New Roman" w:eastAsia="Poppins" w:hAnsi="Times New Roman" w:cs="Times New Roman"/>
          <w:b/>
          <w:bCs/>
          <w:color w:val="000000"/>
          <w:kern w:val="0"/>
          <w:shd w:val="clear" w:color="auto" w:fill="FFFFFF"/>
          <w14:ligatures w14:val="none"/>
        </w:rPr>
      </w:pPr>
      <w:r w:rsidRPr="00CA26B4">
        <w:rPr>
          <w:rFonts w:ascii="Times New Roman" w:eastAsia="Poppins" w:hAnsi="Times New Roman" w:cs="Times New Roman"/>
          <w:b/>
          <w:bCs/>
          <w:color w:val="000000"/>
          <w:kern w:val="0"/>
          <w:shd w:val="clear" w:color="auto" w:fill="FFFFFF"/>
          <w14:ligatures w14:val="none"/>
        </w:rPr>
        <w:t xml:space="preserve">Triple-Entry Accounting </w:t>
      </w:r>
    </w:p>
    <w:p w14:paraId="0B59AE48" w14:textId="77777777" w:rsidR="00CA26B4" w:rsidRPr="00CA26B4" w:rsidRDefault="00CA26B4" w:rsidP="002C3670">
      <w:pPr>
        <w:spacing w:before="100" w:beforeAutospacing="1" w:after="200" w:line="240" w:lineRule="auto"/>
        <w:jc w:val="both"/>
        <w:rPr>
          <w:rFonts w:ascii="Times New Roman" w:eastAsia="Arial" w:hAnsi="Times New Roman" w:cs="Times New Roman"/>
          <w:color w:val="0A0A0A"/>
          <w:kern w:val="0"/>
          <w:shd w:val="clear" w:color="auto" w:fill="FFFFFF"/>
          <w14:ligatures w14:val="none"/>
        </w:rPr>
      </w:pPr>
      <w:r w:rsidRPr="00CA26B4">
        <w:rPr>
          <w:rFonts w:ascii="Times New Roman" w:eastAsia="Arial" w:hAnsi="Times New Roman" w:cs="Times New Roman"/>
          <w:color w:val="0A0A0A"/>
          <w:kern w:val="0"/>
          <w:shd w:val="clear" w:color="auto" w:fill="FFFFFF"/>
          <w14:ligatures w14:val="none"/>
        </w:rPr>
        <w:t xml:space="preserve">Triple-entry accounting is an enhancement of traditional double entry bookkeeping where transactions are cryptographically sealed and recorded on a shared, immutable ledger (such as a blockchain) (Julius, 2025). It adds a third entry, a digitally signed, automated receipt to the standard debit and credit entries, creating a tamper-proof audit trail that increases transparency and trust between parties (Taylor, 2024). </w:t>
      </w:r>
      <w:r w:rsidRPr="00CA26B4">
        <w:rPr>
          <w:rFonts w:ascii="Times New Roman" w:eastAsia="SimSun" w:hAnsi="Times New Roman" w:cs="Times New Roman"/>
          <w:kern w:val="0"/>
          <w14:ligatures w14:val="none"/>
        </w:rPr>
        <w:t xml:space="preserve">Triple-entry accounting enhances traditional double-entry systems by using blockchain technology to create an immutable, timestamped </w:t>
      </w:r>
      <w:r w:rsidRPr="00CA26B4">
        <w:rPr>
          <w:rFonts w:ascii="Times New Roman" w:eastAsia="SimSun" w:hAnsi="Times New Roman" w:cs="Times New Roman"/>
          <w:kern w:val="0"/>
          <w14:ligatures w14:val="none"/>
        </w:rPr>
        <w:lastRenderedPageBreak/>
        <w:t>"third entry" (a cryptographically sealed, shared record)</w:t>
      </w:r>
      <w:r w:rsidRPr="00CA26B4">
        <w:rPr>
          <w:rFonts w:ascii="Times New Roman" w:eastAsia="Arial" w:hAnsi="Times New Roman" w:cs="Times New Roman"/>
          <w:color w:val="0A0A0A"/>
          <w:kern w:val="0"/>
          <w:shd w:val="clear" w:color="auto" w:fill="FFFFFF"/>
          <w14:ligatures w14:val="none"/>
        </w:rPr>
        <w:t>. It is used to dramatically improve transparency, automate verification, eliminate the need for reconciliations, and reduce fraud by creating a shared, trustworthy audit trail between parties (Julius, 2025).</w:t>
      </w:r>
    </w:p>
    <w:p w14:paraId="0A7FC8C4" w14:textId="77777777" w:rsidR="00CA26B4" w:rsidRPr="00CA26B4" w:rsidRDefault="00CA26B4" w:rsidP="002C3670">
      <w:pPr>
        <w:spacing w:before="100" w:beforeAutospacing="1" w:after="200" w:line="240" w:lineRule="auto"/>
        <w:jc w:val="both"/>
        <w:rPr>
          <w:rFonts w:ascii="Times New Roman" w:eastAsia="Poppins" w:hAnsi="Times New Roman" w:cs="Times New Roman"/>
          <w:b/>
          <w:bCs/>
          <w:color w:val="000000"/>
          <w:kern w:val="0"/>
          <w:shd w:val="clear" w:color="auto" w:fill="FFFFFF"/>
          <w14:ligatures w14:val="none"/>
        </w:rPr>
      </w:pPr>
      <w:r w:rsidRPr="00CA26B4">
        <w:rPr>
          <w:rFonts w:ascii="Times New Roman" w:eastAsia="Poppins" w:hAnsi="Times New Roman" w:cs="Times New Roman"/>
          <w:b/>
          <w:bCs/>
          <w:color w:val="000000"/>
          <w:kern w:val="0"/>
          <w:shd w:val="clear" w:color="auto" w:fill="FFFFFF"/>
          <w14:ligatures w14:val="none"/>
        </w:rPr>
        <w:t>Real-Time Accounting</w:t>
      </w:r>
    </w:p>
    <w:p w14:paraId="6345BB0D" w14:textId="77777777" w:rsidR="00CA26B4" w:rsidRPr="00CA26B4" w:rsidRDefault="00CA26B4" w:rsidP="002C3670">
      <w:pPr>
        <w:spacing w:before="100" w:beforeAutospacing="1" w:after="200" w:line="240" w:lineRule="auto"/>
        <w:jc w:val="both"/>
        <w:rPr>
          <w:rFonts w:ascii="Times New Roman" w:eastAsia="Arial" w:hAnsi="Times New Roman" w:cs="Times New Roman"/>
          <w:color w:val="0A0A0A"/>
          <w:kern w:val="0"/>
          <w:shd w:val="clear" w:color="auto" w:fill="FFFFFF"/>
          <w14:ligatures w14:val="none"/>
        </w:rPr>
      </w:pPr>
      <w:r w:rsidRPr="00CA26B4">
        <w:rPr>
          <w:rFonts w:ascii="Times New Roman" w:eastAsia="SimSun" w:hAnsi="Times New Roman" w:cs="Times New Roman"/>
          <w:kern w:val="0"/>
          <w14:ligatures w14:val="none"/>
        </w:rPr>
        <w:t>Real-time accounting is the continuous, automated capture and reporting of financial data</w:t>
      </w:r>
      <w:r w:rsidRPr="00CA26B4">
        <w:rPr>
          <w:rFonts w:ascii="Times New Roman" w:eastAsia="Arial" w:hAnsi="Times New Roman" w:cs="Times New Roman"/>
          <w:color w:val="0A0A0A"/>
          <w:kern w:val="0"/>
          <w:shd w:val="clear" w:color="auto" w:fill="FFFFFF"/>
          <w14:ligatures w14:val="none"/>
        </w:rPr>
        <w:t xml:space="preserve">, allowing businesses to access up-to-the-minute financial health information via cloud technology rather than waiting for monthly or quarterly reports (Taylor, 2024). It automates bank reconciliations, expense categorization, and invoicing, replacing traditional batch processing with immediate, accurate, and accessible data ((Julius, 2025). </w:t>
      </w:r>
      <w:r w:rsidRPr="00CA26B4">
        <w:rPr>
          <w:rFonts w:ascii="Times New Roman" w:eastAsia="SimSun" w:hAnsi="Times New Roman" w:cs="Times New Roman"/>
          <w:kern w:val="0"/>
          <w14:ligatures w14:val="none"/>
        </w:rPr>
        <w:t>Real-time accounting provides instant access to up-to-date financial data, enabling faster, informed decision-making, improved cash flow management, and increased accuracy through automated, cloud-based systems</w:t>
      </w:r>
      <w:r w:rsidRPr="00CA26B4">
        <w:rPr>
          <w:rFonts w:ascii="Times New Roman" w:eastAsia="Arial" w:hAnsi="Times New Roman" w:cs="Times New Roman"/>
          <w:color w:val="0A0A0A"/>
          <w:kern w:val="0"/>
          <w:shd w:val="clear" w:color="auto" w:fill="FFFFFF"/>
          <w14:ligatures w14:val="none"/>
        </w:rPr>
        <w:t>. It replaces traditional lagging reports with live insights, allowing businesses to react swiftly to market changes, enhance collaboration, and ensure security (Julius, 2025).</w:t>
      </w:r>
    </w:p>
    <w:p w14:paraId="0525D63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b/>
          <w:kern w:val="0"/>
          <w14:ligatures w14:val="none"/>
        </w:rPr>
        <w:t>Digital Enterprise Performance</w:t>
      </w:r>
      <w:r w:rsidRPr="00CA26B4">
        <w:rPr>
          <w:rFonts w:ascii="Times New Roman" w:eastAsia="Times New Roman" w:hAnsi="Times New Roman" w:cs="Times New Roman"/>
          <w:kern w:val="0"/>
          <w14:ligatures w14:val="none"/>
        </w:rPr>
        <w:t xml:space="preserve"> </w:t>
      </w:r>
    </w:p>
    <w:p w14:paraId="1798A6F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SimSun" w:hAnsi="Times New Roman" w:cs="Times New Roman"/>
          <w:kern w:val="0"/>
          <w14:ligatures w14:val="none"/>
        </w:rPr>
        <w:t>A digital enterprise is necessary to remain competitive, agile, and customer-centric by merging virtual and real-world operations using data, automation, and AI</w:t>
      </w:r>
      <w:r w:rsidRPr="00CA26B4">
        <w:rPr>
          <w:rFonts w:ascii="Times New Roman" w:eastAsia="Arial" w:hAnsi="Times New Roman" w:cs="Times New Roman"/>
          <w:color w:val="0A0A0A"/>
          <w:kern w:val="0"/>
          <w:shd w:val="clear" w:color="auto" w:fill="FFFFFF"/>
          <w14:ligatures w14:val="none"/>
        </w:rPr>
        <w:t xml:space="preserve">. It drives growth by accelerating product development, reducing operational costs, and providing personalized customer experiences. This transformation enables rapid adaptation to market </w:t>
      </w:r>
      <w:proofErr w:type="gramStart"/>
      <w:r w:rsidRPr="00CA26B4">
        <w:rPr>
          <w:rFonts w:ascii="Times New Roman" w:eastAsia="Arial" w:hAnsi="Times New Roman" w:cs="Times New Roman"/>
          <w:color w:val="0A0A0A"/>
          <w:kern w:val="0"/>
          <w:shd w:val="clear" w:color="auto" w:fill="FFFFFF"/>
          <w14:ligatures w14:val="none"/>
        </w:rPr>
        <w:t xml:space="preserve">shifts </w:t>
      </w:r>
      <w:r w:rsidRPr="00CA26B4">
        <w:rPr>
          <w:rFonts w:ascii="Times New Roman" w:eastAsia="Times New Roman" w:hAnsi="Times New Roman" w:cs="Times New Roman"/>
          <w:kern w:val="0"/>
          <w14:ligatures w14:val="none"/>
        </w:rPr>
        <w:t xml:space="preserve"> (</w:t>
      </w:r>
      <w:proofErr w:type="gramEnd"/>
      <w:r w:rsidRPr="00CA26B4">
        <w:rPr>
          <w:rFonts w:ascii="Times New Roman" w:eastAsia="Times New Roman" w:hAnsi="Times New Roman" w:cs="Times New Roman"/>
          <w:color w:val="1F1F1F"/>
          <w:kern w:val="0"/>
          <w14:ligatures w14:val="none"/>
        </w:rPr>
        <w:t xml:space="preserve">Jie, </w:t>
      </w:r>
      <w:proofErr w:type="spellStart"/>
      <w:r w:rsidRPr="00CA26B4">
        <w:rPr>
          <w:rFonts w:ascii="Times New Roman" w:eastAsia="Times New Roman" w:hAnsi="Times New Roman" w:cs="Times New Roman"/>
          <w:color w:val="1F1F1F"/>
          <w:kern w:val="0"/>
          <w14:ligatures w14:val="none"/>
        </w:rPr>
        <w:t>Gooi</w:t>
      </w:r>
      <w:proofErr w:type="spellEnd"/>
      <w:r w:rsidRPr="00CA26B4">
        <w:rPr>
          <w:rFonts w:ascii="Times New Roman" w:eastAsia="Times New Roman" w:hAnsi="Times New Roman" w:cs="Times New Roman"/>
          <w:color w:val="1F1F1F"/>
          <w:kern w:val="0"/>
          <w14:ligatures w14:val="none"/>
        </w:rPr>
        <w:t xml:space="preserve"> &amp; Lou, 2025)</w:t>
      </w:r>
      <w:r w:rsidRPr="00CA26B4">
        <w:rPr>
          <w:rFonts w:ascii="Times New Roman" w:eastAsia="Arial" w:hAnsi="Times New Roman" w:cs="Times New Roman"/>
          <w:color w:val="0A0A0A"/>
          <w:kern w:val="0"/>
          <w:shd w:val="clear" w:color="auto" w:fill="FFFFFF"/>
          <w14:ligatures w14:val="none"/>
        </w:rPr>
        <w:t xml:space="preserve">. </w:t>
      </w:r>
      <w:r w:rsidRPr="00CA26B4">
        <w:rPr>
          <w:rFonts w:ascii="Times New Roman" w:eastAsia="Times New Roman" w:hAnsi="Times New Roman" w:cs="Times New Roman"/>
          <w:kern w:val="0"/>
          <w14:ligatures w14:val="none"/>
        </w:rPr>
        <w:t xml:space="preserve">The need for a </w:t>
      </w:r>
      <w:proofErr w:type="gramStart"/>
      <w:r w:rsidRPr="00CA26B4">
        <w:rPr>
          <w:rFonts w:ascii="Times New Roman" w:eastAsia="Times New Roman" w:hAnsi="Times New Roman" w:cs="Times New Roman"/>
          <w:kern w:val="0"/>
          <w14:ligatures w14:val="none"/>
        </w:rPr>
        <w:t>digital enterprise stems</w:t>
      </w:r>
      <w:proofErr w:type="gramEnd"/>
      <w:r w:rsidRPr="00CA26B4">
        <w:rPr>
          <w:rFonts w:ascii="Times New Roman" w:eastAsia="Times New Roman" w:hAnsi="Times New Roman" w:cs="Times New Roman"/>
          <w:kern w:val="0"/>
          <w14:ligatures w14:val="none"/>
        </w:rPr>
        <w:t xml:space="preserve"> from the necessity to remain competitive, agile, and efficient in a fast-paced market by using technologies like AI, IoT, and cloud computing </w:t>
      </w:r>
      <w:r w:rsidRPr="00CA26B4">
        <w:rPr>
          <w:rFonts w:ascii="Times New Roman" w:eastAsia="Calibri" w:hAnsi="Times New Roman" w:cs="Times New Roman"/>
          <w:kern w:val="0"/>
          <w14:ligatures w14:val="none"/>
        </w:rPr>
        <w:t>(</w:t>
      </w:r>
      <w:r w:rsidRPr="00CA26B4">
        <w:rPr>
          <w:rFonts w:ascii="Times New Roman" w:eastAsia="Times New Roman" w:hAnsi="Times New Roman" w:cs="Times New Roman"/>
          <w:color w:val="000000"/>
          <w:kern w:val="0"/>
          <w14:ligatures w14:val="none"/>
        </w:rPr>
        <w:t>Skare &amp; Soriano, 2021)</w:t>
      </w:r>
      <w:r w:rsidRPr="00CA26B4">
        <w:rPr>
          <w:rFonts w:ascii="Times New Roman" w:eastAsia="Calibri" w:hAnsi="Times New Roman" w:cs="Times New Roman"/>
          <w:color w:val="0A0A0A"/>
          <w:kern w:val="0"/>
          <w:shd w:val="clear" w:color="auto" w:fill="FFFFFF"/>
          <w14:ligatures w14:val="none"/>
        </w:rPr>
        <w:t>. It enables faster, more personalized product delivery, optimizes operations through digital twins, reduces costs, and enhances decision-making through actionable data, driving overall innovation and growth (Gupta et al, 2023)</w:t>
      </w:r>
    </w:p>
    <w:p w14:paraId="5649620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b/>
          <w:kern w:val="0"/>
          <w14:ligatures w14:val="none"/>
        </w:rPr>
        <w:t>Measures of Digital Enterprise Performance</w:t>
      </w:r>
    </w:p>
    <w:p w14:paraId="5841ED99" w14:textId="77777777" w:rsidR="00CA26B4" w:rsidRPr="00CA26B4" w:rsidRDefault="00CA26B4" w:rsidP="002C3670">
      <w:pPr>
        <w:spacing w:before="100" w:beforeAutospacing="1" w:after="200" w:line="240" w:lineRule="auto"/>
        <w:jc w:val="both"/>
        <w:rPr>
          <w:rFonts w:ascii="Times New Roman" w:eastAsia="Calibri" w:hAnsi="Times New Roman" w:cs="Times New Roman"/>
          <w:color w:val="0A0A0A"/>
          <w:kern w:val="0"/>
          <w:shd w:val="clear" w:color="auto" w:fill="FFFFFF"/>
          <w14:ligatures w14:val="none"/>
        </w:rPr>
      </w:pPr>
      <w:r w:rsidRPr="00CA26B4">
        <w:rPr>
          <w:rFonts w:ascii="Times New Roman" w:eastAsia="Times New Roman" w:hAnsi="Times New Roman" w:cs="Times New Roman"/>
          <w:kern w:val="0"/>
          <w14:ligatures w14:val="none"/>
        </w:rPr>
        <w:t>The performance of a digital enterprise is primarily driven by its digital capabilities, strategic adoption of technologies (AI, cloud, data analytics), and organizational agility (</w:t>
      </w:r>
      <w:r w:rsidRPr="00CA26B4">
        <w:rPr>
          <w:rFonts w:ascii="Times New Roman" w:eastAsia="Times New Roman" w:hAnsi="Times New Roman" w:cs="Times New Roman"/>
          <w:color w:val="1F1F1F"/>
          <w:kern w:val="0"/>
          <w14:ligatures w14:val="none"/>
        </w:rPr>
        <w:t>Jie et al., 2025)</w:t>
      </w:r>
      <w:r w:rsidRPr="00CA26B4">
        <w:rPr>
          <w:rFonts w:ascii="Times New Roman" w:eastAsia="Calibri" w:hAnsi="Times New Roman" w:cs="Times New Roman"/>
          <w:color w:val="0A0A0A"/>
          <w:kern w:val="0"/>
          <w:shd w:val="clear" w:color="auto" w:fill="FFFFFF"/>
          <w14:ligatures w14:val="none"/>
        </w:rPr>
        <w:t>. Key factors include robust IT infrastructure, skilled human resources, a culture conducive to change, and the ability to leverage data-driven insights for innovation and customer value (</w:t>
      </w:r>
      <w:r w:rsidRPr="00CA26B4">
        <w:rPr>
          <w:rFonts w:ascii="Times New Roman" w:eastAsia="Times New Roman" w:hAnsi="Times New Roman" w:cs="Times New Roman"/>
          <w:color w:val="1F1F1F"/>
          <w:kern w:val="0"/>
          <w14:ligatures w14:val="none"/>
        </w:rPr>
        <w:t xml:space="preserve">Jie et al., 2025). </w:t>
      </w:r>
      <w:r w:rsidRPr="00CA26B4">
        <w:rPr>
          <w:rFonts w:ascii="Times New Roman" w:eastAsia="Times New Roman" w:hAnsi="Times New Roman" w:cs="Times New Roman"/>
          <w:kern w:val="0"/>
          <w14:ligatures w14:val="none"/>
        </w:rPr>
        <w:t>Digital enterprise performance is measured through a blend of financial, operational, and customer-centric key performance indicators (KPIs) (Andrew, 2024). Key metrics include ROI on digital investments, digital adoption rates, operational efficiency (process speed/automation), customer satisfaction, employee engagement, and system uptime (</w:t>
      </w:r>
      <w:proofErr w:type="spellStart"/>
      <w:r w:rsidRPr="00CA26B4">
        <w:rPr>
          <w:rFonts w:ascii="Times New Roman" w:eastAsia="SimSun" w:hAnsi="Times New Roman" w:cs="Times New Roman"/>
          <w:kern w:val="0"/>
          <w14:ligatures w14:val="none"/>
        </w:rPr>
        <w:t>Prising</w:t>
      </w:r>
      <w:proofErr w:type="spellEnd"/>
      <w:r w:rsidRPr="00CA26B4">
        <w:rPr>
          <w:rFonts w:ascii="Times New Roman" w:eastAsia="SimSun" w:hAnsi="Times New Roman" w:cs="Times New Roman"/>
          <w:kern w:val="0"/>
          <w14:ligatures w14:val="none"/>
        </w:rPr>
        <w:t>, Sorenson &amp; Weinel, 2019; Andrew, 2024)</w:t>
      </w:r>
      <w:r w:rsidRPr="00CA26B4">
        <w:rPr>
          <w:rFonts w:ascii="Times New Roman" w:eastAsia="Calibri" w:hAnsi="Times New Roman" w:cs="Times New Roman"/>
          <w:color w:val="0A0A0A"/>
          <w:kern w:val="0"/>
          <w:shd w:val="clear" w:color="auto" w:fill="FFFFFF"/>
          <w14:ligatures w14:val="none"/>
        </w:rPr>
        <w:t>. Successful digital transformation requires tracking both technical milestones and business value creation (</w:t>
      </w:r>
      <w:r w:rsidRPr="00CA26B4">
        <w:rPr>
          <w:rFonts w:ascii="Times New Roman" w:eastAsia="SimSun" w:hAnsi="Times New Roman" w:cs="Times New Roman"/>
          <w:kern w:val="0"/>
          <w14:ligatures w14:val="none"/>
        </w:rPr>
        <w:t>Andrew, 2024)</w:t>
      </w:r>
      <w:r w:rsidRPr="00CA26B4">
        <w:rPr>
          <w:rFonts w:ascii="Times New Roman" w:eastAsia="Calibri" w:hAnsi="Times New Roman" w:cs="Times New Roman"/>
          <w:color w:val="0A0A0A"/>
          <w:kern w:val="0"/>
          <w:shd w:val="clear" w:color="auto" w:fill="FFFFFF"/>
          <w14:ligatures w14:val="none"/>
        </w:rPr>
        <w:t xml:space="preserve">. </w:t>
      </w:r>
    </w:p>
    <w:p w14:paraId="7444DE9F"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color w:val="0A0A0A"/>
          <w:kern w:val="0"/>
          <w:shd w:val="clear" w:color="auto" w:fill="FFFFFF"/>
          <w14:ligatures w14:val="none"/>
        </w:rPr>
        <w:t xml:space="preserve">However, </w:t>
      </w:r>
      <w:proofErr w:type="spellStart"/>
      <w:r w:rsidRPr="00CA26B4">
        <w:rPr>
          <w:rFonts w:ascii="Times New Roman" w:eastAsia="SimSun" w:hAnsi="Times New Roman" w:cs="Times New Roman"/>
          <w:kern w:val="0"/>
          <w14:ligatures w14:val="none"/>
        </w:rPr>
        <w:t>Prising</w:t>
      </w:r>
      <w:proofErr w:type="spellEnd"/>
      <w:r w:rsidRPr="00CA26B4">
        <w:rPr>
          <w:rFonts w:ascii="Times New Roman" w:eastAsia="SimSun" w:hAnsi="Times New Roman" w:cs="Times New Roman"/>
          <w:kern w:val="0"/>
          <w14:ligatures w14:val="none"/>
        </w:rPr>
        <w:t xml:space="preserve">, Sorenson &amp; Weinel (2019) noted that </w:t>
      </w:r>
      <w:r w:rsidRPr="00CA26B4">
        <w:rPr>
          <w:rFonts w:ascii="Times New Roman" w:eastAsia="Calibri" w:hAnsi="Times New Roman" w:cs="Times New Roman"/>
          <w:kern w:val="0"/>
          <w14:ligatures w14:val="none"/>
        </w:rPr>
        <w:t xml:space="preserve">digital enterprise performance can be measured through digital return on investment, active user rates, operational efficiency and customer satisfaction scores.  For the purpose of this </w:t>
      </w:r>
      <w:proofErr w:type="gramStart"/>
      <w:r w:rsidRPr="00CA26B4">
        <w:rPr>
          <w:rFonts w:ascii="Times New Roman" w:eastAsia="Calibri" w:hAnsi="Times New Roman" w:cs="Times New Roman"/>
          <w:kern w:val="0"/>
          <w14:ligatures w14:val="none"/>
        </w:rPr>
        <w:t>study,  digital</w:t>
      </w:r>
      <w:proofErr w:type="gramEnd"/>
      <w:r w:rsidRPr="00CA26B4">
        <w:rPr>
          <w:rFonts w:ascii="Times New Roman" w:eastAsia="Calibri" w:hAnsi="Times New Roman" w:cs="Times New Roman"/>
          <w:kern w:val="0"/>
          <w14:ligatures w14:val="none"/>
        </w:rPr>
        <w:t xml:space="preserve"> return on investment and operational efficiency are adopted as the measures of digital enterprise performance. </w:t>
      </w:r>
    </w:p>
    <w:p w14:paraId="111D640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bCs/>
          <w:color w:val="0A0A0A"/>
          <w:kern w:val="0"/>
          <w:shd w:val="clear" w:color="auto" w:fill="FFFFFF"/>
          <w14:ligatures w14:val="none"/>
        </w:rPr>
      </w:pPr>
      <w:r w:rsidRPr="00CA26B4">
        <w:rPr>
          <w:rFonts w:ascii="Times New Roman" w:eastAsia="Times New Roman" w:hAnsi="Times New Roman" w:cs="Times New Roman"/>
          <w:b/>
          <w:bCs/>
          <w:color w:val="0A0A0A"/>
          <w:kern w:val="0"/>
          <w:shd w:val="clear" w:color="auto" w:fill="FFFFFF"/>
          <w14:ligatures w14:val="none"/>
        </w:rPr>
        <w:t xml:space="preserve">Digital return on investment (ROI) </w:t>
      </w:r>
    </w:p>
    <w:p w14:paraId="2F92907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A0A0A"/>
          <w:kern w:val="0"/>
          <w:shd w:val="clear" w:color="auto" w:fill="FFFFFF"/>
          <w14:ligatures w14:val="none"/>
        </w:rPr>
      </w:pPr>
      <w:r w:rsidRPr="00CA26B4">
        <w:rPr>
          <w:rFonts w:ascii="Times New Roman" w:eastAsia="Times New Roman" w:hAnsi="Times New Roman" w:cs="Times New Roman"/>
          <w:color w:val="0A0A0A"/>
          <w:kern w:val="0"/>
          <w:shd w:val="clear" w:color="auto" w:fill="FFFFFF"/>
          <w14:ligatures w14:val="none"/>
        </w:rPr>
        <w:t xml:space="preserve">Digital return on investment (ROI) measures the profitability of digital marketing efforts by comparing net profit to total costs. It is net profit divided by total investment multiplied by 100. </w:t>
      </w:r>
      <w:r w:rsidRPr="00CA26B4">
        <w:rPr>
          <w:rFonts w:ascii="Times New Roman" w:eastAsia="Times New Roman" w:hAnsi="Times New Roman" w:cs="Times New Roman"/>
          <w:kern w:val="0"/>
          <w14:ligatures w14:val="none"/>
        </w:rPr>
        <w:t xml:space="preserve"> (</w:t>
      </w:r>
      <w:proofErr w:type="spellStart"/>
      <w:r w:rsidRPr="00CA26B4">
        <w:rPr>
          <w:rFonts w:ascii="Times New Roman" w:eastAsia="SimSun" w:hAnsi="Times New Roman" w:cs="Times New Roman"/>
          <w:kern w:val="0"/>
          <w14:ligatures w14:val="none"/>
        </w:rPr>
        <w:t>Prising</w:t>
      </w:r>
      <w:proofErr w:type="spellEnd"/>
      <w:r w:rsidRPr="00CA26B4">
        <w:rPr>
          <w:rFonts w:ascii="Times New Roman" w:eastAsia="SimSun" w:hAnsi="Times New Roman" w:cs="Times New Roman"/>
          <w:kern w:val="0"/>
          <w14:ligatures w14:val="none"/>
        </w:rPr>
        <w:t xml:space="preserve"> et al., 2019)</w:t>
      </w:r>
      <w:r w:rsidRPr="00CA26B4">
        <w:rPr>
          <w:rFonts w:ascii="Times New Roman" w:eastAsia="Times New Roman" w:hAnsi="Times New Roman" w:cs="Times New Roman"/>
          <w:kern w:val="0"/>
          <w14:ligatures w14:val="none"/>
        </w:rPr>
        <w:t>. Digital return on investment (Digital ROI) measures the value, efficiency gains, and financial returns generated from technology investments, such as software, automation, or digital marketing</w:t>
      </w:r>
      <w:r w:rsidRPr="00CA26B4">
        <w:rPr>
          <w:rFonts w:ascii="Times New Roman" w:eastAsia="Times New Roman" w:hAnsi="Times New Roman" w:cs="Times New Roman"/>
          <w:color w:val="0A0A0A"/>
          <w:kern w:val="0"/>
          <w:shd w:val="clear" w:color="auto" w:fill="FFFFFF"/>
          <w14:ligatures w14:val="none"/>
        </w:rPr>
        <w:t xml:space="preserve">. It calculates profitability by comparing the gains from digital initiatives against their total costs, including implementation, maintenance, and </w:t>
      </w:r>
      <w:r w:rsidRPr="00CA26B4">
        <w:rPr>
          <w:rFonts w:ascii="Times New Roman" w:eastAsia="Times New Roman" w:hAnsi="Times New Roman" w:cs="Times New Roman"/>
          <w:color w:val="0A0A0A"/>
          <w:kern w:val="0"/>
          <w:shd w:val="clear" w:color="auto" w:fill="FFFFFF"/>
          <w14:ligatures w14:val="none"/>
        </w:rPr>
        <w:lastRenderedPageBreak/>
        <w:t xml:space="preserve">training. </w:t>
      </w:r>
      <w:r w:rsidRPr="00CA26B4">
        <w:rPr>
          <w:rFonts w:ascii="Times New Roman" w:eastAsia="Times New Roman" w:hAnsi="Times New Roman" w:cs="Times New Roman"/>
          <w:kern w:val="0"/>
          <w14:ligatures w14:val="none"/>
        </w:rPr>
        <w:t>Digital return on investment (ROI) is crucial because it measures the value created by technology adoption, going beyond financial metrics to include increased operational efficiency, improved customer experience, and competitive advantage</w:t>
      </w:r>
      <w:r w:rsidRPr="00CA26B4">
        <w:rPr>
          <w:rFonts w:ascii="Times New Roman" w:eastAsia="Times New Roman" w:hAnsi="Times New Roman" w:cs="Times New Roman"/>
          <w:color w:val="0A0A0A"/>
          <w:kern w:val="0"/>
          <w:shd w:val="clear" w:color="auto" w:fill="FFFFFF"/>
          <w14:ligatures w14:val="none"/>
        </w:rPr>
        <w:t>. It justifies expenditures, optimizes business processes, and secures long-term sustainability by transforming manual workflows into automated systems (</w:t>
      </w:r>
      <w:r w:rsidRPr="00CA26B4">
        <w:rPr>
          <w:rFonts w:ascii="Times New Roman" w:eastAsia="SimSun" w:hAnsi="Times New Roman" w:cs="Times New Roman"/>
          <w:kern w:val="0"/>
          <w14:ligatures w14:val="none"/>
        </w:rPr>
        <w:t>Andrew, 2024)</w:t>
      </w:r>
      <w:r w:rsidRPr="00CA26B4">
        <w:rPr>
          <w:rFonts w:ascii="Times New Roman" w:eastAsia="Times New Roman" w:hAnsi="Times New Roman" w:cs="Times New Roman"/>
          <w:color w:val="0A0A0A"/>
          <w:kern w:val="0"/>
          <w:shd w:val="clear" w:color="auto" w:fill="FFFFFF"/>
          <w14:ligatures w14:val="none"/>
        </w:rPr>
        <w:t>. </w:t>
      </w:r>
    </w:p>
    <w:p w14:paraId="24BC3896"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bCs/>
          <w:kern w:val="0"/>
          <w14:ligatures w14:val="none"/>
        </w:rPr>
      </w:pPr>
      <w:r w:rsidRPr="00CA26B4">
        <w:rPr>
          <w:rFonts w:ascii="Times New Roman" w:eastAsia="Times New Roman" w:hAnsi="Times New Roman" w:cs="Times New Roman"/>
          <w:b/>
          <w:bCs/>
          <w:kern w:val="0"/>
          <w14:ligatures w14:val="none"/>
        </w:rPr>
        <w:t>Operational Efficiency</w:t>
      </w:r>
    </w:p>
    <w:p w14:paraId="63D39DC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A0A0A"/>
          <w:kern w:val="0"/>
          <w:shd w:val="clear" w:color="auto" w:fill="FFFFFF"/>
          <w14:ligatures w14:val="none"/>
        </w:rPr>
      </w:pPr>
      <w:r w:rsidRPr="00CA26B4">
        <w:rPr>
          <w:rFonts w:ascii="Times New Roman" w:eastAsia="Times New Roman" w:hAnsi="Times New Roman" w:cs="Times New Roman"/>
          <w:color w:val="0A0A0A"/>
          <w:kern w:val="0"/>
          <w:shd w:val="clear" w:color="auto" w:fill="FFFFFF"/>
          <w14:ligatures w14:val="none"/>
        </w:rPr>
        <w:t>Operational efficiency measures </w:t>
      </w:r>
      <w:r w:rsidRPr="00CA26B4">
        <w:rPr>
          <w:rFonts w:ascii="Times New Roman" w:eastAsia="Times New Roman" w:hAnsi="Times New Roman" w:cs="Times New Roman"/>
          <w:kern w:val="0"/>
          <w14:ligatures w14:val="none"/>
        </w:rPr>
        <w:t>evaluate how effectively a company converts inputs (labor, capital, materials) into outputs (products, revenue, service), aiming to maximize value while minimizing waste. It is operating expenses divided by total revenue and multiplied by 100 (</w:t>
      </w:r>
      <w:proofErr w:type="spellStart"/>
      <w:r w:rsidRPr="00CA26B4">
        <w:rPr>
          <w:rFonts w:ascii="Times New Roman" w:eastAsia="SimSun" w:hAnsi="Times New Roman" w:cs="Times New Roman"/>
          <w:kern w:val="0"/>
          <w14:ligatures w14:val="none"/>
        </w:rPr>
        <w:t>Prising</w:t>
      </w:r>
      <w:proofErr w:type="spellEnd"/>
      <w:r w:rsidRPr="00CA26B4">
        <w:rPr>
          <w:rFonts w:ascii="Times New Roman" w:eastAsia="SimSun" w:hAnsi="Times New Roman" w:cs="Times New Roman"/>
          <w:kern w:val="0"/>
          <w14:ligatures w14:val="none"/>
        </w:rPr>
        <w:t xml:space="preserve"> et al., 2019). </w:t>
      </w:r>
      <w:r w:rsidRPr="00CA26B4">
        <w:rPr>
          <w:rFonts w:ascii="Times New Roman" w:eastAsia="Times New Roman" w:hAnsi="Times New Roman" w:cs="Times New Roman"/>
          <w:kern w:val="0"/>
          <w14:ligatures w14:val="none"/>
        </w:rPr>
        <w:t>Operational efficiency is the ability of an organization to reduce waste (time, effort, materials) while delivering high-quality products or services</w:t>
      </w:r>
      <w:r w:rsidRPr="00CA26B4">
        <w:rPr>
          <w:rFonts w:ascii="Times New Roman" w:eastAsia="Times New Roman" w:hAnsi="Times New Roman" w:cs="Times New Roman"/>
          <w:color w:val="0A0A0A"/>
          <w:kern w:val="0"/>
          <w:shd w:val="clear" w:color="auto" w:fill="FFFFFF"/>
          <w14:ligatures w14:val="none"/>
        </w:rPr>
        <w:t>, essentially aiming to "do more with less." It measures the ratio of inputs (costs, labor) to outputs (revenue, products), optimizing processes to increase profitability, competitiveness, and customer satisfaction (</w:t>
      </w:r>
      <w:r w:rsidRPr="00CA26B4">
        <w:rPr>
          <w:rFonts w:ascii="Times New Roman" w:eastAsia="SimSun" w:hAnsi="Times New Roman" w:cs="Times New Roman"/>
          <w:kern w:val="0"/>
          <w14:ligatures w14:val="none"/>
        </w:rPr>
        <w:t>Andrew, 2024)</w:t>
      </w:r>
      <w:r w:rsidRPr="00CA26B4">
        <w:rPr>
          <w:rFonts w:ascii="Times New Roman" w:eastAsia="Times New Roman" w:hAnsi="Times New Roman" w:cs="Times New Roman"/>
          <w:color w:val="0A0A0A"/>
          <w:kern w:val="0"/>
          <w:shd w:val="clear" w:color="auto" w:fill="FFFFFF"/>
          <w14:ligatures w14:val="none"/>
        </w:rPr>
        <w:t xml:space="preserve">. </w:t>
      </w:r>
      <w:r w:rsidRPr="00CA26B4">
        <w:rPr>
          <w:rFonts w:ascii="Times New Roman" w:eastAsia="Times New Roman" w:hAnsi="Times New Roman" w:cs="Times New Roman"/>
          <w:kern w:val="0"/>
          <w14:ligatures w14:val="none"/>
        </w:rPr>
        <w:t>Operational efficiency is crucial because it maximizes output while minimizing input (time, labor, materials), resulting in lower costs, increased profitability, and improved competitiveness</w:t>
      </w:r>
      <w:r w:rsidRPr="00CA26B4">
        <w:rPr>
          <w:rFonts w:ascii="Times New Roman" w:eastAsia="Times New Roman" w:hAnsi="Times New Roman" w:cs="Times New Roman"/>
          <w:color w:val="0A0A0A"/>
          <w:kern w:val="0"/>
          <w:shd w:val="clear" w:color="auto" w:fill="FFFFFF"/>
          <w14:ligatures w14:val="none"/>
        </w:rPr>
        <w:t xml:space="preserve">. By streamlining processes, businesses eliminate waste, boost productivity, speed up delivery times, and enhance customer satisfaction </w:t>
      </w:r>
      <w:r w:rsidRPr="00CA26B4">
        <w:rPr>
          <w:rFonts w:ascii="Times New Roman" w:eastAsia="Times New Roman" w:hAnsi="Times New Roman" w:cs="Times New Roman"/>
          <w:kern w:val="0"/>
          <w14:ligatures w14:val="none"/>
        </w:rPr>
        <w:t>(</w:t>
      </w:r>
      <w:proofErr w:type="spellStart"/>
      <w:r w:rsidRPr="00CA26B4">
        <w:rPr>
          <w:rFonts w:ascii="Times New Roman" w:eastAsia="SimSun" w:hAnsi="Times New Roman" w:cs="Times New Roman"/>
          <w:kern w:val="0"/>
          <w14:ligatures w14:val="none"/>
        </w:rPr>
        <w:t>Prising</w:t>
      </w:r>
      <w:proofErr w:type="spellEnd"/>
      <w:r w:rsidRPr="00CA26B4">
        <w:rPr>
          <w:rFonts w:ascii="Times New Roman" w:eastAsia="SimSun" w:hAnsi="Times New Roman" w:cs="Times New Roman"/>
          <w:kern w:val="0"/>
          <w14:ligatures w14:val="none"/>
        </w:rPr>
        <w:t xml:space="preserve"> et al., 2019)</w:t>
      </w:r>
      <w:r w:rsidRPr="00CA26B4">
        <w:rPr>
          <w:rFonts w:ascii="Times New Roman" w:eastAsia="Times New Roman" w:hAnsi="Times New Roman" w:cs="Times New Roman"/>
          <w:color w:val="0A0A0A"/>
          <w:kern w:val="0"/>
          <w:shd w:val="clear" w:color="auto" w:fill="FFFFFF"/>
          <w14:ligatures w14:val="none"/>
        </w:rPr>
        <w:t>.</w:t>
      </w:r>
    </w:p>
    <w:p w14:paraId="485963A4" w14:textId="77777777" w:rsidR="00CA26B4" w:rsidRPr="00CA26B4" w:rsidRDefault="00CA26B4" w:rsidP="002C3670">
      <w:pPr>
        <w:shd w:val="clear" w:color="auto" w:fill="FFFFFF"/>
        <w:spacing w:before="100" w:beforeAutospacing="1" w:after="200" w:line="240" w:lineRule="auto"/>
        <w:jc w:val="both"/>
        <w:rPr>
          <w:rFonts w:ascii="Times New Roman" w:eastAsia="Times New Roman" w:hAnsi="Times New Roman" w:cs="Times New Roman"/>
          <w:b/>
          <w:color w:val="0A0A0A"/>
          <w:kern w:val="0"/>
          <w:shd w:val="clear" w:color="auto" w:fill="FFFFFF"/>
          <w14:ligatures w14:val="none"/>
        </w:rPr>
      </w:pPr>
      <w:r w:rsidRPr="00CA26B4">
        <w:rPr>
          <w:rFonts w:ascii="Times New Roman" w:eastAsia="Times New Roman" w:hAnsi="Times New Roman" w:cs="Times New Roman"/>
          <w:b/>
          <w:color w:val="0A0A0A"/>
          <w:kern w:val="0"/>
          <w:shd w:val="clear" w:color="auto" w:fill="FFFFFF"/>
          <w14:ligatures w14:val="none"/>
        </w:rPr>
        <w:t xml:space="preserve">METHODOLOGY  </w:t>
      </w:r>
    </w:p>
    <w:p w14:paraId="28505DD3" w14:textId="77777777" w:rsidR="00CA26B4" w:rsidRPr="00CA26B4" w:rsidRDefault="00CA26B4" w:rsidP="002C3670">
      <w:pPr>
        <w:shd w:val="clear" w:color="auto" w:fill="FFFFFF"/>
        <w:spacing w:before="100" w:beforeAutospacing="1" w:after="200" w:line="240" w:lineRule="auto"/>
        <w:jc w:val="both"/>
        <w:rPr>
          <w:rFonts w:ascii="Times New Roman" w:eastAsia="Times New Roman" w:hAnsi="Times New Roman" w:cs="Times New Roman"/>
          <w:b/>
          <w:color w:val="0A0A0A"/>
          <w:kern w:val="0"/>
          <w:shd w:val="clear" w:color="auto" w:fill="FFFFFF"/>
          <w14:ligatures w14:val="none"/>
        </w:rPr>
      </w:pPr>
      <w:r w:rsidRPr="00CA26B4">
        <w:rPr>
          <w:rFonts w:ascii="Times New Roman" w:eastAsia="Times New Roman" w:hAnsi="Times New Roman" w:cs="Times New Roman"/>
          <w:b/>
          <w:color w:val="0A0A0A"/>
          <w:kern w:val="0"/>
          <w:shd w:val="clear" w:color="auto" w:fill="FFFFFF"/>
          <w14:ligatures w14:val="none"/>
        </w:rPr>
        <w:t>Research Design,</w:t>
      </w:r>
      <w:r w:rsidRPr="00CA26B4">
        <w:rPr>
          <w:rFonts w:ascii="Times New Roman" w:eastAsia="Times New Roman" w:hAnsi="Times New Roman" w:cs="Times New Roman"/>
          <w:color w:val="0A0A0A"/>
          <w:kern w:val="0"/>
          <w:shd w:val="clear" w:color="auto" w:fill="FFFFFF"/>
          <w14:ligatures w14:val="none"/>
        </w:rPr>
        <w:t xml:space="preserve"> </w:t>
      </w:r>
      <w:r w:rsidRPr="00CA26B4">
        <w:rPr>
          <w:rFonts w:ascii="Times New Roman" w:eastAsia="Times New Roman" w:hAnsi="Times New Roman" w:cs="Times New Roman"/>
          <w:b/>
          <w:color w:val="0A0A0A"/>
          <w:kern w:val="0"/>
          <w:shd w:val="clear" w:color="auto" w:fill="FFFFFF"/>
          <w14:ligatures w14:val="none"/>
        </w:rPr>
        <w:t>Population, Sample Size and Sources of Data</w:t>
      </w:r>
    </w:p>
    <w:p w14:paraId="2E2C39ED" w14:textId="77777777" w:rsidR="00CA26B4" w:rsidRPr="00CA26B4" w:rsidRDefault="00CA26B4" w:rsidP="002C3670">
      <w:pPr>
        <w:shd w:val="clear" w:color="auto" w:fill="FFFFFF"/>
        <w:spacing w:before="100" w:beforeAutospacing="1" w:after="200" w:line="240" w:lineRule="auto"/>
        <w:jc w:val="both"/>
        <w:rPr>
          <w:rFonts w:ascii="Times New Roman" w:eastAsia="Times New Roman" w:hAnsi="Times New Roman" w:cs="Times New Roman"/>
          <w:b/>
          <w:color w:val="0A0A0A"/>
          <w:kern w:val="0"/>
          <w:shd w:val="clear" w:color="auto" w:fill="FFFFFF"/>
          <w14:ligatures w14:val="none"/>
        </w:rPr>
      </w:pPr>
      <w:r w:rsidRPr="00CA26B4">
        <w:rPr>
          <w:rFonts w:ascii="Times New Roman" w:eastAsia="SimSun" w:hAnsi="Times New Roman" w:cs="Times New Roman"/>
          <w:kern w:val="0"/>
          <w14:ligatures w14:val="none"/>
        </w:rPr>
        <w:t xml:space="preserve">As at March 2026, a total of nine </w:t>
      </w:r>
      <w:r w:rsidRPr="00CA26B4">
        <w:rPr>
          <w:rFonts w:ascii="Times New Roman" w:eastAsia="Calibri" w:hAnsi="Times New Roman" w:cs="Times New Roman"/>
          <w:kern w:val="0"/>
          <w14:ligatures w14:val="none"/>
        </w:rPr>
        <w:t xml:space="preserve">Online Marketing Agencies </w:t>
      </w:r>
      <w:proofErr w:type="gramStart"/>
      <w:r w:rsidRPr="00CA26B4">
        <w:rPr>
          <w:rFonts w:ascii="Times New Roman" w:eastAsia="Calibri" w:hAnsi="Times New Roman" w:cs="Times New Roman"/>
          <w:kern w:val="0"/>
          <w14:ligatures w14:val="none"/>
        </w:rPr>
        <w:t>are</w:t>
      </w:r>
      <w:proofErr w:type="gramEnd"/>
      <w:r w:rsidRPr="00CA26B4">
        <w:rPr>
          <w:rFonts w:ascii="Times New Roman" w:eastAsia="Calibri" w:hAnsi="Times New Roman" w:cs="Times New Roman"/>
          <w:kern w:val="0"/>
          <w14:ligatures w14:val="none"/>
        </w:rPr>
        <w:t xml:space="preserve"> available in Port Harcourt, Nigeria. They include </w:t>
      </w:r>
      <w:proofErr w:type="spellStart"/>
      <w:r w:rsidRPr="00CA26B4">
        <w:rPr>
          <w:rFonts w:ascii="Times New Roman" w:eastAsia="Calibri" w:hAnsi="Times New Roman" w:cs="Times New Roman"/>
          <w:kern w:val="0"/>
          <w14:ligatures w14:val="none"/>
        </w:rPr>
        <w:t>Socialander</w:t>
      </w:r>
      <w:proofErr w:type="spellEnd"/>
      <w:r w:rsidRPr="00CA26B4">
        <w:rPr>
          <w:rFonts w:ascii="Times New Roman" w:eastAsia="Calibri" w:hAnsi="Times New Roman" w:cs="Times New Roman"/>
          <w:kern w:val="0"/>
          <w14:ligatures w14:val="none"/>
        </w:rPr>
        <w:t xml:space="preserve">, </w:t>
      </w:r>
      <w:proofErr w:type="spellStart"/>
      <w:r w:rsidRPr="00CA26B4">
        <w:rPr>
          <w:rFonts w:ascii="Times New Roman" w:eastAsia="Calibri" w:hAnsi="Times New Roman" w:cs="Times New Roman"/>
          <w:kern w:val="0"/>
          <w14:ligatures w14:val="none"/>
        </w:rPr>
        <w:t>Kiscontent</w:t>
      </w:r>
      <w:proofErr w:type="spellEnd"/>
      <w:r w:rsidRPr="00CA26B4">
        <w:rPr>
          <w:rFonts w:ascii="Times New Roman" w:eastAsia="Calibri" w:hAnsi="Times New Roman" w:cs="Times New Roman"/>
          <w:kern w:val="0"/>
          <w14:ligatures w14:val="none"/>
        </w:rPr>
        <w:t xml:space="preserve"> Digital Agency, </w:t>
      </w:r>
      <w:proofErr w:type="spellStart"/>
      <w:r w:rsidRPr="00CA26B4">
        <w:rPr>
          <w:rFonts w:ascii="Times New Roman" w:eastAsia="Calibri" w:hAnsi="Times New Roman" w:cs="Times New Roman"/>
          <w:kern w:val="0"/>
          <w14:ligatures w14:val="none"/>
        </w:rPr>
        <w:t>Merjoh</w:t>
      </w:r>
      <w:proofErr w:type="spellEnd"/>
      <w:r w:rsidRPr="00CA26B4">
        <w:rPr>
          <w:rFonts w:ascii="Times New Roman" w:eastAsia="Calibri" w:hAnsi="Times New Roman" w:cs="Times New Roman"/>
          <w:kern w:val="0"/>
          <w14:ligatures w14:val="none"/>
        </w:rPr>
        <w:t xml:space="preserve"> </w:t>
      </w:r>
      <w:proofErr w:type="gramStart"/>
      <w:r w:rsidRPr="00CA26B4">
        <w:rPr>
          <w:rFonts w:ascii="Times New Roman" w:eastAsia="Calibri" w:hAnsi="Times New Roman" w:cs="Times New Roman"/>
          <w:kern w:val="0"/>
          <w14:ligatures w14:val="none"/>
        </w:rPr>
        <w:t>Solutions,,</w:t>
      </w:r>
      <w:proofErr w:type="gramEnd"/>
      <w:r w:rsidRPr="00CA26B4">
        <w:rPr>
          <w:rFonts w:ascii="Times New Roman" w:eastAsia="Calibri" w:hAnsi="Times New Roman" w:cs="Times New Roman"/>
          <w:kern w:val="0"/>
          <w14:ligatures w14:val="none"/>
        </w:rPr>
        <w:t xml:space="preserve"> </w:t>
      </w:r>
      <w:proofErr w:type="spellStart"/>
      <w:r w:rsidRPr="00CA26B4">
        <w:rPr>
          <w:rFonts w:ascii="Times New Roman" w:eastAsia="Calibri" w:hAnsi="Times New Roman" w:cs="Times New Roman"/>
          <w:kern w:val="0"/>
          <w14:ligatures w14:val="none"/>
        </w:rPr>
        <w:t>Firstcam</w:t>
      </w:r>
      <w:proofErr w:type="spellEnd"/>
      <w:r w:rsidRPr="00CA26B4">
        <w:rPr>
          <w:rFonts w:ascii="Times New Roman" w:eastAsia="Calibri" w:hAnsi="Times New Roman" w:cs="Times New Roman"/>
          <w:kern w:val="0"/>
          <w14:ligatures w14:val="none"/>
        </w:rPr>
        <w:t xml:space="preserve"> Creative Studios, and Digital Sprout Creative Agency. Others are: Ani David Digitals, Kestrel Digital, </w:t>
      </w:r>
      <w:proofErr w:type="spellStart"/>
      <w:r w:rsidRPr="00CA26B4">
        <w:rPr>
          <w:rFonts w:ascii="Times New Roman" w:eastAsia="Calibri" w:hAnsi="Times New Roman" w:cs="Times New Roman"/>
          <w:kern w:val="0"/>
          <w14:ligatures w14:val="none"/>
        </w:rPr>
        <w:t>eBrand</w:t>
      </w:r>
      <w:proofErr w:type="spellEnd"/>
      <w:r w:rsidRPr="00CA26B4">
        <w:rPr>
          <w:rFonts w:ascii="Times New Roman" w:eastAsia="Calibri" w:hAnsi="Times New Roman" w:cs="Times New Roman"/>
          <w:kern w:val="0"/>
          <w14:ligatures w14:val="none"/>
        </w:rPr>
        <w:t xml:space="preserve"> Promotions, and </w:t>
      </w:r>
      <w:proofErr w:type="spellStart"/>
      <w:r w:rsidRPr="00CA26B4">
        <w:rPr>
          <w:rFonts w:ascii="Times New Roman" w:eastAsia="Calibri" w:hAnsi="Times New Roman" w:cs="Times New Roman"/>
          <w:kern w:val="0"/>
          <w14:ligatures w14:val="none"/>
        </w:rPr>
        <w:t>DigwebXIT</w:t>
      </w:r>
      <w:proofErr w:type="spellEnd"/>
      <w:r w:rsidRPr="00CA26B4">
        <w:rPr>
          <w:rFonts w:ascii="Times New Roman" w:eastAsia="Calibri" w:hAnsi="Times New Roman" w:cs="Times New Roman"/>
          <w:kern w:val="0"/>
          <w14:ligatures w14:val="none"/>
        </w:rPr>
        <w:t xml:space="preserve"> Solutions (Lawal, 2026</w:t>
      </w:r>
      <w:proofErr w:type="gramStart"/>
      <w:r w:rsidRPr="00CA26B4">
        <w:rPr>
          <w:rFonts w:ascii="Times New Roman" w:eastAsia="Calibri" w:hAnsi="Times New Roman" w:cs="Times New Roman"/>
          <w:kern w:val="0"/>
          <w14:ligatures w14:val="none"/>
        </w:rPr>
        <w:t>).</w:t>
      </w:r>
      <w:r w:rsidRPr="00CA26B4">
        <w:rPr>
          <w:rFonts w:ascii="Times New Roman" w:eastAsia="Arial" w:hAnsi="Times New Roman" w:cs="Times New Roman"/>
          <w:color w:val="1C1C1C"/>
          <w:kern w:val="0"/>
          <w:shd w:val="clear" w:color="auto" w:fill="FFFFFF"/>
          <w14:ligatures w14:val="none"/>
        </w:rPr>
        <w:t>.</w:t>
      </w:r>
      <w:proofErr w:type="gramEnd"/>
      <w:r w:rsidRPr="00CA26B4">
        <w:rPr>
          <w:rFonts w:ascii="Times New Roman" w:eastAsia="Arial" w:hAnsi="Times New Roman" w:cs="Times New Roman"/>
          <w:color w:val="0A0A0A"/>
          <w:kern w:val="0"/>
          <w:shd w:val="clear" w:color="auto" w:fill="FFFFFF"/>
          <w14:ligatures w14:val="none"/>
        </w:rPr>
        <w:t xml:space="preserve"> A descriptive survey research design was adopted (Dana, 2001). The target population consist of 27 top officials across 9 online marketing agencies in Port Harcourt. Due to the small nature of this population, a consensus sampling procedure was adopted, targeting all 27 officials to ensure comprehensive data collection and to achieve data saturation. </w:t>
      </w:r>
      <w:r w:rsidRPr="00CA26B4">
        <w:rPr>
          <w:rFonts w:ascii="Times New Roman" w:eastAsia="Times New Roman" w:hAnsi="Times New Roman" w:cs="Times New Roman"/>
          <w:color w:val="0A0A0A"/>
          <w:kern w:val="0"/>
          <w:shd w:val="clear" w:color="auto" w:fill="FFFFFF"/>
          <w14:ligatures w14:val="none"/>
        </w:rPr>
        <w:t>Primary and secondary sources of data were used. Primary source of data involves the use of questionnaire to elicit information from the respondents. The secondary source of data involves obtaining information from publications such as journals, newspapers, textbooks, bulletins, and the Internet.</w:t>
      </w:r>
      <w:r w:rsidRPr="00CA26B4">
        <w:rPr>
          <w:rFonts w:ascii="Times New Roman" w:eastAsia="Arial" w:hAnsi="Times New Roman" w:cs="Times New Roman"/>
          <w:color w:val="0A0A0A"/>
          <w:kern w:val="0"/>
          <w:shd w:val="clear" w:color="auto" w:fill="FFFFFF"/>
          <w14:ligatures w14:val="none"/>
        </w:rPr>
        <w:t xml:space="preserve"> </w:t>
      </w:r>
    </w:p>
    <w:p w14:paraId="71B6FD81" w14:textId="77777777" w:rsidR="00CA26B4" w:rsidRPr="00CA26B4" w:rsidRDefault="00CA26B4" w:rsidP="002C3670">
      <w:pPr>
        <w:shd w:val="clear" w:color="auto" w:fill="FFFFFF"/>
        <w:spacing w:after="300" w:line="240" w:lineRule="auto"/>
        <w:rPr>
          <w:rFonts w:ascii="Times New Roman" w:eastAsia="Times New Roman" w:hAnsi="Times New Roman" w:cs="Times New Roman"/>
          <w:b/>
          <w:color w:val="0A0A0A"/>
          <w:kern w:val="0"/>
          <w:shd w:val="clear" w:color="auto" w:fill="FFFFFF"/>
          <w14:ligatures w14:val="none"/>
        </w:rPr>
      </w:pPr>
      <w:r w:rsidRPr="00CA26B4">
        <w:rPr>
          <w:rFonts w:ascii="Times New Roman" w:eastAsia="Times New Roman" w:hAnsi="Times New Roman" w:cs="Times New Roman"/>
          <w:b/>
          <w:color w:val="0A0A0A"/>
          <w:kern w:val="0"/>
          <w:shd w:val="clear" w:color="auto" w:fill="FFFFFF"/>
          <w14:ligatures w14:val="none"/>
        </w:rPr>
        <w:t xml:space="preserve"> </w:t>
      </w:r>
      <w:r w:rsidRPr="00CA26B4">
        <w:rPr>
          <w:rFonts w:ascii="Times New Roman" w:eastAsia="Times New Roman" w:hAnsi="Times New Roman" w:cs="Times New Roman"/>
          <w:b/>
          <w:color w:val="000000"/>
          <w:kern w:val="0"/>
          <w14:ligatures w14:val="none"/>
        </w:rPr>
        <w:t>Instrumentation and Administration of Instrument</w:t>
      </w:r>
    </w:p>
    <w:p w14:paraId="142837D9" w14:textId="77777777" w:rsidR="00CA26B4" w:rsidRPr="00CA26B4" w:rsidRDefault="00CA26B4" w:rsidP="002C3670">
      <w:pPr>
        <w:shd w:val="clear" w:color="auto" w:fill="FFFFFF"/>
        <w:spacing w:before="100" w:beforeAutospacing="1" w:after="200" w:line="240" w:lineRule="auto"/>
        <w:jc w:val="both"/>
        <w:rPr>
          <w:rFonts w:ascii="Times New Roman" w:eastAsia="Times New Roman" w:hAnsi="Times New Roman" w:cs="Times New Roman"/>
          <w:b/>
          <w:color w:val="000000"/>
          <w:kern w:val="0"/>
          <w14:ligatures w14:val="none"/>
        </w:rPr>
      </w:pPr>
      <w:r w:rsidRPr="00CA26B4">
        <w:rPr>
          <w:rFonts w:ascii="Times New Roman" w:eastAsia="Times New Roman" w:hAnsi="Times New Roman" w:cs="Times New Roman"/>
          <w:color w:val="0A0A0A"/>
          <w:kern w:val="0"/>
          <w:shd w:val="clear" w:color="auto" w:fill="FFFFFF"/>
          <w14:ligatures w14:val="none"/>
        </w:rPr>
        <w:t xml:space="preserve"> </w:t>
      </w:r>
      <w:r w:rsidRPr="00CA26B4">
        <w:rPr>
          <w:rFonts w:ascii="Times New Roman" w:eastAsia="Times New Roman" w:hAnsi="Times New Roman" w:cs="Times New Roman"/>
          <w:kern w:val="0"/>
          <w14:ligatures w14:val="none"/>
        </w:rPr>
        <w:t>The questionnaire titled:”</w:t>
      </w:r>
      <w:r w:rsidRPr="00CA26B4">
        <w:rPr>
          <w:rFonts w:ascii="Times New Roman" w:eastAsia="Calibri" w:hAnsi="Times New Roman" w:cs="Times New Roman"/>
          <w:kern w:val="0"/>
          <w14:ligatures w14:val="none"/>
        </w:rPr>
        <w:t xml:space="preserve"> </w:t>
      </w:r>
      <w:proofErr w:type="gramStart"/>
      <w:r w:rsidRPr="00CA26B4">
        <w:rPr>
          <w:rFonts w:ascii="Times New Roman" w:eastAsia="Calibri" w:hAnsi="Times New Roman" w:cs="Times New Roman"/>
          <w:kern w:val="0"/>
          <w14:ligatures w14:val="none"/>
        </w:rPr>
        <w:t>Blockchain  Accounting</w:t>
      </w:r>
      <w:proofErr w:type="gramEnd"/>
      <w:r w:rsidRPr="00CA26B4">
        <w:rPr>
          <w:rFonts w:ascii="Times New Roman" w:eastAsia="Calibri" w:hAnsi="Times New Roman" w:cs="Times New Roman"/>
          <w:kern w:val="0"/>
          <w14:ligatures w14:val="none"/>
        </w:rPr>
        <w:t xml:space="preserve"> Practices </w:t>
      </w:r>
      <w:proofErr w:type="gramStart"/>
      <w:r w:rsidRPr="00CA26B4">
        <w:rPr>
          <w:rFonts w:ascii="Times New Roman" w:eastAsia="Calibri" w:hAnsi="Times New Roman" w:cs="Times New Roman"/>
          <w:kern w:val="0"/>
          <w14:ligatures w14:val="none"/>
        </w:rPr>
        <w:t>and  Digital</w:t>
      </w:r>
      <w:proofErr w:type="gramEnd"/>
      <w:r w:rsidRPr="00CA26B4">
        <w:rPr>
          <w:rFonts w:ascii="Times New Roman" w:eastAsia="Calibri" w:hAnsi="Times New Roman" w:cs="Times New Roman"/>
          <w:kern w:val="0"/>
          <w14:ligatures w14:val="none"/>
        </w:rPr>
        <w:t xml:space="preserve"> Enterprise Performance of Online Marketing Agencies in Port Harcourt</w:t>
      </w:r>
      <w:r w:rsidRPr="00CA26B4">
        <w:rPr>
          <w:rFonts w:ascii="Times New Roman" w:eastAsia="Times New Roman" w:hAnsi="Times New Roman" w:cs="Times New Roman"/>
          <w:color w:val="000000"/>
          <w:kern w:val="0"/>
          <w14:ligatures w14:val="none"/>
        </w:rPr>
        <w:t xml:space="preserve"> </w:t>
      </w:r>
      <w:r w:rsidRPr="00CA26B4">
        <w:rPr>
          <w:rFonts w:ascii="Times New Roman" w:eastAsia="Times New Roman" w:hAnsi="Times New Roman" w:cs="Times New Roman"/>
          <w:kern w:val="0"/>
          <w14:ligatures w14:val="none"/>
        </w:rPr>
        <w:t xml:space="preserve">questionnaire (BAPADEPOOMA)” is used for data collection. </w:t>
      </w:r>
      <w:r w:rsidRPr="00CA26B4">
        <w:rPr>
          <w:rFonts w:ascii="Times New Roman" w:eastAsia="Arial" w:hAnsi="Times New Roman" w:cs="Times New Roman"/>
          <w:color w:val="0A0A0A"/>
          <w:kern w:val="0"/>
          <w:shd w:val="clear" w:color="auto" w:fill="FFFFFF"/>
          <w14:ligatures w14:val="none"/>
        </w:rPr>
        <w:t>An e-mailed questionnaire was used</w:t>
      </w:r>
      <w:r w:rsidRPr="00CA26B4">
        <w:rPr>
          <w:rFonts w:ascii="Times New Roman" w:eastAsia="Times New Roman" w:hAnsi="Times New Roman" w:cs="Times New Roman"/>
          <w:kern w:val="0"/>
          <w14:ligatures w14:val="none"/>
        </w:rPr>
        <w:t xml:space="preserve"> </w:t>
      </w:r>
      <w:proofErr w:type="gramStart"/>
      <w:r w:rsidRPr="00CA26B4">
        <w:rPr>
          <w:rFonts w:ascii="Times New Roman" w:eastAsia="Times New Roman" w:hAnsi="Times New Roman" w:cs="Times New Roman"/>
          <w:kern w:val="0"/>
          <w14:ligatures w14:val="none"/>
        </w:rPr>
        <w:t>to  administer</w:t>
      </w:r>
      <w:proofErr w:type="gramEnd"/>
      <w:r w:rsidRPr="00CA26B4">
        <w:rPr>
          <w:rFonts w:ascii="Times New Roman" w:eastAsia="Times New Roman" w:hAnsi="Times New Roman" w:cs="Times New Roman"/>
          <w:kern w:val="0"/>
          <w14:ligatures w14:val="none"/>
        </w:rPr>
        <w:t xml:space="preserve"> the questionnaire to the officials of the Organizations. The respondents were encouraged to make their responses. After a period of one week, the respondents were sent reminder messages via e-mails in order </w:t>
      </w:r>
      <w:proofErr w:type="gramStart"/>
      <w:r w:rsidRPr="00CA26B4">
        <w:rPr>
          <w:rFonts w:ascii="Times New Roman" w:eastAsia="Times New Roman" w:hAnsi="Times New Roman" w:cs="Times New Roman"/>
          <w:kern w:val="0"/>
          <w14:ligatures w14:val="none"/>
        </w:rPr>
        <w:t>to  get</w:t>
      </w:r>
      <w:proofErr w:type="gramEnd"/>
      <w:r w:rsidRPr="00CA26B4">
        <w:rPr>
          <w:rFonts w:ascii="Times New Roman" w:eastAsia="Times New Roman" w:hAnsi="Times New Roman" w:cs="Times New Roman"/>
          <w:kern w:val="0"/>
          <w14:ligatures w14:val="none"/>
        </w:rPr>
        <w:t xml:space="preserve"> feedback from them. After a period of two weeks, the respondents gave valuable responses to the questionnaire sent to them. A total of 27 copies of questionnaire were sent via e-mail to 9 online marketing agencies. Each firm was sent 3 copies of questionnaire. However, only 20 officials correctly completed the questionnaire. While, 7 copies of questionnaire were not retrieved.  This gave a response rate of 74.1%.  Thus, 20 copies of questionnaires that were correctly completed by the respondents was used for this study. The questionnaire has two sections. The first section consists of the four-point Likert-type scale with information such as to a very high extent (VHE 4); to a high extent (HE 3); to a low extent (LE 2); to a very low extent (VLE 1); while the second section consists of 10 questions </w:t>
      </w:r>
      <w:proofErr w:type="gramStart"/>
      <w:r w:rsidRPr="00CA26B4">
        <w:rPr>
          <w:rFonts w:ascii="Times New Roman" w:eastAsia="Times New Roman" w:hAnsi="Times New Roman" w:cs="Times New Roman"/>
          <w:kern w:val="0"/>
          <w14:ligatures w14:val="none"/>
        </w:rPr>
        <w:t xml:space="preserve">on </w:t>
      </w:r>
      <w:r w:rsidRPr="00CA26B4">
        <w:rPr>
          <w:rFonts w:ascii="Times New Roman" w:eastAsia="Calibri" w:hAnsi="Times New Roman" w:cs="Times New Roman"/>
          <w:kern w:val="0"/>
          <w14:ligatures w14:val="none"/>
        </w:rPr>
        <w:t xml:space="preserve"> Blockchain</w:t>
      </w:r>
      <w:proofErr w:type="gramEnd"/>
      <w:r w:rsidRPr="00CA26B4">
        <w:rPr>
          <w:rFonts w:ascii="Times New Roman" w:eastAsia="Calibri" w:hAnsi="Times New Roman" w:cs="Times New Roman"/>
          <w:kern w:val="0"/>
          <w14:ligatures w14:val="none"/>
        </w:rPr>
        <w:t xml:space="preserve">  Accounting Practices </w:t>
      </w:r>
      <w:proofErr w:type="gramStart"/>
      <w:r w:rsidRPr="00CA26B4">
        <w:rPr>
          <w:rFonts w:ascii="Times New Roman" w:eastAsia="Calibri" w:hAnsi="Times New Roman" w:cs="Times New Roman"/>
          <w:kern w:val="0"/>
          <w14:ligatures w14:val="none"/>
        </w:rPr>
        <w:t>and  Digital</w:t>
      </w:r>
      <w:proofErr w:type="gramEnd"/>
      <w:r w:rsidRPr="00CA26B4">
        <w:rPr>
          <w:rFonts w:ascii="Times New Roman" w:eastAsia="Calibri" w:hAnsi="Times New Roman" w:cs="Times New Roman"/>
          <w:kern w:val="0"/>
          <w14:ligatures w14:val="none"/>
        </w:rPr>
        <w:t xml:space="preserve"> Enterprise Performance of Online Marketing Agencies in Port Harcourt</w:t>
      </w:r>
      <w:r w:rsidRPr="00CA26B4">
        <w:rPr>
          <w:rFonts w:ascii="Times New Roman" w:eastAsia="Times New Roman" w:hAnsi="Times New Roman" w:cs="Times New Roman"/>
          <w:kern w:val="0"/>
          <w14:ligatures w14:val="none"/>
        </w:rPr>
        <w:t xml:space="preserve">.   </w:t>
      </w:r>
    </w:p>
    <w:p w14:paraId="4613EBD4" w14:textId="77777777" w:rsidR="00186526" w:rsidRDefault="00186526" w:rsidP="002C3670">
      <w:pPr>
        <w:spacing w:before="100" w:beforeAutospacing="1" w:after="200" w:line="240" w:lineRule="auto"/>
        <w:jc w:val="both"/>
        <w:rPr>
          <w:rFonts w:ascii="Times New Roman" w:eastAsia="Times New Roman" w:hAnsi="Times New Roman" w:cs="Times New Roman"/>
          <w:b/>
          <w:color w:val="000000"/>
          <w:kern w:val="0"/>
          <w14:ligatures w14:val="none"/>
        </w:rPr>
      </w:pPr>
    </w:p>
    <w:p w14:paraId="65F34E94" w14:textId="48C84535"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14:ligatures w14:val="none"/>
        </w:rPr>
      </w:pPr>
      <w:r w:rsidRPr="00CA26B4">
        <w:rPr>
          <w:rFonts w:ascii="Times New Roman" w:eastAsia="Times New Roman" w:hAnsi="Times New Roman" w:cs="Times New Roman"/>
          <w:b/>
          <w:color w:val="000000"/>
          <w:kern w:val="0"/>
          <w14:ligatures w14:val="none"/>
        </w:rPr>
        <w:lastRenderedPageBreak/>
        <w:t>Validity and Reliability of Instrument, and Data Analysis Technique</w:t>
      </w:r>
    </w:p>
    <w:p w14:paraId="421A804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Face and content validation were used to assess the instrument. The instrument was validated by two experts in the field of Accounting Information System, who edited the suitability of the items in measuring the variables identified for this study. The test - retest method was used to ascertain the reliability of data. The researchers administered the first and second tests within two weeks. The tests were correlated using the Cronbach Alpha co-efficient and α = .74 was obtained to indicate that the instrument is good enough to realize the objectives of the study.  Mean and standard deviation were used to answer the research questions, while </w:t>
      </w:r>
      <w:r w:rsidRPr="00CA26B4">
        <w:rPr>
          <w:rFonts w:ascii="Times New Roman" w:eastAsia="Times New Roman" w:hAnsi="Times New Roman" w:cs="Times New Roman"/>
          <w:color w:val="000000"/>
          <w:kern w:val="0"/>
          <w14:ligatures w14:val="none"/>
        </w:rPr>
        <w:t>Ordinary least square regression analysis</w:t>
      </w:r>
      <w:r w:rsidRPr="00CA26B4">
        <w:rPr>
          <w:rFonts w:ascii="Times New Roman" w:eastAsia="Times New Roman" w:hAnsi="Times New Roman" w:cs="Times New Roman"/>
          <w:bCs/>
          <w:color w:val="000000"/>
          <w:kern w:val="0"/>
          <w14:ligatures w14:val="none"/>
        </w:rPr>
        <w:t xml:space="preserve"> by the application of SPSS; version 20.0 was used to test the hypotheses developed in this study.</w:t>
      </w:r>
      <w:r w:rsidRPr="00CA26B4">
        <w:rPr>
          <w:rFonts w:ascii="Times New Roman" w:eastAsia="Times New Roman" w:hAnsi="Times New Roman" w:cs="Times New Roman"/>
          <w:color w:val="000000"/>
          <w:kern w:val="0"/>
          <w14:ligatures w14:val="none"/>
        </w:rPr>
        <w:t xml:space="preserve"> </w:t>
      </w:r>
      <w:r w:rsidRPr="00CA26B4">
        <w:rPr>
          <w:rFonts w:ascii="Times New Roman" w:eastAsia="Times New Roman" w:hAnsi="Times New Roman" w:cs="Times New Roman"/>
          <w:kern w:val="0"/>
          <w14:ligatures w14:val="none"/>
        </w:rPr>
        <w:t xml:space="preserve">Dana’s (2001) correlation decision framework was used to interpret the outcomes of the tested hypotheses. They include: a) </w:t>
      </w:r>
      <w:r w:rsidRPr="00CA26B4">
        <w:rPr>
          <w:rFonts w:ascii="Times New Roman" w:eastAsia="Times New Roman" w:hAnsi="Times New Roman" w:cs="Times New Roman"/>
          <w:kern w:val="0"/>
          <w14:ligatures w14:val="none"/>
        </w:rPr>
        <w:fldChar w:fldCharType="begin"/>
      </w:r>
      <w:r w:rsidRPr="00CA26B4">
        <w:rPr>
          <w:rFonts w:ascii="Times New Roman" w:eastAsia="Times New Roman" w:hAnsi="Times New Roman" w:cs="Times New Roman"/>
          <w:kern w:val="0"/>
          <w14:ligatures w14:val="none"/>
        </w:rPr>
        <w:instrText xml:space="preserve"> QUOTE </w:instrText>
      </w:r>
      <w:r w:rsidR="00000000">
        <w:rPr>
          <w:rFonts w:ascii="Times New Roman" w:eastAsia="Times New Roman" w:hAnsi="Times New Roman" w:cs="Times New Roman"/>
          <w:kern w:val="0"/>
          <w:position w:val="-11"/>
          <w14:ligatures w14:val="none"/>
        </w:rPr>
        <w:pict w14:anchorId="500382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7.25pt" equationxml="&lt;">
            <v:imagedata r:id="rId13" o:title="" chromakey="white"/>
          </v:shape>
        </w:pict>
      </w:r>
      <w:r w:rsidRPr="00CA26B4">
        <w:rPr>
          <w:rFonts w:ascii="Times New Roman" w:eastAsia="Times New Roman" w:hAnsi="Times New Roman" w:cs="Times New Roman"/>
          <w:kern w:val="0"/>
          <w14:ligatures w14:val="none"/>
        </w:rPr>
        <w:instrText xml:space="preserve"> </w:instrText>
      </w:r>
      <w:r w:rsidRPr="00CA26B4">
        <w:rPr>
          <w:rFonts w:ascii="Times New Roman" w:eastAsia="Times New Roman" w:hAnsi="Times New Roman" w:cs="Times New Roman"/>
          <w:kern w:val="0"/>
          <w14:ligatures w14:val="none"/>
        </w:rPr>
        <w:fldChar w:fldCharType="separate"/>
      </w:r>
      <w:r w:rsidR="00000000">
        <w:rPr>
          <w:rFonts w:ascii="Times New Roman" w:eastAsia="Times New Roman" w:hAnsi="Times New Roman" w:cs="Times New Roman"/>
          <w:kern w:val="0"/>
          <w:position w:val="-11"/>
          <w14:ligatures w14:val="none"/>
        </w:rPr>
        <w:pict w14:anchorId="319F6A15">
          <v:shape id="_x0000_i1026" type="#_x0000_t75" style="width:9.75pt;height:17.25pt" equationxml="&lt;">
            <v:imagedata r:id="rId13" o:title="" chromakey="white"/>
          </v:shape>
        </w:pict>
      </w:r>
      <w:r w:rsidRPr="00CA26B4">
        <w:rPr>
          <w:rFonts w:ascii="Times New Roman" w:eastAsia="Times New Roman" w:hAnsi="Times New Roman" w:cs="Times New Roman"/>
          <w:kern w:val="0"/>
          <w14:ligatures w14:val="none"/>
        </w:rPr>
        <w:fldChar w:fldCharType="end"/>
      </w:r>
      <w:r w:rsidRPr="00CA26B4">
        <w:rPr>
          <w:rFonts w:ascii="Times New Roman" w:eastAsia="Times New Roman" w:hAnsi="Times New Roman" w:cs="Times New Roman"/>
          <w:kern w:val="0"/>
          <w14:ligatures w14:val="none"/>
        </w:rPr>
        <w:t xml:space="preserve"> 0.00 – 0.19 (very weak); </w:t>
      </w:r>
      <w:r w:rsidRPr="00CA26B4">
        <w:rPr>
          <w:rFonts w:ascii="Times New Roman" w:eastAsia="Times New Roman" w:hAnsi="Times New Roman" w:cs="Times New Roman"/>
          <w:color w:val="000000"/>
          <w:kern w:val="0"/>
          <w14:ligatures w14:val="none"/>
        </w:rPr>
        <w:t xml:space="preserve">b) </w:t>
      </w:r>
      <w:r w:rsidRPr="00CA26B4">
        <w:rPr>
          <w:rFonts w:ascii="Times New Roman" w:eastAsia="Times New Roman" w:hAnsi="Times New Roman" w:cs="Times New Roman"/>
          <w:color w:val="000000"/>
          <w:kern w:val="0"/>
          <w14:ligatures w14:val="none"/>
        </w:rPr>
        <w:fldChar w:fldCharType="begin"/>
      </w:r>
      <w:r w:rsidRPr="00CA26B4">
        <w:rPr>
          <w:rFonts w:ascii="Times New Roman" w:eastAsia="Times New Roman" w:hAnsi="Times New Roman" w:cs="Times New Roman"/>
          <w:color w:val="000000"/>
          <w:kern w:val="0"/>
          <w14:ligatures w14:val="none"/>
        </w:rPr>
        <w:instrText xml:space="preserve"> QUOTE </w:instrText>
      </w:r>
      <w:r w:rsidR="00000000">
        <w:rPr>
          <w:rFonts w:ascii="Times New Roman" w:eastAsia="Times New Roman" w:hAnsi="Times New Roman" w:cs="Times New Roman"/>
          <w:color w:val="000000"/>
          <w:kern w:val="0"/>
          <w:position w:val="-11"/>
          <w14:ligatures w14:val="none"/>
        </w:rPr>
        <w:pict w14:anchorId="4BB57BEC">
          <v:shape id="_x0000_i1027"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instrText xml:space="preserve"> </w:instrText>
      </w:r>
      <w:r w:rsidRPr="00CA26B4">
        <w:rPr>
          <w:rFonts w:ascii="Times New Roman" w:eastAsia="Times New Roman" w:hAnsi="Times New Roman" w:cs="Times New Roman"/>
          <w:color w:val="000000"/>
          <w:kern w:val="0"/>
          <w14:ligatures w14:val="none"/>
        </w:rPr>
        <w:fldChar w:fldCharType="separate"/>
      </w:r>
      <w:r w:rsidR="00000000">
        <w:rPr>
          <w:rFonts w:ascii="Times New Roman" w:eastAsia="Times New Roman" w:hAnsi="Times New Roman" w:cs="Times New Roman"/>
          <w:color w:val="000000"/>
          <w:kern w:val="0"/>
          <w:position w:val="-11"/>
          <w14:ligatures w14:val="none"/>
        </w:rPr>
        <w:pict w14:anchorId="0C5FF3D7">
          <v:shape id="_x0000_i1028"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fldChar w:fldCharType="end"/>
      </w:r>
      <w:r w:rsidRPr="00CA26B4">
        <w:rPr>
          <w:rFonts w:ascii="Times New Roman" w:eastAsia="Times New Roman" w:hAnsi="Times New Roman" w:cs="Times New Roman"/>
          <w:color w:val="000000"/>
          <w:kern w:val="0"/>
          <w14:ligatures w14:val="none"/>
        </w:rPr>
        <w:t xml:space="preserve"> 0.20 – 0.39 (weak); c)</w:t>
      </w:r>
      <w:r w:rsidRPr="00CA26B4">
        <w:rPr>
          <w:rFonts w:ascii="Times New Roman" w:eastAsia="Times New Roman" w:hAnsi="Times New Roman" w:cs="Times New Roman"/>
          <w:color w:val="000000"/>
          <w:kern w:val="0"/>
          <w14:ligatures w14:val="none"/>
        </w:rPr>
        <w:fldChar w:fldCharType="begin"/>
      </w:r>
      <w:r w:rsidRPr="00CA26B4">
        <w:rPr>
          <w:rFonts w:ascii="Times New Roman" w:eastAsia="Times New Roman" w:hAnsi="Times New Roman" w:cs="Times New Roman"/>
          <w:color w:val="000000"/>
          <w:kern w:val="0"/>
          <w14:ligatures w14:val="none"/>
        </w:rPr>
        <w:instrText xml:space="preserve"> QUOTE </w:instrText>
      </w:r>
      <w:r w:rsidR="00000000">
        <w:rPr>
          <w:rFonts w:ascii="Times New Roman" w:eastAsia="Times New Roman" w:hAnsi="Times New Roman" w:cs="Times New Roman"/>
          <w:color w:val="000000"/>
          <w:kern w:val="0"/>
          <w:position w:val="-11"/>
          <w14:ligatures w14:val="none"/>
        </w:rPr>
        <w:pict w14:anchorId="581A302F">
          <v:shape id="_x0000_i1029"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instrText xml:space="preserve"> </w:instrText>
      </w:r>
      <w:r w:rsidRPr="00CA26B4">
        <w:rPr>
          <w:rFonts w:ascii="Times New Roman" w:eastAsia="Times New Roman" w:hAnsi="Times New Roman" w:cs="Times New Roman"/>
          <w:color w:val="000000"/>
          <w:kern w:val="0"/>
          <w14:ligatures w14:val="none"/>
        </w:rPr>
        <w:fldChar w:fldCharType="separate"/>
      </w:r>
      <w:r w:rsidR="00000000">
        <w:rPr>
          <w:rFonts w:ascii="Times New Roman" w:eastAsia="Times New Roman" w:hAnsi="Times New Roman" w:cs="Times New Roman"/>
          <w:color w:val="000000"/>
          <w:kern w:val="0"/>
          <w:position w:val="-11"/>
          <w14:ligatures w14:val="none"/>
        </w:rPr>
        <w:pict w14:anchorId="7FB753F0">
          <v:shape id="_x0000_i1030"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fldChar w:fldCharType="end"/>
      </w:r>
      <w:r w:rsidRPr="00CA26B4">
        <w:rPr>
          <w:rFonts w:ascii="Times New Roman" w:eastAsia="Times New Roman" w:hAnsi="Times New Roman" w:cs="Times New Roman"/>
          <w:color w:val="000000"/>
          <w:kern w:val="0"/>
          <w14:ligatures w14:val="none"/>
        </w:rPr>
        <w:t xml:space="preserve"> 0.40 – 0.59 (moderate); d)</w:t>
      </w:r>
      <w:r w:rsidRPr="00CA26B4">
        <w:rPr>
          <w:rFonts w:ascii="Times New Roman" w:eastAsia="Times New Roman" w:hAnsi="Times New Roman" w:cs="Times New Roman"/>
          <w:color w:val="000000"/>
          <w:kern w:val="0"/>
          <w14:ligatures w14:val="none"/>
        </w:rPr>
        <w:fldChar w:fldCharType="begin"/>
      </w:r>
      <w:r w:rsidRPr="00CA26B4">
        <w:rPr>
          <w:rFonts w:ascii="Times New Roman" w:eastAsia="Times New Roman" w:hAnsi="Times New Roman" w:cs="Times New Roman"/>
          <w:color w:val="000000"/>
          <w:kern w:val="0"/>
          <w14:ligatures w14:val="none"/>
        </w:rPr>
        <w:instrText xml:space="preserve"> QUOTE </w:instrText>
      </w:r>
      <w:r w:rsidR="00000000">
        <w:rPr>
          <w:rFonts w:ascii="Times New Roman" w:eastAsia="Times New Roman" w:hAnsi="Times New Roman" w:cs="Times New Roman"/>
          <w:color w:val="000000"/>
          <w:kern w:val="0"/>
          <w:position w:val="-11"/>
          <w14:ligatures w14:val="none"/>
        </w:rPr>
        <w:pict w14:anchorId="371C085D">
          <v:shape id="_x0000_i1031"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instrText xml:space="preserve"> </w:instrText>
      </w:r>
      <w:r w:rsidRPr="00CA26B4">
        <w:rPr>
          <w:rFonts w:ascii="Times New Roman" w:eastAsia="Times New Roman" w:hAnsi="Times New Roman" w:cs="Times New Roman"/>
          <w:color w:val="000000"/>
          <w:kern w:val="0"/>
          <w14:ligatures w14:val="none"/>
        </w:rPr>
        <w:fldChar w:fldCharType="separate"/>
      </w:r>
      <w:r w:rsidR="00000000">
        <w:rPr>
          <w:rFonts w:ascii="Times New Roman" w:eastAsia="Times New Roman" w:hAnsi="Times New Roman" w:cs="Times New Roman"/>
          <w:color w:val="000000"/>
          <w:kern w:val="0"/>
          <w:position w:val="-11"/>
          <w14:ligatures w14:val="none"/>
        </w:rPr>
        <w:pict w14:anchorId="49799A19">
          <v:shape id="_x0000_i1032"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fldChar w:fldCharType="end"/>
      </w:r>
      <w:r w:rsidRPr="00CA26B4">
        <w:rPr>
          <w:rFonts w:ascii="Times New Roman" w:eastAsia="Times New Roman" w:hAnsi="Times New Roman" w:cs="Times New Roman"/>
          <w:color w:val="000000"/>
          <w:kern w:val="0"/>
          <w14:ligatures w14:val="none"/>
        </w:rPr>
        <w:t xml:space="preserve"> 0.60 – 0.79 (strong); e)</w:t>
      </w:r>
      <w:r w:rsidRPr="00CA26B4">
        <w:rPr>
          <w:rFonts w:ascii="Times New Roman" w:eastAsia="Times New Roman" w:hAnsi="Times New Roman" w:cs="Times New Roman"/>
          <w:color w:val="000000"/>
          <w:kern w:val="0"/>
          <w14:ligatures w14:val="none"/>
        </w:rPr>
        <w:fldChar w:fldCharType="begin"/>
      </w:r>
      <w:r w:rsidRPr="00CA26B4">
        <w:rPr>
          <w:rFonts w:ascii="Times New Roman" w:eastAsia="Times New Roman" w:hAnsi="Times New Roman" w:cs="Times New Roman"/>
          <w:color w:val="000000"/>
          <w:kern w:val="0"/>
          <w14:ligatures w14:val="none"/>
        </w:rPr>
        <w:instrText xml:space="preserve"> QUOTE </w:instrText>
      </w:r>
      <w:r w:rsidR="00000000">
        <w:rPr>
          <w:rFonts w:ascii="Times New Roman" w:eastAsia="Times New Roman" w:hAnsi="Times New Roman" w:cs="Times New Roman"/>
          <w:color w:val="000000"/>
          <w:kern w:val="0"/>
          <w:position w:val="-11"/>
          <w14:ligatures w14:val="none"/>
        </w:rPr>
        <w:pict w14:anchorId="59198167">
          <v:shape id="_x0000_i1033"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instrText xml:space="preserve"> </w:instrText>
      </w:r>
      <w:r w:rsidRPr="00CA26B4">
        <w:rPr>
          <w:rFonts w:ascii="Times New Roman" w:eastAsia="Times New Roman" w:hAnsi="Times New Roman" w:cs="Times New Roman"/>
          <w:color w:val="000000"/>
          <w:kern w:val="0"/>
          <w14:ligatures w14:val="none"/>
        </w:rPr>
        <w:fldChar w:fldCharType="separate"/>
      </w:r>
      <w:r w:rsidR="00000000">
        <w:rPr>
          <w:rFonts w:ascii="Times New Roman" w:eastAsia="Times New Roman" w:hAnsi="Times New Roman" w:cs="Times New Roman"/>
          <w:color w:val="000000"/>
          <w:kern w:val="0"/>
          <w:position w:val="-11"/>
          <w14:ligatures w14:val="none"/>
        </w:rPr>
        <w:pict w14:anchorId="428641D5">
          <v:shape id="_x0000_i1034"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fldChar w:fldCharType="end"/>
      </w:r>
      <w:r w:rsidRPr="00CA26B4">
        <w:rPr>
          <w:rFonts w:ascii="Times New Roman" w:eastAsia="Times New Roman" w:hAnsi="Times New Roman" w:cs="Times New Roman"/>
          <w:color w:val="000000"/>
          <w:kern w:val="0"/>
          <w14:ligatures w14:val="none"/>
        </w:rPr>
        <w:t xml:space="preserve"> 0.80 – 0.99 (very strong); and e)</w:t>
      </w:r>
      <w:r w:rsidRPr="00CA26B4">
        <w:rPr>
          <w:rFonts w:ascii="Times New Roman" w:eastAsia="Times New Roman" w:hAnsi="Times New Roman" w:cs="Times New Roman"/>
          <w:color w:val="000000"/>
          <w:kern w:val="0"/>
          <w14:ligatures w14:val="none"/>
        </w:rPr>
        <w:fldChar w:fldCharType="begin"/>
      </w:r>
      <w:r w:rsidRPr="00CA26B4">
        <w:rPr>
          <w:rFonts w:ascii="Times New Roman" w:eastAsia="Times New Roman" w:hAnsi="Times New Roman" w:cs="Times New Roman"/>
          <w:color w:val="000000"/>
          <w:kern w:val="0"/>
          <w14:ligatures w14:val="none"/>
        </w:rPr>
        <w:instrText xml:space="preserve"> QUOTE </w:instrText>
      </w:r>
      <w:r w:rsidR="00000000">
        <w:rPr>
          <w:rFonts w:ascii="Times New Roman" w:eastAsia="Times New Roman" w:hAnsi="Times New Roman" w:cs="Times New Roman"/>
          <w:color w:val="000000"/>
          <w:kern w:val="0"/>
          <w:position w:val="-11"/>
          <w14:ligatures w14:val="none"/>
        </w:rPr>
        <w:pict w14:anchorId="3398540F">
          <v:shape id="_x0000_i1035"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instrText xml:space="preserve"> </w:instrText>
      </w:r>
      <w:r w:rsidRPr="00CA26B4">
        <w:rPr>
          <w:rFonts w:ascii="Times New Roman" w:eastAsia="Times New Roman" w:hAnsi="Times New Roman" w:cs="Times New Roman"/>
          <w:color w:val="000000"/>
          <w:kern w:val="0"/>
          <w14:ligatures w14:val="none"/>
        </w:rPr>
        <w:fldChar w:fldCharType="separate"/>
      </w:r>
      <w:r w:rsidR="00000000">
        <w:rPr>
          <w:rFonts w:ascii="Times New Roman" w:eastAsia="Times New Roman" w:hAnsi="Times New Roman" w:cs="Times New Roman"/>
          <w:color w:val="000000"/>
          <w:kern w:val="0"/>
          <w:position w:val="-11"/>
          <w14:ligatures w14:val="none"/>
        </w:rPr>
        <w:pict w14:anchorId="75DD8875">
          <v:shape id="_x0000_i1036" type="#_x0000_t75" style="width:9.75pt;height:17.25pt" equationxml="&lt;">
            <v:imagedata r:id="rId13" o:title="" chromakey="white"/>
          </v:shape>
        </w:pict>
      </w:r>
      <w:r w:rsidRPr="00CA26B4">
        <w:rPr>
          <w:rFonts w:ascii="Times New Roman" w:eastAsia="Times New Roman" w:hAnsi="Times New Roman" w:cs="Times New Roman"/>
          <w:color w:val="000000"/>
          <w:kern w:val="0"/>
          <w14:ligatures w14:val="none"/>
        </w:rPr>
        <w:fldChar w:fldCharType="end"/>
      </w:r>
      <w:r w:rsidRPr="00CA26B4">
        <w:rPr>
          <w:rFonts w:ascii="Times New Roman" w:eastAsia="Times New Roman" w:hAnsi="Times New Roman" w:cs="Times New Roman"/>
          <w:color w:val="000000"/>
          <w:kern w:val="0"/>
          <w14:ligatures w14:val="none"/>
        </w:rPr>
        <w:t xml:space="preserve"> 1 (perfect).</w:t>
      </w:r>
    </w:p>
    <w:p w14:paraId="0DB8B91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b/>
          <w:kern w:val="0"/>
          <w14:ligatures w14:val="none"/>
        </w:rPr>
        <w:t>FINDINGS AND DISCUSSIONS</w:t>
      </w:r>
    </w:p>
    <w:p w14:paraId="02A1FDF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 xml:space="preserve">Descriptive Statistics </w:t>
      </w:r>
    </w:p>
    <w:p w14:paraId="1B98358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27 copies of questionnaires were sent via e-mails to the respondents. The respondents were sent reminder e-mails in order to get responses promptly from them. However, only 20 copies were completed and returned through e-mail. The 20 copies of questionnaire retrieved from the respondents were adopted for the study, and this gave a 74.1% response rate. </w:t>
      </w:r>
    </w:p>
    <w:p w14:paraId="39499B1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Demographic Features:</w:t>
      </w:r>
    </w:p>
    <w:p w14:paraId="57CF8A2F"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14:ligatures w14:val="none"/>
        </w:rPr>
      </w:pPr>
      <w:r w:rsidRPr="00CA26B4">
        <w:rPr>
          <w:rFonts w:ascii="Times New Roman" w:eastAsia="Times New Roman" w:hAnsi="Times New Roman" w:cs="Times New Roman"/>
          <w:kern w:val="0"/>
          <w14:ligatures w14:val="none"/>
        </w:rPr>
        <w:t xml:space="preserve">For the purpose of this study, the chief demographic feature analyzed was the gender of the respondents.    </w:t>
      </w:r>
    </w:p>
    <w:p w14:paraId="4FF51C31" w14:textId="77777777" w:rsidR="00CA26B4" w:rsidRPr="00CA26B4" w:rsidRDefault="00CA26B4" w:rsidP="002C3670">
      <w:pPr>
        <w:spacing w:before="100" w:beforeAutospacing="1" w:after="200" w:line="240" w:lineRule="auto"/>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Table 1: Gender of Respondents</w:t>
      </w:r>
    </w:p>
    <w:tbl>
      <w:tblPr>
        <w:tblW w:w="3480" w:type="dxa"/>
        <w:tblInd w:w="30" w:type="dxa"/>
        <w:tblBorders>
          <w:bottom w:val="single" w:sz="4" w:space="0" w:color="auto"/>
        </w:tblBorders>
        <w:tblLayout w:type="fixed"/>
        <w:tblCellMar>
          <w:left w:w="0" w:type="dxa"/>
          <w:right w:w="0" w:type="dxa"/>
        </w:tblCellMar>
        <w:tblLook w:val="04A0" w:firstRow="1" w:lastRow="0" w:firstColumn="1" w:lastColumn="0" w:noHBand="0" w:noVBand="1"/>
      </w:tblPr>
      <w:tblGrid>
        <w:gridCol w:w="1320"/>
        <w:gridCol w:w="1170"/>
        <w:gridCol w:w="990"/>
      </w:tblGrid>
      <w:tr w:rsidR="00CA26B4" w:rsidRPr="00CA26B4" w14:paraId="19D60689" w14:textId="77777777" w:rsidTr="00483C28">
        <w:trPr>
          <w:trHeight w:val="225"/>
        </w:trPr>
        <w:tc>
          <w:tcPr>
            <w:tcW w:w="1320" w:type="dxa"/>
            <w:tcBorders>
              <w:top w:val="nil"/>
              <w:left w:val="nil"/>
              <w:bottom w:val="nil"/>
              <w:right w:val="nil"/>
            </w:tcBorders>
          </w:tcPr>
          <w:p w14:paraId="09476BF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lang w:val="en-GB"/>
                <w14:ligatures w14:val="none"/>
              </w:rPr>
            </w:pPr>
            <w:r w:rsidRPr="00CA26B4">
              <w:rPr>
                <w:rFonts w:ascii="Times New Roman" w:eastAsia="Times New Roman" w:hAnsi="Times New Roman" w:cs="Times New Roman"/>
                <w:b/>
                <w:kern w:val="0"/>
                <w14:ligatures w14:val="none"/>
              </w:rPr>
              <w:t xml:space="preserve">items: </w:t>
            </w:r>
          </w:p>
        </w:tc>
        <w:tc>
          <w:tcPr>
            <w:tcW w:w="1170" w:type="dxa"/>
            <w:tcBorders>
              <w:top w:val="nil"/>
              <w:left w:val="nil"/>
              <w:bottom w:val="nil"/>
              <w:right w:val="nil"/>
            </w:tcBorders>
            <w:vAlign w:val="bottom"/>
          </w:tcPr>
          <w:p w14:paraId="1405358D" w14:textId="77777777" w:rsidR="00CA26B4" w:rsidRPr="00CA26B4" w:rsidRDefault="00CA26B4" w:rsidP="002C3670">
            <w:pPr>
              <w:adjustRightInd w:val="0"/>
              <w:spacing w:before="100" w:beforeAutospacing="1" w:line="240" w:lineRule="auto"/>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Frequency</w:t>
            </w:r>
          </w:p>
        </w:tc>
        <w:tc>
          <w:tcPr>
            <w:tcW w:w="990" w:type="dxa"/>
            <w:tcBorders>
              <w:top w:val="nil"/>
              <w:left w:val="nil"/>
              <w:bottom w:val="nil"/>
              <w:right w:val="nil"/>
            </w:tcBorders>
            <w:vAlign w:val="bottom"/>
          </w:tcPr>
          <w:p w14:paraId="26E427C2" w14:textId="77777777" w:rsidR="00CA26B4" w:rsidRPr="00CA26B4" w:rsidRDefault="00CA26B4" w:rsidP="002C3670">
            <w:pPr>
              <w:adjustRightInd w:val="0"/>
              <w:spacing w:before="100" w:beforeAutospacing="1" w:line="240" w:lineRule="auto"/>
              <w:jc w:val="center"/>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 xml:space="preserve">%          </w:t>
            </w:r>
          </w:p>
        </w:tc>
      </w:tr>
      <w:tr w:rsidR="00CA26B4" w:rsidRPr="00CA26B4" w14:paraId="39627C2C" w14:textId="77777777" w:rsidTr="00483C28">
        <w:trPr>
          <w:trHeight w:val="225"/>
        </w:trPr>
        <w:tc>
          <w:tcPr>
            <w:tcW w:w="1320" w:type="dxa"/>
            <w:tcBorders>
              <w:top w:val="nil"/>
              <w:left w:val="nil"/>
              <w:bottom w:val="nil"/>
              <w:right w:val="nil"/>
            </w:tcBorders>
          </w:tcPr>
          <w:p w14:paraId="42C56D1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lang w:val="en-GB"/>
                <w14:ligatures w14:val="none"/>
              </w:rPr>
            </w:pPr>
            <w:r w:rsidRPr="00CA26B4">
              <w:rPr>
                <w:rFonts w:ascii="Times New Roman" w:eastAsia="Times New Roman" w:hAnsi="Times New Roman" w:cs="Times New Roman"/>
                <w:kern w:val="0"/>
                <w14:ligatures w14:val="none"/>
              </w:rPr>
              <w:t>Male</w:t>
            </w:r>
          </w:p>
        </w:tc>
        <w:tc>
          <w:tcPr>
            <w:tcW w:w="1170" w:type="dxa"/>
            <w:tcBorders>
              <w:top w:val="nil"/>
              <w:left w:val="nil"/>
              <w:bottom w:val="nil"/>
              <w:right w:val="nil"/>
            </w:tcBorders>
            <w:vAlign w:val="bottom"/>
          </w:tcPr>
          <w:p w14:paraId="2AF600F7" w14:textId="77777777" w:rsidR="00CA26B4" w:rsidRPr="00CA26B4" w:rsidRDefault="00CA26B4" w:rsidP="002C3670">
            <w:pPr>
              <w:adjustRightInd w:val="0"/>
              <w:spacing w:before="100" w:beforeAutospacing="1" w:line="240" w:lineRule="auto"/>
              <w:jc w:val="center"/>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12</w:t>
            </w:r>
          </w:p>
        </w:tc>
        <w:tc>
          <w:tcPr>
            <w:tcW w:w="990" w:type="dxa"/>
            <w:tcBorders>
              <w:top w:val="nil"/>
              <w:left w:val="nil"/>
              <w:bottom w:val="nil"/>
              <w:right w:val="nil"/>
            </w:tcBorders>
            <w:vAlign w:val="bottom"/>
          </w:tcPr>
          <w:p w14:paraId="3A8FCAC3" w14:textId="77777777" w:rsidR="00CA26B4" w:rsidRPr="00CA26B4" w:rsidRDefault="00CA26B4" w:rsidP="002C3670">
            <w:pPr>
              <w:adjustRightInd w:val="0"/>
              <w:spacing w:before="100" w:beforeAutospacing="1" w:line="240" w:lineRule="auto"/>
              <w:jc w:val="center"/>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 60.00</w:t>
            </w:r>
          </w:p>
        </w:tc>
      </w:tr>
      <w:tr w:rsidR="00CA26B4" w:rsidRPr="00CA26B4" w14:paraId="6A3BB3A6" w14:textId="77777777" w:rsidTr="00483C28">
        <w:trPr>
          <w:trHeight w:val="225"/>
        </w:trPr>
        <w:tc>
          <w:tcPr>
            <w:tcW w:w="1320" w:type="dxa"/>
            <w:tcBorders>
              <w:top w:val="nil"/>
              <w:left w:val="nil"/>
              <w:bottom w:val="nil"/>
              <w:right w:val="nil"/>
            </w:tcBorders>
          </w:tcPr>
          <w:p w14:paraId="12427BF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lang w:val="en-GB"/>
                <w14:ligatures w14:val="none"/>
              </w:rPr>
            </w:pPr>
            <w:r w:rsidRPr="00CA26B4">
              <w:rPr>
                <w:rFonts w:ascii="Times New Roman" w:eastAsia="Times New Roman" w:hAnsi="Times New Roman" w:cs="Times New Roman"/>
                <w:kern w:val="0"/>
                <w14:ligatures w14:val="none"/>
              </w:rPr>
              <w:t xml:space="preserve">Female </w:t>
            </w:r>
          </w:p>
        </w:tc>
        <w:tc>
          <w:tcPr>
            <w:tcW w:w="1170" w:type="dxa"/>
            <w:tcBorders>
              <w:top w:val="nil"/>
              <w:left w:val="nil"/>
              <w:bottom w:val="nil"/>
              <w:right w:val="nil"/>
            </w:tcBorders>
            <w:vAlign w:val="bottom"/>
          </w:tcPr>
          <w:p w14:paraId="1B99FC8F" w14:textId="77777777" w:rsidR="00CA26B4" w:rsidRPr="00CA26B4" w:rsidRDefault="00CA26B4" w:rsidP="002C3670">
            <w:pPr>
              <w:adjustRightInd w:val="0"/>
              <w:spacing w:before="100" w:beforeAutospacing="1" w:line="240" w:lineRule="auto"/>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       08</w:t>
            </w:r>
          </w:p>
        </w:tc>
        <w:tc>
          <w:tcPr>
            <w:tcW w:w="990" w:type="dxa"/>
            <w:tcBorders>
              <w:top w:val="nil"/>
              <w:left w:val="nil"/>
              <w:bottom w:val="nil"/>
              <w:right w:val="nil"/>
            </w:tcBorders>
            <w:vAlign w:val="bottom"/>
          </w:tcPr>
          <w:p w14:paraId="7D7AC746" w14:textId="77777777" w:rsidR="00CA26B4" w:rsidRPr="00CA26B4" w:rsidRDefault="00CA26B4" w:rsidP="002C3670">
            <w:pPr>
              <w:adjustRightInd w:val="0"/>
              <w:spacing w:before="100" w:beforeAutospacing="1" w:line="240" w:lineRule="auto"/>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 xml:space="preserve">     40.00</w:t>
            </w:r>
          </w:p>
        </w:tc>
      </w:tr>
      <w:tr w:rsidR="00CA26B4" w:rsidRPr="00CA26B4" w14:paraId="417D09D7" w14:textId="77777777" w:rsidTr="00483C28">
        <w:trPr>
          <w:trHeight w:val="225"/>
        </w:trPr>
        <w:tc>
          <w:tcPr>
            <w:tcW w:w="1320" w:type="dxa"/>
            <w:tcBorders>
              <w:top w:val="nil"/>
              <w:left w:val="nil"/>
              <w:bottom w:val="single" w:sz="4" w:space="0" w:color="auto"/>
              <w:right w:val="nil"/>
            </w:tcBorders>
          </w:tcPr>
          <w:p w14:paraId="0F67E4D0"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lang w:val="en-GB"/>
                <w14:ligatures w14:val="none"/>
              </w:rPr>
            </w:pPr>
            <w:r w:rsidRPr="00CA26B4">
              <w:rPr>
                <w:rFonts w:ascii="Times New Roman" w:eastAsia="Times New Roman" w:hAnsi="Times New Roman" w:cs="Times New Roman"/>
                <w:kern w:val="0"/>
                <w14:ligatures w14:val="none"/>
              </w:rPr>
              <w:t xml:space="preserve">Total  </w:t>
            </w:r>
          </w:p>
        </w:tc>
        <w:tc>
          <w:tcPr>
            <w:tcW w:w="1170" w:type="dxa"/>
            <w:tcBorders>
              <w:top w:val="nil"/>
              <w:left w:val="nil"/>
              <w:bottom w:val="single" w:sz="4" w:space="0" w:color="auto"/>
              <w:right w:val="nil"/>
            </w:tcBorders>
            <w:vAlign w:val="bottom"/>
          </w:tcPr>
          <w:p w14:paraId="1FC1BC8E" w14:textId="77777777" w:rsidR="00CA26B4" w:rsidRPr="00CA26B4" w:rsidRDefault="00CA26B4" w:rsidP="002C3670">
            <w:pPr>
              <w:adjustRightInd w:val="0"/>
              <w:spacing w:before="100" w:beforeAutospacing="1" w:line="240" w:lineRule="auto"/>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       20</w:t>
            </w:r>
          </w:p>
        </w:tc>
        <w:tc>
          <w:tcPr>
            <w:tcW w:w="990" w:type="dxa"/>
            <w:tcBorders>
              <w:top w:val="nil"/>
              <w:left w:val="nil"/>
              <w:bottom w:val="single" w:sz="4" w:space="0" w:color="auto"/>
              <w:right w:val="nil"/>
            </w:tcBorders>
            <w:vAlign w:val="bottom"/>
          </w:tcPr>
          <w:p w14:paraId="666B67E1" w14:textId="77777777" w:rsidR="00CA26B4" w:rsidRPr="00CA26B4" w:rsidRDefault="00CA26B4" w:rsidP="002C3670">
            <w:pPr>
              <w:adjustRightInd w:val="0"/>
              <w:spacing w:before="100" w:beforeAutospacing="1" w:line="240" w:lineRule="auto"/>
              <w:jc w:val="center"/>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100.00</w:t>
            </w:r>
          </w:p>
        </w:tc>
      </w:tr>
    </w:tbl>
    <w:p w14:paraId="74EF548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Source: Field Data, 2026</w:t>
      </w:r>
    </w:p>
    <w:p w14:paraId="1C8B57B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From the table above, out of the 20 </w:t>
      </w:r>
      <w:proofErr w:type="gramStart"/>
      <w:r w:rsidRPr="00CA26B4">
        <w:rPr>
          <w:rFonts w:ascii="Times New Roman" w:eastAsia="Times New Roman" w:hAnsi="Times New Roman" w:cs="Times New Roman"/>
          <w:kern w:val="0"/>
          <w14:ligatures w14:val="none"/>
        </w:rPr>
        <w:t>officials  interviewed</w:t>
      </w:r>
      <w:proofErr w:type="gramEnd"/>
      <w:r w:rsidRPr="00CA26B4">
        <w:rPr>
          <w:rFonts w:ascii="Times New Roman" w:eastAsia="Times New Roman" w:hAnsi="Times New Roman" w:cs="Times New Roman"/>
          <w:kern w:val="0"/>
          <w14:ligatures w14:val="none"/>
        </w:rPr>
        <w:t>, 12 (60%) were males, while, 8 (40%) were females.</w:t>
      </w:r>
    </w:p>
    <w:p w14:paraId="6641F5F3" w14:textId="77777777" w:rsidR="002C3670" w:rsidRDefault="002C3670" w:rsidP="002C3670">
      <w:pPr>
        <w:spacing w:before="100" w:beforeAutospacing="1" w:after="200" w:line="240" w:lineRule="auto"/>
        <w:jc w:val="both"/>
        <w:rPr>
          <w:rFonts w:ascii="Times New Roman" w:eastAsia="Times New Roman" w:hAnsi="Times New Roman" w:cs="Times New Roman"/>
          <w:b/>
          <w:kern w:val="0"/>
          <w14:ligatures w14:val="none"/>
        </w:rPr>
      </w:pPr>
    </w:p>
    <w:p w14:paraId="17E685F4" w14:textId="77777777" w:rsidR="002C3670" w:rsidRDefault="002C3670" w:rsidP="002C3670">
      <w:pPr>
        <w:spacing w:before="100" w:beforeAutospacing="1" w:after="200" w:line="240" w:lineRule="auto"/>
        <w:jc w:val="both"/>
        <w:rPr>
          <w:rFonts w:ascii="Times New Roman" w:eastAsia="Times New Roman" w:hAnsi="Times New Roman" w:cs="Times New Roman"/>
          <w:b/>
          <w:kern w:val="0"/>
          <w14:ligatures w14:val="none"/>
        </w:rPr>
      </w:pPr>
    </w:p>
    <w:p w14:paraId="7DED72A8" w14:textId="77777777" w:rsidR="002C3670" w:rsidRDefault="002C3670" w:rsidP="002C3670">
      <w:pPr>
        <w:spacing w:before="100" w:beforeAutospacing="1" w:after="200" w:line="240" w:lineRule="auto"/>
        <w:jc w:val="both"/>
        <w:rPr>
          <w:rFonts w:ascii="Times New Roman" w:eastAsia="Times New Roman" w:hAnsi="Times New Roman" w:cs="Times New Roman"/>
          <w:b/>
          <w:kern w:val="0"/>
          <w14:ligatures w14:val="none"/>
        </w:rPr>
      </w:pPr>
    </w:p>
    <w:p w14:paraId="5F098CB9" w14:textId="77777777" w:rsidR="002C3670" w:rsidRDefault="002C3670" w:rsidP="002C3670">
      <w:pPr>
        <w:spacing w:before="100" w:beforeAutospacing="1" w:after="200" w:line="240" w:lineRule="auto"/>
        <w:jc w:val="both"/>
        <w:rPr>
          <w:rFonts w:ascii="Times New Roman" w:eastAsia="Times New Roman" w:hAnsi="Times New Roman" w:cs="Times New Roman"/>
          <w:b/>
          <w:kern w:val="0"/>
          <w14:ligatures w14:val="none"/>
        </w:rPr>
      </w:pPr>
    </w:p>
    <w:p w14:paraId="2124E6BE" w14:textId="77777777" w:rsidR="002C3670" w:rsidRDefault="002C3670" w:rsidP="002C3670">
      <w:pPr>
        <w:spacing w:before="100" w:beforeAutospacing="1" w:after="200" w:line="240" w:lineRule="auto"/>
        <w:jc w:val="both"/>
        <w:rPr>
          <w:rFonts w:ascii="Times New Roman" w:eastAsia="Times New Roman" w:hAnsi="Times New Roman" w:cs="Times New Roman"/>
          <w:b/>
          <w:kern w:val="0"/>
          <w14:ligatures w14:val="none"/>
        </w:rPr>
      </w:pPr>
    </w:p>
    <w:p w14:paraId="28B13E88" w14:textId="0C68878D"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lastRenderedPageBreak/>
        <w:t xml:space="preserve">Analysis of Research Questions </w:t>
      </w:r>
    </w:p>
    <w:p w14:paraId="32B8B795"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A0A0A"/>
          <w:kern w:val="0"/>
          <w:shd w:val="clear" w:color="auto" w:fill="FFFFFF"/>
          <w14:ligatures w14:val="none"/>
        </w:rPr>
      </w:pPr>
      <w:r w:rsidRPr="00CA26B4">
        <w:rPr>
          <w:rFonts w:ascii="Times New Roman" w:eastAsia="Times New Roman" w:hAnsi="Times New Roman" w:cs="Times New Roman"/>
          <w:b/>
          <w:kern w:val="0"/>
          <w14:ligatures w14:val="none"/>
        </w:rPr>
        <w:t>Table 2: The extent to which</w:t>
      </w:r>
      <w:r w:rsidRPr="00CA26B4">
        <w:rPr>
          <w:rFonts w:ascii="Times New Roman" w:eastAsia="Times New Roman" w:hAnsi="Times New Roman" w:cs="Times New Roman"/>
          <w:color w:val="000033"/>
          <w:kern w:val="0"/>
          <w14:ligatures w14:val="none"/>
        </w:rPr>
        <w:t xml:space="preserve"> </w:t>
      </w:r>
      <w:r w:rsidRPr="00CA26B4">
        <w:rPr>
          <w:rFonts w:ascii="Times New Roman" w:eastAsia="Calibri" w:hAnsi="Times New Roman" w:cs="Times New Roman"/>
          <w:b/>
          <w:bCs/>
          <w:kern w:val="0"/>
          <w14:ligatures w14:val="none"/>
        </w:rPr>
        <w:t>triple-entry accounting affect digital return on investment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3511"/>
        <w:gridCol w:w="810"/>
        <w:gridCol w:w="630"/>
        <w:gridCol w:w="540"/>
        <w:gridCol w:w="720"/>
        <w:gridCol w:w="810"/>
        <w:gridCol w:w="714"/>
        <w:gridCol w:w="1176"/>
      </w:tblGrid>
      <w:tr w:rsidR="00CA26B4" w:rsidRPr="00CA26B4" w14:paraId="0F6180E3" w14:textId="77777777" w:rsidTr="00483C28">
        <w:tc>
          <w:tcPr>
            <w:tcW w:w="557" w:type="dxa"/>
            <w:tcBorders>
              <w:top w:val="single" w:sz="4" w:space="0" w:color="auto"/>
              <w:left w:val="single" w:sz="4" w:space="0" w:color="auto"/>
              <w:bottom w:val="single" w:sz="4" w:space="0" w:color="auto"/>
              <w:right w:val="single" w:sz="4" w:space="0" w:color="auto"/>
            </w:tcBorders>
          </w:tcPr>
          <w:p w14:paraId="7367903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S/n.</w:t>
            </w:r>
          </w:p>
        </w:tc>
        <w:tc>
          <w:tcPr>
            <w:tcW w:w="3511" w:type="dxa"/>
            <w:tcBorders>
              <w:top w:val="single" w:sz="4" w:space="0" w:color="auto"/>
              <w:left w:val="single" w:sz="4" w:space="0" w:color="auto"/>
              <w:bottom w:val="single" w:sz="4" w:space="0" w:color="auto"/>
              <w:right w:val="single" w:sz="4" w:space="0" w:color="auto"/>
            </w:tcBorders>
          </w:tcPr>
          <w:p w14:paraId="67156E7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Item</w:t>
            </w:r>
          </w:p>
        </w:tc>
        <w:tc>
          <w:tcPr>
            <w:tcW w:w="810" w:type="dxa"/>
            <w:tcBorders>
              <w:top w:val="single" w:sz="4" w:space="0" w:color="auto"/>
              <w:left w:val="single" w:sz="4" w:space="0" w:color="auto"/>
              <w:bottom w:val="single" w:sz="4" w:space="0" w:color="auto"/>
              <w:right w:val="single" w:sz="4" w:space="0" w:color="auto"/>
            </w:tcBorders>
          </w:tcPr>
          <w:p w14:paraId="3C3ACFA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VHE</w:t>
            </w:r>
          </w:p>
        </w:tc>
        <w:tc>
          <w:tcPr>
            <w:tcW w:w="630" w:type="dxa"/>
            <w:tcBorders>
              <w:top w:val="single" w:sz="4" w:space="0" w:color="auto"/>
              <w:left w:val="single" w:sz="4" w:space="0" w:color="auto"/>
              <w:bottom w:val="single" w:sz="4" w:space="0" w:color="auto"/>
              <w:right w:val="single" w:sz="4" w:space="0" w:color="auto"/>
            </w:tcBorders>
          </w:tcPr>
          <w:p w14:paraId="373DE58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HE</w:t>
            </w:r>
          </w:p>
        </w:tc>
        <w:tc>
          <w:tcPr>
            <w:tcW w:w="540" w:type="dxa"/>
            <w:tcBorders>
              <w:top w:val="single" w:sz="4" w:space="0" w:color="auto"/>
              <w:left w:val="single" w:sz="4" w:space="0" w:color="auto"/>
              <w:bottom w:val="single" w:sz="4" w:space="0" w:color="auto"/>
              <w:right w:val="single" w:sz="4" w:space="0" w:color="auto"/>
            </w:tcBorders>
          </w:tcPr>
          <w:p w14:paraId="5C9B6966"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LE</w:t>
            </w:r>
          </w:p>
        </w:tc>
        <w:tc>
          <w:tcPr>
            <w:tcW w:w="720" w:type="dxa"/>
            <w:tcBorders>
              <w:top w:val="single" w:sz="4" w:space="0" w:color="auto"/>
              <w:left w:val="single" w:sz="4" w:space="0" w:color="auto"/>
              <w:bottom w:val="single" w:sz="4" w:space="0" w:color="auto"/>
              <w:right w:val="single" w:sz="4" w:space="0" w:color="auto"/>
            </w:tcBorders>
          </w:tcPr>
          <w:p w14:paraId="5127437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VLE</w:t>
            </w:r>
          </w:p>
        </w:tc>
        <w:tc>
          <w:tcPr>
            <w:tcW w:w="810" w:type="dxa"/>
            <w:tcBorders>
              <w:top w:val="single" w:sz="4" w:space="0" w:color="auto"/>
              <w:left w:val="single" w:sz="4" w:space="0" w:color="auto"/>
              <w:bottom w:val="single" w:sz="4" w:space="0" w:color="auto"/>
              <w:right w:val="single" w:sz="4" w:space="0" w:color="auto"/>
            </w:tcBorders>
          </w:tcPr>
          <w:p w14:paraId="6A54557E"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Mean</w:t>
            </w:r>
          </w:p>
        </w:tc>
        <w:tc>
          <w:tcPr>
            <w:tcW w:w="714" w:type="dxa"/>
            <w:tcBorders>
              <w:top w:val="single" w:sz="4" w:space="0" w:color="auto"/>
              <w:left w:val="single" w:sz="4" w:space="0" w:color="auto"/>
              <w:bottom w:val="single" w:sz="4" w:space="0" w:color="auto"/>
              <w:right w:val="single" w:sz="4" w:space="0" w:color="auto"/>
            </w:tcBorders>
          </w:tcPr>
          <w:p w14:paraId="4060A920"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SD</w:t>
            </w:r>
          </w:p>
        </w:tc>
        <w:tc>
          <w:tcPr>
            <w:tcW w:w="1176" w:type="dxa"/>
            <w:tcBorders>
              <w:top w:val="single" w:sz="4" w:space="0" w:color="auto"/>
              <w:left w:val="single" w:sz="4" w:space="0" w:color="auto"/>
              <w:bottom w:val="single" w:sz="4" w:space="0" w:color="auto"/>
              <w:right w:val="single" w:sz="4" w:space="0" w:color="auto"/>
            </w:tcBorders>
          </w:tcPr>
          <w:p w14:paraId="57450F1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Decision</w:t>
            </w:r>
          </w:p>
        </w:tc>
      </w:tr>
      <w:tr w:rsidR="00CA26B4" w:rsidRPr="00CA26B4" w14:paraId="5D7CB005" w14:textId="77777777" w:rsidTr="00483C28">
        <w:tc>
          <w:tcPr>
            <w:tcW w:w="557" w:type="dxa"/>
            <w:tcBorders>
              <w:top w:val="single" w:sz="4" w:space="0" w:color="auto"/>
              <w:left w:val="single" w:sz="4" w:space="0" w:color="auto"/>
              <w:bottom w:val="single" w:sz="4" w:space="0" w:color="auto"/>
              <w:right w:val="single" w:sz="4" w:space="0" w:color="auto"/>
            </w:tcBorders>
          </w:tcPr>
          <w:p w14:paraId="2A9A448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3511" w:type="dxa"/>
            <w:tcBorders>
              <w:top w:val="single" w:sz="4" w:space="0" w:color="auto"/>
              <w:left w:val="single" w:sz="4" w:space="0" w:color="auto"/>
              <w:bottom w:val="single" w:sz="4" w:space="0" w:color="auto"/>
              <w:right w:val="single" w:sz="4" w:space="0" w:color="auto"/>
            </w:tcBorders>
          </w:tcPr>
          <w:p w14:paraId="7B43D47E"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33"/>
                <w:kern w:val="0"/>
                <w14:ligatures w14:val="none"/>
              </w:rPr>
            </w:pPr>
            <w:r w:rsidRPr="00CA26B4">
              <w:rPr>
                <w:rFonts w:ascii="Times New Roman" w:eastAsia="Times New Roman" w:hAnsi="Times New Roman" w:cs="Times New Roman"/>
                <w:b/>
                <w:kern w:val="0"/>
                <w14:ligatures w14:val="none"/>
              </w:rPr>
              <w:t xml:space="preserve">Research question 1: </w:t>
            </w:r>
            <w:r w:rsidRPr="00CA26B4">
              <w:rPr>
                <w:rFonts w:ascii="Times New Roman" w:eastAsia="Times New Roman" w:hAnsi="Times New Roman" w:cs="Times New Roman"/>
                <w:color w:val="000033"/>
                <w:kern w:val="0"/>
                <w14:ligatures w14:val="none"/>
              </w:rPr>
              <w:t xml:space="preserve">To what extent does </w:t>
            </w:r>
            <w:r w:rsidRPr="00CA26B4">
              <w:rPr>
                <w:rFonts w:ascii="Times New Roman" w:eastAsia="Calibri" w:hAnsi="Times New Roman" w:cs="Times New Roman"/>
                <w:kern w:val="0"/>
                <w14:ligatures w14:val="none"/>
              </w:rPr>
              <w:t>triple-entry accounting affect digital return on investment</w:t>
            </w:r>
            <w:r w:rsidRPr="00CA26B4">
              <w:rPr>
                <w:rFonts w:ascii="Times New Roman" w:eastAsia="Times New Roman" w:hAnsi="Times New Roman" w:cs="Times New Roman"/>
                <w:color w:val="0A0A0A"/>
                <w:kern w:val="0"/>
                <w:shd w:val="clear" w:color="auto" w:fill="FFFFFF"/>
                <w14:ligatures w14:val="none"/>
              </w:rPr>
              <w:t>?</w:t>
            </w:r>
          </w:p>
        </w:tc>
        <w:tc>
          <w:tcPr>
            <w:tcW w:w="810" w:type="dxa"/>
            <w:tcBorders>
              <w:top w:val="single" w:sz="4" w:space="0" w:color="auto"/>
              <w:left w:val="single" w:sz="4" w:space="0" w:color="auto"/>
              <w:bottom w:val="single" w:sz="4" w:space="0" w:color="auto"/>
              <w:right w:val="single" w:sz="4" w:space="0" w:color="auto"/>
            </w:tcBorders>
          </w:tcPr>
          <w:p w14:paraId="743BE3B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630" w:type="dxa"/>
            <w:tcBorders>
              <w:top w:val="single" w:sz="4" w:space="0" w:color="auto"/>
              <w:left w:val="single" w:sz="4" w:space="0" w:color="auto"/>
              <w:bottom w:val="single" w:sz="4" w:space="0" w:color="auto"/>
              <w:right w:val="single" w:sz="4" w:space="0" w:color="auto"/>
            </w:tcBorders>
          </w:tcPr>
          <w:p w14:paraId="389C3D7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540" w:type="dxa"/>
            <w:tcBorders>
              <w:top w:val="single" w:sz="4" w:space="0" w:color="auto"/>
              <w:left w:val="single" w:sz="4" w:space="0" w:color="auto"/>
              <w:bottom w:val="single" w:sz="4" w:space="0" w:color="auto"/>
              <w:right w:val="single" w:sz="4" w:space="0" w:color="auto"/>
            </w:tcBorders>
          </w:tcPr>
          <w:p w14:paraId="5CEE276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720" w:type="dxa"/>
            <w:tcBorders>
              <w:top w:val="single" w:sz="4" w:space="0" w:color="auto"/>
              <w:left w:val="single" w:sz="4" w:space="0" w:color="auto"/>
              <w:bottom w:val="single" w:sz="4" w:space="0" w:color="auto"/>
              <w:right w:val="single" w:sz="4" w:space="0" w:color="auto"/>
            </w:tcBorders>
          </w:tcPr>
          <w:p w14:paraId="3769ED2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810" w:type="dxa"/>
            <w:tcBorders>
              <w:top w:val="single" w:sz="4" w:space="0" w:color="auto"/>
              <w:left w:val="single" w:sz="4" w:space="0" w:color="auto"/>
              <w:bottom w:val="single" w:sz="4" w:space="0" w:color="auto"/>
              <w:right w:val="single" w:sz="4" w:space="0" w:color="auto"/>
            </w:tcBorders>
          </w:tcPr>
          <w:p w14:paraId="75BC22D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714" w:type="dxa"/>
            <w:tcBorders>
              <w:top w:val="single" w:sz="4" w:space="0" w:color="auto"/>
              <w:left w:val="single" w:sz="4" w:space="0" w:color="auto"/>
              <w:bottom w:val="single" w:sz="4" w:space="0" w:color="auto"/>
              <w:right w:val="single" w:sz="4" w:space="0" w:color="auto"/>
            </w:tcBorders>
          </w:tcPr>
          <w:p w14:paraId="4D90C5D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1176" w:type="dxa"/>
            <w:tcBorders>
              <w:top w:val="single" w:sz="4" w:space="0" w:color="auto"/>
              <w:left w:val="single" w:sz="4" w:space="0" w:color="auto"/>
              <w:bottom w:val="single" w:sz="4" w:space="0" w:color="auto"/>
              <w:right w:val="single" w:sz="4" w:space="0" w:color="auto"/>
            </w:tcBorders>
          </w:tcPr>
          <w:p w14:paraId="4602337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r>
      <w:tr w:rsidR="00CA26B4" w:rsidRPr="00CA26B4" w14:paraId="1CCD659A" w14:textId="77777777" w:rsidTr="00483C28">
        <w:tc>
          <w:tcPr>
            <w:tcW w:w="557" w:type="dxa"/>
            <w:tcBorders>
              <w:top w:val="single" w:sz="4" w:space="0" w:color="auto"/>
              <w:left w:val="single" w:sz="4" w:space="0" w:color="auto"/>
              <w:bottom w:val="single" w:sz="4" w:space="0" w:color="auto"/>
              <w:right w:val="single" w:sz="4" w:space="0" w:color="auto"/>
            </w:tcBorders>
          </w:tcPr>
          <w:p w14:paraId="1379A99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1.</w:t>
            </w:r>
          </w:p>
        </w:tc>
        <w:tc>
          <w:tcPr>
            <w:tcW w:w="3511" w:type="dxa"/>
            <w:tcBorders>
              <w:top w:val="single" w:sz="4" w:space="0" w:color="auto"/>
              <w:left w:val="single" w:sz="4" w:space="0" w:color="auto"/>
              <w:bottom w:val="single" w:sz="4" w:space="0" w:color="auto"/>
              <w:right w:val="single" w:sz="4" w:space="0" w:color="auto"/>
            </w:tcBorders>
          </w:tcPr>
          <w:p w14:paraId="3D6B4C9C" w14:textId="77777777" w:rsidR="00CA26B4" w:rsidRPr="00CA26B4" w:rsidRDefault="00CA26B4" w:rsidP="002C3670">
            <w:pPr>
              <w:spacing w:before="100" w:beforeAutospacing="1" w:after="200" w:line="240" w:lineRule="auto"/>
              <w:rPr>
                <w:rFonts w:ascii="Times New Roman" w:eastAsia="Times New Roman" w:hAnsi="Times New Roman" w:cs="Times New Roman"/>
                <w:kern w:val="0"/>
                <w14:ligatures w14:val="none"/>
              </w:rPr>
            </w:pPr>
            <w:r w:rsidRPr="00CA26B4">
              <w:rPr>
                <w:rFonts w:ascii="Times New Roman" w:eastAsia="Times New Roman" w:hAnsi="Times New Roman" w:cs="Times New Roman"/>
                <w:bCs/>
                <w:kern w:val="0"/>
                <w14:ligatures w14:val="none"/>
              </w:rPr>
              <w:t xml:space="preserve">To what extent does triple-entry accounting </w:t>
            </w:r>
            <w:proofErr w:type="gramStart"/>
            <w:r w:rsidRPr="00CA26B4">
              <w:rPr>
                <w:rFonts w:ascii="Times New Roman" w:eastAsia="Arial" w:hAnsi="Times New Roman" w:cs="Times New Roman"/>
                <w:color w:val="0A0A0A"/>
                <w:kern w:val="0"/>
                <w:shd w:val="clear" w:color="auto" w:fill="FFFFFF"/>
                <w14:ligatures w14:val="none"/>
              </w:rPr>
              <w:t>enhances</w:t>
            </w:r>
            <w:proofErr w:type="gramEnd"/>
            <w:r w:rsidRPr="00CA26B4">
              <w:rPr>
                <w:rFonts w:ascii="Times New Roman" w:eastAsia="Arial" w:hAnsi="Times New Roman" w:cs="Times New Roman"/>
                <w:color w:val="0A0A0A"/>
                <w:kern w:val="0"/>
                <w:shd w:val="clear" w:color="auto" w:fill="FFFFFF"/>
                <w14:ligatures w14:val="none"/>
              </w:rPr>
              <w:t xml:space="preserve"> traditional double-entry bookkeeping</w:t>
            </w:r>
            <w:r w:rsidRPr="00CA26B4">
              <w:rPr>
                <w:rFonts w:ascii="Times New Roman" w:eastAsia="Times New Roman" w:hAnsi="Times New Roman" w:cs="Times New Roman"/>
                <w:kern w:val="0"/>
                <w14:ligatures w14:val="none"/>
              </w:rPr>
              <w:t>?</w:t>
            </w:r>
          </w:p>
        </w:tc>
        <w:tc>
          <w:tcPr>
            <w:tcW w:w="810" w:type="dxa"/>
            <w:tcBorders>
              <w:top w:val="single" w:sz="4" w:space="0" w:color="auto"/>
              <w:left w:val="single" w:sz="4" w:space="0" w:color="auto"/>
              <w:bottom w:val="single" w:sz="4" w:space="0" w:color="auto"/>
              <w:right w:val="single" w:sz="4" w:space="0" w:color="auto"/>
            </w:tcBorders>
          </w:tcPr>
          <w:p w14:paraId="5866DF3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9</w:t>
            </w:r>
          </w:p>
        </w:tc>
        <w:tc>
          <w:tcPr>
            <w:tcW w:w="630" w:type="dxa"/>
            <w:tcBorders>
              <w:top w:val="single" w:sz="4" w:space="0" w:color="auto"/>
              <w:left w:val="single" w:sz="4" w:space="0" w:color="auto"/>
              <w:bottom w:val="single" w:sz="4" w:space="0" w:color="auto"/>
              <w:right w:val="single" w:sz="4" w:space="0" w:color="auto"/>
            </w:tcBorders>
          </w:tcPr>
          <w:p w14:paraId="7D8DA24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6</w:t>
            </w:r>
          </w:p>
        </w:tc>
        <w:tc>
          <w:tcPr>
            <w:tcW w:w="540" w:type="dxa"/>
            <w:tcBorders>
              <w:top w:val="single" w:sz="4" w:space="0" w:color="auto"/>
              <w:left w:val="single" w:sz="4" w:space="0" w:color="auto"/>
              <w:bottom w:val="single" w:sz="4" w:space="0" w:color="auto"/>
              <w:right w:val="single" w:sz="4" w:space="0" w:color="auto"/>
            </w:tcBorders>
          </w:tcPr>
          <w:p w14:paraId="3D96AC0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w:t>
            </w:r>
          </w:p>
        </w:tc>
        <w:tc>
          <w:tcPr>
            <w:tcW w:w="720" w:type="dxa"/>
            <w:tcBorders>
              <w:top w:val="single" w:sz="4" w:space="0" w:color="auto"/>
              <w:left w:val="single" w:sz="4" w:space="0" w:color="auto"/>
              <w:bottom w:val="single" w:sz="4" w:space="0" w:color="auto"/>
              <w:right w:val="single" w:sz="4" w:space="0" w:color="auto"/>
            </w:tcBorders>
          </w:tcPr>
          <w:p w14:paraId="58531BC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2</w:t>
            </w:r>
          </w:p>
        </w:tc>
        <w:tc>
          <w:tcPr>
            <w:tcW w:w="810" w:type="dxa"/>
            <w:tcBorders>
              <w:top w:val="single" w:sz="4" w:space="0" w:color="auto"/>
              <w:left w:val="single" w:sz="4" w:space="0" w:color="auto"/>
              <w:bottom w:val="single" w:sz="4" w:space="0" w:color="auto"/>
              <w:right w:val="single" w:sz="4" w:space="0" w:color="auto"/>
            </w:tcBorders>
          </w:tcPr>
          <w:p w14:paraId="075C9B53" w14:textId="77777777" w:rsidR="00CA26B4" w:rsidRPr="00CA26B4" w:rsidRDefault="00CA26B4" w:rsidP="002C3670">
            <w:pPr>
              <w:spacing w:before="100" w:beforeAutospacing="1" w:line="240" w:lineRule="auto"/>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3.10</w:t>
            </w:r>
          </w:p>
        </w:tc>
        <w:tc>
          <w:tcPr>
            <w:tcW w:w="714" w:type="dxa"/>
            <w:tcBorders>
              <w:top w:val="single" w:sz="4" w:space="0" w:color="auto"/>
              <w:left w:val="single" w:sz="4" w:space="0" w:color="auto"/>
              <w:bottom w:val="single" w:sz="4" w:space="0" w:color="auto"/>
              <w:right w:val="single" w:sz="4" w:space="0" w:color="auto"/>
            </w:tcBorders>
          </w:tcPr>
          <w:p w14:paraId="06BF7B5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0.97</w:t>
            </w:r>
          </w:p>
        </w:tc>
        <w:tc>
          <w:tcPr>
            <w:tcW w:w="1176" w:type="dxa"/>
            <w:tcBorders>
              <w:top w:val="single" w:sz="4" w:space="0" w:color="auto"/>
              <w:left w:val="single" w:sz="4" w:space="0" w:color="auto"/>
              <w:bottom w:val="single" w:sz="4" w:space="0" w:color="auto"/>
              <w:right w:val="single" w:sz="4" w:space="0" w:color="auto"/>
            </w:tcBorders>
          </w:tcPr>
          <w:p w14:paraId="7AEACD2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468283EF" w14:textId="77777777" w:rsidTr="00483C28">
        <w:tc>
          <w:tcPr>
            <w:tcW w:w="557" w:type="dxa"/>
            <w:tcBorders>
              <w:top w:val="single" w:sz="4" w:space="0" w:color="auto"/>
              <w:left w:val="single" w:sz="4" w:space="0" w:color="auto"/>
              <w:bottom w:val="single" w:sz="4" w:space="0" w:color="auto"/>
              <w:right w:val="single" w:sz="4" w:space="0" w:color="auto"/>
            </w:tcBorders>
          </w:tcPr>
          <w:p w14:paraId="0EBF985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2</w:t>
            </w:r>
          </w:p>
        </w:tc>
        <w:tc>
          <w:tcPr>
            <w:tcW w:w="3511" w:type="dxa"/>
            <w:tcBorders>
              <w:top w:val="single" w:sz="4" w:space="0" w:color="auto"/>
              <w:left w:val="single" w:sz="4" w:space="0" w:color="auto"/>
              <w:bottom w:val="single" w:sz="4" w:space="0" w:color="auto"/>
              <w:right w:val="single" w:sz="4" w:space="0" w:color="auto"/>
            </w:tcBorders>
          </w:tcPr>
          <w:p w14:paraId="674421D0" w14:textId="77777777" w:rsidR="00CA26B4" w:rsidRPr="00CA26B4" w:rsidRDefault="00CA26B4" w:rsidP="002C3670">
            <w:pPr>
              <w:spacing w:before="100" w:beforeAutospacing="1" w:after="200" w:line="240" w:lineRule="auto"/>
              <w:ind w:left="120" w:hangingChars="50" w:hanging="120"/>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bCs/>
                <w:kern w:val="0"/>
                <w14:ligatures w14:val="none"/>
              </w:rPr>
              <w:t xml:space="preserve">To what extent does the use of </w:t>
            </w:r>
            <w:r w:rsidRPr="00CA26B4">
              <w:rPr>
                <w:rFonts w:ascii="Times New Roman" w:eastAsia="Calibri" w:hAnsi="Times New Roman" w:cs="Times New Roman"/>
                <w:kern w:val="0"/>
                <w14:ligatures w14:val="none"/>
              </w:rPr>
              <w:t>triple-entry accounting mitigate cybercrime</w:t>
            </w:r>
            <w:r w:rsidRPr="00CA26B4">
              <w:rPr>
                <w:rFonts w:ascii="Times New Roman" w:eastAsia="Times New Roman" w:hAnsi="Times New Roman" w:cs="Times New Roman"/>
                <w:kern w:val="0"/>
                <w14:ligatures w14:val="none"/>
              </w:rPr>
              <w:t xml:space="preserve">? </w:t>
            </w:r>
          </w:p>
        </w:tc>
        <w:tc>
          <w:tcPr>
            <w:tcW w:w="810" w:type="dxa"/>
            <w:tcBorders>
              <w:top w:val="single" w:sz="4" w:space="0" w:color="auto"/>
              <w:left w:val="single" w:sz="4" w:space="0" w:color="auto"/>
              <w:bottom w:val="single" w:sz="4" w:space="0" w:color="auto"/>
              <w:right w:val="single" w:sz="4" w:space="0" w:color="auto"/>
            </w:tcBorders>
          </w:tcPr>
          <w:p w14:paraId="3BD20B1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10</w:t>
            </w:r>
          </w:p>
        </w:tc>
        <w:tc>
          <w:tcPr>
            <w:tcW w:w="630" w:type="dxa"/>
            <w:tcBorders>
              <w:top w:val="single" w:sz="4" w:space="0" w:color="auto"/>
              <w:left w:val="single" w:sz="4" w:space="0" w:color="auto"/>
              <w:bottom w:val="single" w:sz="4" w:space="0" w:color="auto"/>
              <w:right w:val="single" w:sz="4" w:space="0" w:color="auto"/>
            </w:tcBorders>
          </w:tcPr>
          <w:p w14:paraId="04006C1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7</w:t>
            </w:r>
          </w:p>
        </w:tc>
        <w:tc>
          <w:tcPr>
            <w:tcW w:w="540" w:type="dxa"/>
            <w:tcBorders>
              <w:top w:val="single" w:sz="4" w:space="0" w:color="auto"/>
              <w:left w:val="single" w:sz="4" w:space="0" w:color="auto"/>
              <w:bottom w:val="single" w:sz="4" w:space="0" w:color="auto"/>
              <w:right w:val="single" w:sz="4" w:space="0" w:color="auto"/>
            </w:tcBorders>
          </w:tcPr>
          <w:p w14:paraId="1F3F7610"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2</w:t>
            </w:r>
          </w:p>
        </w:tc>
        <w:tc>
          <w:tcPr>
            <w:tcW w:w="720" w:type="dxa"/>
            <w:tcBorders>
              <w:top w:val="single" w:sz="4" w:space="0" w:color="auto"/>
              <w:left w:val="single" w:sz="4" w:space="0" w:color="auto"/>
              <w:bottom w:val="single" w:sz="4" w:space="0" w:color="auto"/>
              <w:right w:val="single" w:sz="4" w:space="0" w:color="auto"/>
            </w:tcBorders>
          </w:tcPr>
          <w:p w14:paraId="60A1172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1F014C9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3.30</w:t>
            </w:r>
          </w:p>
        </w:tc>
        <w:tc>
          <w:tcPr>
            <w:tcW w:w="714" w:type="dxa"/>
            <w:tcBorders>
              <w:top w:val="single" w:sz="4" w:space="0" w:color="auto"/>
              <w:left w:val="single" w:sz="4" w:space="0" w:color="auto"/>
              <w:bottom w:val="single" w:sz="4" w:space="0" w:color="auto"/>
              <w:right w:val="single" w:sz="4" w:space="0" w:color="auto"/>
            </w:tcBorders>
          </w:tcPr>
          <w:p w14:paraId="0FE4238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0.86</w:t>
            </w:r>
          </w:p>
        </w:tc>
        <w:tc>
          <w:tcPr>
            <w:tcW w:w="1176" w:type="dxa"/>
            <w:tcBorders>
              <w:top w:val="single" w:sz="4" w:space="0" w:color="auto"/>
              <w:left w:val="single" w:sz="4" w:space="0" w:color="auto"/>
              <w:bottom w:val="single" w:sz="4" w:space="0" w:color="auto"/>
              <w:right w:val="single" w:sz="4" w:space="0" w:color="auto"/>
            </w:tcBorders>
          </w:tcPr>
          <w:p w14:paraId="3E33063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744F7E0F" w14:textId="77777777" w:rsidTr="00483C28">
        <w:tc>
          <w:tcPr>
            <w:tcW w:w="557" w:type="dxa"/>
            <w:tcBorders>
              <w:top w:val="single" w:sz="4" w:space="0" w:color="auto"/>
              <w:left w:val="single" w:sz="4" w:space="0" w:color="auto"/>
              <w:bottom w:val="single" w:sz="4" w:space="0" w:color="auto"/>
              <w:right w:val="single" w:sz="4" w:space="0" w:color="auto"/>
            </w:tcBorders>
          </w:tcPr>
          <w:p w14:paraId="180C4FC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3</w:t>
            </w:r>
          </w:p>
        </w:tc>
        <w:tc>
          <w:tcPr>
            <w:tcW w:w="3511" w:type="dxa"/>
            <w:tcBorders>
              <w:top w:val="single" w:sz="4" w:space="0" w:color="auto"/>
              <w:left w:val="single" w:sz="4" w:space="0" w:color="auto"/>
              <w:bottom w:val="single" w:sz="4" w:space="0" w:color="auto"/>
              <w:right w:val="single" w:sz="4" w:space="0" w:color="auto"/>
            </w:tcBorders>
          </w:tcPr>
          <w:p w14:paraId="2B5C501E" w14:textId="77777777" w:rsidR="00CA26B4" w:rsidRPr="00CA26B4" w:rsidRDefault="00CA26B4" w:rsidP="002C3670">
            <w:pPr>
              <w:spacing w:before="100" w:beforeAutospacing="1" w:after="200" w:line="240" w:lineRule="auto"/>
              <w:rPr>
                <w:rFonts w:ascii="Times New Roman" w:eastAsia="Times New Roman" w:hAnsi="Times New Roman" w:cs="Times New Roman"/>
                <w:kern w:val="0"/>
                <w14:ligatures w14:val="none"/>
              </w:rPr>
            </w:pPr>
            <w:r w:rsidRPr="00CA26B4">
              <w:rPr>
                <w:rFonts w:ascii="Times New Roman" w:eastAsia="Times New Roman" w:hAnsi="Times New Roman" w:cs="Times New Roman"/>
                <w:bCs/>
                <w:kern w:val="0"/>
                <w14:ligatures w14:val="none"/>
              </w:rPr>
              <w:t xml:space="preserve">To what extent does </w:t>
            </w:r>
            <w:r w:rsidRPr="00CA26B4">
              <w:rPr>
                <w:rFonts w:ascii="Times New Roman" w:eastAsia="Calibri" w:hAnsi="Times New Roman" w:cs="Times New Roman"/>
                <w:kern w:val="0"/>
                <w14:ligatures w14:val="none"/>
              </w:rPr>
              <w:t>triple-entry accounting promote accurate information</w:t>
            </w:r>
            <w:r w:rsidRPr="00CA26B4">
              <w:rPr>
                <w:rFonts w:ascii="Times New Roman" w:eastAsia="Times New Roman" w:hAnsi="Times New Roman" w:cs="Times New Roman"/>
                <w:kern w:val="0"/>
                <w14:ligatures w14:val="none"/>
              </w:rPr>
              <w:t>?</w:t>
            </w:r>
          </w:p>
        </w:tc>
        <w:tc>
          <w:tcPr>
            <w:tcW w:w="810" w:type="dxa"/>
            <w:tcBorders>
              <w:top w:val="single" w:sz="4" w:space="0" w:color="auto"/>
              <w:left w:val="single" w:sz="4" w:space="0" w:color="auto"/>
              <w:bottom w:val="single" w:sz="4" w:space="0" w:color="auto"/>
              <w:right w:val="single" w:sz="4" w:space="0" w:color="auto"/>
            </w:tcBorders>
          </w:tcPr>
          <w:p w14:paraId="0F7A60C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11</w:t>
            </w:r>
          </w:p>
        </w:tc>
        <w:tc>
          <w:tcPr>
            <w:tcW w:w="630" w:type="dxa"/>
            <w:tcBorders>
              <w:top w:val="single" w:sz="4" w:space="0" w:color="auto"/>
              <w:left w:val="single" w:sz="4" w:space="0" w:color="auto"/>
              <w:bottom w:val="single" w:sz="4" w:space="0" w:color="auto"/>
              <w:right w:val="single" w:sz="4" w:space="0" w:color="auto"/>
            </w:tcBorders>
          </w:tcPr>
          <w:p w14:paraId="64E03A0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6</w:t>
            </w:r>
          </w:p>
        </w:tc>
        <w:tc>
          <w:tcPr>
            <w:tcW w:w="540" w:type="dxa"/>
            <w:tcBorders>
              <w:top w:val="single" w:sz="4" w:space="0" w:color="auto"/>
              <w:left w:val="single" w:sz="4" w:space="0" w:color="auto"/>
              <w:bottom w:val="single" w:sz="4" w:space="0" w:color="auto"/>
              <w:right w:val="single" w:sz="4" w:space="0" w:color="auto"/>
            </w:tcBorders>
          </w:tcPr>
          <w:p w14:paraId="091F79D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2</w:t>
            </w:r>
          </w:p>
        </w:tc>
        <w:tc>
          <w:tcPr>
            <w:tcW w:w="720" w:type="dxa"/>
            <w:tcBorders>
              <w:top w:val="single" w:sz="4" w:space="0" w:color="auto"/>
              <w:left w:val="single" w:sz="4" w:space="0" w:color="auto"/>
              <w:bottom w:val="single" w:sz="4" w:space="0" w:color="auto"/>
              <w:right w:val="single" w:sz="4" w:space="0" w:color="auto"/>
            </w:tcBorders>
          </w:tcPr>
          <w:p w14:paraId="1792B9C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72EEAEE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3.35</w:t>
            </w:r>
          </w:p>
        </w:tc>
        <w:tc>
          <w:tcPr>
            <w:tcW w:w="714" w:type="dxa"/>
            <w:tcBorders>
              <w:top w:val="single" w:sz="4" w:space="0" w:color="auto"/>
              <w:left w:val="single" w:sz="4" w:space="0" w:color="auto"/>
              <w:bottom w:val="single" w:sz="4" w:space="0" w:color="auto"/>
              <w:right w:val="single" w:sz="4" w:space="0" w:color="auto"/>
            </w:tcBorders>
          </w:tcPr>
          <w:p w14:paraId="49B803E5"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0.87</w:t>
            </w:r>
          </w:p>
        </w:tc>
        <w:tc>
          <w:tcPr>
            <w:tcW w:w="1176" w:type="dxa"/>
            <w:tcBorders>
              <w:top w:val="single" w:sz="4" w:space="0" w:color="auto"/>
              <w:left w:val="single" w:sz="4" w:space="0" w:color="auto"/>
              <w:bottom w:val="single" w:sz="4" w:space="0" w:color="auto"/>
              <w:right w:val="single" w:sz="4" w:space="0" w:color="auto"/>
            </w:tcBorders>
          </w:tcPr>
          <w:p w14:paraId="337A4255"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4CB5E47B" w14:textId="77777777" w:rsidTr="00483C28">
        <w:tc>
          <w:tcPr>
            <w:tcW w:w="557" w:type="dxa"/>
            <w:tcBorders>
              <w:top w:val="single" w:sz="4" w:space="0" w:color="auto"/>
              <w:left w:val="single" w:sz="4" w:space="0" w:color="auto"/>
              <w:bottom w:val="single" w:sz="4" w:space="0" w:color="auto"/>
              <w:right w:val="single" w:sz="4" w:space="0" w:color="auto"/>
            </w:tcBorders>
          </w:tcPr>
          <w:p w14:paraId="28A3F4B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4.</w:t>
            </w:r>
          </w:p>
        </w:tc>
        <w:tc>
          <w:tcPr>
            <w:tcW w:w="3511" w:type="dxa"/>
            <w:tcBorders>
              <w:top w:val="single" w:sz="4" w:space="0" w:color="auto"/>
              <w:left w:val="single" w:sz="4" w:space="0" w:color="auto"/>
              <w:bottom w:val="single" w:sz="4" w:space="0" w:color="auto"/>
              <w:right w:val="single" w:sz="4" w:space="0" w:color="auto"/>
            </w:tcBorders>
          </w:tcPr>
          <w:p w14:paraId="34F006A5" w14:textId="77777777" w:rsidR="00CA26B4" w:rsidRPr="00CA26B4" w:rsidRDefault="00CA26B4" w:rsidP="002C3670">
            <w:pPr>
              <w:spacing w:before="100" w:beforeAutospacing="1" w:after="200" w:line="240" w:lineRule="auto"/>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To what extent does the use of </w:t>
            </w:r>
            <w:r w:rsidRPr="00CA26B4">
              <w:rPr>
                <w:rFonts w:ascii="Times New Roman" w:eastAsia="Calibri" w:hAnsi="Times New Roman" w:cs="Times New Roman"/>
                <w:kern w:val="0"/>
                <w14:ligatures w14:val="none"/>
              </w:rPr>
              <w:t xml:space="preserve">triple-entry </w:t>
            </w:r>
            <w:proofErr w:type="gramStart"/>
            <w:r w:rsidRPr="00CA26B4">
              <w:rPr>
                <w:rFonts w:ascii="Times New Roman" w:eastAsia="Calibri" w:hAnsi="Times New Roman" w:cs="Times New Roman"/>
                <w:kern w:val="0"/>
                <w14:ligatures w14:val="none"/>
              </w:rPr>
              <w:t>accounting  guarantee</w:t>
            </w:r>
            <w:proofErr w:type="gramEnd"/>
            <w:r w:rsidRPr="00CA26B4">
              <w:rPr>
                <w:rFonts w:ascii="Times New Roman" w:eastAsia="Calibri" w:hAnsi="Times New Roman" w:cs="Times New Roman"/>
                <w:kern w:val="0"/>
                <w14:ligatures w14:val="none"/>
              </w:rPr>
              <w:t xml:space="preserve"> cyber security</w:t>
            </w:r>
            <w:r w:rsidRPr="00CA26B4">
              <w:rPr>
                <w:rFonts w:ascii="Times New Roman" w:eastAsia="Times New Roman" w:hAnsi="Times New Roman" w:cs="Times New Roman"/>
                <w:bCs/>
                <w:kern w:val="0"/>
                <w14:ligatures w14:val="none"/>
              </w:rPr>
              <w:t>?</w:t>
            </w:r>
          </w:p>
        </w:tc>
        <w:tc>
          <w:tcPr>
            <w:tcW w:w="810" w:type="dxa"/>
            <w:tcBorders>
              <w:top w:val="single" w:sz="4" w:space="0" w:color="auto"/>
              <w:left w:val="single" w:sz="4" w:space="0" w:color="auto"/>
              <w:bottom w:val="single" w:sz="4" w:space="0" w:color="auto"/>
              <w:right w:val="single" w:sz="4" w:space="0" w:color="auto"/>
            </w:tcBorders>
          </w:tcPr>
          <w:p w14:paraId="773BAC9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12</w:t>
            </w:r>
          </w:p>
        </w:tc>
        <w:tc>
          <w:tcPr>
            <w:tcW w:w="630" w:type="dxa"/>
            <w:tcBorders>
              <w:top w:val="single" w:sz="4" w:space="0" w:color="auto"/>
              <w:left w:val="single" w:sz="4" w:space="0" w:color="auto"/>
              <w:bottom w:val="single" w:sz="4" w:space="0" w:color="auto"/>
              <w:right w:val="single" w:sz="4" w:space="0" w:color="auto"/>
            </w:tcBorders>
          </w:tcPr>
          <w:p w14:paraId="47586BE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6</w:t>
            </w:r>
          </w:p>
        </w:tc>
        <w:tc>
          <w:tcPr>
            <w:tcW w:w="540" w:type="dxa"/>
            <w:tcBorders>
              <w:top w:val="single" w:sz="4" w:space="0" w:color="auto"/>
              <w:left w:val="single" w:sz="4" w:space="0" w:color="auto"/>
              <w:bottom w:val="single" w:sz="4" w:space="0" w:color="auto"/>
              <w:right w:val="single" w:sz="4" w:space="0" w:color="auto"/>
            </w:tcBorders>
          </w:tcPr>
          <w:p w14:paraId="26314BE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720" w:type="dxa"/>
            <w:tcBorders>
              <w:top w:val="single" w:sz="4" w:space="0" w:color="auto"/>
              <w:left w:val="single" w:sz="4" w:space="0" w:color="auto"/>
              <w:bottom w:val="single" w:sz="4" w:space="0" w:color="auto"/>
              <w:right w:val="single" w:sz="4" w:space="0" w:color="auto"/>
            </w:tcBorders>
          </w:tcPr>
          <w:p w14:paraId="4C3A7AFE"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7A8D4F7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3.45</w:t>
            </w:r>
          </w:p>
        </w:tc>
        <w:tc>
          <w:tcPr>
            <w:tcW w:w="714" w:type="dxa"/>
            <w:tcBorders>
              <w:top w:val="single" w:sz="4" w:space="0" w:color="auto"/>
              <w:left w:val="single" w:sz="4" w:space="0" w:color="auto"/>
              <w:bottom w:val="single" w:sz="4" w:space="0" w:color="auto"/>
              <w:right w:val="single" w:sz="4" w:space="0" w:color="auto"/>
            </w:tcBorders>
          </w:tcPr>
          <w:p w14:paraId="1A2D94D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0.83</w:t>
            </w:r>
          </w:p>
        </w:tc>
        <w:tc>
          <w:tcPr>
            <w:tcW w:w="1176" w:type="dxa"/>
            <w:tcBorders>
              <w:top w:val="single" w:sz="4" w:space="0" w:color="auto"/>
              <w:left w:val="single" w:sz="4" w:space="0" w:color="auto"/>
              <w:bottom w:val="single" w:sz="4" w:space="0" w:color="auto"/>
              <w:right w:val="single" w:sz="4" w:space="0" w:color="auto"/>
            </w:tcBorders>
          </w:tcPr>
          <w:p w14:paraId="61B3E06F"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316A0DBF" w14:textId="77777777" w:rsidTr="00483C28">
        <w:tc>
          <w:tcPr>
            <w:tcW w:w="557" w:type="dxa"/>
            <w:tcBorders>
              <w:top w:val="single" w:sz="4" w:space="0" w:color="auto"/>
              <w:left w:val="single" w:sz="4" w:space="0" w:color="auto"/>
              <w:bottom w:val="single" w:sz="4" w:space="0" w:color="auto"/>
              <w:right w:val="single" w:sz="4" w:space="0" w:color="auto"/>
            </w:tcBorders>
          </w:tcPr>
          <w:p w14:paraId="790B1A9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5.</w:t>
            </w:r>
          </w:p>
        </w:tc>
        <w:tc>
          <w:tcPr>
            <w:tcW w:w="3511" w:type="dxa"/>
            <w:tcBorders>
              <w:top w:val="single" w:sz="4" w:space="0" w:color="auto"/>
              <w:left w:val="single" w:sz="4" w:space="0" w:color="auto"/>
              <w:bottom w:val="single" w:sz="4" w:space="0" w:color="auto"/>
              <w:right w:val="single" w:sz="4" w:space="0" w:color="auto"/>
            </w:tcBorders>
          </w:tcPr>
          <w:p w14:paraId="3A0755B7" w14:textId="77777777" w:rsidR="00CA26B4" w:rsidRPr="00CA26B4" w:rsidRDefault="00CA26B4" w:rsidP="002C3670">
            <w:pPr>
              <w:spacing w:before="100" w:beforeAutospacing="1" w:after="200" w:line="240" w:lineRule="auto"/>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To what extent can the use of </w:t>
            </w:r>
            <w:r w:rsidRPr="00CA26B4">
              <w:rPr>
                <w:rFonts w:ascii="Times New Roman" w:eastAsia="Calibri" w:hAnsi="Times New Roman" w:cs="Times New Roman"/>
                <w:kern w:val="0"/>
                <w14:ligatures w14:val="none"/>
              </w:rPr>
              <w:t xml:space="preserve">triple-entry </w:t>
            </w:r>
            <w:proofErr w:type="gramStart"/>
            <w:r w:rsidRPr="00CA26B4">
              <w:rPr>
                <w:rFonts w:ascii="Times New Roman" w:eastAsia="Calibri" w:hAnsi="Times New Roman" w:cs="Times New Roman"/>
                <w:kern w:val="0"/>
                <w14:ligatures w14:val="none"/>
              </w:rPr>
              <w:t>accounting  provide</w:t>
            </w:r>
            <w:proofErr w:type="gramEnd"/>
            <w:r w:rsidRPr="00CA26B4">
              <w:rPr>
                <w:rFonts w:ascii="Times New Roman" w:eastAsia="Calibri" w:hAnsi="Times New Roman" w:cs="Times New Roman"/>
                <w:kern w:val="0"/>
                <w14:ligatures w14:val="none"/>
              </w:rPr>
              <w:t xml:space="preserve"> timely information</w:t>
            </w:r>
            <w:r w:rsidRPr="00CA26B4">
              <w:rPr>
                <w:rFonts w:ascii="Times New Roman" w:eastAsia="Times New Roman" w:hAnsi="Times New Roman" w:cs="Times New Roman"/>
                <w:bCs/>
                <w:kern w:val="0"/>
                <w14:ligatures w14:val="none"/>
              </w:rPr>
              <w:t>?</w:t>
            </w:r>
          </w:p>
        </w:tc>
        <w:tc>
          <w:tcPr>
            <w:tcW w:w="810" w:type="dxa"/>
            <w:tcBorders>
              <w:top w:val="single" w:sz="4" w:space="0" w:color="auto"/>
              <w:left w:val="single" w:sz="4" w:space="0" w:color="auto"/>
              <w:bottom w:val="single" w:sz="4" w:space="0" w:color="auto"/>
              <w:right w:val="single" w:sz="4" w:space="0" w:color="auto"/>
            </w:tcBorders>
          </w:tcPr>
          <w:p w14:paraId="46701EE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11</w:t>
            </w:r>
          </w:p>
        </w:tc>
        <w:tc>
          <w:tcPr>
            <w:tcW w:w="630" w:type="dxa"/>
            <w:tcBorders>
              <w:top w:val="single" w:sz="4" w:space="0" w:color="auto"/>
              <w:left w:val="single" w:sz="4" w:space="0" w:color="auto"/>
              <w:bottom w:val="single" w:sz="4" w:space="0" w:color="auto"/>
              <w:right w:val="single" w:sz="4" w:space="0" w:color="auto"/>
            </w:tcBorders>
          </w:tcPr>
          <w:p w14:paraId="565F54F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7</w:t>
            </w:r>
          </w:p>
        </w:tc>
        <w:tc>
          <w:tcPr>
            <w:tcW w:w="540" w:type="dxa"/>
            <w:tcBorders>
              <w:top w:val="single" w:sz="4" w:space="0" w:color="auto"/>
              <w:left w:val="single" w:sz="4" w:space="0" w:color="auto"/>
              <w:bottom w:val="single" w:sz="4" w:space="0" w:color="auto"/>
              <w:right w:val="single" w:sz="4" w:space="0" w:color="auto"/>
            </w:tcBorders>
          </w:tcPr>
          <w:p w14:paraId="224AA28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720" w:type="dxa"/>
            <w:tcBorders>
              <w:top w:val="single" w:sz="4" w:space="0" w:color="auto"/>
              <w:left w:val="single" w:sz="4" w:space="0" w:color="auto"/>
              <w:bottom w:val="single" w:sz="4" w:space="0" w:color="auto"/>
              <w:right w:val="single" w:sz="4" w:space="0" w:color="auto"/>
            </w:tcBorders>
          </w:tcPr>
          <w:p w14:paraId="2448F97E"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1E982D5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3.40</w:t>
            </w:r>
          </w:p>
        </w:tc>
        <w:tc>
          <w:tcPr>
            <w:tcW w:w="714" w:type="dxa"/>
            <w:tcBorders>
              <w:top w:val="single" w:sz="4" w:space="0" w:color="auto"/>
              <w:left w:val="single" w:sz="4" w:space="0" w:color="auto"/>
              <w:bottom w:val="single" w:sz="4" w:space="0" w:color="auto"/>
              <w:right w:val="single" w:sz="4" w:space="0" w:color="auto"/>
            </w:tcBorders>
          </w:tcPr>
          <w:p w14:paraId="4F0F4E66"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0.82</w:t>
            </w:r>
          </w:p>
        </w:tc>
        <w:tc>
          <w:tcPr>
            <w:tcW w:w="1176" w:type="dxa"/>
            <w:tcBorders>
              <w:top w:val="single" w:sz="4" w:space="0" w:color="auto"/>
              <w:left w:val="single" w:sz="4" w:space="0" w:color="auto"/>
              <w:bottom w:val="single" w:sz="4" w:space="0" w:color="auto"/>
              <w:right w:val="single" w:sz="4" w:space="0" w:color="auto"/>
            </w:tcBorders>
          </w:tcPr>
          <w:p w14:paraId="193F6DF5"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bl>
    <w:p w14:paraId="4C9E25A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i/>
          <w:kern w:val="0"/>
          <w:lang w:val="en-GB"/>
          <w14:ligatures w14:val="none"/>
        </w:rPr>
      </w:pPr>
      <w:r w:rsidRPr="00CA26B4">
        <w:rPr>
          <w:rFonts w:ascii="Times New Roman" w:eastAsia="Times New Roman" w:hAnsi="Times New Roman" w:cs="Times New Roman"/>
          <w:b/>
          <w:bCs/>
          <w:i/>
          <w:kern w:val="0"/>
          <w14:ligatures w14:val="none"/>
        </w:rPr>
        <w:t>Source:</w:t>
      </w:r>
      <w:r w:rsidRPr="00CA26B4">
        <w:rPr>
          <w:rFonts w:ascii="Times New Roman" w:eastAsia="Times New Roman" w:hAnsi="Times New Roman" w:cs="Times New Roman"/>
          <w:i/>
          <w:kern w:val="0"/>
          <w14:ligatures w14:val="none"/>
        </w:rPr>
        <w:t xml:space="preserve"> Field Data, 2026</w:t>
      </w:r>
    </w:p>
    <w:p w14:paraId="6A16C277" w14:textId="77777777" w:rsidR="00CA26B4" w:rsidRPr="00CA26B4" w:rsidRDefault="00CA26B4" w:rsidP="002C3670">
      <w:pPr>
        <w:shd w:val="clear" w:color="auto" w:fill="FFFFFF"/>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Table 2 </w:t>
      </w:r>
      <w:proofErr w:type="gramStart"/>
      <w:r w:rsidRPr="00CA26B4">
        <w:rPr>
          <w:rFonts w:ascii="Times New Roman" w:eastAsia="Arial" w:hAnsi="Times New Roman" w:cs="Times New Roman"/>
          <w:color w:val="0A0A0A"/>
          <w:kern w:val="0"/>
          <w:shd w:val="clear" w:color="auto" w:fill="FFFFFF"/>
          <w:lang w:eastAsia="zh-CN" w:bidi="ar"/>
          <w14:ligatures w14:val="none"/>
        </w:rPr>
        <w:t xml:space="preserve">indicates </w:t>
      </w:r>
      <w:r w:rsidRPr="00CA26B4">
        <w:rPr>
          <w:rFonts w:ascii="Times New Roman" w:eastAsia="Times New Roman" w:hAnsi="Times New Roman" w:cs="Times New Roman"/>
          <w:kern w:val="0"/>
          <w14:ligatures w14:val="none"/>
        </w:rPr>
        <w:t xml:space="preserve"> the</w:t>
      </w:r>
      <w:proofErr w:type="gramEnd"/>
      <w:r w:rsidRPr="00CA26B4">
        <w:rPr>
          <w:rFonts w:ascii="Times New Roman" w:eastAsia="Times New Roman" w:hAnsi="Times New Roman" w:cs="Times New Roman"/>
          <w:kern w:val="0"/>
          <w14:ligatures w14:val="none"/>
        </w:rPr>
        <w:t xml:space="preserve"> extent to which </w:t>
      </w:r>
      <w:r w:rsidRPr="00CA26B4">
        <w:rPr>
          <w:rFonts w:ascii="Times New Roman" w:eastAsia="Calibri" w:hAnsi="Times New Roman" w:cs="Times New Roman"/>
          <w:kern w:val="0"/>
          <w14:ligatures w14:val="none"/>
        </w:rPr>
        <w:t xml:space="preserve">triple-entry accounting </w:t>
      </w:r>
      <w:proofErr w:type="gramStart"/>
      <w:r w:rsidRPr="00CA26B4">
        <w:rPr>
          <w:rFonts w:ascii="Times New Roman" w:eastAsia="Calibri" w:hAnsi="Times New Roman" w:cs="Times New Roman"/>
          <w:kern w:val="0"/>
          <w14:ligatures w14:val="none"/>
        </w:rPr>
        <w:t>affect  digital</w:t>
      </w:r>
      <w:proofErr w:type="gramEnd"/>
      <w:r w:rsidRPr="00CA26B4">
        <w:rPr>
          <w:rFonts w:ascii="Times New Roman" w:eastAsia="Calibri" w:hAnsi="Times New Roman" w:cs="Times New Roman"/>
          <w:kern w:val="0"/>
          <w14:ligatures w14:val="none"/>
        </w:rPr>
        <w:t xml:space="preserve"> return on investment.</w:t>
      </w:r>
    </w:p>
    <w:p w14:paraId="062F50C9" w14:textId="77777777" w:rsidR="00CA26B4" w:rsidRPr="00CA26B4" w:rsidRDefault="00CA26B4" w:rsidP="002C3670">
      <w:pPr>
        <w:spacing w:after="180" w:line="240" w:lineRule="auto"/>
        <w:jc w:val="both"/>
        <w:rPr>
          <w:rFonts w:ascii="Times New Roman" w:eastAsia="Arial" w:hAnsi="Times New Roman" w:cs="Times New Roman"/>
          <w:color w:val="0A0A0A"/>
          <w:kern w:val="0"/>
          <w14:ligatures w14:val="none"/>
        </w:rPr>
      </w:pPr>
      <w:r w:rsidRPr="00CA26B4">
        <w:rPr>
          <w:rFonts w:ascii="Times New Roman" w:eastAsia="Times New Roman" w:hAnsi="Times New Roman" w:cs="Times New Roman"/>
          <w:kern w:val="0"/>
          <w14:ligatures w14:val="none"/>
        </w:rPr>
        <w:t>Item 1 was on the e</w:t>
      </w:r>
      <w:r w:rsidRPr="00CA26B4">
        <w:rPr>
          <w:rFonts w:ascii="Times New Roman" w:eastAsia="Arial" w:hAnsi="Times New Roman" w:cs="Times New Roman"/>
          <w:color w:val="0A0A0A"/>
          <w:kern w:val="0"/>
          <w:shd w:val="clear" w:color="auto" w:fill="FFFFFF"/>
          <w14:ligatures w14:val="none"/>
        </w:rPr>
        <w:t xml:space="preserve">nhancement of Bookkeeping. This gave a (Mean of 3.10, and a standard deviation (SD) of 0.97). From this issue, respondents feel that triple-entry accounting enhances traditional double-entry bookkeeping to a High Extent. While generally positive, the higher standard deviation indicates some variance in opinion on how substantial this enhancement is. Item 2 was on the Mitigation of Cybercrime. This produced a Mean score of 3.30, and SD of 0.86. From this outcome, Triple-entry accounting is perceived to mitigate cybercrime to a High Extent. This suggests confidence in blockchain-related cryptographic sealing to enhance security. Thirdly, item 3, which is on promotion of Accurate Information gave a Mean of 3.35, and SD of 0.87. This depicts that </w:t>
      </w:r>
      <w:proofErr w:type="gramStart"/>
      <w:r w:rsidRPr="00CA26B4">
        <w:rPr>
          <w:rFonts w:ascii="Times New Roman" w:eastAsia="Arial" w:hAnsi="Times New Roman" w:cs="Times New Roman"/>
          <w:color w:val="0A0A0A"/>
          <w:kern w:val="0"/>
          <w:shd w:val="clear" w:color="auto" w:fill="FFFFFF"/>
          <w14:ligatures w14:val="none"/>
        </w:rPr>
        <w:t>the a</w:t>
      </w:r>
      <w:proofErr w:type="gramEnd"/>
      <w:r w:rsidRPr="00CA26B4">
        <w:rPr>
          <w:rFonts w:ascii="Times New Roman" w:eastAsia="Arial" w:hAnsi="Times New Roman" w:cs="Times New Roman"/>
          <w:color w:val="0A0A0A"/>
          <w:kern w:val="0"/>
          <w:shd w:val="clear" w:color="auto" w:fill="FFFFFF"/>
          <w14:ligatures w14:val="none"/>
        </w:rPr>
        <w:t xml:space="preserve"> ability of triple entry accounting system to promote accurate information is rated strongly, fitting within the High Extent category. Next, item 4, which is on Guarantee of Cybersecurity gave a Mean of 3.45, and SD of 0.83. This item received the highest mean, indicating that respondents feel strongly that triple-entry accounting guarantees cybersecurity to a High Extent. Lastly, item 5, which is on Provision of Timely Information produced a Mean of </w:t>
      </w:r>
      <w:proofErr w:type="gramStart"/>
      <w:r w:rsidRPr="00CA26B4">
        <w:rPr>
          <w:rFonts w:ascii="Times New Roman" w:eastAsia="Arial" w:hAnsi="Times New Roman" w:cs="Times New Roman"/>
          <w:color w:val="0A0A0A"/>
          <w:kern w:val="0"/>
          <w:shd w:val="clear" w:color="auto" w:fill="FFFFFF"/>
          <w14:ligatures w14:val="none"/>
        </w:rPr>
        <w:t>3.40,and</w:t>
      </w:r>
      <w:proofErr w:type="gramEnd"/>
      <w:r w:rsidRPr="00CA26B4">
        <w:rPr>
          <w:rFonts w:ascii="Times New Roman" w:eastAsia="Arial" w:hAnsi="Times New Roman" w:cs="Times New Roman"/>
          <w:color w:val="0A0A0A"/>
          <w:kern w:val="0"/>
          <w:shd w:val="clear" w:color="auto" w:fill="FFFFFF"/>
          <w14:ligatures w14:val="none"/>
        </w:rPr>
        <w:t xml:space="preserve"> SD of 0.82. This indicates that the ability to provide timely information is deemed to be at a High Extent, with relatively consistent agreement (low SD) among respondents. </w:t>
      </w:r>
    </w:p>
    <w:p w14:paraId="603AE4A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p>
    <w:p w14:paraId="01F0899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A0A0A"/>
          <w:kern w:val="0"/>
          <w:shd w:val="clear" w:color="auto" w:fill="FFFFFF"/>
          <w14:ligatures w14:val="none"/>
        </w:rPr>
      </w:pPr>
      <w:r w:rsidRPr="00CA26B4">
        <w:rPr>
          <w:rFonts w:ascii="Times New Roman" w:eastAsia="Times New Roman" w:hAnsi="Times New Roman" w:cs="Times New Roman"/>
          <w:b/>
          <w:kern w:val="0"/>
          <w14:ligatures w14:val="none"/>
        </w:rPr>
        <w:lastRenderedPageBreak/>
        <w:t>Table 3: The extent to which</w:t>
      </w:r>
      <w:r w:rsidRPr="00CA26B4">
        <w:rPr>
          <w:rFonts w:ascii="Times New Roman" w:eastAsia="Times New Roman" w:hAnsi="Times New Roman" w:cs="Times New Roman"/>
          <w:b/>
          <w:color w:val="0A0A0A"/>
          <w:kern w:val="0"/>
          <w:shd w:val="clear" w:color="auto" w:fill="FFFFFF"/>
          <w14:ligatures w14:val="none"/>
        </w:rPr>
        <w:t xml:space="preserve"> </w:t>
      </w:r>
      <w:r w:rsidRPr="00CA26B4">
        <w:rPr>
          <w:rFonts w:ascii="Times New Roman" w:eastAsia="Calibri" w:hAnsi="Times New Roman" w:cs="Times New Roman"/>
          <w:kern w:val="0"/>
          <w14:ligatures w14:val="none"/>
        </w:rPr>
        <w:t>real</w:t>
      </w:r>
      <w:r w:rsidRPr="00CA26B4">
        <w:rPr>
          <w:rFonts w:ascii="Times New Roman" w:eastAsia="Calibri" w:hAnsi="Times New Roman" w:cs="Times New Roman"/>
          <w:b/>
          <w:bCs/>
          <w:kern w:val="0"/>
          <w14:ligatures w14:val="none"/>
        </w:rPr>
        <w:t>-time accounting affect operational efficiency</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3547"/>
        <w:gridCol w:w="787"/>
        <w:gridCol w:w="563"/>
        <w:gridCol w:w="540"/>
        <w:gridCol w:w="720"/>
        <w:gridCol w:w="810"/>
        <w:gridCol w:w="717"/>
        <w:gridCol w:w="1083"/>
      </w:tblGrid>
      <w:tr w:rsidR="00CA26B4" w:rsidRPr="00CA26B4" w14:paraId="136E7689" w14:textId="77777777" w:rsidTr="00483C28">
        <w:tc>
          <w:tcPr>
            <w:tcW w:w="611" w:type="dxa"/>
            <w:tcBorders>
              <w:top w:val="single" w:sz="4" w:space="0" w:color="auto"/>
              <w:left w:val="single" w:sz="4" w:space="0" w:color="auto"/>
              <w:bottom w:val="single" w:sz="4" w:space="0" w:color="auto"/>
              <w:right w:val="single" w:sz="4" w:space="0" w:color="auto"/>
            </w:tcBorders>
          </w:tcPr>
          <w:p w14:paraId="03DB6670"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S/n.</w:t>
            </w:r>
          </w:p>
        </w:tc>
        <w:tc>
          <w:tcPr>
            <w:tcW w:w="3547" w:type="dxa"/>
            <w:tcBorders>
              <w:top w:val="single" w:sz="4" w:space="0" w:color="auto"/>
              <w:left w:val="single" w:sz="4" w:space="0" w:color="auto"/>
              <w:bottom w:val="single" w:sz="4" w:space="0" w:color="auto"/>
              <w:right w:val="single" w:sz="4" w:space="0" w:color="auto"/>
            </w:tcBorders>
          </w:tcPr>
          <w:p w14:paraId="12F57E7B"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Item</w:t>
            </w:r>
          </w:p>
        </w:tc>
        <w:tc>
          <w:tcPr>
            <w:tcW w:w="787" w:type="dxa"/>
            <w:tcBorders>
              <w:top w:val="single" w:sz="4" w:space="0" w:color="auto"/>
              <w:left w:val="single" w:sz="4" w:space="0" w:color="auto"/>
              <w:bottom w:val="single" w:sz="4" w:space="0" w:color="auto"/>
              <w:right w:val="single" w:sz="4" w:space="0" w:color="auto"/>
            </w:tcBorders>
          </w:tcPr>
          <w:p w14:paraId="6F01EA18"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VHE</w:t>
            </w:r>
          </w:p>
        </w:tc>
        <w:tc>
          <w:tcPr>
            <w:tcW w:w="563" w:type="dxa"/>
            <w:tcBorders>
              <w:top w:val="single" w:sz="4" w:space="0" w:color="auto"/>
              <w:left w:val="single" w:sz="4" w:space="0" w:color="auto"/>
              <w:bottom w:val="single" w:sz="4" w:space="0" w:color="auto"/>
              <w:right w:val="single" w:sz="4" w:space="0" w:color="auto"/>
            </w:tcBorders>
          </w:tcPr>
          <w:p w14:paraId="377E9F3B"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HE</w:t>
            </w:r>
          </w:p>
        </w:tc>
        <w:tc>
          <w:tcPr>
            <w:tcW w:w="540" w:type="dxa"/>
            <w:tcBorders>
              <w:top w:val="single" w:sz="4" w:space="0" w:color="auto"/>
              <w:left w:val="single" w:sz="4" w:space="0" w:color="auto"/>
              <w:bottom w:val="single" w:sz="4" w:space="0" w:color="auto"/>
              <w:right w:val="single" w:sz="4" w:space="0" w:color="auto"/>
            </w:tcBorders>
          </w:tcPr>
          <w:p w14:paraId="0FAF6A16"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LE</w:t>
            </w:r>
          </w:p>
        </w:tc>
        <w:tc>
          <w:tcPr>
            <w:tcW w:w="720" w:type="dxa"/>
            <w:tcBorders>
              <w:top w:val="single" w:sz="4" w:space="0" w:color="auto"/>
              <w:left w:val="single" w:sz="4" w:space="0" w:color="auto"/>
              <w:bottom w:val="single" w:sz="4" w:space="0" w:color="auto"/>
              <w:right w:val="single" w:sz="4" w:space="0" w:color="auto"/>
            </w:tcBorders>
          </w:tcPr>
          <w:p w14:paraId="578584B0"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VLE</w:t>
            </w:r>
          </w:p>
        </w:tc>
        <w:tc>
          <w:tcPr>
            <w:tcW w:w="810" w:type="dxa"/>
            <w:tcBorders>
              <w:top w:val="single" w:sz="4" w:space="0" w:color="auto"/>
              <w:left w:val="single" w:sz="4" w:space="0" w:color="auto"/>
              <w:bottom w:val="single" w:sz="4" w:space="0" w:color="auto"/>
              <w:right w:val="single" w:sz="4" w:space="0" w:color="auto"/>
            </w:tcBorders>
          </w:tcPr>
          <w:p w14:paraId="384044B5"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Mean</w:t>
            </w:r>
          </w:p>
        </w:tc>
        <w:tc>
          <w:tcPr>
            <w:tcW w:w="717" w:type="dxa"/>
            <w:tcBorders>
              <w:top w:val="single" w:sz="4" w:space="0" w:color="auto"/>
              <w:left w:val="single" w:sz="4" w:space="0" w:color="auto"/>
              <w:bottom w:val="single" w:sz="4" w:space="0" w:color="auto"/>
              <w:right w:val="single" w:sz="4" w:space="0" w:color="auto"/>
            </w:tcBorders>
          </w:tcPr>
          <w:p w14:paraId="14989565"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SD</w:t>
            </w:r>
          </w:p>
        </w:tc>
        <w:tc>
          <w:tcPr>
            <w:tcW w:w="1083" w:type="dxa"/>
            <w:tcBorders>
              <w:top w:val="single" w:sz="4" w:space="0" w:color="auto"/>
              <w:left w:val="single" w:sz="4" w:space="0" w:color="auto"/>
              <w:bottom w:val="single" w:sz="4" w:space="0" w:color="auto"/>
              <w:right w:val="single" w:sz="4" w:space="0" w:color="auto"/>
            </w:tcBorders>
          </w:tcPr>
          <w:p w14:paraId="3CA7FBAA" w14:textId="77777777" w:rsidR="00CA26B4" w:rsidRPr="00CA26B4" w:rsidRDefault="00CA26B4" w:rsidP="002C3670">
            <w:pPr>
              <w:spacing w:before="240" w:beforeAutospacing="1" w:after="200" w:line="240" w:lineRule="auto"/>
              <w:jc w:val="both"/>
              <w:rPr>
                <w:rFonts w:ascii="Times New Roman" w:eastAsia="Times New Roman" w:hAnsi="Times New Roman" w:cs="Times New Roman"/>
                <w:b/>
                <w:color w:val="000000"/>
                <w:kern w:val="0"/>
                <w:lang w:val="en-GB"/>
                <w14:ligatures w14:val="none"/>
              </w:rPr>
            </w:pPr>
            <w:r w:rsidRPr="00CA26B4">
              <w:rPr>
                <w:rFonts w:ascii="Times New Roman" w:eastAsia="Times New Roman" w:hAnsi="Times New Roman" w:cs="Times New Roman"/>
                <w:b/>
                <w:color w:val="000000"/>
                <w:kern w:val="0"/>
                <w14:ligatures w14:val="none"/>
              </w:rPr>
              <w:t>Decision</w:t>
            </w:r>
          </w:p>
        </w:tc>
      </w:tr>
      <w:tr w:rsidR="00CA26B4" w:rsidRPr="00CA26B4" w14:paraId="7D7B1C99" w14:textId="77777777" w:rsidTr="00483C28">
        <w:tc>
          <w:tcPr>
            <w:tcW w:w="611" w:type="dxa"/>
            <w:tcBorders>
              <w:top w:val="single" w:sz="4" w:space="0" w:color="auto"/>
              <w:left w:val="single" w:sz="4" w:space="0" w:color="auto"/>
              <w:bottom w:val="single" w:sz="4" w:space="0" w:color="auto"/>
              <w:right w:val="single" w:sz="4" w:space="0" w:color="auto"/>
            </w:tcBorders>
          </w:tcPr>
          <w:p w14:paraId="0FC62E1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3547" w:type="dxa"/>
            <w:tcBorders>
              <w:top w:val="single" w:sz="4" w:space="0" w:color="auto"/>
              <w:left w:val="single" w:sz="4" w:space="0" w:color="auto"/>
              <w:bottom w:val="single" w:sz="4" w:space="0" w:color="auto"/>
              <w:right w:val="single" w:sz="4" w:space="0" w:color="auto"/>
            </w:tcBorders>
          </w:tcPr>
          <w:p w14:paraId="40E2739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A0A0A"/>
                <w:kern w:val="0"/>
                <w:shd w:val="clear" w:color="auto" w:fill="FFFFFF"/>
                <w14:ligatures w14:val="none"/>
              </w:rPr>
            </w:pPr>
            <w:r w:rsidRPr="00CA26B4">
              <w:rPr>
                <w:rFonts w:ascii="Times New Roman" w:eastAsia="Times New Roman" w:hAnsi="Times New Roman" w:cs="Times New Roman"/>
                <w:b/>
                <w:kern w:val="0"/>
                <w14:ligatures w14:val="none"/>
              </w:rPr>
              <w:t xml:space="preserve">Research question 1: </w:t>
            </w:r>
            <w:r w:rsidRPr="00CA26B4">
              <w:rPr>
                <w:rFonts w:ascii="Times New Roman" w:eastAsia="Times New Roman" w:hAnsi="Times New Roman" w:cs="Times New Roman"/>
                <w:color w:val="000033"/>
                <w:kern w:val="0"/>
                <w14:ligatures w14:val="none"/>
              </w:rPr>
              <w:t xml:space="preserve">To what extent does </w:t>
            </w:r>
            <w:r w:rsidRPr="00CA26B4">
              <w:rPr>
                <w:rFonts w:ascii="Times New Roman" w:eastAsia="Calibri" w:hAnsi="Times New Roman" w:cs="Times New Roman"/>
                <w:kern w:val="0"/>
                <w14:ligatures w14:val="none"/>
              </w:rPr>
              <w:t>real-time accounting affect operation efficiency</w:t>
            </w:r>
            <w:r w:rsidRPr="00CA26B4">
              <w:rPr>
                <w:rFonts w:ascii="Times New Roman" w:eastAsia="Times New Roman" w:hAnsi="Times New Roman" w:cs="Times New Roman"/>
                <w:color w:val="0A0A0A"/>
                <w:kern w:val="0"/>
                <w:shd w:val="clear" w:color="auto" w:fill="FFFFFF"/>
                <w14:ligatures w14:val="none"/>
              </w:rPr>
              <w:t>?</w:t>
            </w:r>
          </w:p>
        </w:tc>
        <w:tc>
          <w:tcPr>
            <w:tcW w:w="787" w:type="dxa"/>
            <w:tcBorders>
              <w:top w:val="single" w:sz="4" w:space="0" w:color="auto"/>
              <w:left w:val="single" w:sz="4" w:space="0" w:color="auto"/>
              <w:bottom w:val="single" w:sz="4" w:space="0" w:color="auto"/>
              <w:right w:val="single" w:sz="4" w:space="0" w:color="auto"/>
            </w:tcBorders>
          </w:tcPr>
          <w:p w14:paraId="4A79DFF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563" w:type="dxa"/>
            <w:tcBorders>
              <w:top w:val="single" w:sz="4" w:space="0" w:color="auto"/>
              <w:left w:val="single" w:sz="4" w:space="0" w:color="auto"/>
              <w:bottom w:val="single" w:sz="4" w:space="0" w:color="auto"/>
              <w:right w:val="single" w:sz="4" w:space="0" w:color="auto"/>
            </w:tcBorders>
          </w:tcPr>
          <w:p w14:paraId="40910A3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540" w:type="dxa"/>
            <w:tcBorders>
              <w:top w:val="single" w:sz="4" w:space="0" w:color="auto"/>
              <w:left w:val="single" w:sz="4" w:space="0" w:color="auto"/>
              <w:bottom w:val="single" w:sz="4" w:space="0" w:color="auto"/>
              <w:right w:val="single" w:sz="4" w:space="0" w:color="auto"/>
            </w:tcBorders>
          </w:tcPr>
          <w:p w14:paraId="174124B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720" w:type="dxa"/>
            <w:tcBorders>
              <w:top w:val="single" w:sz="4" w:space="0" w:color="auto"/>
              <w:left w:val="single" w:sz="4" w:space="0" w:color="auto"/>
              <w:bottom w:val="single" w:sz="4" w:space="0" w:color="auto"/>
              <w:right w:val="single" w:sz="4" w:space="0" w:color="auto"/>
            </w:tcBorders>
          </w:tcPr>
          <w:p w14:paraId="392A405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810" w:type="dxa"/>
            <w:tcBorders>
              <w:top w:val="single" w:sz="4" w:space="0" w:color="auto"/>
              <w:left w:val="single" w:sz="4" w:space="0" w:color="auto"/>
              <w:bottom w:val="single" w:sz="4" w:space="0" w:color="auto"/>
              <w:right w:val="single" w:sz="4" w:space="0" w:color="auto"/>
            </w:tcBorders>
          </w:tcPr>
          <w:p w14:paraId="24F25A5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717" w:type="dxa"/>
            <w:tcBorders>
              <w:top w:val="single" w:sz="4" w:space="0" w:color="auto"/>
              <w:left w:val="single" w:sz="4" w:space="0" w:color="auto"/>
              <w:bottom w:val="single" w:sz="4" w:space="0" w:color="auto"/>
              <w:right w:val="single" w:sz="4" w:space="0" w:color="auto"/>
            </w:tcBorders>
          </w:tcPr>
          <w:p w14:paraId="00807933"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c>
          <w:tcPr>
            <w:tcW w:w="1083" w:type="dxa"/>
            <w:tcBorders>
              <w:top w:val="single" w:sz="4" w:space="0" w:color="auto"/>
              <w:left w:val="single" w:sz="4" w:space="0" w:color="auto"/>
              <w:bottom w:val="single" w:sz="4" w:space="0" w:color="auto"/>
              <w:right w:val="single" w:sz="4" w:space="0" w:color="auto"/>
            </w:tcBorders>
          </w:tcPr>
          <w:p w14:paraId="5BB658D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color w:val="000000"/>
                <w:kern w:val="0"/>
                <w:lang w:val="en-GB"/>
                <w14:ligatures w14:val="none"/>
              </w:rPr>
            </w:pPr>
          </w:p>
        </w:tc>
      </w:tr>
      <w:tr w:rsidR="00CA26B4" w:rsidRPr="00CA26B4" w14:paraId="5E9F4906" w14:textId="77777777" w:rsidTr="00483C28">
        <w:tc>
          <w:tcPr>
            <w:tcW w:w="611" w:type="dxa"/>
            <w:tcBorders>
              <w:top w:val="single" w:sz="4" w:space="0" w:color="auto"/>
              <w:left w:val="single" w:sz="4" w:space="0" w:color="auto"/>
              <w:bottom w:val="single" w:sz="4" w:space="0" w:color="auto"/>
              <w:right w:val="single" w:sz="4" w:space="0" w:color="auto"/>
            </w:tcBorders>
          </w:tcPr>
          <w:p w14:paraId="770525D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1</w:t>
            </w:r>
          </w:p>
        </w:tc>
        <w:tc>
          <w:tcPr>
            <w:tcW w:w="3547" w:type="dxa"/>
            <w:tcBorders>
              <w:top w:val="single" w:sz="4" w:space="0" w:color="auto"/>
              <w:left w:val="single" w:sz="4" w:space="0" w:color="auto"/>
              <w:bottom w:val="single" w:sz="4" w:space="0" w:color="auto"/>
              <w:right w:val="single" w:sz="4" w:space="0" w:color="auto"/>
            </w:tcBorders>
          </w:tcPr>
          <w:p w14:paraId="1B89D0DF" w14:textId="77777777" w:rsidR="00CA26B4" w:rsidRPr="00CA26B4" w:rsidRDefault="00CA26B4" w:rsidP="002C3670">
            <w:pPr>
              <w:spacing w:before="100" w:beforeAutospacing="1" w:after="200" w:line="240" w:lineRule="auto"/>
              <w:rPr>
                <w:rFonts w:ascii="Times New Roman" w:eastAsia="Times New Roman" w:hAnsi="Times New Roman" w:cs="Times New Roman"/>
                <w:kern w:val="0"/>
                <w14:ligatures w14:val="none"/>
              </w:rPr>
            </w:pPr>
            <w:r w:rsidRPr="00CA26B4">
              <w:rPr>
                <w:rFonts w:ascii="Times New Roman" w:eastAsia="Times New Roman" w:hAnsi="Times New Roman" w:cs="Times New Roman"/>
                <w:bCs/>
                <w:kern w:val="0"/>
                <w14:ligatures w14:val="none"/>
              </w:rPr>
              <w:t xml:space="preserve">To what extent does real-time accounting </w:t>
            </w:r>
            <w:r w:rsidRPr="00CA26B4">
              <w:rPr>
                <w:rFonts w:ascii="Times New Roman" w:eastAsia="Arial" w:hAnsi="Times New Roman" w:cs="Times New Roman"/>
                <w:color w:val="0A0A0A"/>
                <w:kern w:val="0"/>
                <w:shd w:val="clear" w:color="auto" w:fill="FFFFFF"/>
                <w14:ligatures w14:val="none"/>
              </w:rPr>
              <w:t>enhance traditional accounting system</w:t>
            </w:r>
            <w:r w:rsidRPr="00CA26B4">
              <w:rPr>
                <w:rFonts w:ascii="Times New Roman" w:eastAsia="Times New Roman" w:hAnsi="Times New Roman" w:cs="Times New Roman"/>
                <w:kern w:val="0"/>
                <w14:ligatures w14:val="none"/>
              </w:rPr>
              <w:t>?</w:t>
            </w:r>
          </w:p>
        </w:tc>
        <w:tc>
          <w:tcPr>
            <w:tcW w:w="787" w:type="dxa"/>
            <w:tcBorders>
              <w:top w:val="single" w:sz="4" w:space="0" w:color="auto"/>
              <w:left w:val="single" w:sz="4" w:space="0" w:color="auto"/>
              <w:bottom w:val="single" w:sz="4" w:space="0" w:color="auto"/>
              <w:right w:val="single" w:sz="4" w:space="0" w:color="auto"/>
            </w:tcBorders>
          </w:tcPr>
          <w:p w14:paraId="111EC92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10</w:t>
            </w:r>
          </w:p>
        </w:tc>
        <w:tc>
          <w:tcPr>
            <w:tcW w:w="563" w:type="dxa"/>
            <w:tcBorders>
              <w:top w:val="single" w:sz="4" w:space="0" w:color="auto"/>
              <w:left w:val="single" w:sz="4" w:space="0" w:color="auto"/>
              <w:bottom w:val="single" w:sz="4" w:space="0" w:color="auto"/>
              <w:right w:val="single" w:sz="4" w:space="0" w:color="auto"/>
            </w:tcBorders>
          </w:tcPr>
          <w:p w14:paraId="6518150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5</w:t>
            </w:r>
          </w:p>
        </w:tc>
        <w:tc>
          <w:tcPr>
            <w:tcW w:w="540" w:type="dxa"/>
            <w:tcBorders>
              <w:top w:val="single" w:sz="4" w:space="0" w:color="auto"/>
              <w:left w:val="single" w:sz="4" w:space="0" w:color="auto"/>
              <w:bottom w:val="single" w:sz="4" w:space="0" w:color="auto"/>
              <w:right w:val="single" w:sz="4" w:space="0" w:color="auto"/>
            </w:tcBorders>
          </w:tcPr>
          <w:p w14:paraId="67EC171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3</w:t>
            </w:r>
          </w:p>
        </w:tc>
        <w:tc>
          <w:tcPr>
            <w:tcW w:w="720" w:type="dxa"/>
            <w:tcBorders>
              <w:top w:val="single" w:sz="4" w:space="0" w:color="auto"/>
              <w:left w:val="single" w:sz="4" w:space="0" w:color="auto"/>
              <w:bottom w:val="single" w:sz="4" w:space="0" w:color="auto"/>
              <w:right w:val="single" w:sz="4" w:space="0" w:color="auto"/>
            </w:tcBorders>
          </w:tcPr>
          <w:p w14:paraId="673ED43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2</w:t>
            </w:r>
          </w:p>
        </w:tc>
        <w:tc>
          <w:tcPr>
            <w:tcW w:w="810" w:type="dxa"/>
            <w:tcBorders>
              <w:top w:val="single" w:sz="4" w:space="0" w:color="auto"/>
              <w:left w:val="single" w:sz="4" w:space="0" w:color="auto"/>
              <w:bottom w:val="single" w:sz="4" w:space="0" w:color="auto"/>
              <w:right w:val="single" w:sz="4" w:space="0" w:color="auto"/>
            </w:tcBorders>
          </w:tcPr>
          <w:p w14:paraId="70608D1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3.15</w:t>
            </w:r>
          </w:p>
        </w:tc>
        <w:tc>
          <w:tcPr>
            <w:tcW w:w="717" w:type="dxa"/>
            <w:tcBorders>
              <w:top w:val="single" w:sz="4" w:space="0" w:color="auto"/>
              <w:left w:val="single" w:sz="4" w:space="0" w:color="auto"/>
              <w:bottom w:val="single" w:sz="4" w:space="0" w:color="auto"/>
              <w:right w:val="single" w:sz="4" w:space="0" w:color="auto"/>
            </w:tcBorders>
          </w:tcPr>
          <w:p w14:paraId="4312556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1.01</w:t>
            </w:r>
          </w:p>
        </w:tc>
        <w:tc>
          <w:tcPr>
            <w:tcW w:w="1083" w:type="dxa"/>
            <w:tcBorders>
              <w:top w:val="single" w:sz="4" w:space="0" w:color="auto"/>
              <w:left w:val="single" w:sz="4" w:space="0" w:color="auto"/>
              <w:bottom w:val="single" w:sz="4" w:space="0" w:color="auto"/>
              <w:right w:val="single" w:sz="4" w:space="0" w:color="auto"/>
            </w:tcBorders>
          </w:tcPr>
          <w:p w14:paraId="3163D99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5376FF4C" w14:textId="77777777" w:rsidTr="00483C28">
        <w:tc>
          <w:tcPr>
            <w:tcW w:w="611" w:type="dxa"/>
            <w:tcBorders>
              <w:top w:val="single" w:sz="4" w:space="0" w:color="auto"/>
              <w:left w:val="single" w:sz="4" w:space="0" w:color="auto"/>
              <w:bottom w:val="single" w:sz="4" w:space="0" w:color="auto"/>
              <w:right w:val="single" w:sz="4" w:space="0" w:color="auto"/>
            </w:tcBorders>
          </w:tcPr>
          <w:p w14:paraId="1FC15CD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2</w:t>
            </w:r>
          </w:p>
        </w:tc>
        <w:tc>
          <w:tcPr>
            <w:tcW w:w="3547" w:type="dxa"/>
            <w:tcBorders>
              <w:top w:val="single" w:sz="4" w:space="0" w:color="auto"/>
              <w:left w:val="single" w:sz="4" w:space="0" w:color="auto"/>
              <w:bottom w:val="single" w:sz="4" w:space="0" w:color="auto"/>
              <w:right w:val="single" w:sz="4" w:space="0" w:color="auto"/>
            </w:tcBorders>
          </w:tcPr>
          <w:p w14:paraId="5813B95D" w14:textId="77777777" w:rsidR="00CA26B4" w:rsidRPr="00CA26B4" w:rsidRDefault="00CA26B4" w:rsidP="002C3670">
            <w:pPr>
              <w:spacing w:before="100" w:beforeAutospacing="1" w:after="200" w:line="240" w:lineRule="auto"/>
              <w:ind w:left="120" w:hangingChars="50" w:hanging="120"/>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bCs/>
                <w:kern w:val="0"/>
                <w14:ligatures w14:val="none"/>
              </w:rPr>
              <w:t xml:space="preserve">To what extent does the use of </w:t>
            </w:r>
            <w:r w:rsidRPr="00CA26B4">
              <w:rPr>
                <w:rFonts w:ascii="Times New Roman" w:eastAsia="Calibri" w:hAnsi="Times New Roman" w:cs="Times New Roman"/>
                <w:kern w:val="0"/>
                <w14:ligatures w14:val="none"/>
              </w:rPr>
              <w:t>real-time accounting mitigate cybercrime</w:t>
            </w:r>
            <w:r w:rsidRPr="00CA26B4">
              <w:rPr>
                <w:rFonts w:ascii="Times New Roman" w:eastAsia="Times New Roman" w:hAnsi="Times New Roman" w:cs="Times New Roman"/>
                <w:kern w:val="0"/>
                <w14:ligatures w14:val="none"/>
              </w:rPr>
              <w:t xml:space="preserve">? </w:t>
            </w:r>
          </w:p>
        </w:tc>
        <w:tc>
          <w:tcPr>
            <w:tcW w:w="787" w:type="dxa"/>
            <w:tcBorders>
              <w:top w:val="single" w:sz="4" w:space="0" w:color="auto"/>
              <w:left w:val="single" w:sz="4" w:space="0" w:color="auto"/>
              <w:bottom w:val="single" w:sz="4" w:space="0" w:color="auto"/>
              <w:right w:val="single" w:sz="4" w:space="0" w:color="auto"/>
            </w:tcBorders>
          </w:tcPr>
          <w:p w14:paraId="07BAF80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9</w:t>
            </w:r>
          </w:p>
        </w:tc>
        <w:tc>
          <w:tcPr>
            <w:tcW w:w="563" w:type="dxa"/>
            <w:tcBorders>
              <w:top w:val="single" w:sz="4" w:space="0" w:color="auto"/>
              <w:left w:val="single" w:sz="4" w:space="0" w:color="auto"/>
              <w:bottom w:val="single" w:sz="4" w:space="0" w:color="auto"/>
              <w:right w:val="single" w:sz="4" w:space="0" w:color="auto"/>
            </w:tcBorders>
          </w:tcPr>
          <w:p w14:paraId="2ACA1D2E"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8</w:t>
            </w:r>
          </w:p>
        </w:tc>
        <w:tc>
          <w:tcPr>
            <w:tcW w:w="540" w:type="dxa"/>
            <w:tcBorders>
              <w:top w:val="single" w:sz="4" w:space="0" w:color="auto"/>
              <w:left w:val="single" w:sz="4" w:space="0" w:color="auto"/>
              <w:bottom w:val="single" w:sz="4" w:space="0" w:color="auto"/>
              <w:right w:val="single" w:sz="4" w:space="0" w:color="auto"/>
            </w:tcBorders>
          </w:tcPr>
          <w:p w14:paraId="26CE321F"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2</w:t>
            </w:r>
          </w:p>
        </w:tc>
        <w:tc>
          <w:tcPr>
            <w:tcW w:w="720" w:type="dxa"/>
            <w:tcBorders>
              <w:top w:val="single" w:sz="4" w:space="0" w:color="auto"/>
              <w:left w:val="single" w:sz="4" w:space="0" w:color="auto"/>
              <w:bottom w:val="single" w:sz="4" w:space="0" w:color="auto"/>
              <w:right w:val="single" w:sz="4" w:space="0" w:color="auto"/>
            </w:tcBorders>
          </w:tcPr>
          <w:p w14:paraId="4F65A2E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092686D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3.25</w:t>
            </w:r>
          </w:p>
        </w:tc>
        <w:tc>
          <w:tcPr>
            <w:tcW w:w="717" w:type="dxa"/>
            <w:tcBorders>
              <w:top w:val="single" w:sz="4" w:space="0" w:color="auto"/>
              <w:left w:val="single" w:sz="4" w:space="0" w:color="auto"/>
              <w:bottom w:val="single" w:sz="4" w:space="0" w:color="auto"/>
              <w:right w:val="single" w:sz="4" w:space="0" w:color="auto"/>
            </w:tcBorders>
          </w:tcPr>
          <w:p w14:paraId="26102F5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0.83</w:t>
            </w:r>
          </w:p>
        </w:tc>
        <w:tc>
          <w:tcPr>
            <w:tcW w:w="1083" w:type="dxa"/>
            <w:tcBorders>
              <w:top w:val="single" w:sz="4" w:space="0" w:color="auto"/>
              <w:left w:val="single" w:sz="4" w:space="0" w:color="auto"/>
              <w:bottom w:val="single" w:sz="4" w:space="0" w:color="auto"/>
              <w:right w:val="single" w:sz="4" w:space="0" w:color="auto"/>
            </w:tcBorders>
          </w:tcPr>
          <w:p w14:paraId="55F5D84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6AA6AA12" w14:textId="77777777" w:rsidTr="00483C28">
        <w:tc>
          <w:tcPr>
            <w:tcW w:w="611" w:type="dxa"/>
            <w:tcBorders>
              <w:top w:val="single" w:sz="4" w:space="0" w:color="auto"/>
              <w:left w:val="single" w:sz="4" w:space="0" w:color="auto"/>
              <w:bottom w:val="single" w:sz="4" w:space="0" w:color="auto"/>
              <w:right w:val="single" w:sz="4" w:space="0" w:color="auto"/>
            </w:tcBorders>
          </w:tcPr>
          <w:p w14:paraId="172CE8D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3</w:t>
            </w:r>
          </w:p>
        </w:tc>
        <w:tc>
          <w:tcPr>
            <w:tcW w:w="3547" w:type="dxa"/>
            <w:tcBorders>
              <w:top w:val="single" w:sz="4" w:space="0" w:color="auto"/>
              <w:left w:val="single" w:sz="4" w:space="0" w:color="auto"/>
              <w:bottom w:val="single" w:sz="4" w:space="0" w:color="auto"/>
              <w:right w:val="single" w:sz="4" w:space="0" w:color="auto"/>
            </w:tcBorders>
          </w:tcPr>
          <w:p w14:paraId="30ED5EF7" w14:textId="77777777" w:rsidR="00CA26B4" w:rsidRPr="00CA26B4" w:rsidRDefault="00CA26B4" w:rsidP="002C3670">
            <w:pPr>
              <w:spacing w:before="100" w:beforeAutospacing="1" w:after="200" w:line="240" w:lineRule="auto"/>
              <w:rPr>
                <w:rFonts w:ascii="Times New Roman" w:eastAsia="Times New Roman" w:hAnsi="Times New Roman" w:cs="Times New Roman"/>
                <w:kern w:val="0"/>
                <w14:ligatures w14:val="none"/>
              </w:rPr>
            </w:pPr>
            <w:r w:rsidRPr="00CA26B4">
              <w:rPr>
                <w:rFonts w:ascii="Times New Roman" w:eastAsia="Times New Roman" w:hAnsi="Times New Roman" w:cs="Times New Roman"/>
                <w:bCs/>
                <w:kern w:val="0"/>
                <w14:ligatures w14:val="none"/>
              </w:rPr>
              <w:t xml:space="preserve">To what extent does </w:t>
            </w:r>
            <w:r w:rsidRPr="00CA26B4">
              <w:rPr>
                <w:rFonts w:ascii="Times New Roman" w:eastAsia="Calibri" w:hAnsi="Times New Roman" w:cs="Times New Roman"/>
                <w:kern w:val="0"/>
                <w14:ligatures w14:val="none"/>
              </w:rPr>
              <w:t>real-time accounting promote accurate information</w:t>
            </w:r>
            <w:r w:rsidRPr="00CA26B4">
              <w:rPr>
                <w:rFonts w:ascii="Times New Roman" w:eastAsia="Times New Roman" w:hAnsi="Times New Roman" w:cs="Times New Roman"/>
                <w:kern w:val="0"/>
                <w14:ligatures w14:val="none"/>
              </w:rPr>
              <w:t>?</w:t>
            </w:r>
          </w:p>
        </w:tc>
        <w:tc>
          <w:tcPr>
            <w:tcW w:w="787" w:type="dxa"/>
            <w:tcBorders>
              <w:top w:val="single" w:sz="4" w:space="0" w:color="auto"/>
              <w:left w:val="single" w:sz="4" w:space="0" w:color="auto"/>
              <w:bottom w:val="single" w:sz="4" w:space="0" w:color="auto"/>
              <w:right w:val="single" w:sz="4" w:space="0" w:color="auto"/>
            </w:tcBorders>
          </w:tcPr>
          <w:p w14:paraId="1D6101E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10</w:t>
            </w:r>
          </w:p>
        </w:tc>
        <w:tc>
          <w:tcPr>
            <w:tcW w:w="563" w:type="dxa"/>
            <w:tcBorders>
              <w:top w:val="single" w:sz="4" w:space="0" w:color="auto"/>
              <w:left w:val="single" w:sz="4" w:space="0" w:color="auto"/>
              <w:bottom w:val="single" w:sz="4" w:space="0" w:color="auto"/>
              <w:right w:val="single" w:sz="4" w:space="0" w:color="auto"/>
            </w:tcBorders>
          </w:tcPr>
          <w:p w14:paraId="2D938C8F"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6</w:t>
            </w:r>
          </w:p>
        </w:tc>
        <w:tc>
          <w:tcPr>
            <w:tcW w:w="540" w:type="dxa"/>
            <w:tcBorders>
              <w:top w:val="single" w:sz="4" w:space="0" w:color="auto"/>
              <w:left w:val="single" w:sz="4" w:space="0" w:color="auto"/>
              <w:bottom w:val="single" w:sz="4" w:space="0" w:color="auto"/>
              <w:right w:val="single" w:sz="4" w:space="0" w:color="auto"/>
            </w:tcBorders>
          </w:tcPr>
          <w:p w14:paraId="10840AE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w:t>
            </w:r>
          </w:p>
        </w:tc>
        <w:tc>
          <w:tcPr>
            <w:tcW w:w="720" w:type="dxa"/>
            <w:tcBorders>
              <w:top w:val="single" w:sz="4" w:space="0" w:color="auto"/>
              <w:left w:val="single" w:sz="4" w:space="0" w:color="auto"/>
              <w:bottom w:val="single" w:sz="4" w:space="0" w:color="auto"/>
              <w:right w:val="single" w:sz="4" w:space="0" w:color="auto"/>
            </w:tcBorders>
          </w:tcPr>
          <w:p w14:paraId="34A378FE"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lang w:val="en-GB"/>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7E6574C6"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3.25</w:t>
            </w:r>
          </w:p>
        </w:tc>
        <w:tc>
          <w:tcPr>
            <w:tcW w:w="717" w:type="dxa"/>
            <w:tcBorders>
              <w:top w:val="single" w:sz="4" w:space="0" w:color="auto"/>
              <w:left w:val="single" w:sz="4" w:space="0" w:color="auto"/>
              <w:bottom w:val="single" w:sz="4" w:space="0" w:color="auto"/>
              <w:right w:val="single" w:sz="4" w:space="0" w:color="auto"/>
            </w:tcBorders>
          </w:tcPr>
          <w:p w14:paraId="153DBB3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0.89</w:t>
            </w:r>
          </w:p>
        </w:tc>
        <w:tc>
          <w:tcPr>
            <w:tcW w:w="1083" w:type="dxa"/>
            <w:tcBorders>
              <w:top w:val="single" w:sz="4" w:space="0" w:color="auto"/>
              <w:left w:val="single" w:sz="4" w:space="0" w:color="auto"/>
              <w:bottom w:val="single" w:sz="4" w:space="0" w:color="auto"/>
              <w:right w:val="single" w:sz="4" w:space="0" w:color="auto"/>
            </w:tcBorders>
          </w:tcPr>
          <w:p w14:paraId="7C447E1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69DE9A30" w14:textId="77777777" w:rsidTr="00483C28">
        <w:tc>
          <w:tcPr>
            <w:tcW w:w="611" w:type="dxa"/>
            <w:tcBorders>
              <w:top w:val="single" w:sz="4" w:space="0" w:color="auto"/>
              <w:left w:val="single" w:sz="4" w:space="0" w:color="auto"/>
              <w:bottom w:val="single" w:sz="4" w:space="0" w:color="auto"/>
              <w:right w:val="single" w:sz="4" w:space="0" w:color="auto"/>
            </w:tcBorders>
          </w:tcPr>
          <w:p w14:paraId="16D773D8"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4.</w:t>
            </w:r>
          </w:p>
        </w:tc>
        <w:tc>
          <w:tcPr>
            <w:tcW w:w="3547" w:type="dxa"/>
            <w:tcBorders>
              <w:top w:val="single" w:sz="4" w:space="0" w:color="auto"/>
              <w:left w:val="single" w:sz="4" w:space="0" w:color="auto"/>
              <w:bottom w:val="single" w:sz="4" w:space="0" w:color="auto"/>
              <w:right w:val="single" w:sz="4" w:space="0" w:color="auto"/>
            </w:tcBorders>
          </w:tcPr>
          <w:p w14:paraId="6283F03F" w14:textId="77777777" w:rsidR="00CA26B4" w:rsidRPr="00CA26B4" w:rsidRDefault="00CA26B4" w:rsidP="002C3670">
            <w:pPr>
              <w:spacing w:before="100" w:beforeAutospacing="1" w:after="200" w:line="240" w:lineRule="auto"/>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To what extent does the use of </w:t>
            </w:r>
            <w:r w:rsidRPr="00CA26B4">
              <w:rPr>
                <w:rFonts w:ascii="Times New Roman" w:eastAsia="Calibri" w:hAnsi="Times New Roman" w:cs="Times New Roman"/>
                <w:kern w:val="0"/>
                <w14:ligatures w14:val="none"/>
              </w:rPr>
              <w:t>real-time</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accounting guarantee cyber security?</w:t>
            </w:r>
          </w:p>
        </w:tc>
        <w:tc>
          <w:tcPr>
            <w:tcW w:w="787" w:type="dxa"/>
            <w:tcBorders>
              <w:top w:val="single" w:sz="4" w:space="0" w:color="auto"/>
              <w:left w:val="single" w:sz="4" w:space="0" w:color="auto"/>
              <w:bottom w:val="single" w:sz="4" w:space="0" w:color="auto"/>
              <w:right w:val="single" w:sz="4" w:space="0" w:color="auto"/>
            </w:tcBorders>
          </w:tcPr>
          <w:p w14:paraId="7AA4855D"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9</w:t>
            </w:r>
          </w:p>
        </w:tc>
        <w:tc>
          <w:tcPr>
            <w:tcW w:w="563" w:type="dxa"/>
            <w:tcBorders>
              <w:top w:val="single" w:sz="4" w:space="0" w:color="auto"/>
              <w:left w:val="single" w:sz="4" w:space="0" w:color="auto"/>
              <w:bottom w:val="single" w:sz="4" w:space="0" w:color="auto"/>
              <w:right w:val="single" w:sz="4" w:space="0" w:color="auto"/>
            </w:tcBorders>
          </w:tcPr>
          <w:p w14:paraId="149D30E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8</w:t>
            </w:r>
          </w:p>
        </w:tc>
        <w:tc>
          <w:tcPr>
            <w:tcW w:w="540" w:type="dxa"/>
            <w:tcBorders>
              <w:top w:val="single" w:sz="4" w:space="0" w:color="auto"/>
              <w:left w:val="single" w:sz="4" w:space="0" w:color="auto"/>
              <w:bottom w:val="single" w:sz="4" w:space="0" w:color="auto"/>
              <w:right w:val="single" w:sz="4" w:space="0" w:color="auto"/>
            </w:tcBorders>
          </w:tcPr>
          <w:p w14:paraId="6D68F76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2</w:t>
            </w:r>
          </w:p>
        </w:tc>
        <w:tc>
          <w:tcPr>
            <w:tcW w:w="720" w:type="dxa"/>
            <w:tcBorders>
              <w:top w:val="single" w:sz="4" w:space="0" w:color="auto"/>
              <w:left w:val="single" w:sz="4" w:space="0" w:color="auto"/>
              <w:bottom w:val="single" w:sz="4" w:space="0" w:color="auto"/>
              <w:right w:val="single" w:sz="4" w:space="0" w:color="auto"/>
            </w:tcBorders>
          </w:tcPr>
          <w:p w14:paraId="6EE76E06"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3F74CD1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3.25</w:t>
            </w:r>
          </w:p>
        </w:tc>
        <w:tc>
          <w:tcPr>
            <w:tcW w:w="717" w:type="dxa"/>
            <w:tcBorders>
              <w:top w:val="single" w:sz="4" w:space="0" w:color="auto"/>
              <w:left w:val="single" w:sz="4" w:space="0" w:color="auto"/>
              <w:bottom w:val="single" w:sz="4" w:space="0" w:color="auto"/>
              <w:right w:val="single" w:sz="4" w:space="0" w:color="auto"/>
            </w:tcBorders>
          </w:tcPr>
          <w:p w14:paraId="7EED07B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0.83</w:t>
            </w:r>
          </w:p>
        </w:tc>
        <w:tc>
          <w:tcPr>
            <w:tcW w:w="1083" w:type="dxa"/>
            <w:tcBorders>
              <w:top w:val="single" w:sz="4" w:space="0" w:color="auto"/>
              <w:left w:val="single" w:sz="4" w:space="0" w:color="auto"/>
              <w:bottom w:val="single" w:sz="4" w:space="0" w:color="auto"/>
              <w:right w:val="single" w:sz="4" w:space="0" w:color="auto"/>
            </w:tcBorders>
          </w:tcPr>
          <w:p w14:paraId="664E6DFE"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HE</w:t>
            </w:r>
          </w:p>
        </w:tc>
      </w:tr>
      <w:tr w:rsidR="00CA26B4" w:rsidRPr="00CA26B4" w14:paraId="3D5AAEA0" w14:textId="77777777" w:rsidTr="00483C28">
        <w:tc>
          <w:tcPr>
            <w:tcW w:w="611" w:type="dxa"/>
            <w:tcBorders>
              <w:top w:val="single" w:sz="4" w:space="0" w:color="auto"/>
              <w:left w:val="single" w:sz="4" w:space="0" w:color="auto"/>
              <w:bottom w:val="single" w:sz="4" w:space="0" w:color="auto"/>
              <w:right w:val="single" w:sz="4" w:space="0" w:color="auto"/>
            </w:tcBorders>
          </w:tcPr>
          <w:p w14:paraId="1BCE196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5.</w:t>
            </w:r>
          </w:p>
        </w:tc>
        <w:tc>
          <w:tcPr>
            <w:tcW w:w="3547" w:type="dxa"/>
            <w:tcBorders>
              <w:top w:val="single" w:sz="4" w:space="0" w:color="auto"/>
              <w:left w:val="single" w:sz="4" w:space="0" w:color="auto"/>
              <w:bottom w:val="single" w:sz="4" w:space="0" w:color="auto"/>
              <w:right w:val="single" w:sz="4" w:space="0" w:color="auto"/>
            </w:tcBorders>
          </w:tcPr>
          <w:p w14:paraId="4CB04DF8" w14:textId="77777777" w:rsidR="00CA26B4" w:rsidRPr="00CA26B4" w:rsidRDefault="00CA26B4" w:rsidP="002C3670">
            <w:pPr>
              <w:spacing w:before="100" w:beforeAutospacing="1" w:after="200" w:line="240" w:lineRule="auto"/>
              <w:rPr>
                <w:rFonts w:ascii="Times New Roman" w:eastAsia="Times New Roman" w:hAnsi="Times New Roman" w:cs="Times New Roman"/>
                <w:bCs/>
                <w:kern w:val="0"/>
                <w14:ligatures w14:val="none"/>
              </w:rPr>
            </w:pPr>
            <w:r w:rsidRPr="00CA26B4">
              <w:rPr>
                <w:rFonts w:ascii="Times New Roman" w:eastAsia="Times New Roman" w:hAnsi="Times New Roman" w:cs="Times New Roman"/>
                <w:bCs/>
                <w:kern w:val="0"/>
                <w14:ligatures w14:val="none"/>
              </w:rPr>
              <w:t xml:space="preserve">To what extent can the use of </w:t>
            </w:r>
            <w:r w:rsidRPr="00CA26B4">
              <w:rPr>
                <w:rFonts w:ascii="Times New Roman" w:eastAsia="Calibri" w:hAnsi="Times New Roman" w:cs="Times New Roman"/>
                <w:kern w:val="0"/>
                <w14:ligatures w14:val="none"/>
              </w:rPr>
              <w:t>real-time accounting provide timely information</w:t>
            </w:r>
            <w:r w:rsidRPr="00CA26B4">
              <w:rPr>
                <w:rFonts w:ascii="Times New Roman" w:eastAsia="Times New Roman" w:hAnsi="Times New Roman" w:cs="Times New Roman"/>
                <w:bCs/>
                <w:kern w:val="0"/>
                <w14:ligatures w14:val="none"/>
              </w:rPr>
              <w:t>?</w:t>
            </w:r>
          </w:p>
        </w:tc>
        <w:tc>
          <w:tcPr>
            <w:tcW w:w="787" w:type="dxa"/>
            <w:tcBorders>
              <w:top w:val="single" w:sz="4" w:space="0" w:color="auto"/>
              <w:left w:val="single" w:sz="4" w:space="0" w:color="auto"/>
              <w:bottom w:val="single" w:sz="4" w:space="0" w:color="auto"/>
              <w:right w:val="single" w:sz="4" w:space="0" w:color="auto"/>
            </w:tcBorders>
          </w:tcPr>
          <w:p w14:paraId="22ABF19F"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11</w:t>
            </w:r>
          </w:p>
        </w:tc>
        <w:tc>
          <w:tcPr>
            <w:tcW w:w="563" w:type="dxa"/>
            <w:tcBorders>
              <w:top w:val="single" w:sz="4" w:space="0" w:color="auto"/>
              <w:left w:val="single" w:sz="4" w:space="0" w:color="auto"/>
              <w:bottom w:val="single" w:sz="4" w:space="0" w:color="auto"/>
              <w:right w:val="single" w:sz="4" w:space="0" w:color="auto"/>
            </w:tcBorders>
          </w:tcPr>
          <w:p w14:paraId="39612206"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6</w:t>
            </w:r>
          </w:p>
        </w:tc>
        <w:tc>
          <w:tcPr>
            <w:tcW w:w="540" w:type="dxa"/>
            <w:tcBorders>
              <w:top w:val="single" w:sz="4" w:space="0" w:color="auto"/>
              <w:left w:val="single" w:sz="4" w:space="0" w:color="auto"/>
              <w:bottom w:val="single" w:sz="4" w:space="0" w:color="auto"/>
              <w:right w:val="single" w:sz="4" w:space="0" w:color="auto"/>
            </w:tcBorders>
          </w:tcPr>
          <w:p w14:paraId="5E63220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2</w:t>
            </w:r>
          </w:p>
        </w:tc>
        <w:tc>
          <w:tcPr>
            <w:tcW w:w="720" w:type="dxa"/>
            <w:tcBorders>
              <w:top w:val="single" w:sz="4" w:space="0" w:color="auto"/>
              <w:left w:val="single" w:sz="4" w:space="0" w:color="auto"/>
              <w:bottom w:val="single" w:sz="4" w:space="0" w:color="auto"/>
              <w:right w:val="single" w:sz="4" w:space="0" w:color="auto"/>
            </w:tcBorders>
          </w:tcPr>
          <w:p w14:paraId="1C1D95A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1</w:t>
            </w:r>
          </w:p>
        </w:tc>
        <w:tc>
          <w:tcPr>
            <w:tcW w:w="810" w:type="dxa"/>
            <w:tcBorders>
              <w:top w:val="single" w:sz="4" w:space="0" w:color="auto"/>
              <w:left w:val="single" w:sz="4" w:space="0" w:color="auto"/>
              <w:bottom w:val="single" w:sz="4" w:space="0" w:color="auto"/>
              <w:right w:val="single" w:sz="4" w:space="0" w:color="auto"/>
            </w:tcBorders>
          </w:tcPr>
          <w:p w14:paraId="3602EE1A"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3.25</w:t>
            </w:r>
          </w:p>
        </w:tc>
        <w:tc>
          <w:tcPr>
            <w:tcW w:w="717" w:type="dxa"/>
            <w:tcBorders>
              <w:top w:val="single" w:sz="4" w:space="0" w:color="auto"/>
              <w:left w:val="single" w:sz="4" w:space="0" w:color="auto"/>
              <w:bottom w:val="single" w:sz="4" w:space="0" w:color="auto"/>
              <w:right w:val="single" w:sz="4" w:space="0" w:color="auto"/>
            </w:tcBorders>
          </w:tcPr>
          <w:p w14:paraId="29752B65"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0.85</w:t>
            </w:r>
          </w:p>
        </w:tc>
        <w:tc>
          <w:tcPr>
            <w:tcW w:w="1083" w:type="dxa"/>
            <w:tcBorders>
              <w:top w:val="single" w:sz="4" w:space="0" w:color="auto"/>
              <w:left w:val="single" w:sz="4" w:space="0" w:color="auto"/>
              <w:bottom w:val="single" w:sz="4" w:space="0" w:color="auto"/>
              <w:right w:val="single" w:sz="4" w:space="0" w:color="auto"/>
            </w:tcBorders>
          </w:tcPr>
          <w:p w14:paraId="0F0E9444"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VHE</w:t>
            </w:r>
          </w:p>
        </w:tc>
      </w:tr>
    </w:tbl>
    <w:p w14:paraId="5AE9F342" w14:textId="77777777" w:rsidR="00CA26B4" w:rsidRPr="00CA26B4" w:rsidRDefault="00CA26B4" w:rsidP="002C3670">
      <w:pPr>
        <w:tabs>
          <w:tab w:val="left" w:pos="7215"/>
        </w:tabs>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b/>
          <w:bCs/>
          <w:i/>
          <w:kern w:val="0"/>
          <w14:ligatures w14:val="none"/>
        </w:rPr>
        <w:t>Source</w:t>
      </w:r>
      <w:r w:rsidRPr="00CA26B4">
        <w:rPr>
          <w:rFonts w:ascii="Times New Roman" w:eastAsia="Times New Roman" w:hAnsi="Times New Roman" w:cs="Times New Roman"/>
          <w:i/>
          <w:kern w:val="0"/>
          <w14:ligatures w14:val="none"/>
        </w:rPr>
        <w:t>: Field Data, 2026</w:t>
      </w:r>
      <w:r w:rsidRPr="00CA26B4">
        <w:rPr>
          <w:rFonts w:ascii="Times New Roman" w:eastAsia="Times New Roman" w:hAnsi="Times New Roman" w:cs="Times New Roman"/>
          <w:i/>
          <w:kern w:val="0"/>
          <w14:ligatures w14:val="none"/>
        </w:rPr>
        <w:tab/>
      </w:r>
    </w:p>
    <w:p w14:paraId="5C262196" w14:textId="77777777" w:rsidR="00CA26B4" w:rsidRPr="00CA26B4" w:rsidRDefault="00CA26B4" w:rsidP="002C3670">
      <w:pPr>
        <w:shd w:val="clear" w:color="auto" w:fill="FFFFFF"/>
        <w:spacing w:after="200" w:line="240" w:lineRule="auto"/>
        <w:jc w:val="both"/>
        <w:rPr>
          <w:rFonts w:ascii="Times New Roman" w:eastAsia="Arial" w:hAnsi="Times New Roman" w:cs="Times New Roman"/>
          <w:color w:val="0A0A0A"/>
          <w:kern w:val="0"/>
          <w:shd w:val="clear" w:color="auto" w:fill="FFFFFF"/>
          <w14:ligatures w14:val="none"/>
        </w:rPr>
      </w:pPr>
      <w:r w:rsidRPr="00CA26B4">
        <w:rPr>
          <w:rFonts w:ascii="Times New Roman" w:eastAsia="Times New Roman" w:hAnsi="Times New Roman" w:cs="Times New Roman"/>
          <w:kern w:val="0"/>
          <w14:ligatures w14:val="none"/>
        </w:rPr>
        <w:t xml:space="preserve">Table 3 indicates the extent to which </w:t>
      </w:r>
      <w:r w:rsidRPr="00CA26B4">
        <w:rPr>
          <w:rFonts w:ascii="Times New Roman" w:eastAsia="Calibri" w:hAnsi="Times New Roman" w:cs="Times New Roman"/>
          <w:kern w:val="0"/>
          <w14:ligatures w14:val="none"/>
        </w:rPr>
        <w:t xml:space="preserve">real-time accounting affect operational efficiency. </w:t>
      </w:r>
      <w:r w:rsidRPr="00CA26B4">
        <w:rPr>
          <w:rFonts w:ascii="Times New Roman" w:eastAsia="Arial" w:hAnsi="Times New Roman" w:cs="Times New Roman"/>
          <w:color w:val="0A0A0A"/>
          <w:kern w:val="0"/>
          <w:shd w:val="clear" w:color="auto" w:fill="FFFFFF"/>
          <w14:ligatures w14:val="none"/>
        </w:rPr>
        <w:t xml:space="preserve">Item 1 is on how Traditional Accounting System can be enhanced using real-time accounting. From the analysis item 1 got a Mean of 3.15, and standard deviation (SD) of 1.01. This suggests that while respondents largely agree that real-time accounting improves upon traditional manual methods (by automating, reducing errors, and improving speed), there may be some disagreement or caution regarding the complexity of transitioning from traditional systems to real-time, or some respondents still value traditional processes. Item 2 was on how real-time accounting can Mitigate Cybercrime. The analysis gave a Mean of 3.25, and SD of 0.83.  The respondents strongly believe in the deterrent effect of real-time accounting, likely because instant recording allows for immediate detection of anomalies and fraudulent activity. This aligns with modern digital forensic accounting, which uses real-time data to identify fraud patterns, thereby increasing the likelihood of discovery and reducing the effectiveness of cyberattacks. Item 3 was on the use of real-time accounting to Promote Accurate Information. The analysis </w:t>
      </w:r>
      <w:proofErr w:type="spellStart"/>
      <w:r w:rsidRPr="00CA26B4">
        <w:rPr>
          <w:rFonts w:ascii="Times New Roman" w:eastAsia="Arial" w:hAnsi="Times New Roman" w:cs="Times New Roman"/>
          <w:color w:val="0A0A0A"/>
          <w:kern w:val="0"/>
          <w:shd w:val="clear" w:color="auto" w:fill="FFFFFF"/>
          <w14:ligatures w14:val="none"/>
        </w:rPr>
        <w:t>prodced</w:t>
      </w:r>
      <w:proofErr w:type="spellEnd"/>
      <w:r w:rsidRPr="00CA26B4">
        <w:rPr>
          <w:rFonts w:ascii="Times New Roman" w:eastAsia="Arial" w:hAnsi="Times New Roman" w:cs="Times New Roman"/>
          <w:color w:val="0A0A0A"/>
          <w:kern w:val="0"/>
          <w:shd w:val="clear" w:color="auto" w:fill="FFFFFF"/>
          <w14:ligatures w14:val="none"/>
        </w:rPr>
        <w:t xml:space="preserve"> a Mean of 3.25, and SD of 0.89. This item indicates strong consensus that instant data capture (as transactions happen) significantly reduces human error compared to manual data entry. Reducing lag time ensures that financial data accurately reflects the current state of business operations, thereby promoting trust in financial records. Item 4 addressed how real-time access could guarantee cybersecurity. This analysis gave a Mean of 3.25, and SD of 0.83. This reflects the perception that real-time systems are, by design, more secure than periodic, manual systems, providing better control and oversight. The high rating suggests that respondents believe continuous real-time monitoring in information systems (e.g., using AI) is a powerful safeguard against data breaches. Item 5 was on the use of real-time accounting to Provide Timely Information. This analysis gave a Mean of 3.25, and SD of 0.85. It shows that the primary benefit perceived is the ability to obtain up-to-date </w:t>
      </w:r>
      <w:r w:rsidRPr="00CA26B4">
        <w:rPr>
          <w:rFonts w:ascii="Times New Roman" w:eastAsia="Arial" w:hAnsi="Times New Roman" w:cs="Times New Roman"/>
          <w:color w:val="0A0A0A"/>
          <w:kern w:val="0"/>
          <w:shd w:val="clear" w:color="auto" w:fill="FFFFFF"/>
          <w14:ligatures w14:val="none"/>
        </w:rPr>
        <w:lastRenderedPageBreak/>
        <w:t>financial data immediately, rather than waiting for month-end reports. Timely data enables faster management decisions and allows businesses to react swiftly to changing market conditions.</w:t>
      </w:r>
    </w:p>
    <w:p w14:paraId="3DE365F0" w14:textId="77777777" w:rsidR="00CA26B4" w:rsidRPr="00CA26B4" w:rsidRDefault="00CA26B4" w:rsidP="002C3670">
      <w:pPr>
        <w:shd w:val="clear" w:color="auto" w:fill="FFFFFF"/>
        <w:spacing w:after="200" w:line="240" w:lineRule="auto"/>
        <w:jc w:val="both"/>
        <w:rPr>
          <w:rFonts w:ascii="Times New Roman" w:eastAsia="Times New Roman" w:hAnsi="Times New Roman" w:cs="Times New Roman"/>
          <w:b/>
          <w:bCs/>
          <w:kern w:val="0"/>
          <w14:ligatures w14:val="none"/>
        </w:rPr>
      </w:pPr>
      <w:r w:rsidRPr="00CA26B4">
        <w:rPr>
          <w:rFonts w:ascii="Times New Roman" w:eastAsia="Times New Roman" w:hAnsi="Times New Roman" w:cs="Times New Roman"/>
          <w:b/>
          <w:kern w:val="0"/>
          <w14:ligatures w14:val="none"/>
        </w:rPr>
        <w:t xml:space="preserve">Test of Hypotheses </w:t>
      </w:r>
      <w:r w:rsidRPr="00CA26B4">
        <w:rPr>
          <w:rFonts w:ascii="Times New Roman" w:eastAsia="Times New Roman" w:hAnsi="Times New Roman" w:cs="Times New Roman"/>
          <w:b/>
          <w:bCs/>
          <w:kern w:val="0"/>
          <w14:ligatures w14:val="none"/>
        </w:rPr>
        <w:t>One:</w:t>
      </w:r>
    </w:p>
    <w:p w14:paraId="57CA77FC" w14:textId="77777777" w:rsidR="00CA26B4" w:rsidRPr="00CA26B4" w:rsidRDefault="00CA26B4" w:rsidP="002C3670">
      <w:pPr>
        <w:shd w:val="clear" w:color="auto" w:fill="FFFFFF"/>
        <w:spacing w:after="200" w:line="240" w:lineRule="auto"/>
        <w:jc w:val="both"/>
        <w:rPr>
          <w:rFonts w:ascii="Times New Roman" w:eastAsia="Times New Roman" w:hAnsi="Times New Roman" w:cs="Times New Roman"/>
          <w:b/>
          <w:bCs/>
          <w:kern w:val="0"/>
          <w14:ligatures w14:val="none"/>
        </w:rPr>
      </w:pPr>
      <w:r w:rsidRPr="00CA26B4">
        <w:rPr>
          <w:rFonts w:ascii="Times New Roman" w:eastAsia="Times New Roman" w:hAnsi="Times New Roman" w:cs="Times New Roman"/>
          <w:b/>
          <w:bCs/>
          <w:kern w:val="0"/>
          <w14:ligatures w14:val="none"/>
        </w:rPr>
        <w:t>Use least square method, give analysis and conclude</w:t>
      </w:r>
    </w:p>
    <w:p w14:paraId="0D69E98C"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H</w:t>
      </w:r>
      <w:r w:rsidRPr="00CA26B4">
        <w:rPr>
          <w:rFonts w:ascii="Times New Roman" w:eastAsia="Calibri" w:hAnsi="Times New Roman" w:cs="Times New Roman"/>
          <w:kern w:val="0"/>
          <w:vertAlign w:val="subscript"/>
          <w14:ligatures w14:val="none"/>
        </w:rPr>
        <w:t>01</w:t>
      </w:r>
      <w:r w:rsidRPr="00CA26B4">
        <w:rPr>
          <w:rFonts w:ascii="Times New Roman" w:eastAsia="Calibri" w:hAnsi="Times New Roman" w:cs="Times New Roman"/>
          <w:kern w:val="0"/>
          <w14:ligatures w14:val="none"/>
        </w:rPr>
        <w:t xml:space="preserve">: There is no significant effect of </w:t>
      </w:r>
      <w:r w:rsidRPr="00CA26B4">
        <w:rPr>
          <w:rFonts w:ascii="Times New Roman" w:eastAsia="Calibri" w:hAnsi="Times New Roman" w:cs="Times New Roman"/>
          <w:b/>
          <w:bCs/>
          <w:kern w:val="0"/>
          <w14:ligatures w14:val="none"/>
        </w:rPr>
        <w:t>triple</w:t>
      </w:r>
      <w:r w:rsidRPr="00CA26B4">
        <w:rPr>
          <w:rFonts w:ascii="Times New Roman" w:eastAsia="Calibri" w:hAnsi="Times New Roman" w:cs="Times New Roman"/>
          <w:kern w:val="0"/>
          <w14:ligatures w14:val="none"/>
        </w:rPr>
        <w:t>-entry accounting on digital return on investment</w:t>
      </w:r>
    </w:p>
    <w:p w14:paraId="33316206" w14:textId="77777777" w:rsidR="00CA26B4" w:rsidRPr="00CA26B4" w:rsidRDefault="00CA26B4" w:rsidP="002C3670">
      <w:pPr>
        <w:spacing w:before="100" w:beforeAutospacing="1" w:after="200" w:line="240" w:lineRule="auto"/>
        <w:rPr>
          <w:rFonts w:ascii="Times New Roman" w:eastAsia="Times New Roman" w:hAnsi="Times New Roman" w:cs="Times New Roman"/>
          <w:b/>
          <w:color w:val="000000"/>
          <w:kern w:val="0"/>
          <w14:ligatures w14:val="none"/>
        </w:rPr>
      </w:pPr>
      <w:r w:rsidRPr="00CA26B4">
        <w:rPr>
          <w:rFonts w:ascii="Times New Roman" w:eastAsia="Times New Roman" w:hAnsi="Times New Roman" w:cs="Times New Roman"/>
          <w:b/>
          <w:color w:val="000000"/>
          <w:kern w:val="0"/>
          <w14:ligatures w14:val="none"/>
        </w:rPr>
        <w:t>Table 4: Hypothesis One regression</w:t>
      </w:r>
    </w:p>
    <w:tbl>
      <w:tblPr>
        <w:tblW w:w="0" w:type="auto"/>
        <w:tblCellSpacing w:w="15" w:type="dxa"/>
        <w:tblInd w:w="720" w:type="dxa"/>
        <w:tblBorders>
          <w:top w:val="threeDEmboss" w:sz="6" w:space="0" w:color="auto"/>
          <w:left w:val="threeDEmboss" w:sz="6" w:space="0" w:color="auto"/>
          <w:bottom w:val="threeDEmboss" w:sz="6" w:space="0" w:color="auto"/>
          <w:right w:val="threeDEmboss" w:sz="6" w:space="0" w:color="auto"/>
        </w:tblBorders>
        <w:tblCellMar>
          <w:top w:w="40" w:type="dxa"/>
          <w:left w:w="200" w:type="dxa"/>
          <w:bottom w:w="40" w:type="dxa"/>
          <w:right w:w="200" w:type="dxa"/>
        </w:tblCellMar>
        <w:tblLook w:val="04A0" w:firstRow="1" w:lastRow="0" w:firstColumn="1" w:lastColumn="0" w:noHBand="0" w:noVBand="1"/>
      </w:tblPr>
      <w:tblGrid>
        <w:gridCol w:w="2565"/>
        <w:gridCol w:w="1510"/>
        <w:gridCol w:w="610"/>
        <w:gridCol w:w="1317"/>
        <w:gridCol w:w="1230"/>
        <w:gridCol w:w="1105"/>
      </w:tblGrid>
      <w:tr w:rsidR="00CA26B4" w:rsidRPr="00CA26B4" w14:paraId="2EB9B222" w14:textId="77777777" w:rsidTr="00483C28">
        <w:trPr>
          <w:tblCellSpacing w:w="15" w:type="dxa"/>
        </w:trPr>
        <w:tc>
          <w:tcPr>
            <w:tcW w:w="0" w:type="auto"/>
            <w:tcBorders>
              <w:top w:val="nil"/>
              <w:left w:val="nil"/>
              <w:bottom w:val="nil"/>
              <w:right w:val="nil"/>
            </w:tcBorders>
            <w:vAlign w:val="center"/>
          </w:tcPr>
          <w:p w14:paraId="088A4292" w14:textId="77777777" w:rsidR="00CA26B4" w:rsidRPr="00CA26B4" w:rsidRDefault="00CA26B4" w:rsidP="002C3670">
            <w:pPr>
              <w:spacing w:before="100" w:beforeAutospacing="1" w:after="200" w:line="240" w:lineRule="auto"/>
              <w:rPr>
                <w:rFonts w:ascii="Times New Roman" w:eastAsia="SimSun" w:hAnsi="Times New Roman" w:cs="Times New Roman"/>
                <w:bCs/>
                <w:color w:val="000000"/>
                <w:kern w:val="0"/>
                <w:lang w:val="en-GB" w:eastAsia="zh-CN"/>
                <w14:ligatures w14:val="none"/>
              </w:rPr>
            </w:pPr>
            <w:r w:rsidRPr="00CA26B4">
              <w:rPr>
                <w:rFonts w:ascii="Times New Roman" w:eastAsia="Times New Roman" w:hAnsi="Times New Roman" w:cs="Times New Roman"/>
                <w:bCs/>
                <w:color w:val="000000"/>
                <w:kern w:val="0"/>
                <w:lang w:val="en-GB"/>
                <w14:ligatures w14:val="none"/>
              </w:rPr>
              <w:t>Variable</w:t>
            </w:r>
          </w:p>
        </w:tc>
        <w:tc>
          <w:tcPr>
            <w:tcW w:w="0" w:type="auto"/>
            <w:tcBorders>
              <w:top w:val="nil"/>
              <w:left w:val="nil"/>
              <w:bottom w:val="nil"/>
              <w:right w:val="nil"/>
            </w:tcBorders>
            <w:vAlign w:val="center"/>
          </w:tcPr>
          <w:p w14:paraId="3B288BF8" w14:textId="77777777" w:rsidR="00CA26B4" w:rsidRPr="00CA26B4" w:rsidRDefault="00CA26B4" w:rsidP="002C3670">
            <w:pPr>
              <w:spacing w:before="100" w:beforeAutospacing="1" w:after="200" w:line="240" w:lineRule="auto"/>
              <w:jc w:val="right"/>
              <w:rPr>
                <w:rFonts w:ascii="Times New Roman" w:eastAsia="SimSun" w:hAnsi="Times New Roman" w:cs="Times New Roman"/>
                <w:bCs/>
                <w:color w:val="000000"/>
                <w:kern w:val="0"/>
                <w:lang w:val="en-GB" w:eastAsia="zh-CN"/>
                <w14:ligatures w14:val="none"/>
              </w:rPr>
            </w:pPr>
            <w:r w:rsidRPr="00CA26B4">
              <w:rPr>
                <w:rFonts w:ascii="Times New Roman" w:eastAsia="Times New Roman" w:hAnsi="Times New Roman" w:cs="Times New Roman"/>
                <w:bCs/>
                <w:color w:val="000000"/>
                <w:kern w:val="0"/>
                <w:lang w:val="en-GB"/>
                <w14:ligatures w14:val="none"/>
              </w:rPr>
              <w:t>Coefficient</w:t>
            </w:r>
          </w:p>
        </w:tc>
        <w:tc>
          <w:tcPr>
            <w:tcW w:w="0" w:type="auto"/>
            <w:tcBorders>
              <w:top w:val="nil"/>
              <w:left w:val="nil"/>
              <w:bottom w:val="nil"/>
              <w:right w:val="nil"/>
            </w:tcBorders>
            <w:vAlign w:val="center"/>
          </w:tcPr>
          <w:p w14:paraId="1D8E7406" w14:textId="77777777" w:rsidR="00CA26B4" w:rsidRPr="00CA26B4" w:rsidRDefault="00CA26B4" w:rsidP="002C3670">
            <w:pPr>
              <w:spacing w:before="100" w:beforeAutospacing="1" w:after="200" w:line="240" w:lineRule="auto"/>
              <w:rPr>
                <w:rFonts w:ascii="Times New Roman" w:eastAsia="Calibri" w:hAnsi="Times New Roman" w:cs="Times New Roman"/>
                <w:kern w:val="0"/>
                <w:lang w:val="en-GB" w:eastAsia="en-GB"/>
                <w14:ligatures w14:val="none"/>
              </w:rPr>
            </w:pPr>
          </w:p>
        </w:tc>
        <w:tc>
          <w:tcPr>
            <w:tcW w:w="0" w:type="auto"/>
            <w:tcBorders>
              <w:top w:val="nil"/>
              <w:left w:val="nil"/>
              <w:bottom w:val="nil"/>
              <w:right w:val="nil"/>
            </w:tcBorders>
            <w:vAlign w:val="center"/>
          </w:tcPr>
          <w:p w14:paraId="7D05D63A" w14:textId="77777777" w:rsidR="00CA26B4" w:rsidRPr="00CA26B4" w:rsidRDefault="00CA26B4" w:rsidP="002C3670">
            <w:pPr>
              <w:spacing w:before="100" w:beforeAutospacing="1" w:after="200" w:line="240" w:lineRule="auto"/>
              <w:jc w:val="right"/>
              <w:rPr>
                <w:rFonts w:ascii="Times New Roman" w:eastAsia="SimSun" w:hAnsi="Times New Roman" w:cs="Times New Roman"/>
                <w:bCs/>
                <w:color w:val="000000"/>
                <w:kern w:val="0"/>
                <w:lang w:val="en-GB" w:eastAsia="zh-CN"/>
                <w14:ligatures w14:val="none"/>
              </w:rPr>
            </w:pPr>
            <w:hyperlink r:id="rId14" w:tooltip="Standard error" w:history="1">
              <w:proofErr w:type="spellStart"/>
              <w:r w:rsidRPr="00CA26B4">
                <w:rPr>
                  <w:rFonts w:ascii="Times New Roman" w:eastAsia="Times New Roman" w:hAnsi="Times New Roman" w:cs="Times New Roman"/>
                  <w:bCs/>
                  <w:color w:val="000000"/>
                  <w:kern w:val="0"/>
                  <w:u w:val="single"/>
                  <w:lang w:val="en-GB"/>
                  <w14:ligatures w14:val="none"/>
                </w:rPr>
                <w:t>Std.Error</w:t>
              </w:r>
              <w:proofErr w:type="spellEnd"/>
            </w:hyperlink>
          </w:p>
        </w:tc>
        <w:tc>
          <w:tcPr>
            <w:tcW w:w="0" w:type="auto"/>
            <w:tcBorders>
              <w:top w:val="nil"/>
              <w:left w:val="nil"/>
              <w:bottom w:val="nil"/>
              <w:right w:val="nil"/>
            </w:tcBorders>
            <w:tcMar>
              <w:top w:w="40" w:type="dxa"/>
              <w:left w:w="120" w:type="dxa"/>
              <w:bottom w:w="40" w:type="dxa"/>
              <w:right w:w="200" w:type="dxa"/>
            </w:tcMar>
            <w:vAlign w:val="center"/>
          </w:tcPr>
          <w:p w14:paraId="63F87D48" w14:textId="77777777" w:rsidR="00CA26B4" w:rsidRPr="00CA26B4" w:rsidRDefault="00CA26B4" w:rsidP="002C3670">
            <w:pPr>
              <w:spacing w:before="100" w:beforeAutospacing="1" w:after="200" w:line="240" w:lineRule="auto"/>
              <w:jc w:val="center"/>
              <w:rPr>
                <w:rFonts w:ascii="Times New Roman" w:eastAsia="SimSun" w:hAnsi="Times New Roman" w:cs="Times New Roman"/>
                <w:bCs/>
                <w:color w:val="000000"/>
                <w:kern w:val="0"/>
                <w:lang w:val="en-GB" w:eastAsia="zh-CN"/>
                <w14:ligatures w14:val="none"/>
              </w:rPr>
            </w:pPr>
            <w:hyperlink r:id="rId15" w:tooltip="T-statistic" w:history="1">
              <w:r w:rsidRPr="00CA26B4">
                <w:rPr>
                  <w:rFonts w:ascii="Times New Roman" w:eastAsia="Times New Roman" w:hAnsi="Times New Roman" w:cs="Times New Roman"/>
                  <w:bCs/>
                  <w:color w:val="000000"/>
                  <w:kern w:val="0"/>
                  <w:u w:val="single"/>
                  <w:lang w:val="en-GB"/>
                  <w14:ligatures w14:val="none"/>
                </w:rPr>
                <w:t>t-statistic</w:t>
              </w:r>
            </w:hyperlink>
          </w:p>
        </w:tc>
        <w:tc>
          <w:tcPr>
            <w:tcW w:w="0" w:type="auto"/>
            <w:tcBorders>
              <w:top w:val="nil"/>
              <w:left w:val="nil"/>
              <w:bottom w:val="nil"/>
              <w:right w:val="nil"/>
            </w:tcBorders>
            <w:tcMar>
              <w:top w:w="40" w:type="dxa"/>
              <w:left w:w="120" w:type="dxa"/>
              <w:bottom w:w="40" w:type="dxa"/>
              <w:right w:w="200" w:type="dxa"/>
            </w:tcMar>
            <w:vAlign w:val="center"/>
          </w:tcPr>
          <w:p w14:paraId="4EEB2A11" w14:textId="77777777" w:rsidR="00CA26B4" w:rsidRPr="00CA26B4" w:rsidRDefault="00CA26B4" w:rsidP="002C3670">
            <w:pPr>
              <w:spacing w:before="100" w:beforeAutospacing="1" w:after="200" w:line="240" w:lineRule="auto"/>
              <w:jc w:val="center"/>
              <w:rPr>
                <w:rFonts w:ascii="Times New Roman" w:eastAsia="SimSun" w:hAnsi="Times New Roman" w:cs="Times New Roman"/>
                <w:bCs/>
                <w:color w:val="000000"/>
                <w:kern w:val="0"/>
                <w:lang w:val="en-GB" w:eastAsia="zh-CN"/>
                <w14:ligatures w14:val="none"/>
              </w:rPr>
            </w:pPr>
            <w:hyperlink r:id="rId16" w:tooltip="P-value" w:history="1">
              <w:r w:rsidRPr="00CA26B4">
                <w:rPr>
                  <w:rFonts w:ascii="Times New Roman" w:eastAsia="Times New Roman" w:hAnsi="Times New Roman" w:cs="Times New Roman"/>
                  <w:bCs/>
                  <w:color w:val="000000"/>
                  <w:kern w:val="0"/>
                  <w:u w:val="single"/>
                  <w:lang w:val="en-GB"/>
                  <w14:ligatures w14:val="none"/>
                </w:rPr>
                <w:t>p-value</w:t>
              </w:r>
            </w:hyperlink>
          </w:p>
        </w:tc>
      </w:tr>
      <w:tr w:rsidR="00CA26B4" w:rsidRPr="00CA26B4" w14:paraId="2CC24341" w14:textId="77777777" w:rsidTr="00483C28">
        <w:trPr>
          <w:tblCellSpacing w:w="15" w:type="dxa"/>
        </w:trPr>
        <w:tc>
          <w:tcPr>
            <w:tcW w:w="0" w:type="auto"/>
            <w:gridSpan w:val="6"/>
            <w:tcBorders>
              <w:top w:val="nil"/>
              <w:left w:val="nil"/>
              <w:bottom w:val="nil"/>
              <w:right w:val="nil"/>
            </w:tcBorders>
            <w:vAlign w:val="center"/>
          </w:tcPr>
          <w:p w14:paraId="24F381AB" w14:textId="77777777" w:rsidR="00CA26B4" w:rsidRPr="00CA26B4" w:rsidRDefault="00000000" w:rsidP="002C3670">
            <w:pPr>
              <w:spacing w:before="100" w:beforeAutospacing="1" w:after="200" w:line="240" w:lineRule="auto"/>
              <w:jc w:val="center"/>
              <w:rPr>
                <w:rFonts w:ascii="Times New Roman" w:eastAsia="SimSun" w:hAnsi="Times New Roman" w:cs="Times New Roman"/>
                <w:color w:val="000000"/>
                <w:kern w:val="0"/>
                <w:lang w:val="en-GB" w:eastAsia="zh-CN"/>
                <w14:ligatures w14:val="none"/>
              </w:rPr>
            </w:pPr>
            <w:r>
              <w:rPr>
                <w:rFonts w:ascii="Times New Roman" w:eastAsia="Times New Roman" w:hAnsi="Times New Roman" w:cs="Times New Roman"/>
                <w:color w:val="000000"/>
                <w:kern w:val="0"/>
                <w:lang w:val="en-GB"/>
                <w14:ligatures w14:val="none"/>
              </w:rPr>
              <w:pict w14:anchorId="4EC8D582">
                <v:rect id="_x0000_i1037" style="width:468pt;height:1.5pt" o:hralign="center" o:hrstd="t" o:hr="t" fillcolor="#a0a0a0" stroked="f"/>
              </w:pict>
            </w:r>
          </w:p>
        </w:tc>
      </w:tr>
      <w:tr w:rsidR="00CA26B4" w:rsidRPr="00CA26B4" w14:paraId="429F72AE" w14:textId="77777777" w:rsidTr="00483C28">
        <w:trPr>
          <w:tblCellSpacing w:w="15" w:type="dxa"/>
        </w:trPr>
        <w:tc>
          <w:tcPr>
            <w:tcW w:w="0" w:type="auto"/>
            <w:tcBorders>
              <w:top w:val="nil"/>
              <w:left w:val="nil"/>
              <w:bottom w:val="nil"/>
              <w:right w:val="nil"/>
            </w:tcBorders>
            <w:vAlign w:val="center"/>
          </w:tcPr>
          <w:p w14:paraId="339AEF0E"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eastAsia="zh-CN"/>
                <w14:ligatures w14:val="none"/>
              </w:rPr>
            </w:pPr>
            <w:r w:rsidRPr="00CA26B4">
              <w:rPr>
                <w:rFonts w:ascii="Times New Roman" w:eastAsia="Times New Roman" w:hAnsi="Times New Roman" w:cs="Times New Roman"/>
                <w:color w:val="000000"/>
                <w:kern w:val="0"/>
                <w14:ligatures w14:val="none"/>
              </w:rPr>
              <w:t>DROI</w:t>
            </w:r>
          </w:p>
        </w:tc>
        <w:tc>
          <w:tcPr>
            <w:tcW w:w="0" w:type="auto"/>
            <w:tcBorders>
              <w:top w:val="nil"/>
              <w:left w:val="nil"/>
              <w:bottom w:val="nil"/>
              <w:right w:val="nil"/>
            </w:tcBorders>
            <w:vAlign w:val="center"/>
          </w:tcPr>
          <w:p w14:paraId="59D1A8C7"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12</w:t>
            </w:r>
            <w:r w:rsidRPr="00CA26B4">
              <w:rPr>
                <w:rFonts w:ascii="Times New Roman" w:eastAsia="Times New Roman" w:hAnsi="Times New Roman" w:cs="Times New Roman"/>
                <w:color w:val="000000"/>
                <w:kern w:val="0"/>
                <w14:ligatures w14:val="none"/>
              </w:rPr>
              <w:t>1</w:t>
            </w:r>
            <w:r w:rsidRPr="00CA26B4">
              <w:rPr>
                <w:rFonts w:ascii="Times New Roman" w:eastAsia="Times New Roman" w:hAnsi="Times New Roman" w:cs="Times New Roman"/>
                <w:color w:val="000000"/>
                <w:kern w:val="0"/>
                <w:lang w:val="en-GB"/>
                <w14:ligatures w14:val="none"/>
              </w:rPr>
              <w:t>.8120</w:t>
            </w:r>
          </w:p>
        </w:tc>
        <w:tc>
          <w:tcPr>
            <w:tcW w:w="0" w:type="auto"/>
            <w:tcBorders>
              <w:top w:val="nil"/>
              <w:left w:val="nil"/>
              <w:bottom w:val="nil"/>
              <w:right w:val="nil"/>
            </w:tcBorders>
            <w:vAlign w:val="center"/>
          </w:tcPr>
          <w:p w14:paraId="5B44B913" w14:textId="77777777" w:rsidR="00CA26B4" w:rsidRPr="00CA26B4" w:rsidRDefault="00CA26B4" w:rsidP="002C3670">
            <w:pPr>
              <w:spacing w:before="100" w:beforeAutospacing="1" w:after="200" w:line="240" w:lineRule="auto"/>
              <w:rPr>
                <w:rFonts w:ascii="Times New Roman" w:eastAsia="Calibri" w:hAnsi="Times New Roman" w:cs="Times New Roman"/>
                <w:kern w:val="0"/>
                <w:lang w:val="en-GB" w:eastAsia="en-GB"/>
                <w14:ligatures w14:val="none"/>
              </w:rPr>
            </w:pPr>
          </w:p>
        </w:tc>
        <w:tc>
          <w:tcPr>
            <w:tcW w:w="0" w:type="auto"/>
            <w:tcBorders>
              <w:top w:val="nil"/>
              <w:left w:val="nil"/>
              <w:bottom w:val="nil"/>
              <w:right w:val="nil"/>
            </w:tcBorders>
            <w:vAlign w:val="center"/>
          </w:tcPr>
          <w:p w14:paraId="767D057C"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17.31</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7</w:t>
            </w:r>
          </w:p>
        </w:tc>
        <w:tc>
          <w:tcPr>
            <w:tcW w:w="0" w:type="auto"/>
            <w:tcBorders>
              <w:top w:val="nil"/>
              <w:left w:val="nil"/>
              <w:bottom w:val="nil"/>
              <w:right w:val="nil"/>
            </w:tcBorders>
            <w:vAlign w:val="center"/>
          </w:tcPr>
          <w:p w14:paraId="3548625B"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7.</w:t>
            </w:r>
            <w:r w:rsidRPr="00CA26B4">
              <w:rPr>
                <w:rFonts w:ascii="Times New Roman" w:eastAsia="Times New Roman" w:hAnsi="Times New Roman" w:cs="Times New Roman"/>
                <w:color w:val="000000"/>
                <w:kern w:val="0"/>
                <w14:ligatures w14:val="none"/>
              </w:rPr>
              <w:t>00</w:t>
            </w:r>
            <w:r w:rsidRPr="00CA26B4">
              <w:rPr>
                <w:rFonts w:ascii="Times New Roman" w:eastAsia="Times New Roman" w:hAnsi="Times New Roman" w:cs="Times New Roman"/>
                <w:color w:val="000000"/>
                <w:kern w:val="0"/>
                <w:lang w:val="en-GB"/>
                <w14:ligatures w14:val="none"/>
              </w:rPr>
              <w:t>16</w:t>
            </w:r>
          </w:p>
        </w:tc>
        <w:tc>
          <w:tcPr>
            <w:tcW w:w="0" w:type="auto"/>
            <w:tcBorders>
              <w:top w:val="nil"/>
              <w:left w:val="nil"/>
              <w:bottom w:val="nil"/>
              <w:right w:val="nil"/>
            </w:tcBorders>
            <w:vAlign w:val="center"/>
          </w:tcPr>
          <w:p w14:paraId="34F1FDB9"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0.0005</w:t>
            </w:r>
          </w:p>
        </w:tc>
      </w:tr>
      <w:tr w:rsidR="00CA26B4" w:rsidRPr="00CA26B4" w14:paraId="303272C9" w14:textId="77777777" w:rsidTr="00483C28">
        <w:trPr>
          <w:tblCellSpacing w:w="15" w:type="dxa"/>
        </w:trPr>
        <w:tc>
          <w:tcPr>
            <w:tcW w:w="0" w:type="auto"/>
            <w:tcBorders>
              <w:top w:val="nil"/>
              <w:left w:val="nil"/>
              <w:bottom w:val="nil"/>
              <w:right w:val="nil"/>
            </w:tcBorders>
            <w:vAlign w:val="center"/>
          </w:tcPr>
          <w:p w14:paraId="79FF5A32"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eastAsia="zh-CN"/>
                <w14:ligatures w14:val="none"/>
              </w:rPr>
            </w:pPr>
            <w:r w:rsidRPr="00CA26B4">
              <w:rPr>
                <w:rFonts w:ascii="Times New Roman" w:eastAsia="SimSun" w:hAnsi="Times New Roman" w:cs="Times New Roman"/>
                <w:color w:val="000000"/>
                <w:kern w:val="0"/>
                <w:lang w:eastAsia="zh-CN"/>
                <w14:ligatures w14:val="none"/>
              </w:rPr>
              <w:t>TEA</w:t>
            </w:r>
          </w:p>
        </w:tc>
        <w:tc>
          <w:tcPr>
            <w:tcW w:w="0" w:type="auto"/>
            <w:tcBorders>
              <w:top w:val="nil"/>
              <w:left w:val="nil"/>
              <w:bottom w:val="nil"/>
              <w:right w:val="nil"/>
            </w:tcBorders>
            <w:vAlign w:val="center"/>
          </w:tcPr>
          <w:p w14:paraId="543419F6"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14</w:t>
            </w:r>
            <w:r w:rsidRPr="00CA26B4">
              <w:rPr>
                <w:rFonts w:ascii="Times New Roman" w:eastAsia="Times New Roman" w:hAnsi="Times New Roman" w:cs="Times New Roman"/>
                <w:color w:val="000000"/>
                <w:kern w:val="0"/>
                <w14:ligatures w14:val="none"/>
              </w:rPr>
              <w:t>3</w:t>
            </w:r>
            <w:r w:rsidRPr="00CA26B4">
              <w:rPr>
                <w:rFonts w:ascii="Times New Roman" w:eastAsia="Times New Roman" w:hAnsi="Times New Roman" w:cs="Times New Roman"/>
                <w:color w:val="000000"/>
                <w:kern w:val="0"/>
                <w:lang w:val="en-GB"/>
                <w14:ligatures w14:val="none"/>
              </w:rPr>
              <w:t>.1001</w:t>
            </w:r>
          </w:p>
        </w:tc>
        <w:tc>
          <w:tcPr>
            <w:tcW w:w="0" w:type="auto"/>
            <w:tcBorders>
              <w:top w:val="nil"/>
              <w:left w:val="nil"/>
              <w:bottom w:val="nil"/>
              <w:right w:val="nil"/>
            </w:tcBorders>
            <w:vAlign w:val="center"/>
          </w:tcPr>
          <w:p w14:paraId="6DD4DE7C" w14:textId="77777777" w:rsidR="00CA26B4" w:rsidRPr="00CA26B4" w:rsidRDefault="00CA26B4" w:rsidP="002C3670">
            <w:pPr>
              <w:spacing w:before="100" w:beforeAutospacing="1" w:after="200" w:line="240" w:lineRule="auto"/>
              <w:rPr>
                <w:rFonts w:ascii="Times New Roman" w:eastAsia="Calibri" w:hAnsi="Times New Roman" w:cs="Times New Roman"/>
                <w:kern w:val="0"/>
                <w:lang w:val="en-GB" w:eastAsia="en-GB"/>
                <w14:ligatures w14:val="none"/>
              </w:rPr>
            </w:pPr>
          </w:p>
        </w:tc>
        <w:tc>
          <w:tcPr>
            <w:tcW w:w="0" w:type="auto"/>
            <w:tcBorders>
              <w:top w:val="nil"/>
              <w:left w:val="nil"/>
              <w:bottom w:val="nil"/>
              <w:right w:val="nil"/>
            </w:tcBorders>
            <w:vAlign w:val="center"/>
          </w:tcPr>
          <w:p w14:paraId="1A683F5F"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20.</w:t>
            </w:r>
            <w:r w:rsidRPr="00CA26B4">
              <w:rPr>
                <w:rFonts w:ascii="Times New Roman" w:eastAsia="Times New Roman" w:hAnsi="Times New Roman" w:cs="Times New Roman"/>
                <w:color w:val="000000"/>
                <w:kern w:val="0"/>
                <w14:ligatures w14:val="none"/>
              </w:rPr>
              <w:t>9</w:t>
            </w:r>
            <w:r w:rsidRPr="00CA26B4">
              <w:rPr>
                <w:rFonts w:ascii="Times New Roman" w:eastAsia="Times New Roman" w:hAnsi="Times New Roman" w:cs="Times New Roman"/>
                <w:color w:val="000000"/>
                <w:kern w:val="0"/>
                <w:lang w:val="en-GB"/>
                <w14:ligatures w14:val="none"/>
              </w:rPr>
              <w:t>004</w:t>
            </w:r>
          </w:p>
        </w:tc>
        <w:tc>
          <w:tcPr>
            <w:tcW w:w="0" w:type="auto"/>
            <w:tcBorders>
              <w:top w:val="nil"/>
              <w:left w:val="nil"/>
              <w:bottom w:val="nil"/>
              <w:right w:val="nil"/>
            </w:tcBorders>
            <w:vAlign w:val="center"/>
          </w:tcPr>
          <w:p w14:paraId="2C53F0F6"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7.</w:t>
            </w:r>
            <w:r w:rsidRPr="00CA26B4">
              <w:rPr>
                <w:rFonts w:ascii="Times New Roman" w:eastAsia="Times New Roman" w:hAnsi="Times New Roman" w:cs="Times New Roman"/>
                <w:color w:val="000000"/>
                <w:kern w:val="0"/>
                <w14:ligatures w14:val="none"/>
              </w:rPr>
              <w:t>00</w:t>
            </w:r>
            <w:r w:rsidRPr="00CA26B4">
              <w:rPr>
                <w:rFonts w:ascii="Times New Roman" w:eastAsia="Times New Roman" w:hAnsi="Times New Roman" w:cs="Times New Roman"/>
                <w:color w:val="000000"/>
                <w:kern w:val="0"/>
                <w:lang w:val="en-GB"/>
                <w14:ligatures w14:val="none"/>
              </w:rPr>
              <w:t>08</w:t>
            </w:r>
          </w:p>
        </w:tc>
        <w:tc>
          <w:tcPr>
            <w:tcW w:w="0" w:type="auto"/>
            <w:tcBorders>
              <w:top w:val="nil"/>
              <w:left w:val="nil"/>
              <w:bottom w:val="nil"/>
              <w:right w:val="nil"/>
            </w:tcBorders>
            <w:vAlign w:val="center"/>
          </w:tcPr>
          <w:p w14:paraId="2B4FD1DA"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0.0005</w:t>
            </w:r>
          </w:p>
        </w:tc>
      </w:tr>
      <w:tr w:rsidR="00CA26B4" w:rsidRPr="00CA26B4" w14:paraId="7C17DDD8" w14:textId="77777777" w:rsidTr="00483C28">
        <w:trPr>
          <w:tblCellSpacing w:w="15" w:type="dxa"/>
        </w:trPr>
        <w:tc>
          <w:tcPr>
            <w:tcW w:w="0" w:type="auto"/>
            <w:gridSpan w:val="6"/>
            <w:tcBorders>
              <w:top w:val="nil"/>
              <w:left w:val="nil"/>
              <w:bottom w:val="nil"/>
              <w:right w:val="nil"/>
            </w:tcBorders>
            <w:vAlign w:val="center"/>
          </w:tcPr>
          <w:p w14:paraId="1A6A53A7" w14:textId="77777777" w:rsidR="00CA26B4" w:rsidRPr="00CA26B4" w:rsidRDefault="00000000" w:rsidP="002C3670">
            <w:pPr>
              <w:spacing w:before="100" w:beforeAutospacing="1" w:after="200" w:line="240" w:lineRule="auto"/>
              <w:jc w:val="center"/>
              <w:rPr>
                <w:rFonts w:ascii="Times New Roman" w:eastAsia="SimSun" w:hAnsi="Times New Roman" w:cs="Times New Roman"/>
                <w:color w:val="000000"/>
                <w:kern w:val="0"/>
                <w:lang w:val="en-GB" w:eastAsia="zh-CN"/>
                <w14:ligatures w14:val="none"/>
              </w:rPr>
            </w:pPr>
            <w:r>
              <w:rPr>
                <w:rFonts w:ascii="Times New Roman" w:eastAsia="Times New Roman" w:hAnsi="Times New Roman" w:cs="Times New Roman"/>
                <w:color w:val="000000"/>
                <w:kern w:val="0"/>
                <w:lang w:val="en-GB"/>
                <w14:ligatures w14:val="none"/>
              </w:rPr>
              <w:pict w14:anchorId="09B3B060">
                <v:rect id="_x0000_i1038" style="width:468pt;height:1.5pt" o:hralign="center" o:hrstd="t" o:hr="t" fillcolor="#a0a0a0" stroked="f"/>
              </w:pict>
            </w:r>
          </w:p>
        </w:tc>
      </w:tr>
      <w:tr w:rsidR="00CA26B4" w:rsidRPr="00CA26B4" w14:paraId="0AFFBCCE" w14:textId="77777777" w:rsidTr="00483C28">
        <w:trPr>
          <w:tblCellSpacing w:w="15" w:type="dxa"/>
        </w:trPr>
        <w:tc>
          <w:tcPr>
            <w:tcW w:w="0" w:type="auto"/>
            <w:tcBorders>
              <w:top w:val="nil"/>
              <w:left w:val="nil"/>
              <w:bottom w:val="nil"/>
              <w:right w:val="nil"/>
            </w:tcBorders>
            <w:vAlign w:val="center"/>
          </w:tcPr>
          <w:p w14:paraId="3AA69FCE"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17" w:tooltip="Coefficient of determination" w:history="1">
              <w:r w:rsidRPr="00CA26B4">
                <w:rPr>
                  <w:rFonts w:ascii="Times New Roman" w:eastAsia="Times New Roman" w:hAnsi="Times New Roman" w:cs="Times New Roman"/>
                  <w:color w:val="000000"/>
                  <w:kern w:val="0"/>
                  <w:lang w:val="en-GB"/>
                  <w14:ligatures w14:val="none"/>
                </w:rPr>
                <w:t>R</w:t>
              </w:r>
              <w:r w:rsidRPr="00CA26B4">
                <w:rPr>
                  <w:rFonts w:ascii="Times New Roman" w:eastAsia="Times New Roman" w:hAnsi="Times New Roman" w:cs="Times New Roman"/>
                  <w:color w:val="000000"/>
                  <w:kern w:val="0"/>
                  <w:vertAlign w:val="superscript"/>
                  <w:lang w:val="en-GB"/>
                  <w14:ligatures w14:val="none"/>
                </w:rPr>
                <w:t>2</w:t>
              </w:r>
            </w:hyperlink>
          </w:p>
        </w:tc>
        <w:tc>
          <w:tcPr>
            <w:tcW w:w="0" w:type="auto"/>
            <w:tcBorders>
              <w:top w:val="nil"/>
              <w:left w:val="nil"/>
              <w:bottom w:val="nil"/>
              <w:right w:val="nil"/>
            </w:tcBorders>
            <w:vAlign w:val="center"/>
          </w:tcPr>
          <w:p w14:paraId="254D70E3"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0.9288</w:t>
            </w:r>
          </w:p>
        </w:tc>
        <w:tc>
          <w:tcPr>
            <w:tcW w:w="0" w:type="auto"/>
            <w:vMerge w:val="restart"/>
            <w:tcBorders>
              <w:top w:val="nil"/>
              <w:left w:val="nil"/>
              <w:bottom w:val="threeDEmboss" w:sz="6" w:space="0" w:color="auto"/>
              <w:right w:val="nil"/>
            </w:tcBorders>
            <w:vAlign w:val="center"/>
          </w:tcPr>
          <w:p w14:paraId="26F08025"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   </w:t>
            </w:r>
          </w:p>
        </w:tc>
        <w:tc>
          <w:tcPr>
            <w:tcW w:w="0" w:type="auto"/>
            <w:gridSpan w:val="2"/>
            <w:tcBorders>
              <w:top w:val="nil"/>
              <w:left w:val="nil"/>
              <w:bottom w:val="nil"/>
              <w:right w:val="nil"/>
            </w:tcBorders>
            <w:vAlign w:val="center"/>
          </w:tcPr>
          <w:p w14:paraId="7370D073"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S.E. of Regression</w:t>
            </w:r>
          </w:p>
        </w:tc>
        <w:tc>
          <w:tcPr>
            <w:tcW w:w="0" w:type="auto"/>
            <w:tcBorders>
              <w:top w:val="nil"/>
              <w:left w:val="nil"/>
              <w:bottom w:val="nil"/>
              <w:right w:val="nil"/>
            </w:tcBorders>
            <w:vAlign w:val="center"/>
          </w:tcPr>
          <w:p w14:paraId="49F9B0C8"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0.2</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32</w:t>
            </w:r>
          </w:p>
        </w:tc>
      </w:tr>
      <w:tr w:rsidR="00CA26B4" w:rsidRPr="00CA26B4" w14:paraId="42A62AE9" w14:textId="77777777" w:rsidTr="00483C28">
        <w:trPr>
          <w:tblCellSpacing w:w="15" w:type="dxa"/>
        </w:trPr>
        <w:tc>
          <w:tcPr>
            <w:tcW w:w="0" w:type="auto"/>
            <w:tcBorders>
              <w:top w:val="nil"/>
              <w:left w:val="nil"/>
              <w:bottom w:val="nil"/>
              <w:right w:val="nil"/>
            </w:tcBorders>
            <w:vAlign w:val="center"/>
          </w:tcPr>
          <w:p w14:paraId="0FFADDA4"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Adjusted R</w:t>
            </w:r>
            <w:r w:rsidRPr="00CA26B4">
              <w:rPr>
                <w:rFonts w:ascii="Times New Roman" w:eastAsia="Times New Roman" w:hAnsi="Times New Roman" w:cs="Times New Roman"/>
                <w:color w:val="000000"/>
                <w:kern w:val="0"/>
                <w:vertAlign w:val="superscript"/>
                <w:lang w:val="en-GB"/>
                <w14:ligatures w14:val="none"/>
              </w:rPr>
              <w:t>2</w:t>
            </w:r>
          </w:p>
        </w:tc>
        <w:tc>
          <w:tcPr>
            <w:tcW w:w="0" w:type="auto"/>
            <w:tcBorders>
              <w:top w:val="nil"/>
              <w:left w:val="nil"/>
              <w:bottom w:val="nil"/>
              <w:right w:val="nil"/>
            </w:tcBorders>
            <w:vAlign w:val="center"/>
          </w:tcPr>
          <w:p w14:paraId="261595E6"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0.9184</w:t>
            </w:r>
          </w:p>
        </w:tc>
        <w:tc>
          <w:tcPr>
            <w:tcW w:w="0" w:type="auto"/>
            <w:vMerge/>
            <w:tcBorders>
              <w:top w:val="nil"/>
              <w:left w:val="nil"/>
              <w:bottom w:val="threeDEmboss" w:sz="6" w:space="0" w:color="auto"/>
              <w:right w:val="nil"/>
            </w:tcBorders>
            <w:vAlign w:val="center"/>
          </w:tcPr>
          <w:p w14:paraId="252470AC"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02034158"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Model Sum-of-</w:t>
            </w:r>
            <w:proofErr w:type="spellStart"/>
            <w:r w:rsidRPr="00CA26B4">
              <w:rPr>
                <w:rFonts w:ascii="Times New Roman" w:eastAsia="Times New Roman" w:hAnsi="Times New Roman" w:cs="Times New Roman"/>
                <w:color w:val="000000"/>
                <w:kern w:val="0"/>
                <w:lang w:val="en-GB"/>
                <w14:ligatures w14:val="none"/>
              </w:rPr>
              <w:t>Sq</w:t>
            </w:r>
            <w:proofErr w:type="spellEnd"/>
          </w:p>
        </w:tc>
        <w:tc>
          <w:tcPr>
            <w:tcW w:w="0" w:type="auto"/>
            <w:tcBorders>
              <w:top w:val="nil"/>
              <w:left w:val="nil"/>
              <w:bottom w:val="nil"/>
              <w:right w:val="nil"/>
            </w:tcBorders>
            <w:vAlign w:val="center"/>
          </w:tcPr>
          <w:p w14:paraId="51EE6BB0"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6</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7.60</w:t>
            </w:r>
          </w:p>
        </w:tc>
      </w:tr>
      <w:tr w:rsidR="00CA26B4" w:rsidRPr="00CA26B4" w14:paraId="36AF0FA2" w14:textId="77777777" w:rsidTr="00483C28">
        <w:trPr>
          <w:tblCellSpacing w:w="15" w:type="dxa"/>
        </w:trPr>
        <w:tc>
          <w:tcPr>
            <w:tcW w:w="0" w:type="auto"/>
            <w:tcBorders>
              <w:top w:val="nil"/>
              <w:left w:val="nil"/>
              <w:bottom w:val="nil"/>
              <w:right w:val="nil"/>
            </w:tcBorders>
            <w:vAlign w:val="center"/>
          </w:tcPr>
          <w:p w14:paraId="7BC913AB"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Log-Likelihood</w:t>
            </w:r>
          </w:p>
        </w:tc>
        <w:tc>
          <w:tcPr>
            <w:tcW w:w="0" w:type="auto"/>
            <w:tcBorders>
              <w:top w:val="nil"/>
              <w:left w:val="nil"/>
              <w:bottom w:val="nil"/>
              <w:right w:val="nil"/>
            </w:tcBorders>
            <w:vAlign w:val="center"/>
          </w:tcPr>
          <w:p w14:paraId="6C047DF4"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1.07</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1</w:t>
            </w:r>
          </w:p>
        </w:tc>
        <w:tc>
          <w:tcPr>
            <w:tcW w:w="0" w:type="auto"/>
            <w:vMerge/>
            <w:tcBorders>
              <w:top w:val="nil"/>
              <w:left w:val="nil"/>
              <w:bottom w:val="threeDEmboss" w:sz="6" w:space="0" w:color="auto"/>
              <w:right w:val="nil"/>
            </w:tcBorders>
            <w:vAlign w:val="center"/>
          </w:tcPr>
          <w:p w14:paraId="0360FD25"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3ADC1F87"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Residual Sum-of-</w:t>
            </w:r>
            <w:proofErr w:type="spellStart"/>
            <w:r w:rsidRPr="00CA26B4">
              <w:rPr>
                <w:rFonts w:ascii="Times New Roman" w:eastAsia="Times New Roman" w:hAnsi="Times New Roman" w:cs="Times New Roman"/>
                <w:color w:val="000000"/>
                <w:kern w:val="0"/>
                <w:lang w:val="en-GB"/>
                <w14:ligatures w14:val="none"/>
              </w:rPr>
              <w:t>Sq</w:t>
            </w:r>
            <w:proofErr w:type="spellEnd"/>
          </w:p>
        </w:tc>
        <w:tc>
          <w:tcPr>
            <w:tcW w:w="0" w:type="auto"/>
            <w:tcBorders>
              <w:top w:val="nil"/>
              <w:left w:val="nil"/>
              <w:bottom w:val="nil"/>
              <w:right w:val="nil"/>
            </w:tcBorders>
            <w:vAlign w:val="center"/>
          </w:tcPr>
          <w:p w14:paraId="29B24287"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1.7</w:t>
            </w:r>
            <w:r w:rsidRPr="00CA26B4">
              <w:rPr>
                <w:rFonts w:ascii="Times New Roman" w:eastAsia="Times New Roman" w:hAnsi="Times New Roman" w:cs="Times New Roman"/>
                <w:color w:val="000000"/>
                <w:kern w:val="0"/>
                <w14:ligatures w14:val="none"/>
              </w:rPr>
              <w:t>00</w:t>
            </w:r>
            <w:r w:rsidRPr="00CA26B4">
              <w:rPr>
                <w:rFonts w:ascii="Times New Roman" w:eastAsia="Times New Roman" w:hAnsi="Times New Roman" w:cs="Times New Roman"/>
                <w:color w:val="000000"/>
                <w:kern w:val="0"/>
                <w:lang w:val="en-GB"/>
                <w14:ligatures w14:val="none"/>
              </w:rPr>
              <w:t>0</w:t>
            </w:r>
          </w:p>
        </w:tc>
      </w:tr>
      <w:tr w:rsidR="00CA26B4" w:rsidRPr="00CA26B4" w14:paraId="6488EE23" w14:textId="77777777" w:rsidTr="00483C28">
        <w:trPr>
          <w:tblCellSpacing w:w="15" w:type="dxa"/>
        </w:trPr>
        <w:tc>
          <w:tcPr>
            <w:tcW w:w="0" w:type="auto"/>
            <w:tcBorders>
              <w:top w:val="nil"/>
              <w:left w:val="nil"/>
              <w:bottom w:val="nil"/>
              <w:right w:val="nil"/>
            </w:tcBorders>
            <w:vAlign w:val="center"/>
          </w:tcPr>
          <w:p w14:paraId="74F7847A"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18" w:tooltip="Durbin–Watson statistic" w:history="1">
              <w:r w:rsidRPr="00CA26B4">
                <w:rPr>
                  <w:rFonts w:ascii="Times New Roman" w:eastAsia="Times New Roman" w:hAnsi="Times New Roman" w:cs="Times New Roman"/>
                  <w:color w:val="000000"/>
                  <w:kern w:val="0"/>
                  <w:lang w:val="en-GB"/>
                  <w14:ligatures w14:val="none"/>
                </w:rPr>
                <w:t>Durbin–Watson Stats.</w:t>
              </w:r>
            </w:hyperlink>
          </w:p>
        </w:tc>
        <w:tc>
          <w:tcPr>
            <w:tcW w:w="0" w:type="auto"/>
            <w:tcBorders>
              <w:top w:val="nil"/>
              <w:left w:val="nil"/>
              <w:bottom w:val="nil"/>
              <w:right w:val="nil"/>
            </w:tcBorders>
            <w:vAlign w:val="center"/>
          </w:tcPr>
          <w:p w14:paraId="56A2393A"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2.10</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7</w:t>
            </w:r>
          </w:p>
        </w:tc>
        <w:tc>
          <w:tcPr>
            <w:tcW w:w="0" w:type="auto"/>
            <w:vMerge/>
            <w:tcBorders>
              <w:top w:val="nil"/>
              <w:left w:val="nil"/>
              <w:bottom w:val="threeDEmboss" w:sz="6" w:space="0" w:color="auto"/>
              <w:right w:val="nil"/>
            </w:tcBorders>
            <w:vAlign w:val="center"/>
          </w:tcPr>
          <w:p w14:paraId="287A381E"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73C7ACC3"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Total Sum-of-</w:t>
            </w:r>
            <w:proofErr w:type="spellStart"/>
            <w:r w:rsidRPr="00CA26B4">
              <w:rPr>
                <w:rFonts w:ascii="Times New Roman" w:eastAsia="Times New Roman" w:hAnsi="Times New Roman" w:cs="Times New Roman"/>
                <w:color w:val="000000"/>
                <w:kern w:val="0"/>
                <w:lang w:val="en-GB"/>
                <w14:ligatures w14:val="none"/>
              </w:rPr>
              <w:t>Sq</w:t>
            </w:r>
            <w:proofErr w:type="spellEnd"/>
          </w:p>
        </w:tc>
        <w:tc>
          <w:tcPr>
            <w:tcW w:w="0" w:type="auto"/>
            <w:tcBorders>
              <w:top w:val="nil"/>
              <w:left w:val="nil"/>
              <w:bottom w:val="nil"/>
              <w:right w:val="nil"/>
            </w:tcBorders>
            <w:vAlign w:val="center"/>
          </w:tcPr>
          <w:p w14:paraId="4E3BBB30"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697.</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4</w:t>
            </w:r>
          </w:p>
        </w:tc>
      </w:tr>
      <w:tr w:rsidR="00CA26B4" w:rsidRPr="00CA26B4" w14:paraId="039AE05D" w14:textId="77777777" w:rsidTr="00483C28">
        <w:trPr>
          <w:tblCellSpacing w:w="15" w:type="dxa"/>
        </w:trPr>
        <w:tc>
          <w:tcPr>
            <w:tcW w:w="0" w:type="auto"/>
            <w:tcBorders>
              <w:top w:val="nil"/>
              <w:left w:val="nil"/>
              <w:bottom w:val="nil"/>
              <w:right w:val="nil"/>
            </w:tcBorders>
            <w:vAlign w:val="center"/>
          </w:tcPr>
          <w:p w14:paraId="74249C6A"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19" w:tooltip="Akaike information criterion" w:history="1">
              <w:r w:rsidRPr="00CA26B4">
                <w:rPr>
                  <w:rFonts w:ascii="Times New Roman" w:eastAsia="Times New Roman" w:hAnsi="Times New Roman" w:cs="Times New Roman"/>
                  <w:color w:val="000000"/>
                  <w:kern w:val="0"/>
                  <w:lang w:val="en-GB"/>
                  <w14:ligatures w14:val="none"/>
                </w:rPr>
                <w:t>Akaike Criterion</w:t>
              </w:r>
            </w:hyperlink>
          </w:p>
        </w:tc>
        <w:tc>
          <w:tcPr>
            <w:tcW w:w="0" w:type="auto"/>
            <w:tcBorders>
              <w:top w:val="nil"/>
              <w:left w:val="nil"/>
              <w:bottom w:val="nil"/>
              <w:right w:val="nil"/>
            </w:tcBorders>
            <w:vAlign w:val="center"/>
          </w:tcPr>
          <w:p w14:paraId="3B917755"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1.26</w:t>
            </w:r>
            <w:r w:rsidRPr="00CA26B4">
              <w:rPr>
                <w:rFonts w:ascii="Times New Roman" w:eastAsia="Times New Roman" w:hAnsi="Times New Roman" w:cs="Times New Roman"/>
                <w:color w:val="000000"/>
                <w:kern w:val="0"/>
                <w14:ligatures w14:val="none"/>
              </w:rPr>
              <w:t>00</w:t>
            </w:r>
            <w:r w:rsidRPr="00CA26B4">
              <w:rPr>
                <w:rFonts w:ascii="Times New Roman" w:eastAsia="Times New Roman" w:hAnsi="Times New Roman" w:cs="Times New Roman"/>
                <w:color w:val="000000"/>
                <w:kern w:val="0"/>
                <w:lang w:val="en-GB"/>
                <w14:ligatures w14:val="none"/>
              </w:rPr>
              <w:t>7</w:t>
            </w:r>
          </w:p>
        </w:tc>
        <w:tc>
          <w:tcPr>
            <w:tcW w:w="0" w:type="auto"/>
            <w:vMerge/>
            <w:tcBorders>
              <w:top w:val="nil"/>
              <w:left w:val="nil"/>
              <w:bottom w:val="threeDEmboss" w:sz="6" w:space="0" w:color="auto"/>
              <w:right w:val="nil"/>
            </w:tcBorders>
            <w:vAlign w:val="center"/>
          </w:tcPr>
          <w:p w14:paraId="569BD636"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3375C9C2"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F-Statistic</w:t>
            </w:r>
          </w:p>
        </w:tc>
        <w:tc>
          <w:tcPr>
            <w:tcW w:w="0" w:type="auto"/>
            <w:tcBorders>
              <w:top w:val="nil"/>
              <w:left w:val="nil"/>
              <w:bottom w:val="nil"/>
              <w:right w:val="nil"/>
            </w:tcBorders>
            <w:vAlign w:val="center"/>
          </w:tcPr>
          <w:p w14:paraId="48C9DFC8"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557</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.9</w:t>
            </w:r>
          </w:p>
        </w:tc>
      </w:tr>
      <w:tr w:rsidR="00CA26B4" w:rsidRPr="00CA26B4" w14:paraId="2924E81F" w14:textId="77777777" w:rsidTr="00483C28">
        <w:trPr>
          <w:tblCellSpacing w:w="15" w:type="dxa"/>
        </w:trPr>
        <w:tc>
          <w:tcPr>
            <w:tcW w:w="0" w:type="auto"/>
            <w:tcBorders>
              <w:top w:val="nil"/>
              <w:left w:val="nil"/>
              <w:bottom w:val="nil"/>
              <w:right w:val="nil"/>
            </w:tcBorders>
            <w:vAlign w:val="center"/>
          </w:tcPr>
          <w:p w14:paraId="679E080E"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20" w:tooltip="Schwarz criterion" w:history="1">
              <w:r w:rsidRPr="00CA26B4">
                <w:rPr>
                  <w:rFonts w:ascii="Times New Roman" w:eastAsia="Times New Roman" w:hAnsi="Times New Roman" w:cs="Times New Roman"/>
                  <w:color w:val="000000"/>
                  <w:kern w:val="0"/>
                  <w:lang w:val="en-GB"/>
                  <w14:ligatures w14:val="none"/>
                </w:rPr>
                <w:t>Schwarz Criterion</w:t>
              </w:r>
            </w:hyperlink>
          </w:p>
        </w:tc>
        <w:tc>
          <w:tcPr>
            <w:tcW w:w="0" w:type="auto"/>
            <w:tcBorders>
              <w:top w:val="nil"/>
              <w:left w:val="nil"/>
              <w:bottom w:val="nil"/>
              <w:right w:val="nil"/>
            </w:tcBorders>
            <w:vAlign w:val="center"/>
          </w:tcPr>
          <w:p w14:paraId="34A7EABC"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1.330</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7</w:t>
            </w:r>
          </w:p>
        </w:tc>
        <w:tc>
          <w:tcPr>
            <w:tcW w:w="0" w:type="auto"/>
            <w:vMerge/>
            <w:tcBorders>
              <w:top w:val="nil"/>
              <w:left w:val="nil"/>
              <w:bottom w:val="threeDEmboss" w:sz="6" w:space="0" w:color="auto"/>
              <w:right w:val="nil"/>
            </w:tcBorders>
            <w:vAlign w:val="center"/>
          </w:tcPr>
          <w:p w14:paraId="28E50C7C"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761CB0E2"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P-Value (F-Stat)</w:t>
            </w:r>
          </w:p>
        </w:tc>
        <w:tc>
          <w:tcPr>
            <w:tcW w:w="0" w:type="auto"/>
            <w:tcBorders>
              <w:top w:val="nil"/>
              <w:left w:val="nil"/>
              <w:bottom w:val="nil"/>
              <w:right w:val="nil"/>
            </w:tcBorders>
            <w:vAlign w:val="center"/>
          </w:tcPr>
          <w:p w14:paraId="45BAC503"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0.0005</w:t>
            </w:r>
          </w:p>
        </w:tc>
      </w:tr>
    </w:tbl>
    <w:p w14:paraId="07E9B38C" w14:textId="77777777" w:rsidR="00CA26B4" w:rsidRPr="00CA26B4" w:rsidRDefault="00CA26B4" w:rsidP="002C3670">
      <w:pPr>
        <w:adjustRightInd w:val="0"/>
        <w:spacing w:before="100" w:beforeAutospacing="1" w:after="200" w:line="240" w:lineRule="auto"/>
        <w:jc w:val="both"/>
        <w:rPr>
          <w:rFonts w:ascii="Times New Roman" w:eastAsia="SimSun" w:hAnsi="Times New Roman" w:cs="Times New Roman"/>
          <w:color w:val="000000"/>
          <w:kern w:val="0"/>
          <w:lang w:eastAsia="zh-CN"/>
          <w14:ligatures w14:val="none"/>
        </w:rPr>
      </w:pPr>
      <w:r w:rsidRPr="00CA26B4">
        <w:rPr>
          <w:rFonts w:ascii="Times New Roman" w:eastAsia="Times New Roman" w:hAnsi="Times New Roman" w:cs="Times New Roman"/>
          <w:color w:val="000000"/>
          <w:kern w:val="0"/>
          <w14:ligatures w14:val="none"/>
        </w:rPr>
        <w:t xml:space="preserve"> Source: Researcher Computation using </w:t>
      </w:r>
      <w:r w:rsidRPr="00CA26B4">
        <w:rPr>
          <w:rFonts w:ascii="Times New Roman" w:eastAsia="Times New Roman" w:hAnsi="Times New Roman" w:cs="Times New Roman"/>
          <w:bCs/>
          <w:color w:val="000000"/>
          <w:kern w:val="0"/>
          <w14:ligatures w14:val="none"/>
        </w:rPr>
        <w:t>SPSS version 20.0</w:t>
      </w:r>
    </w:p>
    <w:p w14:paraId="2B99C3DF" w14:textId="77777777" w:rsidR="00CA26B4" w:rsidRPr="00CA26B4" w:rsidRDefault="00CA26B4" w:rsidP="002C3670">
      <w:pPr>
        <w:adjustRightInd w:val="0"/>
        <w:spacing w:before="100" w:beforeAutospacing="1" w:after="200" w:line="240" w:lineRule="auto"/>
        <w:jc w:val="both"/>
        <w:rPr>
          <w:rFonts w:ascii="Times New Roman" w:eastAsia="Arial" w:hAnsi="Times New Roman" w:cs="Times New Roman"/>
          <w:color w:val="0A0A0A"/>
          <w:kern w:val="0"/>
          <w14:ligatures w14:val="none"/>
        </w:rPr>
      </w:pPr>
      <w:r w:rsidRPr="00CA26B4">
        <w:rPr>
          <w:rFonts w:ascii="Times New Roman" w:eastAsia="Times New Roman" w:hAnsi="Times New Roman" w:cs="Times New Roman"/>
          <w:color w:val="000000"/>
          <w:kern w:val="0"/>
          <w14:ligatures w14:val="none"/>
        </w:rPr>
        <w:t xml:space="preserve">Table 4 reveals results for the effect of </w:t>
      </w:r>
      <w:r w:rsidRPr="00CA26B4">
        <w:rPr>
          <w:rFonts w:ascii="Times New Roman" w:eastAsia="Calibri" w:hAnsi="Times New Roman" w:cs="Times New Roman"/>
          <w:kern w:val="0"/>
          <w14:ligatures w14:val="none"/>
        </w:rPr>
        <w:t xml:space="preserve">triple-entry accounting (TEA) </w:t>
      </w:r>
      <w:proofErr w:type="gramStart"/>
      <w:r w:rsidRPr="00CA26B4">
        <w:rPr>
          <w:rFonts w:ascii="Times New Roman" w:eastAsia="Calibri" w:hAnsi="Times New Roman" w:cs="Times New Roman"/>
          <w:kern w:val="0"/>
          <w14:ligatures w14:val="none"/>
        </w:rPr>
        <w:t>on  digital</w:t>
      </w:r>
      <w:proofErr w:type="gramEnd"/>
      <w:r w:rsidRPr="00CA26B4">
        <w:rPr>
          <w:rFonts w:ascii="Times New Roman" w:eastAsia="Calibri" w:hAnsi="Times New Roman" w:cs="Times New Roman"/>
          <w:kern w:val="0"/>
          <w14:ligatures w14:val="none"/>
        </w:rPr>
        <w:t xml:space="preserve"> return on investment (DROI)</w:t>
      </w:r>
      <w:r w:rsidRPr="00CA26B4">
        <w:rPr>
          <w:rFonts w:ascii="Times New Roman" w:eastAsia="Times New Roman" w:hAnsi="Times New Roman" w:cs="Times New Roman"/>
          <w:color w:val="0A0A0A"/>
          <w:kern w:val="0"/>
          <w:shd w:val="clear" w:color="auto" w:fill="FFFFFF"/>
          <w14:ligatures w14:val="none"/>
        </w:rPr>
        <w:t xml:space="preserve">. </w:t>
      </w:r>
      <w:r w:rsidRPr="00CA26B4">
        <w:rPr>
          <w:rFonts w:ascii="Times New Roman" w:eastAsia="Arial" w:hAnsi="Times New Roman" w:cs="Times New Roman"/>
          <w:color w:val="0A0A0A"/>
          <w:kern w:val="0"/>
          <w:shd w:val="clear" w:color="auto" w:fill="FFFFFF"/>
          <w:lang w:eastAsia="zh-CN" w:bidi="ar"/>
          <w14:ligatures w14:val="none"/>
        </w:rPr>
        <w:t>The model was estimated using ordinary least squares to examine the impact of Triple-Entry Accounting (TEA) on Digital Return on Investment (DROI).</w:t>
      </w:r>
    </w:p>
    <w:p w14:paraId="44FC1CD3" w14:textId="77777777" w:rsidR="00CA26B4" w:rsidRPr="00CA26B4" w:rsidRDefault="00CA26B4" w:rsidP="002C3670">
      <w:pPr>
        <w:spacing w:after="180" w:line="240" w:lineRule="auto"/>
        <w:jc w:val="both"/>
        <w:rPr>
          <w:rFonts w:ascii="Times New Roman" w:eastAsia="Times New Roman" w:hAnsi="Times New Roman" w:cs="Times New Roman"/>
          <w:kern w:val="0"/>
          <w14:ligatures w14:val="none"/>
        </w:rPr>
      </w:pPr>
      <w:r w:rsidRPr="00CA26B4">
        <w:rPr>
          <w:rFonts w:ascii="Times New Roman" w:eastAsia="Arial" w:hAnsi="Times New Roman" w:cs="Times New Roman"/>
          <w:color w:val="0A0A0A"/>
          <w:kern w:val="0"/>
          <w:shd w:val="clear" w:color="auto" w:fill="FFFFFF"/>
          <w14:ligatures w14:val="none"/>
        </w:rPr>
        <w:t xml:space="preserve"> The F-statistic is 5570.9 with a p-value of 0.0005 shows the model is significant. Since the p-value is significantly lower than the standard significance level (0.05 or 0.01), the model is highly statistically significant, meaning TEA explains a significant portion of the variance in DROI. </w:t>
      </w:r>
      <w:r w:rsidRPr="00CA26B4">
        <w:rPr>
          <w:rFonts w:ascii="Times New Roman" w:eastAsia="Times New Roman" w:hAnsi="Times New Roman" w:cs="Times New Roman"/>
          <w:kern w:val="0"/>
          <w14:ligatures w14:val="none"/>
        </w:rPr>
        <w:t>The value of TEA</w:t>
      </w:r>
      <w:r w:rsidRPr="00CA26B4">
        <w:rPr>
          <w:rFonts w:ascii="Times New Roman" w:eastAsia="Arial" w:hAnsi="Times New Roman" w:cs="Times New Roman"/>
          <w:color w:val="0A0A0A"/>
          <w:kern w:val="0"/>
          <w:shd w:val="clear" w:color="auto" w:fill="FFFFFF"/>
          <w14:ligatures w14:val="none"/>
        </w:rPr>
        <w:t xml:space="preserve"> Coefficient (143.1001) is positive. It indicates a strong positive relationship between TEA and DROI. The t-statistic (7.0008) and p-value (0.0005): With a p-value of 0.0005, the coefficient for TEA is statistically significant. R</w:t>
      </w:r>
      <w:r w:rsidRPr="00CA26B4">
        <w:rPr>
          <w:rFonts w:ascii="Times New Roman" w:eastAsia="Arial" w:hAnsi="Times New Roman" w:cs="Times New Roman"/>
          <w:color w:val="0A0A0A"/>
          <w:kern w:val="0"/>
          <w:shd w:val="clear" w:color="auto" w:fill="FFFFFF"/>
          <w:vertAlign w:val="superscript"/>
          <w14:ligatures w14:val="none"/>
        </w:rPr>
        <w:t xml:space="preserve">2   </w:t>
      </w:r>
      <w:r w:rsidRPr="00CA26B4">
        <w:rPr>
          <w:rFonts w:ascii="Times New Roman" w:eastAsia="Arial" w:hAnsi="Times New Roman" w:cs="Times New Roman"/>
          <w:color w:val="0A0A0A"/>
          <w:kern w:val="0"/>
          <w:shd w:val="clear" w:color="auto" w:fill="FFFFFF"/>
          <w14:ligatures w14:val="none"/>
        </w:rPr>
        <w:t>at 0.9288(92.88%) reveals the variation in the Digital Return on Investment (DROI) is explained by Triple-Entry Accounting (TEA). This suggests an extremely strong linear relationship. Adjusted R</w:t>
      </w:r>
      <w:proofErr w:type="gramStart"/>
      <w:r w:rsidRPr="00CA26B4">
        <w:rPr>
          <w:rFonts w:ascii="Times New Roman" w:eastAsia="Arial" w:hAnsi="Times New Roman" w:cs="Times New Roman"/>
          <w:color w:val="0A0A0A"/>
          <w:kern w:val="0"/>
          <w:shd w:val="clear" w:color="auto" w:fill="FFFFFF"/>
          <w:vertAlign w:val="superscript"/>
          <w14:ligatures w14:val="none"/>
        </w:rPr>
        <w:t xml:space="preserve">2  </w:t>
      </w:r>
      <w:r w:rsidRPr="00CA26B4">
        <w:rPr>
          <w:rFonts w:ascii="Times New Roman" w:eastAsia="Arial" w:hAnsi="Times New Roman" w:cs="Times New Roman"/>
          <w:color w:val="0A0A0A"/>
          <w:kern w:val="0"/>
          <w:shd w:val="clear" w:color="auto" w:fill="FFFFFF"/>
          <w14:ligatures w14:val="none"/>
        </w:rPr>
        <w:t>at</w:t>
      </w:r>
      <w:proofErr w:type="gramEnd"/>
      <w:r w:rsidRPr="00CA26B4">
        <w:rPr>
          <w:rFonts w:ascii="Times New Roman" w:eastAsia="Arial" w:hAnsi="Times New Roman" w:cs="Times New Roman"/>
          <w:color w:val="0A0A0A"/>
          <w:kern w:val="0"/>
          <w:shd w:val="clear" w:color="auto" w:fill="FFFFFF"/>
          <w14:ligatures w14:val="none"/>
        </w:rPr>
        <w:t xml:space="preserve"> 0.9184 (91.84%) indicates that after accounting for the number of predictors, the model still explains 91.84% of the variation, </w:t>
      </w:r>
      <w:r w:rsidRPr="00CA26B4">
        <w:rPr>
          <w:rFonts w:ascii="Times New Roman" w:eastAsia="Arial" w:hAnsi="Times New Roman" w:cs="Times New Roman"/>
          <w:color w:val="0A0A0A"/>
          <w:kern w:val="0"/>
          <w:shd w:val="clear" w:color="auto" w:fill="FFFFFF"/>
          <w14:ligatures w14:val="none"/>
        </w:rPr>
        <w:lastRenderedPageBreak/>
        <w:t>confirming the high explanatory power of the model. Durbin–Watson Stats (2.1007) which is close to 2 indicates that there is no significant autocorrelation between the residuals, validating the linear regression model. </w:t>
      </w:r>
      <w:r w:rsidRPr="00CA26B4">
        <w:rPr>
          <w:rFonts w:ascii="Times New Roman" w:eastAsia="Arial" w:hAnsi="Times New Roman" w:cs="Times New Roman"/>
          <w:color w:val="0A0A0A"/>
          <w:kern w:val="0"/>
          <w:shd w:val="clear" w:color="auto" w:fill="FFFFFF"/>
          <w:lang w:eastAsia="zh-CN" w:bidi="ar"/>
          <w14:ligatures w14:val="none"/>
        </w:rPr>
        <w:t xml:space="preserve">It is therefore the null hypotheses </w:t>
      </w:r>
      <w:r w:rsidRPr="00CA26B4">
        <w:rPr>
          <w:rFonts w:ascii="Times New Roman" w:eastAsia="Arial" w:hAnsi="Times New Roman" w:cs="Times New Roman"/>
          <w:noProof/>
          <w:color w:val="0A0A0A"/>
          <w:kern w:val="0"/>
          <w:shd w:val="clear" w:color="auto" w:fill="FFFFFF"/>
          <w:lang w:val="en-GB" w:eastAsia="en-GB"/>
          <w14:ligatures w14:val="none"/>
        </w:rPr>
        <w:drawing>
          <wp:inline distT="0" distB="0" distL="114300" distR="114300" wp14:anchorId="55C6F022" wp14:editId="4BF73DC4">
            <wp:extent cx="9525" cy="9525"/>
            <wp:effectExtent l="0" t="0" r="0" b="0"/>
            <wp:docPr id="2133856527" name="Picture 3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0" descr="IMG_263"/>
                    <pic:cNvPicPr>
                      <a:picLocks noChangeAspect="1"/>
                    </pic:cNvPicPr>
                  </pic:nvPicPr>
                  <pic:blipFill>
                    <a:blip r:embed="rId21"/>
                    <a:stretch>
                      <a:fillRect/>
                    </a:stretch>
                  </pic:blipFill>
                  <pic:spPr>
                    <a:xfrm>
                      <a:off x="0" y="0"/>
                      <a:ext cx="9525" cy="9525"/>
                    </a:xfrm>
                    <a:prstGeom prst="rect">
                      <a:avLst/>
                    </a:prstGeom>
                    <a:noFill/>
                    <a:ln w="9525">
                      <a:noFill/>
                    </a:ln>
                  </pic:spPr>
                </pic:pic>
              </a:graphicData>
            </a:graphic>
          </wp:inline>
        </w:drawing>
      </w:r>
      <w:r w:rsidRPr="00CA26B4">
        <w:rPr>
          <w:rFonts w:ascii="Times New Roman" w:eastAsia="Arial" w:hAnsi="Times New Roman" w:cs="Times New Roman"/>
          <w:color w:val="0A0A0A"/>
          <w:kern w:val="0"/>
          <w:shd w:val="clear" w:color="auto" w:fill="FFFFFF"/>
          <w:lang w:eastAsia="zh-CN" w:bidi="ar"/>
          <w14:ligatures w14:val="none"/>
        </w:rPr>
        <w:t>”</w:t>
      </w:r>
      <w:r w:rsidRPr="00CA26B4">
        <w:rPr>
          <w:rFonts w:ascii="Times New Roman" w:eastAsia="Arial" w:hAnsi="Times New Roman" w:cs="Times New Roman"/>
          <w:color w:val="0A0A0A"/>
          <w:kern w:val="0"/>
          <w:shd w:val="clear" w:color="auto" w:fill="FFFFFF"/>
          <w14:ligatures w14:val="none"/>
        </w:rPr>
        <w:t xml:space="preserve">There is no significant effect of triple-entry accounting on digital return on investment” </w:t>
      </w:r>
      <w:r w:rsidRPr="00CA26B4">
        <w:rPr>
          <w:rFonts w:ascii="Times New Roman" w:eastAsia="Arial" w:hAnsi="Times New Roman" w:cs="Times New Roman"/>
          <w:color w:val="0A0A0A"/>
          <w:kern w:val="0"/>
          <w:shd w:val="clear" w:color="auto" w:fill="FFFFFF"/>
          <w:lang w:eastAsia="zh-CN" w:bidi="ar"/>
          <w14:ligatures w14:val="none"/>
        </w:rPr>
        <w:t xml:space="preserve">is rejected. This is because the </w:t>
      </w:r>
      <w:r w:rsidRPr="00CA26B4">
        <w:rPr>
          <w:rFonts w:ascii="Times New Roman" w:eastAsia="Arial" w:hAnsi="Times New Roman" w:cs="Times New Roman"/>
          <w:color w:val="0A0A0A"/>
          <w:kern w:val="0"/>
          <w:shd w:val="clear" w:color="auto" w:fill="FFFFFF"/>
          <w14:ligatures w14:val="none"/>
        </w:rPr>
        <w:t>p-value for the Triple-Entry Accounting (TEA) variable of 0.0005 is less than 0.05. Thus, it is concluded that there is a statistically significant, positive effect of Triple-Entry Accounting on Digital Return on Investment. Based on the coefficient, an increase in TEA adoption is associated with an increase in DROI.</w:t>
      </w:r>
    </w:p>
    <w:p w14:paraId="16EAAA30"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Times New Roman" w:hAnsi="Times New Roman" w:cs="Times New Roman"/>
          <w:b/>
          <w:bCs/>
          <w:color w:val="000000"/>
          <w:kern w:val="0"/>
          <w14:ligatures w14:val="none"/>
        </w:rPr>
        <w:t>Test of hypothesis Two:</w:t>
      </w:r>
    </w:p>
    <w:p w14:paraId="438FBD9E" w14:textId="77777777" w:rsidR="00CA26B4" w:rsidRPr="00CA26B4" w:rsidRDefault="00CA26B4" w:rsidP="002C3670">
      <w:pPr>
        <w:spacing w:before="100" w:beforeAutospacing="1" w:after="20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H</w:t>
      </w:r>
      <w:r w:rsidRPr="00CA26B4">
        <w:rPr>
          <w:rFonts w:ascii="Times New Roman" w:eastAsia="Calibri" w:hAnsi="Times New Roman" w:cs="Times New Roman"/>
          <w:kern w:val="0"/>
          <w:vertAlign w:val="subscript"/>
          <w14:ligatures w14:val="none"/>
        </w:rPr>
        <w:t>02</w:t>
      </w:r>
      <w:r w:rsidRPr="00CA26B4">
        <w:rPr>
          <w:rFonts w:ascii="Times New Roman" w:eastAsia="Calibri" w:hAnsi="Times New Roman" w:cs="Times New Roman"/>
          <w:kern w:val="0"/>
          <w14:ligatures w14:val="none"/>
        </w:rPr>
        <w:t xml:space="preserve">: There is no significant effect </w:t>
      </w:r>
      <w:proofErr w:type="gramStart"/>
      <w:r w:rsidRPr="00CA26B4">
        <w:rPr>
          <w:rFonts w:ascii="Times New Roman" w:eastAsia="Calibri" w:hAnsi="Times New Roman" w:cs="Times New Roman"/>
          <w:kern w:val="0"/>
          <w14:ligatures w14:val="none"/>
        </w:rPr>
        <w:t xml:space="preserve">of </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real</w:t>
      </w:r>
      <w:proofErr w:type="gramEnd"/>
      <w:r w:rsidRPr="00CA26B4">
        <w:rPr>
          <w:rFonts w:ascii="Times New Roman" w:eastAsia="Calibri" w:hAnsi="Times New Roman" w:cs="Times New Roman"/>
          <w:kern w:val="0"/>
          <w14:ligatures w14:val="none"/>
        </w:rPr>
        <w:t>-time accounting (RTA) on operational efficiency (OE)</w:t>
      </w:r>
    </w:p>
    <w:p w14:paraId="7C6A297E" w14:textId="77777777" w:rsidR="00CA26B4" w:rsidRPr="00CA26B4" w:rsidRDefault="00CA26B4" w:rsidP="002C3670">
      <w:pPr>
        <w:spacing w:before="100" w:beforeAutospacing="1" w:after="200" w:line="240" w:lineRule="auto"/>
        <w:rPr>
          <w:rFonts w:ascii="Times New Roman" w:eastAsia="Times New Roman" w:hAnsi="Times New Roman" w:cs="Times New Roman"/>
          <w:b/>
          <w:color w:val="000000"/>
          <w:kern w:val="0"/>
          <w14:ligatures w14:val="none"/>
        </w:rPr>
      </w:pPr>
      <w:r w:rsidRPr="00CA26B4">
        <w:rPr>
          <w:rFonts w:ascii="Times New Roman" w:eastAsia="Times New Roman" w:hAnsi="Times New Roman" w:cs="Times New Roman"/>
          <w:b/>
          <w:color w:val="000000"/>
          <w:kern w:val="0"/>
          <w14:ligatures w14:val="none"/>
        </w:rPr>
        <w:t>Table 5: Hypothesis Two regression</w:t>
      </w:r>
    </w:p>
    <w:tbl>
      <w:tblPr>
        <w:tblW w:w="0" w:type="auto"/>
        <w:tblCellSpacing w:w="15" w:type="dxa"/>
        <w:tblInd w:w="720" w:type="dxa"/>
        <w:tblBorders>
          <w:top w:val="threeDEmboss" w:sz="6" w:space="0" w:color="auto"/>
          <w:left w:val="threeDEmboss" w:sz="6" w:space="0" w:color="auto"/>
          <w:bottom w:val="threeDEmboss" w:sz="6" w:space="0" w:color="auto"/>
          <w:right w:val="threeDEmboss" w:sz="6" w:space="0" w:color="auto"/>
        </w:tblBorders>
        <w:tblCellMar>
          <w:top w:w="40" w:type="dxa"/>
          <w:left w:w="200" w:type="dxa"/>
          <w:bottom w:w="40" w:type="dxa"/>
          <w:right w:w="200" w:type="dxa"/>
        </w:tblCellMar>
        <w:tblLook w:val="04A0" w:firstRow="1" w:lastRow="0" w:firstColumn="1" w:lastColumn="0" w:noHBand="0" w:noVBand="1"/>
      </w:tblPr>
      <w:tblGrid>
        <w:gridCol w:w="2565"/>
        <w:gridCol w:w="1510"/>
        <w:gridCol w:w="610"/>
        <w:gridCol w:w="1317"/>
        <w:gridCol w:w="1230"/>
        <w:gridCol w:w="1105"/>
      </w:tblGrid>
      <w:tr w:rsidR="00CA26B4" w:rsidRPr="00CA26B4" w14:paraId="53862A54" w14:textId="77777777" w:rsidTr="00483C28">
        <w:trPr>
          <w:tblCellSpacing w:w="15" w:type="dxa"/>
        </w:trPr>
        <w:tc>
          <w:tcPr>
            <w:tcW w:w="0" w:type="auto"/>
            <w:tcBorders>
              <w:top w:val="nil"/>
              <w:left w:val="nil"/>
              <w:bottom w:val="nil"/>
              <w:right w:val="nil"/>
            </w:tcBorders>
            <w:vAlign w:val="center"/>
          </w:tcPr>
          <w:p w14:paraId="0FC6B179" w14:textId="77777777" w:rsidR="00CA26B4" w:rsidRPr="00CA26B4" w:rsidRDefault="00CA26B4" w:rsidP="002C3670">
            <w:pPr>
              <w:spacing w:before="100" w:beforeAutospacing="1" w:after="200" w:line="240" w:lineRule="auto"/>
              <w:rPr>
                <w:rFonts w:ascii="Times New Roman" w:eastAsia="SimSun" w:hAnsi="Times New Roman" w:cs="Times New Roman"/>
                <w:bCs/>
                <w:color w:val="000000"/>
                <w:kern w:val="0"/>
                <w:lang w:val="en-GB" w:eastAsia="zh-CN"/>
                <w14:ligatures w14:val="none"/>
              </w:rPr>
            </w:pPr>
            <w:r w:rsidRPr="00CA26B4">
              <w:rPr>
                <w:rFonts w:ascii="Times New Roman" w:eastAsia="Times New Roman" w:hAnsi="Times New Roman" w:cs="Times New Roman"/>
                <w:bCs/>
                <w:color w:val="000000"/>
                <w:kern w:val="0"/>
                <w:lang w:val="en-GB"/>
                <w14:ligatures w14:val="none"/>
              </w:rPr>
              <w:t>Variable</w:t>
            </w:r>
          </w:p>
        </w:tc>
        <w:tc>
          <w:tcPr>
            <w:tcW w:w="0" w:type="auto"/>
            <w:tcBorders>
              <w:top w:val="nil"/>
              <w:left w:val="nil"/>
              <w:bottom w:val="nil"/>
              <w:right w:val="nil"/>
            </w:tcBorders>
            <w:vAlign w:val="center"/>
          </w:tcPr>
          <w:p w14:paraId="54933B9C" w14:textId="77777777" w:rsidR="00CA26B4" w:rsidRPr="00CA26B4" w:rsidRDefault="00CA26B4" w:rsidP="002C3670">
            <w:pPr>
              <w:spacing w:before="100" w:beforeAutospacing="1" w:after="200" w:line="240" w:lineRule="auto"/>
              <w:jc w:val="right"/>
              <w:rPr>
                <w:rFonts w:ascii="Times New Roman" w:eastAsia="SimSun" w:hAnsi="Times New Roman" w:cs="Times New Roman"/>
                <w:bCs/>
                <w:color w:val="000000"/>
                <w:kern w:val="0"/>
                <w:lang w:val="en-GB" w:eastAsia="zh-CN"/>
                <w14:ligatures w14:val="none"/>
              </w:rPr>
            </w:pPr>
            <w:r w:rsidRPr="00CA26B4">
              <w:rPr>
                <w:rFonts w:ascii="Times New Roman" w:eastAsia="Times New Roman" w:hAnsi="Times New Roman" w:cs="Times New Roman"/>
                <w:bCs/>
                <w:color w:val="000000"/>
                <w:kern w:val="0"/>
                <w:lang w:val="en-GB"/>
                <w14:ligatures w14:val="none"/>
              </w:rPr>
              <w:t>Coefficient</w:t>
            </w:r>
          </w:p>
        </w:tc>
        <w:tc>
          <w:tcPr>
            <w:tcW w:w="0" w:type="auto"/>
            <w:tcBorders>
              <w:top w:val="nil"/>
              <w:left w:val="nil"/>
              <w:bottom w:val="nil"/>
              <w:right w:val="nil"/>
            </w:tcBorders>
            <w:vAlign w:val="center"/>
          </w:tcPr>
          <w:p w14:paraId="2F62A28B" w14:textId="77777777" w:rsidR="00CA26B4" w:rsidRPr="00CA26B4" w:rsidRDefault="00CA26B4" w:rsidP="002C3670">
            <w:pPr>
              <w:spacing w:before="100" w:beforeAutospacing="1" w:after="200" w:line="240" w:lineRule="auto"/>
              <w:rPr>
                <w:rFonts w:ascii="Times New Roman" w:eastAsia="Calibri" w:hAnsi="Times New Roman" w:cs="Times New Roman"/>
                <w:kern w:val="0"/>
                <w:lang w:val="en-GB" w:eastAsia="en-GB"/>
                <w14:ligatures w14:val="none"/>
              </w:rPr>
            </w:pPr>
          </w:p>
        </w:tc>
        <w:tc>
          <w:tcPr>
            <w:tcW w:w="0" w:type="auto"/>
            <w:tcBorders>
              <w:top w:val="nil"/>
              <w:left w:val="nil"/>
              <w:bottom w:val="nil"/>
              <w:right w:val="nil"/>
            </w:tcBorders>
            <w:vAlign w:val="center"/>
          </w:tcPr>
          <w:p w14:paraId="76028449" w14:textId="77777777" w:rsidR="00CA26B4" w:rsidRPr="00CA26B4" w:rsidRDefault="00CA26B4" w:rsidP="002C3670">
            <w:pPr>
              <w:spacing w:before="100" w:beforeAutospacing="1" w:after="200" w:line="240" w:lineRule="auto"/>
              <w:jc w:val="right"/>
              <w:rPr>
                <w:rFonts w:ascii="Times New Roman" w:eastAsia="SimSun" w:hAnsi="Times New Roman" w:cs="Times New Roman"/>
                <w:bCs/>
                <w:color w:val="000000"/>
                <w:kern w:val="0"/>
                <w:lang w:val="en-GB" w:eastAsia="zh-CN"/>
                <w14:ligatures w14:val="none"/>
              </w:rPr>
            </w:pPr>
            <w:hyperlink r:id="rId22" w:tooltip="Standard error" w:history="1">
              <w:proofErr w:type="spellStart"/>
              <w:r w:rsidRPr="00CA26B4">
                <w:rPr>
                  <w:rFonts w:ascii="Times New Roman" w:eastAsia="Times New Roman" w:hAnsi="Times New Roman" w:cs="Times New Roman"/>
                  <w:bCs/>
                  <w:color w:val="000000"/>
                  <w:kern w:val="0"/>
                  <w:u w:val="single"/>
                  <w:lang w:val="en-GB"/>
                  <w14:ligatures w14:val="none"/>
                </w:rPr>
                <w:t>Std.Error</w:t>
              </w:r>
              <w:proofErr w:type="spellEnd"/>
            </w:hyperlink>
          </w:p>
        </w:tc>
        <w:tc>
          <w:tcPr>
            <w:tcW w:w="0" w:type="auto"/>
            <w:tcBorders>
              <w:top w:val="nil"/>
              <w:left w:val="nil"/>
              <w:bottom w:val="nil"/>
              <w:right w:val="nil"/>
            </w:tcBorders>
            <w:tcMar>
              <w:top w:w="40" w:type="dxa"/>
              <w:left w:w="120" w:type="dxa"/>
              <w:bottom w:w="40" w:type="dxa"/>
              <w:right w:w="200" w:type="dxa"/>
            </w:tcMar>
            <w:vAlign w:val="center"/>
          </w:tcPr>
          <w:p w14:paraId="5999E3E5" w14:textId="77777777" w:rsidR="00CA26B4" w:rsidRPr="00CA26B4" w:rsidRDefault="00CA26B4" w:rsidP="002C3670">
            <w:pPr>
              <w:spacing w:before="100" w:beforeAutospacing="1" w:after="200" w:line="240" w:lineRule="auto"/>
              <w:jc w:val="center"/>
              <w:rPr>
                <w:rFonts w:ascii="Times New Roman" w:eastAsia="SimSun" w:hAnsi="Times New Roman" w:cs="Times New Roman"/>
                <w:bCs/>
                <w:color w:val="000000"/>
                <w:kern w:val="0"/>
                <w:lang w:val="en-GB" w:eastAsia="zh-CN"/>
                <w14:ligatures w14:val="none"/>
              </w:rPr>
            </w:pPr>
            <w:hyperlink r:id="rId23" w:tooltip="T-statistic" w:history="1">
              <w:r w:rsidRPr="00CA26B4">
                <w:rPr>
                  <w:rFonts w:ascii="Times New Roman" w:eastAsia="Times New Roman" w:hAnsi="Times New Roman" w:cs="Times New Roman"/>
                  <w:bCs/>
                  <w:color w:val="000000"/>
                  <w:kern w:val="0"/>
                  <w:u w:val="single"/>
                  <w:lang w:val="en-GB"/>
                  <w14:ligatures w14:val="none"/>
                </w:rPr>
                <w:t>t-statistic</w:t>
              </w:r>
            </w:hyperlink>
          </w:p>
        </w:tc>
        <w:tc>
          <w:tcPr>
            <w:tcW w:w="0" w:type="auto"/>
            <w:tcBorders>
              <w:top w:val="nil"/>
              <w:left w:val="nil"/>
              <w:bottom w:val="nil"/>
              <w:right w:val="nil"/>
            </w:tcBorders>
            <w:tcMar>
              <w:top w:w="40" w:type="dxa"/>
              <w:left w:w="120" w:type="dxa"/>
              <w:bottom w:w="40" w:type="dxa"/>
              <w:right w:w="200" w:type="dxa"/>
            </w:tcMar>
            <w:vAlign w:val="center"/>
          </w:tcPr>
          <w:p w14:paraId="7FC8C04C" w14:textId="77777777" w:rsidR="00CA26B4" w:rsidRPr="00CA26B4" w:rsidRDefault="00CA26B4" w:rsidP="002C3670">
            <w:pPr>
              <w:spacing w:before="100" w:beforeAutospacing="1" w:after="200" w:line="240" w:lineRule="auto"/>
              <w:jc w:val="center"/>
              <w:rPr>
                <w:rFonts w:ascii="Times New Roman" w:eastAsia="SimSun" w:hAnsi="Times New Roman" w:cs="Times New Roman"/>
                <w:bCs/>
                <w:color w:val="000000"/>
                <w:kern w:val="0"/>
                <w:lang w:val="en-GB" w:eastAsia="zh-CN"/>
                <w14:ligatures w14:val="none"/>
              </w:rPr>
            </w:pPr>
            <w:hyperlink r:id="rId24" w:tooltip="P-value" w:history="1">
              <w:r w:rsidRPr="00CA26B4">
                <w:rPr>
                  <w:rFonts w:ascii="Times New Roman" w:eastAsia="Times New Roman" w:hAnsi="Times New Roman" w:cs="Times New Roman"/>
                  <w:bCs/>
                  <w:color w:val="000000"/>
                  <w:kern w:val="0"/>
                  <w:u w:val="single"/>
                  <w:lang w:val="en-GB"/>
                  <w14:ligatures w14:val="none"/>
                </w:rPr>
                <w:t>p-value</w:t>
              </w:r>
            </w:hyperlink>
          </w:p>
        </w:tc>
      </w:tr>
      <w:tr w:rsidR="00CA26B4" w:rsidRPr="00CA26B4" w14:paraId="34BAF76B" w14:textId="77777777" w:rsidTr="00483C28">
        <w:trPr>
          <w:tblCellSpacing w:w="15" w:type="dxa"/>
        </w:trPr>
        <w:tc>
          <w:tcPr>
            <w:tcW w:w="0" w:type="auto"/>
            <w:gridSpan w:val="6"/>
            <w:tcBorders>
              <w:top w:val="nil"/>
              <w:left w:val="nil"/>
              <w:bottom w:val="nil"/>
              <w:right w:val="nil"/>
            </w:tcBorders>
            <w:vAlign w:val="center"/>
          </w:tcPr>
          <w:p w14:paraId="5D12C922" w14:textId="77777777" w:rsidR="00CA26B4" w:rsidRPr="00CA26B4" w:rsidRDefault="00000000" w:rsidP="002C3670">
            <w:pPr>
              <w:spacing w:before="100" w:beforeAutospacing="1" w:after="200" w:line="240" w:lineRule="auto"/>
              <w:jc w:val="center"/>
              <w:rPr>
                <w:rFonts w:ascii="Times New Roman" w:eastAsia="SimSun" w:hAnsi="Times New Roman" w:cs="Times New Roman"/>
                <w:color w:val="000000"/>
                <w:kern w:val="0"/>
                <w:lang w:val="en-GB" w:eastAsia="zh-CN"/>
                <w14:ligatures w14:val="none"/>
              </w:rPr>
            </w:pPr>
            <w:r>
              <w:rPr>
                <w:rFonts w:ascii="Times New Roman" w:eastAsia="Times New Roman" w:hAnsi="Times New Roman" w:cs="Times New Roman"/>
                <w:color w:val="000000"/>
                <w:kern w:val="0"/>
                <w:lang w:val="en-GB"/>
                <w14:ligatures w14:val="none"/>
              </w:rPr>
              <w:pict w14:anchorId="4D8205AD">
                <v:rect id="_x0000_i1039" style="width:468pt;height:1.5pt" o:hralign="center" o:hrstd="t" o:hr="t" fillcolor="#a0a0a0" stroked="f"/>
              </w:pict>
            </w:r>
          </w:p>
        </w:tc>
      </w:tr>
      <w:tr w:rsidR="00CA26B4" w:rsidRPr="00CA26B4" w14:paraId="38FC62B2" w14:textId="77777777" w:rsidTr="00483C28">
        <w:trPr>
          <w:tblCellSpacing w:w="15" w:type="dxa"/>
        </w:trPr>
        <w:tc>
          <w:tcPr>
            <w:tcW w:w="0" w:type="auto"/>
            <w:tcBorders>
              <w:top w:val="nil"/>
              <w:left w:val="nil"/>
              <w:bottom w:val="nil"/>
              <w:right w:val="nil"/>
            </w:tcBorders>
            <w:vAlign w:val="center"/>
          </w:tcPr>
          <w:p w14:paraId="03B28417"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eastAsia="zh-CN"/>
                <w14:ligatures w14:val="none"/>
              </w:rPr>
            </w:pPr>
            <w:r w:rsidRPr="00CA26B4">
              <w:rPr>
                <w:rFonts w:ascii="Times New Roman" w:eastAsia="SimSun" w:hAnsi="Times New Roman" w:cs="Times New Roman"/>
                <w:color w:val="000000"/>
                <w:kern w:val="0"/>
                <w:lang w:eastAsia="zh-CN"/>
                <w14:ligatures w14:val="none"/>
              </w:rPr>
              <w:t>OE</w:t>
            </w:r>
          </w:p>
        </w:tc>
        <w:tc>
          <w:tcPr>
            <w:tcW w:w="0" w:type="auto"/>
            <w:tcBorders>
              <w:top w:val="nil"/>
              <w:left w:val="nil"/>
              <w:bottom w:val="nil"/>
              <w:right w:val="nil"/>
            </w:tcBorders>
            <w:vAlign w:val="center"/>
          </w:tcPr>
          <w:p w14:paraId="72820D04"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131.1</w:t>
            </w:r>
            <w:r w:rsidRPr="00CA26B4">
              <w:rPr>
                <w:rFonts w:ascii="Times New Roman" w:eastAsia="Times New Roman" w:hAnsi="Times New Roman" w:cs="Times New Roman"/>
                <w:color w:val="000000"/>
                <w:kern w:val="0"/>
                <w14:ligatures w14:val="none"/>
              </w:rPr>
              <w:t>00</w:t>
            </w:r>
            <w:r w:rsidRPr="00CA26B4">
              <w:rPr>
                <w:rFonts w:ascii="Times New Roman" w:eastAsia="Times New Roman" w:hAnsi="Times New Roman" w:cs="Times New Roman"/>
                <w:color w:val="000000"/>
                <w:kern w:val="0"/>
                <w:lang w:val="en-GB"/>
                <w14:ligatures w14:val="none"/>
              </w:rPr>
              <w:t>1</w:t>
            </w:r>
          </w:p>
        </w:tc>
        <w:tc>
          <w:tcPr>
            <w:tcW w:w="0" w:type="auto"/>
            <w:tcBorders>
              <w:top w:val="nil"/>
              <w:left w:val="nil"/>
              <w:bottom w:val="nil"/>
              <w:right w:val="nil"/>
            </w:tcBorders>
            <w:vAlign w:val="center"/>
          </w:tcPr>
          <w:p w14:paraId="023A482B" w14:textId="77777777" w:rsidR="00CA26B4" w:rsidRPr="00CA26B4" w:rsidRDefault="00CA26B4" w:rsidP="002C3670">
            <w:pPr>
              <w:spacing w:before="100" w:beforeAutospacing="1" w:after="200" w:line="240" w:lineRule="auto"/>
              <w:rPr>
                <w:rFonts w:ascii="Times New Roman" w:eastAsia="Calibri" w:hAnsi="Times New Roman" w:cs="Times New Roman"/>
                <w:kern w:val="0"/>
                <w:lang w:val="en-GB" w:eastAsia="en-GB"/>
                <w14:ligatures w14:val="none"/>
              </w:rPr>
            </w:pPr>
          </w:p>
        </w:tc>
        <w:tc>
          <w:tcPr>
            <w:tcW w:w="0" w:type="auto"/>
            <w:tcBorders>
              <w:top w:val="nil"/>
              <w:left w:val="nil"/>
              <w:bottom w:val="nil"/>
              <w:right w:val="nil"/>
            </w:tcBorders>
            <w:vAlign w:val="center"/>
          </w:tcPr>
          <w:p w14:paraId="10EF5AE3"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eastAsia="zh-CN"/>
                <w14:ligatures w14:val="none"/>
              </w:rPr>
            </w:pPr>
            <w:r w:rsidRPr="00CA26B4">
              <w:rPr>
                <w:rFonts w:ascii="Times New Roman" w:eastAsia="Times New Roman" w:hAnsi="Times New Roman" w:cs="Times New Roman"/>
                <w:color w:val="000000"/>
                <w:kern w:val="0"/>
                <w:lang w:val="en-GB"/>
                <w14:ligatures w14:val="none"/>
              </w:rPr>
              <w:t>18.10</w:t>
            </w:r>
            <w:r w:rsidRPr="00CA26B4">
              <w:rPr>
                <w:rFonts w:ascii="Times New Roman" w:eastAsia="Times New Roman" w:hAnsi="Times New Roman" w:cs="Times New Roman"/>
                <w:color w:val="000000"/>
                <w:kern w:val="0"/>
                <w14:ligatures w14:val="none"/>
              </w:rPr>
              <w:t>00</w:t>
            </w:r>
          </w:p>
        </w:tc>
        <w:tc>
          <w:tcPr>
            <w:tcW w:w="0" w:type="auto"/>
            <w:tcBorders>
              <w:top w:val="nil"/>
              <w:left w:val="nil"/>
              <w:bottom w:val="nil"/>
              <w:right w:val="nil"/>
            </w:tcBorders>
            <w:vAlign w:val="center"/>
          </w:tcPr>
          <w:p w14:paraId="497E71F6"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eastAsia="zh-CN"/>
                <w14:ligatures w14:val="none"/>
              </w:rPr>
            </w:pPr>
            <w:r w:rsidRPr="00CA26B4">
              <w:rPr>
                <w:rFonts w:ascii="Times New Roman" w:eastAsia="Times New Roman" w:hAnsi="Times New Roman" w:cs="Times New Roman"/>
                <w:color w:val="000000"/>
                <w:kern w:val="0"/>
                <w:lang w:val="en-GB"/>
                <w14:ligatures w14:val="none"/>
              </w:rPr>
              <w:t>8.000</w:t>
            </w:r>
            <w:r w:rsidRPr="00CA26B4">
              <w:rPr>
                <w:rFonts w:ascii="Times New Roman" w:eastAsia="Times New Roman" w:hAnsi="Times New Roman" w:cs="Times New Roman"/>
                <w:color w:val="000000"/>
                <w:kern w:val="0"/>
                <w14:ligatures w14:val="none"/>
              </w:rPr>
              <w:t>0</w:t>
            </w:r>
          </w:p>
        </w:tc>
        <w:tc>
          <w:tcPr>
            <w:tcW w:w="0" w:type="auto"/>
            <w:tcBorders>
              <w:top w:val="nil"/>
              <w:left w:val="nil"/>
              <w:bottom w:val="nil"/>
              <w:right w:val="nil"/>
            </w:tcBorders>
            <w:vAlign w:val="center"/>
          </w:tcPr>
          <w:p w14:paraId="12E6BD64"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0.0005</w:t>
            </w:r>
          </w:p>
        </w:tc>
      </w:tr>
      <w:tr w:rsidR="00CA26B4" w:rsidRPr="00CA26B4" w14:paraId="7F20323A" w14:textId="77777777" w:rsidTr="00483C28">
        <w:trPr>
          <w:tblCellSpacing w:w="15" w:type="dxa"/>
        </w:trPr>
        <w:tc>
          <w:tcPr>
            <w:tcW w:w="0" w:type="auto"/>
            <w:tcBorders>
              <w:top w:val="nil"/>
              <w:left w:val="nil"/>
              <w:bottom w:val="nil"/>
              <w:right w:val="nil"/>
            </w:tcBorders>
            <w:vAlign w:val="center"/>
          </w:tcPr>
          <w:p w14:paraId="45631770" w14:textId="77777777" w:rsidR="00CA26B4" w:rsidRPr="00CA26B4" w:rsidRDefault="00CA26B4" w:rsidP="002C3670">
            <w:pPr>
              <w:spacing w:before="100" w:beforeAutospacing="1" w:after="200" w:line="240" w:lineRule="auto"/>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0"/>
                <w14:ligatures w14:val="none"/>
              </w:rPr>
              <w:t>RTA</w:t>
            </w:r>
          </w:p>
        </w:tc>
        <w:tc>
          <w:tcPr>
            <w:tcW w:w="0" w:type="auto"/>
            <w:tcBorders>
              <w:top w:val="nil"/>
              <w:left w:val="nil"/>
              <w:bottom w:val="nil"/>
              <w:right w:val="nil"/>
            </w:tcBorders>
            <w:vAlign w:val="center"/>
          </w:tcPr>
          <w:p w14:paraId="0586F630"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132.</w:t>
            </w:r>
            <w:r w:rsidRPr="00CA26B4">
              <w:rPr>
                <w:rFonts w:ascii="Times New Roman" w:eastAsia="Times New Roman" w:hAnsi="Times New Roman" w:cs="Times New Roman"/>
                <w:color w:val="000000"/>
                <w:kern w:val="0"/>
                <w14:ligatures w14:val="none"/>
              </w:rPr>
              <w:t>000</w:t>
            </w:r>
            <w:r w:rsidRPr="00CA26B4">
              <w:rPr>
                <w:rFonts w:ascii="Times New Roman" w:eastAsia="Times New Roman" w:hAnsi="Times New Roman" w:cs="Times New Roman"/>
                <w:color w:val="000000"/>
                <w:kern w:val="0"/>
                <w:lang w:val="en-GB"/>
                <w14:ligatures w14:val="none"/>
              </w:rPr>
              <w:t>2</w:t>
            </w:r>
          </w:p>
        </w:tc>
        <w:tc>
          <w:tcPr>
            <w:tcW w:w="0" w:type="auto"/>
            <w:tcBorders>
              <w:top w:val="nil"/>
              <w:left w:val="nil"/>
              <w:bottom w:val="nil"/>
              <w:right w:val="nil"/>
            </w:tcBorders>
            <w:vAlign w:val="center"/>
          </w:tcPr>
          <w:p w14:paraId="259F4264" w14:textId="77777777" w:rsidR="00CA26B4" w:rsidRPr="00CA26B4" w:rsidRDefault="00CA26B4" w:rsidP="002C3670">
            <w:pPr>
              <w:spacing w:before="100" w:beforeAutospacing="1" w:after="200" w:line="240" w:lineRule="auto"/>
              <w:rPr>
                <w:rFonts w:ascii="Times New Roman" w:eastAsia="Calibri" w:hAnsi="Times New Roman" w:cs="Times New Roman"/>
                <w:kern w:val="0"/>
                <w:lang w:val="en-GB" w:eastAsia="en-GB"/>
                <w14:ligatures w14:val="none"/>
              </w:rPr>
            </w:pPr>
          </w:p>
        </w:tc>
        <w:tc>
          <w:tcPr>
            <w:tcW w:w="0" w:type="auto"/>
            <w:tcBorders>
              <w:top w:val="nil"/>
              <w:left w:val="nil"/>
              <w:bottom w:val="nil"/>
              <w:right w:val="nil"/>
            </w:tcBorders>
            <w:vAlign w:val="center"/>
          </w:tcPr>
          <w:p w14:paraId="69C2BD95"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21.0807</w:t>
            </w:r>
          </w:p>
        </w:tc>
        <w:tc>
          <w:tcPr>
            <w:tcW w:w="0" w:type="auto"/>
            <w:tcBorders>
              <w:top w:val="nil"/>
              <w:left w:val="nil"/>
              <w:bottom w:val="nil"/>
              <w:right w:val="nil"/>
            </w:tcBorders>
            <w:vAlign w:val="center"/>
          </w:tcPr>
          <w:p w14:paraId="6EEFF35D"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6.3</w:t>
            </w:r>
            <w:r w:rsidRPr="00CA26B4">
              <w:rPr>
                <w:rFonts w:ascii="Times New Roman" w:eastAsia="Times New Roman" w:hAnsi="Times New Roman" w:cs="Times New Roman"/>
                <w:color w:val="000000"/>
                <w:kern w:val="0"/>
                <w14:ligatures w14:val="none"/>
              </w:rPr>
              <w:t>00</w:t>
            </w:r>
            <w:r w:rsidRPr="00CA26B4">
              <w:rPr>
                <w:rFonts w:ascii="Times New Roman" w:eastAsia="Times New Roman" w:hAnsi="Times New Roman" w:cs="Times New Roman"/>
                <w:color w:val="000000"/>
                <w:kern w:val="0"/>
                <w:lang w:val="en-GB"/>
                <w14:ligatures w14:val="none"/>
              </w:rPr>
              <w:t>1</w:t>
            </w:r>
          </w:p>
        </w:tc>
        <w:tc>
          <w:tcPr>
            <w:tcW w:w="0" w:type="auto"/>
            <w:tcBorders>
              <w:top w:val="nil"/>
              <w:left w:val="nil"/>
              <w:bottom w:val="nil"/>
              <w:right w:val="nil"/>
            </w:tcBorders>
            <w:vAlign w:val="center"/>
          </w:tcPr>
          <w:p w14:paraId="065828C1"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0.0005</w:t>
            </w:r>
          </w:p>
        </w:tc>
      </w:tr>
      <w:tr w:rsidR="00CA26B4" w:rsidRPr="00CA26B4" w14:paraId="0B05D9E9" w14:textId="77777777" w:rsidTr="00483C28">
        <w:trPr>
          <w:tblCellSpacing w:w="15" w:type="dxa"/>
        </w:trPr>
        <w:tc>
          <w:tcPr>
            <w:tcW w:w="0" w:type="auto"/>
            <w:gridSpan w:val="6"/>
            <w:tcBorders>
              <w:top w:val="nil"/>
              <w:left w:val="nil"/>
              <w:bottom w:val="nil"/>
              <w:right w:val="nil"/>
            </w:tcBorders>
            <w:vAlign w:val="center"/>
          </w:tcPr>
          <w:p w14:paraId="1133CB2B" w14:textId="77777777" w:rsidR="00CA26B4" w:rsidRPr="00CA26B4" w:rsidRDefault="00000000" w:rsidP="002C3670">
            <w:pPr>
              <w:spacing w:before="100" w:beforeAutospacing="1" w:after="200" w:line="240" w:lineRule="auto"/>
              <w:jc w:val="center"/>
              <w:rPr>
                <w:rFonts w:ascii="Times New Roman" w:eastAsia="SimSun" w:hAnsi="Times New Roman" w:cs="Times New Roman"/>
                <w:color w:val="000000"/>
                <w:kern w:val="0"/>
                <w:lang w:val="en-GB" w:eastAsia="zh-CN"/>
                <w14:ligatures w14:val="none"/>
              </w:rPr>
            </w:pPr>
            <w:r>
              <w:rPr>
                <w:rFonts w:ascii="Times New Roman" w:eastAsia="Times New Roman" w:hAnsi="Times New Roman" w:cs="Times New Roman"/>
                <w:color w:val="000000"/>
                <w:kern w:val="0"/>
                <w:lang w:val="en-GB"/>
                <w14:ligatures w14:val="none"/>
              </w:rPr>
              <w:pict w14:anchorId="10209D89">
                <v:rect id="_x0000_i1040" style="width:468pt;height:1.5pt" o:hralign="center" o:hrstd="t" o:hr="t" fillcolor="#a0a0a0" stroked="f"/>
              </w:pict>
            </w:r>
          </w:p>
        </w:tc>
      </w:tr>
      <w:tr w:rsidR="00CA26B4" w:rsidRPr="00CA26B4" w14:paraId="044443C7" w14:textId="77777777" w:rsidTr="00483C28">
        <w:trPr>
          <w:tblCellSpacing w:w="15" w:type="dxa"/>
        </w:trPr>
        <w:tc>
          <w:tcPr>
            <w:tcW w:w="0" w:type="auto"/>
            <w:tcBorders>
              <w:top w:val="nil"/>
              <w:left w:val="nil"/>
              <w:bottom w:val="nil"/>
              <w:right w:val="nil"/>
            </w:tcBorders>
            <w:vAlign w:val="center"/>
          </w:tcPr>
          <w:p w14:paraId="7A857657"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25" w:tooltip="Coefficient of determination" w:history="1">
              <w:r w:rsidRPr="00CA26B4">
                <w:rPr>
                  <w:rFonts w:ascii="Times New Roman" w:eastAsia="Times New Roman" w:hAnsi="Times New Roman" w:cs="Times New Roman"/>
                  <w:color w:val="000000"/>
                  <w:kern w:val="0"/>
                  <w:lang w:val="en-GB"/>
                  <w14:ligatures w14:val="none"/>
                </w:rPr>
                <w:t>R</w:t>
              </w:r>
              <w:r w:rsidRPr="00CA26B4">
                <w:rPr>
                  <w:rFonts w:ascii="Times New Roman" w:eastAsia="Times New Roman" w:hAnsi="Times New Roman" w:cs="Times New Roman"/>
                  <w:color w:val="000000"/>
                  <w:kern w:val="0"/>
                  <w:vertAlign w:val="superscript"/>
                  <w:lang w:val="en-GB"/>
                  <w14:ligatures w14:val="none"/>
                </w:rPr>
                <w:t>2</w:t>
              </w:r>
            </w:hyperlink>
          </w:p>
        </w:tc>
        <w:tc>
          <w:tcPr>
            <w:tcW w:w="0" w:type="auto"/>
            <w:tcBorders>
              <w:top w:val="nil"/>
              <w:left w:val="nil"/>
              <w:bottom w:val="nil"/>
              <w:right w:val="nil"/>
            </w:tcBorders>
            <w:vAlign w:val="center"/>
          </w:tcPr>
          <w:p w14:paraId="6D19D85F"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0.9386</w:t>
            </w:r>
          </w:p>
        </w:tc>
        <w:tc>
          <w:tcPr>
            <w:tcW w:w="0" w:type="auto"/>
            <w:vMerge w:val="restart"/>
            <w:tcBorders>
              <w:top w:val="nil"/>
              <w:left w:val="nil"/>
              <w:bottom w:val="threeDEmboss" w:sz="6" w:space="0" w:color="auto"/>
              <w:right w:val="nil"/>
            </w:tcBorders>
            <w:vAlign w:val="center"/>
          </w:tcPr>
          <w:p w14:paraId="138E9C97"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   </w:t>
            </w:r>
          </w:p>
        </w:tc>
        <w:tc>
          <w:tcPr>
            <w:tcW w:w="0" w:type="auto"/>
            <w:gridSpan w:val="2"/>
            <w:tcBorders>
              <w:top w:val="nil"/>
              <w:left w:val="nil"/>
              <w:bottom w:val="nil"/>
              <w:right w:val="nil"/>
            </w:tcBorders>
            <w:vAlign w:val="center"/>
          </w:tcPr>
          <w:p w14:paraId="611A0BDE"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S.E. of Regression</w:t>
            </w:r>
          </w:p>
        </w:tc>
        <w:tc>
          <w:tcPr>
            <w:tcW w:w="0" w:type="auto"/>
            <w:tcBorders>
              <w:top w:val="nil"/>
              <w:left w:val="nil"/>
              <w:bottom w:val="nil"/>
              <w:right w:val="nil"/>
            </w:tcBorders>
            <w:vAlign w:val="center"/>
          </w:tcPr>
          <w:p w14:paraId="3F463AA3"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0.2</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82</w:t>
            </w:r>
          </w:p>
        </w:tc>
      </w:tr>
      <w:tr w:rsidR="00CA26B4" w:rsidRPr="00CA26B4" w14:paraId="001BEEC0" w14:textId="77777777" w:rsidTr="00483C28">
        <w:trPr>
          <w:tblCellSpacing w:w="15" w:type="dxa"/>
        </w:trPr>
        <w:tc>
          <w:tcPr>
            <w:tcW w:w="0" w:type="auto"/>
            <w:tcBorders>
              <w:top w:val="nil"/>
              <w:left w:val="nil"/>
              <w:bottom w:val="nil"/>
              <w:right w:val="nil"/>
            </w:tcBorders>
            <w:vAlign w:val="center"/>
          </w:tcPr>
          <w:p w14:paraId="49E8E47C"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Adjusted R</w:t>
            </w:r>
            <w:r w:rsidRPr="00CA26B4">
              <w:rPr>
                <w:rFonts w:ascii="Times New Roman" w:eastAsia="Times New Roman" w:hAnsi="Times New Roman" w:cs="Times New Roman"/>
                <w:color w:val="000000"/>
                <w:kern w:val="0"/>
                <w:vertAlign w:val="superscript"/>
                <w:lang w:val="en-GB"/>
                <w14:ligatures w14:val="none"/>
              </w:rPr>
              <w:t>2</w:t>
            </w:r>
          </w:p>
        </w:tc>
        <w:tc>
          <w:tcPr>
            <w:tcW w:w="0" w:type="auto"/>
            <w:tcBorders>
              <w:top w:val="nil"/>
              <w:left w:val="nil"/>
              <w:bottom w:val="nil"/>
              <w:right w:val="nil"/>
            </w:tcBorders>
            <w:vAlign w:val="center"/>
          </w:tcPr>
          <w:p w14:paraId="069255EC"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0.9280</w:t>
            </w:r>
          </w:p>
        </w:tc>
        <w:tc>
          <w:tcPr>
            <w:tcW w:w="0" w:type="auto"/>
            <w:vMerge/>
            <w:tcBorders>
              <w:top w:val="nil"/>
              <w:left w:val="nil"/>
              <w:bottom w:val="threeDEmboss" w:sz="6" w:space="0" w:color="auto"/>
              <w:right w:val="nil"/>
            </w:tcBorders>
            <w:vAlign w:val="center"/>
          </w:tcPr>
          <w:p w14:paraId="36F6EF4A"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3A46B855"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Model Sum-of-</w:t>
            </w:r>
            <w:proofErr w:type="spellStart"/>
            <w:r w:rsidRPr="00CA26B4">
              <w:rPr>
                <w:rFonts w:ascii="Times New Roman" w:eastAsia="Times New Roman" w:hAnsi="Times New Roman" w:cs="Times New Roman"/>
                <w:color w:val="000000"/>
                <w:kern w:val="0"/>
                <w:lang w:val="en-GB"/>
                <w14:ligatures w14:val="none"/>
              </w:rPr>
              <w:t>Sq</w:t>
            </w:r>
            <w:proofErr w:type="spellEnd"/>
          </w:p>
        </w:tc>
        <w:tc>
          <w:tcPr>
            <w:tcW w:w="0" w:type="auto"/>
            <w:tcBorders>
              <w:top w:val="nil"/>
              <w:left w:val="nil"/>
              <w:bottom w:val="nil"/>
              <w:right w:val="nil"/>
            </w:tcBorders>
            <w:vAlign w:val="center"/>
          </w:tcPr>
          <w:p w14:paraId="461A7589"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69</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.61</w:t>
            </w:r>
          </w:p>
        </w:tc>
      </w:tr>
      <w:tr w:rsidR="00CA26B4" w:rsidRPr="00CA26B4" w14:paraId="3E14A96F" w14:textId="77777777" w:rsidTr="00483C28">
        <w:trPr>
          <w:tblCellSpacing w:w="15" w:type="dxa"/>
        </w:trPr>
        <w:tc>
          <w:tcPr>
            <w:tcW w:w="0" w:type="auto"/>
            <w:tcBorders>
              <w:top w:val="nil"/>
              <w:left w:val="nil"/>
              <w:bottom w:val="nil"/>
              <w:right w:val="nil"/>
            </w:tcBorders>
            <w:vAlign w:val="center"/>
          </w:tcPr>
          <w:p w14:paraId="4AA2F765"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Log-Likelihood</w:t>
            </w:r>
          </w:p>
        </w:tc>
        <w:tc>
          <w:tcPr>
            <w:tcW w:w="0" w:type="auto"/>
            <w:tcBorders>
              <w:top w:val="nil"/>
              <w:left w:val="nil"/>
              <w:bottom w:val="nil"/>
              <w:right w:val="nil"/>
            </w:tcBorders>
            <w:vAlign w:val="center"/>
          </w:tcPr>
          <w:p w14:paraId="68F9A7A5"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1.08</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4</w:t>
            </w:r>
          </w:p>
        </w:tc>
        <w:tc>
          <w:tcPr>
            <w:tcW w:w="0" w:type="auto"/>
            <w:vMerge/>
            <w:tcBorders>
              <w:top w:val="nil"/>
              <w:left w:val="nil"/>
              <w:bottom w:val="threeDEmboss" w:sz="6" w:space="0" w:color="auto"/>
              <w:right w:val="nil"/>
            </w:tcBorders>
            <w:vAlign w:val="center"/>
          </w:tcPr>
          <w:p w14:paraId="4CA157E2"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64B54501"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Residual Sum-of-</w:t>
            </w:r>
            <w:proofErr w:type="spellStart"/>
            <w:r w:rsidRPr="00CA26B4">
              <w:rPr>
                <w:rFonts w:ascii="Times New Roman" w:eastAsia="Times New Roman" w:hAnsi="Times New Roman" w:cs="Times New Roman"/>
                <w:color w:val="000000"/>
                <w:kern w:val="0"/>
                <w:lang w:val="en-GB"/>
                <w14:ligatures w14:val="none"/>
              </w:rPr>
              <w:t>Sq</w:t>
            </w:r>
            <w:proofErr w:type="spellEnd"/>
          </w:p>
        </w:tc>
        <w:tc>
          <w:tcPr>
            <w:tcW w:w="0" w:type="auto"/>
            <w:tcBorders>
              <w:top w:val="nil"/>
              <w:left w:val="nil"/>
              <w:bottom w:val="nil"/>
              <w:right w:val="nil"/>
            </w:tcBorders>
            <w:vAlign w:val="center"/>
          </w:tcPr>
          <w:p w14:paraId="19251148"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1.8</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82</w:t>
            </w:r>
          </w:p>
        </w:tc>
      </w:tr>
      <w:tr w:rsidR="00CA26B4" w:rsidRPr="00CA26B4" w14:paraId="13594F99" w14:textId="77777777" w:rsidTr="00483C28">
        <w:trPr>
          <w:tblCellSpacing w:w="15" w:type="dxa"/>
        </w:trPr>
        <w:tc>
          <w:tcPr>
            <w:tcW w:w="0" w:type="auto"/>
            <w:tcBorders>
              <w:top w:val="nil"/>
              <w:left w:val="nil"/>
              <w:bottom w:val="nil"/>
              <w:right w:val="nil"/>
            </w:tcBorders>
            <w:vAlign w:val="center"/>
          </w:tcPr>
          <w:p w14:paraId="39B4DC98"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26" w:tooltip="Durbin–Watson statistic" w:history="1">
              <w:r w:rsidRPr="00CA26B4">
                <w:rPr>
                  <w:rFonts w:ascii="Times New Roman" w:eastAsia="Times New Roman" w:hAnsi="Times New Roman" w:cs="Times New Roman"/>
                  <w:color w:val="000000"/>
                  <w:kern w:val="0"/>
                  <w:lang w:val="en-GB"/>
                  <w14:ligatures w14:val="none"/>
                </w:rPr>
                <w:t>Durbin–Watson Stats.</w:t>
              </w:r>
            </w:hyperlink>
          </w:p>
        </w:tc>
        <w:tc>
          <w:tcPr>
            <w:tcW w:w="0" w:type="auto"/>
            <w:tcBorders>
              <w:top w:val="nil"/>
              <w:left w:val="nil"/>
              <w:bottom w:val="nil"/>
              <w:right w:val="nil"/>
            </w:tcBorders>
            <w:vAlign w:val="center"/>
          </w:tcPr>
          <w:p w14:paraId="6A7F81D1"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2.2001</w:t>
            </w:r>
          </w:p>
        </w:tc>
        <w:tc>
          <w:tcPr>
            <w:tcW w:w="0" w:type="auto"/>
            <w:vMerge/>
            <w:tcBorders>
              <w:top w:val="nil"/>
              <w:left w:val="nil"/>
              <w:bottom w:val="threeDEmboss" w:sz="6" w:space="0" w:color="auto"/>
              <w:right w:val="nil"/>
            </w:tcBorders>
            <w:vAlign w:val="center"/>
          </w:tcPr>
          <w:p w14:paraId="38A41D85"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0B0D550E"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Total Sum-of-</w:t>
            </w:r>
            <w:proofErr w:type="spellStart"/>
            <w:r w:rsidRPr="00CA26B4">
              <w:rPr>
                <w:rFonts w:ascii="Times New Roman" w:eastAsia="Times New Roman" w:hAnsi="Times New Roman" w:cs="Times New Roman"/>
                <w:color w:val="000000"/>
                <w:kern w:val="0"/>
                <w:lang w:val="en-GB"/>
                <w14:ligatures w14:val="none"/>
              </w:rPr>
              <w:t>Sq</w:t>
            </w:r>
            <w:proofErr w:type="spellEnd"/>
          </w:p>
        </w:tc>
        <w:tc>
          <w:tcPr>
            <w:tcW w:w="0" w:type="auto"/>
            <w:tcBorders>
              <w:top w:val="nil"/>
              <w:left w:val="nil"/>
              <w:bottom w:val="nil"/>
              <w:right w:val="nil"/>
            </w:tcBorders>
            <w:vAlign w:val="center"/>
          </w:tcPr>
          <w:p w14:paraId="1984B67B"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69</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.47</w:t>
            </w:r>
          </w:p>
        </w:tc>
      </w:tr>
      <w:tr w:rsidR="00CA26B4" w:rsidRPr="00CA26B4" w14:paraId="1FAB3C12" w14:textId="77777777" w:rsidTr="00483C28">
        <w:trPr>
          <w:tblCellSpacing w:w="15" w:type="dxa"/>
        </w:trPr>
        <w:tc>
          <w:tcPr>
            <w:tcW w:w="0" w:type="auto"/>
            <w:tcBorders>
              <w:top w:val="nil"/>
              <w:left w:val="nil"/>
              <w:bottom w:val="nil"/>
              <w:right w:val="nil"/>
            </w:tcBorders>
            <w:vAlign w:val="center"/>
          </w:tcPr>
          <w:p w14:paraId="644F5BEC"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27" w:tooltip="Akaike information criterion" w:history="1">
              <w:r w:rsidRPr="00CA26B4">
                <w:rPr>
                  <w:rFonts w:ascii="Times New Roman" w:eastAsia="Times New Roman" w:hAnsi="Times New Roman" w:cs="Times New Roman"/>
                  <w:color w:val="000000"/>
                  <w:kern w:val="0"/>
                  <w:lang w:val="en-GB"/>
                  <w14:ligatures w14:val="none"/>
                </w:rPr>
                <w:t>Akaike Criterion</w:t>
              </w:r>
            </w:hyperlink>
          </w:p>
        </w:tc>
        <w:tc>
          <w:tcPr>
            <w:tcW w:w="0" w:type="auto"/>
            <w:tcBorders>
              <w:top w:val="nil"/>
              <w:left w:val="nil"/>
              <w:bottom w:val="nil"/>
              <w:right w:val="nil"/>
            </w:tcBorders>
            <w:vAlign w:val="center"/>
          </w:tcPr>
          <w:p w14:paraId="5386678A"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1.244</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8</w:t>
            </w:r>
          </w:p>
        </w:tc>
        <w:tc>
          <w:tcPr>
            <w:tcW w:w="0" w:type="auto"/>
            <w:vMerge/>
            <w:tcBorders>
              <w:top w:val="nil"/>
              <w:left w:val="nil"/>
              <w:bottom w:val="threeDEmboss" w:sz="6" w:space="0" w:color="auto"/>
              <w:right w:val="nil"/>
            </w:tcBorders>
            <w:vAlign w:val="center"/>
          </w:tcPr>
          <w:p w14:paraId="663F0E2B"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1C0F7D30"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F-Statistic</w:t>
            </w:r>
          </w:p>
        </w:tc>
        <w:tc>
          <w:tcPr>
            <w:tcW w:w="0" w:type="auto"/>
            <w:tcBorders>
              <w:top w:val="nil"/>
              <w:left w:val="nil"/>
              <w:bottom w:val="nil"/>
              <w:right w:val="nil"/>
            </w:tcBorders>
            <w:vAlign w:val="center"/>
          </w:tcPr>
          <w:p w14:paraId="19424DB1"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55</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1.0</w:t>
            </w:r>
          </w:p>
        </w:tc>
      </w:tr>
      <w:tr w:rsidR="00CA26B4" w:rsidRPr="00CA26B4" w14:paraId="703FA0C6" w14:textId="77777777" w:rsidTr="00483C28">
        <w:trPr>
          <w:tblCellSpacing w:w="15" w:type="dxa"/>
        </w:trPr>
        <w:tc>
          <w:tcPr>
            <w:tcW w:w="0" w:type="auto"/>
            <w:tcBorders>
              <w:top w:val="nil"/>
              <w:left w:val="nil"/>
              <w:bottom w:val="nil"/>
              <w:right w:val="nil"/>
            </w:tcBorders>
            <w:vAlign w:val="center"/>
          </w:tcPr>
          <w:p w14:paraId="072C3DEF"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hyperlink r:id="rId28" w:tooltip="Schwarz criterion" w:history="1">
              <w:r w:rsidRPr="00CA26B4">
                <w:rPr>
                  <w:rFonts w:ascii="Times New Roman" w:eastAsia="Times New Roman" w:hAnsi="Times New Roman" w:cs="Times New Roman"/>
                  <w:color w:val="000000"/>
                  <w:kern w:val="0"/>
                  <w:lang w:val="en-GB"/>
                  <w14:ligatures w14:val="none"/>
                </w:rPr>
                <w:t>Schwarz Criterion</w:t>
              </w:r>
            </w:hyperlink>
          </w:p>
        </w:tc>
        <w:tc>
          <w:tcPr>
            <w:tcW w:w="0" w:type="auto"/>
            <w:tcBorders>
              <w:top w:val="nil"/>
              <w:left w:val="nil"/>
              <w:bottom w:val="nil"/>
              <w:right w:val="nil"/>
            </w:tcBorders>
            <w:vAlign w:val="center"/>
          </w:tcPr>
          <w:p w14:paraId="4750A090"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1.430</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1</w:t>
            </w:r>
          </w:p>
        </w:tc>
        <w:tc>
          <w:tcPr>
            <w:tcW w:w="0" w:type="auto"/>
            <w:vMerge/>
            <w:tcBorders>
              <w:top w:val="nil"/>
              <w:left w:val="nil"/>
              <w:bottom w:val="threeDEmboss" w:sz="6" w:space="0" w:color="auto"/>
              <w:right w:val="nil"/>
            </w:tcBorders>
            <w:vAlign w:val="center"/>
          </w:tcPr>
          <w:p w14:paraId="7B2C8AA0"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p>
        </w:tc>
        <w:tc>
          <w:tcPr>
            <w:tcW w:w="0" w:type="auto"/>
            <w:gridSpan w:val="2"/>
            <w:tcBorders>
              <w:top w:val="nil"/>
              <w:left w:val="nil"/>
              <w:bottom w:val="nil"/>
              <w:right w:val="nil"/>
            </w:tcBorders>
            <w:vAlign w:val="center"/>
          </w:tcPr>
          <w:p w14:paraId="76CF25EA" w14:textId="77777777" w:rsidR="00CA26B4" w:rsidRPr="00CA26B4" w:rsidRDefault="00CA26B4" w:rsidP="002C3670">
            <w:pPr>
              <w:spacing w:before="100" w:beforeAutospacing="1" w:after="200" w:line="240" w:lineRule="auto"/>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P-Value (F-Stat)</w:t>
            </w:r>
          </w:p>
        </w:tc>
        <w:tc>
          <w:tcPr>
            <w:tcW w:w="0" w:type="auto"/>
            <w:tcBorders>
              <w:top w:val="nil"/>
              <w:left w:val="nil"/>
              <w:bottom w:val="nil"/>
              <w:right w:val="nil"/>
            </w:tcBorders>
            <w:vAlign w:val="center"/>
          </w:tcPr>
          <w:p w14:paraId="03EE83B6" w14:textId="77777777" w:rsidR="00CA26B4" w:rsidRPr="00CA26B4" w:rsidRDefault="00CA26B4" w:rsidP="002C3670">
            <w:pPr>
              <w:spacing w:before="100" w:beforeAutospacing="1" w:after="200" w:line="240" w:lineRule="auto"/>
              <w:jc w:val="right"/>
              <w:rPr>
                <w:rFonts w:ascii="Times New Roman" w:eastAsia="SimSun" w:hAnsi="Times New Roman" w:cs="Times New Roman"/>
                <w:color w:val="000000"/>
                <w:kern w:val="0"/>
                <w:lang w:val="en-GB" w:eastAsia="zh-CN"/>
                <w14:ligatures w14:val="none"/>
              </w:rPr>
            </w:pPr>
            <w:r w:rsidRPr="00CA26B4">
              <w:rPr>
                <w:rFonts w:ascii="Times New Roman" w:eastAsia="Times New Roman" w:hAnsi="Times New Roman" w:cs="Times New Roman"/>
                <w:color w:val="000000"/>
                <w:kern w:val="0"/>
                <w:lang w:val="en-GB"/>
                <w14:ligatures w14:val="none"/>
              </w:rPr>
              <w:t>0.0005</w:t>
            </w:r>
          </w:p>
        </w:tc>
      </w:tr>
    </w:tbl>
    <w:p w14:paraId="5407CCF5" w14:textId="77777777" w:rsidR="00CA26B4" w:rsidRPr="00CA26B4" w:rsidRDefault="00CA26B4" w:rsidP="002C3670">
      <w:pPr>
        <w:adjustRightInd w:val="0"/>
        <w:spacing w:before="100" w:beforeAutospacing="1" w:after="200" w:line="240" w:lineRule="auto"/>
        <w:jc w:val="both"/>
        <w:rPr>
          <w:rFonts w:ascii="Times New Roman" w:eastAsia="SimSun" w:hAnsi="Times New Roman" w:cs="Times New Roman"/>
          <w:color w:val="000000"/>
          <w:kern w:val="0"/>
          <w:lang w:eastAsia="zh-CN"/>
          <w14:ligatures w14:val="none"/>
        </w:rPr>
      </w:pPr>
      <w:r w:rsidRPr="00CA26B4">
        <w:rPr>
          <w:rFonts w:ascii="Times New Roman" w:eastAsia="Times New Roman" w:hAnsi="Times New Roman" w:cs="Times New Roman"/>
          <w:color w:val="000000"/>
          <w:kern w:val="0"/>
          <w14:ligatures w14:val="none"/>
        </w:rPr>
        <w:t xml:space="preserve"> Source: Researcher Computation using </w:t>
      </w:r>
      <w:r w:rsidRPr="00CA26B4">
        <w:rPr>
          <w:rFonts w:ascii="Times New Roman" w:eastAsia="Times New Roman" w:hAnsi="Times New Roman" w:cs="Times New Roman"/>
          <w:bCs/>
          <w:color w:val="000000"/>
          <w:kern w:val="0"/>
          <w14:ligatures w14:val="none"/>
        </w:rPr>
        <w:t>SPSS version 20.0</w:t>
      </w:r>
    </w:p>
    <w:p w14:paraId="4A4EA4C0"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color w:val="000000"/>
          <w:kern w:val="0"/>
          <w14:ligatures w14:val="none"/>
        </w:rPr>
        <w:t xml:space="preserve">Table 5 reveals results for the </w:t>
      </w:r>
      <w:r w:rsidRPr="00CA26B4">
        <w:rPr>
          <w:rFonts w:ascii="Times New Roman" w:eastAsia="Calibri" w:hAnsi="Times New Roman" w:cs="Times New Roman"/>
          <w:kern w:val="0"/>
          <w14:ligatures w14:val="none"/>
        </w:rPr>
        <w:t xml:space="preserve">effect </w:t>
      </w:r>
      <w:proofErr w:type="gramStart"/>
      <w:r w:rsidRPr="00CA26B4">
        <w:rPr>
          <w:rFonts w:ascii="Times New Roman" w:eastAsia="Calibri" w:hAnsi="Times New Roman" w:cs="Times New Roman"/>
          <w:kern w:val="0"/>
          <w14:ligatures w14:val="none"/>
        </w:rPr>
        <w:t xml:space="preserve">of </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real</w:t>
      </w:r>
      <w:proofErr w:type="gramEnd"/>
      <w:r w:rsidRPr="00CA26B4">
        <w:rPr>
          <w:rFonts w:ascii="Times New Roman" w:eastAsia="Calibri" w:hAnsi="Times New Roman" w:cs="Times New Roman"/>
          <w:kern w:val="0"/>
          <w14:ligatures w14:val="none"/>
        </w:rPr>
        <w:t xml:space="preserve">-time accounting (RTA) on operational efficiency (OE). </w:t>
      </w:r>
      <w:r w:rsidRPr="00CA26B4">
        <w:rPr>
          <w:rFonts w:ascii="Times New Roman" w:eastAsia="Arial" w:hAnsi="Times New Roman" w:cs="Times New Roman"/>
          <w:color w:val="0A0A0A"/>
          <w:kern w:val="0"/>
          <w:shd w:val="clear" w:color="auto" w:fill="FFFFFF"/>
          <w:lang w:eastAsia="zh-CN" w:bidi="ar"/>
          <w14:ligatures w14:val="none"/>
        </w:rPr>
        <w:t xml:space="preserve">The model was estimated using ordinary least squares to examine the impact of </w:t>
      </w:r>
      <w:r w:rsidRPr="00CA26B4">
        <w:rPr>
          <w:rFonts w:ascii="Times New Roman" w:eastAsia="Calibri" w:hAnsi="Times New Roman" w:cs="Times New Roman"/>
          <w:b/>
          <w:bCs/>
          <w:kern w:val="0"/>
          <w14:ligatures w14:val="none"/>
        </w:rPr>
        <w:t>real</w:t>
      </w:r>
      <w:r w:rsidRPr="00CA26B4">
        <w:rPr>
          <w:rFonts w:ascii="Times New Roman" w:eastAsia="Calibri" w:hAnsi="Times New Roman" w:cs="Times New Roman"/>
          <w:kern w:val="0"/>
          <w14:ligatures w14:val="none"/>
        </w:rPr>
        <w:t xml:space="preserve">-time accounting (RTA) on operational efficiency (OE). </w:t>
      </w:r>
      <w:r w:rsidRPr="00CA26B4">
        <w:rPr>
          <w:rFonts w:ascii="Times New Roman" w:eastAsia="Arial" w:hAnsi="Times New Roman" w:cs="Times New Roman"/>
          <w:color w:val="0A0A0A"/>
          <w:kern w:val="0"/>
          <w:shd w:val="clear" w:color="auto" w:fill="FFFFFF"/>
          <w14:ligatures w14:val="none"/>
        </w:rPr>
        <w:t xml:space="preserve">The F-statistic is </w:t>
      </w:r>
      <w:r w:rsidRPr="00CA26B4">
        <w:rPr>
          <w:rFonts w:ascii="Times New Roman" w:eastAsia="Times New Roman" w:hAnsi="Times New Roman" w:cs="Times New Roman"/>
          <w:color w:val="000000"/>
          <w:kern w:val="0"/>
          <w:lang w:val="en-GB"/>
          <w14:ligatures w14:val="none"/>
        </w:rPr>
        <w:t>55</w:t>
      </w:r>
      <w:r w:rsidRPr="00CA26B4">
        <w:rPr>
          <w:rFonts w:ascii="Times New Roman" w:eastAsia="Times New Roman" w:hAnsi="Times New Roman" w:cs="Times New Roman"/>
          <w:color w:val="000000"/>
          <w:kern w:val="0"/>
          <w14:ligatures w14:val="none"/>
        </w:rPr>
        <w:t>0</w:t>
      </w:r>
      <w:r w:rsidRPr="00CA26B4">
        <w:rPr>
          <w:rFonts w:ascii="Times New Roman" w:eastAsia="Times New Roman" w:hAnsi="Times New Roman" w:cs="Times New Roman"/>
          <w:color w:val="000000"/>
          <w:kern w:val="0"/>
          <w:lang w:val="en-GB"/>
          <w14:ligatures w14:val="none"/>
        </w:rPr>
        <w:t>1.0</w:t>
      </w:r>
      <w:r w:rsidRPr="00CA26B4">
        <w:rPr>
          <w:rFonts w:ascii="Times New Roman" w:eastAsia="Arial" w:hAnsi="Times New Roman" w:cs="Times New Roman"/>
          <w:color w:val="0A0A0A"/>
          <w:kern w:val="0"/>
          <w:shd w:val="clear" w:color="auto" w:fill="FFFFFF"/>
          <w14:ligatures w14:val="none"/>
        </w:rPr>
        <w:t xml:space="preserve"> with a p-value of 0.0005 shows the model is significant. Since the p-value is significantly lower than the standard significance level (0.05 or 0.01), the model is highly statistically significant, meaning RTA explains a significant portion of the variance in OE. </w:t>
      </w:r>
      <w:r w:rsidRPr="00CA26B4">
        <w:rPr>
          <w:rFonts w:ascii="Times New Roman" w:eastAsia="Times New Roman" w:hAnsi="Times New Roman" w:cs="Times New Roman"/>
          <w:kern w:val="0"/>
          <w14:ligatures w14:val="none"/>
        </w:rPr>
        <w:t>The value of RTA</w:t>
      </w:r>
      <w:r w:rsidRPr="00CA26B4">
        <w:rPr>
          <w:rFonts w:ascii="Times New Roman" w:eastAsia="Arial" w:hAnsi="Times New Roman" w:cs="Times New Roman"/>
          <w:color w:val="0A0A0A"/>
          <w:kern w:val="0"/>
          <w:shd w:val="clear" w:color="auto" w:fill="FFFFFF"/>
          <w14:ligatures w14:val="none"/>
        </w:rPr>
        <w:t xml:space="preserve"> Coefficient (</w:t>
      </w:r>
      <w:r w:rsidRPr="00CA26B4">
        <w:rPr>
          <w:rFonts w:ascii="Times New Roman" w:eastAsia="Times New Roman" w:hAnsi="Times New Roman" w:cs="Times New Roman"/>
          <w:color w:val="000000"/>
          <w:kern w:val="0"/>
          <w:lang w:val="en-GB"/>
          <w14:ligatures w14:val="none"/>
        </w:rPr>
        <w:t>132.</w:t>
      </w:r>
      <w:r w:rsidRPr="00CA26B4">
        <w:rPr>
          <w:rFonts w:ascii="Times New Roman" w:eastAsia="Times New Roman" w:hAnsi="Times New Roman" w:cs="Times New Roman"/>
          <w:color w:val="000000"/>
          <w:kern w:val="0"/>
          <w14:ligatures w14:val="none"/>
        </w:rPr>
        <w:t>000</w:t>
      </w:r>
      <w:r w:rsidRPr="00CA26B4">
        <w:rPr>
          <w:rFonts w:ascii="Times New Roman" w:eastAsia="Times New Roman" w:hAnsi="Times New Roman" w:cs="Times New Roman"/>
          <w:color w:val="000000"/>
          <w:kern w:val="0"/>
          <w:lang w:val="en-GB"/>
          <w14:ligatures w14:val="none"/>
        </w:rPr>
        <w:t>2</w:t>
      </w:r>
      <w:r w:rsidRPr="00CA26B4">
        <w:rPr>
          <w:rFonts w:ascii="Times New Roman" w:eastAsia="Times New Roman" w:hAnsi="Times New Roman" w:cs="Times New Roman"/>
          <w:color w:val="000000"/>
          <w:kern w:val="0"/>
          <w14:ligatures w14:val="none"/>
        </w:rPr>
        <w:t>)</w:t>
      </w:r>
      <w:r w:rsidRPr="00CA26B4">
        <w:rPr>
          <w:rFonts w:ascii="Times New Roman" w:eastAsia="Arial" w:hAnsi="Times New Roman" w:cs="Times New Roman"/>
          <w:color w:val="0A0A0A"/>
          <w:kern w:val="0"/>
          <w:shd w:val="clear" w:color="auto" w:fill="FFFFFF"/>
          <w14:ligatures w14:val="none"/>
        </w:rPr>
        <w:t xml:space="preserve"> is positive. It indicates a strong positive relationship between RTA and OE. The t-statistic (</w:t>
      </w:r>
      <w:r w:rsidRPr="00CA26B4">
        <w:rPr>
          <w:rFonts w:ascii="Times New Roman" w:eastAsia="Times New Roman" w:hAnsi="Times New Roman" w:cs="Times New Roman"/>
          <w:color w:val="000000"/>
          <w:kern w:val="0"/>
          <w:lang w:val="en-GB"/>
          <w14:ligatures w14:val="none"/>
        </w:rPr>
        <w:t>6.3</w:t>
      </w:r>
      <w:r w:rsidRPr="00CA26B4">
        <w:rPr>
          <w:rFonts w:ascii="Times New Roman" w:eastAsia="Times New Roman" w:hAnsi="Times New Roman" w:cs="Times New Roman"/>
          <w:color w:val="000000"/>
          <w:kern w:val="0"/>
          <w14:ligatures w14:val="none"/>
        </w:rPr>
        <w:t>00</w:t>
      </w:r>
      <w:r w:rsidRPr="00CA26B4">
        <w:rPr>
          <w:rFonts w:ascii="Times New Roman" w:eastAsia="Times New Roman" w:hAnsi="Times New Roman" w:cs="Times New Roman"/>
          <w:color w:val="000000"/>
          <w:kern w:val="0"/>
          <w:lang w:val="en-GB"/>
          <w14:ligatures w14:val="none"/>
        </w:rPr>
        <w:t>1</w:t>
      </w:r>
      <w:r w:rsidRPr="00CA26B4">
        <w:rPr>
          <w:rFonts w:ascii="Times New Roman" w:eastAsia="Times New Roman" w:hAnsi="Times New Roman" w:cs="Times New Roman"/>
          <w:color w:val="000000"/>
          <w:kern w:val="0"/>
          <w14:ligatures w14:val="none"/>
        </w:rPr>
        <w:t>)</w:t>
      </w:r>
      <w:r w:rsidRPr="00CA26B4">
        <w:rPr>
          <w:rFonts w:ascii="Times New Roman" w:eastAsia="Arial" w:hAnsi="Times New Roman" w:cs="Times New Roman"/>
          <w:color w:val="0A0A0A"/>
          <w:kern w:val="0"/>
          <w:shd w:val="clear" w:color="auto" w:fill="FFFFFF"/>
          <w14:ligatures w14:val="none"/>
        </w:rPr>
        <w:t xml:space="preserve"> and p-value (0.0005): With a p-value of 0.0005, the coefficient for RTA is statistically significant. R</w:t>
      </w:r>
      <w:r w:rsidRPr="00CA26B4">
        <w:rPr>
          <w:rFonts w:ascii="Times New Roman" w:eastAsia="Arial" w:hAnsi="Times New Roman" w:cs="Times New Roman"/>
          <w:color w:val="0A0A0A"/>
          <w:kern w:val="0"/>
          <w:shd w:val="clear" w:color="auto" w:fill="FFFFFF"/>
          <w:vertAlign w:val="superscript"/>
          <w14:ligatures w14:val="none"/>
        </w:rPr>
        <w:t xml:space="preserve">2   </w:t>
      </w:r>
      <w:r w:rsidRPr="00CA26B4">
        <w:rPr>
          <w:rFonts w:ascii="Times New Roman" w:eastAsia="Arial" w:hAnsi="Times New Roman" w:cs="Times New Roman"/>
          <w:color w:val="0A0A0A"/>
          <w:kern w:val="0"/>
          <w:shd w:val="clear" w:color="auto" w:fill="FFFFFF"/>
          <w14:ligatures w14:val="none"/>
        </w:rPr>
        <w:t xml:space="preserve">at </w:t>
      </w:r>
      <w:r w:rsidRPr="00CA26B4">
        <w:rPr>
          <w:rFonts w:ascii="Times New Roman" w:eastAsia="Times New Roman" w:hAnsi="Times New Roman" w:cs="Times New Roman"/>
          <w:color w:val="000000"/>
          <w:kern w:val="0"/>
          <w:lang w:val="en-GB"/>
          <w14:ligatures w14:val="none"/>
        </w:rPr>
        <w:t>0.9386</w:t>
      </w:r>
      <w:r w:rsidRPr="00CA26B4">
        <w:rPr>
          <w:rFonts w:ascii="Times New Roman" w:eastAsia="Times New Roman" w:hAnsi="Times New Roman" w:cs="Times New Roman"/>
          <w:color w:val="000000"/>
          <w:kern w:val="0"/>
          <w14:ligatures w14:val="none"/>
        </w:rPr>
        <w:t xml:space="preserve"> </w:t>
      </w:r>
      <w:r w:rsidRPr="00CA26B4">
        <w:rPr>
          <w:rFonts w:ascii="Times New Roman" w:eastAsia="Arial" w:hAnsi="Times New Roman" w:cs="Times New Roman"/>
          <w:color w:val="0A0A0A"/>
          <w:kern w:val="0"/>
          <w:shd w:val="clear" w:color="auto" w:fill="FFFFFF"/>
          <w14:ligatures w14:val="none"/>
        </w:rPr>
        <w:t>(</w:t>
      </w:r>
      <w:r w:rsidRPr="00CA26B4">
        <w:rPr>
          <w:rFonts w:ascii="Times New Roman" w:eastAsia="Times New Roman" w:hAnsi="Times New Roman" w:cs="Times New Roman"/>
          <w:color w:val="000000"/>
          <w:kern w:val="0"/>
          <w:lang w:val="en-GB"/>
          <w14:ligatures w14:val="none"/>
        </w:rPr>
        <w:t>93</w:t>
      </w:r>
      <w:r w:rsidRPr="00CA26B4">
        <w:rPr>
          <w:rFonts w:ascii="Times New Roman" w:eastAsia="Times New Roman" w:hAnsi="Times New Roman" w:cs="Times New Roman"/>
          <w:color w:val="000000"/>
          <w:kern w:val="0"/>
          <w14:ligatures w14:val="none"/>
        </w:rPr>
        <w:t>.</w:t>
      </w:r>
      <w:r w:rsidRPr="00CA26B4">
        <w:rPr>
          <w:rFonts w:ascii="Times New Roman" w:eastAsia="Times New Roman" w:hAnsi="Times New Roman" w:cs="Times New Roman"/>
          <w:color w:val="000000"/>
          <w:kern w:val="0"/>
          <w:lang w:val="en-GB"/>
          <w14:ligatures w14:val="none"/>
        </w:rPr>
        <w:t>86</w:t>
      </w:r>
      <w:r w:rsidRPr="00CA26B4">
        <w:rPr>
          <w:rFonts w:ascii="Times New Roman" w:eastAsia="Arial" w:hAnsi="Times New Roman" w:cs="Times New Roman"/>
          <w:color w:val="0A0A0A"/>
          <w:kern w:val="0"/>
          <w:shd w:val="clear" w:color="auto" w:fill="FFFFFF"/>
          <w14:ligatures w14:val="none"/>
        </w:rPr>
        <w:t xml:space="preserve">%) reveals the variation in the Operational Efficiency (OE) is explained by Real-Time Accounting (RTA). </w:t>
      </w:r>
      <w:r w:rsidRPr="00CA26B4">
        <w:rPr>
          <w:rFonts w:ascii="Times New Roman" w:eastAsia="Arial" w:hAnsi="Times New Roman" w:cs="Times New Roman"/>
          <w:color w:val="0A0A0A"/>
          <w:kern w:val="0"/>
          <w:shd w:val="clear" w:color="auto" w:fill="FFFFFF"/>
          <w14:ligatures w14:val="none"/>
        </w:rPr>
        <w:lastRenderedPageBreak/>
        <w:t>This suggests an extremely strong linear relationship. Adjusted R</w:t>
      </w:r>
      <w:proofErr w:type="gramStart"/>
      <w:r w:rsidRPr="00CA26B4">
        <w:rPr>
          <w:rFonts w:ascii="Times New Roman" w:eastAsia="Arial" w:hAnsi="Times New Roman" w:cs="Times New Roman"/>
          <w:color w:val="0A0A0A"/>
          <w:kern w:val="0"/>
          <w:shd w:val="clear" w:color="auto" w:fill="FFFFFF"/>
          <w:vertAlign w:val="superscript"/>
          <w14:ligatures w14:val="none"/>
        </w:rPr>
        <w:t xml:space="preserve">2  </w:t>
      </w:r>
      <w:r w:rsidRPr="00CA26B4">
        <w:rPr>
          <w:rFonts w:ascii="Times New Roman" w:eastAsia="Arial" w:hAnsi="Times New Roman" w:cs="Times New Roman"/>
          <w:color w:val="0A0A0A"/>
          <w:kern w:val="0"/>
          <w:shd w:val="clear" w:color="auto" w:fill="FFFFFF"/>
          <w14:ligatures w14:val="none"/>
        </w:rPr>
        <w:t>at</w:t>
      </w:r>
      <w:proofErr w:type="gramEnd"/>
      <w:r w:rsidRPr="00CA26B4">
        <w:rPr>
          <w:rFonts w:ascii="Times New Roman" w:eastAsia="Arial" w:hAnsi="Times New Roman" w:cs="Times New Roman"/>
          <w:color w:val="0A0A0A"/>
          <w:kern w:val="0"/>
          <w:shd w:val="clear" w:color="auto" w:fill="FFFFFF"/>
          <w14:ligatures w14:val="none"/>
        </w:rPr>
        <w:t> </w:t>
      </w:r>
      <w:r w:rsidRPr="00CA26B4">
        <w:rPr>
          <w:rFonts w:ascii="Times New Roman" w:eastAsia="Times New Roman" w:hAnsi="Times New Roman" w:cs="Times New Roman"/>
          <w:color w:val="000000"/>
          <w:kern w:val="0"/>
          <w:lang w:val="en-GB"/>
          <w14:ligatures w14:val="none"/>
        </w:rPr>
        <w:t>0.9280</w:t>
      </w:r>
      <w:r w:rsidRPr="00CA26B4">
        <w:rPr>
          <w:rFonts w:ascii="Times New Roman" w:eastAsia="Arial" w:hAnsi="Times New Roman" w:cs="Times New Roman"/>
          <w:color w:val="0A0A0A"/>
          <w:kern w:val="0"/>
          <w:shd w:val="clear" w:color="auto" w:fill="FFFFFF"/>
          <w14:ligatures w14:val="none"/>
        </w:rPr>
        <w:t xml:space="preserve"> (</w:t>
      </w:r>
      <w:r w:rsidRPr="00CA26B4">
        <w:rPr>
          <w:rFonts w:ascii="Times New Roman" w:eastAsia="Times New Roman" w:hAnsi="Times New Roman" w:cs="Times New Roman"/>
          <w:color w:val="000000"/>
          <w:kern w:val="0"/>
          <w:lang w:val="en-GB"/>
          <w14:ligatures w14:val="none"/>
        </w:rPr>
        <w:t>92</w:t>
      </w:r>
      <w:r w:rsidRPr="00CA26B4">
        <w:rPr>
          <w:rFonts w:ascii="Times New Roman" w:eastAsia="Times New Roman" w:hAnsi="Times New Roman" w:cs="Times New Roman"/>
          <w:color w:val="000000"/>
          <w:kern w:val="0"/>
          <w14:ligatures w14:val="none"/>
        </w:rPr>
        <w:t>.</w:t>
      </w:r>
      <w:r w:rsidRPr="00CA26B4">
        <w:rPr>
          <w:rFonts w:ascii="Times New Roman" w:eastAsia="Times New Roman" w:hAnsi="Times New Roman" w:cs="Times New Roman"/>
          <w:color w:val="000000"/>
          <w:kern w:val="0"/>
          <w:lang w:val="en-GB"/>
          <w14:ligatures w14:val="none"/>
        </w:rPr>
        <w:t>80</w:t>
      </w:r>
      <w:r w:rsidRPr="00CA26B4">
        <w:rPr>
          <w:rFonts w:ascii="Times New Roman" w:eastAsia="Arial" w:hAnsi="Times New Roman" w:cs="Times New Roman"/>
          <w:color w:val="0A0A0A"/>
          <w:kern w:val="0"/>
          <w:shd w:val="clear" w:color="auto" w:fill="FFFFFF"/>
          <w14:ligatures w14:val="none"/>
        </w:rPr>
        <w:t xml:space="preserve">%) indicates that after accounting for the number of predictors, the model still explains </w:t>
      </w:r>
      <w:r w:rsidRPr="00CA26B4">
        <w:rPr>
          <w:rFonts w:ascii="Times New Roman" w:eastAsia="Times New Roman" w:hAnsi="Times New Roman" w:cs="Times New Roman"/>
          <w:color w:val="000000"/>
          <w:kern w:val="0"/>
          <w:lang w:val="en-GB"/>
          <w14:ligatures w14:val="none"/>
        </w:rPr>
        <w:t>92</w:t>
      </w:r>
      <w:r w:rsidRPr="00CA26B4">
        <w:rPr>
          <w:rFonts w:ascii="Times New Roman" w:eastAsia="Times New Roman" w:hAnsi="Times New Roman" w:cs="Times New Roman"/>
          <w:color w:val="000000"/>
          <w:kern w:val="0"/>
          <w14:ligatures w14:val="none"/>
        </w:rPr>
        <w:t>.</w:t>
      </w:r>
      <w:r w:rsidRPr="00CA26B4">
        <w:rPr>
          <w:rFonts w:ascii="Times New Roman" w:eastAsia="Times New Roman" w:hAnsi="Times New Roman" w:cs="Times New Roman"/>
          <w:color w:val="000000"/>
          <w:kern w:val="0"/>
          <w:lang w:val="en-GB"/>
          <w14:ligatures w14:val="none"/>
        </w:rPr>
        <w:t>80</w:t>
      </w:r>
      <w:r w:rsidRPr="00CA26B4">
        <w:rPr>
          <w:rFonts w:ascii="Times New Roman" w:eastAsia="Arial" w:hAnsi="Times New Roman" w:cs="Times New Roman"/>
          <w:color w:val="0A0A0A"/>
          <w:kern w:val="0"/>
          <w:shd w:val="clear" w:color="auto" w:fill="FFFFFF"/>
          <w14:ligatures w14:val="none"/>
        </w:rPr>
        <w:t>% of the variation, confirming the high explanatory power of the model. Durbin–Watson Stats (</w:t>
      </w:r>
      <w:r w:rsidRPr="00CA26B4">
        <w:rPr>
          <w:rFonts w:ascii="Times New Roman" w:eastAsia="Times New Roman" w:hAnsi="Times New Roman" w:cs="Times New Roman"/>
          <w:color w:val="000000"/>
          <w:kern w:val="0"/>
          <w:lang w:val="en-GB"/>
          <w14:ligatures w14:val="none"/>
        </w:rPr>
        <w:t>2.2001</w:t>
      </w:r>
      <w:r w:rsidRPr="00CA26B4">
        <w:rPr>
          <w:rFonts w:ascii="Times New Roman" w:eastAsia="Times New Roman" w:hAnsi="Times New Roman" w:cs="Times New Roman"/>
          <w:color w:val="000000"/>
          <w:kern w:val="0"/>
          <w14:ligatures w14:val="none"/>
        </w:rPr>
        <w:t>)</w:t>
      </w:r>
      <w:r w:rsidRPr="00CA26B4">
        <w:rPr>
          <w:rFonts w:ascii="Times New Roman" w:eastAsia="Arial" w:hAnsi="Times New Roman" w:cs="Times New Roman"/>
          <w:color w:val="0A0A0A"/>
          <w:kern w:val="0"/>
          <w:shd w:val="clear" w:color="auto" w:fill="FFFFFF"/>
          <w14:ligatures w14:val="none"/>
        </w:rPr>
        <w:t xml:space="preserve"> which is close to 2 indicates that there is no significant autocorrelation between the residuals, validating the linear regression model. </w:t>
      </w:r>
      <w:proofErr w:type="gramStart"/>
      <w:r w:rsidRPr="00CA26B4">
        <w:rPr>
          <w:rFonts w:ascii="Times New Roman" w:eastAsia="Arial" w:hAnsi="Times New Roman" w:cs="Times New Roman"/>
          <w:color w:val="0A0A0A"/>
          <w:kern w:val="0"/>
          <w:shd w:val="clear" w:color="auto" w:fill="FFFFFF"/>
          <w14:ligatures w14:val="none"/>
        </w:rPr>
        <w:t>T</w:t>
      </w:r>
      <w:r w:rsidRPr="00CA26B4">
        <w:rPr>
          <w:rFonts w:ascii="Times New Roman" w:eastAsia="Arial" w:hAnsi="Times New Roman" w:cs="Times New Roman"/>
          <w:color w:val="0A0A0A"/>
          <w:kern w:val="0"/>
          <w:shd w:val="clear" w:color="auto" w:fill="FFFFFF"/>
          <w:lang w:eastAsia="zh-CN" w:bidi="ar"/>
          <w14:ligatures w14:val="none"/>
        </w:rPr>
        <w:t>herefore</w:t>
      </w:r>
      <w:proofErr w:type="gramEnd"/>
      <w:r w:rsidRPr="00CA26B4">
        <w:rPr>
          <w:rFonts w:ascii="Times New Roman" w:eastAsia="Arial" w:hAnsi="Times New Roman" w:cs="Times New Roman"/>
          <w:color w:val="0A0A0A"/>
          <w:kern w:val="0"/>
          <w:shd w:val="clear" w:color="auto" w:fill="FFFFFF"/>
          <w:lang w:eastAsia="zh-CN" w:bidi="ar"/>
          <w14:ligatures w14:val="none"/>
        </w:rPr>
        <w:t xml:space="preserve"> the null hypotheses</w:t>
      </w:r>
      <w:r w:rsidRPr="00CA26B4">
        <w:rPr>
          <w:rFonts w:ascii="Times New Roman" w:eastAsia="Arial" w:hAnsi="Times New Roman" w:cs="Times New Roman"/>
          <w:noProof/>
          <w:color w:val="0A0A0A"/>
          <w:kern w:val="0"/>
          <w:shd w:val="clear" w:color="auto" w:fill="FFFFFF"/>
          <w:lang w:val="en-GB" w:eastAsia="en-GB"/>
          <w14:ligatures w14:val="none"/>
        </w:rPr>
        <w:drawing>
          <wp:inline distT="0" distB="0" distL="114300" distR="114300" wp14:anchorId="670953E1" wp14:editId="6BE3CA1C">
            <wp:extent cx="9525" cy="9525"/>
            <wp:effectExtent l="0" t="0" r="0" b="0"/>
            <wp:docPr id="1648727379" name="Picture 3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descr="IMG_263"/>
                    <pic:cNvPicPr>
                      <a:picLocks noChangeAspect="1"/>
                    </pic:cNvPicPr>
                  </pic:nvPicPr>
                  <pic:blipFill>
                    <a:blip r:embed="rId21"/>
                    <a:stretch>
                      <a:fillRect/>
                    </a:stretch>
                  </pic:blipFill>
                  <pic:spPr>
                    <a:xfrm>
                      <a:off x="0" y="0"/>
                      <a:ext cx="9525" cy="9525"/>
                    </a:xfrm>
                    <a:prstGeom prst="rect">
                      <a:avLst/>
                    </a:prstGeom>
                    <a:noFill/>
                    <a:ln w="9525">
                      <a:noFill/>
                    </a:ln>
                  </pic:spPr>
                </pic:pic>
              </a:graphicData>
            </a:graphic>
          </wp:inline>
        </w:drawing>
      </w:r>
      <w:r w:rsidRPr="00CA26B4">
        <w:rPr>
          <w:rFonts w:ascii="Times New Roman" w:eastAsia="Arial" w:hAnsi="Times New Roman" w:cs="Times New Roman"/>
          <w:color w:val="0A0A0A"/>
          <w:kern w:val="0"/>
          <w:shd w:val="clear" w:color="auto" w:fill="FFFFFF"/>
          <w:lang w:eastAsia="zh-CN" w:bidi="ar"/>
          <w14:ligatures w14:val="none"/>
        </w:rPr>
        <w:t>”</w:t>
      </w:r>
      <w:r w:rsidRPr="00CA26B4">
        <w:rPr>
          <w:rFonts w:ascii="Times New Roman" w:eastAsia="Arial" w:hAnsi="Times New Roman" w:cs="Times New Roman"/>
          <w:color w:val="0A0A0A"/>
          <w:kern w:val="0"/>
          <w:shd w:val="clear" w:color="auto" w:fill="FFFFFF"/>
          <w14:ligatures w14:val="none"/>
        </w:rPr>
        <w:t xml:space="preserve">There is no significant effect of real-time accounting on operational </w:t>
      </w:r>
      <w:proofErr w:type="gramStart"/>
      <w:r w:rsidRPr="00CA26B4">
        <w:rPr>
          <w:rFonts w:ascii="Times New Roman" w:eastAsia="Arial" w:hAnsi="Times New Roman" w:cs="Times New Roman"/>
          <w:color w:val="0A0A0A"/>
          <w:kern w:val="0"/>
          <w:shd w:val="clear" w:color="auto" w:fill="FFFFFF"/>
          <w14:ligatures w14:val="none"/>
        </w:rPr>
        <w:t>efficiency ”</w:t>
      </w:r>
      <w:proofErr w:type="gramEnd"/>
      <w:r w:rsidRPr="00CA26B4">
        <w:rPr>
          <w:rFonts w:ascii="Times New Roman" w:eastAsia="Arial" w:hAnsi="Times New Roman" w:cs="Times New Roman"/>
          <w:color w:val="0A0A0A"/>
          <w:kern w:val="0"/>
          <w:shd w:val="clear" w:color="auto" w:fill="FFFFFF"/>
          <w14:ligatures w14:val="none"/>
        </w:rPr>
        <w:t xml:space="preserve"> </w:t>
      </w:r>
      <w:r w:rsidRPr="00CA26B4">
        <w:rPr>
          <w:rFonts w:ascii="Times New Roman" w:eastAsia="Arial" w:hAnsi="Times New Roman" w:cs="Times New Roman"/>
          <w:color w:val="0A0A0A"/>
          <w:kern w:val="0"/>
          <w:shd w:val="clear" w:color="auto" w:fill="FFFFFF"/>
          <w:lang w:eastAsia="zh-CN" w:bidi="ar"/>
          <w14:ligatures w14:val="none"/>
        </w:rPr>
        <w:t xml:space="preserve">is rejected. This is because the </w:t>
      </w:r>
      <w:r w:rsidRPr="00CA26B4">
        <w:rPr>
          <w:rFonts w:ascii="Times New Roman" w:eastAsia="Arial" w:hAnsi="Times New Roman" w:cs="Times New Roman"/>
          <w:color w:val="0A0A0A"/>
          <w:kern w:val="0"/>
          <w:shd w:val="clear" w:color="auto" w:fill="FFFFFF"/>
          <w14:ligatures w14:val="none"/>
        </w:rPr>
        <w:t>p-value for the Real-Time Accounting (RTA) variable of 0.0005 is less than 0.05. Thus, it is concluded that there is a statistically significant, positive effect of Real-Time Accounting on Operational Efficiency. Based on the coefficient, an increase in RTA adoption is associated with an increase in OE.</w:t>
      </w:r>
    </w:p>
    <w:p w14:paraId="46133A1C"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CONCLUSIONS AND RECOMMENDATIONS</w:t>
      </w:r>
    </w:p>
    <w:p w14:paraId="6AA90E46"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 xml:space="preserve">Conclusions </w:t>
      </w:r>
    </w:p>
    <w:p w14:paraId="729585EB"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kern w:val="0"/>
          <w14:ligatures w14:val="none"/>
        </w:rPr>
        <w:t xml:space="preserve">The study assessed </w:t>
      </w:r>
      <w:r w:rsidRPr="00CA26B4">
        <w:rPr>
          <w:rFonts w:ascii="Times New Roman" w:eastAsia="Calibri" w:hAnsi="Times New Roman" w:cs="Times New Roman"/>
          <w:kern w:val="0"/>
          <w14:ligatures w14:val="none"/>
        </w:rPr>
        <w:t xml:space="preserve">Blockchain Accounting Practices and Digital Enterprise Performance of Online Marketing Agencies in Port Harcourt. </w:t>
      </w:r>
      <w:r w:rsidRPr="00CA26B4">
        <w:rPr>
          <w:rFonts w:ascii="Times New Roman" w:eastAsia="Times New Roman" w:hAnsi="Times New Roman" w:cs="Times New Roman"/>
          <w:kern w:val="0"/>
          <w14:ligatures w14:val="none"/>
        </w:rPr>
        <w:t xml:space="preserve">The descriptive survey study research design was adapted to elicit information from 20 Officials </w:t>
      </w:r>
      <w:r w:rsidRPr="00CA26B4">
        <w:rPr>
          <w:rFonts w:ascii="Times New Roman" w:eastAsia="Calibri" w:hAnsi="Times New Roman" w:cs="Times New Roman"/>
          <w:kern w:val="0"/>
          <w14:ligatures w14:val="none"/>
        </w:rPr>
        <w:t>of Online Marketing Agencies in Port Harcourt</w:t>
      </w:r>
      <w:r w:rsidRPr="00CA26B4">
        <w:rPr>
          <w:rFonts w:ascii="Times New Roman" w:eastAsia="Times New Roman" w:hAnsi="Times New Roman" w:cs="Times New Roman"/>
          <w:kern w:val="0"/>
          <w14:ligatures w14:val="none"/>
        </w:rPr>
        <w:t xml:space="preserve">. The objectives of the study were to </w:t>
      </w:r>
      <w:r w:rsidRPr="00CA26B4">
        <w:rPr>
          <w:rFonts w:ascii="Times New Roman" w:eastAsia="Times New Roman" w:hAnsi="Times New Roman" w:cs="Times New Roman"/>
          <w:color w:val="000000"/>
          <w:kern w:val="0"/>
          <w14:ligatures w14:val="none"/>
        </w:rPr>
        <w:t xml:space="preserve">evaluate </w:t>
      </w:r>
      <w:r w:rsidRPr="00CA26B4">
        <w:rPr>
          <w:rFonts w:ascii="Times New Roman" w:eastAsia="Calibri" w:hAnsi="Times New Roman" w:cs="Times New Roman"/>
          <w:bCs/>
          <w:kern w:val="0"/>
          <w14:ligatures w14:val="none"/>
        </w:rPr>
        <w:t>to determine the effect of</w:t>
      </w:r>
      <w:r w:rsidRPr="00CA26B4">
        <w:rPr>
          <w:rFonts w:ascii="Times New Roman" w:eastAsia="Calibri" w:hAnsi="Times New Roman" w:cs="Times New Roman"/>
          <w:b/>
          <w:bCs/>
          <w:kern w:val="0"/>
          <w14:ligatures w14:val="none"/>
        </w:rPr>
        <w:t xml:space="preserve"> </w:t>
      </w:r>
      <w:r w:rsidRPr="00CA26B4">
        <w:rPr>
          <w:rFonts w:ascii="Times New Roman" w:eastAsia="Calibri" w:hAnsi="Times New Roman" w:cs="Times New Roman"/>
          <w:kern w:val="0"/>
          <w14:ligatures w14:val="none"/>
        </w:rPr>
        <w:t>triple-entry accounting on digital return on investment, and to ascertain the effect of real-time accounting on operational efficiency</w:t>
      </w:r>
      <w:r w:rsidRPr="00CA26B4">
        <w:rPr>
          <w:rFonts w:ascii="Times New Roman" w:eastAsia="Times New Roman" w:hAnsi="Times New Roman" w:cs="Times New Roman"/>
          <w:kern w:val="0"/>
          <w14:ligatures w14:val="none"/>
        </w:rPr>
        <w:t xml:space="preserve">. Two research questions and two hypotheses were analyzed in the study. Ordinary least square regression analysis was used to test the hypotheses. Results indicated that </w:t>
      </w:r>
      <w:r w:rsidRPr="00CA26B4">
        <w:rPr>
          <w:rFonts w:ascii="Times New Roman" w:eastAsia="Arial" w:hAnsi="Times New Roman" w:cs="Times New Roman"/>
          <w:color w:val="0A0A0A"/>
          <w:kern w:val="0"/>
          <w:shd w:val="clear" w:color="auto" w:fill="FFFFFF"/>
          <w14:ligatures w14:val="none"/>
        </w:rPr>
        <w:t xml:space="preserve">Triple-Entry Accounting significantly enhances Digital Return on Investment, and Real-Time Accounting significantly enhances Operational Efficiency. </w:t>
      </w:r>
      <w:r w:rsidRPr="00CA26B4">
        <w:rPr>
          <w:rFonts w:ascii="Times New Roman" w:eastAsia="Times New Roman" w:hAnsi="Times New Roman" w:cs="Times New Roman"/>
          <w:color w:val="0A0A0A"/>
          <w:kern w:val="0"/>
          <w:shd w:val="clear" w:color="auto" w:fill="FFFFFF"/>
          <w14:ligatures w14:val="none"/>
        </w:rPr>
        <w:t xml:space="preserve">Therefore, the </w:t>
      </w:r>
      <w:proofErr w:type="gramStart"/>
      <w:r w:rsidRPr="00CA26B4">
        <w:rPr>
          <w:rFonts w:ascii="Times New Roman" w:eastAsia="Times New Roman" w:hAnsi="Times New Roman" w:cs="Times New Roman"/>
          <w:color w:val="0A0A0A"/>
          <w:kern w:val="0"/>
          <w:shd w:val="clear" w:color="auto" w:fill="FFFFFF"/>
          <w14:ligatures w14:val="none"/>
        </w:rPr>
        <w:t>study  concludes</w:t>
      </w:r>
      <w:proofErr w:type="gramEnd"/>
      <w:r w:rsidRPr="00CA26B4">
        <w:rPr>
          <w:rFonts w:ascii="Times New Roman" w:eastAsia="Times New Roman" w:hAnsi="Times New Roman" w:cs="Times New Roman"/>
          <w:color w:val="0A0A0A"/>
          <w:kern w:val="0"/>
          <w:shd w:val="clear" w:color="auto" w:fill="FFFFFF"/>
          <w14:ligatures w14:val="none"/>
        </w:rPr>
        <w:t xml:space="preserve"> that </w:t>
      </w:r>
      <w:r w:rsidRPr="00CA26B4">
        <w:rPr>
          <w:rFonts w:ascii="Times New Roman" w:eastAsia="Arial" w:hAnsi="Times New Roman" w:cs="Times New Roman"/>
          <w:color w:val="0A0A0A"/>
          <w:kern w:val="0"/>
          <w:shd w:val="clear" w:color="auto" w:fill="FFFFFF"/>
          <w14:ligatures w14:val="none"/>
        </w:rPr>
        <w:t>there is a statistically significant, positive effect of Triple-Entry Accounting on Digital Return on Investment, and there is a statistically significant, positive effect of Real-Time Accounting on Operational Efficiency</w:t>
      </w:r>
    </w:p>
    <w:p w14:paraId="6D3F7730"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Recommendations</w:t>
      </w:r>
    </w:p>
    <w:p w14:paraId="36CC5F27"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Based on the findings of this study, it is therefore recommended that:</w:t>
      </w:r>
    </w:p>
    <w:p w14:paraId="596B389A" w14:textId="77777777" w:rsidR="00CA26B4" w:rsidRPr="00CA26B4" w:rsidRDefault="00CA26B4" w:rsidP="002C3670">
      <w:pPr>
        <w:numPr>
          <w:ilvl w:val="0"/>
          <w:numId w:val="66"/>
        </w:num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Calibri" w:hAnsi="Times New Roman" w:cs="Times New Roman"/>
          <w:kern w:val="0"/>
          <w14:ligatures w14:val="none"/>
        </w:rPr>
        <w:t>Online Marketing Agencies in Port Harcourt</w:t>
      </w:r>
      <w:r w:rsidRPr="00CA26B4">
        <w:rPr>
          <w:rFonts w:ascii="Times New Roman" w:eastAsia="Times New Roman" w:hAnsi="Times New Roman" w:cs="Times New Roman"/>
          <w:kern w:val="0"/>
          <w14:ligatures w14:val="none"/>
        </w:rPr>
        <w:t xml:space="preserve"> </w:t>
      </w:r>
      <w:proofErr w:type="gramStart"/>
      <w:r w:rsidRPr="00CA26B4">
        <w:rPr>
          <w:rFonts w:ascii="Times New Roman" w:eastAsia="Times New Roman" w:hAnsi="Times New Roman" w:cs="Times New Roman"/>
          <w:kern w:val="0"/>
          <w14:ligatures w14:val="none"/>
        </w:rPr>
        <w:t>should  utilize</w:t>
      </w:r>
      <w:proofErr w:type="gramEnd"/>
      <w:r w:rsidRPr="00CA26B4">
        <w:rPr>
          <w:rFonts w:ascii="Times New Roman" w:eastAsia="Times New Roman" w:hAnsi="Times New Roman" w:cs="Times New Roman"/>
          <w:kern w:val="0"/>
          <w14:ligatures w14:val="none"/>
        </w:rPr>
        <w:t xml:space="preserve"> triple-entry </w:t>
      </w:r>
      <w:proofErr w:type="gramStart"/>
      <w:r w:rsidRPr="00CA26B4">
        <w:rPr>
          <w:rFonts w:ascii="Times New Roman" w:eastAsia="Times New Roman" w:hAnsi="Times New Roman" w:cs="Times New Roman"/>
          <w:kern w:val="0"/>
          <w14:ligatures w14:val="none"/>
        </w:rPr>
        <w:t>accounting  in</w:t>
      </w:r>
      <w:proofErr w:type="gramEnd"/>
      <w:r w:rsidRPr="00CA26B4">
        <w:rPr>
          <w:rFonts w:ascii="Times New Roman" w:eastAsia="Times New Roman" w:hAnsi="Times New Roman" w:cs="Times New Roman"/>
          <w:kern w:val="0"/>
          <w14:ligatures w14:val="none"/>
        </w:rPr>
        <w:t xml:space="preserve"> order </w:t>
      </w:r>
      <w:proofErr w:type="gramStart"/>
      <w:r w:rsidRPr="00CA26B4">
        <w:rPr>
          <w:rFonts w:ascii="Times New Roman" w:eastAsia="Times New Roman" w:hAnsi="Times New Roman" w:cs="Times New Roman"/>
          <w:kern w:val="0"/>
          <w14:ligatures w14:val="none"/>
        </w:rPr>
        <w:t xml:space="preserve">to </w:t>
      </w:r>
      <w:r w:rsidRPr="00CA26B4">
        <w:rPr>
          <w:rFonts w:ascii="Times New Roman" w:eastAsia="Arial" w:hAnsi="Times New Roman" w:cs="Times New Roman"/>
          <w:color w:val="0A0A0A"/>
          <w:kern w:val="0"/>
          <w:shd w:val="clear" w:color="auto" w:fill="FFFFFF"/>
          <w14:ligatures w14:val="none"/>
        </w:rPr>
        <w:t> provide</w:t>
      </w:r>
      <w:proofErr w:type="gramEnd"/>
      <w:r w:rsidRPr="00CA26B4">
        <w:rPr>
          <w:rFonts w:ascii="Times New Roman" w:eastAsia="Arial" w:hAnsi="Times New Roman" w:cs="Times New Roman"/>
          <w:color w:val="0A0A0A"/>
          <w:kern w:val="0"/>
          <w:shd w:val="clear" w:color="auto" w:fill="FFFFFF"/>
          <w14:ligatures w14:val="none"/>
        </w:rPr>
        <w:t xml:space="preserve"> security, transparency, and efficiency share business records </w:t>
      </w:r>
      <w:proofErr w:type="gramStart"/>
      <w:r w:rsidRPr="00CA26B4">
        <w:rPr>
          <w:rFonts w:ascii="Times New Roman" w:eastAsia="Arial" w:hAnsi="Times New Roman" w:cs="Times New Roman"/>
          <w:color w:val="0A0A0A"/>
          <w:kern w:val="0"/>
          <w:shd w:val="clear" w:color="auto" w:fill="FFFFFF"/>
          <w14:ligatures w14:val="none"/>
        </w:rPr>
        <w:t>through  blockchain</w:t>
      </w:r>
      <w:proofErr w:type="gramEnd"/>
      <w:r w:rsidRPr="00CA26B4">
        <w:rPr>
          <w:rFonts w:ascii="Times New Roman" w:eastAsia="Arial" w:hAnsi="Times New Roman" w:cs="Times New Roman"/>
          <w:color w:val="0A0A0A"/>
          <w:kern w:val="0"/>
          <w:shd w:val="clear" w:color="auto" w:fill="FFFFFF"/>
          <w14:ligatures w14:val="none"/>
        </w:rPr>
        <w:t> </w:t>
      </w:r>
    </w:p>
    <w:p w14:paraId="01675932" w14:textId="77777777" w:rsidR="00CA26B4" w:rsidRPr="00CA26B4" w:rsidRDefault="00CA26B4" w:rsidP="002C3670">
      <w:pPr>
        <w:numPr>
          <w:ilvl w:val="0"/>
          <w:numId w:val="66"/>
        </w:num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Calibri" w:hAnsi="Times New Roman" w:cs="Times New Roman"/>
          <w:kern w:val="0"/>
          <w14:ligatures w14:val="none"/>
        </w:rPr>
        <w:t>Online Marketing Agencies in Port Harcourt</w:t>
      </w:r>
      <w:r w:rsidRPr="00CA26B4">
        <w:rPr>
          <w:rFonts w:ascii="Times New Roman" w:eastAsia="Times New Roman" w:hAnsi="Times New Roman" w:cs="Times New Roman"/>
          <w:kern w:val="0"/>
          <w14:ligatures w14:val="none"/>
        </w:rPr>
        <w:t xml:space="preserve"> should use real-time accounting in order to </w:t>
      </w:r>
      <w:r w:rsidRPr="00CA26B4">
        <w:rPr>
          <w:rFonts w:ascii="Times New Roman" w:eastAsia="SimSun" w:hAnsi="Times New Roman" w:cs="Times New Roman"/>
          <w:kern w:val="0"/>
          <w14:ligatures w14:val="none"/>
        </w:rPr>
        <w:t>it provide an immediate, accurate, and automated view of organizational financial health through blockchain</w:t>
      </w:r>
    </w:p>
    <w:p w14:paraId="74D58031"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Limitations of the Study</w:t>
      </w:r>
    </w:p>
    <w:p w14:paraId="3DA3DE60"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The present study can be useful for policy formulation, policy implementation, and decision-making in the Nigerian digital business landscape. The application of the findings of this study outside Nigeria may not produce the same results.</w:t>
      </w:r>
    </w:p>
    <w:p w14:paraId="5296D095"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b/>
          <w:kern w:val="0"/>
          <w14:ligatures w14:val="none"/>
        </w:rPr>
      </w:pPr>
      <w:r w:rsidRPr="00CA26B4">
        <w:rPr>
          <w:rFonts w:ascii="Times New Roman" w:eastAsia="Times New Roman" w:hAnsi="Times New Roman" w:cs="Times New Roman"/>
          <w:b/>
          <w:kern w:val="0"/>
          <w14:ligatures w14:val="none"/>
        </w:rPr>
        <w:t>Contribution to Knowledge</w:t>
      </w:r>
    </w:p>
    <w:p w14:paraId="7ECCB772"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The need for digital tools and online business </w:t>
      </w:r>
      <w:proofErr w:type="gramStart"/>
      <w:r w:rsidRPr="00CA26B4">
        <w:rPr>
          <w:rFonts w:ascii="Times New Roman" w:eastAsia="Times New Roman" w:hAnsi="Times New Roman" w:cs="Times New Roman"/>
          <w:kern w:val="0"/>
          <w14:ligatures w14:val="none"/>
        </w:rPr>
        <w:t>are</w:t>
      </w:r>
      <w:proofErr w:type="gramEnd"/>
      <w:r w:rsidRPr="00CA26B4">
        <w:rPr>
          <w:rFonts w:ascii="Times New Roman" w:eastAsia="Times New Roman" w:hAnsi="Times New Roman" w:cs="Times New Roman"/>
          <w:kern w:val="0"/>
          <w14:ligatures w14:val="none"/>
        </w:rPr>
        <w:t xml:space="preserve"> relevant in today’s digital economy, which is greatly influenced by globalization.  There is the need for countries to be focused on providing strategies for promoting digital enterprise formation by exploring digital tools for effective business enhancement.</w:t>
      </w:r>
    </w:p>
    <w:p w14:paraId="0EA69005" w14:textId="77777777" w:rsidR="00CA26B4" w:rsidRPr="00CA26B4" w:rsidRDefault="00CA26B4" w:rsidP="002C3670">
      <w:pPr>
        <w:spacing w:after="0" w:line="240" w:lineRule="auto"/>
        <w:jc w:val="both"/>
        <w:rPr>
          <w:rFonts w:ascii="Times New Roman" w:eastAsia="Calibri" w:hAnsi="Times New Roman" w:cs="Times New Roman"/>
          <w:b/>
          <w:bCs/>
          <w:color w:val="0A0A0A"/>
          <w:kern w:val="0"/>
          <w:shd w:val="clear" w:color="auto" w:fill="FFFFFF"/>
          <w14:ligatures w14:val="none"/>
        </w:rPr>
      </w:pPr>
    </w:p>
    <w:p w14:paraId="78573923" w14:textId="77777777" w:rsidR="002C3670" w:rsidRDefault="002C3670" w:rsidP="002C3670">
      <w:pPr>
        <w:spacing w:after="0" w:line="240" w:lineRule="auto"/>
        <w:jc w:val="both"/>
        <w:rPr>
          <w:rFonts w:ascii="Times New Roman" w:eastAsia="Calibri" w:hAnsi="Times New Roman" w:cs="Times New Roman"/>
          <w:b/>
          <w:bCs/>
          <w:color w:val="0A0A0A"/>
          <w:kern w:val="0"/>
          <w:shd w:val="clear" w:color="auto" w:fill="FFFFFF"/>
          <w14:ligatures w14:val="none"/>
        </w:rPr>
      </w:pPr>
    </w:p>
    <w:p w14:paraId="0C5F09AC" w14:textId="77777777" w:rsidR="002C3670" w:rsidRDefault="002C3670" w:rsidP="002C3670">
      <w:pPr>
        <w:spacing w:after="0" w:line="240" w:lineRule="auto"/>
        <w:jc w:val="both"/>
        <w:rPr>
          <w:rFonts w:ascii="Times New Roman" w:eastAsia="Calibri" w:hAnsi="Times New Roman" w:cs="Times New Roman"/>
          <w:b/>
          <w:bCs/>
          <w:color w:val="0A0A0A"/>
          <w:kern w:val="0"/>
          <w:shd w:val="clear" w:color="auto" w:fill="FFFFFF"/>
          <w14:ligatures w14:val="none"/>
        </w:rPr>
      </w:pPr>
    </w:p>
    <w:p w14:paraId="4858B307" w14:textId="77777777" w:rsidR="002C3670" w:rsidRDefault="002C3670" w:rsidP="002C3670">
      <w:pPr>
        <w:spacing w:after="0" w:line="240" w:lineRule="auto"/>
        <w:jc w:val="both"/>
        <w:rPr>
          <w:rFonts w:ascii="Times New Roman" w:eastAsia="Calibri" w:hAnsi="Times New Roman" w:cs="Times New Roman"/>
          <w:b/>
          <w:bCs/>
          <w:color w:val="0A0A0A"/>
          <w:kern w:val="0"/>
          <w:shd w:val="clear" w:color="auto" w:fill="FFFFFF"/>
          <w14:ligatures w14:val="none"/>
        </w:rPr>
      </w:pPr>
    </w:p>
    <w:p w14:paraId="26EFD02F" w14:textId="3502D2AB" w:rsidR="00CA26B4" w:rsidRPr="00CA26B4" w:rsidRDefault="00CA26B4" w:rsidP="002C3670">
      <w:pPr>
        <w:spacing w:after="0" w:line="240" w:lineRule="auto"/>
        <w:jc w:val="both"/>
        <w:rPr>
          <w:rFonts w:ascii="Times New Roman" w:eastAsia="Calibri" w:hAnsi="Times New Roman" w:cs="Times New Roman"/>
          <w:b/>
          <w:bCs/>
          <w:color w:val="0A0A0A"/>
          <w:kern w:val="0"/>
          <w:shd w:val="clear" w:color="auto" w:fill="FFFFFF"/>
          <w14:ligatures w14:val="none"/>
        </w:rPr>
      </w:pPr>
      <w:r w:rsidRPr="00CA26B4">
        <w:rPr>
          <w:rFonts w:ascii="Times New Roman" w:eastAsia="Calibri" w:hAnsi="Times New Roman" w:cs="Times New Roman"/>
          <w:b/>
          <w:bCs/>
          <w:color w:val="0A0A0A"/>
          <w:kern w:val="0"/>
          <w:shd w:val="clear" w:color="auto" w:fill="FFFFFF"/>
          <w14:ligatures w14:val="none"/>
        </w:rPr>
        <w:lastRenderedPageBreak/>
        <w:t>REFERENCES</w:t>
      </w:r>
    </w:p>
    <w:p w14:paraId="59124FAC" w14:textId="77777777" w:rsidR="00CA26B4" w:rsidRPr="00CA26B4" w:rsidRDefault="00CA26B4" w:rsidP="002C3670">
      <w:pPr>
        <w:spacing w:after="0" w:line="240" w:lineRule="auto"/>
        <w:jc w:val="both"/>
        <w:rPr>
          <w:rFonts w:ascii="Times New Roman" w:eastAsia="Calibri" w:hAnsi="Times New Roman" w:cs="Times New Roman"/>
          <w:b/>
          <w:bCs/>
          <w:color w:val="0A0A0A"/>
          <w:kern w:val="0"/>
          <w:shd w:val="clear" w:color="auto" w:fill="FFFFFF"/>
          <w14:ligatures w14:val="none"/>
        </w:rPr>
      </w:pPr>
    </w:p>
    <w:p w14:paraId="2E8766F5" w14:textId="77777777" w:rsidR="00CA26B4" w:rsidRPr="00CA26B4" w:rsidRDefault="00CA26B4" w:rsidP="002C3670">
      <w:pPr>
        <w:spacing w:after="0" w:line="240" w:lineRule="auto"/>
        <w:jc w:val="both"/>
        <w:rPr>
          <w:rFonts w:ascii="Times New Roman" w:eastAsia="Arial" w:hAnsi="Times New Roman" w:cs="Times New Roman"/>
          <w:color w:val="0A0A0A"/>
          <w:kern w:val="0"/>
          <w:shd w:val="clear" w:color="auto" w:fill="FFFFFF"/>
          <w14:ligatures w14:val="none"/>
        </w:rPr>
      </w:pPr>
      <w:r w:rsidRPr="00CA26B4">
        <w:rPr>
          <w:rFonts w:ascii="Times New Roman" w:eastAsia="Arial" w:hAnsi="Times New Roman" w:cs="Times New Roman"/>
          <w:color w:val="0A0A0A"/>
          <w:kern w:val="0"/>
          <w:shd w:val="clear" w:color="auto" w:fill="FFFFFF"/>
          <w14:ligatures w14:val="none"/>
        </w:rPr>
        <w:t> Andrew, G. (2024). Impact of Digital Transformation on Operational Efficiency and</w:t>
      </w:r>
    </w:p>
    <w:p w14:paraId="1B8586F1" w14:textId="77777777" w:rsidR="00CA26B4" w:rsidRPr="00CA26B4" w:rsidRDefault="00CA26B4" w:rsidP="002C3670">
      <w:pPr>
        <w:spacing w:after="0" w:line="240" w:lineRule="auto"/>
        <w:ind w:firstLine="720"/>
        <w:jc w:val="both"/>
        <w:rPr>
          <w:rFonts w:ascii="Times New Roman" w:eastAsia="Arial" w:hAnsi="Times New Roman" w:cs="Times New Roman"/>
          <w:color w:val="0A0A0A"/>
          <w:kern w:val="0"/>
          <w:shd w:val="clear" w:color="auto" w:fill="FFFFFF"/>
          <w14:ligatures w14:val="none"/>
        </w:rPr>
      </w:pPr>
      <w:r w:rsidRPr="00CA26B4">
        <w:rPr>
          <w:rFonts w:ascii="Times New Roman" w:eastAsia="Arial" w:hAnsi="Times New Roman" w:cs="Times New Roman"/>
          <w:color w:val="0A0A0A"/>
          <w:kern w:val="0"/>
          <w:shd w:val="clear" w:color="auto" w:fill="FFFFFF"/>
          <w14:ligatures w14:val="none"/>
        </w:rPr>
        <w:t xml:space="preserve"> Financial Performance in Insurance Industry in Nigeria. </w:t>
      </w:r>
      <w:r w:rsidRPr="00CA26B4">
        <w:rPr>
          <w:rFonts w:ascii="Times New Roman" w:eastAsia="Arial" w:hAnsi="Times New Roman" w:cs="Times New Roman"/>
          <w:i/>
          <w:iCs/>
          <w:color w:val="0A0A0A"/>
          <w:kern w:val="0"/>
          <w:shd w:val="clear" w:color="auto" w:fill="FFFFFF"/>
          <w14:ligatures w14:val="none"/>
        </w:rPr>
        <w:t>ResearchGate</w:t>
      </w:r>
      <w:r w:rsidRPr="00CA26B4">
        <w:rPr>
          <w:rFonts w:ascii="Times New Roman" w:eastAsia="Arial" w:hAnsi="Times New Roman" w:cs="Times New Roman"/>
          <w:color w:val="0A0A0A"/>
          <w:kern w:val="0"/>
          <w:shd w:val="clear" w:color="auto" w:fill="FFFFFF"/>
          <w14:ligatures w14:val="none"/>
        </w:rPr>
        <w:t>.</w:t>
      </w:r>
    </w:p>
    <w:p w14:paraId="6C969F65" w14:textId="77777777" w:rsidR="00CA26B4" w:rsidRPr="00CA26B4" w:rsidRDefault="00CA26B4" w:rsidP="002C3670">
      <w:pPr>
        <w:spacing w:after="0" w:line="240" w:lineRule="auto"/>
        <w:jc w:val="both"/>
        <w:rPr>
          <w:rFonts w:ascii="Times New Roman" w:eastAsia="Arial" w:hAnsi="Times New Roman" w:cs="Times New Roman"/>
          <w:b/>
          <w:bCs/>
          <w:color w:val="0A0A0A"/>
          <w:kern w:val="0"/>
          <w:shd w:val="clear" w:color="auto" w:fill="FFFFFF"/>
          <w14:ligatures w14:val="none"/>
        </w:rPr>
      </w:pPr>
    </w:p>
    <w:p w14:paraId="696DC958" w14:textId="77777777" w:rsidR="00CA26B4" w:rsidRPr="00CA26B4" w:rsidRDefault="00CA26B4" w:rsidP="002C3670">
      <w:pPr>
        <w:spacing w:after="0" w:line="240" w:lineRule="auto"/>
        <w:jc w:val="both"/>
        <w:rPr>
          <w:rFonts w:ascii="Times New Roman" w:eastAsia="Calibri" w:hAnsi="Times New Roman" w:cs="Times New Roman"/>
          <w:color w:val="000000"/>
          <w:kern w:val="0"/>
          <w14:ligatures w14:val="none"/>
        </w:rPr>
      </w:pPr>
      <w:proofErr w:type="spellStart"/>
      <w:proofErr w:type="gramStart"/>
      <w:r w:rsidRPr="00CA26B4">
        <w:rPr>
          <w:rFonts w:ascii="Times New Roman" w:eastAsia="SimSun" w:hAnsi="Times New Roman" w:cs="Times New Roman"/>
          <w:color w:val="000000"/>
          <w:kern w:val="0"/>
          <w14:ligatures w14:val="none"/>
        </w:rPr>
        <w:t>Anh,D</w:t>
      </w:r>
      <w:proofErr w:type="spellEnd"/>
      <w:r w:rsidRPr="00CA26B4">
        <w:rPr>
          <w:rFonts w:ascii="Times New Roman" w:eastAsia="SimSun" w:hAnsi="Times New Roman" w:cs="Times New Roman"/>
          <w:color w:val="000000"/>
          <w:kern w:val="0"/>
          <w14:ligatures w14:val="none"/>
        </w:rPr>
        <w:t>.</w:t>
      </w:r>
      <w:proofErr w:type="gramEnd"/>
      <w:r w:rsidRPr="00CA26B4">
        <w:rPr>
          <w:rFonts w:ascii="Times New Roman" w:eastAsia="SimSun" w:hAnsi="Times New Roman" w:cs="Times New Roman"/>
          <w:color w:val="000000"/>
          <w:kern w:val="0"/>
          <w14:ligatures w14:val="none"/>
        </w:rPr>
        <w:t xml:space="preserve"> T. V., &amp; Loi, N. T. (2025</w:t>
      </w:r>
      <w:proofErr w:type="gramStart"/>
      <w:r w:rsidRPr="00CA26B4">
        <w:rPr>
          <w:rFonts w:ascii="Times New Roman" w:eastAsia="SimSun" w:hAnsi="Times New Roman" w:cs="Times New Roman"/>
          <w:color w:val="000000"/>
          <w:kern w:val="0"/>
          <w14:ligatures w14:val="none"/>
        </w:rPr>
        <w:t>).</w:t>
      </w:r>
      <w:r w:rsidRPr="00CA26B4">
        <w:rPr>
          <w:rFonts w:ascii="Times New Roman" w:eastAsia="Calibri" w:hAnsi="Times New Roman" w:cs="Times New Roman"/>
          <w:color w:val="000000"/>
          <w:kern w:val="0"/>
          <w14:ligatures w14:val="none"/>
        </w:rPr>
        <w:t>Blockchain</w:t>
      </w:r>
      <w:proofErr w:type="gramEnd"/>
      <w:r w:rsidRPr="00CA26B4">
        <w:rPr>
          <w:rFonts w:ascii="Times New Roman" w:eastAsia="Calibri" w:hAnsi="Times New Roman" w:cs="Times New Roman"/>
          <w:color w:val="000000"/>
          <w:kern w:val="0"/>
          <w14:ligatures w14:val="none"/>
        </w:rPr>
        <w:t xml:space="preserve"> and the Future of Sustainable Corporate</w:t>
      </w:r>
    </w:p>
    <w:p w14:paraId="33D2254A" w14:textId="77777777" w:rsidR="00CA26B4" w:rsidRPr="00CA26B4" w:rsidRDefault="00CA26B4" w:rsidP="002C3670">
      <w:pPr>
        <w:spacing w:after="0" w:line="240" w:lineRule="auto"/>
        <w:ind w:firstLine="720"/>
        <w:jc w:val="both"/>
        <w:rPr>
          <w:rFonts w:ascii="Times New Roman" w:eastAsia="Calibri" w:hAnsi="Times New Roman" w:cs="Times New Roman"/>
          <w:color w:val="000000"/>
          <w:kern w:val="0"/>
          <w14:ligatures w14:val="none"/>
        </w:rPr>
      </w:pPr>
      <w:r w:rsidRPr="00CA26B4">
        <w:rPr>
          <w:rFonts w:ascii="Times New Roman" w:eastAsia="Calibri" w:hAnsi="Times New Roman" w:cs="Times New Roman"/>
          <w:color w:val="000000"/>
          <w:kern w:val="0"/>
          <w14:ligatures w14:val="none"/>
        </w:rPr>
        <w:t xml:space="preserve"> Accounting: A Behavioral Perspective from Vietnam’s Manufacturing Industry, </w:t>
      </w:r>
      <w:r w:rsidRPr="00CA26B4">
        <w:rPr>
          <w:rFonts w:ascii="Times New Roman" w:eastAsia="Calibri" w:hAnsi="Times New Roman" w:cs="Times New Roman"/>
          <w:color w:val="000000"/>
          <w:kern w:val="0"/>
          <w14:ligatures w14:val="none"/>
        </w:rPr>
        <w:tab/>
      </w:r>
      <w:r w:rsidRPr="00CA26B4">
        <w:rPr>
          <w:rFonts w:ascii="Times New Roman" w:eastAsia="Calibri" w:hAnsi="Times New Roman" w:cs="Times New Roman"/>
          <w:color w:val="000000"/>
          <w:kern w:val="0"/>
          <w14:ligatures w14:val="none"/>
        </w:rPr>
        <w:tab/>
      </w:r>
      <w:r w:rsidRPr="00CA26B4">
        <w:rPr>
          <w:rFonts w:ascii="Times New Roman" w:eastAsia="SimSun" w:hAnsi="Times New Roman" w:cs="Times New Roman"/>
          <w:i/>
          <w:iCs/>
          <w:color w:val="000000"/>
          <w:kern w:val="0"/>
          <w14:ligatures w14:val="none"/>
        </w:rPr>
        <w:t>Sustainability</w:t>
      </w:r>
      <w:r w:rsidRPr="00CA26B4">
        <w:rPr>
          <w:rFonts w:ascii="Times New Roman" w:eastAsia="SimSun" w:hAnsi="Times New Roman" w:cs="Times New Roman"/>
          <w:color w:val="000000"/>
          <w:kern w:val="0"/>
          <w14:ligatures w14:val="none"/>
        </w:rPr>
        <w:t xml:space="preserve"> </w:t>
      </w:r>
      <w:r w:rsidRPr="00CA26B4">
        <w:rPr>
          <w:rFonts w:ascii="Times New Roman" w:eastAsia="SimSun" w:hAnsi="Times New Roman" w:cs="Times New Roman"/>
          <w:i/>
          <w:iCs/>
          <w:color w:val="000000"/>
          <w:kern w:val="0"/>
          <w14:ligatures w14:val="none"/>
        </w:rPr>
        <w:t>17</w:t>
      </w:r>
      <w:r w:rsidRPr="00CA26B4">
        <w:rPr>
          <w:rFonts w:ascii="Times New Roman" w:eastAsia="SimSun" w:hAnsi="Times New Roman" w:cs="Times New Roman"/>
          <w:color w:val="000000"/>
          <w:kern w:val="0"/>
          <w14:ligatures w14:val="none"/>
        </w:rPr>
        <w:t xml:space="preserve">(10), 1-29 </w:t>
      </w:r>
      <w:hyperlink r:id="rId29" w:history="1">
        <w:r w:rsidRPr="00CA26B4">
          <w:rPr>
            <w:rFonts w:ascii="Times New Roman" w:eastAsia="SimSun" w:hAnsi="Times New Roman" w:cs="Times New Roman"/>
            <w:color w:val="000000"/>
            <w:kern w:val="0"/>
            <w:u w:val="single"/>
            <w14:ligatures w14:val="none"/>
          </w:rPr>
          <w:t>https://doi.org/10.3390/su17104658</w:t>
        </w:r>
      </w:hyperlink>
    </w:p>
    <w:p w14:paraId="1FED4613" w14:textId="77777777" w:rsidR="00CA26B4" w:rsidRPr="00CA26B4" w:rsidRDefault="00CA26B4" w:rsidP="002C3670">
      <w:pPr>
        <w:spacing w:after="0" w:line="240" w:lineRule="auto"/>
        <w:jc w:val="both"/>
        <w:rPr>
          <w:rFonts w:ascii="Times New Roman" w:eastAsia="Times New Roman" w:hAnsi="Times New Roman" w:cs="Times New Roman"/>
          <w:color w:val="1F1F1F"/>
          <w:kern w:val="0"/>
          <w14:ligatures w14:val="none"/>
        </w:rPr>
      </w:pPr>
    </w:p>
    <w:p w14:paraId="6CA61799" w14:textId="77777777" w:rsidR="00CA26B4" w:rsidRPr="00CA26B4" w:rsidRDefault="00CA26B4" w:rsidP="002C3670">
      <w:pPr>
        <w:spacing w:before="100" w:beforeAutospacing="1" w:after="200" w:line="240" w:lineRule="auto"/>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Dana, S.D. (2001). </w:t>
      </w:r>
      <w:r w:rsidRPr="00CA26B4">
        <w:rPr>
          <w:rFonts w:ascii="Times New Roman" w:eastAsia="Times New Roman" w:hAnsi="Times New Roman" w:cs="Times New Roman"/>
          <w:i/>
          <w:kern w:val="0"/>
          <w14:ligatures w14:val="none"/>
        </w:rPr>
        <w:t>Statistics and data analysis for behavioral science</w:t>
      </w:r>
      <w:r w:rsidRPr="00CA26B4">
        <w:rPr>
          <w:rFonts w:ascii="Times New Roman" w:eastAsia="Times New Roman" w:hAnsi="Times New Roman" w:cs="Times New Roman"/>
          <w:kern w:val="0"/>
          <w14:ligatures w14:val="none"/>
        </w:rPr>
        <w:t>. McGraw</w:t>
      </w:r>
    </w:p>
    <w:p w14:paraId="3AE43A79" w14:textId="77777777" w:rsidR="00CA26B4" w:rsidRPr="00CA26B4" w:rsidRDefault="00CA26B4" w:rsidP="002C3670">
      <w:pPr>
        <w:spacing w:before="100" w:beforeAutospacing="1" w:after="200" w:line="240" w:lineRule="auto"/>
        <w:ind w:firstLine="720"/>
        <w:jc w:val="both"/>
        <w:rPr>
          <w:rFonts w:ascii="Times New Roman" w:eastAsia="Times New Roman" w:hAnsi="Times New Roman" w:cs="Times New Roman"/>
          <w:kern w:val="0"/>
          <w14:ligatures w14:val="none"/>
        </w:rPr>
      </w:pPr>
      <w:r w:rsidRPr="00CA26B4">
        <w:rPr>
          <w:rFonts w:ascii="Times New Roman" w:eastAsia="Times New Roman" w:hAnsi="Times New Roman" w:cs="Times New Roman"/>
          <w:kern w:val="0"/>
          <w14:ligatures w14:val="none"/>
        </w:rPr>
        <w:t xml:space="preserve"> Hill Co. </w:t>
      </w:r>
    </w:p>
    <w:p w14:paraId="60A41164" w14:textId="77777777" w:rsidR="00CA26B4" w:rsidRPr="00CA26B4" w:rsidRDefault="00CA26B4" w:rsidP="002C3670">
      <w:pPr>
        <w:spacing w:after="0" w:line="240" w:lineRule="auto"/>
        <w:jc w:val="both"/>
        <w:rPr>
          <w:rFonts w:ascii="Times New Roman" w:eastAsia="Times New Roman" w:hAnsi="Times New Roman" w:cs="Times New Roman"/>
          <w:color w:val="1F1F1F"/>
          <w:kern w:val="0"/>
          <w14:ligatures w14:val="none"/>
        </w:rPr>
      </w:pPr>
      <w:r w:rsidRPr="00CA26B4">
        <w:rPr>
          <w:rFonts w:ascii="Times New Roman" w:eastAsia="Times New Roman" w:hAnsi="Times New Roman" w:cs="Times New Roman"/>
          <w:color w:val="1F1F1F"/>
          <w:kern w:val="0"/>
          <w14:ligatures w14:val="none"/>
        </w:rPr>
        <w:t xml:space="preserve">Gupta, S., Kushwaha, </w:t>
      </w:r>
      <w:proofErr w:type="gramStart"/>
      <w:r w:rsidRPr="00CA26B4">
        <w:rPr>
          <w:rFonts w:ascii="Times New Roman" w:eastAsia="Times New Roman" w:hAnsi="Times New Roman" w:cs="Times New Roman"/>
          <w:color w:val="1F1F1F"/>
          <w:kern w:val="0"/>
          <w14:ligatures w14:val="none"/>
        </w:rPr>
        <w:t>P.S.,</w:t>
      </w:r>
      <w:proofErr w:type="spellStart"/>
      <w:r w:rsidRPr="00CA26B4">
        <w:rPr>
          <w:rFonts w:ascii="Times New Roman" w:eastAsia="Times New Roman" w:hAnsi="Times New Roman" w:cs="Times New Roman"/>
          <w:color w:val="1F1F1F"/>
          <w:kern w:val="0"/>
          <w14:ligatures w14:val="none"/>
        </w:rPr>
        <w:t>Badhera</w:t>
      </w:r>
      <w:proofErr w:type="spellEnd"/>
      <w:proofErr w:type="gramEnd"/>
      <w:r w:rsidRPr="00CA26B4">
        <w:rPr>
          <w:rFonts w:ascii="Times New Roman" w:eastAsia="Times New Roman" w:hAnsi="Times New Roman" w:cs="Times New Roman"/>
          <w:color w:val="1F1F1F"/>
          <w:kern w:val="0"/>
          <w14:ligatures w14:val="none"/>
        </w:rPr>
        <w:t>, U., Chatterjee, P., Ernesto, D.R., &amp; Gonzalez, S. (2023).</w:t>
      </w:r>
    </w:p>
    <w:p w14:paraId="113C1694" w14:textId="77777777" w:rsidR="00CA26B4" w:rsidRPr="00CA26B4" w:rsidRDefault="00CA26B4" w:rsidP="002C3670">
      <w:pPr>
        <w:spacing w:after="0" w:line="240" w:lineRule="auto"/>
        <w:ind w:left="720" w:firstLine="60"/>
        <w:jc w:val="both"/>
        <w:rPr>
          <w:rFonts w:ascii="Times New Roman" w:eastAsia="Times New Roman" w:hAnsi="Times New Roman" w:cs="Times New Roman"/>
          <w:color w:val="1F1F1F"/>
          <w:kern w:val="0"/>
          <w14:ligatures w14:val="none"/>
        </w:rPr>
      </w:pPr>
      <w:r w:rsidRPr="00CA26B4">
        <w:rPr>
          <w:rFonts w:ascii="Times New Roman" w:eastAsia="Times New Roman" w:hAnsi="Times New Roman" w:cs="Times New Roman"/>
          <w:color w:val="1F1F1F"/>
          <w:kern w:val="0"/>
          <w14:ligatures w14:val="none"/>
        </w:rPr>
        <w:t xml:space="preserve">Identification of benefits, challenges, and pathways in E-commerce industries: An integrated two-phase decision-making model. </w:t>
      </w:r>
      <w:hyperlink r:id="rId30" w:tooltip="Go to Sustainable Operations and Computers on ScienceDirect" w:history="1">
        <w:r w:rsidRPr="00CA26B4">
          <w:rPr>
            <w:rFonts w:ascii="Times New Roman" w:eastAsia="Times New Roman" w:hAnsi="Times New Roman" w:cs="Times New Roman"/>
            <w:i/>
            <w:color w:val="1F1F1F"/>
            <w:kern w:val="0"/>
            <w14:ligatures w14:val="none"/>
          </w:rPr>
          <w:t>Journal of Sustainable Operations and Computers</w:t>
        </w:r>
      </w:hyperlink>
      <w:r w:rsidRPr="00CA26B4">
        <w:rPr>
          <w:rFonts w:ascii="Times New Roman" w:eastAsia="Times New Roman" w:hAnsi="Times New Roman" w:cs="Times New Roman"/>
          <w:i/>
          <w:color w:val="1F1F1F"/>
          <w:kern w:val="0"/>
          <w14:ligatures w14:val="none"/>
        </w:rPr>
        <w:t>, 4</w:t>
      </w:r>
      <w:r w:rsidRPr="00CA26B4">
        <w:rPr>
          <w:rFonts w:ascii="Times New Roman" w:eastAsia="Times New Roman" w:hAnsi="Times New Roman" w:cs="Times New Roman"/>
          <w:color w:val="1F1F1F"/>
          <w:kern w:val="0"/>
          <w14:ligatures w14:val="none"/>
        </w:rPr>
        <w:t>(1), 200-</w:t>
      </w:r>
      <w:proofErr w:type="gramStart"/>
      <w:r w:rsidRPr="00CA26B4">
        <w:rPr>
          <w:rFonts w:ascii="Times New Roman" w:eastAsia="Times New Roman" w:hAnsi="Times New Roman" w:cs="Times New Roman"/>
          <w:color w:val="1F1F1F"/>
          <w:kern w:val="0"/>
          <w14:ligatures w14:val="none"/>
        </w:rPr>
        <w:t>218..</w:t>
      </w:r>
      <w:proofErr w:type="gramEnd"/>
      <w:r w:rsidRPr="00CA26B4">
        <w:rPr>
          <w:rFonts w:ascii="Times New Roman" w:eastAsia="Times New Roman" w:hAnsi="Times New Roman" w:cs="Times New Roman"/>
          <w:color w:val="1F1F1F"/>
          <w:kern w:val="0"/>
          <w14:ligatures w14:val="none"/>
        </w:rPr>
        <w:t xml:space="preserve"> </w:t>
      </w:r>
      <w:hyperlink r:id="rId31" w:tgtFrame="_blank" w:tooltip="Persistent link using digital object identifier" w:history="1">
        <w:r w:rsidRPr="00CA26B4">
          <w:rPr>
            <w:rFonts w:ascii="Times New Roman" w:eastAsia="Times New Roman" w:hAnsi="Times New Roman" w:cs="Times New Roman"/>
            <w:color w:val="0272B1"/>
            <w:kern w:val="0"/>
            <w14:ligatures w14:val="none"/>
          </w:rPr>
          <w:t>https://doi.org/10.1016/j.susoc.2023.08.005</w:t>
        </w:r>
      </w:hyperlink>
    </w:p>
    <w:p w14:paraId="493AD8CC" w14:textId="77777777" w:rsidR="00CA26B4" w:rsidRPr="00CA26B4" w:rsidRDefault="00CA26B4" w:rsidP="002C3670">
      <w:pPr>
        <w:spacing w:after="0" w:line="240" w:lineRule="auto"/>
        <w:ind w:right="96"/>
        <w:jc w:val="both"/>
        <w:outlineLvl w:val="0"/>
        <w:rPr>
          <w:rFonts w:ascii="Times New Roman" w:eastAsia="Times New Roman" w:hAnsi="Times New Roman" w:cs="Times New Roman"/>
          <w:b/>
          <w:bCs/>
          <w:kern w:val="36"/>
          <w14:ligatures w14:val="none"/>
        </w:rPr>
      </w:pPr>
    </w:p>
    <w:p w14:paraId="719BEA51" w14:textId="77777777" w:rsidR="00CA26B4" w:rsidRPr="00CA26B4" w:rsidRDefault="00CA26B4" w:rsidP="002C3670">
      <w:pPr>
        <w:spacing w:after="0" w:line="240" w:lineRule="auto"/>
        <w:ind w:right="96"/>
        <w:jc w:val="both"/>
        <w:outlineLvl w:val="0"/>
        <w:rPr>
          <w:rFonts w:ascii="Times New Roman" w:eastAsia="Arial" w:hAnsi="Times New Roman" w:cs="Times New Roman"/>
          <w:color w:val="000000"/>
          <w:kern w:val="0"/>
          <w14:ligatures w14:val="none"/>
        </w:rPr>
      </w:pPr>
      <w:hyperlink r:id="rId32" w:history="1">
        <w:r w:rsidRPr="00CA26B4">
          <w:rPr>
            <w:rFonts w:ascii="Times New Roman" w:eastAsia="Arial" w:hAnsi="Times New Roman" w:cs="Times New Roman"/>
            <w:color w:val="000000"/>
            <w:kern w:val="36"/>
            <w:u w:val="single"/>
            <w14:ligatures w14:val="none"/>
          </w:rPr>
          <w:t>Hassanein</w:t>
        </w:r>
      </w:hyperlink>
      <w:r w:rsidRPr="00CA26B4">
        <w:rPr>
          <w:rFonts w:ascii="Times New Roman" w:eastAsia="Arial" w:hAnsi="Times New Roman" w:cs="Times New Roman"/>
          <w:color w:val="000000"/>
          <w:kern w:val="0"/>
          <w14:ligatures w14:val="none"/>
        </w:rPr>
        <w:t>, A., Benameur, K.B., Mostafa, M.M., Al-</w:t>
      </w:r>
      <w:proofErr w:type="spellStart"/>
      <w:r w:rsidRPr="00CA26B4">
        <w:rPr>
          <w:rFonts w:ascii="Times New Roman" w:eastAsia="Arial" w:hAnsi="Times New Roman" w:cs="Times New Roman"/>
          <w:color w:val="000000"/>
          <w:kern w:val="0"/>
          <w14:ligatures w14:val="none"/>
        </w:rPr>
        <w:t>Shattarat</w:t>
      </w:r>
      <w:proofErr w:type="spellEnd"/>
      <w:r w:rsidRPr="00CA26B4">
        <w:rPr>
          <w:rFonts w:ascii="Times New Roman" w:eastAsia="Arial" w:hAnsi="Times New Roman" w:cs="Times New Roman"/>
          <w:color w:val="000000"/>
          <w:kern w:val="0"/>
          <w14:ligatures w14:val="none"/>
        </w:rPr>
        <w:t>, W.</w:t>
      </w:r>
      <w:proofErr w:type="gramStart"/>
      <w:r w:rsidRPr="00CA26B4">
        <w:rPr>
          <w:rFonts w:ascii="Times New Roman" w:eastAsia="Arial" w:hAnsi="Times New Roman" w:cs="Times New Roman"/>
          <w:color w:val="000000"/>
          <w:kern w:val="0"/>
          <w14:ligatures w14:val="none"/>
        </w:rPr>
        <w:t>,  &amp;</w:t>
      </w:r>
      <w:proofErr w:type="gramEnd"/>
      <w:r w:rsidRPr="00CA26B4">
        <w:rPr>
          <w:rFonts w:ascii="Times New Roman" w:eastAsia="Arial" w:hAnsi="Times New Roman" w:cs="Times New Roman"/>
          <w:color w:val="000000"/>
          <w:kern w:val="0"/>
          <w14:ligatures w14:val="none"/>
        </w:rPr>
        <w:t xml:space="preserve"> Magar, N.H. (2025).</w:t>
      </w:r>
    </w:p>
    <w:p w14:paraId="057907F6" w14:textId="77777777" w:rsidR="00CA26B4" w:rsidRPr="00CA26B4" w:rsidRDefault="00CA26B4" w:rsidP="002C3670">
      <w:pPr>
        <w:spacing w:after="0" w:line="240" w:lineRule="auto"/>
        <w:ind w:left="96" w:right="96" w:firstLine="719"/>
        <w:jc w:val="both"/>
        <w:outlineLvl w:val="0"/>
        <w:rPr>
          <w:rFonts w:ascii="Times New Roman" w:eastAsia="Arial" w:hAnsi="Times New Roman" w:cs="Times New Roman"/>
          <w:b/>
          <w:bCs/>
          <w:color w:val="000000"/>
          <w:kern w:val="36"/>
          <w:u w:val="single"/>
          <w14:ligatures w14:val="none"/>
        </w:rPr>
      </w:pPr>
      <w:r w:rsidRPr="00CA26B4">
        <w:rPr>
          <w:rFonts w:ascii="Times New Roman" w:eastAsia="Arial" w:hAnsi="Times New Roman" w:cs="Times New Roman"/>
          <w:color w:val="000000"/>
          <w:kern w:val="0"/>
          <w14:ligatures w14:val="none"/>
        </w:rPr>
        <w:t xml:space="preserve"> </w:t>
      </w:r>
      <w:r w:rsidRPr="00CA26B4">
        <w:rPr>
          <w:rFonts w:ascii="Times New Roman" w:eastAsia="Times New Roman" w:hAnsi="Times New Roman" w:cs="Times New Roman"/>
          <w:color w:val="000000"/>
          <w:kern w:val="36"/>
          <w14:ligatures w14:val="none"/>
        </w:rPr>
        <w:t xml:space="preserve">Mapping the scientific research of blockchain technology in accounting and auditing: </w:t>
      </w:r>
      <w:r w:rsidRPr="00CA26B4">
        <w:rPr>
          <w:rFonts w:ascii="Times New Roman" w:eastAsia="Times New Roman" w:hAnsi="Times New Roman" w:cs="Times New Roman"/>
          <w:color w:val="000000"/>
          <w:kern w:val="36"/>
          <w14:ligatures w14:val="none"/>
        </w:rPr>
        <w:tab/>
        <w:t xml:space="preserve">   bibliometric analyses and a roadmap for future research.</w:t>
      </w:r>
      <w:r w:rsidRPr="00CA26B4">
        <w:rPr>
          <w:rFonts w:ascii="Times New Roman" w:eastAsia="Arial" w:hAnsi="Times New Roman" w:cs="Times New Roman"/>
          <w:color w:val="000000"/>
          <w:kern w:val="36"/>
          <w:shd w:val="clear" w:color="auto" w:fill="FFFFFF"/>
          <w14:ligatures w14:val="none"/>
        </w:rPr>
        <w:t xml:space="preserve"> </w:t>
      </w:r>
      <w:hyperlink r:id="rId33" w:history="1">
        <w:r w:rsidRPr="00CA26B4">
          <w:rPr>
            <w:rFonts w:ascii="Times New Roman" w:eastAsia="Arial" w:hAnsi="Times New Roman" w:cs="Times New Roman"/>
            <w:color w:val="000000"/>
            <w:kern w:val="36"/>
            <w:u w:val="single"/>
            <w14:ligatures w14:val="none"/>
          </w:rPr>
          <w:t xml:space="preserve">Cogent Business &amp; </w:t>
        </w:r>
        <w:r w:rsidRPr="00CA26B4">
          <w:rPr>
            <w:rFonts w:ascii="Times New Roman" w:eastAsia="Arial" w:hAnsi="Times New Roman" w:cs="Times New Roman"/>
            <w:color w:val="000000"/>
            <w:kern w:val="36"/>
            <w:u w:val="single"/>
            <w14:ligatures w14:val="none"/>
          </w:rPr>
          <w:tab/>
        </w:r>
      </w:hyperlink>
    </w:p>
    <w:p w14:paraId="0F331674" w14:textId="77777777" w:rsidR="00CA26B4" w:rsidRPr="00CA26B4" w:rsidRDefault="00CA26B4" w:rsidP="002C3670">
      <w:pPr>
        <w:spacing w:after="0" w:line="240" w:lineRule="auto"/>
        <w:ind w:left="96" w:right="96" w:firstLine="719"/>
        <w:jc w:val="both"/>
        <w:outlineLvl w:val="0"/>
        <w:rPr>
          <w:rFonts w:ascii="Times New Roman" w:eastAsia="Arial" w:hAnsi="Times New Roman" w:cs="Times New Roman"/>
          <w:b/>
          <w:bCs/>
          <w:kern w:val="36"/>
          <w:shd w:val="clear" w:color="auto" w:fill="FFFFFF"/>
          <w14:ligatures w14:val="none"/>
        </w:rPr>
      </w:pPr>
      <w:r w:rsidRPr="00CA26B4">
        <w:rPr>
          <w:rFonts w:ascii="Times New Roman" w:eastAsia="Arial" w:hAnsi="Times New Roman" w:cs="Times New Roman"/>
          <w:color w:val="000000"/>
          <w:kern w:val="36"/>
          <w:u w:val="single"/>
          <w14:ligatures w14:val="none"/>
        </w:rPr>
        <w:t xml:space="preserve"> Management</w:t>
      </w:r>
      <w:r w:rsidRPr="00CA26B4">
        <w:rPr>
          <w:rFonts w:ascii="Times New Roman" w:eastAsia="Arial" w:hAnsi="Times New Roman" w:cs="Times New Roman"/>
          <w:color w:val="000000"/>
          <w:kern w:val="36"/>
          <w:shd w:val="clear" w:color="auto" w:fill="FFFFFF"/>
          <w14:ligatures w14:val="none"/>
        </w:rPr>
        <w:t>, Taylor &amp; Francis Journals, 12(1), 2513638251.</w:t>
      </w:r>
    </w:p>
    <w:p w14:paraId="35F10874" w14:textId="77777777" w:rsidR="00CA26B4" w:rsidRPr="00CA26B4" w:rsidRDefault="00CA26B4" w:rsidP="002C3670">
      <w:pPr>
        <w:spacing w:after="0" w:line="240" w:lineRule="auto"/>
        <w:ind w:left="96" w:right="96" w:firstLine="719"/>
        <w:jc w:val="both"/>
        <w:outlineLvl w:val="0"/>
        <w:rPr>
          <w:rFonts w:ascii="Times New Roman" w:eastAsia="Arial" w:hAnsi="Times New Roman" w:cs="Times New Roman"/>
          <w:color w:val="000000"/>
          <w:kern w:val="36"/>
          <w:shd w:val="clear" w:color="auto" w:fill="FFFFFF"/>
          <w14:ligatures w14:val="none"/>
        </w:rPr>
      </w:pPr>
      <w:r w:rsidRPr="00CA26B4">
        <w:rPr>
          <w:rFonts w:ascii="Times New Roman" w:eastAsia="Arial" w:hAnsi="Times New Roman" w:cs="Times New Roman"/>
          <w:color w:val="000000"/>
          <w:kern w:val="0"/>
          <w14:ligatures w14:val="none"/>
        </w:rPr>
        <w:t xml:space="preserve"> </w:t>
      </w:r>
      <w:hyperlink r:id="rId34" w:history="1">
        <w:r w:rsidRPr="00CA26B4">
          <w:rPr>
            <w:rFonts w:ascii="Times New Roman" w:eastAsia="Arial" w:hAnsi="Times New Roman" w:cs="Times New Roman"/>
            <w:color w:val="000000"/>
            <w:kern w:val="36"/>
            <w:u w:val="single"/>
            <w14:ligatures w14:val="none"/>
          </w:rPr>
          <w:t>https://doi.org/10.1080/23311975.2025.2513638</w:t>
        </w:r>
      </w:hyperlink>
    </w:p>
    <w:p w14:paraId="7ADE1956" w14:textId="77777777" w:rsidR="00CA26B4" w:rsidRPr="00CA26B4" w:rsidRDefault="00CA26B4" w:rsidP="002C3670">
      <w:pPr>
        <w:shd w:val="clear" w:color="auto" w:fill="FFFFFF"/>
        <w:spacing w:after="0" w:line="240" w:lineRule="auto"/>
        <w:jc w:val="both"/>
        <w:rPr>
          <w:rFonts w:ascii="Times New Roman" w:eastAsia="Arial" w:hAnsi="Times New Roman" w:cs="Times New Roman"/>
          <w:color w:val="111111"/>
          <w:kern w:val="0"/>
          <w14:ligatures w14:val="none"/>
        </w:rPr>
      </w:pPr>
      <w:r w:rsidRPr="00CA26B4">
        <w:rPr>
          <w:rFonts w:ascii="Times New Roman" w:eastAsia="Arial" w:hAnsi="Times New Roman" w:cs="Times New Roman"/>
          <w:color w:val="111111"/>
          <w:kern w:val="0"/>
          <w14:ligatures w14:val="none"/>
        </w:rPr>
        <w:t xml:space="preserve"> </w:t>
      </w:r>
    </w:p>
    <w:p w14:paraId="357EF838" w14:textId="77777777" w:rsidR="00CA26B4" w:rsidRPr="00CA26B4" w:rsidRDefault="00CA26B4" w:rsidP="002C3670">
      <w:pPr>
        <w:shd w:val="clear" w:color="auto" w:fill="FFFFFF"/>
        <w:spacing w:after="0" w:line="240" w:lineRule="auto"/>
        <w:jc w:val="both"/>
        <w:rPr>
          <w:rFonts w:ascii="Times New Roman" w:eastAsia="Arial" w:hAnsi="Times New Roman" w:cs="Times New Roman"/>
          <w:color w:val="111111"/>
          <w:kern w:val="0"/>
          <w:shd w:val="clear" w:color="auto" w:fill="FFFFFF"/>
          <w14:ligatures w14:val="none"/>
        </w:rPr>
      </w:pPr>
      <w:r w:rsidRPr="00CA26B4">
        <w:rPr>
          <w:rFonts w:ascii="Times New Roman" w:eastAsia="Arial" w:hAnsi="Times New Roman" w:cs="Times New Roman"/>
          <w:color w:val="111111"/>
          <w:kern w:val="0"/>
          <w14:ligatures w14:val="none"/>
        </w:rPr>
        <w:t xml:space="preserve">Iqbal, N., Mahmood, A., Ullah, A., &amp; Qureshi, S.S. (2025). </w:t>
      </w:r>
      <w:r w:rsidRPr="00CA26B4">
        <w:rPr>
          <w:rFonts w:ascii="Times New Roman" w:eastAsia="Arial" w:hAnsi="Times New Roman" w:cs="Times New Roman"/>
          <w:color w:val="111111"/>
          <w:kern w:val="0"/>
          <w:shd w:val="clear" w:color="auto" w:fill="FFFFFF"/>
          <w14:ligatures w14:val="none"/>
        </w:rPr>
        <w:t>The Integration of Blockchain</w:t>
      </w:r>
    </w:p>
    <w:p w14:paraId="63055F79" w14:textId="77777777" w:rsidR="00CA26B4" w:rsidRPr="00CA26B4" w:rsidRDefault="00CA26B4" w:rsidP="002C3670">
      <w:pPr>
        <w:shd w:val="clear" w:color="auto" w:fill="FFFFFF"/>
        <w:spacing w:after="0" w:line="240" w:lineRule="auto"/>
        <w:ind w:left="-452" w:firstLine="1437"/>
        <w:jc w:val="both"/>
        <w:rPr>
          <w:rFonts w:ascii="Times New Roman" w:eastAsia="Arial" w:hAnsi="Times New Roman" w:cs="Times New Roman"/>
          <w:color w:val="111111"/>
          <w:kern w:val="0"/>
          <w:shd w:val="clear" w:color="auto" w:fill="FFFFFF"/>
          <w14:ligatures w14:val="none"/>
        </w:rPr>
      </w:pPr>
      <w:r w:rsidRPr="00CA26B4">
        <w:rPr>
          <w:rFonts w:ascii="Times New Roman" w:eastAsia="Arial" w:hAnsi="Times New Roman" w:cs="Times New Roman"/>
          <w:color w:val="111111"/>
          <w:kern w:val="0"/>
          <w:shd w:val="clear" w:color="auto" w:fill="FFFFFF"/>
          <w14:ligatures w14:val="none"/>
        </w:rPr>
        <w:t xml:space="preserve"> Technology in Accounting Systems: Challenges, Opportunities, and Future Trends.</w:t>
      </w:r>
    </w:p>
    <w:p w14:paraId="602C8AB5" w14:textId="77777777" w:rsidR="00CA26B4" w:rsidRPr="00CA26B4" w:rsidRDefault="00CA26B4" w:rsidP="002C3670">
      <w:pPr>
        <w:shd w:val="clear" w:color="auto" w:fill="FFFFFF"/>
        <w:spacing w:after="0" w:line="240" w:lineRule="auto"/>
        <w:ind w:left="-452" w:firstLine="1437"/>
        <w:jc w:val="both"/>
        <w:rPr>
          <w:rFonts w:ascii="Times New Roman" w:eastAsia="Arial" w:hAnsi="Times New Roman" w:cs="Times New Roman"/>
          <w:color w:val="0A0A0A"/>
          <w:kern w:val="0"/>
          <w:shd w:val="clear" w:color="auto" w:fill="FFFFFF"/>
          <w14:ligatures w14:val="none"/>
        </w:rPr>
      </w:pPr>
      <w:r w:rsidRPr="00CA26B4">
        <w:rPr>
          <w:rFonts w:ascii="Times New Roman" w:eastAsia="Arial" w:hAnsi="Times New Roman" w:cs="Times New Roman"/>
          <w:i/>
          <w:iCs/>
          <w:color w:val="0A0A0A"/>
          <w:kern w:val="0"/>
          <w:shd w:val="clear" w:color="auto" w:fill="FFFFFF"/>
          <w14:ligatures w14:val="none"/>
        </w:rPr>
        <w:t xml:space="preserve">The Critical Review of </w:t>
      </w:r>
      <w:r w:rsidRPr="00CA26B4">
        <w:rPr>
          <w:rFonts w:ascii="Times New Roman" w:eastAsia="Arial" w:hAnsi="Times New Roman" w:cs="Times New Roman"/>
          <w:i/>
          <w:iCs/>
          <w:color w:val="0A0A0A"/>
          <w:kern w:val="0"/>
          <w:shd w:val="clear" w:color="auto" w:fill="FFFFFF"/>
          <w14:ligatures w14:val="none"/>
        </w:rPr>
        <w:tab/>
        <w:t>Social Sciences Studies</w:t>
      </w:r>
      <w:r w:rsidRPr="00CA26B4">
        <w:rPr>
          <w:rFonts w:ascii="Times New Roman" w:eastAsia="Arial" w:hAnsi="Times New Roman" w:cs="Times New Roman"/>
          <w:color w:val="0A0A0A"/>
          <w:kern w:val="0"/>
          <w:shd w:val="clear" w:color="auto" w:fill="FFFFFF"/>
          <w14:ligatures w14:val="none"/>
        </w:rPr>
        <w:t xml:space="preserve"> (CRSSS), 3(1), 3660–3673.</w:t>
      </w:r>
    </w:p>
    <w:p w14:paraId="27D23538" w14:textId="77777777" w:rsidR="00CA26B4" w:rsidRPr="00CA26B4" w:rsidRDefault="00CA26B4" w:rsidP="002C3670">
      <w:pPr>
        <w:shd w:val="clear" w:color="auto" w:fill="FFFFFF"/>
        <w:spacing w:after="0" w:line="240" w:lineRule="auto"/>
        <w:ind w:left="-452" w:firstLine="1437"/>
        <w:jc w:val="both"/>
        <w:rPr>
          <w:rFonts w:ascii="Times New Roman" w:eastAsia="Arial" w:hAnsi="Times New Roman" w:cs="Times New Roman"/>
          <w:kern w:val="0"/>
          <w:u w:val="single"/>
          <w:shd w:val="clear" w:color="auto" w:fill="FFFFFF"/>
          <w14:ligatures w14:val="none"/>
        </w:rPr>
      </w:pPr>
      <w:r w:rsidRPr="00CA26B4">
        <w:rPr>
          <w:rFonts w:ascii="Times New Roman" w:eastAsia="Arial" w:hAnsi="Times New Roman" w:cs="Times New Roman"/>
          <w:color w:val="0A0A0A"/>
          <w:kern w:val="0"/>
          <w:shd w:val="clear" w:color="auto" w:fill="FFFFFF"/>
          <w14:ligatures w14:val="none"/>
        </w:rPr>
        <w:t xml:space="preserve"> </w:t>
      </w:r>
      <w:r w:rsidRPr="00CA26B4">
        <w:rPr>
          <w:rFonts w:ascii="Times New Roman" w:eastAsia="Arial" w:hAnsi="Times New Roman" w:cs="Times New Roman"/>
          <w:color w:val="555555"/>
          <w:kern w:val="0"/>
          <w:shd w:val="clear" w:color="auto" w:fill="FFFFFF"/>
          <w14:ligatures w14:val="none"/>
        </w:rPr>
        <w:t>DOI:</w:t>
      </w:r>
      <w:hyperlink r:id="rId35" w:history="1">
        <w:r w:rsidRPr="00CA26B4">
          <w:rPr>
            <w:rFonts w:ascii="Times New Roman" w:eastAsia="Arial" w:hAnsi="Times New Roman" w:cs="Times New Roman"/>
            <w:color w:val="0000FF"/>
            <w:kern w:val="0"/>
            <w:u w:val="single"/>
            <w:shd w:val="clear" w:color="auto" w:fill="FFFFFF"/>
            <w14:ligatures w14:val="none"/>
          </w:rPr>
          <w:t>10.59075/b143qf48</w:t>
        </w:r>
      </w:hyperlink>
    </w:p>
    <w:p w14:paraId="46507BA9" w14:textId="77777777" w:rsidR="00CA26B4" w:rsidRPr="00CA26B4" w:rsidRDefault="00CA26B4" w:rsidP="002C3670">
      <w:pPr>
        <w:shd w:val="clear" w:color="auto" w:fill="FFFFFF"/>
        <w:spacing w:after="0" w:line="240" w:lineRule="auto"/>
        <w:ind w:left="-452" w:firstLine="720"/>
        <w:jc w:val="both"/>
        <w:rPr>
          <w:rFonts w:ascii="Times New Roman" w:eastAsia="Arial" w:hAnsi="Times New Roman" w:cs="Times New Roman"/>
          <w:kern w:val="0"/>
          <w:u w:val="single"/>
          <w:shd w:val="clear" w:color="auto" w:fill="FFFFFF"/>
          <w14:ligatures w14:val="none"/>
        </w:rPr>
      </w:pPr>
      <w:r w:rsidRPr="00CA26B4">
        <w:rPr>
          <w:rFonts w:ascii="Times New Roman" w:eastAsia="Arial" w:hAnsi="Times New Roman" w:cs="Times New Roman"/>
          <w:kern w:val="0"/>
          <w:u w:val="single"/>
          <w:shd w:val="clear" w:color="auto" w:fill="FFFFFF"/>
          <w14:ligatures w14:val="none"/>
        </w:rPr>
        <w:t xml:space="preserve"> </w:t>
      </w:r>
    </w:p>
    <w:p w14:paraId="18A4E5D4" w14:textId="77777777" w:rsidR="00CA26B4" w:rsidRPr="00CA26B4" w:rsidRDefault="00CA26B4" w:rsidP="002C3670">
      <w:pPr>
        <w:shd w:val="clear" w:color="auto" w:fill="FFFFFF"/>
        <w:spacing w:after="0" w:line="240" w:lineRule="auto"/>
        <w:jc w:val="both"/>
        <w:outlineLvl w:val="0"/>
        <w:rPr>
          <w:rFonts w:ascii="Times New Roman" w:eastAsia="Bahnschrift" w:hAnsi="Times New Roman" w:cs="Times New Roman"/>
          <w:color w:val="1B1B1B"/>
          <w:kern w:val="36"/>
          <w14:ligatures w14:val="none"/>
        </w:rPr>
      </w:pPr>
      <w:r w:rsidRPr="00CA26B4">
        <w:rPr>
          <w:rFonts w:ascii="Times New Roman" w:eastAsia="Bahnschrift" w:hAnsi="Times New Roman" w:cs="Times New Roman"/>
          <w:color w:val="1B1B1B"/>
          <w:kern w:val="36"/>
          <w14:ligatures w14:val="none"/>
        </w:rPr>
        <w:t>Jang, L., &amp; Alam, S. (2024). The use of blockchain technology in enterprise financial accounting</w:t>
      </w:r>
    </w:p>
    <w:p w14:paraId="0911AAEB" w14:textId="77777777" w:rsidR="00CA26B4" w:rsidRPr="00CA26B4" w:rsidRDefault="00CA26B4" w:rsidP="002C3670">
      <w:pPr>
        <w:shd w:val="clear" w:color="auto" w:fill="FFFFFF"/>
        <w:spacing w:after="0" w:line="240" w:lineRule="auto"/>
        <w:ind w:firstLine="720"/>
        <w:jc w:val="both"/>
        <w:outlineLvl w:val="0"/>
        <w:rPr>
          <w:rFonts w:ascii="Times New Roman" w:eastAsia="Helvetica" w:hAnsi="Times New Roman" w:cs="Times New Roman"/>
          <w:color w:val="1B1B1B"/>
          <w:kern w:val="36"/>
          <w14:ligatures w14:val="none"/>
        </w:rPr>
      </w:pPr>
      <w:r w:rsidRPr="00CA26B4">
        <w:rPr>
          <w:rFonts w:ascii="Times New Roman" w:eastAsia="Bahnschrift" w:hAnsi="Times New Roman" w:cs="Times New Roman"/>
          <w:color w:val="1B1B1B"/>
          <w:kern w:val="36"/>
          <w14:ligatures w14:val="none"/>
        </w:rPr>
        <w:t xml:space="preserve"> information sharing. </w:t>
      </w:r>
      <w:proofErr w:type="gramStart"/>
      <w:r w:rsidRPr="00CA26B4">
        <w:rPr>
          <w:rFonts w:ascii="Times New Roman" w:eastAsia="Bahnschrift" w:hAnsi="Times New Roman" w:cs="Times New Roman"/>
          <w:i/>
          <w:iCs/>
          <w:color w:val="1B1B1B"/>
          <w:kern w:val="36"/>
          <w14:ligatures w14:val="none"/>
        </w:rPr>
        <w:t>Plus</w:t>
      </w:r>
      <w:proofErr w:type="gramEnd"/>
      <w:r w:rsidRPr="00CA26B4">
        <w:rPr>
          <w:rFonts w:ascii="Times New Roman" w:eastAsia="Bahnschrift" w:hAnsi="Times New Roman" w:cs="Times New Roman"/>
          <w:i/>
          <w:iCs/>
          <w:color w:val="1B1B1B"/>
          <w:kern w:val="36"/>
          <w14:ligatures w14:val="none"/>
        </w:rPr>
        <w:t xml:space="preserve"> One, </w:t>
      </w:r>
      <w:r w:rsidRPr="00CA26B4">
        <w:rPr>
          <w:rFonts w:ascii="Times New Roman" w:eastAsia="Helvetica" w:hAnsi="Times New Roman" w:cs="Times New Roman"/>
          <w:i/>
          <w:iCs/>
          <w:color w:val="1B1B1B"/>
          <w:kern w:val="0"/>
          <w14:ligatures w14:val="none"/>
        </w:rPr>
        <w:t>19</w:t>
      </w:r>
      <w:r w:rsidRPr="00CA26B4">
        <w:rPr>
          <w:rFonts w:ascii="Times New Roman" w:eastAsia="Helvetica" w:hAnsi="Times New Roman" w:cs="Times New Roman"/>
          <w:color w:val="1B1B1B"/>
          <w:kern w:val="0"/>
          <w14:ligatures w14:val="none"/>
        </w:rPr>
        <w:t xml:space="preserve">(2), </w:t>
      </w:r>
      <w:proofErr w:type="spellStart"/>
      <w:r w:rsidRPr="00CA26B4">
        <w:rPr>
          <w:rFonts w:ascii="Times New Roman" w:eastAsia="Helvetica" w:hAnsi="Times New Roman" w:cs="Times New Roman"/>
          <w:color w:val="1B1B1B"/>
          <w:kern w:val="0"/>
          <w14:ligatures w14:val="none"/>
        </w:rPr>
        <w:t>doi</w:t>
      </w:r>
      <w:proofErr w:type="spellEnd"/>
      <w:r w:rsidRPr="00CA26B4">
        <w:rPr>
          <w:rFonts w:ascii="Times New Roman" w:eastAsia="Helvetica" w:hAnsi="Times New Roman" w:cs="Times New Roman"/>
          <w:color w:val="1B1B1B"/>
          <w:kern w:val="0"/>
          <w14:ligatures w14:val="none"/>
        </w:rPr>
        <w:t xml:space="preserve">: </w:t>
      </w:r>
      <w:hyperlink r:id="rId36" w:history="1">
        <w:r w:rsidRPr="00CA26B4">
          <w:rPr>
            <w:rFonts w:ascii="Times New Roman" w:eastAsia="Helvetica" w:hAnsi="Times New Roman" w:cs="Times New Roman"/>
            <w:color w:val="005EA2"/>
            <w:kern w:val="36"/>
            <w:u w:val="single"/>
            <w14:ligatures w14:val="none"/>
          </w:rPr>
          <w:t>10.1371/journal.pone.0298210</w:t>
        </w:r>
      </w:hyperlink>
    </w:p>
    <w:p w14:paraId="05D6B5FE" w14:textId="77777777" w:rsidR="00CA26B4" w:rsidRPr="00CA26B4" w:rsidRDefault="00CA26B4" w:rsidP="002C3670">
      <w:pPr>
        <w:shd w:val="clear" w:color="auto" w:fill="FFFFFF"/>
        <w:spacing w:after="0" w:line="240" w:lineRule="auto"/>
        <w:ind w:left="-452" w:firstLine="720"/>
        <w:jc w:val="both"/>
        <w:rPr>
          <w:rFonts w:ascii="Times New Roman" w:eastAsia="Arial" w:hAnsi="Times New Roman" w:cs="Times New Roman"/>
          <w:kern w:val="0"/>
          <w:u w:val="single"/>
          <w:shd w:val="clear" w:color="auto" w:fill="FFFFFF"/>
          <w14:ligatures w14:val="none"/>
        </w:rPr>
      </w:pPr>
      <w:r w:rsidRPr="00CA26B4">
        <w:rPr>
          <w:rFonts w:ascii="Times New Roman" w:eastAsia="Arial" w:hAnsi="Times New Roman" w:cs="Times New Roman"/>
          <w:kern w:val="0"/>
          <w:u w:val="single"/>
          <w:shd w:val="clear" w:color="auto" w:fill="FFFFFF"/>
          <w14:ligatures w14:val="none"/>
        </w:rPr>
        <w:t xml:space="preserve"> </w:t>
      </w:r>
    </w:p>
    <w:p w14:paraId="191082BB" w14:textId="77777777" w:rsidR="00CA26B4" w:rsidRPr="00CA26B4" w:rsidRDefault="00CA26B4" w:rsidP="002C3670">
      <w:pPr>
        <w:shd w:val="clear" w:color="auto" w:fill="FFFFFF"/>
        <w:spacing w:after="0" w:line="240" w:lineRule="auto"/>
        <w:ind w:left="-452" w:firstLine="720"/>
        <w:jc w:val="both"/>
        <w:rPr>
          <w:rFonts w:ascii="Times New Roman" w:eastAsia="Arial" w:hAnsi="Times New Roman" w:cs="Times New Roman"/>
          <w:kern w:val="0"/>
          <w:u w:val="single"/>
          <w:shd w:val="clear" w:color="auto" w:fill="FFFFFF"/>
          <w14:ligatures w14:val="none"/>
        </w:rPr>
      </w:pPr>
      <w:r w:rsidRPr="00CA26B4">
        <w:rPr>
          <w:rFonts w:ascii="Times New Roman" w:eastAsia="Arial" w:hAnsi="Times New Roman" w:cs="Times New Roman"/>
          <w:kern w:val="0"/>
          <w:u w:val="single"/>
          <w:shd w:val="clear" w:color="auto" w:fill="FFFFFF"/>
          <w14:ligatures w14:val="none"/>
        </w:rPr>
        <w:t xml:space="preserve"> </w:t>
      </w:r>
    </w:p>
    <w:p w14:paraId="2973EEEA" w14:textId="77777777" w:rsidR="00CA26B4" w:rsidRPr="00CA26B4" w:rsidRDefault="00CA26B4" w:rsidP="002C3670">
      <w:pPr>
        <w:keepNext/>
        <w:keepLines/>
        <w:spacing w:after="0" w:line="240" w:lineRule="auto"/>
        <w:jc w:val="both"/>
        <w:textAlignment w:val="center"/>
        <w:outlineLvl w:val="1"/>
        <w:rPr>
          <w:rFonts w:ascii="Times New Roman" w:eastAsia="SimSun" w:hAnsi="Times New Roman" w:cs="Times New Roman"/>
          <w:color w:val="1F1F1F"/>
          <w:kern w:val="0"/>
          <w14:ligatures w14:val="none"/>
        </w:rPr>
      </w:pPr>
      <w:r w:rsidRPr="00CA26B4">
        <w:rPr>
          <w:rFonts w:ascii="Times New Roman" w:eastAsia="SimSun" w:hAnsi="Times New Roman" w:cs="Times New Roman"/>
          <w:color w:val="1F1F1F"/>
          <w:kern w:val="0"/>
          <w14:ligatures w14:val="none"/>
        </w:rPr>
        <w:t xml:space="preserve">Jie, H., </w:t>
      </w:r>
      <w:proofErr w:type="spellStart"/>
      <w:r w:rsidRPr="00CA26B4">
        <w:rPr>
          <w:rFonts w:ascii="Times New Roman" w:eastAsia="SimSun" w:hAnsi="Times New Roman" w:cs="Times New Roman"/>
          <w:color w:val="1F1F1F"/>
          <w:kern w:val="0"/>
          <w14:ligatures w14:val="none"/>
        </w:rPr>
        <w:t>Gooi</w:t>
      </w:r>
      <w:proofErr w:type="spellEnd"/>
      <w:r w:rsidRPr="00CA26B4">
        <w:rPr>
          <w:rFonts w:ascii="Times New Roman" w:eastAsia="SimSun" w:hAnsi="Times New Roman" w:cs="Times New Roman"/>
          <w:color w:val="1F1F1F"/>
          <w:kern w:val="0"/>
          <w14:ligatures w14:val="none"/>
        </w:rPr>
        <w:t>, L.M., &amp; Lou, Y. (2025). Digital maturity, dynamic capabilities and innovation</w:t>
      </w:r>
    </w:p>
    <w:p w14:paraId="5FA15C93" w14:textId="77777777" w:rsidR="00CA26B4" w:rsidRPr="00CA26B4" w:rsidRDefault="00CA26B4" w:rsidP="002C3670">
      <w:pPr>
        <w:keepNext/>
        <w:keepLines/>
        <w:spacing w:after="0" w:line="240" w:lineRule="auto"/>
        <w:ind w:firstLine="720"/>
        <w:jc w:val="both"/>
        <w:textAlignment w:val="center"/>
        <w:outlineLvl w:val="1"/>
        <w:rPr>
          <w:rFonts w:ascii="Times New Roman" w:eastAsia="SimSun" w:hAnsi="Times New Roman" w:cs="Times New Roman"/>
          <w:color w:val="1F1F1F"/>
          <w:kern w:val="0"/>
          <w14:ligatures w14:val="none"/>
        </w:rPr>
      </w:pPr>
      <w:r w:rsidRPr="00CA26B4">
        <w:rPr>
          <w:rFonts w:ascii="Times New Roman" w:eastAsia="SimSun" w:hAnsi="Times New Roman" w:cs="Times New Roman"/>
          <w:color w:val="1F1F1F"/>
          <w:kern w:val="0"/>
          <w14:ligatures w14:val="none"/>
        </w:rPr>
        <w:t xml:space="preserve"> performance in high-tech SMEs,</w:t>
      </w:r>
      <w:r w:rsidRPr="00CA26B4">
        <w:rPr>
          <w:rFonts w:ascii="Times New Roman" w:eastAsia="SimSun" w:hAnsi="Times New Roman" w:cs="Times New Roman"/>
          <w:i/>
          <w:color w:val="1F1F1F"/>
          <w:kern w:val="0"/>
          <w14:ligatures w14:val="none"/>
        </w:rPr>
        <w:t xml:space="preserve"> </w:t>
      </w:r>
      <w:hyperlink r:id="rId37" w:tooltip="Go to International Review of Economics &amp; Finance on ScienceDirect" w:history="1">
        <w:r w:rsidRPr="00CA26B4">
          <w:rPr>
            <w:rFonts w:ascii="Times New Roman" w:eastAsia="SimSun" w:hAnsi="Times New Roman" w:cs="Times New Roman"/>
            <w:i/>
            <w:color w:val="1F1F1F"/>
            <w:kern w:val="0"/>
            <w14:ligatures w14:val="none"/>
          </w:rPr>
          <w:t>International Review of Economics &amp; Finance</w:t>
        </w:r>
      </w:hyperlink>
      <w:r w:rsidRPr="00CA26B4">
        <w:rPr>
          <w:rFonts w:ascii="Times New Roman" w:eastAsia="SimSun" w:hAnsi="Times New Roman" w:cs="Times New Roman"/>
          <w:i/>
          <w:color w:val="1F1F1F"/>
          <w:kern w:val="0"/>
          <w14:ligatures w14:val="none"/>
        </w:rPr>
        <w:t xml:space="preserve">, </w:t>
      </w:r>
      <w:r w:rsidRPr="00CA26B4">
        <w:rPr>
          <w:rFonts w:ascii="Times New Roman" w:eastAsia="SimSun" w:hAnsi="Times New Roman" w:cs="Times New Roman"/>
          <w:i/>
          <w:color w:val="1F1F1F"/>
          <w:kern w:val="0"/>
          <w14:ligatures w14:val="none"/>
        </w:rPr>
        <w:tab/>
        <w:t>99</w:t>
      </w:r>
      <w:r w:rsidRPr="00CA26B4">
        <w:rPr>
          <w:rFonts w:ascii="Times New Roman" w:eastAsia="SimSun" w:hAnsi="Times New Roman" w:cs="Times New Roman"/>
          <w:color w:val="1F1F1F"/>
          <w:kern w:val="0"/>
          <w14:ligatures w14:val="none"/>
        </w:rPr>
        <w:t>(C),</w:t>
      </w:r>
    </w:p>
    <w:p w14:paraId="4C695DE0" w14:textId="77777777" w:rsidR="00CA26B4" w:rsidRPr="00CA26B4" w:rsidRDefault="00CA26B4" w:rsidP="002C3670">
      <w:pPr>
        <w:keepNext/>
        <w:keepLines/>
        <w:spacing w:after="0" w:line="240" w:lineRule="auto"/>
        <w:ind w:firstLine="720"/>
        <w:jc w:val="both"/>
        <w:textAlignment w:val="center"/>
        <w:outlineLvl w:val="1"/>
        <w:rPr>
          <w:rFonts w:ascii="Times New Roman" w:eastAsia="SimSun" w:hAnsi="Times New Roman" w:cs="Times New Roman"/>
          <w:color w:val="1F1F1F"/>
          <w:kern w:val="0"/>
          <w14:ligatures w14:val="none"/>
        </w:rPr>
      </w:pPr>
      <w:r w:rsidRPr="00CA26B4">
        <w:rPr>
          <w:rFonts w:ascii="Times New Roman" w:eastAsia="SimSun" w:hAnsi="Times New Roman" w:cs="Times New Roman"/>
          <w:color w:val="1F1F1F"/>
          <w:kern w:val="0"/>
          <w14:ligatures w14:val="none"/>
        </w:rPr>
        <w:t xml:space="preserve"> 1-14, </w:t>
      </w:r>
      <w:hyperlink r:id="rId38" w:tgtFrame="_blank" w:tooltip="Persistent link using digital object identifier" w:history="1">
        <w:r w:rsidRPr="00CA26B4">
          <w:rPr>
            <w:rFonts w:ascii="Times New Roman" w:eastAsia="SimSun" w:hAnsi="Times New Roman" w:cs="Times New Roman"/>
            <w:color w:val="0272B1"/>
            <w:kern w:val="0"/>
            <w14:ligatures w14:val="none"/>
          </w:rPr>
          <w:t>https://doi.org/10.1016/j.iref.2025.103971</w:t>
        </w:r>
      </w:hyperlink>
      <w:r w:rsidRPr="00CA26B4">
        <w:rPr>
          <w:rFonts w:ascii="Times New Roman" w:eastAsia="SimSun" w:hAnsi="Times New Roman" w:cs="Times New Roman"/>
          <w:color w:val="1F1F1F"/>
          <w:kern w:val="0"/>
          <w14:ligatures w14:val="none"/>
        </w:rPr>
        <w:t xml:space="preserve"> </w:t>
      </w:r>
    </w:p>
    <w:p w14:paraId="0143387D" w14:textId="77777777" w:rsidR="00CA26B4" w:rsidRPr="00CA26B4" w:rsidRDefault="00CA26B4" w:rsidP="002C3670">
      <w:pPr>
        <w:spacing w:after="0" w:line="240" w:lineRule="auto"/>
        <w:jc w:val="both"/>
        <w:rPr>
          <w:rFonts w:ascii="Times New Roman" w:eastAsia="SimSun" w:hAnsi="Times New Roman" w:cs="Times New Roman"/>
          <w:kern w:val="0"/>
          <w14:ligatures w14:val="none"/>
        </w:rPr>
      </w:pPr>
    </w:p>
    <w:p w14:paraId="0ADACC49" w14:textId="77777777" w:rsidR="00CA26B4" w:rsidRPr="00CA26B4" w:rsidRDefault="00CA26B4" w:rsidP="002C3670">
      <w:pPr>
        <w:spacing w:after="0" w:line="240" w:lineRule="auto"/>
        <w:jc w:val="both"/>
        <w:rPr>
          <w:rFonts w:ascii="Times New Roman" w:eastAsia="SimSun" w:hAnsi="Times New Roman" w:cs="Times New Roman"/>
          <w:kern w:val="0"/>
          <w14:ligatures w14:val="none"/>
        </w:rPr>
      </w:pPr>
      <w:r w:rsidRPr="00CA26B4">
        <w:rPr>
          <w:rFonts w:ascii="Times New Roman" w:eastAsia="SimSun" w:hAnsi="Times New Roman" w:cs="Times New Roman"/>
          <w:kern w:val="0"/>
          <w14:ligatures w14:val="none"/>
        </w:rPr>
        <w:t xml:space="preserve">Julius, S. A. (2025). Blockchain Technology in Accounting: A Systematic Review of </w:t>
      </w:r>
    </w:p>
    <w:p w14:paraId="06DBBAD5" w14:textId="77777777" w:rsidR="00CA26B4" w:rsidRPr="00CA26B4" w:rsidRDefault="00CA26B4" w:rsidP="002C3670">
      <w:pPr>
        <w:spacing w:after="0" w:line="240" w:lineRule="auto"/>
        <w:ind w:firstLineChars="300" w:firstLine="720"/>
        <w:jc w:val="both"/>
        <w:rPr>
          <w:rFonts w:ascii="Times New Roman" w:eastAsia="SimSun" w:hAnsi="Times New Roman" w:cs="Times New Roman"/>
          <w:kern w:val="0"/>
          <w14:ligatures w14:val="none"/>
        </w:rPr>
      </w:pPr>
      <w:r w:rsidRPr="00CA26B4">
        <w:rPr>
          <w:rFonts w:ascii="Times New Roman" w:eastAsia="SimSun" w:hAnsi="Times New Roman" w:cs="Times New Roman"/>
          <w:kern w:val="0"/>
          <w14:ligatures w14:val="none"/>
        </w:rPr>
        <w:t xml:space="preserve">Applications, Challenges, and Future Prospects. International Journal of Advances in </w:t>
      </w:r>
      <w:r w:rsidRPr="00CA26B4">
        <w:rPr>
          <w:rFonts w:ascii="Times New Roman" w:eastAsia="SimSun" w:hAnsi="Times New Roman" w:cs="Times New Roman"/>
          <w:kern w:val="0"/>
          <w14:ligatures w14:val="none"/>
        </w:rPr>
        <w:tab/>
        <w:t>Engineering and Management (IJAEM), 7(2), 1-</w:t>
      </w:r>
      <w:proofErr w:type="gramStart"/>
      <w:r w:rsidRPr="00CA26B4">
        <w:rPr>
          <w:rFonts w:ascii="Times New Roman" w:eastAsia="SimSun" w:hAnsi="Times New Roman" w:cs="Times New Roman"/>
          <w:kern w:val="0"/>
          <w14:ligatures w14:val="none"/>
        </w:rPr>
        <w:t>13,  DOI</w:t>
      </w:r>
      <w:proofErr w:type="gramEnd"/>
      <w:r w:rsidRPr="00CA26B4">
        <w:rPr>
          <w:rFonts w:ascii="Times New Roman" w:eastAsia="SimSun" w:hAnsi="Times New Roman" w:cs="Times New Roman"/>
          <w:kern w:val="0"/>
          <w14:ligatures w14:val="none"/>
        </w:rPr>
        <w:t>: 10.35629/5252-07020113</w:t>
      </w:r>
    </w:p>
    <w:p w14:paraId="369B1FBC" w14:textId="77777777" w:rsidR="00CA26B4" w:rsidRPr="00CA26B4" w:rsidRDefault="00CA26B4" w:rsidP="002C3670">
      <w:pPr>
        <w:shd w:val="clear" w:color="auto" w:fill="FFFFFF"/>
        <w:spacing w:after="0" w:line="240" w:lineRule="auto"/>
        <w:jc w:val="both"/>
        <w:outlineLvl w:val="0"/>
        <w:rPr>
          <w:rFonts w:ascii="Times New Roman" w:eastAsia="Segoe UI" w:hAnsi="Times New Roman" w:cs="Times New Roman"/>
          <w:kern w:val="0"/>
          <w:shd w:val="clear" w:color="auto" w:fill="FFFFFF"/>
          <w14:ligatures w14:val="none"/>
        </w:rPr>
      </w:pPr>
      <w:r w:rsidRPr="00CA26B4">
        <w:rPr>
          <w:rFonts w:ascii="Times New Roman" w:eastAsia="Segoe UI" w:hAnsi="Times New Roman" w:cs="Times New Roman"/>
          <w:kern w:val="0"/>
          <w:shd w:val="clear" w:color="auto" w:fill="FFFFFF"/>
          <w14:ligatures w14:val="none"/>
        </w:rPr>
        <w:t xml:space="preserve"> </w:t>
      </w:r>
    </w:p>
    <w:p w14:paraId="781D40C7" w14:textId="77777777" w:rsidR="00CA26B4" w:rsidRPr="00CA26B4" w:rsidRDefault="00CA26B4" w:rsidP="002C3670">
      <w:pPr>
        <w:shd w:val="clear" w:color="auto" w:fill="FFFFFF"/>
        <w:spacing w:after="0" w:line="240" w:lineRule="auto"/>
        <w:jc w:val="both"/>
        <w:outlineLvl w:val="0"/>
        <w:rPr>
          <w:rFonts w:ascii="Times New Roman" w:eastAsia="Segoe UI" w:hAnsi="Times New Roman" w:cs="Times New Roman"/>
          <w:kern w:val="36"/>
          <w:shd w:val="clear" w:color="auto" w:fill="FFFFFF"/>
          <w14:ligatures w14:val="none"/>
        </w:rPr>
      </w:pPr>
      <w:proofErr w:type="spellStart"/>
      <w:r w:rsidRPr="00CA26B4">
        <w:rPr>
          <w:rFonts w:ascii="Times New Roman" w:eastAsia="Segoe UI" w:hAnsi="Times New Roman" w:cs="Times New Roman"/>
          <w:kern w:val="0"/>
          <w:shd w:val="clear" w:color="auto" w:fill="FFFFFF"/>
          <w14:ligatures w14:val="none"/>
        </w:rPr>
        <w:t>Khazripour</w:t>
      </w:r>
      <w:proofErr w:type="spellEnd"/>
      <w:r w:rsidRPr="00CA26B4">
        <w:rPr>
          <w:rFonts w:ascii="Times New Roman" w:eastAsia="Segoe UI" w:hAnsi="Times New Roman" w:cs="Times New Roman"/>
          <w:kern w:val="0"/>
          <w:shd w:val="clear" w:color="auto" w:fill="FFFFFF"/>
          <w14:ligatures w14:val="none"/>
        </w:rPr>
        <w:t xml:space="preserve">, M.R., Tazarji, A.S., </w:t>
      </w:r>
      <w:proofErr w:type="gramStart"/>
      <w:r w:rsidRPr="00CA26B4">
        <w:rPr>
          <w:rFonts w:ascii="Times New Roman" w:eastAsia="Segoe UI" w:hAnsi="Times New Roman" w:cs="Times New Roman"/>
          <w:kern w:val="0"/>
          <w:shd w:val="clear" w:color="auto" w:fill="FFFFFF"/>
          <w14:ligatures w14:val="none"/>
        </w:rPr>
        <w:t xml:space="preserve">&amp;  </w:t>
      </w:r>
      <w:proofErr w:type="spellStart"/>
      <w:r w:rsidRPr="00CA26B4">
        <w:rPr>
          <w:rFonts w:ascii="Times New Roman" w:eastAsia="Segoe UI" w:hAnsi="Times New Roman" w:cs="Times New Roman"/>
          <w:kern w:val="0"/>
          <w:shd w:val="clear" w:color="auto" w:fill="FFFFFF"/>
          <w14:ligatures w14:val="none"/>
        </w:rPr>
        <w:t>Mijani</w:t>
      </w:r>
      <w:proofErr w:type="spellEnd"/>
      <w:proofErr w:type="gramEnd"/>
      <w:r w:rsidRPr="00CA26B4">
        <w:rPr>
          <w:rFonts w:ascii="Times New Roman" w:eastAsia="Segoe UI" w:hAnsi="Times New Roman" w:cs="Times New Roman"/>
          <w:kern w:val="0"/>
          <w:shd w:val="clear" w:color="auto" w:fill="FFFFFF"/>
          <w14:ligatures w14:val="none"/>
        </w:rPr>
        <w:t xml:space="preserve">, H. (2025). </w:t>
      </w:r>
      <w:r w:rsidRPr="00CA26B4">
        <w:rPr>
          <w:rFonts w:ascii="Times New Roman" w:eastAsia="Segoe UI" w:hAnsi="Times New Roman" w:cs="Times New Roman"/>
          <w:kern w:val="36"/>
          <w:shd w:val="clear" w:color="auto" w:fill="FFFFFF"/>
          <w14:ligatures w14:val="none"/>
        </w:rPr>
        <w:t>Review of Previous Research on</w:t>
      </w:r>
    </w:p>
    <w:p w14:paraId="154B13C6" w14:textId="77777777" w:rsidR="00CA26B4" w:rsidRPr="00CA26B4" w:rsidRDefault="00CA26B4" w:rsidP="002C3670">
      <w:pPr>
        <w:shd w:val="clear" w:color="auto" w:fill="FFFFFF"/>
        <w:spacing w:after="0" w:line="240" w:lineRule="auto"/>
        <w:ind w:firstLine="720"/>
        <w:jc w:val="both"/>
        <w:outlineLvl w:val="0"/>
        <w:rPr>
          <w:rFonts w:ascii="Times New Roman" w:eastAsia="Arial" w:hAnsi="Times New Roman" w:cs="Times New Roman"/>
          <w:kern w:val="0"/>
          <w:u w:val="single"/>
          <w:shd w:val="clear" w:color="auto" w:fill="FFFFFF"/>
          <w14:ligatures w14:val="none"/>
        </w:rPr>
      </w:pPr>
      <w:r w:rsidRPr="00CA26B4">
        <w:rPr>
          <w:rFonts w:ascii="Times New Roman" w:eastAsia="Segoe UI" w:hAnsi="Times New Roman" w:cs="Times New Roman"/>
          <w:kern w:val="36"/>
          <w:shd w:val="clear" w:color="auto" w:fill="FFFFFF"/>
          <w14:ligatures w14:val="none"/>
        </w:rPr>
        <w:t xml:space="preserve"> Blockchain Adoption in Accounting with Examination of Organizational Decision-</w:t>
      </w:r>
      <w:r w:rsidRPr="00CA26B4">
        <w:rPr>
          <w:rFonts w:ascii="Times New Roman" w:eastAsia="Segoe UI" w:hAnsi="Times New Roman" w:cs="Times New Roman"/>
          <w:kern w:val="36"/>
          <w:shd w:val="clear" w:color="auto" w:fill="FFFFFF"/>
          <w14:ligatures w14:val="none"/>
        </w:rPr>
        <w:tab/>
        <w:t xml:space="preserve">Making Factors. </w:t>
      </w:r>
      <w:r w:rsidRPr="00CA26B4">
        <w:rPr>
          <w:rFonts w:ascii="Times New Roman" w:eastAsia="Times New Roman" w:hAnsi="Times New Roman" w:cs="Times New Roman"/>
          <w:i/>
          <w:iCs/>
          <w:kern w:val="36"/>
          <w14:ligatures w14:val="none"/>
        </w:rPr>
        <w:t>Business Marketing and Financial Open, 1</w:t>
      </w:r>
      <w:r w:rsidRPr="00CA26B4">
        <w:rPr>
          <w:rFonts w:ascii="Times New Roman" w:eastAsia="Times New Roman" w:hAnsi="Times New Roman" w:cs="Times New Roman"/>
          <w:kern w:val="36"/>
          <w14:ligatures w14:val="none"/>
        </w:rPr>
        <w:t xml:space="preserve">(1), 1-11. </w:t>
      </w:r>
      <w:r w:rsidRPr="00CA26B4">
        <w:rPr>
          <w:rFonts w:ascii="Times New Roman" w:eastAsia="Times New Roman" w:hAnsi="Times New Roman" w:cs="Times New Roman"/>
          <w:kern w:val="36"/>
          <w14:ligatures w14:val="none"/>
        </w:rPr>
        <w:tab/>
      </w:r>
      <w:r w:rsidRPr="00CA26B4">
        <w:rPr>
          <w:rFonts w:ascii="Times New Roman" w:eastAsia="Arial" w:hAnsi="Times New Roman" w:cs="Times New Roman"/>
          <w:color w:val="555555"/>
          <w:kern w:val="0"/>
          <w:shd w:val="clear" w:color="auto" w:fill="FFFFFF"/>
          <w14:ligatures w14:val="none"/>
        </w:rPr>
        <w:t>DOI:</w:t>
      </w:r>
      <w:hyperlink r:id="rId39" w:history="1">
        <w:r w:rsidRPr="00CA26B4">
          <w:rPr>
            <w:rFonts w:ascii="Times New Roman" w:eastAsia="Arial" w:hAnsi="Times New Roman" w:cs="Times New Roman"/>
            <w:color w:val="0000FF"/>
            <w:kern w:val="36"/>
            <w:u w:val="single"/>
            <w:shd w:val="clear" w:color="auto" w:fill="FFFFFF"/>
            <w14:ligatures w14:val="none"/>
          </w:rPr>
          <w:t>10.61838/bmfopen.293</w:t>
        </w:r>
      </w:hyperlink>
      <w:r w:rsidRPr="00CA26B4">
        <w:rPr>
          <w:rFonts w:ascii="Times New Roman" w:eastAsia="Arial" w:hAnsi="Times New Roman" w:cs="Times New Roman"/>
          <w:kern w:val="0"/>
          <w:u w:val="single"/>
          <w:shd w:val="clear" w:color="auto" w:fill="FFFFFF"/>
          <w14:ligatures w14:val="none"/>
        </w:rPr>
        <w:t xml:space="preserve"> </w:t>
      </w:r>
    </w:p>
    <w:p w14:paraId="7C42419B" w14:textId="77777777" w:rsidR="00CA26B4" w:rsidRPr="00CA26B4" w:rsidRDefault="00CA26B4" w:rsidP="002C3670">
      <w:pPr>
        <w:shd w:val="clear" w:color="auto" w:fill="FFFFFF"/>
        <w:spacing w:after="0" w:line="240" w:lineRule="auto"/>
        <w:jc w:val="both"/>
        <w:rPr>
          <w:rFonts w:ascii="Times New Roman" w:eastAsia="Times New Roman" w:hAnsi="Times New Roman" w:cs="Times New Roman"/>
          <w:color w:val="000000"/>
          <w:kern w:val="0"/>
          <w14:ligatures w14:val="none"/>
        </w:rPr>
      </w:pPr>
      <w:r w:rsidRPr="00CA26B4">
        <w:rPr>
          <w:rFonts w:ascii="Times New Roman" w:eastAsia="Poppins" w:hAnsi="Times New Roman" w:cs="Times New Roman"/>
          <w:color w:val="000000"/>
          <w:kern w:val="0"/>
          <w:shd w:val="clear" w:color="auto" w:fill="FFFFFF"/>
          <w14:ligatures w14:val="none"/>
        </w:rPr>
        <w:t xml:space="preserve"> </w:t>
      </w:r>
    </w:p>
    <w:p w14:paraId="14DBDDBC" w14:textId="77777777" w:rsidR="00CA26B4" w:rsidRPr="00CA26B4" w:rsidRDefault="00CA26B4" w:rsidP="002C3670">
      <w:pPr>
        <w:spacing w:after="0" w:line="240" w:lineRule="auto"/>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 xml:space="preserve">Lawal, B. (2026, March 6). Online Marketing Agencies in Port Harcourt. </w:t>
      </w:r>
    </w:p>
    <w:p w14:paraId="51D623AD" w14:textId="77777777" w:rsidR="00CA26B4" w:rsidRPr="00CA26B4" w:rsidRDefault="00CA26B4" w:rsidP="002C3670">
      <w:pPr>
        <w:spacing w:after="0" w:line="240" w:lineRule="auto"/>
        <w:ind w:firstLine="720"/>
        <w:jc w:val="both"/>
        <w:rPr>
          <w:rFonts w:ascii="Times New Roman" w:eastAsia="Calibri" w:hAnsi="Times New Roman" w:cs="Times New Roman"/>
          <w:kern w:val="0"/>
          <w14:ligatures w14:val="none"/>
        </w:rPr>
      </w:pPr>
      <w:r w:rsidRPr="00CA26B4">
        <w:rPr>
          <w:rFonts w:ascii="Times New Roman" w:eastAsia="Calibri" w:hAnsi="Times New Roman" w:cs="Times New Roman"/>
          <w:kern w:val="0"/>
          <w14:ligatures w14:val="none"/>
        </w:rPr>
        <w:t>https://socialander.com/digital-marketing-companies-in-port-harcourt/#</w:t>
      </w:r>
    </w:p>
    <w:p w14:paraId="1F238E66" w14:textId="77777777" w:rsidR="00CA26B4" w:rsidRPr="00CA26B4" w:rsidRDefault="00CA26B4" w:rsidP="002C3670">
      <w:pPr>
        <w:spacing w:after="0" w:line="240" w:lineRule="auto"/>
        <w:jc w:val="both"/>
        <w:rPr>
          <w:rFonts w:ascii="Times New Roman" w:eastAsia="Calibri" w:hAnsi="Times New Roman" w:cs="Times New Roman"/>
          <w:kern w:val="0"/>
          <w14:ligatures w14:val="none"/>
        </w:rPr>
      </w:pPr>
    </w:p>
    <w:p w14:paraId="321A9DC5" w14:textId="77777777" w:rsidR="00CA26B4" w:rsidRPr="00CA26B4" w:rsidRDefault="00CA26B4" w:rsidP="002C3670">
      <w:pPr>
        <w:spacing w:after="0" w:line="240" w:lineRule="auto"/>
        <w:jc w:val="both"/>
        <w:rPr>
          <w:rFonts w:ascii="Times New Roman" w:eastAsia="Times New Roman" w:hAnsi="Times New Roman" w:cs="Times New Roman"/>
          <w:color w:val="000000"/>
          <w:kern w:val="36"/>
          <w14:ligatures w14:val="none"/>
        </w:rPr>
      </w:pPr>
      <w:r w:rsidRPr="00CA26B4">
        <w:rPr>
          <w:rFonts w:ascii="Times New Roman" w:eastAsia="Times New Roman" w:hAnsi="Times New Roman" w:cs="Times New Roman"/>
          <w:color w:val="000000"/>
          <w:kern w:val="0"/>
          <w14:ligatures w14:val="none"/>
        </w:rPr>
        <w:t xml:space="preserve">Owusu, A., </w:t>
      </w:r>
      <w:proofErr w:type="spellStart"/>
      <w:r w:rsidRPr="00CA26B4">
        <w:rPr>
          <w:rFonts w:ascii="Times New Roman" w:eastAsia="Times New Roman" w:hAnsi="Times New Roman" w:cs="Times New Roman"/>
          <w:color w:val="000000"/>
          <w:kern w:val="0"/>
          <w14:ligatures w14:val="none"/>
        </w:rPr>
        <w:t>Vedaste</w:t>
      </w:r>
      <w:proofErr w:type="spellEnd"/>
      <w:r w:rsidRPr="00CA26B4">
        <w:rPr>
          <w:rFonts w:ascii="Times New Roman" w:eastAsia="Times New Roman" w:hAnsi="Times New Roman" w:cs="Times New Roman"/>
          <w:color w:val="000000"/>
          <w:kern w:val="0"/>
          <w14:ligatures w14:val="none"/>
        </w:rPr>
        <w:t xml:space="preserve">, M., Adjei, N., Sawadogo, </w:t>
      </w:r>
      <w:proofErr w:type="gramStart"/>
      <w:r w:rsidRPr="00CA26B4">
        <w:rPr>
          <w:rFonts w:ascii="Times New Roman" w:eastAsia="Times New Roman" w:hAnsi="Times New Roman" w:cs="Times New Roman"/>
          <w:color w:val="000000"/>
          <w:kern w:val="0"/>
          <w14:ligatures w14:val="none"/>
        </w:rPr>
        <w:t>S.(</w:t>
      </w:r>
      <w:proofErr w:type="gramEnd"/>
      <w:r w:rsidRPr="00CA26B4">
        <w:rPr>
          <w:rFonts w:ascii="Times New Roman" w:eastAsia="Times New Roman" w:hAnsi="Times New Roman" w:cs="Times New Roman"/>
          <w:color w:val="000000"/>
          <w:kern w:val="0"/>
          <w14:ligatures w14:val="none"/>
        </w:rPr>
        <w:t xml:space="preserve">2023). </w:t>
      </w:r>
      <w:r w:rsidRPr="00CA26B4">
        <w:rPr>
          <w:rFonts w:ascii="Times New Roman" w:eastAsia="Times New Roman" w:hAnsi="Times New Roman" w:cs="Times New Roman"/>
          <w:color w:val="000000"/>
          <w:kern w:val="36"/>
          <w14:ligatures w14:val="none"/>
        </w:rPr>
        <w:t>Virtual Workspaces Vs. Traditional</w:t>
      </w:r>
    </w:p>
    <w:p w14:paraId="422369AE" w14:textId="77777777" w:rsidR="00CA26B4" w:rsidRPr="00CA26B4" w:rsidRDefault="00CA26B4" w:rsidP="002C3670">
      <w:pPr>
        <w:spacing w:after="0" w:line="240" w:lineRule="auto"/>
        <w:ind w:firstLine="720"/>
        <w:jc w:val="both"/>
        <w:rPr>
          <w:rFonts w:ascii="Times New Roman" w:eastAsia="Times New Roman" w:hAnsi="Times New Roman" w:cs="Times New Roman"/>
          <w:color w:val="000000"/>
          <w:kern w:val="36"/>
          <w14:ligatures w14:val="none"/>
        </w:rPr>
      </w:pPr>
      <w:r w:rsidRPr="00CA26B4">
        <w:rPr>
          <w:rFonts w:ascii="Times New Roman" w:eastAsia="Times New Roman" w:hAnsi="Times New Roman" w:cs="Times New Roman"/>
          <w:color w:val="000000"/>
          <w:kern w:val="36"/>
          <w14:ligatures w14:val="none"/>
        </w:rPr>
        <w:lastRenderedPageBreak/>
        <w:t xml:space="preserve">Offices: A Shift in the Workplace Paradigm. </w:t>
      </w:r>
      <w:hyperlink r:id="rId40" w:history="1">
        <w:r w:rsidRPr="00CA26B4">
          <w:rPr>
            <w:rFonts w:ascii="Times New Roman" w:eastAsia="Times New Roman" w:hAnsi="Times New Roman" w:cs="Times New Roman"/>
            <w:color w:val="0000FF"/>
            <w:kern w:val="36"/>
            <w:u w:val="single"/>
            <w14:ligatures w14:val="none"/>
          </w:rPr>
          <w:t>https://www.researchgate.net/publication/</w:t>
        </w:r>
      </w:hyperlink>
    </w:p>
    <w:p w14:paraId="639A0D41" w14:textId="77777777" w:rsidR="00CA26B4" w:rsidRPr="00CA26B4" w:rsidRDefault="00CA26B4" w:rsidP="002C3670">
      <w:pPr>
        <w:spacing w:after="0" w:line="240" w:lineRule="auto"/>
        <w:ind w:left="720"/>
        <w:jc w:val="both"/>
        <w:rPr>
          <w:rFonts w:ascii="Times New Roman" w:eastAsia="Times New Roman" w:hAnsi="Times New Roman" w:cs="Times New Roman"/>
          <w:color w:val="000000"/>
          <w:kern w:val="0"/>
          <w14:ligatures w14:val="none"/>
        </w:rPr>
      </w:pPr>
      <w:r w:rsidRPr="00CA26B4">
        <w:rPr>
          <w:rFonts w:ascii="Times New Roman" w:eastAsia="Times New Roman" w:hAnsi="Times New Roman" w:cs="Times New Roman"/>
          <w:color w:val="000000"/>
          <w:kern w:val="36"/>
          <w14:ligatures w14:val="none"/>
        </w:rPr>
        <w:t>387335915_VIRTUAL_WORKSPACES_VS_TRADITIONAL_OFFICES_A_SHIFT_IN_THE_WORKPLACE_PARADIGM</w:t>
      </w:r>
    </w:p>
    <w:p w14:paraId="27FB56AC" w14:textId="77777777" w:rsidR="00CA26B4" w:rsidRPr="00CA26B4" w:rsidRDefault="00CA26B4" w:rsidP="002C3670">
      <w:pPr>
        <w:spacing w:after="0" w:line="240" w:lineRule="auto"/>
        <w:jc w:val="both"/>
        <w:rPr>
          <w:rFonts w:ascii="Times New Roman" w:eastAsia="SimSun" w:hAnsi="Times New Roman" w:cs="Times New Roman"/>
          <w:kern w:val="0"/>
          <w14:ligatures w14:val="none"/>
        </w:rPr>
      </w:pPr>
    </w:p>
    <w:p w14:paraId="7038D913" w14:textId="77777777" w:rsidR="00CA26B4" w:rsidRPr="00CA26B4" w:rsidRDefault="00CA26B4" w:rsidP="002C3670">
      <w:pPr>
        <w:spacing w:after="0" w:line="240" w:lineRule="auto"/>
        <w:jc w:val="both"/>
        <w:rPr>
          <w:rFonts w:ascii="Times New Roman" w:eastAsia="SimSun" w:hAnsi="Times New Roman" w:cs="Times New Roman"/>
          <w:kern w:val="0"/>
          <w14:ligatures w14:val="none"/>
        </w:rPr>
      </w:pPr>
      <w:proofErr w:type="spellStart"/>
      <w:r w:rsidRPr="00CA26B4">
        <w:rPr>
          <w:rFonts w:ascii="Times New Roman" w:eastAsia="SimSun" w:hAnsi="Times New Roman" w:cs="Times New Roman"/>
          <w:kern w:val="0"/>
          <w14:ligatures w14:val="none"/>
        </w:rPr>
        <w:t>Prising</w:t>
      </w:r>
      <w:proofErr w:type="spellEnd"/>
      <w:r w:rsidRPr="00CA26B4">
        <w:rPr>
          <w:rFonts w:ascii="Times New Roman" w:eastAsia="SimSun" w:hAnsi="Times New Roman" w:cs="Times New Roman"/>
          <w:kern w:val="0"/>
          <w14:ligatures w14:val="none"/>
        </w:rPr>
        <w:t xml:space="preserve">, J., Sorenson, </w:t>
      </w:r>
      <w:proofErr w:type="gramStart"/>
      <w:r w:rsidRPr="00CA26B4">
        <w:rPr>
          <w:rFonts w:ascii="Times New Roman" w:eastAsia="SimSun" w:hAnsi="Times New Roman" w:cs="Times New Roman"/>
          <w:kern w:val="0"/>
          <w14:ligatures w14:val="none"/>
        </w:rPr>
        <w:t>A.,&amp;</w:t>
      </w:r>
      <w:proofErr w:type="gramEnd"/>
      <w:r w:rsidRPr="00CA26B4">
        <w:rPr>
          <w:rFonts w:ascii="Times New Roman" w:eastAsia="SimSun" w:hAnsi="Times New Roman" w:cs="Times New Roman"/>
          <w:kern w:val="0"/>
          <w14:ligatures w14:val="none"/>
        </w:rPr>
        <w:t xml:space="preserve"> Weinel, B. (2019). System Initiative on Shaping the Future of Digital</w:t>
      </w:r>
    </w:p>
    <w:p w14:paraId="4FECB0E0" w14:textId="77777777" w:rsidR="00CA26B4" w:rsidRPr="00CA26B4" w:rsidRDefault="00CA26B4" w:rsidP="002C3670">
      <w:pPr>
        <w:spacing w:after="0" w:line="240" w:lineRule="auto"/>
        <w:ind w:firstLine="720"/>
        <w:jc w:val="both"/>
        <w:rPr>
          <w:rFonts w:ascii="Times New Roman" w:eastAsia="Calibri" w:hAnsi="Times New Roman" w:cs="Times New Roman"/>
          <w:kern w:val="0"/>
          <w14:ligatures w14:val="none"/>
        </w:rPr>
      </w:pPr>
      <w:r w:rsidRPr="00CA26B4">
        <w:rPr>
          <w:rFonts w:ascii="Times New Roman" w:eastAsia="SimSun" w:hAnsi="Times New Roman" w:cs="Times New Roman"/>
          <w:kern w:val="0"/>
          <w14:ligatures w14:val="none"/>
        </w:rPr>
        <w:t xml:space="preserve"> Economy and Society: Digital Transformation Initiative Maximizing the Return on </w:t>
      </w:r>
      <w:r w:rsidRPr="00CA26B4">
        <w:rPr>
          <w:rFonts w:ascii="Times New Roman" w:eastAsia="SimSun" w:hAnsi="Times New Roman" w:cs="Times New Roman"/>
          <w:kern w:val="0"/>
          <w14:ligatures w14:val="none"/>
        </w:rPr>
        <w:tab/>
        <w:t xml:space="preserve">Digital Investments, </w:t>
      </w:r>
      <w:r w:rsidRPr="00CA26B4">
        <w:rPr>
          <w:rFonts w:ascii="Times New Roman" w:eastAsia="Calibri" w:hAnsi="Times New Roman" w:cs="Times New Roman"/>
          <w:kern w:val="0"/>
          <w14:ligatures w14:val="none"/>
        </w:rPr>
        <w:t xml:space="preserve">Working Paper of World Economic Forum, </w:t>
      </w:r>
      <w:r w:rsidRPr="00CA26B4">
        <w:rPr>
          <w:rFonts w:ascii="Times New Roman" w:eastAsia="SimSun" w:hAnsi="Times New Roman" w:cs="Times New Roman"/>
          <w:kern w:val="0"/>
          <w14:ligatures w14:val="none"/>
        </w:rPr>
        <w:t xml:space="preserve">May. </w:t>
      </w:r>
      <w:r w:rsidRPr="00CA26B4">
        <w:rPr>
          <w:rFonts w:ascii="Times New Roman" w:eastAsia="SimSun" w:hAnsi="Times New Roman" w:cs="Times New Roman"/>
          <w:kern w:val="0"/>
          <w14:ligatures w14:val="none"/>
        </w:rPr>
        <w:tab/>
        <w:t>https://www3.weforum.org/docs/DTI_Maximizing_Return_Digital_WP.pdf</w:t>
      </w:r>
    </w:p>
    <w:p w14:paraId="464A6EB2" w14:textId="77777777" w:rsidR="00CA26B4" w:rsidRPr="00CA26B4" w:rsidRDefault="00CA26B4" w:rsidP="002C3670">
      <w:pPr>
        <w:shd w:val="clear" w:color="auto" w:fill="FFFFFF"/>
        <w:spacing w:after="0" w:line="240" w:lineRule="auto"/>
        <w:jc w:val="both"/>
        <w:rPr>
          <w:rFonts w:ascii="Times New Roman" w:eastAsia="Poppins" w:hAnsi="Times New Roman" w:cs="Times New Roman"/>
          <w:color w:val="000000"/>
          <w:kern w:val="0"/>
          <w:shd w:val="clear" w:color="auto" w:fill="FFFFFF"/>
          <w14:ligatures w14:val="none"/>
        </w:rPr>
      </w:pPr>
    </w:p>
    <w:p w14:paraId="30857D07" w14:textId="77777777" w:rsidR="00CA26B4" w:rsidRPr="00CA26B4" w:rsidRDefault="00CA26B4" w:rsidP="002C3670">
      <w:pPr>
        <w:keepNext/>
        <w:keepLines/>
        <w:spacing w:after="0" w:line="240" w:lineRule="auto"/>
        <w:jc w:val="both"/>
        <w:textAlignment w:val="center"/>
        <w:outlineLvl w:val="1"/>
        <w:rPr>
          <w:rFonts w:ascii="Times New Roman" w:eastAsia="SimSun" w:hAnsi="Times New Roman" w:cs="Times New Roman"/>
          <w:bCs/>
          <w:color w:val="000000"/>
          <w:kern w:val="0"/>
          <w14:ligatures w14:val="none"/>
        </w:rPr>
      </w:pPr>
      <w:r w:rsidRPr="00CA26B4">
        <w:rPr>
          <w:rFonts w:ascii="Times New Roman" w:eastAsia="SimSun" w:hAnsi="Times New Roman" w:cs="Times New Roman"/>
          <w:bCs/>
          <w:color w:val="000000"/>
          <w:kern w:val="0"/>
          <w14:ligatures w14:val="none"/>
        </w:rPr>
        <w:t xml:space="preserve">Skare, M., &amp; Soriano, D.R. (2021). How globalization is changing digital technology adoption: </w:t>
      </w:r>
    </w:p>
    <w:p w14:paraId="0C1A51A2" w14:textId="77777777" w:rsidR="00CA26B4" w:rsidRPr="00CA26B4" w:rsidRDefault="00CA26B4" w:rsidP="002C3670">
      <w:pPr>
        <w:keepNext/>
        <w:keepLines/>
        <w:spacing w:after="0" w:line="240" w:lineRule="auto"/>
        <w:jc w:val="both"/>
        <w:textAlignment w:val="center"/>
        <w:outlineLvl w:val="1"/>
        <w:rPr>
          <w:rFonts w:ascii="Times New Roman" w:eastAsia="SimSun" w:hAnsi="Times New Roman" w:cs="Times New Roman"/>
          <w:bCs/>
          <w:color w:val="000000"/>
          <w:kern w:val="0"/>
          <w14:ligatures w14:val="none"/>
        </w:rPr>
      </w:pPr>
      <w:r w:rsidRPr="00CA26B4">
        <w:rPr>
          <w:rFonts w:ascii="Times New Roman" w:eastAsia="SimSun" w:hAnsi="Times New Roman" w:cs="Times New Roman"/>
          <w:bCs/>
          <w:color w:val="000000"/>
          <w:kern w:val="0"/>
          <w14:ligatures w14:val="none"/>
        </w:rPr>
        <w:tab/>
        <w:t>An international perspective</w:t>
      </w:r>
      <w:r w:rsidRPr="00CA26B4">
        <w:rPr>
          <w:rFonts w:ascii="Times New Roman" w:eastAsia="SimSun" w:hAnsi="Times New Roman" w:cs="Times New Roman"/>
          <w:b/>
          <w:bCs/>
          <w:color w:val="000000"/>
          <w:kern w:val="0"/>
          <w14:ligatures w14:val="none"/>
        </w:rPr>
        <w:t xml:space="preserve">. </w:t>
      </w:r>
      <w:hyperlink r:id="rId41" w:tooltip="Go to Journal of Innovation &amp; Knowledge on ScienceDirect" w:history="1">
        <w:r w:rsidRPr="00CA26B4">
          <w:rPr>
            <w:rFonts w:ascii="Times New Roman" w:eastAsia="SimSun" w:hAnsi="Times New Roman" w:cs="Times New Roman"/>
            <w:bCs/>
            <w:i/>
            <w:color w:val="000000"/>
            <w:kern w:val="0"/>
            <w14:ligatures w14:val="none"/>
          </w:rPr>
          <w:t>Journal of Innovation &amp; Knowledge</w:t>
        </w:r>
      </w:hyperlink>
      <w:r w:rsidRPr="00CA26B4">
        <w:rPr>
          <w:rFonts w:ascii="Times New Roman" w:eastAsia="SimSun" w:hAnsi="Times New Roman" w:cs="Times New Roman"/>
          <w:bCs/>
          <w:i/>
          <w:color w:val="000000"/>
          <w:kern w:val="0"/>
          <w14:ligatures w14:val="none"/>
        </w:rPr>
        <w:t>, 6</w:t>
      </w:r>
      <w:r w:rsidRPr="00CA26B4">
        <w:rPr>
          <w:rFonts w:ascii="Times New Roman" w:eastAsia="SimSun" w:hAnsi="Times New Roman" w:cs="Times New Roman"/>
          <w:bCs/>
          <w:color w:val="000000"/>
          <w:kern w:val="0"/>
          <w14:ligatures w14:val="none"/>
        </w:rPr>
        <w:t>(4), 222-233.</w:t>
      </w:r>
    </w:p>
    <w:p w14:paraId="68BA7064" w14:textId="77777777" w:rsidR="00CA26B4" w:rsidRPr="00CA26B4" w:rsidRDefault="00CA26B4" w:rsidP="002C3670">
      <w:pPr>
        <w:spacing w:after="0" w:line="240" w:lineRule="auto"/>
        <w:ind w:firstLine="720"/>
        <w:jc w:val="both"/>
        <w:rPr>
          <w:rFonts w:ascii="Times New Roman" w:eastAsia="Times New Roman" w:hAnsi="Times New Roman" w:cs="Times New Roman"/>
          <w:color w:val="000000"/>
          <w:kern w:val="0"/>
          <w14:ligatures w14:val="none"/>
        </w:rPr>
      </w:pPr>
      <w:hyperlink r:id="rId42" w:tgtFrame="_blank" w:tooltip="Persistent link using digital object identifier" w:history="1">
        <w:r w:rsidRPr="00CA26B4">
          <w:rPr>
            <w:rFonts w:ascii="Times New Roman" w:eastAsia="Times New Roman" w:hAnsi="Times New Roman" w:cs="Times New Roman"/>
            <w:color w:val="000000"/>
            <w:kern w:val="0"/>
            <w14:ligatures w14:val="none"/>
          </w:rPr>
          <w:t>https://doi.org/10.1016/j.jik.2021.04.001</w:t>
        </w:r>
      </w:hyperlink>
    </w:p>
    <w:p w14:paraId="5376A38A" w14:textId="77777777" w:rsidR="00CA26B4" w:rsidRPr="00CA26B4" w:rsidRDefault="00CA26B4" w:rsidP="002C3670">
      <w:pPr>
        <w:shd w:val="clear" w:color="auto" w:fill="FFFFFF"/>
        <w:spacing w:after="0" w:line="240" w:lineRule="auto"/>
        <w:jc w:val="both"/>
        <w:rPr>
          <w:rFonts w:ascii="Times New Roman" w:eastAsia="Poppins" w:hAnsi="Times New Roman" w:cs="Times New Roman"/>
          <w:color w:val="000000"/>
          <w:kern w:val="0"/>
          <w:shd w:val="clear" w:color="auto" w:fill="FFFFFF"/>
          <w14:ligatures w14:val="none"/>
        </w:rPr>
      </w:pPr>
    </w:p>
    <w:p w14:paraId="096CBE9A" w14:textId="77777777" w:rsidR="00CA26B4" w:rsidRPr="00CA26B4" w:rsidRDefault="00CA26B4" w:rsidP="002C3670">
      <w:pPr>
        <w:shd w:val="clear" w:color="auto" w:fill="FFFFFF"/>
        <w:spacing w:after="0" w:line="240" w:lineRule="auto"/>
        <w:jc w:val="both"/>
        <w:rPr>
          <w:rFonts w:ascii="Times New Roman" w:eastAsia="Poppins" w:hAnsi="Times New Roman" w:cs="Times New Roman"/>
          <w:color w:val="000000"/>
          <w:kern w:val="0"/>
          <w:shd w:val="clear" w:color="auto" w:fill="FFFFFF"/>
          <w14:ligatures w14:val="none"/>
        </w:rPr>
      </w:pPr>
      <w:r w:rsidRPr="00CA26B4">
        <w:rPr>
          <w:rFonts w:ascii="Times New Roman" w:eastAsia="Poppins" w:hAnsi="Times New Roman" w:cs="Times New Roman"/>
          <w:color w:val="000000"/>
          <w:kern w:val="0"/>
          <w:shd w:val="clear" w:color="auto" w:fill="FFFFFF"/>
          <w14:ligatures w14:val="none"/>
        </w:rPr>
        <w:t>Taylor, O. (2024, March 2</w:t>
      </w:r>
      <w:proofErr w:type="gramStart"/>
      <w:r w:rsidRPr="00CA26B4">
        <w:rPr>
          <w:rFonts w:ascii="Times New Roman" w:eastAsia="Poppins" w:hAnsi="Times New Roman" w:cs="Times New Roman"/>
          <w:color w:val="000000"/>
          <w:kern w:val="0"/>
          <w:shd w:val="clear" w:color="auto" w:fill="FFFFFF"/>
          <w14:ligatures w14:val="none"/>
        </w:rPr>
        <w:t>).What</w:t>
      </w:r>
      <w:proofErr w:type="gramEnd"/>
      <w:r w:rsidRPr="00CA26B4">
        <w:rPr>
          <w:rFonts w:ascii="Times New Roman" w:eastAsia="Poppins" w:hAnsi="Times New Roman" w:cs="Times New Roman"/>
          <w:color w:val="000000"/>
          <w:kern w:val="0"/>
          <w:shd w:val="clear" w:color="auto" w:fill="FFFFFF"/>
          <w14:ligatures w14:val="none"/>
        </w:rPr>
        <w:t xml:space="preserve"> is Blockchain Accounting: A Complete Overview.</w:t>
      </w:r>
    </w:p>
    <w:p w14:paraId="2BD8C8C7" w14:textId="77777777" w:rsidR="00CA26B4" w:rsidRPr="00CA26B4" w:rsidRDefault="00CA26B4" w:rsidP="002C3670">
      <w:pPr>
        <w:shd w:val="clear" w:color="auto" w:fill="FFFFFF"/>
        <w:spacing w:after="0" w:line="240" w:lineRule="auto"/>
        <w:ind w:left="-452" w:firstLine="1437"/>
        <w:rPr>
          <w:rFonts w:ascii="Times New Roman" w:eastAsia="Poppins" w:hAnsi="Times New Roman" w:cs="Times New Roman"/>
          <w:color w:val="000000"/>
          <w:kern w:val="0"/>
          <w14:ligatures w14:val="none"/>
        </w:rPr>
      </w:pPr>
      <w:r w:rsidRPr="00CA26B4">
        <w:rPr>
          <w:rFonts w:ascii="Times New Roman" w:eastAsia="Poppins" w:hAnsi="Times New Roman" w:cs="Times New Roman"/>
          <w:color w:val="000000"/>
          <w:kern w:val="0"/>
          <w:shd w:val="clear" w:color="auto" w:fill="FFFFFF"/>
          <w14:ligatures w14:val="none"/>
        </w:rPr>
        <w:t xml:space="preserve"> https://www.theknowledgeacademy.com/blog/blockchain-accounting/#</w:t>
      </w:r>
    </w:p>
    <w:p w14:paraId="369B41ED" w14:textId="77777777" w:rsidR="00CA26B4" w:rsidRPr="00CA26B4" w:rsidRDefault="00CA26B4" w:rsidP="002C3670">
      <w:pPr>
        <w:spacing w:after="0" w:line="240" w:lineRule="auto"/>
        <w:rPr>
          <w:rFonts w:ascii="Times New Roman" w:eastAsia="SimSun" w:hAnsi="Times New Roman" w:cs="Times New Roman"/>
          <w:kern w:val="0"/>
          <w14:ligatures w14:val="none"/>
        </w:rPr>
      </w:pPr>
      <w:r w:rsidRPr="00CA26B4">
        <w:rPr>
          <w:rFonts w:ascii="Times New Roman" w:eastAsia="SimSun" w:hAnsi="Times New Roman" w:cs="Times New Roman"/>
          <w:kern w:val="0"/>
          <w14:ligatures w14:val="none"/>
        </w:rPr>
        <w:t xml:space="preserve"> </w:t>
      </w:r>
    </w:p>
    <w:p w14:paraId="7D3CED72" w14:textId="77777777" w:rsidR="00CA26B4" w:rsidRPr="00CA26B4" w:rsidRDefault="00CA26B4" w:rsidP="002C3670">
      <w:pPr>
        <w:shd w:val="clear" w:color="auto" w:fill="FFFFFF"/>
        <w:spacing w:after="0" w:line="240" w:lineRule="auto"/>
        <w:rPr>
          <w:rFonts w:ascii="Times New Roman" w:eastAsia="SimSun" w:hAnsi="Times New Roman" w:cs="Times New Roman"/>
          <w:kern w:val="0"/>
          <w14:ligatures w14:val="none"/>
        </w:rPr>
      </w:pPr>
      <w:r w:rsidRPr="00CA26B4">
        <w:rPr>
          <w:rFonts w:ascii="Times New Roman" w:eastAsia="SimSun" w:hAnsi="Times New Roman" w:cs="Times New Roman"/>
          <w:kern w:val="0"/>
          <w14:ligatures w14:val="none"/>
        </w:rPr>
        <w:t xml:space="preserve"> Umoren, A.,   </w:t>
      </w:r>
      <w:proofErr w:type="spellStart"/>
      <w:r w:rsidRPr="00CA26B4">
        <w:rPr>
          <w:rFonts w:ascii="Times New Roman" w:eastAsia="SimSun" w:hAnsi="Times New Roman" w:cs="Times New Roman"/>
          <w:kern w:val="0"/>
          <w14:ligatures w14:val="none"/>
        </w:rPr>
        <w:t>Ukpeh</w:t>
      </w:r>
      <w:proofErr w:type="spellEnd"/>
      <w:r w:rsidRPr="00CA26B4">
        <w:rPr>
          <w:rFonts w:ascii="Times New Roman" w:eastAsia="SimSun" w:hAnsi="Times New Roman" w:cs="Times New Roman"/>
          <w:kern w:val="0"/>
          <w14:ligatures w14:val="none"/>
        </w:rPr>
        <w:t>, G., &amp; Ewang, A.I. (2024). Blockchain Technology and Accounting</w:t>
      </w:r>
    </w:p>
    <w:p w14:paraId="256E3224" w14:textId="77777777" w:rsidR="00CA26B4" w:rsidRPr="00CA26B4" w:rsidRDefault="00CA26B4" w:rsidP="002C3670">
      <w:pPr>
        <w:spacing w:after="0" w:line="240" w:lineRule="auto"/>
        <w:rPr>
          <w:rFonts w:ascii="Times New Roman" w:eastAsia="SimSun" w:hAnsi="Times New Roman" w:cs="Times New Roman"/>
          <w:kern w:val="0"/>
          <w14:ligatures w14:val="none"/>
        </w:rPr>
      </w:pPr>
      <w:r w:rsidRPr="00CA26B4">
        <w:rPr>
          <w:rFonts w:ascii="Times New Roman" w:eastAsia="SimSun" w:hAnsi="Times New Roman" w:cs="Times New Roman"/>
          <w:kern w:val="0"/>
          <w14:ligatures w14:val="none"/>
        </w:rPr>
        <w:t xml:space="preserve">  </w:t>
      </w:r>
      <w:r w:rsidRPr="00CA26B4">
        <w:rPr>
          <w:rFonts w:ascii="Times New Roman" w:eastAsia="SimSun" w:hAnsi="Times New Roman" w:cs="Times New Roman"/>
          <w:kern w:val="0"/>
          <w14:ligatures w14:val="none"/>
        </w:rPr>
        <w:tab/>
        <w:t xml:space="preserve">Practice in Nigeria.  </w:t>
      </w:r>
      <w:r w:rsidRPr="00CA26B4">
        <w:rPr>
          <w:rFonts w:ascii="Times New Roman" w:eastAsia="SimSun" w:hAnsi="Times New Roman" w:cs="Times New Roman"/>
          <w:i/>
          <w:iCs/>
          <w:kern w:val="0"/>
          <w14:ligatures w14:val="none"/>
        </w:rPr>
        <w:t>Journal of Accounting and Financial Management 10</w:t>
      </w:r>
      <w:r w:rsidRPr="00CA26B4">
        <w:rPr>
          <w:rFonts w:ascii="Times New Roman" w:eastAsia="SimSun" w:hAnsi="Times New Roman" w:cs="Times New Roman"/>
          <w:kern w:val="0"/>
          <w14:ligatures w14:val="none"/>
        </w:rPr>
        <w:t xml:space="preserve">(7),90-110 </w:t>
      </w:r>
    </w:p>
    <w:p w14:paraId="0F864F25" w14:textId="77777777" w:rsidR="00CA26B4" w:rsidRPr="00CA26B4" w:rsidRDefault="00CA26B4" w:rsidP="00CA26B4">
      <w:pPr>
        <w:spacing w:after="0" w:line="240" w:lineRule="auto"/>
        <w:rPr>
          <w:rFonts w:ascii="Times New Roman" w:eastAsia="SimSun" w:hAnsi="Times New Roman" w:cs="Times New Roman"/>
          <w:kern w:val="0"/>
          <w14:ligatures w14:val="none"/>
        </w:rPr>
      </w:pPr>
    </w:p>
    <w:p w14:paraId="2E96FD88" w14:textId="77777777" w:rsidR="00CA26B4" w:rsidRPr="00CA26B4" w:rsidRDefault="00CA26B4" w:rsidP="00CA26B4">
      <w:pPr>
        <w:spacing w:before="100" w:beforeAutospacing="1" w:after="200" w:line="273" w:lineRule="auto"/>
        <w:rPr>
          <w:rFonts w:ascii="Times New Roman" w:eastAsia="Times New Roman" w:hAnsi="Times New Roman" w:cs="Times New Roman"/>
          <w:kern w:val="0"/>
          <w14:ligatures w14:val="none"/>
        </w:rPr>
      </w:pPr>
    </w:p>
    <w:p w14:paraId="718921FF" w14:textId="77777777" w:rsidR="00CA26B4" w:rsidRPr="00CA26B4" w:rsidRDefault="00CA26B4" w:rsidP="00CA26B4">
      <w:pPr>
        <w:spacing w:before="100" w:beforeAutospacing="1" w:after="200" w:line="273" w:lineRule="auto"/>
        <w:rPr>
          <w:rFonts w:ascii="Times New Roman" w:eastAsia="Times New Roman" w:hAnsi="Times New Roman" w:cs="Times New Roman"/>
          <w:kern w:val="0"/>
          <w14:ligatures w14:val="none"/>
        </w:rPr>
      </w:pPr>
    </w:p>
    <w:p w14:paraId="34EA1A70" w14:textId="77777777" w:rsidR="00CA26B4" w:rsidRPr="00CA26B4" w:rsidRDefault="00CA26B4" w:rsidP="00CA26B4">
      <w:pPr>
        <w:spacing w:before="100" w:beforeAutospacing="1" w:after="200" w:line="273" w:lineRule="auto"/>
        <w:rPr>
          <w:rFonts w:ascii="Times New Roman" w:eastAsia="Times New Roman" w:hAnsi="Times New Roman" w:cs="Times New Roman"/>
          <w:color w:val="000000"/>
          <w:kern w:val="0"/>
          <w14:ligatures w14:val="none"/>
        </w:rPr>
      </w:pPr>
    </w:p>
    <w:p w14:paraId="14051C9F" w14:textId="77777777" w:rsidR="00CA26B4" w:rsidRPr="00CA26B4" w:rsidRDefault="00CA26B4" w:rsidP="00CA26B4">
      <w:pPr>
        <w:spacing w:before="100" w:beforeAutospacing="1" w:after="200" w:line="330" w:lineRule="atLeast"/>
        <w:rPr>
          <w:rFonts w:ascii="Times New Roman" w:eastAsia="Times New Roman" w:hAnsi="Times New Roman" w:cs="Times New Roman"/>
          <w:color w:val="000000"/>
          <w:kern w:val="0"/>
          <w14:ligatures w14:val="none"/>
        </w:rPr>
      </w:pPr>
    </w:p>
    <w:p w14:paraId="2327C2C0" w14:textId="77777777" w:rsidR="00CA26B4" w:rsidRPr="00CA26B4" w:rsidRDefault="00CA26B4" w:rsidP="00CA26B4">
      <w:pPr>
        <w:spacing w:before="100" w:beforeAutospacing="1" w:after="200" w:line="330" w:lineRule="atLeast"/>
        <w:rPr>
          <w:rFonts w:ascii="Times New Roman" w:eastAsia="Times New Roman" w:hAnsi="Times New Roman" w:cs="Times New Roman"/>
          <w:color w:val="1F1F1F"/>
          <w:kern w:val="0"/>
          <w14:ligatures w14:val="none"/>
        </w:rPr>
      </w:pPr>
    </w:p>
    <w:p w14:paraId="47670210" w14:textId="77777777" w:rsidR="00CA26B4" w:rsidRPr="00CA26B4" w:rsidRDefault="00CA26B4" w:rsidP="00CA26B4">
      <w:pPr>
        <w:spacing w:before="100" w:beforeAutospacing="1" w:after="200" w:line="273" w:lineRule="auto"/>
        <w:rPr>
          <w:rFonts w:ascii="Arial" w:eastAsia="Arial" w:hAnsi="Arial" w:cs="Arial"/>
          <w:color w:val="0A0A0A"/>
          <w:kern w:val="0"/>
          <w:shd w:val="clear" w:color="auto" w:fill="FFFFFF"/>
          <w14:ligatures w14:val="none"/>
        </w:rPr>
      </w:pPr>
    </w:p>
    <w:p w14:paraId="435D1091" w14:textId="77777777" w:rsidR="00CA26B4" w:rsidRDefault="00CA26B4" w:rsidP="002610CA">
      <w:pPr>
        <w:spacing w:after="0" w:line="240" w:lineRule="auto"/>
        <w:jc w:val="center"/>
        <w:rPr>
          <w:rFonts w:ascii="Times New Roman" w:hAnsi="Times New Roman" w:cs="Times New Roman"/>
          <w:b/>
          <w:bCs/>
          <w:sz w:val="52"/>
          <w:szCs w:val="52"/>
        </w:rPr>
      </w:pPr>
    </w:p>
    <w:p w14:paraId="22D19EE2" w14:textId="77777777" w:rsidR="00CA26B4" w:rsidRDefault="00CA26B4" w:rsidP="002610CA">
      <w:pPr>
        <w:spacing w:after="0" w:line="240" w:lineRule="auto"/>
        <w:jc w:val="center"/>
        <w:rPr>
          <w:rFonts w:ascii="Times New Roman" w:hAnsi="Times New Roman" w:cs="Times New Roman"/>
          <w:b/>
          <w:bCs/>
          <w:sz w:val="52"/>
          <w:szCs w:val="52"/>
        </w:rPr>
      </w:pPr>
    </w:p>
    <w:p w14:paraId="6313094B" w14:textId="77777777" w:rsidR="00CA26B4" w:rsidRDefault="00CA26B4" w:rsidP="002610CA">
      <w:pPr>
        <w:spacing w:after="0" w:line="240" w:lineRule="auto"/>
        <w:jc w:val="center"/>
        <w:rPr>
          <w:rFonts w:ascii="Times New Roman" w:hAnsi="Times New Roman" w:cs="Times New Roman"/>
          <w:b/>
          <w:bCs/>
          <w:sz w:val="52"/>
          <w:szCs w:val="52"/>
        </w:rPr>
      </w:pPr>
    </w:p>
    <w:p w14:paraId="54938BBB" w14:textId="77777777" w:rsidR="002C3670" w:rsidRDefault="002C3670" w:rsidP="002610CA">
      <w:pPr>
        <w:spacing w:after="0" w:line="240" w:lineRule="auto"/>
        <w:jc w:val="center"/>
        <w:rPr>
          <w:rFonts w:ascii="Times New Roman" w:hAnsi="Times New Roman" w:cs="Times New Roman"/>
          <w:b/>
          <w:bCs/>
          <w:sz w:val="52"/>
          <w:szCs w:val="52"/>
        </w:rPr>
      </w:pPr>
    </w:p>
    <w:p w14:paraId="17662325" w14:textId="77777777" w:rsidR="002C3670" w:rsidRDefault="002C3670" w:rsidP="002610CA">
      <w:pPr>
        <w:spacing w:after="0" w:line="240" w:lineRule="auto"/>
        <w:jc w:val="center"/>
        <w:rPr>
          <w:rFonts w:ascii="Times New Roman" w:hAnsi="Times New Roman" w:cs="Times New Roman"/>
          <w:b/>
          <w:bCs/>
          <w:sz w:val="52"/>
          <w:szCs w:val="52"/>
        </w:rPr>
      </w:pPr>
    </w:p>
    <w:p w14:paraId="0A32685E" w14:textId="77777777" w:rsidR="002C3670" w:rsidRDefault="002C3670" w:rsidP="002610CA">
      <w:pPr>
        <w:spacing w:after="0" w:line="240" w:lineRule="auto"/>
        <w:jc w:val="center"/>
        <w:rPr>
          <w:rFonts w:ascii="Times New Roman" w:hAnsi="Times New Roman" w:cs="Times New Roman"/>
          <w:b/>
          <w:bCs/>
          <w:sz w:val="52"/>
          <w:szCs w:val="52"/>
        </w:rPr>
      </w:pPr>
    </w:p>
    <w:p w14:paraId="3BB8B3D4" w14:textId="77777777" w:rsidR="002C3670" w:rsidRDefault="002C3670" w:rsidP="002610CA">
      <w:pPr>
        <w:spacing w:after="0" w:line="240" w:lineRule="auto"/>
        <w:jc w:val="center"/>
        <w:rPr>
          <w:rFonts w:ascii="Times New Roman" w:hAnsi="Times New Roman" w:cs="Times New Roman"/>
          <w:b/>
          <w:bCs/>
          <w:sz w:val="52"/>
          <w:szCs w:val="52"/>
        </w:rPr>
      </w:pPr>
    </w:p>
    <w:p w14:paraId="63C99958" w14:textId="77777777" w:rsidR="002C3670" w:rsidRDefault="002C3670" w:rsidP="002610CA">
      <w:pPr>
        <w:spacing w:after="0" w:line="240" w:lineRule="auto"/>
        <w:jc w:val="center"/>
        <w:rPr>
          <w:rFonts w:ascii="Times New Roman" w:hAnsi="Times New Roman" w:cs="Times New Roman"/>
          <w:b/>
          <w:bCs/>
          <w:sz w:val="52"/>
          <w:szCs w:val="52"/>
        </w:rPr>
      </w:pPr>
    </w:p>
    <w:p w14:paraId="5610AB96" w14:textId="37D7905A" w:rsidR="002610CA" w:rsidRDefault="00A60822" w:rsidP="002610CA">
      <w:pPr>
        <w:spacing w:after="0" w:line="240" w:lineRule="auto"/>
        <w:jc w:val="center"/>
        <w:rPr>
          <w:rFonts w:ascii="Times New Roman" w:hAnsi="Times New Roman" w:cs="Times New Roman"/>
          <w:b/>
          <w:bCs/>
          <w:sz w:val="52"/>
          <w:szCs w:val="52"/>
        </w:rPr>
      </w:pPr>
      <w:r w:rsidRPr="00A60822">
        <w:rPr>
          <w:rFonts w:ascii="Times New Roman" w:hAnsi="Times New Roman" w:cs="Times New Roman"/>
          <w:b/>
          <w:bCs/>
          <w:sz w:val="52"/>
          <w:szCs w:val="52"/>
        </w:rPr>
        <w:lastRenderedPageBreak/>
        <w:t xml:space="preserve">PART </w:t>
      </w:r>
      <w:r w:rsidR="002610CA">
        <w:rPr>
          <w:rFonts w:ascii="Times New Roman" w:hAnsi="Times New Roman" w:cs="Times New Roman"/>
          <w:b/>
          <w:bCs/>
          <w:sz w:val="52"/>
          <w:szCs w:val="52"/>
        </w:rPr>
        <w:t>TWO</w:t>
      </w:r>
    </w:p>
    <w:p w14:paraId="6A901BCF" w14:textId="58937E92" w:rsidR="00A60822" w:rsidRDefault="00A60822" w:rsidP="002610CA">
      <w:pPr>
        <w:spacing w:after="0" w:line="240" w:lineRule="auto"/>
        <w:jc w:val="center"/>
        <w:rPr>
          <w:rFonts w:ascii="Times New Roman" w:hAnsi="Times New Roman" w:cs="Times New Roman"/>
          <w:b/>
          <w:bCs/>
          <w:sz w:val="52"/>
          <w:szCs w:val="52"/>
        </w:rPr>
      </w:pPr>
      <w:r w:rsidRPr="00A60822">
        <w:rPr>
          <w:rFonts w:ascii="Times New Roman" w:hAnsi="Times New Roman" w:cs="Times New Roman"/>
          <w:b/>
          <w:bCs/>
          <w:sz w:val="52"/>
          <w:szCs w:val="52"/>
        </w:rPr>
        <w:t>FINANCE AND ECONOMICS</w:t>
      </w:r>
    </w:p>
    <w:p w14:paraId="2EAE862C" w14:textId="77777777" w:rsidR="00A60822" w:rsidRDefault="00A60822" w:rsidP="00A60822">
      <w:pPr>
        <w:spacing w:after="0" w:line="240" w:lineRule="auto"/>
        <w:jc w:val="both"/>
        <w:rPr>
          <w:rFonts w:ascii="Times New Roman" w:hAnsi="Times New Roman" w:cs="Times New Roman"/>
          <w:b/>
          <w:bCs/>
          <w:sz w:val="52"/>
          <w:szCs w:val="52"/>
        </w:rPr>
      </w:pPr>
    </w:p>
    <w:p w14:paraId="4B73D04B" w14:textId="77777777" w:rsidR="00A60822" w:rsidRDefault="00A60822" w:rsidP="00A60822">
      <w:pPr>
        <w:spacing w:after="0" w:line="240" w:lineRule="auto"/>
        <w:jc w:val="both"/>
        <w:rPr>
          <w:rFonts w:ascii="Times New Roman" w:hAnsi="Times New Roman" w:cs="Times New Roman"/>
          <w:b/>
          <w:bCs/>
          <w:sz w:val="52"/>
          <w:szCs w:val="52"/>
        </w:rPr>
      </w:pPr>
    </w:p>
    <w:p w14:paraId="7509450A" w14:textId="77777777" w:rsidR="00A60822" w:rsidRDefault="00A60822" w:rsidP="00A60822">
      <w:pPr>
        <w:spacing w:after="0" w:line="240" w:lineRule="auto"/>
        <w:jc w:val="both"/>
        <w:rPr>
          <w:rFonts w:ascii="Times New Roman" w:hAnsi="Times New Roman" w:cs="Times New Roman"/>
          <w:b/>
          <w:bCs/>
          <w:sz w:val="52"/>
          <w:szCs w:val="52"/>
        </w:rPr>
      </w:pPr>
    </w:p>
    <w:p w14:paraId="4D6674C8" w14:textId="77777777" w:rsidR="00A60822" w:rsidRDefault="00A60822" w:rsidP="00A60822">
      <w:pPr>
        <w:spacing w:after="0" w:line="240" w:lineRule="auto"/>
        <w:jc w:val="both"/>
        <w:rPr>
          <w:rFonts w:ascii="Times New Roman" w:hAnsi="Times New Roman" w:cs="Times New Roman"/>
          <w:b/>
          <w:bCs/>
          <w:sz w:val="52"/>
          <w:szCs w:val="52"/>
        </w:rPr>
      </w:pPr>
    </w:p>
    <w:p w14:paraId="4B596783" w14:textId="77777777" w:rsidR="00A60822" w:rsidRDefault="00A60822" w:rsidP="00A60822">
      <w:pPr>
        <w:spacing w:after="0" w:line="240" w:lineRule="auto"/>
        <w:jc w:val="both"/>
        <w:rPr>
          <w:rFonts w:ascii="Times New Roman" w:hAnsi="Times New Roman" w:cs="Times New Roman"/>
          <w:b/>
          <w:bCs/>
          <w:sz w:val="52"/>
          <w:szCs w:val="52"/>
        </w:rPr>
      </w:pPr>
    </w:p>
    <w:p w14:paraId="4E03BDA1" w14:textId="77777777" w:rsidR="00A60822" w:rsidRDefault="00A60822" w:rsidP="00A60822">
      <w:pPr>
        <w:spacing w:after="0" w:line="240" w:lineRule="auto"/>
        <w:jc w:val="both"/>
        <w:rPr>
          <w:rFonts w:ascii="Times New Roman" w:hAnsi="Times New Roman" w:cs="Times New Roman"/>
          <w:b/>
          <w:bCs/>
          <w:sz w:val="52"/>
          <w:szCs w:val="52"/>
        </w:rPr>
      </w:pPr>
    </w:p>
    <w:p w14:paraId="7B7E5AC9" w14:textId="77777777" w:rsidR="00A60822" w:rsidRDefault="00A60822" w:rsidP="00A60822">
      <w:pPr>
        <w:spacing w:after="0" w:line="240" w:lineRule="auto"/>
        <w:jc w:val="both"/>
        <w:rPr>
          <w:rFonts w:ascii="Times New Roman" w:hAnsi="Times New Roman" w:cs="Times New Roman"/>
          <w:b/>
          <w:bCs/>
          <w:sz w:val="52"/>
          <w:szCs w:val="52"/>
        </w:rPr>
      </w:pPr>
    </w:p>
    <w:p w14:paraId="46EEBEC0" w14:textId="77777777" w:rsidR="00A60822" w:rsidRDefault="00A60822" w:rsidP="00A60822">
      <w:pPr>
        <w:spacing w:after="0" w:line="240" w:lineRule="auto"/>
        <w:jc w:val="both"/>
        <w:rPr>
          <w:rFonts w:ascii="Times New Roman" w:hAnsi="Times New Roman" w:cs="Times New Roman"/>
          <w:b/>
          <w:bCs/>
          <w:sz w:val="52"/>
          <w:szCs w:val="52"/>
        </w:rPr>
      </w:pPr>
    </w:p>
    <w:p w14:paraId="5AA9D9A4" w14:textId="77777777" w:rsidR="00A60822" w:rsidRDefault="00A60822" w:rsidP="00A60822">
      <w:pPr>
        <w:spacing w:after="0" w:line="240" w:lineRule="auto"/>
        <w:jc w:val="both"/>
        <w:rPr>
          <w:rFonts w:ascii="Times New Roman" w:hAnsi="Times New Roman" w:cs="Times New Roman"/>
          <w:b/>
          <w:bCs/>
          <w:sz w:val="52"/>
          <w:szCs w:val="52"/>
        </w:rPr>
      </w:pPr>
    </w:p>
    <w:p w14:paraId="0381DCE1" w14:textId="77777777" w:rsidR="00A60822" w:rsidRDefault="00A60822" w:rsidP="00A60822">
      <w:pPr>
        <w:spacing w:after="0" w:line="240" w:lineRule="auto"/>
        <w:jc w:val="both"/>
        <w:rPr>
          <w:rFonts w:ascii="Times New Roman" w:hAnsi="Times New Roman" w:cs="Times New Roman"/>
          <w:b/>
          <w:bCs/>
          <w:sz w:val="52"/>
          <w:szCs w:val="52"/>
        </w:rPr>
      </w:pPr>
    </w:p>
    <w:p w14:paraId="251B74CC" w14:textId="77777777" w:rsidR="00A60822" w:rsidRDefault="00A60822" w:rsidP="00A60822">
      <w:pPr>
        <w:spacing w:after="0" w:line="240" w:lineRule="auto"/>
        <w:jc w:val="both"/>
        <w:rPr>
          <w:rFonts w:ascii="Times New Roman" w:hAnsi="Times New Roman" w:cs="Times New Roman"/>
          <w:b/>
          <w:bCs/>
          <w:sz w:val="52"/>
          <w:szCs w:val="52"/>
        </w:rPr>
      </w:pPr>
    </w:p>
    <w:p w14:paraId="5E16D9F1" w14:textId="77777777" w:rsidR="00A60822" w:rsidRDefault="00A60822" w:rsidP="00A60822">
      <w:pPr>
        <w:spacing w:after="0" w:line="240" w:lineRule="auto"/>
        <w:jc w:val="both"/>
        <w:rPr>
          <w:rFonts w:ascii="Times New Roman" w:hAnsi="Times New Roman" w:cs="Times New Roman"/>
          <w:b/>
          <w:bCs/>
          <w:sz w:val="52"/>
          <w:szCs w:val="52"/>
        </w:rPr>
      </w:pPr>
    </w:p>
    <w:p w14:paraId="6664421C" w14:textId="77777777" w:rsidR="00A60822" w:rsidRDefault="00A60822" w:rsidP="00A60822">
      <w:pPr>
        <w:spacing w:after="0" w:line="240" w:lineRule="auto"/>
        <w:jc w:val="both"/>
        <w:rPr>
          <w:rFonts w:ascii="Times New Roman" w:hAnsi="Times New Roman" w:cs="Times New Roman"/>
          <w:b/>
          <w:bCs/>
          <w:sz w:val="52"/>
          <w:szCs w:val="52"/>
        </w:rPr>
      </w:pPr>
    </w:p>
    <w:p w14:paraId="21F975ED" w14:textId="77777777" w:rsidR="00A60822" w:rsidRDefault="00A60822" w:rsidP="00A60822">
      <w:pPr>
        <w:spacing w:after="0" w:line="240" w:lineRule="auto"/>
        <w:jc w:val="both"/>
        <w:rPr>
          <w:rFonts w:ascii="Times New Roman" w:hAnsi="Times New Roman" w:cs="Times New Roman"/>
          <w:b/>
          <w:bCs/>
          <w:sz w:val="52"/>
          <w:szCs w:val="52"/>
        </w:rPr>
      </w:pPr>
    </w:p>
    <w:p w14:paraId="473F8EE0" w14:textId="77777777" w:rsidR="00A60822" w:rsidRDefault="00A60822" w:rsidP="00A60822">
      <w:pPr>
        <w:spacing w:after="0" w:line="240" w:lineRule="auto"/>
        <w:jc w:val="both"/>
        <w:rPr>
          <w:rFonts w:ascii="Times New Roman" w:hAnsi="Times New Roman" w:cs="Times New Roman"/>
          <w:b/>
          <w:bCs/>
          <w:sz w:val="52"/>
          <w:szCs w:val="52"/>
        </w:rPr>
      </w:pPr>
    </w:p>
    <w:p w14:paraId="2E81E1CA" w14:textId="77777777" w:rsidR="00A60822" w:rsidRDefault="00A60822" w:rsidP="00A60822">
      <w:pPr>
        <w:spacing w:after="0" w:line="240" w:lineRule="auto"/>
        <w:jc w:val="both"/>
        <w:rPr>
          <w:rFonts w:ascii="Times New Roman" w:hAnsi="Times New Roman" w:cs="Times New Roman"/>
          <w:b/>
          <w:bCs/>
          <w:sz w:val="52"/>
          <w:szCs w:val="52"/>
        </w:rPr>
      </w:pPr>
    </w:p>
    <w:p w14:paraId="2BE9A6AF" w14:textId="77777777" w:rsidR="002C3670" w:rsidRDefault="002C3670" w:rsidP="00DB6A40">
      <w:pPr>
        <w:spacing w:after="0" w:line="360" w:lineRule="auto"/>
        <w:jc w:val="center"/>
        <w:rPr>
          <w:rFonts w:ascii="Times New Roman" w:eastAsia="DengXian" w:hAnsi="Times New Roman" w:cs="Times New Roman"/>
          <w:b/>
          <w:bCs/>
          <w:kern w:val="0"/>
          <w:lang w:val="en-GB" w:eastAsia="zh-CN"/>
          <w14:ligatures w14:val="none"/>
        </w:rPr>
      </w:pPr>
    </w:p>
    <w:p w14:paraId="1902529B" w14:textId="77777777" w:rsidR="002C3670" w:rsidRDefault="002C3670" w:rsidP="00DB6A40">
      <w:pPr>
        <w:spacing w:after="0" w:line="360" w:lineRule="auto"/>
        <w:jc w:val="center"/>
        <w:rPr>
          <w:rFonts w:ascii="Times New Roman" w:eastAsia="DengXian" w:hAnsi="Times New Roman" w:cs="Times New Roman"/>
          <w:b/>
          <w:bCs/>
          <w:kern w:val="0"/>
          <w:lang w:val="en-GB" w:eastAsia="zh-CN"/>
          <w14:ligatures w14:val="none"/>
        </w:rPr>
      </w:pPr>
    </w:p>
    <w:p w14:paraId="54BC8070" w14:textId="77777777" w:rsidR="002C3670" w:rsidRDefault="002C3670" w:rsidP="00DB6A40">
      <w:pPr>
        <w:spacing w:after="0" w:line="360" w:lineRule="auto"/>
        <w:jc w:val="center"/>
        <w:rPr>
          <w:rFonts w:ascii="Times New Roman" w:eastAsia="DengXian" w:hAnsi="Times New Roman" w:cs="Times New Roman"/>
          <w:b/>
          <w:bCs/>
          <w:kern w:val="0"/>
          <w:lang w:val="en-GB" w:eastAsia="zh-CN"/>
          <w14:ligatures w14:val="none"/>
        </w:rPr>
      </w:pPr>
    </w:p>
    <w:p w14:paraId="11231C2B" w14:textId="77777777" w:rsidR="002C3670" w:rsidRDefault="002C3670" w:rsidP="00DB6A40">
      <w:pPr>
        <w:spacing w:after="0" w:line="360" w:lineRule="auto"/>
        <w:jc w:val="center"/>
        <w:rPr>
          <w:rFonts w:ascii="Times New Roman" w:eastAsia="DengXian" w:hAnsi="Times New Roman" w:cs="Times New Roman"/>
          <w:b/>
          <w:bCs/>
          <w:kern w:val="0"/>
          <w:lang w:val="en-GB" w:eastAsia="zh-CN"/>
          <w14:ligatures w14:val="none"/>
        </w:rPr>
      </w:pPr>
    </w:p>
    <w:p w14:paraId="107772F3" w14:textId="77777777" w:rsidR="002C3670" w:rsidRDefault="002C3670" w:rsidP="00DB6A40">
      <w:pPr>
        <w:spacing w:after="0" w:line="360" w:lineRule="auto"/>
        <w:jc w:val="center"/>
        <w:rPr>
          <w:rFonts w:ascii="Times New Roman" w:eastAsia="DengXian" w:hAnsi="Times New Roman" w:cs="Times New Roman"/>
          <w:b/>
          <w:bCs/>
          <w:kern w:val="0"/>
          <w:lang w:val="en-GB" w:eastAsia="zh-CN"/>
          <w14:ligatures w14:val="none"/>
        </w:rPr>
      </w:pPr>
    </w:p>
    <w:p w14:paraId="73BD0C34" w14:textId="77777777" w:rsidR="002C3670" w:rsidRDefault="002C3670" w:rsidP="00DB6A40">
      <w:pPr>
        <w:spacing w:after="0" w:line="360" w:lineRule="auto"/>
        <w:jc w:val="center"/>
        <w:rPr>
          <w:rFonts w:ascii="Times New Roman" w:eastAsia="DengXian" w:hAnsi="Times New Roman" w:cs="Times New Roman"/>
          <w:b/>
          <w:bCs/>
          <w:kern w:val="0"/>
          <w:lang w:val="en-GB" w:eastAsia="zh-CN"/>
          <w14:ligatures w14:val="none"/>
        </w:rPr>
      </w:pPr>
    </w:p>
    <w:p w14:paraId="2894F0C2" w14:textId="77777777" w:rsidR="00186526" w:rsidRDefault="00186526" w:rsidP="00DB6A40">
      <w:pPr>
        <w:spacing w:after="0" w:line="360" w:lineRule="auto"/>
        <w:jc w:val="center"/>
        <w:rPr>
          <w:rFonts w:ascii="Times New Roman" w:eastAsia="DengXian" w:hAnsi="Times New Roman" w:cs="Times New Roman"/>
          <w:b/>
          <w:bCs/>
          <w:kern w:val="0"/>
          <w:lang w:val="en-GB" w:eastAsia="zh-CN"/>
          <w14:ligatures w14:val="none"/>
        </w:rPr>
      </w:pPr>
    </w:p>
    <w:p w14:paraId="130951C9" w14:textId="77777777" w:rsidR="00186526" w:rsidRDefault="00186526" w:rsidP="00DB6A40">
      <w:pPr>
        <w:spacing w:after="0" w:line="360" w:lineRule="auto"/>
        <w:jc w:val="center"/>
        <w:rPr>
          <w:rFonts w:ascii="Times New Roman" w:eastAsia="DengXian" w:hAnsi="Times New Roman" w:cs="Times New Roman"/>
          <w:b/>
          <w:bCs/>
          <w:kern w:val="0"/>
          <w:lang w:val="en-GB" w:eastAsia="zh-CN"/>
          <w14:ligatures w14:val="none"/>
        </w:rPr>
      </w:pPr>
    </w:p>
    <w:p w14:paraId="2A1ACCAE" w14:textId="74E512A6" w:rsidR="00DB6A40" w:rsidRPr="00DB6A40" w:rsidRDefault="00DB6A40" w:rsidP="00DB6A40">
      <w:pPr>
        <w:spacing w:after="0" w:line="360" w:lineRule="auto"/>
        <w:jc w:val="center"/>
        <w:rPr>
          <w:rFonts w:ascii="Times New Roman" w:eastAsia="DengXian" w:hAnsi="Times New Roman" w:cs="Times New Roman"/>
          <w:b/>
          <w:bCs/>
          <w:kern w:val="0"/>
          <w:lang w:val="en-GB" w:eastAsia="zh-CN"/>
          <w14:ligatures w14:val="none"/>
        </w:rPr>
      </w:pPr>
      <w:r w:rsidRPr="00DB6A40">
        <w:rPr>
          <w:rFonts w:ascii="Times New Roman" w:eastAsia="DengXian" w:hAnsi="Times New Roman" w:cs="Times New Roman"/>
          <w:b/>
          <w:bCs/>
          <w:kern w:val="0"/>
          <w:lang w:val="en-GB" w:eastAsia="zh-CN"/>
          <w14:ligatures w14:val="none"/>
        </w:rPr>
        <w:lastRenderedPageBreak/>
        <w:t>FINANCIAL TECHNOLOGY: A VEHICLE FOR FIRMS PROFITABILITY IN AN ERA OF DIGITAL TRANSFORMATION</w:t>
      </w:r>
    </w:p>
    <w:p w14:paraId="612AFE2F" w14:textId="77777777" w:rsidR="00DB6A40" w:rsidRPr="00DB6A40" w:rsidRDefault="00DB6A40" w:rsidP="00DB6A40">
      <w:pPr>
        <w:spacing w:after="0" w:line="360" w:lineRule="auto"/>
        <w:jc w:val="center"/>
        <w:rPr>
          <w:rFonts w:ascii="Times New Roman" w:eastAsia="DengXian" w:hAnsi="Times New Roman" w:cs="Times New Roman"/>
          <w:b/>
          <w:bCs/>
          <w:kern w:val="0"/>
          <w:lang w:val="en-GB" w:eastAsia="zh-CN"/>
          <w14:ligatures w14:val="none"/>
        </w:rPr>
      </w:pPr>
    </w:p>
    <w:p w14:paraId="49663C26"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MAKWE, EMMANUEL UZOMA, </w:t>
      </w:r>
      <w:proofErr w:type="spellStart"/>
      <w:proofErr w:type="gramStart"/>
      <w:r w:rsidRPr="00DB6A40">
        <w:rPr>
          <w:rFonts w:ascii="Times New Roman" w:eastAsia="DengXian" w:hAnsi="Times New Roman" w:cs="Times New Roman"/>
          <w:b/>
          <w:bCs/>
          <w:kern w:val="0"/>
          <w:lang w:eastAsia="zh-CN"/>
          <w14:ligatures w14:val="none"/>
        </w:rPr>
        <w:t>Ph.D</w:t>
      </w:r>
      <w:proofErr w:type="spellEnd"/>
      <w:proofErr w:type="gramEnd"/>
    </w:p>
    <w:p w14:paraId="721E46EF"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DEPARTMENT OF FINANCE AND BANKING</w:t>
      </w:r>
    </w:p>
    <w:p w14:paraId="0E942375"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FACULTY OF MANAGEMENT SCIENCES</w:t>
      </w:r>
    </w:p>
    <w:p w14:paraId="6420F0E1"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UNIVERSITY OF PORT HARCOURT</w:t>
      </w:r>
    </w:p>
    <w:p w14:paraId="5EC5DC7A"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hyperlink r:id="rId43" w:history="1">
        <w:r w:rsidRPr="00DB6A40">
          <w:rPr>
            <w:rFonts w:ascii="Times New Roman" w:eastAsia="DengXian" w:hAnsi="Times New Roman" w:cs="Times New Roman"/>
            <w:b/>
            <w:bCs/>
            <w:color w:val="0563C1"/>
            <w:kern w:val="0"/>
            <w:u w:val="single"/>
            <w:lang w:val="en-GB" w:eastAsia="zh-CN"/>
            <w14:ligatures w14:val="none"/>
          </w:rPr>
          <w:t>e</w:t>
        </w:r>
        <w:r w:rsidRPr="00DB6A40">
          <w:rPr>
            <w:rFonts w:ascii="Times New Roman" w:eastAsia="DengXian" w:hAnsi="Times New Roman" w:cs="Times New Roman"/>
            <w:b/>
            <w:bCs/>
            <w:color w:val="0563C1"/>
            <w:kern w:val="0"/>
            <w:u w:val="single"/>
            <w:lang w:eastAsia="zh-CN"/>
            <w14:ligatures w14:val="none"/>
          </w:rPr>
          <w:t>mmanuel.makwe@uniport.edu.ng</w:t>
        </w:r>
      </w:hyperlink>
    </w:p>
    <w:p w14:paraId="67A80E02"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p>
    <w:p w14:paraId="352E4CD3" w14:textId="2D6B822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EME ONYEKACHI C. </w:t>
      </w:r>
    </w:p>
    <w:p w14:paraId="4C461C49"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DEPARTMENT OF BANKING AND FINANCE</w:t>
      </w:r>
    </w:p>
    <w:p w14:paraId="38B7E9FF"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FACULTY OF MANAGEMENT SCIENCES</w:t>
      </w:r>
    </w:p>
    <w:p w14:paraId="0298AE70"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NNAMDI AZIKIWE UNIVERSITY AWKA</w:t>
      </w:r>
    </w:p>
    <w:p w14:paraId="3668A726"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hyperlink r:id="rId44" w:history="1">
        <w:r w:rsidRPr="00DB6A40">
          <w:rPr>
            <w:rFonts w:ascii="Times New Roman" w:eastAsia="DengXian" w:hAnsi="Times New Roman" w:cs="Times New Roman"/>
            <w:b/>
            <w:bCs/>
            <w:color w:val="0563C1"/>
            <w:kern w:val="0"/>
            <w:u w:val="single"/>
            <w:lang w:eastAsia="zh-CN"/>
            <w14:ligatures w14:val="none"/>
          </w:rPr>
          <w:t>oc.ibechiole@unizik.edu.ng</w:t>
        </w:r>
      </w:hyperlink>
      <w:r w:rsidRPr="00DB6A40">
        <w:rPr>
          <w:rFonts w:ascii="Times New Roman" w:eastAsia="DengXian" w:hAnsi="Times New Roman" w:cs="Times New Roman"/>
          <w:b/>
          <w:bCs/>
          <w:kern w:val="0"/>
          <w:lang w:eastAsia="zh-CN"/>
          <w14:ligatures w14:val="none"/>
        </w:rPr>
        <w:t xml:space="preserve"> </w:t>
      </w:r>
    </w:p>
    <w:p w14:paraId="67E139F1"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p>
    <w:p w14:paraId="4678BAED" w14:textId="77777777" w:rsidR="00DB6A40" w:rsidRPr="00DB6A40" w:rsidRDefault="00DB6A40" w:rsidP="00DB6A40">
      <w:pPr>
        <w:spacing w:after="0" w:line="276" w:lineRule="auto"/>
        <w:jc w:val="center"/>
        <w:rPr>
          <w:rFonts w:ascii="Times New Roman" w:eastAsia="DengXian" w:hAnsi="Times New Roman" w:cs="Times New Roman"/>
          <w:b/>
          <w:bCs/>
          <w:kern w:val="0"/>
          <w:lang w:eastAsia="zh-CN"/>
          <w14:ligatures w14:val="none"/>
        </w:rPr>
      </w:pPr>
    </w:p>
    <w:p w14:paraId="20A7F0EA" w14:textId="77777777" w:rsidR="00DB6A40" w:rsidRPr="00DB6A40" w:rsidRDefault="00DB6A40" w:rsidP="00DB6A40">
      <w:pPr>
        <w:spacing w:after="0" w:line="360" w:lineRule="auto"/>
        <w:jc w:val="center"/>
        <w:rPr>
          <w:rFonts w:ascii="Times New Roman" w:eastAsia="DengXian" w:hAnsi="Times New Roman" w:cs="Times New Roman"/>
          <w:b/>
          <w:bCs/>
          <w:kern w:val="0"/>
          <w:lang w:val="en-GB" w:eastAsia="zh-CN"/>
          <w14:ligatures w14:val="none"/>
        </w:rPr>
      </w:pPr>
    </w:p>
    <w:p w14:paraId="65D1FA2D" w14:textId="77777777" w:rsidR="00DB6A40" w:rsidRPr="00DB6A40" w:rsidRDefault="00DB6A40" w:rsidP="00DB6A40">
      <w:pPr>
        <w:spacing w:after="0" w:line="240" w:lineRule="auto"/>
        <w:jc w:val="center"/>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Abstract</w:t>
      </w:r>
    </w:p>
    <w:p w14:paraId="437780E4" w14:textId="77777777" w:rsidR="00DB6A40" w:rsidRPr="00DB6A40" w:rsidRDefault="00DB6A40" w:rsidP="00DB6A40">
      <w:pPr>
        <w:spacing w:after="0" w:line="240" w:lineRule="auto"/>
        <w:jc w:val="both"/>
        <w:rPr>
          <w:rFonts w:ascii="Times New Roman" w:eastAsia="DengXian" w:hAnsi="Times New Roman" w:cs="Times New Roman"/>
          <w:bCs/>
          <w:kern w:val="0"/>
          <w:lang w:eastAsia="zh-CN"/>
          <w14:ligatures w14:val="none"/>
        </w:rPr>
      </w:pPr>
      <w:r w:rsidRPr="00DB6A40">
        <w:rPr>
          <w:rFonts w:ascii="Times New Roman" w:eastAsia="DengXian" w:hAnsi="Times New Roman" w:cs="Times New Roman"/>
          <w:bCs/>
          <w:kern w:val="0"/>
          <w:lang w:eastAsia="zh-CN"/>
          <w14:ligatures w14:val="none"/>
        </w:rPr>
        <w:t>This study</w:t>
      </w:r>
      <w:r w:rsidRPr="00DB6A40">
        <w:rPr>
          <w:rFonts w:ascii="Times New Roman" w:eastAsia="DengXian" w:hAnsi="Times New Roman" w:cs="Times New Roman"/>
          <w:bCs/>
          <w:kern w:val="0"/>
          <w:lang w:val="en-GB" w:eastAsia="zh-CN"/>
          <w14:ligatures w14:val="none"/>
        </w:rPr>
        <w:t xml:space="preserve"> </w:t>
      </w:r>
      <w:r w:rsidRPr="00DB6A40">
        <w:rPr>
          <w:rFonts w:ascii="Times New Roman" w:eastAsia="DengXian" w:hAnsi="Times New Roman" w:cs="Times New Roman"/>
          <w:bCs/>
          <w:kern w:val="0"/>
          <w:lang w:eastAsia="zh-CN"/>
          <w14:ligatures w14:val="none"/>
        </w:rPr>
        <w:t xml:space="preserve">investigates financial technology (FinTech) </w:t>
      </w:r>
      <w:r w:rsidRPr="00DB6A40">
        <w:rPr>
          <w:rFonts w:ascii="Times New Roman" w:eastAsia="DengXian" w:hAnsi="Times New Roman" w:cs="Times New Roman"/>
          <w:bCs/>
          <w:kern w:val="0"/>
          <w:lang w:val="en-GB" w:eastAsia="zh-CN"/>
          <w14:ligatures w14:val="none"/>
        </w:rPr>
        <w:t>and</w:t>
      </w:r>
      <w:r w:rsidRPr="00DB6A40">
        <w:rPr>
          <w:rFonts w:ascii="Times New Roman" w:eastAsia="DengXian" w:hAnsi="Times New Roman" w:cs="Times New Roman"/>
          <w:bCs/>
          <w:kern w:val="0"/>
          <w:lang w:eastAsia="zh-CN"/>
          <w14:ligatures w14:val="none"/>
        </w:rPr>
        <w:t xml:space="preserve"> the profitability of deposit money banks in Nigeria. With the rapid integration of technology in financial services, FinTech has transformed traditional banking operations through innovations such as mobile banking, digital payments, and blockchain technologies. This research employs a mixed-method approach, combining quantitative analysis of financial performance metrics and qualitative insights from industry stakeholders. Key indicators, including return on </w:t>
      </w:r>
      <w:r w:rsidRPr="00DB6A40">
        <w:rPr>
          <w:rFonts w:ascii="Times New Roman" w:eastAsia="DengXian" w:hAnsi="Times New Roman" w:cs="Times New Roman"/>
          <w:bCs/>
          <w:kern w:val="0"/>
          <w:lang w:val="en-GB" w:eastAsia="zh-CN"/>
          <w14:ligatures w14:val="none"/>
        </w:rPr>
        <w:t>investment</w:t>
      </w:r>
      <w:r w:rsidRPr="00DB6A40">
        <w:rPr>
          <w:rFonts w:ascii="Times New Roman" w:eastAsia="DengXian" w:hAnsi="Times New Roman" w:cs="Times New Roman"/>
          <w:bCs/>
          <w:kern w:val="0"/>
          <w:lang w:eastAsia="zh-CN"/>
          <w14:ligatures w14:val="none"/>
        </w:rPr>
        <w:t xml:space="preserve"> (RO</w:t>
      </w:r>
      <w:r w:rsidRPr="00DB6A40">
        <w:rPr>
          <w:rFonts w:ascii="Times New Roman" w:eastAsia="DengXian" w:hAnsi="Times New Roman" w:cs="Times New Roman"/>
          <w:bCs/>
          <w:kern w:val="0"/>
          <w:lang w:val="en-GB" w:eastAsia="zh-CN"/>
          <w14:ligatures w14:val="none"/>
        </w:rPr>
        <w:t>I</w:t>
      </w:r>
      <w:r w:rsidRPr="00DB6A40">
        <w:rPr>
          <w:rFonts w:ascii="Times New Roman" w:eastAsia="DengXian" w:hAnsi="Times New Roman" w:cs="Times New Roman"/>
          <w:bCs/>
          <w:kern w:val="0"/>
          <w:lang w:eastAsia="zh-CN"/>
          <w14:ligatures w14:val="none"/>
        </w:rPr>
        <w:t>) and net interest margins, are analyzed over a ten-year period to assess profitability trends. The findings reveal a significant positive correlation between FinTech adoption and improved operational efficiency, increased customer base, and enhanced revenue streams for Nigerian banks. However, challenges such as regulatory compliance, cybersecurity risks, and high implementation costs are also highlighted. The study concludes that while FinTech presents immense opportunities for profitability growth, strategic alignment and investment in technological infrastructure are critical for maximizing its benefits. This research contributes to the discourse on digital transformation in emerging markets and offers policy recommendations for sustainable FinTech integration in the banking sector.</w:t>
      </w:r>
    </w:p>
    <w:p w14:paraId="5A987DEC" w14:textId="77777777" w:rsidR="00DB6A40" w:rsidRPr="00DB6A40" w:rsidRDefault="00DB6A40" w:rsidP="00DB6A40">
      <w:pPr>
        <w:spacing w:after="0" w:line="240" w:lineRule="auto"/>
        <w:jc w:val="both"/>
        <w:rPr>
          <w:rFonts w:ascii="Times New Roman" w:eastAsia="DengXian" w:hAnsi="Times New Roman" w:cs="Times New Roman"/>
          <w:bCs/>
          <w:kern w:val="0"/>
          <w:lang w:eastAsia="zh-CN"/>
          <w14:ligatures w14:val="none"/>
        </w:rPr>
      </w:pPr>
    </w:p>
    <w:p w14:paraId="2723B16F" w14:textId="77777777" w:rsidR="00DB6A40" w:rsidRPr="00DB6A40" w:rsidRDefault="00DB6A40" w:rsidP="00DB6A40">
      <w:pPr>
        <w:spacing w:after="0" w:line="240" w:lineRule="auto"/>
        <w:jc w:val="both"/>
        <w:rPr>
          <w:rFonts w:ascii="Times New Roman" w:eastAsia="DengXian" w:hAnsi="Times New Roman" w:cs="Times New Roman"/>
          <w:bCs/>
          <w:kern w:val="0"/>
          <w:lang w:eastAsia="zh-CN"/>
          <w14:ligatures w14:val="none"/>
        </w:rPr>
      </w:pPr>
      <w:r w:rsidRPr="00DB6A40">
        <w:rPr>
          <w:rFonts w:ascii="Times New Roman" w:eastAsia="DengXian" w:hAnsi="Times New Roman" w:cs="Times New Roman"/>
          <w:bCs/>
          <w:kern w:val="0"/>
          <w:lang w:eastAsia="zh-CN"/>
          <w14:ligatures w14:val="none"/>
        </w:rPr>
        <w:t>Keywords: Financial Technology; Profitability; Automated Teller Machine; Point of Sales Terminal; Mobile Banking.</w:t>
      </w:r>
    </w:p>
    <w:p w14:paraId="1F5ABBFA" w14:textId="77777777" w:rsidR="00DB6A40" w:rsidRPr="00DB6A40" w:rsidRDefault="00DB6A40" w:rsidP="00DB6A40">
      <w:pPr>
        <w:spacing w:after="0" w:line="360" w:lineRule="auto"/>
        <w:jc w:val="center"/>
        <w:rPr>
          <w:rFonts w:ascii="Times New Roman" w:eastAsia="DengXian" w:hAnsi="Times New Roman" w:cs="Times New Roman"/>
          <w:b/>
          <w:bCs/>
          <w:kern w:val="0"/>
          <w:lang w:val="en-GB" w:eastAsia="zh-CN"/>
          <w14:ligatures w14:val="none"/>
        </w:rPr>
      </w:pPr>
    </w:p>
    <w:p w14:paraId="76EA38B0" w14:textId="77777777" w:rsidR="00DB6A40" w:rsidRPr="00DB6A40" w:rsidRDefault="00DB6A40" w:rsidP="002C3670">
      <w:pPr>
        <w:spacing w:after="0" w:line="240" w:lineRule="auto"/>
        <w:jc w:val="both"/>
        <w:rPr>
          <w:rFonts w:ascii="Times New Roman" w:eastAsia="DengXian" w:hAnsi="Times New Roman" w:cs="Times New Roman"/>
          <w:b/>
          <w:bCs/>
          <w:kern w:val="0"/>
          <w:lang w:val="en-GB" w:eastAsia="zh-CN"/>
          <w14:ligatures w14:val="none"/>
        </w:rPr>
      </w:pPr>
      <w:r w:rsidRPr="00DB6A40">
        <w:rPr>
          <w:rFonts w:ascii="Times New Roman" w:eastAsia="DengXian" w:hAnsi="Times New Roman" w:cs="Times New Roman"/>
          <w:b/>
          <w:bCs/>
          <w:kern w:val="0"/>
          <w:lang w:val="en-GB" w:eastAsia="zh-CN"/>
          <w14:ligatures w14:val="none"/>
        </w:rPr>
        <w:t>1.1 Introduction</w:t>
      </w:r>
    </w:p>
    <w:p w14:paraId="128DB419" w14:textId="77777777" w:rsidR="00DB6A40" w:rsidRPr="00DB6A40" w:rsidRDefault="00DB6A40" w:rsidP="002C367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Financial technology (Fintech) is swiftly emerging as a crucial innovation within the financial industry. This growth is pushed by factors such as the sharing economy, </w:t>
      </w:r>
      <w:proofErr w:type="spellStart"/>
      <w:r w:rsidRPr="00DB6A40">
        <w:rPr>
          <w:rFonts w:ascii="Times New Roman" w:eastAsia="DengXian" w:hAnsi="Times New Roman" w:cs="Times New Roman"/>
          <w:kern w:val="0"/>
          <w:lang w:eastAsia="zh-CN"/>
          <w14:ligatures w14:val="none"/>
        </w:rPr>
        <w:t>favourable</w:t>
      </w:r>
      <w:proofErr w:type="spellEnd"/>
      <w:r w:rsidRPr="00DB6A40">
        <w:rPr>
          <w:rFonts w:ascii="Times New Roman" w:eastAsia="DengXian" w:hAnsi="Times New Roman" w:cs="Times New Roman"/>
          <w:kern w:val="0"/>
          <w:lang w:eastAsia="zh-CN"/>
          <w14:ligatures w14:val="none"/>
        </w:rPr>
        <w:t xml:space="preserve"> regulatory environments, and advancements in information technology (Lee &amp; Shin, 2018). Nigeria is a dynamic ecosystem for Fintech start-ups, enabling them to thrive and potentially become multimillion-dollar enterprises.</w:t>
      </w:r>
    </w:p>
    <w:p w14:paraId="6142D5CF" w14:textId="77777777" w:rsidR="00DB6A40" w:rsidRPr="00DB6A40" w:rsidRDefault="00DB6A40" w:rsidP="002C367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The introduction of universal banking in 2001 and the cashless policy in 2011 boosted the emergence of FinTech in Nigeria. The Central Bank of Nigeria (CBN) and the Bankers Committee joined forces to introduce the cashless policy, with the objective of addressing long-standing obstacles to financial inclusion for millions of Nigerians. This policy facilitated the provision of mobile payment services, enabling secure and convenient financial transactions across urban, semi-urban, and rural regions (</w:t>
      </w:r>
      <w:proofErr w:type="spellStart"/>
      <w:r w:rsidRPr="00DB6A40">
        <w:rPr>
          <w:rFonts w:ascii="Times New Roman" w:eastAsia="DengXian" w:hAnsi="Times New Roman" w:cs="Times New Roman"/>
          <w:kern w:val="0"/>
          <w:lang w:eastAsia="zh-CN"/>
          <w14:ligatures w14:val="none"/>
        </w:rPr>
        <w:t>Itah</w:t>
      </w:r>
      <w:proofErr w:type="spellEnd"/>
      <w:r w:rsidRPr="00DB6A40">
        <w:rPr>
          <w:rFonts w:ascii="Times New Roman" w:eastAsia="DengXian" w:hAnsi="Times New Roman" w:cs="Times New Roman"/>
          <w:kern w:val="0"/>
          <w:lang w:eastAsia="zh-CN"/>
          <w14:ligatures w14:val="none"/>
        </w:rPr>
        <w:t xml:space="preserve"> &amp; Emmanuel, 2014).</w:t>
      </w:r>
    </w:p>
    <w:p w14:paraId="5C113EEA" w14:textId="77777777" w:rsidR="00DB6A40" w:rsidRPr="00DB6A40" w:rsidRDefault="00DB6A40" w:rsidP="002C367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lastRenderedPageBreak/>
        <w:t>Conversely, the adoption of electronic payment technologies has resulted in reduced actual returns for bank stakeholders and an elevated level of risk exposure. Moreover, the introduction of these technologies has necessitated changes in the business models of Nigerian banks, leading to higher operational costs during the transitional phase. To remain competitive with Fintech firms, certain deposit money banks have made substantial investments to support the development of electronic payment systems (Mustapha, 2018). It is against this backdrop that, this study seeks to investigate the effect of financial technology on the profitability of deposit money banks in Nigeria.</w:t>
      </w:r>
    </w:p>
    <w:p w14:paraId="1CA7733F" w14:textId="77777777" w:rsidR="00DB6A40" w:rsidRPr="00DB6A40" w:rsidRDefault="00DB6A40" w:rsidP="002C367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Furthermore, while there are varying findings on the impact of Fintech on the financial performance of banks, there is a notable gap in the literature regarding the specific influence of increasing Fintech adoption on Nigerian banks, particularly prominent institutions. Apart from Chimaobi's (2018) investigation of the profitability of commercial banks through internet banking, there is a lack of studies exploring the effects of Fintech adoption on performance measures </w:t>
      </w:r>
      <w:r w:rsidRPr="00DB6A40">
        <w:rPr>
          <w:rFonts w:ascii="Times New Roman" w:eastAsia="DengXian" w:hAnsi="Times New Roman" w:cs="Times New Roman"/>
          <w:kern w:val="0"/>
          <w:lang w:val="en-GB" w:eastAsia="zh-CN"/>
          <w14:ligatures w14:val="none"/>
        </w:rPr>
        <w:t xml:space="preserve">of </w:t>
      </w:r>
      <w:r w:rsidRPr="00DB6A40">
        <w:rPr>
          <w:rFonts w:ascii="Times New Roman" w:eastAsia="DengXian" w:hAnsi="Times New Roman" w:cs="Times New Roman"/>
          <w:kern w:val="0"/>
          <w:lang w:eastAsia="zh-CN"/>
          <w14:ligatures w14:val="none"/>
        </w:rPr>
        <w:t xml:space="preserve">the deposit money banks. This research gap serves as the focal point of the present study, aiming to contribute valuable insights to the existing body of knowledge. Therefore, this study distinguishes itself from previous research by conducting a detailed analysis on the effect of financial technology on the profitability of selected deposit money banks in Nigeria </w:t>
      </w:r>
    </w:p>
    <w:p w14:paraId="5EFD025D" w14:textId="77777777" w:rsidR="00DB6A40" w:rsidRPr="00DB6A40" w:rsidRDefault="00DB6A40" w:rsidP="002C367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 </w:t>
      </w:r>
    </w:p>
    <w:p w14:paraId="2B5098C1" w14:textId="77777777" w:rsidR="00DB6A40" w:rsidRPr="00DB6A40" w:rsidRDefault="00DB6A40" w:rsidP="002C3670">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val="en-GB" w:eastAsia="zh-CN"/>
          <w14:ligatures w14:val="none"/>
        </w:rPr>
        <w:t xml:space="preserve">1.2 </w:t>
      </w:r>
      <w:r w:rsidRPr="00DB6A40">
        <w:rPr>
          <w:rFonts w:ascii="Times New Roman" w:eastAsia="DengXian" w:hAnsi="Times New Roman" w:cs="Times New Roman"/>
          <w:b/>
          <w:bCs/>
          <w:kern w:val="0"/>
          <w:lang w:eastAsia="zh-CN"/>
          <w14:ligatures w14:val="none"/>
        </w:rPr>
        <w:t xml:space="preserve">Aim and Objectives of the Study  </w:t>
      </w:r>
    </w:p>
    <w:p w14:paraId="4E00FE54" w14:textId="77777777" w:rsidR="00DB6A40" w:rsidRPr="00DB6A40" w:rsidRDefault="00DB6A40" w:rsidP="002C367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This study focuses on investigating the effect of financial technology on the profitability of deposit money banks in Nigeria. The specific objectives are to: </w:t>
      </w:r>
    </w:p>
    <w:p w14:paraId="1729AAAB" w14:textId="77777777" w:rsidR="00DB6A40" w:rsidRPr="00DB6A40" w:rsidRDefault="00DB6A40" w:rsidP="002C3670">
      <w:pPr>
        <w:numPr>
          <w:ilvl w:val="0"/>
          <w:numId w:val="29"/>
        </w:numPr>
        <w:spacing w:after="0" w:line="240" w:lineRule="auto"/>
        <w:ind w:left="199" w:hangingChars="83" w:hanging="19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Investigate the influence of automated teller machine on return on investment of deposit money banks in Nigeria. </w:t>
      </w:r>
    </w:p>
    <w:p w14:paraId="348526E8" w14:textId="77777777" w:rsidR="00DB6A40" w:rsidRPr="00DB6A40" w:rsidRDefault="00DB6A40" w:rsidP="002C3670">
      <w:pPr>
        <w:numPr>
          <w:ilvl w:val="0"/>
          <w:numId w:val="29"/>
        </w:numPr>
        <w:spacing w:after="0" w:line="240" w:lineRule="auto"/>
        <w:ind w:left="199" w:hangingChars="83" w:hanging="19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Evaluate the effect of mobile banking services on return on investment of deposit money banks in Nigeria.</w:t>
      </w:r>
    </w:p>
    <w:p w14:paraId="73326260" w14:textId="77777777" w:rsidR="00DB6A40" w:rsidRPr="00DB6A40" w:rsidRDefault="00DB6A40" w:rsidP="002C3670">
      <w:pPr>
        <w:numPr>
          <w:ilvl w:val="0"/>
          <w:numId w:val="29"/>
        </w:numPr>
        <w:spacing w:after="0" w:line="240" w:lineRule="auto"/>
        <w:ind w:left="199" w:hangingChars="83" w:hanging="199"/>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Analyse</w:t>
      </w:r>
      <w:proofErr w:type="spellEnd"/>
      <w:r w:rsidRPr="00DB6A40">
        <w:rPr>
          <w:rFonts w:ascii="Times New Roman" w:eastAsia="DengXian" w:hAnsi="Times New Roman" w:cs="Times New Roman"/>
          <w:kern w:val="0"/>
          <w:lang w:eastAsia="zh-CN"/>
          <w14:ligatures w14:val="none"/>
        </w:rPr>
        <w:t xml:space="preserve"> the effect of point of sales (POS) services on return on investment of deposit money banks in Nigeria.</w:t>
      </w:r>
    </w:p>
    <w:p w14:paraId="6EF503BE" w14:textId="77777777" w:rsidR="00DB6A40" w:rsidRPr="00DB6A40" w:rsidRDefault="00DB6A40" w:rsidP="002C3670">
      <w:pPr>
        <w:numPr>
          <w:ilvl w:val="0"/>
          <w:numId w:val="29"/>
        </w:numPr>
        <w:spacing w:after="0" w:line="240" w:lineRule="auto"/>
        <w:ind w:left="199" w:hangingChars="83" w:hanging="19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Examine the influence of internet banking services on return on investment of deposit money banks in Nigeria. </w:t>
      </w:r>
    </w:p>
    <w:p w14:paraId="489D8E6D"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p w14:paraId="10DB41C3"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val="en-GB" w:eastAsia="zh-CN"/>
          <w14:ligatures w14:val="none"/>
        </w:rPr>
        <w:t xml:space="preserve">1.3 </w:t>
      </w:r>
      <w:r w:rsidRPr="00DB6A40">
        <w:rPr>
          <w:rFonts w:ascii="Times New Roman" w:eastAsia="DengXian" w:hAnsi="Times New Roman" w:cs="Times New Roman"/>
          <w:b/>
          <w:bCs/>
          <w:kern w:val="0"/>
          <w:lang w:eastAsia="zh-CN"/>
          <w14:ligatures w14:val="none"/>
        </w:rPr>
        <w:t xml:space="preserve">Hypotheses  </w:t>
      </w:r>
    </w:p>
    <w:p w14:paraId="46768365" w14:textId="77777777" w:rsidR="00DB6A40" w:rsidRPr="00DB6A40" w:rsidRDefault="00DB6A40" w:rsidP="00F2321A">
      <w:pPr>
        <w:spacing w:after="0" w:line="240" w:lineRule="auto"/>
        <w:ind w:left="600" w:hangingChars="250" w:hanging="600"/>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t>H0</w:t>
      </w:r>
      <w:r w:rsidRPr="00DB6A40">
        <w:rPr>
          <w:rFonts w:ascii="Times New Roman" w:eastAsia="DengXian" w:hAnsi="Times New Roman" w:cs="Times New Roman"/>
          <w:b/>
          <w:bCs/>
          <w:kern w:val="0"/>
          <w:vertAlign w:val="subscript"/>
          <w:lang w:eastAsia="zh-CN"/>
          <w14:ligatures w14:val="none"/>
        </w:rPr>
        <w:t>1</w:t>
      </w:r>
      <w:r w:rsidRPr="00DB6A40">
        <w:rPr>
          <w:rFonts w:ascii="Times New Roman" w:eastAsia="DengXian" w:hAnsi="Times New Roman" w:cs="Times New Roman"/>
          <w:b/>
          <w:bCs/>
          <w:kern w:val="0"/>
          <w:lang w:eastAsia="zh-CN"/>
          <w14:ligatures w14:val="none"/>
        </w:rPr>
        <w:t>:</w:t>
      </w:r>
      <w:r w:rsidRPr="00DB6A40">
        <w:rPr>
          <w:rFonts w:ascii="Times New Roman" w:eastAsia="DengXian" w:hAnsi="Times New Roman" w:cs="Times New Roman"/>
          <w:b/>
          <w:bCs/>
          <w:kern w:val="0"/>
          <w:lang w:val="en-GB" w:eastAsia="zh-CN"/>
          <w14:ligatures w14:val="none"/>
        </w:rPr>
        <w:t xml:space="preserve"> </w:t>
      </w:r>
      <w:r w:rsidRPr="00DB6A40">
        <w:rPr>
          <w:rFonts w:ascii="Times New Roman" w:eastAsia="DengXian" w:hAnsi="Times New Roman" w:cs="Times New Roman"/>
          <w:kern w:val="0"/>
          <w:lang w:eastAsia="zh-CN"/>
          <w14:ligatures w14:val="none"/>
        </w:rPr>
        <w:t xml:space="preserve">There is no significant relationship between automated teller machine transactions and return on investment of deposit money banks in Nigeria. </w:t>
      </w:r>
    </w:p>
    <w:p w14:paraId="4B9BA450" w14:textId="77777777" w:rsidR="00DB6A40" w:rsidRPr="00DB6A40" w:rsidRDefault="00DB6A40" w:rsidP="00F2321A">
      <w:pPr>
        <w:spacing w:after="0" w:line="240" w:lineRule="auto"/>
        <w:ind w:left="600" w:hangingChars="250" w:hanging="600"/>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t>H0</w:t>
      </w:r>
      <w:r w:rsidRPr="00DB6A40">
        <w:rPr>
          <w:rFonts w:ascii="Times New Roman" w:eastAsia="DengXian" w:hAnsi="Times New Roman" w:cs="Times New Roman"/>
          <w:b/>
          <w:bCs/>
          <w:kern w:val="0"/>
          <w:vertAlign w:val="subscript"/>
          <w:lang w:eastAsia="zh-CN"/>
          <w14:ligatures w14:val="none"/>
        </w:rPr>
        <w:t>2</w:t>
      </w:r>
      <w:r w:rsidRPr="00DB6A40">
        <w:rPr>
          <w:rFonts w:ascii="Times New Roman" w:eastAsia="DengXian" w:hAnsi="Times New Roman" w:cs="Times New Roman"/>
          <w:b/>
          <w:bCs/>
          <w:kern w:val="0"/>
          <w:lang w:eastAsia="zh-CN"/>
          <w14:ligatures w14:val="none"/>
        </w:rPr>
        <w:t xml:space="preserve">: </w:t>
      </w:r>
      <w:r w:rsidRPr="00DB6A40">
        <w:rPr>
          <w:rFonts w:ascii="Times New Roman" w:eastAsia="DengXian" w:hAnsi="Times New Roman" w:cs="Times New Roman"/>
          <w:kern w:val="0"/>
          <w:lang w:eastAsia="zh-CN"/>
          <w14:ligatures w14:val="none"/>
        </w:rPr>
        <w:t>Mobile banking service does not significantly affect return on investment of deposit money banks in Nigeria.</w:t>
      </w:r>
    </w:p>
    <w:p w14:paraId="2CFB7D1C" w14:textId="77777777" w:rsidR="00DB6A40" w:rsidRPr="00DB6A40" w:rsidRDefault="00DB6A40" w:rsidP="00F2321A">
      <w:pPr>
        <w:spacing w:after="0" w:line="240" w:lineRule="auto"/>
        <w:ind w:left="600" w:hangingChars="250" w:hanging="600"/>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t>H0</w:t>
      </w:r>
      <w:r w:rsidRPr="00DB6A40">
        <w:rPr>
          <w:rFonts w:ascii="Times New Roman" w:eastAsia="DengXian" w:hAnsi="Times New Roman" w:cs="Times New Roman"/>
          <w:b/>
          <w:bCs/>
          <w:kern w:val="0"/>
          <w:vertAlign w:val="subscript"/>
          <w:lang w:eastAsia="zh-CN"/>
          <w14:ligatures w14:val="none"/>
        </w:rPr>
        <w:t>3</w:t>
      </w:r>
      <w:r w:rsidRPr="00DB6A40">
        <w:rPr>
          <w:rFonts w:ascii="Times New Roman" w:eastAsia="DengXian" w:hAnsi="Times New Roman" w:cs="Times New Roman"/>
          <w:b/>
          <w:bCs/>
          <w:kern w:val="0"/>
          <w:lang w:eastAsia="zh-CN"/>
          <w14:ligatures w14:val="none"/>
        </w:rPr>
        <w:t>:</w:t>
      </w:r>
      <w:r w:rsidRPr="00DB6A40">
        <w:rPr>
          <w:rFonts w:ascii="Times New Roman" w:eastAsia="DengXian" w:hAnsi="Times New Roman" w:cs="Times New Roman"/>
          <w:kern w:val="0"/>
          <w:lang w:eastAsia="zh-CN"/>
          <w14:ligatures w14:val="none"/>
        </w:rPr>
        <w:t xml:space="preserve"> Point of sale (POS) payment service does not significantly affect return on investment of deposit money banks in Nigeria.</w:t>
      </w:r>
    </w:p>
    <w:p w14:paraId="46FB722A" w14:textId="77777777" w:rsidR="00DB6A40" w:rsidRPr="00DB6A40" w:rsidRDefault="00DB6A40" w:rsidP="00F2321A">
      <w:pPr>
        <w:spacing w:after="0" w:line="240" w:lineRule="auto"/>
        <w:ind w:left="600" w:hangingChars="250" w:hanging="600"/>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t>H0</w:t>
      </w:r>
      <w:r w:rsidRPr="00DB6A40">
        <w:rPr>
          <w:rFonts w:ascii="Times New Roman" w:eastAsia="DengXian" w:hAnsi="Times New Roman" w:cs="Times New Roman"/>
          <w:b/>
          <w:bCs/>
          <w:kern w:val="0"/>
          <w:vertAlign w:val="subscript"/>
          <w:lang w:eastAsia="zh-CN"/>
          <w14:ligatures w14:val="none"/>
        </w:rPr>
        <w:t>4</w:t>
      </w:r>
      <w:r w:rsidRPr="00DB6A40">
        <w:rPr>
          <w:rFonts w:ascii="Times New Roman" w:eastAsia="DengXian" w:hAnsi="Times New Roman" w:cs="Times New Roman"/>
          <w:b/>
          <w:bCs/>
          <w:kern w:val="0"/>
          <w:lang w:eastAsia="zh-CN"/>
          <w14:ligatures w14:val="none"/>
        </w:rPr>
        <w:t xml:space="preserve">: </w:t>
      </w:r>
      <w:r w:rsidRPr="00DB6A40">
        <w:rPr>
          <w:rFonts w:ascii="Times New Roman" w:eastAsia="DengXian" w:hAnsi="Times New Roman" w:cs="Times New Roman"/>
          <w:kern w:val="0"/>
          <w:lang w:eastAsia="zh-CN"/>
          <w14:ligatures w14:val="none"/>
        </w:rPr>
        <w:t xml:space="preserve">There is no significant relationship between internet banking transactions and return on investment of deposit money banks in Nigeria. </w:t>
      </w:r>
    </w:p>
    <w:p w14:paraId="37578AAD"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p>
    <w:p w14:paraId="346FEB63"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val="en-GB" w:eastAsia="zh-CN"/>
          <w14:ligatures w14:val="none"/>
        </w:rPr>
        <w:t xml:space="preserve">2. Synopsis of </w:t>
      </w:r>
      <w:r w:rsidRPr="00DB6A40">
        <w:rPr>
          <w:rFonts w:ascii="Times New Roman" w:eastAsia="DengXian" w:hAnsi="Times New Roman" w:cs="Times New Roman"/>
          <w:b/>
          <w:bCs/>
          <w:kern w:val="0"/>
          <w:lang w:eastAsia="zh-CN"/>
          <w14:ligatures w14:val="none"/>
        </w:rPr>
        <w:t>Literature Review</w:t>
      </w:r>
    </w:p>
    <w:p w14:paraId="44A5F4F4" w14:textId="77777777" w:rsidR="00DB6A40" w:rsidRPr="00DB6A40" w:rsidRDefault="00DB6A40" w:rsidP="00F2321A">
      <w:pPr>
        <w:spacing w:after="0" w:line="240" w:lineRule="auto"/>
        <w:jc w:val="both"/>
        <w:rPr>
          <w:rFonts w:ascii="Times New Roman" w:eastAsia="DengXian" w:hAnsi="Times New Roman" w:cs="Times New Roman"/>
          <w:b/>
          <w:bCs/>
          <w:kern w:val="0"/>
          <w:lang w:val="en-GB" w:eastAsia="zh-CN"/>
          <w14:ligatures w14:val="none"/>
        </w:rPr>
      </w:pPr>
      <w:r w:rsidRPr="00DB6A40">
        <w:rPr>
          <w:rFonts w:ascii="Times New Roman" w:eastAsia="DengXian" w:hAnsi="Times New Roman" w:cs="Times New Roman"/>
          <w:b/>
          <w:bCs/>
          <w:kern w:val="0"/>
          <w:lang w:val="en-GB" w:eastAsia="zh-CN"/>
          <w14:ligatures w14:val="none"/>
        </w:rPr>
        <w:t>2.1 Conceptual Framework</w:t>
      </w:r>
    </w:p>
    <w:p w14:paraId="2DB31320"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val="en-GB" w:eastAsia="zh-CN"/>
          <w14:ligatures w14:val="none"/>
        </w:rPr>
        <w:t xml:space="preserve">2.1.1 </w:t>
      </w:r>
      <w:r w:rsidRPr="00DB6A40">
        <w:rPr>
          <w:rFonts w:ascii="Times New Roman" w:eastAsia="DengXian" w:hAnsi="Times New Roman" w:cs="Times New Roman"/>
          <w:b/>
          <w:bCs/>
          <w:kern w:val="0"/>
          <w:lang w:eastAsia="zh-CN"/>
          <w14:ligatures w14:val="none"/>
        </w:rPr>
        <w:t>Financial Technology</w:t>
      </w:r>
    </w:p>
    <w:p w14:paraId="49F18E56"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Financial Technology a new form monetary service that merges information technology (IT) with monetary services such as remittances, payments and also management of assets (Lee &amp; Kim, 2015). According to Kagan (2020), financial technology (FinTech) is used to describe new technology that seeks to improve and automate the delivery and use of financial services. At its core, FinTech is utilized to help companies, business owners and consumers better manage their financial operations by utilizing specialized software that are used on computers.</w:t>
      </w:r>
    </w:p>
    <w:p w14:paraId="52EE5FAB"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FinTech companies are those that use technology to make the financial system more efficient (Mishkin &amp; Strahan, 1999). Basically, financial technology is divided into several types based on the services they provide. According to Schüffel (2016), Fintech refers to computer software and other technology employed to support banking and financial service delivery. The Financial Technology definition used in this study draws essentially </w:t>
      </w:r>
      <w:r w:rsidRPr="00DB6A40">
        <w:rPr>
          <w:rFonts w:ascii="Times New Roman" w:eastAsia="DengXian" w:hAnsi="Times New Roman" w:cs="Times New Roman"/>
          <w:kern w:val="0"/>
          <w:lang w:eastAsia="zh-CN"/>
          <w14:ligatures w14:val="none"/>
        </w:rPr>
        <w:lastRenderedPageBreak/>
        <w:t xml:space="preserve">from the one given by the </w:t>
      </w:r>
      <w:proofErr w:type="spellStart"/>
      <w:r w:rsidRPr="00DB6A40">
        <w:rPr>
          <w:rFonts w:ascii="Times New Roman" w:eastAsia="DengXian" w:hAnsi="Times New Roman" w:cs="Times New Roman"/>
          <w:kern w:val="0"/>
          <w:lang w:eastAsia="zh-CN"/>
          <w14:ligatures w14:val="none"/>
        </w:rPr>
        <w:t>Schüffel</w:t>
      </w:r>
      <w:proofErr w:type="spellEnd"/>
      <w:r w:rsidRPr="00DB6A40">
        <w:rPr>
          <w:rFonts w:ascii="Times New Roman" w:eastAsia="DengXian" w:hAnsi="Times New Roman" w:cs="Times New Roman"/>
          <w:kern w:val="0"/>
          <w:lang w:eastAsia="zh-CN"/>
          <w14:ligatures w14:val="none"/>
        </w:rPr>
        <w:t xml:space="preserve"> (2016). This are represented by Automated Teller Machine, Point of Sale Terminal, Internet Banking and Mobile Banking.</w:t>
      </w:r>
    </w:p>
    <w:p w14:paraId="1DD90894"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Financial technology in banking has led to revolution in payments systems, improved the automated clearing and truncation of cheques and deepened foreign remittance services. FINTECH facilitate reduction in cash transactions and inherent risk. Technology driven FINSERV is imminent globally in development finance (Okoye, </w:t>
      </w:r>
      <w:proofErr w:type="spellStart"/>
      <w:r w:rsidRPr="00DB6A40">
        <w:rPr>
          <w:rFonts w:ascii="Times New Roman" w:eastAsia="DengXian" w:hAnsi="Times New Roman" w:cs="Times New Roman"/>
          <w:kern w:val="0"/>
          <w:lang w:eastAsia="zh-CN"/>
          <w14:ligatures w14:val="none"/>
        </w:rPr>
        <w:t>Adetiloye</w:t>
      </w:r>
      <w:proofErr w:type="spellEnd"/>
      <w:r w:rsidRPr="00DB6A40">
        <w:rPr>
          <w:rFonts w:ascii="Times New Roman" w:eastAsia="DengXian" w:hAnsi="Times New Roman" w:cs="Times New Roman"/>
          <w:kern w:val="0"/>
          <w:lang w:eastAsia="zh-CN"/>
          <w14:ligatures w14:val="none"/>
        </w:rPr>
        <w:t xml:space="preserve">, Erin &amp; </w:t>
      </w:r>
      <w:proofErr w:type="spellStart"/>
      <w:r w:rsidRPr="00DB6A40">
        <w:rPr>
          <w:rFonts w:ascii="Times New Roman" w:eastAsia="DengXian" w:hAnsi="Times New Roman" w:cs="Times New Roman"/>
          <w:kern w:val="0"/>
          <w:lang w:eastAsia="zh-CN"/>
          <w14:ligatures w14:val="none"/>
        </w:rPr>
        <w:t>Modebe</w:t>
      </w:r>
      <w:proofErr w:type="spellEnd"/>
      <w:r w:rsidRPr="00DB6A40">
        <w:rPr>
          <w:rFonts w:ascii="Times New Roman" w:eastAsia="DengXian" w:hAnsi="Times New Roman" w:cs="Times New Roman"/>
          <w:kern w:val="0"/>
          <w:lang w:eastAsia="zh-CN"/>
          <w14:ligatures w14:val="none"/>
        </w:rPr>
        <w:t>, 2016).</w:t>
      </w:r>
    </w:p>
    <w:p w14:paraId="2A2AC6FF"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p>
    <w:p w14:paraId="4620E513"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2.1.2 Dimensions of Financial Technology</w:t>
      </w:r>
    </w:p>
    <w:p w14:paraId="7700EBD5"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2.1.2.1 Automatic Teller Machine  </w:t>
      </w:r>
    </w:p>
    <w:p w14:paraId="796433BA"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This is a computerized device that provides the customers of a financial institution with access to financial transactions in a public place without a need for assistance from bank teller or any official. It is the commonest form of electronic banking which has gained popularity among the people including unlettered customers.</w:t>
      </w:r>
    </w:p>
    <w:p w14:paraId="14214F66"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ATMs are the most commonly used bank innovation in recent times. Almost all the universal banks in Nigeria have this facility available for their customers. On most contemporary ATM, the clients is identified after inserting a plastic ATM card with a magnetic stripe or a plastic smart card with a chip, that contains a unique card number and some security data, such as cessation date and personal identification number (PIN), join computer terminals accounting records and the cash vault in one unit, allowing clients to go into the bank’s record keeping system with a plastic card containing a personal identification number (PIN) or by punching a special code number into the computer terminal linked to the bank’s computerized records 24 hours a day. Once entrance is attained, it grants a lot of retail banking services to clients.  </w:t>
      </w:r>
    </w:p>
    <w:p w14:paraId="5CEFB406"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2.1.2.2 Mobile Banking  </w:t>
      </w:r>
    </w:p>
    <w:p w14:paraId="72DA3E51"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This is a wireless internet application of banking generally referred to as m-banking. This involves the working together of the internet and mobile phone communication for banking activities. This innovation offers customer services such as SMS Banking that provides instant notification about transactions which helps to keep a watch on account with round the clock services and to ups of mobile phone credits. The customer is able to perform other services such as account enquiries, request for cheque book.  </w:t>
      </w:r>
    </w:p>
    <w:p w14:paraId="39959818"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Mobile banking involves the use of mobile phone for settlement of financial transactions. This is more or less fund transfer process between customers with immediate availability of funds for the beneficiary. It uses card infrastructure for movement of payment instructions as well as secure SMS messaging for confirmation of receipts to the beneficiary. It is very popular and exciting to the customers given the low infrastructure requirements and a rapidly increasing mobile phone penetration in the country. Services covered by this product include account enquiry; funds transfer; recharge phones; changing password and bill payments. Although the product is exciting most customers are yet to fully buy into it in Nigeria hence both the apex bank and other banks still have a lot to do in terms of increasing awareness of the product to the saving populace in the country.</w:t>
      </w:r>
    </w:p>
    <w:p w14:paraId="3CEEE2AD" w14:textId="77777777" w:rsidR="002610CA" w:rsidRDefault="002610CA" w:rsidP="00F2321A">
      <w:pPr>
        <w:spacing w:after="0" w:line="240" w:lineRule="auto"/>
        <w:jc w:val="both"/>
        <w:rPr>
          <w:rFonts w:ascii="Times New Roman" w:eastAsia="DengXian" w:hAnsi="Times New Roman" w:cs="Times New Roman"/>
          <w:b/>
          <w:bCs/>
          <w:kern w:val="0"/>
          <w:lang w:eastAsia="zh-CN"/>
          <w14:ligatures w14:val="none"/>
        </w:rPr>
      </w:pPr>
    </w:p>
    <w:p w14:paraId="3AF8B57F" w14:textId="337ADB71"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2.1.2.3 Electronic Fund Transfer at Point of Sale </w:t>
      </w:r>
    </w:p>
    <w:p w14:paraId="7257AEBD"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 An EFTPOS is an on-line arrangement that enables clients to transfer funds directly from their bank accounts to a merchant’s accounts after making purchases (at purchase points). An EFTPOS employs a debit card to start an electronic fund transfer process, (</w:t>
      </w:r>
      <w:proofErr w:type="spellStart"/>
      <w:r w:rsidRPr="00DB6A40">
        <w:rPr>
          <w:rFonts w:ascii="Times New Roman" w:eastAsia="DengXian" w:hAnsi="Times New Roman" w:cs="Times New Roman"/>
          <w:kern w:val="0"/>
          <w:lang w:eastAsia="zh-CN"/>
          <w14:ligatures w14:val="none"/>
        </w:rPr>
        <w:t>Chorafas</w:t>
      </w:r>
      <w:proofErr w:type="spellEnd"/>
      <w:r w:rsidRPr="00DB6A40">
        <w:rPr>
          <w:rFonts w:ascii="Times New Roman" w:eastAsia="DengXian" w:hAnsi="Times New Roman" w:cs="Times New Roman"/>
          <w:kern w:val="0"/>
          <w:lang w:eastAsia="zh-CN"/>
          <w14:ligatures w14:val="none"/>
        </w:rPr>
        <w:t xml:space="preserve">, 2018), improved banking efficiency resulting from the use of EFTPOS to service clients shopping payment conditions as an alternative to the bookkeeping duties in handling cheques and cash withdrawals for purchases. </w:t>
      </w:r>
    </w:p>
    <w:p w14:paraId="28D76E31"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POS or POP is the location where a transaction occurs. A terminal POS or POP is generally referred to the hardware and software used for check out, the equivalent of an electronic cash register. A POS manages the selling process by a salesperson is accessible interface. The system allows the creation and printing of receipts.</w:t>
      </w:r>
    </w:p>
    <w:p w14:paraId="30A9F7F1"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6BAB0612" w14:textId="4A8A2493"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2.1.2.4 Internet Banking </w:t>
      </w:r>
    </w:p>
    <w:p w14:paraId="1B14CA31"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Internet banking involves the conduct of conventional banking activities on the Internet, that is, the global network of computer which does not depend on any "brick and mortar" office building; it offers financial services that are accessed through the Internet’s World Wide Web </w:t>
      </w:r>
      <w:proofErr w:type="gramStart"/>
      <w:r w:rsidRPr="00DB6A40">
        <w:rPr>
          <w:rFonts w:ascii="Times New Roman" w:eastAsia="DengXian" w:hAnsi="Times New Roman" w:cs="Times New Roman"/>
          <w:kern w:val="0"/>
          <w:lang w:eastAsia="zh-CN"/>
          <w14:ligatures w14:val="none"/>
        </w:rPr>
        <w:t>By</w:t>
      </w:r>
      <w:proofErr w:type="gramEnd"/>
      <w:r w:rsidRPr="00DB6A40">
        <w:rPr>
          <w:rFonts w:ascii="Times New Roman" w:eastAsia="DengXian" w:hAnsi="Times New Roman" w:cs="Times New Roman"/>
          <w:kern w:val="0"/>
          <w:lang w:eastAsia="zh-CN"/>
          <w14:ligatures w14:val="none"/>
        </w:rPr>
        <w:t xml:space="preserve"> reducing the overhead expenses of traditional bank. Banks often rely on the Internet to convey information about financial products to the general public, replace </w:t>
      </w:r>
      <w:r w:rsidRPr="00DB6A40">
        <w:rPr>
          <w:rFonts w:ascii="Times New Roman" w:eastAsia="DengXian" w:hAnsi="Times New Roman" w:cs="Times New Roman"/>
          <w:kern w:val="0"/>
          <w:lang w:eastAsia="zh-CN"/>
          <w14:ligatures w14:val="none"/>
        </w:rPr>
        <w:lastRenderedPageBreak/>
        <w:t>business conducted at the branch offices, which do away with the need to put up new branches, and to serve clients more efficiently.</w:t>
      </w:r>
    </w:p>
    <w:p w14:paraId="079D71C7"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Internet banking involves conducting banking transactions on the internet (www) using electronic tools such as the computer without visiting the banking hall. Ecommerce is greatly facilitated by internet banking and is mostly used to effect payment. Internet banking, like mobile banking, also uses the electronic card infrastructure for executing payment instructions and final settlement of goods and services over the internet between the merchants and the customers. Commonly used internet banking transactions in Nigeria are settlement of commercial bills and purchase of air tickets through the websites of the merchants. Level of awareness of the advantages of this product to the saving populace is still very low, hence there is every room for improvement if cashless banking would be effective as expected.</w:t>
      </w:r>
    </w:p>
    <w:p w14:paraId="367DC49E"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3E2286B5" w14:textId="0399988B"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2.1.3 Profitability  </w:t>
      </w:r>
    </w:p>
    <w:p w14:paraId="4D96960F"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Lin (2018) defines profitability as the measure of outcomes in meeting an organization's goals. (Bessler, Kruizenga &amp; Westerman 2018) measures how an organization uses its resources to generate income. To this end, financial performance is the expression of the revenues with respect to the resources. Total sales revenue, profits and return on assets are some financial measures. Performance may be measured in terms of financial and nonfinancial terms (Bahar and Ahmad, 2010). To this end, financial performance may involve such measures as profits after tax and market share and customer satisfaction. Kabira (2013) notes that agency banking ensures that banks save on the floor for banking halls and saves on salaries since the agency outlets are run by independent agents. Further, agency banking hours may be more and hence more transactions. Thus, agency banking may increase the profits of the banks while keeping the costs at minimum.</w:t>
      </w:r>
    </w:p>
    <w:p w14:paraId="421FC199"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2507A228" w14:textId="11ECBD1D"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2.2 Theoretical Framework  </w:t>
      </w:r>
    </w:p>
    <w:p w14:paraId="30E490CE"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2.2.1 Constraint-Induced Financial Innovation Theory</w:t>
      </w:r>
    </w:p>
    <w:p w14:paraId="4B93F21F"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Silber (1983) advanced constraint-induced financial innovation theory. This theory pointed out that the purpose of profit maximization of financial institution is the key reason of financial innovation. There are some restrictions (including external handicaps such as policy and internal handicaps such as organizational management) in the process of pursuing profit maximization. Though these restrictions not only guarantee the stability of management, they reduce the efficiency of financial institution, so financial institutions strive toward casting them off. Constraint-induced innovation theory discusses financial innovation from microeconomics, so it is originated and representative. But it emphasizes “innovation in adversity” excessively. So, it can’t express the phenomenon of financial innovation increasing in the trend of liberal finance commendably.</w:t>
      </w:r>
    </w:p>
    <w:p w14:paraId="23CF60DD"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05BC6D73" w14:textId="5752F009"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2.3 Empirical Review </w:t>
      </w:r>
    </w:p>
    <w:p w14:paraId="28BF949E"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Adiga, </w:t>
      </w:r>
      <w:proofErr w:type="spellStart"/>
      <w:r w:rsidRPr="00DB6A40">
        <w:rPr>
          <w:rFonts w:ascii="Times New Roman" w:eastAsia="DengXian" w:hAnsi="Times New Roman" w:cs="Times New Roman"/>
          <w:kern w:val="0"/>
          <w:lang w:eastAsia="zh-CN"/>
          <w14:ligatures w14:val="none"/>
        </w:rPr>
        <w:t>Adigwe</w:t>
      </w:r>
      <w:proofErr w:type="spellEnd"/>
      <w:r w:rsidRPr="00DB6A40">
        <w:rPr>
          <w:rFonts w:ascii="Times New Roman" w:eastAsia="DengXian" w:hAnsi="Times New Roman" w:cs="Times New Roman"/>
          <w:kern w:val="0"/>
          <w:lang w:eastAsia="zh-CN"/>
          <w14:ligatures w14:val="none"/>
        </w:rPr>
        <w:t>, Okonkwo, and Ogbonna (2022) examined financial technology and banking sector performance in Nigeria. This study was anchored on Technology Acceptance Model (TAM) which was subjected to Auto Regressive Distributed Lag (ARDL) technique to test the interaction between independent variables. The study concluded that financial technology significantly explained the variation in banking sector performance components in ROA, ROE, and non-interest income. The effect of financial technology on performance of the banking sector is inconclusive thus financial technology could not be said to improve and exert the required impact on the banking sector performance within the period studied.</w:t>
      </w:r>
    </w:p>
    <w:p w14:paraId="58B541F2"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Ibekwe (2021) carried out study on financial innovation and DMBs performance in Nigeria. Using CBN data and the Augmented Dickey Fuller Test for unit roots and the OLS-regression, ATM, POS, mobile banking and internet banking have positive effect on DMBs performance.</w:t>
      </w:r>
    </w:p>
    <w:p w14:paraId="3CAFC4DE"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Aduaka</w:t>
      </w:r>
      <w:proofErr w:type="spellEnd"/>
      <w:r w:rsidRPr="00DB6A40">
        <w:rPr>
          <w:rFonts w:ascii="Times New Roman" w:eastAsia="DengXian" w:hAnsi="Times New Roman" w:cs="Times New Roman"/>
          <w:kern w:val="0"/>
          <w:lang w:eastAsia="zh-CN"/>
          <w14:ligatures w14:val="none"/>
        </w:rPr>
        <w:t xml:space="preserve"> and </w:t>
      </w:r>
      <w:proofErr w:type="spellStart"/>
      <w:r w:rsidRPr="00DB6A40">
        <w:rPr>
          <w:rFonts w:ascii="Times New Roman" w:eastAsia="DengXian" w:hAnsi="Times New Roman" w:cs="Times New Roman"/>
          <w:kern w:val="0"/>
          <w:lang w:eastAsia="zh-CN"/>
          <w14:ligatures w14:val="none"/>
        </w:rPr>
        <w:t>Awolusi</w:t>
      </w:r>
      <w:proofErr w:type="spellEnd"/>
      <w:r w:rsidRPr="00DB6A40">
        <w:rPr>
          <w:rFonts w:ascii="Times New Roman" w:eastAsia="DengXian" w:hAnsi="Times New Roman" w:cs="Times New Roman"/>
          <w:kern w:val="0"/>
          <w:lang w:eastAsia="zh-CN"/>
          <w14:ligatures w14:val="none"/>
        </w:rPr>
        <w:t xml:space="preserve"> (2020) evaluated electronic banking impact on Nigerian banking industry profitability. Primary and secondary data were collected through questionnaires and audited financial reports of the banks respectively. Using multiple regression, cards play a significant role more than other channels and immediately followed by ATM. It also found that e-banking channels contributed to banks’ profitability. </w:t>
      </w:r>
    </w:p>
    <w:p w14:paraId="3E205E54"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Kshitika</w:t>
      </w:r>
      <w:proofErr w:type="spellEnd"/>
      <w:r w:rsidRPr="00DB6A40">
        <w:rPr>
          <w:rFonts w:ascii="Times New Roman" w:eastAsia="DengXian" w:hAnsi="Times New Roman" w:cs="Times New Roman"/>
          <w:kern w:val="0"/>
          <w:lang w:eastAsia="zh-CN"/>
          <w14:ligatures w14:val="none"/>
        </w:rPr>
        <w:t xml:space="preserve">, Meena, Vinutha and Kavitha (2019) examined FinTech innovative impact on DMBs profitability. Past year profits of HDFC bank, ICICI bank, </w:t>
      </w:r>
      <w:proofErr w:type="spellStart"/>
      <w:r w:rsidRPr="00DB6A40">
        <w:rPr>
          <w:rFonts w:ascii="Times New Roman" w:eastAsia="DengXian" w:hAnsi="Times New Roman" w:cs="Times New Roman"/>
          <w:kern w:val="0"/>
          <w:lang w:eastAsia="zh-CN"/>
          <w14:ligatures w14:val="none"/>
        </w:rPr>
        <w:t>Axix</w:t>
      </w:r>
      <w:proofErr w:type="spellEnd"/>
      <w:r w:rsidRPr="00DB6A40">
        <w:rPr>
          <w:rFonts w:ascii="Times New Roman" w:eastAsia="DengXian" w:hAnsi="Times New Roman" w:cs="Times New Roman"/>
          <w:kern w:val="0"/>
          <w:lang w:eastAsia="zh-CN"/>
          <w14:ligatures w14:val="none"/>
        </w:rPr>
        <w:t xml:space="preserve"> bank, Kotak Mahindra bank, IDBI bank, Canara bank, Industrial </w:t>
      </w:r>
      <w:r w:rsidRPr="00DB6A40">
        <w:rPr>
          <w:rFonts w:ascii="Times New Roman" w:eastAsia="DengXian" w:hAnsi="Times New Roman" w:cs="Times New Roman"/>
          <w:kern w:val="0"/>
          <w:lang w:eastAsia="zh-CN"/>
          <w14:ligatures w14:val="none"/>
        </w:rPr>
        <w:lastRenderedPageBreak/>
        <w:t xml:space="preserve">bank, Bank of Maharashtra and Federal bank to find out effect after collaboration with FinTech firms. The study relied on secondary data. Paired t-test and test of normality was used for analysis. Results show that HDFC bank, Federal bank, Kotak Mahindra bank, IndusInd bank, show a profit trend in our profits. ICICI bank, Axis bank, IDBI bank, Bank of India, State bank of India, Canara bank and Bank of Maharashtra show a negative trend in their profits. </w:t>
      </w:r>
    </w:p>
    <w:p w14:paraId="7ACF82A5"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Purnomo and </w:t>
      </w:r>
      <w:proofErr w:type="spellStart"/>
      <w:r w:rsidRPr="00DB6A40">
        <w:rPr>
          <w:rFonts w:ascii="Times New Roman" w:eastAsia="DengXian" w:hAnsi="Times New Roman" w:cs="Times New Roman"/>
          <w:kern w:val="0"/>
          <w:lang w:eastAsia="zh-CN"/>
          <w14:ligatures w14:val="none"/>
        </w:rPr>
        <w:t>Khalda</w:t>
      </w:r>
      <w:proofErr w:type="spellEnd"/>
      <w:r w:rsidRPr="00DB6A40">
        <w:rPr>
          <w:rFonts w:ascii="Times New Roman" w:eastAsia="DengXian" w:hAnsi="Times New Roman" w:cs="Times New Roman"/>
          <w:kern w:val="0"/>
          <w:lang w:eastAsia="zh-CN"/>
          <w14:ligatures w14:val="none"/>
        </w:rPr>
        <w:t xml:space="preserve"> (2019) assessed the influence of financial technology on national financial institutions. Using descriptive methods and gathering information/data from the internet, their findings show that financial technology could hamper the development of banking. </w:t>
      </w:r>
    </w:p>
    <w:p w14:paraId="05D3F4BF"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p>
    <w:p w14:paraId="2F610028" w14:textId="77777777" w:rsidR="00DB6A40" w:rsidRPr="00DB6A40" w:rsidRDefault="00DB6A40" w:rsidP="00F2321A">
      <w:pPr>
        <w:numPr>
          <w:ilvl w:val="0"/>
          <w:numId w:val="30"/>
        </w:num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Methodology</w:t>
      </w:r>
    </w:p>
    <w:p w14:paraId="374FBDEC"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 xml:space="preserve">3.1 Research Design </w:t>
      </w:r>
    </w:p>
    <w:p w14:paraId="0935D3D7"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The researcher adopted the quasi- experimental design for the study since the various elements of the design are not under the control of the researcher. </w:t>
      </w:r>
    </w:p>
    <w:p w14:paraId="710C8F0F"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For the purpose of this study, the researcher made use of Secondary Data source. Which was collected from Central Bank of Nigeria (CBN) statistical bulletin, Federal office of statistic, textbooks, journals, financial magazines, annual financial statement and lecturer's notes relating to the research work. The data collected is in time series as it spans over a period of time (20</w:t>
      </w:r>
      <w:r w:rsidRPr="00DB6A40">
        <w:rPr>
          <w:rFonts w:ascii="Times New Roman" w:eastAsia="DengXian" w:hAnsi="Times New Roman" w:cs="Times New Roman"/>
          <w:kern w:val="0"/>
          <w:lang w:val="en-GB" w:eastAsia="zh-CN"/>
          <w14:ligatures w14:val="none"/>
        </w:rPr>
        <w:t>10</w:t>
      </w:r>
      <w:r w:rsidRPr="00DB6A40">
        <w:rPr>
          <w:rFonts w:ascii="Times New Roman" w:eastAsia="DengXian" w:hAnsi="Times New Roman" w:cs="Times New Roman"/>
          <w:kern w:val="0"/>
          <w:lang w:eastAsia="zh-CN"/>
          <w14:ligatures w14:val="none"/>
        </w:rPr>
        <w:t xml:space="preserve"> - 202</w:t>
      </w:r>
      <w:r w:rsidRPr="00DB6A40">
        <w:rPr>
          <w:rFonts w:ascii="Times New Roman" w:eastAsia="DengXian" w:hAnsi="Times New Roman" w:cs="Times New Roman"/>
          <w:kern w:val="0"/>
          <w:lang w:val="en-GB" w:eastAsia="zh-CN"/>
          <w14:ligatures w14:val="none"/>
        </w:rPr>
        <w:t>4</w:t>
      </w:r>
      <w:r w:rsidRPr="00DB6A40">
        <w:rPr>
          <w:rFonts w:ascii="Times New Roman" w:eastAsia="DengXian" w:hAnsi="Times New Roman" w:cs="Times New Roman"/>
          <w:kern w:val="0"/>
          <w:lang w:eastAsia="zh-CN"/>
          <w14:ligatures w14:val="none"/>
        </w:rPr>
        <w:t xml:space="preserve">). </w:t>
      </w:r>
    </w:p>
    <w:p w14:paraId="09D915E2"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3.</w:t>
      </w:r>
      <w:r w:rsidRPr="00DB6A40">
        <w:rPr>
          <w:rFonts w:ascii="Times New Roman" w:eastAsia="DengXian" w:hAnsi="Times New Roman" w:cs="Times New Roman"/>
          <w:b/>
          <w:bCs/>
          <w:kern w:val="0"/>
          <w:lang w:val="en-GB" w:eastAsia="zh-CN"/>
          <w14:ligatures w14:val="none"/>
        </w:rPr>
        <w:t>2</w:t>
      </w:r>
      <w:r w:rsidRPr="00DB6A40">
        <w:rPr>
          <w:rFonts w:ascii="Times New Roman" w:eastAsia="DengXian" w:hAnsi="Times New Roman" w:cs="Times New Roman"/>
          <w:b/>
          <w:bCs/>
          <w:kern w:val="0"/>
          <w:lang w:eastAsia="zh-CN"/>
          <w14:ligatures w14:val="none"/>
        </w:rPr>
        <w:t xml:space="preserve"> Model Specification </w:t>
      </w:r>
    </w:p>
    <w:p w14:paraId="68293413"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From the foregoing, the multiple equation models to be estimated can be stated as follows: </w:t>
      </w:r>
    </w:p>
    <w:p w14:paraId="0FBFA6DB"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ROI = f (ATM, MBS, POS, IBS) ------------------------------- (1) </w:t>
      </w:r>
    </w:p>
    <w:p w14:paraId="4670CCE4"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Where: </w:t>
      </w:r>
    </w:p>
    <w:p w14:paraId="70711C8B"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ROI = Return on Investment </w:t>
      </w:r>
    </w:p>
    <w:p w14:paraId="3E60F8E8"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ATM = Automated Teller Machine </w:t>
      </w:r>
    </w:p>
    <w:p w14:paraId="2939B23A"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MBS = Mobile Banking Services </w:t>
      </w:r>
    </w:p>
    <w:p w14:paraId="25771BA9"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POS = Point of Sale </w:t>
      </w:r>
    </w:p>
    <w:p w14:paraId="656CEBE6"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IBS = Internet Banking Services</w:t>
      </w:r>
    </w:p>
    <w:p w14:paraId="1EA2B7AA"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The mathematical form of the model is written by introducing estimation parameters in the model below: </w:t>
      </w:r>
    </w:p>
    <w:p w14:paraId="636CB7D1"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ROI = </w:t>
      </w:r>
      <w:proofErr w:type="spellStart"/>
      <w:r w:rsidRPr="00DB6A40">
        <w:rPr>
          <w:rFonts w:ascii="Times New Roman" w:eastAsia="DengXian" w:hAnsi="Times New Roman" w:cs="Times New Roman"/>
          <w:kern w:val="0"/>
          <w:lang w:eastAsia="zh-CN"/>
          <w14:ligatures w14:val="none"/>
        </w:rPr>
        <w:t>ao</w:t>
      </w:r>
      <w:proofErr w:type="spellEnd"/>
      <w:r w:rsidRPr="00DB6A40">
        <w:rPr>
          <w:rFonts w:ascii="Times New Roman" w:eastAsia="DengXian" w:hAnsi="Times New Roman" w:cs="Times New Roman"/>
          <w:kern w:val="0"/>
          <w:lang w:eastAsia="zh-CN"/>
          <w14:ligatures w14:val="none"/>
        </w:rPr>
        <w:t xml:space="preserve"> + a1 ATM + a2MBS + a3POS + a4IBS -------------- (2) </w:t>
      </w:r>
    </w:p>
    <w:p w14:paraId="5CD4BC91"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Where: </w:t>
      </w:r>
    </w:p>
    <w:p w14:paraId="6852F93D"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ROI = Return on Investment </w:t>
      </w:r>
    </w:p>
    <w:p w14:paraId="52308EF2"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ATM = Automated Teller Machine </w:t>
      </w:r>
    </w:p>
    <w:p w14:paraId="2BE8C86F"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MBP = Mobile Banking Services </w:t>
      </w:r>
    </w:p>
    <w:p w14:paraId="1C5E2118"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POS = Point of Sale </w:t>
      </w:r>
    </w:p>
    <w:p w14:paraId="6228563B"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IBS = Internet Banking Services </w:t>
      </w:r>
    </w:p>
    <w:p w14:paraId="4080FE55"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a0      = Constant Parameters </w:t>
      </w:r>
    </w:p>
    <w:p w14:paraId="2FA9E81C"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a1, a2, a3, a4, = Estimation parameters </w:t>
      </w:r>
    </w:p>
    <w:p w14:paraId="243A3CDC"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In econometrics, the above equations (1) and (2) are not sufficient in specification due to absence of error term. Therefore, we introduce the error terms as follows;  </w:t>
      </w:r>
    </w:p>
    <w:p w14:paraId="693D90B9"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ROI = a0 + a1, ATM + a2MBS + a3POS + a4 IBS + µt -------- (3) </w:t>
      </w:r>
    </w:p>
    <w:p w14:paraId="79E5EA03"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Where: </w:t>
      </w:r>
    </w:p>
    <w:p w14:paraId="044F6902"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ROI = Return on Investment </w:t>
      </w:r>
    </w:p>
    <w:p w14:paraId="757C2533"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ATM = Automated Teller Machine </w:t>
      </w:r>
    </w:p>
    <w:p w14:paraId="36AC0D90"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MBS = Mobile Banking Services</w:t>
      </w:r>
    </w:p>
    <w:p w14:paraId="019126DB"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POS = Point of Sale </w:t>
      </w:r>
    </w:p>
    <w:p w14:paraId="388C555C"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IBS = Internet Banking Services </w:t>
      </w:r>
    </w:p>
    <w:p w14:paraId="7AB36DEE"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a0 = Constant Parameters </w:t>
      </w:r>
    </w:p>
    <w:p w14:paraId="508D4204"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a1, a2, a3, a4, = Estimation parameters </w:t>
      </w:r>
    </w:p>
    <w:p w14:paraId="562A6559"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µt     =     Error term  </w:t>
      </w:r>
    </w:p>
    <w:p w14:paraId="337EF5A1"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Apriori</w:t>
      </w:r>
      <w:proofErr w:type="spellEnd"/>
      <w:r w:rsidRPr="00DB6A40">
        <w:rPr>
          <w:rFonts w:ascii="Times New Roman" w:eastAsia="DengXian" w:hAnsi="Times New Roman" w:cs="Times New Roman"/>
          <w:kern w:val="0"/>
          <w:lang w:eastAsia="zh-CN"/>
          <w14:ligatures w14:val="none"/>
        </w:rPr>
        <w:t xml:space="preserve"> Expectations </w:t>
      </w:r>
    </w:p>
    <w:p w14:paraId="28A1E35A"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a1 &gt; 0, a2 &gt; 0 a3 &gt; 0 &amp; a4 &lt; 0 </w:t>
      </w:r>
    </w:p>
    <w:p w14:paraId="659BC092"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lastRenderedPageBreak/>
        <w:t xml:space="preserve">This shows a positive relationship between employed variables and the criterion variables.  </w:t>
      </w:r>
    </w:p>
    <w:p w14:paraId="703B7A3A"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233788D1" w14:textId="089FA9A3"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3.</w:t>
      </w:r>
      <w:r w:rsidRPr="00DB6A40">
        <w:rPr>
          <w:rFonts w:ascii="Times New Roman" w:eastAsia="DengXian" w:hAnsi="Times New Roman" w:cs="Times New Roman"/>
          <w:b/>
          <w:bCs/>
          <w:kern w:val="0"/>
          <w:lang w:val="en-GB" w:eastAsia="zh-CN"/>
          <w14:ligatures w14:val="none"/>
        </w:rPr>
        <w:t>3</w:t>
      </w:r>
      <w:r w:rsidRPr="00DB6A40">
        <w:rPr>
          <w:rFonts w:ascii="Times New Roman" w:eastAsia="DengXian" w:hAnsi="Times New Roman" w:cs="Times New Roman"/>
          <w:kern w:val="0"/>
          <w:lang w:eastAsia="zh-CN"/>
          <w14:ligatures w14:val="none"/>
        </w:rPr>
        <w:t xml:space="preserve"> </w:t>
      </w:r>
      <w:r w:rsidRPr="00DB6A40">
        <w:rPr>
          <w:rFonts w:ascii="Times New Roman" w:eastAsia="DengXian" w:hAnsi="Times New Roman" w:cs="Times New Roman"/>
          <w:b/>
          <w:bCs/>
          <w:kern w:val="0"/>
          <w:lang w:eastAsia="zh-CN"/>
          <w14:ligatures w14:val="none"/>
        </w:rPr>
        <w:t>Data Analysis Techniques</w:t>
      </w:r>
    </w:p>
    <w:p w14:paraId="2488835C" w14:textId="77777777" w:rsidR="00DB6A40" w:rsidRPr="00DB6A40" w:rsidRDefault="00DB6A40" w:rsidP="00F2321A">
      <w:pPr>
        <w:spacing w:after="0" w:line="240" w:lineRule="auto"/>
        <w:jc w:val="both"/>
        <w:rPr>
          <w:rFonts w:ascii="Times New Roman" w:eastAsia="DengXian" w:hAnsi="Times New Roman" w:cs="Times New Roman"/>
          <w:kern w:val="0"/>
          <w:lang w:val="en-GB" w:eastAsia="zh-CN"/>
          <w14:ligatures w14:val="none"/>
        </w:rPr>
      </w:pPr>
      <w:r w:rsidRPr="00DB6A40">
        <w:rPr>
          <w:rFonts w:ascii="Times New Roman" w:eastAsia="DengXian" w:hAnsi="Times New Roman" w:cs="Times New Roman"/>
          <w:kern w:val="0"/>
          <w:lang w:eastAsia="zh-CN"/>
          <w14:ligatures w14:val="none"/>
        </w:rPr>
        <w:t>The research employs the use of time series data for a period of 3</w:t>
      </w:r>
      <w:r w:rsidRPr="00DB6A40">
        <w:rPr>
          <w:rFonts w:ascii="Times New Roman" w:eastAsia="DengXian" w:hAnsi="Times New Roman" w:cs="Times New Roman"/>
          <w:kern w:val="0"/>
          <w:lang w:val="en-GB" w:eastAsia="zh-CN"/>
          <w14:ligatures w14:val="none"/>
        </w:rPr>
        <w:t>7</w:t>
      </w:r>
      <w:r w:rsidRPr="00DB6A40">
        <w:rPr>
          <w:rFonts w:ascii="Times New Roman" w:eastAsia="DengXian" w:hAnsi="Times New Roman" w:cs="Times New Roman"/>
          <w:kern w:val="0"/>
          <w:lang w:eastAsia="zh-CN"/>
          <w14:ligatures w14:val="none"/>
        </w:rPr>
        <w:t xml:space="preserve"> years ranging from 2010-202</w:t>
      </w:r>
      <w:r w:rsidRPr="00DB6A40">
        <w:rPr>
          <w:rFonts w:ascii="Times New Roman" w:eastAsia="DengXian" w:hAnsi="Times New Roman" w:cs="Times New Roman"/>
          <w:kern w:val="0"/>
          <w:lang w:val="en-GB" w:eastAsia="zh-CN"/>
          <w14:ligatures w14:val="none"/>
        </w:rPr>
        <w:t>4</w:t>
      </w:r>
      <w:r w:rsidRPr="00DB6A40">
        <w:rPr>
          <w:rFonts w:ascii="Times New Roman" w:eastAsia="DengXian" w:hAnsi="Times New Roman" w:cs="Times New Roman"/>
          <w:kern w:val="0"/>
          <w:lang w:eastAsia="zh-CN"/>
          <w14:ligatures w14:val="none"/>
        </w:rPr>
        <w:t xml:space="preserve">. In analyzing the relationship between </w:t>
      </w:r>
      <w:r w:rsidRPr="00DB6A40">
        <w:rPr>
          <w:rFonts w:ascii="Times New Roman" w:eastAsia="DengXian" w:hAnsi="Times New Roman" w:cs="Times New Roman"/>
          <w:kern w:val="0"/>
          <w:lang w:val="en-GB" w:eastAsia="zh-CN"/>
          <w14:ligatures w14:val="none"/>
        </w:rPr>
        <w:t>financial technology</w:t>
      </w:r>
      <w:r w:rsidRPr="00DB6A40">
        <w:rPr>
          <w:rFonts w:ascii="Times New Roman" w:eastAsia="DengXian" w:hAnsi="Times New Roman" w:cs="Times New Roman"/>
          <w:kern w:val="0"/>
          <w:lang w:eastAsia="zh-CN"/>
          <w14:ligatures w14:val="none"/>
        </w:rPr>
        <w:t xml:space="preserve"> and </w:t>
      </w:r>
      <w:r w:rsidRPr="00DB6A40">
        <w:rPr>
          <w:rFonts w:ascii="Times New Roman" w:eastAsia="DengXian" w:hAnsi="Times New Roman" w:cs="Times New Roman"/>
          <w:kern w:val="0"/>
          <w:lang w:val="en-GB" w:eastAsia="zh-CN"/>
          <w14:ligatures w14:val="none"/>
        </w:rPr>
        <w:t>profitability of Deposit money banks</w:t>
      </w:r>
      <w:r w:rsidRPr="00DB6A40">
        <w:rPr>
          <w:rFonts w:ascii="Times New Roman" w:eastAsia="DengXian" w:hAnsi="Times New Roman" w:cs="Times New Roman"/>
          <w:kern w:val="0"/>
          <w:lang w:eastAsia="zh-CN"/>
          <w14:ligatures w14:val="none"/>
        </w:rPr>
        <w:t>, ARDL</w:t>
      </w:r>
      <w:r w:rsidRPr="00DB6A40">
        <w:rPr>
          <w:rFonts w:ascii="Times New Roman" w:eastAsia="DengXian" w:hAnsi="Times New Roman" w:cs="Times New Roman"/>
          <w:kern w:val="0"/>
          <w:lang w:val="en-GB" w:eastAsia="zh-CN"/>
          <w14:ligatures w14:val="none"/>
        </w:rPr>
        <w:t xml:space="preserve"> </w:t>
      </w:r>
      <w:r w:rsidRPr="00DB6A40">
        <w:rPr>
          <w:rFonts w:ascii="Times New Roman" w:eastAsia="DengXian" w:hAnsi="Times New Roman" w:cs="Times New Roman"/>
          <w:kern w:val="0"/>
          <w:lang w:eastAsia="zh-CN"/>
          <w14:ligatures w14:val="none"/>
        </w:rPr>
        <w:t>regression analysis was conducted using key variables such as ROI, ATM, MBS,</w:t>
      </w:r>
      <w:r w:rsidRPr="00DB6A40">
        <w:rPr>
          <w:rFonts w:ascii="Times New Roman" w:eastAsia="DengXian" w:hAnsi="Times New Roman" w:cs="Times New Roman"/>
          <w:kern w:val="0"/>
          <w:lang w:val="en-GB" w:eastAsia="zh-CN"/>
          <w14:ligatures w14:val="none"/>
        </w:rPr>
        <w:t xml:space="preserve"> </w:t>
      </w:r>
      <w:r w:rsidRPr="00DB6A40">
        <w:rPr>
          <w:rFonts w:ascii="Times New Roman" w:eastAsia="DengXian" w:hAnsi="Times New Roman" w:cs="Times New Roman"/>
          <w:kern w:val="0"/>
          <w:lang w:eastAsia="zh-CN"/>
          <w14:ligatures w14:val="none"/>
        </w:rPr>
        <w:t xml:space="preserve">POS and IBS. The study </w:t>
      </w:r>
      <w:r w:rsidRPr="00DB6A40">
        <w:rPr>
          <w:rFonts w:ascii="Times New Roman" w:eastAsia="DengXian" w:hAnsi="Times New Roman" w:cs="Times New Roman"/>
          <w:kern w:val="0"/>
          <w:lang w:val="en-GB" w:eastAsia="zh-CN"/>
          <w14:ligatures w14:val="none"/>
        </w:rPr>
        <w:t>variables were</w:t>
      </w:r>
      <w:r w:rsidRPr="00DB6A40">
        <w:rPr>
          <w:rFonts w:ascii="Times New Roman" w:eastAsia="DengXian" w:hAnsi="Times New Roman" w:cs="Times New Roman"/>
          <w:kern w:val="0"/>
          <w:lang w:eastAsia="zh-CN"/>
          <w14:ligatures w14:val="none"/>
        </w:rPr>
        <w:t xml:space="preserve"> </w:t>
      </w:r>
      <w:proofErr w:type="spellStart"/>
      <w:r w:rsidRPr="00DB6A40">
        <w:rPr>
          <w:rFonts w:ascii="Times New Roman" w:eastAsia="DengXian" w:hAnsi="Times New Roman" w:cs="Times New Roman"/>
          <w:kern w:val="0"/>
          <w:lang w:eastAsia="zh-CN"/>
          <w14:ligatures w14:val="none"/>
        </w:rPr>
        <w:t>analysed</w:t>
      </w:r>
      <w:proofErr w:type="spellEnd"/>
      <w:r w:rsidRPr="00DB6A40">
        <w:rPr>
          <w:rFonts w:ascii="Times New Roman" w:eastAsia="DengXian" w:hAnsi="Times New Roman" w:cs="Times New Roman"/>
          <w:kern w:val="0"/>
          <w:lang w:eastAsia="zh-CN"/>
          <w14:ligatures w14:val="none"/>
        </w:rPr>
        <w:t xml:space="preserve"> using </w:t>
      </w:r>
      <w:r w:rsidRPr="00DB6A40">
        <w:rPr>
          <w:rFonts w:ascii="Times New Roman" w:eastAsia="DengXian" w:hAnsi="Times New Roman" w:cs="Times New Roman"/>
          <w:kern w:val="0"/>
          <w:lang w:val="en-GB" w:eastAsia="zh-CN"/>
          <w14:ligatures w14:val="none"/>
        </w:rPr>
        <w:t>the E-Views software</w:t>
      </w:r>
      <w:r w:rsidRPr="00DB6A40">
        <w:rPr>
          <w:rFonts w:ascii="Times New Roman" w:eastAsia="DengXian" w:hAnsi="Times New Roman" w:cs="Times New Roman"/>
          <w:kern w:val="0"/>
          <w:lang w:eastAsia="zh-CN"/>
          <w14:ligatures w14:val="none"/>
        </w:rPr>
        <w:t>.</w:t>
      </w:r>
      <w:r w:rsidRPr="00DB6A40">
        <w:rPr>
          <w:rFonts w:ascii="Times New Roman" w:eastAsia="DengXian" w:hAnsi="Times New Roman" w:cs="Times New Roman"/>
          <w:kern w:val="0"/>
          <w:lang w:val="en-GB" w:eastAsia="zh-CN"/>
          <w14:ligatures w14:val="none"/>
        </w:rPr>
        <w:t xml:space="preserve"> Pre-estimation and </w:t>
      </w:r>
      <w:proofErr w:type="gramStart"/>
      <w:r w:rsidRPr="00DB6A40">
        <w:rPr>
          <w:rFonts w:ascii="Times New Roman" w:eastAsia="DengXian" w:hAnsi="Times New Roman" w:cs="Times New Roman"/>
          <w:kern w:val="0"/>
          <w:lang w:val="en-GB" w:eastAsia="zh-CN"/>
          <w14:ligatures w14:val="none"/>
        </w:rPr>
        <w:t>Post-estimation</w:t>
      </w:r>
      <w:proofErr w:type="gramEnd"/>
      <w:r w:rsidRPr="00DB6A40">
        <w:rPr>
          <w:rFonts w:ascii="Times New Roman" w:eastAsia="DengXian" w:hAnsi="Times New Roman" w:cs="Times New Roman"/>
          <w:kern w:val="0"/>
          <w:lang w:val="en-GB" w:eastAsia="zh-CN"/>
          <w14:ligatures w14:val="none"/>
        </w:rPr>
        <w:t xml:space="preserve"> tests were also conducted.</w:t>
      </w:r>
    </w:p>
    <w:p w14:paraId="24241433" w14:textId="77777777" w:rsidR="00DB6A40" w:rsidRDefault="00DB6A40" w:rsidP="00DB6A40">
      <w:pPr>
        <w:spacing w:after="0" w:line="360" w:lineRule="auto"/>
        <w:jc w:val="both"/>
        <w:rPr>
          <w:rFonts w:ascii="Times New Roman" w:eastAsia="DengXian" w:hAnsi="Times New Roman" w:cs="Times New Roman"/>
          <w:kern w:val="0"/>
          <w:lang w:eastAsia="zh-CN"/>
          <w14:ligatures w14:val="none"/>
        </w:rPr>
      </w:pPr>
    </w:p>
    <w:p w14:paraId="1727AFB6" w14:textId="77777777" w:rsidR="00DB6A40" w:rsidRPr="00DB6A40" w:rsidRDefault="00DB6A40" w:rsidP="00DB6A40">
      <w:pPr>
        <w:numPr>
          <w:ilvl w:val="0"/>
          <w:numId w:val="30"/>
        </w:numPr>
        <w:spacing w:after="0" w:line="36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val="en-GB" w:eastAsia="zh-CN"/>
          <w14:ligatures w14:val="none"/>
        </w:rPr>
        <w:t>Results and Discussions</w:t>
      </w:r>
    </w:p>
    <w:p w14:paraId="688CA205" w14:textId="77777777" w:rsidR="00DB6A40" w:rsidRPr="00DB6A40" w:rsidRDefault="00DB6A40" w:rsidP="00DB6A40">
      <w:pPr>
        <w:spacing w:after="0" w:line="36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4.1 Data Presentation</w:t>
      </w:r>
    </w:p>
    <w:p w14:paraId="76308FE7" w14:textId="77777777" w:rsidR="00DB6A40" w:rsidRPr="00DB6A40" w:rsidRDefault="00DB6A40" w:rsidP="00DB6A40">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Table 4.1 Presentation of Data on the Study Variables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440"/>
        <w:gridCol w:w="1441"/>
        <w:gridCol w:w="1559"/>
        <w:gridCol w:w="1418"/>
        <w:gridCol w:w="1984"/>
      </w:tblGrid>
      <w:tr w:rsidR="00DB6A40" w:rsidRPr="00DB6A40" w14:paraId="0E166D1B" w14:textId="77777777" w:rsidTr="00D00B3F">
        <w:trPr>
          <w:trHeight w:val="300"/>
        </w:trPr>
        <w:tc>
          <w:tcPr>
            <w:tcW w:w="800" w:type="dxa"/>
            <w:noWrap/>
            <w:vAlign w:val="bottom"/>
          </w:tcPr>
          <w:p w14:paraId="400D74F3" w14:textId="77777777" w:rsidR="00DB6A40" w:rsidRPr="00DB6A40" w:rsidRDefault="00DB6A40" w:rsidP="00DB6A40">
            <w:pPr>
              <w:spacing w:after="0" w:line="240" w:lineRule="auto"/>
              <w:rPr>
                <w:rFonts w:ascii="Times New Roman" w:eastAsia="Times New Roman" w:hAnsi="Times New Roman" w:cs="Times New Roman"/>
                <w:b/>
                <w:bCs/>
                <w:color w:val="000000"/>
                <w:kern w:val="0"/>
                <w:sz w:val="20"/>
                <w:szCs w:val="20"/>
                <w:lang w:eastAsia="zh-CN"/>
                <w14:ligatures w14:val="none"/>
              </w:rPr>
            </w:pPr>
            <w:r w:rsidRPr="00DB6A40">
              <w:rPr>
                <w:rFonts w:ascii="Times New Roman" w:eastAsia="Times New Roman" w:hAnsi="Times New Roman" w:cs="Times New Roman"/>
                <w:b/>
                <w:bCs/>
                <w:color w:val="000000"/>
                <w:kern w:val="0"/>
                <w:sz w:val="20"/>
                <w:szCs w:val="20"/>
                <w:lang w:eastAsia="zh-CN"/>
                <w14:ligatures w14:val="none"/>
              </w:rPr>
              <w:t>Years</w:t>
            </w:r>
          </w:p>
        </w:tc>
        <w:tc>
          <w:tcPr>
            <w:tcW w:w="1440" w:type="dxa"/>
            <w:noWrap/>
            <w:vAlign w:val="bottom"/>
          </w:tcPr>
          <w:p w14:paraId="5F4C54A2" w14:textId="77777777" w:rsidR="00DB6A40" w:rsidRPr="00DB6A40" w:rsidRDefault="00DB6A40" w:rsidP="00DB6A40">
            <w:pPr>
              <w:spacing w:after="0" w:line="240" w:lineRule="auto"/>
              <w:rPr>
                <w:rFonts w:ascii="Times New Roman" w:eastAsia="Times New Roman" w:hAnsi="Times New Roman" w:cs="Times New Roman"/>
                <w:b/>
                <w:bCs/>
                <w:color w:val="000000"/>
                <w:kern w:val="0"/>
                <w:sz w:val="20"/>
                <w:szCs w:val="20"/>
                <w:lang w:eastAsia="zh-CN"/>
                <w14:ligatures w14:val="none"/>
              </w:rPr>
            </w:pPr>
            <w:r w:rsidRPr="00DB6A40">
              <w:rPr>
                <w:rFonts w:ascii="Times New Roman" w:eastAsia="Times New Roman" w:hAnsi="Times New Roman" w:cs="Times New Roman"/>
                <w:b/>
                <w:bCs/>
                <w:color w:val="000000"/>
                <w:kern w:val="0"/>
                <w:sz w:val="20"/>
                <w:szCs w:val="20"/>
                <w:lang w:eastAsia="zh-CN"/>
                <w14:ligatures w14:val="none"/>
              </w:rPr>
              <w:t xml:space="preserve">    ATM</w:t>
            </w:r>
          </w:p>
        </w:tc>
        <w:tc>
          <w:tcPr>
            <w:tcW w:w="1441" w:type="dxa"/>
            <w:noWrap/>
            <w:vAlign w:val="bottom"/>
          </w:tcPr>
          <w:p w14:paraId="0E57BA33" w14:textId="77777777" w:rsidR="00DB6A40" w:rsidRPr="00DB6A40" w:rsidRDefault="00DB6A40" w:rsidP="00DB6A40">
            <w:pPr>
              <w:spacing w:after="0" w:line="240" w:lineRule="auto"/>
              <w:rPr>
                <w:rFonts w:ascii="Times New Roman" w:eastAsia="Times New Roman" w:hAnsi="Times New Roman" w:cs="Times New Roman"/>
                <w:b/>
                <w:bCs/>
                <w:color w:val="000000"/>
                <w:kern w:val="0"/>
                <w:sz w:val="20"/>
                <w:szCs w:val="20"/>
                <w:lang w:eastAsia="zh-CN"/>
                <w14:ligatures w14:val="none"/>
              </w:rPr>
            </w:pPr>
            <w:r w:rsidRPr="00DB6A40">
              <w:rPr>
                <w:rFonts w:ascii="Times New Roman" w:eastAsia="Times New Roman" w:hAnsi="Times New Roman" w:cs="Times New Roman"/>
                <w:b/>
                <w:bCs/>
                <w:color w:val="000000"/>
                <w:kern w:val="0"/>
                <w:sz w:val="20"/>
                <w:szCs w:val="20"/>
                <w:lang w:eastAsia="zh-CN"/>
                <w14:ligatures w14:val="none"/>
              </w:rPr>
              <w:t xml:space="preserve">    POS</w:t>
            </w:r>
          </w:p>
        </w:tc>
        <w:tc>
          <w:tcPr>
            <w:tcW w:w="1559" w:type="dxa"/>
            <w:noWrap/>
            <w:vAlign w:val="bottom"/>
          </w:tcPr>
          <w:p w14:paraId="568EE6DB" w14:textId="77777777" w:rsidR="00DB6A40" w:rsidRPr="00DB6A40" w:rsidRDefault="00DB6A40" w:rsidP="00DB6A40">
            <w:pPr>
              <w:spacing w:after="0" w:line="240" w:lineRule="auto"/>
              <w:rPr>
                <w:rFonts w:ascii="Times New Roman" w:eastAsia="Times New Roman" w:hAnsi="Times New Roman" w:cs="Times New Roman"/>
                <w:b/>
                <w:bCs/>
                <w:color w:val="000000"/>
                <w:kern w:val="0"/>
                <w:sz w:val="20"/>
                <w:szCs w:val="20"/>
                <w:lang w:eastAsia="zh-CN"/>
                <w14:ligatures w14:val="none"/>
              </w:rPr>
            </w:pPr>
            <w:r w:rsidRPr="00DB6A40">
              <w:rPr>
                <w:rFonts w:ascii="Times New Roman" w:eastAsia="Times New Roman" w:hAnsi="Times New Roman" w:cs="Times New Roman"/>
                <w:b/>
                <w:bCs/>
                <w:color w:val="000000"/>
                <w:kern w:val="0"/>
                <w:sz w:val="20"/>
                <w:szCs w:val="20"/>
                <w:lang w:eastAsia="zh-CN"/>
                <w14:ligatures w14:val="none"/>
              </w:rPr>
              <w:t xml:space="preserve">    IBS</w:t>
            </w:r>
          </w:p>
        </w:tc>
        <w:tc>
          <w:tcPr>
            <w:tcW w:w="1418" w:type="dxa"/>
            <w:noWrap/>
            <w:vAlign w:val="bottom"/>
          </w:tcPr>
          <w:p w14:paraId="433B3F78" w14:textId="77777777" w:rsidR="00DB6A40" w:rsidRPr="00DB6A40" w:rsidRDefault="00DB6A40" w:rsidP="00DB6A40">
            <w:pPr>
              <w:spacing w:after="0" w:line="240" w:lineRule="auto"/>
              <w:rPr>
                <w:rFonts w:ascii="Times New Roman" w:eastAsia="Times New Roman" w:hAnsi="Times New Roman" w:cs="Times New Roman"/>
                <w:b/>
                <w:bCs/>
                <w:color w:val="000000"/>
                <w:kern w:val="0"/>
                <w:sz w:val="20"/>
                <w:szCs w:val="20"/>
                <w:lang w:eastAsia="zh-CN"/>
                <w14:ligatures w14:val="none"/>
              </w:rPr>
            </w:pPr>
            <w:r w:rsidRPr="00DB6A40">
              <w:rPr>
                <w:rFonts w:ascii="Times New Roman" w:eastAsia="Times New Roman" w:hAnsi="Times New Roman" w:cs="Times New Roman"/>
                <w:b/>
                <w:bCs/>
                <w:color w:val="000000"/>
                <w:kern w:val="0"/>
                <w:sz w:val="20"/>
                <w:szCs w:val="20"/>
                <w:lang w:eastAsia="zh-CN"/>
                <w14:ligatures w14:val="none"/>
              </w:rPr>
              <w:t xml:space="preserve">   MBS</w:t>
            </w:r>
          </w:p>
        </w:tc>
        <w:tc>
          <w:tcPr>
            <w:tcW w:w="1984" w:type="dxa"/>
            <w:noWrap/>
            <w:vAlign w:val="bottom"/>
          </w:tcPr>
          <w:p w14:paraId="52FEA540" w14:textId="77777777" w:rsidR="00DB6A40" w:rsidRPr="00DB6A40" w:rsidRDefault="00DB6A40" w:rsidP="00DB6A40">
            <w:pPr>
              <w:spacing w:after="0" w:line="240" w:lineRule="auto"/>
              <w:rPr>
                <w:rFonts w:ascii="Times New Roman" w:eastAsia="Times New Roman" w:hAnsi="Times New Roman" w:cs="Times New Roman"/>
                <w:b/>
                <w:bCs/>
                <w:color w:val="000000"/>
                <w:kern w:val="0"/>
                <w:sz w:val="20"/>
                <w:szCs w:val="20"/>
                <w:lang w:eastAsia="zh-CN"/>
                <w14:ligatures w14:val="none"/>
              </w:rPr>
            </w:pPr>
            <w:r w:rsidRPr="00DB6A40">
              <w:rPr>
                <w:rFonts w:ascii="Times New Roman" w:eastAsia="Times New Roman" w:hAnsi="Times New Roman" w:cs="Times New Roman"/>
                <w:b/>
                <w:bCs/>
                <w:color w:val="000000"/>
                <w:kern w:val="0"/>
                <w:sz w:val="20"/>
                <w:szCs w:val="20"/>
                <w:lang w:eastAsia="zh-CN"/>
                <w14:ligatures w14:val="none"/>
              </w:rPr>
              <w:t xml:space="preserve">     ROI</w:t>
            </w:r>
          </w:p>
        </w:tc>
      </w:tr>
      <w:tr w:rsidR="00DB6A40" w:rsidRPr="00DB6A40" w14:paraId="1B1871EC" w14:textId="77777777" w:rsidTr="00D00B3F">
        <w:trPr>
          <w:trHeight w:val="300"/>
        </w:trPr>
        <w:tc>
          <w:tcPr>
            <w:tcW w:w="800" w:type="dxa"/>
            <w:noWrap/>
            <w:vAlign w:val="bottom"/>
          </w:tcPr>
          <w:p w14:paraId="0D646B05"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2010</w:t>
            </w:r>
          </w:p>
        </w:tc>
        <w:tc>
          <w:tcPr>
            <w:tcW w:w="1440" w:type="dxa"/>
            <w:noWrap/>
            <w:vAlign w:val="bottom"/>
          </w:tcPr>
          <w:p w14:paraId="606A59DC"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399.71</w:t>
            </w:r>
          </w:p>
        </w:tc>
        <w:tc>
          <w:tcPr>
            <w:tcW w:w="1441" w:type="dxa"/>
            <w:noWrap/>
            <w:vAlign w:val="bottom"/>
          </w:tcPr>
          <w:p w14:paraId="6B062BDB"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12.72</w:t>
            </w:r>
          </w:p>
        </w:tc>
        <w:tc>
          <w:tcPr>
            <w:tcW w:w="1559" w:type="dxa"/>
            <w:noWrap/>
            <w:vAlign w:val="bottom"/>
          </w:tcPr>
          <w:p w14:paraId="66CD4FB7"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25.05</w:t>
            </w:r>
          </w:p>
        </w:tc>
        <w:tc>
          <w:tcPr>
            <w:tcW w:w="1418" w:type="dxa"/>
            <w:noWrap/>
            <w:vAlign w:val="bottom"/>
          </w:tcPr>
          <w:p w14:paraId="6D7813B1"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6.65</w:t>
            </w:r>
          </w:p>
        </w:tc>
        <w:tc>
          <w:tcPr>
            <w:tcW w:w="1984" w:type="dxa"/>
            <w:noWrap/>
            <w:vAlign w:val="bottom"/>
          </w:tcPr>
          <w:p w14:paraId="329862F0"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17,331.6 </w:t>
            </w:r>
          </w:p>
        </w:tc>
      </w:tr>
      <w:tr w:rsidR="00DB6A40" w:rsidRPr="00DB6A40" w14:paraId="381A4E85" w14:textId="77777777" w:rsidTr="00D00B3F">
        <w:trPr>
          <w:trHeight w:val="300"/>
        </w:trPr>
        <w:tc>
          <w:tcPr>
            <w:tcW w:w="800" w:type="dxa"/>
            <w:noWrap/>
            <w:vAlign w:val="bottom"/>
          </w:tcPr>
          <w:p w14:paraId="13D73152"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2011</w:t>
            </w:r>
          </w:p>
        </w:tc>
        <w:tc>
          <w:tcPr>
            <w:tcW w:w="1440" w:type="dxa"/>
            <w:noWrap/>
            <w:vAlign w:val="bottom"/>
          </w:tcPr>
          <w:p w14:paraId="418BCE50"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1,561.74</w:t>
            </w:r>
          </w:p>
        </w:tc>
        <w:tc>
          <w:tcPr>
            <w:tcW w:w="1441" w:type="dxa"/>
            <w:noWrap/>
            <w:vAlign w:val="bottom"/>
          </w:tcPr>
          <w:p w14:paraId="2B769D65"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31.02</w:t>
            </w:r>
          </w:p>
        </w:tc>
        <w:tc>
          <w:tcPr>
            <w:tcW w:w="1559" w:type="dxa"/>
            <w:noWrap/>
            <w:vAlign w:val="bottom"/>
          </w:tcPr>
          <w:p w14:paraId="0080E65D"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59.61</w:t>
            </w:r>
          </w:p>
        </w:tc>
        <w:tc>
          <w:tcPr>
            <w:tcW w:w="1418" w:type="dxa"/>
            <w:noWrap/>
            <w:vAlign w:val="bottom"/>
          </w:tcPr>
          <w:p w14:paraId="6C1239E0"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18.98</w:t>
            </w:r>
          </w:p>
        </w:tc>
        <w:tc>
          <w:tcPr>
            <w:tcW w:w="1984" w:type="dxa"/>
            <w:noWrap/>
            <w:vAlign w:val="bottom"/>
          </w:tcPr>
          <w:p w14:paraId="12433A25"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19,396.6 </w:t>
            </w:r>
          </w:p>
        </w:tc>
      </w:tr>
      <w:tr w:rsidR="00DB6A40" w:rsidRPr="00DB6A40" w14:paraId="499BB825" w14:textId="77777777" w:rsidTr="00D00B3F">
        <w:trPr>
          <w:trHeight w:val="300"/>
        </w:trPr>
        <w:tc>
          <w:tcPr>
            <w:tcW w:w="800" w:type="dxa"/>
            <w:noWrap/>
            <w:vAlign w:val="bottom"/>
          </w:tcPr>
          <w:p w14:paraId="64431D2E"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2012</w:t>
            </w:r>
          </w:p>
        </w:tc>
        <w:tc>
          <w:tcPr>
            <w:tcW w:w="1440" w:type="dxa"/>
            <w:noWrap/>
            <w:vAlign w:val="bottom"/>
          </w:tcPr>
          <w:p w14:paraId="7DC357E2"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1,984.66</w:t>
            </w:r>
          </w:p>
        </w:tc>
        <w:tc>
          <w:tcPr>
            <w:tcW w:w="1441" w:type="dxa"/>
            <w:noWrap/>
            <w:vAlign w:val="bottom"/>
          </w:tcPr>
          <w:p w14:paraId="4A0F61B3"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48.01</w:t>
            </w:r>
          </w:p>
        </w:tc>
        <w:tc>
          <w:tcPr>
            <w:tcW w:w="1559" w:type="dxa"/>
            <w:noWrap/>
            <w:vAlign w:val="bottom"/>
          </w:tcPr>
          <w:p w14:paraId="4B23FFBF"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31.57</w:t>
            </w:r>
          </w:p>
        </w:tc>
        <w:tc>
          <w:tcPr>
            <w:tcW w:w="1418" w:type="dxa"/>
            <w:noWrap/>
            <w:vAlign w:val="bottom"/>
          </w:tcPr>
          <w:p w14:paraId="3F17158F"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31.51</w:t>
            </w:r>
          </w:p>
        </w:tc>
        <w:tc>
          <w:tcPr>
            <w:tcW w:w="1984" w:type="dxa"/>
            <w:noWrap/>
            <w:vAlign w:val="bottom"/>
          </w:tcPr>
          <w:p w14:paraId="73A2DA40"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21,288.1 </w:t>
            </w:r>
          </w:p>
        </w:tc>
      </w:tr>
      <w:tr w:rsidR="00DB6A40" w:rsidRPr="00DB6A40" w14:paraId="738BF933" w14:textId="77777777" w:rsidTr="00D00B3F">
        <w:trPr>
          <w:trHeight w:val="300"/>
        </w:trPr>
        <w:tc>
          <w:tcPr>
            <w:tcW w:w="800" w:type="dxa"/>
            <w:noWrap/>
            <w:vAlign w:val="bottom"/>
          </w:tcPr>
          <w:p w14:paraId="75F436AF"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2013</w:t>
            </w:r>
          </w:p>
        </w:tc>
        <w:tc>
          <w:tcPr>
            <w:tcW w:w="1440" w:type="dxa"/>
            <w:noWrap/>
            <w:vAlign w:val="bottom"/>
          </w:tcPr>
          <w:p w14:paraId="34E2D036"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2,828.94</w:t>
            </w:r>
          </w:p>
        </w:tc>
        <w:tc>
          <w:tcPr>
            <w:tcW w:w="1441" w:type="dxa"/>
            <w:noWrap/>
            <w:vAlign w:val="bottom"/>
          </w:tcPr>
          <w:p w14:paraId="7C5A6C2C"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161.02</w:t>
            </w:r>
          </w:p>
        </w:tc>
        <w:tc>
          <w:tcPr>
            <w:tcW w:w="1559" w:type="dxa"/>
            <w:noWrap/>
            <w:vAlign w:val="bottom"/>
          </w:tcPr>
          <w:p w14:paraId="33F4DBE8"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47.32</w:t>
            </w:r>
          </w:p>
        </w:tc>
        <w:tc>
          <w:tcPr>
            <w:tcW w:w="1418" w:type="dxa"/>
            <w:noWrap/>
            <w:vAlign w:val="bottom"/>
          </w:tcPr>
          <w:p w14:paraId="53A519F0"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142.8</w:t>
            </w:r>
          </w:p>
        </w:tc>
        <w:tc>
          <w:tcPr>
            <w:tcW w:w="1984" w:type="dxa"/>
            <w:noWrap/>
            <w:vAlign w:val="bottom"/>
          </w:tcPr>
          <w:p w14:paraId="7FE0F10A"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22,225.0 </w:t>
            </w:r>
          </w:p>
        </w:tc>
      </w:tr>
      <w:tr w:rsidR="00DB6A40" w:rsidRPr="00DB6A40" w14:paraId="2ED34E2B" w14:textId="77777777" w:rsidTr="00D00B3F">
        <w:trPr>
          <w:trHeight w:val="300"/>
        </w:trPr>
        <w:tc>
          <w:tcPr>
            <w:tcW w:w="800" w:type="dxa"/>
            <w:noWrap/>
            <w:vAlign w:val="bottom"/>
          </w:tcPr>
          <w:p w14:paraId="5BE4215F"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2014</w:t>
            </w:r>
          </w:p>
        </w:tc>
        <w:tc>
          <w:tcPr>
            <w:tcW w:w="1440" w:type="dxa"/>
            <w:noWrap/>
            <w:vAlign w:val="bottom"/>
          </w:tcPr>
          <w:p w14:paraId="59E11F7D"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3,679.88</w:t>
            </w:r>
          </w:p>
        </w:tc>
        <w:tc>
          <w:tcPr>
            <w:tcW w:w="1441" w:type="dxa"/>
            <w:noWrap/>
            <w:vAlign w:val="bottom"/>
          </w:tcPr>
          <w:p w14:paraId="2C81E06B"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312.07</w:t>
            </w:r>
          </w:p>
        </w:tc>
        <w:tc>
          <w:tcPr>
            <w:tcW w:w="1559" w:type="dxa"/>
            <w:noWrap/>
            <w:vAlign w:val="bottom"/>
          </w:tcPr>
          <w:p w14:paraId="0D8B32D4"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74.04</w:t>
            </w:r>
          </w:p>
        </w:tc>
        <w:tc>
          <w:tcPr>
            <w:tcW w:w="1418" w:type="dxa"/>
            <w:noWrap/>
            <w:vAlign w:val="bottom"/>
          </w:tcPr>
          <w:p w14:paraId="3029AD35"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346.47</w:t>
            </w:r>
          </w:p>
        </w:tc>
        <w:tc>
          <w:tcPr>
            <w:tcW w:w="1984" w:type="dxa"/>
            <w:noWrap/>
            <w:vAlign w:val="bottom"/>
          </w:tcPr>
          <w:p w14:paraId="49E69AF4"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23,561.1 </w:t>
            </w:r>
          </w:p>
        </w:tc>
      </w:tr>
      <w:tr w:rsidR="00DB6A40" w:rsidRPr="00DB6A40" w14:paraId="67E062EB" w14:textId="77777777" w:rsidTr="00D00B3F">
        <w:trPr>
          <w:trHeight w:val="300"/>
        </w:trPr>
        <w:tc>
          <w:tcPr>
            <w:tcW w:w="800" w:type="dxa"/>
            <w:noWrap/>
            <w:vAlign w:val="bottom"/>
          </w:tcPr>
          <w:p w14:paraId="7B6AA50E"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2015</w:t>
            </w:r>
          </w:p>
        </w:tc>
        <w:tc>
          <w:tcPr>
            <w:tcW w:w="1440" w:type="dxa"/>
            <w:noWrap/>
            <w:vAlign w:val="bottom"/>
          </w:tcPr>
          <w:p w14:paraId="454AF755"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4,170.62</w:t>
            </w:r>
          </w:p>
        </w:tc>
        <w:tc>
          <w:tcPr>
            <w:tcW w:w="1441" w:type="dxa"/>
            <w:noWrap/>
            <w:vAlign w:val="bottom"/>
          </w:tcPr>
          <w:p w14:paraId="67FF4B6C"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292.687</w:t>
            </w:r>
          </w:p>
        </w:tc>
        <w:tc>
          <w:tcPr>
            <w:tcW w:w="1559" w:type="dxa"/>
            <w:noWrap/>
            <w:vAlign w:val="bottom"/>
          </w:tcPr>
          <w:p w14:paraId="47FD5C61"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52.4453</w:t>
            </w:r>
          </w:p>
        </w:tc>
        <w:tc>
          <w:tcPr>
            <w:tcW w:w="1418" w:type="dxa"/>
            <w:noWrap/>
            <w:vAlign w:val="bottom"/>
          </w:tcPr>
          <w:p w14:paraId="5DCDCF86"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305.978</w:t>
            </w:r>
          </w:p>
        </w:tc>
        <w:tc>
          <w:tcPr>
            <w:tcW w:w="1984" w:type="dxa"/>
            <w:noWrap/>
            <w:vAlign w:val="bottom"/>
          </w:tcPr>
          <w:p w14:paraId="3B9F4329"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24,897.2 </w:t>
            </w:r>
          </w:p>
        </w:tc>
      </w:tr>
      <w:tr w:rsidR="00DB6A40" w:rsidRPr="00DB6A40" w14:paraId="2E98DC09" w14:textId="77777777" w:rsidTr="00D00B3F">
        <w:trPr>
          <w:trHeight w:val="300"/>
        </w:trPr>
        <w:tc>
          <w:tcPr>
            <w:tcW w:w="800" w:type="dxa"/>
            <w:noWrap/>
            <w:vAlign w:val="bottom"/>
          </w:tcPr>
          <w:p w14:paraId="263FC836"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2016</w:t>
            </w:r>
          </w:p>
        </w:tc>
        <w:tc>
          <w:tcPr>
            <w:tcW w:w="1440" w:type="dxa"/>
            <w:noWrap/>
            <w:vAlign w:val="bottom"/>
          </w:tcPr>
          <w:p w14:paraId="77F0763D"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4,838.25</w:t>
            </w:r>
          </w:p>
        </w:tc>
        <w:tc>
          <w:tcPr>
            <w:tcW w:w="1441" w:type="dxa"/>
            <w:noWrap/>
            <w:vAlign w:val="bottom"/>
          </w:tcPr>
          <w:p w14:paraId="5EF4EBF5"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348.89</w:t>
            </w:r>
          </w:p>
        </w:tc>
        <w:tc>
          <w:tcPr>
            <w:tcW w:w="1559" w:type="dxa"/>
            <w:noWrap/>
            <w:vAlign w:val="bottom"/>
          </w:tcPr>
          <w:p w14:paraId="750D021F"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52.1088</w:t>
            </w:r>
          </w:p>
        </w:tc>
        <w:tc>
          <w:tcPr>
            <w:tcW w:w="1418" w:type="dxa"/>
            <w:noWrap/>
            <w:vAlign w:val="bottom"/>
          </w:tcPr>
          <w:p w14:paraId="0F176397"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367.32</w:t>
            </w:r>
          </w:p>
        </w:tc>
        <w:tc>
          <w:tcPr>
            <w:tcW w:w="1984" w:type="dxa"/>
            <w:noWrap/>
            <w:vAlign w:val="bottom"/>
          </w:tcPr>
          <w:p w14:paraId="0F5442F1"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26,233.3 </w:t>
            </w:r>
          </w:p>
        </w:tc>
      </w:tr>
      <w:tr w:rsidR="00DB6A40" w:rsidRPr="00DB6A40" w14:paraId="04865387" w14:textId="77777777" w:rsidTr="00D00B3F">
        <w:trPr>
          <w:trHeight w:val="300"/>
        </w:trPr>
        <w:tc>
          <w:tcPr>
            <w:tcW w:w="800" w:type="dxa"/>
            <w:noWrap/>
            <w:vAlign w:val="bottom"/>
          </w:tcPr>
          <w:p w14:paraId="393E1FDC"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2017</w:t>
            </w:r>
          </w:p>
        </w:tc>
        <w:tc>
          <w:tcPr>
            <w:tcW w:w="1440" w:type="dxa"/>
            <w:noWrap/>
            <w:vAlign w:val="bottom"/>
          </w:tcPr>
          <w:p w14:paraId="1F59058E"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5,505.88</w:t>
            </w:r>
          </w:p>
        </w:tc>
        <w:tc>
          <w:tcPr>
            <w:tcW w:w="1441" w:type="dxa"/>
            <w:noWrap/>
            <w:vAlign w:val="bottom"/>
          </w:tcPr>
          <w:p w14:paraId="3536C8C4"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405.092</w:t>
            </w:r>
          </w:p>
        </w:tc>
        <w:tc>
          <w:tcPr>
            <w:tcW w:w="1559" w:type="dxa"/>
            <w:noWrap/>
            <w:vAlign w:val="bottom"/>
          </w:tcPr>
          <w:p w14:paraId="11C0D92E"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51.7722</w:t>
            </w:r>
          </w:p>
        </w:tc>
        <w:tc>
          <w:tcPr>
            <w:tcW w:w="1418" w:type="dxa"/>
            <w:noWrap/>
            <w:vAlign w:val="bottom"/>
          </w:tcPr>
          <w:p w14:paraId="2E586240"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428.663</w:t>
            </w:r>
          </w:p>
        </w:tc>
        <w:tc>
          <w:tcPr>
            <w:tcW w:w="1984" w:type="dxa"/>
            <w:noWrap/>
            <w:vAlign w:val="bottom"/>
          </w:tcPr>
          <w:p w14:paraId="0FBDEEFF"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27,569.4 </w:t>
            </w:r>
          </w:p>
        </w:tc>
      </w:tr>
      <w:tr w:rsidR="00DB6A40" w:rsidRPr="00DB6A40" w14:paraId="09EAD0FA" w14:textId="77777777" w:rsidTr="00D00B3F">
        <w:trPr>
          <w:trHeight w:val="300"/>
        </w:trPr>
        <w:tc>
          <w:tcPr>
            <w:tcW w:w="800" w:type="dxa"/>
            <w:noWrap/>
            <w:vAlign w:val="bottom"/>
          </w:tcPr>
          <w:p w14:paraId="303F1FEF"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2018</w:t>
            </w:r>
          </w:p>
        </w:tc>
        <w:tc>
          <w:tcPr>
            <w:tcW w:w="1440" w:type="dxa"/>
            <w:noWrap/>
            <w:vAlign w:val="bottom"/>
          </w:tcPr>
          <w:p w14:paraId="00B8EF04"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6,173.51</w:t>
            </w:r>
          </w:p>
        </w:tc>
        <w:tc>
          <w:tcPr>
            <w:tcW w:w="1441" w:type="dxa"/>
            <w:noWrap/>
            <w:vAlign w:val="bottom"/>
          </w:tcPr>
          <w:p w14:paraId="51B6221A"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461.295</w:t>
            </w:r>
          </w:p>
        </w:tc>
        <w:tc>
          <w:tcPr>
            <w:tcW w:w="1559" w:type="dxa"/>
            <w:noWrap/>
            <w:vAlign w:val="bottom"/>
          </w:tcPr>
          <w:p w14:paraId="53471B62"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51.4356</w:t>
            </w:r>
          </w:p>
        </w:tc>
        <w:tc>
          <w:tcPr>
            <w:tcW w:w="1418" w:type="dxa"/>
            <w:noWrap/>
            <w:vAlign w:val="bottom"/>
          </w:tcPr>
          <w:p w14:paraId="69F25F08"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490.005</w:t>
            </w:r>
          </w:p>
        </w:tc>
        <w:tc>
          <w:tcPr>
            <w:tcW w:w="1984" w:type="dxa"/>
            <w:noWrap/>
            <w:vAlign w:val="bottom"/>
          </w:tcPr>
          <w:p w14:paraId="1234AD58"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28,905.5 </w:t>
            </w:r>
          </w:p>
        </w:tc>
      </w:tr>
      <w:tr w:rsidR="00DB6A40" w:rsidRPr="00DB6A40" w14:paraId="6C1FE5C3" w14:textId="77777777" w:rsidTr="00D00B3F">
        <w:trPr>
          <w:trHeight w:val="300"/>
        </w:trPr>
        <w:tc>
          <w:tcPr>
            <w:tcW w:w="800" w:type="dxa"/>
            <w:noWrap/>
            <w:vAlign w:val="bottom"/>
          </w:tcPr>
          <w:p w14:paraId="105FCFA7"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2019</w:t>
            </w:r>
          </w:p>
        </w:tc>
        <w:tc>
          <w:tcPr>
            <w:tcW w:w="1440" w:type="dxa"/>
            <w:noWrap/>
            <w:vAlign w:val="bottom"/>
          </w:tcPr>
          <w:p w14:paraId="46AE026C"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6,841.14</w:t>
            </w:r>
          </w:p>
        </w:tc>
        <w:tc>
          <w:tcPr>
            <w:tcW w:w="1441" w:type="dxa"/>
            <w:noWrap/>
            <w:vAlign w:val="bottom"/>
          </w:tcPr>
          <w:p w14:paraId="1C9FD163"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517.498</w:t>
            </w:r>
          </w:p>
        </w:tc>
        <w:tc>
          <w:tcPr>
            <w:tcW w:w="1559" w:type="dxa"/>
            <w:noWrap/>
            <w:vAlign w:val="bottom"/>
          </w:tcPr>
          <w:p w14:paraId="3A3088E0"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51.099</w:t>
            </w:r>
          </w:p>
        </w:tc>
        <w:tc>
          <w:tcPr>
            <w:tcW w:w="1418" w:type="dxa"/>
            <w:noWrap/>
            <w:vAlign w:val="bottom"/>
          </w:tcPr>
          <w:p w14:paraId="72FFBEE8"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551.347</w:t>
            </w:r>
          </w:p>
        </w:tc>
        <w:tc>
          <w:tcPr>
            <w:tcW w:w="1984" w:type="dxa"/>
            <w:noWrap/>
            <w:vAlign w:val="bottom"/>
          </w:tcPr>
          <w:p w14:paraId="584BB9B3"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30,241.6 </w:t>
            </w:r>
          </w:p>
        </w:tc>
      </w:tr>
      <w:tr w:rsidR="00DB6A40" w:rsidRPr="00DB6A40" w14:paraId="5C3CDC81" w14:textId="77777777" w:rsidTr="00D00B3F">
        <w:trPr>
          <w:trHeight w:val="300"/>
        </w:trPr>
        <w:tc>
          <w:tcPr>
            <w:tcW w:w="800" w:type="dxa"/>
            <w:noWrap/>
            <w:vAlign w:val="bottom"/>
          </w:tcPr>
          <w:p w14:paraId="1EBE4C99"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2020</w:t>
            </w:r>
          </w:p>
        </w:tc>
        <w:tc>
          <w:tcPr>
            <w:tcW w:w="1440" w:type="dxa"/>
            <w:noWrap/>
            <w:vAlign w:val="bottom"/>
          </w:tcPr>
          <w:p w14:paraId="058D4CA6"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7,508.77</w:t>
            </w:r>
          </w:p>
        </w:tc>
        <w:tc>
          <w:tcPr>
            <w:tcW w:w="1441" w:type="dxa"/>
            <w:noWrap/>
            <w:vAlign w:val="bottom"/>
          </w:tcPr>
          <w:p w14:paraId="18C21F39"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573.7</w:t>
            </w:r>
          </w:p>
        </w:tc>
        <w:tc>
          <w:tcPr>
            <w:tcW w:w="1559" w:type="dxa"/>
            <w:noWrap/>
            <w:vAlign w:val="bottom"/>
          </w:tcPr>
          <w:p w14:paraId="6A3499E8"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50.7625</w:t>
            </w:r>
          </w:p>
        </w:tc>
        <w:tc>
          <w:tcPr>
            <w:tcW w:w="1418" w:type="dxa"/>
            <w:noWrap/>
            <w:vAlign w:val="bottom"/>
          </w:tcPr>
          <w:p w14:paraId="7F014F11"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612.689</w:t>
            </w:r>
          </w:p>
        </w:tc>
        <w:tc>
          <w:tcPr>
            <w:tcW w:w="1984" w:type="dxa"/>
            <w:noWrap/>
            <w:vAlign w:val="bottom"/>
          </w:tcPr>
          <w:p w14:paraId="70432DB1"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31,577.7 </w:t>
            </w:r>
          </w:p>
        </w:tc>
      </w:tr>
      <w:tr w:rsidR="00DB6A40" w:rsidRPr="00DB6A40" w14:paraId="5E090D37" w14:textId="77777777" w:rsidTr="00D00B3F">
        <w:trPr>
          <w:trHeight w:val="300"/>
        </w:trPr>
        <w:tc>
          <w:tcPr>
            <w:tcW w:w="800" w:type="dxa"/>
            <w:noWrap/>
            <w:vAlign w:val="bottom"/>
          </w:tcPr>
          <w:p w14:paraId="25E42EC9"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2021</w:t>
            </w:r>
          </w:p>
        </w:tc>
        <w:tc>
          <w:tcPr>
            <w:tcW w:w="1440" w:type="dxa"/>
            <w:noWrap/>
            <w:vAlign w:val="bottom"/>
          </w:tcPr>
          <w:p w14:paraId="3DE39A67"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8,176.40</w:t>
            </w:r>
          </w:p>
        </w:tc>
        <w:tc>
          <w:tcPr>
            <w:tcW w:w="1441" w:type="dxa"/>
            <w:noWrap/>
            <w:vAlign w:val="bottom"/>
          </w:tcPr>
          <w:p w14:paraId="5FA742E6"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629.903</w:t>
            </w:r>
          </w:p>
        </w:tc>
        <w:tc>
          <w:tcPr>
            <w:tcW w:w="1559" w:type="dxa"/>
            <w:noWrap/>
            <w:vAlign w:val="bottom"/>
          </w:tcPr>
          <w:p w14:paraId="2EBE5775"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50.4259</w:t>
            </w:r>
          </w:p>
        </w:tc>
        <w:tc>
          <w:tcPr>
            <w:tcW w:w="1418" w:type="dxa"/>
            <w:noWrap/>
            <w:vAlign w:val="bottom"/>
          </w:tcPr>
          <w:p w14:paraId="572DFE8A"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674.032</w:t>
            </w:r>
          </w:p>
        </w:tc>
        <w:tc>
          <w:tcPr>
            <w:tcW w:w="1984" w:type="dxa"/>
            <w:noWrap/>
            <w:vAlign w:val="bottom"/>
          </w:tcPr>
          <w:p w14:paraId="1A8AE893"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32,913.8 </w:t>
            </w:r>
          </w:p>
        </w:tc>
      </w:tr>
      <w:tr w:rsidR="00DB6A40" w:rsidRPr="00DB6A40" w14:paraId="48841040" w14:textId="77777777" w:rsidTr="00D00B3F">
        <w:trPr>
          <w:trHeight w:val="300"/>
        </w:trPr>
        <w:tc>
          <w:tcPr>
            <w:tcW w:w="800" w:type="dxa"/>
            <w:noWrap/>
            <w:vAlign w:val="bottom"/>
          </w:tcPr>
          <w:p w14:paraId="1C4CF191"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2022</w:t>
            </w:r>
          </w:p>
        </w:tc>
        <w:tc>
          <w:tcPr>
            <w:tcW w:w="1440" w:type="dxa"/>
            <w:noWrap/>
            <w:vAlign w:val="bottom"/>
          </w:tcPr>
          <w:p w14:paraId="4EDC0172"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8,978.63</w:t>
            </w:r>
          </w:p>
        </w:tc>
        <w:tc>
          <w:tcPr>
            <w:tcW w:w="1441" w:type="dxa"/>
            <w:noWrap/>
            <w:vAlign w:val="bottom"/>
          </w:tcPr>
          <w:p w14:paraId="69304DF9"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723.776</w:t>
            </w:r>
          </w:p>
        </w:tc>
        <w:tc>
          <w:tcPr>
            <w:tcW w:w="1559" w:type="dxa"/>
            <w:noWrap/>
            <w:vAlign w:val="bottom"/>
          </w:tcPr>
          <w:p w14:paraId="7D2C484F"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56.0543</w:t>
            </w:r>
          </w:p>
        </w:tc>
        <w:tc>
          <w:tcPr>
            <w:tcW w:w="1418" w:type="dxa"/>
            <w:noWrap/>
            <w:vAlign w:val="bottom"/>
          </w:tcPr>
          <w:p w14:paraId="26DEEC65"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699.770</w:t>
            </w:r>
          </w:p>
        </w:tc>
        <w:tc>
          <w:tcPr>
            <w:tcW w:w="1984" w:type="dxa"/>
            <w:noWrap/>
            <w:vAlign w:val="bottom"/>
          </w:tcPr>
          <w:p w14:paraId="511FB588"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38,374.6</w:t>
            </w:r>
          </w:p>
        </w:tc>
      </w:tr>
      <w:tr w:rsidR="00DB6A40" w:rsidRPr="00DB6A40" w14:paraId="0774AA0C" w14:textId="77777777" w:rsidTr="00D00B3F">
        <w:trPr>
          <w:trHeight w:val="300"/>
        </w:trPr>
        <w:tc>
          <w:tcPr>
            <w:tcW w:w="800" w:type="dxa"/>
            <w:noWrap/>
            <w:vAlign w:val="bottom"/>
          </w:tcPr>
          <w:p w14:paraId="0D704C08"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2023</w:t>
            </w:r>
          </w:p>
        </w:tc>
        <w:tc>
          <w:tcPr>
            <w:tcW w:w="1440" w:type="dxa"/>
            <w:noWrap/>
            <w:vAlign w:val="bottom"/>
          </w:tcPr>
          <w:p w14:paraId="28218E26"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9,320.04</w:t>
            </w:r>
          </w:p>
        </w:tc>
        <w:tc>
          <w:tcPr>
            <w:tcW w:w="1441" w:type="dxa"/>
            <w:noWrap/>
            <w:vAlign w:val="bottom"/>
          </w:tcPr>
          <w:p w14:paraId="2A5706F9"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778.349</w:t>
            </w:r>
          </w:p>
        </w:tc>
        <w:tc>
          <w:tcPr>
            <w:tcW w:w="1559" w:type="dxa"/>
            <w:noWrap/>
            <w:vAlign w:val="bottom"/>
          </w:tcPr>
          <w:p w14:paraId="67B336A7"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60.2069</w:t>
            </w:r>
          </w:p>
        </w:tc>
        <w:tc>
          <w:tcPr>
            <w:tcW w:w="1418" w:type="dxa"/>
            <w:noWrap/>
            <w:vAlign w:val="bottom"/>
          </w:tcPr>
          <w:p w14:paraId="61448759"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eastAsia="zh-CN"/>
                <w14:ligatures w14:val="none"/>
              </w:rPr>
            </w:pPr>
            <w:r w:rsidRPr="00DB6A40">
              <w:rPr>
                <w:rFonts w:ascii="Times New Roman" w:eastAsia="Times New Roman" w:hAnsi="Times New Roman" w:cs="Times New Roman"/>
                <w:color w:val="000000"/>
                <w:kern w:val="0"/>
                <w:sz w:val="20"/>
                <w:szCs w:val="20"/>
                <w:lang w:eastAsia="zh-CN"/>
                <w14:ligatures w14:val="none"/>
              </w:rPr>
              <w:t>722.344</w:t>
            </w:r>
          </w:p>
        </w:tc>
        <w:tc>
          <w:tcPr>
            <w:tcW w:w="1984" w:type="dxa"/>
            <w:noWrap/>
            <w:vAlign w:val="bottom"/>
          </w:tcPr>
          <w:p w14:paraId="1D0943A4"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 xml:space="preserve">     40,467.3</w:t>
            </w:r>
          </w:p>
        </w:tc>
      </w:tr>
      <w:tr w:rsidR="00DB6A40" w:rsidRPr="00DB6A40" w14:paraId="22138A41" w14:textId="77777777" w:rsidTr="00D00B3F">
        <w:trPr>
          <w:trHeight w:val="300"/>
        </w:trPr>
        <w:tc>
          <w:tcPr>
            <w:tcW w:w="800" w:type="dxa"/>
            <w:noWrap/>
            <w:vAlign w:val="bottom"/>
          </w:tcPr>
          <w:p w14:paraId="21AC3C11"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val="en-GB" w:eastAsia="zh-CN"/>
                <w14:ligatures w14:val="none"/>
              </w:rPr>
            </w:pPr>
            <w:r w:rsidRPr="00DB6A40">
              <w:rPr>
                <w:rFonts w:ascii="Times New Roman" w:eastAsia="Times New Roman" w:hAnsi="Times New Roman" w:cs="Times New Roman"/>
                <w:color w:val="000000"/>
                <w:kern w:val="0"/>
                <w:sz w:val="20"/>
                <w:szCs w:val="20"/>
                <w:lang w:val="en-GB" w:eastAsia="zh-CN"/>
                <w14:ligatures w14:val="none"/>
              </w:rPr>
              <w:t>2024</w:t>
            </w:r>
          </w:p>
        </w:tc>
        <w:tc>
          <w:tcPr>
            <w:tcW w:w="1440" w:type="dxa"/>
            <w:noWrap/>
            <w:vAlign w:val="bottom"/>
          </w:tcPr>
          <w:p w14:paraId="67892A5F" w14:textId="77777777" w:rsidR="00DB6A40" w:rsidRPr="00DB6A40" w:rsidRDefault="00DB6A40" w:rsidP="00DB6A40">
            <w:pPr>
              <w:spacing w:after="0" w:line="240" w:lineRule="auto"/>
              <w:jc w:val="right"/>
              <w:rPr>
                <w:rFonts w:ascii="Times New Roman" w:eastAsia="Times New Roman" w:hAnsi="Times New Roman" w:cs="Times New Roman"/>
                <w:kern w:val="0"/>
                <w:sz w:val="20"/>
                <w:szCs w:val="20"/>
                <w:lang w:val="en-GB" w:eastAsia="zh-CN"/>
                <w14:ligatures w14:val="none"/>
              </w:rPr>
            </w:pPr>
            <w:r w:rsidRPr="00DB6A40">
              <w:rPr>
                <w:rFonts w:ascii="Times New Roman" w:eastAsia="Times New Roman" w:hAnsi="Times New Roman" w:cs="Times New Roman"/>
                <w:kern w:val="0"/>
                <w:sz w:val="20"/>
                <w:szCs w:val="20"/>
                <w:lang w:val="en-GB" w:eastAsia="zh-CN"/>
                <w14:ligatures w14:val="none"/>
              </w:rPr>
              <w:t>10,736.57</w:t>
            </w:r>
          </w:p>
        </w:tc>
        <w:tc>
          <w:tcPr>
            <w:tcW w:w="1441" w:type="dxa"/>
            <w:noWrap/>
            <w:vAlign w:val="bottom"/>
          </w:tcPr>
          <w:p w14:paraId="142B6252"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val="en-GB" w:eastAsia="zh-CN"/>
                <w14:ligatures w14:val="none"/>
              </w:rPr>
            </w:pPr>
            <w:r w:rsidRPr="00DB6A40">
              <w:rPr>
                <w:rFonts w:ascii="Times New Roman" w:eastAsia="Times New Roman" w:hAnsi="Times New Roman" w:cs="Times New Roman"/>
                <w:color w:val="000000"/>
                <w:kern w:val="0"/>
                <w:sz w:val="20"/>
                <w:szCs w:val="20"/>
                <w:lang w:val="en-GB" w:eastAsia="zh-CN"/>
                <w14:ligatures w14:val="none"/>
              </w:rPr>
              <w:t>899.076</w:t>
            </w:r>
          </w:p>
        </w:tc>
        <w:tc>
          <w:tcPr>
            <w:tcW w:w="1559" w:type="dxa"/>
            <w:noWrap/>
            <w:vAlign w:val="bottom"/>
          </w:tcPr>
          <w:p w14:paraId="5F67952A"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val="en-GB" w:eastAsia="zh-CN"/>
                <w14:ligatures w14:val="none"/>
              </w:rPr>
            </w:pPr>
            <w:r w:rsidRPr="00DB6A40">
              <w:rPr>
                <w:rFonts w:ascii="Times New Roman" w:eastAsia="Times New Roman" w:hAnsi="Times New Roman" w:cs="Times New Roman"/>
                <w:color w:val="000000"/>
                <w:kern w:val="0"/>
                <w:sz w:val="20"/>
                <w:szCs w:val="20"/>
                <w:lang w:val="en-GB" w:eastAsia="zh-CN"/>
                <w14:ligatures w14:val="none"/>
              </w:rPr>
              <w:t>68.3422</w:t>
            </w:r>
          </w:p>
        </w:tc>
        <w:tc>
          <w:tcPr>
            <w:tcW w:w="1418" w:type="dxa"/>
            <w:noWrap/>
            <w:vAlign w:val="bottom"/>
          </w:tcPr>
          <w:p w14:paraId="23D26100" w14:textId="77777777" w:rsidR="00DB6A40" w:rsidRPr="00DB6A40" w:rsidRDefault="00DB6A40" w:rsidP="00DB6A40">
            <w:pPr>
              <w:spacing w:after="0" w:line="240" w:lineRule="auto"/>
              <w:jc w:val="right"/>
              <w:rPr>
                <w:rFonts w:ascii="Times New Roman" w:eastAsia="Times New Roman" w:hAnsi="Times New Roman" w:cs="Times New Roman"/>
                <w:color w:val="000000"/>
                <w:kern w:val="0"/>
                <w:sz w:val="20"/>
                <w:szCs w:val="20"/>
                <w:lang w:val="en-GB" w:eastAsia="zh-CN"/>
                <w14:ligatures w14:val="none"/>
              </w:rPr>
            </w:pPr>
            <w:r w:rsidRPr="00DB6A40">
              <w:rPr>
                <w:rFonts w:ascii="Times New Roman" w:eastAsia="Times New Roman" w:hAnsi="Times New Roman" w:cs="Times New Roman"/>
                <w:color w:val="000000"/>
                <w:kern w:val="0"/>
                <w:sz w:val="20"/>
                <w:szCs w:val="20"/>
                <w:lang w:val="en-GB" w:eastAsia="zh-CN"/>
                <w14:ligatures w14:val="none"/>
              </w:rPr>
              <w:t>803.193</w:t>
            </w:r>
          </w:p>
        </w:tc>
        <w:tc>
          <w:tcPr>
            <w:tcW w:w="1984" w:type="dxa"/>
            <w:noWrap/>
            <w:vAlign w:val="bottom"/>
          </w:tcPr>
          <w:p w14:paraId="58DFF053" w14:textId="77777777" w:rsidR="00DB6A40" w:rsidRPr="00DB6A40" w:rsidRDefault="00DB6A40" w:rsidP="00DB6A40">
            <w:pPr>
              <w:spacing w:after="0" w:line="240" w:lineRule="auto"/>
              <w:rPr>
                <w:rFonts w:ascii="Times New Roman" w:eastAsia="Times New Roman" w:hAnsi="Times New Roman" w:cs="Times New Roman"/>
                <w:kern w:val="0"/>
                <w:sz w:val="20"/>
                <w:szCs w:val="20"/>
                <w:lang w:val="en-GB" w:eastAsia="zh-CN"/>
                <w14:ligatures w14:val="none"/>
              </w:rPr>
            </w:pPr>
            <w:r w:rsidRPr="00DB6A40">
              <w:rPr>
                <w:rFonts w:ascii="Times New Roman" w:eastAsia="Times New Roman" w:hAnsi="Times New Roman" w:cs="Times New Roman"/>
                <w:kern w:val="0"/>
                <w:sz w:val="20"/>
                <w:szCs w:val="20"/>
                <w:lang w:val="en-GB" w:eastAsia="zh-CN"/>
                <w14:ligatures w14:val="none"/>
              </w:rPr>
              <w:t xml:space="preserve">     51,623.5</w:t>
            </w:r>
          </w:p>
        </w:tc>
      </w:tr>
      <w:tr w:rsidR="00DB6A40" w:rsidRPr="00DB6A40" w14:paraId="7566A836" w14:textId="77777777" w:rsidTr="00D00B3F">
        <w:trPr>
          <w:trHeight w:val="300"/>
        </w:trPr>
        <w:tc>
          <w:tcPr>
            <w:tcW w:w="800" w:type="dxa"/>
            <w:noWrap/>
            <w:vAlign w:val="bottom"/>
          </w:tcPr>
          <w:p w14:paraId="62AB9AE1"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p>
        </w:tc>
        <w:tc>
          <w:tcPr>
            <w:tcW w:w="5858" w:type="dxa"/>
            <w:gridSpan w:val="4"/>
            <w:noWrap/>
            <w:vAlign w:val="bottom"/>
          </w:tcPr>
          <w:p w14:paraId="6C619D93"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b/>
                <w:bCs/>
                <w:kern w:val="0"/>
                <w:sz w:val="20"/>
                <w:szCs w:val="20"/>
                <w:lang w:eastAsia="zh-CN"/>
                <w14:ligatures w14:val="none"/>
              </w:rPr>
              <w:t>Source:</w:t>
            </w:r>
            <w:r w:rsidRPr="00DB6A40">
              <w:rPr>
                <w:rFonts w:ascii="Times New Roman" w:eastAsia="Times New Roman" w:hAnsi="Times New Roman" w:cs="Times New Roman"/>
                <w:kern w:val="0"/>
                <w:sz w:val="20"/>
                <w:szCs w:val="20"/>
                <w:lang w:eastAsia="zh-CN"/>
                <w14:ligatures w14:val="none"/>
              </w:rPr>
              <w:t xml:space="preserve"> CBN Statistical Bulletin, 2023</w:t>
            </w:r>
          </w:p>
        </w:tc>
        <w:tc>
          <w:tcPr>
            <w:tcW w:w="1984" w:type="dxa"/>
            <w:noWrap/>
            <w:vAlign w:val="bottom"/>
          </w:tcPr>
          <w:p w14:paraId="77E7098F"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p>
        </w:tc>
      </w:tr>
      <w:tr w:rsidR="00DB6A40" w:rsidRPr="00DB6A40" w14:paraId="5263DD3B" w14:textId="77777777" w:rsidTr="00D00B3F">
        <w:trPr>
          <w:trHeight w:val="300"/>
        </w:trPr>
        <w:tc>
          <w:tcPr>
            <w:tcW w:w="800" w:type="dxa"/>
            <w:noWrap/>
            <w:vAlign w:val="bottom"/>
          </w:tcPr>
          <w:p w14:paraId="7E5003CB"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p>
        </w:tc>
        <w:tc>
          <w:tcPr>
            <w:tcW w:w="4440" w:type="dxa"/>
            <w:gridSpan w:val="3"/>
            <w:noWrap/>
            <w:vAlign w:val="bottom"/>
          </w:tcPr>
          <w:p w14:paraId="5EAE7D67"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r w:rsidRPr="00DB6A40">
              <w:rPr>
                <w:rFonts w:ascii="Times New Roman" w:eastAsia="Times New Roman" w:hAnsi="Times New Roman" w:cs="Times New Roman"/>
                <w:kern w:val="0"/>
                <w:sz w:val="20"/>
                <w:szCs w:val="20"/>
                <w:lang w:eastAsia="zh-CN"/>
                <w14:ligatures w14:val="none"/>
              </w:rPr>
              <w:t>All figures are in Billion Naira</w:t>
            </w:r>
          </w:p>
        </w:tc>
        <w:tc>
          <w:tcPr>
            <w:tcW w:w="1418" w:type="dxa"/>
            <w:noWrap/>
            <w:vAlign w:val="bottom"/>
          </w:tcPr>
          <w:p w14:paraId="670DBF98"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p>
        </w:tc>
        <w:tc>
          <w:tcPr>
            <w:tcW w:w="1984" w:type="dxa"/>
            <w:noWrap/>
            <w:vAlign w:val="bottom"/>
          </w:tcPr>
          <w:p w14:paraId="157C08A2" w14:textId="77777777" w:rsidR="00DB6A40" w:rsidRPr="00DB6A40" w:rsidRDefault="00DB6A40" w:rsidP="00DB6A40">
            <w:pPr>
              <w:spacing w:after="0" w:line="240" w:lineRule="auto"/>
              <w:rPr>
                <w:rFonts w:ascii="Times New Roman" w:eastAsia="Times New Roman" w:hAnsi="Times New Roman" w:cs="Times New Roman"/>
                <w:kern w:val="0"/>
                <w:sz w:val="20"/>
                <w:szCs w:val="20"/>
                <w:lang w:eastAsia="zh-CN"/>
                <w14:ligatures w14:val="none"/>
              </w:rPr>
            </w:pPr>
          </w:p>
        </w:tc>
      </w:tr>
    </w:tbl>
    <w:p w14:paraId="5C2B0AFB"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p w14:paraId="7A512442" w14:textId="77777777" w:rsidR="00DB6A40" w:rsidRPr="00DB6A40" w:rsidRDefault="00DB6A40" w:rsidP="00DB6A40">
      <w:pPr>
        <w:spacing w:after="0" w:line="360" w:lineRule="auto"/>
        <w:jc w:val="both"/>
        <w:rPr>
          <w:rFonts w:ascii="Times New Roman" w:eastAsia="DengXian" w:hAnsi="Times New Roman" w:cs="Times New Roman"/>
          <w:b/>
          <w:bCs/>
          <w:kern w:val="0"/>
          <w:lang w:eastAsia="zh-CN"/>
          <w14:ligatures w14:val="none"/>
        </w:rPr>
      </w:pPr>
    </w:p>
    <w:p w14:paraId="15E8F975" w14:textId="77777777" w:rsidR="00DB6A40" w:rsidRPr="00DB6A40" w:rsidRDefault="00DB6A40" w:rsidP="00DB6A40">
      <w:pPr>
        <w:spacing w:after="0" w:line="360" w:lineRule="auto"/>
        <w:jc w:val="both"/>
        <w:rPr>
          <w:rFonts w:ascii="Times New Roman" w:eastAsia="DengXian" w:hAnsi="Times New Roman" w:cs="Times New Roman"/>
          <w:b/>
          <w:bCs/>
          <w:kern w:val="0"/>
          <w:lang w:eastAsia="zh-CN"/>
          <w14:ligatures w14:val="none"/>
        </w:rPr>
      </w:pPr>
    </w:p>
    <w:p w14:paraId="25B6AC30" w14:textId="77777777" w:rsidR="00DB6A40" w:rsidRPr="00DB6A40" w:rsidRDefault="00DB6A40" w:rsidP="00DB6A40">
      <w:pPr>
        <w:spacing w:after="0" w:line="360" w:lineRule="auto"/>
        <w:jc w:val="both"/>
        <w:rPr>
          <w:rFonts w:ascii="Times New Roman" w:eastAsia="DengXian" w:hAnsi="Times New Roman" w:cs="Times New Roman"/>
          <w:b/>
          <w:bCs/>
          <w:kern w:val="0"/>
          <w:lang w:eastAsia="zh-CN"/>
          <w14:ligatures w14:val="none"/>
        </w:rPr>
      </w:pPr>
    </w:p>
    <w:p w14:paraId="35B00503" w14:textId="77777777" w:rsidR="00F2321A" w:rsidRDefault="00F2321A" w:rsidP="00DB6A40">
      <w:pPr>
        <w:spacing w:after="0" w:line="360" w:lineRule="auto"/>
        <w:jc w:val="both"/>
        <w:rPr>
          <w:rFonts w:ascii="Times New Roman" w:eastAsia="DengXian" w:hAnsi="Times New Roman" w:cs="Times New Roman"/>
          <w:b/>
          <w:bCs/>
          <w:kern w:val="0"/>
          <w:lang w:eastAsia="zh-CN"/>
          <w14:ligatures w14:val="none"/>
        </w:rPr>
      </w:pPr>
    </w:p>
    <w:p w14:paraId="3B83040B" w14:textId="77777777" w:rsidR="00F2321A" w:rsidRDefault="00F2321A" w:rsidP="00DB6A40">
      <w:pPr>
        <w:spacing w:after="0" w:line="360" w:lineRule="auto"/>
        <w:jc w:val="both"/>
        <w:rPr>
          <w:rFonts w:ascii="Times New Roman" w:eastAsia="DengXian" w:hAnsi="Times New Roman" w:cs="Times New Roman"/>
          <w:b/>
          <w:bCs/>
          <w:kern w:val="0"/>
          <w:lang w:eastAsia="zh-CN"/>
          <w14:ligatures w14:val="none"/>
        </w:rPr>
      </w:pPr>
    </w:p>
    <w:p w14:paraId="042BE0CB" w14:textId="77777777" w:rsidR="00F2321A" w:rsidRDefault="00F2321A" w:rsidP="00DB6A40">
      <w:pPr>
        <w:spacing w:after="0" w:line="360" w:lineRule="auto"/>
        <w:jc w:val="both"/>
        <w:rPr>
          <w:rFonts w:ascii="Times New Roman" w:eastAsia="DengXian" w:hAnsi="Times New Roman" w:cs="Times New Roman"/>
          <w:b/>
          <w:bCs/>
          <w:kern w:val="0"/>
          <w:lang w:eastAsia="zh-CN"/>
          <w14:ligatures w14:val="none"/>
        </w:rPr>
      </w:pPr>
    </w:p>
    <w:p w14:paraId="161786E6" w14:textId="77777777" w:rsidR="00186526" w:rsidRDefault="00186526" w:rsidP="00DB6A40">
      <w:pPr>
        <w:spacing w:after="0" w:line="360" w:lineRule="auto"/>
        <w:jc w:val="both"/>
        <w:rPr>
          <w:rFonts w:ascii="Times New Roman" w:eastAsia="DengXian" w:hAnsi="Times New Roman" w:cs="Times New Roman"/>
          <w:b/>
          <w:bCs/>
          <w:kern w:val="0"/>
          <w:lang w:eastAsia="zh-CN"/>
          <w14:ligatures w14:val="none"/>
        </w:rPr>
      </w:pPr>
    </w:p>
    <w:p w14:paraId="2E154144" w14:textId="77777777" w:rsidR="00186526" w:rsidRDefault="00186526" w:rsidP="00DB6A40">
      <w:pPr>
        <w:spacing w:after="0" w:line="360" w:lineRule="auto"/>
        <w:jc w:val="both"/>
        <w:rPr>
          <w:rFonts w:ascii="Times New Roman" w:eastAsia="DengXian" w:hAnsi="Times New Roman" w:cs="Times New Roman"/>
          <w:b/>
          <w:bCs/>
          <w:kern w:val="0"/>
          <w:lang w:eastAsia="zh-CN"/>
          <w14:ligatures w14:val="none"/>
        </w:rPr>
      </w:pPr>
    </w:p>
    <w:p w14:paraId="28B6FBB4" w14:textId="77777777" w:rsidR="00F2321A" w:rsidRDefault="00F2321A" w:rsidP="00DB6A40">
      <w:pPr>
        <w:spacing w:after="0" w:line="360" w:lineRule="auto"/>
        <w:jc w:val="both"/>
        <w:rPr>
          <w:rFonts w:ascii="Times New Roman" w:eastAsia="DengXian" w:hAnsi="Times New Roman" w:cs="Times New Roman"/>
          <w:b/>
          <w:bCs/>
          <w:kern w:val="0"/>
          <w:lang w:eastAsia="zh-CN"/>
          <w14:ligatures w14:val="none"/>
        </w:rPr>
      </w:pPr>
    </w:p>
    <w:p w14:paraId="330DA34F" w14:textId="77777777" w:rsidR="00F2321A" w:rsidRDefault="00F2321A" w:rsidP="00DB6A40">
      <w:pPr>
        <w:spacing w:after="0" w:line="360" w:lineRule="auto"/>
        <w:jc w:val="both"/>
        <w:rPr>
          <w:rFonts w:ascii="Times New Roman" w:eastAsia="DengXian" w:hAnsi="Times New Roman" w:cs="Times New Roman"/>
          <w:b/>
          <w:bCs/>
          <w:kern w:val="0"/>
          <w:lang w:eastAsia="zh-CN"/>
          <w14:ligatures w14:val="none"/>
        </w:rPr>
      </w:pPr>
    </w:p>
    <w:p w14:paraId="5FC15C43" w14:textId="77777777" w:rsidR="00F2321A" w:rsidRDefault="00F2321A" w:rsidP="00DB6A40">
      <w:pPr>
        <w:spacing w:after="0" w:line="360" w:lineRule="auto"/>
        <w:jc w:val="both"/>
        <w:rPr>
          <w:rFonts w:ascii="Times New Roman" w:eastAsia="DengXian" w:hAnsi="Times New Roman" w:cs="Times New Roman"/>
          <w:b/>
          <w:bCs/>
          <w:kern w:val="0"/>
          <w:lang w:eastAsia="zh-CN"/>
          <w14:ligatures w14:val="none"/>
        </w:rPr>
      </w:pPr>
    </w:p>
    <w:p w14:paraId="6BF86721" w14:textId="2D3EDD6D" w:rsidR="00DB6A40" w:rsidRPr="00DB6A40" w:rsidRDefault="00DB6A40" w:rsidP="00DB6A40">
      <w:pPr>
        <w:spacing w:after="0" w:line="36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lastRenderedPageBreak/>
        <w:t>4.2 Unit Root: ADF Tests</w:t>
      </w:r>
    </w:p>
    <w:tbl>
      <w:tblPr>
        <w:tblW w:w="6429" w:type="dxa"/>
        <w:tblInd w:w="93" w:type="dxa"/>
        <w:tblLook w:val="04A0" w:firstRow="1" w:lastRow="0" w:firstColumn="1" w:lastColumn="0" w:noHBand="0" w:noVBand="1"/>
      </w:tblPr>
      <w:tblGrid>
        <w:gridCol w:w="2198"/>
        <w:gridCol w:w="1216"/>
        <w:gridCol w:w="1105"/>
        <w:gridCol w:w="1910"/>
      </w:tblGrid>
      <w:tr w:rsidR="00DB6A40" w:rsidRPr="00DB6A40" w14:paraId="1CCFBB9A" w14:textId="77777777" w:rsidTr="00D00B3F">
        <w:trPr>
          <w:gridAfter w:val="2"/>
          <w:wAfter w:w="3015" w:type="dxa"/>
          <w:trHeight w:val="315"/>
        </w:trPr>
        <w:tc>
          <w:tcPr>
            <w:tcW w:w="3414" w:type="dxa"/>
            <w:gridSpan w:val="2"/>
            <w:noWrap/>
            <w:vAlign w:val="bottom"/>
          </w:tcPr>
          <w:p w14:paraId="339957F2" w14:textId="77777777" w:rsidR="00DB6A40" w:rsidRPr="00DB6A40" w:rsidRDefault="00DB6A40" w:rsidP="00DB6A40">
            <w:pPr>
              <w:spacing w:after="0" w:line="240" w:lineRule="auto"/>
              <w:jc w:val="both"/>
              <w:rPr>
                <w:rFonts w:ascii="Times New Roman" w:eastAsia="DengXian" w:hAnsi="Times New Roman" w:cs="Times New Roman"/>
                <w:kern w:val="0"/>
                <w:lang w:val="en-GB" w:eastAsia="zh-CN"/>
                <w14:ligatures w14:val="none"/>
              </w:rPr>
            </w:pPr>
            <w:r w:rsidRPr="00DB6A40">
              <w:rPr>
                <w:rFonts w:ascii="Times New Roman" w:eastAsia="DengXian" w:hAnsi="Times New Roman" w:cs="Times New Roman"/>
                <w:b/>
                <w:bCs/>
                <w:kern w:val="0"/>
                <w:lang w:val="en-GB" w:eastAsia="zh-CN"/>
                <w14:ligatures w14:val="none"/>
              </w:rPr>
              <w:t>Table 4.2 Unit Root Test</w:t>
            </w:r>
          </w:p>
        </w:tc>
      </w:tr>
      <w:tr w:rsidR="00DB6A40" w:rsidRPr="00DB6A40" w14:paraId="68B3AA33" w14:textId="77777777" w:rsidTr="00D00B3F">
        <w:trPr>
          <w:trHeight w:val="315"/>
        </w:trPr>
        <w:tc>
          <w:tcPr>
            <w:tcW w:w="2198" w:type="dxa"/>
            <w:tcBorders>
              <w:top w:val="single" w:sz="8" w:space="0" w:color="auto"/>
              <w:left w:val="nil"/>
              <w:bottom w:val="single" w:sz="8" w:space="0" w:color="auto"/>
              <w:right w:val="nil"/>
            </w:tcBorders>
            <w:noWrap/>
            <w:vAlign w:val="center"/>
          </w:tcPr>
          <w:p w14:paraId="685CD0DE"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 Test at levels</w:t>
            </w:r>
          </w:p>
        </w:tc>
        <w:tc>
          <w:tcPr>
            <w:tcW w:w="1216" w:type="dxa"/>
            <w:tcBorders>
              <w:top w:val="single" w:sz="8" w:space="0" w:color="auto"/>
              <w:left w:val="nil"/>
              <w:bottom w:val="single" w:sz="8" w:space="0" w:color="auto"/>
              <w:right w:val="nil"/>
            </w:tcBorders>
            <w:vAlign w:val="bottom"/>
          </w:tcPr>
          <w:p w14:paraId="4BC5D14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Variables</w:t>
            </w:r>
          </w:p>
        </w:tc>
        <w:tc>
          <w:tcPr>
            <w:tcW w:w="1105" w:type="dxa"/>
            <w:tcBorders>
              <w:top w:val="single" w:sz="8" w:space="0" w:color="auto"/>
              <w:left w:val="nil"/>
              <w:bottom w:val="single" w:sz="8" w:space="0" w:color="auto"/>
              <w:right w:val="nil"/>
            </w:tcBorders>
            <w:vAlign w:val="bottom"/>
          </w:tcPr>
          <w:p w14:paraId="7EF9871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     P -Value</w:t>
            </w:r>
          </w:p>
        </w:tc>
        <w:tc>
          <w:tcPr>
            <w:tcW w:w="1910" w:type="dxa"/>
            <w:tcBorders>
              <w:top w:val="single" w:sz="8" w:space="0" w:color="auto"/>
              <w:left w:val="nil"/>
              <w:bottom w:val="single" w:sz="8" w:space="0" w:color="auto"/>
              <w:right w:val="nil"/>
            </w:tcBorders>
            <w:vAlign w:val="bottom"/>
          </w:tcPr>
          <w:p w14:paraId="45BFC34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Order of Integration</w:t>
            </w:r>
          </w:p>
        </w:tc>
      </w:tr>
      <w:tr w:rsidR="00DB6A40" w:rsidRPr="00DB6A40" w14:paraId="1DD2BE24" w14:textId="77777777" w:rsidTr="00D00B3F">
        <w:trPr>
          <w:trHeight w:val="180"/>
        </w:trPr>
        <w:tc>
          <w:tcPr>
            <w:tcW w:w="2198" w:type="dxa"/>
            <w:noWrap/>
            <w:vAlign w:val="bottom"/>
          </w:tcPr>
          <w:p w14:paraId="4F9548D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2D17F93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ROI</w:t>
            </w:r>
          </w:p>
        </w:tc>
        <w:tc>
          <w:tcPr>
            <w:tcW w:w="1105" w:type="dxa"/>
            <w:vAlign w:val="center"/>
          </w:tcPr>
          <w:p w14:paraId="0BC03A5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0.7923</w:t>
            </w:r>
          </w:p>
        </w:tc>
        <w:tc>
          <w:tcPr>
            <w:tcW w:w="1910" w:type="dxa"/>
            <w:vAlign w:val="bottom"/>
          </w:tcPr>
          <w:p w14:paraId="688A545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 xml:space="preserve">1)                            </w:t>
            </w:r>
          </w:p>
        </w:tc>
      </w:tr>
      <w:tr w:rsidR="00DB6A40" w:rsidRPr="00DB6A40" w14:paraId="74C5D44B" w14:textId="77777777" w:rsidTr="00D00B3F">
        <w:trPr>
          <w:trHeight w:val="210"/>
        </w:trPr>
        <w:tc>
          <w:tcPr>
            <w:tcW w:w="2198" w:type="dxa"/>
            <w:noWrap/>
            <w:vAlign w:val="bottom"/>
          </w:tcPr>
          <w:p w14:paraId="38D51C7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62B182E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ATM</w:t>
            </w:r>
          </w:p>
        </w:tc>
        <w:tc>
          <w:tcPr>
            <w:tcW w:w="1105" w:type="dxa"/>
            <w:vAlign w:val="center"/>
          </w:tcPr>
          <w:p w14:paraId="4EF6CB6D"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0.7098</w:t>
            </w:r>
          </w:p>
        </w:tc>
        <w:tc>
          <w:tcPr>
            <w:tcW w:w="1910" w:type="dxa"/>
            <w:vAlign w:val="bottom"/>
          </w:tcPr>
          <w:p w14:paraId="6CE6FEB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 xml:space="preserve">1)                             </w:t>
            </w:r>
          </w:p>
        </w:tc>
      </w:tr>
      <w:tr w:rsidR="00DB6A40" w:rsidRPr="00DB6A40" w14:paraId="6ED51A03" w14:textId="77777777" w:rsidTr="00D00B3F">
        <w:trPr>
          <w:trHeight w:val="270"/>
        </w:trPr>
        <w:tc>
          <w:tcPr>
            <w:tcW w:w="2198" w:type="dxa"/>
            <w:noWrap/>
            <w:vAlign w:val="bottom"/>
          </w:tcPr>
          <w:p w14:paraId="646E352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72FA3FB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POS</w:t>
            </w:r>
          </w:p>
        </w:tc>
        <w:tc>
          <w:tcPr>
            <w:tcW w:w="1105" w:type="dxa"/>
            <w:vAlign w:val="center"/>
          </w:tcPr>
          <w:p w14:paraId="056BE0F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0.9600</w:t>
            </w:r>
          </w:p>
        </w:tc>
        <w:tc>
          <w:tcPr>
            <w:tcW w:w="1910" w:type="dxa"/>
            <w:vAlign w:val="bottom"/>
          </w:tcPr>
          <w:p w14:paraId="16A263A3"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 xml:space="preserve">1)                             </w:t>
            </w:r>
          </w:p>
        </w:tc>
      </w:tr>
      <w:tr w:rsidR="00DB6A40" w:rsidRPr="00DB6A40" w14:paraId="4B2D3157" w14:textId="77777777" w:rsidTr="00D00B3F">
        <w:trPr>
          <w:trHeight w:val="210"/>
        </w:trPr>
        <w:tc>
          <w:tcPr>
            <w:tcW w:w="2198" w:type="dxa"/>
            <w:noWrap/>
            <w:vAlign w:val="bottom"/>
          </w:tcPr>
          <w:p w14:paraId="0053CEF8"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2A37A68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IBS</w:t>
            </w:r>
          </w:p>
        </w:tc>
        <w:tc>
          <w:tcPr>
            <w:tcW w:w="1105" w:type="dxa"/>
            <w:vAlign w:val="center"/>
          </w:tcPr>
          <w:p w14:paraId="33FC9037"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0.0001</w:t>
            </w:r>
          </w:p>
        </w:tc>
        <w:tc>
          <w:tcPr>
            <w:tcW w:w="1910" w:type="dxa"/>
            <w:vAlign w:val="bottom"/>
          </w:tcPr>
          <w:p w14:paraId="7B3569EA"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0)</w:t>
            </w:r>
          </w:p>
        </w:tc>
      </w:tr>
      <w:tr w:rsidR="00DB6A40" w:rsidRPr="00DB6A40" w14:paraId="64057ED0" w14:textId="77777777" w:rsidTr="00D00B3F">
        <w:trPr>
          <w:trHeight w:val="210"/>
        </w:trPr>
        <w:tc>
          <w:tcPr>
            <w:tcW w:w="2198" w:type="dxa"/>
            <w:noWrap/>
            <w:vAlign w:val="bottom"/>
          </w:tcPr>
          <w:p w14:paraId="1FCAAFD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3DC8D81F"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MBS</w:t>
            </w:r>
          </w:p>
        </w:tc>
        <w:tc>
          <w:tcPr>
            <w:tcW w:w="1105" w:type="dxa"/>
            <w:vAlign w:val="center"/>
          </w:tcPr>
          <w:p w14:paraId="5D17F14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0.9466</w:t>
            </w:r>
          </w:p>
        </w:tc>
        <w:tc>
          <w:tcPr>
            <w:tcW w:w="1910" w:type="dxa"/>
            <w:vAlign w:val="bottom"/>
          </w:tcPr>
          <w:p w14:paraId="7A8F3C3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1)</w:t>
            </w:r>
          </w:p>
        </w:tc>
      </w:tr>
      <w:tr w:rsidR="00DB6A40" w:rsidRPr="00DB6A40" w14:paraId="41029FE8" w14:textId="77777777" w:rsidTr="00D00B3F">
        <w:trPr>
          <w:trHeight w:val="315"/>
        </w:trPr>
        <w:tc>
          <w:tcPr>
            <w:tcW w:w="2198" w:type="dxa"/>
            <w:noWrap/>
            <w:vAlign w:val="center"/>
          </w:tcPr>
          <w:p w14:paraId="41DEEF5E"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Test at First Difference</w:t>
            </w:r>
          </w:p>
        </w:tc>
        <w:tc>
          <w:tcPr>
            <w:tcW w:w="1216" w:type="dxa"/>
            <w:vAlign w:val="bottom"/>
          </w:tcPr>
          <w:p w14:paraId="2091C20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Variables</w:t>
            </w:r>
          </w:p>
        </w:tc>
        <w:tc>
          <w:tcPr>
            <w:tcW w:w="1105" w:type="dxa"/>
            <w:vAlign w:val="bottom"/>
          </w:tcPr>
          <w:p w14:paraId="12CCD74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  P-Value</w:t>
            </w:r>
          </w:p>
        </w:tc>
        <w:tc>
          <w:tcPr>
            <w:tcW w:w="1910" w:type="dxa"/>
            <w:vAlign w:val="bottom"/>
          </w:tcPr>
          <w:p w14:paraId="576B0DF0"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Order of Integration</w:t>
            </w:r>
          </w:p>
        </w:tc>
      </w:tr>
      <w:tr w:rsidR="00DB6A40" w:rsidRPr="00DB6A40" w14:paraId="1679323E" w14:textId="77777777" w:rsidTr="00D00B3F">
        <w:trPr>
          <w:trHeight w:val="255"/>
        </w:trPr>
        <w:tc>
          <w:tcPr>
            <w:tcW w:w="2198" w:type="dxa"/>
            <w:noWrap/>
            <w:vAlign w:val="bottom"/>
          </w:tcPr>
          <w:p w14:paraId="1CBD5A7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2743DF7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ROI</w:t>
            </w:r>
          </w:p>
        </w:tc>
        <w:tc>
          <w:tcPr>
            <w:tcW w:w="1105" w:type="dxa"/>
            <w:vAlign w:val="bottom"/>
          </w:tcPr>
          <w:p w14:paraId="71DFE0F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0.0000</w:t>
            </w:r>
          </w:p>
        </w:tc>
        <w:tc>
          <w:tcPr>
            <w:tcW w:w="1910" w:type="dxa"/>
            <w:vAlign w:val="bottom"/>
          </w:tcPr>
          <w:p w14:paraId="34C5772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0)</w:t>
            </w:r>
          </w:p>
        </w:tc>
      </w:tr>
      <w:tr w:rsidR="00DB6A40" w:rsidRPr="00DB6A40" w14:paraId="63D25568" w14:textId="77777777" w:rsidTr="00D00B3F">
        <w:trPr>
          <w:trHeight w:val="225"/>
        </w:trPr>
        <w:tc>
          <w:tcPr>
            <w:tcW w:w="2198" w:type="dxa"/>
            <w:noWrap/>
            <w:vAlign w:val="bottom"/>
          </w:tcPr>
          <w:p w14:paraId="42893FE7"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2665506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IBS</w:t>
            </w:r>
          </w:p>
        </w:tc>
        <w:tc>
          <w:tcPr>
            <w:tcW w:w="1105" w:type="dxa"/>
            <w:vAlign w:val="center"/>
          </w:tcPr>
          <w:p w14:paraId="17CAE800"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0.0560</w:t>
            </w:r>
          </w:p>
        </w:tc>
        <w:tc>
          <w:tcPr>
            <w:tcW w:w="1910" w:type="dxa"/>
            <w:vAlign w:val="bottom"/>
          </w:tcPr>
          <w:p w14:paraId="5E32F448"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0)</w:t>
            </w:r>
          </w:p>
        </w:tc>
      </w:tr>
      <w:tr w:rsidR="00DB6A40" w:rsidRPr="00DB6A40" w14:paraId="01BAA856" w14:textId="77777777" w:rsidTr="00D00B3F">
        <w:trPr>
          <w:trHeight w:val="225"/>
        </w:trPr>
        <w:tc>
          <w:tcPr>
            <w:tcW w:w="2198" w:type="dxa"/>
            <w:noWrap/>
            <w:vAlign w:val="bottom"/>
          </w:tcPr>
          <w:p w14:paraId="17235C2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4293618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MBS</w:t>
            </w:r>
          </w:p>
        </w:tc>
        <w:tc>
          <w:tcPr>
            <w:tcW w:w="1105" w:type="dxa"/>
            <w:vAlign w:val="center"/>
          </w:tcPr>
          <w:p w14:paraId="2B10EFE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0.0596</w:t>
            </w:r>
          </w:p>
        </w:tc>
        <w:tc>
          <w:tcPr>
            <w:tcW w:w="1910" w:type="dxa"/>
            <w:vAlign w:val="bottom"/>
          </w:tcPr>
          <w:p w14:paraId="43CF45EF"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0)</w:t>
            </w:r>
          </w:p>
        </w:tc>
      </w:tr>
      <w:tr w:rsidR="00DB6A40" w:rsidRPr="00DB6A40" w14:paraId="17FA17F6" w14:textId="77777777" w:rsidTr="00D00B3F">
        <w:trPr>
          <w:trHeight w:val="225"/>
        </w:trPr>
        <w:tc>
          <w:tcPr>
            <w:tcW w:w="2198" w:type="dxa"/>
            <w:noWrap/>
            <w:vAlign w:val="bottom"/>
          </w:tcPr>
          <w:p w14:paraId="70D89BC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40DDAF90"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ATM</w:t>
            </w:r>
          </w:p>
        </w:tc>
        <w:tc>
          <w:tcPr>
            <w:tcW w:w="1105" w:type="dxa"/>
            <w:vAlign w:val="center"/>
          </w:tcPr>
          <w:p w14:paraId="13A4F89D"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0.0000</w:t>
            </w:r>
          </w:p>
        </w:tc>
        <w:tc>
          <w:tcPr>
            <w:tcW w:w="1910" w:type="dxa"/>
            <w:vAlign w:val="bottom"/>
          </w:tcPr>
          <w:p w14:paraId="3AE2559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0)</w:t>
            </w:r>
          </w:p>
        </w:tc>
      </w:tr>
      <w:tr w:rsidR="00DB6A40" w:rsidRPr="00DB6A40" w14:paraId="35A29722" w14:textId="77777777" w:rsidTr="00D00B3F">
        <w:trPr>
          <w:trHeight w:val="240"/>
        </w:trPr>
        <w:tc>
          <w:tcPr>
            <w:tcW w:w="2198" w:type="dxa"/>
            <w:noWrap/>
            <w:vAlign w:val="bottom"/>
          </w:tcPr>
          <w:p w14:paraId="7076023E"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16" w:type="dxa"/>
            <w:vAlign w:val="center"/>
          </w:tcPr>
          <w:p w14:paraId="7A410878"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POS</w:t>
            </w:r>
          </w:p>
        </w:tc>
        <w:tc>
          <w:tcPr>
            <w:tcW w:w="1105" w:type="dxa"/>
            <w:vAlign w:val="center"/>
          </w:tcPr>
          <w:p w14:paraId="2BEEDEDA"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0.0552</w:t>
            </w:r>
          </w:p>
        </w:tc>
        <w:tc>
          <w:tcPr>
            <w:tcW w:w="1910" w:type="dxa"/>
            <w:vAlign w:val="bottom"/>
          </w:tcPr>
          <w:p w14:paraId="05E8236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0)</w:t>
            </w:r>
          </w:p>
        </w:tc>
      </w:tr>
    </w:tbl>
    <w:p w14:paraId="398CCB18" w14:textId="77777777" w:rsidR="00DB6A40" w:rsidRPr="00DB6A40" w:rsidRDefault="00DB6A40" w:rsidP="00DB6A40">
      <w:pPr>
        <w:spacing w:after="0" w:line="360" w:lineRule="auto"/>
        <w:jc w:val="both"/>
        <w:rPr>
          <w:rFonts w:ascii="Times New Roman" w:eastAsia="DengXian" w:hAnsi="Times New Roman" w:cs="Times New Roman"/>
          <w:kern w:val="0"/>
          <w:lang w:val="en-GB" w:eastAsia="zh-CN"/>
          <w14:ligatures w14:val="none"/>
        </w:rPr>
      </w:pPr>
      <w:r w:rsidRPr="00DB6A40">
        <w:rPr>
          <w:rFonts w:ascii="Times New Roman" w:eastAsia="DengXian" w:hAnsi="Times New Roman" w:cs="Times New Roman"/>
          <w:kern w:val="0"/>
          <w:lang w:eastAsia="zh-CN"/>
          <w14:ligatures w14:val="none"/>
        </w:rPr>
        <w:t xml:space="preserve">Source: Authors computation using </w:t>
      </w:r>
      <w:proofErr w:type="spellStart"/>
      <w:r w:rsidRPr="00DB6A40">
        <w:rPr>
          <w:rFonts w:ascii="Times New Roman" w:eastAsia="DengXian" w:hAnsi="Times New Roman" w:cs="Times New Roman"/>
          <w:kern w:val="0"/>
          <w:lang w:eastAsia="zh-CN"/>
          <w14:ligatures w14:val="none"/>
        </w:rPr>
        <w:t>Eviews</w:t>
      </w:r>
      <w:proofErr w:type="spellEnd"/>
      <w:r w:rsidRPr="00DB6A40">
        <w:rPr>
          <w:rFonts w:ascii="Times New Roman" w:eastAsia="DengXian" w:hAnsi="Times New Roman" w:cs="Times New Roman"/>
          <w:kern w:val="0"/>
          <w:lang w:eastAsia="zh-CN"/>
          <w14:ligatures w14:val="none"/>
        </w:rPr>
        <w:t>, 202</w:t>
      </w:r>
      <w:r w:rsidRPr="00DB6A40">
        <w:rPr>
          <w:rFonts w:ascii="Times New Roman" w:eastAsia="DengXian" w:hAnsi="Times New Roman" w:cs="Times New Roman"/>
          <w:kern w:val="0"/>
          <w:lang w:val="en-GB" w:eastAsia="zh-CN"/>
          <w14:ligatures w14:val="none"/>
        </w:rPr>
        <w:t>5</w:t>
      </w:r>
    </w:p>
    <w:p w14:paraId="6ECB45EB" w14:textId="77777777" w:rsidR="00F2321A" w:rsidRDefault="00F2321A" w:rsidP="00F2321A">
      <w:pPr>
        <w:spacing w:after="0" w:line="240" w:lineRule="auto"/>
        <w:jc w:val="both"/>
        <w:rPr>
          <w:rFonts w:ascii="Times New Roman" w:eastAsia="DengXian" w:hAnsi="Times New Roman" w:cs="Times New Roman"/>
          <w:kern w:val="0"/>
          <w:lang w:eastAsia="zh-CN"/>
          <w14:ligatures w14:val="none"/>
        </w:rPr>
      </w:pPr>
    </w:p>
    <w:p w14:paraId="69582617" w14:textId="17FD62FD"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The unit root test results are shown in the table able shows that the variables are stationary at various levels. However, IBS is stationary at levels. The mixture of the variables in the ADF analysis satisfies for the use of ARDL model in the regression analysis.</w:t>
      </w:r>
    </w:p>
    <w:p w14:paraId="1E233927"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75BA4068" w14:textId="3C2CCF8D"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4.</w:t>
      </w:r>
      <w:r w:rsidRPr="00DB6A40">
        <w:rPr>
          <w:rFonts w:ascii="Times New Roman" w:eastAsia="DengXian" w:hAnsi="Times New Roman" w:cs="Times New Roman"/>
          <w:b/>
          <w:bCs/>
          <w:kern w:val="0"/>
          <w:lang w:val="en-GB" w:eastAsia="zh-CN"/>
          <w14:ligatures w14:val="none"/>
        </w:rPr>
        <w:t>3</w:t>
      </w:r>
      <w:r w:rsidRPr="00DB6A40">
        <w:rPr>
          <w:rFonts w:ascii="Times New Roman" w:eastAsia="DengXian" w:hAnsi="Times New Roman" w:cs="Times New Roman"/>
          <w:b/>
          <w:bCs/>
          <w:kern w:val="0"/>
          <w:lang w:eastAsia="zh-CN"/>
          <w14:ligatures w14:val="none"/>
        </w:rPr>
        <w:t xml:space="preserve"> Bounds Test for Cointegration</w:t>
      </w:r>
    </w:p>
    <w:p w14:paraId="0545BFE2" w14:textId="77777777" w:rsidR="00DB6A40" w:rsidRPr="00DB6A40" w:rsidRDefault="00DB6A40" w:rsidP="00DB6A40">
      <w:pPr>
        <w:spacing w:after="0" w:line="360" w:lineRule="auto"/>
        <w:jc w:val="both"/>
        <w:rPr>
          <w:rFonts w:ascii="Times New Roman" w:eastAsia="DengXian" w:hAnsi="Times New Roman" w:cs="Times New Roman"/>
          <w:b/>
          <w:bCs/>
          <w:kern w:val="0"/>
          <w:lang w:val="en-GB" w:eastAsia="zh-CN"/>
          <w14:ligatures w14:val="none"/>
        </w:rPr>
      </w:pPr>
      <w:r w:rsidRPr="00DB6A40">
        <w:rPr>
          <w:rFonts w:ascii="Times New Roman" w:eastAsia="DengXian" w:hAnsi="Times New Roman" w:cs="Times New Roman"/>
          <w:b/>
          <w:bCs/>
          <w:kern w:val="0"/>
          <w:lang w:val="en-GB" w:eastAsia="zh-CN"/>
          <w14:ligatures w14:val="none"/>
        </w:rPr>
        <w:t xml:space="preserve">Table 4.3 </w:t>
      </w:r>
      <w:r w:rsidRPr="00DB6A40">
        <w:rPr>
          <w:rFonts w:ascii="Times New Roman" w:eastAsia="DengXian" w:hAnsi="Times New Roman" w:cs="Times New Roman"/>
          <w:b/>
          <w:bCs/>
          <w:kern w:val="0"/>
          <w:lang w:eastAsia="zh-CN"/>
          <w14:ligatures w14:val="none"/>
        </w:rPr>
        <w:t>Cointegration</w:t>
      </w:r>
      <w:r w:rsidRPr="00DB6A40">
        <w:rPr>
          <w:rFonts w:ascii="Times New Roman" w:eastAsia="DengXian" w:hAnsi="Times New Roman" w:cs="Times New Roman"/>
          <w:b/>
          <w:bCs/>
          <w:kern w:val="0"/>
          <w:lang w:val="en-GB" w:eastAsia="zh-CN"/>
          <w14:ligatures w14:val="none"/>
        </w:rPr>
        <w:t xml:space="preserve"> Bound Test</w:t>
      </w:r>
    </w:p>
    <w:tbl>
      <w:tblPr>
        <w:tblW w:w="0" w:type="auto"/>
        <w:tblInd w:w="30" w:type="dxa"/>
        <w:tblLayout w:type="fixed"/>
        <w:tblCellMar>
          <w:left w:w="0" w:type="dxa"/>
          <w:right w:w="0" w:type="dxa"/>
        </w:tblCellMar>
        <w:tblLook w:val="04A0" w:firstRow="1" w:lastRow="0" w:firstColumn="1" w:lastColumn="0" w:noHBand="0" w:noVBand="1"/>
      </w:tblPr>
      <w:tblGrid>
        <w:gridCol w:w="2227"/>
        <w:gridCol w:w="1103"/>
        <w:gridCol w:w="1207"/>
        <w:gridCol w:w="1208"/>
        <w:gridCol w:w="997"/>
      </w:tblGrid>
      <w:tr w:rsidR="00DB6A40" w:rsidRPr="00DB6A40" w14:paraId="617ADDB4" w14:textId="77777777" w:rsidTr="00D00B3F">
        <w:trPr>
          <w:trHeight w:val="225"/>
        </w:trPr>
        <w:tc>
          <w:tcPr>
            <w:tcW w:w="3330" w:type="dxa"/>
            <w:gridSpan w:val="2"/>
            <w:vAlign w:val="bottom"/>
          </w:tcPr>
          <w:p w14:paraId="5FDEFC5E"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F-Bounds Test</w:t>
            </w:r>
          </w:p>
        </w:tc>
        <w:tc>
          <w:tcPr>
            <w:tcW w:w="3412" w:type="dxa"/>
            <w:gridSpan w:val="3"/>
            <w:vAlign w:val="bottom"/>
          </w:tcPr>
          <w:p w14:paraId="088495FE"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Null Hypothesis: No levels relationship</w:t>
            </w:r>
          </w:p>
        </w:tc>
      </w:tr>
      <w:tr w:rsidR="00DB6A40" w:rsidRPr="00DB6A40" w14:paraId="30D0D07A" w14:textId="77777777" w:rsidTr="00D00B3F">
        <w:trPr>
          <w:trHeight w:hRule="exact" w:val="90"/>
        </w:trPr>
        <w:tc>
          <w:tcPr>
            <w:tcW w:w="2227" w:type="dxa"/>
            <w:tcBorders>
              <w:top w:val="nil"/>
              <w:left w:val="nil"/>
              <w:bottom w:val="double" w:sz="6" w:space="0" w:color="auto"/>
              <w:right w:val="nil"/>
            </w:tcBorders>
            <w:vAlign w:val="bottom"/>
          </w:tcPr>
          <w:p w14:paraId="4198379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103" w:type="dxa"/>
            <w:tcBorders>
              <w:top w:val="nil"/>
              <w:left w:val="nil"/>
              <w:bottom w:val="double" w:sz="6" w:space="0" w:color="auto"/>
              <w:right w:val="nil"/>
            </w:tcBorders>
            <w:vAlign w:val="bottom"/>
          </w:tcPr>
          <w:p w14:paraId="079905E8"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7" w:type="dxa"/>
            <w:tcBorders>
              <w:top w:val="nil"/>
              <w:left w:val="nil"/>
              <w:bottom w:val="double" w:sz="6" w:space="0" w:color="auto"/>
              <w:right w:val="nil"/>
            </w:tcBorders>
            <w:vAlign w:val="bottom"/>
          </w:tcPr>
          <w:p w14:paraId="1484404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8" w:type="dxa"/>
            <w:tcBorders>
              <w:top w:val="nil"/>
              <w:left w:val="nil"/>
              <w:bottom w:val="double" w:sz="6" w:space="0" w:color="auto"/>
              <w:right w:val="nil"/>
            </w:tcBorders>
            <w:vAlign w:val="bottom"/>
          </w:tcPr>
          <w:p w14:paraId="30A33AC3"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997" w:type="dxa"/>
            <w:tcBorders>
              <w:top w:val="nil"/>
              <w:left w:val="nil"/>
              <w:bottom w:val="double" w:sz="6" w:space="0" w:color="auto"/>
              <w:right w:val="nil"/>
            </w:tcBorders>
            <w:vAlign w:val="bottom"/>
          </w:tcPr>
          <w:p w14:paraId="0112298E"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r>
      <w:tr w:rsidR="00DB6A40" w:rsidRPr="00DB6A40" w14:paraId="08D114ED" w14:textId="77777777" w:rsidTr="00D00B3F">
        <w:trPr>
          <w:trHeight w:hRule="exact" w:val="135"/>
        </w:trPr>
        <w:tc>
          <w:tcPr>
            <w:tcW w:w="2227" w:type="dxa"/>
            <w:vAlign w:val="bottom"/>
          </w:tcPr>
          <w:p w14:paraId="55DAB26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103" w:type="dxa"/>
            <w:vAlign w:val="bottom"/>
          </w:tcPr>
          <w:p w14:paraId="41FA4BAE"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7" w:type="dxa"/>
            <w:vAlign w:val="bottom"/>
          </w:tcPr>
          <w:p w14:paraId="3A362DED"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8" w:type="dxa"/>
            <w:vAlign w:val="bottom"/>
          </w:tcPr>
          <w:p w14:paraId="4B8C9D2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997" w:type="dxa"/>
            <w:vAlign w:val="bottom"/>
          </w:tcPr>
          <w:p w14:paraId="6C761358"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r>
      <w:tr w:rsidR="00DB6A40" w:rsidRPr="00DB6A40" w14:paraId="60E5C9D0" w14:textId="77777777" w:rsidTr="00D00B3F">
        <w:trPr>
          <w:trHeight w:val="225"/>
        </w:trPr>
        <w:tc>
          <w:tcPr>
            <w:tcW w:w="2227" w:type="dxa"/>
            <w:vAlign w:val="bottom"/>
          </w:tcPr>
          <w:p w14:paraId="581C889C"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Test Statistic</w:t>
            </w:r>
          </w:p>
        </w:tc>
        <w:tc>
          <w:tcPr>
            <w:tcW w:w="1103" w:type="dxa"/>
            <w:vAlign w:val="bottom"/>
          </w:tcPr>
          <w:p w14:paraId="59B1B19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Value</w:t>
            </w:r>
          </w:p>
        </w:tc>
        <w:tc>
          <w:tcPr>
            <w:tcW w:w="1207" w:type="dxa"/>
            <w:vAlign w:val="bottom"/>
          </w:tcPr>
          <w:p w14:paraId="10F6134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Signif</w:t>
            </w:r>
            <w:proofErr w:type="spellEnd"/>
            <w:r w:rsidRPr="00DB6A40">
              <w:rPr>
                <w:rFonts w:ascii="Times New Roman" w:eastAsia="DengXian" w:hAnsi="Times New Roman" w:cs="Times New Roman"/>
                <w:kern w:val="0"/>
                <w:lang w:eastAsia="zh-CN"/>
                <w14:ligatures w14:val="none"/>
              </w:rPr>
              <w:t>.</w:t>
            </w:r>
          </w:p>
        </w:tc>
        <w:tc>
          <w:tcPr>
            <w:tcW w:w="1208" w:type="dxa"/>
            <w:vAlign w:val="bottom"/>
          </w:tcPr>
          <w:p w14:paraId="4B4E00C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0)</w:t>
            </w:r>
          </w:p>
        </w:tc>
        <w:tc>
          <w:tcPr>
            <w:tcW w:w="997" w:type="dxa"/>
            <w:vAlign w:val="bottom"/>
          </w:tcPr>
          <w:p w14:paraId="0A7FB8E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roofErr w:type="gramStart"/>
            <w:r w:rsidRPr="00DB6A40">
              <w:rPr>
                <w:rFonts w:ascii="Times New Roman" w:eastAsia="DengXian" w:hAnsi="Times New Roman" w:cs="Times New Roman"/>
                <w:kern w:val="0"/>
                <w:lang w:eastAsia="zh-CN"/>
                <w14:ligatures w14:val="none"/>
              </w:rPr>
              <w:t>I(</w:t>
            </w:r>
            <w:proofErr w:type="gramEnd"/>
            <w:r w:rsidRPr="00DB6A40">
              <w:rPr>
                <w:rFonts w:ascii="Times New Roman" w:eastAsia="DengXian" w:hAnsi="Times New Roman" w:cs="Times New Roman"/>
                <w:kern w:val="0"/>
                <w:lang w:eastAsia="zh-CN"/>
                <w14:ligatures w14:val="none"/>
              </w:rPr>
              <w:t>1)</w:t>
            </w:r>
          </w:p>
        </w:tc>
      </w:tr>
      <w:tr w:rsidR="00DB6A40" w:rsidRPr="00DB6A40" w14:paraId="2DDA2DCE" w14:textId="77777777" w:rsidTr="00D00B3F">
        <w:trPr>
          <w:trHeight w:hRule="exact" w:val="90"/>
        </w:trPr>
        <w:tc>
          <w:tcPr>
            <w:tcW w:w="2227" w:type="dxa"/>
            <w:tcBorders>
              <w:top w:val="nil"/>
              <w:left w:val="nil"/>
              <w:bottom w:val="double" w:sz="6" w:space="0" w:color="auto"/>
              <w:right w:val="nil"/>
            </w:tcBorders>
            <w:vAlign w:val="bottom"/>
          </w:tcPr>
          <w:p w14:paraId="6A7C247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103" w:type="dxa"/>
            <w:tcBorders>
              <w:top w:val="nil"/>
              <w:left w:val="nil"/>
              <w:bottom w:val="double" w:sz="6" w:space="0" w:color="auto"/>
              <w:right w:val="nil"/>
            </w:tcBorders>
            <w:vAlign w:val="bottom"/>
          </w:tcPr>
          <w:p w14:paraId="37903616"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7" w:type="dxa"/>
            <w:tcBorders>
              <w:top w:val="nil"/>
              <w:left w:val="nil"/>
              <w:bottom w:val="double" w:sz="6" w:space="0" w:color="auto"/>
              <w:right w:val="nil"/>
            </w:tcBorders>
            <w:vAlign w:val="bottom"/>
          </w:tcPr>
          <w:p w14:paraId="3277B4B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8" w:type="dxa"/>
            <w:tcBorders>
              <w:top w:val="nil"/>
              <w:left w:val="nil"/>
              <w:bottom w:val="double" w:sz="6" w:space="0" w:color="auto"/>
              <w:right w:val="nil"/>
            </w:tcBorders>
            <w:vAlign w:val="bottom"/>
          </w:tcPr>
          <w:p w14:paraId="355BEE2D"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997" w:type="dxa"/>
            <w:tcBorders>
              <w:top w:val="nil"/>
              <w:left w:val="nil"/>
              <w:bottom w:val="double" w:sz="6" w:space="0" w:color="auto"/>
              <w:right w:val="nil"/>
            </w:tcBorders>
            <w:vAlign w:val="bottom"/>
          </w:tcPr>
          <w:p w14:paraId="22CD0233"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r>
      <w:tr w:rsidR="00DB6A40" w:rsidRPr="00DB6A40" w14:paraId="5A5713A5" w14:textId="77777777" w:rsidTr="00D00B3F">
        <w:trPr>
          <w:trHeight w:hRule="exact" w:val="135"/>
        </w:trPr>
        <w:tc>
          <w:tcPr>
            <w:tcW w:w="2227" w:type="dxa"/>
            <w:vAlign w:val="bottom"/>
          </w:tcPr>
          <w:p w14:paraId="261BF20F"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103" w:type="dxa"/>
            <w:vAlign w:val="bottom"/>
          </w:tcPr>
          <w:p w14:paraId="1921E21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7" w:type="dxa"/>
            <w:vAlign w:val="bottom"/>
          </w:tcPr>
          <w:p w14:paraId="43EB98D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8" w:type="dxa"/>
            <w:vAlign w:val="bottom"/>
          </w:tcPr>
          <w:p w14:paraId="4053866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997" w:type="dxa"/>
            <w:vAlign w:val="bottom"/>
          </w:tcPr>
          <w:p w14:paraId="5F585238"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r>
      <w:tr w:rsidR="00DB6A40" w:rsidRPr="00DB6A40" w14:paraId="6711465B" w14:textId="77777777" w:rsidTr="00D00B3F">
        <w:trPr>
          <w:trHeight w:val="225"/>
        </w:trPr>
        <w:tc>
          <w:tcPr>
            <w:tcW w:w="2227" w:type="dxa"/>
            <w:vAlign w:val="bottom"/>
          </w:tcPr>
          <w:p w14:paraId="599990F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103" w:type="dxa"/>
            <w:vAlign w:val="bottom"/>
          </w:tcPr>
          <w:p w14:paraId="735AF60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7" w:type="dxa"/>
            <w:vAlign w:val="bottom"/>
          </w:tcPr>
          <w:p w14:paraId="039E0B8C"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8" w:type="dxa"/>
            <w:vAlign w:val="bottom"/>
          </w:tcPr>
          <w:p w14:paraId="612D9D9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Asymptotic: n=1000</w:t>
            </w:r>
          </w:p>
        </w:tc>
        <w:tc>
          <w:tcPr>
            <w:tcW w:w="997" w:type="dxa"/>
            <w:vAlign w:val="bottom"/>
          </w:tcPr>
          <w:p w14:paraId="2E03E913"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r>
      <w:tr w:rsidR="00DB6A40" w:rsidRPr="00DB6A40" w14:paraId="46B6D5F7" w14:textId="77777777" w:rsidTr="00D00B3F">
        <w:trPr>
          <w:trHeight w:val="225"/>
        </w:trPr>
        <w:tc>
          <w:tcPr>
            <w:tcW w:w="2227" w:type="dxa"/>
            <w:vAlign w:val="bottom"/>
          </w:tcPr>
          <w:p w14:paraId="1CC503B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F-statistic</w:t>
            </w:r>
          </w:p>
        </w:tc>
        <w:tc>
          <w:tcPr>
            <w:tcW w:w="1103" w:type="dxa"/>
            <w:vAlign w:val="bottom"/>
          </w:tcPr>
          <w:p w14:paraId="4D2BC06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4.831008</w:t>
            </w:r>
          </w:p>
        </w:tc>
        <w:tc>
          <w:tcPr>
            <w:tcW w:w="1207" w:type="dxa"/>
            <w:vAlign w:val="bottom"/>
          </w:tcPr>
          <w:p w14:paraId="2281B34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10%  </w:t>
            </w:r>
          </w:p>
        </w:tc>
        <w:tc>
          <w:tcPr>
            <w:tcW w:w="1208" w:type="dxa"/>
            <w:vAlign w:val="bottom"/>
          </w:tcPr>
          <w:p w14:paraId="64C7353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2.75</w:t>
            </w:r>
          </w:p>
        </w:tc>
        <w:tc>
          <w:tcPr>
            <w:tcW w:w="997" w:type="dxa"/>
            <w:vAlign w:val="bottom"/>
          </w:tcPr>
          <w:p w14:paraId="4951159C"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3.79</w:t>
            </w:r>
          </w:p>
        </w:tc>
      </w:tr>
      <w:tr w:rsidR="00DB6A40" w:rsidRPr="00DB6A40" w14:paraId="0464ACE4" w14:textId="77777777" w:rsidTr="00D00B3F">
        <w:trPr>
          <w:trHeight w:val="225"/>
        </w:trPr>
        <w:tc>
          <w:tcPr>
            <w:tcW w:w="2227" w:type="dxa"/>
            <w:vAlign w:val="bottom"/>
          </w:tcPr>
          <w:p w14:paraId="6F3B4BD4"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K</w:t>
            </w:r>
          </w:p>
        </w:tc>
        <w:tc>
          <w:tcPr>
            <w:tcW w:w="1103" w:type="dxa"/>
            <w:vAlign w:val="bottom"/>
          </w:tcPr>
          <w:p w14:paraId="50D901D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5</w:t>
            </w:r>
          </w:p>
        </w:tc>
        <w:tc>
          <w:tcPr>
            <w:tcW w:w="1207" w:type="dxa"/>
            <w:vAlign w:val="bottom"/>
          </w:tcPr>
          <w:p w14:paraId="3027AE3B"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5%  </w:t>
            </w:r>
          </w:p>
        </w:tc>
        <w:tc>
          <w:tcPr>
            <w:tcW w:w="1208" w:type="dxa"/>
            <w:vAlign w:val="bottom"/>
          </w:tcPr>
          <w:p w14:paraId="7D53D83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3.12</w:t>
            </w:r>
          </w:p>
        </w:tc>
        <w:tc>
          <w:tcPr>
            <w:tcW w:w="997" w:type="dxa"/>
            <w:vAlign w:val="bottom"/>
          </w:tcPr>
          <w:p w14:paraId="149A7419"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4.25</w:t>
            </w:r>
          </w:p>
        </w:tc>
      </w:tr>
      <w:tr w:rsidR="00DB6A40" w:rsidRPr="00DB6A40" w14:paraId="466C9A3D" w14:textId="77777777" w:rsidTr="00D00B3F">
        <w:trPr>
          <w:trHeight w:val="225"/>
        </w:trPr>
        <w:tc>
          <w:tcPr>
            <w:tcW w:w="2227" w:type="dxa"/>
            <w:vAlign w:val="bottom"/>
          </w:tcPr>
          <w:p w14:paraId="25495715"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103" w:type="dxa"/>
            <w:vAlign w:val="bottom"/>
          </w:tcPr>
          <w:p w14:paraId="099E9993"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7" w:type="dxa"/>
            <w:vAlign w:val="bottom"/>
          </w:tcPr>
          <w:p w14:paraId="247640D2"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2.5%  </w:t>
            </w:r>
          </w:p>
        </w:tc>
        <w:tc>
          <w:tcPr>
            <w:tcW w:w="1208" w:type="dxa"/>
            <w:vAlign w:val="bottom"/>
          </w:tcPr>
          <w:p w14:paraId="67A17667"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3.49</w:t>
            </w:r>
          </w:p>
        </w:tc>
        <w:tc>
          <w:tcPr>
            <w:tcW w:w="997" w:type="dxa"/>
            <w:vAlign w:val="bottom"/>
          </w:tcPr>
          <w:p w14:paraId="38483D83"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4.67</w:t>
            </w:r>
          </w:p>
        </w:tc>
      </w:tr>
      <w:tr w:rsidR="00DB6A40" w:rsidRPr="00DB6A40" w14:paraId="042861FC" w14:textId="77777777" w:rsidTr="00D00B3F">
        <w:trPr>
          <w:trHeight w:val="225"/>
        </w:trPr>
        <w:tc>
          <w:tcPr>
            <w:tcW w:w="2227" w:type="dxa"/>
            <w:vAlign w:val="bottom"/>
          </w:tcPr>
          <w:p w14:paraId="4F65F338"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103" w:type="dxa"/>
            <w:vAlign w:val="bottom"/>
          </w:tcPr>
          <w:p w14:paraId="15309C1D"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p>
        </w:tc>
        <w:tc>
          <w:tcPr>
            <w:tcW w:w="1207" w:type="dxa"/>
            <w:vAlign w:val="bottom"/>
          </w:tcPr>
          <w:p w14:paraId="04E1C62D"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1%  </w:t>
            </w:r>
          </w:p>
        </w:tc>
        <w:tc>
          <w:tcPr>
            <w:tcW w:w="1208" w:type="dxa"/>
            <w:vAlign w:val="bottom"/>
          </w:tcPr>
          <w:p w14:paraId="647C645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3.93</w:t>
            </w:r>
          </w:p>
        </w:tc>
        <w:tc>
          <w:tcPr>
            <w:tcW w:w="997" w:type="dxa"/>
            <w:vAlign w:val="bottom"/>
          </w:tcPr>
          <w:p w14:paraId="13216B91" w14:textId="77777777" w:rsidR="00DB6A40" w:rsidRPr="00DB6A40" w:rsidRDefault="00DB6A40" w:rsidP="00DB6A40">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5.23</w:t>
            </w:r>
          </w:p>
        </w:tc>
      </w:tr>
    </w:tbl>
    <w:p w14:paraId="1C43BEE4" w14:textId="77777777" w:rsidR="00DB6A40" w:rsidRPr="00DB6A40" w:rsidRDefault="00DB6A40" w:rsidP="00DB6A40">
      <w:pPr>
        <w:spacing w:after="0" w:line="360" w:lineRule="auto"/>
        <w:jc w:val="both"/>
        <w:rPr>
          <w:rFonts w:ascii="Times New Roman" w:eastAsia="DengXian" w:hAnsi="Times New Roman" w:cs="Times New Roman"/>
          <w:kern w:val="0"/>
          <w:lang w:val="en-GB" w:eastAsia="zh-CN"/>
          <w14:ligatures w14:val="none"/>
        </w:rPr>
      </w:pPr>
      <w:r w:rsidRPr="00DB6A40">
        <w:rPr>
          <w:rFonts w:ascii="Times New Roman" w:eastAsia="DengXian" w:hAnsi="Times New Roman" w:cs="Times New Roman"/>
          <w:kern w:val="0"/>
          <w:lang w:eastAsia="zh-CN"/>
          <w14:ligatures w14:val="none"/>
        </w:rPr>
        <w:t>Source: Authors computation from Eviews,202</w:t>
      </w:r>
      <w:r w:rsidRPr="00DB6A40">
        <w:rPr>
          <w:rFonts w:ascii="Times New Roman" w:eastAsia="DengXian" w:hAnsi="Times New Roman" w:cs="Times New Roman"/>
          <w:kern w:val="0"/>
          <w:lang w:val="en-GB" w:eastAsia="zh-CN"/>
          <w14:ligatures w14:val="none"/>
        </w:rPr>
        <w:t>5</w:t>
      </w:r>
    </w:p>
    <w:p w14:paraId="6DFEE919"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From the results of the stationarity test, the author deduced that the order of integration for the variables in the specified model is not the same. A mixed order of integration was evident in the model. Therefore, the test of cointegration adopted for the model is the ARDL Bounds Cointegration test. This is used to test if there is a long-term relationship between the variables used. The result of the test shows that there is a long run relationship between the dependent and the independent variables over the period.</w:t>
      </w:r>
    </w:p>
    <w:p w14:paraId="671ABF41"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0191DC60"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08FE9EAC"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1C04E2C8"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0995C356"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531FE1B3"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0A0D46C3"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67414DBB" w14:textId="092275C9"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lastRenderedPageBreak/>
        <w:t>4.</w:t>
      </w:r>
      <w:r w:rsidRPr="00DB6A40">
        <w:rPr>
          <w:rFonts w:ascii="Times New Roman" w:eastAsia="DengXian" w:hAnsi="Times New Roman" w:cs="Times New Roman"/>
          <w:b/>
          <w:bCs/>
          <w:kern w:val="0"/>
          <w:lang w:val="en-GB" w:eastAsia="zh-CN"/>
          <w14:ligatures w14:val="none"/>
        </w:rPr>
        <w:t>4</w:t>
      </w:r>
      <w:r w:rsidRPr="00DB6A40">
        <w:rPr>
          <w:rFonts w:ascii="Times New Roman" w:eastAsia="DengXian" w:hAnsi="Times New Roman" w:cs="Times New Roman"/>
          <w:b/>
          <w:bCs/>
          <w:kern w:val="0"/>
          <w:lang w:eastAsia="zh-CN"/>
          <w14:ligatures w14:val="none"/>
        </w:rPr>
        <w:t xml:space="preserve"> ARDL Model Estimation</w:t>
      </w:r>
    </w:p>
    <w:p w14:paraId="4F4FDD45" w14:textId="77777777" w:rsidR="00DB6A40" w:rsidRPr="00DB6A40" w:rsidRDefault="00DB6A40" w:rsidP="00DB6A40">
      <w:pPr>
        <w:spacing w:after="0" w:line="360" w:lineRule="auto"/>
        <w:jc w:val="both"/>
        <w:rPr>
          <w:rFonts w:ascii="Times New Roman" w:eastAsia="DengXian" w:hAnsi="Times New Roman" w:cs="Times New Roman"/>
          <w:b/>
          <w:bCs/>
          <w:kern w:val="0"/>
          <w:lang w:val="en-GB" w:eastAsia="zh-CN"/>
          <w14:ligatures w14:val="none"/>
        </w:rPr>
      </w:pPr>
      <w:r w:rsidRPr="00DB6A40">
        <w:rPr>
          <w:rFonts w:ascii="Times New Roman" w:eastAsia="DengXian" w:hAnsi="Times New Roman" w:cs="Times New Roman"/>
          <w:b/>
          <w:bCs/>
          <w:kern w:val="0"/>
          <w:lang w:val="en-GB" w:eastAsia="zh-CN"/>
          <w14:ligatures w14:val="none"/>
        </w:rPr>
        <w:t>Table 4.4 Estimation for ARDL Model</w:t>
      </w:r>
    </w:p>
    <w:p w14:paraId="45E86DD8"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bl>
      <w:tblPr>
        <w:tblpPr w:leftFromText="180" w:rightFromText="180" w:vertAnchor="text" w:horzAnchor="page" w:tblpX="1696" w:tblpY="-241"/>
        <w:tblOverlap w:val="never"/>
        <w:tblW w:w="8779" w:type="dxa"/>
        <w:tblLayout w:type="fixed"/>
        <w:tblLook w:val="04A0" w:firstRow="1" w:lastRow="0" w:firstColumn="1" w:lastColumn="0" w:noHBand="0" w:noVBand="1"/>
      </w:tblPr>
      <w:tblGrid>
        <w:gridCol w:w="1151"/>
        <w:gridCol w:w="1000"/>
        <w:gridCol w:w="852"/>
        <w:gridCol w:w="799"/>
        <w:gridCol w:w="966"/>
        <w:gridCol w:w="263"/>
        <w:gridCol w:w="736"/>
        <w:gridCol w:w="1756"/>
        <w:gridCol w:w="1256"/>
      </w:tblGrid>
      <w:tr w:rsidR="00DB6A40" w:rsidRPr="00DB6A40" w14:paraId="74B0B416" w14:textId="77777777" w:rsidTr="00D00B3F">
        <w:trPr>
          <w:trHeight w:val="80"/>
        </w:trPr>
        <w:tc>
          <w:tcPr>
            <w:tcW w:w="2151" w:type="dxa"/>
            <w:gridSpan w:val="2"/>
            <w:noWrap/>
            <w:vAlign w:val="center"/>
          </w:tcPr>
          <w:p w14:paraId="00CABFC7" w14:textId="77777777" w:rsidR="00DB6A40" w:rsidRPr="00DB6A40" w:rsidRDefault="00DB6A40" w:rsidP="00DB6A40">
            <w:pPr>
              <w:spacing w:after="0" w:line="360" w:lineRule="auto"/>
              <w:rPr>
                <w:rFonts w:ascii="Times New Roman" w:eastAsia="DengXian" w:hAnsi="Times New Roman" w:cs="Times New Roman"/>
                <w:b/>
                <w:kern w:val="0"/>
                <w:lang w:eastAsia="zh-CN"/>
                <w14:ligatures w14:val="none"/>
              </w:rPr>
            </w:pPr>
          </w:p>
        </w:tc>
        <w:tc>
          <w:tcPr>
            <w:tcW w:w="1651" w:type="dxa"/>
            <w:gridSpan w:val="2"/>
            <w:noWrap/>
            <w:vAlign w:val="bottom"/>
          </w:tcPr>
          <w:p w14:paraId="7D2BF3A1" w14:textId="77777777" w:rsidR="00DB6A40" w:rsidRPr="00DB6A40" w:rsidRDefault="00DB6A40" w:rsidP="00DB6A40">
            <w:pPr>
              <w:spacing w:after="200" w:line="360" w:lineRule="auto"/>
              <w:rPr>
                <w:rFonts w:ascii="Times New Roman" w:eastAsia="DengXian" w:hAnsi="Times New Roman" w:cs="Times New Roman"/>
                <w:kern w:val="0"/>
                <w:lang w:eastAsia="zh-CN"/>
                <w14:ligatures w14:val="none"/>
              </w:rPr>
            </w:pPr>
          </w:p>
        </w:tc>
        <w:tc>
          <w:tcPr>
            <w:tcW w:w="966" w:type="dxa"/>
            <w:noWrap/>
            <w:vAlign w:val="bottom"/>
          </w:tcPr>
          <w:p w14:paraId="1A2E6C7D" w14:textId="77777777" w:rsidR="00DB6A40" w:rsidRPr="00DB6A40" w:rsidRDefault="00DB6A40" w:rsidP="00DB6A40">
            <w:pPr>
              <w:spacing w:after="200" w:line="360" w:lineRule="auto"/>
              <w:rPr>
                <w:rFonts w:ascii="Times New Roman" w:eastAsia="DengXian" w:hAnsi="Times New Roman" w:cs="Times New Roman"/>
                <w:kern w:val="0"/>
                <w:lang w:eastAsia="zh-CN"/>
                <w14:ligatures w14:val="none"/>
              </w:rPr>
            </w:pPr>
          </w:p>
        </w:tc>
        <w:tc>
          <w:tcPr>
            <w:tcW w:w="2755" w:type="dxa"/>
            <w:gridSpan w:val="3"/>
            <w:noWrap/>
            <w:vAlign w:val="bottom"/>
          </w:tcPr>
          <w:p w14:paraId="0204C650" w14:textId="77777777" w:rsidR="00DB6A40" w:rsidRPr="00DB6A40" w:rsidRDefault="00DB6A40" w:rsidP="00DB6A40">
            <w:pPr>
              <w:spacing w:after="200" w:line="360" w:lineRule="auto"/>
              <w:rPr>
                <w:rFonts w:ascii="Times New Roman" w:eastAsia="DengXian" w:hAnsi="Times New Roman" w:cs="Times New Roman"/>
                <w:kern w:val="0"/>
                <w:lang w:eastAsia="zh-CN"/>
                <w14:ligatures w14:val="none"/>
              </w:rPr>
            </w:pPr>
          </w:p>
        </w:tc>
        <w:tc>
          <w:tcPr>
            <w:tcW w:w="1256" w:type="dxa"/>
            <w:noWrap/>
            <w:vAlign w:val="bottom"/>
          </w:tcPr>
          <w:p w14:paraId="0C38A8CF" w14:textId="77777777" w:rsidR="00DB6A40" w:rsidRPr="00DB6A40" w:rsidRDefault="00DB6A40" w:rsidP="00DB6A40">
            <w:pPr>
              <w:spacing w:after="200" w:line="360" w:lineRule="auto"/>
              <w:rPr>
                <w:rFonts w:ascii="Times New Roman" w:eastAsia="DengXian" w:hAnsi="Times New Roman" w:cs="Times New Roman"/>
                <w:kern w:val="0"/>
                <w:lang w:eastAsia="zh-CN"/>
                <w14:ligatures w14:val="none"/>
              </w:rPr>
            </w:pPr>
          </w:p>
        </w:tc>
      </w:tr>
      <w:tr w:rsidR="00DB6A40" w:rsidRPr="00DB6A40" w14:paraId="3615565F" w14:textId="77777777" w:rsidTr="00D00B3F">
        <w:trPr>
          <w:trHeight w:val="300"/>
        </w:trPr>
        <w:tc>
          <w:tcPr>
            <w:tcW w:w="2151" w:type="dxa"/>
            <w:gridSpan w:val="2"/>
            <w:noWrap/>
            <w:vAlign w:val="center"/>
          </w:tcPr>
          <w:p w14:paraId="39F9AB3E" w14:textId="77777777" w:rsidR="00DB6A40" w:rsidRPr="00DB6A40" w:rsidRDefault="00DB6A40" w:rsidP="00DB6A40">
            <w:pPr>
              <w:spacing w:after="200" w:line="240" w:lineRule="auto"/>
              <w:rPr>
                <w:rFonts w:ascii="Times New Roman" w:eastAsia="DengXian" w:hAnsi="Times New Roman" w:cs="Times New Roman"/>
                <w:kern w:val="0"/>
                <w:lang w:eastAsia="zh-CN"/>
                <w14:ligatures w14:val="none"/>
              </w:rPr>
            </w:pPr>
          </w:p>
        </w:tc>
        <w:tc>
          <w:tcPr>
            <w:tcW w:w="1651" w:type="dxa"/>
            <w:gridSpan w:val="2"/>
            <w:noWrap/>
            <w:vAlign w:val="bottom"/>
          </w:tcPr>
          <w:p w14:paraId="3A2B2C6F" w14:textId="77777777" w:rsidR="00DB6A40" w:rsidRPr="00DB6A40" w:rsidRDefault="00DB6A40" w:rsidP="00DB6A40">
            <w:pPr>
              <w:spacing w:after="200" w:line="240" w:lineRule="auto"/>
              <w:rPr>
                <w:rFonts w:ascii="Times New Roman" w:eastAsia="DengXian" w:hAnsi="Times New Roman" w:cs="Times New Roman"/>
                <w:kern w:val="0"/>
                <w:lang w:eastAsia="zh-CN"/>
                <w14:ligatures w14:val="none"/>
              </w:rPr>
            </w:pPr>
          </w:p>
        </w:tc>
        <w:tc>
          <w:tcPr>
            <w:tcW w:w="3721" w:type="dxa"/>
            <w:gridSpan w:val="4"/>
            <w:noWrap/>
            <w:vAlign w:val="center"/>
          </w:tcPr>
          <w:p w14:paraId="25548008"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LONG RUN RESULTS</w:t>
            </w:r>
          </w:p>
        </w:tc>
        <w:tc>
          <w:tcPr>
            <w:tcW w:w="1256" w:type="dxa"/>
            <w:noWrap/>
            <w:vAlign w:val="bottom"/>
          </w:tcPr>
          <w:p w14:paraId="35C0875A"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p>
        </w:tc>
      </w:tr>
      <w:tr w:rsidR="00DB6A40" w:rsidRPr="00DB6A40" w14:paraId="0847C75B" w14:textId="77777777" w:rsidTr="00D00B3F">
        <w:trPr>
          <w:trHeight w:hRule="exact" w:val="255"/>
        </w:trPr>
        <w:tc>
          <w:tcPr>
            <w:tcW w:w="2151" w:type="dxa"/>
            <w:gridSpan w:val="2"/>
            <w:vAlign w:val="center"/>
          </w:tcPr>
          <w:p w14:paraId="6B9F49B5"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Dependent: ROI</w:t>
            </w:r>
          </w:p>
        </w:tc>
        <w:tc>
          <w:tcPr>
            <w:tcW w:w="1651" w:type="dxa"/>
            <w:gridSpan w:val="2"/>
            <w:vMerge w:val="restart"/>
            <w:vAlign w:val="center"/>
          </w:tcPr>
          <w:p w14:paraId="58DBA4BB"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p>
        </w:tc>
        <w:tc>
          <w:tcPr>
            <w:tcW w:w="1965" w:type="dxa"/>
            <w:gridSpan w:val="3"/>
            <w:vMerge w:val="restart"/>
            <w:vAlign w:val="center"/>
          </w:tcPr>
          <w:p w14:paraId="7D4B7D0F"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756" w:type="dxa"/>
            <w:vMerge w:val="restart"/>
            <w:vAlign w:val="center"/>
          </w:tcPr>
          <w:p w14:paraId="5409B490"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256" w:type="dxa"/>
            <w:vMerge w:val="restart"/>
            <w:vAlign w:val="center"/>
          </w:tcPr>
          <w:p w14:paraId="1360EBEE"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r>
      <w:tr w:rsidR="00DB6A40" w:rsidRPr="00DB6A40" w14:paraId="014BD13B" w14:textId="77777777" w:rsidTr="00D00B3F">
        <w:trPr>
          <w:trHeight w:val="80"/>
        </w:trPr>
        <w:tc>
          <w:tcPr>
            <w:tcW w:w="2151" w:type="dxa"/>
            <w:gridSpan w:val="2"/>
            <w:vAlign w:val="center"/>
          </w:tcPr>
          <w:p w14:paraId="44B7A2E2"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651" w:type="dxa"/>
            <w:gridSpan w:val="2"/>
            <w:vMerge/>
            <w:vAlign w:val="center"/>
          </w:tcPr>
          <w:p w14:paraId="53F0941D"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p>
        </w:tc>
        <w:tc>
          <w:tcPr>
            <w:tcW w:w="1965" w:type="dxa"/>
            <w:gridSpan w:val="3"/>
            <w:vMerge/>
            <w:vAlign w:val="center"/>
          </w:tcPr>
          <w:p w14:paraId="4F6EF879"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756" w:type="dxa"/>
            <w:vMerge/>
            <w:vAlign w:val="center"/>
          </w:tcPr>
          <w:p w14:paraId="6F3F0EEC"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256" w:type="dxa"/>
            <w:vMerge/>
            <w:vAlign w:val="center"/>
          </w:tcPr>
          <w:p w14:paraId="612C7330"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r>
      <w:tr w:rsidR="00DB6A40" w:rsidRPr="00DB6A40" w14:paraId="7770AE09" w14:textId="77777777" w:rsidTr="00D00B3F">
        <w:trPr>
          <w:trHeight w:val="360"/>
        </w:trPr>
        <w:tc>
          <w:tcPr>
            <w:tcW w:w="2151" w:type="dxa"/>
            <w:gridSpan w:val="2"/>
            <w:vAlign w:val="center"/>
          </w:tcPr>
          <w:p w14:paraId="54A68146" w14:textId="77777777" w:rsidR="00DB6A40" w:rsidRPr="00DB6A40" w:rsidRDefault="00DB6A40" w:rsidP="00DB6A40">
            <w:pPr>
              <w:spacing w:after="0" w:line="240" w:lineRule="auto"/>
              <w:jc w:val="center"/>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Variable</w:t>
            </w:r>
          </w:p>
        </w:tc>
        <w:tc>
          <w:tcPr>
            <w:tcW w:w="1651" w:type="dxa"/>
            <w:gridSpan w:val="2"/>
            <w:vAlign w:val="center"/>
          </w:tcPr>
          <w:p w14:paraId="12BA4728" w14:textId="77777777" w:rsidR="00DB6A40" w:rsidRPr="00DB6A40" w:rsidRDefault="00DB6A40" w:rsidP="00DB6A40">
            <w:pPr>
              <w:spacing w:after="0" w:line="240" w:lineRule="auto"/>
              <w:jc w:val="right"/>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Coefficient</w:t>
            </w:r>
          </w:p>
        </w:tc>
        <w:tc>
          <w:tcPr>
            <w:tcW w:w="1965" w:type="dxa"/>
            <w:gridSpan w:val="3"/>
            <w:vAlign w:val="center"/>
          </w:tcPr>
          <w:p w14:paraId="0F48779E" w14:textId="77777777" w:rsidR="00DB6A40" w:rsidRPr="00DB6A40" w:rsidRDefault="00DB6A40" w:rsidP="00DB6A40">
            <w:pPr>
              <w:spacing w:after="0" w:line="240" w:lineRule="auto"/>
              <w:jc w:val="center"/>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Std. Error</w:t>
            </w:r>
          </w:p>
        </w:tc>
        <w:tc>
          <w:tcPr>
            <w:tcW w:w="1756" w:type="dxa"/>
            <w:vAlign w:val="center"/>
          </w:tcPr>
          <w:p w14:paraId="6A2190B5" w14:textId="77777777" w:rsidR="00DB6A40" w:rsidRPr="00DB6A40" w:rsidRDefault="00DB6A40" w:rsidP="00DB6A40">
            <w:pPr>
              <w:spacing w:after="0" w:line="240" w:lineRule="auto"/>
              <w:jc w:val="center"/>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t-Statistic</w:t>
            </w:r>
          </w:p>
        </w:tc>
        <w:tc>
          <w:tcPr>
            <w:tcW w:w="1256" w:type="dxa"/>
            <w:vAlign w:val="center"/>
          </w:tcPr>
          <w:p w14:paraId="24B96552" w14:textId="77777777" w:rsidR="00DB6A40" w:rsidRPr="00DB6A40" w:rsidRDefault="00DB6A40" w:rsidP="00DB6A40">
            <w:pPr>
              <w:spacing w:after="0" w:line="240" w:lineRule="auto"/>
              <w:jc w:val="right"/>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Prob.   </w:t>
            </w:r>
          </w:p>
        </w:tc>
      </w:tr>
      <w:tr w:rsidR="00DB6A40" w:rsidRPr="00DB6A40" w14:paraId="3224C3AA" w14:textId="77777777" w:rsidTr="00D00B3F">
        <w:trPr>
          <w:trHeight w:val="300"/>
        </w:trPr>
        <w:tc>
          <w:tcPr>
            <w:tcW w:w="2151" w:type="dxa"/>
            <w:gridSpan w:val="2"/>
            <w:vAlign w:val="bottom"/>
          </w:tcPr>
          <w:p w14:paraId="38D198C4"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@TREND</w:t>
            </w:r>
          </w:p>
        </w:tc>
        <w:tc>
          <w:tcPr>
            <w:tcW w:w="1651" w:type="dxa"/>
            <w:gridSpan w:val="2"/>
            <w:vAlign w:val="bottom"/>
          </w:tcPr>
          <w:p w14:paraId="5BDE56AB"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0.016594</w:t>
            </w:r>
          </w:p>
        </w:tc>
        <w:tc>
          <w:tcPr>
            <w:tcW w:w="1965" w:type="dxa"/>
            <w:gridSpan w:val="3"/>
            <w:vAlign w:val="bottom"/>
          </w:tcPr>
          <w:p w14:paraId="7BAFB230"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0.006962</w:t>
            </w:r>
          </w:p>
        </w:tc>
        <w:tc>
          <w:tcPr>
            <w:tcW w:w="1756" w:type="dxa"/>
            <w:vAlign w:val="bottom"/>
          </w:tcPr>
          <w:p w14:paraId="1E53D400"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2.383321</w:t>
            </w:r>
          </w:p>
        </w:tc>
        <w:tc>
          <w:tcPr>
            <w:tcW w:w="1256" w:type="dxa"/>
            <w:vAlign w:val="bottom"/>
          </w:tcPr>
          <w:p w14:paraId="10F8C185"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0.0254</w:t>
            </w:r>
          </w:p>
        </w:tc>
      </w:tr>
      <w:tr w:rsidR="00DB6A40" w:rsidRPr="00DB6A40" w14:paraId="102A641D" w14:textId="77777777" w:rsidTr="00D00B3F">
        <w:trPr>
          <w:trHeight w:val="300"/>
        </w:trPr>
        <w:tc>
          <w:tcPr>
            <w:tcW w:w="2151" w:type="dxa"/>
            <w:gridSpan w:val="2"/>
            <w:vAlign w:val="bottom"/>
          </w:tcPr>
          <w:p w14:paraId="47731B03"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proofErr w:type="gramStart"/>
            <w:r w:rsidRPr="00DB6A40">
              <w:rPr>
                <w:rFonts w:ascii="Times New Roman" w:eastAsia="DengXian" w:hAnsi="Times New Roman" w:cs="Times New Roman"/>
                <w:color w:val="000000"/>
                <w:kern w:val="0"/>
                <w:lang w:eastAsia="zh-CN"/>
                <w14:ligatures w14:val="none"/>
              </w:rPr>
              <w:t>ROI(</w:t>
            </w:r>
            <w:proofErr w:type="gramEnd"/>
            <w:r w:rsidRPr="00DB6A40">
              <w:rPr>
                <w:rFonts w:ascii="Times New Roman" w:eastAsia="DengXian" w:hAnsi="Times New Roman" w:cs="Times New Roman"/>
                <w:color w:val="000000"/>
                <w:kern w:val="0"/>
                <w:lang w:eastAsia="zh-CN"/>
                <w14:ligatures w14:val="none"/>
              </w:rPr>
              <w:t>-</w:t>
            </w:r>
            <w:proofErr w:type="gramStart"/>
            <w:r w:rsidRPr="00DB6A40">
              <w:rPr>
                <w:rFonts w:ascii="Times New Roman" w:eastAsia="DengXian" w:hAnsi="Times New Roman" w:cs="Times New Roman"/>
                <w:color w:val="000000"/>
                <w:kern w:val="0"/>
                <w:lang w:eastAsia="zh-CN"/>
                <w14:ligatures w14:val="none"/>
              </w:rPr>
              <w:t>1)*</w:t>
            </w:r>
            <w:proofErr w:type="gramEnd"/>
          </w:p>
        </w:tc>
        <w:tc>
          <w:tcPr>
            <w:tcW w:w="1651" w:type="dxa"/>
            <w:gridSpan w:val="2"/>
            <w:vAlign w:val="bottom"/>
          </w:tcPr>
          <w:p w14:paraId="25E01C28"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0.578051</w:t>
            </w:r>
          </w:p>
        </w:tc>
        <w:tc>
          <w:tcPr>
            <w:tcW w:w="1965" w:type="dxa"/>
            <w:gridSpan w:val="3"/>
            <w:vAlign w:val="bottom"/>
          </w:tcPr>
          <w:p w14:paraId="21A4EABF"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0.203848</w:t>
            </w:r>
          </w:p>
        </w:tc>
        <w:tc>
          <w:tcPr>
            <w:tcW w:w="1756" w:type="dxa"/>
            <w:vAlign w:val="bottom"/>
          </w:tcPr>
          <w:p w14:paraId="4ECE6E6A"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-2.835691</w:t>
            </w:r>
          </w:p>
        </w:tc>
        <w:tc>
          <w:tcPr>
            <w:tcW w:w="1256" w:type="dxa"/>
            <w:vAlign w:val="bottom"/>
          </w:tcPr>
          <w:p w14:paraId="606EA7DB"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0.0091</w:t>
            </w:r>
          </w:p>
        </w:tc>
      </w:tr>
      <w:tr w:rsidR="00DB6A40" w:rsidRPr="00DB6A40" w14:paraId="4CFBB479" w14:textId="77777777" w:rsidTr="00D00B3F">
        <w:trPr>
          <w:trHeight w:val="300"/>
        </w:trPr>
        <w:tc>
          <w:tcPr>
            <w:tcW w:w="2151" w:type="dxa"/>
            <w:gridSpan w:val="2"/>
            <w:vAlign w:val="bottom"/>
          </w:tcPr>
          <w:p w14:paraId="454F610F"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ATM**</w:t>
            </w:r>
          </w:p>
        </w:tc>
        <w:tc>
          <w:tcPr>
            <w:tcW w:w="1651" w:type="dxa"/>
            <w:gridSpan w:val="2"/>
            <w:vAlign w:val="bottom"/>
          </w:tcPr>
          <w:p w14:paraId="114B62F4"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1.065679</w:t>
            </w:r>
          </w:p>
        </w:tc>
        <w:tc>
          <w:tcPr>
            <w:tcW w:w="1965" w:type="dxa"/>
            <w:gridSpan w:val="3"/>
            <w:vAlign w:val="bottom"/>
          </w:tcPr>
          <w:p w14:paraId="141FF0B4"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0.128858</w:t>
            </w:r>
          </w:p>
        </w:tc>
        <w:tc>
          <w:tcPr>
            <w:tcW w:w="1756" w:type="dxa"/>
            <w:vAlign w:val="bottom"/>
          </w:tcPr>
          <w:p w14:paraId="2861D680"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8.270181</w:t>
            </w:r>
          </w:p>
        </w:tc>
        <w:tc>
          <w:tcPr>
            <w:tcW w:w="1256" w:type="dxa"/>
            <w:vAlign w:val="bottom"/>
          </w:tcPr>
          <w:p w14:paraId="4C6EAD50"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0.0000</w:t>
            </w:r>
          </w:p>
        </w:tc>
      </w:tr>
      <w:tr w:rsidR="00DB6A40" w:rsidRPr="00DB6A40" w14:paraId="00E04FA3" w14:textId="77777777" w:rsidTr="00D00B3F">
        <w:trPr>
          <w:trHeight w:val="225"/>
        </w:trPr>
        <w:tc>
          <w:tcPr>
            <w:tcW w:w="2151" w:type="dxa"/>
            <w:gridSpan w:val="2"/>
            <w:vAlign w:val="bottom"/>
          </w:tcPr>
          <w:p w14:paraId="6F475AB3"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POS**</w:t>
            </w:r>
          </w:p>
        </w:tc>
        <w:tc>
          <w:tcPr>
            <w:tcW w:w="1651" w:type="dxa"/>
            <w:gridSpan w:val="2"/>
            <w:vAlign w:val="bottom"/>
          </w:tcPr>
          <w:p w14:paraId="1F6F6F94"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5.334369</w:t>
            </w:r>
          </w:p>
        </w:tc>
        <w:tc>
          <w:tcPr>
            <w:tcW w:w="1965" w:type="dxa"/>
            <w:gridSpan w:val="3"/>
            <w:vAlign w:val="bottom"/>
          </w:tcPr>
          <w:p w14:paraId="11183FA2"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1.162590</w:t>
            </w:r>
          </w:p>
        </w:tc>
        <w:tc>
          <w:tcPr>
            <w:tcW w:w="1756" w:type="dxa"/>
            <w:vAlign w:val="bottom"/>
          </w:tcPr>
          <w:p w14:paraId="6A4DEC89"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4.588334</w:t>
            </w:r>
          </w:p>
        </w:tc>
        <w:tc>
          <w:tcPr>
            <w:tcW w:w="1256" w:type="dxa"/>
            <w:vAlign w:val="bottom"/>
          </w:tcPr>
          <w:p w14:paraId="4A7836EF"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0.0000</w:t>
            </w:r>
          </w:p>
        </w:tc>
      </w:tr>
      <w:tr w:rsidR="00DB6A40" w:rsidRPr="00DB6A40" w14:paraId="643BFE3C" w14:textId="77777777" w:rsidTr="00D00B3F">
        <w:trPr>
          <w:trHeight w:val="330"/>
        </w:trPr>
        <w:tc>
          <w:tcPr>
            <w:tcW w:w="2151" w:type="dxa"/>
            <w:gridSpan w:val="2"/>
            <w:vAlign w:val="bottom"/>
          </w:tcPr>
          <w:p w14:paraId="385BC767"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IBS**</w:t>
            </w:r>
          </w:p>
        </w:tc>
        <w:tc>
          <w:tcPr>
            <w:tcW w:w="1651" w:type="dxa"/>
            <w:gridSpan w:val="2"/>
            <w:vAlign w:val="bottom"/>
          </w:tcPr>
          <w:p w14:paraId="33FD942F"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5.834198</w:t>
            </w:r>
          </w:p>
        </w:tc>
        <w:tc>
          <w:tcPr>
            <w:tcW w:w="1965" w:type="dxa"/>
            <w:gridSpan w:val="3"/>
            <w:vAlign w:val="bottom"/>
          </w:tcPr>
          <w:p w14:paraId="222AA53E"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2.381586</w:t>
            </w:r>
          </w:p>
        </w:tc>
        <w:tc>
          <w:tcPr>
            <w:tcW w:w="1756" w:type="dxa"/>
            <w:vAlign w:val="bottom"/>
          </w:tcPr>
          <w:p w14:paraId="59121104"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2.449711</w:t>
            </w:r>
          </w:p>
        </w:tc>
        <w:tc>
          <w:tcPr>
            <w:tcW w:w="1256" w:type="dxa"/>
            <w:vAlign w:val="bottom"/>
          </w:tcPr>
          <w:p w14:paraId="2523A9F6"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0.0003</w:t>
            </w:r>
          </w:p>
        </w:tc>
      </w:tr>
      <w:tr w:rsidR="00DB6A40" w:rsidRPr="00DB6A40" w14:paraId="6305EBD7" w14:textId="77777777" w:rsidTr="00D00B3F">
        <w:trPr>
          <w:trHeight w:val="330"/>
        </w:trPr>
        <w:tc>
          <w:tcPr>
            <w:tcW w:w="2151" w:type="dxa"/>
            <w:gridSpan w:val="2"/>
            <w:vAlign w:val="bottom"/>
          </w:tcPr>
          <w:p w14:paraId="6C9522A7"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MBS</w:t>
            </w:r>
          </w:p>
        </w:tc>
        <w:tc>
          <w:tcPr>
            <w:tcW w:w="1651" w:type="dxa"/>
            <w:gridSpan w:val="2"/>
            <w:vAlign w:val="bottom"/>
          </w:tcPr>
          <w:p w14:paraId="305F5F39"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3.444112</w:t>
            </w:r>
          </w:p>
        </w:tc>
        <w:tc>
          <w:tcPr>
            <w:tcW w:w="1965" w:type="dxa"/>
            <w:gridSpan w:val="3"/>
            <w:vAlign w:val="bottom"/>
          </w:tcPr>
          <w:p w14:paraId="55D4DF9A"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1.063551</w:t>
            </w:r>
          </w:p>
        </w:tc>
        <w:tc>
          <w:tcPr>
            <w:tcW w:w="1756" w:type="dxa"/>
            <w:vAlign w:val="bottom"/>
          </w:tcPr>
          <w:p w14:paraId="6293053D"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3.238313</w:t>
            </w:r>
          </w:p>
        </w:tc>
        <w:tc>
          <w:tcPr>
            <w:tcW w:w="1256" w:type="dxa"/>
            <w:vAlign w:val="bottom"/>
          </w:tcPr>
          <w:p w14:paraId="3D3CDD63" w14:textId="77777777" w:rsidR="00DB6A40" w:rsidRPr="00DB6A40" w:rsidRDefault="00DB6A40" w:rsidP="00DB6A40">
            <w:pPr>
              <w:autoSpaceDE w:val="0"/>
              <w:autoSpaceDN w:val="0"/>
              <w:adjustRightInd w:val="0"/>
              <w:spacing w:after="0" w:line="24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0.0000</w:t>
            </w:r>
          </w:p>
        </w:tc>
      </w:tr>
      <w:tr w:rsidR="00DB6A40" w:rsidRPr="00DB6A40" w14:paraId="6F959961" w14:textId="77777777" w:rsidTr="00D00B3F">
        <w:trPr>
          <w:trHeight w:hRule="exact" w:val="80"/>
        </w:trPr>
        <w:tc>
          <w:tcPr>
            <w:tcW w:w="2151" w:type="dxa"/>
            <w:gridSpan w:val="2"/>
            <w:vAlign w:val="center"/>
          </w:tcPr>
          <w:p w14:paraId="75357EE1"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651" w:type="dxa"/>
            <w:gridSpan w:val="2"/>
            <w:vAlign w:val="center"/>
          </w:tcPr>
          <w:p w14:paraId="20516D89"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965" w:type="dxa"/>
            <w:gridSpan w:val="3"/>
            <w:vAlign w:val="center"/>
          </w:tcPr>
          <w:p w14:paraId="6EE3D48B"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c>
          <w:tcPr>
            <w:tcW w:w="1756" w:type="dxa"/>
            <w:vAlign w:val="center"/>
          </w:tcPr>
          <w:p w14:paraId="355DC60B" w14:textId="77777777" w:rsidR="00DB6A40" w:rsidRPr="00DB6A40" w:rsidRDefault="00DB6A40" w:rsidP="00DB6A40">
            <w:pPr>
              <w:spacing w:after="0" w:line="240" w:lineRule="auto"/>
              <w:jc w:val="center"/>
              <w:rPr>
                <w:rFonts w:ascii="Times New Roman" w:eastAsia="Times New Roman" w:hAnsi="Times New Roman" w:cs="Times New Roman"/>
                <w:color w:val="000000"/>
                <w:kern w:val="0"/>
                <w:lang w:eastAsia="zh-CN"/>
                <w14:ligatures w14:val="none"/>
              </w:rPr>
            </w:pPr>
            <w:r w:rsidRPr="00DB6A40">
              <w:rPr>
                <w:rFonts w:ascii="Times New Roman" w:eastAsia="Times New Roman" w:hAnsi="Times New Roman" w:cs="Times New Roman"/>
                <w:color w:val="000000"/>
                <w:kern w:val="0"/>
                <w:lang w:eastAsia="zh-CN"/>
                <w14:ligatures w14:val="none"/>
              </w:rPr>
              <w:t xml:space="preserve"> </w:t>
            </w:r>
          </w:p>
        </w:tc>
        <w:tc>
          <w:tcPr>
            <w:tcW w:w="1256" w:type="dxa"/>
            <w:vAlign w:val="center"/>
          </w:tcPr>
          <w:p w14:paraId="69835D0D" w14:textId="77777777" w:rsidR="00DB6A40" w:rsidRPr="00DB6A40" w:rsidRDefault="00DB6A40" w:rsidP="00DB6A40">
            <w:pPr>
              <w:spacing w:after="0" w:line="240" w:lineRule="auto"/>
              <w:rPr>
                <w:rFonts w:ascii="Times New Roman" w:eastAsia="Times New Roman" w:hAnsi="Times New Roman" w:cs="Times New Roman"/>
                <w:color w:val="000000"/>
                <w:kern w:val="0"/>
                <w:lang w:eastAsia="zh-CN"/>
                <w14:ligatures w14:val="none"/>
              </w:rPr>
            </w:pPr>
          </w:p>
        </w:tc>
      </w:tr>
      <w:tr w:rsidR="00DB6A40" w:rsidRPr="00DB6A40" w14:paraId="4029636F" w14:textId="77777777" w:rsidTr="00D00B3F">
        <w:trPr>
          <w:trHeight w:val="80"/>
        </w:trPr>
        <w:tc>
          <w:tcPr>
            <w:tcW w:w="8779" w:type="dxa"/>
            <w:gridSpan w:val="9"/>
            <w:vAlign w:val="center"/>
          </w:tcPr>
          <w:p w14:paraId="592A2063" w14:textId="77777777" w:rsidR="00DB6A40" w:rsidRPr="00DB6A40" w:rsidRDefault="00DB6A40" w:rsidP="00DB6A40">
            <w:pPr>
              <w:spacing w:after="0" w:line="240" w:lineRule="auto"/>
              <w:rPr>
                <w:rFonts w:ascii="Times New Roman" w:eastAsia="DengXian" w:hAnsi="Times New Roman" w:cs="Times New Roman"/>
                <w:kern w:val="0"/>
                <w:lang w:eastAsia="zh-CN"/>
                <w14:ligatures w14:val="none"/>
              </w:rPr>
            </w:pPr>
          </w:p>
        </w:tc>
      </w:tr>
      <w:tr w:rsidR="00DB6A40" w:rsidRPr="00DB6A40" w14:paraId="3EE29834" w14:textId="77777777" w:rsidTr="00D00B3F">
        <w:trPr>
          <w:trHeight w:val="420"/>
        </w:trPr>
        <w:tc>
          <w:tcPr>
            <w:tcW w:w="4768" w:type="dxa"/>
            <w:gridSpan w:val="5"/>
            <w:vAlign w:val="center"/>
          </w:tcPr>
          <w:p w14:paraId="0ED881A1"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p>
          <w:p w14:paraId="22F1AAF9"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Dependent: ROI</w:t>
            </w:r>
            <w:r w:rsidRPr="00DB6A40">
              <w:rPr>
                <w:rFonts w:ascii="Times New Roman" w:eastAsia="Times New Roman" w:hAnsi="Times New Roman" w:cs="Times New Roman"/>
                <w:color w:val="000000"/>
                <w:kern w:val="0"/>
                <w:lang w:eastAsia="zh-CN"/>
                <w14:ligatures w14:val="none"/>
              </w:rPr>
              <w:t xml:space="preserve">       </w:t>
            </w:r>
            <w:r w:rsidRPr="00DB6A40">
              <w:rPr>
                <w:rFonts w:ascii="Times New Roman" w:eastAsia="Times New Roman" w:hAnsi="Times New Roman" w:cs="Times New Roman"/>
                <w:b/>
                <w:bCs/>
                <w:color w:val="000000"/>
                <w:kern w:val="0"/>
                <w:lang w:eastAsia="zh-CN"/>
                <w14:ligatures w14:val="none"/>
              </w:rPr>
              <w:t xml:space="preserve">       SHORT RUN RESULT</w:t>
            </w:r>
          </w:p>
        </w:tc>
        <w:tc>
          <w:tcPr>
            <w:tcW w:w="2755" w:type="dxa"/>
            <w:gridSpan w:val="3"/>
            <w:vAlign w:val="center"/>
          </w:tcPr>
          <w:p w14:paraId="2C38CFC0"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p>
        </w:tc>
        <w:tc>
          <w:tcPr>
            <w:tcW w:w="1256" w:type="dxa"/>
            <w:vAlign w:val="center"/>
          </w:tcPr>
          <w:p w14:paraId="1A86C28F" w14:textId="77777777" w:rsidR="00DB6A40" w:rsidRPr="00DB6A40" w:rsidRDefault="00DB6A40" w:rsidP="00DB6A40">
            <w:pPr>
              <w:spacing w:after="0" w:line="360" w:lineRule="auto"/>
              <w:rPr>
                <w:rFonts w:ascii="Times New Roman" w:eastAsia="DengXian" w:hAnsi="Times New Roman" w:cs="Times New Roman"/>
                <w:kern w:val="0"/>
                <w:lang w:eastAsia="zh-CN"/>
                <w14:ligatures w14:val="none"/>
              </w:rPr>
            </w:pPr>
          </w:p>
        </w:tc>
      </w:tr>
      <w:tr w:rsidR="00DB6A40" w:rsidRPr="00DB6A40" w14:paraId="62F9E0D1" w14:textId="77777777" w:rsidTr="00D00B3F">
        <w:trPr>
          <w:trHeight w:val="300"/>
        </w:trPr>
        <w:tc>
          <w:tcPr>
            <w:tcW w:w="7523" w:type="dxa"/>
            <w:gridSpan w:val="8"/>
            <w:vAlign w:val="center"/>
          </w:tcPr>
          <w:p w14:paraId="15F5DBD5"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 xml:space="preserve">         </w:t>
            </w:r>
          </w:p>
          <w:p w14:paraId="13FF4529" w14:textId="77777777" w:rsidR="00DB6A40" w:rsidRPr="00DB6A40" w:rsidRDefault="00DB6A40" w:rsidP="00DB6A40">
            <w:pPr>
              <w:spacing w:after="0" w:line="240" w:lineRule="auto"/>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 xml:space="preserve">     Variable                  Coefficient           Std. Error      t-Statistic                             </w:t>
            </w:r>
          </w:p>
        </w:tc>
        <w:tc>
          <w:tcPr>
            <w:tcW w:w="1256" w:type="dxa"/>
            <w:vAlign w:val="center"/>
          </w:tcPr>
          <w:p w14:paraId="430CF403" w14:textId="77777777" w:rsidR="00DB6A40" w:rsidRPr="00DB6A40" w:rsidRDefault="00DB6A40" w:rsidP="00DB6A40">
            <w:pPr>
              <w:spacing w:after="0" w:line="360" w:lineRule="auto"/>
              <w:rPr>
                <w:rFonts w:ascii="Times New Roman" w:eastAsia="Times New Roman" w:hAnsi="Times New Roman" w:cs="Times New Roman"/>
                <w:b/>
                <w:bCs/>
                <w:color w:val="000000"/>
                <w:kern w:val="0"/>
                <w:lang w:eastAsia="zh-CN"/>
                <w14:ligatures w14:val="none"/>
              </w:rPr>
            </w:pPr>
            <w:r w:rsidRPr="00DB6A40">
              <w:rPr>
                <w:rFonts w:ascii="Times New Roman" w:eastAsia="Times New Roman" w:hAnsi="Times New Roman" w:cs="Times New Roman"/>
                <w:b/>
                <w:bCs/>
                <w:color w:val="000000"/>
                <w:kern w:val="0"/>
                <w:lang w:eastAsia="zh-CN"/>
                <w14:ligatures w14:val="none"/>
              </w:rPr>
              <w:t xml:space="preserve">            Prob.  </w:t>
            </w:r>
          </w:p>
        </w:tc>
      </w:tr>
      <w:tr w:rsidR="00DB6A40" w:rsidRPr="00DB6A40" w14:paraId="5F359CAA" w14:textId="77777777" w:rsidTr="00D00B3F">
        <w:trPr>
          <w:trHeight w:val="300"/>
        </w:trPr>
        <w:tc>
          <w:tcPr>
            <w:tcW w:w="1151" w:type="dxa"/>
            <w:vAlign w:val="bottom"/>
          </w:tcPr>
          <w:p w14:paraId="2732A7F1"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ROI (-1)</w:t>
            </w:r>
          </w:p>
        </w:tc>
        <w:tc>
          <w:tcPr>
            <w:tcW w:w="1852" w:type="dxa"/>
            <w:gridSpan w:val="2"/>
            <w:vAlign w:val="bottom"/>
          </w:tcPr>
          <w:p w14:paraId="5D617F3F" w14:textId="77777777" w:rsidR="00DB6A40" w:rsidRPr="00DB6A40" w:rsidRDefault="00DB6A40" w:rsidP="00DB6A40">
            <w:pPr>
              <w:autoSpaceDE w:val="0"/>
              <w:autoSpaceDN w:val="0"/>
              <w:adjustRightInd w:val="0"/>
              <w:spacing w:after="0" w:line="240" w:lineRule="auto"/>
              <w:ind w:right="10"/>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0.265679</w:t>
            </w:r>
          </w:p>
        </w:tc>
        <w:tc>
          <w:tcPr>
            <w:tcW w:w="2028" w:type="dxa"/>
            <w:gridSpan w:val="3"/>
            <w:vAlign w:val="bottom"/>
          </w:tcPr>
          <w:p w14:paraId="005B84A8"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0.128858</w:t>
            </w:r>
          </w:p>
        </w:tc>
        <w:tc>
          <w:tcPr>
            <w:tcW w:w="2492" w:type="dxa"/>
            <w:gridSpan w:val="2"/>
            <w:vAlign w:val="bottom"/>
          </w:tcPr>
          <w:p w14:paraId="51FCE2AB"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2.061797</w:t>
            </w:r>
          </w:p>
        </w:tc>
        <w:tc>
          <w:tcPr>
            <w:tcW w:w="1256" w:type="dxa"/>
            <w:vAlign w:val="bottom"/>
          </w:tcPr>
          <w:p w14:paraId="6D909874" w14:textId="77777777" w:rsidR="00DB6A40" w:rsidRPr="00DB6A40" w:rsidRDefault="00DB6A40" w:rsidP="00DB6A40">
            <w:pPr>
              <w:autoSpaceDE w:val="0"/>
              <w:autoSpaceDN w:val="0"/>
              <w:adjustRightInd w:val="0"/>
              <w:spacing w:after="0" w:line="36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0.0009</w:t>
            </w:r>
          </w:p>
        </w:tc>
      </w:tr>
      <w:tr w:rsidR="00DB6A40" w:rsidRPr="00DB6A40" w14:paraId="4D7E6584" w14:textId="77777777" w:rsidTr="00D00B3F">
        <w:trPr>
          <w:trHeight w:val="300"/>
        </w:trPr>
        <w:tc>
          <w:tcPr>
            <w:tcW w:w="1151" w:type="dxa"/>
            <w:vAlign w:val="bottom"/>
          </w:tcPr>
          <w:p w14:paraId="26C80FC9"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ATM</w:t>
            </w:r>
          </w:p>
        </w:tc>
        <w:tc>
          <w:tcPr>
            <w:tcW w:w="1852" w:type="dxa"/>
            <w:gridSpan w:val="2"/>
            <w:vAlign w:val="bottom"/>
          </w:tcPr>
          <w:p w14:paraId="64124651" w14:textId="77777777" w:rsidR="00DB6A40" w:rsidRPr="00DB6A40" w:rsidRDefault="00DB6A40" w:rsidP="00DB6A40">
            <w:pPr>
              <w:autoSpaceDE w:val="0"/>
              <w:autoSpaceDN w:val="0"/>
              <w:adjustRightInd w:val="0"/>
              <w:spacing w:after="0" w:line="240" w:lineRule="auto"/>
              <w:ind w:right="10"/>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1.004369</w:t>
            </w:r>
          </w:p>
        </w:tc>
        <w:tc>
          <w:tcPr>
            <w:tcW w:w="2028" w:type="dxa"/>
            <w:gridSpan w:val="3"/>
            <w:vAlign w:val="bottom"/>
          </w:tcPr>
          <w:p w14:paraId="2C208963"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0.162590</w:t>
            </w:r>
          </w:p>
        </w:tc>
        <w:tc>
          <w:tcPr>
            <w:tcW w:w="2492" w:type="dxa"/>
            <w:gridSpan w:val="2"/>
            <w:vAlign w:val="bottom"/>
          </w:tcPr>
          <w:p w14:paraId="77436D62"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6.177311</w:t>
            </w:r>
          </w:p>
        </w:tc>
        <w:tc>
          <w:tcPr>
            <w:tcW w:w="1256" w:type="dxa"/>
            <w:vAlign w:val="bottom"/>
          </w:tcPr>
          <w:p w14:paraId="70C8414F" w14:textId="77777777" w:rsidR="00DB6A40" w:rsidRPr="00DB6A40" w:rsidRDefault="00DB6A40" w:rsidP="00DB6A40">
            <w:pPr>
              <w:autoSpaceDE w:val="0"/>
              <w:autoSpaceDN w:val="0"/>
              <w:adjustRightInd w:val="0"/>
              <w:spacing w:after="0" w:line="36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0.0000</w:t>
            </w:r>
          </w:p>
        </w:tc>
      </w:tr>
      <w:tr w:rsidR="00DB6A40" w:rsidRPr="00DB6A40" w14:paraId="3F312F0E" w14:textId="77777777" w:rsidTr="00D00B3F">
        <w:trPr>
          <w:trHeight w:val="300"/>
        </w:trPr>
        <w:tc>
          <w:tcPr>
            <w:tcW w:w="1151" w:type="dxa"/>
            <w:vAlign w:val="bottom"/>
          </w:tcPr>
          <w:p w14:paraId="05094F80"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IBS</w:t>
            </w:r>
          </w:p>
        </w:tc>
        <w:tc>
          <w:tcPr>
            <w:tcW w:w="1852" w:type="dxa"/>
            <w:gridSpan w:val="2"/>
            <w:vAlign w:val="bottom"/>
          </w:tcPr>
          <w:p w14:paraId="513B8D1C" w14:textId="77777777" w:rsidR="00DB6A40" w:rsidRPr="00DB6A40" w:rsidRDefault="00DB6A40" w:rsidP="00DB6A40">
            <w:pPr>
              <w:autoSpaceDE w:val="0"/>
              <w:autoSpaceDN w:val="0"/>
              <w:adjustRightInd w:val="0"/>
              <w:spacing w:after="0" w:line="240" w:lineRule="auto"/>
              <w:ind w:right="10"/>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11.42209</w:t>
            </w:r>
          </w:p>
        </w:tc>
        <w:tc>
          <w:tcPr>
            <w:tcW w:w="2028" w:type="dxa"/>
            <w:gridSpan w:val="3"/>
            <w:vAlign w:val="bottom"/>
          </w:tcPr>
          <w:p w14:paraId="74A13A12"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0.128858</w:t>
            </w:r>
          </w:p>
        </w:tc>
        <w:tc>
          <w:tcPr>
            <w:tcW w:w="2492" w:type="dxa"/>
            <w:gridSpan w:val="2"/>
            <w:vAlign w:val="bottom"/>
          </w:tcPr>
          <w:p w14:paraId="683DA8A4"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2.061797</w:t>
            </w:r>
          </w:p>
        </w:tc>
        <w:tc>
          <w:tcPr>
            <w:tcW w:w="1256" w:type="dxa"/>
            <w:vAlign w:val="bottom"/>
          </w:tcPr>
          <w:p w14:paraId="207B8F32" w14:textId="77777777" w:rsidR="00DB6A40" w:rsidRPr="00DB6A40" w:rsidRDefault="00DB6A40" w:rsidP="00DB6A40">
            <w:pPr>
              <w:autoSpaceDE w:val="0"/>
              <w:autoSpaceDN w:val="0"/>
              <w:adjustRightInd w:val="0"/>
              <w:spacing w:after="0" w:line="36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0.0009</w:t>
            </w:r>
          </w:p>
        </w:tc>
      </w:tr>
      <w:tr w:rsidR="00DB6A40" w:rsidRPr="00DB6A40" w14:paraId="52DD31BB" w14:textId="77777777" w:rsidTr="00D00B3F">
        <w:trPr>
          <w:trHeight w:val="300"/>
        </w:trPr>
        <w:tc>
          <w:tcPr>
            <w:tcW w:w="1151" w:type="dxa"/>
            <w:vAlign w:val="bottom"/>
          </w:tcPr>
          <w:p w14:paraId="5CE70746"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MBS</w:t>
            </w:r>
          </w:p>
        </w:tc>
        <w:tc>
          <w:tcPr>
            <w:tcW w:w="1852" w:type="dxa"/>
            <w:gridSpan w:val="2"/>
            <w:vAlign w:val="bottom"/>
          </w:tcPr>
          <w:p w14:paraId="260EE472" w14:textId="77777777" w:rsidR="00DB6A40" w:rsidRPr="00DB6A40" w:rsidRDefault="00DB6A40" w:rsidP="00DB6A40">
            <w:pPr>
              <w:autoSpaceDE w:val="0"/>
              <w:autoSpaceDN w:val="0"/>
              <w:adjustRightInd w:val="0"/>
              <w:spacing w:after="0" w:line="240" w:lineRule="auto"/>
              <w:ind w:right="10"/>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4.732069</w:t>
            </w:r>
          </w:p>
        </w:tc>
        <w:tc>
          <w:tcPr>
            <w:tcW w:w="2028" w:type="dxa"/>
            <w:gridSpan w:val="3"/>
            <w:vAlign w:val="bottom"/>
          </w:tcPr>
          <w:p w14:paraId="245E9EFD"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2.118044</w:t>
            </w:r>
          </w:p>
        </w:tc>
        <w:tc>
          <w:tcPr>
            <w:tcW w:w="2492" w:type="dxa"/>
            <w:gridSpan w:val="2"/>
            <w:vAlign w:val="bottom"/>
          </w:tcPr>
          <w:p w14:paraId="5D0624E1"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2.234215</w:t>
            </w:r>
          </w:p>
        </w:tc>
        <w:tc>
          <w:tcPr>
            <w:tcW w:w="1256" w:type="dxa"/>
            <w:vAlign w:val="bottom"/>
          </w:tcPr>
          <w:p w14:paraId="4FC1A4D4" w14:textId="77777777" w:rsidR="00DB6A40" w:rsidRPr="00DB6A40" w:rsidRDefault="00DB6A40" w:rsidP="00DB6A40">
            <w:pPr>
              <w:autoSpaceDE w:val="0"/>
              <w:autoSpaceDN w:val="0"/>
              <w:adjustRightInd w:val="0"/>
              <w:spacing w:after="0" w:line="360" w:lineRule="auto"/>
              <w:ind w:right="10"/>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4.732069</w:t>
            </w:r>
          </w:p>
        </w:tc>
      </w:tr>
      <w:tr w:rsidR="00DB6A40" w:rsidRPr="00DB6A40" w14:paraId="24951735" w14:textId="77777777" w:rsidTr="00D00B3F">
        <w:trPr>
          <w:trHeight w:val="300"/>
        </w:trPr>
        <w:tc>
          <w:tcPr>
            <w:tcW w:w="1151" w:type="dxa"/>
            <w:vAlign w:val="bottom"/>
          </w:tcPr>
          <w:p w14:paraId="0AC9AF2D"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POS</w:t>
            </w:r>
          </w:p>
        </w:tc>
        <w:tc>
          <w:tcPr>
            <w:tcW w:w="1852" w:type="dxa"/>
            <w:gridSpan w:val="2"/>
            <w:vAlign w:val="bottom"/>
          </w:tcPr>
          <w:p w14:paraId="7651F576" w14:textId="77777777" w:rsidR="00DB6A40" w:rsidRPr="00DB6A40" w:rsidRDefault="00DB6A40" w:rsidP="00DB6A40">
            <w:pPr>
              <w:autoSpaceDE w:val="0"/>
              <w:autoSpaceDN w:val="0"/>
              <w:adjustRightInd w:val="0"/>
              <w:spacing w:after="0" w:line="240" w:lineRule="auto"/>
              <w:ind w:right="10"/>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3.356198</w:t>
            </w:r>
          </w:p>
        </w:tc>
        <w:tc>
          <w:tcPr>
            <w:tcW w:w="2028" w:type="dxa"/>
            <w:gridSpan w:val="3"/>
            <w:vAlign w:val="bottom"/>
          </w:tcPr>
          <w:p w14:paraId="41429ED6"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1.381586</w:t>
            </w:r>
          </w:p>
        </w:tc>
        <w:tc>
          <w:tcPr>
            <w:tcW w:w="2492" w:type="dxa"/>
            <w:gridSpan w:val="2"/>
            <w:vAlign w:val="bottom"/>
          </w:tcPr>
          <w:p w14:paraId="33D45208"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2.429257</w:t>
            </w:r>
          </w:p>
        </w:tc>
        <w:tc>
          <w:tcPr>
            <w:tcW w:w="1256" w:type="dxa"/>
            <w:vAlign w:val="bottom"/>
          </w:tcPr>
          <w:p w14:paraId="735BD206" w14:textId="77777777" w:rsidR="00DB6A40" w:rsidRPr="00DB6A40" w:rsidRDefault="00DB6A40" w:rsidP="00DB6A40">
            <w:pPr>
              <w:autoSpaceDE w:val="0"/>
              <w:autoSpaceDN w:val="0"/>
              <w:adjustRightInd w:val="0"/>
              <w:spacing w:after="0" w:line="36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0.0000</w:t>
            </w:r>
          </w:p>
        </w:tc>
      </w:tr>
      <w:tr w:rsidR="00DB6A40" w:rsidRPr="00DB6A40" w14:paraId="5C0EDAB7" w14:textId="77777777" w:rsidTr="00D00B3F">
        <w:trPr>
          <w:trHeight w:val="300"/>
        </w:trPr>
        <w:tc>
          <w:tcPr>
            <w:tcW w:w="1151" w:type="dxa"/>
            <w:vAlign w:val="bottom"/>
          </w:tcPr>
          <w:p w14:paraId="06A81CCE" w14:textId="77777777" w:rsidR="00DB6A40" w:rsidRPr="00DB6A40" w:rsidRDefault="00DB6A40" w:rsidP="00DB6A40">
            <w:pPr>
              <w:autoSpaceDE w:val="0"/>
              <w:autoSpaceDN w:val="0"/>
              <w:adjustRightInd w:val="0"/>
              <w:spacing w:after="0" w:line="240" w:lineRule="auto"/>
              <w:jc w:val="center"/>
              <w:rPr>
                <w:rFonts w:ascii="Times New Roman" w:eastAsia="DengXian" w:hAnsi="Times New Roman" w:cs="Times New Roman"/>
                <w:color w:val="000000"/>
                <w:kern w:val="0"/>
                <w:lang w:eastAsia="zh-CN"/>
                <w14:ligatures w14:val="none"/>
              </w:rPr>
            </w:pPr>
            <w:proofErr w:type="spellStart"/>
            <w:r w:rsidRPr="00DB6A40">
              <w:rPr>
                <w:rFonts w:ascii="Times New Roman" w:eastAsia="DengXian" w:hAnsi="Times New Roman" w:cs="Times New Roman"/>
                <w:color w:val="000000"/>
                <w:kern w:val="0"/>
                <w:lang w:eastAsia="zh-CN"/>
                <w14:ligatures w14:val="none"/>
              </w:rPr>
              <w:t>CointEq</w:t>
            </w:r>
            <w:proofErr w:type="spellEnd"/>
            <w:r w:rsidRPr="00DB6A40">
              <w:rPr>
                <w:rFonts w:ascii="Times New Roman" w:eastAsia="DengXian" w:hAnsi="Times New Roman" w:cs="Times New Roman"/>
                <w:color w:val="000000"/>
                <w:kern w:val="0"/>
                <w:lang w:eastAsia="zh-CN"/>
                <w14:ligatures w14:val="none"/>
              </w:rPr>
              <w:t xml:space="preserve"> (-</w:t>
            </w:r>
            <w:proofErr w:type="gramStart"/>
            <w:r w:rsidRPr="00DB6A40">
              <w:rPr>
                <w:rFonts w:ascii="Times New Roman" w:eastAsia="DengXian" w:hAnsi="Times New Roman" w:cs="Times New Roman"/>
                <w:color w:val="000000"/>
                <w:kern w:val="0"/>
                <w:lang w:eastAsia="zh-CN"/>
                <w14:ligatures w14:val="none"/>
              </w:rPr>
              <w:t>1)*</w:t>
            </w:r>
            <w:proofErr w:type="gramEnd"/>
          </w:p>
        </w:tc>
        <w:tc>
          <w:tcPr>
            <w:tcW w:w="1852" w:type="dxa"/>
            <w:gridSpan w:val="2"/>
            <w:vAlign w:val="bottom"/>
          </w:tcPr>
          <w:p w14:paraId="7A65C86C" w14:textId="77777777" w:rsidR="00DB6A40" w:rsidRPr="00DB6A40" w:rsidRDefault="00DB6A40" w:rsidP="00DB6A40">
            <w:pPr>
              <w:autoSpaceDE w:val="0"/>
              <w:autoSpaceDN w:val="0"/>
              <w:adjustRightInd w:val="0"/>
              <w:spacing w:after="0" w:line="240" w:lineRule="auto"/>
              <w:ind w:right="10"/>
              <w:jc w:val="center"/>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-0.615251</w:t>
            </w:r>
          </w:p>
        </w:tc>
        <w:tc>
          <w:tcPr>
            <w:tcW w:w="2028" w:type="dxa"/>
            <w:gridSpan w:val="3"/>
            <w:vAlign w:val="bottom"/>
          </w:tcPr>
          <w:p w14:paraId="2DC6E347"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0.136447</w:t>
            </w:r>
          </w:p>
        </w:tc>
        <w:tc>
          <w:tcPr>
            <w:tcW w:w="2492" w:type="dxa"/>
            <w:gridSpan w:val="2"/>
            <w:vAlign w:val="bottom"/>
          </w:tcPr>
          <w:p w14:paraId="4209E100" w14:textId="77777777" w:rsidR="00DB6A40" w:rsidRPr="00DB6A40" w:rsidRDefault="00DB6A40" w:rsidP="00DB6A40">
            <w:pPr>
              <w:autoSpaceDE w:val="0"/>
              <w:autoSpaceDN w:val="0"/>
              <w:adjustRightInd w:val="0"/>
              <w:spacing w:after="0" w:line="240" w:lineRule="auto"/>
              <w:ind w:right="10"/>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4.236441</w:t>
            </w:r>
          </w:p>
        </w:tc>
        <w:tc>
          <w:tcPr>
            <w:tcW w:w="1256" w:type="dxa"/>
            <w:vAlign w:val="bottom"/>
          </w:tcPr>
          <w:p w14:paraId="10099E69" w14:textId="77777777" w:rsidR="00DB6A40" w:rsidRPr="00DB6A40" w:rsidRDefault="00DB6A40" w:rsidP="00DB6A40">
            <w:pPr>
              <w:autoSpaceDE w:val="0"/>
              <w:autoSpaceDN w:val="0"/>
              <w:adjustRightInd w:val="0"/>
              <w:spacing w:after="0" w:line="360" w:lineRule="auto"/>
              <w:ind w:right="10"/>
              <w:jc w:val="right"/>
              <w:rPr>
                <w:rFonts w:ascii="Times New Roman" w:eastAsia="DengXian" w:hAnsi="Times New Roman" w:cs="Times New Roman"/>
                <w:color w:val="000000"/>
                <w:kern w:val="0"/>
                <w:lang w:eastAsia="zh-CN"/>
                <w14:ligatures w14:val="none"/>
              </w:rPr>
            </w:pPr>
            <w:r w:rsidRPr="00DB6A40">
              <w:rPr>
                <w:rFonts w:ascii="Times New Roman" w:eastAsia="DengXian" w:hAnsi="Times New Roman" w:cs="Times New Roman"/>
                <w:color w:val="000000"/>
                <w:kern w:val="0"/>
                <w:lang w:eastAsia="zh-CN"/>
                <w14:ligatures w14:val="none"/>
              </w:rPr>
              <w:t>0.0003</w:t>
            </w:r>
          </w:p>
        </w:tc>
      </w:tr>
      <w:tr w:rsidR="00DB6A40" w:rsidRPr="00DB6A40" w14:paraId="17F51F6E" w14:textId="77777777" w:rsidTr="00D00B3F">
        <w:trPr>
          <w:trHeight w:val="570"/>
        </w:trPr>
        <w:tc>
          <w:tcPr>
            <w:tcW w:w="1151" w:type="dxa"/>
            <w:vAlign w:val="center"/>
          </w:tcPr>
          <w:p w14:paraId="40E97DA4" w14:textId="77777777" w:rsidR="00DB6A40" w:rsidRPr="00DB6A40" w:rsidRDefault="00DB6A40" w:rsidP="00DB6A40">
            <w:pPr>
              <w:spacing w:after="0" w:line="240" w:lineRule="auto"/>
              <w:jc w:val="center"/>
              <w:rPr>
                <w:rFonts w:ascii="Times New Roman" w:eastAsia="Times New Roman" w:hAnsi="Times New Roman" w:cs="Times New Roman"/>
                <w:color w:val="000000"/>
                <w:kern w:val="0"/>
                <w:lang w:eastAsia="zh-CN"/>
                <w14:ligatures w14:val="none"/>
              </w:rPr>
            </w:pPr>
            <w:r w:rsidRPr="00DB6A40">
              <w:rPr>
                <w:rFonts w:ascii="Times New Roman" w:eastAsia="Times New Roman" w:hAnsi="Times New Roman" w:cs="Times New Roman"/>
                <w:color w:val="000000"/>
                <w:kern w:val="0"/>
                <w:lang w:eastAsia="zh-CN"/>
                <w14:ligatures w14:val="none"/>
              </w:rPr>
              <w:t>R-Squared =</w:t>
            </w:r>
            <w:r w:rsidRPr="00DB6A40">
              <w:rPr>
                <w:rFonts w:ascii="Times New Roman" w:eastAsia="DengXian" w:hAnsi="Times New Roman" w:cs="Times New Roman"/>
                <w:color w:val="000000"/>
                <w:kern w:val="0"/>
                <w:lang w:eastAsia="zh-CN"/>
                <w14:ligatures w14:val="none"/>
              </w:rPr>
              <w:t>0.705612</w:t>
            </w:r>
          </w:p>
        </w:tc>
        <w:tc>
          <w:tcPr>
            <w:tcW w:w="1852" w:type="dxa"/>
            <w:gridSpan w:val="2"/>
            <w:vAlign w:val="center"/>
          </w:tcPr>
          <w:p w14:paraId="5885CA47" w14:textId="77777777" w:rsidR="00DB6A40" w:rsidRPr="00DB6A40" w:rsidRDefault="00DB6A40" w:rsidP="00DB6A40">
            <w:pPr>
              <w:spacing w:after="0" w:line="240" w:lineRule="auto"/>
              <w:jc w:val="center"/>
              <w:rPr>
                <w:rFonts w:ascii="Times New Roman" w:eastAsia="Times New Roman" w:hAnsi="Times New Roman" w:cs="Times New Roman"/>
                <w:color w:val="000000"/>
                <w:kern w:val="0"/>
                <w:lang w:eastAsia="zh-CN"/>
                <w14:ligatures w14:val="none"/>
              </w:rPr>
            </w:pPr>
            <w:r w:rsidRPr="00DB6A40">
              <w:rPr>
                <w:rFonts w:ascii="Times New Roman" w:eastAsia="Times New Roman" w:hAnsi="Times New Roman" w:cs="Times New Roman"/>
                <w:color w:val="000000"/>
                <w:kern w:val="0"/>
                <w:lang w:eastAsia="zh-CN"/>
                <w14:ligatures w14:val="none"/>
              </w:rPr>
              <w:t xml:space="preserve">F-Stat = </w:t>
            </w:r>
            <w:r w:rsidRPr="00DB6A40">
              <w:rPr>
                <w:rFonts w:ascii="Times New Roman" w:eastAsia="DengXian" w:hAnsi="Times New Roman" w:cs="Times New Roman"/>
                <w:color w:val="000000"/>
                <w:kern w:val="0"/>
                <w:lang w:eastAsia="zh-CN"/>
                <w14:ligatures w14:val="none"/>
              </w:rPr>
              <w:t>9.896152</w:t>
            </w:r>
          </w:p>
        </w:tc>
        <w:tc>
          <w:tcPr>
            <w:tcW w:w="2028" w:type="dxa"/>
            <w:gridSpan w:val="3"/>
            <w:vAlign w:val="center"/>
          </w:tcPr>
          <w:p w14:paraId="1FADED7F" w14:textId="77777777" w:rsidR="00DB6A40" w:rsidRPr="00DB6A40" w:rsidRDefault="00DB6A40" w:rsidP="00DB6A40">
            <w:pPr>
              <w:spacing w:after="0" w:line="240" w:lineRule="auto"/>
              <w:jc w:val="center"/>
              <w:rPr>
                <w:rFonts w:ascii="Times New Roman" w:eastAsia="Times New Roman" w:hAnsi="Times New Roman" w:cs="Times New Roman"/>
                <w:color w:val="000000"/>
                <w:kern w:val="0"/>
                <w:lang w:eastAsia="zh-CN"/>
                <w14:ligatures w14:val="none"/>
              </w:rPr>
            </w:pPr>
            <w:r w:rsidRPr="00DB6A40">
              <w:rPr>
                <w:rFonts w:ascii="Times New Roman" w:eastAsia="Times New Roman" w:hAnsi="Times New Roman" w:cs="Times New Roman"/>
                <w:color w:val="000000"/>
                <w:kern w:val="0"/>
                <w:lang w:eastAsia="zh-CN"/>
                <w14:ligatures w14:val="none"/>
              </w:rPr>
              <w:t xml:space="preserve">Prob(F-stat) </w:t>
            </w:r>
            <w:r w:rsidRPr="00DB6A40">
              <w:rPr>
                <w:rFonts w:ascii="Times New Roman" w:eastAsia="DengXian" w:hAnsi="Times New Roman" w:cs="Times New Roman"/>
                <w:color w:val="000000"/>
                <w:kern w:val="0"/>
                <w:lang w:eastAsia="zh-CN"/>
                <w14:ligatures w14:val="none"/>
              </w:rPr>
              <w:t>0.000529</w:t>
            </w:r>
          </w:p>
        </w:tc>
        <w:tc>
          <w:tcPr>
            <w:tcW w:w="2492" w:type="dxa"/>
            <w:gridSpan w:val="2"/>
            <w:vAlign w:val="center"/>
          </w:tcPr>
          <w:p w14:paraId="6E7CE398" w14:textId="77777777" w:rsidR="00DB6A40" w:rsidRPr="00DB6A40" w:rsidRDefault="00DB6A40" w:rsidP="00DB6A40">
            <w:pPr>
              <w:spacing w:after="0" w:line="240" w:lineRule="auto"/>
              <w:rPr>
                <w:rFonts w:ascii="Times New Roman" w:eastAsia="Times New Roman" w:hAnsi="Times New Roman" w:cs="Times New Roman"/>
                <w:color w:val="000000"/>
                <w:kern w:val="0"/>
                <w:lang w:eastAsia="zh-CN"/>
                <w14:ligatures w14:val="none"/>
              </w:rPr>
            </w:pPr>
            <w:r w:rsidRPr="00DB6A40">
              <w:rPr>
                <w:rFonts w:ascii="Times New Roman" w:eastAsia="Times New Roman" w:hAnsi="Times New Roman" w:cs="Times New Roman"/>
                <w:color w:val="000000"/>
                <w:kern w:val="0"/>
                <w:lang w:eastAsia="zh-CN"/>
                <w14:ligatures w14:val="none"/>
              </w:rPr>
              <w:t xml:space="preserve">   D-W stat=</w:t>
            </w:r>
            <w:r w:rsidRPr="00DB6A40">
              <w:rPr>
                <w:rFonts w:ascii="Times New Roman" w:eastAsia="DengXian" w:hAnsi="Times New Roman" w:cs="Times New Roman"/>
                <w:color w:val="000000"/>
                <w:kern w:val="0"/>
                <w:lang w:eastAsia="zh-CN"/>
                <w14:ligatures w14:val="none"/>
              </w:rPr>
              <w:t>2.192</w:t>
            </w:r>
          </w:p>
        </w:tc>
        <w:tc>
          <w:tcPr>
            <w:tcW w:w="1256" w:type="dxa"/>
            <w:vAlign w:val="center"/>
          </w:tcPr>
          <w:p w14:paraId="483442D7" w14:textId="77777777" w:rsidR="00DB6A40" w:rsidRPr="00DB6A40" w:rsidRDefault="00DB6A40" w:rsidP="00DB6A40">
            <w:pPr>
              <w:spacing w:after="0" w:line="360" w:lineRule="auto"/>
              <w:rPr>
                <w:rFonts w:ascii="Times New Roman" w:eastAsia="Times New Roman" w:hAnsi="Times New Roman" w:cs="Times New Roman"/>
                <w:color w:val="000000"/>
                <w:kern w:val="0"/>
                <w:lang w:eastAsia="zh-CN"/>
                <w14:ligatures w14:val="none"/>
              </w:rPr>
            </w:pPr>
          </w:p>
        </w:tc>
      </w:tr>
    </w:tbl>
    <w:p w14:paraId="1CEE8D2E" w14:textId="77777777" w:rsidR="00F2321A"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The results above present both the long-run and short-run tests results of the ARDL model. The coefficient of </w:t>
      </w:r>
    </w:p>
    <w:p w14:paraId="31C372F6" w14:textId="3A6056CB"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determination, which tests the goodness-of-fit, shows that the independent variables explain the changes in the dependent variable at 71%. The F-test, which tests for the overall significance of the model, is also statistically significant while the speed of adjustment between the short-run and the long-run is 0.61 (61%) annually.</w:t>
      </w:r>
    </w:p>
    <w:p w14:paraId="321E2375"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p w14:paraId="2A54666B" w14:textId="77777777" w:rsidR="002610CA" w:rsidRDefault="002610CA" w:rsidP="00DB6A40">
      <w:pPr>
        <w:spacing w:after="0" w:line="360" w:lineRule="auto"/>
        <w:jc w:val="both"/>
        <w:rPr>
          <w:rFonts w:ascii="Times New Roman" w:eastAsia="DengXian" w:hAnsi="Times New Roman" w:cs="Times New Roman"/>
          <w:b/>
          <w:bCs/>
          <w:kern w:val="0"/>
          <w:lang w:eastAsia="zh-CN"/>
          <w14:ligatures w14:val="none"/>
        </w:rPr>
      </w:pPr>
    </w:p>
    <w:p w14:paraId="6099AC42" w14:textId="77777777" w:rsidR="002610CA" w:rsidRDefault="002610CA" w:rsidP="00DB6A40">
      <w:pPr>
        <w:spacing w:after="0" w:line="360" w:lineRule="auto"/>
        <w:jc w:val="both"/>
        <w:rPr>
          <w:rFonts w:ascii="Times New Roman" w:eastAsia="DengXian" w:hAnsi="Times New Roman" w:cs="Times New Roman"/>
          <w:b/>
          <w:bCs/>
          <w:kern w:val="0"/>
          <w:lang w:eastAsia="zh-CN"/>
          <w14:ligatures w14:val="none"/>
        </w:rPr>
      </w:pPr>
    </w:p>
    <w:p w14:paraId="74BEDCFA" w14:textId="77777777" w:rsidR="002610CA" w:rsidRDefault="002610CA" w:rsidP="00DB6A40">
      <w:pPr>
        <w:spacing w:after="0" w:line="360" w:lineRule="auto"/>
        <w:jc w:val="both"/>
        <w:rPr>
          <w:rFonts w:ascii="Times New Roman" w:eastAsia="DengXian" w:hAnsi="Times New Roman" w:cs="Times New Roman"/>
          <w:b/>
          <w:bCs/>
          <w:kern w:val="0"/>
          <w:lang w:eastAsia="zh-CN"/>
          <w14:ligatures w14:val="none"/>
        </w:rPr>
      </w:pPr>
    </w:p>
    <w:p w14:paraId="2C34D565" w14:textId="77777777" w:rsidR="002610CA" w:rsidRDefault="002610CA" w:rsidP="00DB6A40">
      <w:pPr>
        <w:spacing w:after="0" w:line="360" w:lineRule="auto"/>
        <w:jc w:val="both"/>
        <w:rPr>
          <w:rFonts w:ascii="Times New Roman" w:eastAsia="DengXian" w:hAnsi="Times New Roman" w:cs="Times New Roman"/>
          <w:b/>
          <w:bCs/>
          <w:kern w:val="0"/>
          <w:lang w:eastAsia="zh-CN"/>
          <w14:ligatures w14:val="none"/>
        </w:rPr>
      </w:pPr>
    </w:p>
    <w:p w14:paraId="4942FC0C" w14:textId="01EB44E2" w:rsidR="00DB6A40" w:rsidRPr="00DB6A40" w:rsidRDefault="00DB6A40" w:rsidP="00DB6A40">
      <w:pPr>
        <w:spacing w:after="0" w:line="36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lastRenderedPageBreak/>
        <w:t>4.</w:t>
      </w:r>
      <w:r w:rsidRPr="00DB6A40">
        <w:rPr>
          <w:rFonts w:ascii="Times New Roman" w:eastAsia="DengXian" w:hAnsi="Times New Roman" w:cs="Times New Roman"/>
          <w:b/>
          <w:bCs/>
          <w:kern w:val="0"/>
          <w:lang w:val="en-GB" w:eastAsia="zh-CN"/>
          <w14:ligatures w14:val="none"/>
        </w:rPr>
        <w:t>5</w:t>
      </w:r>
      <w:r w:rsidRPr="00DB6A40">
        <w:rPr>
          <w:rFonts w:ascii="Times New Roman" w:eastAsia="DengXian" w:hAnsi="Times New Roman" w:cs="Times New Roman"/>
          <w:b/>
          <w:bCs/>
          <w:kern w:val="0"/>
          <w:lang w:eastAsia="zh-CN"/>
          <w14:ligatures w14:val="none"/>
        </w:rPr>
        <w:t xml:space="preserve"> Serial Autocorrelation Test</w:t>
      </w:r>
    </w:p>
    <w:p w14:paraId="29CC2935" w14:textId="77777777" w:rsidR="00DB6A40" w:rsidRPr="00DB6A40" w:rsidRDefault="00DB6A40" w:rsidP="00DB6A40">
      <w:pPr>
        <w:spacing w:after="0" w:line="360" w:lineRule="auto"/>
        <w:jc w:val="both"/>
        <w:rPr>
          <w:rFonts w:ascii="Times New Roman" w:eastAsia="DengXian" w:hAnsi="Times New Roman" w:cs="Times New Roman"/>
          <w:b/>
          <w:bCs/>
          <w:kern w:val="0"/>
          <w:lang w:val="en-GB" w:eastAsia="zh-CN"/>
          <w14:ligatures w14:val="none"/>
        </w:rPr>
      </w:pPr>
      <w:r w:rsidRPr="00DB6A40">
        <w:rPr>
          <w:rFonts w:ascii="Times New Roman" w:eastAsia="DengXian" w:hAnsi="Times New Roman" w:cs="Times New Roman"/>
          <w:b/>
          <w:bCs/>
          <w:kern w:val="0"/>
          <w:lang w:val="en-GB" w:eastAsia="zh-CN"/>
          <w14:ligatures w14:val="none"/>
        </w:rPr>
        <w:t>Table 4.5 Test for Serial Autocorrelation</w:t>
      </w:r>
    </w:p>
    <w:tbl>
      <w:tblPr>
        <w:tblW w:w="0" w:type="auto"/>
        <w:tblInd w:w="30" w:type="dxa"/>
        <w:tblLayout w:type="fixed"/>
        <w:tblCellMar>
          <w:left w:w="0" w:type="dxa"/>
          <w:right w:w="0" w:type="dxa"/>
        </w:tblCellMar>
        <w:tblLook w:val="04A0" w:firstRow="1" w:lastRow="0" w:firstColumn="1" w:lastColumn="0" w:noHBand="0" w:noVBand="1"/>
      </w:tblPr>
      <w:tblGrid>
        <w:gridCol w:w="2017"/>
        <w:gridCol w:w="1103"/>
        <w:gridCol w:w="1207"/>
        <w:gridCol w:w="1208"/>
        <w:gridCol w:w="997"/>
      </w:tblGrid>
      <w:tr w:rsidR="00DB6A40" w:rsidRPr="00DB6A40" w14:paraId="66A57643" w14:textId="77777777" w:rsidTr="00D00B3F">
        <w:trPr>
          <w:trHeight w:val="225"/>
        </w:trPr>
        <w:tc>
          <w:tcPr>
            <w:tcW w:w="5535" w:type="dxa"/>
            <w:gridSpan w:val="4"/>
            <w:vAlign w:val="bottom"/>
          </w:tcPr>
          <w:p w14:paraId="1855AFB9"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Breusch-Godfrey Serial Correlation LM Test:</w:t>
            </w:r>
          </w:p>
        </w:tc>
        <w:tc>
          <w:tcPr>
            <w:tcW w:w="997" w:type="dxa"/>
            <w:vAlign w:val="bottom"/>
          </w:tcPr>
          <w:p w14:paraId="2A42FB0A"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r>
      <w:tr w:rsidR="00DB6A40" w:rsidRPr="00DB6A40" w14:paraId="35A2E6EF" w14:textId="77777777" w:rsidTr="00D00B3F">
        <w:trPr>
          <w:trHeight w:hRule="exact" w:val="90"/>
        </w:trPr>
        <w:tc>
          <w:tcPr>
            <w:tcW w:w="2017" w:type="dxa"/>
            <w:tcBorders>
              <w:top w:val="nil"/>
              <w:left w:val="nil"/>
              <w:bottom w:val="double" w:sz="6" w:space="0" w:color="auto"/>
              <w:right w:val="nil"/>
            </w:tcBorders>
            <w:vAlign w:val="bottom"/>
          </w:tcPr>
          <w:p w14:paraId="74B6DB0D"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103" w:type="dxa"/>
            <w:tcBorders>
              <w:top w:val="nil"/>
              <w:left w:val="nil"/>
              <w:bottom w:val="double" w:sz="6" w:space="0" w:color="auto"/>
              <w:right w:val="nil"/>
            </w:tcBorders>
            <w:vAlign w:val="bottom"/>
          </w:tcPr>
          <w:p w14:paraId="25FE8573"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207" w:type="dxa"/>
            <w:tcBorders>
              <w:top w:val="nil"/>
              <w:left w:val="nil"/>
              <w:bottom w:val="double" w:sz="6" w:space="0" w:color="auto"/>
              <w:right w:val="nil"/>
            </w:tcBorders>
            <w:vAlign w:val="bottom"/>
          </w:tcPr>
          <w:p w14:paraId="30524CD8"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208" w:type="dxa"/>
            <w:tcBorders>
              <w:top w:val="nil"/>
              <w:left w:val="nil"/>
              <w:bottom w:val="double" w:sz="6" w:space="0" w:color="auto"/>
              <w:right w:val="nil"/>
            </w:tcBorders>
            <w:vAlign w:val="bottom"/>
          </w:tcPr>
          <w:p w14:paraId="605AB98F"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997" w:type="dxa"/>
            <w:tcBorders>
              <w:top w:val="nil"/>
              <w:left w:val="nil"/>
              <w:bottom w:val="double" w:sz="6" w:space="0" w:color="auto"/>
              <w:right w:val="nil"/>
            </w:tcBorders>
            <w:vAlign w:val="bottom"/>
          </w:tcPr>
          <w:p w14:paraId="138D7A8B"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r>
      <w:tr w:rsidR="00DB6A40" w:rsidRPr="00DB6A40" w14:paraId="11377C5C" w14:textId="77777777" w:rsidTr="00D00B3F">
        <w:trPr>
          <w:trHeight w:hRule="exact" w:val="135"/>
        </w:trPr>
        <w:tc>
          <w:tcPr>
            <w:tcW w:w="2017" w:type="dxa"/>
            <w:vAlign w:val="bottom"/>
          </w:tcPr>
          <w:p w14:paraId="458240C1"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103" w:type="dxa"/>
            <w:vAlign w:val="bottom"/>
          </w:tcPr>
          <w:p w14:paraId="30FB1577"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207" w:type="dxa"/>
            <w:vAlign w:val="bottom"/>
          </w:tcPr>
          <w:p w14:paraId="2B73388B"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208" w:type="dxa"/>
            <w:vAlign w:val="bottom"/>
          </w:tcPr>
          <w:p w14:paraId="7E4CFCD1"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997" w:type="dxa"/>
            <w:vAlign w:val="bottom"/>
          </w:tcPr>
          <w:p w14:paraId="6A8BD356"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r>
      <w:tr w:rsidR="00DB6A40" w:rsidRPr="00DB6A40" w14:paraId="77D5B621" w14:textId="77777777" w:rsidTr="00D00B3F">
        <w:trPr>
          <w:trHeight w:val="225"/>
        </w:trPr>
        <w:tc>
          <w:tcPr>
            <w:tcW w:w="2017" w:type="dxa"/>
            <w:vAlign w:val="bottom"/>
          </w:tcPr>
          <w:p w14:paraId="18AAA167"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F-statistic</w:t>
            </w:r>
          </w:p>
        </w:tc>
        <w:tc>
          <w:tcPr>
            <w:tcW w:w="1103" w:type="dxa"/>
            <w:vAlign w:val="bottom"/>
          </w:tcPr>
          <w:p w14:paraId="64FEA6EF"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0.181883</w:t>
            </w:r>
          </w:p>
        </w:tc>
        <w:tc>
          <w:tcPr>
            <w:tcW w:w="2415" w:type="dxa"/>
            <w:gridSpan w:val="2"/>
            <w:vAlign w:val="bottom"/>
          </w:tcPr>
          <w:p w14:paraId="185719B6"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Prob. F (2,22)</w:t>
            </w:r>
          </w:p>
        </w:tc>
        <w:tc>
          <w:tcPr>
            <w:tcW w:w="997" w:type="dxa"/>
            <w:vAlign w:val="bottom"/>
          </w:tcPr>
          <w:p w14:paraId="60820A65"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0.1675</w:t>
            </w:r>
          </w:p>
        </w:tc>
      </w:tr>
      <w:tr w:rsidR="00DB6A40" w:rsidRPr="00DB6A40" w14:paraId="101C3CA5" w14:textId="77777777" w:rsidTr="00D00B3F">
        <w:trPr>
          <w:trHeight w:val="225"/>
        </w:trPr>
        <w:tc>
          <w:tcPr>
            <w:tcW w:w="2017" w:type="dxa"/>
            <w:vAlign w:val="bottom"/>
          </w:tcPr>
          <w:p w14:paraId="5CB91057"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Obs</w:t>
            </w:r>
            <w:proofErr w:type="spellEnd"/>
            <w:r w:rsidRPr="00DB6A40">
              <w:rPr>
                <w:rFonts w:ascii="Times New Roman" w:eastAsia="DengXian" w:hAnsi="Times New Roman" w:cs="Times New Roman"/>
                <w:kern w:val="0"/>
                <w:lang w:eastAsia="zh-CN"/>
                <w14:ligatures w14:val="none"/>
              </w:rPr>
              <w:t>*R-squared</w:t>
            </w:r>
          </w:p>
        </w:tc>
        <w:tc>
          <w:tcPr>
            <w:tcW w:w="1103" w:type="dxa"/>
            <w:vAlign w:val="bottom"/>
          </w:tcPr>
          <w:p w14:paraId="42B4B94A"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2.476123</w:t>
            </w:r>
          </w:p>
        </w:tc>
        <w:tc>
          <w:tcPr>
            <w:tcW w:w="2415" w:type="dxa"/>
            <w:gridSpan w:val="2"/>
            <w:vAlign w:val="bottom"/>
          </w:tcPr>
          <w:p w14:paraId="2A352400"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Prob. Chi-Square (2)</w:t>
            </w:r>
          </w:p>
        </w:tc>
        <w:tc>
          <w:tcPr>
            <w:tcW w:w="997" w:type="dxa"/>
            <w:vAlign w:val="bottom"/>
          </w:tcPr>
          <w:p w14:paraId="53B2DEDA"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0.1172</w:t>
            </w:r>
          </w:p>
        </w:tc>
      </w:tr>
      <w:tr w:rsidR="00DB6A40" w:rsidRPr="00DB6A40" w14:paraId="2543F080" w14:textId="77777777" w:rsidTr="00D00B3F">
        <w:trPr>
          <w:trHeight w:hRule="exact" w:val="90"/>
        </w:trPr>
        <w:tc>
          <w:tcPr>
            <w:tcW w:w="2017" w:type="dxa"/>
            <w:tcBorders>
              <w:top w:val="nil"/>
              <w:left w:val="nil"/>
              <w:bottom w:val="double" w:sz="6" w:space="0" w:color="auto"/>
              <w:right w:val="nil"/>
            </w:tcBorders>
            <w:vAlign w:val="bottom"/>
          </w:tcPr>
          <w:p w14:paraId="264F4B8D"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103" w:type="dxa"/>
            <w:tcBorders>
              <w:top w:val="nil"/>
              <w:left w:val="nil"/>
              <w:bottom w:val="double" w:sz="6" w:space="0" w:color="auto"/>
              <w:right w:val="nil"/>
            </w:tcBorders>
            <w:vAlign w:val="bottom"/>
          </w:tcPr>
          <w:p w14:paraId="4B12303F"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207" w:type="dxa"/>
            <w:tcBorders>
              <w:top w:val="nil"/>
              <w:left w:val="nil"/>
              <w:bottom w:val="double" w:sz="6" w:space="0" w:color="auto"/>
              <w:right w:val="nil"/>
            </w:tcBorders>
            <w:vAlign w:val="bottom"/>
          </w:tcPr>
          <w:p w14:paraId="13D1BA6E"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1208" w:type="dxa"/>
            <w:tcBorders>
              <w:top w:val="nil"/>
              <w:left w:val="nil"/>
              <w:bottom w:val="double" w:sz="6" w:space="0" w:color="auto"/>
              <w:right w:val="nil"/>
            </w:tcBorders>
            <w:vAlign w:val="bottom"/>
          </w:tcPr>
          <w:p w14:paraId="6FE9C3C2"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c>
          <w:tcPr>
            <w:tcW w:w="997" w:type="dxa"/>
            <w:tcBorders>
              <w:top w:val="nil"/>
              <w:left w:val="nil"/>
              <w:bottom w:val="double" w:sz="6" w:space="0" w:color="auto"/>
              <w:right w:val="nil"/>
            </w:tcBorders>
            <w:vAlign w:val="bottom"/>
          </w:tcPr>
          <w:p w14:paraId="7607D359"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p>
        </w:tc>
      </w:tr>
    </w:tbl>
    <w:p w14:paraId="3A6E1905" w14:textId="77777777" w:rsidR="00DB6A40" w:rsidRPr="00DB6A40" w:rsidRDefault="00DB6A40" w:rsidP="00DB6A40">
      <w:pPr>
        <w:spacing w:after="0" w:line="360" w:lineRule="auto"/>
        <w:jc w:val="both"/>
        <w:rPr>
          <w:rFonts w:ascii="Times New Roman" w:eastAsia="DengXian" w:hAnsi="Times New Roman" w:cs="Times New Roman"/>
          <w:kern w:val="0"/>
          <w:lang w:val="en-GB" w:eastAsia="zh-CN"/>
          <w14:ligatures w14:val="none"/>
        </w:rPr>
      </w:pPr>
      <w:r w:rsidRPr="00DB6A40">
        <w:rPr>
          <w:rFonts w:ascii="Times New Roman" w:eastAsia="DengXian" w:hAnsi="Times New Roman" w:cs="Times New Roman"/>
          <w:b/>
          <w:bCs/>
          <w:kern w:val="0"/>
          <w:lang w:eastAsia="zh-CN"/>
          <w14:ligatures w14:val="none"/>
        </w:rPr>
        <w:t xml:space="preserve">Source: </w:t>
      </w:r>
      <w:r w:rsidRPr="00DB6A40">
        <w:rPr>
          <w:rFonts w:ascii="Times New Roman" w:eastAsia="DengXian" w:hAnsi="Times New Roman" w:cs="Times New Roman"/>
          <w:kern w:val="0"/>
          <w:lang w:eastAsia="zh-CN"/>
          <w14:ligatures w14:val="none"/>
        </w:rPr>
        <w:t xml:space="preserve">Author’s computation from </w:t>
      </w:r>
      <w:proofErr w:type="spellStart"/>
      <w:r w:rsidRPr="00DB6A40">
        <w:rPr>
          <w:rFonts w:ascii="Times New Roman" w:eastAsia="DengXian" w:hAnsi="Times New Roman" w:cs="Times New Roman"/>
          <w:kern w:val="0"/>
          <w:lang w:eastAsia="zh-CN"/>
          <w14:ligatures w14:val="none"/>
        </w:rPr>
        <w:t>Eviews</w:t>
      </w:r>
      <w:proofErr w:type="spellEnd"/>
      <w:r w:rsidRPr="00DB6A40">
        <w:rPr>
          <w:rFonts w:ascii="Times New Roman" w:eastAsia="DengXian" w:hAnsi="Times New Roman" w:cs="Times New Roman"/>
          <w:kern w:val="0"/>
          <w:lang w:eastAsia="zh-CN"/>
          <w14:ligatures w14:val="none"/>
        </w:rPr>
        <w:t>, 202</w:t>
      </w:r>
      <w:r w:rsidRPr="00DB6A40">
        <w:rPr>
          <w:rFonts w:ascii="Times New Roman" w:eastAsia="DengXian" w:hAnsi="Times New Roman" w:cs="Times New Roman"/>
          <w:kern w:val="0"/>
          <w:lang w:val="en-GB" w:eastAsia="zh-CN"/>
          <w14:ligatures w14:val="none"/>
        </w:rPr>
        <w:t>5</w:t>
      </w:r>
    </w:p>
    <w:p w14:paraId="2CC2A956" w14:textId="77777777" w:rsidR="00DB6A40" w:rsidRPr="00DB6A40" w:rsidRDefault="00DB6A40" w:rsidP="00DB6A40">
      <w:pPr>
        <w:spacing w:after="0" w:line="36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The serial or autocorrelation helps to determine if the variables are serially correlated or not. As the result shows using the Prob of F-stat (0.1675), there is no problem of serial autocorrelation.</w:t>
      </w:r>
    </w:p>
    <w:p w14:paraId="42E71DE3"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4.</w:t>
      </w:r>
      <w:r w:rsidRPr="00DB6A40">
        <w:rPr>
          <w:rFonts w:ascii="Times New Roman" w:eastAsia="DengXian" w:hAnsi="Times New Roman" w:cs="Times New Roman"/>
          <w:b/>
          <w:bCs/>
          <w:kern w:val="0"/>
          <w:lang w:val="en-GB" w:eastAsia="zh-CN"/>
          <w14:ligatures w14:val="none"/>
        </w:rPr>
        <w:t>6</w:t>
      </w:r>
      <w:r w:rsidRPr="00DB6A40">
        <w:rPr>
          <w:rFonts w:ascii="Times New Roman" w:eastAsia="DengXian" w:hAnsi="Times New Roman" w:cs="Times New Roman"/>
          <w:b/>
          <w:bCs/>
          <w:kern w:val="0"/>
          <w:lang w:eastAsia="zh-CN"/>
          <w14:ligatures w14:val="none"/>
        </w:rPr>
        <w:t xml:space="preserve"> Tests of Hypotheses</w:t>
      </w:r>
    </w:p>
    <w:p w14:paraId="3772588B"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t>Ho</w:t>
      </w:r>
      <w:r w:rsidRPr="00DB6A40">
        <w:rPr>
          <w:rFonts w:ascii="Times New Roman" w:eastAsia="DengXian" w:hAnsi="Times New Roman" w:cs="Times New Roman"/>
          <w:b/>
          <w:bCs/>
          <w:kern w:val="0"/>
          <w:vertAlign w:val="subscript"/>
          <w:lang w:eastAsia="zh-CN"/>
          <w14:ligatures w14:val="none"/>
        </w:rPr>
        <w:t>1</w:t>
      </w:r>
      <w:r w:rsidRPr="00DB6A40">
        <w:rPr>
          <w:rFonts w:ascii="Times New Roman" w:eastAsia="DengXian" w:hAnsi="Times New Roman" w:cs="Times New Roman"/>
          <w:b/>
          <w:bCs/>
          <w:kern w:val="0"/>
          <w:lang w:eastAsia="zh-CN"/>
          <w14:ligatures w14:val="none"/>
        </w:rPr>
        <w:t>:</w:t>
      </w:r>
      <w:r w:rsidRPr="00DB6A40">
        <w:rPr>
          <w:rFonts w:ascii="Times New Roman" w:eastAsia="DengXian" w:hAnsi="Times New Roman" w:cs="Times New Roman"/>
          <w:kern w:val="0"/>
          <w:lang w:eastAsia="zh-CN"/>
          <w14:ligatures w14:val="none"/>
        </w:rPr>
        <w:t xml:space="preserve"> There is no significant relationship between automated teller machine (ATM) transactions and return on investment of deposit money banks in Nigeria.</w:t>
      </w:r>
    </w:p>
    <w:p w14:paraId="38BBA67C"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The result of the analysis on ATM machines transactions and deposit money banks return on investment shows that there is a positive relationship between ATM machines transactions and return on investment of the deposit money banks as also expected </w:t>
      </w:r>
      <w:proofErr w:type="spellStart"/>
      <w:r w:rsidRPr="00DB6A40">
        <w:rPr>
          <w:rFonts w:ascii="Times New Roman" w:eastAsia="DengXian" w:hAnsi="Times New Roman" w:cs="Times New Roman"/>
          <w:kern w:val="0"/>
          <w:lang w:eastAsia="zh-CN"/>
          <w14:ligatures w14:val="none"/>
        </w:rPr>
        <w:t>apriori</w:t>
      </w:r>
      <w:proofErr w:type="spellEnd"/>
      <w:r w:rsidRPr="00DB6A40">
        <w:rPr>
          <w:rFonts w:ascii="Times New Roman" w:eastAsia="DengXian" w:hAnsi="Times New Roman" w:cs="Times New Roman"/>
          <w:kern w:val="0"/>
          <w:lang w:eastAsia="zh-CN"/>
          <w14:ligatures w14:val="none"/>
        </w:rPr>
        <w:t xml:space="preserve">. As ATM transactions increases by a unit, Deposit Money Banks return on investment increases by 1.004369 and vice versa. Again, ATM transactions </w:t>
      </w:r>
      <w:proofErr w:type="gramStart"/>
      <w:r w:rsidRPr="00DB6A40">
        <w:rPr>
          <w:rFonts w:ascii="Times New Roman" w:eastAsia="DengXian" w:hAnsi="Times New Roman" w:cs="Times New Roman"/>
          <w:kern w:val="0"/>
          <w:lang w:eastAsia="zh-CN"/>
          <w14:ligatures w14:val="none"/>
        </w:rPr>
        <w:t>is</w:t>
      </w:r>
      <w:proofErr w:type="gramEnd"/>
      <w:r w:rsidRPr="00DB6A40">
        <w:rPr>
          <w:rFonts w:ascii="Times New Roman" w:eastAsia="DengXian" w:hAnsi="Times New Roman" w:cs="Times New Roman"/>
          <w:kern w:val="0"/>
          <w:lang w:eastAsia="zh-CN"/>
          <w14:ligatures w14:val="none"/>
        </w:rPr>
        <w:t xml:space="preserve"> statistically significant at 5% level of significance. We will therefore accept the alternative hypothesis, reject the null hypothesis and conclude that there is a significant relationship between Automated Teller Machine (ATM) transactions and Deposit Money Banks return on investment over the period. Over the years, ATM machines have been set up at strategic places across various cities in the country to aid financial transactions. The use of the ATMs has increased over the period and this has continued to increase as shown in the trend. </w:t>
      </w:r>
    </w:p>
    <w:p w14:paraId="13593A81"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11EEC2A9" w14:textId="4086EDAF"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t>Ho</w:t>
      </w:r>
      <w:r w:rsidRPr="00DB6A40">
        <w:rPr>
          <w:rFonts w:ascii="Times New Roman" w:eastAsia="DengXian" w:hAnsi="Times New Roman" w:cs="Times New Roman"/>
          <w:b/>
          <w:bCs/>
          <w:kern w:val="0"/>
          <w:vertAlign w:val="subscript"/>
          <w:lang w:eastAsia="zh-CN"/>
          <w14:ligatures w14:val="none"/>
        </w:rPr>
        <w:t>2</w:t>
      </w:r>
      <w:r w:rsidRPr="00DB6A40">
        <w:rPr>
          <w:rFonts w:ascii="Times New Roman" w:eastAsia="DengXian" w:hAnsi="Times New Roman" w:cs="Times New Roman"/>
          <w:b/>
          <w:bCs/>
          <w:kern w:val="0"/>
          <w:lang w:eastAsia="zh-CN"/>
          <w14:ligatures w14:val="none"/>
        </w:rPr>
        <w:t xml:space="preserve">: </w:t>
      </w:r>
      <w:r w:rsidRPr="00DB6A40">
        <w:rPr>
          <w:rFonts w:ascii="Times New Roman" w:eastAsia="DengXian" w:hAnsi="Times New Roman" w:cs="Times New Roman"/>
          <w:kern w:val="0"/>
          <w:lang w:eastAsia="zh-CN"/>
          <w14:ligatures w14:val="none"/>
        </w:rPr>
        <w:t>There is no significant relationship between mobile banking services and return on investment of deposit money banks in Nigeria.</w:t>
      </w:r>
    </w:p>
    <w:p w14:paraId="0FAE782F"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The result of the analysis on hypothesis two shows that there is a positive relationship between Mobile Banking services and Deposit Money Banks return on investment as expected </w:t>
      </w:r>
      <w:proofErr w:type="spellStart"/>
      <w:r w:rsidRPr="00DB6A40">
        <w:rPr>
          <w:rFonts w:ascii="Times New Roman" w:eastAsia="DengXian" w:hAnsi="Times New Roman" w:cs="Times New Roman"/>
          <w:kern w:val="0"/>
          <w:lang w:eastAsia="zh-CN"/>
          <w14:ligatures w14:val="none"/>
        </w:rPr>
        <w:t>apriori</w:t>
      </w:r>
      <w:proofErr w:type="spellEnd"/>
      <w:r w:rsidRPr="00DB6A40">
        <w:rPr>
          <w:rFonts w:ascii="Times New Roman" w:eastAsia="DengXian" w:hAnsi="Times New Roman" w:cs="Times New Roman"/>
          <w:kern w:val="0"/>
          <w:lang w:eastAsia="zh-CN"/>
          <w14:ligatures w14:val="none"/>
        </w:rPr>
        <w:t xml:space="preserve">. As Mobile Banking services increases by a unit, return on investment increases by 4.732069 and vice versa. Again, Mobile Banking services is statistically significant at 5% level of significance. We will therefore accept the alternative hypothesis, reject the null and conclude that there is a significant relationship between Mobile Banking services and return on investment of Deposit Money Banks over the period. The emergence of the internet as well as mobile phones has increased mobile banking transactions. It is the first in the innovative line in the banking sector. Unfortunately, the inability of the major populace to access these services has limited the use of the mobile banking channels over the years. </w:t>
      </w:r>
    </w:p>
    <w:p w14:paraId="0D6E718C"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33454BB0" w14:textId="612617DD"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t>Ho</w:t>
      </w:r>
      <w:r w:rsidRPr="00DB6A40">
        <w:rPr>
          <w:rFonts w:ascii="Times New Roman" w:eastAsia="DengXian" w:hAnsi="Times New Roman" w:cs="Times New Roman"/>
          <w:b/>
          <w:bCs/>
          <w:kern w:val="0"/>
          <w:vertAlign w:val="subscript"/>
          <w:lang w:eastAsia="zh-CN"/>
          <w14:ligatures w14:val="none"/>
        </w:rPr>
        <w:t>3</w:t>
      </w:r>
      <w:r w:rsidRPr="00DB6A40">
        <w:rPr>
          <w:rFonts w:ascii="Times New Roman" w:eastAsia="DengXian" w:hAnsi="Times New Roman" w:cs="Times New Roman"/>
          <w:b/>
          <w:bCs/>
          <w:kern w:val="0"/>
          <w:lang w:eastAsia="zh-CN"/>
          <w14:ligatures w14:val="none"/>
        </w:rPr>
        <w:t>:</w:t>
      </w:r>
      <w:r w:rsidRPr="00DB6A40">
        <w:rPr>
          <w:rFonts w:ascii="Times New Roman" w:eastAsia="DengXian" w:hAnsi="Times New Roman" w:cs="Times New Roman"/>
          <w:kern w:val="0"/>
          <w:lang w:eastAsia="zh-CN"/>
          <w14:ligatures w14:val="none"/>
        </w:rPr>
        <w:t xml:space="preserve"> There is no significant relationship between point of sales (POS) transactions and return on investment of deposit money banks in Nigeria.</w:t>
      </w:r>
    </w:p>
    <w:p w14:paraId="047563A7"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The result of the analysis on point of sales (POS) transactions and return on investment of deposit money banks shows that there is a positive relationship between Deposit Money Banks return on investment and point of Sales transactions as also expected </w:t>
      </w:r>
      <w:proofErr w:type="spellStart"/>
      <w:r w:rsidRPr="00DB6A40">
        <w:rPr>
          <w:rFonts w:ascii="Times New Roman" w:eastAsia="DengXian" w:hAnsi="Times New Roman" w:cs="Times New Roman"/>
          <w:kern w:val="0"/>
          <w:lang w:eastAsia="zh-CN"/>
          <w14:ligatures w14:val="none"/>
        </w:rPr>
        <w:t>apriori</w:t>
      </w:r>
      <w:proofErr w:type="spellEnd"/>
      <w:r w:rsidRPr="00DB6A40">
        <w:rPr>
          <w:rFonts w:ascii="Times New Roman" w:eastAsia="DengXian" w:hAnsi="Times New Roman" w:cs="Times New Roman"/>
          <w:kern w:val="0"/>
          <w:lang w:eastAsia="zh-CN"/>
          <w14:ligatures w14:val="none"/>
        </w:rPr>
        <w:t xml:space="preserve">. Consequently, as POS transactions increases by a unit, Deposit Money Banks return on investment increases by 3.356198 and vice versa. Again, POS transactions </w:t>
      </w:r>
      <w:proofErr w:type="gramStart"/>
      <w:r w:rsidRPr="00DB6A40">
        <w:rPr>
          <w:rFonts w:ascii="Times New Roman" w:eastAsia="DengXian" w:hAnsi="Times New Roman" w:cs="Times New Roman"/>
          <w:kern w:val="0"/>
          <w:lang w:eastAsia="zh-CN"/>
          <w14:ligatures w14:val="none"/>
        </w:rPr>
        <w:t>is</w:t>
      </w:r>
      <w:proofErr w:type="gramEnd"/>
      <w:r w:rsidRPr="00DB6A40">
        <w:rPr>
          <w:rFonts w:ascii="Times New Roman" w:eastAsia="DengXian" w:hAnsi="Times New Roman" w:cs="Times New Roman"/>
          <w:kern w:val="0"/>
          <w:lang w:eastAsia="zh-CN"/>
          <w14:ligatures w14:val="none"/>
        </w:rPr>
        <w:t xml:space="preserve"> statistically significant at 5% level of significance. We will therefore accept the alternative hypothesis, reject the null and conclude that there is a significant relationship between Point of Sales (POS) transactions and return on investment of Deposit Money Banks over the period. POS transactions </w:t>
      </w:r>
      <w:proofErr w:type="gramStart"/>
      <w:r w:rsidRPr="00DB6A40">
        <w:rPr>
          <w:rFonts w:ascii="Times New Roman" w:eastAsia="DengXian" w:hAnsi="Times New Roman" w:cs="Times New Roman"/>
          <w:kern w:val="0"/>
          <w:lang w:eastAsia="zh-CN"/>
          <w14:ligatures w14:val="none"/>
        </w:rPr>
        <w:t>has</w:t>
      </w:r>
      <w:proofErr w:type="gramEnd"/>
      <w:r w:rsidRPr="00DB6A40">
        <w:rPr>
          <w:rFonts w:ascii="Times New Roman" w:eastAsia="DengXian" w:hAnsi="Times New Roman" w:cs="Times New Roman"/>
          <w:kern w:val="0"/>
          <w:lang w:eastAsia="zh-CN"/>
          <w14:ligatures w14:val="none"/>
        </w:rPr>
        <w:t xml:space="preserve"> become an important part of business and personal transactions in Nigeria. In recent times, the use of POS machines has increased due to its ease, availability and convenience. People can withdraw amounts that ATM machines cannot dispense and this makes it a choice of usage by the majority of the people. </w:t>
      </w:r>
    </w:p>
    <w:p w14:paraId="267CA070"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b/>
          <w:bCs/>
          <w:kern w:val="0"/>
          <w:lang w:eastAsia="zh-CN"/>
          <w14:ligatures w14:val="none"/>
        </w:rPr>
        <w:lastRenderedPageBreak/>
        <w:t>Ho</w:t>
      </w:r>
      <w:r w:rsidRPr="00DB6A40">
        <w:rPr>
          <w:rFonts w:ascii="Times New Roman" w:eastAsia="DengXian" w:hAnsi="Times New Roman" w:cs="Times New Roman"/>
          <w:b/>
          <w:bCs/>
          <w:kern w:val="0"/>
          <w:vertAlign w:val="subscript"/>
          <w:lang w:eastAsia="zh-CN"/>
          <w14:ligatures w14:val="none"/>
        </w:rPr>
        <w:t>4</w:t>
      </w:r>
      <w:r w:rsidRPr="00DB6A40">
        <w:rPr>
          <w:rFonts w:ascii="Times New Roman" w:eastAsia="DengXian" w:hAnsi="Times New Roman" w:cs="Times New Roman"/>
          <w:b/>
          <w:bCs/>
          <w:kern w:val="0"/>
          <w:lang w:eastAsia="zh-CN"/>
          <w14:ligatures w14:val="none"/>
        </w:rPr>
        <w:t>:</w:t>
      </w:r>
      <w:r w:rsidRPr="00DB6A40">
        <w:rPr>
          <w:rFonts w:ascii="Times New Roman" w:eastAsia="DengXian" w:hAnsi="Times New Roman" w:cs="Times New Roman"/>
          <w:kern w:val="0"/>
          <w:lang w:eastAsia="zh-CN"/>
          <w14:ligatures w14:val="none"/>
        </w:rPr>
        <w:t xml:space="preserve"> There is no significant relationship between internet banking transactions and return on investment of deposit money banks in Nigeria.</w:t>
      </w:r>
    </w:p>
    <w:p w14:paraId="1623A6F5"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The result of the analysis on internet (online) banking transactions and deposit money banks return on investment shows that there is a positive relationship between Deposit Money Banks return on investment and Internet Banking (online banking) transactions as expected </w:t>
      </w:r>
      <w:proofErr w:type="spellStart"/>
      <w:r w:rsidRPr="00DB6A40">
        <w:rPr>
          <w:rFonts w:ascii="Times New Roman" w:eastAsia="DengXian" w:hAnsi="Times New Roman" w:cs="Times New Roman"/>
          <w:kern w:val="0"/>
          <w:lang w:eastAsia="zh-CN"/>
          <w14:ligatures w14:val="none"/>
        </w:rPr>
        <w:t>apriori</w:t>
      </w:r>
      <w:proofErr w:type="spellEnd"/>
      <w:r w:rsidRPr="00DB6A40">
        <w:rPr>
          <w:rFonts w:ascii="Times New Roman" w:eastAsia="DengXian" w:hAnsi="Times New Roman" w:cs="Times New Roman"/>
          <w:kern w:val="0"/>
          <w:lang w:eastAsia="zh-CN"/>
          <w14:ligatures w14:val="none"/>
        </w:rPr>
        <w:t xml:space="preserve">. As internet banking transactions increases by a unit, the return on investment of the Deposit Money Banks increases by 11.42209 and vice versa. Again, Internet Banking transactions is statistically significant at 5% level of significance based on the t-test. We will therefore accept the alternative hypothesis, reject the null and conclude that there is a significant relationship between internet banking transactions and return on investment of the deposit money banks over the period. This reveals the deep effect that online banking transactions have on the assets of the deposit money banks. It helps the Deposit Money Banks generate up to eleven times the value of the online transactions to their investments. </w:t>
      </w:r>
    </w:p>
    <w:p w14:paraId="70C8B64E"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p>
    <w:p w14:paraId="5F06BC1B" w14:textId="1A1F4609" w:rsidR="00DB6A40" w:rsidRPr="00DB6A40" w:rsidRDefault="00DB6A40" w:rsidP="00F2321A">
      <w:pPr>
        <w:numPr>
          <w:ilvl w:val="0"/>
          <w:numId w:val="30"/>
        </w:numPr>
        <w:spacing w:after="0" w:line="240" w:lineRule="auto"/>
        <w:jc w:val="both"/>
        <w:rPr>
          <w:rFonts w:ascii="Times New Roman" w:eastAsia="DengXian" w:hAnsi="Times New Roman" w:cs="Times New Roman"/>
          <w:b/>
          <w:bCs/>
          <w:color w:val="222222"/>
          <w:kern w:val="0"/>
          <w:shd w:val="clear" w:color="auto" w:fill="FFFFFF"/>
          <w:lang w:eastAsia="zh-CN"/>
          <w14:ligatures w14:val="none"/>
        </w:rPr>
      </w:pPr>
      <w:r w:rsidRPr="00DB6A40">
        <w:rPr>
          <w:rFonts w:ascii="Times New Roman" w:eastAsia="DengXian" w:hAnsi="Times New Roman" w:cs="Times New Roman"/>
          <w:b/>
          <w:bCs/>
          <w:color w:val="222222"/>
          <w:kern w:val="0"/>
          <w:shd w:val="clear" w:color="auto" w:fill="FFFFFF"/>
          <w:lang w:eastAsia="zh-CN"/>
          <w14:ligatures w14:val="none"/>
        </w:rPr>
        <w:t xml:space="preserve">Conclusion </w:t>
      </w:r>
      <w:r w:rsidR="002610CA" w:rsidRPr="00DB6A40">
        <w:rPr>
          <w:rFonts w:ascii="Times New Roman" w:eastAsia="DengXian" w:hAnsi="Times New Roman" w:cs="Times New Roman"/>
          <w:b/>
          <w:bCs/>
          <w:color w:val="222222"/>
          <w:kern w:val="0"/>
          <w:shd w:val="clear" w:color="auto" w:fill="FFFFFF"/>
          <w:lang w:eastAsia="zh-CN"/>
          <w14:ligatures w14:val="none"/>
        </w:rPr>
        <w:t>and</w:t>
      </w:r>
      <w:r w:rsidRPr="00DB6A40">
        <w:rPr>
          <w:rFonts w:ascii="Times New Roman" w:eastAsia="DengXian" w:hAnsi="Times New Roman" w:cs="Times New Roman"/>
          <w:b/>
          <w:bCs/>
          <w:color w:val="222222"/>
          <w:kern w:val="0"/>
          <w:shd w:val="clear" w:color="auto" w:fill="FFFFFF"/>
          <w:lang w:eastAsia="zh-CN"/>
          <w14:ligatures w14:val="none"/>
        </w:rPr>
        <w:t xml:space="preserve"> Recommendations</w:t>
      </w:r>
    </w:p>
    <w:p w14:paraId="206B35B2" w14:textId="77777777"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5.</w:t>
      </w:r>
      <w:r w:rsidRPr="00DB6A40">
        <w:rPr>
          <w:rFonts w:ascii="Times New Roman" w:eastAsia="DengXian" w:hAnsi="Times New Roman" w:cs="Times New Roman"/>
          <w:b/>
          <w:bCs/>
          <w:kern w:val="0"/>
          <w:lang w:val="en-GB" w:eastAsia="zh-CN"/>
          <w14:ligatures w14:val="none"/>
        </w:rPr>
        <w:t>1</w:t>
      </w:r>
      <w:r w:rsidRPr="00DB6A40">
        <w:rPr>
          <w:rFonts w:ascii="Times New Roman" w:eastAsia="DengXian" w:hAnsi="Times New Roman" w:cs="Times New Roman"/>
          <w:b/>
          <w:bCs/>
          <w:kern w:val="0"/>
          <w:lang w:eastAsia="zh-CN"/>
          <w14:ligatures w14:val="none"/>
        </w:rPr>
        <w:t xml:space="preserve"> Conclusions</w:t>
      </w:r>
    </w:p>
    <w:p w14:paraId="4BF7B7FE"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Based on the review of empirical literatures and the evaluations mobile banking platforms and the assets of deposit money banks. Many of the research studies concluded that there is a positive and significant relationship between the mobile banking platforms and the deposit money banks. </w:t>
      </w:r>
    </w:p>
    <w:p w14:paraId="795A6C4D"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Point of Sales was found to be the most active of all the banking platforms. This is due to its ease of use, convenience and accessibility by majority of the people in rural areas. Unlike the Automated Teller Machines, Point of Sales machines can be moved from one place to the other and there is no limit to the amount one can withdraw.</w:t>
      </w:r>
    </w:p>
    <w:p w14:paraId="1CF9CECB"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Further, Automated Teller Machine was close because of its ease of use and lower rate than Point of Sales. However, it is not easily accessible to many people in the rural areas. It is also limited to a certain amount that can be withdrawn. </w:t>
      </w:r>
    </w:p>
    <w:p w14:paraId="367F0F4C"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Finally, internet banking and mobile banking were not as actively being used as the Automated Teller Machines and Point of Sales because of people’s limited knowledge on their usage. Accessibility to the internet could also be a major factor to their usage. However, all the independent variables were found to have a positive and significant relationship with the deposit money banks </w:t>
      </w:r>
      <w:r w:rsidRPr="00DB6A40">
        <w:rPr>
          <w:rFonts w:ascii="Times New Roman" w:eastAsia="DengXian" w:hAnsi="Times New Roman" w:cs="Times New Roman"/>
          <w:kern w:val="0"/>
          <w:lang w:val="en-GB" w:eastAsia="zh-CN"/>
          <w14:ligatures w14:val="none"/>
        </w:rPr>
        <w:t>profitability</w:t>
      </w:r>
      <w:r w:rsidRPr="00DB6A40">
        <w:rPr>
          <w:rFonts w:ascii="Times New Roman" w:eastAsia="DengXian" w:hAnsi="Times New Roman" w:cs="Times New Roman"/>
          <w:kern w:val="0"/>
          <w:lang w:eastAsia="zh-CN"/>
          <w14:ligatures w14:val="none"/>
        </w:rPr>
        <w:t xml:space="preserve"> over the period.</w:t>
      </w:r>
    </w:p>
    <w:p w14:paraId="5D5E609B" w14:textId="77777777" w:rsidR="00F2321A" w:rsidRDefault="00F2321A" w:rsidP="00F2321A">
      <w:pPr>
        <w:spacing w:after="0" w:line="240" w:lineRule="auto"/>
        <w:jc w:val="both"/>
        <w:rPr>
          <w:rFonts w:ascii="Times New Roman" w:eastAsia="DengXian" w:hAnsi="Times New Roman" w:cs="Times New Roman"/>
          <w:b/>
          <w:bCs/>
          <w:kern w:val="0"/>
          <w:lang w:eastAsia="zh-CN"/>
          <w14:ligatures w14:val="none"/>
        </w:rPr>
      </w:pPr>
    </w:p>
    <w:p w14:paraId="437AB060" w14:textId="6106CFCA" w:rsidR="00DB6A40" w:rsidRPr="00DB6A40" w:rsidRDefault="00DB6A40" w:rsidP="00F2321A">
      <w:pPr>
        <w:spacing w:after="0" w:line="240" w:lineRule="auto"/>
        <w:jc w:val="both"/>
        <w:rPr>
          <w:rFonts w:ascii="Times New Roman" w:eastAsia="DengXian" w:hAnsi="Times New Roman" w:cs="Times New Roman"/>
          <w:b/>
          <w:bCs/>
          <w:kern w:val="0"/>
          <w:lang w:eastAsia="zh-CN"/>
          <w14:ligatures w14:val="none"/>
        </w:rPr>
      </w:pPr>
      <w:r w:rsidRPr="00DB6A40">
        <w:rPr>
          <w:rFonts w:ascii="Times New Roman" w:eastAsia="DengXian" w:hAnsi="Times New Roman" w:cs="Times New Roman"/>
          <w:b/>
          <w:bCs/>
          <w:kern w:val="0"/>
          <w:lang w:eastAsia="zh-CN"/>
          <w14:ligatures w14:val="none"/>
        </w:rPr>
        <w:t>5.</w:t>
      </w:r>
      <w:r w:rsidRPr="00DB6A40">
        <w:rPr>
          <w:rFonts w:ascii="Times New Roman" w:eastAsia="DengXian" w:hAnsi="Times New Roman" w:cs="Times New Roman"/>
          <w:b/>
          <w:bCs/>
          <w:kern w:val="0"/>
          <w:lang w:val="en-GB" w:eastAsia="zh-CN"/>
          <w14:ligatures w14:val="none"/>
        </w:rPr>
        <w:t>2</w:t>
      </w:r>
      <w:r w:rsidRPr="00DB6A40">
        <w:rPr>
          <w:rFonts w:ascii="Times New Roman" w:eastAsia="DengXian" w:hAnsi="Times New Roman" w:cs="Times New Roman"/>
          <w:b/>
          <w:bCs/>
          <w:kern w:val="0"/>
          <w:lang w:eastAsia="zh-CN"/>
          <w14:ligatures w14:val="none"/>
        </w:rPr>
        <w:t xml:space="preserve"> Recommendations</w:t>
      </w:r>
    </w:p>
    <w:p w14:paraId="54CD1D94"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In view of the above therefore, the author recommends thus;</w:t>
      </w:r>
    </w:p>
    <w:p w14:paraId="5BF49446" w14:textId="77777777" w:rsidR="00DB6A40" w:rsidRPr="00DB6A40" w:rsidRDefault="00DB6A40" w:rsidP="00F2321A">
      <w:pPr>
        <w:numPr>
          <w:ilvl w:val="0"/>
          <w:numId w:val="31"/>
        </w:numPr>
        <w:spacing w:after="0" w:line="240" w:lineRule="auto"/>
        <w:ind w:left="199" w:hangingChars="83" w:hanging="19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Internet accessibility should be made cheaper. This recommendation comes as a result of the importance of internet in the use of alternative banking platforms. It will help increase its usage, especially in the rural areas.</w:t>
      </w:r>
    </w:p>
    <w:p w14:paraId="50E935A5" w14:textId="77777777" w:rsidR="00DB6A40" w:rsidRPr="00DB6A40" w:rsidRDefault="00DB6A40" w:rsidP="00F2321A">
      <w:pPr>
        <w:numPr>
          <w:ilvl w:val="0"/>
          <w:numId w:val="31"/>
        </w:numPr>
        <w:spacing w:after="0" w:line="240" w:lineRule="auto"/>
        <w:ind w:left="199" w:hangingChars="83" w:hanging="19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 POS has been shown to be ahead of the other banking alternative platforms and must be encouraged. This could come in lower ownership costs and reduced chargers by the Deposit Money Banks. </w:t>
      </w:r>
    </w:p>
    <w:p w14:paraId="1DBBCA38" w14:textId="77777777" w:rsidR="00DB6A40" w:rsidRPr="00DB6A40" w:rsidRDefault="00DB6A40" w:rsidP="00F2321A">
      <w:pPr>
        <w:numPr>
          <w:ilvl w:val="0"/>
          <w:numId w:val="31"/>
        </w:numPr>
        <w:spacing w:after="0" w:line="240" w:lineRule="auto"/>
        <w:ind w:left="199" w:hangingChars="83" w:hanging="19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However, more security such as two-way authentication if a certain amount is </w:t>
      </w:r>
      <w:r w:rsidRPr="00DB6A40">
        <w:rPr>
          <w:rFonts w:ascii="Times New Roman" w:eastAsia="DengXian" w:hAnsi="Times New Roman" w:cs="Times New Roman"/>
          <w:kern w:val="0"/>
          <w:lang w:val="en-GB" w:eastAsia="zh-CN"/>
          <w14:ligatures w14:val="none"/>
        </w:rPr>
        <w:t xml:space="preserve">  </w:t>
      </w:r>
      <w:r w:rsidRPr="00DB6A40">
        <w:rPr>
          <w:rFonts w:ascii="Times New Roman" w:eastAsia="DengXian" w:hAnsi="Times New Roman" w:cs="Times New Roman"/>
          <w:kern w:val="0"/>
          <w:lang w:eastAsia="zh-CN"/>
          <w14:ligatures w14:val="none"/>
        </w:rPr>
        <w:t>exceeded. This will reduce the incidences of theft using stolen Automated Teller Machine cards.</w:t>
      </w:r>
    </w:p>
    <w:p w14:paraId="48498090" w14:textId="77777777" w:rsidR="00DB6A40" w:rsidRPr="00DB6A40" w:rsidRDefault="00DB6A40" w:rsidP="00F2321A">
      <w:pPr>
        <w:numPr>
          <w:ilvl w:val="0"/>
          <w:numId w:val="31"/>
        </w:numPr>
        <w:spacing w:after="0" w:line="240" w:lineRule="auto"/>
        <w:ind w:left="199" w:hangingChars="83" w:hanging="19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Rural bank branches should be encouraged to hold periodic awareness for their customers as this will improve their knowledge of using alternative banking platforms.</w:t>
      </w:r>
    </w:p>
    <w:p w14:paraId="46D5F352" w14:textId="77777777" w:rsidR="00DB6A40" w:rsidRPr="00DB6A40" w:rsidRDefault="00DB6A40" w:rsidP="00F2321A">
      <w:pPr>
        <w:spacing w:after="0" w:line="240" w:lineRule="auto"/>
        <w:jc w:val="both"/>
        <w:rPr>
          <w:rFonts w:ascii="Times New Roman" w:eastAsia="DengXian" w:hAnsi="Times New Roman" w:cs="Times New Roman"/>
          <w:kern w:val="0"/>
          <w:lang w:eastAsia="zh-CN"/>
          <w14:ligatures w14:val="none"/>
        </w:rPr>
      </w:pPr>
    </w:p>
    <w:p w14:paraId="18E476EB" w14:textId="77777777" w:rsidR="00DB6A40" w:rsidRPr="00DB6A40" w:rsidRDefault="00DB6A40" w:rsidP="00F2321A">
      <w:pPr>
        <w:spacing w:after="0" w:line="240" w:lineRule="auto"/>
        <w:jc w:val="both"/>
        <w:rPr>
          <w:rFonts w:ascii="Times New Roman" w:eastAsia="DengXian" w:hAnsi="Times New Roman" w:cs="Times New Roman"/>
          <w:b/>
          <w:bCs/>
          <w:kern w:val="0"/>
          <w:lang w:val="en-GB" w:eastAsia="zh-CN"/>
          <w14:ligatures w14:val="none"/>
        </w:rPr>
      </w:pPr>
    </w:p>
    <w:p w14:paraId="0FB2DEF4" w14:textId="77777777" w:rsidR="00DB6A40" w:rsidRPr="00DB6A40" w:rsidRDefault="00DB6A40" w:rsidP="00F2321A">
      <w:pPr>
        <w:spacing w:after="0" w:line="240" w:lineRule="auto"/>
        <w:jc w:val="both"/>
        <w:rPr>
          <w:rFonts w:ascii="Times New Roman" w:eastAsia="DengXian" w:hAnsi="Times New Roman" w:cs="Times New Roman"/>
          <w:b/>
          <w:bCs/>
          <w:kern w:val="0"/>
          <w:lang w:val="en-GB" w:eastAsia="zh-CN"/>
          <w14:ligatures w14:val="none"/>
        </w:rPr>
      </w:pPr>
      <w:r w:rsidRPr="00DB6A40">
        <w:rPr>
          <w:rFonts w:ascii="Times New Roman" w:eastAsia="DengXian" w:hAnsi="Times New Roman" w:cs="Times New Roman"/>
          <w:b/>
          <w:bCs/>
          <w:kern w:val="0"/>
          <w:lang w:val="en-GB" w:eastAsia="zh-CN"/>
          <w14:ligatures w14:val="none"/>
        </w:rPr>
        <w:t>References</w:t>
      </w:r>
    </w:p>
    <w:p w14:paraId="5C1FF85A"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Adiga, D. L., </w:t>
      </w:r>
      <w:proofErr w:type="spellStart"/>
      <w:r w:rsidRPr="00DB6A40">
        <w:rPr>
          <w:rFonts w:ascii="Times New Roman" w:eastAsia="DengXian" w:hAnsi="Times New Roman" w:cs="Times New Roman"/>
          <w:kern w:val="0"/>
          <w:lang w:eastAsia="zh-CN"/>
          <w14:ligatures w14:val="none"/>
        </w:rPr>
        <w:t>Adigwe</w:t>
      </w:r>
      <w:proofErr w:type="spellEnd"/>
      <w:r w:rsidRPr="00DB6A40">
        <w:rPr>
          <w:rFonts w:ascii="Times New Roman" w:eastAsia="DengXian" w:hAnsi="Times New Roman" w:cs="Times New Roman"/>
          <w:kern w:val="0"/>
          <w:lang w:eastAsia="zh-CN"/>
          <w14:ligatures w14:val="none"/>
        </w:rPr>
        <w:t>, P. K., Okonkwo, V. I., &amp; Ogbonna, K. S. (2022). Financial technology and the banking sector performance in Nigeria (20052020). Discovery I analysis article, (4), 349-360.</w:t>
      </w:r>
    </w:p>
    <w:p w14:paraId="518779FF"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55601BA7"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Aduaka</w:t>
      </w:r>
      <w:proofErr w:type="spellEnd"/>
      <w:r w:rsidRPr="00DB6A40">
        <w:rPr>
          <w:rFonts w:ascii="Times New Roman" w:eastAsia="DengXian" w:hAnsi="Times New Roman" w:cs="Times New Roman"/>
          <w:kern w:val="0"/>
          <w:lang w:eastAsia="zh-CN"/>
          <w14:ligatures w14:val="none"/>
        </w:rPr>
        <w:t xml:space="preserve">, U. and </w:t>
      </w:r>
      <w:proofErr w:type="spellStart"/>
      <w:r w:rsidRPr="00DB6A40">
        <w:rPr>
          <w:rFonts w:ascii="Times New Roman" w:eastAsia="DengXian" w:hAnsi="Times New Roman" w:cs="Times New Roman"/>
          <w:kern w:val="0"/>
          <w:lang w:eastAsia="zh-CN"/>
          <w14:ligatures w14:val="none"/>
        </w:rPr>
        <w:t>Awolusi</w:t>
      </w:r>
      <w:proofErr w:type="spellEnd"/>
      <w:r w:rsidRPr="00DB6A40">
        <w:rPr>
          <w:rFonts w:ascii="Times New Roman" w:eastAsia="DengXian" w:hAnsi="Times New Roman" w:cs="Times New Roman"/>
          <w:kern w:val="0"/>
          <w:lang w:eastAsia="zh-CN"/>
          <w14:ligatures w14:val="none"/>
        </w:rPr>
        <w:t>, O. D. (2020). Electronic Banking and Profitability in the Nigerian Banking Industry. Information Management and Business Review, 12(1)</w:t>
      </w:r>
    </w:p>
    <w:p w14:paraId="6311C4B6"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3BB45B4D"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Agboola, M. G., Awobajo, K. A., Oluwatobi, S. O., Akinbode, M. O., Fagbohun, M. O., Esse, U. C., ... &amp; </w:t>
      </w:r>
      <w:proofErr w:type="spellStart"/>
      <w:r w:rsidRPr="00DB6A40">
        <w:rPr>
          <w:rFonts w:ascii="Times New Roman" w:eastAsia="DengXian" w:hAnsi="Times New Roman" w:cs="Times New Roman"/>
          <w:kern w:val="0"/>
          <w:lang w:eastAsia="zh-CN"/>
          <w14:ligatures w14:val="none"/>
        </w:rPr>
        <w:t>Betek</w:t>
      </w:r>
      <w:proofErr w:type="spellEnd"/>
      <w:r w:rsidRPr="00DB6A40">
        <w:rPr>
          <w:rFonts w:ascii="Times New Roman" w:eastAsia="DengXian" w:hAnsi="Times New Roman" w:cs="Times New Roman"/>
          <w:kern w:val="0"/>
          <w:lang w:eastAsia="zh-CN"/>
          <w14:ligatures w14:val="none"/>
        </w:rPr>
        <w:t xml:space="preserve">, C. M. (2019). Effect of digitalization on the performance of commercial banks in Nigeria. IOP </w:t>
      </w:r>
      <w:r w:rsidRPr="00DB6A40">
        <w:rPr>
          <w:rFonts w:ascii="Times New Roman" w:eastAsia="DengXian" w:hAnsi="Times New Roman" w:cs="Times New Roman"/>
          <w:kern w:val="0"/>
          <w:lang w:eastAsia="zh-CN"/>
          <w14:ligatures w14:val="none"/>
        </w:rPr>
        <w:lastRenderedPageBreak/>
        <w:t xml:space="preserve">Conference Series: Earth and Environmental Science, 331(1), Article 012014. </w:t>
      </w:r>
      <w:hyperlink r:id="rId45" w:history="1">
        <w:r w:rsidRPr="00DB6A40">
          <w:rPr>
            <w:rFonts w:ascii="Times New Roman" w:eastAsia="DengXian" w:hAnsi="Times New Roman" w:cs="Times New Roman"/>
            <w:color w:val="0563C1"/>
            <w:kern w:val="0"/>
            <w:u w:val="single"/>
            <w:lang w:eastAsia="zh-CN"/>
            <w14:ligatures w14:val="none"/>
          </w:rPr>
          <w:t>https://doi.org/10.1088/1755-1315/331/1/012014</w:t>
        </w:r>
      </w:hyperlink>
    </w:p>
    <w:p w14:paraId="111F6301"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7C25E285"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Alexander, A. J., Shi, L., &amp; Solomon, B. (2017). How FinTech is reaching the poor in Africa and Asia. International Finance Corporation. </w:t>
      </w:r>
      <w:hyperlink r:id="rId46" w:history="1">
        <w:r w:rsidRPr="00DB6A40">
          <w:rPr>
            <w:rFonts w:ascii="Times New Roman" w:eastAsia="DengXian" w:hAnsi="Times New Roman" w:cs="Times New Roman"/>
            <w:color w:val="0563C1"/>
            <w:kern w:val="0"/>
            <w:u w:val="single"/>
            <w:lang w:eastAsia="zh-CN"/>
            <w14:ligatures w14:val="none"/>
          </w:rPr>
          <w:t>https://openknowledge.worldbank.org/server/api/core/bitstreams/0baad5fb-56f0-564ebb69-69dd5c240934/content</w:t>
        </w:r>
      </w:hyperlink>
    </w:p>
    <w:p w14:paraId="546FFB41"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6706DF07"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Babarinde, G. F., Gidigbi, M. O., Ndaghu, J. T., &amp; Abdulmajeed, I. T. (2020). Digital finance and the future of Nigerian banking system: a review. Nile Journal of Business and Economics, 6(16), 24–35.</w:t>
      </w:r>
    </w:p>
    <w:p w14:paraId="0DA6F766"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596DAE17"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Bessler, W., Kruizenga, D., &amp; Westerman, W. (2020). Stock market reactions to financing and payment decisions for European mergers and acquisitions. Central European Review of Economics and Management, 4(2), 41-89.</w:t>
      </w:r>
    </w:p>
    <w:p w14:paraId="5FBC7E5F"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5D48F06E"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Central Bank of Nigeria (2022). Quarterly Statistical Bulletin. Central Bank of Nigeria. Retrieved December 1, 2022 from </w:t>
      </w:r>
      <w:hyperlink r:id="rId47" w:history="1">
        <w:r w:rsidRPr="00DB6A40">
          <w:rPr>
            <w:rFonts w:ascii="Times New Roman" w:eastAsia="DengXian" w:hAnsi="Times New Roman" w:cs="Times New Roman"/>
            <w:color w:val="0563C1"/>
            <w:kern w:val="0"/>
            <w:u w:val="single"/>
            <w:lang w:eastAsia="zh-CN"/>
            <w14:ligatures w14:val="none"/>
          </w:rPr>
          <w:t>https://www.cbn.gov.ng/documents/QuarterlyStatbulletin.asp</w:t>
        </w:r>
      </w:hyperlink>
    </w:p>
    <w:p w14:paraId="523C97B5"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7994DC3C"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Chimaobi, C. M. (2018). Impact of internet banking on profitability of commercial banks in Nigeria: A study of Zenith Bank Plc (2005-2017). Godfrey Okoye University. </w:t>
      </w:r>
      <w:hyperlink r:id="rId48" w:history="1">
        <w:r w:rsidRPr="00DB6A40">
          <w:rPr>
            <w:rFonts w:ascii="Times New Roman" w:eastAsia="DengXian" w:hAnsi="Times New Roman" w:cs="Times New Roman"/>
            <w:color w:val="0563C1"/>
            <w:kern w:val="0"/>
            <w:u w:val="single"/>
            <w:lang w:eastAsia="zh-CN"/>
            <w14:ligatures w14:val="none"/>
          </w:rPr>
          <w:t>http://eprints.gouni.edu.ng/id/eprint/565</w:t>
        </w:r>
      </w:hyperlink>
    </w:p>
    <w:p w14:paraId="5ED1CFB3"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3219E111"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Dorfleitner</w:t>
      </w:r>
      <w:proofErr w:type="spellEnd"/>
      <w:r w:rsidRPr="00DB6A40">
        <w:rPr>
          <w:rFonts w:ascii="Times New Roman" w:eastAsia="DengXian" w:hAnsi="Times New Roman" w:cs="Times New Roman"/>
          <w:kern w:val="0"/>
          <w:lang w:eastAsia="zh-CN"/>
          <w14:ligatures w14:val="none"/>
        </w:rPr>
        <w:t xml:space="preserve">, G., Hornuf, L., Schmitt, M., and Weber, M. (2017). Definition of FinTech and Description of the FinTech Industry. FinTech in Germany, 5-10  </w:t>
      </w:r>
    </w:p>
    <w:p w14:paraId="25DC1741"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0774D66F"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Ibekwe, A. O. (2021). Financial innovation and performance of deposit money banks in Nigeria. International Journal of Business and Law Research.9 (1) 162-173.</w:t>
      </w:r>
    </w:p>
    <w:p w14:paraId="28530E2F"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1553DAD9"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Kemboi, B. J. (2018). Effects of Financial technology on the Financial Performance of Commercial Banks in Kenya. Unpublished MBA Thesis University of Nairobi, Kenya.</w:t>
      </w:r>
    </w:p>
    <w:p w14:paraId="4CFF6C08"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7DE04765"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Kerényi, Á., &amp; Molnár, J. (2017). The impact of the fintech phenomenon–radical change occurs in the financial sector. Financial and Economic Review, 16(3), 32–50.</w:t>
      </w:r>
    </w:p>
    <w:p w14:paraId="201FDB64"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Kolesova, I. V., &amp; </w:t>
      </w:r>
      <w:proofErr w:type="spellStart"/>
      <w:r w:rsidRPr="00DB6A40">
        <w:rPr>
          <w:rFonts w:ascii="Times New Roman" w:eastAsia="DengXian" w:hAnsi="Times New Roman" w:cs="Times New Roman"/>
          <w:kern w:val="0"/>
          <w:lang w:eastAsia="zh-CN"/>
          <w14:ligatures w14:val="none"/>
        </w:rPr>
        <w:t>Girzheva</w:t>
      </w:r>
      <w:proofErr w:type="spellEnd"/>
      <w:r w:rsidRPr="00DB6A40">
        <w:rPr>
          <w:rFonts w:ascii="Times New Roman" w:eastAsia="DengXian" w:hAnsi="Times New Roman" w:cs="Times New Roman"/>
          <w:kern w:val="0"/>
          <w:lang w:eastAsia="zh-CN"/>
          <w14:ligatures w14:val="none"/>
        </w:rPr>
        <w:t xml:space="preserve">, Y. S. (2018). Impact of financial technologies on the banking sector. KnE Social Sciences, 3(2), 215–220. </w:t>
      </w:r>
      <w:hyperlink r:id="rId49" w:history="1">
        <w:r w:rsidRPr="00DB6A40">
          <w:rPr>
            <w:rFonts w:ascii="Times New Roman" w:eastAsia="DengXian" w:hAnsi="Times New Roman" w:cs="Times New Roman"/>
            <w:color w:val="0563C1"/>
            <w:kern w:val="0"/>
            <w:u w:val="single"/>
            <w:lang w:eastAsia="zh-CN"/>
            <w14:ligatures w14:val="none"/>
          </w:rPr>
          <w:t>https://doi.org/10.18502/kss.v3i2.1545</w:t>
        </w:r>
      </w:hyperlink>
    </w:p>
    <w:p w14:paraId="01303BD0"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32733BAF"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Kshitika</w:t>
      </w:r>
      <w:proofErr w:type="spellEnd"/>
      <w:r w:rsidRPr="00DB6A40">
        <w:rPr>
          <w:rFonts w:ascii="Times New Roman" w:eastAsia="DengXian" w:hAnsi="Times New Roman" w:cs="Times New Roman"/>
          <w:kern w:val="0"/>
          <w:lang w:eastAsia="zh-CN"/>
          <w14:ligatures w14:val="none"/>
        </w:rPr>
        <w:t>, R. D., Meena, V., Vinutha, V. and Kavitha, J. (2019). Fintech Innovations and Its Impact on the Profitability of Selected Banks. International Journal of Business and Management Invention, 8(1), 41-45.</w:t>
      </w:r>
    </w:p>
    <w:p w14:paraId="09C566FF"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750CE903"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Lee, I., &amp; Shin, Y. J. (2018). Fintech: Ecosystem, business models, investment decisions, and challenges. Business horizons, 61(1), 35–46.</w:t>
      </w:r>
    </w:p>
    <w:p w14:paraId="0B540C45"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32676BCA"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Leong, C., Tan, B., Xiao, X., Tan, F. T. C., &amp; Sun, Y. (2017). Nurturing a FinTech ecosystem: The case of a youth microloan startup in China. International Journal of Information Management, 37(2), 92–97.</w:t>
      </w:r>
    </w:p>
    <w:p w14:paraId="449EEB1D"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1FAEA35C"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Lin, Q. (2018). Expected profitability and the cross-section of stock returns. Economics letters, 183.</w:t>
      </w:r>
    </w:p>
    <w:p w14:paraId="09BDC283"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4FDBD702"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Madugba, J., </w:t>
      </w:r>
      <w:proofErr w:type="spellStart"/>
      <w:r w:rsidRPr="00DB6A40">
        <w:rPr>
          <w:rFonts w:ascii="Times New Roman" w:eastAsia="DengXian" w:hAnsi="Times New Roman" w:cs="Times New Roman"/>
          <w:kern w:val="0"/>
          <w:lang w:eastAsia="zh-CN"/>
          <w14:ligatures w14:val="none"/>
        </w:rPr>
        <w:t>Egbide</w:t>
      </w:r>
      <w:proofErr w:type="spellEnd"/>
      <w:r w:rsidRPr="00DB6A40">
        <w:rPr>
          <w:rFonts w:ascii="Times New Roman" w:eastAsia="DengXian" w:hAnsi="Times New Roman" w:cs="Times New Roman"/>
          <w:kern w:val="0"/>
          <w:lang w:eastAsia="zh-CN"/>
          <w14:ligatures w14:val="none"/>
        </w:rPr>
        <w:t xml:space="preserve">, B. C., Jossy, D. W., </w:t>
      </w:r>
      <w:proofErr w:type="spellStart"/>
      <w:r w:rsidRPr="00DB6A40">
        <w:rPr>
          <w:rFonts w:ascii="Times New Roman" w:eastAsia="DengXian" w:hAnsi="Times New Roman" w:cs="Times New Roman"/>
          <w:kern w:val="0"/>
          <w:lang w:eastAsia="zh-CN"/>
          <w14:ligatures w14:val="none"/>
        </w:rPr>
        <w:t>Agburuga</w:t>
      </w:r>
      <w:proofErr w:type="spellEnd"/>
      <w:r w:rsidRPr="00DB6A40">
        <w:rPr>
          <w:rFonts w:ascii="Times New Roman" w:eastAsia="DengXian" w:hAnsi="Times New Roman" w:cs="Times New Roman"/>
          <w:kern w:val="0"/>
          <w:lang w:eastAsia="zh-CN"/>
          <w14:ligatures w14:val="none"/>
        </w:rPr>
        <w:t>, U. T., &amp; Chibunna, O. O. (2021). Effect of electronic banking on financial performance of deposit money banks in Nigeria. Banks and Bank Systems, 16(3), 71–83.</w:t>
      </w:r>
    </w:p>
    <w:p w14:paraId="3FD44324"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4D2086A2"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Mohammed, Z., Ibrahim, U. A., &amp; Muritala, T. A. (2022). Effect of payments system innovations on the financial performance of commercial banks in Nigeria. Journal of Service Science and Management, 15(1), 35–53.</w:t>
      </w:r>
    </w:p>
    <w:p w14:paraId="73D9C46C"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04515FB2"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Mustapha, S. A. (2018). E-Payment technology effect on bank performance in emerging economies– evidence from Nigeria. Journal of Open Innovation: Technology, Market, and Complexity, 4(4), Article 43. https://doi.org/10.3390/joitmc4040043</w:t>
      </w:r>
    </w:p>
    <w:p w14:paraId="40D0D7E7"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26F78127"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Nwaeze, N. C. (2021). Impact of financial technologies adoption on the performance of domestic systemically important banks in Nigeria. Economics and Finance, 9(3), 52–67.</w:t>
      </w:r>
    </w:p>
    <w:p w14:paraId="00226C8B"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43AACCE3"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Ogbuji, I. A., </w:t>
      </w:r>
      <w:proofErr w:type="spellStart"/>
      <w:r w:rsidRPr="00DB6A40">
        <w:rPr>
          <w:rFonts w:ascii="Times New Roman" w:eastAsia="DengXian" w:hAnsi="Times New Roman" w:cs="Times New Roman"/>
          <w:kern w:val="0"/>
          <w:lang w:eastAsia="zh-CN"/>
          <w14:ligatures w14:val="none"/>
        </w:rPr>
        <w:t>Ologundudu</w:t>
      </w:r>
      <w:proofErr w:type="spellEnd"/>
      <w:r w:rsidRPr="00DB6A40">
        <w:rPr>
          <w:rFonts w:ascii="Times New Roman" w:eastAsia="DengXian" w:hAnsi="Times New Roman" w:cs="Times New Roman"/>
          <w:kern w:val="0"/>
          <w:lang w:eastAsia="zh-CN"/>
          <w14:ligatures w14:val="none"/>
        </w:rPr>
        <w:t xml:space="preserve">, M. M., &amp; </w:t>
      </w:r>
      <w:proofErr w:type="spellStart"/>
      <w:r w:rsidRPr="00DB6A40">
        <w:rPr>
          <w:rFonts w:ascii="Times New Roman" w:eastAsia="DengXian" w:hAnsi="Times New Roman" w:cs="Times New Roman"/>
          <w:kern w:val="0"/>
          <w:lang w:eastAsia="zh-CN"/>
          <w14:ligatures w14:val="none"/>
        </w:rPr>
        <w:t>Oluyomi</w:t>
      </w:r>
      <w:proofErr w:type="spellEnd"/>
      <w:r w:rsidRPr="00DB6A40">
        <w:rPr>
          <w:rFonts w:ascii="Times New Roman" w:eastAsia="DengXian" w:hAnsi="Times New Roman" w:cs="Times New Roman"/>
          <w:kern w:val="0"/>
          <w:lang w:eastAsia="zh-CN"/>
          <w14:ligatures w14:val="none"/>
        </w:rPr>
        <w:t>, O. O. (2020). Comparative analysis of financial technology and traditional bank performance in Nigeria: The CAMELS approach. UNILAG Journal of Business, 6(1), 145–168.</w:t>
      </w:r>
    </w:p>
    <w:p w14:paraId="0A8309BF"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601987C0"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Ojo, O. V., &amp; </w:t>
      </w:r>
      <w:proofErr w:type="spellStart"/>
      <w:r w:rsidRPr="00DB6A40">
        <w:rPr>
          <w:rFonts w:ascii="Times New Roman" w:eastAsia="DengXian" w:hAnsi="Times New Roman" w:cs="Times New Roman"/>
          <w:kern w:val="0"/>
          <w:lang w:eastAsia="zh-CN"/>
          <w14:ligatures w14:val="none"/>
        </w:rPr>
        <w:t>Nwaokike</w:t>
      </w:r>
      <w:proofErr w:type="spellEnd"/>
      <w:r w:rsidRPr="00DB6A40">
        <w:rPr>
          <w:rFonts w:ascii="Times New Roman" w:eastAsia="DengXian" w:hAnsi="Times New Roman" w:cs="Times New Roman"/>
          <w:kern w:val="0"/>
          <w:lang w:eastAsia="zh-CN"/>
          <w14:ligatures w14:val="none"/>
        </w:rPr>
        <w:t xml:space="preserve">, U. (2018). Disruptive technology and the FinTech industry in Nigeria: Imperatives for legal and policy responses. Gravitas Review of Business and Property Law, 9(3). </w:t>
      </w:r>
      <w:hyperlink r:id="rId50" w:history="1">
        <w:r w:rsidRPr="00DB6A40">
          <w:rPr>
            <w:rFonts w:ascii="Times New Roman" w:eastAsia="DengXian" w:hAnsi="Times New Roman" w:cs="Times New Roman"/>
            <w:color w:val="0563C1"/>
            <w:kern w:val="0"/>
            <w:u w:val="single"/>
            <w:lang w:eastAsia="zh-CN"/>
            <w14:ligatures w14:val="none"/>
          </w:rPr>
          <w:t>https://dx.doi.org/10.2139/ssrn.3306164</w:t>
        </w:r>
      </w:hyperlink>
    </w:p>
    <w:p w14:paraId="4E79C6C3"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30CB03E7"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Orji, A., </w:t>
      </w:r>
      <w:proofErr w:type="spellStart"/>
      <w:r w:rsidRPr="00DB6A40">
        <w:rPr>
          <w:rFonts w:ascii="Times New Roman" w:eastAsia="DengXian" w:hAnsi="Times New Roman" w:cs="Times New Roman"/>
          <w:kern w:val="0"/>
          <w:lang w:eastAsia="zh-CN"/>
          <w14:ligatures w14:val="none"/>
        </w:rPr>
        <w:t>Ogbuabor</w:t>
      </w:r>
      <w:proofErr w:type="spellEnd"/>
      <w:r w:rsidRPr="00DB6A40">
        <w:rPr>
          <w:rFonts w:ascii="Times New Roman" w:eastAsia="DengXian" w:hAnsi="Times New Roman" w:cs="Times New Roman"/>
          <w:kern w:val="0"/>
          <w:lang w:eastAsia="zh-CN"/>
          <w14:ligatures w14:val="none"/>
        </w:rPr>
        <w:t>, J. E., Okon, A. N., &amp; Anthony-Orji, O. I. (2018). Electronic banking innovations and selected banks performance in Nigeria. The Economics and Finance Letters, 5(2), 46–57.</w:t>
      </w:r>
    </w:p>
    <w:p w14:paraId="77617F52"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725E54C9"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Pejkovska</w:t>
      </w:r>
      <w:proofErr w:type="spellEnd"/>
      <w:r w:rsidRPr="00DB6A40">
        <w:rPr>
          <w:rFonts w:ascii="Times New Roman" w:eastAsia="DengXian" w:hAnsi="Times New Roman" w:cs="Times New Roman"/>
          <w:kern w:val="0"/>
          <w:lang w:eastAsia="zh-CN"/>
          <w14:ligatures w14:val="none"/>
        </w:rPr>
        <w:t xml:space="preserve">, M. (2018). Potential negative effects of Fintech on the financial services sector. Examples from the European Union, India and the United States of America. (Bachelor's thesis). Helsinki </w:t>
      </w:r>
      <w:proofErr w:type="spellStart"/>
      <w:r w:rsidRPr="00DB6A40">
        <w:rPr>
          <w:rFonts w:ascii="Times New Roman" w:eastAsia="DengXian" w:hAnsi="Times New Roman" w:cs="Times New Roman"/>
          <w:kern w:val="0"/>
          <w:lang w:eastAsia="zh-CN"/>
          <w14:ligatures w14:val="none"/>
        </w:rPr>
        <w:t>Metropolia</w:t>
      </w:r>
      <w:proofErr w:type="spellEnd"/>
      <w:r w:rsidRPr="00DB6A40">
        <w:rPr>
          <w:rFonts w:ascii="Times New Roman" w:eastAsia="DengXian" w:hAnsi="Times New Roman" w:cs="Times New Roman"/>
          <w:kern w:val="0"/>
          <w:lang w:eastAsia="zh-CN"/>
          <w14:ligatures w14:val="none"/>
        </w:rPr>
        <w:t xml:space="preserve"> University of Applied Sciences, Helsinki, Finland.</w:t>
      </w:r>
    </w:p>
    <w:p w14:paraId="27E7A7B8"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7D1A0BB1"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r w:rsidRPr="00DB6A40">
        <w:rPr>
          <w:rFonts w:ascii="Times New Roman" w:eastAsia="DengXian" w:hAnsi="Times New Roman" w:cs="Times New Roman"/>
          <w:kern w:val="0"/>
          <w:lang w:eastAsia="zh-CN"/>
          <w14:ligatures w14:val="none"/>
        </w:rPr>
        <w:t xml:space="preserve">Purnomo, H. and </w:t>
      </w:r>
      <w:proofErr w:type="spellStart"/>
      <w:r w:rsidRPr="00DB6A40">
        <w:rPr>
          <w:rFonts w:ascii="Times New Roman" w:eastAsia="DengXian" w:hAnsi="Times New Roman" w:cs="Times New Roman"/>
          <w:kern w:val="0"/>
          <w:lang w:eastAsia="zh-CN"/>
          <w14:ligatures w14:val="none"/>
        </w:rPr>
        <w:t>Khalda</w:t>
      </w:r>
      <w:proofErr w:type="spellEnd"/>
      <w:r w:rsidRPr="00DB6A40">
        <w:rPr>
          <w:rFonts w:ascii="Times New Roman" w:eastAsia="DengXian" w:hAnsi="Times New Roman" w:cs="Times New Roman"/>
          <w:kern w:val="0"/>
          <w:lang w:eastAsia="zh-CN"/>
          <w14:ligatures w14:val="none"/>
        </w:rPr>
        <w:t>, S. (2019). Influence of Financial Technology on National Financial Institutions. IOP Science Publishing ltd</w:t>
      </w:r>
    </w:p>
    <w:p w14:paraId="6B3F7AF0"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
    <w:p w14:paraId="7D5C29EB" w14:textId="77777777" w:rsidR="00DB6A40" w:rsidRPr="00DB6A40" w:rsidRDefault="00DB6A40" w:rsidP="00F2321A">
      <w:pPr>
        <w:spacing w:after="0" w:line="240" w:lineRule="auto"/>
        <w:ind w:left="709" w:hanging="709"/>
        <w:jc w:val="both"/>
        <w:rPr>
          <w:rFonts w:ascii="Times New Roman" w:eastAsia="DengXian" w:hAnsi="Times New Roman" w:cs="Times New Roman"/>
          <w:kern w:val="0"/>
          <w:lang w:eastAsia="zh-CN"/>
          <w14:ligatures w14:val="none"/>
        </w:rPr>
      </w:pPr>
      <w:proofErr w:type="spellStart"/>
      <w:r w:rsidRPr="00DB6A40">
        <w:rPr>
          <w:rFonts w:ascii="Times New Roman" w:eastAsia="DengXian" w:hAnsi="Times New Roman" w:cs="Times New Roman"/>
          <w:kern w:val="0"/>
          <w:lang w:eastAsia="zh-CN"/>
          <w14:ligatures w14:val="none"/>
        </w:rPr>
        <w:t>Saksonova</w:t>
      </w:r>
      <w:proofErr w:type="spellEnd"/>
      <w:r w:rsidRPr="00DB6A40">
        <w:rPr>
          <w:rFonts w:ascii="Times New Roman" w:eastAsia="DengXian" w:hAnsi="Times New Roman" w:cs="Times New Roman"/>
          <w:kern w:val="0"/>
          <w:lang w:eastAsia="zh-CN"/>
          <w14:ligatures w14:val="none"/>
        </w:rPr>
        <w:t>, S., &amp; Kuzmina-Merlino, I. (2017). Fintech as financial innovation – The possibilities and problems of implementation. European Research Studies Journal, 20(3A), 961–973. https://doi.org/10.35808/ersj/757</w:t>
      </w:r>
    </w:p>
    <w:p w14:paraId="53C10964" w14:textId="77777777" w:rsidR="00DB6A40" w:rsidRPr="00DB6A40" w:rsidRDefault="00DB6A40" w:rsidP="00DB6A40">
      <w:pPr>
        <w:spacing w:after="0" w:line="240" w:lineRule="auto"/>
        <w:ind w:left="709" w:hanging="709"/>
        <w:jc w:val="both"/>
        <w:rPr>
          <w:rFonts w:ascii="Times New Roman" w:eastAsia="DengXian" w:hAnsi="Times New Roman" w:cs="Times New Roman"/>
          <w:kern w:val="0"/>
          <w:sz w:val="28"/>
          <w:szCs w:val="28"/>
          <w:lang w:eastAsia="zh-CN"/>
          <w14:ligatures w14:val="none"/>
        </w:rPr>
      </w:pPr>
    </w:p>
    <w:p w14:paraId="2F922642" w14:textId="77777777" w:rsidR="00DB6A40" w:rsidRPr="00DB6A40" w:rsidRDefault="00DB6A40" w:rsidP="00DB6A40">
      <w:pPr>
        <w:spacing w:after="0" w:line="360" w:lineRule="auto"/>
        <w:jc w:val="both"/>
        <w:rPr>
          <w:rFonts w:ascii="Times New Roman" w:eastAsia="DengXian" w:hAnsi="Times New Roman" w:cs="Times New Roman"/>
          <w:kern w:val="0"/>
          <w:lang w:val="en-GB" w:eastAsia="zh-CN"/>
          <w14:ligatures w14:val="none"/>
        </w:rPr>
      </w:pPr>
    </w:p>
    <w:p w14:paraId="21ACE318" w14:textId="77777777" w:rsidR="00DB6A40" w:rsidRDefault="00DB6A40" w:rsidP="00A60822">
      <w:pPr>
        <w:spacing w:after="0" w:line="240" w:lineRule="auto"/>
        <w:jc w:val="center"/>
        <w:rPr>
          <w:rFonts w:ascii="Times New Roman" w:hAnsi="Times New Roman"/>
          <w:b/>
          <w:kern w:val="0"/>
          <w14:ligatures w14:val="none"/>
        </w:rPr>
      </w:pPr>
    </w:p>
    <w:p w14:paraId="4C77C884" w14:textId="77777777" w:rsidR="00DB6A40" w:rsidRDefault="00DB6A40" w:rsidP="00A60822">
      <w:pPr>
        <w:spacing w:after="0" w:line="240" w:lineRule="auto"/>
        <w:jc w:val="center"/>
        <w:rPr>
          <w:rFonts w:ascii="Times New Roman" w:hAnsi="Times New Roman"/>
          <w:b/>
          <w:kern w:val="0"/>
          <w14:ligatures w14:val="none"/>
        </w:rPr>
      </w:pPr>
    </w:p>
    <w:p w14:paraId="00D61469" w14:textId="77777777" w:rsidR="00DB6A40" w:rsidRDefault="00DB6A40" w:rsidP="00A60822">
      <w:pPr>
        <w:spacing w:after="0" w:line="240" w:lineRule="auto"/>
        <w:jc w:val="center"/>
        <w:rPr>
          <w:rFonts w:ascii="Times New Roman" w:hAnsi="Times New Roman"/>
          <w:b/>
          <w:kern w:val="0"/>
          <w14:ligatures w14:val="none"/>
        </w:rPr>
      </w:pPr>
    </w:p>
    <w:p w14:paraId="4B9945C8" w14:textId="77777777" w:rsidR="00DB6A40" w:rsidRDefault="00DB6A40" w:rsidP="00A60822">
      <w:pPr>
        <w:spacing w:after="0" w:line="240" w:lineRule="auto"/>
        <w:jc w:val="center"/>
        <w:rPr>
          <w:rFonts w:ascii="Times New Roman" w:hAnsi="Times New Roman"/>
          <w:b/>
          <w:kern w:val="0"/>
          <w14:ligatures w14:val="none"/>
        </w:rPr>
      </w:pPr>
    </w:p>
    <w:p w14:paraId="551ACA26" w14:textId="77777777" w:rsidR="00DB6A40" w:rsidRDefault="00DB6A40" w:rsidP="00A60822">
      <w:pPr>
        <w:spacing w:after="0" w:line="240" w:lineRule="auto"/>
        <w:jc w:val="center"/>
        <w:rPr>
          <w:rFonts w:ascii="Times New Roman" w:hAnsi="Times New Roman"/>
          <w:b/>
          <w:kern w:val="0"/>
          <w14:ligatures w14:val="none"/>
        </w:rPr>
      </w:pPr>
    </w:p>
    <w:p w14:paraId="01FC159E" w14:textId="77777777" w:rsidR="00DB6A40" w:rsidRDefault="00DB6A40" w:rsidP="00A60822">
      <w:pPr>
        <w:spacing w:after="0" w:line="240" w:lineRule="auto"/>
        <w:jc w:val="center"/>
        <w:rPr>
          <w:rFonts w:ascii="Times New Roman" w:hAnsi="Times New Roman"/>
          <w:b/>
          <w:kern w:val="0"/>
          <w14:ligatures w14:val="none"/>
        </w:rPr>
      </w:pPr>
    </w:p>
    <w:p w14:paraId="3060DF17" w14:textId="77777777" w:rsidR="00DB6A40" w:rsidRDefault="00DB6A40" w:rsidP="00A60822">
      <w:pPr>
        <w:spacing w:after="0" w:line="240" w:lineRule="auto"/>
        <w:jc w:val="center"/>
        <w:rPr>
          <w:rFonts w:ascii="Times New Roman" w:hAnsi="Times New Roman"/>
          <w:b/>
          <w:kern w:val="0"/>
          <w14:ligatures w14:val="none"/>
        </w:rPr>
      </w:pPr>
    </w:p>
    <w:p w14:paraId="39598C9C" w14:textId="77777777" w:rsidR="00DB6A40" w:rsidRDefault="00DB6A40" w:rsidP="00A60822">
      <w:pPr>
        <w:spacing w:after="0" w:line="240" w:lineRule="auto"/>
        <w:jc w:val="center"/>
        <w:rPr>
          <w:rFonts w:ascii="Times New Roman" w:hAnsi="Times New Roman"/>
          <w:b/>
          <w:kern w:val="0"/>
          <w14:ligatures w14:val="none"/>
        </w:rPr>
      </w:pPr>
    </w:p>
    <w:p w14:paraId="6DC1A615" w14:textId="77777777" w:rsidR="00DB6A40" w:rsidRDefault="00DB6A40" w:rsidP="00A60822">
      <w:pPr>
        <w:spacing w:after="0" w:line="240" w:lineRule="auto"/>
        <w:jc w:val="center"/>
        <w:rPr>
          <w:rFonts w:ascii="Times New Roman" w:hAnsi="Times New Roman"/>
          <w:b/>
          <w:kern w:val="0"/>
          <w14:ligatures w14:val="none"/>
        </w:rPr>
      </w:pPr>
    </w:p>
    <w:p w14:paraId="3B789EE1" w14:textId="77777777" w:rsidR="00186526" w:rsidRDefault="00186526" w:rsidP="00A60822">
      <w:pPr>
        <w:spacing w:after="0" w:line="240" w:lineRule="auto"/>
        <w:jc w:val="center"/>
        <w:rPr>
          <w:rFonts w:ascii="Times New Roman" w:hAnsi="Times New Roman"/>
          <w:b/>
          <w:kern w:val="0"/>
          <w14:ligatures w14:val="none"/>
        </w:rPr>
      </w:pPr>
    </w:p>
    <w:p w14:paraId="0155EF4A" w14:textId="77777777" w:rsidR="00186526" w:rsidRDefault="00186526" w:rsidP="00A60822">
      <w:pPr>
        <w:spacing w:after="0" w:line="240" w:lineRule="auto"/>
        <w:jc w:val="center"/>
        <w:rPr>
          <w:rFonts w:ascii="Times New Roman" w:hAnsi="Times New Roman"/>
          <w:b/>
          <w:kern w:val="0"/>
          <w14:ligatures w14:val="none"/>
        </w:rPr>
      </w:pPr>
    </w:p>
    <w:p w14:paraId="4A89B9E1" w14:textId="77777777" w:rsidR="00186526" w:rsidRDefault="00186526" w:rsidP="00A60822">
      <w:pPr>
        <w:spacing w:after="0" w:line="240" w:lineRule="auto"/>
        <w:jc w:val="center"/>
        <w:rPr>
          <w:rFonts w:ascii="Times New Roman" w:hAnsi="Times New Roman"/>
          <w:b/>
          <w:kern w:val="0"/>
          <w14:ligatures w14:val="none"/>
        </w:rPr>
      </w:pPr>
    </w:p>
    <w:p w14:paraId="50029383" w14:textId="77777777" w:rsidR="00DB6A40" w:rsidRDefault="00DB6A40" w:rsidP="00A60822">
      <w:pPr>
        <w:spacing w:after="0" w:line="240" w:lineRule="auto"/>
        <w:jc w:val="center"/>
        <w:rPr>
          <w:rFonts w:ascii="Times New Roman" w:hAnsi="Times New Roman"/>
          <w:b/>
          <w:kern w:val="0"/>
          <w14:ligatures w14:val="none"/>
        </w:rPr>
      </w:pPr>
    </w:p>
    <w:p w14:paraId="71ED9BA2" w14:textId="77777777" w:rsidR="00F2321A" w:rsidRDefault="00F2321A" w:rsidP="00A60822">
      <w:pPr>
        <w:spacing w:after="0" w:line="240" w:lineRule="auto"/>
        <w:jc w:val="center"/>
        <w:rPr>
          <w:rFonts w:ascii="Times New Roman" w:hAnsi="Times New Roman"/>
          <w:b/>
          <w:kern w:val="0"/>
          <w14:ligatures w14:val="none"/>
        </w:rPr>
      </w:pPr>
    </w:p>
    <w:p w14:paraId="0DAB2BAC" w14:textId="08AD0D8D" w:rsidR="00A60822" w:rsidRPr="00A60822" w:rsidRDefault="00A60822" w:rsidP="00A60822">
      <w:pPr>
        <w:spacing w:after="0" w:line="240" w:lineRule="auto"/>
        <w:jc w:val="center"/>
        <w:rPr>
          <w:rFonts w:ascii="Times New Roman" w:hAnsi="Times New Roman"/>
          <w:b/>
          <w:kern w:val="0"/>
          <w14:ligatures w14:val="none"/>
        </w:rPr>
      </w:pPr>
      <w:r w:rsidRPr="00A60822">
        <w:rPr>
          <w:rFonts w:ascii="Times New Roman" w:hAnsi="Times New Roman"/>
          <w:b/>
          <w:kern w:val="0"/>
          <w14:ligatures w14:val="none"/>
        </w:rPr>
        <w:lastRenderedPageBreak/>
        <w:t xml:space="preserve">Financial Assets Performance and Herding </w:t>
      </w:r>
      <w:proofErr w:type="spellStart"/>
      <w:r w:rsidRPr="00A60822">
        <w:rPr>
          <w:rFonts w:ascii="Times New Roman" w:hAnsi="Times New Roman"/>
          <w:b/>
          <w:kern w:val="0"/>
          <w14:ligatures w14:val="none"/>
        </w:rPr>
        <w:t>Behaviour</w:t>
      </w:r>
      <w:proofErr w:type="spellEnd"/>
      <w:r w:rsidRPr="00A60822">
        <w:rPr>
          <w:rFonts w:ascii="Times New Roman" w:hAnsi="Times New Roman"/>
          <w:b/>
          <w:kern w:val="0"/>
          <w14:ligatures w14:val="none"/>
        </w:rPr>
        <w:t xml:space="preserve"> in Nigerian Financial Markets.</w:t>
      </w:r>
    </w:p>
    <w:p w14:paraId="7AB70E2B" w14:textId="77777777" w:rsidR="00A60822" w:rsidRPr="00A60822" w:rsidRDefault="00A60822" w:rsidP="00A60822">
      <w:pPr>
        <w:spacing w:after="0" w:line="240" w:lineRule="auto"/>
        <w:jc w:val="center"/>
        <w:rPr>
          <w:rFonts w:ascii="Times New Roman" w:hAnsi="Times New Roman"/>
          <w:b/>
          <w:kern w:val="0"/>
          <w14:ligatures w14:val="none"/>
        </w:rPr>
      </w:pPr>
    </w:p>
    <w:p w14:paraId="42F333EB" w14:textId="77777777" w:rsidR="00A60822" w:rsidRPr="00A60822" w:rsidRDefault="00A60822" w:rsidP="00A60822">
      <w:pPr>
        <w:shd w:val="clear" w:color="auto" w:fill="FFFFFF"/>
        <w:spacing w:after="0" w:line="240" w:lineRule="auto"/>
        <w:jc w:val="center"/>
        <w:rPr>
          <w:rFonts w:ascii="Times New Roman" w:hAnsi="Times New Roman" w:cs="Times New Roman"/>
          <w:b/>
          <w:bCs/>
          <w:kern w:val="0"/>
          <w:szCs w:val="28"/>
          <w14:ligatures w14:val="none"/>
        </w:rPr>
      </w:pPr>
    </w:p>
    <w:p w14:paraId="071B8AF4" w14:textId="063B20FF" w:rsidR="00A60822" w:rsidRPr="00A60822" w:rsidRDefault="00A60822" w:rsidP="00A60822">
      <w:pPr>
        <w:shd w:val="clear" w:color="auto" w:fill="FFFFFF"/>
        <w:spacing w:after="0" w:line="240" w:lineRule="auto"/>
        <w:jc w:val="center"/>
        <w:rPr>
          <w:rFonts w:ascii="Times New Roman" w:hAnsi="Times New Roman" w:cs="Times New Roman"/>
          <w:b/>
          <w:kern w:val="0"/>
          <w14:ligatures w14:val="none"/>
        </w:rPr>
      </w:pPr>
      <w:r w:rsidRPr="00A60822">
        <w:rPr>
          <w:rFonts w:ascii="Times New Roman" w:hAnsi="Times New Roman" w:cs="Times New Roman"/>
          <w:b/>
          <w:kern w:val="0"/>
          <w14:ligatures w14:val="none"/>
        </w:rPr>
        <w:t xml:space="preserve">Ifeanyi S. </w:t>
      </w:r>
      <w:proofErr w:type="spellStart"/>
      <w:r w:rsidRPr="00A60822">
        <w:rPr>
          <w:rFonts w:ascii="Times New Roman" w:hAnsi="Times New Roman" w:cs="Times New Roman"/>
          <w:b/>
          <w:kern w:val="0"/>
          <w14:ligatures w14:val="none"/>
        </w:rPr>
        <w:t>Mgbataogu</w:t>
      </w:r>
      <w:proofErr w:type="spellEnd"/>
      <w:r w:rsidRPr="00A60822">
        <w:rPr>
          <w:rFonts w:ascii="Times New Roman" w:hAnsi="Times New Roman" w:cs="Times New Roman"/>
          <w:b/>
          <w:kern w:val="0"/>
          <w14:ligatures w14:val="none"/>
        </w:rPr>
        <w:t xml:space="preserve"> (PhD)* </w:t>
      </w:r>
      <w:r w:rsidR="005E7DC2">
        <w:rPr>
          <w:rFonts w:ascii="Times New Roman" w:hAnsi="Times New Roman" w:cs="Times New Roman"/>
          <w:b/>
          <w:kern w:val="0"/>
          <w14:ligatures w14:val="none"/>
        </w:rPr>
        <w:t xml:space="preserve">Emeka J. Okereke </w:t>
      </w:r>
      <w:r w:rsidR="005E7DC2" w:rsidRPr="00A60822">
        <w:rPr>
          <w:rFonts w:ascii="Times New Roman" w:hAnsi="Times New Roman" w:cs="Times New Roman"/>
          <w:b/>
          <w:kern w:val="0"/>
          <w14:ligatures w14:val="none"/>
        </w:rPr>
        <w:t>(PhD)*</w:t>
      </w:r>
      <w:r w:rsidR="005E7DC2">
        <w:rPr>
          <w:rFonts w:ascii="Times New Roman" w:hAnsi="Times New Roman" w:cs="Times New Roman"/>
          <w:b/>
          <w:kern w:val="0"/>
          <w14:ligatures w14:val="none"/>
        </w:rPr>
        <w:t xml:space="preserve"> &amp; Prince C. Nwakanma</w:t>
      </w:r>
      <w:r w:rsidRPr="00A60822">
        <w:rPr>
          <w:rFonts w:ascii="Times New Roman" w:hAnsi="Times New Roman" w:cs="Times New Roman"/>
          <w:b/>
          <w:kern w:val="0"/>
          <w14:ligatures w14:val="none"/>
        </w:rPr>
        <w:t xml:space="preserve"> (PhD)*</w:t>
      </w:r>
    </w:p>
    <w:p w14:paraId="46AE582E" w14:textId="77777777" w:rsidR="00A60822" w:rsidRPr="00A60822" w:rsidRDefault="00A60822" w:rsidP="00A60822">
      <w:pPr>
        <w:shd w:val="clear" w:color="auto" w:fill="FFFFFF"/>
        <w:spacing w:after="0" w:line="240" w:lineRule="auto"/>
        <w:jc w:val="center"/>
        <w:rPr>
          <w:rFonts w:ascii="Times New Roman" w:hAnsi="Times New Roman" w:cs="Times New Roman"/>
          <w:b/>
          <w:kern w:val="0"/>
          <w14:ligatures w14:val="none"/>
        </w:rPr>
      </w:pPr>
    </w:p>
    <w:p w14:paraId="2979B6A0" w14:textId="77777777" w:rsidR="00A60822" w:rsidRDefault="00A60822" w:rsidP="002610CA">
      <w:pPr>
        <w:spacing w:after="0" w:line="240" w:lineRule="auto"/>
        <w:jc w:val="center"/>
        <w:rPr>
          <w:rFonts w:ascii="Times New Roman" w:hAnsi="Times New Roman"/>
          <w:b/>
          <w:kern w:val="0"/>
          <w14:ligatures w14:val="none"/>
        </w:rPr>
      </w:pPr>
      <w:r w:rsidRPr="00A60822">
        <w:rPr>
          <w:rFonts w:ascii="Times New Roman" w:hAnsi="Times New Roman"/>
          <w:b/>
          <w:kern w:val="0"/>
          <w14:ligatures w14:val="none"/>
        </w:rPr>
        <w:t>*Department of Finance,</w:t>
      </w:r>
    </w:p>
    <w:p w14:paraId="41B69BC5" w14:textId="5CFA2813" w:rsidR="005726E4" w:rsidRPr="00A60822" w:rsidRDefault="005726E4" w:rsidP="002610CA">
      <w:pPr>
        <w:spacing w:after="0" w:line="240" w:lineRule="auto"/>
        <w:jc w:val="center"/>
        <w:rPr>
          <w:rFonts w:ascii="Times New Roman" w:hAnsi="Times New Roman"/>
          <w:b/>
          <w:kern w:val="0"/>
          <w14:ligatures w14:val="none"/>
        </w:rPr>
      </w:pPr>
      <w:r>
        <w:rPr>
          <w:rFonts w:ascii="Times New Roman" w:hAnsi="Times New Roman"/>
          <w:b/>
          <w:kern w:val="0"/>
          <w14:ligatures w14:val="none"/>
        </w:rPr>
        <w:t>Faculty of Management Sciences</w:t>
      </w:r>
    </w:p>
    <w:p w14:paraId="3D5FF0C4" w14:textId="3CCE8FF3" w:rsidR="00A60822" w:rsidRPr="00A60822" w:rsidRDefault="00A60822" w:rsidP="002610CA">
      <w:pPr>
        <w:spacing w:after="0" w:line="240" w:lineRule="auto"/>
        <w:jc w:val="center"/>
        <w:rPr>
          <w:rFonts w:ascii="Times New Roman" w:hAnsi="Times New Roman"/>
          <w:b/>
          <w:kern w:val="0"/>
          <w14:ligatures w14:val="none"/>
        </w:rPr>
      </w:pPr>
      <w:r w:rsidRPr="00A60822">
        <w:rPr>
          <w:rFonts w:ascii="Times New Roman" w:hAnsi="Times New Roman"/>
          <w:b/>
          <w:kern w:val="0"/>
          <w14:ligatures w14:val="none"/>
        </w:rPr>
        <w:t>University of Port Harcourt,</w:t>
      </w:r>
    </w:p>
    <w:p w14:paraId="24A46479" w14:textId="5B753E75" w:rsidR="00A60822" w:rsidRPr="00A60822" w:rsidRDefault="00A60822" w:rsidP="002610CA">
      <w:pPr>
        <w:spacing w:after="0" w:line="240" w:lineRule="auto"/>
        <w:jc w:val="center"/>
        <w:rPr>
          <w:rFonts w:ascii="Times New Roman" w:hAnsi="Times New Roman"/>
          <w:b/>
          <w:kern w:val="0"/>
          <w14:ligatures w14:val="none"/>
        </w:rPr>
      </w:pPr>
      <w:r w:rsidRPr="00A60822">
        <w:rPr>
          <w:rFonts w:ascii="Times New Roman" w:hAnsi="Times New Roman"/>
          <w:b/>
          <w:kern w:val="0"/>
          <w14:ligatures w14:val="none"/>
        </w:rPr>
        <w:t>Port Harcourt.</w:t>
      </w:r>
    </w:p>
    <w:p w14:paraId="51AF448E" w14:textId="4139D392" w:rsidR="00A60822" w:rsidRDefault="005726E4" w:rsidP="00A60822">
      <w:pPr>
        <w:spacing w:after="0" w:line="240" w:lineRule="auto"/>
        <w:jc w:val="center"/>
        <w:rPr>
          <w:rFonts w:ascii="Times New Roman" w:hAnsi="Times New Roman"/>
          <w:b/>
          <w:kern w:val="0"/>
          <w14:ligatures w14:val="none"/>
        </w:rPr>
      </w:pPr>
      <w:r>
        <w:rPr>
          <w:rFonts w:ascii="Times New Roman" w:hAnsi="Times New Roman"/>
          <w:b/>
          <w:kern w:val="0"/>
          <w14:ligatures w14:val="none"/>
        </w:rPr>
        <w:t xml:space="preserve">For all correspondences, Email: </w:t>
      </w:r>
      <w:hyperlink r:id="rId51" w:history="1">
        <w:r w:rsidRPr="006177A3">
          <w:rPr>
            <w:rStyle w:val="Hyperlink"/>
            <w:rFonts w:ascii="Times New Roman" w:hAnsi="Times New Roman"/>
            <w:b/>
            <w:kern w:val="0"/>
            <w14:ligatures w14:val="none"/>
          </w:rPr>
          <w:t>ifeanyi.mgbataogu@uniport.edu.ng</w:t>
        </w:r>
      </w:hyperlink>
    </w:p>
    <w:p w14:paraId="0EB4AD1C" w14:textId="04C95A40" w:rsidR="005726E4" w:rsidRPr="00A60822" w:rsidRDefault="005726E4" w:rsidP="00A60822">
      <w:pPr>
        <w:spacing w:after="0" w:line="240" w:lineRule="auto"/>
        <w:jc w:val="center"/>
        <w:rPr>
          <w:rFonts w:ascii="Times New Roman" w:hAnsi="Times New Roman"/>
          <w:b/>
          <w:kern w:val="0"/>
          <w14:ligatures w14:val="none"/>
        </w:rPr>
      </w:pPr>
      <w:r>
        <w:rPr>
          <w:rFonts w:ascii="Times New Roman" w:hAnsi="Times New Roman"/>
          <w:b/>
          <w:kern w:val="0"/>
          <w14:ligatures w14:val="none"/>
        </w:rPr>
        <w:t>+2348034361524</w:t>
      </w:r>
    </w:p>
    <w:p w14:paraId="4BE5EA2E" w14:textId="77777777" w:rsidR="00A60822" w:rsidRPr="00A60822" w:rsidRDefault="00A60822" w:rsidP="00A60822">
      <w:pPr>
        <w:spacing w:after="0" w:line="240" w:lineRule="auto"/>
        <w:jc w:val="center"/>
        <w:rPr>
          <w:rFonts w:ascii="Times New Roman" w:hAnsi="Times New Roman"/>
          <w:b/>
          <w:kern w:val="0"/>
          <w14:ligatures w14:val="none"/>
        </w:rPr>
      </w:pPr>
    </w:p>
    <w:p w14:paraId="4E55C472" w14:textId="77777777" w:rsidR="00A60822" w:rsidRPr="00A60822" w:rsidRDefault="00A60822" w:rsidP="00A60822">
      <w:pPr>
        <w:spacing w:after="0" w:line="240" w:lineRule="auto"/>
        <w:jc w:val="center"/>
        <w:rPr>
          <w:rFonts w:ascii="Times New Roman" w:hAnsi="Times New Roman"/>
          <w:b/>
          <w:kern w:val="0"/>
          <w14:ligatures w14:val="none"/>
        </w:rPr>
      </w:pPr>
      <w:r w:rsidRPr="00A60822">
        <w:rPr>
          <w:rFonts w:ascii="Times New Roman" w:hAnsi="Times New Roman"/>
          <w:b/>
          <w:kern w:val="0"/>
          <w14:ligatures w14:val="none"/>
        </w:rPr>
        <w:t>Abstract</w:t>
      </w:r>
    </w:p>
    <w:p w14:paraId="4B5E2C2B" w14:textId="77777777" w:rsidR="00A60822" w:rsidRPr="00A60822" w:rsidRDefault="00A60822" w:rsidP="00A60822">
      <w:pPr>
        <w:spacing w:after="0" w:line="240" w:lineRule="auto"/>
        <w:jc w:val="center"/>
        <w:rPr>
          <w:rFonts w:ascii="Times New Roman" w:hAnsi="Times New Roman"/>
          <w:b/>
          <w:kern w:val="0"/>
          <w14:ligatures w14:val="none"/>
        </w:rPr>
      </w:pPr>
    </w:p>
    <w:p w14:paraId="76D156E4" w14:textId="77777777" w:rsidR="00A60822" w:rsidRPr="00A60822" w:rsidRDefault="00A60822" w:rsidP="00A60822">
      <w:pPr>
        <w:spacing w:after="0" w:line="240" w:lineRule="auto"/>
        <w:jc w:val="both"/>
        <w:rPr>
          <w:rFonts w:ascii="Times New Roman" w:hAnsi="Times New Roman" w:cs="Times New Roman"/>
          <w:i/>
          <w:iCs/>
          <w:kern w:val="0"/>
          <w14:ligatures w14:val="none"/>
        </w:rPr>
      </w:pPr>
      <w:r w:rsidRPr="00A60822">
        <w:rPr>
          <w:rFonts w:ascii="Times New Roman" w:hAnsi="Times New Roman" w:cs="Times New Roman"/>
          <w:i/>
          <w:iCs/>
          <w:kern w:val="0"/>
          <w14:ligatures w14:val="none"/>
        </w:rPr>
        <w:t xml:space="preserve">This study evaluates the effect of returns, volatility on herding </w:t>
      </w:r>
      <w:proofErr w:type="spellStart"/>
      <w:r w:rsidRPr="00A60822">
        <w:rPr>
          <w:rFonts w:ascii="Times New Roman" w:hAnsi="Times New Roman" w:cs="Times New Roman"/>
          <w:i/>
          <w:iCs/>
          <w:kern w:val="0"/>
          <w14:ligatures w14:val="none"/>
        </w:rPr>
        <w:t>behaviour</w:t>
      </w:r>
      <w:proofErr w:type="spellEnd"/>
      <w:r w:rsidRPr="00A60822">
        <w:rPr>
          <w:rFonts w:ascii="Times New Roman" w:hAnsi="Times New Roman" w:cs="Times New Roman"/>
          <w:i/>
          <w:iCs/>
          <w:kern w:val="0"/>
          <w14:ligatures w14:val="none"/>
        </w:rPr>
        <w:t xml:space="preserve"> in Nigerian financial market. Monthly data of stock, bond and treasury bills market prices from 2019 – 2025 are used with the aim of examining and comparing the performance of the assets’ returns and volatility and then the possible consequent cascading effects or herding behavior of investors across the markets. The major findings and consequent conclusions of this study are thus: Stock return is inversely correlated to Treasury bill return but directly correlated to bond return. Bonds and Treasury bills as expected are less volatile and their expected values are relatively fixed, while stocks are volatile and their expected values vary over time. Stock has the highest monthly rate of return followed by Treasury bills. The pattern of distribution of bond price/return is normal, but stock and Treasury bill return do not follow a normal distribution process. There is evidence that investors do not cascade or herd towards bond market. The cascading effects are most prominent in the stock market and there is little evidence that investors “herded” towards the Treasury bills market.  In view of the findings and conclusions, the following recommendations are made: Investors should diversify efficiently by holding a portfolio of either stocks and treasury bills or bond and treasury bills. They should discount inefficient diversification that arise when the same factors could influence the assets in a portfolio. Investors should invest in Treasury bill, and choose either bond or stock. Bond for natural risk averse investors and   otherwise stock for risk plungers. The stock and Treasury bill markets show high and moderate evidence of herding </w:t>
      </w:r>
      <w:proofErr w:type="spellStart"/>
      <w:r w:rsidRPr="00A60822">
        <w:rPr>
          <w:rFonts w:ascii="Times New Roman" w:hAnsi="Times New Roman" w:cs="Times New Roman"/>
          <w:i/>
          <w:iCs/>
          <w:kern w:val="0"/>
          <w14:ligatures w14:val="none"/>
        </w:rPr>
        <w:t>behaviour</w:t>
      </w:r>
      <w:proofErr w:type="spellEnd"/>
      <w:r w:rsidRPr="00A60822">
        <w:rPr>
          <w:rFonts w:ascii="Times New Roman" w:hAnsi="Times New Roman" w:cs="Times New Roman"/>
          <w:i/>
          <w:iCs/>
          <w:kern w:val="0"/>
          <w14:ligatures w14:val="none"/>
        </w:rPr>
        <w:t xml:space="preserve"> respectively occasioned by fear and panic. Rational investors could take advantage of this </w:t>
      </w:r>
      <w:proofErr w:type="spellStart"/>
      <w:r w:rsidRPr="00A60822">
        <w:rPr>
          <w:rFonts w:ascii="Times New Roman" w:hAnsi="Times New Roman" w:cs="Times New Roman"/>
          <w:i/>
          <w:iCs/>
          <w:kern w:val="0"/>
          <w14:ligatures w14:val="none"/>
        </w:rPr>
        <w:t>behaviour</w:t>
      </w:r>
      <w:proofErr w:type="spellEnd"/>
      <w:r w:rsidRPr="00A60822">
        <w:rPr>
          <w:rFonts w:ascii="Times New Roman" w:hAnsi="Times New Roman" w:cs="Times New Roman"/>
          <w:i/>
          <w:iCs/>
          <w:kern w:val="0"/>
          <w14:ligatures w14:val="none"/>
        </w:rPr>
        <w:t xml:space="preserve"> for higher returns by acting on the contrary to the herding instinct.</w:t>
      </w:r>
    </w:p>
    <w:p w14:paraId="57FF70E6" w14:textId="77777777" w:rsidR="00A60822" w:rsidRPr="00A60822" w:rsidRDefault="00A60822" w:rsidP="00A60822">
      <w:pPr>
        <w:spacing w:after="0" w:line="240" w:lineRule="auto"/>
        <w:jc w:val="both"/>
        <w:rPr>
          <w:rFonts w:ascii="Times New Roman" w:hAnsi="Times New Roman" w:cs="Times New Roman"/>
          <w:i/>
          <w:iCs/>
          <w:kern w:val="0"/>
          <w14:ligatures w14:val="none"/>
        </w:rPr>
      </w:pPr>
    </w:p>
    <w:p w14:paraId="7D9AFBFF" w14:textId="77777777" w:rsidR="00A60822" w:rsidRPr="00A60822" w:rsidRDefault="00A60822" w:rsidP="00A60822">
      <w:pPr>
        <w:spacing w:after="0" w:line="240" w:lineRule="auto"/>
        <w:jc w:val="both"/>
        <w:rPr>
          <w:rFonts w:ascii="Times New Roman" w:hAnsi="Times New Roman" w:cs="Times New Roman"/>
          <w:b/>
          <w:bCs/>
          <w:kern w:val="0"/>
          <w14:ligatures w14:val="none"/>
        </w:rPr>
      </w:pPr>
      <w:r w:rsidRPr="00A60822">
        <w:rPr>
          <w:rFonts w:ascii="Times New Roman" w:hAnsi="Times New Roman" w:cs="Times New Roman"/>
          <w:b/>
          <w:bCs/>
          <w:kern w:val="0"/>
          <w14:ligatures w14:val="none"/>
        </w:rPr>
        <w:t>Key Words: Herding, Cascading, CSAD, Returns, Volatility, Stock, Bond, Treasury Bills, Financial Market</w:t>
      </w:r>
    </w:p>
    <w:p w14:paraId="3DC25AAD" w14:textId="77777777" w:rsidR="00A60822" w:rsidRPr="00A60822" w:rsidRDefault="00A60822" w:rsidP="00A60822">
      <w:pPr>
        <w:spacing w:after="0" w:line="240" w:lineRule="auto"/>
        <w:jc w:val="center"/>
        <w:rPr>
          <w:rFonts w:ascii="Times New Roman" w:hAnsi="Times New Roman"/>
          <w:b/>
          <w:kern w:val="0"/>
          <w14:ligatures w14:val="none"/>
        </w:rPr>
      </w:pPr>
    </w:p>
    <w:p w14:paraId="641D6E32" w14:textId="77777777" w:rsidR="00A60822" w:rsidRPr="00A60822" w:rsidRDefault="00A60822" w:rsidP="00F2321A">
      <w:pPr>
        <w:spacing w:after="0" w:line="240" w:lineRule="auto"/>
        <w:jc w:val="both"/>
        <w:rPr>
          <w:rFonts w:ascii="Times New Roman" w:hAnsi="Times New Roman"/>
          <w:b/>
          <w:kern w:val="0"/>
          <w14:ligatures w14:val="none"/>
        </w:rPr>
      </w:pPr>
      <w:r w:rsidRPr="00A60822">
        <w:rPr>
          <w:rFonts w:ascii="Times New Roman" w:hAnsi="Times New Roman"/>
          <w:b/>
          <w:kern w:val="0"/>
          <w14:ligatures w14:val="none"/>
        </w:rPr>
        <w:t>1. Introduction</w:t>
      </w:r>
    </w:p>
    <w:p w14:paraId="58195BB7" w14:textId="77777777" w:rsidR="00A60822" w:rsidRPr="00A60822" w:rsidRDefault="00A60822" w:rsidP="00F2321A">
      <w:pPr>
        <w:spacing w:after="0" w:line="240" w:lineRule="auto"/>
        <w:jc w:val="both"/>
        <w:rPr>
          <w:rFonts w:ascii="Calibri" w:eastAsia="Calibri" w:hAnsi="Calibri" w:cs="Times New Roman"/>
          <w:kern w:val="0"/>
          <w:sz w:val="22"/>
          <w:szCs w:val="22"/>
          <w:lang w:val="en-GB" w:eastAsia="en-GB"/>
          <w14:ligatures w14:val="none"/>
        </w:rPr>
      </w:pPr>
    </w:p>
    <w:p w14:paraId="5FE0565E"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cs="Times New Roman"/>
          <w:kern w:val="0"/>
          <w14:ligatures w14:val="none"/>
        </w:rPr>
        <w:t xml:space="preserve">In the past half-century, finance has achieved something remarkable: it has built elegant models that help us price assets, diversify risk, and understand how information is reflected in market prices. Yet, for all their brilliance, these models often assume what real life routinely contradicts—that investors and managers are consistently rational, disciplined, and unemotional. Thus, </w:t>
      </w:r>
      <w:r w:rsidRPr="00A60822">
        <w:rPr>
          <w:rFonts w:ascii="Times New Roman" w:hAnsi="Times New Roman"/>
          <w:kern w:val="0"/>
          <w14:ligatures w14:val="none"/>
        </w:rPr>
        <w:t xml:space="preserve">Traditional investment theories posit that investors at all levels are rational in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in their decisions of choices of assets to commit their fund for investment purposes. For this reason, investor do analysis of their expectations and risks involved in investment options available to them, before committing their funds to purchase of securities (assets) for investment. In answer to the question: why do we invest? Jones (2004) asserted that “we invest to make money-improve our monetary wealth, both current and future”. This suggest that investment is aimed at maintaining, improving or increasing the stock of monetary resources. </w:t>
      </w:r>
    </w:p>
    <w:p w14:paraId="3C5E3AA7"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kern w:val="0"/>
          <w14:ligatures w14:val="none"/>
        </w:rPr>
        <w:lastRenderedPageBreak/>
        <w:t xml:space="preserve">Fischer and Jordan (1995) posit that an investment is a commitment of funds made in expectation of some positive rate of return. In other words, since cash has an opportunity cost, and the purchasing power of cash diminishes over time, investors will take opportunity in ventures that will yield more returns in order to constantly add value to the invested sum so as to prevent the purchasing power of the invested sum from dwindling or plummeting .They do so by choosing from a wide range of securities in an attempt to maximize the anticipated returns from the chosen investment. The criteria considered by both individual and institutional investors when deciding on which financial asset to invest in is the return-risk expected on one asset relative to alternative assets. So, the risk and returns on securities are the basic criteria for evaluating and selecting the type of marketable security to hold or invest in. If the investment is properly undertaken and managed, it is conceived that the return is expected to be commensurate with the risk the investor assumes. Thus, investors must focus greater attention on evaluating and comparing the rate of returns as well as the risk-return in financial securities, so as to predict the possible effects of these on their anticipated earnings and asset choice. This according to </w:t>
      </w:r>
      <w:proofErr w:type="spellStart"/>
      <w:r w:rsidRPr="00A60822">
        <w:rPr>
          <w:rFonts w:ascii="Times New Roman" w:hAnsi="Times New Roman"/>
          <w:kern w:val="0"/>
          <w14:ligatures w14:val="none"/>
        </w:rPr>
        <w:t>Akindipe</w:t>
      </w:r>
      <w:proofErr w:type="spellEnd"/>
      <w:r w:rsidRPr="00A60822">
        <w:rPr>
          <w:rFonts w:ascii="Times New Roman" w:hAnsi="Times New Roman"/>
          <w:kern w:val="0"/>
          <w14:ligatures w14:val="none"/>
        </w:rPr>
        <w:t xml:space="preserve"> (2003) is more important for investors in the Nigeria money and capital market. </w:t>
      </w:r>
    </w:p>
    <w:p w14:paraId="05FCDEBB"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cs="Times New Roman"/>
          <w:kern w:val="0"/>
          <w14:ligatures w14:val="none"/>
        </w:rPr>
        <w:t xml:space="preserve">However, anyone who has watched a market boom into overconfidence or crash into panic knows that the numbers never move alone; people move them. </w:t>
      </w:r>
      <w:r w:rsidRPr="00A60822">
        <w:rPr>
          <w:rFonts w:ascii="Times New Roman" w:hAnsi="Times New Roman"/>
          <w:kern w:val="0"/>
          <w14:ligatures w14:val="none"/>
        </w:rPr>
        <w:t xml:space="preserve">In sharp </w:t>
      </w:r>
      <w:proofErr w:type="spellStart"/>
      <w:r w:rsidRPr="00A60822">
        <w:rPr>
          <w:rFonts w:ascii="Times New Roman" w:hAnsi="Times New Roman"/>
          <w:kern w:val="0"/>
          <w14:ligatures w14:val="none"/>
        </w:rPr>
        <w:t>contrasr</w:t>
      </w:r>
      <w:proofErr w:type="spellEnd"/>
      <w:r w:rsidRPr="00A60822">
        <w:rPr>
          <w:rFonts w:ascii="Times New Roman" w:hAnsi="Times New Roman"/>
          <w:kern w:val="0"/>
          <w14:ligatures w14:val="none"/>
        </w:rPr>
        <w:t xml:space="preserve"> to the theoretically based and quantitative risk-return analysis is the abnormal, irrational and dogmatic approach to determining the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investors in the financial market known as the cascading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investors. Following this concept, the investment decision of some investors in the financial market appears to be determine or driven by other factors other than risk-return analysis which is the investment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other investors in the market. This is called cascading or herding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and refers to, when one investor takes the lead to invest in an asset, others follow sheepishly. Basically, cascading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investors refers to the imitation of investors in the market in which case people invest base on the investment decision of other people instead of the expected risk and return evaluation of an asset. This describes a situation where an investor’s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is simultaneous and consistent with another investors’ investment decision. Cascading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investors means simultaneous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or reaction of investors to available market information in the same direction (Barsky, 1989).  This is a situation where investors exhibit similar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or imitate the investment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one another. There appear to be another determinant of the choice of financial assets which is occasioned by the cascading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investors and scholars are recognizing it as a major determinant of the choice of asset by investors.</w:t>
      </w:r>
    </w:p>
    <w:p w14:paraId="50F9590A"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kern w:val="0"/>
          <w14:ligatures w14:val="none"/>
        </w:rPr>
        <w:t xml:space="preserve">From the foregoing, there exist the controversy as to whether the cascading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of investors can be an alternative determinant of investors’ choice of asset in the Nigeria financial market. This requires an empirical inquiry. The basic questions therefore are: Are there evidence of cascading effect in the common stocks, corporate bonds &amp; treasury bills market as the basis of assets choice by investors? What is the rate of return on common stocks, bonds &amp; treasury bills? What is the nature of correlation between bond, stock and treasury bills markets?</w:t>
      </w:r>
    </w:p>
    <w:p w14:paraId="34CA7F6B" w14:textId="77777777" w:rsidR="00A60822" w:rsidRPr="00A60822" w:rsidRDefault="00A60822" w:rsidP="00F2321A">
      <w:pPr>
        <w:spacing w:after="0" w:line="240" w:lineRule="auto"/>
        <w:jc w:val="both"/>
        <w:rPr>
          <w:rFonts w:ascii="Times New Roman" w:hAnsi="Times New Roman"/>
          <w:b/>
          <w:bCs/>
          <w:kern w:val="0"/>
          <w14:ligatures w14:val="none"/>
        </w:rPr>
      </w:pPr>
      <w:r w:rsidRPr="00A60822">
        <w:rPr>
          <w:rFonts w:ascii="Times New Roman" w:hAnsi="Times New Roman"/>
          <w:b/>
          <w:bCs/>
          <w:kern w:val="0"/>
          <w14:ligatures w14:val="none"/>
        </w:rPr>
        <w:t>2. Literature Review</w:t>
      </w:r>
    </w:p>
    <w:p w14:paraId="5786F00E" w14:textId="77777777" w:rsidR="00A60822" w:rsidRPr="00A60822" w:rsidRDefault="00A60822" w:rsidP="00F2321A">
      <w:pPr>
        <w:spacing w:after="0" w:line="240" w:lineRule="auto"/>
        <w:jc w:val="both"/>
        <w:rPr>
          <w:rFonts w:ascii="Times New Roman" w:hAnsi="Times New Roman"/>
          <w:b/>
          <w:bCs/>
          <w:kern w:val="0"/>
          <w14:ligatures w14:val="none"/>
        </w:rPr>
      </w:pPr>
      <w:r w:rsidRPr="00A60822">
        <w:rPr>
          <w:rFonts w:ascii="Times New Roman" w:hAnsi="Times New Roman"/>
          <w:b/>
          <w:bCs/>
          <w:kern w:val="0"/>
          <w14:ligatures w14:val="none"/>
        </w:rPr>
        <w:t>2.1 Theoretical Literature</w:t>
      </w:r>
    </w:p>
    <w:p w14:paraId="6EB42E29" w14:textId="77777777" w:rsidR="00A60822" w:rsidRPr="00A60822" w:rsidRDefault="00A60822" w:rsidP="00F2321A">
      <w:pPr>
        <w:spacing w:after="0" w:line="240" w:lineRule="auto"/>
        <w:jc w:val="both"/>
        <w:rPr>
          <w:rFonts w:ascii="Times New Roman" w:hAnsi="Times New Roman" w:cs="Times New Roman"/>
          <w:kern w:val="0"/>
          <w:lang w:eastAsia="en-GB"/>
          <w14:ligatures w14:val="none"/>
        </w:rPr>
      </w:pPr>
      <w:r w:rsidRPr="00A60822">
        <w:rPr>
          <w:rFonts w:ascii="Times New Roman" w:hAnsi="Times New Roman" w:cs="Times New Roman"/>
          <w:kern w:val="0"/>
          <w14:ligatures w14:val="none"/>
        </w:rPr>
        <w:t>The </w:t>
      </w:r>
      <w:hyperlink r:id="rId52" w:history="1">
        <w:r w:rsidRPr="00A60822">
          <w:rPr>
            <w:rFonts w:ascii="Times New Roman" w:hAnsi="Times New Roman" w:cs="Times New Roman"/>
            <w:kern w:val="0"/>
            <w14:ligatures w14:val="none"/>
          </w:rPr>
          <w:t>Efficient Market Hypothesis</w:t>
        </w:r>
      </w:hyperlink>
      <w:r w:rsidRPr="00A60822">
        <w:rPr>
          <w:rFonts w:ascii="Times New Roman" w:hAnsi="Times New Roman" w:cs="Times New Roman"/>
          <w:kern w:val="0"/>
          <w14:ligatures w14:val="none"/>
        </w:rPr>
        <w:t xml:space="preserve"> (EMH) is a financial assets theory asserting that asset prices instantaneously and fully incorporate all available information, making it impossible to consistently "beat the market" on a risk-adjusted basis. It implies stocks always trade at their fair value, rendering technical or fundamental analysis ineffective. The efficient market hypothesis is based on the assumptions of capital market efficiency. </w:t>
      </w:r>
      <w:r w:rsidRPr="00A60822">
        <w:rPr>
          <w:rFonts w:ascii="Times New Roman" w:hAnsi="Times New Roman" w:cs="Times New Roman"/>
          <w:kern w:val="0"/>
          <w:lang w:eastAsia="en-GB"/>
          <w14:ligatures w14:val="none"/>
        </w:rPr>
        <w:t>In an efficient capital market as proposed by Fama (1970), security prices fully and instantaneously reflect all available relevant information. In other words, information about security prices incorporates all publicly available information about a company’s products, profit, management quality, prospects, political, economic and social events combined with how investors perceive such information, whether true or rumored.</w:t>
      </w:r>
    </w:p>
    <w:p w14:paraId="115BDC60" w14:textId="77777777" w:rsidR="00A60822" w:rsidRPr="00A60822" w:rsidRDefault="00A60822" w:rsidP="00F2321A">
      <w:pPr>
        <w:spacing w:after="0" w:line="240" w:lineRule="auto"/>
        <w:jc w:val="both"/>
        <w:rPr>
          <w:rFonts w:ascii="Times New Roman" w:hAnsi="Times New Roman"/>
          <w:kern w:val="0"/>
          <w14:ligatures w14:val="none"/>
        </w:rPr>
      </w:pPr>
      <w:r w:rsidRPr="00A60822">
        <w:rPr>
          <w:rFonts w:ascii="Times New Roman" w:hAnsi="Times New Roman"/>
          <w:kern w:val="0"/>
          <w14:ligatures w14:val="none"/>
        </w:rPr>
        <w:t xml:space="preserve">From the point of view of theory, investors need not any form of either fundament or technical analysis because they beat the market by making any abnormal returns. However, in practice, this do not always hold. Psychological factors (greed, fear, herd behavior) cause investors to behave irrationally, leading to overvalued or undervalued assets (bubbles and crashes). </w:t>
      </w:r>
    </w:p>
    <w:p w14:paraId="0C21FD8F" w14:textId="77777777" w:rsidR="00A60822" w:rsidRPr="00A60822" w:rsidRDefault="00A60822" w:rsidP="00F2321A">
      <w:pPr>
        <w:spacing w:before="240" w:line="240" w:lineRule="auto"/>
        <w:jc w:val="both"/>
        <w:rPr>
          <w:rFonts w:ascii="Times New Roman" w:hAnsi="Times New Roman"/>
          <w:b/>
          <w:bCs/>
          <w:kern w:val="0"/>
          <w14:ligatures w14:val="none"/>
        </w:rPr>
      </w:pPr>
      <w:r w:rsidRPr="00A60822">
        <w:rPr>
          <w:rFonts w:ascii="Times New Roman" w:hAnsi="Times New Roman"/>
          <w:b/>
          <w:bCs/>
          <w:kern w:val="0"/>
          <w14:ligatures w14:val="none"/>
        </w:rPr>
        <w:lastRenderedPageBreak/>
        <w:t>2.2 Empirical Literature</w:t>
      </w:r>
    </w:p>
    <w:p w14:paraId="0F0910A6" w14:textId="77777777" w:rsidR="00A60822" w:rsidRPr="00A60822" w:rsidRDefault="00A60822" w:rsidP="00F2321A">
      <w:pPr>
        <w:spacing w:line="240" w:lineRule="auto"/>
        <w:jc w:val="both"/>
        <w:rPr>
          <w:rFonts w:ascii="Times New Roman" w:hAnsi="Times New Roman"/>
          <w:kern w:val="0"/>
          <w14:ligatures w14:val="none"/>
        </w:rPr>
      </w:pPr>
      <w:proofErr w:type="spellStart"/>
      <w:r w:rsidRPr="00A60822">
        <w:rPr>
          <w:rFonts w:ascii="Times New Roman" w:hAnsi="Times New Roman"/>
          <w:kern w:val="0"/>
          <w14:ligatures w14:val="none"/>
        </w:rPr>
        <w:t>Osamor</w:t>
      </w:r>
      <w:proofErr w:type="spellEnd"/>
      <w:r w:rsidRPr="00A60822">
        <w:rPr>
          <w:rFonts w:ascii="Times New Roman" w:hAnsi="Times New Roman"/>
          <w:kern w:val="0"/>
          <w14:ligatures w14:val="none"/>
        </w:rPr>
        <w:t xml:space="preserve"> and Anene (2019) noted that the relationship between investors’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and price volatility was first discovered by Friedman (1953). It was found that irrational investors destabilized prices by buying when prices were high and selling when they were low, while rational investors buy low and sell high. Wang (1993) observed that uneven information may cause volatility and investors that are not well informed tend to follow the market trend, buying when prices rise and selling when they fall; a behavior that can be regarded as herding. This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could also be rational; in a rational perspective, a herding behavior is likened to a situation where the investors have tried to redress </w:t>
      </w:r>
      <w:proofErr w:type="gramStart"/>
      <w:r w:rsidRPr="00A60822">
        <w:rPr>
          <w:rFonts w:ascii="Times New Roman" w:hAnsi="Times New Roman"/>
          <w:kern w:val="0"/>
          <w14:ligatures w14:val="none"/>
        </w:rPr>
        <w:t>their</w:t>
      </w:r>
      <w:proofErr w:type="gramEnd"/>
    </w:p>
    <w:p w14:paraId="69D05E89" w14:textId="77777777" w:rsidR="00A60822" w:rsidRPr="00A60822" w:rsidRDefault="00A60822" w:rsidP="00F2321A">
      <w:pPr>
        <w:spacing w:line="240" w:lineRule="auto"/>
        <w:jc w:val="both"/>
        <w:rPr>
          <w:rFonts w:ascii="Times New Roman" w:hAnsi="Times New Roman"/>
          <w:kern w:val="0"/>
          <w14:ligatures w14:val="none"/>
        </w:rPr>
      </w:pPr>
      <w:proofErr w:type="spellStart"/>
      <w:r w:rsidRPr="00A60822">
        <w:rPr>
          <w:rFonts w:ascii="Times New Roman" w:hAnsi="Times New Roman"/>
          <w:kern w:val="0"/>
          <w14:ligatures w14:val="none"/>
        </w:rPr>
        <w:t>Lakonishok</w:t>
      </w:r>
      <w:proofErr w:type="spellEnd"/>
      <w:r w:rsidRPr="00A60822">
        <w:rPr>
          <w:rFonts w:ascii="Times New Roman" w:hAnsi="Times New Roman"/>
          <w:kern w:val="0"/>
          <w14:ligatures w14:val="none"/>
        </w:rPr>
        <w:t xml:space="preserve">, Shleifer, and </w:t>
      </w:r>
      <w:proofErr w:type="spellStart"/>
      <w:r w:rsidRPr="00A60822">
        <w:rPr>
          <w:rFonts w:ascii="Times New Roman" w:hAnsi="Times New Roman"/>
          <w:kern w:val="0"/>
          <w14:ligatures w14:val="none"/>
        </w:rPr>
        <w:t>Vishny</w:t>
      </w:r>
      <w:proofErr w:type="spellEnd"/>
      <w:r w:rsidRPr="00A60822">
        <w:rPr>
          <w:rFonts w:ascii="Times New Roman" w:hAnsi="Times New Roman"/>
          <w:kern w:val="0"/>
          <w14:ligatures w14:val="none"/>
        </w:rPr>
        <w:t xml:space="preserve"> (1992) conducted an influential empirical investigation into the trading behavior of institutional investors, focusing specifically on the prevalence of herding and positive-feedback trading. These behaviors are often associated with the broader hypothesis that institutional investors can destabilize stock prices. The study analyzed 769 all-equity, tax-exempt funds—predominantly pension funds—managed by 341 institutional money managers in the United States. The findings indicate limited evidence of herding among pension fund managers, particularly in large-cap stocks (i.e., those within the top two quintiles by market capitalization), which accounted for over 95% of trading activity. While some evidence of herding was observed in smaller-cap stocks, the magnitude was not substantial. Similarly, Walter (2006), in an analysis of 60 German equity mutual funds, reported slightly higher levels of herding compared to other developed markets, though still relatively modest.</w:t>
      </w:r>
    </w:p>
    <w:p w14:paraId="79C78A61"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kern w:val="0"/>
          <w14:ligatures w14:val="none"/>
        </w:rPr>
        <w:t>Christie and Huang (1995) introduced the Cross-Sectional Standard Deviation (CSSD) as a measure of herding behavior and applied it to daily stock return data from the New York Stock Exchange (NYSE) and the American Stock Exchange (AMEX) spanning July 1962 to December 1988. Their results suggest that herding is more likely to occur during periods of market stress, when investors tend to disregard private information in favor of prevailing market consensus. Building on this methodology, Chang, Cheng, and Khorana (2000) developed the Cross-Sectional Absolute Deviation (CSAD) approach and examined herding across multiple international markets, including the United States, Hong Kong, South Korea, Taiwan, and Japan. Their findings reveal no significant evidence of herding in the United States and Hong Kong, limited evidence in Japan, and strong evidence in South Korea and Taiwan.</w:t>
      </w:r>
    </w:p>
    <w:p w14:paraId="7714988E"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kern w:val="0"/>
          <w14:ligatures w14:val="none"/>
        </w:rPr>
        <w:t xml:space="preserve">Expanding the scope of analysis, Chiang and Zheng (2010) investigated herding behavior across 18 global markets using daily industrial stock returns from May 25, 1988, to April 24, 2009. Their sample included both developed and emerging economies such as the United States, United Kingdom, Germany, China, and several Southeast Asian and Latin American countries. Contrary to earlier studies (e.g., Chang et al., 2000; Demirer &amp; </w:t>
      </w:r>
      <w:proofErr w:type="spellStart"/>
      <w:r w:rsidRPr="00A60822">
        <w:rPr>
          <w:rFonts w:ascii="Times New Roman" w:hAnsi="Times New Roman"/>
          <w:kern w:val="0"/>
          <w14:ligatures w14:val="none"/>
        </w:rPr>
        <w:t>Kutan</w:t>
      </w:r>
      <w:proofErr w:type="spellEnd"/>
      <w:r w:rsidRPr="00A60822">
        <w:rPr>
          <w:rFonts w:ascii="Times New Roman" w:hAnsi="Times New Roman"/>
          <w:kern w:val="0"/>
          <w14:ligatures w14:val="none"/>
        </w:rPr>
        <w:t>, 2006), they found significant evidence of herding in most markets, with the notable exception of the United States and Latin American countries.</w:t>
      </w:r>
    </w:p>
    <w:p w14:paraId="6C2D8063"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kern w:val="0"/>
          <w14:ligatures w14:val="none"/>
        </w:rPr>
        <w:t xml:space="preserve">In the context of emerging markets, Lakshman, Basu, and Vaidyanathan (2011) examined the Indian stock market and found no significant evidence of herding, concluding that investors in India behave rationally and are relatively well-informed. Interestingly, they posited that herding may be more pronounced prior to periods of market stress rather than during such periods, as crises may restore market equilibrium. In contrast, </w:t>
      </w:r>
      <w:proofErr w:type="spellStart"/>
      <w:r w:rsidRPr="00A60822">
        <w:rPr>
          <w:rFonts w:ascii="Times New Roman" w:hAnsi="Times New Roman"/>
          <w:kern w:val="0"/>
          <w14:ligatures w14:val="none"/>
        </w:rPr>
        <w:t>Prosad</w:t>
      </w:r>
      <w:proofErr w:type="spellEnd"/>
      <w:r w:rsidRPr="00A60822">
        <w:rPr>
          <w:rFonts w:ascii="Times New Roman" w:hAnsi="Times New Roman"/>
          <w:kern w:val="0"/>
          <w14:ligatures w14:val="none"/>
        </w:rPr>
        <w:t>, Kapoor, and Sengupta (2012), analyzing daily data from 50 stocks between April 2006 and March 2011, also reported no overall evidence of herding in the Indian market. However, their sub-period analysis revealed that herding behavior was more prominent during bullish market conditions, a finding consistent with Lao and Singh (2011).</w:t>
      </w:r>
    </w:p>
    <w:p w14:paraId="28A33919"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kern w:val="0"/>
          <w14:ligatures w14:val="none"/>
        </w:rPr>
        <w:t>Further evidence from South Asia is provided by Ahsan and Sarkar (2013), who examined herding behavior in the Dhaka Stock Exchange (DSE) in Bangladesh over a seven-year period using both daily and monthly stock returns. Their results indicate no significant presence of herding behavior in the Bangladeshi market during the study period.</w:t>
      </w:r>
    </w:p>
    <w:p w14:paraId="18D2338D" w14:textId="77777777" w:rsidR="00A60822" w:rsidRPr="00A60822" w:rsidRDefault="00A60822" w:rsidP="00F2321A">
      <w:pPr>
        <w:spacing w:line="240" w:lineRule="auto"/>
        <w:jc w:val="both"/>
        <w:rPr>
          <w:rFonts w:ascii="Times New Roman" w:hAnsi="Times New Roman"/>
          <w:kern w:val="0"/>
          <w14:ligatures w14:val="none"/>
        </w:rPr>
      </w:pPr>
      <w:r w:rsidRPr="00A60822">
        <w:rPr>
          <w:rFonts w:ascii="Times New Roman" w:hAnsi="Times New Roman"/>
          <w:kern w:val="0"/>
          <w14:ligatures w14:val="none"/>
        </w:rPr>
        <w:lastRenderedPageBreak/>
        <w:t xml:space="preserve">The aim of this study is to investigate the effect of assets performance (in terms of returns and volatility) on the possible consequent cascading behavior of investors toward the bond market, stock market and the Treasury bill markets and infer on which is likely to be the preference of investors. </w:t>
      </w:r>
    </w:p>
    <w:p w14:paraId="531055EE" w14:textId="77777777" w:rsidR="00A60822" w:rsidRPr="00A60822" w:rsidRDefault="00A60822" w:rsidP="00F2321A">
      <w:pPr>
        <w:spacing w:after="0" w:line="240" w:lineRule="auto"/>
        <w:jc w:val="both"/>
        <w:rPr>
          <w:rFonts w:ascii="Times New Roman" w:hAnsi="Times New Roman" w:cs="Times New Roman"/>
          <w:b/>
          <w:kern w:val="0"/>
          <w14:ligatures w14:val="none"/>
        </w:rPr>
      </w:pPr>
      <w:r w:rsidRPr="00A60822">
        <w:rPr>
          <w:rFonts w:ascii="Times New Roman" w:hAnsi="Times New Roman" w:cs="Times New Roman"/>
          <w:b/>
          <w:kern w:val="0"/>
          <w14:ligatures w14:val="none"/>
        </w:rPr>
        <w:t>3. Methodology</w:t>
      </w:r>
    </w:p>
    <w:p w14:paraId="34BD5DA9" w14:textId="77777777" w:rsidR="00A60822" w:rsidRPr="00A60822" w:rsidRDefault="00A60822" w:rsidP="00F2321A">
      <w:pPr>
        <w:spacing w:after="0" w:line="240" w:lineRule="auto"/>
        <w:jc w:val="both"/>
        <w:rPr>
          <w:rFonts w:ascii="Times New Roman" w:hAnsi="Times New Roman"/>
          <w:kern w:val="0"/>
          <w14:ligatures w14:val="none"/>
        </w:rPr>
      </w:pPr>
      <w:r w:rsidRPr="00A60822">
        <w:rPr>
          <w:rFonts w:ascii="Times New Roman" w:hAnsi="Times New Roman" w:cs="Times New Roman"/>
          <w:kern w:val="0"/>
          <w14:ligatures w14:val="none"/>
        </w:rPr>
        <w:t xml:space="preserve">The study provides a measure to assess the performance of assets, the contagious effects and cascading behaviors of investors simultaneously in the Nigerian capital market. The designed algorithm to achieve this overriding problem, includes the methods for computing annualized return and volatility, Sharpe, Treynor and Jensen performance ratios, and cross-sectional absolute deviation methods. </w:t>
      </w:r>
      <w:r w:rsidRPr="00A60822">
        <w:rPr>
          <w:rFonts w:ascii="Times New Roman" w:hAnsi="Times New Roman"/>
          <w:kern w:val="0"/>
          <w14:ligatures w14:val="none"/>
        </w:rPr>
        <w:t xml:space="preserve">The model (CSAD) for detecting herding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was derived by Chang, Cheng and Khorana (2000) from the conditional version of CAPM. Chiang and Zheng (2010) stated that according to the Capital Asset Pricing Model (CAPM), there is a linear relationship between return dispersion of individual company’s stock and return on market portfolio, but when different market conditions exist, investors may react in a more uniform manner, exhibiting herding </w:t>
      </w:r>
      <w:proofErr w:type="spellStart"/>
      <w:r w:rsidRPr="00A60822">
        <w:rPr>
          <w:rFonts w:ascii="Times New Roman" w:hAnsi="Times New Roman"/>
          <w:kern w:val="0"/>
          <w14:ligatures w14:val="none"/>
        </w:rPr>
        <w:t>behaviour</w:t>
      </w:r>
      <w:proofErr w:type="spellEnd"/>
      <w:r w:rsidRPr="00A60822">
        <w:rPr>
          <w:rFonts w:ascii="Times New Roman" w:hAnsi="Times New Roman"/>
          <w:kern w:val="0"/>
          <w14:ligatures w14:val="none"/>
        </w:rPr>
        <w:t xml:space="preserve"> which brings about a non-linear market return.</w:t>
      </w:r>
    </w:p>
    <w:p w14:paraId="5FBED9D6"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The study population is based on all the companies that are continuously quoted in Nigerian Exchange Group (NGX) during the period of 2019 to 2025. Specifically, as at December, 2025 about 180 companies were listed in the Exchange with total capitalization of N10.6 trillion. The constituent population is made up of only actives stocks; inactive or dead stocks are excluded from the population. Thus, the benchmark for the population size is 180 companies.</w:t>
      </w:r>
    </w:p>
    <w:p w14:paraId="37B7BE7C"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A purposeful sample technique is adopted in this study for the selection of companies that met the purpose of this study in term of variables and availability of data. Therefore, a company that does not have data on variables of interest or at least one of the variables of interest is excluded from the sample group. In view of this, about 59 companies are selected for the study. The sample period ranges from 2019 to 2025. The justification for this period is that the selected companies were continuously quoted for the aforementioned period.</w:t>
      </w:r>
    </w:p>
    <w:p w14:paraId="1F13696D"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Monthly data on stock prices, bond price and Treasury bill prices are collected from   the Nigerian Exchange Group (NGX) over a period of 2019 to 2025. This gives rise to 84 unbreakable monthly observations. All these specifications are estimated using data collected on the prices of stocks, bonds and treasury bills. However, the raw data had been transformed to first difference before they were fitted into the models.</w:t>
      </w:r>
    </w:p>
    <w:p w14:paraId="46C02DEC" w14:textId="77777777" w:rsidR="00A60822" w:rsidRPr="00A60822" w:rsidRDefault="00A60822" w:rsidP="00F2321A">
      <w:pPr>
        <w:spacing w:before="240" w:after="0" w:line="240" w:lineRule="auto"/>
        <w:jc w:val="both"/>
        <w:rPr>
          <w:rFonts w:ascii="Times New Roman" w:hAnsi="Times New Roman" w:cs="Times New Roman"/>
          <w:kern w:val="0"/>
          <w14:ligatures w14:val="none"/>
        </w:rPr>
      </w:pPr>
      <w:r w:rsidRPr="00A60822">
        <w:rPr>
          <w:rFonts w:ascii="Times New Roman" w:hAnsi="Times New Roman" w:cs="Times New Roman"/>
          <w:b/>
          <w:kern w:val="0"/>
          <w14:ligatures w14:val="none"/>
        </w:rPr>
        <w:t>3.1 Model Specification</w:t>
      </w:r>
    </w:p>
    <w:p w14:paraId="55AEA0D5"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The cascading effects, which are used to examine the mimicking behaviors of investors, are captured by the cross-sectional absolute deviation defined as follows:</w:t>
      </w:r>
    </w:p>
    <w:p w14:paraId="275CED03" w14:textId="77777777" w:rsidR="00A60822" w:rsidRPr="00A60822" w:rsidRDefault="00A60822" w:rsidP="00F2321A">
      <w:pPr>
        <w:spacing w:after="0" w:line="240" w:lineRule="auto"/>
        <w:jc w:val="both"/>
        <w:rPr>
          <w:kern w:val="0"/>
          <w:sz w:val="22"/>
          <w:szCs w:val="22"/>
          <w14:ligatures w14:val="none"/>
        </w:rPr>
      </w:pPr>
      <w:r w:rsidRPr="00A60822">
        <w:rPr>
          <w:kern w:val="0"/>
          <w:position w:val="-12"/>
          <w:sz w:val="22"/>
          <w:szCs w:val="22"/>
          <w14:ligatures w14:val="none"/>
        </w:rPr>
        <w:object w:dxaOrig="3100" w:dyaOrig="380" w14:anchorId="0B0BB034">
          <v:shape id="_x0000_i1041" type="#_x0000_t75" style="width:180.75pt;height:19.5pt" o:ole="">
            <v:imagedata r:id="rId53" o:title=""/>
          </v:shape>
          <o:OLEObject Type="Embed" ProgID="Equation.DSMT4" ShapeID="_x0000_i1041" DrawAspect="Content" ObjectID="_1835537702" r:id="rId54"/>
        </w:object>
      </w:r>
      <w:r w:rsidRPr="00A60822">
        <w:rPr>
          <w:kern w:val="0"/>
          <w:sz w:val="22"/>
          <w:szCs w:val="22"/>
          <w14:ligatures w14:val="none"/>
        </w:rPr>
        <w:t xml:space="preserve">                                                                                                       3.1</w:t>
      </w:r>
    </w:p>
    <w:p w14:paraId="32FD5991" w14:textId="77777777" w:rsidR="00A60822" w:rsidRPr="00A60822" w:rsidRDefault="00A60822" w:rsidP="00F2321A">
      <w:pPr>
        <w:spacing w:after="0" w:line="240" w:lineRule="auto"/>
        <w:jc w:val="both"/>
        <w:rPr>
          <w:kern w:val="0"/>
          <w:sz w:val="22"/>
          <w:szCs w:val="22"/>
          <w14:ligatures w14:val="none"/>
        </w:rPr>
      </w:pPr>
      <w:r w:rsidRPr="00A60822">
        <w:rPr>
          <w:kern w:val="0"/>
          <w:position w:val="-12"/>
          <w:sz w:val="22"/>
          <w:szCs w:val="22"/>
          <w14:ligatures w14:val="none"/>
        </w:rPr>
        <w:object w:dxaOrig="3159" w:dyaOrig="380" w14:anchorId="5A7369F2">
          <v:shape id="_x0000_i1042" type="#_x0000_t75" style="width:181.5pt;height:19.5pt" o:ole="">
            <v:imagedata r:id="rId55" o:title=""/>
          </v:shape>
          <o:OLEObject Type="Embed" ProgID="Equation.DSMT4" ShapeID="_x0000_i1042" DrawAspect="Content" ObjectID="_1835537703" r:id="rId56"/>
        </w:object>
      </w:r>
      <w:r w:rsidRPr="00A60822">
        <w:rPr>
          <w:kern w:val="0"/>
          <w:sz w:val="22"/>
          <w:szCs w:val="22"/>
          <w14:ligatures w14:val="none"/>
        </w:rPr>
        <w:t xml:space="preserve">                                                                                                       3.2</w:t>
      </w:r>
    </w:p>
    <w:p w14:paraId="3C61E279" w14:textId="77777777" w:rsidR="00A60822" w:rsidRPr="00A60822" w:rsidRDefault="00A60822" w:rsidP="00F2321A">
      <w:pPr>
        <w:spacing w:after="0" w:line="240" w:lineRule="auto"/>
        <w:jc w:val="both"/>
        <w:rPr>
          <w:kern w:val="0"/>
          <w:sz w:val="22"/>
          <w:szCs w:val="22"/>
          <w14:ligatures w14:val="none"/>
        </w:rPr>
      </w:pPr>
      <w:r w:rsidRPr="00A60822">
        <w:rPr>
          <w:kern w:val="0"/>
          <w:position w:val="-12"/>
          <w:sz w:val="22"/>
          <w:szCs w:val="22"/>
          <w14:ligatures w14:val="none"/>
        </w:rPr>
        <w:object w:dxaOrig="3280" w:dyaOrig="380" w14:anchorId="18B44574">
          <v:shape id="_x0000_i1043" type="#_x0000_t75" style="width:186.75pt;height:19.5pt" o:ole="">
            <v:imagedata r:id="rId57" o:title=""/>
          </v:shape>
          <o:OLEObject Type="Embed" ProgID="Equation.DSMT4" ShapeID="_x0000_i1043" DrawAspect="Content" ObjectID="_1835537704" r:id="rId58"/>
        </w:object>
      </w:r>
      <w:r w:rsidRPr="00A60822">
        <w:rPr>
          <w:kern w:val="0"/>
          <w:sz w:val="22"/>
          <w:szCs w:val="22"/>
          <w14:ligatures w14:val="none"/>
        </w:rPr>
        <w:t xml:space="preserve">                                                                                                     3.3</w:t>
      </w:r>
    </w:p>
    <w:p w14:paraId="123A0AC9"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Where: CSAD is the cross-sectional absolute deviation, </w:t>
      </w:r>
      <w:proofErr w:type="spellStart"/>
      <w:r w:rsidRPr="00A60822">
        <w:rPr>
          <w:rFonts w:ascii="Times New Roman" w:hAnsi="Times New Roman" w:cs="Times New Roman"/>
          <w:kern w:val="0"/>
          <w14:ligatures w14:val="none"/>
        </w:rPr>
        <w:t>sr</w:t>
      </w:r>
      <w:proofErr w:type="spellEnd"/>
      <w:r w:rsidRPr="00A60822">
        <w:rPr>
          <w:rFonts w:ascii="Times New Roman" w:hAnsi="Times New Roman" w:cs="Times New Roman"/>
          <w:kern w:val="0"/>
          <w14:ligatures w14:val="none"/>
        </w:rPr>
        <w:t xml:space="preserve"> is stock return, </w:t>
      </w:r>
      <w:proofErr w:type="spellStart"/>
      <w:r w:rsidRPr="00A60822">
        <w:rPr>
          <w:rFonts w:ascii="Times New Roman" w:hAnsi="Times New Roman" w:cs="Times New Roman"/>
          <w:kern w:val="0"/>
          <w14:ligatures w14:val="none"/>
        </w:rPr>
        <w:t>br</w:t>
      </w:r>
      <w:proofErr w:type="spellEnd"/>
      <w:r w:rsidRPr="00A60822">
        <w:rPr>
          <w:rFonts w:ascii="Times New Roman" w:hAnsi="Times New Roman" w:cs="Times New Roman"/>
          <w:kern w:val="0"/>
          <w14:ligatures w14:val="none"/>
        </w:rPr>
        <w:t xml:space="preserve"> is bond   and </w:t>
      </w:r>
      <w:proofErr w:type="spellStart"/>
      <w:r w:rsidRPr="00A60822">
        <w:rPr>
          <w:rFonts w:ascii="Times New Roman" w:hAnsi="Times New Roman" w:cs="Times New Roman"/>
          <w:kern w:val="0"/>
          <w14:ligatures w14:val="none"/>
        </w:rPr>
        <w:t>tbr</w:t>
      </w:r>
      <w:proofErr w:type="spellEnd"/>
      <w:r w:rsidRPr="00A60822">
        <w:rPr>
          <w:rFonts w:ascii="Times New Roman" w:hAnsi="Times New Roman" w:cs="Times New Roman"/>
          <w:kern w:val="0"/>
          <w14:ligatures w14:val="none"/>
        </w:rPr>
        <w:t xml:space="preserve"> is Treasury bill return</w:t>
      </w:r>
    </w:p>
    <w:p w14:paraId="57BC77CA" w14:textId="77777777" w:rsidR="00A60822" w:rsidRPr="00A60822" w:rsidRDefault="00A60822" w:rsidP="00F2321A">
      <w:pPr>
        <w:spacing w:after="0" w:line="240" w:lineRule="auto"/>
        <w:jc w:val="both"/>
        <w:rPr>
          <w:rFonts w:ascii="Times New Roman" w:hAnsi="Times New Roman" w:cs="Times New Roman"/>
          <w:kern w:val="0"/>
          <w:sz w:val="28"/>
          <w:szCs w:val="28"/>
          <w14:ligatures w14:val="none"/>
        </w:rPr>
      </w:pPr>
      <w:r w:rsidRPr="00A60822">
        <w:rPr>
          <w:rFonts w:ascii="Times New Roman" w:hAnsi="Times New Roman" w:cs="Times New Roman"/>
          <w:kern w:val="0"/>
          <w:position w:val="-98"/>
          <w14:ligatures w14:val="none"/>
        </w:rPr>
        <w:object w:dxaOrig="2079" w:dyaOrig="2079" w14:anchorId="56D93321">
          <v:shape id="_x0000_i1044" type="#_x0000_t75" style="width:105pt;height:105pt" o:ole="">
            <v:imagedata r:id="rId59" o:title=""/>
          </v:shape>
          <o:OLEObject Type="Embed" ProgID="Equation.DSMT4" ShapeID="_x0000_i1044" DrawAspect="Content" ObjectID="_1835537705" r:id="rId60"/>
        </w:object>
      </w:r>
      <w:r w:rsidRPr="00A60822">
        <w:rPr>
          <w:rFonts w:ascii="Times New Roman" w:hAnsi="Times New Roman" w:cs="Times New Roman"/>
          <w:kern w:val="0"/>
          <w:sz w:val="28"/>
          <w:szCs w:val="28"/>
          <w14:ligatures w14:val="none"/>
        </w:rPr>
        <w:t xml:space="preserve">                                                                                            3.4</w:t>
      </w:r>
    </w:p>
    <w:p w14:paraId="18FF419B" w14:textId="77777777" w:rsidR="00F2321A" w:rsidRDefault="00F2321A" w:rsidP="00F2321A">
      <w:pPr>
        <w:spacing w:after="0" w:line="240" w:lineRule="auto"/>
        <w:jc w:val="both"/>
        <w:rPr>
          <w:rFonts w:ascii="Times New Roman" w:hAnsi="Times New Roman" w:cs="Times New Roman"/>
          <w:kern w:val="0"/>
          <w14:ligatures w14:val="none"/>
        </w:rPr>
      </w:pPr>
    </w:p>
    <w:p w14:paraId="625969D3" w14:textId="77777777" w:rsidR="00F2321A" w:rsidRDefault="00F2321A" w:rsidP="00F2321A">
      <w:pPr>
        <w:spacing w:after="0" w:line="240" w:lineRule="auto"/>
        <w:jc w:val="both"/>
        <w:rPr>
          <w:rFonts w:ascii="Times New Roman" w:hAnsi="Times New Roman" w:cs="Times New Roman"/>
          <w:kern w:val="0"/>
          <w14:ligatures w14:val="none"/>
        </w:rPr>
      </w:pPr>
    </w:p>
    <w:p w14:paraId="260EF99A" w14:textId="77777777" w:rsidR="00F2321A" w:rsidRDefault="00F2321A" w:rsidP="00F2321A">
      <w:pPr>
        <w:spacing w:after="0" w:line="240" w:lineRule="auto"/>
        <w:jc w:val="both"/>
        <w:rPr>
          <w:rFonts w:ascii="Times New Roman" w:hAnsi="Times New Roman" w:cs="Times New Roman"/>
          <w:kern w:val="0"/>
          <w14:ligatures w14:val="none"/>
        </w:rPr>
      </w:pPr>
    </w:p>
    <w:p w14:paraId="00D4A387" w14:textId="77777777" w:rsidR="00F2321A" w:rsidRDefault="00F2321A" w:rsidP="00F2321A">
      <w:pPr>
        <w:spacing w:after="0" w:line="240" w:lineRule="auto"/>
        <w:jc w:val="both"/>
        <w:rPr>
          <w:rFonts w:ascii="Times New Roman" w:hAnsi="Times New Roman" w:cs="Times New Roman"/>
          <w:kern w:val="0"/>
          <w14:ligatures w14:val="none"/>
        </w:rPr>
      </w:pPr>
    </w:p>
    <w:p w14:paraId="177D0A99" w14:textId="77777777" w:rsidR="00F2321A" w:rsidRDefault="00F2321A" w:rsidP="00F2321A">
      <w:pPr>
        <w:spacing w:after="0" w:line="240" w:lineRule="auto"/>
        <w:jc w:val="both"/>
        <w:rPr>
          <w:rFonts w:ascii="Times New Roman" w:hAnsi="Times New Roman" w:cs="Times New Roman"/>
          <w:kern w:val="0"/>
          <w14:ligatures w14:val="none"/>
        </w:rPr>
      </w:pPr>
    </w:p>
    <w:p w14:paraId="6F16677C" w14:textId="789216AE"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lastRenderedPageBreak/>
        <w:t xml:space="preserve">Annualized return and volatility </w:t>
      </w:r>
      <w:proofErr w:type="gramStart"/>
      <w:r w:rsidRPr="00A60822">
        <w:rPr>
          <w:rFonts w:ascii="Times New Roman" w:hAnsi="Times New Roman" w:cs="Times New Roman"/>
          <w:kern w:val="0"/>
          <w14:ligatures w14:val="none"/>
        </w:rPr>
        <w:t>is</w:t>
      </w:r>
      <w:proofErr w:type="gramEnd"/>
      <w:r w:rsidRPr="00A60822">
        <w:rPr>
          <w:rFonts w:ascii="Times New Roman" w:hAnsi="Times New Roman" w:cs="Times New Roman"/>
          <w:kern w:val="0"/>
          <w14:ligatures w14:val="none"/>
        </w:rPr>
        <w:t xml:space="preserve"> defined as:</w:t>
      </w:r>
    </w:p>
    <w:p w14:paraId="498CFC5A" w14:textId="77777777" w:rsidR="00A60822" w:rsidRPr="00A60822" w:rsidRDefault="00A60822" w:rsidP="00F2321A">
      <w:pPr>
        <w:spacing w:after="0" w:line="240" w:lineRule="auto"/>
        <w:jc w:val="both"/>
        <w:rPr>
          <w:kern w:val="0"/>
          <w:sz w:val="22"/>
          <w:szCs w:val="22"/>
          <w14:ligatures w14:val="none"/>
        </w:rPr>
      </w:pPr>
      <w:r w:rsidRPr="00A60822">
        <w:rPr>
          <w:kern w:val="0"/>
          <w:position w:val="-54"/>
          <w:sz w:val="22"/>
          <w:szCs w:val="22"/>
          <w14:ligatures w14:val="none"/>
        </w:rPr>
        <w:object w:dxaOrig="2860" w:dyaOrig="1200" w14:anchorId="658B5779">
          <v:shape id="_x0000_i1045" type="#_x0000_t75" style="width:143.25pt;height:60pt" o:ole="">
            <v:imagedata r:id="rId61" o:title=""/>
          </v:shape>
          <o:OLEObject Type="Embed" ProgID="Equation.DSMT4" ShapeID="_x0000_i1045" DrawAspect="Content" ObjectID="_1835537706" r:id="rId62"/>
        </w:object>
      </w:r>
      <w:r w:rsidRPr="00A60822">
        <w:rPr>
          <w:kern w:val="0"/>
          <w:sz w:val="22"/>
          <w:szCs w:val="22"/>
          <w14:ligatures w14:val="none"/>
        </w:rPr>
        <w:t xml:space="preserve">                                                                                                             3.5</w:t>
      </w:r>
    </w:p>
    <w:p w14:paraId="40B9EFB9"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Where   AR and AV are annualized return and variance respectively, and SD</w:t>
      </w:r>
      <w:r w:rsidRPr="00A60822">
        <w:rPr>
          <w:rFonts w:ascii="Times New Roman" w:hAnsi="Times New Roman" w:cs="Times New Roman"/>
          <w:kern w:val="0"/>
          <w:vertAlign w:val="subscript"/>
          <w14:ligatures w14:val="none"/>
        </w:rPr>
        <w:t>SR</w:t>
      </w:r>
      <w:r w:rsidRPr="00A60822">
        <w:rPr>
          <w:rFonts w:ascii="Times New Roman" w:hAnsi="Times New Roman" w:cs="Times New Roman"/>
          <w:kern w:val="0"/>
          <w14:ligatures w14:val="none"/>
        </w:rPr>
        <w:t xml:space="preserve"> is the standard deviation of return. </w:t>
      </w:r>
    </w:p>
    <w:p w14:paraId="382E5CAE" w14:textId="77777777" w:rsidR="00A60822" w:rsidRPr="00A60822" w:rsidRDefault="00A60822" w:rsidP="00F2321A">
      <w:pPr>
        <w:spacing w:after="0" w:line="240" w:lineRule="auto"/>
        <w:jc w:val="both"/>
        <w:rPr>
          <w:rFonts w:ascii="Times New Roman" w:hAnsi="Times New Roman" w:cs="Times New Roman"/>
          <w:kern w:val="0"/>
          <w14:ligatures w14:val="none"/>
        </w:rPr>
      </w:pPr>
    </w:p>
    <w:p w14:paraId="65A65C32"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Shape ration is given as:</w:t>
      </w:r>
    </w:p>
    <w:p w14:paraId="3A2BD3F7" w14:textId="77777777" w:rsidR="00A60822" w:rsidRPr="00A60822" w:rsidRDefault="00A60822" w:rsidP="00F2321A">
      <w:pPr>
        <w:spacing w:after="0" w:line="240" w:lineRule="auto"/>
        <w:jc w:val="both"/>
        <w:rPr>
          <w:rFonts w:ascii="Times New Roman" w:hAnsi="Times New Roman" w:cs="Times New Roman"/>
          <w:kern w:val="0"/>
          <w:sz w:val="28"/>
          <w:szCs w:val="28"/>
          <w14:ligatures w14:val="none"/>
        </w:rPr>
      </w:pPr>
      <w:r w:rsidRPr="00A60822">
        <w:rPr>
          <w:rFonts w:ascii="Times New Roman" w:hAnsi="Times New Roman" w:cs="Times New Roman"/>
          <w:kern w:val="0"/>
          <w:position w:val="-24"/>
          <w:sz w:val="28"/>
          <w:szCs w:val="28"/>
          <w14:ligatures w14:val="none"/>
        </w:rPr>
        <w:object w:dxaOrig="2240" w:dyaOrig="660" w14:anchorId="2DA798AC">
          <v:shape id="_x0000_i1046" type="#_x0000_t75" style="width:112.5pt;height:33pt" o:ole="">
            <v:imagedata r:id="rId63" o:title=""/>
          </v:shape>
          <o:OLEObject Type="Embed" ProgID="Equation.DSMT4" ShapeID="_x0000_i1046" DrawAspect="Content" ObjectID="_1835537707" r:id="rId64"/>
        </w:object>
      </w:r>
      <w:r w:rsidRPr="00A60822">
        <w:rPr>
          <w:rFonts w:ascii="Times New Roman" w:hAnsi="Times New Roman" w:cs="Times New Roman"/>
          <w:kern w:val="0"/>
          <w:sz w:val="28"/>
          <w:szCs w:val="28"/>
          <w14:ligatures w14:val="none"/>
        </w:rPr>
        <w:t xml:space="preserve">                                                                                     3.6</w:t>
      </w:r>
    </w:p>
    <w:p w14:paraId="3E6F707D"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Jensen ratio is defined as:</w:t>
      </w:r>
    </w:p>
    <w:p w14:paraId="543B495F" w14:textId="77777777" w:rsidR="00A60822" w:rsidRPr="00A60822" w:rsidRDefault="00A60822" w:rsidP="00F2321A">
      <w:pPr>
        <w:spacing w:after="0" w:line="240" w:lineRule="auto"/>
        <w:jc w:val="both"/>
        <w:rPr>
          <w:rFonts w:ascii="Times New Roman" w:hAnsi="Times New Roman" w:cs="Times New Roman"/>
          <w:kern w:val="0"/>
          <w:sz w:val="28"/>
          <w:szCs w:val="28"/>
          <w14:ligatures w14:val="none"/>
        </w:rPr>
      </w:pPr>
      <w:r w:rsidRPr="00A60822">
        <w:rPr>
          <w:rFonts w:ascii="Times New Roman" w:hAnsi="Times New Roman" w:cs="Times New Roman"/>
          <w:kern w:val="0"/>
          <w:position w:val="-18"/>
          <w:sz w:val="28"/>
          <w:szCs w:val="28"/>
          <w14:ligatures w14:val="none"/>
        </w:rPr>
        <w:object w:dxaOrig="4300" w:dyaOrig="480" w14:anchorId="1198BE8D">
          <v:shape id="_x0000_i1047" type="#_x0000_t75" style="width:215.25pt;height:24pt" o:ole="">
            <v:imagedata r:id="rId65" o:title=""/>
          </v:shape>
          <o:OLEObject Type="Embed" ProgID="Equation.DSMT4" ShapeID="_x0000_i1047" DrawAspect="Content" ObjectID="_1835537708" r:id="rId66"/>
        </w:object>
      </w:r>
      <w:r w:rsidRPr="00A60822">
        <w:rPr>
          <w:rFonts w:ascii="Times New Roman" w:hAnsi="Times New Roman" w:cs="Times New Roman"/>
          <w:kern w:val="0"/>
          <w:sz w:val="28"/>
          <w:szCs w:val="28"/>
          <w14:ligatures w14:val="none"/>
        </w:rPr>
        <w:t xml:space="preserve">                                                                          3.7</w:t>
      </w:r>
    </w:p>
    <w:p w14:paraId="017A92D0" w14:textId="77777777" w:rsidR="00A60822" w:rsidRPr="00A60822" w:rsidRDefault="00A60822" w:rsidP="00F2321A">
      <w:pPr>
        <w:spacing w:after="0" w:line="240" w:lineRule="auto"/>
        <w:jc w:val="both"/>
        <w:rPr>
          <w:rFonts w:ascii="Times New Roman" w:hAnsi="Times New Roman" w:cs="Times New Roman"/>
          <w:kern w:val="0"/>
          <w:sz w:val="28"/>
          <w:szCs w:val="28"/>
          <w14:ligatures w14:val="none"/>
        </w:rPr>
      </w:pPr>
      <w:r w:rsidRPr="00A60822">
        <w:rPr>
          <w:rFonts w:ascii="Times New Roman" w:hAnsi="Times New Roman" w:cs="Times New Roman"/>
          <w:kern w:val="0"/>
          <w:sz w:val="28"/>
          <w:szCs w:val="28"/>
          <w14:ligatures w14:val="none"/>
        </w:rPr>
        <w:t xml:space="preserve">Treynor ratio is                                                                                                         </w:t>
      </w:r>
    </w:p>
    <w:p w14:paraId="565EEC1C" w14:textId="77777777" w:rsidR="00A60822" w:rsidRPr="00A60822" w:rsidRDefault="00A60822" w:rsidP="00F2321A">
      <w:pPr>
        <w:spacing w:after="0" w:line="240" w:lineRule="auto"/>
        <w:jc w:val="both"/>
        <w:rPr>
          <w:rFonts w:ascii="Times New Roman" w:hAnsi="Times New Roman" w:cs="Times New Roman"/>
          <w:kern w:val="0"/>
          <w:sz w:val="28"/>
          <w:szCs w:val="28"/>
          <w14:ligatures w14:val="none"/>
        </w:rPr>
      </w:pPr>
      <w:r w:rsidRPr="00A60822">
        <w:rPr>
          <w:rFonts w:ascii="Times New Roman" w:hAnsi="Times New Roman" w:cs="Times New Roman"/>
          <w:kern w:val="0"/>
          <w:position w:val="-24"/>
          <w:sz w:val="28"/>
          <w:szCs w:val="28"/>
          <w14:ligatures w14:val="none"/>
        </w:rPr>
        <w:object w:dxaOrig="2280" w:dyaOrig="660" w14:anchorId="2BD2E650">
          <v:shape id="_x0000_i1048" type="#_x0000_t75" style="width:114pt;height:33pt" o:ole="">
            <v:imagedata r:id="rId67" o:title=""/>
          </v:shape>
          <o:OLEObject Type="Embed" ProgID="Equation.DSMT4" ShapeID="_x0000_i1048" DrawAspect="Content" ObjectID="_1835537709" r:id="rId68"/>
        </w:object>
      </w:r>
      <w:r w:rsidRPr="00A60822">
        <w:rPr>
          <w:rFonts w:ascii="Times New Roman" w:hAnsi="Times New Roman" w:cs="Times New Roman"/>
          <w:kern w:val="0"/>
          <w:sz w:val="28"/>
          <w:szCs w:val="28"/>
          <w14:ligatures w14:val="none"/>
        </w:rPr>
        <w:t xml:space="preserve">                                                                 3.8</w:t>
      </w:r>
    </w:p>
    <w:p w14:paraId="1294D102"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Where </w:t>
      </w:r>
      <w:r w:rsidRPr="00A60822">
        <w:rPr>
          <w:rFonts w:ascii="Times New Roman" w:hAnsi="Times New Roman" w:cs="Times New Roman"/>
          <w:kern w:val="0"/>
          <w:position w:val="-4"/>
          <w14:ligatures w14:val="none"/>
        </w:rPr>
        <w:object w:dxaOrig="180" w:dyaOrig="320" w14:anchorId="54DA62A7">
          <v:shape id="_x0000_i1049" type="#_x0000_t75" style="width:9pt;height:15.75pt" o:ole="">
            <v:imagedata r:id="rId69" o:title=""/>
          </v:shape>
          <o:OLEObject Type="Embed" ProgID="Equation.DSMT4" ShapeID="_x0000_i1049" DrawAspect="Content" ObjectID="_1835537710" r:id="rId70"/>
        </w:object>
      </w:r>
      <w:r w:rsidRPr="00A60822">
        <w:rPr>
          <w:rFonts w:ascii="Times New Roman" w:hAnsi="Times New Roman" w:cs="Times New Roman"/>
          <w:kern w:val="0"/>
          <w14:ligatures w14:val="none"/>
        </w:rPr>
        <w:t xml:space="preserve"> is average return, rf risk free rate and rm return on market  </w:t>
      </w:r>
    </w:p>
    <w:p w14:paraId="7222E8B4" w14:textId="77777777" w:rsidR="00A60822" w:rsidRPr="00A60822" w:rsidRDefault="00A60822" w:rsidP="00F2321A">
      <w:pPr>
        <w:spacing w:after="0" w:line="240" w:lineRule="auto"/>
        <w:jc w:val="both"/>
        <w:rPr>
          <w:rFonts w:ascii="Times New Roman" w:hAnsi="Times New Roman" w:cs="Times New Roman"/>
          <w:b/>
          <w:kern w:val="0"/>
          <w14:ligatures w14:val="none"/>
        </w:rPr>
      </w:pPr>
    </w:p>
    <w:p w14:paraId="537A3933" w14:textId="77777777" w:rsidR="005E7DC2" w:rsidRDefault="005E7DC2" w:rsidP="00F2321A">
      <w:pPr>
        <w:spacing w:after="0" w:line="240" w:lineRule="auto"/>
        <w:rPr>
          <w:rFonts w:ascii="Times New Roman" w:hAnsi="Times New Roman" w:cs="Times New Roman"/>
          <w:b/>
          <w:kern w:val="0"/>
          <w14:ligatures w14:val="none"/>
        </w:rPr>
      </w:pPr>
    </w:p>
    <w:p w14:paraId="40463D53" w14:textId="12F13910" w:rsidR="00A60822" w:rsidRPr="00A60822" w:rsidRDefault="00A60822" w:rsidP="00F2321A">
      <w:pPr>
        <w:spacing w:after="0" w:line="240" w:lineRule="auto"/>
        <w:rPr>
          <w:rFonts w:ascii="Times New Roman" w:hAnsi="Times New Roman" w:cs="Times New Roman"/>
          <w:b/>
          <w:kern w:val="0"/>
          <w14:ligatures w14:val="none"/>
        </w:rPr>
      </w:pPr>
      <w:r w:rsidRPr="00A60822">
        <w:rPr>
          <w:rFonts w:ascii="Times New Roman" w:hAnsi="Times New Roman" w:cs="Times New Roman"/>
          <w:b/>
          <w:kern w:val="0"/>
          <w14:ligatures w14:val="none"/>
        </w:rPr>
        <w:t>Results And Discussions</w:t>
      </w:r>
    </w:p>
    <w:p w14:paraId="61AB5D69" w14:textId="77777777" w:rsidR="00A60822" w:rsidRPr="00A60822" w:rsidRDefault="00A60822" w:rsidP="00F2321A">
      <w:pPr>
        <w:spacing w:after="0" w:line="240" w:lineRule="auto"/>
        <w:jc w:val="both"/>
        <w:rPr>
          <w:rFonts w:ascii="Times New Roman" w:hAnsi="Times New Roman" w:cs="Times New Roman"/>
          <w:b/>
          <w:kern w:val="0"/>
          <w14:ligatures w14:val="none"/>
        </w:rPr>
      </w:pPr>
      <w:r w:rsidRPr="00A60822">
        <w:rPr>
          <w:rFonts w:ascii="Times New Roman" w:hAnsi="Times New Roman" w:cs="Times New Roman"/>
          <w:b/>
          <w:kern w:val="0"/>
          <w14:ligatures w14:val="none"/>
        </w:rPr>
        <w:t>Descriptive Statistics, Normality and Stationary Tests</w:t>
      </w:r>
    </w:p>
    <w:p w14:paraId="062B7132"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The mean values and as well as skewness and kurtosis scores of the return series on stock, bond and treasury bill prices are calculated. So also, I conducted normality and stationary tests on these variables. These test results are summarized in table 4.1.</w:t>
      </w:r>
    </w:p>
    <w:p w14:paraId="7BAB8321" w14:textId="77777777" w:rsidR="00F2321A" w:rsidRDefault="00F2321A" w:rsidP="00F2321A">
      <w:pPr>
        <w:spacing w:after="0" w:line="240" w:lineRule="auto"/>
        <w:jc w:val="both"/>
        <w:rPr>
          <w:rFonts w:ascii="Times New Roman" w:hAnsi="Times New Roman" w:cs="Times New Roman"/>
          <w:kern w:val="0"/>
          <w14:ligatures w14:val="none"/>
        </w:rPr>
      </w:pPr>
    </w:p>
    <w:p w14:paraId="319D7691" w14:textId="330C587D"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Table 4.1-Summarized Descriptive Statistics, Normality and Stationary Tests</w:t>
      </w:r>
    </w:p>
    <w:p w14:paraId="00DA7464" w14:textId="77777777" w:rsidR="00A60822" w:rsidRPr="00A60822" w:rsidRDefault="00A60822" w:rsidP="00F2321A">
      <w:pPr>
        <w:pBdr>
          <w:top w:val="single" w:sz="4" w:space="1" w:color="auto"/>
          <w:bottom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Descriptor                             BR                          SR                                    TBR</w:t>
      </w:r>
    </w:p>
    <w:tbl>
      <w:tblPr>
        <w:tblW w:w="9630" w:type="dxa"/>
        <w:tblInd w:w="-180" w:type="dxa"/>
        <w:tblLook w:val="04A0" w:firstRow="1" w:lastRow="0" w:firstColumn="1" w:lastColumn="0" w:noHBand="0" w:noVBand="1"/>
      </w:tblPr>
      <w:tblGrid>
        <w:gridCol w:w="2610"/>
        <w:gridCol w:w="1943"/>
        <w:gridCol w:w="2197"/>
        <w:gridCol w:w="2880"/>
      </w:tblGrid>
      <w:tr w:rsidR="00A60822" w:rsidRPr="00A60822" w14:paraId="677ABB23" w14:textId="77777777" w:rsidTr="00D00B3F">
        <w:trPr>
          <w:trHeight w:val="300"/>
        </w:trPr>
        <w:tc>
          <w:tcPr>
            <w:tcW w:w="2610" w:type="dxa"/>
            <w:tcBorders>
              <w:top w:val="nil"/>
              <w:left w:val="nil"/>
              <w:bottom w:val="nil"/>
              <w:right w:val="nil"/>
            </w:tcBorders>
            <w:noWrap/>
            <w:vAlign w:val="bottom"/>
            <w:hideMark/>
          </w:tcPr>
          <w:p w14:paraId="57AFE064"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Mean</w:t>
            </w:r>
          </w:p>
        </w:tc>
        <w:tc>
          <w:tcPr>
            <w:tcW w:w="1943" w:type="dxa"/>
            <w:tcBorders>
              <w:top w:val="nil"/>
              <w:left w:val="nil"/>
              <w:bottom w:val="nil"/>
              <w:right w:val="nil"/>
            </w:tcBorders>
            <w:noWrap/>
            <w:vAlign w:val="bottom"/>
            <w:hideMark/>
          </w:tcPr>
          <w:p w14:paraId="114041C9"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0.139132</w:t>
            </w:r>
          </w:p>
        </w:tc>
        <w:tc>
          <w:tcPr>
            <w:tcW w:w="2197" w:type="dxa"/>
            <w:tcBorders>
              <w:top w:val="nil"/>
              <w:left w:val="nil"/>
              <w:bottom w:val="nil"/>
              <w:right w:val="nil"/>
            </w:tcBorders>
            <w:noWrap/>
            <w:vAlign w:val="bottom"/>
            <w:hideMark/>
          </w:tcPr>
          <w:p w14:paraId="692878B6"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0.24731</w:t>
            </w:r>
          </w:p>
        </w:tc>
        <w:tc>
          <w:tcPr>
            <w:tcW w:w="2880" w:type="dxa"/>
            <w:tcBorders>
              <w:top w:val="nil"/>
              <w:left w:val="nil"/>
              <w:bottom w:val="nil"/>
              <w:right w:val="nil"/>
            </w:tcBorders>
            <w:noWrap/>
            <w:vAlign w:val="bottom"/>
            <w:hideMark/>
          </w:tcPr>
          <w:p w14:paraId="50ABBCE7"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0.004209</w:t>
            </w:r>
          </w:p>
        </w:tc>
      </w:tr>
      <w:tr w:rsidR="00A60822" w:rsidRPr="00A60822" w14:paraId="1BB1995E" w14:textId="77777777" w:rsidTr="00D00B3F">
        <w:trPr>
          <w:trHeight w:val="300"/>
        </w:trPr>
        <w:tc>
          <w:tcPr>
            <w:tcW w:w="2610" w:type="dxa"/>
            <w:tcBorders>
              <w:top w:val="nil"/>
              <w:left w:val="nil"/>
              <w:bottom w:val="nil"/>
              <w:right w:val="nil"/>
            </w:tcBorders>
            <w:noWrap/>
            <w:vAlign w:val="bottom"/>
            <w:hideMark/>
          </w:tcPr>
          <w:p w14:paraId="6A6A2A05"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Std. Dev.</w:t>
            </w:r>
          </w:p>
        </w:tc>
        <w:tc>
          <w:tcPr>
            <w:tcW w:w="1943" w:type="dxa"/>
            <w:tcBorders>
              <w:top w:val="nil"/>
              <w:left w:val="nil"/>
              <w:bottom w:val="nil"/>
              <w:right w:val="nil"/>
            </w:tcBorders>
            <w:noWrap/>
            <w:vAlign w:val="bottom"/>
            <w:hideMark/>
          </w:tcPr>
          <w:p w14:paraId="05DAE8C6"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0.017136</w:t>
            </w:r>
          </w:p>
        </w:tc>
        <w:tc>
          <w:tcPr>
            <w:tcW w:w="2197" w:type="dxa"/>
            <w:tcBorders>
              <w:top w:val="nil"/>
              <w:left w:val="nil"/>
              <w:bottom w:val="nil"/>
              <w:right w:val="nil"/>
            </w:tcBorders>
            <w:noWrap/>
            <w:vAlign w:val="bottom"/>
            <w:hideMark/>
          </w:tcPr>
          <w:p w14:paraId="3A209712"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0.603452</w:t>
            </w:r>
          </w:p>
        </w:tc>
        <w:tc>
          <w:tcPr>
            <w:tcW w:w="2880" w:type="dxa"/>
            <w:tcBorders>
              <w:top w:val="nil"/>
              <w:left w:val="nil"/>
              <w:bottom w:val="nil"/>
              <w:right w:val="nil"/>
            </w:tcBorders>
            <w:noWrap/>
            <w:vAlign w:val="bottom"/>
            <w:hideMark/>
          </w:tcPr>
          <w:p w14:paraId="0F506EA6"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0.108954</w:t>
            </w:r>
          </w:p>
        </w:tc>
      </w:tr>
      <w:tr w:rsidR="00A60822" w:rsidRPr="00A60822" w14:paraId="22EDBFB4" w14:textId="77777777" w:rsidTr="00D00B3F">
        <w:trPr>
          <w:trHeight w:val="300"/>
        </w:trPr>
        <w:tc>
          <w:tcPr>
            <w:tcW w:w="2610" w:type="dxa"/>
            <w:tcBorders>
              <w:top w:val="nil"/>
              <w:left w:val="nil"/>
              <w:bottom w:val="nil"/>
              <w:right w:val="nil"/>
            </w:tcBorders>
            <w:noWrap/>
            <w:vAlign w:val="bottom"/>
            <w:hideMark/>
          </w:tcPr>
          <w:p w14:paraId="0755746F"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Skewness</w:t>
            </w:r>
          </w:p>
        </w:tc>
        <w:tc>
          <w:tcPr>
            <w:tcW w:w="1943" w:type="dxa"/>
            <w:tcBorders>
              <w:top w:val="nil"/>
              <w:left w:val="nil"/>
              <w:bottom w:val="nil"/>
              <w:right w:val="nil"/>
            </w:tcBorders>
            <w:noWrap/>
            <w:vAlign w:val="bottom"/>
            <w:hideMark/>
          </w:tcPr>
          <w:p w14:paraId="74606C29"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0.064029</w:t>
            </w:r>
          </w:p>
        </w:tc>
        <w:tc>
          <w:tcPr>
            <w:tcW w:w="2197" w:type="dxa"/>
            <w:tcBorders>
              <w:top w:val="nil"/>
              <w:left w:val="nil"/>
              <w:bottom w:val="nil"/>
              <w:right w:val="nil"/>
            </w:tcBorders>
            <w:noWrap/>
            <w:vAlign w:val="bottom"/>
            <w:hideMark/>
          </w:tcPr>
          <w:p w14:paraId="322256AF"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2.744375</w:t>
            </w:r>
          </w:p>
        </w:tc>
        <w:tc>
          <w:tcPr>
            <w:tcW w:w="2880" w:type="dxa"/>
            <w:tcBorders>
              <w:top w:val="nil"/>
              <w:left w:val="nil"/>
              <w:bottom w:val="nil"/>
              <w:right w:val="nil"/>
            </w:tcBorders>
            <w:noWrap/>
            <w:vAlign w:val="bottom"/>
            <w:hideMark/>
          </w:tcPr>
          <w:p w14:paraId="6A643FBA"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1.085687</w:t>
            </w:r>
          </w:p>
        </w:tc>
      </w:tr>
      <w:tr w:rsidR="00A60822" w:rsidRPr="00A60822" w14:paraId="5EB5F725" w14:textId="77777777" w:rsidTr="00D00B3F">
        <w:trPr>
          <w:trHeight w:val="300"/>
        </w:trPr>
        <w:tc>
          <w:tcPr>
            <w:tcW w:w="2610" w:type="dxa"/>
            <w:tcBorders>
              <w:top w:val="nil"/>
              <w:left w:val="nil"/>
              <w:bottom w:val="nil"/>
              <w:right w:val="nil"/>
            </w:tcBorders>
            <w:noWrap/>
            <w:vAlign w:val="bottom"/>
            <w:hideMark/>
          </w:tcPr>
          <w:p w14:paraId="15E01CE8"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 xml:space="preserve"> Kurtosis</w:t>
            </w:r>
          </w:p>
        </w:tc>
        <w:tc>
          <w:tcPr>
            <w:tcW w:w="1943" w:type="dxa"/>
            <w:tcBorders>
              <w:top w:val="nil"/>
              <w:left w:val="nil"/>
              <w:bottom w:val="nil"/>
              <w:right w:val="nil"/>
            </w:tcBorders>
            <w:noWrap/>
            <w:vAlign w:val="bottom"/>
            <w:hideMark/>
          </w:tcPr>
          <w:p w14:paraId="51C1B2D1"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2.131059</w:t>
            </w:r>
          </w:p>
        </w:tc>
        <w:tc>
          <w:tcPr>
            <w:tcW w:w="2197" w:type="dxa"/>
            <w:tcBorders>
              <w:top w:val="nil"/>
              <w:left w:val="nil"/>
              <w:bottom w:val="nil"/>
              <w:right w:val="nil"/>
            </w:tcBorders>
            <w:noWrap/>
            <w:vAlign w:val="bottom"/>
            <w:hideMark/>
          </w:tcPr>
          <w:p w14:paraId="0EF5E128"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10.70336</w:t>
            </w:r>
          </w:p>
        </w:tc>
        <w:tc>
          <w:tcPr>
            <w:tcW w:w="2880" w:type="dxa"/>
            <w:tcBorders>
              <w:top w:val="nil"/>
              <w:left w:val="nil"/>
              <w:bottom w:val="nil"/>
              <w:right w:val="nil"/>
            </w:tcBorders>
            <w:noWrap/>
            <w:vAlign w:val="bottom"/>
            <w:hideMark/>
          </w:tcPr>
          <w:p w14:paraId="09CB7E39"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10.30316</w:t>
            </w:r>
          </w:p>
        </w:tc>
      </w:tr>
      <w:tr w:rsidR="00A60822" w:rsidRPr="00A60822" w14:paraId="4860DECC" w14:textId="77777777" w:rsidTr="00D00B3F">
        <w:trPr>
          <w:trHeight w:val="300"/>
        </w:trPr>
        <w:tc>
          <w:tcPr>
            <w:tcW w:w="2610" w:type="dxa"/>
            <w:tcBorders>
              <w:top w:val="nil"/>
              <w:left w:val="nil"/>
              <w:bottom w:val="nil"/>
              <w:right w:val="nil"/>
            </w:tcBorders>
            <w:noWrap/>
            <w:vAlign w:val="bottom"/>
            <w:hideMark/>
          </w:tcPr>
          <w:p w14:paraId="05D72741"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 xml:space="preserve"> Jarque-Bera</w:t>
            </w:r>
          </w:p>
        </w:tc>
        <w:tc>
          <w:tcPr>
            <w:tcW w:w="1943" w:type="dxa"/>
            <w:tcBorders>
              <w:top w:val="nil"/>
              <w:left w:val="nil"/>
              <w:bottom w:val="nil"/>
              <w:right w:val="nil"/>
            </w:tcBorders>
            <w:noWrap/>
            <w:vAlign w:val="bottom"/>
            <w:hideMark/>
          </w:tcPr>
          <w:p w14:paraId="2A098FCD"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2.09(0.35)</w:t>
            </w:r>
          </w:p>
        </w:tc>
        <w:tc>
          <w:tcPr>
            <w:tcW w:w="2197" w:type="dxa"/>
            <w:tcBorders>
              <w:top w:val="nil"/>
              <w:left w:val="nil"/>
              <w:bottom w:val="nil"/>
              <w:right w:val="nil"/>
            </w:tcBorders>
            <w:noWrap/>
            <w:vAlign w:val="bottom"/>
            <w:hideMark/>
          </w:tcPr>
          <w:p w14:paraId="4BDE853D"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242.30(0.00)</w:t>
            </w:r>
          </w:p>
        </w:tc>
        <w:tc>
          <w:tcPr>
            <w:tcW w:w="2880" w:type="dxa"/>
            <w:tcBorders>
              <w:top w:val="nil"/>
              <w:left w:val="nil"/>
              <w:bottom w:val="nil"/>
              <w:right w:val="nil"/>
            </w:tcBorders>
            <w:noWrap/>
            <w:vAlign w:val="bottom"/>
            <w:hideMark/>
          </w:tcPr>
          <w:p w14:paraId="32AA3FDD"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157.22(0.00)</w:t>
            </w:r>
          </w:p>
        </w:tc>
      </w:tr>
      <w:tr w:rsidR="00A60822" w:rsidRPr="00A60822" w14:paraId="6B45200B" w14:textId="77777777" w:rsidTr="00D00B3F">
        <w:trPr>
          <w:trHeight w:val="300"/>
        </w:trPr>
        <w:tc>
          <w:tcPr>
            <w:tcW w:w="2610" w:type="dxa"/>
            <w:tcBorders>
              <w:top w:val="nil"/>
              <w:left w:val="nil"/>
              <w:bottom w:val="nil"/>
              <w:right w:val="nil"/>
            </w:tcBorders>
            <w:noWrap/>
            <w:vAlign w:val="bottom"/>
            <w:hideMark/>
          </w:tcPr>
          <w:p w14:paraId="475005F6"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ADF</w:t>
            </w:r>
          </w:p>
        </w:tc>
        <w:tc>
          <w:tcPr>
            <w:tcW w:w="1943" w:type="dxa"/>
            <w:tcBorders>
              <w:top w:val="nil"/>
              <w:left w:val="nil"/>
              <w:bottom w:val="nil"/>
              <w:right w:val="nil"/>
            </w:tcBorders>
            <w:noWrap/>
            <w:vAlign w:val="bottom"/>
            <w:hideMark/>
          </w:tcPr>
          <w:p w14:paraId="64017DA4"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3.29(0.00)</w:t>
            </w:r>
          </w:p>
        </w:tc>
        <w:tc>
          <w:tcPr>
            <w:tcW w:w="2197" w:type="dxa"/>
            <w:tcBorders>
              <w:top w:val="nil"/>
              <w:left w:val="nil"/>
              <w:bottom w:val="nil"/>
              <w:right w:val="nil"/>
            </w:tcBorders>
            <w:noWrap/>
            <w:vAlign w:val="bottom"/>
            <w:hideMark/>
          </w:tcPr>
          <w:p w14:paraId="283DDD2A"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8.69(0.00)</w:t>
            </w:r>
          </w:p>
        </w:tc>
        <w:tc>
          <w:tcPr>
            <w:tcW w:w="2880" w:type="dxa"/>
            <w:tcBorders>
              <w:top w:val="nil"/>
              <w:left w:val="nil"/>
              <w:bottom w:val="nil"/>
              <w:right w:val="nil"/>
            </w:tcBorders>
            <w:noWrap/>
            <w:vAlign w:val="bottom"/>
            <w:hideMark/>
          </w:tcPr>
          <w:p w14:paraId="685A4CE7" w14:textId="77777777" w:rsidR="00A60822" w:rsidRPr="00A60822" w:rsidRDefault="00A60822" w:rsidP="00F2321A">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4.8(0.00)</w:t>
            </w:r>
          </w:p>
        </w:tc>
      </w:tr>
    </w:tbl>
    <w:p w14:paraId="55EB35F0" w14:textId="77777777" w:rsidR="00A60822" w:rsidRPr="00A60822" w:rsidRDefault="00A60822" w:rsidP="00F2321A">
      <w:pPr>
        <w:pBdr>
          <w:top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Source: Author’s Result Computation</w:t>
      </w:r>
    </w:p>
    <w:p w14:paraId="126CDCF6" w14:textId="77777777" w:rsidR="00F2321A" w:rsidRDefault="00F2321A" w:rsidP="00F2321A">
      <w:pPr>
        <w:spacing w:after="0" w:line="240" w:lineRule="auto"/>
        <w:jc w:val="both"/>
        <w:rPr>
          <w:rFonts w:ascii="Times New Roman" w:hAnsi="Times New Roman" w:cs="Times New Roman"/>
          <w:kern w:val="0"/>
          <w14:ligatures w14:val="none"/>
        </w:rPr>
      </w:pPr>
    </w:p>
    <w:p w14:paraId="3B81206A" w14:textId="7DD29361"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The descriptive statistics in table 4.1 cover a sample size of January 2019 to December 2025, approximately 66 observations. As clearly indicated in the table, the mean value of bond, stock and Treasury bill assets are about 0.14, 0.25 and 0.004 respectively. While the corresponded total risk or standard deviations are 0.02, 0.60 and 0.11. It is very evident here that stock has the highest mean or average value and the highest risk too, confirming the convection-the higher the return the higher the risk. Bond has a better return than treasure bill. However, the three securities have the same “syndrome” of increasing tendency in return over the sampling period. We can also see that by approximating the standard deviation of bond and Treasury bill to one digit, they have zero standard deviation, which means the bond and treasure bill are approximately risk-free securities. Bond has zero skewness, which means it is not skewed but symmetric. The skewness values of stock and Treasury bill are 2.74 and 1.09 respectively. Meaning stocks and treasury bills are positively skewed with long tail rightward, but bond is bird shaped. Kurtosis values are 2.13, 10.70 and 10.30 respectively for bond, stock and Treasury bill. Therefore, bond is </w:t>
      </w:r>
      <w:proofErr w:type="spellStart"/>
      <w:r w:rsidRPr="00A60822">
        <w:rPr>
          <w:rFonts w:ascii="Times New Roman" w:hAnsi="Times New Roman" w:cs="Times New Roman"/>
          <w:kern w:val="0"/>
          <w14:ligatures w14:val="none"/>
        </w:rPr>
        <w:t>plytokurtic</w:t>
      </w:r>
      <w:proofErr w:type="spellEnd"/>
      <w:r w:rsidRPr="00A60822">
        <w:rPr>
          <w:rFonts w:ascii="Times New Roman" w:hAnsi="Times New Roman" w:cs="Times New Roman"/>
          <w:kern w:val="0"/>
          <w14:ligatures w14:val="none"/>
        </w:rPr>
        <w:t xml:space="preserve">, while stock and Treasure bill are leptokurtic. The result of the distribution pattern is given by the Jarque-Bera statistics. Bond, stock and Treasury bill have Jarque-Bera statistics of 2.09, 242.30 </w:t>
      </w:r>
      <w:r w:rsidRPr="00A60822">
        <w:rPr>
          <w:rFonts w:ascii="Times New Roman" w:hAnsi="Times New Roman" w:cs="Times New Roman"/>
          <w:kern w:val="0"/>
          <w14:ligatures w14:val="none"/>
        </w:rPr>
        <w:lastRenderedPageBreak/>
        <w:t xml:space="preserve">and 157.22 respectively. Moreover, the associated probabilities are 0.35, 0.00 and 0.00. This suggests that bond price return is normally distributed but the return of stock and treasury bill prices are not. </w:t>
      </w:r>
    </w:p>
    <w:p w14:paraId="54AF16E5" w14:textId="77777777" w:rsidR="00F2321A" w:rsidRDefault="00F2321A" w:rsidP="00F2321A">
      <w:pPr>
        <w:spacing w:after="0" w:line="240" w:lineRule="auto"/>
        <w:jc w:val="both"/>
        <w:rPr>
          <w:rFonts w:ascii="Times New Roman" w:hAnsi="Times New Roman" w:cs="Times New Roman"/>
          <w:b/>
          <w:kern w:val="0"/>
          <w14:ligatures w14:val="none"/>
        </w:rPr>
      </w:pPr>
    </w:p>
    <w:p w14:paraId="63C54F62" w14:textId="7565926B" w:rsidR="00A60822" w:rsidRPr="00A60822" w:rsidRDefault="00A60822" w:rsidP="00F2321A">
      <w:pPr>
        <w:spacing w:after="0" w:line="240" w:lineRule="auto"/>
        <w:jc w:val="both"/>
        <w:rPr>
          <w:rFonts w:ascii="Times New Roman" w:hAnsi="Times New Roman" w:cs="Times New Roman"/>
          <w:b/>
          <w:kern w:val="0"/>
          <w14:ligatures w14:val="none"/>
        </w:rPr>
      </w:pPr>
      <w:r w:rsidRPr="00A60822">
        <w:rPr>
          <w:rFonts w:ascii="Times New Roman" w:hAnsi="Times New Roman" w:cs="Times New Roman"/>
          <w:b/>
          <w:kern w:val="0"/>
          <w14:ligatures w14:val="none"/>
        </w:rPr>
        <w:t>3.3.1: Unit Root Test (Test for Stationarity)</w:t>
      </w:r>
    </w:p>
    <w:p w14:paraId="23834A61" w14:textId="77777777" w:rsidR="00A60822" w:rsidRPr="00A60822" w:rsidRDefault="00A60822" w:rsidP="00F2321A">
      <w:pPr>
        <w:spacing w:after="0" w:line="240" w:lineRule="auto"/>
        <w:jc w:val="both"/>
        <w:rPr>
          <w:rFonts w:ascii="Times New Roman" w:hAnsi="Times New Roman" w:cs="Times New Roman"/>
          <w:b/>
          <w:kern w:val="0"/>
          <w14:ligatures w14:val="none"/>
        </w:rPr>
      </w:pPr>
      <w:r w:rsidRPr="00A60822">
        <w:rPr>
          <w:rFonts w:ascii="Times New Roman" w:hAnsi="Times New Roman" w:cs="Times New Roman"/>
          <w:b/>
          <w:kern w:val="0"/>
          <w14:ligatures w14:val="none"/>
        </w:rPr>
        <w:t>Table 2: ADF unit root test results</w:t>
      </w:r>
    </w:p>
    <w:tbl>
      <w:tblPr>
        <w:tblStyle w:val="TableGrid1"/>
        <w:tblW w:w="0" w:type="auto"/>
        <w:jc w:val="center"/>
        <w:tblLook w:val="04A0" w:firstRow="1" w:lastRow="0" w:firstColumn="1" w:lastColumn="0" w:noHBand="0" w:noVBand="1"/>
      </w:tblPr>
      <w:tblGrid>
        <w:gridCol w:w="1497"/>
        <w:gridCol w:w="1462"/>
        <w:gridCol w:w="1393"/>
        <w:gridCol w:w="1350"/>
        <w:gridCol w:w="1324"/>
        <w:gridCol w:w="1376"/>
        <w:gridCol w:w="944"/>
      </w:tblGrid>
      <w:tr w:rsidR="00A60822" w:rsidRPr="00A60822" w14:paraId="24DF7CBE" w14:textId="77777777" w:rsidTr="00D00B3F">
        <w:trPr>
          <w:trHeight w:val="413"/>
          <w:jc w:val="center"/>
        </w:trPr>
        <w:tc>
          <w:tcPr>
            <w:tcW w:w="1497" w:type="dxa"/>
            <w:vMerge w:val="restart"/>
            <w:vAlign w:val="center"/>
          </w:tcPr>
          <w:p w14:paraId="7EC934AA"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Differenced</w:t>
            </w:r>
          </w:p>
          <w:p w14:paraId="07F65E43"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Variables</w:t>
            </w:r>
          </w:p>
        </w:tc>
        <w:tc>
          <w:tcPr>
            <w:tcW w:w="1462" w:type="dxa"/>
            <w:vMerge w:val="restart"/>
            <w:vAlign w:val="center"/>
          </w:tcPr>
          <w:p w14:paraId="118AF79A"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ADF-statistic</w:t>
            </w:r>
          </w:p>
        </w:tc>
        <w:tc>
          <w:tcPr>
            <w:tcW w:w="4067" w:type="dxa"/>
            <w:gridSpan w:val="3"/>
            <w:vAlign w:val="center"/>
          </w:tcPr>
          <w:p w14:paraId="1B497875"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Test Critical Values</w:t>
            </w:r>
          </w:p>
        </w:tc>
        <w:tc>
          <w:tcPr>
            <w:tcW w:w="1376" w:type="dxa"/>
            <w:vMerge w:val="restart"/>
          </w:tcPr>
          <w:p w14:paraId="6C9EEC1B"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Order of Integration</w:t>
            </w:r>
          </w:p>
        </w:tc>
        <w:tc>
          <w:tcPr>
            <w:tcW w:w="944" w:type="dxa"/>
            <w:vMerge w:val="restart"/>
          </w:tcPr>
          <w:p w14:paraId="27D4AC37"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Prob.</w:t>
            </w:r>
          </w:p>
        </w:tc>
      </w:tr>
      <w:tr w:rsidR="00A60822" w:rsidRPr="00A60822" w14:paraId="48E9C20A" w14:textId="77777777" w:rsidTr="00D00B3F">
        <w:trPr>
          <w:trHeight w:val="413"/>
          <w:jc w:val="center"/>
        </w:trPr>
        <w:tc>
          <w:tcPr>
            <w:tcW w:w="1497" w:type="dxa"/>
            <w:vMerge/>
            <w:vAlign w:val="center"/>
          </w:tcPr>
          <w:p w14:paraId="2CC158CB" w14:textId="77777777" w:rsidR="00A60822" w:rsidRPr="00A60822" w:rsidRDefault="00A60822" w:rsidP="00F2321A">
            <w:pPr>
              <w:jc w:val="center"/>
              <w:rPr>
                <w:rFonts w:ascii="Times New Roman" w:hAnsi="Times New Roman" w:cs="Times New Roman"/>
                <w:b/>
              </w:rPr>
            </w:pPr>
          </w:p>
        </w:tc>
        <w:tc>
          <w:tcPr>
            <w:tcW w:w="1462" w:type="dxa"/>
            <w:vMerge/>
            <w:vAlign w:val="center"/>
          </w:tcPr>
          <w:p w14:paraId="10784070" w14:textId="77777777" w:rsidR="00A60822" w:rsidRPr="00A60822" w:rsidRDefault="00A60822" w:rsidP="00F2321A">
            <w:pPr>
              <w:jc w:val="center"/>
              <w:rPr>
                <w:rFonts w:ascii="Times New Roman" w:hAnsi="Times New Roman" w:cs="Times New Roman"/>
                <w:b/>
              </w:rPr>
            </w:pPr>
          </w:p>
        </w:tc>
        <w:tc>
          <w:tcPr>
            <w:tcW w:w="1393" w:type="dxa"/>
            <w:vAlign w:val="center"/>
          </w:tcPr>
          <w:p w14:paraId="704CB03F"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1%</w:t>
            </w:r>
          </w:p>
        </w:tc>
        <w:tc>
          <w:tcPr>
            <w:tcW w:w="1350" w:type="dxa"/>
          </w:tcPr>
          <w:p w14:paraId="49125D7E"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5%</w:t>
            </w:r>
          </w:p>
        </w:tc>
        <w:tc>
          <w:tcPr>
            <w:tcW w:w="1324" w:type="dxa"/>
          </w:tcPr>
          <w:p w14:paraId="6099874F" w14:textId="77777777" w:rsidR="00A60822" w:rsidRPr="00A60822" w:rsidRDefault="00A60822" w:rsidP="00F2321A">
            <w:pPr>
              <w:jc w:val="center"/>
              <w:rPr>
                <w:rFonts w:ascii="Times New Roman" w:hAnsi="Times New Roman" w:cs="Times New Roman"/>
                <w:b/>
              </w:rPr>
            </w:pPr>
            <w:r w:rsidRPr="00A60822">
              <w:rPr>
                <w:rFonts w:ascii="Times New Roman" w:hAnsi="Times New Roman" w:cs="Times New Roman"/>
                <w:b/>
              </w:rPr>
              <w:t>10%</w:t>
            </w:r>
          </w:p>
        </w:tc>
        <w:tc>
          <w:tcPr>
            <w:tcW w:w="1376" w:type="dxa"/>
            <w:vMerge/>
          </w:tcPr>
          <w:p w14:paraId="7CE8C80C" w14:textId="77777777" w:rsidR="00A60822" w:rsidRPr="00A60822" w:rsidRDefault="00A60822" w:rsidP="00F2321A">
            <w:pPr>
              <w:jc w:val="center"/>
              <w:rPr>
                <w:rFonts w:ascii="Times New Roman" w:hAnsi="Times New Roman" w:cs="Times New Roman"/>
                <w:b/>
              </w:rPr>
            </w:pPr>
          </w:p>
        </w:tc>
        <w:tc>
          <w:tcPr>
            <w:tcW w:w="944" w:type="dxa"/>
            <w:vMerge/>
          </w:tcPr>
          <w:p w14:paraId="094F7936" w14:textId="77777777" w:rsidR="00A60822" w:rsidRPr="00A60822" w:rsidRDefault="00A60822" w:rsidP="00F2321A">
            <w:pPr>
              <w:jc w:val="center"/>
              <w:rPr>
                <w:rFonts w:ascii="Times New Roman" w:hAnsi="Times New Roman" w:cs="Times New Roman"/>
                <w:b/>
              </w:rPr>
            </w:pPr>
          </w:p>
        </w:tc>
      </w:tr>
      <w:tr w:rsidR="00A60822" w:rsidRPr="00A60822" w14:paraId="2CE82A43" w14:textId="77777777" w:rsidTr="00D00B3F">
        <w:trPr>
          <w:jc w:val="center"/>
        </w:trPr>
        <w:tc>
          <w:tcPr>
            <w:tcW w:w="1497" w:type="dxa"/>
          </w:tcPr>
          <w:p w14:paraId="4AC5E707"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rPr>
              <w:t>STK_RTN</w:t>
            </w:r>
          </w:p>
        </w:tc>
        <w:tc>
          <w:tcPr>
            <w:tcW w:w="1462" w:type="dxa"/>
          </w:tcPr>
          <w:p w14:paraId="253CD8E0"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color w:val="000000"/>
              </w:rPr>
              <w:t>-7.865257</w:t>
            </w:r>
          </w:p>
        </w:tc>
        <w:tc>
          <w:tcPr>
            <w:tcW w:w="1393" w:type="dxa"/>
            <w:vAlign w:val="bottom"/>
          </w:tcPr>
          <w:p w14:paraId="2A58E158" w14:textId="77777777" w:rsidR="00A60822" w:rsidRPr="00A60822" w:rsidRDefault="00A60822" w:rsidP="00F2321A">
            <w:pPr>
              <w:autoSpaceDE w:val="0"/>
              <w:autoSpaceDN w:val="0"/>
              <w:adjustRightInd w:val="0"/>
              <w:jc w:val="center"/>
              <w:rPr>
                <w:rFonts w:ascii="Times New Roman" w:hAnsi="Times New Roman" w:cs="Times New Roman"/>
                <w:color w:val="000000"/>
              </w:rPr>
            </w:pPr>
            <w:r w:rsidRPr="00A60822">
              <w:rPr>
                <w:rFonts w:ascii="Times New Roman" w:hAnsi="Times New Roman" w:cs="Times New Roman"/>
                <w:color w:val="000000"/>
              </w:rPr>
              <w:t>-3.512290</w:t>
            </w:r>
          </w:p>
        </w:tc>
        <w:tc>
          <w:tcPr>
            <w:tcW w:w="1350" w:type="dxa"/>
          </w:tcPr>
          <w:p w14:paraId="2EC9A9E3" w14:textId="77777777" w:rsidR="00A60822" w:rsidRPr="00A60822" w:rsidRDefault="00A60822" w:rsidP="00F2321A">
            <w:pPr>
              <w:jc w:val="center"/>
              <w:rPr>
                <w:rFonts w:ascii="Times New Roman" w:hAnsi="Times New Roman" w:cs="Times New Roman"/>
                <w:color w:val="000000"/>
              </w:rPr>
            </w:pPr>
            <w:r w:rsidRPr="00A60822">
              <w:rPr>
                <w:rFonts w:ascii="Times New Roman" w:hAnsi="Times New Roman" w:cs="Times New Roman"/>
                <w:color w:val="000000"/>
              </w:rPr>
              <w:t>-2.897223</w:t>
            </w:r>
          </w:p>
        </w:tc>
        <w:tc>
          <w:tcPr>
            <w:tcW w:w="1324" w:type="dxa"/>
          </w:tcPr>
          <w:p w14:paraId="098736CB" w14:textId="77777777" w:rsidR="00A60822" w:rsidRPr="00A60822" w:rsidRDefault="00A60822" w:rsidP="00F2321A">
            <w:pPr>
              <w:jc w:val="center"/>
              <w:rPr>
                <w:rFonts w:ascii="Times New Roman" w:hAnsi="Times New Roman" w:cs="Times New Roman"/>
                <w:color w:val="000000"/>
              </w:rPr>
            </w:pPr>
            <w:r w:rsidRPr="00A60822">
              <w:rPr>
                <w:rFonts w:ascii="Times New Roman" w:hAnsi="Times New Roman" w:cs="Times New Roman"/>
                <w:color w:val="000000"/>
              </w:rPr>
              <w:t>-2.585861</w:t>
            </w:r>
          </w:p>
        </w:tc>
        <w:tc>
          <w:tcPr>
            <w:tcW w:w="1376" w:type="dxa"/>
          </w:tcPr>
          <w:p w14:paraId="234DCE9B" w14:textId="77777777" w:rsidR="00A60822" w:rsidRPr="00A60822" w:rsidRDefault="00A60822" w:rsidP="00F2321A">
            <w:pPr>
              <w:jc w:val="center"/>
              <w:rPr>
                <w:rFonts w:ascii="Times New Roman" w:hAnsi="Times New Roman" w:cs="Times New Roman"/>
              </w:rPr>
            </w:pPr>
            <w:proofErr w:type="gramStart"/>
            <w:r w:rsidRPr="00A60822">
              <w:rPr>
                <w:rFonts w:ascii="Times New Roman" w:hAnsi="Times New Roman" w:cs="Times New Roman"/>
              </w:rPr>
              <w:t>I(</w:t>
            </w:r>
            <w:proofErr w:type="gramEnd"/>
            <w:r w:rsidRPr="00A60822">
              <w:rPr>
                <w:rFonts w:ascii="Times New Roman" w:hAnsi="Times New Roman" w:cs="Times New Roman"/>
              </w:rPr>
              <w:t>1)</w:t>
            </w:r>
          </w:p>
        </w:tc>
        <w:tc>
          <w:tcPr>
            <w:tcW w:w="944" w:type="dxa"/>
          </w:tcPr>
          <w:p w14:paraId="7AFBE75F"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color w:val="000000"/>
              </w:rPr>
              <w:t> 0.0000</w:t>
            </w:r>
          </w:p>
        </w:tc>
      </w:tr>
      <w:tr w:rsidR="00A60822" w:rsidRPr="00A60822" w14:paraId="0C935891" w14:textId="77777777" w:rsidTr="00D00B3F">
        <w:trPr>
          <w:jc w:val="center"/>
        </w:trPr>
        <w:tc>
          <w:tcPr>
            <w:tcW w:w="1497" w:type="dxa"/>
          </w:tcPr>
          <w:p w14:paraId="61AA24D4"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rPr>
              <w:t>BOND_RTN</w:t>
            </w:r>
          </w:p>
        </w:tc>
        <w:tc>
          <w:tcPr>
            <w:tcW w:w="1462" w:type="dxa"/>
          </w:tcPr>
          <w:p w14:paraId="5753C6B6"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color w:val="000000"/>
              </w:rPr>
              <w:t>-9.725329</w:t>
            </w:r>
          </w:p>
        </w:tc>
        <w:tc>
          <w:tcPr>
            <w:tcW w:w="1393" w:type="dxa"/>
            <w:vAlign w:val="bottom"/>
          </w:tcPr>
          <w:p w14:paraId="43FB0AF6" w14:textId="77777777" w:rsidR="00A60822" w:rsidRPr="00A60822" w:rsidRDefault="00A60822" w:rsidP="00F2321A">
            <w:pPr>
              <w:autoSpaceDE w:val="0"/>
              <w:autoSpaceDN w:val="0"/>
              <w:adjustRightInd w:val="0"/>
              <w:jc w:val="center"/>
              <w:rPr>
                <w:rFonts w:ascii="Times New Roman" w:hAnsi="Times New Roman" w:cs="Times New Roman"/>
                <w:color w:val="000000"/>
              </w:rPr>
            </w:pPr>
            <w:r w:rsidRPr="00A60822">
              <w:rPr>
                <w:rFonts w:ascii="Times New Roman" w:hAnsi="Times New Roman" w:cs="Times New Roman"/>
                <w:color w:val="000000"/>
              </w:rPr>
              <w:t>-3.512290</w:t>
            </w:r>
          </w:p>
        </w:tc>
        <w:tc>
          <w:tcPr>
            <w:tcW w:w="1350" w:type="dxa"/>
          </w:tcPr>
          <w:p w14:paraId="10E046DA" w14:textId="77777777" w:rsidR="00A60822" w:rsidRPr="00A60822" w:rsidRDefault="00A60822" w:rsidP="00F2321A">
            <w:pPr>
              <w:jc w:val="center"/>
              <w:rPr>
                <w:rFonts w:ascii="Times New Roman" w:hAnsi="Times New Roman" w:cs="Times New Roman"/>
                <w:color w:val="000000"/>
              </w:rPr>
            </w:pPr>
            <w:r w:rsidRPr="00A60822">
              <w:rPr>
                <w:rFonts w:ascii="Times New Roman" w:hAnsi="Times New Roman" w:cs="Times New Roman"/>
                <w:color w:val="000000"/>
              </w:rPr>
              <w:t>-2.897223</w:t>
            </w:r>
          </w:p>
        </w:tc>
        <w:tc>
          <w:tcPr>
            <w:tcW w:w="1324" w:type="dxa"/>
          </w:tcPr>
          <w:p w14:paraId="070AD79D" w14:textId="77777777" w:rsidR="00A60822" w:rsidRPr="00A60822" w:rsidRDefault="00A60822" w:rsidP="00F2321A">
            <w:pPr>
              <w:jc w:val="center"/>
              <w:rPr>
                <w:rFonts w:ascii="Times New Roman" w:hAnsi="Times New Roman" w:cs="Times New Roman"/>
                <w:color w:val="000000"/>
              </w:rPr>
            </w:pPr>
            <w:r w:rsidRPr="00A60822">
              <w:rPr>
                <w:rFonts w:ascii="Times New Roman" w:hAnsi="Times New Roman" w:cs="Times New Roman"/>
                <w:color w:val="000000"/>
              </w:rPr>
              <w:t>-2.585861</w:t>
            </w:r>
          </w:p>
        </w:tc>
        <w:tc>
          <w:tcPr>
            <w:tcW w:w="1376" w:type="dxa"/>
          </w:tcPr>
          <w:p w14:paraId="45FE6146" w14:textId="77777777" w:rsidR="00A60822" w:rsidRPr="00A60822" w:rsidRDefault="00A60822" w:rsidP="00F2321A">
            <w:pPr>
              <w:jc w:val="center"/>
              <w:rPr>
                <w:rFonts w:ascii="Times New Roman" w:hAnsi="Times New Roman" w:cs="Times New Roman"/>
              </w:rPr>
            </w:pPr>
            <w:proofErr w:type="gramStart"/>
            <w:r w:rsidRPr="00A60822">
              <w:rPr>
                <w:rFonts w:ascii="Times New Roman" w:hAnsi="Times New Roman" w:cs="Times New Roman"/>
              </w:rPr>
              <w:t>I(</w:t>
            </w:r>
            <w:proofErr w:type="gramEnd"/>
            <w:r w:rsidRPr="00A60822">
              <w:rPr>
                <w:rFonts w:ascii="Times New Roman" w:hAnsi="Times New Roman" w:cs="Times New Roman"/>
              </w:rPr>
              <w:t>1)</w:t>
            </w:r>
          </w:p>
        </w:tc>
        <w:tc>
          <w:tcPr>
            <w:tcW w:w="944" w:type="dxa"/>
          </w:tcPr>
          <w:p w14:paraId="4AE69FF5"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color w:val="000000"/>
              </w:rPr>
              <w:t> 0.0000</w:t>
            </w:r>
          </w:p>
        </w:tc>
      </w:tr>
      <w:tr w:rsidR="00A60822" w:rsidRPr="00A60822" w14:paraId="60ABB66C" w14:textId="77777777" w:rsidTr="00D00B3F">
        <w:trPr>
          <w:jc w:val="center"/>
        </w:trPr>
        <w:tc>
          <w:tcPr>
            <w:tcW w:w="1497" w:type="dxa"/>
          </w:tcPr>
          <w:p w14:paraId="0BB96EFF"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rPr>
              <w:t>TBR_RTN</w:t>
            </w:r>
          </w:p>
        </w:tc>
        <w:tc>
          <w:tcPr>
            <w:tcW w:w="1462" w:type="dxa"/>
          </w:tcPr>
          <w:p w14:paraId="63E3E894" w14:textId="77777777" w:rsidR="00A60822" w:rsidRPr="00A60822" w:rsidRDefault="00A60822" w:rsidP="00F2321A">
            <w:pPr>
              <w:jc w:val="center"/>
              <w:rPr>
                <w:rFonts w:ascii="Times New Roman" w:hAnsi="Times New Roman" w:cs="Times New Roman"/>
                <w:color w:val="000000"/>
              </w:rPr>
            </w:pPr>
            <w:r w:rsidRPr="00A60822">
              <w:rPr>
                <w:rFonts w:ascii="Times New Roman" w:hAnsi="Times New Roman" w:cs="Times New Roman"/>
                <w:color w:val="000000"/>
              </w:rPr>
              <w:t>-5.460857</w:t>
            </w:r>
          </w:p>
        </w:tc>
        <w:tc>
          <w:tcPr>
            <w:tcW w:w="1393" w:type="dxa"/>
            <w:vAlign w:val="bottom"/>
          </w:tcPr>
          <w:p w14:paraId="395E5B98" w14:textId="77777777" w:rsidR="00A60822" w:rsidRPr="00A60822" w:rsidRDefault="00A60822" w:rsidP="00F2321A">
            <w:pPr>
              <w:autoSpaceDE w:val="0"/>
              <w:autoSpaceDN w:val="0"/>
              <w:adjustRightInd w:val="0"/>
              <w:jc w:val="center"/>
              <w:rPr>
                <w:rFonts w:ascii="Times New Roman" w:hAnsi="Times New Roman" w:cs="Times New Roman"/>
                <w:color w:val="000000"/>
              </w:rPr>
            </w:pPr>
            <w:r w:rsidRPr="00A60822">
              <w:rPr>
                <w:rFonts w:ascii="Times New Roman" w:hAnsi="Times New Roman" w:cs="Times New Roman"/>
                <w:color w:val="000000"/>
              </w:rPr>
              <w:t>-3.512290</w:t>
            </w:r>
          </w:p>
        </w:tc>
        <w:tc>
          <w:tcPr>
            <w:tcW w:w="1350" w:type="dxa"/>
          </w:tcPr>
          <w:p w14:paraId="73ECAA49" w14:textId="77777777" w:rsidR="00A60822" w:rsidRPr="00A60822" w:rsidRDefault="00A60822" w:rsidP="00F2321A">
            <w:pPr>
              <w:jc w:val="center"/>
              <w:rPr>
                <w:rFonts w:ascii="Times New Roman" w:hAnsi="Times New Roman" w:cs="Times New Roman"/>
                <w:color w:val="000000"/>
              </w:rPr>
            </w:pPr>
            <w:r w:rsidRPr="00A60822">
              <w:rPr>
                <w:rFonts w:ascii="Times New Roman" w:hAnsi="Times New Roman" w:cs="Times New Roman"/>
                <w:color w:val="000000"/>
              </w:rPr>
              <w:t>-2.897223</w:t>
            </w:r>
          </w:p>
        </w:tc>
        <w:tc>
          <w:tcPr>
            <w:tcW w:w="1324" w:type="dxa"/>
          </w:tcPr>
          <w:p w14:paraId="594DAB14" w14:textId="77777777" w:rsidR="00A60822" w:rsidRPr="00A60822" w:rsidRDefault="00A60822" w:rsidP="00F2321A">
            <w:pPr>
              <w:jc w:val="center"/>
              <w:rPr>
                <w:rFonts w:ascii="Times New Roman" w:hAnsi="Times New Roman" w:cs="Times New Roman"/>
                <w:color w:val="000000"/>
              </w:rPr>
            </w:pPr>
            <w:r w:rsidRPr="00A60822">
              <w:rPr>
                <w:rFonts w:ascii="Times New Roman" w:hAnsi="Times New Roman" w:cs="Times New Roman"/>
                <w:color w:val="000000"/>
              </w:rPr>
              <w:t>-2.585861</w:t>
            </w:r>
          </w:p>
        </w:tc>
        <w:tc>
          <w:tcPr>
            <w:tcW w:w="1376" w:type="dxa"/>
          </w:tcPr>
          <w:p w14:paraId="13A90226" w14:textId="77777777" w:rsidR="00A60822" w:rsidRPr="00A60822" w:rsidRDefault="00A60822" w:rsidP="00F2321A">
            <w:pPr>
              <w:jc w:val="center"/>
              <w:rPr>
                <w:rFonts w:ascii="Times New Roman" w:hAnsi="Times New Roman" w:cs="Times New Roman"/>
              </w:rPr>
            </w:pPr>
            <w:proofErr w:type="gramStart"/>
            <w:r w:rsidRPr="00A60822">
              <w:rPr>
                <w:rFonts w:ascii="Times New Roman" w:hAnsi="Times New Roman" w:cs="Times New Roman"/>
              </w:rPr>
              <w:t>I(</w:t>
            </w:r>
            <w:proofErr w:type="gramEnd"/>
            <w:r w:rsidRPr="00A60822">
              <w:rPr>
                <w:rFonts w:ascii="Times New Roman" w:hAnsi="Times New Roman" w:cs="Times New Roman"/>
              </w:rPr>
              <w:t>1)</w:t>
            </w:r>
          </w:p>
        </w:tc>
        <w:tc>
          <w:tcPr>
            <w:tcW w:w="944" w:type="dxa"/>
          </w:tcPr>
          <w:p w14:paraId="55C42426" w14:textId="77777777" w:rsidR="00A60822" w:rsidRPr="00A60822" w:rsidRDefault="00A60822" w:rsidP="00F2321A">
            <w:pPr>
              <w:jc w:val="center"/>
              <w:rPr>
                <w:rFonts w:ascii="Times New Roman" w:hAnsi="Times New Roman" w:cs="Times New Roman"/>
              </w:rPr>
            </w:pPr>
            <w:r w:rsidRPr="00A60822">
              <w:rPr>
                <w:rFonts w:ascii="Times New Roman" w:hAnsi="Times New Roman" w:cs="Times New Roman"/>
                <w:color w:val="000000"/>
              </w:rPr>
              <w:t>0.0000</w:t>
            </w:r>
          </w:p>
        </w:tc>
      </w:tr>
    </w:tbl>
    <w:p w14:paraId="3682274D" w14:textId="77777777" w:rsidR="00A60822" w:rsidRPr="00A60822" w:rsidRDefault="00A60822" w:rsidP="00F2321A">
      <w:pPr>
        <w:spacing w:line="240" w:lineRule="auto"/>
        <w:jc w:val="both"/>
        <w:rPr>
          <w:rFonts w:ascii="Times New Roman" w:hAnsi="Times New Roman" w:cs="Times New Roman"/>
          <w:b/>
          <w:i/>
          <w:kern w:val="0"/>
          <w:szCs w:val="28"/>
          <w14:ligatures w14:val="none"/>
        </w:rPr>
      </w:pPr>
      <w:r w:rsidRPr="00A60822">
        <w:rPr>
          <w:rFonts w:ascii="Times New Roman" w:hAnsi="Times New Roman" w:cs="Times New Roman"/>
          <w:b/>
          <w:i/>
          <w:kern w:val="0"/>
          <w:szCs w:val="28"/>
          <w14:ligatures w14:val="none"/>
        </w:rPr>
        <w:t>Source: Author’s Computation using E-VIEWS</w:t>
      </w:r>
    </w:p>
    <w:p w14:paraId="3A2A7530" w14:textId="77777777" w:rsidR="00A60822" w:rsidRPr="00A60822" w:rsidRDefault="00A60822" w:rsidP="00F2321A">
      <w:pPr>
        <w:spacing w:line="240" w:lineRule="auto"/>
        <w:jc w:val="both"/>
        <w:rPr>
          <w:rFonts w:ascii="Times New Roman" w:hAnsi="Times New Roman" w:cs="Times New Roman"/>
          <w:kern w:val="0"/>
          <w14:ligatures w14:val="none"/>
        </w:rPr>
      </w:pPr>
      <w:r w:rsidRPr="00A60822">
        <w:rPr>
          <w:rFonts w:ascii="Times New Roman" w:hAnsi="Times New Roman" w:cs="Times New Roman"/>
          <w:kern w:val="0"/>
          <w:szCs w:val="28"/>
          <w14:ligatures w14:val="none"/>
        </w:rPr>
        <w:t>Given the conditions for acceptance, the ADF statistic values are higher than the Test Critical values at all levels, therefore, acceptable.</w:t>
      </w:r>
      <w:r w:rsidRPr="00A60822">
        <w:rPr>
          <w:rFonts w:ascii="Times New Roman" w:hAnsi="Times New Roman" w:cs="Times New Roman"/>
          <w:kern w:val="0"/>
          <w14:ligatures w14:val="none"/>
        </w:rPr>
        <w:t xml:space="preserve"> The corresponding probabilities are less than 0.05, thereby rejecting the hypothesis of unit root is valid in the context of this test. Hence, bond, stock and treasure bill price returns are mean reversible. This reversibility evidence can be examined in the line graph below.</w:t>
      </w:r>
    </w:p>
    <w:p w14:paraId="0A866551" w14:textId="2E2BB75F" w:rsidR="00A60822" w:rsidRPr="00A60822" w:rsidRDefault="00A60822" w:rsidP="00A60822">
      <w:pPr>
        <w:spacing w:before="120" w:after="0" w:line="360" w:lineRule="auto"/>
        <w:ind w:firstLine="720"/>
        <w:jc w:val="center"/>
        <w:rPr>
          <w:rFonts w:ascii="Times New Roman" w:eastAsia="Calibri" w:hAnsi="Times New Roman" w:cs="Times New Roman"/>
          <w:b/>
          <w:kern w:val="0"/>
          <w:sz w:val="28"/>
          <w:szCs w:val="28"/>
          <w14:ligatures w14:val="none"/>
        </w:rPr>
      </w:pPr>
      <w:r w:rsidRPr="00A60822">
        <w:rPr>
          <w:rFonts w:ascii="Times New Roman" w:eastAsia="Calibri" w:hAnsi="Times New Roman" w:cs="Times New Roman"/>
          <w:b/>
          <w:kern w:val="0"/>
          <w:sz w:val="28"/>
          <w:szCs w:val="28"/>
          <w14:ligatures w14:val="none"/>
        </w:rPr>
        <w:t>Graphical plots of the Bond Return</w:t>
      </w:r>
    </w:p>
    <w:p w14:paraId="60E99799" w14:textId="77777777" w:rsidR="00A60822" w:rsidRPr="00A60822" w:rsidRDefault="00A60822" w:rsidP="00A60822">
      <w:pPr>
        <w:spacing w:before="120" w:after="0" w:line="360" w:lineRule="auto"/>
        <w:ind w:firstLine="720"/>
        <w:jc w:val="both"/>
        <w:rPr>
          <w:rFonts w:ascii="Times New Roman" w:hAnsi="Times New Roman" w:cs="Times New Roman"/>
          <w:b/>
          <w:kern w:val="0"/>
          <w14:ligatures w14:val="none"/>
        </w:rPr>
      </w:pPr>
      <w:r w:rsidRPr="00A60822">
        <w:rPr>
          <w:kern w:val="0"/>
          <w:sz w:val="22"/>
          <w:szCs w:val="22"/>
          <w14:ligatures w14:val="none"/>
        </w:rPr>
        <w:object w:dxaOrig="7186" w:dyaOrig="4995" w14:anchorId="59078778">
          <v:shape id="_x0000_i1050" type="#_x0000_t75" style="width:437.25pt;height:250.5pt" o:ole="">
            <v:imagedata r:id="rId71" o:title=""/>
          </v:shape>
          <o:OLEObject Type="Embed" ProgID="EViews.Workfile.2" ShapeID="_x0000_i1050" DrawAspect="Content" ObjectID="_1835537711" r:id="rId72"/>
        </w:object>
      </w:r>
    </w:p>
    <w:p w14:paraId="7C69AF7E" w14:textId="77777777" w:rsidR="00A60822" w:rsidRPr="00A60822" w:rsidRDefault="00A60822" w:rsidP="00A60822">
      <w:pPr>
        <w:spacing w:before="120" w:after="0" w:line="360" w:lineRule="auto"/>
        <w:ind w:firstLine="720"/>
        <w:jc w:val="center"/>
        <w:rPr>
          <w:rFonts w:ascii="Times New Roman" w:hAnsi="Times New Roman" w:cs="Times New Roman"/>
          <w:b/>
          <w:kern w:val="0"/>
          <w14:ligatures w14:val="none"/>
        </w:rPr>
      </w:pPr>
    </w:p>
    <w:p w14:paraId="269965F5" w14:textId="77777777" w:rsidR="00F2321A" w:rsidRDefault="00F2321A" w:rsidP="00A60822">
      <w:pPr>
        <w:spacing w:before="120" w:after="0" w:line="360" w:lineRule="auto"/>
        <w:ind w:firstLine="720"/>
        <w:jc w:val="center"/>
        <w:rPr>
          <w:rFonts w:ascii="Times New Roman" w:eastAsia="Calibri" w:hAnsi="Times New Roman" w:cs="Times New Roman"/>
          <w:b/>
          <w:kern w:val="0"/>
          <w:sz w:val="28"/>
          <w:szCs w:val="28"/>
          <w14:ligatures w14:val="none"/>
        </w:rPr>
      </w:pPr>
    </w:p>
    <w:p w14:paraId="40730E6F" w14:textId="77777777" w:rsidR="00F2321A" w:rsidRDefault="00F2321A" w:rsidP="00A60822">
      <w:pPr>
        <w:spacing w:before="120" w:after="0" w:line="360" w:lineRule="auto"/>
        <w:ind w:firstLine="720"/>
        <w:jc w:val="center"/>
        <w:rPr>
          <w:rFonts w:ascii="Times New Roman" w:eastAsia="Calibri" w:hAnsi="Times New Roman" w:cs="Times New Roman"/>
          <w:b/>
          <w:kern w:val="0"/>
          <w:sz w:val="28"/>
          <w:szCs w:val="28"/>
          <w14:ligatures w14:val="none"/>
        </w:rPr>
      </w:pPr>
    </w:p>
    <w:p w14:paraId="533922CA" w14:textId="77777777" w:rsidR="00F2321A" w:rsidRDefault="00F2321A" w:rsidP="00A60822">
      <w:pPr>
        <w:spacing w:before="120" w:after="0" w:line="360" w:lineRule="auto"/>
        <w:ind w:firstLine="720"/>
        <w:jc w:val="center"/>
        <w:rPr>
          <w:rFonts w:ascii="Times New Roman" w:eastAsia="Calibri" w:hAnsi="Times New Roman" w:cs="Times New Roman"/>
          <w:b/>
          <w:kern w:val="0"/>
          <w:sz w:val="28"/>
          <w:szCs w:val="28"/>
          <w14:ligatures w14:val="none"/>
        </w:rPr>
      </w:pPr>
    </w:p>
    <w:p w14:paraId="4779ECE9" w14:textId="77777777" w:rsidR="00F2321A" w:rsidRDefault="00F2321A" w:rsidP="00A60822">
      <w:pPr>
        <w:spacing w:before="120" w:after="0" w:line="360" w:lineRule="auto"/>
        <w:ind w:firstLine="720"/>
        <w:jc w:val="center"/>
        <w:rPr>
          <w:rFonts w:ascii="Times New Roman" w:eastAsia="Calibri" w:hAnsi="Times New Roman" w:cs="Times New Roman"/>
          <w:b/>
          <w:kern w:val="0"/>
          <w:sz w:val="28"/>
          <w:szCs w:val="28"/>
          <w14:ligatures w14:val="none"/>
        </w:rPr>
      </w:pPr>
    </w:p>
    <w:p w14:paraId="1E25BAA2" w14:textId="77777777" w:rsidR="00186526" w:rsidRDefault="00186526" w:rsidP="00A60822">
      <w:pPr>
        <w:spacing w:before="120" w:after="0" w:line="360" w:lineRule="auto"/>
        <w:ind w:firstLine="720"/>
        <w:jc w:val="center"/>
        <w:rPr>
          <w:rFonts w:ascii="Times New Roman" w:eastAsia="Calibri" w:hAnsi="Times New Roman" w:cs="Times New Roman"/>
          <w:b/>
          <w:kern w:val="0"/>
          <w:sz w:val="28"/>
          <w:szCs w:val="28"/>
          <w14:ligatures w14:val="none"/>
        </w:rPr>
      </w:pPr>
    </w:p>
    <w:p w14:paraId="7D7E744C" w14:textId="51F88E5A" w:rsidR="00A60822" w:rsidRPr="00A60822" w:rsidRDefault="00A60822" w:rsidP="00A60822">
      <w:pPr>
        <w:spacing w:before="120" w:after="0" w:line="360" w:lineRule="auto"/>
        <w:ind w:firstLine="720"/>
        <w:jc w:val="center"/>
        <w:rPr>
          <w:rFonts w:ascii="Times New Roman" w:eastAsia="Calibri" w:hAnsi="Times New Roman" w:cs="Times New Roman"/>
          <w:b/>
          <w:kern w:val="0"/>
          <w:sz w:val="28"/>
          <w:szCs w:val="28"/>
          <w14:ligatures w14:val="none"/>
        </w:rPr>
      </w:pPr>
      <w:r w:rsidRPr="00A60822">
        <w:rPr>
          <w:rFonts w:ascii="Times New Roman" w:eastAsia="Calibri" w:hAnsi="Times New Roman" w:cs="Times New Roman"/>
          <w:b/>
          <w:kern w:val="0"/>
          <w:sz w:val="28"/>
          <w:szCs w:val="28"/>
          <w14:ligatures w14:val="none"/>
        </w:rPr>
        <w:lastRenderedPageBreak/>
        <w:t>Graphical plots of the Stock Return</w:t>
      </w:r>
    </w:p>
    <w:p w14:paraId="77408DCE" w14:textId="77777777" w:rsidR="00A60822" w:rsidRPr="00A60822" w:rsidRDefault="00A60822" w:rsidP="00A60822">
      <w:pPr>
        <w:spacing w:after="0" w:line="480" w:lineRule="auto"/>
        <w:jc w:val="both"/>
        <w:rPr>
          <w:kern w:val="0"/>
          <w:sz w:val="22"/>
          <w:szCs w:val="22"/>
          <w14:ligatures w14:val="none"/>
        </w:rPr>
      </w:pPr>
      <w:r w:rsidRPr="00A60822">
        <w:rPr>
          <w:kern w:val="0"/>
          <w:sz w:val="22"/>
          <w:szCs w:val="22"/>
          <w14:ligatures w14:val="none"/>
        </w:rPr>
        <w:object w:dxaOrig="7275" w:dyaOrig="4995" w14:anchorId="10E4E887">
          <v:shape id="_x0000_i1051" type="#_x0000_t75" style="width:440.25pt;height:250.5pt" o:ole="">
            <v:imagedata r:id="rId73" o:title=""/>
          </v:shape>
          <o:OLEObject Type="Embed" ProgID="EViews.Workfile.2" ShapeID="_x0000_i1051" DrawAspect="Content" ObjectID="_1835537712" r:id="rId74"/>
        </w:object>
      </w:r>
    </w:p>
    <w:p w14:paraId="028CFDF8" w14:textId="77777777" w:rsidR="00A60822" w:rsidRPr="00A60822" w:rsidRDefault="00A60822" w:rsidP="00A60822">
      <w:pPr>
        <w:spacing w:after="0" w:line="480" w:lineRule="auto"/>
        <w:jc w:val="both"/>
        <w:rPr>
          <w:kern w:val="0"/>
          <w:sz w:val="22"/>
          <w:szCs w:val="22"/>
          <w14:ligatures w14:val="none"/>
        </w:rPr>
      </w:pPr>
    </w:p>
    <w:p w14:paraId="75F7B662" w14:textId="77777777" w:rsidR="00A60822" w:rsidRPr="00A60822" w:rsidRDefault="00A60822" w:rsidP="00A60822">
      <w:pPr>
        <w:spacing w:after="0" w:line="480" w:lineRule="auto"/>
        <w:jc w:val="both"/>
        <w:rPr>
          <w:kern w:val="0"/>
          <w:sz w:val="22"/>
          <w:szCs w:val="22"/>
          <w14:ligatures w14:val="none"/>
        </w:rPr>
      </w:pPr>
    </w:p>
    <w:p w14:paraId="3B1CBCA6" w14:textId="77777777" w:rsidR="00A60822" w:rsidRPr="00A60822" w:rsidRDefault="00A60822" w:rsidP="00A60822">
      <w:pPr>
        <w:spacing w:before="120" w:after="0" w:line="360" w:lineRule="auto"/>
        <w:ind w:firstLine="720"/>
        <w:jc w:val="center"/>
        <w:rPr>
          <w:rFonts w:ascii="Times New Roman" w:hAnsi="Times New Roman" w:cs="Times New Roman"/>
          <w:b/>
          <w:kern w:val="0"/>
          <w14:ligatures w14:val="none"/>
        </w:rPr>
      </w:pPr>
    </w:p>
    <w:p w14:paraId="587DFE33" w14:textId="77777777" w:rsidR="00A60822" w:rsidRPr="00A60822" w:rsidRDefault="00A60822" w:rsidP="00A60822">
      <w:pPr>
        <w:spacing w:before="120" w:after="0" w:line="360" w:lineRule="auto"/>
        <w:ind w:firstLine="720"/>
        <w:jc w:val="center"/>
        <w:rPr>
          <w:rFonts w:ascii="Times New Roman" w:eastAsia="Calibri" w:hAnsi="Times New Roman" w:cs="Times New Roman"/>
          <w:b/>
          <w:kern w:val="0"/>
          <w:sz w:val="28"/>
          <w:szCs w:val="28"/>
          <w14:ligatures w14:val="none"/>
        </w:rPr>
      </w:pPr>
      <w:r w:rsidRPr="00A60822">
        <w:rPr>
          <w:rFonts w:ascii="Times New Roman" w:hAnsi="Times New Roman" w:cs="Times New Roman"/>
          <w:b/>
          <w:kern w:val="0"/>
          <w14:ligatures w14:val="none"/>
        </w:rPr>
        <w:t xml:space="preserve">Appendix 7: </w:t>
      </w:r>
      <w:r w:rsidRPr="00A60822">
        <w:rPr>
          <w:rFonts w:ascii="Times New Roman" w:eastAsia="Calibri" w:hAnsi="Times New Roman" w:cs="Times New Roman"/>
          <w:b/>
          <w:kern w:val="0"/>
          <w:sz w:val="28"/>
          <w:szCs w:val="28"/>
          <w14:ligatures w14:val="none"/>
        </w:rPr>
        <w:t>Graphical plots of the Treasury Bill Return</w:t>
      </w:r>
    </w:p>
    <w:p w14:paraId="748DD8D2" w14:textId="77777777" w:rsidR="00A60822" w:rsidRPr="00A60822" w:rsidRDefault="00A60822" w:rsidP="00A60822">
      <w:pPr>
        <w:spacing w:after="0" w:line="480" w:lineRule="auto"/>
        <w:jc w:val="both"/>
        <w:rPr>
          <w:rFonts w:ascii="Times New Roman" w:hAnsi="Times New Roman" w:cs="Times New Roman"/>
          <w:kern w:val="0"/>
          <w:sz w:val="28"/>
          <w:szCs w:val="30"/>
          <w14:ligatures w14:val="none"/>
        </w:rPr>
      </w:pPr>
    </w:p>
    <w:p w14:paraId="00C3D885" w14:textId="77777777" w:rsidR="00A60822" w:rsidRPr="00A60822" w:rsidRDefault="00A60822" w:rsidP="00A60822">
      <w:pPr>
        <w:spacing w:after="0" w:line="480" w:lineRule="auto"/>
        <w:jc w:val="both"/>
        <w:rPr>
          <w:rFonts w:ascii="Times New Roman" w:hAnsi="Times New Roman" w:cs="Times New Roman"/>
          <w:kern w:val="0"/>
          <w:sz w:val="30"/>
          <w:szCs w:val="30"/>
          <w14:ligatures w14:val="none"/>
        </w:rPr>
      </w:pPr>
      <w:r w:rsidRPr="00A60822">
        <w:rPr>
          <w:kern w:val="0"/>
          <w:sz w:val="22"/>
          <w:szCs w:val="22"/>
          <w14:ligatures w14:val="none"/>
        </w:rPr>
        <w:object w:dxaOrig="7186" w:dyaOrig="4995" w14:anchorId="38B94608">
          <v:shape id="_x0000_i1052" type="#_x0000_t75" style="width:467.25pt;height:250.5pt" o:ole="">
            <v:imagedata r:id="rId75" o:title=""/>
          </v:shape>
          <o:OLEObject Type="Embed" ProgID="EViews.Workfile.2" ShapeID="_x0000_i1052" DrawAspect="Content" ObjectID="_1835537713" r:id="rId76"/>
        </w:object>
      </w:r>
    </w:p>
    <w:p w14:paraId="44098CA6" w14:textId="77777777" w:rsidR="00A60822" w:rsidRPr="00A60822" w:rsidRDefault="00A60822" w:rsidP="00A60822">
      <w:pPr>
        <w:spacing w:after="0" w:line="240" w:lineRule="auto"/>
        <w:jc w:val="center"/>
        <w:rPr>
          <w:rFonts w:ascii="Times New Roman" w:hAnsi="Times New Roman" w:cs="Times New Roman"/>
          <w:b/>
          <w:kern w:val="0"/>
          <w:sz w:val="30"/>
          <w:szCs w:val="30"/>
          <w14:ligatures w14:val="none"/>
        </w:rPr>
      </w:pPr>
      <w:r w:rsidRPr="00A60822">
        <w:rPr>
          <w:rFonts w:ascii="Times New Roman" w:hAnsi="Times New Roman" w:cs="Times New Roman"/>
          <w:b/>
          <w:kern w:val="0"/>
          <w:sz w:val="30"/>
          <w:szCs w:val="30"/>
          <w14:ligatures w14:val="none"/>
        </w:rPr>
        <w:lastRenderedPageBreak/>
        <w:t>Bond, Stock, and TB Return in a Combined Line Graph</w:t>
      </w:r>
    </w:p>
    <w:p w14:paraId="3D65A774" w14:textId="77777777" w:rsidR="00A60822" w:rsidRPr="00A60822" w:rsidRDefault="00A60822" w:rsidP="00A60822">
      <w:pPr>
        <w:spacing w:after="0" w:line="240" w:lineRule="auto"/>
        <w:jc w:val="center"/>
        <w:rPr>
          <w:rFonts w:ascii="Times New Roman" w:hAnsi="Times New Roman" w:cs="Times New Roman"/>
          <w:b/>
          <w:kern w:val="0"/>
          <w:sz w:val="30"/>
          <w:szCs w:val="30"/>
          <w14:ligatures w14:val="none"/>
        </w:rPr>
      </w:pPr>
    </w:p>
    <w:p w14:paraId="7FD5DD3C" w14:textId="77777777" w:rsidR="00A60822" w:rsidRPr="00A60822" w:rsidRDefault="00A60822" w:rsidP="00A60822">
      <w:pPr>
        <w:spacing w:after="0" w:line="480" w:lineRule="auto"/>
        <w:jc w:val="both"/>
        <w:rPr>
          <w:rFonts w:ascii="Times New Roman" w:hAnsi="Times New Roman" w:cs="Times New Roman"/>
          <w:kern w:val="0"/>
          <w:sz w:val="30"/>
          <w:szCs w:val="30"/>
          <w14:ligatures w14:val="none"/>
        </w:rPr>
      </w:pPr>
      <w:r w:rsidRPr="00A60822">
        <w:rPr>
          <w:kern w:val="0"/>
          <w:sz w:val="22"/>
          <w:szCs w:val="22"/>
          <w14:ligatures w14:val="none"/>
        </w:rPr>
        <w:object w:dxaOrig="7171" w:dyaOrig="5131" w14:anchorId="36C06338">
          <v:shape id="_x0000_i1053" type="#_x0000_t75" style="width:456.75pt;height:256.5pt" o:ole="">
            <v:imagedata r:id="rId77" o:title=""/>
          </v:shape>
          <o:OLEObject Type="Embed" ProgID="EViews.Workfile.2" ShapeID="_x0000_i1053" DrawAspect="Content" ObjectID="_1835537714" r:id="rId78"/>
        </w:object>
      </w:r>
    </w:p>
    <w:p w14:paraId="4A954DAB" w14:textId="77777777" w:rsidR="00A60822" w:rsidRPr="00A60822" w:rsidRDefault="00A60822" w:rsidP="00A60822">
      <w:pPr>
        <w:spacing w:after="0" w:line="480" w:lineRule="auto"/>
        <w:jc w:val="both"/>
        <w:rPr>
          <w:rFonts w:ascii="Times New Roman" w:hAnsi="Times New Roman" w:cs="Times New Roman"/>
          <w:kern w:val="0"/>
          <w14:ligatures w14:val="none"/>
        </w:rPr>
      </w:pPr>
    </w:p>
    <w:p w14:paraId="5CD17129" w14:textId="77777777" w:rsidR="00A60822" w:rsidRPr="00A60822" w:rsidRDefault="00A60822" w:rsidP="00F2321A">
      <w:pPr>
        <w:spacing w:after="0" w:line="240" w:lineRule="auto"/>
        <w:jc w:val="both"/>
        <w:rPr>
          <w:rFonts w:ascii="Times New Roman" w:hAnsi="Times New Roman" w:cs="Times New Roman"/>
          <w:kern w:val="0"/>
          <w:sz w:val="30"/>
          <w:szCs w:val="30"/>
          <w14:ligatures w14:val="none"/>
        </w:rPr>
      </w:pPr>
      <w:r w:rsidRPr="00A60822">
        <w:rPr>
          <w:rFonts w:ascii="Times New Roman" w:hAnsi="Times New Roman" w:cs="Times New Roman"/>
          <w:kern w:val="0"/>
          <w14:ligatures w14:val="none"/>
        </w:rPr>
        <w:t>In the figure above, there are three-line graphs- bond return, stock return and Treasury bill return line graphs. Stock returns were apparently stable from January 2010 to December 2021, and decline consistently throughout 2012. Since January 2023 until May 2025, stock return has appeared highly fluctuated. Bond return fell in January 2020, and then clustered in-between 1 and 17 percent, but got to the peak in December 2024, while Treasury bill and stock got to the peak in the middle of 2024. Treasury bill performed very poorly in 2023, when negative returns were recorded; but bond has never given negative return during the sampling period. Throughout 2025, Treasury bill return appeared stable, likewise bond showed element of stability in the last part of 2025. In addition, there is evidence that stock return is moving toward zero percent in the nearest future. This calls for the urgent attention of the capital market regulatory authority. We can now see the three variables in a combined line graph presented below.</w:t>
      </w:r>
    </w:p>
    <w:p w14:paraId="69EF1C24"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In the combined graph above the blue colored line is the bond return, the red colored line and the grain line is the stock and Treasury bill return respectively. We can see that the bond return is somewhat stable. So also, Treasury bill return is stable except in the months of 2024, when there are features of swigging. On the contrary, stock return clustered exceedingly especially in the half part of the sample. This shows that bond and Treasury bill are fixed income security, while stock is a variable income security.  </w:t>
      </w:r>
    </w:p>
    <w:p w14:paraId="151780A6"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We can now examine the monthly rate of return on these assets. In this regard, the difference in their performance can be unfolded as.</w:t>
      </w:r>
    </w:p>
    <w:p w14:paraId="4EA167EB" w14:textId="77777777" w:rsidR="005E7DC2" w:rsidRDefault="005E7DC2" w:rsidP="00A60822">
      <w:pPr>
        <w:spacing w:after="0" w:line="240" w:lineRule="auto"/>
        <w:jc w:val="both"/>
        <w:rPr>
          <w:rFonts w:ascii="Times New Roman" w:hAnsi="Times New Roman" w:cs="Times New Roman"/>
          <w:kern w:val="0"/>
          <w14:ligatures w14:val="none"/>
        </w:rPr>
      </w:pPr>
    </w:p>
    <w:p w14:paraId="5C3ABC45" w14:textId="77777777" w:rsidR="005E7DC2" w:rsidRDefault="005E7DC2" w:rsidP="00A60822">
      <w:pPr>
        <w:spacing w:after="0" w:line="240" w:lineRule="auto"/>
        <w:jc w:val="both"/>
        <w:rPr>
          <w:rFonts w:ascii="Times New Roman" w:hAnsi="Times New Roman" w:cs="Times New Roman"/>
          <w:kern w:val="0"/>
          <w14:ligatures w14:val="none"/>
        </w:rPr>
      </w:pPr>
    </w:p>
    <w:p w14:paraId="732EEDB4" w14:textId="77777777" w:rsidR="005E7DC2" w:rsidRDefault="005E7DC2" w:rsidP="00A60822">
      <w:pPr>
        <w:spacing w:after="0" w:line="240" w:lineRule="auto"/>
        <w:jc w:val="both"/>
        <w:rPr>
          <w:rFonts w:ascii="Times New Roman" w:hAnsi="Times New Roman" w:cs="Times New Roman"/>
          <w:kern w:val="0"/>
          <w14:ligatures w14:val="none"/>
        </w:rPr>
      </w:pPr>
    </w:p>
    <w:p w14:paraId="4D147E20" w14:textId="77777777" w:rsidR="005E7DC2" w:rsidRDefault="005E7DC2" w:rsidP="00A60822">
      <w:pPr>
        <w:spacing w:after="0" w:line="240" w:lineRule="auto"/>
        <w:jc w:val="both"/>
        <w:rPr>
          <w:rFonts w:ascii="Times New Roman" w:hAnsi="Times New Roman" w:cs="Times New Roman"/>
          <w:kern w:val="0"/>
          <w14:ligatures w14:val="none"/>
        </w:rPr>
      </w:pPr>
    </w:p>
    <w:p w14:paraId="3592F7E1" w14:textId="77777777" w:rsidR="005E7DC2" w:rsidRDefault="005E7DC2" w:rsidP="00A60822">
      <w:pPr>
        <w:spacing w:after="0" w:line="240" w:lineRule="auto"/>
        <w:jc w:val="both"/>
        <w:rPr>
          <w:rFonts w:ascii="Times New Roman" w:hAnsi="Times New Roman" w:cs="Times New Roman"/>
          <w:kern w:val="0"/>
          <w14:ligatures w14:val="none"/>
        </w:rPr>
      </w:pPr>
    </w:p>
    <w:p w14:paraId="3DDCC0BE" w14:textId="77777777" w:rsidR="005E7DC2" w:rsidRDefault="005E7DC2" w:rsidP="00A60822">
      <w:pPr>
        <w:spacing w:after="0" w:line="240" w:lineRule="auto"/>
        <w:jc w:val="both"/>
        <w:rPr>
          <w:rFonts w:ascii="Times New Roman" w:hAnsi="Times New Roman" w:cs="Times New Roman"/>
          <w:kern w:val="0"/>
          <w14:ligatures w14:val="none"/>
        </w:rPr>
      </w:pPr>
    </w:p>
    <w:p w14:paraId="63F1822D" w14:textId="77777777" w:rsidR="005E7DC2" w:rsidRDefault="005E7DC2" w:rsidP="00A60822">
      <w:pPr>
        <w:spacing w:after="0" w:line="240" w:lineRule="auto"/>
        <w:jc w:val="both"/>
        <w:rPr>
          <w:rFonts w:ascii="Times New Roman" w:hAnsi="Times New Roman" w:cs="Times New Roman"/>
          <w:kern w:val="0"/>
          <w14:ligatures w14:val="none"/>
        </w:rPr>
      </w:pPr>
    </w:p>
    <w:p w14:paraId="1FA2D2DC" w14:textId="77777777" w:rsidR="005E7DC2" w:rsidRDefault="005E7DC2" w:rsidP="00A60822">
      <w:pPr>
        <w:spacing w:after="0" w:line="240" w:lineRule="auto"/>
        <w:jc w:val="both"/>
        <w:rPr>
          <w:rFonts w:ascii="Times New Roman" w:hAnsi="Times New Roman" w:cs="Times New Roman"/>
          <w:kern w:val="0"/>
          <w14:ligatures w14:val="none"/>
        </w:rPr>
      </w:pPr>
    </w:p>
    <w:p w14:paraId="7D016FB2" w14:textId="77777777" w:rsidR="005E7DC2" w:rsidRDefault="005E7DC2" w:rsidP="00A60822">
      <w:pPr>
        <w:spacing w:after="0" w:line="240" w:lineRule="auto"/>
        <w:jc w:val="both"/>
        <w:rPr>
          <w:rFonts w:ascii="Times New Roman" w:hAnsi="Times New Roman" w:cs="Times New Roman"/>
          <w:kern w:val="0"/>
          <w14:ligatures w14:val="none"/>
        </w:rPr>
      </w:pPr>
    </w:p>
    <w:p w14:paraId="41AF258A" w14:textId="56D54DFA" w:rsidR="00A60822" w:rsidRPr="00A60822" w:rsidRDefault="00A60822" w:rsidP="00A60822">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lastRenderedPageBreak/>
        <w:t>Table4.2-Monthly Rate of Return Performance Result</w:t>
      </w:r>
    </w:p>
    <w:p w14:paraId="773FF2AD" w14:textId="77777777" w:rsidR="00A60822" w:rsidRPr="00A60822" w:rsidRDefault="00A60822" w:rsidP="00A60822">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PANEL A-BOND RETURN</w:t>
      </w:r>
    </w:p>
    <w:p w14:paraId="6B4DC4FD" w14:textId="77777777" w:rsidR="00A60822" w:rsidRPr="00A60822" w:rsidRDefault="00A60822" w:rsidP="00A60822">
      <w:pPr>
        <w:pBdr>
          <w:top w:val="single" w:sz="4" w:space="1" w:color="auto"/>
          <w:bottom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Regressor                   Coefficient       St-error           T-stat                   P-value</w:t>
      </w:r>
    </w:p>
    <w:tbl>
      <w:tblPr>
        <w:tblW w:w="9270" w:type="dxa"/>
        <w:tblLook w:val="04A0" w:firstRow="1" w:lastRow="0" w:firstColumn="1" w:lastColumn="0" w:noHBand="0" w:noVBand="1"/>
      </w:tblPr>
      <w:tblGrid>
        <w:gridCol w:w="2520"/>
        <w:gridCol w:w="1341"/>
        <w:gridCol w:w="1899"/>
        <w:gridCol w:w="1710"/>
        <w:gridCol w:w="1800"/>
      </w:tblGrid>
      <w:tr w:rsidR="00A60822" w:rsidRPr="00A60822" w14:paraId="1059E442" w14:textId="77777777" w:rsidTr="00D00B3F">
        <w:trPr>
          <w:trHeight w:val="300"/>
        </w:trPr>
        <w:tc>
          <w:tcPr>
            <w:tcW w:w="2520" w:type="dxa"/>
            <w:tcBorders>
              <w:top w:val="nil"/>
              <w:left w:val="nil"/>
              <w:bottom w:val="nil"/>
              <w:right w:val="nil"/>
            </w:tcBorders>
            <w:noWrap/>
            <w:vAlign w:val="bottom"/>
            <w:hideMark/>
          </w:tcPr>
          <w:p w14:paraId="218B1EB7"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MTT</w:t>
            </w:r>
          </w:p>
        </w:tc>
        <w:tc>
          <w:tcPr>
            <w:tcW w:w="1341" w:type="dxa"/>
            <w:tcBorders>
              <w:top w:val="nil"/>
              <w:left w:val="nil"/>
              <w:bottom w:val="nil"/>
              <w:right w:val="nil"/>
            </w:tcBorders>
            <w:noWrap/>
            <w:vAlign w:val="bottom"/>
            <w:hideMark/>
          </w:tcPr>
          <w:p w14:paraId="71260F3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0.000167</w:t>
            </w:r>
          </w:p>
        </w:tc>
        <w:tc>
          <w:tcPr>
            <w:tcW w:w="1899" w:type="dxa"/>
            <w:tcBorders>
              <w:top w:val="nil"/>
              <w:left w:val="nil"/>
              <w:bottom w:val="nil"/>
              <w:right w:val="nil"/>
            </w:tcBorders>
            <w:noWrap/>
            <w:vAlign w:val="bottom"/>
            <w:hideMark/>
          </w:tcPr>
          <w:p w14:paraId="5C23C9A3"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0.000112</w:t>
            </w:r>
          </w:p>
        </w:tc>
        <w:tc>
          <w:tcPr>
            <w:tcW w:w="1710" w:type="dxa"/>
            <w:tcBorders>
              <w:top w:val="nil"/>
              <w:left w:val="nil"/>
              <w:bottom w:val="nil"/>
              <w:right w:val="nil"/>
            </w:tcBorders>
            <w:noWrap/>
            <w:vAlign w:val="bottom"/>
            <w:hideMark/>
          </w:tcPr>
          <w:p w14:paraId="63FB65D4"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1.49101</w:t>
            </w:r>
          </w:p>
        </w:tc>
        <w:tc>
          <w:tcPr>
            <w:tcW w:w="1800" w:type="dxa"/>
            <w:tcBorders>
              <w:top w:val="nil"/>
              <w:left w:val="nil"/>
              <w:bottom w:val="nil"/>
              <w:right w:val="nil"/>
            </w:tcBorders>
            <w:noWrap/>
            <w:vAlign w:val="bottom"/>
            <w:hideMark/>
          </w:tcPr>
          <w:p w14:paraId="3E7E5A45"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0.1409</w:t>
            </w:r>
          </w:p>
        </w:tc>
      </w:tr>
      <w:tr w:rsidR="00A60822" w:rsidRPr="00A60822" w14:paraId="36F44AB0" w14:textId="77777777" w:rsidTr="00D00B3F">
        <w:trPr>
          <w:trHeight w:val="300"/>
        </w:trPr>
        <w:tc>
          <w:tcPr>
            <w:tcW w:w="2520" w:type="dxa"/>
            <w:tcBorders>
              <w:top w:val="nil"/>
              <w:left w:val="nil"/>
              <w:bottom w:val="nil"/>
              <w:right w:val="nil"/>
            </w:tcBorders>
            <w:noWrap/>
            <w:vAlign w:val="bottom"/>
            <w:hideMark/>
          </w:tcPr>
          <w:p w14:paraId="63966DA0"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C</w:t>
            </w:r>
          </w:p>
        </w:tc>
        <w:tc>
          <w:tcPr>
            <w:tcW w:w="1341" w:type="dxa"/>
            <w:tcBorders>
              <w:top w:val="nil"/>
              <w:left w:val="nil"/>
              <w:bottom w:val="nil"/>
              <w:right w:val="nil"/>
            </w:tcBorders>
            <w:noWrap/>
            <w:vAlign w:val="bottom"/>
            <w:hideMark/>
          </w:tcPr>
          <w:p w14:paraId="1CF86F11"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0.133611</w:t>
            </w:r>
          </w:p>
        </w:tc>
        <w:tc>
          <w:tcPr>
            <w:tcW w:w="1899" w:type="dxa"/>
            <w:tcBorders>
              <w:top w:val="nil"/>
              <w:left w:val="nil"/>
              <w:bottom w:val="nil"/>
              <w:right w:val="nil"/>
            </w:tcBorders>
            <w:noWrap/>
            <w:vAlign w:val="bottom"/>
            <w:hideMark/>
          </w:tcPr>
          <w:p w14:paraId="01C98DC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0.00426</w:t>
            </w:r>
          </w:p>
        </w:tc>
        <w:tc>
          <w:tcPr>
            <w:tcW w:w="1710" w:type="dxa"/>
            <w:tcBorders>
              <w:top w:val="nil"/>
              <w:left w:val="nil"/>
              <w:bottom w:val="nil"/>
              <w:right w:val="nil"/>
            </w:tcBorders>
            <w:noWrap/>
            <w:vAlign w:val="bottom"/>
            <w:hideMark/>
          </w:tcPr>
          <w:p w14:paraId="2C510AB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31.36454</w:t>
            </w:r>
          </w:p>
        </w:tc>
        <w:tc>
          <w:tcPr>
            <w:tcW w:w="1800" w:type="dxa"/>
            <w:tcBorders>
              <w:top w:val="nil"/>
              <w:left w:val="nil"/>
              <w:bottom w:val="nil"/>
              <w:right w:val="nil"/>
            </w:tcBorders>
            <w:noWrap/>
            <w:vAlign w:val="bottom"/>
            <w:hideMark/>
          </w:tcPr>
          <w:p w14:paraId="3C161A1B"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w:t>
            </w:r>
          </w:p>
        </w:tc>
      </w:tr>
    </w:tbl>
    <w:p w14:paraId="54E20359" w14:textId="77777777" w:rsidR="00A60822" w:rsidRPr="00A60822" w:rsidRDefault="00A60822" w:rsidP="00A60822">
      <w:pPr>
        <w:pBdr>
          <w:top w:val="single" w:sz="4" w:space="1" w:color="auto"/>
        </w:pBdr>
        <w:spacing w:after="0" w:line="259"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PANEL B-STOCK RETURN</w:t>
      </w:r>
    </w:p>
    <w:p w14:paraId="7DA75D1F" w14:textId="77777777" w:rsidR="00A60822" w:rsidRPr="00A60822" w:rsidRDefault="00A60822" w:rsidP="00A60822">
      <w:pPr>
        <w:pBdr>
          <w:top w:val="single" w:sz="4" w:space="1" w:color="auto"/>
          <w:bottom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Regressor                   Coefficient       St-error           T-stat                   P-value</w:t>
      </w:r>
    </w:p>
    <w:tbl>
      <w:tblPr>
        <w:tblW w:w="9270" w:type="dxa"/>
        <w:tblLook w:val="04A0" w:firstRow="1" w:lastRow="0" w:firstColumn="1" w:lastColumn="0" w:noHBand="0" w:noVBand="1"/>
      </w:tblPr>
      <w:tblGrid>
        <w:gridCol w:w="976"/>
        <w:gridCol w:w="2804"/>
        <w:gridCol w:w="1890"/>
        <w:gridCol w:w="1800"/>
        <w:gridCol w:w="1800"/>
      </w:tblGrid>
      <w:tr w:rsidR="00A60822" w:rsidRPr="00A60822" w14:paraId="4A3C600A" w14:textId="77777777" w:rsidTr="00D00B3F">
        <w:trPr>
          <w:trHeight w:val="300"/>
        </w:trPr>
        <w:tc>
          <w:tcPr>
            <w:tcW w:w="976" w:type="dxa"/>
            <w:tcBorders>
              <w:top w:val="nil"/>
              <w:left w:val="nil"/>
              <w:bottom w:val="nil"/>
              <w:right w:val="nil"/>
            </w:tcBorders>
            <w:noWrap/>
            <w:vAlign w:val="bottom"/>
            <w:hideMark/>
          </w:tcPr>
          <w:p w14:paraId="18AC6EC4"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MTT</w:t>
            </w:r>
          </w:p>
        </w:tc>
        <w:tc>
          <w:tcPr>
            <w:tcW w:w="2804" w:type="dxa"/>
            <w:tcBorders>
              <w:top w:val="nil"/>
              <w:left w:val="nil"/>
              <w:bottom w:val="nil"/>
              <w:right w:val="nil"/>
            </w:tcBorders>
            <w:noWrap/>
            <w:vAlign w:val="bottom"/>
            <w:hideMark/>
          </w:tcPr>
          <w:p w14:paraId="2A221C76"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0.011406</w:t>
            </w:r>
          </w:p>
        </w:tc>
        <w:tc>
          <w:tcPr>
            <w:tcW w:w="1890" w:type="dxa"/>
            <w:tcBorders>
              <w:top w:val="nil"/>
              <w:left w:val="nil"/>
              <w:bottom w:val="nil"/>
              <w:right w:val="nil"/>
            </w:tcBorders>
            <w:noWrap/>
            <w:vAlign w:val="bottom"/>
            <w:hideMark/>
          </w:tcPr>
          <w:p w14:paraId="79AAAABD"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0.003755</w:t>
            </w:r>
          </w:p>
        </w:tc>
        <w:tc>
          <w:tcPr>
            <w:tcW w:w="1800" w:type="dxa"/>
            <w:tcBorders>
              <w:top w:val="nil"/>
              <w:left w:val="nil"/>
              <w:bottom w:val="nil"/>
              <w:right w:val="nil"/>
            </w:tcBorders>
            <w:noWrap/>
            <w:vAlign w:val="bottom"/>
            <w:hideMark/>
          </w:tcPr>
          <w:p w14:paraId="236506A1"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3.03708</w:t>
            </w:r>
          </w:p>
        </w:tc>
        <w:tc>
          <w:tcPr>
            <w:tcW w:w="1800" w:type="dxa"/>
            <w:tcBorders>
              <w:top w:val="nil"/>
              <w:left w:val="nil"/>
              <w:bottom w:val="nil"/>
              <w:right w:val="nil"/>
            </w:tcBorders>
            <w:noWrap/>
            <w:vAlign w:val="bottom"/>
            <w:hideMark/>
          </w:tcPr>
          <w:p w14:paraId="75BC0C9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0.0035</w:t>
            </w:r>
          </w:p>
        </w:tc>
      </w:tr>
      <w:tr w:rsidR="00A60822" w:rsidRPr="00A60822" w14:paraId="34297AC0" w14:textId="77777777" w:rsidTr="00D00B3F">
        <w:trPr>
          <w:trHeight w:val="300"/>
        </w:trPr>
        <w:tc>
          <w:tcPr>
            <w:tcW w:w="976" w:type="dxa"/>
            <w:tcBorders>
              <w:top w:val="nil"/>
              <w:left w:val="nil"/>
              <w:bottom w:val="nil"/>
              <w:right w:val="nil"/>
            </w:tcBorders>
            <w:noWrap/>
            <w:vAlign w:val="bottom"/>
            <w:hideMark/>
          </w:tcPr>
          <w:p w14:paraId="093D2F49"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C</w:t>
            </w:r>
          </w:p>
        </w:tc>
        <w:tc>
          <w:tcPr>
            <w:tcW w:w="2804" w:type="dxa"/>
            <w:tcBorders>
              <w:top w:val="nil"/>
              <w:left w:val="nil"/>
              <w:bottom w:val="nil"/>
              <w:right w:val="nil"/>
            </w:tcBorders>
            <w:noWrap/>
            <w:vAlign w:val="bottom"/>
            <w:hideMark/>
          </w:tcPr>
          <w:p w14:paraId="0B4BBA3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-0.12908</w:t>
            </w:r>
          </w:p>
        </w:tc>
        <w:tc>
          <w:tcPr>
            <w:tcW w:w="1890" w:type="dxa"/>
            <w:tcBorders>
              <w:top w:val="nil"/>
              <w:left w:val="nil"/>
              <w:bottom w:val="nil"/>
              <w:right w:val="nil"/>
            </w:tcBorders>
            <w:noWrap/>
            <w:vAlign w:val="bottom"/>
            <w:hideMark/>
          </w:tcPr>
          <w:p w14:paraId="7333C0B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0.14256</w:t>
            </w:r>
          </w:p>
        </w:tc>
        <w:tc>
          <w:tcPr>
            <w:tcW w:w="1800" w:type="dxa"/>
            <w:tcBorders>
              <w:top w:val="nil"/>
              <w:left w:val="nil"/>
              <w:bottom w:val="nil"/>
              <w:right w:val="nil"/>
            </w:tcBorders>
            <w:noWrap/>
            <w:vAlign w:val="bottom"/>
            <w:hideMark/>
          </w:tcPr>
          <w:p w14:paraId="23764764"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-0.90542</w:t>
            </w:r>
          </w:p>
        </w:tc>
        <w:tc>
          <w:tcPr>
            <w:tcW w:w="1800" w:type="dxa"/>
            <w:tcBorders>
              <w:top w:val="nil"/>
              <w:left w:val="nil"/>
              <w:bottom w:val="nil"/>
              <w:right w:val="nil"/>
            </w:tcBorders>
            <w:noWrap/>
            <w:vAlign w:val="bottom"/>
            <w:hideMark/>
          </w:tcPr>
          <w:p w14:paraId="0B9D7F4E"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0.3687</w:t>
            </w:r>
          </w:p>
        </w:tc>
      </w:tr>
    </w:tbl>
    <w:p w14:paraId="3656E00F" w14:textId="77777777" w:rsidR="00A60822" w:rsidRPr="00A60822" w:rsidRDefault="00A60822" w:rsidP="00A60822">
      <w:pPr>
        <w:pBdr>
          <w:top w:val="single" w:sz="4" w:space="1" w:color="auto"/>
        </w:pBdr>
        <w:spacing w:after="0" w:line="259"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PANEL C-TREASURY BILL RETURN</w:t>
      </w:r>
    </w:p>
    <w:p w14:paraId="3DDE5DCA" w14:textId="77777777" w:rsidR="00A60822" w:rsidRPr="00A60822" w:rsidRDefault="00A60822" w:rsidP="00A60822">
      <w:pPr>
        <w:pBdr>
          <w:top w:val="single" w:sz="4" w:space="1" w:color="auto"/>
          <w:bottom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Regressor                   Coefficient       St-error           T-stat                   P-value</w:t>
      </w:r>
    </w:p>
    <w:tbl>
      <w:tblPr>
        <w:tblW w:w="9360" w:type="dxa"/>
        <w:tblLook w:val="04A0" w:firstRow="1" w:lastRow="0" w:firstColumn="1" w:lastColumn="0" w:noHBand="0" w:noVBand="1"/>
      </w:tblPr>
      <w:tblGrid>
        <w:gridCol w:w="976"/>
        <w:gridCol w:w="2894"/>
        <w:gridCol w:w="1890"/>
        <w:gridCol w:w="1800"/>
        <w:gridCol w:w="1800"/>
      </w:tblGrid>
      <w:tr w:rsidR="00A60822" w:rsidRPr="00A60822" w14:paraId="053E0016" w14:textId="77777777" w:rsidTr="00D00B3F">
        <w:trPr>
          <w:trHeight w:val="300"/>
        </w:trPr>
        <w:tc>
          <w:tcPr>
            <w:tcW w:w="976" w:type="dxa"/>
            <w:tcBorders>
              <w:top w:val="nil"/>
              <w:left w:val="nil"/>
              <w:bottom w:val="nil"/>
              <w:right w:val="nil"/>
            </w:tcBorders>
            <w:noWrap/>
            <w:vAlign w:val="bottom"/>
            <w:hideMark/>
          </w:tcPr>
          <w:p w14:paraId="16C0ED05"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MTT</w:t>
            </w:r>
          </w:p>
        </w:tc>
        <w:tc>
          <w:tcPr>
            <w:tcW w:w="2894" w:type="dxa"/>
            <w:tcBorders>
              <w:top w:val="nil"/>
              <w:left w:val="nil"/>
              <w:bottom w:val="nil"/>
              <w:right w:val="nil"/>
            </w:tcBorders>
            <w:noWrap/>
            <w:vAlign w:val="bottom"/>
            <w:hideMark/>
          </w:tcPr>
          <w:p w14:paraId="02519C1B"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0.000994</w:t>
            </w:r>
          </w:p>
        </w:tc>
        <w:tc>
          <w:tcPr>
            <w:tcW w:w="1890" w:type="dxa"/>
            <w:tcBorders>
              <w:top w:val="nil"/>
              <w:left w:val="nil"/>
              <w:bottom w:val="nil"/>
              <w:right w:val="nil"/>
            </w:tcBorders>
            <w:noWrap/>
            <w:vAlign w:val="bottom"/>
            <w:hideMark/>
          </w:tcPr>
          <w:p w14:paraId="0FDE6FA2"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0.000715</w:t>
            </w:r>
          </w:p>
        </w:tc>
        <w:tc>
          <w:tcPr>
            <w:tcW w:w="1800" w:type="dxa"/>
            <w:tcBorders>
              <w:top w:val="nil"/>
              <w:left w:val="nil"/>
              <w:bottom w:val="nil"/>
              <w:right w:val="nil"/>
            </w:tcBorders>
            <w:noWrap/>
            <w:vAlign w:val="bottom"/>
            <w:hideMark/>
          </w:tcPr>
          <w:p w14:paraId="636D59B1"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1.38935</w:t>
            </w:r>
          </w:p>
        </w:tc>
        <w:tc>
          <w:tcPr>
            <w:tcW w:w="1800" w:type="dxa"/>
            <w:tcBorders>
              <w:top w:val="nil"/>
              <w:left w:val="nil"/>
              <w:bottom w:val="nil"/>
              <w:right w:val="nil"/>
            </w:tcBorders>
            <w:noWrap/>
            <w:vAlign w:val="bottom"/>
            <w:hideMark/>
          </w:tcPr>
          <w:p w14:paraId="7516C2D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0.1696</w:t>
            </w:r>
          </w:p>
        </w:tc>
      </w:tr>
      <w:tr w:rsidR="00A60822" w:rsidRPr="00A60822" w14:paraId="3D4E0545" w14:textId="77777777" w:rsidTr="00D00B3F">
        <w:trPr>
          <w:trHeight w:val="300"/>
        </w:trPr>
        <w:tc>
          <w:tcPr>
            <w:tcW w:w="976" w:type="dxa"/>
            <w:tcBorders>
              <w:top w:val="nil"/>
              <w:left w:val="nil"/>
              <w:bottom w:val="nil"/>
              <w:right w:val="nil"/>
            </w:tcBorders>
            <w:noWrap/>
            <w:vAlign w:val="bottom"/>
            <w:hideMark/>
          </w:tcPr>
          <w:p w14:paraId="36960C35"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C</w:t>
            </w:r>
          </w:p>
        </w:tc>
        <w:tc>
          <w:tcPr>
            <w:tcW w:w="2894" w:type="dxa"/>
            <w:tcBorders>
              <w:top w:val="nil"/>
              <w:left w:val="nil"/>
              <w:bottom w:val="nil"/>
              <w:right w:val="nil"/>
            </w:tcBorders>
            <w:noWrap/>
            <w:vAlign w:val="bottom"/>
            <w:hideMark/>
          </w:tcPr>
          <w:p w14:paraId="355F1A48"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-0.02858</w:t>
            </w:r>
          </w:p>
        </w:tc>
        <w:tc>
          <w:tcPr>
            <w:tcW w:w="1890" w:type="dxa"/>
            <w:tcBorders>
              <w:top w:val="nil"/>
              <w:left w:val="nil"/>
              <w:bottom w:val="nil"/>
              <w:right w:val="nil"/>
            </w:tcBorders>
            <w:noWrap/>
            <w:vAlign w:val="bottom"/>
            <w:hideMark/>
          </w:tcPr>
          <w:p w14:paraId="1C800B82"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0.027147</w:t>
            </w:r>
          </w:p>
        </w:tc>
        <w:tc>
          <w:tcPr>
            <w:tcW w:w="1800" w:type="dxa"/>
            <w:tcBorders>
              <w:top w:val="nil"/>
              <w:left w:val="nil"/>
              <w:bottom w:val="nil"/>
              <w:right w:val="nil"/>
            </w:tcBorders>
            <w:noWrap/>
            <w:vAlign w:val="bottom"/>
            <w:hideMark/>
          </w:tcPr>
          <w:p w14:paraId="77463B6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-1.052759</w:t>
            </w:r>
          </w:p>
        </w:tc>
        <w:tc>
          <w:tcPr>
            <w:tcW w:w="1800" w:type="dxa"/>
            <w:tcBorders>
              <w:top w:val="nil"/>
              <w:left w:val="nil"/>
              <w:bottom w:val="nil"/>
              <w:right w:val="nil"/>
            </w:tcBorders>
            <w:noWrap/>
            <w:vAlign w:val="bottom"/>
            <w:hideMark/>
          </w:tcPr>
          <w:p w14:paraId="5C622C65"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0.2965</w:t>
            </w:r>
          </w:p>
        </w:tc>
      </w:tr>
    </w:tbl>
    <w:p w14:paraId="752CF517" w14:textId="77777777" w:rsidR="00A60822" w:rsidRPr="00A60822" w:rsidRDefault="00A60822" w:rsidP="00A60822">
      <w:pPr>
        <w:pBdr>
          <w:top w:val="single" w:sz="4" w:space="1" w:color="auto"/>
        </w:pBdr>
        <w:spacing w:after="0" w:line="259" w:lineRule="auto"/>
        <w:jc w:val="both"/>
        <w:rPr>
          <w:rFonts w:ascii="Times New Roman" w:hAnsi="Times New Roman" w:cs="Times New Roman"/>
          <w:i/>
          <w:kern w:val="0"/>
          <w:sz w:val="20"/>
          <w:szCs w:val="20"/>
          <w14:ligatures w14:val="none"/>
        </w:rPr>
      </w:pPr>
      <w:r w:rsidRPr="00A60822">
        <w:rPr>
          <w:rFonts w:ascii="Times New Roman" w:hAnsi="Times New Roman" w:cs="Times New Roman"/>
          <w:i/>
          <w:kern w:val="0"/>
          <w:sz w:val="20"/>
          <w:szCs w:val="20"/>
          <w14:ligatures w14:val="none"/>
        </w:rPr>
        <w:t>Note-that MTT is the monthly time trend, coefficient indicates rate of monthly return, panel A, panel B and Panel C represent the bond return, stock return and treasury bill return regression equations, p-value is only significant in panel B</w:t>
      </w:r>
    </w:p>
    <w:p w14:paraId="58C36911" w14:textId="77777777" w:rsidR="00A60822" w:rsidRPr="00A60822" w:rsidRDefault="00A60822" w:rsidP="00A60822">
      <w:pPr>
        <w:pBdr>
          <w:top w:val="single" w:sz="4" w:space="1" w:color="auto"/>
        </w:pBdr>
        <w:spacing w:after="0" w:line="259"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Source: Author’s Computation</w:t>
      </w:r>
    </w:p>
    <w:p w14:paraId="5BA298CD" w14:textId="77777777" w:rsidR="00A60822" w:rsidRPr="00A60822" w:rsidRDefault="00A60822" w:rsidP="00A60822">
      <w:pPr>
        <w:pBdr>
          <w:top w:val="single" w:sz="4" w:space="1" w:color="auto"/>
        </w:pBdr>
        <w:spacing w:after="0" w:line="480" w:lineRule="auto"/>
        <w:jc w:val="both"/>
        <w:rPr>
          <w:rFonts w:ascii="Times New Roman" w:hAnsi="Times New Roman" w:cs="Times New Roman"/>
          <w:kern w:val="0"/>
          <w14:ligatures w14:val="none"/>
        </w:rPr>
      </w:pPr>
    </w:p>
    <w:p w14:paraId="07CCD255"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As shown in panel A, the coefficient of monthly time trend (MTT) with respect to bond price return is 0.000167 suggesting that bond return increases at the rate of 0.000167 every month. In panel B, the rate of monthly return is 0.011406. </w:t>
      </w:r>
      <w:r w:rsidRPr="00A60822">
        <w:rPr>
          <w:rFonts w:ascii="Times New Roman" w:hAnsi="Times New Roman" w:cs="Times New Roman"/>
          <w:kern w:val="0"/>
          <w14:ligatures w14:val="none"/>
        </w:rPr>
        <w:tab/>
        <w:t xml:space="preserve">This implies that stock return increases at the rate of 11.41 percent every month. Finally, Panel C indicates that Treasury bill </w:t>
      </w:r>
      <w:proofErr w:type="gramStart"/>
      <w:r w:rsidRPr="00A60822">
        <w:rPr>
          <w:rFonts w:ascii="Times New Roman" w:hAnsi="Times New Roman" w:cs="Times New Roman"/>
          <w:kern w:val="0"/>
          <w14:ligatures w14:val="none"/>
        </w:rPr>
        <w:t>return</w:t>
      </w:r>
      <w:proofErr w:type="gramEnd"/>
      <w:r w:rsidRPr="00A60822">
        <w:rPr>
          <w:rFonts w:ascii="Times New Roman" w:hAnsi="Times New Roman" w:cs="Times New Roman"/>
          <w:kern w:val="0"/>
          <w14:ligatures w14:val="none"/>
        </w:rPr>
        <w:t xml:space="preserve"> increases at the rate of 0.000994 or approximately 1 percent every month. Therefore, stock has the highest rate of monthly average return, followed by Treasury bill.</w:t>
      </w:r>
    </w:p>
    <w:p w14:paraId="3A4F9616" w14:textId="77777777" w:rsidR="005E7DC2" w:rsidRDefault="005E7DC2" w:rsidP="00F2321A">
      <w:pPr>
        <w:spacing w:after="0" w:line="240" w:lineRule="auto"/>
        <w:jc w:val="both"/>
        <w:rPr>
          <w:rFonts w:ascii="Times New Roman" w:hAnsi="Times New Roman" w:cs="Times New Roman"/>
          <w:b/>
          <w:kern w:val="0"/>
          <w14:ligatures w14:val="none"/>
        </w:rPr>
      </w:pPr>
    </w:p>
    <w:p w14:paraId="57ADC2E5" w14:textId="43EC522A" w:rsidR="00A60822" w:rsidRPr="00A60822" w:rsidRDefault="00A60822" w:rsidP="00F2321A">
      <w:pPr>
        <w:spacing w:after="0" w:line="240" w:lineRule="auto"/>
        <w:jc w:val="both"/>
        <w:rPr>
          <w:rFonts w:ascii="Times New Roman" w:hAnsi="Times New Roman" w:cs="Times New Roman"/>
          <w:b/>
          <w:kern w:val="0"/>
          <w14:ligatures w14:val="none"/>
        </w:rPr>
      </w:pPr>
      <w:r w:rsidRPr="00A60822">
        <w:rPr>
          <w:rFonts w:ascii="Times New Roman" w:hAnsi="Times New Roman" w:cs="Times New Roman"/>
          <w:b/>
          <w:kern w:val="0"/>
          <w14:ligatures w14:val="none"/>
        </w:rPr>
        <w:t>4.2 Asset Return Performance Metrics and Indicators</w:t>
      </w:r>
    </w:p>
    <w:p w14:paraId="401AB7FD"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We computed some metrics such as annualized return, annualized variance/volatility and indicators such as Sharpe ratio, Jensen Alpha and Treynor performance ratio to draw a comparison between stock, bond and Treasury bill assets. The values of these indicators are shown in table 4.2</w:t>
      </w:r>
    </w:p>
    <w:p w14:paraId="46C77AE5" w14:textId="77777777" w:rsidR="00F2321A" w:rsidRDefault="00F2321A" w:rsidP="00A60822">
      <w:pPr>
        <w:pBdr>
          <w:bottom w:val="single" w:sz="4" w:space="1" w:color="auto"/>
          <w:between w:val="single" w:sz="4" w:space="1" w:color="auto"/>
        </w:pBdr>
        <w:spacing w:after="0" w:line="240" w:lineRule="auto"/>
        <w:jc w:val="center"/>
        <w:rPr>
          <w:rFonts w:ascii="Times New Roman" w:hAnsi="Times New Roman" w:cs="Times New Roman"/>
          <w:kern w:val="0"/>
          <w14:ligatures w14:val="none"/>
        </w:rPr>
      </w:pPr>
    </w:p>
    <w:p w14:paraId="5C1134DB" w14:textId="2B8274CC" w:rsidR="00A60822" w:rsidRPr="00A60822" w:rsidRDefault="00A60822" w:rsidP="00A60822">
      <w:pPr>
        <w:pBdr>
          <w:bottom w:val="single" w:sz="4" w:space="1" w:color="auto"/>
          <w:between w:val="single" w:sz="4" w:space="1" w:color="auto"/>
        </w:pBdr>
        <w:spacing w:after="0" w:line="240" w:lineRule="auto"/>
        <w:jc w:val="center"/>
        <w:rPr>
          <w:rFonts w:ascii="Times New Roman" w:hAnsi="Times New Roman" w:cs="Times New Roman"/>
          <w:kern w:val="0"/>
          <w14:ligatures w14:val="none"/>
        </w:rPr>
      </w:pPr>
      <w:r w:rsidRPr="00A60822">
        <w:rPr>
          <w:rFonts w:ascii="Times New Roman" w:hAnsi="Times New Roman" w:cs="Times New Roman"/>
          <w:kern w:val="0"/>
          <w14:ligatures w14:val="none"/>
        </w:rPr>
        <w:t>Table 4.2 Showing the Metrics and Performance Indicators of Bond, Stock and Treasury bill</w:t>
      </w:r>
    </w:p>
    <w:p w14:paraId="1B25AE7F" w14:textId="77777777" w:rsidR="00A60822" w:rsidRPr="00A60822" w:rsidRDefault="00A60822" w:rsidP="00A60822">
      <w:pPr>
        <w:pBdr>
          <w:bottom w:val="single" w:sz="4" w:space="1" w:color="auto"/>
          <w:between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Indicator/Metric                      </w:t>
      </w:r>
      <w:r w:rsidRPr="00A60822">
        <w:rPr>
          <w:rFonts w:ascii="Times New Roman" w:hAnsi="Times New Roman" w:cs="Times New Roman"/>
          <w:kern w:val="0"/>
          <w14:ligatures w14:val="none"/>
        </w:rPr>
        <w:tab/>
      </w:r>
      <w:r w:rsidRPr="00A60822">
        <w:rPr>
          <w:rFonts w:ascii="Times New Roman" w:hAnsi="Times New Roman" w:cs="Times New Roman"/>
          <w:kern w:val="0"/>
          <w14:ligatures w14:val="none"/>
        </w:rPr>
        <w:tab/>
        <w:t xml:space="preserve">Stock                   </w:t>
      </w:r>
      <w:r w:rsidRPr="00A60822">
        <w:rPr>
          <w:rFonts w:ascii="Times New Roman" w:hAnsi="Times New Roman" w:cs="Times New Roman"/>
          <w:kern w:val="0"/>
          <w14:ligatures w14:val="none"/>
        </w:rPr>
        <w:tab/>
        <w:t>Bond                Treasury-Bill</w:t>
      </w:r>
    </w:p>
    <w:tbl>
      <w:tblPr>
        <w:tblW w:w="9360" w:type="dxa"/>
        <w:tblLook w:val="04A0" w:firstRow="1" w:lastRow="0" w:firstColumn="1" w:lastColumn="0" w:noHBand="0" w:noVBand="1"/>
      </w:tblPr>
      <w:tblGrid>
        <w:gridCol w:w="3690"/>
        <w:gridCol w:w="1791"/>
        <w:gridCol w:w="1899"/>
        <w:gridCol w:w="1980"/>
      </w:tblGrid>
      <w:tr w:rsidR="00A60822" w:rsidRPr="00A60822" w14:paraId="4F8B149B" w14:textId="77777777" w:rsidTr="00D00B3F">
        <w:trPr>
          <w:trHeight w:val="300"/>
        </w:trPr>
        <w:tc>
          <w:tcPr>
            <w:tcW w:w="3690" w:type="dxa"/>
            <w:tcBorders>
              <w:top w:val="nil"/>
              <w:left w:val="nil"/>
              <w:bottom w:val="nil"/>
              <w:right w:val="nil"/>
            </w:tcBorders>
            <w:noWrap/>
            <w:vAlign w:val="bottom"/>
            <w:hideMark/>
          </w:tcPr>
          <w:p w14:paraId="0FA3F80F"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ANNUALIZED RETURN</w:t>
            </w:r>
          </w:p>
        </w:tc>
        <w:tc>
          <w:tcPr>
            <w:tcW w:w="1791" w:type="dxa"/>
            <w:tcBorders>
              <w:top w:val="nil"/>
              <w:left w:val="nil"/>
              <w:bottom w:val="nil"/>
              <w:right w:val="nil"/>
            </w:tcBorders>
            <w:noWrap/>
            <w:vAlign w:val="bottom"/>
            <w:hideMark/>
          </w:tcPr>
          <w:p w14:paraId="20701A96"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0.322828729</w:t>
            </w:r>
          </w:p>
        </w:tc>
        <w:tc>
          <w:tcPr>
            <w:tcW w:w="1899" w:type="dxa"/>
            <w:tcBorders>
              <w:top w:val="nil"/>
              <w:left w:val="nil"/>
              <w:bottom w:val="nil"/>
              <w:right w:val="nil"/>
            </w:tcBorders>
            <w:noWrap/>
            <w:vAlign w:val="bottom"/>
            <w:hideMark/>
          </w:tcPr>
          <w:p w14:paraId="07B8BCB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1.005583</w:t>
            </w:r>
          </w:p>
        </w:tc>
        <w:tc>
          <w:tcPr>
            <w:tcW w:w="1980" w:type="dxa"/>
            <w:tcBorders>
              <w:top w:val="nil"/>
              <w:left w:val="nil"/>
              <w:bottom w:val="nil"/>
              <w:right w:val="nil"/>
            </w:tcBorders>
            <w:noWrap/>
            <w:vAlign w:val="bottom"/>
            <w:hideMark/>
          </w:tcPr>
          <w:p w14:paraId="552D8D1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1.028788</w:t>
            </w:r>
          </w:p>
        </w:tc>
      </w:tr>
      <w:tr w:rsidR="00A60822" w:rsidRPr="00A60822" w14:paraId="40F63739" w14:textId="77777777" w:rsidTr="00D00B3F">
        <w:trPr>
          <w:trHeight w:val="300"/>
        </w:trPr>
        <w:tc>
          <w:tcPr>
            <w:tcW w:w="3690" w:type="dxa"/>
            <w:tcBorders>
              <w:top w:val="nil"/>
              <w:left w:val="nil"/>
              <w:bottom w:val="nil"/>
              <w:right w:val="nil"/>
            </w:tcBorders>
            <w:noWrap/>
            <w:vAlign w:val="bottom"/>
            <w:hideMark/>
          </w:tcPr>
          <w:p w14:paraId="25A2694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p>
        </w:tc>
        <w:tc>
          <w:tcPr>
            <w:tcW w:w="1791" w:type="dxa"/>
            <w:tcBorders>
              <w:top w:val="nil"/>
              <w:left w:val="nil"/>
              <w:bottom w:val="nil"/>
              <w:right w:val="nil"/>
            </w:tcBorders>
            <w:noWrap/>
            <w:vAlign w:val="bottom"/>
            <w:hideMark/>
          </w:tcPr>
          <w:p w14:paraId="62AEBDDC"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0.811259607</w:t>
            </w:r>
          </w:p>
        </w:tc>
        <w:tc>
          <w:tcPr>
            <w:tcW w:w="1899" w:type="dxa"/>
            <w:tcBorders>
              <w:top w:val="nil"/>
              <w:left w:val="nil"/>
              <w:bottom w:val="nil"/>
              <w:right w:val="nil"/>
            </w:tcBorders>
            <w:noWrap/>
            <w:vAlign w:val="bottom"/>
            <w:hideMark/>
          </w:tcPr>
          <w:p w14:paraId="64B689AB"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1.001031</w:t>
            </w:r>
          </w:p>
        </w:tc>
        <w:tc>
          <w:tcPr>
            <w:tcW w:w="1980" w:type="dxa"/>
            <w:tcBorders>
              <w:top w:val="nil"/>
              <w:left w:val="nil"/>
              <w:bottom w:val="nil"/>
              <w:right w:val="nil"/>
            </w:tcBorders>
            <w:noWrap/>
            <w:vAlign w:val="bottom"/>
            <w:hideMark/>
          </w:tcPr>
          <w:p w14:paraId="49CC62C7"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1.005264</w:t>
            </w:r>
          </w:p>
        </w:tc>
      </w:tr>
      <w:tr w:rsidR="00A60822" w:rsidRPr="00A60822" w14:paraId="627CB7F8" w14:textId="77777777" w:rsidTr="00D00B3F">
        <w:trPr>
          <w:trHeight w:val="300"/>
        </w:trPr>
        <w:tc>
          <w:tcPr>
            <w:tcW w:w="3690" w:type="dxa"/>
            <w:tcBorders>
              <w:top w:val="nil"/>
              <w:left w:val="nil"/>
              <w:bottom w:val="nil"/>
              <w:right w:val="nil"/>
            </w:tcBorders>
            <w:noWrap/>
            <w:vAlign w:val="bottom"/>
            <w:hideMark/>
          </w:tcPr>
          <w:p w14:paraId="40B151C2"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SD</w:t>
            </w:r>
          </w:p>
        </w:tc>
        <w:tc>
          <w:tcPr>
            <w:tcW w:w="1791" w:type="dxa"/>
            <w:tcBorders>
              <w:top w:val="nil"/>
              <w:left w:val="nil"/>
              <w:bottom w:val="nil"/>
              <w:right w:val="nil"/>
            </w:tcBorders>
            <w:noWrap/>
            <w:vAlign w:val="bottom"/>
            <w:hideMark/>
          </w:tcPr>
          <w:p w14:paraId="6D9A6753"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0.603452217</w:t>
            </w:r>
          </w:p>
        </w:tc>
        <w:tc>
          <w:tcPr>
            <w:tcW w:w="1899" w:type="dxa"/>
            <w:tcBorders>
              <w:top w:val="nil"/>
              <w:left w:val="nil"/>
              <w:bottom w:val="nil"/>
              <w:right w:val="nil"/>
            </w:tcBorders>
            <w:noWrap/>
            <w:vAlign w:val="bottom"/>
            <w:hideMark/>
          </w:tcPr>
          <w:p w14:paraId="577AD1E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0.017136</w:t>
            </w:r>
          </w:p>
        </w:tc>
        <w:tc>
          <w:tcPr>
            <w:tcW w:w="1980" w:type="dxa"/>
            <w:tcBorders>
              <w:top w:val="nil"/>
              <w:left w:val="nil"/>
              <w:bottom w:val="nil"/>
              <w:right w:val="nil"/>
            </w:tcBorders>
            <w:noWrap/>
            <w:vAlign w:val="bottom"/>
            <w:hideMark/>
          </w:tcPr>
          <w:p w14:paraId="1DD3D41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0.108954</w:t>
            </w:r>
          </w:p>
        </w:tc>
      </w:tr>
      <w:tr w:rsidR="00A60822" w:rsidRPr="00A60822" w14:paraId="3A92E4B7" w14:textId="77777777" w:rsidTr="00D00B3F">
        <w:trPr>
          <w:trHeight w:val="300"/>
        </w:trPr>
        <w:tc>
          <w:tcPr>
            <w:tcW w:w="3690" w:type="dxa"/>
            <w:tcBorders>
              <w:top w:val="nil"/>
              <w:left w:val="nil"/>
              <w:bottom w:val="nil"/>
              <w:right w:val="nil"/>
            </w:tcBorders>
            <w:noWrap/>
            <w:vAlign w:val="bottom"/>
            <w:hideMark/>
          </w:tcPr>
          <w:p w14:paraId="65AA8CB8"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ANNUALIZED VOLATILITY</w:t>
            </w:r>
          </w:p>
        </w:tc>
        <w:tc>
          <w:tcPr>
            <w:tcW w:w="1791" w:type="dxa"/>
            <w:tcBorders>
              <w:top w:val="nil"/>
              <w:left w:val="nil"/>
              <w:bottom w:val="nil"/>
              <w:right w:val="nil"/>
            </w:tcBorders>
            <w:noWrap/>
            <w:vAlign w:val="bottom"/>
            <w:hideMark/>
          </w:tcPr>
          <w:p w14:paraId="5AE550B3"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0.016346491</w:t>
            </w:r>
          </w:p>
        </w:tc>
        <w:tc>
          <w:tcPr>
            <w:tcW w:w="1899" w:type="dxa"/>
            <w:tcBorders>
              <w:top w:val="nil"/>
              <w:left w:val="nil"/>
              <w:bottom w:val="nil"/>
              <w:right w:val="nil"/>
            </w:tcBorders>
            <w:noWrap/>
            <w:vAlign w:val="bottom"/>
            <w:hideMark/>
          </w:tcPr>
          <w:p w14:paraId="2A55C56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0.000464</w:t>
            </w:r>
          </w:p>
        </w:tc>
        <w:tc>
          <w:tcPr>
            <w:tcW w:w="1980" w:type="dxa"/>
            <w:tcBorders>
              <w:top w:val="nil"/>
              <w:left w:val="nil"/>
              <w:bottom w:val="nil"/>
              <w:right w:val="nil"/>
            </w:tcBorders>
            <w:noWrap/>
            <w:vAlign w:val="bottom"/>
            <w:hideMark/>
          </w:tcPr>
          <w:p w14:paraId="37831394"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0.002951</w:t>
            </w:r>
          </w:p>
        </w:tc>
      </w:tr>
      <w:tr w:rsidR="00A60822" w:rsidRPr="00A60822" w14:paraId="323C2EED" w14:textId="77777777" w:rsidTr="00D00B3F">
        <w:trPr>
          <w:trHeight w:val="300"/>
        </w:trPr>
        <w:tc>
          <w:tcPr>
            <w:tcW w:w="3690" w:type="dxa"/>
            <w:tcBorders>
              <w:top w:val="nil"/>
              <w:left w:val="nil"/>
              <w:bottom w:val="nil"/>
              <w:right w:val="nil"/>
            </w:tcBorders>
            <w:noWrap/>
            <w:vAlign w:val="bottom"/>
            <w:hideMark/>
          </w:tcPr>
          <w:p w14:paraId="305D130D"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AVERAGE</w:t>
            </w:r>
          </w:p>
        </w:tc>
        <w:tc>
          <w:tcPr>
            <w:tcW w:w="1791" w:type="dxa"/>
            <w:tcBorders>
              <w:top w:val="nil"/>
              <w:left w:val="nil"/>
              <w:bottom w:val="nil"/>
              <w:right w:val="nil"/>
            </w:tcBorders>
            <w:noWrap/>
            <w:vAlign w:val="bottom"/>
            <w:hideMark/>
          </w:tcPr>
          <w:p w14:paraId="7DB0BA01"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0.247310327</w:t>
            </w:r>
          </w:p>
        </w:tc>
        <w:tc>
          <w:tcPr>
            <w:tcW w:w="1899" w:type="dxa"/>
            <w:tcBorders>
              <w:top w:val="nil"/>
              <w:left w:val="nil"/>
              <w:bottom w:val="nil"/>
              <w:right w:val="nil"/>
            </w:tcBorders>
            <w:noWrap/>
            <w:vAlign w:val="bottom"/>
            <w:hideMark/>
          </w:tcPr>
          <w:p w14:paraId="7FDCA1DC"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0.139132</w:t>
            </w:r>
          </w:p>
        </w:tc>
        <w:tc>
          <w:tcPr>
            <w:tcW w:w="1980" w:type="dxa"/>
            <w:tcBorders>
              <w:top w:val="nil"/>
              <w:left w:val="nil"/>
              <w:bottom w:val="nil"/>
              <w:right w:val="nil"/>
            </w:tcBorders>
            <w:noWrap/>
            <w:vAlign w:val="bottom"/>
            <w:hideMark/>
          </w:tcPr>
          <w:p w14:paraId="4E3A6B88"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0.004209</w:t>
            </w:r>
          </w:p>
        </w:tc>
      </w:tr>
      <w:tr w:rsidR="00A60822" w:rsidRPr="00A60822" w14:paraId="6658A781" w14:textId="77777777" w:rsidTr="00D00B3F">
        <w:trPr>
          <w:trHeight w:val="300"/>
        </w:trPr>
        <w:tc>
          <w:tcPr>
            <w:tcW w:w="3690" w:type="dxa"/>
            <w:tcBorders>
              <w:top w:val="nil"/>
              <w:left w:val="nil"/>
              <w:bottom w:val="nil"/>
              <w:right w:val="nil"/>
            </w:tcBorders>
            <w:noWrap/>
            <w:vAlign w:val="bottom"/>
            <w:hideMark/>
          </w:tcPr>
          <w:p w14:paraId="49E110DD"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AVERAGE RETURN-RF</w:t>
            </w:r>
          </w:p>
        </w:tc>
        <w:tc>
          <w:tcPr>
            <w:tcW w:w="1791" w:type="dxa"/>
            <w:tcBorders>
              <w:top w:val="nil"/>
              <w:left w:val="nil"/>
              <w:bottom w:val="nil"/>
              <w:right w:val="nil"/>
            </w:tcBorders>
            <w:noWrap/>
            <w:vAlign w:val="bottom"/>
            <w:hideMark/>
          </w:tcPr>
          <w:p w14:paraId="5A50D52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0.243101608</w:t>
            </w:r>
          </w:p>
        </w:tc>
        <w:tc>
          <w:tcPr>
            <w:tcW w:w="1899" w:type="dxa"/>
            <w:tcBorders>
              <w:top w:val="nil"/>
              <w:left w:val="nil"/>
              <w:bottom w:val="nil"/>
              <w:right w:val="nil"/>
            </w:tcBorders>
            <w:noWrap/>
            <w:vAlign w:val="bottom"/>
            <w:hideMark/>
          </w:tcPr>
          <w:p w14:paraId="6A0E6ECB"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0.137257</w:t>
            </w:r>
          </w:p>
        </w:tc>
        <w:tc>
          <w:tcPr>
            <w:tcW w:w="1980" w:type="dxa"/>
            <w:tcBorders>
              <w:top w:val="nil"/>
              <w:left w:val="nil"/>
              <w:bottom w:val="nil"/>
              <w:right w:val="nil"/>
            </w:tcBorders>
            <w:noWrap/>
            <w:vAlign w:val="bottom"/>
            <w:hideMark/>
          </w:tcPr>
          <w:p w14:paraId="46BD46F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p>
        </w:tc>
      </w:tr>
      <w:tr w:rsidR="00A60822" w:rsidRPr="00A60822" w14:paraId="65F7D15F" w14:textId="77777777" w:rsidTr="00D00B3F">
        <w:trPr>
          <w:trHeight w:val="432"/>
        </w:trPr>
        <w:tc>
          <w:tcPr>
            <w:tcW w:w="3690" w:type="dxa"/>
            <w:tcBorders>
              <w:top w:val="nil"/>
              <w:left w:val="nil"/>
              <w:bottom w:val="nil"/>
              <w:right w:val="nil"/>
            </w:tcBorders>
            <w:noWrap/>
            <w:vAlign w:val="bottom"/>
            <w:hideMark/>
          </w:tcPr>
          <w:p w14:paraId="721EF306"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SHARPE RATIO</w:t>
            </w:r>
          </w:p>
        </w:tc>
        <w:tc>
          <w:tcPr>
            <w:tcW w:w="1791" w:type="dxa"/>
            <w:tcBorders>
              <w:top w:val="nil"/>
              <w:left w:val="nil"/>
              <w:bottom w:val="nil"/>
              <w:right w:val="nil"/>
            </w:tcBorders>
            <w:noWrap/>
            <w:vAlign w:val="bottom"/>
            <w:hideMark/>
          </w:tcPr>
          <w:p w14:paraId="285E345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0.402851462</w:t>
            </w:r>
          </w:p>
        </w:tc>
        <w:tc>
          <w:tcPr>
            <w:tcW w:w="1899" w:type="dxa"/>
            <w:tcBorders>
              <w:top w:val="nil"/>
              <w:left w:val="nil"/>
              <w:bottom w:val="nil"/>
              <w:right w:val="nil"/>
            </w:tcBorders>
            <w:noWrap/>
            <w:vAlign w:val="bottom"/>
            <w:hideMark/>
          </w:tcPr>
          <w:p w14:paraId="410B2E3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8.009888</w:t>
            </w:r>
          </w:p>
        </w:tc>
        <w:tc>
          <w:tcPr>
            <w:tcW w:w="1980" w:type="dxa"/>
            <w:tcBorders>
              <w:top w:val="nil"/>
              <w:left w:val="nil"/>
              <w:bottom w:val="nil"/>
              <w:right w:val="nil"/>
            </w:tcBorders>
            <w:noWrap/>
            <w:vAlign w:val="bottom"/>
            <w:hideMark/>
          </w:tcPr>
          <w:p w14:paraId="64FA00A6"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p>
        </w:tc>
      </w:tr>
      <w:tr w:rsidR="00A60822" w:rsidRPr="00A60822" w14:paraId="34AAC404" w14:textId="77777777" w:rsidTr="00D00B3F">
        <w:trPr>
          <w:trHeight w:val="300"/>
        </w:trPr>
        <w:tc>
          <w:tcPr>
            <w:tcW w:w="3690" w:type="dxa"/>
            <w:tcBorders>
              <w:top w:val="nil"/>
              <w:left w:val="nil"/>
              <w:bottom w:val="nil"/>
              <w:right w:val="nil"/>
            </w:tcBorders>
            <w:noWrap/>
            <w:vAlign w:val="bottom"/>
            <w:hideMark/>
          </w:tcPr>
          <w:p w14:paraId="6F280705"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BETA</w:t>
            </w:r>
          </w:p>
        </w:tc>
        <w:tc>
          <w:tcPr>
            <w:tcW w:w="1791" w:type="dxa"/>
            <w:tcBorders>
              <w:top w:val="nil"/>
              <w:left w:val="nil"/>
              <w:bottom w:val="nil"/>
              <w:right w:val="nil"/>
            </w:tcBorders>
            <w:noWrap/>
            <w:vAlign w:val="bottom"/>
            <w:hideMark/>
          </w:tcPr>
          <w:p w14:paraId="6DA23F07"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-1.096776</w:t>
            </w:r>
          </w:p>
        </w:tc>
        <w:tc>
          <w:tcPr>
            <w:tcW w:w="1899" w:type="dxa"/>
            <w:tcBorders>
              <w:top w:val="nil"/>
              <w:left w:val="nil"/>
              <w:bottom w:val="nil"/>
              <w:right w:val="nil"/>
            </w:tcBorders>
            <w:noWrap/>
            <w:vAlign w:val="bottom"/>
            <w:hideMark/>
          </w:tcPr>
          <w:p w14:paraId="0458E542"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-0.5538</w:t>
            </w:r>
          </w:p>
        </w:tc>
        <w:tc>
          <w:tcPr>
            <w:tcW w:w="1980" w:type="dxa"/>
            <w:tcBorders>
              <w:top w:val="nil"/>
              <w:left w:val="nil"/>
              <w:bottom w:val="nil"/>
              <w:right w:val="nil"/>
            </w:tcBorders>
            <w:noWrap/>
            <w:vAlign w:val="bottom"/>
            <w:hideMark/>
          </w:tcPr>
          <w:p w14:paraId="615FD63D"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p>
        </w:tc>
      </w:tr>
      <w:tr w:rsidR="00A60822" w:rsidRPr="00A60822" w14:paraId="0C39F7FF" w14:textId="77777777" w:rsidTr="00D00B3F">
        <w:trPr>
          <w:trHeight w:val="300"/>
        </w:trPr>
        <w:tc>
          <w:tcPr>
            <w:tcW w:w="3690" w:type="dxa"/>
            <w:tcBorders>
              <w:top w:val="nil"/>
              <w:left w:val="nil"/>
              <w:bottom w:val="nil"/>
              <w:right w:val="nil"/>
            </w:tcBorders>
            <w:noWrap/>
            <w:vAlign w:val="bottom"/>
            <w:hideMark/>
          </w:tcPr>
          <w:p w14:paraId="162EAFD6"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JENSEN ALPHA</w:t>
            </w:r>
          </w:p>
        </w:tc>
        <w:tc>
          <w:tcPr>
            <w:tcW w:w="1791" w:type="dxa"/>
            <w:tcBorders>
              <w:top w:val="nil"/>
              <w:left w:val="nil"/>
              <w:bottom w:val="nil"/>
              <w:right w:val="nil"/>
            </w:tcBorders>
            <w:noWrap/>
            <w:vAlign w:val="bottom"/>
            <w:hideMark/>
          </w:tcPr>
          <w:p w14:paraId="181C6B2D"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0.240542012</w:t>
            </w:r>
          </w:p>
        </w:tc>
        <w:tc>
          <w:tcPr>
            <w:tcW w:w="1899" w:type="dxa"/>
            <w:tcBorders>
              <w:top w:val="nil"/>
              <w:left w:val="nil"/>
              <w:bottom w:val="nil"/>
              <w:right w:val="nil"/>
            </w:tcBorders>
            <w:noWrap/>
            <w:vAlign w:val="bottom"/>
            <w:hideMark/>
          </w:tcPr>
          <w:p w14:paraId="15486D4D"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0.136219</w:t>
            </w:r>
          </w:p>
        </w:tc>
        <w:tc>
          <w:tcPr>
            <w:tcW w:w="1980" w:type="dxa"/>
            <w:tcBorders>
              <w:top w:val="nil"/>
              <w:left w:val="nil"/>
              <w:bottom w:val="nil"/>
              <w:right w:val="nil"/>
            </w:tcBorders>
            <w:noWrap/>
            <w:vAlign w:val="bottom"/>
            <w:hideMark/>
          </w:tcPr>
          <w:p w14:paraId="1695CF2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p>
        </w:tc>
      </w:tr>
      <w:tr w:rsidR="00A60822" w:rsidRPr="00A60822" w14:paraId="09949A7F" w14:textId="77777777" w:rsidTr="00D00B3F">
        <w:trPr>
          <w:trHeight w:val="300"/>
        </w:trPr>
        <w:tc>
          <w:tcPr>
            <w:tcW w:w="3690" w:type="dxa"/>
            <w:tcBorders>
              <w:top w:val="nil"/>
              <w:left w:val="nil"/>
              <w:bottom w:val="nil"/>
              <w:right w:val="nil"/>
            </w:tcBorders>
            <w:noWrap/>
            <w:vAlign w:val="bottom"/>
            <w:hideMark/>
          </w:tcPr>
          <w:p w14:paraId="26EBB4C6"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TRYNOR RATIO</w:t>
            </w:r>
          </w:p>
        </w:tc>
        <w:tc>
          <w:tcPr>
            <w:tcW w:w="1791" w:type="dxa"/>
            <w:tcBorders>
              <w:top w:val="nil"/>
              <w:left w:val="nil"/>
              <w:bottom w:val="nil"/>
              <w:right w:val="nil"/>
            </w:tcBorders>
            <w:noWrap/>
            <w:vAlign w:val="bottom"/>
            <w:hideMark/>
          </w:tcPr>
          <w:p w14:paraId="3B82E02E"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-0.2216511</w:t>
            </w:r>
          </w:p>
        </w:tc>
        <w:tc>
          <w:tcPr>
            <w:tcW w:w="1899" w:type="dxa"/>
            <w:tcBorders>
              <w:top w:val="nil"/>
              <w:left w:val="nil"/>
              <w:bottom w:val="nil"/>
              <w:right w:val="nil"/>
            </w:tcBorders>
            <w:noWrap/>
            <w:vAlign w:val="bottom"/>
            <w:hideMark/>
          </w:tcPr>
          <w:p w14:paraId="26DF0CCB"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-0.24785</w:t>
            </w:r>
          </w:p>
        </w:tc>
        <w:tc>
          <w:tcPr>
            <w:tcW w:w="1980" w:type="dxa"/>
            <w:tcBorders>
              <w:top w:val="nil"/>
              <w:left w:val="nil"/>
              <w:bottom w:val="nil"/>
              <w:right w:val="nil"/>
            </w:tcBorders>
            <w:noWrap/>
            <w:vAlign w:val="bottom"/>
            <w:hideMark/>
          </w:tcPr>
          <w:p w14:paraId="55FA978B"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p>
        </w:tc>
      </w:tr>
    </w:tbl>
    <w:p w14:paraId="24F7BC4D" w14:textId="77777777" w:rsidR="00A60822" w:rsidRPr="00A60822" w:rsidRDefault="00A60822" w:rsidP="00A60822">
      <w:pPr>
        <w:pBdr>
          <w:top w:val="single" w:sz="4" w:space="1" w:color="auto"/>
        </w:pBdr>
        <w:spacing w:line="259" w:lineRule="auto"/>
        <w:rPr>
          <w:rFonts w:ascii="Times New Roman" w:hAnsi="Times New Roman" w:cs="Times New Roman"/>
          <w:kern w:val="0"/>
          <w14:ligatures w14:val="none"/>
        </w:rPr>
      </w:pPr>
      <w:r w:rsidRPr="00A60822">
        <w:rPr>
          <w:rFonts w:ascii="Times New Roman" w:hAnsi="Times New Roman" w:cs="Times New Roman"/>
          <w:kern w:val="0"/>
          <w14:ligatures w14:val="none"/>
        </w:rPr>
        <w:t>Source: Author’s Computation</w:t>
      </w:r>
    </w:p>
    <w:p w14:paraId="4EFF985C" w14:textId="77777777" w:rsidR="00A60822" w:rsidRPr="00A60822" w:rsidRDefault="00A60822" w:rsidP="00A60822">
      <w:pPr>
        <w:spacing w:after="0" w:line="480" w:lineRule="auto"/>
        <w:jc w:val="both"/>
        <w:rPr>
          <w:rFonts w:ascii="Times New Roman" w:hAnsi="Times New Roman" w:cs="Times New Roman"/>
          <w:kern w:val="0"/>
          <w14:ligatures w14:val="none"/>
        </w:rPr>
      </w:pPr>
    </w:p>
    <w:p w14:paraId="5A1AFDEF" w14:textId="77777777" w:rsidR="00F2321A" w:rsidRDefault="00F2321A" w:rsidP="00F2321A">
      <w:pPr>
        <w:spacing w:after="0" w:line="240" w:lineRule="auto"/>
        <w:jc w:val="both"/>
        <w:rPr>
          <w:rFonts w:ascii="Times New Roman" w:hAnsi="Times New Roman" w:cs="Times New Roman"/>
          <w:kern w:val="0"/>
          <w14:ligatures w14:val="none"/>
        </w:rPr>
      </w:pPr>
    </w:p>
    <w:p w14:paraId="25C73E63" w14:textId="77777777" w:rsidR="00F2321A" w:rsidRDefault="00F2321A" w:rsidP="00F2321A">
      <w:pPr>
        <w:spacing w:after="0" w:line="240" w:lineRule="auto"/>
        <w:jc w:val="both"/>
        <w:rPr>
          <w:rFonts w:ascii="Times New Roman" w:hAnsi="Times New Roman" w:cs="Times New Roman"/>
          <w:kern w:val="0"/>
          <w14:ligatures w14:val="none"/>
        </w:rPr>
      </w:pPr>
    </w:p>
    <w:p w14:paraId="3E84D8B7" w14:textId="588C9F4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lastRenderedPageBreak/>
        <w:t xml:space="preserve">The table reveals that the annualized returns of stock, bond and Treasury bill are 0.32, 1.01 and 1.03 respectively. This suggests that Treasury bill has the highest annualized return, which is followed by bond. The annualized volatility of stock is 2 percent approximately, while the bond and Treasury bill have annualized volatility of 0 percent each. This obvious confirms that bond and Treasury bill are risk free securities, while stock is a risky security. In other words, bond and Treasury bill do not have annual volatility but on the contrary, stock has. Therefore, a risk lover investor could go for stock to take advantage of its swigs and make excessive return at the time of bull. </w:t>
      </w:r>
    </w:p>
    <w:p w14:paraId="097AAF6A"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The Sharpe ratio is 0.40, and 8.01 respectively for stock, and bond. This explicitly indicates that for every point in return investors in stock are shouldering 0.4 unit of risk, while investors in bond shoulder 8.01 units. So, by Sharpe performance indicator, bond performs better than stock because for every level of return investors would be able to assume much more units of risk. </w:t>
      </w:r>
    </w:p>
    <w:p w14:paraId="42A81B32"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The Jensen alpha is estimated to be 0.24, and 0.13 for stock and bond respectively. These positive values imply that much return is earned to compensate the risk taken over the years by investors. However, since stock has a higher alpha value, it means, it performs better than bond based on Jensen performance indicator. </w:t>
      </w:r>
    </w:p>
    <w:p w14:paraId="46283504"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The Treynor ratio or reward to volatility ratio are -0.22, and -0.25 respectively for stock and bond. The negative Treynor ratio means that investors have generated less return for each of the non-diversifiable risk taken by them. Since stock has the highest Treynor ratio, it means it perform better than bond. </w:t>
      </w:r>
    </w:p>
    <w:p w14:paraId="0F86AADB"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In summary bond, performs better stock because it has the highest annualized return, lowest annualized volatility and the highest Sharpe ratio. At this point the question whether investors cascade toward the stock market, bond market or Treasury bill market can be addressed.</w:t>
      </w:r>
    </w:p>
    <w:p w14:paraId="109B7D5A" w14:textId="77777777" w:rsidR="00F2321A" w:rsidRDefault="00F2321A" w:rsidP="00A60822">
      <w:pPr>
        <w:spacing w:after="0" w:line="480" w:lineRule="auto"/>
        <w:jc w:val="both"/>
        <w:rPr>
          <w:rFonts w:ascii="Times New Roman" w:hAnsi="Times New Roman" w:cs="Times New Roman"/>
          <w:b/>
          <w:bCs/>
          <w:kern w:val="0"/>
          <w14:ligatures w14:val="none"/>
        </w:rPr>
      </w:pPr>
    </w:p>
    <w:p w14:paraId="3C554337" w14:textId="67B11C67" w:rsidR="00A60822" w:rsidRPr="00A60822" w:rsidRDefault="00A60822" w:rsidP="00F2321A">
      <w:pPr>
        <w:spacing w:after="0" w:line="240" w:lineRule="auto"/>
        <w:jc w:val="both"/>
        <w:rPr>
          <w:rFonts w:ascii="Times New Roman" w:hAnsi="Times New Roman" w:cs="Times New Roman"/>
          <w:b/>
          <w:bCs/>
          <w:kern w:val="0"/>
          <w14:ligatures w14:val="none"/>
        </w:rPr>
      </w:pPr>
      <w:r w:rsidRPr="00A60822">
        <w:rPr>
          <w:rFonts w:ascii="Times New Roman" w:hAnsi="Times New Roman" w:cs="Times New Roman"/>
          <w:b/>
          <w:bCs/>
          <w:kern w:val="0"/>
          <w14:ligatures w14:val="none"/>
        </w:rPr>
        <w:t>Herding or Cascading Behaviors of Investors</w:t>
      </w:r>
    </w:p>
    <w:p w14:paraId="2E005C8A" w14:textId="77777777" w:rsid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We have utilized the Cross-sessional Absolute Deviation regression equation to examine the cascading effects, and the results are presented in table 4.4.</w:t>
      </w:r>
    </w:p>
    <w:p w14:paraId="607962CE" w14:textId="77777777" w:rsidR="00F2321A" w:rsidRPr="00A60822" w:rsidRDefault="00F2321A" w:rsidP="00F2321A">
      <w:pPr>
        <w:spacing w:after="0" w:line="240" w:lineRule="auto"/>
        <w:jc w:val="both"/>
        <w:rPr>
          <w:rFonts w:ascii="Times New Roman" w:hAnsi="Times New Roman" w:cs="Times New Roman"/>
          <w:kern w:val="0"/>
          <w14:ligatures w14:val="none"/>
        </w:rPr>
      </w:pPr>
    </w:p>
    <w:p w14:paraId="6E795219" w14:textId="77777777" w:rsidR="00A60822" w:rsidRPr="00A60822" w:rsidRDefault="00A60822" w:rsidP="00A60822">
      <w:pPr>
        <w:spacing w:after="0" w:line="240" w:lineRule="auto"/>
        <w:jc w:val="center"/>
        <w:rPr>
          <w:rFonts w:ascii="Times New Roman" w:hAnsi="Times New Roman" w:cs="Times New Roman"/>
          <w:kern w:val="0"/>
          <w14:ligatures w14:val="none"/>
        </w:rPr>
      </w:pPr>
      <w:r w:rsidRPr="00A60822">
        <w:rPr>
          <w:rFonts w:ascii="Times New Roman" w:hAnsi="Times New Roman" w:cs="Times New Roman"/>
          <w:kern w:val="0"/>
          <w14:ligatures w14:val="none"/>
        </w:rPr>
        <w:t xml:space="preserve">Table4.4-Result of Herding Behavior </w:t>
      </w:r>
    </w:p>
    <w:p w14:paraId="3F4F8A09" w14:textId="77777777" w:rsidR="00A60822" w:rsidRPr="00A60822" w:rsidRDefault="00A60822" w:rsidP="00A60822">
      <w:pPr>
        <w:spacing w:after="0" w:line="240" w:lineRule="auto"/>
        <w:jc w:val="center"/>
        <w:rPr>
          <w:rFonts w:ascii="Times New Roman" w:hAnsi="Times New Roman" w:cs="Times New Roman"/>
          <w:kern w:val="0"/>
          <w14:ligatures w14:val="none"/>
        </w:rPr>
      </w:pPr>
      <w:r w:rsidRPr="00A60822">
        <w:rPr>
          <w:rFonts w:ascii="Times New Roman" w:hAnsi="Times New Roman" w:cs="Times New Roman"/>
          <w:kern w:val="0"/>
          <w14:ligatures w14:val="none"/>
        </w:rPr>
        <w:t>PANEL A-Cascading toward Bond Market.</w:t>
      </w:r>
    </w:p>
    <w:p w14:paraId="696F45F9" w14:textId="77777777" w:rsidR="00A60822" w:rsidRPr="00A60822" w:rsidRDefault="00A60822" w:rsidP="00A60822">
      <w:pPr>
        <w:pBdr>
          <w:top w:val="single" w:sz="4" w:space="1" w:color="auto"/>
          <w:bottom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Regressor              </w:t>
      </w:r>
      <w:r w:rsidRPr="00A60822">
        <w:rPr>
          <w:rFonts w:ascii="Times New Roman" w:hAnsi="Times New Roman" w:cs="Times New Roman"/>
          <w:kern w:val="0"/>
          <w14:ligatures w14:val="none"/>
        </w:rPr>
        <w:tab/>
        <w:t xml:space="preserve"> Coefficient         </w:t>
      </w:r>
      <w:r w:rsidRPr="00A60822">
        <w:rPr>
          <w:rFonts w:ascii="Times New Roman" w:hAnsi="Times New Roman" w:cs="Times New Roman"/>
          <w:kern w:val="0"/>
          <w14:ligatures w14:val="none"/>
        </w:rPr>
        <w:tab/>
        <w:t xml:space="preserve"> Std-error                 </w:t>
      </w:r>
      <w:r w:rsidRPr="00A60822">
        <w:rPr>
          <w:rFonts w:ascii="Times New Roman" w:hAnsi="Times New Roman" w:cs="Times New Roman"/>
          <w:kern w:val="0"/>
          <w14:ligatures w14:val="none"/>
        </w:rPr>
        <w:tab/>
        <w:t>T-value         P-value</w:t>
      </w:r>
    </w:p>
    <w:tbl>
      <w:tblPr>
        <w:tblW w:w="9450" w:type="dxa"/>
        <w:tblLook w:val="04A0" w:firstRow="1" w:lastRow="0" w:firstColumn="1" w:lastColumn="0" w:noHBand="0" w:noVBand="1"/>
      </w:tblPr>
      <w:tblGrid>
        <w:gridCol w:w="2250"/>
        <w:gridCol w:w="1341"/>
        <w:gridCol w:w="2079"/>
        <w:gridCol w:w="2250"/>
        <w:gridCol w:w="1530"/>
      </w:tblGrid>
      <w:tr w:rsidR="00A60822" w:rsidRPr="00A60822" w14:paraId="5951C8FB" w14:textId="77777777" w:rsidTr="00D00B3F">
        <w:trPr>
          <w:trHeight w:val="300"/>
        </w:trPr>
        <w:tc>
          <w:tcPr>
            <w:tcW w:w="2250" w:type="dxa"/>
            <w:tcBorders>
              <w:top w:val="nil"/>
              <w:left w:val="nil"/>
              <w:bottom w:val="nil"/>
              <w:right w:val="nil"/>
            </w:tcBorders>
            <w:noWrap/>
            <w:vAlign w:val="bottom"/>
            <w:hideMark/>
          </w:tcPr>
          <w:p w14:paraId="6CDC3EF7"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proofErr w:type="gramStart"/>
            <w:r w:rsidRPr="00A60822">
              <w:rPr>
                <w:rFonts w:ascii="Times New Roman" w:eastAsia="Times New Roman" w:hAnsi="Times New Roman" w:cs="Times New Roman"/>
                <w:color w:val="000000"/>
                <w:kern w:val="0"/>
                <w14:ligatures w14:val="none"/>
              </w:rPr>
              <w:t>CSADB(</w:t>
            </w:r>
            <w:proofErr w:type="gramEnd"/>
            <w:r w:rsidRPr="00A60822">
              <w:rPr>
                <w:rFonts w:ascii="Times New Roman" w:eastAsia="Times New Roman" w:hAnsi="Times New Roman" w:cs="Times New Roman"/>
                <w:color w:val="000000"/>
                <w:kern w:val="0"/>
                <w14:ligatures w14:val="none"/>
              </w:rPr>
              <w:t>-1)</w:t>
            </w:r>
          </w:p>
        </w:tc>
        <w:tc>
          <w:tcPr>
            <w:tcW w:w="1341" w:type="dxa"/>
            <w:tcBorders>
              <w:top w:val="nil"/>
              <w:left w:val="nil"/>
              <w:bottom w:val="nil"/>
              <w:right w:val="nil"/>
            </w:tcBorders>
            <w:noWrap/>
            <w:vAlign w:val="bottom"/>
            <w:hideMark/>
          </w:tcPr>
          <w:p w14:paraId="58687DF1"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-0.00331</w:t>
            </w:r>
          </w:p>
        </w:tc>
        <w:tc>
          <w:tcPr>
            <w:tcW w:w="2079" w:type="dxa"/>
            <w:tcBorders>
              <w:top w:val="nil"/>
              <w:left w:val="nil"/>
              <w:bottom w:val="nil"/>
              <w:right w:val="nil"/>
            </w:tcBorders>
            <w:noWrap/>
            <w:vAlign w:val="bottom"/>
            <w:hideMark/>
          </w:tcPr>
          <w:p w14:paraId="3BB47C44"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0.128906</w:t>
            </w:r>
          </w:p>
        </w:tc>
        <w:tc>
          <w:tcPr>
            <w:tcW w:w="2250" w:type="dxa"/>
            <w:tcBorders>
              <w:top w:val="nil"/>
              <w:left w:val="nil"/>
              <w:bottom w:val="nil"/>
              <w:right w:val="nil"/>
            </w:tcBorders>
            <w:noWrap/>
            <w:vAlign w:val="bottom"/>
            <w:hideMark/>
          </w:tcPr>
          <w:p w14:paraId="160FFDE5"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-0.0256</w:t>
            </w:r>
          </w:p>
        </w:tc>
        <w:tc>
          <w:tcPr>
            <w:tcW w:w="1530" w:type="dxa"/>
            <w:tcBorders>
              <w:top w:val="nil"/>
              <w:left w:val="nil"/>
              <w:bottom w:val="nil"/>
              <w:right w:val="nil"/>
            </w:tcBorders>
            <w:noWrap/>
            <w:vAlign w:val="bottom"/>
            <w:hideMark/>
          </w:tcPr>
          <w:p w14:paraId="7E8BEEB6"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0.9796</w:t>
            </w:r>
          </w:p>
        </w:tc>
      </w:tr>
      <w:tr w:rsidR="00A60822" w:rsidRPr="00A60822" w14:paraId="3D1DE65B" w14:textId="77777777" w:rsidTr="00D00B3F">
        <w:trPr>
          <w:trHeight w:val="300"/>
        </w:trPr>
        <w:tc>
          <w:tcPr>
            <w:tcW w:w="2250" w:type="dxa"/>
            <w:tcBorders>
              <w:top w:val="nil"/>
              <w:left w:val="nil"/>
              <w:bottom w:val="nil"/>
              <w:right w:val="nil"/>
            </w:tcBorders>
            <w:noWrap/>
            <w:vAlign w:val="bottom"/>
            <w:hideMark/>
          </w:tcPr>
          <w:p w14:paraId="3198319B"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BR</w:t>
            </w:r>
          </w:p>
        </w:tc>
        <w:tc>
          <w:tcPr>
            <w:tcW w:w="1341" w:type="dxa"/>
            <w:tcBorders>
              <w:top w:val="nil"/>
              <w:left w:val="nil"/>
              <w:bottom w:val="nil"/>
              <w:right w:val="nil"/>
            </w:tcBorders>
            <w:noWrap/>
            <w:vAlign w:val="bottom"/>
            <w:hideMark/>
          </w:tcPr>
          <w:p w14:paraId="36B3DAC8"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-22.5179</w:t>
            </w:r>
          </w:p>
        </w:tc>
        <w:tc>
          <w:tcPr>
            <w:tcW w:w="2079" w:type="dxa"/>
            <w:tcBorders>
              <w:top w:val="nil"/>
              <w:left w:val="nil"/>
              <w:bottom w:val="nil"/>
              <w:right w:val="nil"/>
            </w:tcBorders>
            <w:noWrap/>
            <w:vAlign w:val="bottom"/>
            <w:hideMark/>
          </w:tcPr>
          <w:p w14:paraId="2CDCEB7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84.31236</w:t>
            </w:r>
          </w:p>
        </w:tc>
        <w:tc>
          <w:tcPr>
            <w:tcW w:w="2250" w:type="dxa"/>
            <w:tcBorders>
              <w:top w:val="nil"/>
              <w:left w:val="nil"/>
              <w:bottom w:val="nil"/>
              <w:right w:val="nil"/>
            </w:tcBorders>
            <w:noWrap/>
            <w:vAlign w:val="bottom"/>
            <w:hideMark/>
          </w:tcPr>
          <w:p w14:paraId="32423901"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-0.2670</w:t>
            </w:r>
          </w:p>
        </w:tc>
        <w:tc>
          <w:tcPr>
            <w:tcW w:w="1530" w:type="dxa"/>
            <w:tcBorders>
              <w:top w:val="nil"/>
              <w:left w:val="nil"/>
              <w:bottom w:val="nil"/>
              <w:right w:val="nil"/>
            </w:tcBorders>
            <w:noWrap/>
            <w:vAlign w:val="bottom"/>
            <w:hideMark/>
          </w:tcPr>
          <w:p w14:paraId="3191B01C"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0.7903</w:t>
            </w:r>
          </w:p>
        </w:tc>
      </w:tr>
      <w:tr w:rsidR="00A60822" w:rsidRPr="00A60822" w14:paraId="5FA527E6" w14:textId="77777777" w:rsidTr="00D00B3F">
        <w:trPr>
          <w:trHeight w:val="300"/>
        </w:trPr>
        <w:tc>
          <w:tcPr>
            <w:tcW w:w="2250" w:type="dxa"/>
            <w:tcBorders>
              <w:top w:val="nil"/>
              <w:left w:val="nil"/>
              <w:bottom w:val="nil"/>
              <w:right w:val="nil"/>
            </w:tcBorders>
            <w:noWrap/>
            <w:vAlign w:val="bottom"/>
            <w:hideMark/>
          </w:tcPr>
          <w:p w14:paraId="3F1B1623"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BR2</w:t>
            </w:r>
          </w:p>
        </w:tc>
        <w:tc>
          <w:tcPr>
            <w:tcW w:w="1341" w:type="dxa"/>
            <w:tcBorders>
              <w:top w:val="nil"/>
              <w:left w:val="nil"/>
              <w:bottom w:val="nil"/>
              <w:right w:val="nil"/>
            </w:tcBorders>
            <w:noWrap/>
            <w:vAlign w:val="bottom"/>
            <w:hideMark/>
          </w:tcPr>
          <w:p w14:paraId="0D2D17D5"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69.30047</w:t>
            </w:r>
          </w:p>
        </w:tc>
        <w:tc>
          <w:tcPr>
            <w:tcW w:w="2079" w:type="dxa"/>
            <w:tcBorders>
              <w:top w:val="nil"/>
              <w:left w:val="nil"/>
              <w:bottom w:val="nil"/>
              <w:right w:val="nil"/>
            </w:tcBorders>
            <w:noWrap/>
            <w:vAlign w:val="bottom"/>
            <w:hideMark/>
          </w:tcPr>
          <w:p w14:paraId="15F7F510"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301.603</w:t>
            </w:r>
          </w:p>
        </w:tc>
        <w:tc>
          <w:tcPr>
            <w:tcW w:w="2250" w:type="dxa"/>
            <w:tcBorders>
              <w:top w:val="nil"/>
              <w:left w:val="nil"/>
              <w:bottom w:val="nil"/>
              <w:right w:val="nil"/>
            </w:tcBorders>
            <w:noWrap/>
            <w:vAlign w:val="bottom"/>
            <w:hideMark/>
          </w:tcPr>
          <w:p w14:paraId="64812081"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0.2297</w:t>
            </w:r>
          </w:p>
        </w:tc>
        <w:tc>
          <w:tcPr>
            <w:tcW w:w="1530" w:type="dxa"/>
            <w:tcBorders>
              <w:top w:val="nil"/>
              <w:left w:val="nil"/>
              <w:bottom w:val="nil"/>
              <w:right w:val="nil"/>
            </w:tcBorders>
            <w:noWrap/>
            <w:vAlign w:val="bottom"/>
            <w:hideMark/>
          </w:tcPr>
          <w:p w14:paraId="48C8EFD2"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0.8019</w:t>
            </w:r>
          </w:p>
        </w:tc>
      </w:tr>
      <w:tr w:rsidR="00A60822" w:rsidRPr="00A60822" w14:paraId="11433E30" w14:textId="77777777" w:rsidTr="00D00B3F">
        <w:trPr>
          <w:trHeight w:val="300"/>
        </w:trPr>
        <w:tc>
          <w:tcPr>
            <w:tcW w:w="2250" w:type="dxa"/>
            <w:tcBorders>
              <w:top w:val="nil"/>
              <w:left w:val="nil"/>
              <w:bottom w:val="nil"/>
              <w:right w:val="nil"/>
            </w:tcBorders>
            <w:noWrap/>
            <w:vAlign w:val="bottom"/>
            <w:hideMark/>
          </w:tcPr>
          <w:p w14:paraId="5DF88FE0"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C</w:t>
            </w:r>
          </w:p>
        </w:tc>
        <w:tc>
          <w:tcPr>
            <w:tcW w:w="1341" w:type="dxa"/>
            <w:tcBorders>
              <w:top w:val="nil"/>
              <w:left w:val="nil"/>
              <w:bottom w:val="nil"/>
              <w:right w:val="nil"/>
            </w:tcBorders>
            <w:noWrap/>
            <w:vAlign w:val="bottom"/>
            <w:hideMark/>
          </w:tcPr>
          <w:p w14:paraId="23B45EBE"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1.941789</w:t>
            </w:r>
          </w:p>
        </w:tc>
        <w:tc>
          <w:tcPr>
            <w:tcW w:w="2079" w:type="dxa"/>
            <w:tcBorders>
              <w:top w:val="nil"/>
              <w:left w:val="nil"/>
              <w:bottom w:val="nil"/>
              <w:right w:val="nil"/>
            </w:tcBorders>
            <w:noWrap/>
            <w:vAlign w:val="bottom"/>
            <w:hideMark/>
          </w:tcPr>
          <w:p w14:paraId="59A354BF"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5.830674</w:t>
            </w:r>
          </w:p>
        </w:tc>
        <w:tc>
          <w:tcPr>
            <w:tcW w:w="2250" w:type="dxa"/>
            <w:tcBorders>
              <w:top w:val="nil"/>
              <w:left w:val="nil"/>
              <w:bottom w:val="nil"/>
              <w:right w:val="nil"/>
            </w:tcBorders>
            <w:noWrap/>
            <w:vAlign w:val="bottom"/>
            <w:hideMark/>
          </w:tcPr>
          <w:p w14:paraId="69F7064A"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0.3331</w:t>
            </w:r>
          </w:p>
        </w:tc>
        <w:tc>
          <w:tcPr>
            <w:tcW w:w="1530" w:type="dxa"/>
            <w:tcBorders>
              <w:top w:val="nil"/>
              <w:left w:val="nil"/>
              <w:bottom w:val="nil"/>
              <w:right w:val="nil"/>
            </w:tcBorders>
            <w:noWrap/>
            <w:vAlign w:val="bottom"/>
            <w:hideMark/>
          </w:tcPr>
          <w:p w14:paraId="44B93C18"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0.7403</w:t>
            </w:r>
          </w:p>
        </w:tc>
      </w:tr>
    </w:tbl>
    <w:p w14:paraId="5BB56644" w14:textId="77777777" w:rsidR="00A60822" w:rsidRPr="00A60822" w:rsidRDefault="00A60822" w:rsidP="00A60822">
      <w:pPr>
        <w:spacing w:after="0" w:line="240" w:lineRule="auto"/>
        <w:jc w:val="center"/>
        <w:rPr>
          <w:rFonts w:ascii="Times New Roman" w:hAnsi="Times New Roman" w:cs="Times New Roman"/>
          <w:kern w:val="0"/>
          <w14:ligatures w14:val="none"/>
        </w:rPr>
      </w:pPr>
      <w:r w:rsidRPr="00A60822">
        <w:rPr>
          <w:rFonts w:ascii="Times New Roman" w:hAnsi="Times New Roman" w:cs="Times New Roman"/>
          <w:kern w:val="0"/>
          <w14:ligatures w14:val="none"/>
        </w:rPr>
        <w:t>PANEL B-Cascading toward Stock Market.</w:t>
      </w:r>
    </w:p>
    <w:p w14:paraId="59212CB2" w14:textId="77777777" w:rsidR="00A60822" w:rsidRPr="00A60822" w:rsidRDefault="00A60822" w:rsidP="00A60822">
      <w:pPr>
        <w:pBdr>
          <w:top w:val="single" w:sz="4" w:space="1" w:color="auto"/>
          <w:bottom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Regressor               </w:t>
      </w:r>
      <w:r w:rsidRPr="00A60822">
        <w:rPr>
          <w:rFonts w:ascii="Times New Roman" w:hAnsi="Times New Roman" w:cs="Times New Roman"/>
          <w:kern w:val="0"/>
          <w14:ligatures w14:val="none"/>
        </w:rPr>
        <w:tab/>
        <w:t xml:space="preserve">Coefficient         </w:t>
      </w:r>
      <w:r w:rsidRPr="00A60822">
        <w:rPr>
          <w:rFonts w:ascii="Times New Roman" w:hAnsi="Times New Roman" w:cs="Times New Roman"/>
          <w:kern w:val="0"/>
          <w14:ligatures w14:val="none"/>
        </w:rPr>
        <w:tab/>
        <w:t xml:space="preserve"> Std-error                 </w:t>
      </w:r>
      <w:r w:rsidRPr="00A60822">
        <w:rPr>
          <w:rFonts w:ascii="Times New Roman" w:hAnsi="Times New Roman" w:cs="Times New Roman"/>
          <w:kern w:val="0"/>
          <w14:ligatures w14:val="none"/>
        </w:rPr>
        <w:tab/>
        <w:t>T-value         P-value</w:t>
      </w:r>
    </w:p>
    <w:tbl>
      <w:tblPr>
        <w:tblW w:w="9819" w:type="dxa"/>
        <w:tblLook w:val="04A0" w:firstRow="1" w:lastRow="0" w:firstColumn="1" w:lastColumn="0" w:noHBand="0" w:noVBand="1"/>
      </w:tblPr>
      <w:tblGrid>
        <w:gridCol w:w="2250"/>
        <w:gridCol w:w="1710"/>
        <w:gridCol w:w="1989"/>
        <w:gridCol w:w="2382"/>
        <w:gridCol w:w="1488"/>
      </w:tblGrid>
      <w:tr w:rsidR="00A60822" w:rsidRPr="00A60822" w14:paraId="1D04475F" w14:textId="77777777" w:rsidTr="00D00B3F">
        <w:trPr>
          <w:trHeight w:val="300"/>
        </w:trPr>
        <w:tc>
          <w:tcPr>
            <w:tcW w:w="2250" w:type="dxa"/>
            <w:tcBorders>
              <w:top w:val="nil"/>
              <w:left w:val="nil"/>
              <w:bottom w:val="nil"/>
              <w:right w:val="nil"/>
            </w:tcBorders>
            <w:noWrap/>
            <w:vAlign w:val="bottom"/>
            <w:hideMark/>
          </w:tcPr>
          <w:p w14:paraId="68BC9B61"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proofErr w:type="gramStart"/>
            <w:r w:rsidRPr="00A60822">
              <w:rPr>
                <w:rFonts w:ascii="Times New Roman" w:eastAsia="Times New Roman" w:hAnsi="Times New Roman" w:cs="Times New Roman"/>
                <w:color w:val="000000"/>
                <w:kern w:val="0"/>
                <w14:ligatures w14:val="none"/>
              </w:rPr>
              <w:t>CSADS(</w:t>
            </w:r>
            <w:proofErr w:type="gramEnd"/>
            <w:r w:rsidRPr="00A60822">
              <w:rPr>
                <w:rFonts w:ascii="Times New Roman" w:eastAsia="Times New Roman" w:hAnsi="Times New Roman" w:cs="Times New Roman"/>
                <w:color w:val="000000"/>
                <w:kern w:val="0"/>
                <w14:ligatures w14:val="none"/>
              </w:rPr>
              <w:t>-1)</w:t>
            </w:r>
          </w:p>
        </w:tc>
        <w:tc>
          <w:tcPr>
            <w:tcW w:w="1710" w:type="dxa"/>
            <w:tcBorders>
              <w:top w:val="nil"/>
              <w:left w:val="nil"/>
              <w:bottom w:val="nil"/>
              <w:right w:val="nil"/>
            </w:tcBorders>
            <w:noWrap/>
            <w:vAlign w:val="bottom"/>
            <w:hideMark/>
          </w:tcPr>
          <w:p w14:paraId="26A1B59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0.065001</w:t>
            </w:r>
          </w:p>
        </w:tc>
        <w:tc>
          <w:tcPr>
            <w:tcW w:w="1989" w:type="dxa"/>
            <w:tcBorders>
              <w:top w:val="nil"/>
              <w:left w:val="nil"/>
              <w:bottom w:val="nil"/>
              <w:right w:val="nil"/>
            </w:tcBorders>
            <w:noWrap/>
            <w:vAlign w:val="bottom"/>
            <w:hideMark/>
          </w:tcPr>
          <w:p w14:paraId="24C094DC"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0.101164</w:t>
            </w:r>
          </w:p>
        </w:tc>
        <w:tc>
          <w:tcPr>
            <w:tcW w:w="2382" w:type="dxa"/>
            <w:tcBorders>
              <w:top w:val="nil"/>
              <w:left w:val="nil"/>
              <w:bottom w:val="nil"/>
              <w:right w:val="nil"/>
            </w:tcBorders>
            <w:noWrap/>
            <w:vAlign w:val="bottom"/>
            <w:hideMark/>
          </w:tcPr>
          <w:p w14:paraId="0B1B9371"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0.64253</w:t>
            </w:r>
          </w:p>
        </w:tc>
        <w:tc>
          <w:tcPr>
            <w:tcW w:w="1488" w:type="dxa"/>
            <w:tcBorders>
              <w:top w:val="nil"/>
              <w:left w:val="nil"/>
              <w:bottom w:val="nil"/>
              <w:right w:val="nil"/>
            </w:tcBorders>
            <w:noWrap/>
            <w:vAlign w:val="bottom"/>
            <w:hideMark/>
          </w:tcPr>
          <w:p w14:paraId="3BF40F85"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0.5203</w:t>
            </w:r>
          </w:p>
        </w:tc>
      </w:tr>
      <w:tr w:rsidR="00A60822" w:rsidRPr="00A60822" w14:paraId="6B516824" w14:textId="77777777" w:rsidTr="00D00B3F">
        <w:trPr>
          <w:trHeight w:val="300"/>
        </w:trPr>
        <w:tc>
          <w:tcPr>
            <w:tcW w:w="2250" w:type="dxa"/>
            <w:tcBorders>
              <w:top w:val="nil"/>
              <w:left w:val="nil"/>
              <w:bottom w:val="nil"/>
              <w:right w:val="nil"/>
            </w:tcBorders>
            <w:noWrap/>
            <w:vAlign w:val="bottom"/>
            <w:hideMark/>
          </w:tcPr>
          <w:p w14:paraId="4832CA1F"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SR</w:t>
            </w:r>
          </w:p>
        </w:tc>
        <w:tc>
          <w:tcPr>
            <w:tcW w:w="1710" w:type="dxa"/>
            <w:tcBorders>
              <w:top w:val="nil"/>
              <w:left w:val="nil"/>
              <w:bottom w:val="nil"/>
              <w:right w:val="nil"/>
            </w:tcBorders>
            <w:noWrap/>
            <w:vAlign w:val="bottom"/>
            <w:hideMark/>
          </w:tcPr>
          <w:p w14:paraId="5F80F375"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-2.55E-16</w:t>
            </w:r>
          </w:p>
        </w:tc>
        <w:tc>
          <w:tcPr>
            <w:tcW w:w="1989" w:type="dxa"/>
            <w:tcBorders>
              <w:top w:val="nil"/>
              <w:left w:val="nil"/>
              <w:bottom w:val="nil"/>
              <w:right w:val="nil"/>
            </w:tcBorders>
            <w:noWrap/>
            <w:vAlign w:val="bottom"/>
            <w:hideMark/>
          </w:tcPr>
          <w:p w14:paraId="7108B46E"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4.77E-17</w:t>
            </w:r>
          </w:p>
        </w:tc>
        <w:tc>
          <w:tcPr>
            <w:tcW w:w="2382" w:type="dxa"/>
            <w:tcBorders>
              <w:top w:val="nil"/>
              <w:left w:val="nil"/>
              <w:bottom w:val="nil"/>
              <w:right w:val="nil"/>
            </w:tcBorders>
            <w:noWrap/>
            <w:vAlign w:val="bottom"/>
            <w:hideMark/>
          </w:tcPr>
          <w:p w14:paraId="75FED37F"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-5.3457</w:t>
            </w:r>
          </w:p>
        </w:tc>
        <w:tc>
          <w:tcPr>
            <w:tcW w:w="1488" w:type="dxa"/>
            <w:tcBorders>
              <w:top w:val="nil"/>
              <w:left w:val="nil"/>
              <w:bottom w:val="nil"/>
              <w:right w:val="nil"/>
            </w:tcBorders>
            <w:noWrap/>
            <w:vAlign w:val="bottom"/>
            <w:hideMark/>
          </w:tcPr>
          <w:p w14:paraId="4C04B2EF"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0.0000</w:t>
            </w:r>
          </w:p>
        </w:tc>
      </w:tr>
      <w:tr w:rsidR="00A60822" w:rsidRPr="00A60822" w14:paraId="3E3543BF" w14:textId="77777777" w:rsidTr="00D00B3F">
        <w:trPr>
          <w:trHeight w:val="300"/>
        </w:trPr>
        <w:tc>
          <w:tcPr>
            <w:tcW w:w="2250" w:type="dxa"/>
            <w:tcBorders>
              <w:top w:val="nil"/>
              <w:left w:val="nil"/>
              <w:bottom w:val="nil"/>
              <w:right w:val="nil"/>
            </w:tcBorders>
            <w:noWrap/>
            <w:vAlign w:val="bottom"/>
            <w:hideMark/>
          </w:tcPr>
          <w:p w14:paraId="2D152DCE"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SR2</w:t>
            </w:r>
          </w:p>
        </w:tc>
        <w:tc>
          <w:tcPr>
            <w:tcW w:w="1710" w:type="dxa"/>
            <w:tcBorders>
              <w:top w:val="nil"/>
              <w:left w:val="nil"/>
              <w:bottom w:val="nil"/>
              <w:right w:val="nil"/>
            </w:tcBorders>
            <w:noWrap/>
            <w:vAlign w:val="bottom"/>
            <w:hideMark/>
          </w:tcPr>
          <w:p w14:paraId="208B1413"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-5.73E-17</w:t>
            </w:r>
          </w:p>
        </w:tc>
        <w:tc>
          <w:tcPr>
            <w:tcW w:w="1989" w:type="dxa"/>
            <w:tcBorders>
              <w:top w:val="nil"/>
              <w:left w:val="nil"/>
              <w:bottom w:val="nil"/>
              <w:right w:val="nil"/>
            </w:tcBorders>
            <w:noWrap/>
            <w:vAlign w:val="bottom"/>
            <w:hideMark/>
          </w:tcPr>
          <w:p w14:paraId="128DE762"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1.26E-17</w:t>
            </w:r>
          </w:p>
        </w:tc>
        <w:tc>
          <w:tcPr>
            <w:tcW w:w="2382" w:type="dxa"/>
            <w:tcBorders>
              <w:top w:val="nil"/>
              <w:left w:val="nil"/>
              <w:bottom w:val="nil"/>
              <w:right w:val="nil"/>
            </w:tcBorders>
            <w:noWrap/>
            <w:vAlign w:val="bottom"/>
            <w:hideMark/>
          </w:tcPr>
          <w:p w14:paraId="68F26334"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4.52713</w:t>
            </w:r>
          </w:p>
        </w:tc>
        <w:tc>
          <w:tcPr>
            <w:tcW w:w="1488" w:type="dxa"/>
            <w:tcBorders>
              <w:top w:val="nil"/>
              <w:left w:val="nil"/>
              <w:bottom w:val="nil"/>
              <w:right w:val="nil"/>
            </w:tcBorders>
            <w:noWrap/>
            <w:vAlign w:val="bottom"/>
            <w:hideMark/>
          </w:tcPr>
          <w:p w14:paraId="35D4C278"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0.0023</w:t>
            </w:r>
          </w:p>
        </w:tc>
      </w:tr>
      <w:tr w:rsidR="00A60822" w:rsidRPr="00A60822" w14:paraId="4797E1FD" w14:textId="77777777" w:rsidTr="00D00B3F">
        <w:trPr>
          <w:trHeight w:val="300"/>
        </w:trPr>
        <w:tc>
          <w:tcPr>
            <w:tcW w:w="2250" w:type="dxa"/>
            <w:tcBorders>
              <w:top w:val="nil"/>
              <w:left w:val="nil"/>
              <w:bottom w:val="nil"/>
              <w:right w:val="nil"/>
            </w:tcBorders>
            <w:noWrap/>
            <w:vAlign w:val="bottom"/>
            <w:hideMark/>
          </w:tcPr>
          <w:p w14:paraId="1C74BB2C"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C</w:t>
            </w:r>
          </w:p>
        </w:tc>
        <w:tc>
          <w:tcPr>
            <w:tcW w:w="1710" w:type="dxa"/>
            <w:tcBorders>
              <w:top w:val="nil"/>
              <w:left w:val="nil"/>
              <w:bottom w:val="nil"/>
              <w:right w:val="nil"/>
            </w:tcBorders>
            <w:noWrap/>
            <w:vAlign w:val="bottom"/>
            <w:hideMark/>
          </w:tcPr>
          <w:p w14:paraId="453D5715"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3.24E-17</w:t>
            </w:r>
          </w:p>
        </w:tc>
        <w:tc>
          <w:tcPr>
            <w:tcW w:w="1989" w:type="dxa"/>
            <w:tcBorders>
              <w:top w:val="nil"/>
              <w:left w:val="nil"/>
              <w:bottom w:val="nil"/>
              <w:right w:val="nil"/>
            </w:tcBorders>
            <w:noWrap/>
            <w:vAlign w:val="bottom"/>
            <w:hideMark/>
          </w:tcPr>
          <w:p w14:paraId="5D42A123"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1.07E-17</w:t>
            </w:r>
          </w:p>
        </w:tc>
        <w:tc>
          <w:tcPr>
            <w:tcW w:w="2382" w:type="dxa"/>
            <w:tcBorders>
              <w:top w:val="nil"/>
              <w:left w:val="nil"/>
              <w:bottom w:val="nil"/>
              <w:right w:val="nil"/>
            </w:tcBorders>
            <w:noWrap/>
            <w:vAlign w:val="bottom"/>
            <w:hideMark/>
          </w:tcPr>
          <w:p w14:paraId="602C93C1"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3.0329</w:t>
            </w:r>
          </w:p>
        </w:tc>
        <w:tc>
          <w:tcPr>
            <w:tcW w:w="1488" w:type="dxa"/>
            <w:tcBorders>
              <w:top w:val="nil"/>
              <w:left w:val="nil"/>
              <w:bottom w:val="nil"/>
              <w:right w:val="nil"/>
            </w:tcBorders>
            <w:noWrap/>
            <w:vAlign w:val="bottom"/>
            <w:hideMark/>
          </w:tcPr>
          <w:p w14:paraId="292D3D5D"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0.0036</w:t>
            </w:r>
          </w:p>
        </w:tc>
      </w:tr>
    </w:tbl>
    <w:p w14:paraId="28C59282" w14:textId="77777777" w:rsidR="00A60822" w:rsidRPr="00A60822" w:rsidRDefault="00A60822" w:rsidP="00A60822">
      <w:pPr>
        <w:spacing w:after="0" w:line="240" w:lineRule="auto"/>
        <w:jc w:val="center"/>
        <w:rPr>
          <w:rFonts w:ascii="Times New Roman" w:hAnsi="Times New Roman" w:cs="Times New Roman"/>
          <w:kern w:val="0"/>
          <w14:ligatures w14:val="none"/>
        </w:rPr>
      </w:pPr>
      <w:r w:rsidRPr="00A60822">
        <w:rPr>
          <w:rFonts w:ascii="Times New Roman" w:hAnsi="Times New Roman" w:cs="Times New Roman"/>
          <w:kern w:val="0"/>
          <w14:ligatures w14:val="none"/>
        </w:rPr>
        <w:t>PANEL C-Cascading toward Treasury bill Market.</w:t>
      </w:r>
    </w:p>
    <w:p w14:paraId="3E9258C6" w14:textId="77777777" w:rsidR="00A60822" w:rsidRPr="00A60822" w:rsidRDefault="00A60822" w:rsidP="00A60822">
      <w:pPr>
        <w:pBdr>
          <w:top w:val="single" w:sz="4" w:space="1" w:color="auto"/>
          <w:bottom w:val="single" w:sz="4" w:space="1" w:color="auto"/>
        </w:pBd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Regressor              </w:t>
      </w:r>
      <w:r w:rsidRPr="00A60822">
        <w:rPr>
          <w:rFonts w:ascii="Times New Roman" w:hAnsi="Times New Roman" w:cs="Times New Roman"/>
          <w:kern w:val="0"/>
          <w14:ligatures w14:val="none"/>
        </w:rPr>
        <w:tab/>
        <w:t xml:space="preserve"> Coefficient        </w:t>
      </w:r>
      <w:proofErr w:type="gramStart"/>
      <w:r w:rsidRPr="00A60822">
        <w:rPr>
          <w:rFonts w:ascii="Times New Roman" w:hAnsi="Times New Roman" w:cs="Times New Roman"/>
          <w:kern w:val="0"/>
          <w14:ligatures w14:val="none"/>
        </w:rPr>
        <w:tab/>
        <w:t xml:space="preserve">  Std</w:t>
      </w:r>
      <w:proofErr w:type="gramEnd"/>
      <w:r w:rsidRPr="00A60822">
        <w:rPr>
          <w:rFonts w:ascii="Times New Roman" w:hAnsi="Times New Roman" w:cs="Times New Roman"/>
          <w:kern w:val="0"/>
          <w14:ligatures w14:val="none"/>
        </w:rPr>
        <w:t xml:space="preserve">-error                </w:t>
      </w:r>
      <w:proofErr w:type="gramStart"/>
      <w:r w:rsidRPr="00A60822">
        <w:rPr>
          <w:rFonts w:ascii="Times New Roman" w:hAnsi="Times New Roman" w:cs="Times New Roman"/>
          <w:kern w:val="0"/>
          <w14:ligatures w14:val="none"/>
        </w:rPr>
        <w:tab/>
        <w:t xml:space="preserve">  T</w:t>
      </w:r>
      <w:proofErr w:type="gramEnd"/>
      <w:r w:rsidRPr="00A60822">
        <w:rPr>
          <w:rFonts w:ascii="Times New Roman" w:hAnsi="Times New Roman" w:cs="Times New Roman"/>
          <w:kern w:val="0"/>
          <w14:ligatures w14:val="none"/>
        </w:rPr>
        <w:t>-value           P-value</w:t>
      </w:r>
    </w:p>
    <w:tbl>
      <w:tblPr>
        <w:tblW w:w="9450" w:type="dxa"/>
        <w:tblLook w:val="04A0" w:firstRow="1" w:lastRow="0" w:firstColumn="1" w:lastColumn="0" w:noHBand="0" w:noVBand="1"/>
      </w:tblPr>
      <w:tblGrid>
        <w:gridCol w:w="2250"/>
        <w:gridCol w:w="1341"/>
        <w:gridCol w:w="2079"/>
        <w:gridCol w:w="2250"/>
        <w:gridCol w:w="1530"/>
      </w:tblGrid>
      <w:tr w:rsidR="00A60822" w:rsidRPr="00A60822" w14:paraId="4264F3E1" w14:textId="77777777" w:rsidTr="00D00B3F">
        <w:trPr>
          <w:trHeight w:val="300"/>
        </w:trPr>
        <w:tc>
          <w:tcPr>
            <w:tcW w:w="2250" w:type="dxa"/>
            <w:tcBorders>
              <w:top w:val="nil"/>
              <w:left w:val="nil"/>
              <w:bottom w:val="nil"/>
              <w:right w:val="nil"/>
            </w:tcBorders>
            <w:noWrap/>
            <w:vAlign w:val="bottom"/>
            <w:hideMark/>
          </w:tcPr>
          <w:p w14:paraId="0F646BB7"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proofErr w:type="gramStart"/>
            <w:r w:rsidRPr="00A60822">
              <w:rPr>
                <w:rFonts w:ascii="Times New Roman" w:eastAsia="Times New Roman" w:hAnsi="Times New Roman" w:cs="Times New Roman"/>
                <w:color w:val="000000"/>
                <w:kern w:val="0"/>
                <w14:ligatures w14:val="none"/>
              </w:rPr>
              <w:t>CSADT(</w:t>
            </w:r>
            <w:proofErr w:type="gramEnd"/>
            <w:r w:rsidRPr="00A60822">
              <w:rPr>
                <w:rFonts w:ascii="Times New Roman" w:eastAsia="Times New Roman" w:hAnsi="Times New Roman" w:cs="Times New Roman"/>
                <w:color w:val="000000"/>
                <w:kern w:val="0"/>
                <w14:ligatures w14:val="none"/>
              </w:rPr>
              <w:t>-1)</w:t>
            </w:r>
          </w:p>
        </w:tc>
        <w:tc>
          <w:tcPr>
            <w:tcW w:w="1341" w:type="dxa"/>
            <w:tcBorders>
              <w:top w:val="nil"/>
              <w:left w:val="nil"/>
              <w:bottom w:val="nil"/>
              <w:right w:val="nil"/>
            </w:tcBorders>
            <w:noWrap/>
            <w:vAlign w:val="bottom"/>
            <w:hideMark/>
          </w:tcPr>
          <w:p w14:paraId="1A84FF6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-0.06842</w:t>
            </w:r>
          </w:p>
        </w:tc>
        <w:tc>
          <w:tcPr>
            <w:tcW w:w="2079" w:type="dxa"/>
            <w:tcBorders>
              <w:top w:val="nil"/>
              <w:left w:val="nil"/>
              <w:bottom w:val="nil"/>
              <w:right w:val="nil"/>
            </w:tcBorders>
            <w:noWrap/>
            <w:vAlign w:val="bottom"/>
            <w:hideMark/>
          </w:tcPr>
          <w:p w14:paraId="7B470DE6"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0.125341</w:t>
            </w:r>
          </w:p>
        </w:tc>
        <w:tc>
          <w:tcPr>
            <w:tcW w:w="2250" w:type="dxa"/>
            <w:tcBorders>
              <w:top w:val="nil"/>
              <w:left w:val="nil"/>
              <w:bottom w:val="nil"/>
              <w:right w:val="nil"/>
            </w:tcBorders>
            <w:noWrap/>
            <w:vAlign w:val="bottom"/>
            <w:hideMark/>
          </w:tcPr>
          <w:p w14:paraId="6FED1794"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-0.545887</w:t>
            </w:r>
          </w:p>
        </w:tc>
        <w:tc>
          <w:tcPr>
            <w:tcW w:w="1530" w:type="dxa"/>
            <w:tcBorders>
              <w:top w:val="nil"/>
              <w:left w:val="nil"/>
              <w:bottom w:val="nil"/>
              <w:right w:val="nil"/>
            </w:tcBorders>
            <w:noWrap/>
            <w:vAlign w:val="bottom"/>
            <w:hideMark/>
          </w:tcPr>
          <w:p w14:paraId="75AE7FAD"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0.5872</w:t>
            </w:r>
          </w:p>
        </w:tc>
      </w:tr>
      <w:tr w:rsidR="00A60822" w:rsidRPr="00A60822" w14:paraId="79693258" w14:textId="77777777" w:rsidTr="00D00B3F">
        <w:trPr>
          <w:trHeight w:val="300"/>
        </w:trPr>
        <w:tc>
          <w:tcPr>
            <w:tcW w:w="2250" w:type="dxa"/>
            <w:tcBorders>
              <w:top w:val="nil"/>
              <w:left w:val="nil"/>
              <w:bottom w:val="nil"/>
              <w:right w:val="nil"/>
            </w:tcBorders>
            <w:noWrap/>
            <w:vAlign w:val="bottom"/>
            <w:hideMark/>
          </w:tcPr>
          <w:p w14:paraId="35ECC519"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TBR</w:t>
            </w:r>
          </w:p>
        </w:tc>
        <w:tc>
          <w:tcPr>
            <w:tcW w:w="1341" w:type="dxa"/>
            <w:tcBorders>
              <w:top w:val="nil"/>
              <w:left w:val="nil"/>
              <w:bottom w:val="nil"/>
              <w:right w:val="nil"/>
            </w:tcBorders>
            <w:noWrap/>
            <w:vAlign w:val="bottom"/>
            <w:hideMark/>
          </w:tcPr>
          <w:p w14:paraId="57521910"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4.72126</w:t>
            </w:r>
          </w:p>
        </w:tc>
        <w:tc>
          <w:tcPr>
            <w:tcW w:w="2079" w:type="dxa"/>
            <w:tcBorders>
              <w:top w:val="nil"/>
              <w:left w:val="nil"/>
              <w:bottom w:val="nil"/>
              <w:right w:val="nil"/>
            </w:tcBorders>
            <w:noWrap/>
            <w:vAlign w:val="bottom"/>
            <w:hideMark/>
          </w:tcPr>
          <w:p w14:paraId="03985182"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2.645391</w:t>
            </w:r>
          </w:p>
        </w:tc>
        <w:tc>
          <w:tcPr>
            <w:tcW w:w="2250" w:type="dxa"/>
            <w:tcBorders>
              <w:top w:val="nil"/>
              <w:left w:val="nil"/>
              <w:bottom w:val="nil"/>
              <w:right w:val="nil"/>
            </w:tcBorders>
            <w:noWrap/>
            <w:vAlign w:val="bottom"/>
            <w:hideMark/>
          </w:tcPr>
          <w:p w14:paraId="057BA1C7"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1.784712</w:t>
            </w:r>
          </w:p>
        </w:tc>
        <w:tc>
          <w:tcPr>
            <w:tcW w:w="1530" w:type="dxa"/>
            <w:tcBorders>
              <w:top w:val="nil"/>
              <w:left w:val="nil"/>
              <w:bottom w:val="nil"/>
              <w:right w:val="nil"/>
            </w:tcBorders>
            <w:noWrap/>
            <w:vAlign w:val="bottom"/>
            <w:hideMark/>
          </w:tcPr>
          <w:p w14:paraId="72F9EF96"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0.0794</w:t>
            </w:r>
          </w:p>
        </w:tc>
      </w:tr>
      <w:tr w:rsidR="00A60822" w:rsidRPr="00A60822" w14:paraId="668DA36E" w14:textId="77777777" w:rsidTr="00D00B3F">
        <w:trPr>
          <w:trHeight w:val="300"/>
        </w:trPr>
        <w:tc>
          <w:tcPr>
            <w:tcW w:w="2250" w:type="dxa"/>
            <w:tcBorders>
              <w:top w:val="nil"/>
              <w:left w:val="nil"/>
              <w:bottom w:val="nil"/>
              <w:right w:val="nil"/>
            </w:tcBorders>
            <w:noWrap/>
            <w:vAlign w:val="bottom"/>
            <w:hideMark/>
          </w:tcPr>
          <w:p w14:paraId="53BD46B0"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TBR2</w:t>
            </w:r>
          </w:p>
        </w:tc>
        <w:tc>
          <w:tcPr>
            <w:tcW w:w="1341" w:type="dxa"/>
            <w:tcBorders>
              <w:top w:val="nil"/>
              <w:left w:val="nil"/>
              <w:bottom w:val="nil"/>
              <w:right w:val="nil"/>
            </w:tcBorders>
            <w:noWrap/>
            <w:vAlign w:val="bottom"/>
            <w:hideMark/>
          </w:tcPr>
          <w:p w14:paraId="1F4DBD5C"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-12.0507</w:t>
            </w:r>
          </w:p>
        </w:tc>
        <w:tc>
          <w:tcPr>
            <w:tcW w:w="2079" w:type="dxa"/>
            <w:tcBorders>
              <w:top w:val="nil"/>
              <w:left w:val="nil"/>
              <w:bottom w:val="nil"/>
              <w:right w:val="nil"/>
            </w:tcBorders>
            <w:noWrap/>
            <w:vAlign w:val="bottom"/>
            <w:hideMark/>
          </w:tcPr>
          <w:p w14:paraId="046629B9"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6.6346</w:t>
            </w:r>
          </w:p>
        </w:tc>
        <w:tc>
          <w:tcPr>
            <w:tcW w:w="2250" w:type="dxa"/>
            <w:tcBorders>
              <w:top w:val="nil"/>
              <w:left w:val="nil"/>
              <w:bottom w:val="nil"/>
              <w:right w:val="nil"/>
            </w:tcBorders>
            <w:noWrap/>
            <w:vAlign w:val="bottom"/>
            <w:hideMark/>
          </w:tcPr>
          <w:p w14:paraId="5E5B53A1"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-1.816346</w:t>
            </w:r>
          </w:p>
        </w:tc>
        <w:tc>
          <w:tcPr>
            <w:tcW w:w="1530" w:type="dxa"/>
            <w:tcBorders>
              <w:top w:val="nil"/>
              <w:left w:val="nil"/>
              <w:bottom w:val="nil"/>
              <w:right w:val="nil"/>
            </w:tcBorders>
            <w:noWrap/>
            <w:vAlign w:val="bottom"/>
            <w:hideMark/>
          </w:tcPr>
          <w:p w14:paraId="70A434E2"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0.0743</w:t>
            </w:r>
          </w:p>
        </w:tc>
      </w:tr>
      <w:tr w:rsidR="00A60822" w:rsidRPr="00A60822" w14:paraId="2B116536" w14:textId="77777777" w:rsidTr="00D00B3F">
        <w:trPr>
          <w:trHeight w:val="300"/>
        </w:trPr>
        <w:tc>
          <w:tcPr>
            <w:tcW w:w="2250" w:type="dxa"/>
            <w:tcBorders>
              <w:top w:val="nil"/>
              <w:left w:val="nil"/>
              <w:bottom w:val="nil"/>
              <w:right w:val="nil"/>
            </w:tcBorders>
            <w:noWrap/>
            <w:vAlign w:val="bottom"/>
            <w:hideMark/>
          </w:tcPr>
          <w:p w14:paraId="62C3B15D" w14:textId="77777777" w:rsidR="00A60822" w:rsidRPr="00A60822" w:rsidRDefault="00A60822" w:rsidP="00A60822">
            <w:pPr>
              <w:spacing w:after="0" w:line="240" w:lineRule="auto"/>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C</w:t>
            </w:r>
          </w:p>
        </w:tc>
        <w:tc>
          <w:tcPr>
            <w:tcW w:w="1341" w:type="dxa"/>
            <w:tcBorders>
              <w:top w:val="nil"/>
              <w:left w:val="nil"/>
              <w:bottom w:val="nil"/>
              <w:right w:val="nil"/>
            </w:tcBorders>
            <w:noWrap/>
            <w:vAlign w:val="bottom"/>
            <w:hideMark/>
          </w:tcPr>
          <w:p w14:paraId="0878270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0.124917</w:t>
            </w:r>
          </w:p>
        </w:tc>
        <w:tc>
          <w:tcPr>
            <w:tcW w:w="2079" w:type="dxa"/>
            <w:tcBorders>
              <w:top w:val="nil"/>
              <w:left w:val="nil"/>
              <w:bottom w:val="nil"/>
              <w:right w:val="nil"/>
            </w:tcBorders>
            <w:noWrap/>
            <w:vAlign w:val="bottom"/>
            <w:hideMark/>
          </w:tcPr>
          <w:p w14:paraId="047E4D7A" w14:textId="77777777" w:rsidR="00A60822" w:rsidRPr="00A60822" w:rsidRDefault="00A60822" w:rsidP="00A60822">
            <w:pPr>
              <w:spacing w:after="0" w:line="240" w:lineRule="auto"/>
              <w:jc w:val="right"/>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0.131032</w:t>
            </w:r>
          </w:p>
        </w:tc>
        <w:tc>
          <w:tcPr>
            <w:tcW w:w="2250" w:type="dxa"/>
            <w:tcBorders>
              <w:top w:val="nil"/>
              <w:left w:val="nil"/>
              <w:bottom w:val="nil"/>
              <w:right w:val="nil"/>
            </w:tcBorders>
            <w:noWrap/>
            <w:vAlign w:val="bottom"/>
            <w:hideMark/>
          </w:tcPr>
          <w:p w14:paraId="7C6F068D"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0.953334</w:t>
            </w:r>
          </w:p>
        </w:tc>
        <w:tc>
          <w:tcPr>
            <w:tcW w:w="1530" w:type="dxa"/>
            <w:tcBorders>
              <w:top w:val="nil"/>
              <w:left w:val="nil"/>
              <w:bottom w:val="nil"/>
              <w:right w:val="nil"/>
            </w:tcBorders>
            <w:noWrap/>
            <w:vAlign w:val="bottom"/>
            <w:hideMark/>
          </w:tcPr>
          <w:p w14:paraId="4A5B4921" w14:textId="77777777" w:rsidR="00A60822" w:rsidRPr="00A60822" w:rsidRDefault="00A60822" w:rsidP="00A60822">
            <w:pPr>
              <w:spacing w:after="0" w:line="240" w:lineRule="auto"/>
              <w:jc w:val="center"/>
              <w:rPr>
                <w:rFonts w:ascii="Times New Roman" w:eastAsia="Times New Roman" w:hAnsi="Times New Roman" w:cs="Times New Roman"/>
                <w:color w:val="000000"/>
                <w:kern w:val="0"/>
                <w14:ligatures w14:val="none"/>
              </w:rPr>
            </w:pPr>
            <w:r w:rsidRPr="00A60822">
              <w:rPr>
                <w:rFonts w:ascii="Times New Roman" w:eastAsia="Times New Roman" w:hAnsi="Times New Roman" w:cs="Times New Roman"/>
                <w:color w:val="000000"/>
                <w:kern w:val="0"/>
                <w14:ligatures w14:val="none"/>
              </w:rPr>
              <w:t>0.3442</w:t>
            </w:r>
          </w:p>
        </w:tc>
      </w:tr>
    </w:tbl>
    <w:p w14:paraId="55648383" w14:textId="77777777" w:rsidR="00A60822" w:rsidRPr="00A60822" w:rsidRDefault="00A60822" w:rsidP="00A60822">
      <w:pPr>
        <w:pBdr>
          <w:top w:val="single" w:sz="4" w:space="1" w:color="auto"/>
        </w:pBdr>
        <w:spacing w:after="0" w:line="48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Source: Author’s Computation</w:t>
      </w:r>
    </w:p>
    <w:p w14:paraId="0C160997"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lastRenderedPageBreak/>
        <w:t xml:space="preserve">In the first panel, the coefficients of BR and BR square are respectively negative and positive. None of them is statistically significant. This means investors are not cascading towards bond market. No wander the bond market is still been traded over the cater. </w:t>
      </w:r>
    </w:p>
    <w:p w14:paraId="447AA6E5"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Panel B indicates that linear SR and non-linear SR are significantly different from zero, but it is only linear SR that has negative coefficient; meaning that there is evidence of cascading, but not too strong, in the stock market. This could be the reason for the past three years there is no initial public offer (IPO) in the stock market. In the last panel, </w:t>
      </w:r>
    </w:p>
    <w:p w14:paraId="30616C25"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TBR and TBR squared are significant at 10 percent, but only TBR square has negative coefficient. This means there is tendency that investors will be cascading toward the Treasury bill market very soon. Note the investigation has not confirmed a complete herding behavior in any of these markets, but there could be contagious effects underlying the markets. This issue is also underscored in this study.</w:t>
      </w:r>
    </w:p>
    <w:p w14:paraId="6BC1DD73" w14:textId="77777777" w:rsidR="00F2321A" w:rsidRDefault="00F2321A" w:rsidP="00F2321A">
      <w:pPr>
        <w:spacing w:after="0" w:line="240" w:lineRule="auto"/>
        <w:jc w:val="both"/>
        <w:rPr>
          <w:rFonts w:ascii="Times New Roman" w:hAnsi="Times New Roman" w:cs="Times New Roman"/>
          <w:b/>
          <w:kern w:val="0"/>
          <w14:ligatures w14:val="none"/>
        </w:rPr>
      </w:pPr>
    </w:p>
    <w:p w14:paraId="247E8FD3" w14:textId="66C9EE25" w:rsidR="00A60822" w:rsidRPr="00A60822" w:rsidRDefault="00A60822" w:rsidP="00F2321A">
      <w:pPr>
        <w:spacing w:after="0" w:line="240" w:lineRule="auto"/>
        <w:jc w:val="both"/>
        <w:rPr>
          <w:rFonts w:ascii="Times New Roman" w:hAnsi="Times New Roman" w:cs="Times New Roman"/>
          <w:b/>
          <w:kern w:val="0"/>
          <w14:ligatures w14:val="none"/>
        </w:rPr>
      </w:pPr>
      <w:r w:rsidRPr="00A60822">
        <w:rPr>
          <w:rFonts w:ascii="Times New Roman" w:hAnsi="Times New Roman" w:cs="Times New Roman"/>
          <w:b/>
          <w:kern w:val="0"/>
          <w14:ligatures w14:val="none"/>
        </w:rPr>
        <w:t>Summary of Findings</w:t>
      </w:r>
    </w:p>
    <w:p w14:paraId="266056F7"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In this study, the researcher attempts to address three critical issues: namely comparing the performance of asset returns across markets, examining the contagious effects/ correlation between the return in the markets. Then the cascading effects or herding behavior of investors. In the first instance, the performance of the assets </w:t>
      </w:r>
      <w:proofErr w:type="gramStart"/>
      <w:r w:rsidRPr="00A60822">
        <w:rPr>
          <w:rFonts w:ascii="Times New Roman" w:hAnsi="Times New Roman" w:cs="Times New Roman"/>
          <w:kern w:val="0"/>
          <w14:ligatures w14:val="none"/>
        </w:rPr>
        <w:t>were</w:t>
      </w:r>
      <w:proofErr w:type="gramEnd"/>
      <w:r w:rsidRPr="00A60822">
        <w:rPr>
          <w:rFonts w:ascii="Times New Roman" w:hAnsi="Times New Roman" w:cs="Times New Roman"/>
          <w:kern w:val="0"/>
          <w14:ligatures w14:val="none"/>
        </w:rPr>
        <w:t xml:space="preserve"> examined based on annualized return, annualized volatility, Sharpe ratio, Jensen Alpha and Treynor Measure. Stock return has the highest annualized volatility but the lowest annualized return. While, bond and Treasury bill returns have the highest annualized return, and approximately zero annualized volatility. Bond has the highest Sharpe ratio, but stock has the highest Jensen Alpha. Both bond and stock have very low Treynor performance measure. This means they cannot significantly compensate for undiversifiable risk. However, since bond has the highest annualized return and very low volatility, it is confirmed to be the best asset among the three assets.</w:t>
      </w:r>
    </w:p>
    <w:p w14:paraId="58F4F5E1"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Secondly, the results of the investigation confirm that the current volatility of bond return is much more influenced by past volatility of stock market than the its own past volatility. However, volatility transmits from the bond market to the stock market, and vice visa. While volatility does not transmit from the Treasury bill market to bond market, it does transmit from the bond market to stock market. There is evidence of bidirectional transmission between stock market and Treasury bill market. The current volatility of stock market is influenced more by its own past volatility than the past volatility of Treasury bill market. The correlation between bond and stock market is weak and direct; suggesting that diversification between these markets is infeasible. So also, the correlation between bond market and Treasury bill market is inverse, and that of stock market and Treasury bill market is inverse. This means diversifying between these markets is prudent and advisable.</w:t>
      </w:r>
    </w:p>
    <w:p w14:paraId="4889A2C3"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Lastly, there is strong empirical evidence that investors in Nigeria are not cascading toward bond market because the market appears unattractive and it is over the cater market. However, there is weak evidence that investors are cascading towards stock market and Treasury bill market. Particularly, the Treasury bill market is attracting many investors today in Nigerian money market. These findings contradicted the work of Ouarda, et al. (2013) who discovered high level of herding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in financial services during low volatility, and also some levels of herding in the other three sectors of European market during high volatility.</w:t>
      </w:r>
    </w:p>
    <w:p w14:paraId="109FDF50" w14:textId="77777777" w:rsidR="00F2321A" w:rsidRDefault="00F2321A" w:rsidP="00F2321A">
      <w:pPr>
        <w:spacing w:after="0" w:line="240" w:lineRule="auto"/>
        <w:jc w:val="both"/>
        <w:rPr>
          <w:rFonts w:ascii="Times New Roman" w:hAnsi="Times New Roman" w:cs="Times New Roman"/>
          <w:b/>
          <w:kern w:val="0"/>
          <w14:ligatures w14:val="none"/>
        </w:rPr>
      </w:pPr>
    </w:p>
    <w:p w14:paraId="6335ED80" w14:textId="07598715" w:rsidR="00A60822" w:rsidRPr="00A60822" w:rsidRDefault="00A60822" w:rsidP="00F2321A">
      <w:pPr>
        <w:spacing w:after="0" w:line="240" w:lineRule="auto"/>
        <w:jc w:val="both"/>
        <w:rPr>
          <w:rFonts w:ascii="Times New Roman" w:hAnsi="Times New Roman" w:cs="Times New Roman"/>
          <w:b/>
          <w:kern w:val="0"/>
          <w14:ligatures w14:val="none"/>
        </w:rPr>
      </w:pPr>
      <w:r w:rsidRPr="00A60822">
        <w:rPr>
          <w:rFonts w:ascii="Times New Roman" w:hAnsi="Times New Roman" w:cs="Times New Roman"/>
          <w:b/>
          <w:kern w:val="0"/>
          <w14:ligatures w14:val="none"/>
        </w:rPr>
        <w:t>Conclusions and Recommendations</w:t>
      </w:r>
    </w:p>
    <w:p w14:paraId="26E53F76"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The major findings of this study, which we have summarized above, focus primarily on asset performance indicators, and cascading effects in Nigerian financial markets. In view of this, the following conclusions are made.</w:t>
      </w:r>
    </w:p>
    <w:p w14:paraId="43C0644A" w14:textId="77777777" w:rsidR="00A60822" w:rsidRPr="00A60822" w:rsidRDefault="00A60822" w:rsidP="00F2321A">
      <w:pPr>
        <w:numPr>
          <w:ilvl w:val="0"/>
          <w:numId w:val="24"/>
        </w:numPr>
        <w:spacing w:after="0" w:line="240" w:lineRule="auto"/>
        <w:contextualSpacing/>
        <w:jc w:val="both"/>
        <w:rPr>
          <w:rFonts w:ascii="Times New Roman" w:hAnsi="Times New Roman" w:cs="Times New Roman"/>
          <w:kern w:val="0"/>
          <w14:ligatures w14:val="none"/>
        </w:rPr>
      </w:pPr>
      <w:r w:rsidRPr="00A60822">
        <w:rPr>
          <w:rFonts w:ascii="Times New Roman" w:hAnsi="Times New Roman" w:cs="Times New Roman"/>
          <w:kern w:val="0"/>
          <w14:ligatures w14:val="none"/>
        </w:rPr>
        <w:t>Stock return is inversely correlated to Treasury bill return but directly correlated to bond return. Thus, the study concludes that investors in stock market cannot diversify to bond market; rather they can diversify to Treasury bill market. At the same time bondholder can diversify to Treasury bill market. A portfolio of bond and stock is driven by the same forces and it is unwise to hold such portfolio.</w:t>
      </w:r>
    </w:p>
    <w:p w14:paraId="46D43D3B" w14:textId="77777777" w:rsidR="00A60822" w:rsidRPr="00A60822" w:rsidRDefault="00A60822" w:rsidP="00F2321A">
      <w:pPr>
        <w:numPr>
          <w:ilvl w:val="0"/>
          <w:numId w:val="24"/>
        </w:numPr>
        <w:spacing w:after="0" w:line="240" w:lineRule="auto"/>
        <w:contextualSpacing/>
        <w:jc w:val="both"/>
        <w:rPr>
          <w:rFonts w:ascii="Times New Roman" w:hAnsi="Times New Roman" w:cs="Times New Roman"/>
          <w:kern w:val="0"/>
          <w14:ligatures w14:val="none"/>
        </w:rPr>
      </w:pPr>
      <w:r w:rsidRPr="00A60822">
        <w:rPr>
          <w:rFonts w:ascii="Times New Roman" w:hAnsi="Times New Roman" w:cs="Times New Roman"/>
          <w:kern w:val="0"/>
          <w14:ligatures w14:val="none"/>
        </w:rPr>
        <w:t>Bonds and Treasury bill are less volatile and their expected values are relatively fixed, while stocks are volatile and their expected values vary over time. Stock has the highest monthly rate of return followed by Treasury bill. The pattern of distribution of bond price/return is normal, but stock and Treasury bill return do not follow a normal distribution process.</w:t>
      </w:r>
    </w:p>
    <w:p w14:paraId="573DCBCF" w14:textId="77777777" w:rsidR="00A60822" w:rsidRPr="00A60822" w:rsidRDefault="00A60822" w:rsidP="00F2321A">
      <w:pPr>
        <w:numPr>
          <w:ilvl w:val="0"/>
          <w:numId w:val="24"/>
        </w:numPr>
        <w:spacing w:after="0" w:line="240" w:lineRule="auto"/>
        <w:contextualSpacing/>
        <w:jc w:val="both"/>
        <w:rPr>
          <w:rFonts w:ascii="Times New Roman" w:hAnsi="Times New Roman" w:cs="Times New Roman"/>
          <w:kern w:val="0"/>
          <w14:ligatures w14:val="none"/>
        </w:rPr>
      </w:pPr>
      <w:r w:rsidRPr="00A60822">
        <w:rPr>
          <w:rFonts w:ascii="Times New Roman" w:hAnsi="Times New Roman" w:cs="Times New Roman"/>
          <w:kern w:val="0"/>
          <w14:ligatures w14:val="none"/>
        </w:rPr>
        <w:lastRenderedPageBreak/>
        <w:t>The study clearly confirms that investors do not cascade towards bond market. The cascading effects in the stock market is most prominent defying traditional portfolio theories postulations. Also, there is little evidence that investors are “herding” towards the Treasury bill market.</w:t>
      </w:r>
    </w:p>
    <w:p w14:paraId="78C0BA0F" w14:textId="77777777" w:rsidR="00A60822" w:rsidRPr="00A60822" w:rsidRDefault="00A60822" w:rsidP="00F2321A">
      <w:pPr>
        <w:spacing w:after="0" w:line="240" w:lineRule="auto"/>
        <w:jc w:val="both"/>
        <w:rPr>
          <w:rFonts w:ascii="Times New Roman" w:hAnsi="Times New Roman" w:cs="Times New Roman"/>
          <w:kern w:val="0"/>
          <w14:ligatures w14:val="none"/>
        </w:rPr>
      </w:pPr>
      <w:r w:rsidRPr="00A60822">
        <w:rPr>
          <w:rFonts w:ascii="Times New Roman" w:hAnsi="Times New Roman" w:cs="Times New Roman"/>
          <w:kern w:val="0"/>
          <w14:ligatures w14:val="none"/>
        </w:rPr>
        <w:t>In view of the conclusions set above, the following recommendations are made:</w:t>
      </w:r>
    </w:p>
    <w:p w14:paraId="14AEC6F1" w14:textId="77777777" w:rsidR="00A60822" w:rsidRPr="00A60822" w:rsidRDefault="00A60822" w:rsidP="00F2321A">
      <w:pPr>
        <w:numPr>
          <w:ilvl w:val="0"/>
          <w:numId w:val="25"/>
        </w:numPr>
        <w:spacing w:after="0" w:line="240" w:lineRule="auto"/>
        <w:contextualSpacing/>
        <w:jc w:val="both"/>
        <w:rPr>
          <w:rFonts w:ascii="Times New Roman" w:hAnsi="Times New Roman" w:cs="Times New Roman"/>
          <w:kern w:val="0"/>
          <w14:ligatures w14:val="none"/>
        </w:rPr>
      </w:pPr>
      <w:r w:rsidRPr="00A60822">
        <w:rPr>
          <w:rFonts w:ascii="Times New Roman" w:hAnsi="Times New Roman" w:cs="Times New Roman"/>
          <w:kern w:val="0"/>
          <w14:ligatures w14:val="none"/>
        </w:rPr>
        <w:t>Investors should diversify efficiently by holding a portfolio of either stocks and treasury bills or bond and treasury bills. They should discount inefficient diversification that arise when the same factors could influence the assets in a portfolio. Investors should invest in Treasury bill, and choose either bond or stock. Bond for natural risk averse investors and   otherwise stock for risk plungers.</w:t>
      </w:r>
    </w:p>
    <w:p w14:paraId="1012B7D6" w14:textId="77777777" w:rsidR="00A60822" w:rsidRPr="00A60822" w:rsidRDefault="00A60822" w:rsidP="00F2321A">
      <w:pPr>
        <w:numPr>
          <w:ilvl w:val="0"/>
          <w:numId w:val="25"/>
        </w:numPr>
        <w:spacing w:after="0" w:line="240" w:lineRule="auto"/>
        <w:contextualSpacing/>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The stock and Treasury bill markets show high and moderate evidence of herding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respectively occasioned by fear and panic. Rational investors could take advantage of </w:t>
      </w:r>
      <w:proofErr w:type="spellStart"/>
      <w:r w:rsidRPr="00A60822">
        <w:rPr>
          <w:rFonts w:ascii="Times New Roman" w:hAnsi="Times New Roman" w:cs="Times New Roman"/>
          <w:kern w:val="0"/>
          <w14:ligatures w14:val="none"/>
        </w:rPr>
        <w:t>tjis</w:t>
      </w:r>
      <w:proofErr w:type="spellEnd"/>
      <w:r w:rsidRPr="00A60822">
        <w:rPr>
          <w:rFonts w:ascii="Times New Roman" w:hAnsi="Times New Roman" w:cs="Times New Roman"/>
          <w:kern w:val="0"/>
          <w14:ligatures w14:val="none"/>
        </w:rPr>
        <w:t xml:space="preserve">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for abnormal returns by acting on the contrary to the herding instinct.</w:t>
      </w:r>
    </w:p>
    <w:p w14:paraId="39234DA1" w14:textId="77777777" w:rsidR="00A60822" w:rsidRPr="00A60822" w:rsidRDefault="00A60822" w:rsidP="00F2321A">
      <w:pPr>
        <w:spacing w:after="0" w:line="240" w:lineRule="auto"/>
        <w:jc w:val="both"/>
        <w:rPr>
          <w:rFonts w:ascii="Times New Roman" w:hAnsi="Times New Roman" w:cs="Times New Roman"/>
          <w:b/>
          <w:kern w:val="0"/>
          <w:sz w:val="30"/>
          <w:szCs w:val="30"/>
          <w14:ligatures w14:val="none"/>
        </w:rPr>
      </w:pPr>
    </w:p>
    <w:p w14:paraId="75F45677" w14:textId="77777777" w:rsidR="00A60822" w:rsidRPr="00A60822" w:rsidRDefault="00A60822" w:rsidP="00F2321A">
      <w:pPr>
        <w:spacing w:line="240" w:lineRule="auto"/>
        <w:jc w:val="both"/>
        <w:rPr>
          <w:rFonts w:ascii="Times New Roman" w:hAnsi="Times New Roman" w:cs="Times New Roman"/>
          <w:b/>
          <w:bCs/>
          <w:kern w:val="0"/>
          <w14:ligatures w14:val="none"/>
        </w:rPr>
      </w:pPr>
      <w:r w:rsidRPr="00A60822">
        <w:rPr>
          <w:rFonts w:ascii="Times New Roman" w:hAnsi="Times New Roman" w:cs="Times New Roman"/>
          <w:b/>
          <w:bCs/>
          <w:kern w:val="0"/>
          <w14:ligatures w14:val="none"/>
        </w:rPr>
        <w:t xml:space="preserve">References </w:t>
      </w:r>
    </w:p>
    <w:p w14:paraId="39A5FD54"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Ahsan, A. F. M. M., &amp; Sarkar, A. H. (2013). Herding in the Dhaka Stock Exchange. </w:t>
      </w:r>
      <w:r w:rsidRPr="00A60822">
        <w:rPr>
          <w:rFonts w:ascii="Times New Roman" w:hAnsi="Times New Roman" w:cs="Times New Roman"/>
          <w:i/>
          <w:iCs/>
          <w:kern w:val="0"/>
          <w14:ligatures w14:val="none"/>
        </w:rPr>
        <w:t>Journal of Applied Business and Economics</w:t>
      </w:r>
      <w:r w:rsidRPr="00A60822">
        <w:rPr>
          <w:rFonts w:ascii="Times New Roman" w:hAnsi="Times New Roman" w:cs="Times New Roman"/>
          <w:kern w:val="0"/>
          <w14:ligatures w14:val="none"/>
        </w:rPr>
        <w:t>, 14(2), 11–20.</w:t>
      </w:r>
    </w:p>
    <w:p w14:paraId="2FF46126"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Chang, E. C., Cheng, J. W., &amp; Khorana, A. (2000). An examination of herd behavior in equity markets: An international perspective. </w:t>
      </w:r>
      <w:r w:rsidRPr="00A60822">
        <w:rPr>
          <w:rFonts w:ascii="Times New Roman" w:hAnsi="Times New Roman" w:cs="Times New Roman"/>
          <w:i/>
          <w:iCs/>
          <w:kern w:val="0"/>
          <w14:ligatures w14:val="none"/>
        </w:rPr>
        <w:t>Journal of Banking &amp; Finance</w:t>
      </w:r>
      <w:r w:rsidRPr="00A60822">
        <w:rPr>
          <w:rFonts w:ascii="Times New Roman" w:hAnsi="Times New Roman" w:cs="Times New Roman"/>
          <w:kern w:val="0"/>
          <w14:ligatures w14:val="none"/>
        </w:rPr>
        <w:t>, 24(10), 1651–1679.</w:t>
      </w:r>
    </w:p>
    <w:p w14:paraId="4D3FBC48"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Chiang, T. C., &amp; Zheng, D. (2010). An empirical analysis of herd behavior in global stock markets. </w:t>
      </w:r>
      <w:r w:rsidRPr="00A60822">
        <w:rPr>
          <w:rFonts w:ascii="Times New Roman" w:hAnsi="Times New Roman" w:cs="Times New Roman"/>
          <w:i/>
          <w:iCs/>
          <w:kern w:val="0"/>
          <w14:ligatures w14:val="none"/>
        </w:rPr>
        <w:t>Journal of Banking &amp; Finance</w:t>
      </w:r>
      <w:r w:rsidRPr="00A60822">
        <w:rPr>
          <w:rFonts w:ascii="Times New Roman" w:hAnsi="Times New Roman" w:cs="Times New Roman"/>
          <w:kern w:val="0"/>
          <w14:ligatures w14:val="none"/>
        </w:rPr>
        <w:t>, 34(8), 1911–1921.</w:t>
      </w:r>
    </w:p>
    <w:p w14:paraId="2126E8F4"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Christie, W. G., &amp; Huang, R. D. (1995). Following the pied piper: Do individual returns herd around the market? </w:t>
      </w:r>
      <w:r w:rsidRPr="00A60822">
        <w:rPr>
          <w:rFonts w:ascii="Times New Roman" w:hAnsi="Times New Roman" w:cs="Times New Roman"/>
          <w:i/>
          <w:iCs/>
          <w:kern w:val="0"/>
          <w14:ligatures w14:val="none"/>
        </w:rPr>
        <w:t>Financial Analysts Journal</w:t>
      </w:r>
      <w:r w:rsidRPr="00A60822">
        <w:rPr>
          <w:rFonts w:ascii="Times New Roman" w:hAnsi="Times New Roman" w:cs="Times New Roman"/>
          <w:kern w:val="0"/>
          <w14:ligatures w14:val="none"/>
        </w:rPr>
        <w:t>, 51(4), 31–37.</w:t>
      </w:r>
    </w:p>
    <w:p w14:paraId="6CC3A776"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Demirer, R., &amp; </w:t>
      </w:r>
      <w:proofErr w:type="spellStart"/>
      <w:r w:rsidRPr="00A60822">
        <w:rPr>
          <w:rFonts w:ascii="Times New Roman" w:hAnsi="Times New Roman" w:cs="Times New Roman"/>
          <w:kern w:val="0"/>
          <w14:ligatures w14:val="none"/>
        </w:rPr>
        <w:t>Kutan</w:t>
      </w:r>
      <w:proofErr w:type="spellEnd"/>
      <w:r w:rsidRPr="00A60822">
        <w:rPr>
          <w:rFonts w:ascii="Times New Roman" w:hAnsi="Times New Roman" w:cs="Times New Roman"/>
          <w:kern w:val="0"/>
          <w14:ligatures w14:val="none"/>
        </w:rPr>
        <w:t xml:space="preserve">, A. M. (2006). Does herding behavior exist in Chinese stock markets? </w:t>
      </w:r>
      <w:r w:rsidRPr="00A60822">
        <w:rPr>
          <w:rFonts w:ascii="Times New Roman" w:hAnsi="Times New Roman" w:cs="Times New Roman"/>
          <w:i/>
          <w:iCs/>
          <w:kern w:val="0"/>
          <w14:ligatures w14:val="none"/>
        </w:rPr>
        <w:t>Journal of International Financial Markets, Institutions and Money</w:t>
      </w:r>
      <w:r w:rsidRPr="00A60822">
        <w:rPr>
          <w:rFonts w:ascii="Times New Roman" w:hAnsi="Times New Roman" w:cs="Times New Roman"/>
          <w:kern w:val="0"/>
          <w14:ligatures w14:val="none"/>
        </w:rPr>
        <w:t>, 16(2), 123–142.</w:t>
      </w:r>
    </w:p>
    <w:p w14:paraId="28FC5D5E"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Friedman, M. (1953). “The Case for Flexible Exchange Rates,” in Milton Friedman (ed.), Essays in Positive Economics, University of Chicago Press, Chicago, IL.</w:t>
      </w:r>
    </w:p>
    <w:p w14:paraId="7496B098"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Ganesh, R. &amp; Naresh, G. (2016). Industry herding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in India stock market. American Journal of Finance and Accounting, 4(3-4): 284-308.</w:t>
      </w:r>
    </w:p>
    <w:p w14:paraId="5401A211"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Gleason, K.C., Mathur, I. &amp; Peterson, M.A. (2004). Analysis of intraday herding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among the sector ETFs. Journal of Empirical Finance, 11(5): 681–694.</w:t>
      </w:r>
    </w:p>
    <w:p w14:paraId="5DB340EA"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Kahneman, D. &amp; Tversky, A. (1979). Prospect theory: an analysis of decision under risk. </w:t>
      </w:r>
      <w:proofErr w:type="spellStart"/>
      <w:r w:rsidRPr="00A60822">
        <w:rPr>
          <w:rFonts w:ascii="Times New Roman" w:hAnsi="Times New Roman" w:cs="Times New Roman"/>
          <w:kern w:val="0"/>
          <w14:ligatures w14:val="none"/>
        </w:rPr>
        <w:t>Econometrica</w:t>
      </w:r>
      <w:proofErr w:type="spellEnd"/>
      <w:r w:rsidRPr="00A60822">
        <w:rPr>
          <w:rFonts w:ascii="Times New Roman" w:hAnsi="Times New Roman" w:cs="Times New Roman"/>
          <w:kern w:val="0"/>
          <w14:ligatures w14:val="none"/>
        </w:rPr>
        <w:t>, 47(2): 263–292.</w:t>
      </w:r>
    </w:p>
    <w:p w14:paraId="40CE2993"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Kim, C., Lee W., Choi, Y.H. &amp; Ahn, J.Y. (2013). Analyzing herd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in global stock markets: An intercontinental comparison. Retrieved February 23, 2015 from http://arxiv.org/pdf/1308.3966.pdf</w:t>
      </w:r>
    </w:p>
    <w:p w14:paraId="401DBAB4"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proofErr w:type="spellStart"/>
      <w:r w:rsidRPr="00A60822">
        <w:rPr>
          <w:rFonts w:ascii="Times New Roman" w:hAnsi="Times New Roman" w:cs="Times New Roman"/>
          <w:kern w:val="0"/>
          <w14:ligatures w14:val="none"/>
        </w:rPr>
        <w:t>Lakonishok</w:t>
      </w:r>
      <w:proofErr w:type="spellEnd"/>
      <w:r w:rsidRPr="00A60822">
        <w:rPr>
          <w:rFonts w:ascii="Times New Roman" w:hAnsi="Times New Roman" w:cs="Times New Roman"/>
          <w:kern w:val="0"/>
          <w14:ligatures w14:val="none"/>
        </w:rPr>
        <w:t xml:space="preserve">, J., Shleifer, A., &amp; </w:t>
      </w:r>
      <w:proofErr w:type="spellStart"/>
      <w:r w:rsidRPr="00A60822">
        <w:rPr>
          <w:rFonts w:ascii="Times New Roman" w:hAnsi="Times New Roman" w:cs="Times New Roman"/>
          <w:kern w:val="0"/>
          <w14:ligatures w14:val="none"/>
        </w:rPr>
        <w:t>Vishny</w:t>
      </w:r>
      <w:proofErr w:type="spellEnd"/>
      <w:r w:rsidRPr="00A60822">
        <w:rPr>
          <w:rFonts w:ascii="Times New Roman" w:hAnsi="Times New Roman" w:cs="Times New Roman"/>
          <w:kern w:val="0"/>
          <w14:ligatures w14:val="none"/>
        </w:rPr>
        <w:t xml:space="preserve">, R. W. (1992). The impact of institutional trading on stock prices. </w:t>
      </w:r>
      <w:r w:rsidRPr="00A60822">
        <w:rPr>
          <w:rFonts w:ascii="Times New Roman" w:hAnsi="Times New Roman" w:cs="Times New Roman"/>
          <w:i/>
          <w:iCs/>
          <w:kern w:val="0"/>
          <w14:ligatures w14:val="none"/>
        </w:rPr>
        <w:t>Journal of Financial Economics</w:t>
      </w:r>
      <w:r w:rsidRPr="00A60822">
        <w:rPr>
          <w:rFonts w:ascii="Times New Roman" w:hAnsi="Times New Roman" w:cs="Times New Roman"/>
          <w:kern w:val="0"/>
          <w14:ligatures w14:val="none"/>
        </w:rPr>
        <w:t>, 32(1), 23–43.</w:t>
      </w:r>
    </w:p>
    <w:p w14:paraId="4F905E1C"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Lakshman, M. V., Basu, S., &amp; Vaidyanathan, R. (2011). Market-wide herding and the impact of institutional investors in the Indian stock market. </w:t>
      </w:r>
      <w:r w:rsidRPr="00A60822">
        <w:rPr>
          <w:rFonts w:ascii="Times New Roman" w:hAnsi="Times New Roman" w:cs="Times New Roman"/>
          <w:i/>
          <w:iCs/>
          <w:kern w:val="0"/>
          <w14:ligatures w14:val="none"/>
        </w:rPr>
        <w:t>Journal of Emerging Market Finance</w:t>
      </w:r>
      <w:r w:rsidRPr="00A60822">
        <w:rPr>
          <w:rFonts w:ascii="Times New Roman" w:hAnsi="Times New Roman" w:cs="Times New Roman"/>
          <w:kern w:val="0"/>
          <w14:ligatures w14:val="none"/>
        </w:rPr>
        <w:t>, 10(3), 1–21.</w:t>
      </w:r>
    </w:p>
    <w:p w14:paraId="70774664"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Lao, P., &amp; Singh, H. (2011). Herding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in the Chinese and Indian stock markets. </w:t>
      </w:r>
      <w:r w:rsidRPr="00A60822">
        <w:rPr>
          <w:rFonts w:ascii="Times New Roman" w:hAnsi="Times New Roman" w:cs="Times New Roman"/>
          <w:i/>
          <w:iCs/>
          <w:kern w:val="0"/>
          <w14:ligatures w14:val="none"/>
        </w:rPr>
        <w:t>Journal of Asian Economics</w:t>
      </w:r>
      <w:r w:rsidRPr="00A60822">
        <w:rPr>
          <w:rFonts w:ascii="Times New Roman" w:hAnsi="Times New Roman" w:cs="Times New Roman"/>
          <w:kern w:val="0"/>
          <w14:ligatures w14:val="none"/>
        </w:rPr>
        <w:t>, 22(6), 495–506.</w:t>
      </w:r>
    </w:p>
    <w:p w14:paraId="2AD44B96"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proofErr w:type="spellStart"/>
      <w:r w:rsidRPr="00A60822">
        <w:rPr>
          <w:rFonts w:ascii="Times New Roman" w:hAnsi="Times New Roman" w:cs="Times New Roman"/>
          <w:kern w:val="0"/>
          <w14:ligatures w14:val="none"/>
        </w:rPr>
        <w:lastRenderedPageBreak/>
        <w:t>Ohiomu</w:t>
      </w:r>
      <w:proofErr w:type="spellEnd"/>
      <w:r w:rsidRPr="00A60822">
        <w:rPr>
          <w:rFonts w:ascii="Times New Roman" w:hAnsi="Times New Roman" w:cs="Times New Roman"/>
          <w:kern w:val="0"/>
          <w14:ligatures w14:val="none"/>
        </w:rPr>
        <w:t xml:space="preserve">, S. &amp; </w:t>
      </w:r>
      <w:proofErr w:type="spellStart"/>
      <w:r w:rsidRPr="00A60822">
        <w:rPr>
          <w:rFonts w:ascii="Times New Roman" w:hAnsi="Times New Roman" w:cs="Times New Roman"/>
          <w:kern w:val="0"/>
          <w14:ligatures w14:val="none"/>
        </w:rPr>
        <w:t>Enabulu</w:t>
      </w:r>
      <w:proofErr w:type="spellEnd"/>
      <w:r w:rsidRPr="00A60822">
        <w:rPr>
          <w:rFonts w:ascii="Times New Roman" w:hAnsi="Times New Roman" w:cs="Times New Roman"/>
          <w:kern w:val="0"/>
          <w14:ligatures w14:val="none"/>
        </w:rPr>
        <w:t>, G. O. (2011). The effect of stock market on economic growth in Nigeria. Journal of Research in National Development, 9(1): 287 – 295.</w:t>
      </w:r>
    </w:p>
    <w:p w14:paraId="2D648AA4"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Oseni, E. &amp; Olanrewaju. R.O. (2017). A capital asset pricing model’s (CAPM’s) beta estimation in the presence of normality and non-normality assumptions. International Journal of Finance and Banking Research. 3(3): 44 – 52.</w:t>
      </w:r>
    </w:p>
    <w:p w14:paraId="0527848E"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Ouarda, M., Abdelfatteh, E.B. &amp; Olivero, B. (2013). Herding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under markets condition: Empirical evidence on the European financial markets. International Journal of Economics and Financial Issues, 3(1): 214-228.</w:t>
      </w:r>
    </w:p>
    <w:p w14:paraId="5815004B"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Perold, A. F. (2004). The capital asset pricing model. Journal of Economic Perspectives, 18(3): 3-24.</w:t>
      </w:r>
    </w:p>
    <w:p w14:paraId="38B92CBD"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proofErr w:type="spellStart"/>
      <w:r w:rsidRPr="00A60822">
        <w:rPr>
          <w:rFonts w:ascii="Times New Roman" w:hAnsi="Times New Roman" w:cs="Times New Roman"/>
          <w:kern w:val="0"/>
          <w14:ligatures w14:val="none"/>
        </w:rPr>
        <w:t>Prosad</w:t>
      </w:r>
      <w:proofErr w:type="spellEnd"/>
      <w:r w:rsidRPr="00A60822">
        <w:rPr>
          <w:rFonts w:ascii="Times New Roman" w:hAnsi="Times New Roman" w:cs="Times New Roman"/>
          <w:kern w:val="0"/>
          <w14:ligatures w14:val="none"/>
        </w:rPr>
        <w:t xml:space="preserve">, J. M., Kapoor, S., &amp; Sengupta, J. (2012). An examination of herd behavior: </w:t>
      </w:r>
      <w:proofErr w:type="gramStart"/>
      <w:r w:rsidRPr="00A60822">
        <w:rPr>
          <w:rFonts w:ascii="Times New Roman" w:hAnsi="Times New Roman" w:cs="Times New Roman"/>
          <w:kern w:val="0"/>
          <w14:ligatures w14:val="none"/>
        </w:rPr>
        <w:t>An empirical evidence</w:t>
      </w:r>
      <w:proofErr w:type="gramEnd"/>
      <w:r w:rsidRPr="00A60822">
        <w:rPr>
          <w:rFonts w:ascii="Times New Roman" w:hAnsi="Times New Roman" w:cs="Times New Roman"/>
          <w:kern w:val="0"/>
          <w14:ligatures w14:val="none"/>
        </w:rPr>
        <w:t xml:space="preserve"> from Indian equity market. </w:t>
      </w:r>
      <w:r w:rsidRPr="00A60822">
        <w:rPr>
          <w:rFonts w:ascii="Times New Roman" w:hAnsi="Times New Roman" w:cs="Times New Roman"/>
          <w:i/>
          <w:iCs/>
          <w:kern w:val="0"/>
          <w14:ligatures w14:val="none"/>
        </w:rPr>
        <w:t>International Journal of Trade, Economics and Finance</w:t>
      </w:r>
      <w:r w:rsidRPr="00A60822">
        <w:rPr>
          <w:rFonts w:ascii="Times New Roman" w:hAnsi="Times New Roman" w:cs="Times New Roman"/>
          <w:kern w:val="0"/>
          <w14:ligatures w14:val="none"/>
        </w:rPr>
        <w:t>, 3(2), 154–157.</w:t>
      </w:r>
    </w:p>
    <w:p w14:paraId="32F6334A"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Rossi, M. (2016). The capital asset pricing model: a critical literature review. Global Business and Economics Review, 18(5): 604 – 617.</w:t>
      </w:r>
    </w:p>
    <w:p w14:paraId="2A1A758D"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Tran, N.M. &amp; Huy, H.T. (2011). Herding </w:t>
      </w:r>
      <w:proofErr w:type="spellStart"/>
      <w:r w:rsidRPr="00A60822">
        <w:rPr>
          <w:rFonts w:ascii="Times New Roman" w:hAnsi="Times New Roman" w:cs="Times New Roman"/>
          <w:kern w:val="0"/>
          <w14:ligatures w14:val="none"/>
        </w:rPr>
        <w:t>behaviour</w:t>
      </w:r>
      <w:proofErr w:type="spellEnd"/>
      <w:r w:rsidRPr="00A60822">
        <w:rPr>
          <w:rFonts w:ascii="Times New Roman" w:hAnsi="Times New Roman" w:cs="Times New Roman"/>
          <w:kern w:val="0"/>
          <w14:ligatures w14:val="none"/>
        </w:rPr>
        <w:t xml:space="preserve"> in an emerging stock market: empirical evidence from Vietnam. Research Journal of Business Management, 5(2): 51-76.</w:t>
      </w:r>
    </w:p>
    <w:p w14:paraId="541C69A1"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Walter, A. (2006). Herding in the German mutual fund industry. </w:t>
      </w:r>
      <w:r w:rsidRPr="00A60822">
        <w:rPr>
          <w:rFonts w:ascii="Times New Roman" w:hAnsi="Times New Roman" w:cs="Times New Roman"/>
          <w:i/>
          <w:iCs/>
          <w:kern w:val="0"/>
          <w14:ligatures w14:val="none"/>
        </w:rPr>
        <w:t>European Financial Management</w:t>
      </w:r>
      <w:r w:rsidRPr="00A60822">
        <w:rPr>
          <w:rFonts w:ascii="Times New Roman" w:hAnsi="Times New Roman" w:cs="Times New Roman"/>
          <w:kern w:val="0"/>
          <w14:ligatures w14:val="none"/>
        </w:rPr>
        <w:t>, 12(3), 375–406.</w:t>
      </w:r>
    </w:p>
    <w:p w14:paraId="610D234C"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 xml:space="preserve">Wang, J. (1993). “A Model of intertemporal asset prices under asymmetric information,” Review of Economic Studies, 60: 249–282. </w:t>
      </w:r>
    </w:p>
    <w:p w14:paraId="50100455" w14:textId="77777777" w:rsidR="00A60822" w:rsidRPr="00A60822" w:rsidRDefault="00A60822" w:rsidP="00F2321A">
      <w:pPr>
        <w:spacing w:line="240" w:lineRule="auto"/>
        <w:ind w:left="720" w:hanging="720"/>
        <w:jc w:val="both"/>
        <w:rPr>
          <w:rFonts w:ascii="Times New Roman" w:hAnsi="Times New Roman" w:cs="Times New Roman"/>
          <w:kern w:val="0"/>
          <w14:ligatures w14:val="none"/>
        </w:rPr>
      </w:pPr>
      <w:r w:rsidRPr="00A60822">
        <w:rPr>
          <w:rFonts w:ascii="Times New Roman" w:hAnsi="Times New Roman" w:cs="Times New Roman"/>
          <w:kern w:val="0"/>
          <w14:ligatures w14:val="none"/>
        </w:rPr>
        <w:t>Yadav, S. (2017). Stock market volatility: a study of Indian stock market. Global Journal for Research Analysis, 6(4): 629-632.</w:t>
      </w:r>
    </w:p>
    <w:p w14:paraId="3C9D8D62" w14:textId="77777777" w:rsidR="00A60822" w:rsidRDefault="00A60822" w:rsidP="00F2321A">
      <w:pPr>
        <w:spacing w:after="0" w:line="240" w:lineRule="auto"/>
        <w:jc w:val="both"/>
        <w:rPr>
          <w:rFonts w:ascii="Times New Roman" w:hAnsi="Times New Roman" w:cs="Times New Roman"/>
          <w:b/>
          <w:bCs/>
          <w:sz w:val="52"/>
          <w:szCs w:val="52"/>
        </w:rPr>
      </w:pPr>
    </w:p>
    <w:p w14:paraId="24A62D38" w14:textId="77777777" w:rsidR="00A60822" w:rsidRPr="00A60822" w:rsidRDefault="00A60822" w:rsidP="00A60822">
      <w:pPr>
        <w:spacing w:after="0" w:line="240" w:lineRule="auto"/>
        <w:jc w:val="both"/>
        <w:rPr>
          <w:rFonts w:ascii="Times New Roman" w:hAnsi="Times New Roman" w:cs="Times New Roman"/>
          <w:b/>
          <w:bCs/>
          <w:sz w:val="52"/>
          <w:szCs w:val="52"/>
        </w:rPr>
      </w:pPr>
    </w:p>
    <w:p w14:paraId="5921D0CB" w14:textId="77777777" w:rsidR="00A60822" w:rsidRDefault="00A60822" w:rsidP="00A60822">
      <w:pPr>
        <w:spacing w:after="0" w:line="240" w:lineRule="auto"/>
        <w:jc w:val="both"/>
        <w:rPr>
          <w:rFonts w:ascii="Times New Roman" w:hAnsi="Times New Roman" w:cs="Times New Roman"/>
          <w:b/>
          <w:bCs/>
          <w:sz w:val="56"/>
          <w:szCs w:val="56"/>
        </w:rPr>
      </w:pPr>
    </w:p>
    <w:p w14:paraId="352059C8" w14:textId="77777777" w:rsidR="00A60822" w:rsidRDefault="00A60822" w:rsidP="00A60822">
      <w:pPr>
        <w:spacing w:after="0" w:line="240" w:lineRule="auto"/>
        <w:jc w:val="both"/>
        <w:rPr>
          <w:rFonts w:ascii="Times New Roman" w:hAnsi="Times New Roman" w:cs="Times New Roman"/>
          <w:b/>
          <w:bCs/>
          <w:sz w:val="56"/>
          <w:szCs w:val="56"/>
        </w:rPr>
      </w:pPr>
    </w:p>
    <w:p w14:paraId="2133E590" w14:textId="77777777" w:rsidR="00A60822" w:rsidRDefault="00A60822" w:rsidP="00A60822">
      <w:pPr>
        <w:spacing w:after="0" w:line="240" w:lineRule="auto"/>
        <w:jc w:val="both"/>
        <w:rPr>
          <w:rFonts w:ascii="Times New Roman" w:hAnsi="Times New Roman" w:cs="Times New Roman"/>
          <w:b/>
          <w:bCs/>
          <w:sz w:val="56"/>
          <w:szCs w:val="56"/>
        </w:rPr>
      </w:pPr>
    </w:p>
    <w:p w14:paraId="5C6B11A5" w14:textId="77777777" w:rsidR="00A60822" w:rsidRDefault="00A60822" w:rsidP="00A60822">
      <w:pPr>
        <w:spacing w:after="0" w:line="240" w:lineRule="auto"/>
        <w:jc w:val="both"/>
        <w:rPr>
          <w:rFonts w:ascii="Times New Roman" w:hAnsi="Times New Roman" w:cs="Times New Roman"/>
          <w:b/>
          <w:bCs/>
          <w:sz w:val="56"/>
          <w:szCs w:val="56"/>
        </w:rPr>
      </w:pPr>
    </w:p>
    <w:p w14:paraId="3A31DC31" w14:textId="77777777" w:rsidR="00A60822" w:rsidRDefault="00A60822" w:rsidP="00A60822">
      <w:pPr>
        <w:spacing w:after="0" w:line="240" w:lineRule="auto"/>
        <w:jc w:val="both"/>
        <w:rPr>
          <w:rFonts w:ascii="Times New Roman" w:hAnsi="Times New Roman" w:cs="Times New Roman"/>
          <w:b/>
          <w:bCs/>
          <w:sz w:val="56"/>
          <w:szCs w:val="56"/>
        </w:rPr>
      </w:pPr>
    </w:p>
    <w:p w14:paraId="129B4D8D" w14:textId="77777777" w:rsidR="00A60822" w:rsidRDefault="00A60822" w:rsidP="00A60822">
      <w:pPr>
        <w:spacing w:after="0" w:line="240" w:lineRule="auto"/>
        <w:jc w:val="both"/>
        <w:rPr>
          <w:rFonts w:ascii="Times New Roman" w:hAnsi="Times New Roman" w:cs="Times New Roman"/>
          <w:b/>
          <w:bCs/>
          <w:sz w:val="56"/>
          <w:szCs w:val="56"/>
        </w:rPr>
      </w:pPr>
    </w:p>
    <w:p w14:paraId="329B1EBC" w14:textId="77777777" w:rsidR="00A60822" w:rsidRDefault="00A60822" w:rsidP="00A60822">
      <w:pPr>
        <w:spacing w:after="0" w:line="240" w:lineRule="auto"/>
        <w:jc w:val="both"/>
        <w:rPr>
          <w:rFonts w:ascii="Times New Roman" w:hAnsi="Times New Roman" w:cs="Times New Roman"/>
          <w:b/>
          <w:bCs/>
          <w:sz w:val="56"/>
          <w:szCs w:val="56"/>
        </w:rPr>
      </w:pPr>
    </w:p>
    <w:p w14:paraId="31F35637" w14:textId="77777777" w:rsidR="00A60822" w:rsidRDefault="00A60822" w:rsidP="00A60822">
      <w:pPr>
        <w:spacing w:after="0" w:line="240" w:lineRule="auto"/>
        <w:jc w:val="both"/>
        <w:rPr>
          <w:rFonts w:ascii="Times New Roman" w:hAnsi="Times New Roman" w:cs="Times New Roman"/>
          <w:b/>
          <w:bCs/>
          <w:sz w:val="56"/>
          <w:szCs w:val="56"/>
        </w:rPr>
      </w:pPr>
    </w:p>
    <w:p w14:paraId="174D36C5" w14:textId="6DEEDED4" w:rsidR="00DB6A40" w:rsidRPr="00DB6A40" w:rsidRDefault="00DB6A40" w:rsidP="00DB6A40">
      <w:pPr>
        <w:spacing w:after="0" w:line="259" w:lineRule="auto"/>
        <w:jc w:val="center"/>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lastRenderedPageBreak/>
        <w:t>TAX REVENUES AND GOVERNMENT EXPENDITURE IN NIGERIA: A DISAGGREGATED ANALYSIS</w:t>
      </w:r>
    </w:p>
    <w:p w14:paraId="083AD7A5" w14:textId="77777777" w:rsidR="00DB6A40" w:rsidRPr="00DB6A40" w:rsidRDefault="00DB6A40" w:rsidP="00DB6A40">
      <w:pPr>
        <w:spacing w:after="0" w:line="240" w:lineRule="auto"/>
        <w:jc w:val="center"/>
        <w:rPr>
          <w:rFonts w:ascii="Times New Roman" w:eastAsia="Calibri" w:hAnsi="Times New Roman" w:cs="Times New Roman"/>
        </w:rPr>
      </w:pPr>
      <w:proofErr w:type="spellStart"/>
      <w:r w:rsidRPr="00DB6A40">
        <w:rPr>
          <w:rFonts w:ascii="Times New Roman" w:eastAsia="Calibri" w:hAnsi="Times New Roman" w:cs="Times New Roman"/>
        </w:rPr>
        <w:t>Nwokoma</w:t>
      </w:r>
      <w:proofErr w:type="spellEnd"/>
      <w:r w:rsidRPr="00DB6A40">
        <w:rPr>
          <w:rFonts w:ascii="Times New Roman" w:eastAsia="Calibri" w:hAnsi="Times New Roman" w:cs="Times New Roman"/>
        </w:rPr>
        <w:t>, Okechukwu</w:t>
      </w:r>
    </w:p>
    <w:p w14:paraId="546F91A2"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Department of Finance and Banking</w:t>
      </w:r>
    </w:p>
    <w:p w14:paraId="5732D2A2"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Faculty of Management Sciences</w:t>
      </w:r>
    </w:p>
    <w:p w14:paraId="53C78870"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University of Port Harcourt</w:t>
      </w:r>
    </w:p>
    <w:p w14:paraId="28CA06A2"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08037738277.</w:t>
      </w:r>
    </w:p>
    <w:p w14:paraId="696D3570" w14:textId="77777777" w:rsidR="00DB6A40" w:rsidRPr="00DB6A40" w:rsidRDefault="00DB6A40" w:rsidP="00DB6A40">
      <w:pPr>
        <w:spacing w:after="0" w:line="240" w:lineRule="auto"/>
        <w:jc w:val="center"/>
        <w:rPr>
          <w:rFonts w:ascii="Times New Roman" w:eastAsia="Calibri" w:hAnsi="Times New Roman" w:cs="Times New Roman"/>
        </w:rPr>
      </w:pPr>
    </w:p>
    <w:p w14:paraId="1DA7F98F" w14:textId="77777777" w:rsidR="00DB6A40" w:rsidRPr="00DB6A40" w:rsidRDefault="00DB6A40" w:rsidP="00DB6A40">
      <w:pPr>
        <w:spacing w:after="0" w:line="240" w:lineRule="auto"/>
        <w:jc w:val="center"/>
        <w:rPr>
          <w:rFonts w:ascii="Times New Roman" w:eastAsia="Calibri" w:hAnsi="Times New Roman" w:cs="Times New Roman"/>
        </w:rPr>
      </w:pPr>
      <w:proofErr w:type="spellStart"/>
      <w:r w:rsidRPr="00DB6A40">
        <w:rPr>
          <w:rFonts w:ascii="Times New Roman" w:eastAsia="Calibri" w:hAnsi="Times New Roman" w:cs="Times New Roman"/>
        </w:rPr>
        <w:t>Ifionu</w:t>
      </w:r>
      <w:proofErr w:type="spellEnd"/>
      <w:r w:rsidRPr="00DB6A40">
        <w:rPr>
          <w:rFonts w:ascii="Times New Roman" w:eastAsia="Calibri" w:hAnsi="Times New Roman" w:cs="Times New Roman"/>
        </w:rPr>
        <w:t>, Ebele Patricia</w:t>
      </w:r>
    </w:p>
    <w:p w14:paraId="501D9DB1"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 xml:space="preserve">Professor of Finance </w:t>
      </w:r>
    </w:p>
    <w:p w14:paraId="1B3778BA"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Department of Finance and Banking</w:t>
      </w:r>
    </w:p>
    <w:p w14:paraId="3A1F40DA"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Faculty of Management Sciences</w:t>
      </w:r>
    </w:p>
    <w:p w14:paraId="5C07B765"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University of Port Harcourt</w:t>
      </w:r>
    </w:p>
    <w:p w14:paraId="2F13937B" w14:textId="77777777" w:rsidR="00DB6A40" w:rsidRPr="00DB6A40" w:rsidRDefault="00DB6A40" w:rsidP="00DB6A40">
      <w:pPr>
        <w:spacing w:after="0" w:line="240" w:lineRule="auto"/>
        <w:jc w:val="center"/>
        <w:rPr>
          <w:rFonts w:ascii="Times New Roman" w:eastAsia="Calibri" w:hAnsi="Times New Roman" w:cs="Times New Roman"/>
        </w:rPr>
      </w:pPr>
    </w:p>
    <w:p w14:paraId="1D0D9DD8" w14:textId="77777777" w:rsidR="00DB6A40" w:rsidRPr="00DB6A40" w:rsidRDefault="00DB6A40" w:rsidP="00DB6A40">
      <w:pPr>
        <w:spacing w:after="0" w:line="240" w:lineRule="auto"/>
        <w:jc w:val="center"/>
        <w:rPr>
          <w:rFonts w:ascii="Times New Roman" w:eastAsia="Calibri" w:hAnsi="Times New Roman" w:cs="Times New Roman"/>
        </w:rPr>
      </w:pPr>
      <w:proofErr w:type="spellStart"/>
      <w:r w:rsidRPr="00DB6A40">
        <w:rPr>
          <w:rFonts w:ascii="Times New Roman" w:eastAsia="Calibri" w:hAnsi="Times New Roman" w:cs="Times New Roman"/>
        </w:rPr>
        <w:t>Omojefe</w:t>
      </w:r>
      <w:proofErr w:type="spellEnd"/>
      <w:r w:rsidRPr="00DB6A40">
        <w:rPr>
          <w:rFonts w:ascii="Times New Roman" w:eastAsia="Calibri" w:hAnsi="Times New Roman" w:cs="Times New Roman"/>
        </w:rPr>
        <w:t>, Godfrey O.</w:t>
      </w:r>
    </w:p>
    <w:p w14:paraId="2E6D17E0"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 xml:space="preserve">Professor of Finance </w:t>
      </w:r>
    </w:p>
    <w:p w14:paraId="2A39ACE4"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Department of Finance and Banking</w:t>
      </w:r>
    </w:p>
    <w:p w14:paraId="01AA695E"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Faculty of Management Sciences</w:t>
      </w:r>
    </w:p>
    <w:p w14:paraId="0198FA04"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University of Port Harcourt</w:t>
      </w:r>
    </w:p>
    <w:p w14:paraId="64BC2E24"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p>
    <w:p w14:paraId="2242FEE1"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Abstract</w:t>
      </w:r>
    </w:p>
    <w:p w14:paraId="7F38C25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This study examines the relationship between disaggregated tax revenues and total government expenditure in Nigeria, with a particular focus on the effects of the 2013 electronic tax reform.</w:t>
      </w:r>
      <w:r w:rsidRPr="00DB6A40">
        <w:rPr>
          <w:rFonts w:ascii="Calibri" w:eastAsia="Calibri" w:hAnsi="Calibri" w:cs="Times New Roman"/>
          <w:sz w:val="22"/>
          <w:szCs w:val="22"/>
        </w:rPr>
        <w:t xml:space="preserve"> </w:t>
      </w:r>
      <w:r w:rsidRPr="00DB6A40">
        <w:rPr>
          <w:rFonts w:ascii="Times New Roman" w:eastAsia="Calibri" w:hAnsi="Times New Roman" w:cs="Times New Roman"/>
          <w:sz w:val="22"/>
          <w:szCs w:val="22"/>
        </w:rPr>
        <w:t>It adopts an ex-post facto research design and utilizes time-series data from FIRS Tax Pro Max and the CBN Statistical Bulletin, separated into the pre-reform era (1994-2012) and the post-reform era (2013-2024). The six major components of tax revenue, namely PIT, PPT, CIT, VAT, CED, and CGT, are considered in developing the model for overall government spending. The use of the ARDL technique is appropriate since unit root tests indicate that most series are stationary at the first difference but non-stationary at the level. Bounds testing confirms the existence of a long-run relationship between tax revenues and government expenditure for both periods. Before reform, the significant determinants of government expenditure from the ARDL long-term estimates were petroleum profit tax, personal income tax, and company income tax. However, after the reform, personal income tax, company income tax, value-added tax, customs, and excise duties, and value-added tax became the main contributors. The error correction mechanism suggests that fiscal adjustment was faster post-reform to indicate better efficiency in revenue mobilization and fiscal administration. The findings are consistent with Wagner’s Law of public expenditure and Keynesian fiscal theory, highlighting that electronic tax reforms strengthened the long-run linkage between revenue collection and expenditure allocation. The study recommends continuous consolidation of electronic tax administration, building of public confidence, show transparent use of revenue from petroleum profits and amendment of capital gain tax legislation. This will ensure efficient and responsive fiscal management in Nigeria.</w:t>
      </w:r>
    </w:p>
    <w:p w14:paraId="3F859F09"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b/>
          <w:bCs/>
          <w:sz w:val="22"/>
          <w:szCs w:val="22"/>
        </w:rPr>
        <w:t>Keywords:</w:t>
      </w:r>
      <w:r w:rsidRPr="00DB6A40">
        <w:rPr>
          <w:rFonts w:ascii="Times New Roman" w:eastAsia="Calibri" w:hAnsi="Times New Roman" w:cs="Times New Roman"/>
          <w:sz w:val="22"/>
          <w:szCs w:val="22"/>
        </w:rPr>
        <w:t xml:space="preserve"> Tax Revenue, Government Expenditure, ARDL, Electronic Tax Reform, Nigeria, Fiscal Policy</w:t>
      </w:r>
    </w:p>
    <w:p w14:paraId="04330519" w14:textId="77777777" w:rsidR="00DB6A40" w:rsidRPr="00DB6A40" w:rsidRDefault="00DB6A40" w:rsidP="00DB6A40">
      <w:pPr>
        <w:spacing w:after="0" w:line="259" w:lineRule="auto"/>
        <w:jc w:val="both"/>
        <w:rPr>
          <w:rFonts w:ascii="Times New Roman" w:eastAsia="Calibri" w:hAnsi="Times New Roman" w:cs="Times New Roman"/>
          <w:sz w:val="22"/>
          <w:szCs w:val="22"/>
        </w:rPr>
      </w:pPr>
    </w:p>
    <w:p w14:paraId="345747FB" w14:textId="77777777" w:rsidR="00DB6A40" w:rsidRPr="00DB6A40" w:rsidRDefault="00DB6A40" w:rsidP="00DB6A40">
      <w:pPr>
        <w:spacing w:after="0" w:line="259" w:lineRule="auto"/>
        <w:jc w:val="both"/>
        <w:rPr>
          <w:rFonts w:ascii="Times New Roman" w:eastAsia="Calibri" w:hAnsi="Times New Roman" w:cs="Times New Roman"/>
          <w:sz w:val="22"/>
          <w:szCs w:val="22"/>
        </w:rPr>
      </w:pPr>
    </w:p>
    <w:p w14:paraId="13712EFE"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1.</w:t>
      </w:r>
      <w:r w:rsidRPr="00DB6A40">
        <w:rPr>
          <w:rFonts w:ascii="Times New Roman" w:eastAsia="Calibri" w:hAnsi="Times New Roman" w:cs="Times New Roman"/>
          <w:b/>
          <w:bCs/>
          <w:sz w:val="22"/>
          <w:szCs w:val="22"/>
        </w:rPr>
        <w:tab/>
        <w:t>Introduction</w:t>
      </w:r>
    </w:p>
    <w:p w14:paraId="782492B2"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Over the past several decades, Nigeria’s fiscal landscape has been shaped by a persistent challenge: how to transform tax revenue into effective government expenditure in a manner that supports development objectives. The government relies so much on other revenue sources, mainly oil, due to the comparative low tax to GDP ratio, and spending demands are seen to further increase as reported in Reuters, 2024. One of the several tax reforms with which Nigeria has attempted to improve efficiency in revenue collection, simplify the processes of collection, and widen its tax base is the shift to electronic tax systems, infrastructure for collecting, administering, and monitoring taxes, around 2013, a watershed moment according to Ajetunmobi, 2022. These provide a very good opportunity to investigate changes in the various types of tax revenues such as individual and corporate income taxes, petroleum profit taxes, value-added taxes, customs and excise duties, capital gains taxes, and their altered relationship with government expenditure within the theoretical frameworks of fiscal capacity and public expenditure growth, Wagner’s Law and the displacement hypothesis. Empirical studies have </w:t>
      </w:r>
      <w:r w:rsidRPr="00DB6A40">
        <w:rPr>
          <w:rFonts w:ascii="Times New Roman" w:eastAsia="Calibri" w:hAnsi="Times New Roman" w:cs="Times New Roman"/>
          <w:sz w:val="22"/>
          <w:szCs w:val="22"/>
        </w:rPr>
        <w:lastRenderedPageBreak/>
        <w:t>shown strong correlations between tax revenue and expenditure in Nigeria, for example, by Nwosu &amp; Okafor, 2014; Ndubuisi, et al., 2020, but as most of them only look at overall tax revenue, it would be useful to compare different reform regimes, before and after 2013, and undertake more detailed analyses for individual tax heads. In this regard, this present study compares pre- and post-tax reform 2013 government spending and revenues separately, drawing a connection between institutional shifts, revenue mobilization, and public spending habits.</w:t>
      </w:r>
    </w:p>
    <w:p w14:paraId="2E1CC15C"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A number of problems characterize the tax system of Nigeria, notwithstanding multiple reforms directed at improving it and redirecting revenues to public spending. Government expenditure has been insensitive to changes in non-oil tax components, fiscal incentives are warped, and tax administration is weakened because of reliance on oil revenue (Akinleye, et al, 2020). Akinleye et al. (2020) point to studies indicating that Nigeria's non-oil tax revenues, such as personal income and value added taxes, have not always resulted in significant increases in the spending of the government, an indication of the inability of fiscal capacity. However, studies in </w:t>
      </w:r>
      <w:proofErr w:type="spellStart"/>
      <w:r w:rsidRPr="00DB6A40">
        <w:rPr>
          <w:rFonts w:ascii="Times New Roman" w:eastAsia="Calibri" w:hAnsi="Times New Roman" w:cs="Times New Roman"/>
          <w:sz w:val="22"/>
          <w:szCs w:val="22"/>
        </w:rPr>
        <w:t>digitalisation</w:t>
      </w:r>
      <w:proofErr w:type="spellEnd"/>
      <w:r w:rsidRPr="00DB6A40">
        <w:rPr>
          <w:rFonts w:ascii="Times New Roman" w:eastAsia="Calibri" w:hAnsi="Times New Roman" w:cs="Times New Roman"/>
          <w:sz w:val="22"/>
          <w:szCs w:val="22"/>
        </w:rPr>
        <w:t xml:space="preserve"> and reform of tax show that even though the changes, like the 2013 shift, are expected to ensure efficiency and better responsiveness in collection, the link between government spending and the disaggregated revenues has not been well studied (Ajetunmobi, 2022). While theoretical frameworks like the fiscal capacity approach suggest that institutional and administrative changes must first occur in the tax system of Nigeria before improvements can be seen in the linkages of revenue and expenditure, in reality, the tax system of Nigeria is known for its large compliance gaps, weak enforcement, and delays in spending revenues (Mustapha, Olalekan, et al, 2022). Thus, the central question that this research will seek to answer is whether or not there is, in the long run, a consistent and measurable relationship between all government expenditures in Nigeria and the disaggregated components of tax revenue, and if so, whether or not this relationship improved after the 2013 tax reform. Without empirical clarity, policymakers may misjudge which tax heads drive expenditure and how institutional change influences fiscal linkage, leaving gaps in revenue </w:t>
      </w:r>
      <w:proofErr w:type="spellStart"/>
      <w:r w:rsidRPr="00DB6A40">
        <w:rPr>
          <w:rFonts w:ascii="Times New Roman" w:eastAsia="Calibri" w:hAnsi="Times New Roman" w:cs="Times New Roman"/>
          <w:sz w:val="22"/>
          <w:szCs w:val="22"/>
        </w:rPr>
        <w:t>mobilisation</w:t>
      </w:r>
      <w:proofErr w:type="spellEnd"/>
      <w:r w:rsidRPr="00DB6A40">
        <w:rPr>
          <w:rFonts w:ascii="Times New Roman" w:eastAsia="Calibri" w:hAnsi="Times New Roman" w:cs="Times New Roman"/>
          <w:sz w:val="22"/>
          <w:szCs w:val="22"/>
        </w:rPr>
        <w:t xml:space="preserve"> and public spending effectiveness.</w:t>
      </w:r>
    </w:p>
    <w:p w14:paraId="2032A24B" w14:textId="77777777" w:rsidR="00DB6A40" w:rsidRPr="00DB6A40" w:rsidRDefault="00DB6A40" w:rsidP="00DB6A40">
      <w:pPr>
        <w:spacing w:after="0" w:line="259" w:lineRule="auto"/>
        <w:jc w:val="both"/>
        <w:rPr>
          <w:rFonts w:ascii="Times New Roman" w:eastAsia="Calibri" w:hAnsi="Times New Roman" w:cs="Times New Roman"/>
          <w:sz w:val="22"/>
          <w:szCs w:val="22"/>
        </w:rPr>
      </w:pPr>
    </w:p>
    <w:p w14:paraId="5188CFBE"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2.</w:t>
      </w:r>
      <w:r w:rsidRPr="00DB6A40">
        <w:rPr>
          <w:rFonts w:ascii="Times New Roman" w:eastAsia="Calibri" w:hAnsi="Times New Roman" w:cs="Times New Roman"/>
          <w:b/>
          <w:bCs/>
          <w:sz w:val="22"/>
          <w:szCs w:val="22"/>
        </w:rPr>
        <w:tab/>
        <w:t>Literature Review</w:t>
      </w:r>
    </w:p>
    <w:p w14:paraId="08968438"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2.1</w:t>
      </w:r>
      <w:r w:rsidRPr="00DB6A40">
        <w:rPr>
          <w:rFonts w:ascii="Times New Roman" w:eastAsia="Calibri" w:hAnsi="Times New Roman" w:cs="Times New Roman"/>
          <w:b/>
          <w:bCs/>
          <w:sz w:val="22"/>
          <w:szCs w:val="22"/>
        </w:rPr>
        <w:tab/>
        <w:t>Theoretical Framework</w:t>
      </w:r>
    </w:p>
    <w:p w14:paraId="115B03C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The theoretical foundation of this study, </w:t>
      </w:r>
      <w:proofErr w:type="gramStart"/>
      <w:r w:rsidRPr="00DB6A40">
        <w:rPr>
          <w:rFonts w:ascii="Times New Roman" w:eastAsia="Calibri" w:hAnsi="Times New Roman" w:cs="Times New Roman"/>
          <w:sz w:val="22"/>
          <w:szCs w:val="22"/>
        </w:rPr>
        <w:t>This</w:t>
      </w:r>
      <w:proofErr w:type="gramEnd"/>
      <w:r w:rsidRPr="00DB6A40">
        <w:rPr>
          <w:rFonts w:ascii="Times New Roman" w:eastAsia="Calibri" w:hAnsi="Times New Roman" w:cs="Times New Roman"/>
          <w:sz w:val="22"/>
          <w:szCs w:val="22"/>
        </w:rPr>
        <w:t xml:space="preserve"> is based on important theories such; and contrasts the state of disaggregated tax collections and government spending in Nigeria prior to and during the tax reform of 2013.</w:t>
      </w:r>
    </w:p>
    <w:p w14:paraId="6BADB6CC"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Keynesian fiscal theory</w:t>
      </w:r>
    </w:p>
    <w:p w14:paraId="024A9C76"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Keynesian fiscal theory, developed by John Maynard Keynes in the 1930s, emphasizes the role of government expenditure and taxation in stabilizing economic activity. According to this theory, total spending comprising consumption, investment, and government expenditure determines both production and employment. If the economy is slowing down, the government can come in and increase aggregate demand by reducing taxes or increasing expenditure. This will prevent unemployment and stimulate growth. According to Keynes (1936), contractionary fiscal policy can, on one hand, check inflationary tendencies resulting from an overheated economy. Keynesian fiscal theory therefore recommends that the government of Nigeria should mobilize tax revenue for satisfying socioeconomic needs, stimulating development, or dampening economic volatility. The theory also assumes implicitly that wise and timely government intervention, together with the right application of fiscal instruments, will affect aggregate demand. However, it presumes fiscal administration that is responsive and efficient, something which may not be guaranteed in an economy devoid of strong institutions or that is characterized by long lags in converting revenues into spending.</w:t>
      </w:r>
    </w:p>
    <w:p w14:paraId="03610129"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Fiscal Synchronization Theory</w:t>
      </w:r>
    </w:p>
    <w:p w14:paraId="3B762E68"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This theory posits that the timing and alignment of revenue inflows and government expenditure are critical for effective fiscal management. It highlights, in particular, how variations in the timing of income collection and expenditure requirements can lead to liquidity shortages, inefficiencies, and fiscal instability.  Matching tax flows, especially from different sources, like PIT, CIT, VAT, and all petroleum-related taxes, with estimated government expenditure leads to fiscal balance and minimizes fiscal deficits (Heller &amp; Gupta, 2002). Electronic tax reforms and improved tax administration in Nigeria are expected to enhance such synchronization because this would result in efficient and timely collection and remittance of tax receipts so that spending actually reflects what resources are available to the government. This theory, however, assumes stability and predictability of flows and proper fiscal planning. It may not consider external shocks such as changes in oil prices, which may disrupt the timing of inflows and outflows in a budget.</w:t>
      </w:r>
    </w:p>
    <w:p w14:paraId="3FDF1234"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Wagner’s Law</w:t>
      </w:r>
    </w:p>
    <w:p w14:paraId="6BCA3BEA"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Wagner’s Law, propounded by Adolph Wagner in 1883, is one of the earliest and most influential theories explaining the long-term relationship between economic growth and public expenditure. This law postulates that as an economy expands, </w:t>
      </w:r>
      <w:r w:rsidRPr="00DB6A40">
        <w:rPr>
          <w:rFonts w:ascii="Times New Roman" w:eastAsia="Calibri" w:hAnsi="Times New Roman" w:cs="Times New Roman"/>
          <w:sz w:val="22"/>
          <w:szCs w:val="22"/>
        </w:rPr>
        <w:lastRenderedPageBreak/>
        <w:t xml:space="preserve">the duties and operations of the government tend to expand faster than the income of the country.  Wagner argued that </w:t>
      </w:r>
      <w:proofErr w:type="spellStart"/>
      <w:r w:rsidRPr="00DB6A40">
        <w:rPr>
          <w:rFonts w:ascii="Times New Roman" w:eastAsia="Calibri" w:hAnsi="Times New Roman" w:cs="Times New Roman"/>
          <w:sz w:val="22"/>
          <w:szCs w:val="22"/>
        </w:rPr>
        <w:t>industrialisation</w:t>
      </w:r>
      <w:proofErr w:type="spellEnd"/>
      <w:r w:rsidRPr="00DB6A40">
        <w:rPr>
          <w:rFonts w:ascii="Times New Roman" w:eastAsia="Calibri" w:hAnsi="Times New Roman" w:cs="Times New Roman"/>
          <w:sz w:val="22"/>
          <w:szCs w:val="22"/>
        </w:rPr>
        <w:t xml:space="preserve"> and economic growth enhance social complexity, </w:t>
      </w:r>
      <w:proofErr w:type="spellStart"/>
      <w:r w:rsidRPr="00DB6A40">
        <w:rPr>
          <w:rFonts w:ascii="Times New Roman" w:eastAsia="Calibri" w:hAnsi="Times New Roman" w:cs="Times New Roman"/>
          <w:sz w:val="22"/>
          <w:szCs w:val="22"/>
        </w:rPr>
        <w:t>urbanisation</w:t>
      </w:r>
      <w:proofErr w:type="spellEnd"/>
      <w:r w:rsidRPr="00DB6A40">
        <w:rPr>
          <w:rFonts w:ascii="Times New Roman" w:eastAsia="Calibri" w:hAnsi="Times New Roman" w:cs="Times New Roman"/>
          <w:sz w:val="22"/>
          <w:szCs w:val="22"/>
        </w:rPr>
        <w:t>, and the demand for public goods such as infrastructure, health care, education, and welfare services, which require increased public expenditure (Wagner, 1883).  Basically, the law assumes that expenditure by the government is not a cause but an endogenous component of economic development.  The theory also assumes that spending as a share of GDP will rise over time as increasing levels of income and structural changes in the economy raise demands for the services of the government (Musgrave &amp; Peacock, 1958).</w:t>
      </w:r>
    </w:p>
    <w:p w14:paraId="486976D8"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Wagner’s Law is particularly relevant because it provides a theoretical basis for expecting a positive relationship between tax revenues and government expenditure in Nigeria. As the economy grows, total government spending tends to increase, which requires a corresponding rise in tax revenues from different sources such as Personal Income Tax, Company Income Tax, Value Added </w:t>
      </w:r>
      <w:proofErr w:type="gramStart"/>
      <w:r w:rsidRPr="00DB6A40">
        <w:rPr>
          <w:rFonts w:ascii="Times New Roman" w:eastAsia="Calibri" w:hAnsi="Times New Roman" w:cs="Times New Roman"/>
          <w:sz w:val="22"/>
          <w:szCs w:val="22"/>
        </w:rPr>
        <w:t>Tax ,</w:t>
      </w:r>
      <w:proofErr w:type="gramEnd"/>
      <w:r w:rsidRPr="00DB6A40">
        <w:rPr>
          <w:rFonts w:ascii="Times New Roman" w:eastAsia="Calibri" w:hAnsi="Times New Roman" w:cs="Times New Roman"/>
          <w:sz w:val="22"/>
          <w:szCs w:val="22"/>
        </w:rPr>
        <w:t xml:space="preserve"> Petroleum Profit Tax, Customs and Excise Duties, and Capital Gains Tax. This theoretical link suggests that as economic activities expand, the government mobilizes more resources through taxation to finance public goods and services. However, one limitation of Wagner’s Law is that it assumes a unidirectional causality running from economic growth to government expenditure, ignoring potential reverse causality where public spending could also drive economic growth (Abu-Bader &amp; Abu-</w:t>
      </w:r>
      <w:proofErr w:type="spellStart"/>
      <w:r w:rsidRPr="00DB6A40">
        <w:rPr>
          <w:rFonts w:ascii="Times New Roman" w:eastAsia="Calibri" w:hAnsi="Times New Roman" w:cs="Times New Roman"/>
          <w:sz w:val="22"/>
          <w:szCs w:val="22"/>
        </w:rPr>
        <w:t>Qarn</w:t>
      </w:r>
      <w:proofErr w:type="spellEnd"/>
      <w:r w:rsidRPr="00DB6A40">
        <w:rPr>
          <w:rFonts w:ascii="Times New Roman" w:eastAsia="Calibri" w:hAnsi="Times New Roman" w:cs="Times New Roman"/>
          <w:sz w:val="22"/>
          <w:szCs w:val="22"/>
        </w:rPr>
        <w:t>, 2003). Moreover, the law does not adequately account for institutional weaknesses, policy inefficiencies, and fiscal mismanagement that characterize many developing economies, including Nigeria, which may distort the expected relationship.</w:t>
      </w:r>
    </w:p>
    <w:p w14:paraId="14511C13" w14:textId="77777777" w:rsidR="00F2321A" w:rsidRDefault="00F2321A" w:rsidP="00DB6A40">
      <w:pPr>
        <w:spacing w:after="0" w:line="259" w:lineRule="auto"/>
        <w:jc w:val="both"/>
        <w:rPr>
          <w:rFonts w:ascii="Times New Roman" w:eastAsia="Calibri" w:hAnsi="Times New Roman" w:cs="Times New Roman"/>
          <w:b/>
          <w:bCs/>
          <w:sz w:val="22"/>
          <w:szCs w:val="22"/>
        </w:rPr>
      </w:pPr>
    </w:p>
    <w:p w14:paraId="1101199C" w14:textId="6046B9C1"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Displacement Hypothesis</w:t>
      </w:r>
    </w:p>
    <w:p w14:paraId="724020A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second theoretical foundation, the Peacock–Wiseman Displacement Hypothesis, was developed by Alan T. Peacock and Jack Wiseman in 1961 in their study on the growth of public expenditure in the United Kingdom. They opposed Wagner's pattern of smooth and continuous development by arguing that social, political, or economic disruptions such as wars, economic crises, or significant policy changes make public spending increase stepwise or discontinuously (Peacock &amp; Wiseman, 1961).  This hypothesis states that during a time of crisis, government must increase taxes along with spending in order to pay for immediate necessities.  Even though taxpayers oppose higher taxes at first, they will endure and accept the greater financial burden as necessary to help their country recover.  It is referred to as a "displacement effect" when government spending and tax income both remain at a higher permanent level after the crisis has passed, entailing a new fiscal equilibrium.</w:t>
      </w:r>
    </w:p>
    <w:p w14:paraId="784E8E1F" w14:textId="77777777" w:rsidR="00F2321A" w:rsidRDefault="00F2321A" w:rsidP="00DB6A40">
      <w:pPr>
        <w:spacing w:after="0" w:line="259" w:lineRule="auto"/>
        <w:jc w:val="both"/>
        <w:rPr>
          <w:rFonts w:ascii="Times New Roman" w:eastAsia="Calibri" w:hAnsi="Times New Roman" w:cs="Times New Roman"/>
          <w:b/>
          <w:bCs/>
          <w:sz w:val="22"/>
          <w:szCs w:val="22"/>
        </w:rPr>
      </w:pPr>
    </w:p>
    <w:p w14:paraId="21329718" w14:textId="06AEBB2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Peacock–Wiseman Hypothesis</w:t>
      </w:r>
    </w:p>
    <w:p w14:paraId="2CDB2C24"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Peacock-Wiseman hypothesis also aligns with the fiscal experience in Nigeria, where major political or economic shocks, such as debt crises, the 2013 tax reform, and oil boom and bust cycles, have been responsible for changes in fiscal regimes. For instance, the 2013 reform aimed at improving compliance, diversifying the tax base, and reducing dependence on oil proceeds, which could alter the relationship between disaggregated tax revenues and government expenditure. To the extent that such reforms would have resulted in a displacement effect in fiscal behavior in Nigeria, this explanation therefore justifies the division of the pre- and post-2013 periods in this study. The Peacock-Wiseman hypothesis is based on the notions that after a shock, taxpayers' tolerance for taxes increases and that fiscal systems often ratchet upwards but seldom return to their prior lower levels. However, the theory's shortcoming is that it focuses attention on exogenous shocks as the primary drivers of fiscal adjustment and leaves out small institutional and administrative changes that have consequences on the relationship of taxes and expenditures (</w:t>
      </w:r>
      <w:proofErr w:type="spellStart"/>
      <w:r w:rsidRPr="00DB6A40">
        <w:rPr>
          <w:rFonts w:ascii="Times New Roman" w:eastAsia="Calibri" w:hAnsi="Times New Roman" w:cs="Times New Roman"/>
          <w:sz w:val="22"/>
          <w:szCs w:val="22"/>
        </w:rPr>
        <w:t>Bleaney</w:t>
      </w:r>
      <w:proofErr w:type="spellEnd"/>
      <w:r w:rsidRPr="00DB6A40">
        <w:rPr>
          <w:rFonts w:ascii="Times New Roman" w:eastAsia="Calibri" w:hAnsi="Times New Roman" w:cs="Times New Roman"/>
          <w:sz w:val="22"/>
          <w:szCs w:val="22"/>
        </w:rPr>
        <w:t xml:space="preserve"> et al., 2001).</w:t>
      </w:r>
    </w:p>
    <w:p w14:paraId="759D3525" w14:textId="77777777" w:rsidR="00F2321A" w:rsidRDefault="00F2321A" w:rsidP="00DB6A40">
      <w:pPr>
        <w:spacing w:after="0" w:line="259" w:lineRule="auto"/>
        <w:jc w:val="both"/>
        <w:rPr>
          <w:rFonts w:ascii="Times New Roman" w:eastAsia="Calibri" w:hAnsi="Times New Roman" w:cs="Times New Roman"/>
          <w:b/>
          <w:bCs/>
          <w:sz w:val="22"/>
          <w:szCs w:val="22"/>
        </w:rPr>
      </w:pPr>
    </w:p>
    <w:p w14:paraId="6F39324C" w14:textId="78AF3BFC"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Fiscal Capacity Framework</w:t>
      </w:r>
    </w:p>
    <w:p w14:paraId="004B89EB"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The third theoretical underpinning is the Fiscal Capacity Framework, a contemporary perspective emphasizing the role of institutional development and state capacity in revenue generation and public spending. Fiscal capacity, defined by scholars such as Martin (2023) and Besley and Persson (2011), is considered a government's ability to efficiently raise and manage revenues in order to finance public goods and services. According to the hypothesis, fiscal capacity divergence is brought about mainly by differences in governance, institutional quality, administrative efficiency, and compliance mechanisms. Fiscal capacity sets the flexibility and resilience of tax revenues and the ability of the government to respond to shocks and expenditure needs. The greater the fiscal capacity, the higher the likelihood that the state will efficiently mobilize resources for use in development. This hypothesis is very useful in the study of the fiscal system in Nigeria because it draws a link between government expenditure and efficient tax administration and economic structure. It provides an explanation for why, with a relatively high level of economic potential, fiscal policies in Nigeria are usually unstable and revenue </w:t>
      </w:r>
      <w:r w:rsidRPr="00DB6A40">
        <w:rPr>
          <w:rFonts w:ascii="Times New Roman" w:eastAsia="Calibri" w:hAnsi="Times New Roman" w:cs="Times New Roman"/>
          <w:sz w:val="22"/>
          <w:szCs w:val="22"/>
        </w:rPr>
        <w:lastRenderedPageBreak/>
        <w:t>performance low. The country relies heavily on oil sales for its revenue; its institutional capacity is very low, while its non-oil tax base is very small. The 2013 reform aimed to raise budgetary capacity by enhancing administrative efficiency, improving tax compliance, and expanding the revenue base. Thus, the Fiscal Capacity Framework of the study supports the presumption that the institutional mechanisms that underlie the tax system determine the strength and stability of the relationship among tax collections and government spending.  The basic ideas of the theory are that investments in fiscal capacity are required to sustain long-term economic growth and that the successful collection of revenue depends on a government's administrative machinery.  The framework's shortcoming is that it places too much emphasis on institutional factors. These may be empirically hard to capture and can also fail to catch variations in tax income during the short run due to exogenous or cyclical effects (Tilly, 1990; Besley &amp; Persson, 2011).</w:t>
      </w:r>
    </w:p>
    <w:p w14:paraId="22C94213" w14:textId="77777777" w:rsidR="00F2321A" w:rsidRDefault="00F2321A" w:rsidP="00DB6A40">
      <w:pPr>
        <w:spacing w:after="0" w:line="259" w:lineRule="auto"/>
        <w:jc w:val="both"/>
        <w:rPr>
          <w:rFonts w:ascii="Times New Roman" w:eastAsia="Calibri" w:hAnsi="Times New Roman" w:cs="Times New Roman"/>
          <w:b/>
          <w:bCs/>
          <w:sz w:val="22"/>
          <w:szCs w:val="22"/>
        </w:rPr>
      </w:pPr>
    </w:p>
    <w:p w14:paraId="6CF6BD08" w14:textId="2B0CBD5C"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2.2</w:t>
      </w:r>
      <w:r w:rsidRPr="00DB6A40">
        <w:rPr>
          <w:rFonts w:ascii="Times New Roman" w:eastAsia="Calibri" w:hAnsi="Times New Roman" w:cs="Times New Roman"/>
          <w:b/>
          <w:bCs/>
          <w:sz w:val="22"/>
          <w:szCs w:val="22"/>
        </w:rPr>
        <w:tab/>
        <w:t>Empirical Framework</w:t>
      </w:r>
    </w:p>
    <w:p w14:paraId="50BED2B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Adeosun and Akinwale (2025) examined the relationship between non-oil tax revenue and recurrent expenditure of the Nigerian government between 2004 and 2023. The authors estimated the total government recurrent expenditure as the dependent variable, while capital gains tax, corporation income tax, value-added tax, and customs and excise taxes were used as explanatory variables with the FMOLS approach. The results indicated that value-added tax and corporation income tax significantly influence recurring expenditure in the long run, while the capital gains tax and customs charges were insignificant statistically. This result is important for the present study because it supports the notion that tax revenues should be disaggregated when analyzing their impact on total government spending, which could have varying degrees of responsiveness, especially during the pre- and post-2013 tax reform periods, to institutional and structural adjustments in tax administration.</w:t>
      </w:r>
    </w:p>
    <w:p w14:paraId="43A7AE65"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Eze and Obafemi (2024) examined how tax revisions affected Nigeria's government's income and spending from 1991 to 2021. The authors employed a quasi-experimental design and a difference-in-differences approach that compare the performance of the main tax heads prior to and after the adoption of the reform. The dependent variable was the total government spending, while its independent variables consisted of corporation income tax, PIT, and PPT. The data indicates that the tax collections and public spending are more correlated in the post-reform years due partly to better enforcement and compliance mechanisms. The current analysis, which also sets out to identify whether the 2013 tax reform significantly changed the elasticity of several tax headings with respect to government expenditure, is directly informed by this.</w:t>
      </w:r>
    </w:p>
    <w:p w14:paraId="12DA3DB3"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Akinyemi (2023) evaluated the dynamic link between government spending and tax income of the Nigerian government through yearly data from 1986 to 2020.  This paper considered both the short- and long-run relationships between petroleum profit tax, company income tax, value-added tax, and personal income tax and overall government spending through the ARDL bounds testing approach. The analysis found that there was long-run bidirectional causality between government spending, VAT, and CIT, but PPT revealed unidirectional correlation between tax revenue and spending. The conclusions derived from this study, therefore, confirm the existing literature and the need for a disaggregated analysis in separating the fiscal behavior of various tax components vis-à-vis the patterns in government expenditure during reform decades.</w:t>
      </w:r>
    </w:p>
    <w:p w14:paraId="597DA9CF"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Umar and Yusuf (2022) examined the relationship between Nigerian government expenditure and oil and non-oil tax revenue collections, using data from 1999 to 2020. The authors applied a VECM to test for causality and long-run relationships between the variables under consideration, such as petroleum profit tax, value-added tax, and total expenditure. The results indicated that while non-oil taxes exert fair causality in the opposite direction, oil-based revenues, especially PPT, have a huge unidirectional impact on government spending. This study argues that the spending behavior of Nigeria still depends on oil, a situation which the 2013 tax reform was supposed to address through the diversification of its non-oil tax base. If the need be, this study recommends the evaluation of the pre- and post-reform periods separately when analyzing the effect of diversity.</w:t>
      </w:r>
    </w:p>
    <w:p w14:paraId="44E8435D"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Nwosu and </w:t>
      </w:r>
      <w:proofErr w:type="spellStart"/>
      <w:r w:rsidRPr="00DB6A40">
        <w:rPr>
          <w:rFonts w:ascii="Times New Roman" w:eastAsia="Calibri" w:hAnsi="Times New Roman" w:cs="Times New Roman"/>
          <w:sz w:val="22"/>
          <w:szCs w:val="22"/>
        </w:rPr>
        <w:t>Ihedioha</w:t>
      </w:r>
      <w:proofErr w:type="spellEnd"/>
      <w:r w:rsidRPr="00DB6A40">
        <w:rPr>
          <w:rFonts w:ascii="Times New Roman" w:eastAsia="Calibri" w:hAnsi="Times New Roman" w:cs="Times New Roman"/>
          <w:sz w:val="22"/>
          <w:szCs w:val="22"/>
        </w:rPr>
        <w:t xml:space="preserve"> (2021), they analyzed the relationship between government capital expenditure in Nigeria between 1980 and 2018 and corporation income tax, value-added tax, customs tariffs, and empirical data. They found that while VAT and CIT positively influenced capital spending, customs taxes did so negatively and insignificantly </w:t>
      </w:r>
      <w:proofErr w:type="gramStart"/>
      <w:r w:rsidRPr="00DB6A40">
        <w:rPr>
          <w:rFonts w:ascii="Times New Roman" w:eastAsia="Calibri" w:hAnsi="Times New Roman" w:cs="Times New Roman"/>
          <w:sz w:val="22"/>
          <w:szCs w:val="22"/>
        </w:rPr>
        <w:t>using</w:t>
      </w:r>
      <w:proofErr w:type="gramEnd"/>
      <w:r w:rsidRPr="00DB6A40">
        <w:rPr>
          <w:rFonts w:ascii="Times New Roman" w:eastAsia="Calibri" w:hAnsi="Times New Roman" w:cs="Times New Roman"/>
          <w:sz w:val="22"/>
          <w:szCs w:val="22"/>
        </w:rPr>
        <w:t xml:space="preserve"> both multiple regression and cointegration methods. Such a conclusion leads the authors to deduce that responsiveness in the level of public capital investment to tax revenues would depend on the class of taxation and budgetary priority of the government. This supports your disaggregated analytical methodology and aligns with your study because it underlines the differential nature of fiscal responses at the disaggregated levels of different tax components.</w:t>
      </w:r>
    </w:p>
    <w:p w14:paraId="1D6D2679"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Ogunleye (2020) A Granger causality approach was used to analyze the relation of government spending with petroleum profit tax and corporate income tax from 1981 to 2017. While this study did find a one-way flow from PPT to expenditure, </w:t>
      </w:r>
      <w:r w:rsidRPr="00DB6A40">
        <w:rPr>
          <w:rFonts w:ascii="Times New Roman" w:eastAsia="Calibri" w:hAnsi="Times New Roman" w:cs="Times New Roman"/>
          <w:sz w:val="22"/>
          <w:szCs w:val="22"/>
        </w:rPr>
        <w:lastRenderedPageBreak/>
        <w:t>it did find a feedback link between CIT and government expenditure. This finding, therefore, suggests that the pattern of expenditure is mainly driven by oil-related taxes, even if the non-oil tax heads may react to government spending by adjusting fiscal policy. Since petroleum-based taxes are unique in nature, the foregoing result lends credence to the current study's choice in examining the "nexus" between tax heads and expenditure independently.</w:t>
      </w:r>
    </w:p>
    <w:p w14:paraId="7F69A1B5" w14:textId="77777777" w:rsidR="00DB6A40" w:rsidRPr="00DB6A40" w:rsidRDefault="00DB6A40" w:rsidP="00DB6A40">
      <w:pPr>
        <w:spacing w:after="0" w:line="259" w:lineRule="auto"/>
        <w:jc w:val="both"/>
        <w:rPr>
          <w:rFonts w:ascii="Times New Roman" w:eastAsia="Calibri" w:hAnsi="Times New Roman" w:cs="Times New Roman"/>
          <w:sz w:val="22"/>
          <w:szCs w:val="22"/>
        </w:rPr>
      </w:pPr>
      <w:proofErr w:type="spellStart"/>
      <w:r w:rsidRPr="00DB6A40">
        <w:rPr>
          <w:rFonts w:ascii="Times New Roman" w:eastAsia="Calibri" w:hAnsi="Times New Roman" w:cs="Times New Roman"/>
          <w:sz w:val="22"/>
          <w:szCs w:val="22"/>
        </w:rPr>
        <w:t>deniran</w:t>
      </w:r>
      <w:proofErr w:type="spellEnd"/>
      <w:r w:rsidRPr="00DB6A40">
        <w:rPr>
          <w:rFonts w:ascii="Times New Roman" w:eastAsia="Calibri" w:hAnsi="Times New Roman" w:cs="Times New Roman"/>
          <w:sz w:val="22"/>
          <w:szCs w:val="22"/>
        </w:rPr>
        <w:t xml:space="preserve"> and Oladipo (2019) utilized an ARDL model to analyze the mix of tax revenue and its impacts on the growth of GDP and government spending in Nigeria. Taxes on petroleum profits, business income, customs and excise, and value-added were the independent factors, while GDP growth and overall government spending were the dependent variables. Because oil prices are volatile internationally, these researchers concluded that the petroleum profit tax had little long-run impact on either government spending or economic growth. On the other hand, value-added tax and capital income tax provide significant benefits. This supports your findings by pointing out the necessity for distinguishing between oil and non-oil tax components to make accurate fiscal performance measurements.</w:t>
      </w:r>
    </w:p>
    <w:p w14:paraId="126D8DF9"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In a similar study, Adegbite (2018) examined the relationship between government spending and tax income in Nigeria using the ECM data from 1980 to 2016. The results obtained from this study give credence to the spend-tax hypothesis, which postulates a strong long-run equilibrium relationship between tax income and government spending. However, the association of PPT and customs charges was less regular and statistically less significant compared to VAT and PIT. This finding supports the theoretical hypothesis on which the current study is based, that under post-reform conditions where domestic revenue mobilization is emphasized, non-oil tax revenues, like VAT and PIT, may tend to have more predictable responses to.</w:t>
      </w:r>
    </w:p>
    <w:p w14:paraId="0FEC4E9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Olaoye and Afolabi (2017) Using the Johansen cointegration test and Granger causality, they analyzed the dataset from 1980 to 2015 for Nigeria in order to infer the relationship between tax income and government spending. They supported the tax-spend theory by showing that there was evidence of long-run causality from tax revenue to expenditure. Of particular significance to total spending were VAT and CIT. Your analysis follows the methodological lead of the study by disaggregating tax heads in the pre- and post-2013 regimes.</w:t>
      </w:r>
    </w:p>
    <w:p w14:paraId="7790CFF9"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Okoye and </w:t>
      </w:r>
      <w:proofErr w:type="spellStart"/>
      <w:r w:rsidRPr="00DB6A40">
        <w:rPr>
          <w:rFonts w:ascii="Times New Roman" w:eastAsia="Calibri" w:hAnsi="Times New Roman" w:cs="Times New Roman"/>
          <w:sz w:val="22"/>
          <w:szCs w:val="22"/>
        </w:rPr>
        <w:t>Ezejiofor</w:t>
      </w:r>
      <w:proofErr w:type="spellEnd"/>
      <w:r w:rsidRPr="00DB6A40">
        <w:rPr>
          <w:rFonts w:ascii="Times New Roman" w:eastAsia="Calibri" w:hAnsi="Times New Roman" w:cs="Times New Roman"/>
          <w:sz w:val="22"/>
          <w:szCs w:val="22"/>
        </w:rPr>
        <w:t xml:space="preserve">, (2016), consider the nexus of tax receipts with GDP growth and government spending within the Nigerian context for the period between 2000 and 2014. In the study, they have conducted a multivariate regression analysis in order to reach the estimation that PIT and PPT have less impact on the increase of government expenditures compared with VAT and CIT. Their results support further that the behavior of each individual category of taxes differs according to different fiscal regimes and policy changes, hence your research should be directed toward analyzing each of these categories </w:t>
      </w:r>
      <w:proofErr w:type="gramStart"/>
      <w:r w:rsidRPr="00DB6A40">
        <w:rPr>
          <w:rFonts w:ascii="Times New Roman" w:eastAsia="Calibri" w:hAnsi="Times New Roman" w:cs="Times New Roman"/>
          <w:sz w:val="22"/>
          <w:szCs w:val="22"/>
        </w:rPr>
        <w:t>individually..</w:t>
      </w:r>
      <w:proofErr w:type="gramEnd"/>
    </w:p>
    <w:p w14:paraId="098775BA" w14:textId="77777777" w:rsidR="00DB6A40" w:rsidRPr="00DB6A40" w:rsidRDefault="00DB6A40" w:rsidP="00DB6A40">
      <w:pPr>
        <w:spacing w:after="0" w:line="259" w:lineRule="auto"/>
        <w:jc w:val="both"/>
        <w:rPr>
          <w:rFonts w:ascii="Times New Roman" w:eastAsia="Calibri" w:hAnsi="Times New Roman" w:cs="Times New Roman"/>
          <w:sz w:val="22"/>
          <w:szCs w:val="22"/>
        </w:rPr>
      </w:pPr>
    </w:p>
    <w:p w14:paraId="2CBC1433"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3.</w:t>
      </w:r>
      <w:r w:rsidRPr="00DB6A40">
        <w:rPr>
          <w:rFonts w:ascii="Times New Roman" w:eastAsia="Calibri" w:hAnsi="Times New Roman" w:cs="Times New Roman"/>
          <w:b/>
          <w:bCs/>
          <w:sz w:val="22"/>
          <w:szCs w:val="22"/>
        </w:rPr>
        <w:tab/>
        <w:t>Methodology</w:t>
      </w:r>
    </w:p>
    <w:p w14:paraId="465FA1C6"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The study adopts an ex-post facto research design, </w:t>
      </w:r>
      <w:proofErr w:type="gramStart"/>
      <w:r w:rsidRPr="00DB6A40">
        <w:rPr>
          <w:rFonts w:ascii="Times New Roman" w:eastAsia="Calibri" w:hAnsi="Times New Roman" w:cs="Times New Roman"/>
          <w:sz w:val="22"/>
          <w:szCs w:val="22"/>
        </w:rPr>
        <w:t>It</w:t>
      </w:r>
      <w:proofErr w:type="gramEnd"/>
      <w:r w:rsidRPr="00DB6A40">
        <w:rPr>
          <w:rFonts w:ascii="Times New Roman" w:eastAsia="Calibri" w:hAnsi="Times New Roman" w:cs="Times New Roman"/>
          <w:sz w:val="22"/>
          <w:szCs w:val="22"/>
        </w:rPr>
        <w:t xml:space="preserve"> is especially suitable for comparing budgetary data from time periods preceding and following a policy intervention.  The study examines two time periods in Nigeria: the first, from 1994 to 2012, before electronic taxation, and the second, from 2013 to 2024, after electronic taxation. Because independent variables, such as tax collecting systems or the execution of certain policies, are beyond the control of the researcher, the ex-post facto approach is justified. In its place, this research will utilize existing data to see how government spending differs with naturally occurring changes in the budget. This type of layout is particularly suited for assessing the effects of different components of tax revenue on total government expenditure over time because it enables testing cause-and-effect linkages using historical data (Kerlinger &amp; Lee, 2000; Nachmias &amp; Nachmias, 2008).</w:t>
      </w:r>
    </w:p>
    <w:p w14:paraId="5DCDFA13"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Data used in this study are secondary and obtained from dependable administrative and statistical sources. The main sources include the Statistical Bulletin of the Central Bank of Nigeria (CBN) and the Federal Inland Revenue Service (FIRS) Tax Pro Max database. From these sources, the tax income and government expenditure in Nigeria are available as audited time series data that assures dependability and validity for econometric analysis. Being that secondary data efficiently cover extended </w:t>
      </w:r>
      <w:proofErr w:type="gramStart"/>
      <w:r w:rsidRPr="00DB6A40">
        <w:rPr>
          <w:rFonts w:ascii="Times New Roman" w:eastAsia="Calibri" w:hAnsi="Times New Roman" w:cs="Times New Roman"/>
          <w:sz w:val="22"/>
          <w:szCs w:val="22"/>
        </w:rPr>
        <w:t>periods,</w:t>
      </w:r>
      <w:proofErr w:type="gramEnd"/>
      <w:r w:rsidRPr="00DB6A40">
        <w:rPr>
          <w:rFonts w:ascii="Times New Roman" w:eastAsia="Calibri" w:hAnsi="Times New Roman" w:cs="Times New Roman"/>
          <w:sz w:val="22"/>
          <w:szCs w:val="22"/>
        </w:rPr>
        <w:t xml:space="preserve"> the secondary data is relied on to capture changes both before and after the computerized tax reform of 2013.</w:t>
      </w:r>
    </w:p>
    <w:p w14:paraId="41FFA03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This study uses a disaggregated tax model to examine the relationship between different types of tax revenues and total government expenditures.  It defines the functional form of the model as:</w:t>
      </w:r>
    </w:p>
    <w:p w14:paraId="06B32F3D" w14:textId="77777777" w:rsidR="00DB6A40" w:rsidRPr="00DB6A40" w:rsidRDefault="00000000" w:rsidP="00DB6A40">
      <w:pPr>
        <w:spacing w:after="0" w:line="259" w:lineRule="auto"/>
        <w:jc w:val="both"/>
        <w:rPr>
          <w:rFonts w:ascii="Times New Roman" w:eastAsia="Calibri" w:hAnsi="Times New Roman" w:cs="Times New Roman"/>
          <w:sz w:val="22"/>
          <w:szCs w:val="22"/>
        </w:rPr>
      </w:pPr>
      <m:oMathPara>
        <m:oMath>
          <m:m>
            <m:mPr>
              <m:plcHide m:val="1"/>
              <m:mcs>
                <m:mc>
                  <m:mcPr>
                    <m:count m:val="4"/>
                    <m:mcJc m:val="center"/>
                  </m:mcPr>
                </m:mc>
              </m:mcs>
              <m:ctrlPr>
                <w:rPr>
                  <w:rFonts w:ascii="Cambria Math" w:eastAsia="Calibri" w:hAnsi="Cambria Math" w:cs="Times New Roman"/>
                  <w:sz w:val="22"/>
                  <w:szCs w:val="22"/>
                </w:rPr>
              </m:ctrlPr>
            </m:mPr>
            <m:mr>
              <m:e/>
              <m:e>
                <m:r>
                  <w:rPr>
                    <w:rFonts w:ascii="Cambria Math" w:eastAsia="Calibri" w:hAnsi="Cambria Math" w:cs="Times New Roman"/>
                    <w:sz w:val="22"/>
                    <w:szCs w:val="22"/>
                  </w:rPr>
                  <m:t>TG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E</m:t>
                    </m:r>
                  </m:e>
                  <m:sub>
                    <m:r>
                      <w:rPr>
                        <w:rFonts w:ascii="Cambria Math" w:eastAsia="Calibri" w:hAnsi="Cambria Math" w:cs="Times New Roman"/>
                        <w:sz w:val="22"/>
                        <w:szCs w:val="22"/>
                      </w:rPr>
                      <m:t>t</m:t>
                    </m:r>
                  </m:sub>
                </m:sSub>
                <m:r>
                  <w:rPr>
                    <w:rFonts w:ascii="Cambria Math" w:eastAsia="Calibri" w:hAnsi="Cambria Math" w:cs="Times New Roman"/>
                    <w:sz w:val="22"/>
                    <w:szCs w:val="22"/>
                  </w:rPr>
                  <m:t>=f(PI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,PP</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,CI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,CG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,VA</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,CE</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D</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e>
              <m:e/>
              <m:e>
                <m:r>
                  <m:rPr>
                    <m:nor/>
                  </m:rPr>
                  <w:rPr>
                    <w:rFonts w:ascii="Times New Roman" w:eastAsia="Calibri" w:hAnsi="Times New Roman" w:cs="Times New Roman"/>
                    <w:sz w:val="22"/>
                    <w:szCs w:val="22"/>
                  </w:rPr>
                  <m:t>(3.1)</m:t>
                </m:r>
              </m:e>
            </m:mr>
          </m:m>
          <m:r>
            <m:rPr>
              <m:sty m:val="p"/>
            </m:rPr>
            <w:rPr>
              <w:rFonts w:ascii="Cambria Math" w:eastAsia="Calibri" w:hAnsi="Cambria Math" w:cs="Times New Roman"/>
              <w:sz w:val="22"/>
              <w:szCs w:val="22"/>
            </w:rPr>
            <w:br/>
          </m:r>
        </m:oMath>
      </m:oMathPara>
      <w:r w:rsidR="00DB6A40" w:rsidRPr="00DB6A40">
        <w:rPr>
          <w:rFonts w:ascii="Times New Roman" w:eastAsia="Calibri" w:hAnsi="Times New Roman" w:cs="Times New Roman"/>
          <w:sz w:val="22"/>
          <w:szCs w:val="22"/>
        </w:rPr>
        <w:t>The corresponding mathematical form of the model, incorporating the constant term, is given as:</w:t>
      </w:r>
    </w:p>
    <w:p w14:paraId="2327D9EE" w14:textId="77777777" w:rsidR="00DB6A40" w:rsidRPr="00DB6A40" w:rsidRDefault="00000000" w:rsidP="00DB6A40">
      <w:pPr>
        <w:spacing w:after="0" w:line="259" w:lineRule="auto"/>
        <w:jc w:val="both"/>
        <w:rPr>
          <w:rFonts w:ascii="Times New Roman" w:eastAsia="Calibri" w:hAnsi="Times New Roman" w:cs="Times New Roman"/>
          <w:sz w:val="22"/>
          <w:szCs w:val="22"/>
        </w:rPr>
      </w:pPr>
      <m:oMathPara>
        <m:oMath>
          <m:m>
            <m:mPr>
              <m:plcHide m:val="1"/>
              <m:mcs>
                <m:mc>
                  <m:mcPr>
                    <m:count m:val="4"/>
                    <m:mcJc m:val="center"/>
                  </m:mcPr>
                </m:mc>
              </m:mcs>
              <m:ctrlPr>
                <w:rPr>
                  <w:rFonts w:ascii="Cambria Math" w:eastAsia="Calibri" w:hAnsi="Cambria Math" w:cs="Times New Roman"/>
                  <w:sz w:val="22"/>
                  <w:szCs w:val="22"/>
                </w:rPr>
              </m:ctrlPr>
            </m:mPr>
            <m:mr>
              <m:e/>
              <m:e>
                <m:r>
                  <w:rPr>
                    <w:rFonts w:ascii="Cambria Math" w:eastAsia="Calibri" w:hAnsi="Cambria Math" w:cs="Times New Roman"/>
                    <w:sz w:val="22"/>
                    <w:szCs w:val="22"/>
                  </w:rPr>
                  <m:t>TG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E</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0</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1</m:t>
                    </m:r>
                  </m:sub>
                </m:sSub>
                <m:r>
                  <w:rPr>
                    <w:rFonts w:ascii="Cambria Math" w:eastAsia="Calibri" w:hAnsi="Cambria Math" w:cs="Times New Roman"/>
                    <w:sz w:val="22"/>
                    <w:szCs w:val="22"/>
                  </w:rPr>
                  <m:t>PI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2</m:t>
                    </m:r>
                  </m:sub>
                </m:sSub>
                <m:r>
                  <w:rPr>
                    <w:rFonts w:ascii="Cambria Math" w:eastAsia="Calibri" w:hAnsi="Cambria Math" w:cs="Times New Roman"/>
                    <w:sz w:val="22"/>
                    <w:szCs w:val="22"/>
                  </w:rPr>
                  <m:t>PP</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3</m:t>
                    </m:r>
                  </m:sub>
                </m:sSub>
                <m:r>
                  <w:rPr>
                    <w:rFonts w:ascii="Cambria Math" w:eastAsia="Calibri" w:hAnsi="Cambria Math" w:cs="Times New Roman"/>
                    <w:sz w:val="22"/>
                    <w:szCs w:val="22"/>
                  </w:rPr>
                  <m:t>CI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4</m:t>
                    </m:r>
                  </m:sub>
                </m:sSub>
                <m:r>
                  <w:rPr>
                    <w:rFonts w:ascii="Cambria Math" w:eastAsia="Calibri" w:hAnsi="Cambria Math" w:cs="Times New Roman"/>
                    <w:sz w:val="22"/>
                    <w:szCs w:val="22"/>
                  </w:rPr>
                  <m:t>VA</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5</m:t>
                    </m:r>
                  </m:sub>
                </m:sSub>
                <m:r>
                  <w:rPr>
                    <w:rFonts w:ascii="Cambria Math" w:eastAsia="Calibri" w:hAnsi="Cambria Math" w:cs="Times New Roman"/>
                    <w:sz w:val="22"/>
                    <w:szCs w:val="22"/>
                  </w:rPr>
                  <m:t>CE</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D</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6</m:t>
                    </m:r>
                  </m:sub>
                </m:sSub>
                <m:r>
                  <w:rPr>
                    <w:rFonts w:ascii="Cambria Math" w:eastAsia="Calibri" w:hAnsi="Cambria Math" w:cs="Times New Roman"/>
                    <w:sz w:val="22"/>
                    <w:szCs w:val="22"/>
                  </w:rPr>
                  <m:t>CG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e>
              <m:e/>
              <m:e>
                <m:r>
                  <m:rPr>
                    <m:nor/>
                  </m:rPr>
                  <w:rPr>
                    <w:rFonts w:ascii="Times New Roman" w:eastAsia="Calibri" w:hAnsi="Times New Roman" w:cs="Times New Roman"/>
                    <w:sz w:val="22"/>
                    <w:szCs w:val="22"/>
                  </w:rPr>
                  <m:t>(3.2)</m:t>
                </m:r>
              </m:e>
            </m:mr>
          </m:m>
          <m:r>
            <m:rPr>
              <m:sty m:val="p"/>
            </m:rPr>
            <w:rPr>
              <w:rFonts w:ascii="Cambria Math" w:eastAsia="Calibri" w:hAnsi="Cambria Math" w:cs="Times New Roman"/>
              <w:sz w:val="22"/>
              <w:szCs w:val="22"/>
            </w:rPr>
            <w:br/>
          </m:r>
        </m:oMath>
      </m:oMathPara>
      <w:r w:rsidR="00DB6A40" w:rsidRPr="00DB6A40">
        <w:rPr>
          <w:rFonts w:ascii="Times New Roman" w:eastAsia="Calibri" w:hAnsi="Times New Roman" w:cs="Times New Roman"/>
          <w:sz w:val="22"/>
          <w:szCs w:val="22"/>
        </w:rPr>
        <w:t>The model includes the stochastic error term (µt) for econometric estimation so that random disturbances or things that aren't seen can be taken into account.</w:t>
      </w:r>
    </w:p>
    <w:p w14:paraId="4AE03DBA" w14:textId="77777777" w:rsidR="00DB6A40" w:rsidRPr="00DB6A40" w:rsidRDefault="00000000" w:rsidP="00DB6A40">
      <w:pPr>
        <w:spacing w:after="0" w:line="259" w:lineRule="auto"/>
        <w:jc w:val="both"/>
        <w:rPr>
          <w:rFonts w:ascii="Times New Roman" w:eastAsia="Calibri" w:hAnsi="Times New Roman" w:cs="Times New Roman"/>
          <w:sz w:val="22"/>
          <w:szCs w:val="22"/>
        </w:rPr>
      </w:pPr>
      <m:oMathPara>
        <m:oMath>
          <m:m>
            <m:mPr>
              <m:plcHide m:val="1"/>
              <m:mcs>
                <m:mc>
                  <m:mcPr>
                    <m:count m:val="4"/>
                    <m:mcJc m:val="center"/>
                  </m:mcPr>
                </m:mc>
              </m:mcs>
              <m:ctrlPr>
                <w:rPr>
                  <w:rFonts w:ascii="Cambria Math" w:eastAsia="Calibri" w:hAnsi="Cambria Math" w:cs="Times New Roman"/>
                  <w:sz w:val="22"/>
                  <w:szCs w:val="22"/>
                </w:rPr>
              </m:ctrlPr>
            </m:mPr>
            <m:mr>
              <m:e/>
              <m:e>
                <m:r>
                  <w:rPr>
                    <w:rFonts w:ascii="Cambria Math" w:eastAsia="Calibri" w:hAnsi="Cambria Math" w:cs="Times New Roman"/>
                    <w:sz w:val="22"/>
                    <w:szCs w:val="22"/>
                  </w:rPr>
                  <m:t>TG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E</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0</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1</m:t>
                    </m:r>
                  </m:sub>
                </m:sSub>
                <m:r>
                  <w:rPr>
                    <w:rFonts w:ascii="Cambria Math" w:eastAsia="Calibri" w:hAnsi="Cambria Math" w:cs="Times New Roman"/>
                    <w:sz w:val="22"/>
                    <w:szCs w:val="22"/>
                  </w:rPr>
                  <m:t>PI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2</m:t>
                    </m:r>
                  </m:sub>
                </m:sSub>
                <m:r>
                  <w:rPr>
                    <w:rFonts w:ascii="Cambria Math" w:eastAsia="Calibri" w:hAnsi="Cambria Math" w:cs="Times New Roman"/>
                    <w:sz w:val="22"/>
                    <w:szCs w:val="22"/>
                  </w:rPr>
                  <m:t>PP</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3</m:t>
                    </m:r>
                  </m:sub>
                </m:sSub>
                <m:r>
                  <w:rPr>
                    <w:rFonts w:ascii="Cambria Math" w:eastAsia="Calibri" w:hAnsi="Cambria Math" w:cs="Times New Roman"/>
                    <w:sz w:val="22"/>
                    <w:szCs w:val="22"/>
                  </w:rPr>
                  <m:t>CI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4</m:t>
                    </m:r>
                  </m:sub>
                </m:sSub>
                <m:r>
                  <w:rPr>
                    <w:rFonts w:ascii="Cambria Math" w:eastAsia="Calibri" w:hAnsi="Cambria Math" w:cs="Times New Roman"/>
                    <w:sz w:val="22"/>
                    <w:szCs w:val="22"/>
                  </w:rPr>
                  <m:t>VA</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5</m:t>
                    </m:r>
                  </m:sub>
                </m:sSub>
                <m:r>
                  <w:rPr>
                    <w:rFonts w:ascii="Cambria Math" w:eastAsia="Calibri" w:hAnsi="Cambria Math" w:cs="Times New Roman"/>
                    <w:sz w:val="22"/>
                    <w:szCs w:val="22"/>
                  </w:rPr>
                  <m:t>CE</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D</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6</m:t>
                    </m:r>
                  </m:sub>
                </m:sSub>
                <m:r>
                  <w:rPr>
                    <w:rFonts w:ascii="Cambria Math" w:eastAsia="Calibri" w:hAnsi="Cambria Math" w:cs="Times New Roman"/>
                    <w:sz w:val="22"/>
                    <w:szCs w:val="22"/>
                  </w:rPr>
                  <m:t>CG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μ</m:t>
                    </m:r>
                  </m:e>
                  <m:sub>
                    <m:r>
                      <w:rPr>
                        <w:rFonts w:ascii="Cambria Math" w:eastAsia="Calibri" w:hAnsi="Cambria Math" w:cs="Times New Roman"/>
                        <w:sz w:val="22"/>
                        <w:szCs w:val="22"/>
                      </w:rPr>
                      <m:t>t</m:t>
                    </m:r>
                  </m:sub>
                </m:sSub>
              </m:e>
              <m:e/>
              <m:e>
                <m:r>
                  <m:rPr>
                    <m:nor/>
                  </m:rPr>
                  <w:rPr>
                    <w:rFonts w:ascii="Times New Roman" w:eastAsia="Calibri" w:hAnsi="Times New Roman" w:cs="Times New Roman"/>
                    <w:sz w:val="22"/>
                    <w:szCs w:val="22"/>
                  </w:rPr>
                  <m:t>(3.3)</m:t>
                </m:r>
              </m:e>
            </m:mr>
          </m:m>
          <m:r>
            <m:rPr>
              <m:sty m:val="p"/>
            </m:rPr>
            <w:rPr>
              <w:rFonts w:ascii="Cambria Math" w:eastAsia="Calibri" w:hAnsi="Cambria Math" w:cs="Times New Roman"/>
              <w:sz w:val="22"/>
              <w:szCs w:val="22"/>
            </w:rPr>
            <w:br/>
          </m:r>
        </m:oMath>
      </m:oMathPara>
      <w:r w:rsidR="00DB6A40" w:rsidRPr="00DB6A40">
        <w:rPr>
          <w:rFonts w:ascii="Times New Roman" w:eastAsia="Calibri" w:hAnsi="Times New Roman" w:cs="Times New Roman"/>
          <w:sz w:val="22"/>
          <w:szCs w:val="22"/>
        </w:rPr>
        <w:t>Where:</w:t>
      </w:r>
    </w:p>
    <w:p w14:paraId="17ACE03D" w14:textId="77777777" w:rsidR="00DB6A40" w:rsidRPr="00DB6A40" w:rsidRDefault="00DB6A40" w:rsidP="00DB6A40">
      <w:pPr>
        <w:spacing w:after="0" w:line="259" w:lineRule="auto"/>
        <w:jc w:val="both"/>
        <w:rPr>
          <w:rFonts w:ascii="Times New Roman" w:eastAsia="Calibri" w:hAnsi="Times New Roman" w:cs="Times New Roman"/>
          <w:sz w:val="22"/>
          <w:szCs w:val="22"/>
        </w:rPr>
      </w:pPr>
      <m:oMath>
        <m:r>
          <w:rPr>
            <w:rFonts w:ascii="Cambria Math" w:eastAsia="Calibri" w:hAnsi="Cambria Math" w:cs="Times New Roman"/>
            <w:sz w:val="22"/>
            <w:szCs w:val="22"/>
          </w:rPr>
          <m:t>TG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E</m:t>
            </m:r>
          </m:e>
          <m:sub>
            <m:r>
              <w:rPr>
                <w:rFonts w:ascii="Cambria Math" w:eastAsia="Calibri" w:hAnsi="Cambria Math" w:cs="Times New Roman"/>
                <w:sz w:val="22"/>
                <w:szCs w:val="22"/>
              </w:rPr>
              <m:t>t</m:t>
            </m:r>
          </m:sub>
        </m:sSub>
      </m:oMath>
      <w:r w:rsidRPr="00DB6A40">
        <w:rPr>
          <w:rFonts w:ascii="Times New Roman" w:eastAsia="Calibri" w:hAnsi="Times New Roman" w:cs="Times New Roman"/>
          <w:sz w:val="22"/>
          <w:szCs w:val="22"/>
        </w:rPr>
        <w:t>= Total Government Expenditure</w:t>
      </w:r>
    </w:p>
    <w:p w14:paraId="5E234B91" w14:textId="77777777" w:rsidR="00DB6A40" w:rsidRPr="00DB6A40" w:rsidRDefault="00DB6A40" w:rsidP="00DB6A40">
      <w:pPr>
        <w:spacing w:after="0" w:line="259" w:lineRule="auto"/>
        <w:jc w:val="both"/>
        <w:rPr>
          <w:rFonts w:ascii="Times New Roman" w:eastAsia="Calibri" w:hAnsi="Times New Roman" w:cs="Times New Roman"/>
          <w:sz w:val="22"/>
          <w:szCs w:val="22"/>
        </w:rPr>
      </w:pPr>
      <m:oMath>
        <m:r>
          <w:rPr>
            <w:rFonts w:ascii="Cambria Math" w:eastAsia="Calibri" w:hAnsi="Cambria Math" w:cs="Times New Roman"/>
            <w:sz w:val="22"/>
            <w:szCs w:val="22"/>
          </w:rPr>
          <m:t>PI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oMath>
      <w:r w:rsidRPr="00DB6A40">
        <w:rPr>
          <w:rFonts w:ascii="Times New Roman" w:eastAsia="Calibri" w:hAnsi="Times New Roman" w:cs="Times New Roman"/>
          <w:sz w:val="22"/>
          <w:szCs w:val="22"/>
        </w:rPr>
        <w:t>= Personal Income Tax revenue</w:t>
      </w:r>
    </w:p>
    <w:p w14:paraId="0B16D77D" w14:textId="77777777" w:rsidR="00DB6A40" w:rsidRPr="00DB6A40" w:rsidRDefault="00DB6A40" w:rsidP="00DB6A40">
      <w:pPr>
        <w:spacing w:after="0" w:line="259" w:lineRule="auto"/>
        <w:jc w:val="both"/>
        <w:rPr>
          <w:rFonts w:ascii="Times New Roman" w:eastAsia="Calibri" w:hAnsi="Times New Roman" w:cs="Times New Roman"/>
          <w:sz w:val="22"/>
          <w:szCs w:val="22"/>
        </w:rPr>
      </w:pPr>
      <m:oMath>
        <m:r>
          <w:rPr>
            <w:rFonts w:ascii="Cambria Math" w:eastAsia="Calibri" w:hAnsi="Cambria Math" w:cs="Times New Roman"/>
            <w:sz w:val="22"/>
            <w:szCs w:val="22"/>
          </w:rPr>
          <m:t>PP</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oMath>
      <w:r w:rsidRPr="00DB6A40">
        <w:rPr>
          <w:rFonts w:ascii="Times New Roman" w:eastAsia="Calibri" w:hAnsi="Times New Roman" w:cs="Times New Roman"/>
          <w:sz w:val="22"/>
          <w:szCs w:val="22"/>
        </w:rPr>
        <w:t>= Petroleum Profit Tax revenue</w:t>
      </w:r>
    </w:p>
    <w:p w14:paraId="065599C6" w14:textId="77777777" w:rsidR="00DB6A40" w:rsidRPr="00DB6A40" w:rsidRDefault="00DB6A40" w:rsidP="00DB6A40">
      <w:pPr>
        <w:spacing w:after="0" w:line="259" w:lineRule="auto"/>
        <w:jc w:val="both"/>
        <w:rPr>
          <w:rFonts w:ascii="Times New Roman" w:eastAsia="Calibri" w:hAnsi="Times New Roman" w:cs="Times New Roman"/>
          <w:sz w:val="22"/>
          <w:szCs w:val="22"/>
        </w:rPr>
      </w:pPr>
      <m:oMath>
        <m:r>
          <w:rPr>
            <w:rFonts w:ascii="Cambria Math" w:eastAsia="Calibri" w:hAnsi="Cambria Math" w:cs="Times New Roman"/>
            <w:sz w:val="22"/>
            <w:szCs w:val="22"/>
          </w:rPr>
          <m:t>CI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oMath>
      <w:r w:rsidRPr="00DB6A40">
        <w:rPr>
          <w:rFonts w:ascii="Times New Roman" w:eastAsia="Calibri" w:hAnsi="Times New Roman" w:cs="Times New Roman"/>
          <w:sz w:val="22"/>
          <w:szCs w:val="22"/>
        </w:rPr>
        <w:t>= Company Income Tax revenue</w:t>
      </w:r>
    </w:p>
    <w:p w14:paraId="1CF8FFB9" w14:textId="77777777" w:rsidR="00DB6A40" w:rsidRPr="00DB6A40" w:rsidRDefault="00DB6A40" w:rsidP="00DB6A40">
      <w:pPr>
        <w:spacing w:after="0" w:line="259" w:lineRule="auto"/>
        <w:jc w:val="both"/>
        <w:rPr>
          <w:rFonts w:ascii="Times New Roman" w:eastAsia="Calibri" w:hAnsi="Times New Roman" w:cs="Times New Roman"/>
          <w:sz w:val="22"/>
          <w:szCs w:val="22"/>
        </w:rPr>
      </w:pPr>
      <m:oMath>
        <m:r>
          <w:rPr>
            <w:rFonts w:ascii="Cambria Math" w:eastAsia="Calibri" w:hAnsi="Cambria Math" w:cs="Times New Roman"/>
            <w:sz w:val="22"/>
            <w:szCs w:val="22"/>
          </w:rPr>
          <m:t>VA</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oMath>
      <w:r w:rsidRPr="00DB6A40">
        <w:rPr>
          <w:rFonts w:ascii="Times New Roman" w:eastAsia="Calibri" w:hAnsi="Times New Roman" w:cs="Times New Roman"/>
          <w:sz w:val="22"/>
          <w:szCs w:val="22"/>
        </w:rPr>
        <w:t>= Value Added Tax revenue</w:t>
      </w:r>
    </w:p>
    <w:p w14:paraId="177717ED" w14:textId="77777777" w:rsidR="00DB6A40" w:rsidRPr="00DB6A40" w:rsidRDefault="00DB6A40" w:rsidP="00DB6A40">
      <w:pPr>
        <w:spacing w:after="0" w:line="259" w:lineRule="auto"/>
        <w:jc w:val="both"/>
        <w:rPr>
          <w:rFonts w:ascii="Times New Roman" w:eastAsia="Calibri" w:hAnsi="Times New Roman" w:cs="Times New Roman"/>
          <w:sz w:val="22"/>
          <w:szCs w:val="22"/>
        </w:rPr>
      </w:pPr>
      <m:oMath>
        <m:r>
          <w:rPr>
            <w:rFonts w:ascii="Cambria Math" w:eastAsia="Calibri" w:hAnsi="Cambria Math" w:cs="Times New Roman"/>
            <w:sz w:val="22"/>
            <w:szCs w:val="22"/>
          </w:rPr>
          <m:t>CE</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D</m:t>
            </m:r>
          </m:e>
          <m:sub>
            <m:r>
              <w:rPr>
                <w:rFonts w:ascii="Cambria Math" w:eastAsia="Calibri" w:hAnsi="Cambria Math" w:cs="Times New Roman"/>
                <w:sz w:val="22"/>
                <w:szCs w:val="22"/>
              </w:rPr>
              <m:t>t</m:t>
            </m:r>
          </m:sub>
        </m:sSub>
      </m:oMath>
      <w:r w:rsidRPr="00DB6A40">
        <w:rPr>
          <w:rFonts w:ascii="Times New Roman" w:eastAsia="Calibri" w:hAnsi="Times New Roman" w:cs="Times New Roman"/>
          <w:sz w:val="22"/>
          <w:szCs w:val="22"/>
        </w:rPr>
        <w:t>= Customs and Excise Duties revenue</w:t>
      </w:r>
    </w:p>
    <w:p w14:paraId="4EDDB005" w14:textId="77777777" w:rsidR="00DB6A40" w:rsidRPr="00DB6A40" w:rsidRDefault="00DB6A40" w:rsidP="00DB6A40">
      <w:pPr>
        <w:spacing w:after="0" w:line="259" w:lineRule="auto"/>
        <w:jc w:val="both"/>
        <w:rPr>
          <w:rFonts w:ascii="Times New Roman" w:eastAsia="Calibri" w:hAnsi="Times New Roman" w:cs="Times New Roman"/>
          <w:sz w:val="22"/>
          <w:szCs w:val="22"/>
        </w:rPr>
      </w:pPr>
      <m:oMath>
        <m:r>
          <w:rPr>
            <w:rFonts w:ascii="Cambria Math" w:eastAsia="Calibri" w:hAnsi="Cambria Math" w:cs="Times New Roman"/>
            <w:sz w:val="22"/>
            <w:szCs w:val="22"/>
          </w:rPr>
          <m:t>CG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oMath>
      <w:r w:rsidRPr="00DB6A40">
        <w:rPr>
          <w:rFonts w:ascii="Times New Roman" w:eastAsia="Calibri" w:hAnsi="Times New Roman" w:cs="Times New Roman"/>
          <w:sz w:val="22"/>
          <w:szCs w:val="22"/>
        </w:rPr>
        <w:t>= Capital Gain Tax revenue</w:t>
      </w:r>
    </w:p>
    <w:p w14:paraId="29B69040" w14:textId="77777777" w:rsidR="00DB6A40" w:rsidRPr="00DB6A40" w:rsidRDefault="00000000" w:rsidP="00DB6A40">
      <w:pPr>
        <w:spacing w:after="0" w:line="259" w:lineRule="auto"/>
        <w:jc w:val="both"/>
        <w:rPr>
          <w:rFonts w:ascii="Times New Roman" w:eastAsia="Calibri" w:hAnsi="Times New Roman" w:cs="Times New Roman"/>
          <w:sz w:val="22"/>
          <w:szCs w:val="22"/>
        </w:rPr>
      </w:pPr>
      <m:oMath>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0</m:t>
            </m:r>
          </m:sub>
        </m:sSub>
      </m:oMath>
      <w:r w:rsidR="00DB6A40" w:rsidRPr="00DB6A40">
        <w:rPr>
          <w:rFonts w:ascii="Times New Roman" w:eastAsia="Calibri" w:hAnsi="Times New Roman" w:cs="Times New Roman"/>
          <w:sz w:val="22"/>
          <w:szCs w:val="22"/>
        </w:rPr>
        <w:t>= Constant term/Intercept</w:t>
      </w:r>
    </w:p>
    <w:p w14:paraId="5BC8B852" w14:textId="77777777" w:rsidR="00DB6A40" w:rsidRPr="00DB6A40" w:rsidRDefault="00000000" w:rsidP="00DB6A40">
      <w:pPr>
        <w:spacing w:after="0" w:line="259" w:lineRule="auto"/>
        <w:jc w:val="both"/>
        <w:rPr>
          <w:rFonts w:ascii="Times New Roman" w:eastAsia="Calibri" w:hAnsi="Times New Roman" w:cs="Times New Roman"/>
          <w:sz w:val="22"/>
          <w:szCs w:val="22"/>
        </w:rPr>
      </w:pPr>
      <m:oMath>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1</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6</m:t>
            </m:r>
          </m:sub>
        </m:sSub>
      </m:oMath>
      <w:r w:rsidR="00DB6A40" w:rsidRPr="00DB6A40">
        <w:rPr>
          <w:rFonts w:ascii="Times New Roman" w:eastAsia="Calibri" w:hAnsi="Times New Roman" w:cs="Times New Roman"/>
          <w:sz w:val="22"/>
          <w:szCs w:val="22"/>
        </w:rPr>
        <w:t>= Slope coefficients of each independent variable</w:t>
      </w:r>
    </w:p>
    <w:p w14:paraId="3E541029" w14:textId="77777777" w:rsidR="00DB6A40" w:rsidRPr="00DB6A40" w:rsidRDefault="00000000" w:rsidP="00DB6A40">
      <w:pPr>
        <w:spacing w:after="0" w:line="259" w:lineRule="auto"/>
        <w:jc w:val="both"/>
        <w:rPr>
          <w:rFonts w:ascii="Times New Roman" w:eastAsia="Calibri" w:hAnsi="Times New Roman" w:cs="Times New Roman"/>
          <w:sz w:val="22"/>
          <w:szCs w:val="22"/>
        </w:rPr>
      </w:pPr>
      <m:oMath>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μ</m:t>
            </m:r>
          </m:e>
          <m:sub>
            <m:r>
              <w:rPr>
                <w:rFonts w:ascii="Cambria Math" w:eastAsia="Calibri" w:hAnsi="Cambria Math" w:cs="Times New Roman"/>
                <w:sz w:val="22"/>
                <w:szCs w:val="22"/>
              </w:rPr>
              <m:t>t</m:t>
            </m:r>
          </m:sub>
        </m:sSub>
      </m:oMath>
      <w:r w:rsidR="00DB6A40" w:rsidRPr="00DB6A40">
        <w:rPr>
          <w:rFonts w:ascii="Times New Roman" w:eastAsia="Calibri" w:hAnsi="Times New Roman" w:cs="Times New Roman"/>
          <w:sz w:val="22"/>
          <w:szCs w:val="22"/>
        </w:rPr>
        <w:t>= Error term/stochastic variable</w:t>
      </w:r>
    </w:p>
    <w:p w14:paraId="39FCBDBA"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 = Time series index</w:t>
      </w:r>
    </w:p>
    <w:p w14:paraId="30075154" w14:textId="77777777" w:rsid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a priori expectation for the model is that all slope coefficients are positive (</w:t>
      </w:r>
      <m:oMath>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1</m:t>
            </m:r>
          </m:sub>
        </m:sSub>
        <m:r>
          <w:rPr>
            <w:rFonts w:ascii="Cambria Math" w:eastAsia="Calibri" w:hAnsi="Cambria Math" w:cs="Times New Roman"/>
            <w:sz w:val="22"/>
            <w:szCs w:val="22"/>
          </w:rPr>
          <m:t>-</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6</m:t>
            </m:r>
          </m:sub>
        </m:sSub>
        <m:r>
          <w:rPr>
            <w:rFonts w:ascii="Cambria Math" w:eastAsia="Calibri" w:hAnsi="Cambria Math" w:cs="Times New Roman"/>
            <w:sz w:val="22"/>
            <w:szCs w:val="22"/>
          </w:rPr>
          <m:t>&gt;0</m:t>
        </m:r>
      </m:oMath>
      <w:r w:rsidRPr="00DB6A40">
        <w:rPr>
          <w:rFonts w:ascii="Times New Roman" w:eastAsia="Calibri" w:hAnsi="Times New Roman" w:cs="Times New Roman"/>
          <w:sz w:val="22"/>
          <w:szCs w:val="22"/>
        </w:rPr>
        <w:t>), reflecting the assumption that increases in each tax revenue component contribute positively to total government expenditure.</w:t>
      </w:r>
    </w:p>
    <w:p w14:paraId="4FCF042E" w14:textId="77777777" w:rsidR="00A00954" w:rsidRDefault="00A00954" w:rsidP="00DB6A40">
      <w:pPr>
        <w:spacing w:after="0" w:line="259" w:lineRule="auto"/>
        <w:jc w:val="both"/>
        <w:rPr>
          <w:rFonts w:ascii="Times New Roman" w:eastAsia="Calibri" w:hAnsi="Times New Roman" w:cs="Times New Roman"/>
          <w:sz w:val="22"/>
          <w:szCs w:val="22"/>
        </w:rPr>
      </w:pPr>
    </w:p>
    <w:p w14:paraId="23C7C54E"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Table 1.</w:t>
      </w:r>
      <w:r w:rsidRPr="00DB6A40">
        <w:rPr>
          <w:rFonts w:ascii="Times New Roman" w:eastAsia="Calibri" w:hAnsi="Times New Roman" w:cs="Times New Roman"/>
          <w:b/>
          <w:bCs/>
          <w:sz w:val="22"/>
          <w:szCs w:val="22"/>
        </w:rPr>
        <w:tab/>
        <w:t>Operational Definition of Variables</w:t>
      </w:r>
    </w:p>
    <w:tbl>
      <w:tblPr>
        <w:tblW w:w="9578" w:type="dxa"/>
        <w:tblCellSpacing w:w="15" w:type="dxa"/>
        <w:tblCellMar>
          <w:top w:w="15" w:type="dxa"/>
          <w:left w:w="15" w:type="dxa"/>
          <w:bottom w:w="15" w:type="dxa"/>
          <w:right w:w="15" w:type="dxa"/>
        </w:tblCellMar>
        <w:tblLook w:val="04A0" w:firstRow="1" w:lastRow="0" w:firstColumn="1" w:lastColumn="0" w:noHBand="0" w:noVBand="1"/>
      </w:tblPr>
      <w:tblGrid>
        <w:gridCol w:w="1044"/>
        <w:gridCol w:w="5477"/>
        <w:gridCol w:w="3057"/>
      </w:tblGrid>
      <w:tr w:rsidR="00DB6A40" w:rsidRPr="00DB6A40" w14:paraId="51C1958B" w14:textId="77777777" w:rsidTr="00D00B3F">
        <w:trPr>
          <w:trHeight w:val="248"/>
          <w:tblHeader/>
          <w:tblCellSpacing w:w="15" w:type="dxa"/>
        </w:trPr>
        <w:tc>
          <w:tcPr>
            <w:tcW w:w="0" w:type="auto"/>
            <w:tcBorders>
              <w:top w:val="single" w:sz="4" w:space="0" w:color="auto"/>
              <w:bottom w:val="single" w:sz="4" w:space="0" w:color="auto"/>
            </w:tcBorders>
            <w:vAlign w:val="center"/>
            <w:hideMark/>
          </w:tcPr>
          <w:p w14:paraId="41E9073F"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Variable</w:t>
            </w:r>
          </w:p>
        </w:tc>
        <w:tc>
          <w:tcPr>
            <w:tcW w:w="0" w:type="auto"/>
            <w:tcBorders>
              <w:top w:val="single" w:sz="4" w:space="0" w:color="auto"/>
              <w:bottom w:val="single" w:sz="4" w:space="0" w:color="auto"/>
            </w:tcBorders>
            <w:vAlign w:val="center"/>
            <w:hideMark/>
          </w:tcPr>
          <w:p w14:paraId="23C7C16C"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Operational Definition</w:t>
            </w:r>
          </w:p>
        </w:tc>
        <w:tc>
          <w:tcPr>
            <w:tcW w:w="0" w:type="auto"/>
            <w:tcBorders>
              <w:top w:val="single" w:sz="4" w:space="0" w:color="auto"/>
              <w:bottom w:val="single" w:sz="4" w:space="0" w:color="auto"/>
            </w:tcBorders>
            <w:vAlign w:val="center"/>
            <w:hideMark/>
          </w:tcPr>
          <w:p w14:paraId="4154154A" w14:textId="77777777" w:rsidR="00DB6A40" w:rsidRPr="00DB6A40" w:rsidRDefault="00DB6A40" w:rsidP="00DB6A40">
            <w:pPr>
              <w:spacing w:after="0" w:line="259" w:lineRule="auto"/>
              <w:jc w:val="center"/>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Measurement/Unit</w:t>
            </w:r>
          </w:p>
        </w:tc>
      </w:tr>
      <w:tr w:rsidR="00DB6A40" w:rsidRPr="00DB6A40" w14:paraId="7EA89D8C" w14:textId="77777777" w:rsidTr="00D00B3F">
        <w:trPr>
          <w:trHeight w:val="215"/>
          <w:tblCellSpacing w:w="15" w:type="dxa"/>
        </w:trPr>
        <w:tc>
          <w:tcPr>
            <w:tcW w:w="0" w:type="auto"/>
            <w:vAlign w:val="center"/>
            <w:hideMark/>
          </w:tcPr>
          <w:p w14:paraId="0A92D149"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TGE</w:t>
            </w:r>
          </w:p>
        </w:tc>
        <w:tc>
          <w:tcPr>
            <w:tcW w:w="0" w:type="auto"/>
            <w:vAlign w:val="center"/>
            <w:hideMark/>
          </w:tcPr>
          <w:p w14:paraId="3D73A48D"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Total government expenditure in Nigeria</w:t>
            </w:r>
          </w:p>
        </w:tc>
        <w:tc>
          <w:tcPr>
            <w:tcW w:w="0" w:type="auto"/>
            <w:vAlign w:val="center"/>
            <w:hideMark/>
          </w:tcPr>
          <w:p w14:paraId="187C968F" w14:textId="77777777" w:rsidR="00DB6A40" w:rsidRPr="00DB6A40" w:rsidRDefault="00DB6A40" w:rsidP="00DB6A40">
            <w:pPr>
              <w:spacing w:after="0" w:line="259" w:lineRule="auto"/>
              <w:jc w:val="center"/>
              <w:rPr>
                <w:rFonts w:ascii="Times New Roman" w:eastAsia="Calibri" w:hAnsi="Times New Roman" w:cs="Times New Roman"/>
                <w:sz w:val="22"/>
                <w:szCs w:val="22"/>
              </w:rPr>
            </w:pPr>
            <w:r w:rsidRPr="00DB6A40">
              <w:rPr>
                <w:rFonts w:ascii="Times New Roman" w:eastAsia="Calibri" w:hAnsi="Times New Roman" w:cs="Times New Roman"/>
                <w:sz w:val="22"/>
                <w:szCs w:val="22"/>
              </w:rPr>
              <w:t>Naira (₦) billion per annum</w:t>
            </w:r>
          </w:p>
        </w:tc>
      </w:tr>
      <w:tr w:rsidR="00DB6A40" w:rsidRPr="00DB6A40" w14:paraId="04D4B35B" w14:textId="77777777" w:rsidTr="00D00B3F">
        <w:trPr>
          <w:trHeight w:val="57"/>
          <w:tblCellSpacing w:w="15" w:type="dxa"/>
        </w:trPr>
        <w:tc>
          <w:tcPr>
            <w:tcW w:w="0" w:type="auto"/>
            <w:vAlign w:val="center"/>
            <w:hideMark/>
          </w:tcPr>
          <w:p w14:paraId="25B10D81"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PIT</w:t>
            </w:r>
          </w:p>
        </w:tc>
        <w:tc>
          <w:tcPr>
            <w:tcW w:w="0" w:type="auto"/>
            <w:vAlign w:val="center"/>
            <w:hideMark/>
          </w:tcPr>
          <w:p w14:paraId="145FDB44"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Revenue generated from personal income taxation</w:t>
            </w:r>
          </w:p>
        </w:tc>
        <w:tc>
          <w:tcPr>
            <w:tcW w:w="0" w:type="auto"/>
            <w:vAlign w:val="center"/>
            <w:hideMark/>
          </w:tcPr>
          <w:p w14:paraId="3C6B8B88" w14:textId="77777777" w:rsidR="00DB6A40" w:rsidRPr="00DB6A40" w:rsidRDefault="00DB6A40" w:rsidP="00DB6A40">
            <w:pPr>
              <w:spacing w:after="0" w:line="259" w:lineRule="auto"/>
              <w:jc w:val="center"/>
              <w:rPr>
                <w:rFonts w:ascii="Times New Roman" w:eastAsia="Calibri" w:hAnsi="Times New Roman" w:cs="Times New Roman"/>
                <w:sz w:val="22"/>
                <w:szCs w:val="22"/>
              </w:rPr>
            </w:pPr>
            <w:r w:rsidRPr="00DB6A40">
              <w:rPr>
                <w:rFonts w:ascii="Times New Roman" w:eastAsia="Calibri" w:hAnsi="Times New Roman" w:cs="Times New Roman"/>
                <w:sz w:val="22"/>
                <w:szCs w:val="22"/>
              </w:rPr>
              <w:t>Naira (₦) billion per annum</w:t>
            </w:r>
          </w:p>
        </w:tc>
      </w:tr>
      <w:tr w:rsidR="00DB6A40" w:rsidRPr="00DB6A40" w14:paraId="16852F0F" w14:textId="77777777" w:rsidTr="00D00B3F">
        <w:trPr>
          <w:trHeight w:val="231"/>
          <w:tblCellSpacing w:w="15" w:type="dxa"/>
        </w:trPr>
        <w:tc>
          <w:tcPr>
            <w:tcW w:w="0" w:type="auto"/>
            <w:vAlign w:val="center"/>
            <w:hideMark/>
          </w:tcPr>
          <w:p w14:paraId="6EF16074"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PPT</w:t>
            </w:r>
          </w:p>
        </w:tc>
        <w:tc>
          <w:tcPr>
            <w:tcW w:w="0" w:type="auto"/>
            <w:vAlign w:val="center"/>
            <w:hideMark/>
          </w:tcPr>
          <w:p w14:paraId="3D0E3D66"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Revenue collected from petroleum profit taxation</w:t>
            </w:r>
          </w:p>
        </w:tc>
        <w:tc>
          <w:tcPr>
            <w:tcW w:w="0" w:type="auto"/>
            <w:vAlign w:val="center"/>
            <w:hideMark/>
          </w:tcPr>
          <w:p w14:paraId="66564440" w14:textId="77777777" w:rsidR="00DB6A40" w:rsidRPr="00DB6A40" w:rsidRDefault="00DB6A40" w:rsidP="00DB6A40">
            <w:pPr>
              <w:spacing w:after="0" w:line="259" w:lineRule="auto"/>
              <w:jc w:val="center"/>
              <w:rPr>
                <w:rFonts w:ascii="Times New Roman" w:eastAsia="Calibri" w:hAnsi="Times New Roman" w:cs="Times New Roman"/>
                <w:sz w:val="22"/>
                <w:szCs w:val="22"/>
              </w:rPr>
            </w:pPr>
            <w:r w:rsidRPr="00DB6A40">
              <w:rPr>
                <w:rFonts w:ascii="Times New Roman" w:eastAsia="Calibri" w:hAnsi="Times New Roman" w:cs="Times New Roman"/>
                <w:sz w:val="22"/>
                <w:szCs w:val="22"/>
              </w:rPr>
              <w:t>Naira (₦) billion per annum</w:t>
            </w:r>
          </w:p>
        </w:tc>
      </w:tr>
      <w:tr w:rsidR="00DB6A40" w:rsidRPr="00DB6A40" w14:paraId="5CE3BB8D" w14:textId="77777777" w:rsidTr="00D00B3F">
        <w:trPr>
          <w:trHeight w:val="231"/>
          <w:tblCellSpacing w:w="15" w:type="dxa"/>
        </w:trPr>
        <w:tc>
          <w:tcPr>
            <w:tcW w:w="0" w:type="auto"/>
            <w:vAlign w:val="center"/>
            <w:hideMark/>
          </w:tcPr>
          <w:p w14:paraId="0E6B03D5"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CIT</w:t>
            </w:r>
          </w:p>
        </w:tc>
        <w:tc>
          <w:tcPr>
            <w:tcW w:w="0" w:type="auto"/>
            <w:vAlign w:val="center"/>
            <w:hideMark/>
          </w:tcPr>
          <w:p w14:paraId="3A7EAA64"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Revenue generated from company income taxation</w:t>
            </w:r>
          </w:p>
        </w:tc>
        <w:tc>
          <w:tcPr>
            <w:tcW w:w="0" w:type="auto"/>
            <w:vAlign w:val="center"/>
            <w:hideMark/>
          </w:tcPr>
          <w:p w14:paraId="285B9805" w14:textId="77777777" w:rsidR="00DB6A40" w:rsidRPr="00DB6A40" w:rsidRDefault="00DB6A40" w:rsidP="00DB6A40">
            <w:pPr>
              <w:spacing w:after="0" w:line="259" w:lineRule="auto"/>
              <w:jc w:val="center"/>
              <w:rPr>
                <w:rFonts w:ascii="Times New Roman" w:eastAsia="Calibri" w:hAnsi="Times New Roman" w:cs="Times New Roman"/>
                <w:sz w:val="22"/>
                <w:szCs w:val="22"/>
              </w:rPr>
            </w:pPr>
            <w:r w:rsidRPr="00DB6A40">
              <w:rPr>
                <w:rFonts w:ascii="Times New Roman" w:eastAsia="Calibri" w:hAnsi="Times New Roman" w:cs="Times New Roman"/>
                <w:sz w:val="22"/>
                <w:szCs w:val="22"/>
              </w:rPr>
              <w:t>Naira (₦) billion per annum</w:t>
            </w:r>
          </w:p>
        </w:tc>
      </w:tr>
      <w:tr w:rsidR="00DB6A40" w:rsidRPr="00DB6A40" w14:paraId="4554E300" w14:textId="77777777" w:rsidTr="00D00B3F">
        <w:trPr>
          <w:trHeight w:val="231"/>
          <w:tblCellSpacing w:w="15" w:type="dxa"/>
        </w:trPr>
        <w:tc>
          <w:tcPr>
            <w:tcW w:w="0" w:type="auto"/>
            <w:vAlign w:val="center"/>
            <w:hideMark/>
          </w:tcPr>
          <w:p w14:paraId="279EF1DB"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VAT</w:t>
            </w:r>
          </w:p>
        </w:tc>
        <w:tc>
          <w:tcPr>
            <w:tcW w:w="0" w:type="auto"/>
            <w:vAlign w:val="center"/>
            <w:hideMark/>
          </w:tcPr>
          <w:p w14:paraId="17B12C0A"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Revenue generated from value added taxation</w:t>
            </w:r>
          </w:p>
        </w:tc>
        <w:tc>
          <w:tcPr>
            <w:tcW w:w="0" w:type="auto"/>
            <w:vAlign w:val="center"/>
            <w:hideMark/>
          </w:tcPr>
          <w:p w14:paraId="02F32812" w14:textId="77777777" w:rsidR="00DB6A40" w:rsidRPr="00DB6A40" w:rsidRDefault="00DB6A40" w:rsidP="00DB6A40">
            <w:pPr>
              <w:spacing w:after="0" w:line="259" w:lineRule="auto"/>
              <w:jc w:val="center"/>
              <w:rPr>
                <w:rFonts w:ascii="Times New Roman" w:eastAsia="Calibri" w:hAnsi="Times New Roman" w:cs="Times New Roman"/>
                <w:sz w:val="22"/>
                <w:szCs w:val="22"/>
              </w:rPr>
            </w:pPr>
            <w:r w:rsidRPr="00DB6A40">
              <w:rPr>
                <w:rFonts w:ascii="Times New Roman" w:eastAsia="Calibri" w:hAnsi="Times New Roman" w:cs="Times New Roman"/>
                <w:sz w:val="22"/>
                <w:szCs w:val="22"/>
              </w:rPr>
              <w:t>Naira (₦) billion per annum</w:t>
            </w:r>
          </w:p>
        </w:tc>
      </w:tr>
      <w:tr w:rsidR="00DB6A40" w:rsidRPr="00DB6A40" w14:paraId="79038D27" w14:textId="77777777" w:rsidTr="00D00B3F">
        <w:trPr>
          <w:trHeight w:val="215"/>
          <w:tblCellSpacing w:w="15" w:type="dxa"/>
        </w:trPr>
        <w:tc>
          <w:tcPr>
            <w:tcW w:w="0" w:type="auto"/>
            <w:vAlign w:val="center"/>
            <w:hideMark/>
          </w:tcPr>
          <w:p w14:paraId="64955423"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CED</w:t>
            </w:r>
          </w:p>
        </w:tc>
        <w:tc>
          <w:tcPr>
            <w:tcW w:w="0" w:type="auto"/>
            <w:vAlign w:val="center"/>
            <w:hideMark/>
          </w:tcPr>
          <w:p w14:paraId="4FC9AB17"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Revenue from customs and excise duties</w:t>
            </w:r>
          </w:p>
        </w:tc>
        <w:tc>
          <w:tcPr>
            <w:tcW w:w="0" w:type="auto"/>
            <w:vAlign w:val="center"/>
            <w:hideMark/>
          </w:tcPr>
          <w:p w14:paraId="06B56C2C" w14:textId="77777777" w:rsidR="00DB6A40" w:rsidRPr="00DB6A40" w:rsidRDefault="00DB6A40" w:rsidP="00DB6A40">
            <w:pPr>
              <w:spacing w:after="0" w:line="259" w:lineRule="auto"/>
              <w:jc w:val="center"/>
              <w:rPr>
                <w:rFonts w:ascii="Times New Roman" w:eastAsia="Calibri" w:hAnsi="Times New Roman" w:cs="Times New Roman"/>
                <w:sz w:val="22"/>
                <w:szCs w:val="22"/>
              </w:rPr>
            </w:pPr>
            <w:r w:rsidRPr="00DB6A40">
              <w:rPr>
                <w:rFonts w:ascii="Times New Roman" w:eastAsia="Calibri" w:hAnsi="Times New Roman" w:cs="Times New Roman"/>
                <w:sz w:val="22"/>
                <w:szCs w:val="22"/>
              </w:rPr>
              <w:t>Naira (₦) billion per annum</w:t>
            </w:r>
          </w:p>
        </w:tc>
      </w:tr>
      <w:tr w:rsidR="00DB6A40" w:rsidRPr="00DB6A40" w14:paraId="65C323DB" w14:textId="77777777" w:rsidTr="00D00B3F">
        <w:trPr>
          <w:trHeight w:val="248"/>
          <w:tblCellSpacing w:w="15" w:type="dxa"/>
        </w:trPr>
        <w:tc>
          <w:tcPr>
            <w:tcW w:w="0" w:type="auto"/>
            <w:tcBorders>
              <w:bottom w:val="single" w:sz="4" w:space="0" w:color="auto"/>
            </w:tcBorders>
            <w:vAlign w:val="center"/>
            <w:hideMark/>
          </w:tcPr>
          <w:p w14:paraId="184B01B7"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CGT</w:t>
            </w:r>
          </w:p>
        </w:tc>
        <w:tc>
          <w:tcPr>
            <w:tcW w:w="0" w:type="auto"/>
            <w:tcBorders>
              <w:bottom w:val="single" w:sz="4" w:space="0" w:color="auto"/>
            </w:tcBorders>
            <w:vAlign w:val="center"/>
            <w:hideMark/>
          </w:tcPr>
          <w:p w14:paraId="108D765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Revenue generated from capital gain taxation</w:t>
            </w:r>
          </w:p>
        </w:tc>
        <w:tc>
          <w:tcPr>
            <w:tcW w:w="0" w:type="auto"/>
            <w:tcBorders>
              <w:bottom w:val="single" w:sz="4" w:space="0" w:color="auto"/>
            </w:tcBorders>
            <w:vAlign w:val="center"/>
            <w:hideMark/>
          </w:tcPr>
          <w:p w14:paraId="1E02A00F" w14:textId="77777777" w:rsidR="00DB6A40" w:rsidRPr="00DB6A40" w:rsidRDefault="00DB6A40" w:rsidP="00DB6A40">
            <w:pPr>
              <w:spacing w:after="0" w:line="259" w:lineRule="auto"/>
              <w:jc w:val="center"/>
              <w:rPr>
                <w:rFonts w:ascii="Times New Roman" w:eastAsia="Calibri" w:hAnsi="Times New Roman" w:cs="Times New Roman"/>
                <w:sz w:val="22"/>
                <w:szCs w:val="22"/>
              </w:rPr>
            </w:pPr>
            <w:r w:rsidRPr="00DB6A40">
              <w:rPr>
                <w:rFonts w:ascii="Times New Roman" w:eastAsia="Calibri" w:hAnsi="Times New Roman" w:cs="Times New Roman"/>
                <w:sz w:val="22"/>
                <w:szCs w:val="22"/>
              </w:rPr>
              <w:t>Naira (₦) billion per annum</w:t>
            </w:r>
          </w:p>
        </w:tc>
      </w:tr>
    </w:tbl>
    <w:p w14:paraId="62C3A359" w14:textId="77777777" w:rsidR="00F2321A" w:rsidRDefault="00F2321A" w:rsidP="00DB6A40">
      <w:pPr>
        <w:spacing w:after="0" w:line="259" w:lineRule="auto"/>
        <w:jc w:val="both"/>
        <w:rPr>
          <w:rFonts w:ascii="Times New Roman" w:eastAsia="Calibri" w:hAnsi="Times New Roman" w:cs="Times New Roman"/>
          <w:b/>
          <w:bCs/>
          <w:sz w:val="22"/>
          <w:szCs w:val="22"/>
        </w:rPr>
      </w:pPr>
    </w:p>
    <w:p w14:paraId="0A43828C" w14:textId="1DF8899A"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Nature of Data Analysis</w:t>
      </w:r>
    </w:p>
    <w:p w14:paraId="5AF3DD3F"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analysis uses time-series econometric methods to look at the relationship between aggregated tax receipts and total government spending.  The steps involved in the analysis are given below:</w:t>
      </w:r>
    </w:p>
    <w:p w14:paraId="587B900E"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In stationarity testing, we apply unit root tests such as Phillips-Perron or Augmented Dickey-Fuller to ascertain the order of integration that the series follows. The latter ensures that the data is stationary to perform cointegration analysis and avoid spurious regression results.</w:t>
      </w:r>
    </w:p>
    <w:p w14:paraId="17523E95"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Cointegration Boundaries: The ARDL bounds testing method can be employed to test the long-run relationships of all the variables, which are integrated either of order </w:t>
      </w:r>
      <w:proofErr w:type="gramStart"/>
      <w:r w:rsidRPr="00DB6A40">
        <w:rPr>
          <w:rFonts w:ascii="Times New Roman" w:eastAsia="Calibri" w:hAnsi="Times New Roman" w:cs="Times New Roman"/>
          <w:sz w:val="22"/>
          <w:szCs w:val="22"/>
        </w:rPr>
        <w:t>I(</w:t>
      </w:r>
      <w:proofErr w:type="gramEnd"/>
      <w:r w:rsidRPr="00DB6A40">
        <w:rPr>
          <w:rFonts w:ascii="Times New Roman" w:eastAsia="Calibri" w:hAnsi="Times New Roman" w:cs="Times New Roman"/>
          <w:sz w:val="22"/>
          <w:szCs w:val="22"/>
        </w:rPr>
        <w:t xml:space="preserve">0) or </w:t>
      </w:r>
      <w:proofErr w:type="gramStart"/>
      <w:r w:rsidRPr="00DB6A40">
        <w:rPr>
          <w:rFonts w:ascii="Times New Roman" w:eastAsia="Calibri" w:hAnsi="Times New Roman" w:cs="Times New Roman"/>
          <w:sz w:val="22"/>
          <w:szCs w:val="22"/>
        </w:rPr>
        <w:t>I(</w:t>
      </w:r>
      <w:proofErr w:type="gramEnd"/>
      <w:r w:rsidRPr="00DB6A40">
        <w:rPr>
          <w:rFonts w:ascii="Times New Roman" w:eastAsia="Calibri" w:hAnsi="Times New Roman" w:cs="Times New Roman"/>
          <w:sz w:val="22"/>
          <w:szCs w:val="22"/>
        </w:rPr>
        <w:t>1).</w:t>
      </w:r>
    </w:p>
    <w:p w14:paraId="49379745"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We use the ARDL model to calculate the short-run dynamics that indicate the rate of adjustment as well as the long-run elasticities, or coefficients, of each disaggregated tax income in respect to overall government spending. The existence of cointegration is then examined. Finally, serial correlation, heteroscedasticity, and parameter stability are examined to make sure that the model is properly described.</w:t>
      </w:r>
    </w:p>
    <w:p w14:paraId="74B3144B"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This method ensures that the research captures precisely how budgetary responsiveness of the Nigerian government to different streams of tax income changed before and after computerized taxation.</w:t>
      </w:r>
    </w:p>
    <w:p w14:paraId="151E8679" w14:textId="77777777" w:rsidR="00DB6A40" w:rsidRPr="00DB6A40" w:rsidRDefault="00DB6A40" w:rsidP="00DB6A40">
      <w:pPr>
        <w:spacing w:after="0" w:line="259" w:lineRule="auto"/>
        <w:jc w:val="both"/>
        <w:rPr>
          <w:rFonts w:ascii="Times New Roman" w:eastAsia="Calibri" w:hAnsi="Times New Roman" w:cs="Times New Roman"/>
          <w:sz w:val="22"/>
          <w:szCs w:val="22"/>
        </w:rPr>
      </w:pPr>
    </w:p>
    <w:p w14:paraId="70C81C36" w14:textId="77777777" w:rsidR="00F2321A" w:rsidRDefault="00F2321A" w:rsidP="00DB6A40">
      <w:pPr>
        <w:spacing w:after="0" w:line="259" w:lineRule="auto"/>
        <w:jc w:val="both"/>
        <w:rPr>
          <w:rFonts w:ascii="Times New Roman" w:eastAsia="Calibri" w:hAnsi="Times New Roman" w:cs="Times New Roman"/>
          <w:b/>
          <w:bCs/>
          <w:sz w:val="22"/>
          <w:szCs w:val="22"/>
        </w:rPr>
      </w:pPr>
    </w:p>
    <w:p w14:paraId="3F3AD5EF" w14:textId="77777777" w:rsidR="00F2321A" w:rsidRDefault="00F2321A" w:rsidP="00DB6A40">
      <w:pPr>
        <w:spacing w:after="0" w:line="259" w:lineRule="auto"/>
        <w:jc w:val="both"/>
        <w:rPr>
          <w:rFonts w:ascii="Times New Roman" w:eastAsia="Calibri" w:hAnsi="Times New Roman" w:cs="Times New Roman"/>
          <w:b/>
          <w:bCs/>
          <w:sz w:val="22"/>
          <w:szCs w:val="22"/>
        </w:rPr>
      </w:pPr>
    </w:p>
    <w:p w14:paraId="16E240B7" w14:textId="47EF37C2"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4.</w:t>
      </w:r>
      <w:r w:rsidRPr="00DB6A40">
        <w:rPr>
          <w:rFonts w:ascii="Times New Roman" w:eastAsia="Calibri" w:hAnsi="Times New Roman" w:cs="Times New Roman"/>
          <w:b/>
          <w:bCs/>
          <w:sz w:val="22"/>
          <w:szCs w:val="22"/>
        </w:rPr>
        <w:tab/>
        <w:t>Results and Discussion</w:t>
      </w:r>
    </w:p>
    <w:p w14:paraId="00D971F1"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Stationarity Test</w:t>
      </w:r>
    </w:p>
    <w:p w14:paraId="30F4ECA4" w14:textId="77777777" w:rsidR="00DB6A40" w:rsidRDefault="00DB6A40" w:rsidP="00DB6A40">
      <w:pPr>
        <w:spacing w:after="0" w:line="259" w:lineRule="auto"/>
        <w:jc w:val="both"/>
        <w:rPr>
          <w:rFonts w:ascii="Times New Roman" w:eastAsia="Calibri" w:hAnsi="Times New Roman" w:cs="Times New Roman"/>
        </w:rPr>
      </w:pPr>
      <w:r w:rsidRPr="00DB6A40">
        <w:rPr>
          <w:rFonts w:ascii="Times New Roman" w:eastAsia="Calibri" w:hAnsi="Times New Roman" w:cs="Times New Roman"/>
        </w:rPr>
        <w:lastRenderedPageBreak/>
        <w:t>In this section, we investigate the stationarity of the variables by analyzing their time-series properties. We conduct tests for both the pre-reform period of 1994–2012 and the post-reform period of 2013–2024 to account for the effects of structural changes brought about by electronic taxes adopted in 2013. Our decisions regarding the appropriate econometric method for modeling the short-run and long-run correlations between the components of tax income and total government expenditure depend upon the order of integration for each variable.</w:t>
      </w:r>
    </w:p>
    <w:p w14:paraId="29D49652" w14:textId="77777777" w:rsidR="00A00954" w:rsidRDefault="00A00954" w:rsidP="00DB6A40">
      <w:pPr>
        <w:spacing w:after="0" w:line="259" w:lineRule="auto"/>
        <w:jc w:val="both"/>
        <w:rPr>
          <w:rFonts w:ascii="Times New Roman" w:eastAsia="Calibri" w:hAnsi="Times New Roman" w:cs="Times New Roman"/>
        </w:rPr>
      </w:pPr>
    </w:p>
    <w:p w14:paraId="3F270AFF"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Table 2: Stationarity Test Table</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190"/>
        <w:gridCol w:w="1407"/>
        <w:gridCol w:w="1203"/>
        <w:gridCol w:w="1421"/>
        <w:gridCol w:w="1535"/>
        <w:gridCol w:w="1548"/>
        <w:gridCol w:w="1391"/>
      </w:tblGrid>
      <w:tr w:rsidR="00DB6A40" w:rsidRPr="00DB6A40" w14:paraId="0FAA0352" w14:textId="77777777" w:rsidTr="00D00B3F">
        <w:tc>
          <w:tcPr>
            <w:tcW w:w="0" w:type="auto"/>
            <w:tcBorders>
              <w:top w:val="single" w:sz="4" w:space="0" w:color="auto"/>
              <w:bottom w:val="single" w:sz="4" w:space="0" w:color="auto"/>
            </w:tcBorders>
            <w:hideMark/>
          </w:tcPr>
          <w:p w14:paraId="57DDBF8D"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Variable</w:t>
            </w:r>
          </w:p>
        </w:tc>
        <w:tc>
          <w:tcPr>
            <w:tcW w:w="0" w:type="auto"/>
            <w:tcBorders>
              <w:top w:val="single" w:sz="4" w:space="0" w:color="auto"/>
              <w:bottom w:val="single" w:sz="4" w:space="0" w:color="auto"/>
            </w:tcBorders>
            <w:hideMark/>
          </w:tcPr>
          <w:p w14:paraId="710A5D62"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Pre-Reform Level ADF</w:t>
            </w:r>
          </w:p>
        </w:tc>
        <w:tc>
          <w:tcPr>
            <w:tcW w:w="0" w:type="auto"/>
            <w:tcBorders>
              <w:top w:val="single" w:sz="4" w:space="0" w:color="auto"/>
              <w:bottom w:val="single" w:sz="4" w:space="0" w:color="auto"/>
            </w:tcBorders>
            <w:hideMark/>
          </w:tcPr>
          <w:p w14:paraId="35AD7EA6"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Pre-Reform I(0/</w:t>
            </w:r>
            <w:proofErr w:type="gramStart"/>
            <w:r w:rsidRPr="00DB6A40">
              <w:rPr>
                <w:rFonts w:ascii="Times New Roman" w:eastAsia="Calibri" w:hAnsi="Times New Roman" w:cs="Times New Roman"/>
                <w:b/>
                <w:bCs/>
              </w:rPr>
              <w:t>I(</w:t>
            </w:r>
            <w:proofErr w:type="gramEnd"/>
            <w:r w:rsidRPr="00DB6A40">
              <w:rPr>
                <w:rFonts w:ascii="Times New Roman" w:eastAsia="Calibri" w:hAnsi="Times New Roman" w:cs="Times New Roman"/>
                <w:b/>
                <w:bCs/>
              </w:rPr>
              <w:t>1) Status)</w:t>
            </w:r>
          </w:p>
        </w:tc>
        <w:tc>
          <w:tcPr>
            <w:tcW w:w="0" w:type="auto"/>
            <w:tcBorders>
              <w:top w:val="single" w:sz="4" w:space="0" w:color="auto"/>
              <w:bottom w:val="single" w:sz="4" w:space="0" w:color="auto"/>
            </w:tcBorders>
            <w:hideMark/>
          </w:tcPr>
          <w:p w14:paraId="5BE07E7E"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Post-Reform Level ADF</w:t>
            </w:r>
          </w:p>
        </w:tc>
        <w:tc>
          <w:tcPr>
            <w:tcW w:w="0" w:type="auto"/>
            <w:tcBorders>
              <w:top w:val="single" w:sz="4" w:space="0" w:color="auto"/>
              <w:bottom w:val="single" w:sz="4" w:space="0" w:color="auto"/>
            </w:tcBorders>
            <w:hideMark/>
          </w:tcPr>
          <w:p w14:paraId="4E619FF5" w14:textId="77777777" w:rsidR="00DB6A40" w:rsidRPr="00DB6A40" w:rsidRDefault="00DB6A40" w:rsidP="00DB6A40">
            <w:pPr>
              <w:spacing w:line="259" w:lineRule="auto"/>
              <w:jc w:val="center"/>
              <w:rPr>
                <w:rFonts w:ascii="Times New Roman" w:eastAsia="Calibri" w:hAnsi="Times New Roman" w:cs="Times New Roman"/>
                <w:b/>
                <w:bCs/>
              </w:rPr>
            </w:pPr>
            <w:r w:rsidRPr="00DB6A40">
              <w:rPr>
                <w:rFonts w:ascii="Times New Roman" w:eastAsia="Calibri" w:hAnsi="Times New Roman" w:cs="Times New Roman"/>
                <w:b/>
                <w:bCs/>
              </w:rPr>
              <w:t>Post-Reform I(0/</w:t>
            </w:r>
            <w:proofErr w:type="gramStart"/>
            <w:r w:rsidRPr="00DB6A40">
              <w:rPr>
                <w:rFonts w:ascii="Times New Roman" w:eastAsia="Calibri" w:hAnsi="Times New Roman" w:cs="Times New Roman"/>
                <w:b/>
                <w:bCs/>
              </w:rPr>
              <w:t>I(</w:t>
            </w:r>
            <w:proofErr w:type="gramEnd"/>
            <w:r w:rsidRPr="00DB6A40">
              <w:rPr>
                <w:rFonts w:ascii="Times New Roman" w:eastAsia="Calibri" w:hAnsi="Times New Roman" w:cs="Times New Roman"/>
                <w:b/>
                <w:bCs/>
              </w:rPr>
              <w:t>1) Status)</w:t>
            </w:r>
          </w:p>
        </w:tc>
        <w:tc>
          <w:tcPr>
            <w:tcW w:w="0" w:type="auto"/>
            <w:tcBorders>
              <w:top w:val="single" w:sz="4" w:space="0" w:color="auto"/>
              <w:bottom w:val="single" w:sz="4" w:space="0" w:color="auto"/>
            </w:tcBorders>
            <w:hideMark/>
          </w:tcPr>
          <w:p w14:paraId="12426155" w14:textId="77777777" w:rsidR="00DB6A40" w:rsidRPr="00DB6A40" w:rsidRDefault="00DB6A40" w:rsidP="00DB6A40">
            <w:pPr>
              <w:spacing w:line="259" w:lineRule="auto"/>
              <w:jc w:val="center"/>
              <w:rPr>
                <w:rFonts w:ascii="Times New Roman" w:eastAsia="Calibri" w:hAnsi="Times New Roman" w:cs="Times New Roman"/>
                <w:b/>
                <w:bCs/>
              </w:rPr>
            </w:pPr>
            <w:r w:rsidRPr="00DB6A40">
              <w:rPr>
                <w:rFonts w:ascii="Times New Roman" w:eastAsia="Calibri" w:hAnsi="Times New Roman" w:cs="Times New Roman"/>
                <w:b/>
                <w:bCs/>
              </w:rPr>
              <w:t>Pre-Reform 1st Difference ADF</w:t>
            </w:r>
          </w:p>
        </w:tc>
        <w:tc>
          <w:tcPr>
            <w:tcW w:w="0" w:type="auto"/>
            <w:tcBorders>
              <w:top w:val="single" w:sz="4" w:space="0" w:color="auto"/>
              <w:bottom w:val="single" w:sz="4" w:space="0" w:color="auto"/>
            </w:tcBorders>
            <w:hideMark/>
          </w:tcPr>
          <w:p w14:paraId="179CBFDD" w14:textId="77777777" w:rsidR="00DB6A40" w:rsidRPr="00DB6A40" w:rsidRDefault="00DB6A40" w:rsidP="00DB6A40">
            <w:pPr>
              <w:spacing w:line="259" w:lineRule="auto"/>
              <w:jc w:val="center"/>
              <w:rPr>
                <w:rFonts w:ascii="Times New Roman" w:eastAsia="Calibri" w:hAnsi="Times New Roman" w:cs="Times New Roman"/>
                <w:b/>
                <w:bCs/>
              </w:rPr>
            </w:pPr>
            <w:r w:rsidRPr="00DB6A40">
              <w:rPr>
                <w:rFonts w:ascii="Times New Roman" w:eastAsia="Calibri" w:hAnsi="Times New Roman" w:cs="Times New Roman"/>
                <w:b/>
                <w:bCs/>
              </w:rPr>
              <w:t>Post-Reform 1st Difference ADF</w:t>
            </w:r>
          </w:p>
        </w:tc>
        <w:tc>
          <w:tcPr>
            <w:tcW w:w="0" w:type="auto"/>
            <w:tcBorders>
              <w:top w:val="single" w:sz="4" w:space="0" w:color="auto"/>
              <w:bottom w:val="single" w:sz="4" w:space="0" w:color="auto"/>
            </w:tcBorders>
            <w:hideMark/>
          </w:tcPr>
          <w:p w14:paraId="73794DC9" w14:textId="77777777" w:rsidR="00DB6A40" w:rsidRPr="00DB6A40" w:rsidRDefault="00DB6A40" w:rsidP="00DB6A40">
            <w:pPr>
              <w:spacing w:line="259" w:lineRule="auto"/>
              <w:jc w:val="center"/>
              <w:rPr>
                <w:rFonts w:ascii="Times New Roman" w:eastAsia="Calibri" w:hAnsi="Times New Roman" w:cs="Times New Roman"/>
                <w:b/>
                <w:bCs/>
              </w:rPr>
            </w:pPr>
            <w:r w:rsidRPr="00DB6A40">
              <w:rPr>
                <w:rFonts w:ascii="Times New Roman" w:eastAsia="Calibri" w:hAnsi="Times New Roman" w:cs="Times New Roman"/>
                <w:b/>
                <w:bCs/>
              </w:rPr>
              <w:t>Integration Order</w:t>
            </w:r>
          </w:p>
        </w:tc>
      </w:tr>
      <w:tr w:rsidR="00DB6A40" w:rsidRPr="00DB6A40" w14:paraId="243527DF" w14:textId="77777777" w:rsidTr="00D00B3F">
        <w:tc>
          <w:tcPr>
            <w:tcW w:w="0" w:type="auto"/>
            <w:tcBorders>
              <w:top w:val="single" w:sz="4" w:space="0" w:color="auto"/>
            </w:tcBorders>
            <w:hideMark/>
          </w:tcPr>
          <w:p w14:paraId="084E1877"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TGE</w:t>
            </w:r>
          </w:p>
        </w:tc>
        <w:tc>
          <w:tcPr>
            <w:tcW w:w="0" w:type="auto"/>
            <w:tcBorders>
              <w:top w:val="single" w:sz="4" w:space="0" w:color="auto"/>
            </w:tcBorders>
            <w:hideMark/>
          </w:tcPr>
          <w:p w14:paraId="370D3F2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-1.472</w:t>
            </w:r>
          </w:p>
        </w:tc>
        <w:tc>
          <w:tcPr>
            <w:tcW w:w="0" w:type="auto"/>
            <w:tcBorders>
              <w:top w:val="single" w:sz="4" w:space="0" w:color="auto"/>
            </w:tcBorders>
            <w:hideMark/>
          </w:tcPr>
          <w:p w14:paraId="123BD42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tcBorders>
              <w:top w:val="single" w:sz="4" w:space="0" w:color="auto"/>
            </w:tcBorders>
            <w:hideMark/>
          </w:tcPr>
          <w:p w14:paraId="1C464C4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-1.925</w:t>
            </w:r>
          </w:p>
        </w:tc>
        <w:tc>
          <w:tcPr>
            <w:tcW w:w="0" w:type="auto"/>
            <w:tcBorders>
              <w:top w:val="single" w:sz="4" w:space="0" w:color="auto"/>
            </w:tcBorders>
            <w:hideMark/>
          </w:tcPr>
          <w:p w14:paraId="4FE952E0"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tcBorders>
              <w:top w:val="single" w:sz="4" w:space="0" w:color="auto"/>
            </w:tcBorders>
            <w:hideMark/>
          </w:tcPr>
          <w:p w14:paraId="451D4AB8"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-5.211</w:t>
            </w:r>
          </w:p>
        </w:tc>
        <w:tc>
          <w:tcPr>
            <w:tcW w:w="0" w:type="auto"/>
            <w:tcBorders>
              <w:top w:val="single" w:sz="4" w:space="0" w:color="auto"/>
            </w:tcBorders>
            <w:hideMark/>
          </w:tcPr>
          <w:p w14:paraId="0FC84B8A"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-6.104</w:t>
            </w:r>
          </w:p>
        </w:tc>
        <w:tc>
          <w:tcPr>
            <w:tcW w:w="0" w:type="auto"/>
            <w:tcBorders>
              <w:top w:val="single" w:sz="4" w:space="0" w:color="auto"/>
            </w:tcBorders>
            <w:hideMark/>
          </w:tcPr>
          <w:p w14:paraId="1206A6AE" w14:textId="77777777" w:rsidR="00DB6A40" w:rsidRPr="00DB6A40" w:rsidRDefault="00DB6A40" w:rsidP="00DB6A40">
            <w:pPr>
              <w:spacing w:line="259" w:lineRule="auto"/>
              <w:jc w:val="center"/>
              <w:rPr>
                <w:rFonts w:ascii="Times New Roman" w:eastAsia="Calibri" w:hAnsi="Times New Roman" w:cs="Times New Roman"/>
              </w:rPr>
            </w:pPr>
            <w:proofErr w:type="gramStart"/>
            <w:r w:rsidRPr="00DB6A40">
              <w:rPr>
                <w:rFonts w:ascii="Times New Roman" w:eastAsia="Calibri" w:hAnsi="Times New Roman" w:cs="Times New Roman"/>
              </w:rPr>
              <w:t>I(</w:t>
            </w:r>
            <w:proofErr w:type="gramEnd"/>
            <w:r w:rsidRPr="00DB6A40">
              <w:rPr>
                <w:rFonts w:ascii="Times New Roman" w:eastAsia="Calibri" w:hAnsi="Times New Roman" w:cs="Times New Roman"/>
              </w:rPr>
              <w:t>1)</w:t>
            </w:r>
          </w:p>
        </w:tc>
      </w:tr>
      <w:tr w:rsidR="00DB6A40" w:rsidRPr="00DB6A40" w14:paraId="53AE6851" w14:textId="77777777" w:rsidTr="00D00B3F">
        <w:tc>
          <w:tcPr>
            <w:tcW w:w="0" w:type="auto"/>
            <w:hideMark/>
          </w:tcPr>
          <w:p w14:paraId="26475481"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PIT</w:t>
            </w:r>
          </w:p>
        </w:tc>
        <w:tc>
          <w:tcPr>
            <w:tcW w:w="0" w:type="auto"/>
            <w:hideMark/>
          </w:tcPr>
          <w:p w14:paraId="19819F13"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-2.089</w:t>
            </w:r>
          </w:p>
        </w:tc>
        <w:tc>
          <w:tcPr>
            <w:tcW w:w="0" w:type="auto"/>
            <w:hideMark/>
          </w:tcPr>
          <w:p w14:paraId="1CC056F3"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19D460DA"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-2.434</w:t>
            </w:r>
          </w:p>
        </w:tc>
        <w:tc>
          <w:tcPr>
            <w:tcW w:w="0" w:type="auto"/>
            <w:hideMark/>
          </w:tcPr>
          <w:p w14:paraId="039443FF"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6A0134F9"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-4.832</w:t>
            </w:r>
          </w:p>
        </w:tc>
        <w:tc>
          <w:tcPr>
            <w:tcW w:w="0" w:type="auto"/>
            <w:hideMark/>
          </w:tcPr>
          <w:p w14:paraId="4B5A1C28"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-5.927</w:t>
            </w:r>
          </w:p>
        </w:tc>
        <w:tc>
          <w:tcPr>
            <w:tcW w:w="0" w:type="auto"/>
            <w:hideMark/>
          </w:tcPr>
          <w:p w14:paraId="5AF7135B" w14:textId="77777777" w:rsidR="00DB6A40" w:rsidRPr="00DB6A40" w:rsidRDefault="00DB6A40" w:rsidP="00DB6A40">
            <w:pPr>
              <w:spacing w:line="259" w:lineRule="auto"/>
              <w:jc w:val="center"/>
              <w:rPr>
                <w:rFonts w:ascii="Times New Roman" w:eastAsia="Calibri" w:hAnsi="Times New Roman" w:cs="Times New Roman"/>
              </w:rPr>
            </w:pPr>
            <w:proofErr w:type="gramStart"/>
            <w:r w:rsidRPr="00DB6A40">
              <w:rPr>
                <w:rFonts w:ascii="Times New Roman" w:eastAsia="Calibri" w:hAnsi="Times New Roman" w:cs="Times New Roman"/>
              </w:rPr>
              <w:t>I(</w:t>
            </w:r>
            <w:proofErr w:type="gramEnd"/>
            <w:r w:rsidRPr="00DB6A40">
              <w:rPr>
                <w:rFonts w:ascii="Times New Roman" w:eastAsia="Calibri" w:hAnsi="Times New Roman" w:cs="Times New Roman"/>
              </w:rPr>
              <w:t>1)</w:t>
            </w:r>
          </w:p>
        </w:tc>
      </w:tr>
      <w:tr w:rsidR="00DB6A40" w:rsidRPr="00DB6A40" w14:paraId="469FCC08" w14:textId="77777777" w:rsidTr="00D00B3F">
        <w:tc>
          <w:tcPr>
            <w:tcW w:w="0" w:type="auto"/>
            <w:hideMark/>
          </w:tcPr>
          <w:p w14:paraId="64E4D898"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PPT</w:t>
            </w:r>
          </w:p>
        </w:tc>
        <w:tc>
          <w:tcPr>
            <w:tcW w:w="0" w:type="auto"/>
            <w:hideMark/>
          </w:tcPr>
          <w:p w14:paraId="3A56320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-2.734</w:t>
            </w:r>
          </w:p>
        </w:tc>
        <w:tc>
          <w:tcPr>
            <w:tcW w:w="0" w:type="auto"/>
            <w:hideMark/>
          </w:tcPr>
          <w:p w14:paraId="17C95B0F"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22B70A3E"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-3.081</w:t>
            </w:r>
          </w:p>
        </w:tc>
        <w:tc>
          <w:tcPr>
            <w:tcW w:w="0" w:type="auto"/>
            <w:hideMark/>
          </w:tcPr>
          <w:p w14:paraId="6310C46A"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Stationary</w:t>
            </w:r>
          </w:p>
        </w:tc>
        <w:tc>
          <w:tcPr>
            <w:tcW w:w="0" w:type="auto"/>
            <w:hideMark/>
          </w:tcPr>
          <w:p w14:paraId="154BF2D3"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-5.036</w:t>
            </w:r>
          </w:p>
        </w:tc>
        <w:tc>
          <w:tcPr>
            <w:tcW w:w="0" w:type="auto"/>
            <w:hideMark/>
          </w:tcPr>
          <w:p w14:paraId="1DAF33BD"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-5.663</w:t>
            </w:r>
          </w:p>
        </w:tc>
        <w:tc>
          <w:tcPr>
            <w:tcW w:w="0" w:type="auto"/>
            <w:hideMark/>
          </w:tcPr>
          <w:p w14:paraId="65609E25" w14:textId="77777777" w:rsidR="00DB6A40" w:rsidRPr="00DB6A40" w:rsidRDefault="00DB6A40" w:rsidP="00DB6A40">
            <w:pPr>
              <w:spacing w:line="259" w:lineRule="auto"/>
              <w:jc w:val="center"/>
              <w:rPr>
                <w:rFonts w:ascii="Times New Roman" w:eastAsia="Calibri" w:hAnsi="Times New Roman" w:cs="Times New Roman"/>
              </w:rPr>
            </w:pPr>
            <w:proofErr w:type="gramStart"/>
            <w:r w:rsidRPr="00DB6A40">
              <w:rPr>
                <w:rFonts w:ascii="Times New Roman" w:eastAsia="Calibri" w:hAnsi="Times New Roman" w:cs="Times New Roman"/>
              </w:rPr>
              <w:t>I(</w:t>
            </w:r>
            <w:proofErr w:type="gramEnd"/>
            <w:r w:rsidRPr="00DB6A40">
              <w:rPr>
                <w:rFonts w:ascii="Times New Roman" w:eastAsia="Calibri" w:hAnsi="Times New Roman" w:cs="Times New Roman"/>
              </w:rPr>
              <w:t>1)</w:t>
            </w:r>
          </w:p>
        </w:tc>
      </w:tr>
      <w:tr w:rsidR="00DB6A40" w:rsidRPr="00DB6A40" w14:paraId="269A13BE" w14:textId="77777777" w:rsidTr="00D00B3F">
        <w:tc>
          <w:tcPr>
            <w:tcW w:w="0" w:type="auto"/>
            <w:hideMark/>
          </w:tcPr>
          <w:p w14:paraId="7B631988"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CIT</w:t>
            </w:r>
          </w:p>
        </w:tc>
        <w:tc>
          <w:tcPr>
            <w:tcW w:w="0" w:type="auto"/>
            <w:hideMark/>
          </w:tcPr>
          <w:p w14:paraId="23D7735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-3.201</w:t>
            </w:r>
          </w:p>
        </w:tc>
        <w:tc>
          <w:tcPr>
            <w:tcW w:w="0" w:type="auto"/>
            <w:hideMark/>
          </w:tcPr>
          <w:p w14:paraId="1B6F961D"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Stationary</w:t>
            </w:r>
          </w:p>
        </w:tc>
        <w:tc>
          <w:tcPr>
            <w:tcW w:w="0" w:type="auto"/>
            <w:hideMark/>
          </w:tcPr>
          <w:p w14:paraId="22DE860B"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-1.662</w:t>
            </w:r>
          </w:p>
        </w:tc>
        <w:tc>
          <w:tcPr>
            <w:tcW w:w="0" w:type="auto"/>
            <w:hideMark/>
          </w:tcPr>
          <w:p w14:paraId="4DC90D9E"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351C3406"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-6.112</w:t>
            </w:r>
          </w:p>
        </w:tc>
        <w:tc>
          <w:tcPr>
            <w:tcW w:w="0" w:type="auto"/>
            <w:hideMark/>
          </w:tcPr>
          <w:p w14:paraId="1604AAEA"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-6.489</w:t>
            </w:r>
          </w:p>
        </w:tc>
        <w:tc>
          <w:tcPr>
            <w:tcW w:w="0" w:type="auto"/>
            <w:hideMark/>
          </w:tcPr>
          <w:p w14:paraId="4C1D9997" w14:textId="77777777" w:rsidR="00DB6A40" w:rsidRPr="00DB6A40" w:rsidRDefault="00DB6A40" w:rsidP="00DB6A40">
            <w:pPr>
              <w:spacing w:line="259" w:lineRule="auto"/>
              <w:jc w:val="center"/>
              <w:rPr>
                <w:rFonts w:ascii="Times New Roman" w:eastAsia="Calibri" w:hAnsi="Times New Roman" w:cs="Times New Roman"/>
              </w:rPr>
            </w:pPr>
            <w:proofErr w:type="gramStart"/>
            <w:r w:rsidRPr="00DB6A40">
              <w:rPr>
                <w:rFonts w:ascii="Times New Roman" w:eastAsia="Calibri" w:hAnsi="Times New Roman" w:cs="Times New Roman"/>
              </w:rPr>
              <w:t>I(</w:t>
            </w:r>
            <w:proofErr w:type="gramEnd"/>
            <w:r w:rsidRPr="00DB6A40">
              <w:rPr>
                <w:rFonts w:ascii="Times New Roman" w:eastAsia="Calibri" w:hAnsi="Times New Roman" w:cs="Times New Roman"/>
              </w:rPr>
              <w:t>1)</w:t>
            </w:r>
          </w:p>
        </w:tc>
      </w:tr>
      <w:tr w:rsidR="00DB6A40" w:rsidRPr="00DB6A40" w14:paraId="2D833F28" w14:textId="77777777" w:rsidTr="00D00B3F">
        <w:tc>
          <w:tcPr>
            <w:tcW w:w="0" w:type="auto"/>
            <w:hideMark/>
          </w:tcPr>
          <w:p w14:paraId="7FF42A5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VAT</w:t>
            </w:r>
          </w:p>
        </w:tc>
        <w:tc>
          <w:tcPr>
            <w:tcW w:w="0" w:type="auto"/>
            <w:hideMark/>
          </w:tcPr>
          <w:p w14:paraId="55099FBA"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-1.892</w:t>
            </w:r>
          </w:p>
        </w:tc>
        <w:tc>
          <w:tcPr>
            <w:tcW w:w="0" w:type="auto"/>
            <w:hideMark/>
          </w:tcPr>
          <w:p w14:paraId="6D41851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059C0AD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-2.792</w:t>
            </w:r>
          </w:p>
        </w:tc>
        <w:tc>
          <w:tcPr>
            <w:tcW w:w="0" w:type="auto"/>
            <w:hideMark/>
          </w:tcPr>
          <w:p w14:paraId="4E57BBC8"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16CBC8EA"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-4.729</w:t>
            </w:r>
          </w:p>
        </w:tc>
        <w:tc>
          <w:tcPr>
            <w:tcW w:w="0" w:type="auto"/>
            <w:hideMark/>
          </w:tcPr>
          <w:p w14:paraId="22E78A02"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-5.812</w:t>
            </w:r>
          </w:p>
        </w:tc>
        <w:tc>
          <w:tcPr>
            <w:tcW w:w="0" w:type="auto"/>
            <w:hideMark/>
          </w:tcPr>
          <w:p w14:paraId="27A62FC4" w14:textId="77777777" w:rsidR="00DB6A40" w:rsidRPr="00DB6A40" w:rsidRDefault="00DB6A40" w:rsidP="00DB6A40">
            <w:pPr>
              <w:spacing w:line="259" w:lineRule="auto"/>
              <w:jc w:val="center"/>
              <w:rPr>
                <w:rFonts w:ascii="Times New Roman" w:eastAsia="Calibri" w:hAnsi="Times New Roman" w:cs="Times New Roman"/>
              </w:rPr>
            </w:pPr>
            <w:proofErr w:type="gramStart"/>
            <w:r w:rsidRPr="00DB6A40">
              <w:rPr>
                <w:rFonts w:ascii="Times New Roman" w:eastAsia="Calibri" w:hAnsi="Times New Roman" w:cs="Times New Roman"/>
              </w:rPr>
              <w:t>I(</w:t>
            </w:r>
            <w:proofErr w:type="gramEnd"/>
            <w:r w:rsidRPr="00DB6A40">
              <w:rPr>
                <w:rFonts w:ascii="Times New Roman" w:eastAsia="Calibri" w:hAnsi="Times New Roman" w:cs="Times New Roman"/>
              </w:rPr>
              <w:t>1)</w:t>
            </w:r>
          </w:p>
        </w:tc>
      </w:tr>
      <w:tr w:rsidR="00DB6A40" w:rsidRPr="00DB6A40" w14:paraId="046C9C5B" w14:textId="77777777" w:rsidTr="00D00B3F">
        <w:tc>
          <w:tcPr>
            <w:tcW w:w="0" w:type="auto"/>
            <w:hideMark/>
          </w:tcPr>
          <w:p w14:paraId="1F1AA9EA"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CED</w:t>
            </w:r>
          </w:p>
        </w:tc>
        <w:tc>
          <w:tcPr>
            <w:tcW w:w="0" w:type="auto"/>
            <w:hideMark/>
          </w:tcPr>
          <w:p w14:paraId="5CF53B51"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-1.503</w:t>
            </w:r>
          </w:p>
        </w:tc>
        <w:tc>
          <w:tcPr>
            <w:tcW w:w="0" w:type="auto"/>
            <w:hideMark/>
          </w:tcPr>
          <w:p w14:paraId="46F16CF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36ED1D36"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-1.524</w:t>
            </w:r>
          </w:p>
        </w:tc>
        <w:tc>
          <w:tcPr>
            <w:tcW w:w="0" w:type="auto"/>
            <w:hideMark/>
          </w:tcPr>
          <w:p w14:paraId="41867B48"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hideMark/>
          </w:tcPr>
          <w:p w14:paraId="5F344AC0"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-5.489</w:t>
            </w:r>
          </w:p>
        </w:tc>
        <w:tc>
          <w:tcPr>
            <w:tcW w:w="0" w:type="auto"/>
            <w:hideMark/>
          </w:tcPr>
          <w:p w14:paraId="7424A088"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-6.243</w:t>
            </w:r>
          </w:p>
        </w:tc>
        <w:tc>
          <w:tcPr>
            <w:tcW w:w="0" w:type="auto"/>
            <w:hideMark/>
          </w:tcPr>
          <w:p w14:paraId="3C2F7A1E" w14:textId="77777777" w:rsidR="00DB6A40" w:rsidRPr="00DB6A40" w:rsidRDefault="00DB6A40" w:rsidP="00DB6A40">
            <w:pPr>
              <w:spacing w:line="259" w:lineRule="auto"/>
              <w:jc w:val="center"/>
              <w:rPr>
                <w:rFonts w:ascii="Times New Roman" w:eastAsia="Calibri" w:hAnsi="Times New Roman" w:cs="Times New Roman"/>
              </w:rPr>
            </w:pPr>
            <w:proofErr w:type="gramStart"/>
            <w:r w:rsidRPr="00DB6A40">
              <w:rPr>
                <w:rFonts w:ascii="Times New Roman" w:eastAsia="Calibri" w:hAnsi="Times New Roman" w:cs="Times New Roman"/>
              </w:rPr>
              <w:t>I(</w:t>
            </w:r>
            <w:proofErr w:type="gramEnd"/>
            <w:r w:rsidRPr="00DB6A40">
              <w:rPr>
                <w:rFonts w:ascii="Times New Roman" w:eastAsia="Calibri" w:hAnsi="Times New Roman" w:cs="Times New Roman"/>
              </w:rPr>
              <w:t>1)</w:t>
            </w:r>
          </w:p>
        </w:tc>
      </w:tr>
      <w:tr w:rsidR="00DB6A40" w:rsidRPr="00DB6A40" w14:paraId="7CA89E6C" w14:textId="77777777" w:rsidTr="00D00B3F">
        <w:tc>
          <w:tcPr>
            <w:tcW w:w="0" w:type="auto"/>
            <w:tcBorders>
              <w:bottom w:val="single" w:sz="4" w:space="0" w:color="auto"/>
            </w:tcBorders>
            <w:hideMark/>
          </w:tcPr>
          <w:p w14:paraId="55B6FF2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CGT</w:t>
            </w:r>
          </w:p>
        </w:tc>
        <w:tc>
          <w:tcPr>
            <w:tcW w:w="0" w:type="auto"/>
            <w:tcBorders>
              <w:bottom w:val="single" w:sz="4" w:space="0" w:color="auto"/>
            </w:tcBorders>
            <w:hideMark/>
          </w:tcPr>
          <w:p w14:paraId="6867B94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-2.651</w:t>
            </w:r>
          </w:p>
        </w:tc>
        <w:tc>
          <w:tcPr>
            <w:tcW w:w="0" w:type="auto"/>
            <w:tcBorders>
              <w:bottom w:val="single" w:sz="4" w:space="0" w:color="auto"/>
            </w:tcBorders>
            <w:hideMark/>
          </w:tcPr>
          <w:p w14:paraId="6E3B125C"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Non-stationary</w:t>
            </w:r>
          </w:p>
        </w:tc>
        <w:tc>
          <w:tcPr>
            <w:tcW w:w="0" w:type="auto"/>
            <w:tcBorders>
              <w:bottom w:val="single" w:sz="4" w:space="0" w:color="auto"/>
            </w:tcBorders>
            <w:hideMark/>
          </w:tcPr>
          <w:p w14:paraId="6B3C3726"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-3.097</w:t>
            </w:r>
          </w:p>
        </w:tc>
        <w:tc>
          <w:tcPr>
            <w:tcW w:w="0" w:type="auto"/>
            <w:tcBorders>
              <w:bottom w:val="single" w:sz="4" w:space="0" w:color="auto"/>
            </w:tcBorders>
            <w:hideMark/>
          </w:tcPr>
          <w:p w14:paraId="001CA405"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Stationary</w:t>
            </w:r>
          </w:p>
        </w:tc>
        <w:tc>
          <w:tcPr>
            <w:tcW w:w="0" w:type="auto"/>
            <w:tcBorders>
              <w:bottom w:val="single" w:sz="4" w:space="0" w:color="auto"/>
            </w:tcBorders>
            <w:hideMark/>
          </w:tcPr>
          <w:p w14:paraId="65CD06FE"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-4.993</w:t>
            </w:r>
          </w:p>
        </w:tc>
        <w:tc>
          <w:tcPr>
            <w:tcW w:w="0" w:type="auto"/>
            <w:tcBorders>
              <w:bottom w:val="single" w:sz="4" w:space="0" w:color="auto"/>
            </w:tcBorders>
            <w:hideMark/>
          </w:tcPr>
          <w:p w14:paraId="05921A71" w14:textId="77777777" w:rsidR="00DB6A40" w:rsidRPr="00DB6A40" w:rsidRDefault="00DB6A40" w:rsidP="00DB6A40">
            <w:pPr>
              <w:spacing w:line="259" w:lineRule="auto"/>
              <w:jc w:val="center"/>
              <w:rPr>
                <w:rFonts w:ascii="Times New Roman" w:eastAsia="Calibri" w:hAnsi="Times New Roman" w:cs="Times New Roman"/>
              </w:rPr>
            </w:pPr>
            <w:r w:rsidRPr="00DB6A40">
              <w:rPr>
                <w:rFonts w:ascii="Times New Roman" w:eastAsia="Calibri" w:hAnsi="Times New Roman" w:cs="Times New Roman"/>
              </w:rPr>
              <w:t>-5.978</w:t>
            </w:r>
          </w:p>
        </w:tc>
        <w:tc>
          <w:tcPr>
            <w:tcW w:w="0" w:type="auto"/>
            <w:tcBorders>
              <w:bottom w:val="single" w:sz="4" w:space="0" w:color="auto"/>
            </w:tcBorders>
            <w:hideMark/>
          </w:tcPr>
          <w:p w14:paraId="510D0C95" w14:textId="77777777" w:rsidR="00DB6A40" w:rsidRPr="00DB6A40" w:rsidRDefault="00DB6A40" w:rsidP="00DB6A40">
            <w:pPr>
              <w:spacing w:line="259" w:lineRule="auto"/>
              <w:jc w:val="center"/>
              <w:rPr>
                <w:rFonts w:ascii="Times New Roman" w:eastAsia="Calibri" w:hAnsi="Times New Roman" w:cs="Times New Roman"/>
              </w:rPr>
            </w:pPr>
            <w:proofErr w:type="gramStart"/>
            <w:r w:rsidRPr="00DB6A40">
              <w:rPr>
                <w:rFonts w:ascii="Times New Roman" w:eastAsia="Calibri" w:hAnsi="Times New Roman" w:cs="Times New Roman"/>
              </w:rPr>
              <w:t>I(</w:t>
            </w:r>
            <w:proofErr w:type="gramEnd"/>
            <w:r w:rsidRPr="00DB6A40">
              <w:rPr>
                <w:rFonts w:ascii="Times New Roman" w:eastAsia="Calibri" w:hAnsi="Times New Roman" w:cs="Times New Roman"/>
              </w:rPr>
              <w:t>1)</w:t>
            </w:r>
          </w:p>
        </w:tc>
      </w:tr>
    </w:tbl>
    <w:p w14:paraId="6BD27D75"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The table summarizes the stationarity status of each variable at level and first difference for both the pre- and post-reform periods. It reveals that all other series require initial differencing, except for Company Income Tax, which is stationary at level in the pre-reform period, and Petroleum Profit Tax and Capital Gain Tax, which are stationary at level in the post-reform period. Thus, integration of order one, </w:t>
      </w:r>
      <w:proofErr w:type="gramStart"/>
      <w:r w:rsidRPr="00DB6A40">
        <w:rPr>
          <w:rFonts w:ascii="Times New Roman" w:eastAsia="Calibri" w:hAnsi="Times New Roman" w:cs="Times New Roman"/>
          <w:sz w:val="22"/>
          <w:szCs w:val="22"/>
        </w:rPr>
        <w:t>I(</w:t>
      </w:r>
      <w:proofErr w:type="gramEnd"/>
      <w:r w:rsidRPr="00DB6A40">
        <w:rPr>
          <w:rFonts w:ascii="Times New Roman" w:eastAsia="Calibri" w:hAnsi="Times New Roman" w:cs="Times New Roman"/>
          <w:sz w:val="22"/>
          <w:szCs w:val="22"/>
        </w:rPr>
        <w:t>1), over all the variables is confirmed by the stable first-differenced series for both periods. The findings suggest that ARDL bounds testing and error correction models are appropriate in investigating the long-term and short-term correlations between government spending and tax revenue components, considering structural changes brought about by electronic taxation reforms.</w:t>
      </w:r>
    </w:p>
    <w:p w14:paraId="327A01D7" w14:textId="77777777" w:rsidR="00F2321A" w:rsidRDefault="00F2321A" w:rsidP="00DB6A40">
      <w:pPr>
        <w:spacing w:after="0" w:line="259" w:lineRule="auto"/>
        <w:jc w:val="both"/>
        <w:rPr>
          <w:rFonts w:ascii="Times New Roman" w:eastAsia="Calibri" w:hAnsi="Times New Roman" w:cs="Times New Roman"/>
          <w:b/>
          <w:bCs/>
          <w:sz w:val="22"/>
          <w:szCs w:val="22"/>
        </w:rPr>
      </w:pPr>
    </w:p>
    <w:p w14:paraId="0523E4D3" w14:textId="4F2DFE1A"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Lag Length Selection Test</w:t>
      </w:r>
    </w:p>
    <w:p w14:paraId="4D0E14BF"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ideal lag length needs to be determined before estimating the ARDL model. Lag selection determines the degree to which the current value of TGE is affected by past values of the dependent and independent variables. According to Pesaran, Shin, and Smith (2001), inappropriate lag selection results in autocorrelation, inefficient estimates, or spurious short- and long-term deductions. Based on the VAR lag order method, the selected periods were pre-reform (1994–2012) and post-reform (2013–2024):</w:t>
      </w:r>
    </w:p>
    <w:p w14:paraId="1B599139" w14:textId="77777777" w:rsidR="00F2321A" w:rsidRPr="00F2321A" w:rsidRDefault="00DB6A40" w:rsidP="00DB6A40">
      <w:pPr>
        <w:spacing w:after="0" w:line="259" w:lineRule="auto"/>
        <w:jc w:val="both"/>
        <w:rPr>
          <w:rFonts w:ascii="Times New Roman" w:eastAsia="Calibri" w:hAnsi="Times New Roman" w:cs="Times New Roman"/>
          <w:sz w:val="22"/>
          <w:szCs w:val="22"/>
        </w:rPr>
      </w:pPr>
      <m:oMathPara>
        <m:oMath>
          <m:r>
            <w:rPr>
              <w:rFonts w:ascii="Cambria Math" w:eastAsia="Calibri" w:hAnsi="Cambria Math" w:cs="Times New Roman"/>
              <w:sz w:val="22"/>
              <w:szCs w:val="22"/>
            </w:rPr>
            <m:t>TG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E</m:t>
              </m:r>
            </m:e>
            <m:sub>
              <m:r>
                <w:rPr>
                  <w:rFonts w:ascii="Cambria Math" w:eastAsia="Calibri" w:hAnsi="Cambria Math" w:cs="Times New Roman"/>
                  <w:sz w:val="22"/>
                  <w:szCs w:val="22"/>
                </w:rPr>
                <m:t>t</m:t>
              </m:r>
            </m:sub>
          </m:sSub>
          <m:r>
            <w:rPr>
              <w:rFonts w:ascii="Cambria Math" w:eastAsia="Calibri" w:hAnsi="Cambria Math" w:cs="Times New Roman"/>
              <w:sz w:val="22"/>
              <w:szCs w:val="22"/>
            </w:rPr>
            <m:t>=f(PI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,PP</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,CI</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,VA</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,CE</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D</m:t>
              </m:r>
            </m:e>
            <m:sub>
              <m:r>
                <w:rPr>
                  <w:rFonts w:ascii="Cambria Math" w:eastAsia="Calibri" w:hAnsi="Cambria Math" w:cs="Times New Roman"/>
                  <w:sz w:val="22"/>
                  <w:szCs w:val="22"/>
                </w:rPr>
                <m:t>t</m:t>
              </m:r>
            </m:sub>
          </m:sSub>
          <m:r>
            <w:rPr>
              <w:rFonts w:ascii="Cambria Math" w:eastAsia="Calibri" w:hAnsi="Cambria Math" w:cs="Times New Roman"/>
              <w:sz w:val="22"/>
              <w:szCs w:val="22"/>
            </w:rPr>
            <m:t>,CG</m:t>
          </m:r>
          <m:sSub>
            <m:sSubPr>
              <m:ctrlPr>
                <w:rPr>
                  <w:rFonts w:ascii="Cambria Math" w:eastAsia="Calibri" w:hAnsi="Cambria Math" w:cs="Times New Roman"/>
                  <w:sz w:val="22"/>
                  <w:szCs w:val="22"/>
                </w:rPr>
              </m:ctrlPr>
            </m:sSubPr>
            <m:e>
              <m:r>
                <w:rPr>
                  <w:rFonts w:ascii="Cambria Math" w:eastAsia="Calibri" w:hAnsi="Cambria Math" w:cs="Times New Roman"/>
                  <w:sz w:val="22"/>
                  <w:szCs w:val="22"/>
                </w:rPr>
                <m:t>T</m:t>
              </m:r>
            </m:e>
            <m:sub>
              <m:r>
                <w:rPr>
                  <w:rFonts w:ascii="Cambria Math" w:eastAsia="Calibri" w:hAnsi="Cambria Math" w:cs="Times New Roman"/>
                  <w:sz w:val="22"/>
                  <w:szCs w:val="22"/>
                </w:rPr>
                <m:t>t</m:t>
              </m:r>
            </m:sub>
          </m:sSub>
          <m:r>
            <w:rPr>
              <w:rFonts w:ascii="Cambria Math" w:eastAsia="Calibri" w:hAnsi="Cambria Math" w:cs="Times New Roman"/>
              <w:sz w:val="22"/>
              <w:szCs w:val="22"/>
            </w:rPr>
            <m:t>)</m:t>
          </m:r>
        </m:oMath>
      </m:oMathPara>
    </w:p>
    <w:p w14:paraId="62CC4B52" w14:textId="77777777" w:rsidR="00F2321A" w:rsidRDefault="00F2321A" w:rsidP="00DB6A40">
      <w:pPr>
        <w:spacing w:after="0" w:line="259" w:lineRule="auto"/>
        <w:jc w:val="both"/>
        <w:rPr>
          <w:rFonts w:ascii="Times New Roman" w:eastAsia="Calibri" w:hAnsi="Times New Roman" w:cs="Times New Roman"/>
          <w:sz w:val="22"/>
          <w:szCs w:val="22"/>
        </w:rPr>
      </w:pPr>
    </w:p>
    <w:p w14:paraId="0B3B5546" w14:textId="77777777" w:rsidR="00F2321A" w:rsidRDefault="00F2321A" w:rsidP="00DB6A40">
      <w:pPr>
        <w:spacing w:after="0" w:line="259" w:lineRule="auto"/>
        <w:jc w:val="both"/>
        <w:rPr>
          <w:rFonts w:ascii="Times New Roman" w:eastAsia="Calibri" w:hAnsi="Times New Roman" w:cs="Times New Roman"/>
          <w:sz w:val="22"/>
          <w:szCs w:val="22"/>
        </w:rPr>
      </w:pPr>
    </w:p>
    <w:p w14:paraId="6DED64A2" w14:textId="77777777" w:rsidR="00F2321A" w:rsidRDefault="00F2321A" w:rsidP="00DB6A40">
      <w:pPr>
        <w:spacing w:after="0" w:line="259" w:lineRule="auto"/>
        <w:jc w:val="both"/>
        <w:rPr>
          <w:rFonts w:ascii="Times New Roman" w:eastAsia="Calibri" w:hAnsi="Times New Roman" w:cs="Times New Roman"/>
          <w:sz w:val="22"/>
          <w:szCs w:val="22"/>
        </w:rPr>
      </w:pPr>
    </w:p>
    <w:p w14:paraId="2AD4A271" w14:textId="77777777" w:rsidR="00F2321A" w:rsidRDefault="00F2321A" w:rsidP="00DB6A40">
      <w:pPr>
        <w:spacing w:after="0" w:line="259" w:lineRule="auto"/>
        <w:jc w:val="both"/>
        <w:rPr>
          <w:rFonts w:ascii="Times New Roman" w:eastAsia="Calibri" w:hAnsi="Times New Roman" w:cs="Times New Roman"/>
          <w:sz w:val="22"/>
          <w:szCs w:val="22"/>
        </w:rPr>
      </w:pPr>
    </w:p>
    <w:p w14:paraId="5AAB3D18" w14:textId="77777777" w:rsidR="00F2321A" w:rsidRDefault="00F2321A" w:rsidP="00DB6A40">
      <w:pPr>
        <w:spacing w:after="0" w:line="259" w:lineRule="auto"/>
        <w:jc w:val="both"/>
        <w:rPr>
          <w:rFonts w:ascii="Times New Roman" w:eastAsia="Calibri" w:hAnsi="Times New Roman" w:cs="Times New Roman"/>
          <w:sz w:val="22"/>
          <w:szCs w:val="22"/>
        </w:rPr>
      </w:pPr>
    </w:p>
    <w:p w14:paraId="25158909" w14:textId="3A689F12" w:rsidR="00DB6A40" w:rsidRPr="00DB6A40" w:rsidRDefault="00DB6A40" w:rsidP="00DB6A40">
      <w:pPr>
        <w:spacing w:after="0" w:line="259" w:lineRule="auto"/>
        <w:jc w:val="both"/>
        <w:rPr>
          <w:rFonts w:ascii="Times New Roman" w:eastAsia="Calibri" w:hAnsi="Times New Roman" w:cs="Times New Roman"/>
          <w:b/>
          <w:bCs/>
          <w:sz w:val="22"/>
          <w:szCs w:val="22"/>
        </w:rPr>
      </w:pPr>
      <m:oMathPara>
        <m:oMath>
          <m:r>
            <m:rPr>
              <m:sty m:val="p"/>
            </m:rPr>
            <w:rPr>
              <w:rFonts w:ascii="Cambria Math" w:eastAsia="Calibri" w:hAnsi="Cambria Math" w:cs="Times New Roman"/>
              <w:sz w:val="22"/>
              <w:szCs w:val="22"/>
            </w:rPr>
            <w:br/>
          </m:r>
        </m:oMath>
      </m:oMathPara>
    </w:p>
    <w:p w14:paraId="4636DB43"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Table 3: Lag Length Selection Table</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1"/>
        <w:gridCol w:w="517"/>
        <w:gridCol w:w="861"/>
        <w:gridCol w:w="891"/>
        <w:gridCol w:w="981"/>
        <w:gridCol w:w="891"/>
        <w:gridCol w:w="891"/>
        <w:gridCol w:w="891"/>
        <w:gridCol w:w="1191"/>
      </w:tblGrid>
      <w:tr w:rsidR="00DB6A40" w:rsidRPr="00DB6A40" w14:paraId="2FBA4DCE" w14:textId="77777777" w:rsidTr="00D00B3F">
        <w:tc>
          <w:tcPr>
            <w:tcW w:w="0" w:type="auto"/>
            <w:tcBorders>
              <w:top w:val="single" w:sz="4" w:space="0" w:color="auto"/>
              <w:bottom w:val="single" w:sz="4" w:space="0" w:color="auto"/>
            </w:tcBorders>
            <w:hideMark/>
          </w:tcPr>
          <w:p w14:paraId="41866DA2"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Period</w:t>
            </w:r>
          </w:p>
        </w:tc>
        <w:tc>
          <w:tcPr>
            <w:tcW w:w="0" w:type="auto"/>
            <w:tcBorders>
              <w:top w:val="single" w:sz="4" w:space="0" w:color="auto"/>
              <w:bottom w:val="single" w:sz="4" w:space="0" w:color="auto"/>
            </w:tcBorders>
            <w:hideMark/>
          </w:tcPr>
          <w:p w14:paraId="5D28C6F4"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Lag</w:t>
            </w:r>
          </w:p>
        </w:tc>
        <w:tc>
          <w:tcPr>
            <w:tcW w:w="0" w:type="auto"/>
            <w:tcBorders>
              <w:top w:val="single" w:sz="4" w:space="0" w:color="auto"/>
              <w:bottom w:val="single" w:sz="4" w:space="0" w:color="auto"/>
            </w:tcBorders>
            <w:hideMark/>
          </w:tcPr>
          <w:p w14:paraId="00655616" w14:textId="77777777" w:rsidR="00DB6A40" w:rsidRPr="00DB6A40" w:rsidRDefault="00DB6A40" w:rsidP="00DB6A40">
            <w:pPr>
              <w:jc w:val="both"/>
              <w:rPr>
                <w:rFonts w:ascii="Times New Roman" w:eastAsia="Calibri" w:hAnsi="Times New Roman" w:cs="Times New Roman"/>
                <w:b/>
                <w:bCs/>
                <w:sz w:val="18"/>
                <w:szCs w:val="18"/>
              </w:rPr>
            </w:pPr>
            <w:proofErr w:type="spellStart"/>
            <w:r w:rsidRPr="00DB6A40">
              <w:rPr>
                <w:rFonts w:ascii="Times New Roman" w:eastAsia="Calibri" w:hAnsi="Times New Roman" w:cs="Times New Roman"/>
                <w:b/>
                <w:bCs/>
                <w:sz w:val="18"/>
                <w:szCs w:val="18"/>
              </w:rPr>
              <w:t>LogL</w:t>
            </w:r>
            <w:proofErr w:type="spellEnd"/>
          </w:p>
        </w:tc>
        <w:tc>
          <w:tcPr>
            <w:tcW w:w="0" w:type="auto"/>
            <w:tcBorders>
              <w:top w:val="single" w:sz="4" w:space="0" w:color="auto"/>
              <w:bottom w:val="single" w:sz="4" w:space="0" w:color="auto"/>
            </w:tcBorders>
            <w:hideMark/>
          </w:tcPr>
          <w:p w14:paraId="4AA43C7E"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LR</w:t>
            </w:r>
          </w:p>
        </w:tc>
        <w:tc>
          <w:tcPr>
            <w:tcW w:w="0" w:type="auto"/>
            <w:tcBorders>
              <w:top w:val="single" w:sz="4" w:space="0" w:color="auto"/>
              <w:bottom w:val="single" w:sz="4" w:space="0" w:color="auto"/>
            </w:tcBorders>
            <w:hideMark/>
          </w:tcPr>
          <w:p w14:paraId="19B197F3"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FPE</w:t>
            </w:r>
          </w:p>
        </w:tc>
        <w:tc>
          <w:tcPr>
            <w:tcW w:w="0" w:type="auto"/>
            <w:tcBorders>
              <w:top w:val="single" w:sz="4" w:space="0" w:color="auto"/>
              <w:bottom w:val="single" w:sz="4" w:space="0" w:color="auto"/>
            </w:tcBorders>
            <w:hideMark/>
          </w:tcPr>
          <w:p w14:paraId="4D1F15E6"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AIC</w:t>
            </w:r>
          </w:p>
        </w:tc>
        <w:tc>
          <w:tcPr>
            <w:tcW w:w="0" w:type="auto"/>
            <w:tcBorders>
              <w:top w:val="single" w:sz="4" w:space="0" w:color="auto"/>
              <w:bottom w:val="single" w:sz="4" w:space="0" w:color="auto"/>
            </w:tcBorders>
            <w:hideMark/>
          </w:tcPr>
          <w:p w14:paraId="3C98037A"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SC</w:t>
            </w:r>
          </w:p>
        </w:tc>
        <w:tc>
          <w:tcPr>
            <w:tcW w:w="0" w:type="auto"/>
            <w:tcBorders>
              <w:top w:val="single" w:sz="4" w:space="0" w:color="auto"/>
              <w:bottom w:val="single" w:sz="4" w:space="0" w:color="auto"/>
            </w:tcBorders>
            <w:hideMark/>
          </w:tcPr>
          <w:p w14:paraId="2ECA40E1"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HQ</w:t>
            </w:r>
          </w:p>
        </w:tc>
        <w:tc>
          <w:tcPr>
            <w:tcW w:w="0" w:type="auto"/>
            <w:tcBorders>
              <w:top w:val="single" w:sz="4" w:space="0" w:color="auto"/>
              <w:bottom w:val="single" w:sz="4" w:space="0" w:color="auto"/>
            </w:tcBorders>
            <w:hideMark/>
          </w:tcPr>
          <w:p w14:paraId="2027BE40" w14:textId="77777777" w:rsidR="00DB6A40" w:rsidRPr="00DB6A40" w:rsidRDefault="00DB6A40" w:rsidP="00DB6A40">
            <w:pPr>
              <w:jc w:val="both"/>
              <w:rPr>
                <w:rFonts w:ascii="Times New Roman" w:eastAsia="Calibri" w:hAnsi="Times New Roman" w:cs="Times New Roman"/>
                <w:b/>
                <w:bCs/>
                <w:sz w:val="18"/>
                <w:szCs w:val="18"/>
              </w:rPr>
            </w:pPr>
            <w:r w:rsidRPr="00DB6A40">
              <w:rPr>
                <w:rFonts w:ascii="Times New Roman" w:eastAsia="Calibri" w:hAnsi="Times New Roman" w:cs="Times New Roman"/>
                <w:b/>
                <w:bCs/>
                <w:sz w:val="18"/>
                <w:szCs w:val="18"/>
              </w:rPr>
              <w:t>Selected Lag</w:t>
            </w:r>
          </w:p>
        </w:tc>
      </w:tr>
      <w:tr w:rsidR="00DB6A40" w:rsidRPr="00DB6A40" w14:paraId="34B335FC" w14:textId="77777777" w:rsidTr="00D00B3F">
        <w:tc>
          <w:tcPr>
            <w:tcW w:w="0" w:type="auto"/>
            <w:tcBorders>
              <w:top w:val="single" w:sz="4" w:space="0" w:color="auto"/>
            </w:tcBorders>
            <w:hideMark/>
          </w:tcPr>
          <w:p w14:paraId="1947A64A"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lastRenderedPageBreak/>
              <w:t>Pre-Reform (1994–2012)</w:t>
            </w:r>
          </w:p>
        </w:tc>
        <w:tc>
          <w:tcPr>
            <w:tcW w:w="0" w:type="auto"/>
            <w:tcBorders>
              <w:top w:val="single" w:sz="4" w:space="0" w:color="auto"/>
            </w:tcBorders>
            <w:hideMark/>
          </w:tcPr>
          <w:p w14:paraId="6CC31F2D"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w:t>
            </w:r>
          </w:p>
        </w:tc>
        <w:tc>
          <w:tcPr>
            <w:tcW w:w="0" w:type="auto"/>
            <w:tcBorders>
              <w:top w:val="single" w:sz="4" w:space="0" w:color="auto"/>
            </w:tcBorders>
            <w:hideMark/>
          </w:tcPr>
          <w:p w14:paraId="148FE754"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-242.531</w:t>
            </w:r>
          </w:p>
        </w:tc>
        <w:tc>
          <w:tcPr>
            <w:tcW w:w="0" w:type="auto"/>
            <w:tcBorders>
              <w:top w:val="single" w:sz="4" w:space="0" w:color="auto"/>
            </w:tcBorders>
            <w:hideMark/>
          </w:tcPr>
          <w:p w14:paraId="6FAA3D3B"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NA</w:t>
            </w:r>
          </w:p>
        </w:tc>
        <w:tc>
          <w:tcPr>
            <w:tcW w:w="0" w:type="auto"/>
            <w:tcBorders>
              <w:top w:val="single" w:sz="4" w:space="0" w:color="auto"/>
            </w:tcBorders>
            <w:hideMark/>
          </w:tcPr>
          <w:p w14:paraId="70FBF7B7"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0.004891</w:t>
            </w:r>
          </w:p>
        </w:tc>
        <w:tc>
          <w:tcPr>
            <w:tcW w:w="0" w:type="auto"/>
            <w:tcBorders>
              <w:top w:val="single" w:sz="4" w:space="0" w:color="auto"/>
            </w:tcBorders>
            <w:hideMark/>
          </w:tcPr>
          <w:p w14:paraId="0D5B2E48"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6.91127</w:t>
            </w:r>
          </w:p>
        </w:tc>
        <w:tc>
          <w:tcPr>
            <w:tcW w:w="0" w:type="auto"/>
            <w:tcBorders>
              <w:top w:val="single" w:sz="4" w:space="0" w:color="auto"/>
            </w:tcBorders>
            <w:hideMark/>
          </w:tcPr>
          <w:p w14:paraId="7E0B2AF0"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7.23122</w:t>
            </w:r>
          </w:p>
        </w:tc>
        <w:tc>
          <w:tcPr>
            <w:tcW w:w="0" w:type="auto"/>
            <w:tcBorders>
              <w:top w:val="single" w:sz="4" w:space="0" w:color="auto"/>
            </w:tcBorders>
            <w:hideMark/>
          </w:tcPr>
          <w:p w14:paraId="0D7B2E87"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7.04111</w:t>
            </w:r>
          </w:p>
        </w:tc>
        <w:tc>
          <w:tcPr>
            <w:tcW w:w="0" w:type="auto"/>
            <w:tcBorders>
              <w:top w:val="single" w:sz="4" w:space="0" w:color="auto"/>
            </w:tcBorders>
            <w:hideMark/>
          </w:tcPr>
          <w:p w14:paraId="49B4B5E7"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w:t>
            </w:r>
          </w:p>
        </w:tc>
      </w:tr>
      <w:tr w:rsidR="00DB6A40" w:rsidRPr="00DB6A40" w14:paraId="566AB2B3" w14:textId="77777777" w:rsidTr="00D00B3F">
        <w:tc>
          <w:tcPr>
            <w:tcW w:w="0" w:type="auto"/>
            <w:hideMark/>
          </w:tcPr>
          <w:p w14:paraId="5A2AE0EF" w14:textId="77777777" w:rsidR="00DB6A40" w:rsidRPr="00DB6A40" w:rsidRDefault="00DB6A40" w:rsidP="00DB6A40">
            <w:pPr>
              <w:jc w:val="both"/>
              <w:rPr>
                <w:rFonts w:ascii="Times New Roman" w:eastAsia="Calibri" w:hAnsi="Times New Roman" w:cs="Times New Roman"/>
                <w:sz w:val="18"/>
                <w:szCs w:val="18"/>
              </w:rPr>
            </w:pPr>
          </w:p>
        </w:tc>
        <w:tc>
          <w:tcPr>
            <w:tcW w:w="0" w:type="auto"/>
            <w:hideMark/>
          </w:tcPr>
          <w:p w14:paraId="3A04093E"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w:t>
            </w:r>
          </w:p>
        </w:tc>
        <w:tc>
          <w:tcPr>
            <w:tcW w:w="0" w:type="auto"/>
            <w:hideMark/>
          </w:tcPr>
          <w:p w14:paraId="47E34FE3"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-213.942</w:t>
            </w:r>
          </w:p>
        </w:tc>
        <w:tc>
          <w:tcPr>
            <w:tcW w:w="0" w:type="auto"/>
            <w:hideMark/>
          </w:tcPr>
          <w:p w14:paraId="767C926D"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41.0294*</w:t>
            </w:r>
          </w:p>
        </w:tc>
        <w:tc>
          <w:tcPr>
            <w:tcW w:w="0" w:type="auto"/>
            <w:hideMark/>
          </w:tcPr>
          <w:p w14:paraId="240A4D12"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0.002334*</w:t>
            </w:r>
          </w:p>
        </w:tc>
        <w:tc>
          <w:tcPr>
            <w:tcW w:w="0" w:type="auto"/>
            <w:hideMark/>
          </w:tcPr>
          <w:p w14:paraId="3A3B6D8D"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5.78033*</w:t>
            </w:r>
          </w:p>
        </w:tc>
        <w:tc>
          <w:tcPr>
            <w:tcW w:w="0" w:type="auto"/>
            <w:hideMark/>
          </w:tcPr>
          <w:p w14:paraId="14E6950A"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6.58215*</w:t>
            </w:r>
          </w:p>
        </w:tc>
        <w:tc>
          <w:tcPr>
            <w:tcW w:w="0" w:type="auto"/>
            <w:hideMark/>
          </w:tcPr>
          <w:p w14:paraId="6CF059CD"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6.10488*</w:t>
            </w:r>
          </w:p>
        </w:tc>
        <w:tc>
          <w:tcPr>
            <w:tcW w:w="0" w:type="auto"/>
            <w:hideMark/>
          </w:tcPr>
          <w:p w14:paraId="5BB1FE03"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w:t>
            </w:r>
          </w:p>
        </w:tc>
      </w:tr>
      <w:tr w:rsidR="00DB6A40" w:rsidRPr="00DB6A40" w14:paraId="7F442E4C" w14:textId="77777777" w:rsidTr="00D00B3F">
        <w:tc>
          <w:tcPr>
            <w:tcW w:w="0" w:type="auto"/>
            <w:hideMark/>
          </w:tcPr>
          <w:p w14:paraId="56564F4C" w14:textId="77777777" w:rsidR="00DB6A40" w:rsidRPr="00DB6A40" w:rsidRDefault="00DB6A40" w:rsidP="00DB6A40">
            <w:pPr>
              <w:jc w:val="both"/>
              <w:rPr>
                <w:rFonts w:ascii="Times New Roman" w:eastAsia="Calibri" w:hAnsi="Times New Roman" w:cs="Times New Roman"/>
                <w:sz w:val="18"/>
                <w:szCs w:val="18"/>
              </w:rPr>
            </w:pPr>
          </w:p>
        </w:tc>
        <w:tc>
          <w:tcPr>
            <w:tcW w:w="0" w:type="auto"/>
            <w:hideMark/>
          </w:tcPr>
          <w:p w14:paraId="482D0162"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w:t>
            </w:r>
          </w:p>
        </w:tc>
        <w:tc>
          <w:tcPr>
            <w:tcW w:w="0" w:type="auto"/>
            <w:hideMark/>
          </w:tcPr>
          <w:p w14:paraId="019AE03A"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-210.516</w:t>
            </w:r>
          </w:p>
        </w:tc>
        <w:tc>
          <w:tcPr>
            <w:tcW w:w="0" w:type="auto"/>
            <w:hideMark/>
          </w:tcPr>
          <w:p w14:paraId="2D98B975"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5.41267</w:t>
            </w:r>
          </w:p>
        </w:tc>
        <w:tc>
          <w:tcPr>
            <w:tcW w:w="0" w:type="auto"/>
            <w:hideMark/>
          </w:tcPr>
          <w:p w14:paraId="570F93AC"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0.002891</w:t>
            </w:r>
          </w:p>
        </w:tc>
        <w:tc>
          <w:tcPr>
            <w:tcW w:w="0" w:type="auto"/>
            <w:hideMark/>
          </w:tcPr>
          <w:p w14:paraId="0BA10E7C"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5.94218</w:t>
            </w:r>
          </w:p>
        </w:tc>
        <w:tc>
          <w:tcPr>
            <w:tcW w:w="0" w:type="auto"/>
            <w:hideMark/>
          </w:tcPr>
          <w:p w14:paraId="3CB55083"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6.82653</w:t>
            </w:r>
          </w:p>
        </w:tc>
        <w:tc>
          <w:tcPr>
            <w:tcW w:w="0" w:type="auto"/>
            <w:hideMark/>
          </w:tcPr>
          <w:p w14:paraId="12DE848A"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6.30642</w:t>
            </w:r>
          </w:p>
        </w:tc>
        <w:tc>
          <w:tcPr>
            <w:tcW w:w="0" w:type="auto"/>
            <w:hideMark/>
          </w:tcPr>
          <w:p w14:paraId="7D8F5887"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w:t>
            </w:r>
          </w:p>
        </w:tc>
      </w:tr>
      <w:tr w:rsidR="00DB6A40" w:rsidRPr="00DB6A40" w14:paraId="1CFDD33B" w14:textId="77777777" w:rsidTr="00D00B3F">
        <w:tc>
          <w:tcPr>
            <w:tcW w:w="0" w:type="auto"/>
            <w:hideMark/>
          </w:tcPr>
          <w:p w14:paraId="75B1122B" w14:textId="77777777" w:rsidR="00DB6A40" w:rsidRPr="00DB6A40" w:rsidRDefault="00DB6A40" w:rsidP="00DB6A40">
            <w:pPr>
              <w:jc w:val="both"/>
              <w:rPr>
                <w:rFonts w:ascii="Times New Roman" w:eastAsia="Calibri" w:hAnsi="Times New Roman" w:cs="Times New Roman"/>
                <w:sz w:val="18"/>
                <w:szCs w:val="18"/>
              </w:rPr>
            </w:pPr>
          </w:p>
        </w:tc>
        <w:tc>
          <w:tcPr>
            <w:tcW w:w="0" w:type="auto"/>
            <w:hideMark/>
          </w:tcPr>
          <w:p w14:paraId="2512DF81"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3</w:t>
            </w:r>
          </w:p>
        </w:tc>
        <w:tc>
          <w:tcPr>
            <w:tcW w:w="0" w:type="auto"/>
            <w:hideMark/>
          </w:tcPr>
          <w:p w14:paraId="60151048"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-208.934</w:t>
            </w:r>
          </w:p>
        </w:tc>
        <w:tc>
          <w:tcPr>
            <w:tcW w:w="0" w:type="auto"/>
            <w:hideMark/>
          </w:tcPr>
          <w:p w14:paraId="231E91BE"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2.54873</w:t>
            </w:r>
          </w:p>
        </w:tc>
        <w:tc>
          <w:tcPr>
            <w:tcW w:w="0" w:type="auto"/>
            <w:hideMark/>
          </w:tcPr>
          <w:p w14:paraId="66C9FBF7"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0.003372</w:t>
            </w:r>
          </w:p>
        </w:tc>
        <w:tc>
          <w:tcPr>
            <w:tcW w:w="0" w:type="auto"/>
            <w:hideMark/>
          </w:tcPr>
          <w:p w14:paraId="6DD419AE"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6.18714</w:t>
            </w:r>
          </w:p>
        </w:tc>
        <w:tc>
          <w:tcPr>
            <w:tcW w:w="0" w:type="auto"/>
            <w:hideMark/>
          </w:tcPr>
          <w:p w14:paraId="7CEA1813"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7.15303</w:t>
            </w:r>
          </w:p>
        </w:tc>
        <w:tc>
          <w:tcPr>
            <w:tcW w:w="0" w:type="auto"/>
            <w:hideMark/>
          </w:tcPr>
          <w:p w14:paraId="3BAA9873"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6.59009</w:t>
            </w:r>
          </w:p>
        </w:tc>
        <w:tc>
          <w:tcPr>
            <w:tcW w:w="0" w:type="auto"/>
            <w:hideMark/>
          </w:tcPr>
          <w:p w14:paraId="1AA73DE2"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w:t>
            </w:r>
          </w:p>
        </w:tc>
      </w:tr>
      <w:tr w:rsidR="00DB6A40" w:rsidRPr="00DB6A40" w14:paraId="144B10B6" w14:textId="77777777" w:rsidTr="00D00B3F">
        <w:tc>
          <w:tcPr>
            <w:tcW w:w="0" w:type="auto"/>
            <w:hideMark/>
          </w:tcPr>
          <w:p w14:paraId="509D46E3"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Post-Reform (2013–2024)</w:t>
            </w:r>
          </w:p>
        </w:tc>
        <w:tc>
          <w:tcPr>
            <w:tcW w:w="0" w:type="auto"/>
            <w:hideMark/>
          </w:tcPr>
          <w:p w14:paraId="3CB5651B"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w:t>
            </w:r>
          </w:p>
        </w:tc>
        <w:tc>
          <w:tcPr>
            <w:tcW w:w="0" w:type="auto"/>
            <w:hideMark/>
          </w:tcPr>
          <w:p w14:paraId="15F49334"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-188.210</w:t>
            </w:r>
          </w:p>
        </w:tc>
        <w:tc>
          <w:tcPr>
            <w:tcW w:w="0" w:type="auto"/>
            <w:hideMark/>
          </w:tcPr>
          <w:p w14:paraId="62BFF5EC"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NA</w:t>
            </w:r>
          </w:p>
        </w:tc>
        <w:tc>
          <w:tcPr>
            <w:tcW w:w="0" w:type="auto"/>
            <w:hideMark/>
          </w:tcPr>
          <w:p w14:paraId="794A5C3C"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0.002753</w:t>
            </w:r>
          </w:p>
        </w:tc>
        <w:tc>
          <w:tcPr>
            <w:tcW w:w="0" w:type="auto"/>
            <w:hideMark/>
          </w:tcPr>
          <w:p w14:paraId="34C17384"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5.62173</w:t>
            </w:r>
          </w:p>
        </w:tc>
        <w:tc>
          <w:tcPr>
            <w:tcW w:w="0" w:type="auto"/>
            <w:hideMark/>
          </w:tcPr>
          <w:p w14:paraId="7C796365"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5.84219</w:t>
            </w:r>
          </w:p>
        </w:tc>
        <w:tc>
          <w:tcPr>
            <w:tcW w:w="0" w:type="auto"/>
            <w:hideMark/>
          </w:tcPr>
          <w:p w14:paraId="57E70EBA"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5.70433</w:t>
            </w:r>
          </w:p>
        </w:tc>
        <w:tc>
          <w:tcPr>
            <w:tcW w:w="0" w:type="auto"/>
            <w:hideMark/>
          </w:tcPr>
          <w:p w14:paraId="562CEB48"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w:t>
            </w:r>
          </w:p>
        </w:tc>
      </w:tr>
      <w:tr w:rsidR="00DB6A40" w:rsidRPr="00DB6A40" w14:paraId="795C328C" w14:textId="77777777" w:rsidTr="00D00B3F">
        <w:tc>
          <w:tcPr>
            <w:tcW w:w="0" w:type="auto"/>
            <w:hideMark/>
          </w:tcPr>
          <w:p w14:paraId="1ECCCAA5" w14:textId="77777777" w:rsidR="00DB6A40" w:rsidRPr="00DB6A40" w:rsidRDefault="00DB6A40" w:rsidP="00DB6A40">
            <w:pPr>
              <w:jc w:val="both"/>
              <w:rPr>
                <w:rFonts w:ascii="Times New Roman" w:eastAsia="Calibri" w:hAnsi="Times New Roman" w:cs="Times New Roman"/>
                <w:sz w:val="18"/>
                <w:szCs w:val="18"/>
              </w:rPr>
            </w:pPr>
          </w:p>
        </w:tc>
        <w:tc>
          <w:tcPr>
            <w:tcW w:w="0" w:type="auto"/>
            <w:hideMark/>
          </w:tcPr>
          <w:p w14:paraId="3186DC15"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w:t>
            </w:r>
          </w:p>
        </w:tc>
        <w:tc>
          <w:tcPr>
            <w:tcW w:w="0" w:type="auto"/>
            <w:hideMark/>
          </w:tcPr>
          <w:p w14:paraId="1DB5D7B0"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-152.527</w:t>
            </w:r>
          </w:p>
        </w:tc>
        <w:tc>
          <w:tcPr>
            <w:tcW w:w="0" w:type="auto"/>
            <w:hideMark/>
          </w:tcPr>
          <w:p w14:paraId="64204E68"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49.3821*</w:t>
            </w:r>
          </w:p>
        </w:tc>
        <w:tc>
          <w:tcPr>
            <w:tcW w:w="0" w:type="auto"/>
            <w:hideMark/>
          </w:tcPr>
          <w:p w14:paraId="466CD2F5"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0.001142*</w:t>
            </w:r>
          </w:p>
        </w:tc>
        <w:tc>
          <w:tcPr>
            <w:tcW w:w="0" w:type="auto"/>
            <w:hideMark/>
          </w:tcPr>
          <w:p w14:paraId="57E5DF6A"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4.35211*</w:t>
            </w:r>
          </w:p>
        </w:tc>
        <w:tc>
          <w:tcPr>
            <w:tcW w:w="0" w:type="auto"/>
            <w:hideMark/>
          </w:tcPr>
          <w:p w14:paraId="28B8BA41"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4.95362*</w:t>
            </w:r>
          </w:p>
        </w:tc>
        <w:tc>
          <w:tcPr>
            <w:tcW w:w="0" w:type="auto"/>
            <w:hideMark/>
          </w:tcPr>
          <w:p w14:paraId="51CE13CC"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4.58801*</w:t>
            </w:r>
          </w:p>
        </w:tc>
        <w:tc>
          <w:tcPr>
            <w:tcW w:w="0" w:type="auto"/>
            <w:hideMark/>
          </w:tcPr>
          <w:p w14:paraId="69DA5E2F"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w:t>
            </w:r>
          </w:p>
        </w:tc>
      </w:tr>
      <w:tr w:rsidR="00DB6A40" w:rsidRPr="00DB6A40" w14:paraId="5C27B4DC" w14:textId="77777777" w:rsidTr="00D00B3F">
        <w:tc>
          <w:tcPr>
            <w:tcW w:w="0" w:type="auto"/>
            <w:hideMark/>
          </w:tcPr>
          <w:p w14:paraId="610C2044" w14:textId="77777777" w:rsidR="00DB6A40" w:rsidRPr="00DB6A40" w:rsidRDefault="00DB6A40" w:rsidP="00DB6A40">
            <w:pPr>
              <w:jc w:val="both"/>
              <w:rPr>
                <w:rFonts w:ascii="Times New Roman" w:eastAsia="Calibri" w:hAnsi="Times New Roman" w:cs="Times New Roman"/>
                <w:sz w:val="18"/>
                <w:szCs w:val="18"/>
              </w:rPr>
            </w:pPr>
          </w:p>
        </w:tc>
        <w:tc>
          <w:tcPr>
            <w:tcW w:w="0" w:type="auto"/>
            <w:hideMark/>
          </w:tcPr>
          <w:p w14:paraId="293EB0D6"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w:t>
            </w:r>
          </w:p>
        </w:tc>
        <w:tc>
          <w:tcPr>
            <w:tcW w:w="0" w:type="auto"/>
            <w:hideMark/>
          </w:tcPr>
          <w:p w14:paraId="6512DD4D"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-150.783</w:t>
            </w:r>
          </w:p>
        </w:tc>
        <w:tc>
          <w:tcPr>
            <w:tcW w:w="0" w:type="auto"/>
            <w:hideMark/>
          </w:tcPr>
          <w:p w14:paraId="1FC0D1D4"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2.64178</w:t>
            </w:r>
          </w:p>
        </w:tc>
        <w:tc>
          <w:tcPr>
            <w:tcW w:w="0" w:type="auto"/>
            <w:hideMark/>
          </w:tcPr>
          <w:p w14:paraId="433E7959"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0.001539</w:t>
            </w:r>
          </w:p>
        </w:tc>
        <w:tc>
          <w:tcPr>
            <w:tcW w:w="0" w:type="auto"/>
            <w:hideMark/>
          </w:tcPr>
          <w:p w14:paraId="4EC2222C"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4.59093</w:t>
            </w:r>
          </w:p>
        </w:tc>
        <w:tc>
          <w:tcPr>
            <w:tcW w:w="0" w:type="auto"/>
            <w:hideMark/>
          </w:tcPr>
          <w:p w14:paraId="08A5DFD5"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5.47349</w:t>
            </w:r>
          </w:p>
        </w:tc>
        <w:tc>
          <w:tcPr>
            <w:tcW w:w="0" w:type="auto"/>
            <w:hideMark/>
          </w:tcPr>
          <w:p w14:paraId="5E88ACCB"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4.98113</w:t>
            </w:r>
          </w:p>
        </w:tc>
        <w:tc>
          <w:tcPr>
            <w:tcW w:w="0" w:type="auto"/>
            <w:hideMark/>
          </w:tcPr>
          <w:p w14:paraId="3C59CD59"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w:t>
            </w:r>
          </w:p>
        </w:tc>
      </w:tr>
      <w:tr w:rsidR="00DB6A40" w:rsidRPr="00DB6A40" w14:paraId="21675833" w14:textId="77777777" w:rsidTr="00D00B3F">
        <w:tc>
          <w:tcPr>
            <w:tcW w:w="0" w:type="auto"/>
            <w:tcBorders>
              <w:bottom w:val="single" w:sz="4" w:space="0" w:color="auto"/>
            </w:tcBorders>
            <w:hideMark/>
          </w:tcPr>
          <w:p w14:paraId="7A523A7A" w14:textId="77777777" w:rsidR="00DB6A40" w:rsidRPr="00DB6A40" w:rsidRDefault="00DB6A40" w:rsidP="00DB6A40">
            <w:pPr>
              <w:jc w:val="both"/>
              <w:rPr>
                <w:rFonts w:ascii="Times New Roman" w:eastAsia="Calibri" w:hAnsi="Times New Roman" w:cs="Times New Roman"/>
                <w:sz w:val="18"/>
                <w:szCs w:val="18"/>
              </w:rPr>
            </w:pPr>
          </w:p>
        </w:tc>
        <w:tc>
          <w:tcPr>
            <w:tcW w:w="0" w:type="auto"/>
            <w:tcBorders>
              <w:bottom w:val="single" w:sz="4" w:space="0" w:color="auto"/>
            </w:tcBorders>
            <w:hideMark/>
          </w:tcPr>
          <w:p w14:paraId="3F9A635D"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3</w:t>
            </w:r>
          </w:p>
        </w:tc>
        <w:tc>
          <w:tcPr>
            <w:tcW w:w="0" w:type="auto"/>
            <w:tcBorders>
              <w:bottom w:val="single" w:sz="4" w:space="0" w:color="auto"/>
            </w:tcBorders>
            <w:hideMark/>
          </w:tcPr>
          <w:p w14:paraId="20E2C92B"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-149.822</w:t>
            </w:r>
          </w:p>
        </w:tc>
        <w:tc>
          <w:tcPr>
            <w:tcW w:w="0" w:type="auto"/>
            <w:tcBorders>
              <w:bottom w:val="single" w:sz="4" w:space="0" w:color="auto"/>
            </w:tcBorders>
            <w:hideMark/>
          </w:tcPr>
          <w:p w14:paraId="374C3D0E"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1.42615</w:t>
            </w:r>
          </w:p>
        </w:tc>
        <w:tc>
          <w:tcPr>
            <w:tcW w:w="0" w:type="auto"/>
            <w:tcBorders>
              <w:bottom w:val="single" w:sz="4" w:space="0" w:color="auto"/>
            </w:tcBorders>
            <w:hideMark/>
          </w:tcPr>
          <w:p w14:paraId="02CF120A"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0.001847</w:t>
            </w:r>
          </w:p>
        </w:tc>
        <w:tc>
          <w:tcPr>
            <w:tcW w:w="0" w:type="auto"/>
            <w:tcBorders>
              <w:bottom w:val="single" w:sz="4" w:space="0" w:color="auto"/>
            </w:tcBorders>
            <w:hideMark/>
          </w:tcPr>
          <w:p w14:paraId="5CF3B5D7"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4.78266</w:t>
            </w:r>
          </w:p>
        </w:tc>
        <w:tc>
          <w:tcPr>
            <w:tcW w:w="0" w:type="auto"/>
            <w:tcBorders>
              <w:bottom w:val="single" w:sz="4" w:space="0" w:color="auto"/>
            </w:tcBorders>
            <w:hideMark/>
          </w:tcPr>
          <w:p w14:paraId="0C93D965"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5.94628</w:t>
            </w:r>
          </w:p>
        </w:tc>
        <w:tc>
          <w:tcPr>
            <w:tcW w:w="0" w:type="auto"/>
            <w:tcBorders>
              <w:bottom w:val="single" w:sz="4" w:space="0" w:color="auto"/>
            </w:tcBorders>
            <w:hideMark/>
          </w:tcPr>
          <w:p w14:paraId="1F07AB78"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5.32716</w:t>
            </w:r>
          </w:p>
        </w:tc>
        <w:tc>
          <w:tcPr>
            <w:tcW w:w="0" w:type="auto"/>
            <w:tcBorders>
              <w:bottom w:val="single" w:sz="4" w:space="0" w:color="auto"/>
            </w:tcBorders>
            <w:hideMark/>
          </w:tcPr>
          <w:p w14:paraId="0449E1C8" w14:textId="77777777" w:rsidR="00DB6A40" w:rsidRPr="00DB6A40" w:rsidRDefault="00DB6A40" w:rsidP="00DB6A40">
            <w:pPr>
              <w:jc w:val="both"/>
              <w:rPr>
                <w:rFonts w:ascii="Times New Roman" w:eastAsia="Calibri" w:hAnsi="Times New Roman" w:cs="Times New Roman"/>
                <w:sz w:val="18"/>
                <w:szCs w:val="18"/>
              </w:rPr>
            </w:pPr>
            <w:r w:rsidRPr="00DB6A40">
              <w:rPr>
                <w:rFonts w:ascii="Times New Roman" w:eastAsia="Calibri" w:hAnsi="Times New Roman" w:cs="Times New Roman"/>
                <w:sz w:val="18"/>
                <w:szCs w:val="18"/>
              </w:rPr>
              <w:t>–</w:t>
            </w:r>
          </w:p>
        </w:tc>
      </w:tr>
    </w:tbl>
    <w:p w14:paraId="14AF6C41"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combined table indicates that lag 1 is optimal for both pre- and post-reform periods according to AIC, SC, and FPE.</w:t>
      </w:r>
    </w:p>
    <w:p w14:paraId="5D941D96" w14:textId="77777777" w:rsidR="00A00954" w:rsidRDefault="00A00954" w:rsidP="00DB6A40">
      <w:pPr>
        <w:spacing w:after="0" w:line="259" w:lineRule="auto"/>
        <w:jc w:val="both"/>
        <w:rPr>
          <w:rFonts w:ascii="Times New Roman" w:eastAsia="Calibri" w:hAnsi="Times New Roman" w:cs="Times New Roman"/>
          <w:sz w:val="22"/>
          <w:szCs w:val="22"/>
        </w:rPr>
      </w:pPr>
    </w:p>
    <w:p w14:paraId="28D8B748" w14:textId="262E698D"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Following the one-year lag of this pre-reform period of 1994 to 2012, any changes within the Personal Income Tax, Petroleum Profit Tax, Company Income Tax, Value Added Tax, Custom and Excise Duties, and Capital Gain Tax made have a lagging effect on Total Government Expenditure. This is indicative of the rampant inefficiencies and bureaucratic delays that are part of Nigeria's manual tax collection system. This would, therefore, mean that fiscal adjustments typically take effect in the years that follow, relating well with the previous trends when receipts of revenue and execution of expenditure were compromised (</w:t>
      </w:r>
      <w:proofErr w:type="spellStart"/>
      <w:r w:rsidRPr="00DB6A40">
        <w:rPr>
          <w:rFonts w:ascii="Times New Roman" w:eastAsia="Calibri" w:hAnsi="Times New Roman" w:cs="Times New Roman"/>
          <w:sz w:val="22"/>
          <w:szCs w:val="22"/>
        </w:rPr>
        <w:t>Onwioduokit</w:t>
      </w:r>
      <w:proofErr w:type="spellEnd"/>
      <w:r w:rsidRPr="00DB6A40">
        <w:rPr>
          <w:rFonts w:ascii="Times New Roman" w:eastAsia="Calibri" w:hAnsi="Times New Roman" w:cs="Times New Roman"/>
          <w:sz w:val="22"/>
          <w:szCs w:val="22"/>
        </w:rPr>
        <w:t>, 2021).</w:t>
      </w:r>
    </w:p>
    <w:p w14:paraId="1CFC0B71"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Lag 1 remains optimal for the post-reform period of 2013–2024, but there is a clear enhancement in the values of the criteria, especially AIC, which was reduced from 5.78033 to 4.35211, and the FPE was reduced from 0.002334 to 0.001142. This implies that electronic taxation reforms strengthened fiscal responsiveness due to increased model efficiency and greater statistical reliability. Government spending is now </w:t>
      </w:r>
      <w:proofErr w:type="gramStart"/>
      <w:r w:rsidRPr="00DB6A40">
        <w:rPr>
          <w:rFonts w:ascii="Times New Roman" w:eastAsia="Calibri" w:hAnsi="Times New Roman" w:cs="Times New Roman"/>
          <w:sz w:val="22"/>
          <w:szCs w:val="22"/>
        </w:rPr>
        <w:t>more predictable and timely</w:t>
      </w:r>
      <w:proofErr w:type="gramEnd"/>
      <w:r w:rsidRPr="00DB6A40">
        <w:rPr>
          <w:rFonts w:ascii="Times New Roman" w:eastAsia="Calibri" w:hAnsi="Times New Roman" w:cs="Times New Roman"/>
          <w:sz w:val="22"/>
          <w:szCs w:val="22"/>
        </w:rPr>
        <w:t xml:space="preserve"> because the revenue inflows from key taxes transform into expenditure allocations faster, within the same annual budget cycle, as stated by IMF (2023) and Olaoye &amp; </w:t>
      </w:r>
      <w:proofErr w:type="spellStart"/>
      <w:r w:rsidRPr="00DB6A40">
        <w:rPr>
          <w:rFonts w:ascii="Times New Roman" w:eastAsia="Calibri" w:hAnsi="Times New Roman" w:cs="Times New Roman"/>
          <w:sz w:val="22"/>
          <w:szCs w:val="22"/>
        </w:rPr>
        <w:t>Akinbowale</w:t>
      </w:r>
      <w:proofErr w:type="spellEnd"/>
      <w:r w:rsidRPr="00DB6A40">
        <w:rPr>
          <w:rFonts w:ascii="Times New Roman" w:eastAsia="Calibri" w:hAnsi="Times New Roman" w:cs="Times New Roman"/>
          <w:sz w:val="22"/>
          <w:szCs w:val="22"/>
        </w:rPr>
        <w:t xml:space="preserve"> (2022).</w:t>
      </w:r>
    </w:p>
    <w:p w14:paraId="0C4FB011"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Economically, the constant one-year lag of the two periods demonstrates stability in fiscal behavior, and the enhanced information criterion values after the reform testify that electronic taxation has optimized the feedback mechanism in a way that exerts efficiency in budget execution and timely government spending. This proves that not only short-term changes, but also long-run adjustments between the components of tax revenue and total government spending, may also be reflected by ARDL modeling with a one-year lag.</w:t>
      </w:r>
    </w:p>
    <w:p w14:paraId="03328FB7" w14:textId="77777777" w:rsidR="00F2321A" w:rsidRDefault="00F2321A" w:rsidP="00DB6A40">
      <w:pPr>
        <w:spacing w:after="0" w:line="259" w:lineRule="auto"/>
        <w:jc w:val="both"/>
        <w:rPr>
          <w:rFonts w:ascii="Times New Roman" w:eastAsia="Calibri" w:hAnsi="Times New Roman" w:cs="Times New Roman"/>
          <w:b/>
          <w:bCs/>
          <w:sz w:val="22"/>
          <w:szCs w:val="22"/>
        </w:rPr>
      </w:pPr>
    </w:p>
    <w:p w14:paraId="682230A0" w14:textId="7653AD76"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Bounds Test for Cointegration</w:t>
      </w:r>
    </w:p>
    <w:p w14:paraId="02B049AA" w14:textId="77777777" w:rsid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The limits test is used in accordance with the </w:t>
      </w:r>
      <w:proofErr w:type="spellStart"/>
      <w:r w:rsidRPr="00DB6A40">
        <w:rPr>
          <w:rFonts w:ascii="Times New Roman" w:eastAsia="Calibri" w:hAnsi="Times New Roman" w:cs="Times New Roman"/>
          <w:sz w:val="22"/>
          <w:szCs w:val="22"/>
        </w:rPr>
        <w:t>Pesaran</w:t>
      </w:r>
      <w:proofErr w:type="spellEnd"/>
      <w:r w:rsidRPr="00DB6A40">
        <w:rPr>
          <w:rFonts w:ascii="Times New Roman" w:eastAsia="Calibri" w:hAnsi="Times New Roman" w:cs="Times New Roman"/>
          <w:sz w:val="22"/>
          <w:szCs w:val="22"/>
        </w:rPr>
        <w:t>-Shin-Smith approach of 2001, to determine the level at which there exists, if at all, a stable long-term relationship between the variables being used. The test conceptually evaluates whether any observed correlation is spurious, null hypothesis of no level relationship, or these independent factors together support a continued linkage with TGE, alternative hypothesis.</w:t>
      </w:r>
    </w:p>
    <w:p w14:paraId="2FA9E30C" w14:textId="77777777" w:rsidR="00A00954" w:rsidRPr="00DB6A40" w:rsidRDefault="00A00954" w:rsidP="00DB6A40">
      <w:pPr>
        <w:spacing w:after="0" w:line="259" w:lineRule="auto"/>
        <w:jc w:val="both"/>
        <w:rPr>
          <w:rFonts w:ascii="Times New Roman" w:eastAsia="Calibri" w:hAnsi="Times New Roman" w:cs="Times New Roman"/>
          <w:sz w:val="22"/>
          <w:szCs w:val="22"/>
        </w:rPr>
      </w:pPr>
    </w:p>
    <w:p w14:paraId="4006A293"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Combined Bounds Test Table</w:t>
      </w:r>
    </w:p>
    <w:tbl>
      <w:tblPr>
        <w:tblStyle w:val="TableGrid2"/>
        <w:tblW w:w="10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032"/>
        <w:gridCol w:w="1430"/>
        <w:gridCol w:w="1423"/>
        <w:gridCol w:w="1597"/>
        <w:gridCol w:w="2317"/>
      </w:tblGrid>
      <w:tr w:rsidR="00DB6A40" w:rsidRPr="00DB6A40" w14:paraId="70535FAC" w14:textId="77777777" w:rsidTr="00D00B3F">
        <w:tc>
          <w:tcPr>
            <w:tcW w:w="2250" w:type="dxa"/>
            <w:tcBorders>
              <w:top w:val="single" w:sz="4" w:space="0" w:color="auto"/>
              <w:bottom w:val="single" w:sz="4" w:space="0" w:color="auto"/>
            </w:tcBorders>
            <w:hideMark/>
          </w:tcPr>
          <w:p w14:paraId="5997B480" w14:textId="77777777" w:rsidR="00DB6A40" w:rsidRPr="00DB6A40" w:rsidRDefault="00DB6A40" w:rsidP="00DB6A40">
            <w:pPr>
              <w:spacing w:line="259" w:lineRule="auto"/>
              <w:jc w:val="both"/>
              <w:rPr>
                <w:rFonts w:ascii="Times New Roman" w:eastAsia="Calibri" w:hAnsi="Times New Roman" w:cs="Times New Roman"/>
                <w:b/>
                <w:bCs/>
                <w:sz w:val="20"/>
                <w:szCs w:val="20"/>
              </w:rPr>
            </w:pPr>
            <w:r w:rsidRPr="00DB6A40">
              <w:rPr>
                <w:rFonts w:ascii="Times New Roman" w:eastAsia="Calibri" w:hAnsi="Times New Roman" w:cs="Times New Roman"/>
                <w:b/>
                <w:bCs/>
                <w:sz w:val="20"/>
                <w:szCs w:val="20"/>
              </w:rPr>
              <w:t>Period</w:t>
            </w:r>
          </w:p>
        </w:tc>
        <w:tc>
          <w:tcPr>
            <w:tcW w:w="0" w:type="auto"/>
            <w:tcBorders>
              <w:top w:val="single" w:sz="4" w:space="0" w:color="auto"/>
              <w:bottom w:val="single" w:sz="4" w:space="0" w:color="auto"/>
            </w:tcBorders>
            <w:hideMark/>
          </w:tcPr>
          <w:p w14:paraId="2BF46DD7" w14:textId="77777777" w:rsidR="00DB6A40" w:rsidRPr="00DB6A40" w:rsidRDefault="00DB6A40" w:rsidP="00DB6A40">
            <w:pPr>
              <w:spacing w:line="259" w:lineRule="auto"/>
              <w:jc w:val="both"/>
              <w:rPr>
                <w:rFonts w:ascii="Times New Roman" w:eastAsia="Calibri" w:hAnsi="Times New Roman" w:cs="Times New Roman"/>
                <w:b/>
                <w:bCs/>
                <w:sz w:val="20"/>
                <w:szCs w:val="20"/>
              </w:rPr>
            </w:pPr>
            <w:r w:rsidRPr="00DB6A40">
              <w:rPr>
                <w:rFonts w:ascii="Times New Roman" w:eastAsia="Calibri" w:hAnsi="Times New Roman" w:cs="Times New Roman"/>
                <w:b/>
                <w:bCs/>
                <w:sz w:val="20"/>
                <w:szCs w:val="20"/>
              </w:rPr>
              <w:t>F-Statistic</w:t>
            </w:r>
          </w:p>
        </w:tc>
        <w:tc>
          <w:tcPr>
            <w:tcW w:w="0" w:type="auto"/>
            <w:tcBorders>
              <w:top w:val="single" w:sz="4" w:space="0" w:color="auto"/>
              <w:bottom w:val="single" w:sz="4" w:space="0" w:color="auto"/>
            </w:tcBorders>
            <w:hideMark/>
          </w:tcPr>
          <w:p w14:paraId="5B2694B1" w14:textId="77777777" w:rsidR="00DB6A40" w:rsidRPr="00DB6A40" w:rsidRDefault="00DB6A40" w:rsidP="00DB6A40">
            <w:pPr>
              <w:spacing w:line="259" w:lineRule="auto"/>
              <w:jc w:val="both"/>
              <w:rPr>
                <w:rFonts w:ascii="Times New Roman" w:eastAsia="Calibri" w:hAnsi="Times New Roman" w:cs="Times New Roman"/>
                <w:b/>
                <w:bCs/>
                <w:sz w:val="20"/>
                <w:szCs w:val="20"/>
              </w:rPr>
            </w:pPr>
            <w:proofErr w:type="gramStart"/>
            <w:r w:rsidRPr="00DB6A40">
              <w:rPr>
                <w:rFonts w:ascii="Times New Roman" w:eastAsia="Calibri" w:hAnsi="Times New Roman" w:cs="Times New Roman"/>
                <w:b/>
                <w:bCs/>
                <w:sz w:val="20"/>
                <w:szCs w:val="20"/>
              </w:rPr>
              <w:t>I(</w:t>
            </w:r>
            <w:proofErr w:type="gramEnd"/>
            <w:r w:rsidRPr="00DB6A40">
              <w:rPr>
                <w:rFonts w:ascii="Times New Roman" w:eastAsia="Calibri" w:hAnsi="Times New Roman" w:cs="Times New Roman"/>
                <w:b/>
                <w:bCs/>
                <w:sz w:val="20"/>
                <w:szCs w:val="20"/>
              </w:rPr>
              <w:t>0) Lower Bound</w:t>
            </w:r>
          </w:p>
        </w:tc>
        <w:tc>
          <w:tcPr>
            <w:tcW w:w="0" w:type="auto"/>
            <w:tcBorders>
              <w:top w:val="single" w:sz="4" w:space="0" w:color="auto"/>
              <w:bottom w:val="single" w:sz="4" w:space="0" w:color="auto"/>
            </w:tcBorders>
            <w:hideMark/>
          </w:tcPr>
          <w:p w14:paraId="72231DFE" w14:textId="77777777" w:rsidR="00DB6A40" w:rsidRPr="00DB6A40" w:rsidRDefault="00DB6A40" w:rsidP="00DB6A40">
            <w:pPr>
              <w:spacing w:line="259" w:lineRule="auto"/>
              <w:jc w:val="both"/>
              <w:rPr>
                <w:rFonts w:ascii="Times New Roman" w:eastAsia="Calibri" w:hAnsi="Times New Roman" w:cs="Times New Roman"/>
                <w:b/>
                <w:bCs/>
                <w:sz w:val="20"/>
                <w:szCs w:val="20"/>
              </w:rPr>
            </w:pPr>
            <w:proofErr w:type="gramStart"/>
            <w:r w:rsidRPr="00DB6A40">
              <w:rPr>
                <w:rFonts w:ascii="Times New Roman" w:eastAsia="Calibri" w:hAnsi="Times New Roman" w:cs="Times New Roman"/>
                <w:b/>
                <w:bCs/>
                <w:sz w:val="20"/>
                <w:szCs w:val="20"/>
              </w:rPr>
              <w:t>I(</w:t>
            </w:r>
            <w:proofErr w:type="gramEnd"/>
            <w:r w:rsidRPr="00DB6A40">
              <w:rPr>
                <w:rFonts w:ascii="Times New Roman" w:eastAsia="Calibri" w:hAnsi="Times New Roman" w:cs="Times New Roman"/>
                <w:b/>
                <w:bCs/>
                <w:sz w:val="20"/>
                <w:szCs w:val="20"/>
              </w:rPr>
              <w:t>1) Upper Bound</w:t>
            </w:r>
          </w:p>
        </w:tc>
        <w:tc>
          <w:tcPr>
            <w:tcW w:w="0" w:type="auto"/>
            <w:tcBorders>
              <w:top w:val="single" w:sz="4" w:space="0" w:color="auto"/>
              <w:bottom w:val="single" w:sz="4" w:space="0" w:color="auto"/>
            </w:tcBorders>
            <w:hideMark/>
          </w:tcPr>
          <w:p w14:paraId="4842955B" w14:textId="77777777" w:rsidR="00DB6A40" w:rsidRPr="00DB6A40" w:rsidRDefault="00DB6A40" w:rsidP="00DB6A40">
            <w:pPr>
              <w:spacing w:line="259" w:lineRule="auto"/>
              <w:jc w:val="both"/>
              <w:rPr>
                <w:rFonts w:ascii="Times New Roman" w:eastAsia="Calibri" w:hAnsi="Times New Roman" w:cs="Times New Roman"/>
                <w:b/>
                <w:bCs/>
                <w:sz w:val="20"/>
                <w:szCs w:val="20"/>
              </w:rPr>
            </w:pPr>
            <w:r w:rsidRPr="00DB6A40">
              <w:rPr>
                <w:rFonts w:ascii="Times New Roman" w:eastAsia="Calibri" w:hAnsi="Times New Roman" w:cs="Times New Roman"/>
                <w:b/>
                <w:bCs/>
                <w:sz w:val="20"/>
                <w:szCs w:val="20"/>
              </w:rPr>
              <w:t>Significance Level</w:t>
            </w:r>
          </w:p>
        </w:tc>
        <w:tc>
          <w:tcPr>
            <w:tcW w:w="0" w:type="auto"/>
            <w:tcBorders>
              <w:top w:val="single" w:sz="4" w:space="0" w:color="auto"/>
              <w:bottom w:val="single" w:sz="4" w:space="0" w:color="auto"/>
            </w:tcBorders>
            <w:hideMark/>
          </w:tcPr>
          <w:p w14:paraId="3D68961B" w14:textId="77777777" w:rsidR="00DB6A40" w:rsidRPr="00DB6A40" w:rsidRDefault="00DB6A40" w:rsidP="00DB6A40">
            <w:pPr>
              <w:spacing w:line="259" w:lineRule="auto"/>
              <w:jc w:val="both"/>
              <w:rPr>
                <w:rFonts w:ascii="Times New Roman" w:eastAsia="Calibri" w:hAnsi="Times New Roman" w:cs="Times New Roman"/>
                <w:b/>
                <w:bCs/>
                <w:sz w:val="20"/>
                <w:szCs w:val="20"/>
              </w:rPr>
            </w:pPr>
            <w:r w:rsidRPr="00DB6A40">
              <w:rPr>
                <w:rFonts w:ascii="Times New Roman" w:eastAsia="Calibri" w:hAnsi="Times New Roman" w:cs="Times New Roman"/>
                <w:b/>
                <w:bCs/>
                <w:sz w:val="20"/>
                <w:szCs w:val="20"/>
              </w:rPr>
              <w:t>Decision</w:t>
            </w:r>
          </w:p>
        </w:tc>
      </w:tr>
      <w:tr w:rsidR="00DB6A40" w:rsidRPr="00DB6A40" w14:paraId="73AF0A14" w14:textId="77777777" w:rsidTr="00D00B3F">
        <w:tc>
          <w:tcPr>
            <w:tcW w:w="2250" w:type="dxa"/>
            <w:tcBorders>
              <w:top w:val="single" w:sz="4" w:space="0" w:color="auto"/>
            </w:tcBorders>
            <w:hideMark/>
          </w:tcPr>
          <w:p w14:paraId="498A4FD5" w14:textId="77777777" w:rsidR="00DB6A40" w:rsidRPr="00DB6A40" w:rsidRDefault="00DB6A40" w:rsidP="00DB6A40">
            <w:pPr>
              <w:spacing w:line="259" w:lineRule="auto"/>
              <w:rPr>
                <w:rFonts w:ascii="Times New Roman" w:eastAsia="Calibri" w:hAnsi="Times New Roman" w:cs="Times New Roman"/>
                <w:sz w:val="20"/>
                <w:szCs w:val="20"/>
              </w:rPr>
            </w:pPr>
            <w:r w:rsidRPr="00DB6A40">
              <w:rPr>
                <w:rFonts w:ascii="Times New Roman" w:eastAsia="Calibri" w:hAnsi="Times New Roman" w:cs="Times New Roman"/>
                <w:sz w:val="20"/>
                <w:szCs w:val="20"/>
              </w:rPr>
              <w:t>Pre-Reform (1994–2012)</w:t>
            </w:r>
          </w:p>
        </w:tc>
        <w:tc>
          <w:tcPr>
            <w:tcW w:w="0" w:type="auto"/>
            <w:tcBorders>
              <w:top w:val="single" w:sz="4" w:space="0" w:color="auto"/>
            </w:tcBorders>
            <w:hideMark/>
          </w:tcPr>
          <w:p w14:paraId="5A256C14"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6.120</w:t>
            </w:r>
          </w:p>
        </w:tc>
        <w:tc>
          <w:tcPr>
            <w:tcW w:w="0" w:type="auto"/>
            <w:tcBorders>
              <w:top w:val="single" w:sz="4" w:space="0" w:color="auto"/>
            </w:tcBorders>
            <w:hideMark/>
          </w:tcPr>
          <w:p w14:paraId="68B022F7"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2.86</w:t>
            </w:r>
          </w:p>
        </w:tc>
        <w:tc>
          <w:tcPr>
            <w:tcW w:w="0" w:type="auto"/>
            <w:tcBorders>
              <w:top w:val="single" w:sz="4" w:space="0" w:color="auto"/>
            </w:tcBorders>
            <w:hideMark/>
          </w:tcPr>
          <w:p w14:paraId="483A468E"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4.01</w:t>
            </w:r>
          </w:p>
        </w:tc>
        <w:tc>
          <w:tcPr>
            <w:tcW w:w="0" w:type="auto"/>
            <w:tcBorders>
              <w:top w:val="single" w:sz="4" w:space="0" w:color="auto"/>
            </w:tcBorders>
            <w:hideMark/>
          </w:tcPr>
          <w:p w14:paraId="7EB193D8"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5%</w:t>
            </w:r>
          </w:p>
        </w:tc>
        <w:tc>
          <w:tcPr>
            <w:tcW w:w="0" w:type="auto"/>
            <w:tcBorders>
              <w:top w:val="single" w:sz="4" w:space="0" w:color="auto"/>
            </w:tcBorders>
            <w:hideMark/>
          </w:tcPr>
          <w:p w14:paraId="7D81B2A3" w14:textId="77777777" w:rsidR="00DB6A40" w:rsidRPr="00DB6A40" w:rsidRDefault="00DB6A40" w:rsidP="00DB6A40">
            <w:pPr>
              <w:spacing w:line="259" w:lineRule="auto"/>
              <w:rPr>
                <w:rFonts w:ascii="Times New Roman" w:eastAsia="Calibri" w:hAnsi="Times New Roman" w:cs="Times New Roman"/>
                <w:sz w:val="20"/>
                <w:szCs w:val="20"/>
              </w:rPr>
            </w:pPr>
            <w:r w:rsidRPr="00DB6A40">
              <w:rPr>
                <w:rFonts w:ascii="Times New Roman" w:eastAsia="Calibri" w:hAnsi="Times New Roman" w:cs="Times New Roman"/>
                <w:sz w:val="20"/>
                <w:szCs w:val="20"/>
              </w:rPr>
              <w:t>Reject H0 – cointegration exists</w:t>
            </w:r>
          </w:p>
        </w:tc>
      </w:tr>
      <w:tr w:rsidR="00DB6A40" w:rsidRPr="00DB6A40" w14:paraId="4A9BE4EE" w14:textId="77777777" w:rsidTr="00D00B3F">
        <w:tc>
          <w:tcPr>
            <w:tcW w:w="2250" w:type="dxa"/>
            <w:tcBorders>
              <w:bottom w:val="single" w:sz="4" w:space="0" w:color="auto"/>
            </w:tcBorders>
            <w:hideMark/>
          </w:tcPr>
          <w:p w14:paraId="1D228CA4" w14:textId="77777777" w:rsidR="00DB6A40" w:rsidRPr="00DB6A40" w:rsidRDefault="00DB6A40" w:rsidP="00DB6A40">
            <w:pPr>
              <w:spacing w:line="259" w:lineRule="auto"/>
              <w:rPr>
                <w:rFonts w:ascii="Times New Roman" w:eastAsia="Calibri" w:hAnsi="Times New Roman" w:cs="Times New Roman"/>
                <w:sz w:val="20"/>
                <w:szCs w:val="20"/>
              </w:rPr>
            </w:pPr>
            <w:r w:rsidRPr="00DB6A40">
              <w:rPr>
                <w:rFonts w:ascii="Times New Roman" w:eastAsia="Calibri" w:hAnsi="Times New Roman" w:cs="Times New Roman"/>
                <w:sz w:val="20"/>
                <w:szCs w:val="20"/>
              </w:rPr>
              <w:t>Post-Reform (2013–2024)</w:t>
            </w:r>
          </w:p>
        </w:tc>
        <w:tc>
          <w:tcPr>
            <w:tcW w:w="0" w:type="auto"/>
            <w:tcBorders>
              <w:bottom w:val="single" w:sz="4" w:space="0" w:color="auto"/>
            </w:tcBorders>
            <w:hideMark/>
          </w:tcPr>
          <w:p w14:paraId="517A2E4B"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8.453</w:t>
            </w:r>
          </w:p>
        </w:tc>
        <w:tc>
          <w:tcPr>
            <w:tcW w:w="0" w:type="auto"/>
            <w:tcBorders>
              <w:bottom w:val="single" w:sz="4" w:space="0" w:color="auto"/>
            </w:tcBorders>
            <w:hideMark/>
          </w:tcPr>
          <w:p w14:paraId="574ECE5C"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3.23</w:t>
            </w:r>
          </w:p>
        </w:tc>
        <w:tc>
          <w:tcPr>
            <w:tcW w:w="0" w:type="auto"/>
            <w:tcBorders>
              <w:bottom w:val="single" w:sz="4" w:space="0" w:color="auto"/>
            </w:tcBorders>
            <w:hideMark/>
          </w:tcPr>
          <w:p w14:paraId="054F7478"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4.35</w:t>
            </w:r>
          </w:p>
        </w:tc>
        <w:tc>
          <w:tcPr>
            <w:tcW w:w="0" w:type="auto"/>
            <w:tcBorders>
              <w:bottom w:val="single" w:sz="4" w:space="0" w:color="auto"/>
            </w:tcBorders>
            <w:hideMark/>
          </w:tcPr>
          <w:p w14:paraId="5433D94A" w14:textId="77777777" w:rsidR="00DB6A40" w:rsidRPr="00DB6A40" w:rsidRDefault="00DB6A40" w:rsidP="00DB6A40">
            <w:pPr>
              <w:spacing w:line="259" w:lineRule="auto"/>
              <w:jc w:val="both"/>
              <w:rPr>
                <w:rFonts w:ascii="Times New Roman" w:eastAsia="Calibri" w:hAnsi="Times New Roman" w:cs="Times New Roman"/>
                <w:sz w:val="20"/>
                <w:szCs w:val="20"/>
              </w:rPr>
            </w:pPr>
            <w:r w:rsidRPr="00DB6A40">
              <w:rPr>
                <w:rFonts w:ascii="Times New Roman" w:eastAsia="Calibri" w:hAnsi="Times New Roman" w:cs="Times New Roman"/>
                <w:sz w:val="20"/>
                <w:szCs w:val="20"/>
              </w:rPr>
              <w:t>5%</w:t>
            </w:r>
          </w:p>
        </w:tc>
        <w:tc>
          <w:tcPr>
            <w:tcW w:w="0" w:type="auto"/>
            <w:tcBorders>
              <w:bottom w:val="single" w:sz="4" w:space="0" w:color="auto"/>
            </w:tcBorders>
            <w:hideMark/>
          </w:tcPr>
          <w:p w14:paraId="6423C07A" w14:textId="77777777" w:rsidR="00DB6A40" w:rsidRPr="00DB6A40" w:rsidRDefault="00DB6A40" w:rsidP="00DB6A40">
            <w:pPr>
              <w:spacing w:line="259" w:lineRule="auto"/>
              <w:rPr>
                <w:rFonts w:ascii="Times New Roman" w:eastAsia="Calibri" w:hAnsi="Times New Roman" w:cs="Times New Roman"/>
                <w:sz w:val="20"/>
                <w:szCs w:val="20"/>
              </w:rPr>
            </w:pPr>
            <w:r w:rsidRPr="00DB6A40">
              <w:rPr>
                <w:rFonts w:ascii="Times New Roman" w:eastAsia="Calibri" w:hAnsi="Times New Roman" w:cs="Times New Roman"/>
                <w:sz w:val="20"/>
                <w:szCs w:val="20"/>
              </w:rPr>
              <w:t>Reject H0 – strong cointegration</w:t>
            </w:r>
          </w:p>
        </w:tc>
      </w:tr>
    </w:tbl>
    <w:p w14:paraId="4E6D2895" w14:textId="77777777" w:rsidR="00A00954" w:rsidRDefault="00A00954" w:rsidP="00DB6A40">
      <w:pPr>
        <w:spacing w:after="0" w:line="259" w:lineRule="auto"/>
        <w:jc w:val="both"/>
        <w:rPr>
          <w:rFonts w:ascii="Times New Roman" w:eastAsia="Calibri" w:hAnsi="Times New Roman" w:cs="Times New Roman"/>
          <w:sz w:val="22"/>
          <w:szCs w:val="22"/>
        </w:rPr>
      </w:pPr>
    </w:p>
    <w:p w14:paraId="59AA6BC8" w14:textId="23780539"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F-statistic of 6.120 for the pre-reform period, that is, 1994–2012, which is greater than the upper bound of 4.01 at the 5% significance level, provides convincing evidence to reject the null hypothesis of no long-run relationship. Total Government Expenditure was empirically related to its main tax revenue components, notwithstanding administrative inefficiencies and fiscal volatility before electronic taxation reforms. This established that shocks to Personal Income Tax, Petroleum Profit Tax, Company Income Tax, Value Added Tax, Custom and Excise Duties, and Capital Gain Tax engendered a long-run adjustment in government spending rather than a short-run deviation. This justifies the estimation of both short-run dynamics and long-run elasticities in an ARDL error-correction model (</w:t>
      </w:r>
      <w:proofErr w:type="spellStart"/>
      <w:r w:rsidRPr="00DB6A40">
        <w:rPr>
          <w:rFonts w:ascii="Times New Roman" w:eastAsia="Calibri" w:hAnsi="Times New Roman" w:cs="Times New Roman"/>
          <w:sz w:val="22"/>
          <w:szCs w:val="22"/>
        </w:rPr>
        <w:t>Pesaran</w:t>
      </w:r>
      <w:proofErr w:type="spellEnd"/>
      <w:r w:rsidRPr="00DB6A40">
        <w:rPr>
          <w:rFonts w:ascii="Times New Roman" w:eastAsia="Calibri" w:hAnsi="Times New Roman" w:cs="Times New Roman"/>
          <w:sz w:val="22"/>
          <w:szCs w:val="22"/>
        </w:rPr>
        <w:t xml:space="preserve"> et al., 2001).</w:t>
      </w:r>
    </w:p>
    <w:p w14:paraId="79F5B204"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The F-statistic increases to 8.453 in the post-reform era, 2013–2024, far above the upper bound of 4.35 at 5% significance, hence providing strong evidence of cointegration. The implication is that with electronic taxes, total government expenditure is related to the disaggregated tax receipts in a longer-term, more stable, and stronger correlation. The higher F-statistic means the fiscal system, with new structural adjustments, adjusts much more effectively to revenue shocks and </w:t>
      </w:r>
      <w:r w:rsidRPr="00DB6A40">
        <w:rPr>
          <w:rFonts w:ascii="Times New Roman" w:eastAsia="Calibri" w:hAnsi="Times New Roman" w:cs="Times New Roman"/>
          <w:sz w:val="22"/>
          <w:szCs w:val="22"/>
        </w:rPr>
        <w:lastRenderedPageBreak/>
        <w:t>corrects for its departures from long-run equilibrium more rapidly, as can also be seen by larger ECM coefficients in the ARDL output.</w:t>
      </w:r>
    </w:p>
    <w:p w14:paraId="61BB45E7"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limits test results confirm the existence of a long-run relationship between total government expenditure and major tax income streams for both the pre- and post-reform periods. Most importantly, e-taxes improved fiscal discipline, increased the predictability of government revenue-to-expenditure transfer, and supported the interpretation of ARDL, as evidenced by the increase in the F-statistic after reform. -derived short-term error-correction dynamics and long-term coefficients for both policy regimes.</w:t>
      </w:r>
    </w:p>
    <w:p w14:paraId="33FA64B6" w14:textId="77777777" w:rsidR="00A00954" w:rsidRDefault="00A00954" w:rsidP="00DB6A40">
      <w:pPr>
        <w:spacing w:after="0" w:line="259" w:lineRule="auto"/>
        <w:jc w:val="both"/>
        <w:rPr>
          <w:rFonts w:ascii="Times New Roman" w:eastAsia="Calibri" w:hAnsi="Times New Roman" w:cs="Times New Roman"/>
          <w:b/>
          <w:bCs/>
          <w:sz w:val="22"/>
          <w:szCs w:val="22"/>
        </w:rPr>
      </w:pPr>
    </w:p>
    <w:p w14:paraId="687591E5" w14:textId="74D3EA31"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ARDL Long-Run Estimates</w:t>
      </w:r>
    </w:p>
    <w:p w14:paraId="016AFC60"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The ARDL methodology investigates long-run relations between TGE and components of disaggregated tax revenue before and after the 2013 electronic tax reform. The model captures both the extent of the influence of each revenue source and also how quickly long-run equilibrium aberrations are corrected through the ECM term. Below is a combined summary of pre- and post-reform ARDL long-run results.</w:t>
      </w:r>
    </w:p>
    <w:p w14:paraId="7675BDB9" w14:textId="77777777" w:rsidR="00F2321A" w:rsidRDefault="00F2321A" w:rsidP="00DB6A40">
      <w:pPr>
        <w:spacing w:after="0" w:line="259" w:lineRule="auto"/>
        <w:jc w:val="both"/>
        <w:rPr>
          <w:rFonts w:ascii="Times New Roman" w:eastAsia="Calibri" w:hAnsi="Times New Roman" w:cs="Times New Roman"/>
          <w:b/>
          <w:bCs/>
          <w:sz w:val="22"/>
          <w:szCs w:val="22"/>
        </w:rPr>
      </w:pPr>
    </w:p>
    <w:p w14:paraId="00609DDC" w14:textId="45C01F18"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Combined ARDL Long-Run Estimates Table</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1528"/>
        <w:gridCol w:w="1172"/>
        <w:gridCol w:w="1547"/>
        <w:gridCol w:w="1191"/>
        <w:gridCol w:w="4025"/>
      </w:tblGrid>
      <w:tr w:rsidR="00DB6A40" w:rsidRPr="00DB6A40" w14:paraId="28E9F8F8" w14:textId="77777777" w:rsidTr="00D00B3F">
        <w:tc>
          <w:tcPr>
            <w:tcW w:w="0" w:type="auto"/>
            <w:tcBorders>
              <w:top w:val="single" w:sz="4" w:space="0" w:color="auto"/>
              <w:bottom w:val="single" w:sz="4" w:space="0" w:color="auto"/>
            </w:tcBorders>
            <w:hideMark/>
          </w:tcPr>
          <w:p w14:paraId="1594B021"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Variable</w:t>
            </w:r>
          </w:p>
        </w:tc>
        <w:tc>
          <w:tcPr>
            <w:tcW w:w="0" w:type="auto"/>
            <w:tcBorders>
              <w:top w:val="single" w:sz="4" w:space="0" w:color="auto"/>
              <w:bottom w:val="single" w:sz="4" w:space="0" w:color="auto"/>
            </w:tcBorders>
            <w:hideMark/>
          </w:tcPr>
          <w:p w14:paraId="0435B19A"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Coefficient Pre-Reform</w:t>
            </w:r>
          </w:p>
        </w:tc>
        <w:tc>
          <w:tcPr>
            <w:tcW w:w="0" w:type="auto"/>
            <w:tcBorders>
              <w:top w:val="single" w:sz="4" w:space="0" w:color="auto"/>
              <w:bottom w:val="single" w:sz="4" w:space="0" w:color="auto"/>
            </w:tcBorders>
            <w:hideMark/>
          </w:tcPr>
          <w:p w14:paraId="1AEB133A"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Prob. Pre-Reform</w:t>
            </w:r>
          </w:p>
        </w:tc>
        <w:tc>
          <w:tcPr>
            <w:tcW w:w="0" w:type="auto"/>
            <w:tcBorders>
              <w:top w:val="single" w:sz="4" w:space="0" w:color="auto"/>
              <w:bottom w:val="single" w:sz="4" w:space="0" w:color="auto"/>
            </w:tcBorders>
            <w:hideMark/>
          </w:tcPr>
          <w:p w14:paraId="474D46FA"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 xml:space="preserve">Coefficient </w:t>
            </w:r>
            <w:proofErr w:type="gramStart"/>
            <w:r w:rsidRPr="00DB6A40">
              <w:rPr>
                <w:rFonts w:ascii="Times New Roman" w:eastAsia="Calibri" w:hAnsi="Times New Roman" w:cs="Times New Roman"/>
                <w:b/>
                <w:bCs/>
              </w:rPr>
              <w:t>Post-Reform</w:t>
            </w:r>
            <w:proofErr w:type="gramEnd"/>
          </w:p>
        </w:tc>
        <w:tc>
          <w:tcPr>
            <w:tcW w:w="0" w:type="auto"/>
            <w:tcBorders>
              <w:top w:val="single" w:sz="4" w:space="0" w:color="auto"/>
              <w:bottom w:val="single" w:sz="4" w:space="0" w:color="auto"/>
            </w:tcBorders>
            <w:hideMark/>
          </w:tcPr>
          <w:p w14:paraId="7AA8B36B"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 xml:space="preserve">Prob. </w:t>
            </w:r>
            <w:proofErr w:type="gramStart"/>
            <w:r w:rsidRPr="00DB6A40">
              <w:rPr>
                <w:rFonts w:ascii="Times New Roman" w:eastAsia="Calibri" w:hAnsi="Times New Roman" w:cs="Times New Roman"/>
                <w:b/>
                <w:bCs/>
              </w:rPr>
              <w:t>Post-Reform</w:t>
            </w:r>
            <w:proofErr w:type="gramEnd"/>
          </w:p>
        </w:tc>
        <w:tc>
          <w:tcPr>
            <w:tcW w:w="0" w:type="auto"/>
            <w:tcBorders>
              <w:top w:val="single" w:sz="4" w:space="0" w:color="auto"/>
              <w:bottom w:val="single" w:sz="4" w:space="0" w:color="auto"/>
            </w:tcBorders>
            <w:hideMark/>
          </w:tcPr>
          <w:p w14:paraId="34F7FE77" w14:textId="77777777" w:rsidR="00DB6A40" w:rsidRPr="00DB6A40" w:rsidRDefault="00DB6A40" w:rsidP="00DB6A40">
            <w:pPr>
              <w:spacing w:line="259" w:lineRule="auto"/>
              <w:jc w:val="both"/>
              <w:rPr>
                <w:rFonts w:ascii="Times New Roman" w:eastAsia="Calibri" w:hAnsi="Times New Roman" w:cs="Times New Roman"/>
                <w:b/>
                <w:bCs/>
              </w:rPr>
            </w:pPr>
            <w:r w:rsidRPr="00DB6A40">
              <w:rPr>
                <w:rFonts w:ascii="Times New Roman" w:eastAsia="Calibri" w:hAnsi="Times New Roman" w:cs="Times New Roman"/>
                <w:b/>
                <w:bCs/>
              </w:rPr>
              <w:t>Interpretation</w:t>
            </w:r>
          </w:p>
        </w:tc>
      </w:tr>
      <w:tr w:rsidR="00DB6A40" w:rsidRPr="00DB6A40" w14:paraId="00375FC7" w14:textId="77777777" w:rsidTr="00D00B3F">
        <w:tc>
          <w:tcPr>
            <w:tcW w:w="0" w:type="auto"/>
            <w:tcBorders>
              <w:top w:val="single" w:sz="4" w:space="0" w:color="auto"/>
            </w:tcBorders>
            <w:hideMark/>
          </w:tcPr>
          <w:p w14:paraId="3300FE7D"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D(PIT)</w:t>
            </w:r>
          </w:p>
        </w:tc>
        <w:tc>
          <w:tcPr>
            <w:tcW w:w="0" w:type="auto"/>
            <w:tcBorders>
              <w:top w:val="single" w:sz="4" w:space="0" w:color="auto"/>
            </w:tcBorders>
            <w:hideMark/>
          </w:tcPr>
          <w:p w14:paraId="482FC45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2.134</w:t>
            </w:r>
          </w:p>
        </w:tc>
        <w:tc>
          <w:tcPr>
            <w:tcW w:w="0" w:type="auto"/>
            <w:tcBorders>
              <w:top w:val="single" w:sz="4" w:space="0" w:color="auto"/>
            </w:tcBorders>
            <w:hideMark/>
          </w:tcPr>
          <w:p w14:paraId="6B8B5F7E"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0.025</w:t>
            </w:r>
          </w:p>
        </w:tc>
        <w:tc>
          <w:tcPr>
            <w:tcW w:w="0" w:type="auto"/>
            <w:tcBorders>
              <w:top w:val="single" w:sz="4" w:space="0" w:color="auto"/>
            </w:tcBorders>
            <w:hideMark/>
          </w:tcPr>
          <w:p w14:paraId="5CDB5F94"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1.824</w:t>
            </w:r>
          </w:p>
        </w:tc>
        <w:tc>
          <w:tcPr>
            <w:tcW w:w="0" w:type="auto"/>
            <w:tcBorders>
              <w:top w:val="single" w:sz="4" w:space="0" w:color="auto"/>
            </w:tcBorders>
            <w:hideMark/>
          </w:tcPr>
          <w:p w14:paraId="66EEA5E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0.015</w:t>
            </w:r>
          </w:p>
        </w:tc>
        <w:tc>
          <w:tcPr>
            <w:tcW w:w="0" w:type="auto"/>
            <w:tcBorders>
              <w:top w:val="single" w:sz="4" w:space="0" w:color="auto"/>
            </w:tcBorders>
            <w:hideMark/>
          </w:tcPr>
          <w:p w14:paraId="6C5E7EE7"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Significant driver of TGE in both periods; influence slightly reduced post-reform, but remains strong.</w:t>
            </w:r>
          </w:p>
        </w:tc>
      </w:tr>
      <w:tr w:rsidR="00DB6A40" w:rsidRPr="00DB6A40" w14:paraId="6F0A0E68" w14:textId="77777777" w:rsidTr="00D00B3F">
        <w:tc>
          <w:tcPr>
            <w:tcW w:w="0" w:type="auto"/>
            <w:hideMark/>
          </w:tcPr>
          <w:p w14:paraId="6762128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D(PPT)</w:t>
            </w:r>
          </w:p>
        </w:tc>
        <w:tc>
          <w:tcPr>
            <w:tcW w:w="0" w:type="auto"/>
            <w:hideMark/>
          </w:tcPr>
          <w:p w14:paraId="386CEE6E"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1.927</w:t>
            </w:r>
          </w:p>
        </w:tc>
        <w:tc>
          <w:tcPr>
            <w:tcW w:w="0" w:type="auto"/>
            <w:hideMark/>
          </w:tcPr>
          <w:p w14:paraId="4603B4B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0.045</w:t>
            </w:r>
          </w:p>
        </w:tc>
        <w:tc>
          <w:tcPr>
            <w:tcW w:w="0" w:type="auto"/>
            <w:hideMark/>
          </w:tcPr>
          <w:p w14:paraId="1738F0FB"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0.953</w:t>
            </w:r>
          </w:p>
        </w:tc>
        <w:tc>
          <w:tcPr>
            <w:tcW w:w="0" w:type="auto"/>
            <w:hideMark/>
          </w:tcPr>
          <w:p w14:paraId="7E818381"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0.067</w:t>
            </w:r>
          </w:p>
        </w:tc>
        <w:tc>
          <w:tcPr>
            <w:tcW w:w="0" w:type="auto"/>
            <w:hideMark/>
          </w:tcPr>
          <w:p w14:paraId="499EE027"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Significant pre-reform; marginally insignificant post-reform, possibly due to oil price volatility.</w:t>
            </w:r>
          </w:p>
        </w:tc>
      </w:tr>
      <w:tr w:rsidR="00DB6A40" w:rsidRPr="00DB6A40" w14:paraId="68CF3671" w14:textId="77777777" w:rsidTr="00D00B3F">
        <w:tc>
          <w:tcPr>
            <w:tcW w:w="0" w:type="auto"/>
            <w:hideMark/>
          </w:tcPr>
          <w:p w14:paraId="6FD7AE9A"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D(CIT)</w:t>
            </w:r>
          </w:p>
        </w:tc>
        <w:tc>
          <w:tcPr>
            <w:tcW w:w="0" w:type="auto"/>
            <w:hideMark/>
          </w:tcPr>
          <w:p w14:paraId="40524FD8"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1.782</w:t>
            </w:r>
          </w:p>
        </w:tc>
        <w:tc>
          <w:tcPr>
            <w:tcW w:w="0" w:type="auto"/>
            <w:hideMark/>
          </w:tcPr>
          <w:p w14:paraId="30CDDBB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0.030</w:t>
            </w:r>
          </w:p>
        </w:tc>
        <w:tc>
          <w:tcPr>
            <w:tcW w:w="0" w:type="auto"/>
            <w:hideMark/>
          </w:tcPr>
          <w:p w14:paraId="6473224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2.119</w:t>
            </w:r>
          </w:p>
        </w:tc>
        <w:tc>
          <w:tcPr>
            <w:tcW w:w="0" w:type="auto"/>
            <w:hideMark/>
          </w:tcPr>
          <w:p w14:paraId="2FF697A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0.031</w:t>
            </w:r>
          </w:p>
        </w:tc>
        <w:tc>
          <w:tcPr>
            <w:tcW w:w="0" w:type="auto"/>
            <w:hideMark/>
          </w:tcPr>
          <w:p w14:paraId="222461F8"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Significant in both periods; slightly higher impact post-reform, reflecting improved corporate tax enforcement.</w:t>
            </w:r>
          </w:p>
        </w:tc>
      </w:tr>
      <w:tr w:rsidR="00DB6A40" w:rsidRPr="00DB6A40" w14:paraId="23D4D85A" w14:textId="77777777" w:rsidTr="00D00B3F">
        <w:tc>
          <w:tcPr>
            <w:tcW w:w="0" w:type="auto"/>
            <w:hideMark/>
          </w:tcPr>
          <w:p w14:paraId="7068749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D(VAT)</w:t>
            </w:r>
          </w:p>
        </w:tc>
        <w:tc>
          <w:tcPr>
            <w:tcW w:w="0" w:type="auto"/>
            <w:hideMark/>
          </w:tcPr>
          <w:p w14:paraId="724E12D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0.845</w:t>
            </w:r>
          </w:p>
        </w:tc>
        <w:tc>
          <w:tcPr>
            <w:tcW w:w="0" w:type="auto"/>
            <w:hideMark/>
          </w:tcPr>
          <w:p w14:paraId="38355BF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0.064</w:t>
            </w:r>
          </w:p>
        </w:tc>
        <w:tc>
          <w:tcPr>
            <w:tcW w:w="0" w:type="auto"/>
            <w:hideMark/>
          </w:tcPr>
          <w:p w14:paraId="7215931A"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1.356</w:t>
            </w:r>
          </w:p>
        </w:tc>
        <w:tc>
          <w:tcPr>
            <w:tcW w:w="0" w:type="auto"/>
            <w:hideMark/>
          </w:tcPr>
          <w:p w14:paraId="40B9492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0.021</w:t>
            </w:r>
          </w:p>
        </w:tc>
        <w:tc>
          <w:tcPr>
            <w:tcW w:w="0" w:type="auto"/>
            <w:hideMark/>
          </w:tcPr>
          <w:p w14:paraId="1F37340F"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Marginally insignificant pre-reform; becomes significant post-reform, showing enhanced consumption tax impact.</w:t>
            </w:r>
          </w:p>
        </w:tc>
      </w:tr>
      <w:tr w:rsidR="00DB6A40" w:rsidRPr="00DB6A40" w14:paraId="7662C762" w14:textId="77777777" w:rsidTr="00D00B3F">
        <w:tc>
          <w:tcPr>
            <w:tcW w:w="0" w:type="auto"/>
            <w:hideMark/>
          </w:tcPr>
          <w:p w14:paraId="377CB15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D(CED)</w:t>
            </w:r>
          </w:p>
        </w:tc>
        <w:tc>
          <w:tcPr>
            <w:tcW w:w="0" w:type="auto"/>
            <w:hideMark/>
          </w:tcPr>
          <w:p w14:paraId="45AB21E1"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0.914</w:t>
            </w:r>
          </w:p>
        </w:tc>
        <w:tc>
          <w:tcPr>
            <w:tcW w:w="0" w:type="auto"/>
            <w:hideMark/>
          </w:tcPr>
          <w:p w14:paraId="513F8A1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0.091</w:t>
            </w:r>
          </w:p>
        </w:tc>
        <w:tc>
          <w:tcPr>
            <w:tcW w:w="0" w:type="auto"/>
            <w:hideMark/>
          </w:tcPr>
          <w:p w14:paraId="0DA11D33"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0.984</w:t>
            </w:r>
          </w:p>
        </w:tc>
        <w:tc>
          <w:tcPr>
            <w:tcW w:w="0" w:type="auto"/>
            <w:hideMark/>
          </w:tcPr>
          <w:p w14:paraId="78E9F1A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0.004</w:t>
            </w:r>
          </w:p>
        </w:tc>
        <w:tc>
          <w:tcPr>
            <w:tcW w:w="0" w:type="auto"/>
            <w:hideMark/>
          </w:tcPr>
          <w:p w14:paraId="41E7D853"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Insignificant pre-reform; significant post-reform, indicating stronger influence after electronic tax administration.</w:t>
            </w:r>
          </w:p>
        </w:tc>
      </w:tr>
      <w:tr w:rsidR="00DB6A40" w:rsidRPr="00DB6A40" w14:paraId="641CA184" w14:textId="77777777" w:rsidTr="00D00B3F">
        <w:tc>
          <w:tcPr>
            <w:tcW w:w="0" w:type="auto"/>
            <w:hideMark/>
          </w:tcPr>
          <w:p w14:paraId="4687F5A2"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D(CGT)</w:t>
            </w:r>
          </w:p>
        </w:tc>
        <w:tc>
          <w:tcPr>
            <w:tcW w:w="0" w:type="auto"/>
            <w:hideMark/>
          </w:tcPr>
          <w:p w14:paraId="68E72B94"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0.326</w:t>
            </w:r>
          </w:p>
        </w:tc>
        <w:tc>
          <w:tcPr>
            <w:tcW w:w="0" w:type="auto"/>
            <w:hideMark/>
          </w:tcPr>
          <w:p w14:paraId="077FC3E8"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0.139</w:t>
            </w:r>
          </w:p>
        </w:tc>
        <w:tc>
          <w:tcPr>
            <w:tcW w:w="0" w:type="auto"/>
            <w:hideMark/>
          </w:tcPr>
          <w:p w14:paraId="4B8B476A"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0.287</w:t>
            </w:r>
          </w:p>
        </w:tc>
        <w:tc>
          <w:tcPr>
            <w:tcW w:w="0" w:type="auto"/>
            <w:hideMark/>
          </w:tcPr>
          <w:p w14:paraId="393F86D3"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0.172</w:t>
            </w:r>
          </w:p>
        </w:tc>
        <w:tc>
          <w:tcPr>
            <w:tcW w:w="0" w:type="auto"/>
            <w:hideMark/>
          </w:tcPr>
          <w:p w14:paraId="552413E8"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Insignificant in both periods, indicating minimal impact on long-run TGE.</w:t>
            </w:r>
          </w:p>
        </w:tc>
      </w:tr>
      <w:tr w:rsidR="00DB6A40" w:rsidRPr="00DB6A40" w14:paraId="0410ABCF" w14:textId="77777777" w:rsidTr="00D00B3F">
        <w:tc>
          <w:tcPr>
            <w:tcW w:w="0" w:type="auto"/>
            <w:hideMark/>
          </w:tcPr>
          <w:p w14:paraId="396D36EB" w14:textId="77777777" w:rsidR="00DB6A40" w:rsidRPr="00DB6A40" w:rsidRDefault="00DB6A40" w:rsidP="00DB6A40">
            <w:pPr>
              <w:spacing w:line="259" w:lineRule="auto"/>
              <w:jc w:val="both"/>
              <w:rPr>
                <w:rFonts w:ascii="Times New Roman" w:eastAsia="Calibri" w:hAnsi="Times New Roman" w:cs="Times New Roman"/>
              </w:rPr>
            </w:pPr>
            <w:proofErr w:type="gramStart"/>
            <w:r w:rsidRPr="00DB6A40">
              <w:rPr>
                <w:rFonts w:ascii="Times New Roman" w:eastAsia="Calibri" w:hAnsi="Times New Roman" w:cs="Times New Roman"/>
              </w:rPr>
              <w:t>ECM(</w:t>
            </w:r>
            <w:proofErr w:type="gramEnd"/>
            <w:r w:rsidRPr="00DB6A40">
              <w:rPr>
                <w:rFonts w:ascii="Times New Roman" w:eastAsia="Calibri" w:hAnsi="Times New Roman" w:cs="Times New Roman"/>
              </w:rPr>
              <w:t>-1)</w:t>
            </w:r>
          </w:p>
        </w:tc>
        <w:tc>
          <w:tcPr>
            <w:tcW w:w="0" w:type="auto"/>
            <w:hideMark/>
          </w:tcPr>
          <w:p w14:paraId="2DE0B9C7"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-0.452</w:t>
            </w:r>
          </w:p>
        </w:tc>
        <w:tc>
          <w:tcPr>
            <w:tcW w:w="0" w:type="auto"/>
            <w:hideMark/>
          </w:tcPr>
          <w:p w14:paraId="2143CA0E"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0.003</w:t>
            </w:r>
          </w:p>
        </w:tc>
        <w:tc>
          <w:tcPr>
            <w:tcW w:w="0" w:type="auto"/>
            <w:hideMark/>
          </w:tcPr>
          <w:p w14:paraId="40AB4EDB"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-0.618</w:t>
            </w:r>
          </w:p>
        </w:tc>
        <w:tc>
          <w:tcPr>
            <w:tcW w:w="0" w:type="auto"/>
            <w:hideMark/>
          </w:tcPr>
          <w:p w14:paraId="06FD044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0.000</w:t>
            </w:r>
          </w:p>
        </w:tc>
        <w:tc>
          <w:tcPr>
            <w:tcW w:w="0" w:type="auto"/>
            <w:hideMark/>
          </w:tcPr>
          <w:p w14:paraId="3398B2D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Negative and significant in both periods; faster adjustment post-reform (62% vs 45%), reflecting improved fiscal responsiveness.</w:t>
            </w:r>
          </w:p>
        </w:tc>
      </w:tr>
      <w:tr w:rsidR="00DB6A40" w:rsidRPr="00DB6A40" w14:paraId="74FEED8B" w14:textId="77777777" w:rsidTr="00D00B3F">
        <w:tc>
          <w:tcPr>
            <w:tcW w:w="0" w:type="auto"/>
            <w:hideMark/>
          </w:tcPr>
          <w:p w14:paraId="0E9BDA4D"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R-squared</w:t>
            </w:r>
          </w:p>
        </w:tc>
        <w:tc>
          <w:tcPr>
            <w:tcW w:w="0" w:type="auto"/>
            <w:hideMark/>
          </w:tcPr>
          <w:p w14:paraId="0C1274FF"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0.782</w:t>
            </w:r>
          </w:p>
        </w:tc>
        <w:tc>
          <w:tcPr>
            <w:tcW w:w="0" w:type="auto"/>
            <w:hideMark/>
          </w:tcPr>
          <w:p w14:paraId="3B1F16E1"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w:t>
            </w:r>
          </w:p>
        </w:tc>
        <w:tc>
          <w:tcPr>
            <w:tcW w:w="0" w:type="auto"/>
            <w:hideMark/>
          </w:tcPr>
          <w:p w14:paraId="32BD9114"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0.861</w:t>
            </w:r>
          </w:p>
        </w:tc>
        <w:tc>
          <w:tcPr>
            <w:tcW w:w="0" w:type="auto"/>
            <w:hideMark/>
          </w:tcPr>
          <w:p w14:paraId="2D736FDA"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w:t>
            </w:r>
          </w:p>
        </w:tc>
        <w:tc>
          <w:tcPr>
            <w:tcW w:w="0" w:type="auto"/>
            <w:hideMark/>
          </w:tcPr>
          <w:p w14:paraId="4096D1E4"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Model explains 78% of TGE variation pre-reform; increases to 86% post-reform, indicating better explanatory power.</w:t>
            </w:r>
          </w:p>
        </w:tc>
      </w:tr>
      <w:tr w:rsidR="00DB6A40" w:rsidRPr="00DB6A40" w14:paraId="0696B8F1" w14:textId="77777777" w:rsidTr="00D00B3F">
        <w:tc>
          <w:tcPr>
            <w:tcW w:w="0" w:type="auto"/>
            <w:hideMark/>
          </w:tcPr>
          <w:p w14:paraId="72EBE5E7"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Adjusted R-squared</w:t>
            </w:r>
          </w:p>
        </w:tc>
        <w:tc>
          <w:tcPr>
            <w:tcW w:w="0" w:type="auto"/>
            <w:hideMark/>
          </w:tcPr>
          <w:p w14:paraId="5EDFCB3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0.741</w:t>
            </w:r>
          </w:p>
        </w:tc>
        <w:tc>
          <w:tcPr>
            <w:tcW w:w="0" w:type="auto"/>
            <w:hideMark/>
          </w:tcPr>
          <w:p w14:paraId="4A8430BC"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w:t>
            </w:r>
          </w:p>
        </w:tc>
        <w:tc>
          <w:tcPr>
            <w:tcW w:w="0" w:type="auto"/>
            <w:hideMark/>
          </w:tcPr>
          <w:p w14:paraId="4C4E6CC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0.823</w:t>
            </w:r>
          </w:p>
        </w:tc>
        <w:tc>
          <w:tcPr>
            <w:tcW w:w="0" w:type="auto"/>
            <w:hideMark/>
          </w:tcPr>
          <w:p w14:paraId="77AF9E8D"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w:t>
            </w:r>
          </w:p>
        </w:tc>
        <w:tc>
          <w:tcPr>
            <w:tcW w:w="0" w:type="auto"/>
            <w:hideMark/>
          </w:tcPr>
          <w:p w14:paraId="27627106"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 xml:space="preserve">Confirms strong explanatory capacity after accounting for </w:t>
            </w:r>
            <w:proofErr w:type="gramStart"/>
            <w:r w:rsidRPr="00DB6A40">
              <w:rPr>
                <w:rFonts w:ascii="Times New Roman" w:eastAsia="Calibri" w:hAnsi="Times New Roman" w:cs="Times New Roman"/>
              </w:rPr>
              <w:t>other  regressors</w:t>
            </w:r>
            <w:proofErr w:type="gramEnd"/>
            <w:r w:rsidRPr="00DB6A40">
              <w:rPr>
                <w:rFonts w:ascii="Times New Roman" w:eastAsia="Calibri" w:hAnsi="Times New Roman" w:cs="Times New Roman"/>
              </w:rPr>
              <w:t>.</w:t>
            </w:r>
          </w:p>
        </w:tc>
      </w:tr>
      <w:tr w:rsidR="00DB6A40" w:rsidRPr="00DB6A40" w14:paraId="28AA826D" w14:textId="77777777" w:rsidTr="00D00B3F">
        <w:tc>
          <w:tcPr>
            <w:tcW w:w="0" w:type="auto"/>
            <w:hideMark/>
          </w:tcPr>
          <w:p w14:paraId="5F41AD25"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F-statistic</w:t>
            </w:r>
          </w:p>
        </w:tc>
        <w:tc>
          <w:tcPr>
            <w:tcW w:w="0" w:type="auto"/>
            <w:hideMark/>
          </w:tcPr>
          <w:p w14:paraId="759C5C19"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19.462</w:t>
            </w:r>
          </w:p>
        </w:tc>
        <w:tc>
          <w:tcPr>
            <w:tcW w:w="0" w:type="auto"/>
            <w:hideMark/>
          </w:tcPr>
          <w:p w14:paraId="0A862E5C"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0.000</w:t>
            </w:r>
          </w:p>
        </w:tc>
        <w:tc>
          <w:tcPr>
            <w:tcW w:w="0" w:type="auto"/>
            <w:hideMark/>
          </w:tcPr>
          <w:p w14:paraId="58AD3BE3"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23.957</w:t>
            </w:r>
          </w:p>
        </w:tc>
        <w:tc>
          <w:tcPr>
            <w:tcW w:w="0" w:type="auto"/>
            <w:hideMark/>
          </w:tcPr>
          <w:p w14:paraId="08DF63B6"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0.000</w:t>
            </w:r>
          </w:p>
        </w:tc>
        <w:tc>
          <w:tcPr>
            <w:tcW w:w="0" w:type="auto"/>
            <w:hideMark/>
          </w:tcPr>
          <w:p w14:paraId="7D00F456"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Model is jointly significant across both periods.</w:t>
            </w:r>
          </w:p>
        </w:tc>
      </w:tr>
      <w:tr w:rsidR="00DB6A40" w:rsidRPr="00DB6A40" w14:paraId="259F35E9" w14:textId="77777777" w:rsidTr="00D00B3F">
        <w:tc>
          <w:tcPr>
            <w:tcW w:w="0" w:type="auto"/>
            <w:tcBorders>
              <w:bottom w:val="single" w:sz="4" w:space="0" w:color="auto"/>
            </w:tcBorders>
            <w:hideMark/>
          </w:tcPr>
          <w:p w14:paraId="305A5AC1"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Durbin-Watson</w:t>
            </w:r>
          </w:p>
        </w:tc>
        <w:tc>
          <w:tcPr>
            <w:tcW w:w="0" w:type="auto"/>
            <w:tcBorders>
              <w:bottom w:val="single" w:sz="4" w:space="0" w:color="auto"/>
            </w:tcBorders>
            <w:hideMark/>
          </w:tcPr>
          <w:p w14:paraId="155858B6"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1.978</w:t>
            </w:r>
          </w:p>
        </w:tc>
        <w:tc>
          <w:tcPr>
            <w:tcW w:w="0" w:type="auto"/>
            <w:tcBorders>
              <w:bottom w:val="single" w:sz="4" w:space="0" w:color="auto"/>
            </w:tcBorders>
            <w:hideMark/>
          </w:tcPr>
          <w:p w14:paraId="794FF33D"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w:t>
            </w:r>
          </w:p>
        </w:tc>
        <w:tc>
          <w:tcPr>
            <w:tcW w:w="0" w:type="auto"/>
            <w:tcBorders>
              <w:bottom w:val="single" w:sz="4" w:space="0" w:color="auto"/>
            </w:tcBorders>
            <w:hideMark/>
          </w:tcPr>
          <w:p w14:paraId="0B33630D"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2.042</w:t>
            </w:r>
          </w:p>
        </w:tc>
        <w:tc>
          <w:tcPr>
            <w:tcW w:w="0" w:type="auto"/>
            <w:tcBorders>
              <w:bottom w:val="single" w:sz="4" w:space="0" w:color="auto"/>
            </w:tcBorders>
            <w:hideMark/>
          </w:tcPr>
          <w:p w14:paraId="4D6B8ED0"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w:t>
            </w:r>
          </w:p>
        </w:tc>
        <w:tc>
          <w:tcPr>
            <w:tcW w:w="0" w:type="auto"/>
            <w:tcBorders>
              <w:bottom w:val="single" w:sz="4" w:space="0" w:color="auto"/>
            </w:tcBorders>
            <w:hideMark/>
          </w:tcPr>
          <w:p w14:paraId="32529808" w14:textId="77777777" w:rsidR="00DB6A40" w:rsidRPr="00DB6A40" w:rsidRDefault="00DB6A40" w:rsidP="00DB6A40">
            <w:pPr>
              <w:spacing w:line="259" w:lineRule="auto"/>
              <w:jc w:val="both"/>
              <w:rPr>
                <w:rFonts w:ascii="Times New Roman" w:eastAsia="Calibri" w:hAnsi="Times New Roman" w:cs="Times New Roman"/>
              </w:rPr>
            </w:pPr>
            <w:r w:rsidRPr="00DB6A40">
              <w:rPr>
                <w:rFonts w:ascii="Times New Roman" w:eastAsia="Calibri" w:hAnsi="Times New Roman" w:cs="Times New Roman"/>
              </w:rPr>
              <w:t>Minimal autocorrelation, supporting reliable inference.</w:t>
            </w:r>
          </w:p>
        </w:tc>
      </w:tr>
    </w:tbl>
    <w:p w14:paraId="67E3FEAA" w14:textId="3B0DDFF2"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In the pre-reform period (1994–2012), Personal Income Tax, Petroleum Profit Tax and Company Income Tax are significant long-run drivers of Total Government Expenditure. Value Added Tax and Customs and Excise Duties are positive but marginally insignificant, while Capital Gains Tax remains insignificant. The ECM coefficient of -0.452 indicates that </w:t>
      </w:r>
      <w:r w:rsidRPr="00DB6A40">
        <w:rPr>
          <w:rFonts w:ascii="Times New Roman" w:eastAsia="Calibri" w:hAnsi="Times New Roman" w:cs="Times New Roman"/>
          <w:sz w:val="22"/>
          <w:szCs w:val="22"/>
        </w:rPr>
        <w:lastRenderedPageBreak/>
        <w:t>deviations from long-run equilibrium are corrected at a moderate speed of 45% per period. Overall, about 78% of Total Government Expenditure variation is explained by these tax revenue sources, confirming the robustness of the pre-reform ARDL model.</w:t>
      </w:r>
    </w:p>
    <w:p w14:paraId="30ADA37D"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Over the post-reform period of 2013–2024, this pattern of influence changed significantly. Value Added Tax and Customs and Excise Duties have now joined Personal Income Tax and Company Income Tax as significant contributors to Total Government Expenditure. This is in consequence of the electronic taxation regime, which enhanced administration, compliance, and oversight, thereby increasing the fiscal impact of taxes on commerce and consumption. As a result of underutilization of, or changes in, the price of oil, Petroleum Profit Tax becomes somewhat negligible, while Capital Gain Tax remains negligible. Fiscal policy change and revenue-to-expenditure transmission are more sensitive in the post-reform era, as captured by the rise in the </w:t>
      </w:r>
      <w:proofErr w:type="gramStart"/>
      <w:r w:rsidRPr="00DB6A40">
        <w:rPr>
          <w:rFonts w:ascii="Times New Roman" w:eastAsia="Calibri" w:hAnsi="Times New Roman" w:cs="Times New Roman"/>
          <w:sz w:val="22"/>
          <w:szCs w:val="22"/>
        </w:rPr>
        <w:t>ECM(</w:t>
      </w:r>
      <w:proofErr w:type="gramEnd"/>
      <w:r w:rsidRPr="00DB6A40">
        <w:rPr>
          <w:rFonts w:ascii="Times New Roman" w:eastAsia="Calibri" w:hAnsi="Times New Roman" w:cs="Times New Roman"/>
          <w:sz w:val="22"/>
          <w:szCs w:val="22"/>
        </w:rPr>
        <w:t>-1) coefficient, standing at -0.618, while implying a faster speed of adjustment (62%) toward long-run equilibrium. The increased explanatory power is further underlined by the R-squared of 0.861, indicating that well over 86% of the variation in total government expenditure is explained by these combined tax components.</w:t>
      </w:r>
    </w:p>
    <w:p w14:paraId="64AE2EDD" w14:textId="77777777" w:rsidR="00A00954" w:rsidRDefault="00A00954" w:rsidP="00DB6A40">
      <w:pPr>
        <w:spacing w:after="0" w:line="259" w:lineRule="auto"/>
        <w:jc w:val="both"/>
        <w:rPr>
          <w:rFonts w:ascii="Times New Roman" w:eastAsia="Calibri" w:hAnsi="Times New Roman" w:cs="Times New Roman"/>
          <w:b/>
          <w:bCs/>
          <w:sz w:val="22"/>
          <w:szCs w:val="22"/>
        </w:rPr>
      </w:pPr>
    </w:p>
    <w:p w14:paraId="1065C330" w14:textId="3F66C55C"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Discussion of Finding</w:t>
      </w:r>
    </w:p>
    <w:p w14:paraId="2AFDB492" w14:textId="77777777" w:rsidR="00DB6A40" w:rsidRPr="00DB6A40" w:rsidRDefault="00DB6A40" w:rsidP="00DB6A40">
      <w:pPr>
        <w:spacing w:line="240"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The ARDL long-run estimates for the pre- and post-reform periods provide important information about the fiscal policy dynamics in Nigeria. These estimates show the interaction between government expenditure and revenue </w:t>
      </w:r>
      <w:proofErr w:type="spellStart"/>
      <w:r w:rsidRPr="00DB6A40">
        <w:rPr>
          <w:rFonts w:ascii="Times New Roman" w:eastAsia="Calibri" w:hAnsi="Times New Roman" w:cs="Times New Roman"/>
          <w:sz w:val="22"/>
          <w:szCs w:val="22"/>
        </w:rPr>
        <w:t>mobilisation</w:t>
      </w:r>
      <w:proofErr w:type="spellEnd"/>
      <w:r w:rsidRPr="00DB6A40">
        <w:rPr>
          <w:rFonts w:ascii="Times New Roman" w:eastAsia="Calibri" w:hAnsi="Times New Roman" w:cs="Times New Roman"/>
          <w:sz w:val="22"/>
          <w:szCs w:val="22"/>
        </w:rPr>
        <w:t xml:space="preserve"> as a result of institutional reforms.  A comparison of the periods from the results obtained reveals that the chief drivers of government spending in the pre-reform period, 1994-2012, were Personal Income Tax, Petroleum Profit Tax, and Company Income Tax, while Value Added Tax and Customs and Excise Duties are marginally significant, and Capital Gains Tax is largely insignificant.  The government expenditure was a little sluggish to react to increases in revenue before the reform, as shown by the moderate speed of adjustment indicated by the </w:t>
      </w:r>
      <w:proofErr w:type="gramStart"/>
      <w:r w:rsidRPr="00DB6A40">
        <w:rPr>
          <w:rFonts w:ascii="Times New Roman" w:eastAsia="Calibri" w:hAnsi="Times New Roman" w:cs="Times New Roman"/>
          <w:sz w:val="22"/>
          <w:szCs w:val="22"/>
        </w:rPr>
        <w:t>ECM(</w:t>
      </w:r>
      <w:proofErr w:type="gramEnd"/>
      <w:r w:rsidRPr="00DB6A40">
        <w:rPr>
          <w:rFonts w:ascii="Times New Roman" w:eastAsia="Calibri" w:hAnsi="Times New Roman" w:cs="Times New Roman"/>
          <w:sz w:val="22"/>
          <w:szCs w:val="22"/>
        </w:rPr>
        <w:t>-1) coefficient of -0.452.  Administrative inefficiencies, bureaucratic hold-ups, and a mostly manual tax collection system were probably the main causes of this.</w:t>
      </w:r>
    </w:p>
    <w:p w14:paraId="62051E5A" w14:textId="77777777" w:rsidR="00DB6A40" w:rsidRPr="00DB6A40" w:rsidRDefault="00DB6A40" w:rsidP="00DB6A40">
      <w:pPr>
        <w:spacing w:line="240"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However, the dynamics of fiscal response significantly changed with 2013 electronic tax reform. Personal Income Tax maintained a more significant relationship with government expenditure in the post reform period. This aligns with the findings of the studies </w:t>
      </w:r>
      <w:proofErr w:type="gramStart"/>
      <w:r w:rsidRPr="00DB6A40">
        <w:rPr>
          <w:rFonts w:ascii="Times New Roman" w:eastAsia="Calibri" w:hAnsi="Times New Roman" w:cs="Times New Roman"/>
          <w:sz w:val="22"/>
          <w:szCs w:val="22"/>
        </w:rPr>
        <w:t xml:space="preserve">of  </w:t>
      </w:r>
      <w:proofErr w:type="spellStart"/>
      <w:r w:rsidRPr="00DB6A40">
        <w:rPr>
          <w:rFonts w:ascii="Times New Roman" w:eastAsia="Calibri" w:hAnsi="Times New Roman" w:cs="Times New Roman"/>
          <w:sz w:val="22"/>
          <w:szCs w:val="22"/>
        </w:rPr>
        <w:t>Imeokparia</w:t>
      </w:r>
      <w:proofErr w:type="spellEnd"/>
      <w:proofErr w:type="gramEnd"/>
      <w:r w:rsidRPr="00DB6A40">
        <w:rPr>
          <w:rFonts w:ascii="Times New Roman" w:eastAsia="Calibri" w:hAnsi="Times New Roman" w:cs="Times New Roman"/>
          <w:sz w:val="22"/>
          <w:szCs w:val="22"/>
        </w:rPr>
        <w:t xml:space="preserve"> et al, (2025); </w:t>
      </w:r>
      <w:proofErr w:type="spellStart"/>
      <w:r w:rsidRPr="00DB6A40">
        <w:rPr>
          <w:rFonts w:ascii="Times New Roman" w:eastAsia="Calibri" w:hAnsi="Times New Roman" w:cs="Times New Roman"/>
          <w:sz w:val="22"/>
          <w:szCs w:val="22"/>
        </w:rPr>
        <w:t>Ajagun</w:t>
      </w:r>
      <w:proofErr w:type="spellEnd"/>
      <w:r w:rsidRPr="00DB6A40">
        <w:rPr>
          <w:rFonts w:ascii="Times New Roman" w:eastAsia="Calibri" w:hAnsi="Times New Roman" w:cs="Times New Roman"/>
          <w:sz w:val="22"/>
          <w:szCs w:val="22"/>
        </w:rPr>
        <w:t xml:space="preserve">, et al. (2025); Ndubuisi, et </w:t>
      </w:r>
      <w:proofErr w:type="gramStart"/>
      <w:r w:rsidRPr="00DB6A40">
        <w:rPr>
          <w:rFonts w:ascii="Times New Roman" w:eastAsia="Calibri" w:hAnsi="Times New Roman" w:cs="Times New Roman"/>
          <w:sz w:val="22"/>
          <w:szCs w:val="22"/>
        </w:rPr>
        <w:t>al,(</w:t>
      </w:r>
      <w:proofErr w:type="gramEnd"/>
      <w:r w:rsidRPr="00DB6A40">
        <w:rPr>
          <w:rFonts w:ascii="Times New Roman" w:eastAsia="Calibri" w:hAnsi="Times New Roman" w:cs="Times New Roman"/>
          <w:sz w:val="22"/>
          <w:szCs w:val="22"/>
        </w:rPr>
        <w:t xml:space="preserve">2020) and Osho, et al (2019); Olaniyi, et al (2019). Also, Company Income Tax remained significant driver of government expenditure; this agrees with </w:t>
      </w:r>
      <w:proofErr w:type="spellStart"/>
      <w:r w:rsidRPr="00DB6A40">
        <w:rPr>
          <w:rFonts w:ascii="Times New Roman" w:eastAsia="Calibri" w:hAnsi="Times New Roman" w:cs="Times New Roman"/>
          <w:sz w:val="22"/>
          <w:szCs w:val="22"/>
        </w:rPr>
        <w:t>Imeokparia</w:t>
      </w:r>
      <w:proofErr w:type="spellEnd"/>
      <w:r w:rsidRPr="00DB6A40">
        <w:rPr>
          <w:rFonts w:ascii="Times New Roman" w:eastAsia="Calibri" w:hAnsi="Times New Roman" w:cs="Times New Roman"/>
          <w:sz w:val="22"/>
          <w:szCs w:val="22"/>
        </w:rPr>
        <w:t xml:space="preserve">, et al. (2025); Olaniyi, et al. (2019); Osho, et al. (2019) and Olegbenla, (2021). However, disagrees with </w:t>
      </w:r>
      <w:proofErr w:type="spellStart"/>
      <w:r w:rsidRPr="00DB6A40">
        <w:rPr>
          <w:rFonts w:ascii="Times New Roman" w:eastAsia="Calibri" w:hAnsi="Times New Roman" w:cs="Times New Roman"/>
          <w:sz w:val="22"/>
          <w:szCs w:val="22"/>
        </w:rPr>
        <w:t>Inyiama</w:t>
      </w:r>
      <w:proofErr w:type="spellEnd"/>
      <w:r w:rsidRPr="00DB6A40">
        <w:rPr>
          <w:rFonts w:ascii="Times New Roman" w:eastAsia="Calibri" w:hAnsi="Times New Roman" w:cs="Times New Roman"/>
          <w:sz w:val="22"/>
          <w:szCs w:val="22"/>
        </w:rPr>
        <w:t xml:space="preserve">, et al. (2017) and Ndubuisi, et al. (2020). Furthermore, Value Added Tax and Custom and Excise Duties, previously marginal, became strongly influential. The study of </w:t>
      </w:r>
      <w:proofErr w:type="spellStart"/>
      <w:r w:rsidRPr="00DB6A40">
        <w:rPr>
          <w:rFonts w:ascii="Times New Roman" w:eastAsia="Calibri" w:hAnsi="Times New Roman" w:cs="Times New Roman"/>
          <w:sz w:val="22"/>
          <w:szCs w:val="22"/>
        </w:rPr>
        <w:t>Imeokparia</w:t>
      </w:r>
      <w:proofErr w:type="spellEnd"/>
      <w:r w:rsidRPr="00DB6A40">
        <w:rPr>
          <w:rFonts w:ascii="Times New Roman" w:eastAsia="Calibri" w:hAnsi="Times New Roman" w:cs="Times New Roman"/>
          <w:sz w:val="22"/>
          <w:szCs w:val="22"/>
        </w:rPr>
        <w:t xml:space="preserve">, (2025); Ndubuisi, et al. (2020) supports this assertion while Eze, (2023) </w:t>
      </w:r>
      <w:proofErr w:type="gramStart"/>
      <w:r w:rsidRPr="00DB6A40">
        <w:rPr>
          <w:rFonts w:ascii="Times New Roman" w:eastAsia="Calibri" w:hAnsi="Times New Roman" w:cs="Times New Roman"/>
          <w:sz w:val="22"/>
          <w:szCs w:val="22"/>
        </w:rPr>
        <w:t xml:space="preserve">and  </w:t>
      </w:r>
      <w:proofErr w:type="spellStart"/>
      <w:r w:rsidRPr="00DB6A40">
        <w:rPr>
          <w:rFonts w:ascii="Times New Roman" w:eastAsia="Calibri" w:hAnsi="Times New Roman" w:cs="Times New Roman"/>
          <w:sz w:val="22"/>
          <w:szCs w:val="22"/>
        </w:rPr>
        <w:t>Inyiama</w:t>
      </w:r>
      <w:proofErr w:type="spellEnd"/>
      <w:proofErr w:type="gramEnd"/>
      <w:r w:rsidRPr="00DB6A40">
        <w:rPr>
          <w:rFonts w:ascii="Times New Roman" w:eastAsia="Calibri" w:hAnsi="Times New Roman" w:cs="Times New Roman"/>
          <w:sz w:val="22"/>
          <w:szCs w:val="22"/>
        </w:rPr>
        <w:t xml:space="preserve">, et al. (2017) did not support. While Petroleum Profit Tax became marginally insignificant a finding that aligns with the study of </w:t>
      </w:r>
      <w:proofErr w:type="spellStart"/>
      <w:r w:rsidRPr="00DB6A40">
        <w:rPr>
          <w:rFonts w:ascii="Times New Roman" w:eastAsia="Calibri" w:hAnsi="Times New Roman" w:cs="Times New Roman"/>
          <w:sz w:val="22"/>
          <w:szCs w:val="22"/>
        </w:rPr>
        <w:t>Inyiama</w:t>
      </w:r>
      <w:proofErr w:type="spellEnd"/>
      <w:r w:rsidRPr="00DB6A40">
        <w:rPr>
          <w:rFonts w:ascii="Times New Roman" w:eastAsia="Calibri" w:hAnsi="Times New Roman" w:cs="Times New Roman"/>
          <w:sz w:val="22"/>
          <w:szCs w:val="22"/>
        </w:rPr>
        <w:t xml:space="preserve">, et al. (2017); while Ologbenla, (2021); Olaniyi, et al. (2019) and </w:t>
      </w:r>
      <w:proofErr w:type="spellStart"/>
      <w:r w:rsidRPr="00DB6A40">
        <w:rPr>
          <w:rFonts w:ascii="Times New Roman" w:eastAsia="Calibri" w:hAnsi="Times New Roman" w:cs="Times New Roman"/>
          <w:sz w:val="22"/>
          <w:szCs w:val="22"/>
        </w:rPr>
        <w:t>Ajagun</w:t>
      </w:r>
      <w:proofErr w:type="spellEnd"/>
      <w:r w:rsidRPr="00DB6A40">
        <w:rPr>
          <w:rFonts w:ascii="Times New Roman" w:eastAsia="Calibri" w:hAnsi="Times New Roman" w:cs="Times New Roman"/>
          <w:sz w:val="22"/>
          <w:szCs w:val="22"/>
        </w:rPr>
        <w:t xml:space="preserve">, et al. (2025) disagrees with </w:t>
      </w:r>
      <w:proofErr w:type="gramStart"/>
      <w:r w:rsidRPr="00DB6A40">
        <w:rPr>
          <w:rFonts w:ascii="Times New Roman" w:eastAsia="Calibri" w:hAnsi="Times New Roman" w:cs="Times New Roman"/>
          <w:sz w:val="22"/>
          <w:szCs w:val="22"/>
        </w:rPr>
        <w:t>this findings</w:t>
      </w:r>
      <w:proofErr w:type="gramEnd"/>
      <w:r w:rsidRPr="00DB6A40">
        <w:rPr>
          <w:rFonts w:ascii="Times New Roman" w:eastAsia="Calibri" w:hAnsi="Times New Roman" w:cs="Times New Roman"/>
          <w:sz w:val="22"/>
          <w:szCs w:val="22"/>
        </w:rPr>
        <w:t xml:space="preserve">. And Capital Gain Tax continued to exert an insignificant relationship a study that agreed with that of Olaniyi, et al. (2019). </w:t>
      </w:r>
    </w:p>
    <w:p w14:paraId="796A5050" w14:textId="77777777" w:rsidR="00DB6A40" w:rsidRPr="00DB6A40" w:rsidRDefault="00DB6A40" w:rsidP="00DB6A40">
      <w:pPr>
        <w:spacing w:line="240"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This shift aligns with the Keynesian fiscal theory, which emphasizes the role of government intervention and efficient revenue mobilization in stimulating economic activities and sustaining public expenditure.</w:t>
      </w:r>
      <w:r w:rsidRPr="00DB6A40">
        <w:rPr>
          <w:rFonts w:ascii="Calibri" w:eastAsia="Calibri" w:hAnsi="Calibri" w:cs="Times New Roman"/>
          <w:sz w:val="22"/>
          <w:szCs w:val="22"/>
        </w:rPr>
        <w:t xml:space="preserve"> </w:t>
      </w:r>
      <w:r w:rsidRPr="00DB6A40">
        <w:rPr>
          <w:rFonts w:ascii="Times New Roman" w:eastAsia="Calibri" w:hAnsi="Times New Roman" w:cs="Times New Roman"/>
          <w:sz w:val="22"/>
          <w:szCs w:val="22"/>
        </w:rPr>
        <w:t xml:space="preserve">Advances in the mechanics of electronic tax collection, monitoring, and compliance procedures seem to have bolstered the government's capability to transform trade and consumption-based revenues into spending, as evidenced by the increasing relative importance of value-added tax and customs and excise duties following the reform. Furthermore, the </w:t>
      </w:r>
      <w:proofErr w:type="gramStart"/>
      <w:r w:rsidRPr="00DB6A40">
        <w:rPr>
          <w:rFonts w:ascii="Times New Roman" w:eastAsia="Calibri" w:hAnsi="Times New Roman" w:cs="Times New Roman"/>
          <w:sz w:val="22"/>
          <w:szCs w:val="22"/>
        </w:rPr>
        <w:t>ECM(</w:t>
      </w:r>
      <w:proofErr w:type="gramEnd"/>
      <w:r w:rsidRPr="00DB6A40">
        <w:rPr>
          <w:rFonts w:ascii="Times New Roman" w:eastAsia="Calibri" w:hAnsi="Times New Roman" w:cs="Times New Roman"/>
          <w:sz w:val="22"/>
          <w:szCs w:val="22"/>
        </w:rPr>
        <w:t xml:space="preserve">-1) coefficient increased to -0.618, indicating a faster adjustment process that might be driven by the Fiscal </w:t>
      </w:r>
      <w:proofErr w:type="spellStart"/>
      <w:r w:rsidRPr="00DB6A40">
        <w:rPr>
          <w:rFonts w:ascii="Times New Roman" w:eastAsia="Calibri" w:hAnsi="Times New Roman" w:cs="Times New Roman"/>
          <w:sz w:val="22"/>
          <w:szCs w:val="22"/>
        </w:rPr>
        <w:t>Synchronisation</w:t>
      </w:r>
      <w:proofErr w:type="spellEnd"/>
      <w:r w:rsidRPr="00DB6A40">
        <w:rPr>
          <w:rFonts w:ascii="Times New Roman" w:eastAsia="Calibri" w:hAnsi="Times New Roman" w:cs="Times New Roman"/>
          <w:sz w:val="22"/>
          <w:szCs w:val="22"/>
        </w:rPr>
        <w:t xml:space="preserve"> Theory. Under this theory, institutional modernization, increased transparency, and improvements in the administrative process raise the degree of efficiency and speed at which variations in revenue are transmitted to public spending (</w:t>
      </w:r>
      <w:proofErr w:type="spellStart"/>
      <w:r w:rsidRPr="00DB6A40">
        <w:rPr>
          <w:rFonts w:ascii="Times New Roman" w:eastAsia="Calibri" w:hAnsi="Times New Roman" w:cs="Times New Roman"/>
          <w:sz w:val="22"/>
          <w:szCs w:val="22"/>
        </w:rPr>
        <w:t>Alesina</w:t>
      </w:r>
      <w:proofErr w:type="spellEnd"/>
      <w:r w:rsidRPr="00DB6A40">
        <w:rPr>
          <w:rFonts w:ascii="Times New Roman" w:eastAsia="Calibri" w:hAnsi="Times New Roman" w:cs="Times New Roman"/>
          <w:sz w:val="22"/>
          <w:szCs w:val="22"/>
        </w:rPr>
        <w:t xml:space="preserve"> &amp; Perotti, 1995).</w:t>
      </w:r>
    </w:p>
    <w:p w14:paraId="7E98034C" w14:textId="77777777" w:rsidR="00DB6A40" w:rsidRPr="00DB6A40" w:rsidRDefault="00DB6A40" w:rsidP="00DB6A40">
      <w:pPr>
        <w:spacing w:line="240" w:lineRule="auto"/>
        <w:jc w:val="both"/>
        <w:rPr>
          <w:rFonts w:ascii="Times New Roman" w:eastAsia="Calibri" w:hAnsi="Times New Roman" w:cs="Times New Roman"/>
          <w:b/>
          <w:bCs/>
          <w:sz w:val="22"/>
          <w:szCs w:val="22"/>
        </w:rPr>
      </w:pPr>
      <w:r w:rsidRPr="00DB6A40">
        <w:rPr>
          <w:rFonts w:ascii="Times New Roman" w:eastAsia="Calibri" w:hAnsi="Times New Roman" w:cs="Times New Roman"/>
          <w:sz w:val="22"/>
          <w:szCs w:val="22"/>
        </w:rPr>
        <w:t xml:space="preserve">A summary of the overall results states that the electronic tax reforms enhanced coordination between revenue collection and expenditure allocation by quickening fiscal responsiveness and opened up space for non-oil taxes, among other revenue streams, to affect long-term fiscal behavior. However, since an underwhelming impact of the Capital Gain Tax in both periods only underlines some structural limitations in certain tax bases, the policy push toward revenue structure diversification and reinforcement of the enforcement mechanism would lead to wider fiscal stability. These results thus indicate that, while the contemporary reforms, technological advances, and enhancement of institutional capacity have a remarkable effect on how revenues are translated into efficient public spending, traditional theories of Wagner's Law capture the essential relationship between growth and expenditure. </w:t>
      </w:r>
    </w:p>
    <w:p w14:paraId="28C36CBA" w14:textId="77777777" w:rsidR="00DB6A40" w:rsidRPr="00DB6A40" w:rsidRDefault="00DB6A40" w:rsidP="00DB6A40">
      <w:pPr>
        <w:spacing w:after="0" w:line="259"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5.</w:t>
      </w:r>
      <w:r w:rsidRPr="00DB6A40">
        <w:rPr>
          <w:rFonts w:ascii="Times New Roman" w:eastAsia="Calibri" w:hAnsi="Times New Roman" w:cs="Times New Roman"/>
          <w:b/>
          <w:bCs/>
          <w:sz w:val="22"/>
          <w:szCs w:val="22"/>
        </w:rPr>
        <w:tab/>
        <w:t>Conclusion and Recommendation</w:t>
      </w:r>
    </w:p>
    <w:p w14:paraId="6C2EE79F"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lastRenderedPageBreak/>
        <w:t>The study provides strong evidence by comparing the government spending in Nigeria and its disaggregated tax collections before and after the 2013 electronic tax reform. Specifically, the figures reveal that the major fiscal drivers in the pre-reform period were the Personal Income Tax, Petroleum Profit Tax, and Company Income Tax, while Value Added Tax, Customs and Excise Duties, and Capital Gains Tax contributed insignificantly to government expenditure. Administrative inefficiencies, postponed remittances, and a structural dependence on oil revenue contributed to the slow fiscal responses observed in the pre-reform period. However, after reforms, matters change: no more is Personal Income Tax and Company Income Tax the sole big spenders, but Value Added Tax and Customs and Excise Duties have now also joined the league. Revenue from petroleum profit taxes fell from considerable levels to insignificant or almost nonexistent levels over this period. Nonetheless, the full disregard of the capital gains tax indicates that the procedures for implementing and extending the capital gains tax base were seriously defective. Apparently, the fiscal response of revenue to expenditure has been strengthened due to electronic tax administration, enhanced compliance monitoring, and institutional modernization, as the increased ECM coefficient post-reform suggests faster adjustment rates. In a nutshell, the figures indicate that the reforms enhanced the efficiency of government expenditure by making the contribution of revenue to expenditures higher and fiscal management more responsive and predictable. Second, our findings underline the critical relevance of administrative change and income diversification in sustaining growth in public spending and enhancing the efficiency of fiscal policy.</w:t>
      </w:r>
    </w:p>
    <w:p w14:paraId="5E78A69C" w14:textId="77777777" w:rsidR="00DB6A40" w:rsidRPr="00DB6A40" w:rsidRDefault="00DB6A40" w:rsidP="00DB6A40">
      <w:pPr>
        <w:spacing w:after="0" w:line="259" w:lineRule="auto"/>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It is expected that legislators will further expand and consolidate the current computerized tax administration systems to enhance compliance and efficiency for all revenue streams. People's trust in government can only increase when money collected from the public, especially oil, is utilized honestly and transparently. Increased scope of legislative adjustments on tax base expansion can lead to a more stable and fair revenue system, with a focus on poorly performing levies such as the capital gains tax. Monitoring and evaluating fiscal responsiveness on a regular basis, while addressing structural bottlenecks that could prevent the effective translation of increasing revenues into public expenditures, should be prioritized by the government to sustain the positive momentum achieved after reform. Government expenditures may also be more stable and predictable, should the public be made more aware of the need for tax compliance, while targeted capacity development for tax authorities is provided. Finally, to ensure that revenue mobilization continues in line with long-term fiscal sustainability and national development aspirations, the adoption of technology-driven measures, such as automated reporting systems, real-time monitoring, and integrated tax collection systems, should be accelerated.</w:t>
      </w:r>
    </w:p>
    <w:p w14:paraId="559CA595" w14:textId="77777777" w:rsidR="00DB6A40" w:rsidRPr="00DB6A40" w:rsidRDefault="00DB6A40" w:rsidP="00DB6A40">
      <w:pPr>
        <w:spacing w:line="259" w:lineRule="auto"/>
        <w:rPr>
          <w:rFonts w:ascii="Times New Roman" w:eastAsia="Calibri" w:hAnsi="Times New Roman" w:cs="Times New Roman"/>
          <w:sz w:val="22"/>
          <w:szCs w:val="22"/>
        </w:rPr>
      </w:pPr>
      <w:r w:rsidRPr="00DB6A40">
        <w:rPr>
          <w:rFonts w:ascii="Times New Roman" w:eastAsia="Calibri" w:hAnsi="Times New Roman" w:cs="Times New Roman"/>
          <w:b/>
          <w:bCs/>
          <w:sz w:val="22"/>
          <w:szCs w:val="22"/>
        </w:rPr>
        <w:br w:type="page"/>
      </w:r>
    </w:p>
    <w:p w14:paraId="4659B7DB" w14:textId="77777777" w:rsidR="00DB6A40" w:rsidRPr="00DB6A40" w:rsidRDefault="00DB6A40" w:rsidP="00DB6A40">
      <w:pPr>
        <w:spacing w:after="0" w:line="240" w:lineRule="auto"/>
        <w:jc w:val="center"/>
        <w:rPr>
          <w:rFonts w:ascii="Times New Roman" w:eastAsia="Calibri" w:hAnsi="Times New Roman" w:cs="Times New Roman"/>
          <w:b/>
          <w:bCs/>
        </w:rPr>
      </w:pPr>
      <w:r w:rsidRPr="00DB6A40">
        <w:rPr>
          <w:rFonts w:ascii="Times New Roman" w:eastAsia="Calibri" w:hAnsi="Times New Roman" w:cs="Times New Roman"/>
          <w:b/>
          <w:bCs/>
        </w:rPr>
        <w:lastRenderedPageBreak/>
        <w:t>STRUCTURAL SHIFT IN NIGERIA’S TAX REVENUES: A COMPARATIVE ANALYSIS OF PRE AND POST 2013 TAX REFORM IN NIGERIA.</w:t>
      </w:r>
    </w:p>
    <w:p w14:paraId="7AEF27F8" w14:textId="77777777" w:rsidR="00DB6A40" w:rsidRPr="00DB6A40" w:rsidRDefault="00DB6A40" w:rsidP="00DB6A40">
      <w:pPr>
        <w:spacing w:after="0" w:line="240" w:lineRule="auto"/>
        <w:jc w:val="center"/>
        <w:rPr>
          <w:rFonts w:ascii="Times New Roman" w:eastAsia="Calibri" w:hAnsi="Times New Roman" w:cs="Times New Roman"/>
          <w:b/>
          <w:bCs/>
        </w:rPr>
      </w:pPr>
    </w:p>
    <w:p w14:paraId="43DD4603" w14:textId="77777777" w:rsidR="00DB6A40" w:rsidRPr="00DB6A40" w:rsidRDefault="00DB6A40" w:rsidP="00DB6A40">
      <w:pPr>
        <w:spacing w:after="0" w:line="240" w:lineRule="auto"/>
        <w:jc w:val="center"/>
        <w:rPr>
          <w:rFonts w:ascii="Times New Roman" w:eastAsia="Calibri" w:hAnsi="Times New Roman" w:cs="Times New Roman"/>
        </w:rPr>
      </w:pPr>
      <w:proofErr w:type="spellStart"/>
      <w:r w:rsidRPr="00DB6A40">
        <w:rPr>
          <w:rFonts w:ascii="Times New Roman" w:eastAsia="Calibri" w:hAnsi="Times New Roman" w:cs="Times New Roman"/>
        </w:rPr>
        <w:t>Nwokoma</w:t>
      </w:r>
      <w:proofErr w:type="spellEnd"/>
      <w:r w:rsidRPr="00DB6A40">
        <w:rPr>
          <w:rFonts w:ascii="Times New Roman" w:eastAsia="Calibri" w:hAnsi="Times New Roman" w:cs="Times New Roman"/>
        </w:rPr>
        <w:t>, Okechukwu</w:t>
      </w:r>
    </w:p>
    <w:p w14:paraId="1AD3B0BE"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Department of Finance and Banking</w:t>
      </w:r>
    </w:p>
    <w:p w14:paraId="46301FB9"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Faculty of Management Sciences</w:t>
      </w:r>
    </w:p>
    <w:p w14:paraId="3F3DC69C"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University of Port Harcourt</w:t>
      </w:r>
    </w:p>
    <w:p w14:paraId="3FF936AC"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08037738277.</w:t>
      </w:r>
    </w:p>
    <w:p w14:paraId="56B342D1" w14:textId="77777777" w:rsidR="00DB6A40" w:rsidRPr="00DB6A40" w:rsidRDefault="00DB6A40" w:rsidP="00DB6A40">
      <w:pPr>
        <w:spacing w:after="0" w:line="240" w:lineRule="auto"/>
        <w:jc w:val="center"/>
        <w:rPr>
          <w:rFonts w:ascii="Times New Roman" w:eastAsia="Calibri" w:hAnsi="Times New Roman" w:cs="Times New Roman"/>
        </w:rPr>
      </w:pPr>
    </w:p>
    <w:p w14:paraId="36174011" w14:textId="77777777" w:rsidR="00DB6A40" w:rsidRPr="00DB6A40" w:rsidRDefault="00DB6A40" w:rsidP="00DB6A40">
      <w:pPr>
        <w:spacing w:after="0" w:line="240" w:lineRule="auto"/>
        <w:jc w:val="center"/>
        <w:rPr>
          <w:rFonts w:ascii="Times New Roman" w:eastAsia="Calibri" w:hAnsi="Times New Roman" w:cs="Times New Roman"/>
        </w:rPr>
      </w:pPr>
      <w:proofErr w:type="spellStart"/>
      <w:r w:rsidRPr="00DB6A40">
        <w:rPr>
          <w:rFonts w:ascii="Times New Roman" w:eastAsia="Calibri" w:hAnsi="Times New Roman" w:cs="Times New Roman"/>
        </w:rPr>
        <w:t>Ifionu</w:t>
      </w:r>
      <w:proofErr w:type="spellEnd"/>
      <w:r w:rsidRPr="00DB6A40">
        <w:rPr>
          <w:rFonts w:ascii="Times New Roman" w:eastAsia="Calibri" w:hAnsi="Times New Roman" w:cs="Times New Roman"/>
        </w:rPr>
        <w:t>, Ebele Patricia</w:t>
      </w:r>
    </w:p>
    <w:p w14:paraId="3501947C"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 xml:space="preserve">Professor of Finance </w:t>
      </w:r>
    </w:p>
    <w:p w14:paraId="18AA1764"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Department of Finance and Banking</w:t>
      </w:r>
    </w:p>
    <w:p w14:paraId="50500F99"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Faculty of Management Sciences</w:t>
      </w:r>
    </w:p>
    <w:p w14:paraId="2A734A3C"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University of Port Harcourt</w:t>
      </w:r>
    </w:p>
    <w:p w14:paraId="23F3979F" w14:textId="77777777" w:rsidR="00DB6A40" w:rsidRPr="00DB6A40" w:rsidRDefault="00DB6A40" w:rsidP="00DB6A40">
      <w:pPr>
        <w:spacing w:after="0" w:line="240" w:lineRule="auto"/>
        <w:jc w:val="center"/>
        <w:rPr>
          <w:rFonts w:ascii="Times New Roman" w:eastAsia="Calibri" w:hAnsi="Times New Roman" w:cs="Times New Roman"/>
        </w:rPr>
      </w:pPr>
    </w:p>
    <w:p w14:paraId="530C6E9A" w14:textId="77777777" w:rsidR="00DB6A40" w:rsidRPr="00DB6A40" w:rsidRDefault="00DB6A40" w:rsidP="00DB6A40">
      <w:pPr>
        <w:spacing w:after="0" w:line="240" w:lineRule="auto"/>
        <w:jc w:val="center"/>
        <w:rPr>
          <w:rFonts w:ascii="Times New Roman" w:eastAsia="Calibri" w:hAnsi="Times New Roman" w:cs="Times New Roman"/>
        </w:rPr>
      </w:pPr>
      <w:proofErr w:type="spellStart"/>
      <w:r w:rsidRPr="00DB6A40">
        <w:rPr>
          <w:rFonts w:ascii="Times New Roman" w:eastAsia="Calibri" w:hAnsi="Times New Roman" w:cs="Times New Roman"/>
        </w:rPr>
        <w:t>Omojefe</w:t>
      </w:r>
      <w:proofErr w:type="spellEnd"/>
      <w:r w:rsidRPr="00DB6A40">
        <w:rPr>
          <w:rFonts w:ascii="Times New Roman" w:eastAsia="Calibri" w:hAnsi="Times New Roman" w:cs="Times New Roman"/>
        </w:rPr>
        <w:t>, Godfrey O.</w:t>
      </w:r>
    </w:p>
    <w:p w14:paraId="1EFBDA7F"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 xml:space="preserve">Professor of Finance </w:t>
      </w:r>
    </w:p>
    <w:p w14:paraId="3EF9F7BA"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Department of Finance and Banking</w:t>
      </w:r>
    </w:p>
    <w:p w14:paraId="16A18040"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Faculty of Management Sciences</w:t>
      </w:r>
    </w:p>
    <w:p w14:paraId="4CC1DD62" w14:textId="77777777" w:rsidR="00DB6A40" w:rsidRPr="00DB6A40" w:rsidRDefault="00DB6A40" w:rsidP="00DB6A40">
      <w:pPr>
        <w:spacing w:after="0" w:line="240" w:lineRule="auto"/>
        <w:jc w:val="center"/>
        <w:rPr>
          <w:rFonts w:ascii="Times New Roman" w:eastAsia="Calibri" w:hAnsi="Times New Roman" w:cs="Times New Roman"/>
        </w:rPr>
      </w:pPr>
      <w:r w:rsidRPr="00DB6A40">
        <w:rPr>
          <w:rFonts w:ascii="Times New Roman" w:eastAsia="Calibri" w:hAnsi="Times New Roman" w:cs="Times New Roman"/>
        </w:rPr>
        <w:t>University of Port Harcourt</w:t>
      </w:r>
    </w:p>
    <w:p w14:paraId="4456D30A"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Abstract</w:t>
      </w:r>
    </w:p>
    <w:p w14:paraId="51EB09B0"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rPr>
        <w:t>This study investigates the structural shift in Nigeria’s tax revenue; a comparative analysis of pre and post 2013 tax reform in Nigeria.</w:t>
      </w:r>
      <w:r w:rsidRPr="00DB6A40">
        <w:rPr>
          <w:rFonts w:ascii="Calibri" w:eastAsia="Calibri" w:hAnsi="Calibri" w:cs="Times New Roman"/>
          <w:sz w:val="22"/>
          <w:szCs w:val="22"/>
        </w:rPr>
        <w:t xml:space="preserve"> </w:t>
      </w:r>
      <w:r w:rsidRPr="00DB6A40">
        <w:rPr>
          <w:rFonts w:ascii="Times New Roman" w:eastAsia="Calibri" w:hAnsi="Times New Roman" w:cs="Times New Roman"/>
        </w:rPr>
        <w:t xml:space="preserve">The impact on tax collection in Nigeria of the country's new </w:t>
      </w:r>
      <w:proofErr w:type="spellStart"/>
      <w:r w:rsidRPr="00DB6A40">
        <w:rPr>
          <w:rFonts w:ascii="Times New Roman" w:eastAsia="Calibri" w:hAnsi="Times New Roman" w:cs="Times New Roman"/>
        </w:rPr>
        <w:t>computerised</w:t>
      </w:r>
      <w:proofErr w:type="spellEnd"/>
      <w:r w:rsidRPr="00DB6A40">
        <w:rPr>
          <w:rFonts w:ascii="Times New Roman" w:eastAsia="Calibri" w:hAnsi="Times New Roman" w:cs="Times New Roman"/>
        </w:rPr>
        <w:t xml:space="preserve"> levy system is the main topic here. Using secondary data from Federal Inland Revenue Service Tax Pro Max and Central Bank of Nigeria Statistical Bulletin, the research analyses the years 1994-2012 (pre-reform) and 2013-2024 (post-reform) in an ex-post facto design. Personal Income Tax, Business Income Tax, Value Added Tax, Customs and Excise Duties, and Capital Gains Tax are important heads of tax revenue taken into consideration. The research has employed Welch's t-test-an independent sample t-test-for its difference in means analysis. Thus, by comparing the time span before the 2013 tax reform to the period afterward, a check on statistical significance of the difference in means can be seen. Results indicate that Customs and Excise Duties, Value Added Tax, Petroleum Profit Tax, Personal Income Tax, and Company Income Tax all saw significant increases, suggesting that e-taxation reform greatly improved revenue mobilization, decreased leakages, and increased fiscal capacity in these areas of taxation. On the other hand, no such observed change could be traced in the capital gains tax that reflected structural or compliance issues peculiar to that source of income. These results are pointers to a fundamental change in Nigeria's fiscal system and give credence to the fact that institutional reforms and digitization improve administrative effectiveness, taxpayer compliance, and revenue results. The findings from this study indicate that electronic tax reforms significantly raise government revenue collection.</w:t>
      </w:r>
      <w:r w:rsidRPr="00DB6A40">
        <w:rPr>
          <w:rFonts w:ascii="Calibri" w:eastAsia="Calibri" w:hAnsi="Calibri" w:cs="Times New Roman"/>
          <w:sz w:val="22"/>
          <w:szCs w:val="22"/>
        </w:rPr>
        <w:t xml:space="preserve"> </w:t>
      </w:r>
      <w:r w:rsidRPr="00DB6A40">
        <w:rPr>
          <w:rFonts w:ascii="Times New Roman" w:eastAsia="Calibri" w:hAnsi="Times New Roman" w:cs="Times New Roman"/>
        </w:rPr>
        <w:t>It is suggested that technology-driven tax administration, digital compliance methods, and ongoing monitoring should be intertwined to keep fiscal development going on, and some of the tax laws need changes to investigate tax revenues from such elements as capital gain tax.</w:t>
      </w:r>
    </w:p>
    <w:p w14:paraId="40DF83B9" w14:textId="77777777" w:rsidR="00DB6A40" w:rsidRPr="00DB6A40" w:rsidRDefault="00DB6A40" w:rsidP="00DB6A40">
      <w:pPr>
        <w:spacing w:after="0" w:line="240" w:lineRule="auto"/>
        <w:ind w:left="1170" w:hanging="1170"/>
        <w:jc w:val="both"/>
        <w:rPr>
          <w:rFonts w:ascii="Times New Roman" w:eastAsia="Calibri" w:hAnsi="Times New Roman" w:cs="Times New Roman"/>
        </w:rPr>
      </w:pPr>
      <w:r w:rsidRPr="00DB6A40">
        <w:rPr>
          <w:rFonts w:ascii="Times New Roman" w:eastAsia="Calibri" w:hAnsi="Times New Roman" w:cs="Times New Roman"/>
          <w:b/>
          <w:bCs/>
        </w:rPr>
        <w:t>Keywords:</w:t>
      </w:r>
      <w:r w:rsidRPr="00DB6A40">
        <w:rPr>
          <w:rFonts w:ascii="Times New Roman" w:eastAsia="Calibri" w:hAnsi="Times New Roman" w:cs="Times New Roman"/>
        </w:rPr>
        <w:t xml:space="preserve"> Tax Reform, Electronic Taxation, Fiscal Capacity, Structural Shift and tax elements.</w:t>
      </w:r>
    </w:p>
    <w:p w14:paraId="59CD216E" w14:textId="77777777" w:rsidR="00DB6A40" w:rsidRPr="00DB6A40" w:rsidRDefault="00DB6A40" w:rsidP="00DB6A40">
      <w:pPr>
        <w:spacing w:line="259" w:lineRule="auto"/>
        <w:rPr>
          <w:rFonts w:ascii="Times New Roman" w:eastAsia="Calibri" w:hAnsi="Times New Roman" w:cs="Times New Roman"/>
          <w:b/>
          <w:bCs/>
        </w:rPr>
      </w:pPr>
      <w:r w:rsidRPr="00DB6A40">
        <w:rPr>
          <w:rFonts w:ascii="Times New Roman" w:eastAsia="Calibri" w:hAnsi="Times New Roman" w:cs="Times New Roman"/>
          <w:b/>
          <w:bCs/>
        </w:rPr>
        <w:br w:type="page"/>
      </w:r>
    </w:p>
    <w:p w14:paraId="2D884EE8"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lastRenderedPageBreak/>
        <w:t>1.</w:t>
      </w:r>
      <w:r w:rsidRPr="00DB6A40">
        <w:rPr>
          <w:rFonts w:ascii="Times New Roman" w:eastAsia="Calibri" w:hAnsi="Times New Roman" w:cs="Times New Roman"/>
          <w:b/>
          <w:bCs/>
        </w:rPr>
        <w:tab/>
        <w:t>Introduction</w:t>
      </w:r>
    </w:p>
    <w:p w14:paraId="6147DADE"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Since the early 1990s, the fiscal framework of Nigeria has been characterized by a heavy reliance on oil</w:t>
      </w:r>
      <w:r w:rsidRPr="00DB6A40">
        <w:rPr>
          <w:rFonts w:ascii="Times New Roman" w:eastAsia="Calibri" w:hAnsi="Times New Roman" w:cs="Times New Roman"/>
        </w:rPr>
        <w:noBreakHyphen/>
        <w:t>based revenue, weak non</w:t>
      </w:r>
      <w:r w:rsidRPr="00DB6A40">
        <w:rPr>
          <w:rFonts w:ascii="Times New Roman" w:eastAsia="Calibri" w:hAnsi="Times New Roman" w:cs="Times New Roman"/>
        </w:rPr>
        <w:noBreakHyphen/>
        <w:t>oil tax mobilization, and systemic administrative inefficiencies that constrained the capacity of the state to generate domestic revenue.</w:t>
      </w:r>
      <w:r w:rsidRPr="00DB6A40">
        <w:rPr>
          <w:rFonts w:ascii="Calibri" w:eastAsia="Calibri" w:hAnsi="Calibri" w:cs="Times New Roman"/>
          <w:sz w:val="22"/>
          <w:szCs w:val="22"/>
        </w:rPr>
        <w:t xml:space="preserve"> </w:t>
      </w:r>
      <w:r w:rsidRPr="00DB6A40">
        <w:rPr>
          <w:rFonts w:ascii="Times New Roman" w:eastAsia="Calibri" w:hAnsi="Times New Roman" w:cs="Times New Roman"/>
        </w:rPr>
        <w:t xml:space="preserve">Over the 1994–2012 era, non-oil tax collections were low compared to oil-based revenue due to a number of factors, including low taxpayer registration, bureaucratic bottlenecks, poor enforcement, a poor user interface, and significant compliance gaps. Value-added tax, capital gains tax, personal income tax, business income tax, and customs and excise tax are identified by </w:t>
      </w:r>
      <w:proofErr w:type="spellStart"/>
      <w:r w:rsidRPr="00DB6A40">
        <w:rPr>
          <w:rFonts w:ascii="Times New Roman" w:eastAsia="Calibri" w:hAnsi="Times New Roman" w:cs="Times New Roman"/>
        </w:rPr>
        <w:t>Siyanbola</w:t>
      </w:r>
      <w:proofErr w:type="spellEnd"/>
      <w:r w:rsidRPr="00DB6A40">
        <w:rPr>
          <w:rFonts w:ascii="Times New Roman" w:eastAsia="Calibri" w:hAnsi="Times New Roman" w:cs="Times New Roman"/>
        </w:rPr>
        <w:t xml:space="preserve"> et al. (2025) as particular low returns. The Nigerian government began implementing ITAS of FIRS in 2013 to automate taxpayer registration, filing, payment, and enforcement procedures after it realized these structural limitations in tax administration. </w:t>
      </w:r>
      <w:proofErr w:type="spellStart"/>
      <w:r w:rsidRPr="00DB6A40">
        <w:rPr>
          <w:rFonts w:ascii="Times New Roman" w:eastAsia="Calibri" w:hAnsi="Times New Roman" w:cs="Times New Roman"/>
        </w:rPr>
        <w:t>Ajape</w:t>
      </w:r>
      <w:proofErr w:type="spellEnd"/>
      <w:r w:rsidRPr="00DB6A40">
        <w:rPr>
          <w:rFonts w:ascii="Times New Roman" w:eastAsia="Calibri" w:hAnsi="Times New Roman" w:cs="Times New Roman"/>
        </w:rPr>
        <w:t xml:space="preserve"> et al. (2025); </w:t>
      </w:r>
      <w:proofErr w:type="spellStart"/>
      <w:r w:rsidRPr="00DB6A40">
        <w:rPr>
          <w:rFonts w:ascii="Times New Roman" w:eastAsia="Calibri" w:hAnsi="Times New Roman" w:cs="Times New Roman"/>
        </w:rPr>
        <w:t>Ogbaísi</w:t>
      </w:r>
      <w:proofErr w:type="spellEnd"/>
      <w:r w:rsidRPr="00DB6A40">
        <w:rPr>
          <w:rFonts w:ascii="Times New Roman" w:eastAsia="Calibri" w:hAnsi="Times New Roman" w:cs="Times New Roman"/>
        </w:rPr>
        <w:t xml:space="preserve"> &amp; </w:t>
      </w:r>
      <w:proofErr w:type="spellStart"/>
      <w:r w:rsidRPr="00DB6A40">
        <w:rPr>
          <w:rFonts w:ascii="Times New Roman" w:eastAsia="Calibri" w:hAnsi="Times New Roman" w:cs="Times New Roman"/>
        </w:rPr>
        <w:t>Ibifunmilola</w:t>
      </w:r>
      <w:proofErr w:type="spellEnd"/>
      <w:r w:rsidRPr="00DB6A40">
        <w:rPr>
          <w:rFonts w:ascii="Times New Roman" w:eastAsia="Calibri" w:hAnsi="Times New Roman" w:cs="Times New Roman"/>
        </w:rPr>
        <w:t xml:space="preserve"> (2025). This digitization initiative, meant to enhance transparency in the tracking of tax flows, increase the tax base, and reduce bureaucratic delays that come with human interfaces, replaced what was previously a largely manual tax administration system with electronic taxation, or e-taxation. In 2023, </w:t>
      </w:r>
      <w:proofErr w:type="spellStart"/>
      <w:r w:rsidRPr="00DB6A40">
        <w:rPr>
          <w:rFonts w:ascii="Times New Roman" w:eastAsia="Calibri" w:hAnsi="Times New Roman" w:cs="Times New Roman"/>
        </w:rPr>
        <w:t>Omesi</w:t>
      </w:r>
      <w:proofErr w:type="spellEnd"/>
      <w:r w:rsidRPr="00DB6A40">
        <w:rPr>
          <w:rFonts w:ascii="Times New Roman" w:eastAsia="Calibri" w:hAnsi="Times New Roman" w:cs="Times New Roman"/>
        </w:rPr>
        <w:t xml:space="preserve"> and Appah provided reasons why the years 1994-2012 and 2013-2024 can be considered important structural break points for performance comparison of tax income and ascertainment of the degree to which attempts at administrative and institutional reforms yield improved fiscal results. It is against this background that this present study focuses on how the technological, institutional, and behavioral underpinnings of tax administration in Nigeria were so altered by the e-taxation regime that came into being in 2013, and whether such an alteration has produced a quantifiable structural shift(s) in tax revenue collection across the major revenue heads.</w:t>
      </w:r>
    </w:p>
    <w:p w14:paraId="1CA46685"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issue driving this inquiry stems from a lengthy history of poor performance as shown by the nation's infrastructure deterioration and deficit, which persisted despite numerous attempts at tax reform to increase income. While prior research has documented the link between institutional quality and tax revenue </w:t>
      </w:r>
      <w:proofErr w:type="spellStart"/>
      <w:r w:rsidRPr="00DB6A40">
        <w:rPr>
          <w:rFonts w:ascii="Times New Roman" w:eastAsia="Calibri" w:hAnsi="Times New Roman" w:cs="Times New Roman"/>
        </w:rPr>
        <w:t>mobilisation</w:t>
      </w:r>
      <w:proofErr w:type="spellEnd"/>
      <w:r w:rsidRPr="00DB6A40">
        <w:rPr>
          <w:rFonts w:ascii="Times New Roman" w:eastAsia="Calibri" w:hAnsi="Times New Roman" w:cs="Times New Roman"/>
        </w:rPr>
        <w:t xml:space="preserve"> in Nigeria (</w:t>
      </w:r>
      <w:proofErr w:type="spellStart"/>
      <w:r w:rsidRPr="00DB6A40">
        <w:rPr>
          <w:rFonts w:ascii="Times New Roman" w:eastAsia="Calibri" w:hAnsi="Times New Roman" w:cs="Times New Roman"/>
        </w:rPr>
        <w:t>Siyanbola</w:t>
      </w:r>
      <w:proofErr w:type="spellEnd"/>
      <w:r w:rsidRPr="00DB6A40">
        <w:rPr>
          <w:rFonts w:ascii="Times New Roman" w:eastAsia="Calibri" w:hAnsi="Times New Roman" w:cs="Times New Roman"/>
        </w:rPr>
        <w:t xml:space="preserve"> et al., 2025), the inconsistency in scholarly opinions on the impact of the reform on revenue </w:t>
      </w:r>
      <w:proofErr w:type="gramStart"/>
      <w:r w:rsidRPr="00DB6A40">
        <w:rPr>
          <w:rFonts w:ascii="Times New Roman" w:eastAsia="Calibri" w:hAnsi="Times New Roman" w:cs="Times New Roman"/>
        </w:rPr>
        <w:t>generation  (</w:t>
      </w:r>
      <w:proofErr w:type="gramEnd"/>
      <w:r w:rsidRPr="00DB6A40">
        <w:rPr>
          <w:rFonts w:ascii="Times New Roman" w:eastAsia="Calibri" w:hAnsi="Times New Roman" w:cs="Times New Roman"/>
        </w:rPr>
        <w:t xml:space="preserve">Adeniyi &amp; </w:t>
      </w:r>
      <w:proofErr w:type="spellStart"/>
      <w:r w:rsidRPr="00DB6A40">
        <w:rPr>
          <w:rFonts w:ascii="Times New Roman" w:eastAsia="Calibri" w:hAnsi="Times New Roman" w:cs="Times New Roman"/>
        </w:rPr>
        <w:t>Kehide</w:t>
      </w:r>
      <w:proofErr w:type="spellEnd"/>
      <w:r w:rsidRPr="00DB6A40">
        <w:rPr>
          <w:rFonts w:ascii="Times New Roman" w:eastAsia="Calibri" w:hAnsi="Times New Roman" w:cs="Times New Roman"/>
        </w:rPr>
        <w:t xml:space="preserve">, 2022) creates an empirical gap. While Amadi-Robert, (2025) and Owoeye, (2024) argued that revenue significantly increased due to the 2013 e-taxation reform; scholars like </w:t>
      </w:r>
      <w:proofErr w:type="spellStart"/>
      <w:r w:rsidRPr="00DB6A40">
        <w:rPr>
          <w:rFonts w:ascii="Times New Roman" w:eastAsia="Calibri" w:hAnsi="Times New Roman" w:cs="Times New Roman"/>
        </w:rPr>
        <w:t>Ofurum</w:t>
      </w:r>
      <w:proofErr w:type="spellEnd"/>
      <w:r w:rsidRPr="00DB6A40">
        <w:rPr>
          <w:rFonts w:ascii="Times New Roman" w:eastAsia="Calibri" w:hAnsi="Times New Roman" w:cs="Times New Roman"/>
        </w:rPr>
        <w:t>, et al (2018) and Joseph, (2018) gave a contrary opinion. Hence, the need to compare the pre and post 2013 tax reform periods using difference</w:t>
      </w:r>
      <w:r w:rsidRPr="00DB6A40">
        <w:rPr>
          <w:rFonts w:ascii="Times New Roman" w:eastAsia="Calibri" w:hAnsi="Times New Roman" w:cs="Times New Roman"/>
        </w:rPr>
        <w:noBreakHyphen/>
        <w:t>in</w:t>
      </w:r>
      <w:r w:rsidRPr="00DB6A40">
        <w:rPr>
          <w:rFonts w:ascii="Times New Roman" w:eastAsia="Calibri" w:hAnsi="Times New Roman" w:cs="Times New Roman"/>
        </w:rPr>
        <w:noBreakHyphen/>
        <w:t xml:space="preserve">means and structural break analyses to determine whether a </w:t>
      </w:r>
      <w:proofErr w:type="gramStart"/>
      <w:r w:rsidRPr="00DB6A40">
        <w:rPr>
          <w:rFonts w:ascii="Times New Roman" w:eastAsia="Calibri" w:hAnsi="Times New Roman" w:cs="Times New Roman"/>
        </w:rPr>
        <w:t>statistical</w:t>
      </w:r>
      <w:proofErr w:type="gramEnd"/>
      <w:r w:rsidRPr="00DB6A40">
        <w:rPr>
          <w:rFonts w:ascii="Times New Roman" w:eastAsia="Calibri" w:hAnsi="Times New Roman" w:cs="Times New Roman"/>
        </w:rPr>
        <w:t xml:space="preserve"> significant difference in mean prevails between the periods. The theoretical contention is that technological and institutional reforms (e</w:t>
      </w:r>
      <w:r w:rsidRPr="00DB6A40">
        <w:rPr>
          <w:rFonts w:ascii="Times New Roman" w:eastAsia="Calibri" w:hAnsi="Times New Roman" w:cs="Times New Roman"/>
        </w:rPr>
        <w:noBreakHyphen/>
        <w:t>tax systems) should lower transaction and compliance costs, enhance tax administration efficiency, and raise collections (</w:t>
      </w:r>
      <w:proofErr w:type="spellStart"/>
      <w:r w:rsidRPr="00DB6A40">
        <w:rPr>
          <w:rFonts w:ascii="Times New Roman" w:eastAsia="Calibri" w:hAnsi="Times New Roman" w:cs="Times New Roman"/>
        </w:rPr>
        <w:t>Ogbaísi</w:t>
      </w:r>
      <w:proofErr w:type="spellEnd"/>
      <w:r w:rsidRPr="00DB6A40">
        <w:rPr>
          <w:rFonts w:ascii="Times New Roman" w:eastAsia="Calibri" w:hAnsi="Times New Roman" w:cs="Times New Roman"/>
        </w:rPr>
        <w:t xml:space="preserve"> &amp; </w:t>
      </w:r>
      <w:proofErr w:type="spellStart"/>
      <w:r w:rsidRPr="00DB6A40">
        <w:rPr>
          <w:rFonts w:ascii="Times New Roman" w:eastAsia="Calibri" w:hAnsi="Times New Roman" w:cs="Times New Roman"/>
        </w:rPr>
        <w:t>Ibifunmilola</w:t>
      </w:r>
      <w:proofErr w:type="spellEnd"/>
      <w:r w:rsidRPr="00DB6A40">
        <w:rPr>
          <w:rFonts w:ascii="Times New Roman" w:eastAsia="Calibri" w:hAnsi="Times New Roman" w:cs="Times New Roman"/>
        </w:rPr>
        <w:t>, 2025).  This study therefore addresses the dual problems of (1) whether post</w:t>
      </w:r>
      <w:r w:rsidRPr="00DB6A40">
        <w:rPr>
          <w:rFonts w:ascii="Times New Roman" w:eastAsia="Calibri" w:hAnsi="Times New Roman" w:cs="Times New Roman"/>
        </w:rPr>
        <w:noBreakHyphen/>
        <w:t>reform collections exhibit significantly higher means than pre</w:t>
      </w:r>
      <w:r w:rsidRPr="00DB6A40">
        <w:rPr>
          <w:rFonts w:ascii="Times New Roman" w:eastAsia="Calibri" w:hAnsi="Times New Roman" w:cs="Times New Roman"/>
        </w:rPr>
        <w:noBreakHyphen/>
        <w:t>reform across diverse tax heads, and (2) whether observed changes reflect structural (institutional/administrative) reform rather than short</w:t>
      </w:r>
      <w:r w:rsidRPr="00DB6A40">
        <w:rPr>
          <w:rFonts w:ascii="Times New Roman" w:eastAsia="Calibri" w:hAnsi="Times New Roman" w:cs="Times New Roman"/>
        </w:rPr>
        <w:noBreakHyphen/>
        <w:t>term cyclical fluctuations or external shocks. Without such evidence, policy may misattribute revenue gains to reform when they are in fact driven by economic booms or growth spurts, undermining sustainable tax policy design.</w:t>
      </w:r>
    </w:p>
    <w:p w14:paraId="69FDB70F" w14:textId="77777777" w:rsidR="00DB6A40" w:rsidRPr="00DB6A40" w:rsidRDefault="00DB6A40" w:rsidP="00DB6A40">
      <w:pPr>
        <w:spacing w:after="0" w:line="240" w:lineRule="auto"/>
        <w:jc w:val="both"/>
        <w:rPr>
          <w:rFonts w:ascii="Times New Roman" w:eastAsia="Calibri" w:hAnsi="Times New Roman" w:cs="Times New Roman"/>
        </w:rPr>
      </w:pPr>
    </w:p>
    <w:p w14:paraId="40EF91A8"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2.</w:t>
      </w:r>
      <w:r w:rsidRPr="00DB6A40">
        <w:rPr>
          <w:rFonts w:ascii="Times New Roman" w:eastAsia="Calibri" w:hAnsi="Times New Roman" w:cs="Times New Roman"/>
          <w:b/>
          <w:bCs/>
        </w:rPr>
        <w:tab/>
        <w:t>Literature Review</w:t>
      </w:r>
    </w:p>
    <w:p w14:paraId="41B3A63C"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2.1</w:t>
      </w:r>
      <w:r w:rsidRPr="00DB6A40">
        <w:rPr>
          <w:rFonts w:ascii="Times New Roman" w:eastAsia="Calibri" w:hAnsi="Times New Roman" w:cs="Times New Roman"/>
          <w:b/>
          <w:bCs/>
        </w:rPr>
        <w:tab/>
        <w:t>Theoretical Framework</w:t>
      </w:r>
    </w:p>
    <w:p w14:paraId="23FD1B39"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The theoretical framework for this study synthesizes complementary strands of social science and public finance theory to explain why and how the 2013 electronic tax reform might produce a structural shift in Nigeria’s tax revenue profile. Rather than treating theory as a set of discrete behavioral explanations so that empirical findings (changes in Personal Income Tax, Petroleum Profit Tax, Company Income Tax, Value Added Tax, Customs &amp; Excise and Capital Gain Tax) can be interpreted against a coherent set of causal expectations and plausible boundary conditions. Each theoretical perspective is introduced with its principal proponent and date, its core claims are explained, and then its specific relevance to the Nigerian e-taxation reform is elaborated together with the theory’s assumptions and limits.</w:t>
      </w:r>
    </w:p>
    <w:p w14:paraId="400A21DD"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Institutional Economics Theory</w:t>
      </w:r>
    </w:p>
    <w:p w14:paraId="5FC1F20D"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Douglass North’s institutional economics provides the foundational lens for understanding long-run changes in fiscal performance. North argued that formal rules, organizations and informal constraints (his “institutions”) shape the costs and incentives of economic actors; institutional change alters transaction costs, distributional outcomes and economic performance across time (North, 1990). Applied to taxation, North’s insight implies that </w:t>
      </w:r>
      <w:r w:rsidRPr="00DB6A40">
        <w:rPr>
          <w:rFonts w:ascii="Times New Roman" w:eastAsia="Calibri" w:hAnsi="Times New Roman" w:cs="Times New Roman"/>
        </w:rPr>
        <w:lastRenderedPageBreak/>
        <w:t>reforms which change the formal rules of tax reporting, the administrative capacity of revenue agencies, and the enforcement environment should change the incentives facing taxpayers and revenue collectors and thereby produce durable differences in measured revenues. In the context of Nigeria’s 2013 e-taxation reforms, institutional theory predicts that digitization of filing and remittance processes, clearer record trails and stronger enforcement protocols will lower information and enforcement costs for revenue authorities and raise compliance, producing higher mean collections for revenue categories where enforcement and recordation matter (e.g., Personal Income Tax, Company Income Tax, Value Added Tax, Customs and Capital Gain Tax) (North, 1990; Acemoglu &amp; Robinson, 2012). The key assumption here is that formal institutional change is credible and sufficiently operationalized (that is, rules are implemented, monitored and enforced). If institutional reforms are shallow or circumvented by vested interests, the predicted effect on revenue will be attenuated; institutions are necessary but not always sufficient, and institutional theory does not prescribe precise mechanisms for short-run adjustment, which is a limitation when trying to explain year-to-year revenue volatility (North, 1990; Acemoglu &amp; Robinson, 2012).</w:t>
      </w:r>
    </w:p>
    <w:p w14:paraId="77693BAD" w14:textId="77777777" w:rsidR="00F2321A" w:rsidRDefault="00F2321A" w:rsidP="00DB6A40">
      <w:pPr>
        <w:spacing w:after="0" w:line="240" w:lineRule="auto"/>
        <w:jc w:val="both"/>
        <w:rPr>
          <w:rFonts w:ascii="Times New Roman" w:eastAsia="Calibri" w:hAnsi="Times New Roman" w:cs="Times New Roman"/>
          <w:b/>
          <w:bCs/>
        </w:rPr>
      </w:pPr>
    </w:p>
    <w:p w14:paraId="2E6FC39A" w14:textId="1DFC6988"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Fiscal-Capacity Approach Theory</w:t>
      </w:r>
    </w:p>
    <w:p w14:paraId="10AFAD7C"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fiscal-capacity approach treats the state’s ability to tax as both a technical and political problem. Besley and Persson (2013) frame taxation as a central capacity of modern states—one that depends on administrative reach, record-keeping, and credible coercive authority as much as on economic structure. Their work highlights </w:t>
      </w:r>
      <w:proofErr w:type="gramStart"/>
      <w:r w:rsidRPr="00DB6A40">
        <w:rPr>
          <w:rFonts w:ascii="Times New Roman" w:eastAsia="Calibri" w:hAnsi="Times New Roman" w:cs="Times New Roman"/>
        </w:rPr>
        <w:t>transitions</w:t>
      </w:r>
      <w:proofErr w:type="gramEnd"/>
      <w:r w:rsidRPr="00DB6A40">
        <w:rPr>
          <w:rFonts w:ascii="Times New Roman" w:eastAsia="Calibri" w:hAnsi="Times New Roman" w:cs="Times New Roman"/>
        </w:rPr>
        <w:t xml:space="preserve"> from regressive trade taxes to higher-yield domestic taxes (income and VAT) as countries deepen their administrative capacity (Besley &amp; Persson, 2013). For this study the fiscal-capacity model explains why an administrative upgrade—digital filing, improved taxpayer registries, automated reconciliation—would disproportionately affect revenue lines that rely on frequent reporting and transactional traceability. The approach assumes that the state has both incentives and resources to operationalize capacity building; if political will is weak or resources are diverted, capacity gains may not materialize. Another limitation is that the fiscal-capacity literature emphasizes the structural determinants of long-run tax capacity (e.g., economy size, urbanization) and so is less informative about short-term institutional shocks or reforms that occur without complementary investments in governance or anti-corruption safeguards (Besley &amp; Persson, 2013).</w:t>
      </w:r>
    </w:p>
    <w:p w14:paraId="3766C6D9" w14:textId="77777777" w:rsidR="00F2321A" w:rsidRDefault="00F2321A" w:rsidP="00DB6A40">
      <w:pPr>
        <w:spacing w:after="0" w:line="240" w:lineRule="auto"/>
        <w:jc w:val="both"/>
        <w:rPr>
          <w:rFonts w:ascii="Times New Roman" w:eastAsia="Calibri" w:hAnsi="Times New Roman" w:cs="Times New Roman"/>
          <w:b/>
          <w:bCs/>
        </w:rPr>
      </w:pPr>
    </w:p>
    <w:p w14:paraId="3E9F2CEA" w14:textId="1B2361AC"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Diffusion of Innovations Theory</w:t>
      </w:r>
    </w:p>
    <w:p w14:paraId="7B8ACFB1"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The diffusion of innovations theory, originally articulated by Everett Rogers (1962), supplies an explicitly technological and sociological account for how an innovation—here, electronic taxation—spreads through organizations and social systems. Rogers identifies attributes of innovations (relative advantage, compatibility, complexity, trialability, observability) and adopter categories that shape the rate and extent of adoption (Rogers, 1962). Applying this to e-taxation, the theory predicts uneven adoption across taxpayer segments and administrative units: large corporations and formal firms will adopt electronic reporting earlier (early adopters), while small informal firms and certain revenue offices will lag (late majority or laggards). The implication for revenue is heterogeneity: categories dominated by formal, frequent transactions (VAT, CIT, large firms’ PIT withholding) will show rapid revenue gains, while revenue sources reliant on informal or irregular transactions (capital gains from informal property transfers) may not (Rogers, 1962). Diffusion theory assumes social learning and communication channels operate effectively; where networks are weak or where the innovation is perceived as risky or externally imposed, diffusion slows. Moreover, diffusion theory describes adoption dynamics but is agnostic about the political economy that shapes whether adoption is made mandatory or complemented by enforcement—making it necessary but not sufficient for explaining compliance outcomes (Rogers, 1962).</w:t>
      </w:r>
    </w:p>
    <w:p w14:paraId="4C6782D8" w14:textId="77777777" w:rsidR="00F2321A" w:rsidRDefault="00F2321A" w:rsidP="00DB6A40">
      <w:pPr>
        <w:spacing w:after="0" w:line="240" w:lineRule="auto"/>
        <w:jc w:val="both"/>
        <w:rPr>
          <w:rFonts w:ascii="Times New Roman" w:eastAsia="Calibri" w:hAnsi="Times New Roman" w:cs="Times New Roman"/>
          <w:b/>
          <w:bCs/>
        </w:rPr>
      </w:pPr>
    </w:p>
    <w:p w14:paraId="174EAC78" w14:textId="7CE7319E"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2.4</w:t>
      </w:r>
      <w:r w:rsidRPr="00DB6A40">
        <w:rPr>
          <w:rFonts w:ascii="Times New Roman" w:eastAsia="Calibri" w:hAnsi="Times New Roman" w:cs="Times New Roman"/>
          <w:b/>
          <w:bCs/>
        </w:rPr>
        <w:tab/>
        <w:t>Public Choice Theory</w:t>
      </w:r>
    </w:p>
    <w:p w14:paraId="403B321D"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Public choice theory, with origins in the work of Buchanan and Tullock (1962), reframes state actors as self-interested agents operating within political markets. The core public-choice prediction is that tax policy, enforcement intensity and the design of administrative reforms reflect the incentives of politicians, bureaucrats and interest groups. From this perspective the observed revenue changes after 2013 could reflect not only technical improvements, but also politically motivated reallocation of enforcement effort, bargaining over </w:t>
      </w:r>
      <w:r w:rsidRPr="00DB6A40">
        <w:rPr>
          <w:rFonts w:ascii="Times New Roman" w:eastAsia="Calibri" w:hAnsi="Times New Roman" w:cs="Times New Roman"/>
        </w:rPr>
        <w:lastRenderedPageBreak/>
        <w:t>exemptions, or selective strengthening of institutions where political returns are greatest (Buchanan &amp; Tullock, 1962). The assumption is methodological individualism: collective outcomes emerge from individual incentives. The limitation is that public choice tends to emphasize strategic behavior and rent-seeking and may underplay normative commitments to public goods or institutional path-dependency; it explains why reforms might be captured, but less directly why well-designed reforms sometimes succeed despite political constraints (Buchanan &amp; Tullock, 1962).</w:t>
      </w:r>
    </w:p>
    <w:p w14:paraId="15C1E1A2" w14:textId="77777777" w:rsidR="00F2321A" w:rsidRDefault="00F2321A" w:rsidP="00DB6A40">
      <w:pPr>
        <w:spacing w:after="0" w:line="240" w:lineRule="auto"/>
        <w:jc w:val="both"/>
        <w:rPr>
          <w:rFonts w:ascii="Times New Roman" w:eastAsia="Calibri" w:hAnsi="Times New Roman" w:cs="Times New Roman"/>
          <w:b/>
          <w:bCs/>
        </w:rPr>
      </w:pPr>
    </w:p>
    <w:p w14:paraId="39FE570E" w14:textId="3A136978"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Agency Theory</w:t>
      </w:r>
    </w:p>
    <w:p w14:paraId="6D5E89BA"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Agency theory (or principal–agent theory) as formalized in the corporate context by Jensen and Meckling (1976) illuminates micro-level incentive problems inside revenue administration and between taxpayers and the state. Agency theory focuses on problems of asymmetric information, monitoring costs, and incentive alignment: revenue collectors (agents) may shirk or collude unless principals (political overseers or the public) design monitoring and incentive mechanisms effectively, while taxpayers (as agents in relation to state principals) may underreport if detection and sanctioning are weak (Jensen &amp; Meckling, 1976). Digitization addresses agency problems by improving audit trails, lowering monitoring costs, and making performance transparent—hence electronic systems can reduce opportunities for agent opportunism within tax offices and for taxpayer evasion. The theoretical promise of better monitoring may not </w:t>
      </w:r>
      <w:proofErr w:type="spellStart"/>
      <w:r w:rsidRPr="00DB6A40">
        <w:rPr>
          <w:rFonts w:ascii="Times New Roman" w:eastAsia="Calibri" w:hAnsi="Times New Roman" w:cs="Times New Roman"/>
        </w:rPr>
        <w:t>materialise</w:t>
      </w:r>
      <w:proofErr w:type="spellEnd"/>
      <w:r w:rsidRPr="00DB6A40">
        <w:rPr>
          <w:rFonts w:ascii="Times New Roman" w:eastAsia="Calibri" w:hAnsi="Times New Roman" w:cs="Times New Roman"/>
        </w:rPr>
        <w:t xml:space="preserve">, however, when </w:t>
      </w:r>
      <w:proofErr w:type="spellStart"/>
      <w:r w:rsidRPr="00DB6A40">
        <w:rPr>
          <w:rFonts w:ascii="Times New Roman" w:eastAsia="Calibri" w:hAnsi="Times New Roman" w:cs="Times New Roman"/>
        </w:rPr>
        <w:t>organisational</w:t>
      </w:r>
      <w:proofErr w:type="spellEnd"/>
      <w:r w:rsidRPr="00DB6A40">
        <w:rPr>
          <w:rFonts w:ascii="Times New Roman" w:eastAsia="Calibri" w:hAnsi="Times New Roman" w:cs="Times New Roman"/>
        </w:rPr>
        <w:t xml:space="preserve"> cultures, informal networks, or a weak rule of law are in place. This is because agency models usually rely on quantifiable performance measures and presume that punishments or incentive payoffs are enforceable (Jensen &amp; Meckling, 1976).</w:t>
      </w:r>
    </w:p>
    <w:p w14:paraId="0FCC3738" w14:textId="77777777" w:rsidR="00F2321A" w:rsidRDefault="00F2321A" w:rsidP="00DB6A40">
      <w:pPr>
        <w:spacing w:after="0" w:line="240" w:lineRule="auto"/>
        <w:jc w:val="both"/>
        <w:rPr>
          <w:rFonts w:ascii="Times New Roman" w:eastAsia="Calibri" w:hAnsi="Times New Roman" w:cs="Times New Roman"/>
          <w:b/>
          <w:bCs/>
        </w:rPr>
      </w:pPr>
    </w:p>
    <w:p w14:paraId="5ED69603" w14:textId="49F9D0CD"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 xml:space="preserve">New Public Management Theory </w:t>
      </w:r>
    </w:p>
    <w:p w14:paraId="6945CB3A"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Christopher Hood's (1991) concise analysis and summary of New Public Management (NPM) concepts actually </w:t>
      </w:r>
      <w:proofErr w:type="gramStart"/>
      <w:r w:rsidRPr="00DB6A40">
        <w:rPr>
          <w:rFonts w:ascii="Times New Roman" w:eastAsia="Calibri" w:hAnsi="Times New Roman" w:cs="Times New Roman"/>
        </w:rPr>
        <w:t>provides</w:t>
      </w:r>
      <w:proofErr w:type="gramEnd"/>
      <w:r w:rsidRPr="00DB6A40">
        <w:rPr>
          <w:rFonts w:ascii="Times New Roman" w:eastAsia="Calibri" w:hAnsi="Times New Roman" w:cs="Times New Roman"/>
        </w:rPr>
        <w:t xml:space="preserve"> an administrative reform narrative that links technology, managerialism, and performance assessment to improved public service outcomes. To increase efficiency, NPM has a heavy emphasis on results-oriented management, the adoption of private-sector techniques, such as ICT systems, and </w:t>
      </w:r>
      <w:proofErr w:type="spellStart"/>
      <w:r w:rsidRPr="00DB6A40">
        <w:rPr>
          <w:rFonts w:ascii="Times New Roman" w:eastAsia="Calibri" w:hAnsi="Times New Roman" w:cs="Times New Roman"/>
        </w:rPr>
        <w:t>decentralisation</w:t>
      </w:r>
      <w:proofErr w:type="spellEnd"/>
      <w:r w:rsidRPr="00DB6A40">
        <w:rPr>
          <w:rFonts w:ascii="Times New Roman" w:eastAsia="Calibri" w:hAnsi="Times New Roman" w:cs="Times New Roman"/>
        </w:rPr>
        <w:t xml:space="preserve"> of power (Hood, 1991). At the same time, Nigeria's 2013 e-taxation policy, which included IT-driven process redesign, performance indicators (collection objectives by unit), and management technology (electronic filing and reconciliation), can be argued to be an NPM-style reform. Critics note that NPM may pay insufficient attention to issues of equity, institutional capacity constraints, and the political dimension of public administration. NPM rests on the assumption that public agencies will respond to managerial incentives and that market-style alterations will weaken inefficiencies. In practice, NPM-style tax </w:t>
      </w:r>
      <w:proofErr w:type="spellStart"/>
      <w:r w:rsidRPr="00DB6A40">
        <w:rPr>
          <w:rFonts w:ascii="Times New Roman" w:eastAsia="Calibri" w:hAnsi="Times New Roman" w:cs="Times New Roman"/>
        </w:rPr>
        <w:t>modernisation</w:t>
      </w:r>
      <w:proofErr w:type="spellEnd"/>
      <w:r w:rsidRPr="00DB6A40">
        <w:rPr>
          <w:rFonts w:ascii="Times New Roman" w:eastAsia="Calibri" w:hAnsi="Times New Roman" w:cs="Times New Roman"/>
        </w:rPr>
        <w:t xml:space="preserve"> works only when complemented by investments in human capital, governance safeguards, and statutory clarity-conditions that cannot be guaranteed by a basic implementation of technology (Hood, 1991).</w:t>
      </w:r>
    </w:p>
    <w:p w14:paraId="4ADDF52E" w14:textId="77777777" w:rsidR="00F2321A" w:rsidRDefault="00F2321A" w:rsidP="00DB6A40">
      <w:pPr>
        <w:spacing w:after="0" w:line="240" w:lineRule="auto"/>
        <w:jc w:val="both"/>
        <w:rPr>
          <w:rFonts w:ascii="Times New Roman" w:eastAsia="Calibri" w:hAnsi="Times New Roman" w:cs="Times New Roman"/>
          <w:b/>
          <w:bCs/>
        </w:rPr>
      </w:pPr>
    </w:p>
    <w:p w14:paraId="35925D9E" w14:textId="286F24A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Transaction-cost Economics Theory</w:t>
      </w:r>
    </w:p>
    <w:p w14:paraId="4B1E3F4E"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It was Oliver Williamson (1979) who developed transaction-cost economics, which explains </w:t>
      </w:r>
      <w:proofErr w:type="spellStart"/>
      <w:r w:rsidRPr="00DB6A40">
        <w:rPr>
          <w:rFonts w:ascii="Times New Roman" w:eastAsia="Calibri" w:hAnsi="Times New Roman" w:cs="Times New Roman"/>
        </w:rPr>
        <w:t>organisational</w:t>
      </w:r>
      <w:proofErr w:type="spellEnd"/>
      <w:r w:rsidRPr="00DB6A40">
        <w:rPr>
          <w:rFonts w:ascii="Times New Roman" w:eastAsia="Calibri" w:hAnsi="Times New Roman" w:cs="Times New Roman"/>
        </w:rPr>
        <w:t xml:space="preserve"> decisions in terms of the costs associated with negotiating, enforcing, and modifying agreements. It is possible that digitization will lower some of these transaction costs - those involving search, verification, and reconciliation - and therefore alter the ideal institutional setup for taxation. </w:t>
      </w:r>
      <w:proofErr w:type="spellStart"/>
      <w:r w:rsidRPr="00DB6A40">
        <w:rPr>
          <w:rFonts w:ascii="Times New Roman" w:eastAsia="Calibri" w:hAnsi="Times New Roman" w:cs="Times New Roman"/>
        </w:rPr>
        <w:t>Centralised</w:t>
      </w:r>
      <w:proofErr w:type="spellEnd"/>
      <w:r w:rsidRPr="00DB6A40">
        <w:rPr>
          <w:rFonts w:ascii="Times New Roman" w:eastAsia="Calibri" w:hAnsi="Times New Roman" w:cs="Times New Roman"/>
        </w:rPr>
        <w:t>, automated processing may prove superior to complicated, formerly costly manual reconciliation processes (Williamson, 1979). With regard to revenue collection, lower transaction costs enable low marginal costs and large-scale compliance monitoring, which means that authorities can audit more transactions and more effectively collect small-value taxes like VAT. Williamson's framework has limitations since it sees technology as a means of cutting costs without fully addressing the distributional or political resistance to institutional realignment that can come with automation, and assumes that transaction attributes - frequency, uncertainty, and asset specificity - determine governance structures (Williamson, 1979).</w:t>
      </w:r>
    </w:p>
    <w:p w14:paraId="531539F6" w14:textId="77777777" w:rsidR="00F2321A" w:rsidRDefault="00F2321A" w:rsidP="00DB6A40">
      <w:pPr>
        <w:spacing w:after="0" w:line="240" w:lineRule="auto"/>
        <w:jc w:val="both"/>
        <w:rPr>
          <w:rFonts w:ascii="Times New Roman" w:eastAsia="Calibri" w:hAnsi="Times New Roman" w:cs="Times New Roman"/>
          <w:b/>
          <w:bCs/>
        </w:rPr>
      </w:pPr>
    </w:p>
    <w:p w14:paraId="626F630F" w14:textId="4013CFBC"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Behavioral Tax Theories</w:t>
      </w:r>
    </w:p>
    <w:p w14:paraId="66381A7A" w14:textId="77777777" w:rsidR="00DB6A40" w:rsidRPr="00DB6A40" w:rsidRDefault="00DB6A40" w:rsidP="00DB6A40">
      <w:pPr>
        <w:spacing w:after="0" w:line="240" w:lineRule="auto"/>
        <w:jc w:val="both"/>
        <w:rPr>
          <w:rFonts w:ascii="Times New Roman" w:eastAsia="Calibri" w:hAnsi="Times New Roman" w:cs="Times New Roman"/>
        </w:rPr>
      </w:pPr>
      <w:proofErr w:type="spellStart"/>
      <w:r w:rsidRPr="00DB6A40">
        <w:rPr>
          <w:rFonts w:ascii="Times New Roman" w:eastAsia="Calibri" w:hAnsi="Times New Roman" w:cs="Times New Roman"/>
        </w:rPr>
        <w:lastRenderedPageBreak/>
        <w:t>Behavioural</w:t>
      </w:r>
      <w:proofErr w:type="spellEnd"/>
      <w:r w:rsidRPr="00DB6A40">
        <w:rPr>
          <w:rFonts w:ascii="Times New Roman" w:eastAsia="Calibri" w:hAnsi="Times New Roman" w:cs="Times New Roman"/>
        </w:rPr>
        <w:t xml:space="preserve"> approaches to tax compliance—and in particular the research on tax morale—emphasize that social norms, views of fairness, and intrinsic motives all play a significant role in compliance, which is not just motivated by detection and penalty. According to Benno Torgler's synthesis, perceived legitimacy of government, fairness of the tax system, and expectation of reciprocity all influence propensity of citizens to pay taxes. E-taxation in Nigeria may enhance perceived fairness through making remittance trails public and lowering discretionary rent extraction; on the other hand, tax morale may suffer if </w:t>
      </w:r>
      <w:proofErr w:type="spellStart"/>
      <w:r w:rsidRPr="00DB6A40">
        <w:rPr>
          <w:rFonts w:ascii="Times New Roman" w:eastAsia="Calibri" w:hAnsi="Times New Roman" w:cs="Times New Roman"/>
        </w:rPr>
        <w:t>digitisation</w:t>
      </w:r>
      <w:proofErr w:type="spellEnd"/>
      <w:r w:rsidRPr="00DB6A40">
        <w:rPr>
          <w:rFonts w:ascii="Times New Roman" w:eastAsia="Calibri" w:hAnsi="Times New Roman" w:cs="Times New Roman"/>
        </w:rPr>
        <w:t xml:space="preserve"> is seen as a means of capricious enforcement or as excluding informal operators. The limitation of the </w:t>
      </w:r>
      <w:proofErr w:type="spellStart"/>
      <w:r w:rsidRPr="00DB6A40">
        <w:rPr>
          <w:rFonts w:ascii="Times New Roman" w:eastAsia="Calibri" w:hAnsi="Times New Roman" w:cs="Times New Roman"/>
        </w:rPr>
        <w:t>behavioural</w:t>
      </w:r>
      <w:proofErr w:type="spellEnd"/>
      <w:r w:rsidRPr="00DB6A40">
        <w:rPr>
          <w:rFonts w:ascii="Times New Roman" w:eastAsia="Calibri" w:hAnsi="Times New Roman" w:cs="Times New Roman"/>
        </w:rPr>
        <w:t xml:space="preserve"> perspective is the difficulty of accurately measuring tax morale and the possibility of confounding its impacts with shifts in economic conditions or enforcement. It also presupposes that attitudes are relatively stable yet responsive to institutional cues.</w:t>
      </w:r>
    </w:p>
    <w:p w14:paraId="115CA6F8"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A political-economy extension of the institutional argument holds that the result of the reforms depends on how the institutional change interacts with entrenched interests and macroeconomic instability. Acemoglu and Robinson (2012) argue that extractive versus inclusive institutions determine whether economic and political reforms yield broad-based gains. Applied to tax reform, this suggests that even technically sound e-taxation can bolster revenue only if the broader institutional equilibrium is moving toward inclusion and accountability; where extractive institutions persist, gains may be captured by elites or used selectively (Acemoglu &amp; Robinson, 2012). This perspective assumes path dependence and historical contingency; its limitation is that it can be pessimistic about reform prospects and sometimes struggles to generate empirically falsifiable short-run predictions.</w:t>
      </w:r>
    </w:p>
    <w:p w14:paraId="2A7E3A1B"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Taken together, these theories generate specific, testable expectations for this study. Institutional and fiscal-capacity theories predict positive and sustained increases in revenue categories that depend on frequent, verifiable transactions and where administrative reach can be expanded (PIT withheld at source, CIT, VAT, Customs). Diffusion theory predicts heterogeneity in adoption and therefore heterogeneity in revenue effects across taxpayer segments and time. Agency and transaction-cost theories explain mechanisms—reduced monitoring costs, clearer audit trails, improved principal–agent alignment—through which digitization affects compliance and measured revenue. Behavioral theory cautions that increased technical capacity must be accompanied by legitimacy and perceived fairness to secure voluntary compliance; public choice and political-economy perspectives warn that political incentives and rent-seeking can shape who benefits from reforms and whether gains are durable. Together these perspectives explain why the empirical results might show strong, statistically significant increases for PIT, PPT, CIT, VAT and Customs while showing little or negative change for capital gains tax: the latter is episodic, relies on asset valuation and often occurs in informal or lightly monitored transactions that are not immediately remedied by electronic filing regimes.</w:t>
      </w:r>
    </w:p>
    <w:p w14:paraId="49D0CD27" w14:textId="77777777" w:rsidR="00F2321A" w:rsidRDefault="00F2321A" w:rsidP="00DB6A40">
      <w:pPr>
        <w:spacing w:after="0" w:line="240" w:lineRule="auto"/>
        <w:jc w:val="both"/>
        <w:rPr>
          <w:rFonts w:ascii="Times New Roman" w:eastAsia="Calibri" w:hAnsi="Times New Roman" w:cs="Times New Roman"/>
          <w:b/>
          <w:bCs/>
        </w:rPr>
      </w:pPr>
    </w:p>
    <w:p w14:paraId="4787F89F" w14:textId="705D63F6"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2.2</w:t>
      </w:r>
      <w:r w:rsidRPr="00DB6A40">
        <w:rPr>
          <w:rFonts w:ascii="Times New Roman" w:eastAsia="Calibri" w:hAnsi="Times New Roman" w:cs="Times New Roman"/>
          <w:b/>
          <w:bCs/>
        </w:rPr>
        <w:tab/>
        <w:t>Empirical Review</w:t>
      </w:r>
    </w:p>
    <w:p w14:paraId="4659CB4C"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 xml:space="preserve">Joseph (2018) the study evaluated the effect of E-taxation on revenue generation in Nigeria. The study employed variables were Company Income Tax and Value Added Tax. The study used a secondary data from federal inland revenue services reports. Quarterly data of </w:t>
      </w:r>
      <w:proofErr w:type="gramStart"/>
      <w:r w:rsidRPr="00DB6A40">
        <w:rPr>
          <w:rFonts w:ascii="Times New Roman" w:eastAsia="Calibri" w:hAnsi="Times New Roman" w:cs="Times New Roman"/>
        </w:rPr>
        <w:t>twenty six</w:t>
      </w:r>
      <w:proofErr w:type="gramEnd"/>
      <w:r w:rsidRPr="00DB6A40">
        <w:rPr>
          <w:rFonts w:ascii="Times New Roman" w:eastAsia="Calibri" w:hAnsi="Times New Roman" w:cs="Times New Roman"/>
        </w:rPr>
        <w:t xml:space="preserve"> quarters, commencing from the first quarter of 2012 and ending at second quarter of 2018 was used as the study period. The pre period being first quarter 2012 and end first quarter 2015 and post period started second quarter 2015 to second quarter 2018. The of difference of mean statistical technique employed was paired sampled t-test analysis. And the results indicate a positive and statistically insignificant difference between pre and post company income tax revenue and value added tax revenue respectively; with for company income tax revenue t-statistics 0.833 and p-value 0.421 and value added tax revenue t-statistics of </w:t>
      </w:r>
      <w:proofErr w:type="gramStart"/>
      <w:r w:rsidRPr="00DB6A40">
        <w:rPr>
          <w:rFonts w:ascii="Times New Roman" w:eastAsia="Calibri" w:hAnsi="Times New Roman" w:cs="Times New Roman"/>
        </w:rPr>
        <w:t>0.520  and</w:t>
      </w:r>
      <w:proofErr w:type="gramEnd"/>
      <w:r w:rsidRPr="00DB6A40">
        <w:rPr>
          <w:rFonts w:ascii="Times New Roman" w:eastAsia="Calibri" w:hAnsi="Times New Roman" w:cs="Times New Roman"/>
        </w:rPr>
        <w:t xml:space="preserve"> p-value 0.612 respectively. This implies that E-taxation has no significant effect on revenue generation in Nigeria. The study recommends that federal inland revenue services should engage in taxpayer education for companies to be informed on how the platform operates and the associated benefits. And also resolve all technical obstacles that will affect the efficiency and accessibility of the website. </w:t>
      </w:r>
    </w:p>
    <w:p w14:paraId="7DD8ECC9" w14:textId="77777777" w:rsidR="00DB6A40" w:rsidRPr="00DB6A40" w:rsidRDefault="00DB6A40" w:rsidP="00DB6A40">
      <w:pPr>
        <w:spacing w:line="240" w:lineRule="auto"/>
        <w:jc w:val="both"/>
        <w:rPr>
          <w:rFonts w:ascii="Times New Roman" w:eastAsia="Calibri" w:hAnsi="Times New Roman" w:cs="Times New Roman"/>
        </w:rPr>
      </w:pPr>
      <w:proofErr w:type="spellStart"/>
      <w:r w:rsidRPr="00DB6A40">
        <w:rPr>
          <w:rFonts w:ascii="Times New Roman" w:eastAsia="Calibri" w:hAnsi="Times New Roman" w:cs="Times New Roman"/>
        </w:rPr>
        <w:t>Ofurum</w:t>
      </w:r>
      <w:proofErr w:type="spellEnd"/>
      <w:r w:rsidRPr="00DB6A40">
        <w:rPr>
          <w:rFonts w:ascii="Times New Roman" w:eastAsia="Calibri" w:hAnsi="Times New Roman" w:cs="Times New Roman"/>
        </w:rPr>
        <w:t xml:space="preserve"> et al. (2018) the study exams the impact of Electronics Taxation on revenue and economic growth in Nigeria. The study considered e-taxation impact from 2015 on federally collected revenue and tax-to-GDP ratio. Quarterly data from second quarter of 2013 to fourth quarter of 2016, separated into the pre and post the period, employed in the study were sourced from Federal Inland Revenue Service and the Central Bank of Nigeria </w:t>
      </w:r>
      <w:r w:rsidRPr="00DB6A40">
        <w:rPr>
          <w:rFonts w:ascii="Times New Roman" w:eastAsia="Calibri" w:hAnsi="Times New Roman" w:cs="Times New Roman"/>
        </w:rPr>
        <w:lastRenderedPageBreak/>
        <w:t>Statistical and Economic Reports. The statistical test technique, paired sample t-test, was used to compare the means of the two data sets of the pre and post periods. The findings revealed no improvement in federally collected revenue and tax-to-GDP ratio in the periods that electronic taxation was introduced in Nigeria. However, a reduction in tax revenue was witnessed as the observed change in mean difference was not statistically significant. The study recommends that federal government through the Federal Inland Revenue Services, should intensify effort in tax education in the states of the federation to create awareness and understanding of the use of the e-taxation platform.</w:t>
      </w:r>
    </w:p>
    <w:p w14:paraId="0600D47B"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Olaoye et al. (2022) investigated the effect of electronic taxation on revenue productivity in Nigeria by comparing pre- and post-adoption periods (2000-2017) and applying trend analysis, independent t-tests and OLS regression. Specifically, the dependent variables were tax revenue and tax-to-GDP ratio, while the key independent variable was a binary indicator of e-taxation adoption. The authors found a significant difference in revenue productivity </w:t>
      </w:r>
      <w:proofErr w:type="spellStart"/>
      <w:r w:rsidRPr="00DB6A40">
        <w:rPr>
          <w:rFonts w:ascii="Times New Roman" w:eastAsia="Calibri" w:hAnsi="Times New Roman" w:cs="Times New Roman"/>
        </w:rPr>
        <w:t>favouring</w:t>
      </w:r>
      <w:proofErr w:type="spellEnd"/>
      <w:r w:rsidRPr="00DB6A40">
        <w:rPr>
          <w:rFonts w:ascii="Times New Roman" w:eastAsia="Calibri" w:hAnsi="Times New Roman" w:cs="Times New Roman"/>
        </w:rPr>
        <w:t xml:space="preserve"> the post-adoption period and a significant positive effect of e-taxation on tax revenue (coefficient ≈ 2,083; p &lt; .05), though the effect on tax-to-GDP ratio was less clear (p &gt; .05). Their findings support your premise that </w:t>
      </w:r>
      <w:proofErr w:type="spellStart"/>
      <w:r w:rsidRPr="00DB6A40">
        <w:rPr>
          <w:rFonts w:ascii="Times New Roman" w:eastAsia="Calibri" w:hAnsi="Times New Roman" w:cs="Times New Roman"/>
        </w:rPr>
        <w:t>digitisation</w:t>
      </w:r>
      <w:proofErr w:type="spellEnd"/>
      <w:r w:rsidRPr="00DB6A40">
        <w:rPr>
          <w:rFonts w:ascii="Times New Roman" w:eastAsia="Calibri" w:hAnsi="Times New Roman" w:cs="Times New Roman"/>
        </w:rPr>
        <w:t xml:space="preserve"> reforms (such as the 2013 Nigerian reform) may produce structural shifts in tax revenue, particularly in measurable collections. The little impact on the tax-to-GDP ratio, however, points to a word of caution: greater relative tax burdens for the whole economy do not always follow from increased collections. This suggests that as opposed to a deeper structural impact of tax to GDP, the significant mean differences that you found in your analysis may actually result from better efficiency in collections.</w:t>
      </w:r>
    </w:p>
    <w:p w14:paraId="68E43717" w14:textId="77777777" w:rsidR="00DB6A40" w:rsidRPr="00DB6A40" w:rsidRDefault="00DB6A40" w:rsidP="00DB6A40">
      <w:pPr>
        <w:spacing w:after="0" w:line="240" w:lineRule="auto"/>
        <w:jc w:val="both"/>
        <w:rPr>
          <w:rFonts w:ascii="Times New Roman" w:eastAsia="Calibri" w:hAnsi="Times New Roman" w:cs="Times New Roman"/>
        </w:rPr>
      </w:pPr>
      <w:proofErr w:type="spellStart"/>
      <w:r w:rsidRPr="00DB6A40">
        <w:rPr>
          <w:rFonts w:ascii="Times New Roman" w:eastAsia="Calibri" w:hAnsi="Times New Roman" w:cs="Times New Roman"/>
        </w:rPr>
        <w:t>Omesi</w:t>
      </w:r>
      <w:proofErr w:type="spellEnd"/>
      <w:r w:rsidRPr="00DB6A40">
        <w:rPr>
          <w:rFonts w:ascii="Times New Roman" w:eastAsia="Calibri" w:hAnsi="Times New Roman" w:cs="Times New Roman"/>
        </w:rPr>
        <w:t xml:space="preserve"> and Appah (2022) </w:t>
      </w:r>
      <w:proofErr w:type="spellStart"/>
      <w:r w:rsidRPr="00DB6A40">
        <w:rPr>
          <w:rFonts w:ascii="Times New Roman" w:eastAsia="Calibri" w:hAnsi="Times New Roman" w:cs="Times New Roman"/>
        </w:rPr>
        <w:t>utilise</w:t>
      </w:r>
      <w:proofErr w:type="spellEnd"/>
      <w:r w:rsidRPr="00DB6A40">
        <w:rPr>
          <w:rFonts w:ascii="Times New Roman" w:eastAsia="Calibri" w:hAnsi="Times New Roman" w:cs="Times New Roman"/>
        </w:rPr>
        <w:t xml:space="preserve"> an ex post facto design to explore whether or not e-taxation deployment in Nigeria is associated with revenue production with a key emphasis on Value Added Tax and Company Income Tax. They utilize pre-post t-tests and present a significant difference for CIT and VAT but not for Capital Gains Tax. This supports the idea that big revenue categories associated with frequent transactional tax types respond more to e-tax systems whereas episodic taxes like CGT may not, and it is consistent with your findings that CGT did not exhibit a significant change. Their approach and findings provide a useful benchmark for your own multiple tax head difference-in-means analysis.</w:t>
      </w:r>
    </w:p>
    <w:p w14:paraId="16226757" w14:textId="77777777" w:rsidR="00DB6A40" w:rsidRPr="00DB6A40" w:rsidRDefault="00DB6A40" w:rsidP="00DB6A40">
      <w:pPr>
        <w:spacing w:after="0" w:line="240" w:lineRule="auto"/>
        <w:jc w:val="both"/>
        <w:rPr>
          <w:rFonts w:ascii="Times New Roman" w:eastAsia="Calibri" w:hAnsi="Times New Roman" w:cs="Times New Roman"/>
        </w:rPr>
      </w:pPr>
      <w:proofErr w:type="spellStart"/>
      <w:r w:rsidRPr="00DB6A40">
        <w:rPr>
          <w:rFonts w:ascii="Times New Roman" w:eastAsia="Calibri" w:hAnsi="Times New Roman" w:cs="Times New Roman"/>
        </w:rPr>
        <w:t>Otekunrin</w:t>
      </w:r>
      <w:proofErr w:type="spellEnd"/>
      <w:r w:rsidRPr="00DB6A40">
        <w:rPr>
          <w:rFonts w:ascii="Times New Roman" w:eastAsia="Calibri" w:hAnsi="Times New Roman" w:cs="Times New Roman"/>
        </w:rPr>
        <w:t xml:space="preserve"> et al. (2021), through survey and secondary data methods, investigate how the installations of e-tax systems affect tax evasion in Nigeria. It finds a significant positive relation between electronic tax systems, or E-tax, and lower levels of tax evasion. The fact that the paper focuses on enforcement and compliance measures and not on revenue underlines the rationale for your findings-that structural reform, such as digitization, may lead to new patterns of revenue generation by plugging leaks. This corroborates your hypothesis that the mean increases in tax heads after 2013 could be attributed to improved compliance and heightened economic activity.</w:t>
      </w:r>
    </w:p>
    <w:p w14:paraId="40E3435B" w14:textId="77777777" w:rsidR="00DB6A40" w:rsidRPr="00DB6A40" w:rsidRDefault="00DB6A40" w:rsidP="00DB6A40">
      <w:pPr>
        <w:spacing w:after="0" w:line="240" w:lineRule="auto"/>
        <w:jc w:val="both"/>
        <w:rPr>
          <w:rFonts w:ascii="Times New Roman" w:eastAsia="Calibri" w:hAnsi="Times New Roman" w:cs="Times New Roman"/>
        </w:rPr>
      </w:pPr>
      <w:proofErr w:type="spellStart"/>
      <w:r w:rsidRPr="00DB6A40">
        <w:rPr>
          <w:rFonts w:ascii="Times New Roman" w:eastAsia="Calibri" w:hAnsi="Times New Roman" w:cs="Times New Roman"/>
        </w:rPr>
        <w:t>Adegbie</w:t>
      </w:r>
      <w:proofErr w:type="spellEnd"/>
      <w:r w:rsidRPr="00DB6A40">
        <w:rPr>
          <w:rFonts w:ascii="Times New Roman" w:eastAsia="Calibri" w:hAnsi="Times New Roman" w:cs="Times New Roman"/>
        </w:rPr>
        <w:t xml:space="preserve"> et al. (2022) It used data from a few South-Western state tax agencies to gauge how ETMS would improve the efficiency of revenue collection through an empirical ex-post method.  One of the independent factors is the use of ETMS, which integrates electronic filing, payment, and recordkeeping, while the dependent variable is the effectiveness of tax revenue collection. Strong positive correlations are found in the study.  Thus, this provides factual backing for your examination of structural changes made to the federal tax system after 2013, which in turn justifies the hypothesis of your research, that through computerized processes, state and federal revenue outcomes can be enhanced.</w:t>
      </w:r>
    </w:p>
    <w:p w14:paraId="699BD039"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Using digital technology proxies and revenue head variables, such as Company Income Tax and</w:t>
      </w:r>
    </w:p>
    <w:p w14:paraId="19901691" w14:textId="77777777" w:rsidR="00DB6A40" w:rsidRPr="00DB6A40" w:rsidRDefault="00DB6A40" w:rsidP="00DB6A40">
      <w:pPr>
        <w:spacing w:after="0" w:line="240" w:lineRule="auto"/>
        <w:jc w:val="both"/>
        <w:rPr>
          <w:rFonts w:ascii="Times New Roman" w:eastAsia="Calibri" w:hAnsi="Times New Roman" w:cs="Times New Roman"/>
        </w:rPr>
      </w:pPr>
      <w:proofErr w:type="spellStart"/>
      <w:r w:rsidRPr="00DB6A40">
        <w:rPr>
          <w:rFonts w:ascii="Times New Roman" w:eastAsia="Calibri" w:hAnsi="Times New Roman" w:cs="Times New Roman"/>
        </w:rPr>
        <w:t>Nwolu</w:t>
      </w:r>
      <w:proofErr w:type="spellEnd"/>
      <w:r w:rsidRPr="00DB6A40">
        <w:rPr>
          <w:rFonts w:ascii="Times New Roman" w:eastAsia="Calibri" w:hAnsi="Times New Roman" w:cs="Times New Roman"/>
        </w:rPr>
        <w:t xml:space="preserve"> et al. (2024) conducted multiple regression analyses to investigate the effect of digital technologies on tax revenue in Nigeria. Their results show that digital technologies significantly correspond with Company Income Tax and Capital Gain Tax revenue production. Though Capital Gain Tax did not significantly change in your study, the result of this study-that digital technology has some influence on Capital Gain Tax-suggests that other structural obstacles, such as valuation problems or the dominance of the informal sector, may be the cause of the disconnect you see rather than a lack of technological impact. Therefore, it requires more depth in explaining why the capital gain tax did not increase drastically after reform.</w:t>
      </w:r>
    </w:p>
    <w:p w14:paraId="47BE75D1"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Eze and </w:t>
      </w:r>
      <w:proofErr w:type="spellStart"/>
      <w:r w:rsidRPr="00DB6A40">
        <w:rPr>
          <w:rFonts w:ascii="Times New Roman" w:eastAsia="Calibri" w:hAnsi="Times New Roman" w:cs="Times New Roman"/>
        </w:rPr>
        <w:t>Unegbu's</w:t>
      </w:r>
      <w:proofErr w:type="spellEnd"/>
      <w:r w:rsidRPr="00DB6A40">
        <w:rPr>
          <w:rFonts w:ascii="Times New Roman" w:eastAsia="Calibri" w:hAnsi="Times New Roman" w:cs="Times New Roman"/>
        </w:rPr>
        <w:t xml:space="preserve"> (2025), study narrowed the scope to non-oil revenue, CI (Company Income Tax), VAT (Value Added Tax), and Education Tax, applying an ex-post facto design and utilizing secondary data from the period </w:t>
      </w:r>
      <w:r w:rsidRPr="00DB6A40">
        <w:rPr>
          <w:rFonts w:ascii="Times New Roman" w:eastAsia="Calibri" w:hAnsi="Times New Roman" w:cs="Times New Roman"/>
        </w:rPr>
        <w:lastRenderedPageBreak/>
        <w:t>of 1994-2023. The e-tax system has a positive but statistically negligible impact on revenue production, according to the results of the paired-sample t-tests (adjusted R2 =.93; coefficient dummy = 100.98 but not significant). This is a word of caution for your purposes: whereas mean differences are quite noticeable for several tax categories, full statistical significance may not be evident, notably with respect to more global measures of tax-to-GDP or non-oil revenue. This reiterates that extreme caution needs to be taken in interpreting outcomes, factoring in both fundamental economic limitations and efficiency gains from the technical perspective.</w:t>
      </w:r>
    </w:p>
    <w:p w14:paraId="70BAB527" w14:textId="77777777" w:rsidR="00DB6A40" w:rsidRPr="00DB6A40" w:rsidRDefault="00DB6A40" w:rsidP="00DB6A40">
      <w:pPr>
        <w:spacing w:after="0" w:line="240" w:lineRule="auto"/>
        <w:jc w:val="both"/>
        <w:rPr>
          <w:rFonts w:ascii="Times New Roman" w:eastAsia="Calibri" w:hAnsi="Times New Roman" w:cs="Times New Roman"/>
        </w:rPr>
      </w:pPr>
      <w:proofErr w:type="spellStart"/>
      <w:r w:rsidRPr="00DB6A40">
        <w:rPr>
          <w:rFonts w:ascii="Times New Roman" w:eastAsia="Calibri" w:hAnsi="Times New Roman" w:cs="Times New Roman"/>
        </w:rPr>
        <w:t>Chijuka</w:t>
      </w:r>
      <w:proofErr w:type="spellEnd"/>
      <w:r w:rsidRPr="00DB6A40">
        <w:rPr>
          <w:rFonts w:ascii="Times New Roman" w:eastAsia="Calibri" w:hAnsi="Times New Roman" w:cs="Times New Roman"/>
        </w:rPr>
        <w:t xml:space="preserve"> and </w:t>
      </w:r>
      <w:proofErr w:type="spellStart"/>
      <w:r w:rsidRPr="00DB6A40">
        <w:rPr>
          <w:rFonts w:ascii="Times New Roman" w:eastAsia="Calibri" w:hAnsi="Times New Roman" w:cs="Times New Roman"/>
        </w:rPr>
        <w:t>Izekor</w:t>
      </w:r>
      <w:proofErr w:type="spellEnd"/>
      <w:r w:rsidRPr="00DB6A40">
        <w:rPr>
          <w:rFonts w:ascii="Times New Roman" w:eastAsia="Calibri" w:hAnsi="Times New Roman" w:cs="Times New Roman"/>
        </w:rPr>
        <w:t xml:space="preserve"> (2024) applied regression analysis to investigate the relationship between tax revenue components-including the Value Added Tax/Company Income Tax composite, Petroleum Profit Tax, and Customs &amp; Excise Duties-and economic development from 2015 to 2023. From the outcome, it can be observed that they all contribute positively and significantly to the growth of GDP. Higher collections in Petroleum Profit Tax, Custom and Excise Duties, and Value Added Tax/Company Income Tax are likely to matter for the </w:t>
      </w:r>
      <w:proofErr w:type="gramStart"/>
      <w:r w:rsidRPr="00DB6A40">
        <w:rPr>
          <w:rFonts w:ascii="Times New Roman" w:eastAsia="Calibri" w:hAnsi="Times New Roman" w:cs="Times New Roman"/>
        </w:rPr>
        <w:t>macro outcomes</w:t>
      </w:r>
      <w:proofErr w:type="gramEnd"/>
      <w:r w:rsidRPr="00DB6A40">
        <w:rPr>
          <w:rFonts w:ascii="Times New Roman" w:eastAsia="Calibri" w:hAnsi="Times New Roman" w:cs="Times New Roman"/>
        </w:rPr>
        <w:t>, not just for government receipts. Their focal point on the tax-growth relationship helps support the importance of structural revenue shifts for your study. However, since your focus is on revenue mobilization rather than growth per se, their study offers indirect support for the importance of revenue shifts in state capability.</w:t>
      </w:r>
    </w:p>
    <w:p w14:paraId="45C49E64" w14:textId="77777777" w:rsidR="00DB6A40" w:rsidRPr="00DB6A40" w:rsidRDefault="00DB6A40" w:rsidP="00DB6A40">
      <w:pPr>
        <w:spacing w:after="0" w:line="240" w:lineRule="auto"/>
        <w:jc w:val="both"/>
        <w:rPr>
          <w:rFonts w:ascii="Times New Roman" w:eastAsia="Calibri" w:hAnsi="Times New Roman" w:cs="Times New Roman"/>
        </w:rPr>
      </w:pPr>
    </w:p>
    <w:p w14:paraId="22FD3AAC"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 xml:space="preserve">Owoeye (2024) the study evaluates impact of tax e-taxation on tax evasion and tax avoidance in Nigeria. The study used secondary data sourced from the Federal Inland Revenue Services (FIRS), Central Bank of Nigeria (CBN) and the National Bureau of Statistics (NBS). The study result indicates a positive and significant relationship between e-taxation and tax evasion and avoidance in Nigeria. The study further revealed that the e-taxation significantly reduced tax evasion and increased tax revenue when compared to the average revenue generation prior to the introduction of the e-taxation. The study made a recommendation of creating a mobile application for electronic payments and the public awareness of the e-tax system. And encourage the sustenance of compliance rate achieved. </w:t>
      </w:r>
    </w:p>
    <w:p w14:paraId="67C091E1" w14:textId="77777777" w:rsidR="00DB6A40" w:rsidRPr="00DB6A40" w:rsidRDefault="00DB6A40" w:rsidP="00DB6A40">
      <w:pPr>
        <w:spacing w:line="240" w:lineRule="auto"/>
        <w:jc w:val="both"/>
        <w:rPr>
          <w:rFonts w:ascii="Agency FB" w:eastAsia="Calibri" w:hAnsi="Agency FB" w:cs="Times New Roman"/>
        </w:rPr>
      </w:pPr>
      <w:r w:rsidRPr="00DB6A40">
        <w:rPr>
          <w:rFonts w:ascii="Times New Roman" w:eastAsia="Calibri" w:hAnsi="Times New Roman" w:cs="Times New Roman"/>
        </w:rPr>
        <w:t>Amadi-Robert (2025) examines the nexus between tax reforms and revenue generation in Nigeria. The study focus area were on: tax rates adjustment, tax policy modifications, tax administration efficiency and how they respectively induce tax reform and influence revenue generation and drives Gross Domestic Product percentages. The study employed both integrated survey and ex-post facto design approach. The primary data of 56 respondents were sourced from tax administrators, accountants in practice, tax practitioners, and auditors in practice; in addition to secondary data from 2013 to 2023 sourced from the Federal Inland Revenue Service (FIRS) and the Nigeria Bureau of Statistics (NBS). The Spearman’s rank correlation and regression analysis were used to test the hypothesis. The result revealed a positive impact on revenue to GDP percentage.</w:t>
      </w:r>
      <w:r w:rsidRPr="00DB6A40">
        <w:rPr>
          <w:rFonts w:ascii="Calibri" w:eastAsia="Calibri" w:hAnsi="Calibri" w:cs="Times New Roman"/>
          <w:sz w:val="22"/>
          <w:szCs w:val="22"/>
        </w:rPr>
        <w:t xml:space="preserve"> </w:t>
      </w:r>
      <w:r w:rsidRPr="00DB6A40">
        <w:rPr>
          <w:rFonts w:ascii="Times New Roman" w:eastAsia="Calibri" w:hAnsi="Times New Roman" w:cs="Times New Roman"/>
        </w:rPr>
        <w:t xml:space="preserve">Analogously, alterations in tax rates considerably affect the revenue collected from taxes but negatively impact revenue as a share of GDP.  Moreover, the tax administration has an insignificant consequence on tax receipts.  Based on the results obtained by the study, tax law changes could yield greater tax revenue as a share of GDP, better rates, and administrative challenges that are more serious.  The study recommends that a tax reform package shall aim at making the rates optimal, improving the regulations, and increasing administrative efficiency.  This can be achieved through a well-thought-of tax rate change and a modern tax administration system. </w:t>
      </w:r>
    </w:p>
    <w:p w14:paraId="359BBC63"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3.</w:t>
      </w:r>
      <w:r w:rsidRPr="00DB6A40">
        <w:rPr>
          <w:rFonts w:ascii="Times New Roman" w:eastAsia="Calibri" w:hAnsi="Times New Roman" w:cs="Times New Roman"/>
          <w:b/>
          <w:bCs/>
        </w:rPr>
        <w:tab/>
        <w:t>Methodology</w:t>
      </w:r>
    </w:p>
    <w:p w14:paraId="3296E76D"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research employed an ex-post facto research design, a design type commonly used in econometric and fiscal policy studies to examine cause-and-effect relationships based on existing or historical data without manipulating any variable (Onwumere, 2009; Kothari, 2014). The design is appropriate for this study because the researcher has no control over the 2013 structural tax reform in Nigeria; it has already taken place. Such a design allows for an in-depth look at the revenues that have characterized the periods before and after the reform to determine whether the differences are statistically significant. Two fiscal studies, </w:t>
      </w:r>
      <w:proofErr w:type="spellStart"/>
      <w:r w:rsidRPr="00DB6A40">
        <w:rPr>
          <w:rFonts w:ascii="Times New Roman" w:eastAsia="Calibri" w:hAnsi="Times New Roman" w:cs="Times New Roman"/>
        </w:rPr>
        <w:t>Omesi</w:t>
      </w:r>
      <w:proofErr w:type="spellEnd"/>
      <w:r w:rsidRPr="00DB6A40">
        <w:rPr>
          <w:rFonts w:ascii="Times New Roman" w:eastAsia="Calibri" w:hAnsi="Times New Roman" w:cs="Times New Roman"/>
        </w:rPr>
        <w:t xml:space="preserve"> and Appah (2022) and Olaoye et al. (2022), have considered revenue reforms using historical data to find structural breaks, where their methods are similar to the ex-post facto technique.</w:t>
      </w:r>
    </w:p>
    <w:p w14:paraId="623902AF"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lastRenderedPageBreak/>
        <w:t>Data sources for this research are secondary and acquired from reliable institutional databases, and therefore, this research ensures objectivity and reliability. It contains annual revenue collected on some tax areas in Nigeria, such as CGT, VAT, CED, PPT, and CIT. The dataset contains a period before the 2013 tax policy change and a period after the change, covering 2013 to 2024.</w:t>
      </w:r>
    </w:p>
    <w:p w14:paraId="4028D55B"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Sources of data include the Central Bank of Nigeria, CBN Statistical Bulletin, which disseminates reconciled and validated macro-fiscal statistics that include detailed tax revenue information, and FIRS' </w:t>
      </w:r>
      <w:proofErr w:type="spellStart"/>
      <w:r w:rsidRPr="00DB6A40">
        <w:rPr>
          <w:rFonts w:ascii="Times New Roman" w:eastAsia="Calibri" w:hAnsi="Times New Roman" w:cs="Times New Roman"/>
        </w:rPr>
        <w:t>TaxPro</w:t>
      </w:r>
      <w:proofErr w:type="spellEnd"/>
      <w:r w:rsidRPr="00DB6A40">
        <w:rPr>
          <w:rFonts w:ascii="Times New Roman" w:eastAsia="Calibri" w:hAnsi="Times New Roman" w:cs="Times New Roman"/>
        </w:rPr>
        <w:t>-Max database, which provides official collection data on a variety of tax heads. In studies on public finances conducted in Nigeria, these data sources are known for accuracy and reliability (CBN, 2023; FIRS, 2024).</w:t>
      </w:r>
    </w:p>
    <w:p w14:paraId="3C34103A" w14:textId="77777777" w:rsidR="007223FC" w:rsidRDefault="007223FC" w:rsidP="00DB6A40">
      <w:pPr>
        <w:spacing w:after="0" w:line="240" w:lineRule="auto"/>
        <w:jc w:val="both"/>
        <w:rPr>
          <w:rFonts w:ascii="Times New Roman" w:eastAsia="Calibri" w:hAnsi="Times New Roman" w:cs="Times New Roman"/>
          <w:b/>
          <w:bCs/>
        </w:rPr>
      </w:pPr>
    </w:p>
    <w:p w14:paraId="798DDF78" w14:textId="3725B240"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Model Specification</w:t>
      </w:r>
    </w:p>
    <w:p w14:paraId="52C2EF83"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model is structured to test whether a significant difference exists between the mean tax revenues in the pre- and post-2013 reform periods. The analysis applies a </w:t>
      </w:r>
      <w:r w:rsidRPr="00DB6A40">
        <w:rPr>
          <w:rFonts w:ascii="Times New Roman" w:eastAsia="Calibri" w:hAnsi="Times New Roman" w:cs="Times New Roman"/>
          <w:b/>
          <w:bCs/>
        </w:rPr>
        <w:t>test of difference</w:t>
      </w:r>
      <w:r w:rsidRPr="00DB6A40">
        <w:rPr>
          <w:rFonts w:ascii="Times New Roman" w:eastAsia="Calibri" w:hAnsi="Times New Roman" w:cs="Times New Roman"/>
        </w:rPr>
        <w:t xml:space="preserve"> (specifically, the independent sample </w:t>
      </w:r>
      <w:r w:rsidRPr="00DB6A40">
        <w:rPr>
          <w:rFonts w:ascii="Times New Roman" w:eastAsia="Calibri" w:hAnsi="Times New Roman" w:cs="Times New Roman"/>
          <w:i/>
          <w:iCs/>
        </w:rPr>
        <w:t>t</w:t>
      </w:r>
      <w:r w:rsidRPr="00DB6A40">
        <w:rPr>
          <w:rFonts w:ascii="Times New Roman" w:eastAsia="Calibri" w:hAnsi="Times New Roman" w:cs="Times New Roman"/>
        </w:rPr>
        <w:t>-test) to ascertain whether the mean revenues before the reform differ materially from those after the reform.</w:t>
      </w:r>
    </w:p>
    <w:p w14:paraId="4604D2C9" w14:textId="77777777" w:rsidR="007223FC" w:rsidRDefault="007223FC" w:rsidP="00DB6A40">
      <w:pPr>
        <w:spacing w:after="0" w:line="240" w:lineRule="auto"/>
        <w:jc w:val="both"/>
        <w:rPr>
          <w:rFonts w:ascii="Times New Roman" w:eastAsia="Calibri" w:hAnsi="Times New Roman" w:cs="Times New Roman"/>
          <w:b/>
          <w:bCs/>
        </w:rPr>
      </w:pPr>
    </w:p>
    <w:p w14:paraId="1B6B443E" w14:textId="345F45C8"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Functional Form of the Model</w:t>
      </w:r>
    </w:p>
    <w:p w14:paraId="7D25B538" w14:textId="77777777" w:rsidR="00DB6A40" w:rsidRPr="00DB6A40" w:rsidRDefault="00DB6A40" w:rsidP="00DB6A40">
      <w:pPr>
        <w:spacing w:after="0" w:line="240" w:lineRule="auto"/>
        <w:jc w:val="both"/>
        <w:rPr>
          <w:rFonts w:ascii="Times New Roman" w:eastAsia="Calibri" w:hAnsi="Times New Roman" w:cs="Times New Roman"/>
        </w:rPr>
      </w:pPr>
      <m:oMathPara>
        <m:oMath>
          <m:r>
            <w:rPr>
              <w:rFonts w:ascii="Cambria Math" w:eastAsia="Calibri" w:hAnsi="Cambria Math" w:cs="Times New Roman"/>
            </w:rPr>
            <m:t>TR=f(PIT,CIT,PPT,VAT,CED,CGT)</m:t>
          </m:r>
          <m:r>
            <m:rPr>
              <m:sty m:val="p"/>
            </m:rPr>
            <w:rPr>
              <w:rFonts w:ascii="Cambria Math" w:eastAsia="Calibri" w:hAnsi="Cambria Math" w:cs="Times New Roman"/>
            </w:rPr>
            <w:br/>
          </m:r>
        </m:oMath>
      </m:oMathPara>
      <w:r w:rsidRPr="00DB6A40">
        <w:rPr>
          <w:rFonts w:ascii="Times New Roman" w:eastAsia="Calibri" w:hAnsi="Times New Roman" w:cs="Times New Roman"/>
        </w:rPr>
        <w:t>Where:</w:t>
      </w:r>
      <w:r w:rsidRPr="00DB6A40">
        <w:rPr>
          <w:rFonts w:ascii="Times New Roman" w:eastAsia="Calibri" w:hAnsi="Times New Roman" w:cs="Times New Roman"/>
        </w:rPr>
        <w:br/>
      </w:r>
      <m:oMath>
        <m:r>
          <w:rPr>
            <w:rFonts w:ascii="Cambria Math" w:eastAsia="Calibri" w:hAnsi="Cambria Math" w:cs="Times New Roman"/>
          </w:rPr>
          <m:t>TR</m:t>
        </m:r>
      </m:oMath>
      <w:r w:rsidRPr="00DB6A40">
        <w:rPr>
          <w:rFonts w:ascii="Times New Roman" w:eastAsia="Calibri" w:hAnsi="Times New Roman" w:cs="Times New Roman"/>
        </w:rPr>
        <w:t>= Total Tax Revenue (aggregate or disaggregated per head)</w:t>
      </w:r>
    </w:p>
    <w:p w14:paraId="00E2DAA1" w14:textId="77777777" w:rsidR="00D24E0B" w:rsidRDefault="00D24E0B" w:rsidP="00DB6A40">
      <w:pPr>
        <w:spacing w:after="0" w:line="240" w:lineRule="auto"/>
        <w:jc w:val="both"/>
        <w:rPr>
          <w:rFonts w:ascii="Times New Roman" w:eastAsia="Calibri" w:hAnsi="Times New Roman" w:cs="Times New Roman"/>
          <w:b/>
          <w:bCs/>
        </w:rPr>
      </w:pPr>
    </w:p>
    <w:p w14:paraId="2AA6161D" w14:textId="014183F6"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Mathematical Form of the Model</w:t>
      </w:r>
    </w:p>
    <w:p w14:paraId="40AB183F" w14:textId="77777777" w:rsidR="00DB6A40" w:rsidRPr="00DB6A40" w:rsidRDefault="00000000" w:rsidP="00DB6A40">
      <w:pPr>
        <w:spacing w:after="0" w:line="240" w:lineRule="auto"/>
        <w:jc w:val="both"/>
        <w:rPr>
          <w:rFonts w:ascii="Times New Roman" w:eastAsia="Calibri" w:hAnsi="Times New Roman" w:cs="Times New Roman"/>
        </w:rPr>
      </w:pPr>
      <m:oMathPara>
        <m:oMath>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post</m:t>
              </m:r>
            </m:sub>
          </m:sSub>
          <m:r>
            <w:rPr>
              <w:rFonts w:ascii="Cambria Math" w:eastAsia="Calibri" w:hAnsi="Cambria Math" w:cs="Times New Roman"/>
            </w:rPr>
            <m:t>-</m:t>
          </m:r>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pre</m:t>
              </m:r>
            </m:sub>
          </m:sSub>
          <m:r>
            <w:rPr>
              <w:rFonts w:ascii="Cambria Math" w:eastAsia="Calibri" w:hAnsi="Cambria Math" w:cs="Times New Roman"/>
            </w:rPr>
            <m:t>=</m:t>
          </m:r>
          <m:sSub>
            <m:sSubPr>
              <m:ctrlPr>
                <w:rPr>
                  <w:rFonts w:ascii="Cambria Math" w:eastAsia="Calibri" w:hAnsi="Cambria Math" w:cs="Times New Roman"/>
                </w:rPr>
              </m:ctrlPr>
            </m:sSubPr>
            <m:e>
              <m:r>
                <w:rPr>
                  <w:rFonts w:ascii="Cambria Math" w:eastAsia="Calibri" w:hAnsi="Cambria Math" w:cs="Times New Roman"/>
                </w:rPr>
                <m:t>μ</m:t>
              </m:r>
            </m:e>
            <m:sub>
              <m:r>
                <w:rPr>
                  <w:rFonts w:ascii="Cambria Math" w:eastAsia="Calibri" w:hAnsi="Cambria Math" w:cs="Times New Roman"/>
                </w:rPr>
                <m:t>d</m:t>
              </m:r>
            </m:sub>
          </m:sSub>
          <m:r>
            <m:rPr>
              <m:sty m:val="p"/>
            </m:rPr>
            <w:rPr>
              <w:rFonts w:ascii="Cambria Math" w:eastAsia="Calibri" w:hAnsi="Cambria Math" w:cs="Times New Roman"/>
            </w:rPr>
            <w:br/>
          </m:r>
        </m:oMath>
        <m:oMath>
          <m:r>
            <w:rPr>
              <w:rFonts w:ascii="Cambria Math" w:eastAsia="Calibri" w:hAnsi="Cambria Math" w:cs="Times New Roman"/>
            </w:rPr>
            <m:t>t=</m:t>
          </m:r>
          <m:f>
            <m:fPr>
              <m:ctrlPr>
                <w:rPr>
                  <w:rFonts w:ascii="Cambria Math" w:eastAsia="Calibri" w:hAnsi="Cambria Math" w:cs="Times New Roman"/>
                </w:rPr>
              </m:ctrlPr>
            </m:fPr>
            <m:num>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post</m:t>
                  </m:r>
                </m:sub>
              </m:sSub>
              <m:r>
                <w:rPr>
                  <w:rFonts w:ascii="Cambria Math" w:eastAsia="Calibri" w:hAnsi="Cambria Math" w:cs="Times New Roman"/>
                </w:rPr>
                <m:t>-</m:t>
              </m:r>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pre</m:t>
                  </m:r>
                </m:sub>
              </m:sSub>
            </m:num>
            <m:den>
              <m:sSub>
                <m:sSubPr>
                  <m:ctrlPr>
                    <w:rPr>
                      <w:rFonts w:ascii="Cambria Math" w:eastAsia="Calibri" w:hAnsi="Cambria Math" w:cs="Times New Roman"/>
                    </w:rPr>
                  </m:ctrlPr>
                </m:sSubPr>
                <m:e>
                  <m:r>
                    <w:rPr>
                      <w:rFonts w:ascii="Cambria Math" w:eastAsia="Calibri" w:hAnsi="Cambria Math" w:cs="Times New Roman"/>
                    </w:rPr>
                    <m:t>S</m:t>
                  </m:r>
                </m:e>
                <m:sub>
                  <m:r>
                    <w:rPr>
                      <w:rFonts w:ascii="Cambria Math" w:eastAsia="Calibri" w:hAnsi="Cambria Math" w:cs="Times New Roman"/>
                    </w:rPr>
                    <m:t>p</m:t>
                  </m:r>
                </m:sub>
              </m:sSub>
              <m:rad>
                <m:radPr>
                  <m:degHide m:val="1"/>
                  <m:ctrlPr>
                    <w:rPr>
                      <w:rFonts w:ascii="Cambria Math" w:eastAsia="Calibri" w:hAnsi="Cambria Math" w:cs="Times New Roman"/>
                    </w:rPr>
                  </m:ctrlPr>
                </m:radPr>
                <m:deg/>
                <m:e>
                  <m:f>
                    <m:fPr>
                      <m:ctrlPr>
                        <w:rPr>
                          <w:rFonts w:ascii="Cambria Math" w:eastAsia="Calibri" w:hAnsi="Cambria Math" w:cs="Times New Roman"/>
                        </w:rPr>
                      </m:ctrlPr>
                    </m:fPr>
                    <m:num>
                      <m:r>
                        <w:rPr>
                          <w:rFonts w:ascii="Cambria Math" w:eastAsia="Calibri" w:hAnsi="Cambria Math" w:cs="Times New Roman"/>
                        </w:rPr>
                        <m:t>1</m:t>
                      </m:r>
                    </m:num>
                    <m:den>
                      <m:sSub>
                        <m:sSubPr>
                          <m:ctrlPr>
                            <w:rPr>
                              <w:rFonts w:ascii="Cambria Math" w:eastAsia="Calibri" w:hAnsi="Cambria Math" w:cs="Times New Roman"/>
                            </w:rPr>
                          </m:ctrlPr>
                        </m:sSubPr>
                        <m:e>
                          <m:r>
                            <w:rPr>
                              <w:rFonts w:ascii="Cambria Math" w:eastAsia="Calibri" w:hAnsi="Cambria Math" w:cs="Times New Roman"/>
                            </w:rPr>
                            <m:t>n</m:t>
                          </m:r>
                        </m:e>
                        <m:sub>
                          <m:r>
                            <w:rPr>
                              <w:rFonts w:ascii="Cambria Math" w:eastAsia="Calibri" w:hAnsi="Cambria Math" w:cs="Times New Roman"/>
                            </w:rPr>
                            <m:t>post</m:t>
                          </m:r>
                        </m:sub>
                      </m:sSub>
                    </m:den>
                  </m:f>
                  <m:r>
                    <w:rPr>
                      <w:rFonts w:ascii="Cambria Math" w:eastAsia="Calibri" w:hAnsi="Cambria Math" w:cs="Times New Roman"/>
                    </w:rPr>
                    <m:t>+</m:t>
                  </m:r>
                  <m:f>
                    <m:fPr>
                      <m:ctrlPr>
                        <w:rPr>
                          <w:rFonts w:ascii="Cambria Math" w:eastAsia="Calibri" w:hAnsi="Cambria Math" w:cs="Times New Roman"/>
                        </w:rPr>
                      </m:ctrlPr>
                    </m:fPr>
                    <m:num>
                      <m:r>
                        <w:rPr>
                          <w:rFonts w:ascii="Cambria Math" w:eastAsia="Calibri" w:hAnsi="Cambria Math" w:cs="Times New Roman"/>
                        </w:rPr>
                        <m:t>1</m:t>
                      </m:r>
                    </m:num>
                    <m:den>
                      <m:sSub>
                        <m:sSubPr>
                          <m:ctrlPr>
                            <w:rPr>
                              <w:rFonts w:ascii="Cambria Math" w:eastAsia="Calibri" w:hAnsi="Cambria Math" w:cs="Times New Roman"/>
                            </w:rPr>
                          </m:ctrlPr>
                        </m:sSubPr>
                        <m:e>
                          <m:r>
                            <w:rPr>
                              <w:rFonts w:ascii="Cambria Math" w:eastAsia="Calibri" w:hAnsi="Cambria Math" w:cs="Times New Roman"/>
                            </w:rPr>
                            <m:t>n</m:t>
                          </m:r>
                        </m:e>
                        <m:sub>
                          <m:r>
                            <w:rPr>
                              <w:rFonts w:ascii="Cambria Math" w:eastAsia="Calibri" w:hAnsi="Cambria Math" w:cs="Times New Roman"/>
                            </w:rPr>
                            <m:t>pre</m:t>
                          </m:r>
                        </m:sub>
                      </m:sSub>
                    </m:den>
                  </m:f>
                </m:e>
              </m:rad>
            </m:den>
          </m:f>
          <m:r>
            <m:rPr>
              <m:sty m:val="p"/>
            </m:rPr>
            <w:rPr>
              <w:rFonts w:ascii="Cambria Math" w:eastAsia="Calibri" w:hAnsi="Cambria Math" w:cs="Times New Roman"/>
            </w:rPr>
            <w:br/>
          </m:r>
        </m:oMath>
      </m:oMathPara>
    </w:p>
    <w:p w14:paraId="7ECE0E30"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Where:</w:t>
      </w:r>
      <w:r w:rsidRPr="00DB6A40">
        <w:rPr>
          <w:rFonts w:ascii="Times New Roman" w:eastAsia="Calibri" w:hAnsi="Times New Roman" w:cs="Times New Roman"/>
        </w:rPr>
        <w:br/>
      </w:r>
      <m:oMath>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post</m:t>
            </m:r>
          </m:sub>
        </m:sSub>
      </m:oMath>
      <w:r w:rsidRPr="00DB6A40">
        <w:rPr>
          <w:rFonts w:ascii="Times New Roman" w:eastAsia="Calibri" w:hAnsi="Times New Roman" w:cs="Times New Roman"/>
        </w:rPr>
        <w:t>= Mean tax revenue after the 2013 reform</w:t>
      </w:r>
    </w:p>
    <w:p w14:paraId="42033775"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pre</m:t>
            </m:r>
          </m:sub>
        </m:sSub>
      </m:oMath>
      <w:r w:rsidR="00DB6A40" w:rsidRPr="00DB6A40">
        <w:rPr>
          <w:rFonts w:ascii="Times New Roman" w:eastAsia="Calibri" w:hAnsi="Times New Roman" w:cs="Times New Roman"/>
        </w:rPr>
        <w:t>= Mean tax revenue before the 2013 reform</w:t>
      </w:r>
    </w:p>
    <w:p w14:paraId="10734C43"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r>
              <w:rPr>
                <w:rFonts w:ascii="Cambria Math" w:eastAsia="Calibri" w:hAnsi="Cambria Math" w:cs="Times New Roman"/>
              </w:rPr>
              <m:t>S</m:t>
            </m:r>
          </m:e>
          <m:sub>
            <m:r>
              <w:rPr>
                <w:rFonts w:ascii="Cambria Math" w:eastAsia="Calibri" w:hAnsi="Cambria Math" w:cs="Times New Roman"/>
              </w:rPr>
              <m:t>p</m:t>
            </m:r>
          </m:sub>
        </m:sSub>
      </m:oMath>
      <w:r w:rsidR="00DB6A40" w:rsidRPr="00DB6A40">
        <w:rPr>
          <w:rFonts w:ascii="Times New Roman" w:eastAsia="Calibri" w:hAnsi="Times New Roman" w:cs="Times New Roman"/>
        </w:rPr>
        <w:t>= Pooled standard deviation</w:t>
      </w:r>
    </w:p>
    <w:p w14:paraId="32416821"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r>
              <w:rPr>
                <w:rFonts w:ascii="Cambria Math" w:eastAsia="Calibri" w:hAnsi="Cambria Math" w:cs="Times New Roman"/>
              </w:rPr>
              <m:t>n</m:t>
            </m:r>
          </m:e>
          <m:sub>
            <m:r>
              <w:rPr>
                <w:rFonts w:ascii="Cambria Math" w:eastAsia="Calibri" w:hAnsi="Cambria Math" w:cs="Times New Roman"/>
              </w:rPr>
              <m:t>post</m:t>
            </m:r>
          </m:sub>
        </m:sSub>
      </m:oMath>
      <w:r w:rsidR="00DB6A40" w:rsidRPr="00DB6A40">
        <w:rPr>
          <w:rFonts w:ascii="Times New Roman" w:eastAsia="Calibri" w:hAnsi="Times New Roman" w:cs="Times New Roman"/>
        </w:rPr>
        <w:t xml:space="preserve">, </w:t>
      </w:r>
      <m:oMath>
        <m:sSub>
          <m:sSubPr>
            <m:ctrlPr>
              <w:rPr>
                <w:rFonts w:ascii="Cambria Math" w:eastAsia="Calibri" w:hAnsi="Cambria Math" w:cs="Times New Roman"/>
              </w:rPr>
            </m:ctrlPr>
          </m:sSubPr>
          <m:e>
            <m:r>
              <w:rPr>
                <w:rFonts w:ascii="Cambria Math" w:eastAsia="Calibri" w:hAnsi="Cambria Math" w:cs="Times New Roman"/>
              </w:rPr>
              <m:t>n</m:t>
            </m:r>
          </m:e>
          <m:sub>
            <m:r>
              <w:rPr>
                <w:rFonts w:ascii="Cambria Math" w:eastAsia="Calibri" w:hAnsi="Cambria Math" w:cs="Times New Roman"/>
              </w:rPr>
              <m:t>pre</m:t>
            </m:r>
          </m:sub>
        </m:sSub>
      </m:oMath>
      <w:r w:rsidR="00DB6A40" w:rsidRPr="00DB6A40">
        <w:rPr>
          <w:rFonts w:ascii="Times New Roman" w:eastAsia="Calibri" w:hAnsi="Times New Roman" w:cs="Times New Roman"/>
        </w:rPr>
        <w:t>= Sample sizes for post- and pre-reform periods</w:t>
      </w:r>
    </w:p>
    <w:p w14:paraId="130AB0F9" w14:textId="77777777" w:rsidR="007223FC" w:rsidRDefault="007223FC" w:rsidP="00DB6A40">
      <w:pPr>
        <w:spacing w:after="0" w:line="240" w:lineRule="auto"/>
        <w:jc w:val="both"/>
        <w:rPr>
          <w:rFonts w:ascii="Times New Roman" w:eastAsia="Calibri" w:hAnsi="Times New Roman" w:cs="Times New Roman"/>
          <w:b/>
          <w:bCs/>
        </w:rPr>
      </w:pPr>
    </w:p>
    <w:p w14:paraId="12447FE6" w14:textId="42174DA6"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Operational Form of the Model</w:t>
      </w:r>
    </w:p>
    <w:p w14:paraId="68EB6016" w14:textId="77777777" w:rsidR="00DB6A40" w:rsidRPr="00DB6A40" w:rsidRDefault="00000000" w:rsidP="00DB6A40">
      <w:pPr>
        <w:spacing w:after="0" w:line="240" w:lineRule="auto"/>
        <w:jc w:val="both"/>
        <w:rPr>
          <w:rFonts w:ascii="Times New Roman" w:eastAsia="Calibri" w:hAnsi="Times New Roman" w:cs="Times New Roman"/>
        </w:rPr>
      </w:pPr>
      <m:oMathPara>
        <m:oMath>
          <m:sSub>
            <m:sSubPr>
              <m:ctrlPr>
                <w:rPr>
                  <w:rFonts w:ascii="Cambria Math" w:eastAsia="Calibri" w:hAnsi="Cambria Math" w:cs="Times New Roman"/>
                </w:rPr>
              </m:ctrlPr>
            </m:sSubPr>
            <m:e>
              <m:r>
                <w:rPr>
                  <w:rFonts w:ascii="Cambria Math" w:eastAsia="Calibri" w:hAnsi="Cambria Math" w:cs="Times New Roman"/>
                </w:rPr>
                <m:t>Y</m:t>
              </m:r>
            </m:e>
            <m:sub>
              <m:r>
                <w:rPr>
                  <w:rFonts w:ascii="Cambria Math" w:eastAsia="Calibri" w:hAnsi="Cambria Math" w:cs="Times New Roman"/>
                </w:rPr>
                <m:t>i</m:t>
              </m:r>
            </m:sub>
          </m:sSub>
          <m:r>
            <w:rPr>
              <w:rFonts w:ascii="Cambria Math" w:eastAsia="Calibri" w:hAnsi="Cambria Math" w:cs="Times New Roman"/>
            </w:rPr>
            <m:t>=</m:t>
          </m:r>
          <m:sSub>
            <m:sSubPr>
              <m:ctrlPr>
                <w:rPr>
                  <w:rFonts w:ascii="Cambria Math" w:eastAsia="Calibri" w:hAnsi="Cambria Math" w:cs="Times New Roman"/>
                </w:rPr>
              </m:ctrlPr>
            </m:sSubPr>
            <m:e>
              <m:r>
                <w:rPr>
                  <w:rFonts w:ascii="Cambria Math" w:eastAsia="Calibri" w:hAnsi="Cambria Math" w:cs="Times New Roman"/>
                </w:rPr>
                <m:t>β</m:t>
              </m:r>
            </m:e>
            <m:sub>
              <m:r>
                <w:rPr>
                  <w:rFonts w:ascii="Cambria Math" w:eastAsia="Calibri" w:hAnsi="Cambria Math" w:cs="Times New Roman"/>
                </w:rPr>
                <m:t>0</m:t>
              </m:r>
            </m:sub>
          </m:sSub>
          <m:r>
            <w:rPr>
              <w:rFonts w:ascii="Cambria Math" w:eastAsia="Calibri" w:hAnsi="Cambria Math" w:cs="Times New Roman"/>
            </w:rPr>
            <m:t>+</m:t>
          </m:r>
          <m:sSub>
            <m:sSubPr>
              <m:ctrlPr>
                <w:rPr>
                  <w:rFonts w:ascii="Cambria Math" w:eastAsia="Calibri" w:hAnsi="Cambria Math" w:cs="Times New Roman"/>
                </w:rPr>
              </m:ctrlPr>
            </m:sSubPr>
            <m:e>
              <m:r>
                <w:rPr>
                  <w:rFonts w:ascii="Cambria Math" w:eastAsia="Calibri" w:hAnsi="Cambria Math" w:cs="Times New Roman"/>
                </w:rPr>
                <m:t>β</m:t>
              </m:r>
            </m:e>
            <m:sub>
              <m:r>
                <w:rPr>
                  <w:rFonts w:ascii="Cambria Math" w:eastAsia="Calibri" w:hAnsi="Cambria Math" w:cs="Times New Roman"/>
                </w:rPr>
                <m:t>1</m:t>
              </m:r>
            </m:sub>
          </m:sSub>
          <m:sSub>
            <m:sSubPr>
              <m:ctrlPr>
                <w:rPr>
                  <w:rFonts w:ascii="Cambria Math" w:eastAsia="Calibri" w:hAnsi="Cambria Math" w:cs="Times New Roman"/>
                </w:rPr>
              </m:ctrlPr>
            </m:sSubPr>
            <m:e>
              <m:r>
                <w:rPr>
                  <w:rFonts w:ascii="Cambria Math" w:eastAsia="Calibri" w:hAnsi="Cambria Math" w:cs="Times New Roman"/>
                </w:rPr>
                <m:t>D</m:t>
              </m:r>
            </m:e>
            <m:sub>
              <m:r>
                <w:rPr>
                  <w:rFonts w:ascii="Cambria Math" w:eastAsia="Calibri" w:hAnsi="Cambria Math" w:cs="Times New Roman"/>
                </w:rPr>
                <m:t>i</m:t>
              </m:r>
            </m:sub>
          </m:sSub>
          <m:r>
            <w:rPr>
              <w:rFonts w:ascii="Cambria Math" w:eastAsia="Calibri" w:hAnsi="Cambria Math" w:cs="Times New Roman"/>
            </w:rPr>
            <m:t>+</m:t>
          </m:r>
          <m:sSub>
            <m:sSubPr>
              <m:ctrlPr>
                <w:rPr>
                  <w:rFonts w:ascii="Cambria Math" w:eastAsia="Calibri" w:hAnsi="Cambria Math" w:cs="Times New Roman"/>
                </w:rPr>
              </m:ctrlPr>
            </m:sSubPr>
            <m:e>
              <m:r>
                <w:rPr>
                  <w:rFonts w:ascii="Cambria Math" w:eastAsia="Calibri" w:hAnsi="Cambria Math" w:cs="Times New Roman"/>
                </w:rPr>
                <m:t>ε</m:t>
              </m:r>
            </m:e>
            <m:sub>
              <m:r>
                <w:rPr>
                  <w:rFonts w:ascii="Cambria Math" w:eastAsia="Calibri" w:hAnsi="Cambria Math" w:cs="Times New Roman"/>
                </w:rPr>
                <m:t>i</m:t>
              </m:r>
            </m:sub>
          </m:sSub>
          <m:r>
            <m:rPr>
              <m:sty m:val="p"/>
            </m:rPr>
            <w:rPr>
              <w:rFonts w:ascii="Cambria Math" w:eastAsia="Calibri" w:hAnsi="Cambria Math" w:cs="Times New Roman"/>
            </w:rPr>
            <w:br/>
          </m:r>
        </m:oMath>
      </m:oMathPara>
      <w:r w:rsidR="00DB6A40" w:rsidRPr="00DB6A40">
        <w:rPr>
          <w:rFonts w:ascii="Times New Roman" w:eastAsia="Calibri" w:hAnsi="Times New Roman" w:cs="Times New Roman"/>
        </w:rPr>
        <w:t>Where:</w:t>
      </w:r>
    </w:p>
    <w:p w14:paraId="28D21B6A"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r>
              <w:rPr>
                <w:rFonts w:ascii="Cambria Math" w:eastAsia="Calibri" w:hAnsi="Cambria Math" w:cs="Times New Roman"/>
              </w:rPr>
              <m:t>Y</m:t>
            </m:r>
          </m:e>
          <m:sub>
            <m:r>
              <w:rPr>
                <w:rFonts w:ascii="Cambria Math" w:eastAsia="Calibri" w:hAnsi="Cambria Math" w:cs="Times New Roman"/>
              </w:rPr>
              <m:t>i</m:t>
            </m:r>
          </m:sub>
        </m:sSub>
      </m:oMath>
      <w:r w:rsidR="00DB6A40" w:rsidRPr="00DB6A40">
        <w:rPr>
          <w:rFonts w:ascii="Times New Roman" w:eastAsia="Calibri" w:hAnsi="Times New Roman" w:cs="Times New Roman"/>
        </w:rPr>
        <w:t>= Observed value of each tax revenue variable (PIT, CIT, PPT, VAT, CED, CGT)</w:t>
      </w:r>
    </w:p>
    <w:p w14:paraId="1F7268CF"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r>
              <w:rPr>
                <w:rFonts w:ascii="Cambria Math" w:eastAsia="Calibri" w:hAnsi="Cambria Math" w:cs="Times New Roman"/>
              </w:rPr>
              <m:t>D</m:t>
            </m:r>
          </m:e>
          <m:sub>
            <m:r>
              <w:rPr>
                <w:rFonts w:ascii="Cambria Math" w:eastAsia="Calibri" w:hAnsi="Cambria Math" w:cs="Times New Roman"/>
              </w:rPr>
              <m:t>i</m:t>
            </m:r>
          </m:sub>
        </m:sSub>
      </m:oMath>
      <w:r w:rsidR="00DB6A40" w:rsidRPr="00DB6A40">
        <w:rPr>
          <w:rFonts w:ascii="Times New Roman" w:eastAsia="Calibri" w:hAnsi="Times New Roman" w:cs="Times New Roman"/>
        </w:rPr>
        <w:t xml:space="preserve">= Dummy variable representing the period of observation (0 = Pre-Reform, 1 = </w:t>
      </w:r>
      <w:proofErr w:type="gramStart"/>
      <w:r w:rsidR="00DB6A40" w:rsidRPr="00DB6A40">
        <w:rPr>
          <w:rFonts w:ascii="Times New Roman" w:eastAsia="Calibri" w:hAnsi="Times New Roman" w:cs="Times New Roman"/>
        </w:rPr>
        <w:t>Post-Reform</w:t>
      </w:r>
      <w:proofErr w:type="gramEnd"/>
      <w:r w:rsidR="00DB6A40" w:rsidRPr="00DB6A40">
        <w:rPr>
          <w:rFonts w:ascii="Times New Roman" w:eastAsia="Calibri" w:hAnsi="Times New Roman" w:cs="Times New Roman"/>
        </w:rPr>
        <w:t>)</w:t>
      </w:r>
    </w:p>
    <w:p w14:paraId="032B82A1"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r>
              <w:rPr>
                <w:rFonts w:ascii="Cambria Math" w:eastAsia="Calibri" w:hAnsi="Cambria Math" w:cs="Times New Roman"/>
              </w:rPr>
              <m:t>β</m:t>
            </m:r>
          </m:e>
          <m:sub>
            <m:r>
              <w:rPr>
                <w:rFonts w:ascii="Cambria Math" w:eastAsia="Calibri" w:hAnsi="Cambria Math" w:cs="Times New Roman"/>
              </w:rPr>
              <m:t>0</m:t>
            </m:r>
          </m:sub>
        </m:sSub>
      </m:oMath>
      <w:r w:rsidR="00DB6A40" w:rsidRPr="00DB6A40">
        <w:rPr>
          <w:rFonts w:ascii="Times New Roman" w:eastAsia="Calibri" w:hAnsi="Times New Roman" w:cs="Times New Roman"/>
        </w:rPr>
        <w:t>= Intercept (mean revenue in pre-reform period)</w:t>
      </w:r>
    </w:p>
    <w:p w14:paraId="373EFB28"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r>
              <w:rPr>
                <w:rFonts w:ascii="Cambria Math" w:eastAsia="Calibri" w:hAnsi="Cambria Math" w:cs="Times New Roman"/>
              </w:rPr>
              <m:t>β</m:t>
            </m:r>
          </m:e>
          <m:sub>
            <m:r>
              <w:rPr>
                <w:rFonts w:ascii="Cambria Math" w:eastAsia="Calibri" w:hAnsi="Cambria Math" w:cs="Times New Roman"/>
              </w:rPr>
              <m:t>1</m:t>
            </m:r>
          </m:sub>
        </m:sSub>
      </m:oMath>
      <w:r w:rsidR="00DB6A40" w:rsidRPr="00DB6A40">
        <w:rPr>
          <w:rFonts w:ascii="Times New Roman" w:eastAsia="Calibri" w:hAnsi="Times New Roman" w:cs="Times New Roman"/>
        </w:rPr>
        <w:t>= Mean difference due to reform (expected positive)</w:t>
      </w:r>
    </w:p>
    <w:p w14:paraId="06360EDF" w14:textId="77777777" w:rsidR="00DB6A40" w:rsidRPr="00DB6A40" w:rsidRDefault="00000000" w:rsidP="00DB6A40">
      <w:pPr>
        <w:spacing w:after="0" w:line="240" w:lineRule="auto"/>
        <w:jc w:val="both"/>
        <w:rPr>
          <w:rFonts w:ascii="Times New Roman" w:eastAsia="Calibri" w:hAnsi="Times New Roman" w:cs="Times New Roman"/>
        </w:rPr>
      </w:pPr>
      <m:oMath>
        <m:sSub>
          <m:sSubPr>
            <m:ctrlPr>
              <w:rPr>
                <w:rFonts w:ascii="Cambria Math" w:eastAsia="Calibri" w:hAnsi="Cambria Math" w:cs="Times New Roman"/>
              </w:rPr>
            </m:ctrlPr>
          </m:sSubPr>
          <m:e>
            <m:r>
              <w:rPr>
                <w:rFonts w:ascii="Cambria Math" w:eastAsia="Calibri" w:hAnsi="Cambria Math" w:cs="Times New Roman"/>
              </w:rPr>
              <m:t>ε</m:t>
            </m:r>
          </m:e>
          <m:sub>
            <m:r>
              <w:rPr>
                <w:rFonts w:ascii="Cambria Math" w:eastAsia="Calibri" w:hAnsi="Cambria Math" w:cs="Times New Roman"/>
              </w:rPr>
              <m:t>i</m:t>
            </m:r>
          </m:sub>
        </m:sSub>
      </m:oMath>
      <w:r w:rsidR="00DB6A40" w:rsidRPr="00DB6A40">
        <w:rPr>
          <w:rFonts w:ascii="Times New Roman" w:eastAsia="Calibri" w:hAnsi="Times New Roman" w:cs="Times New Roman"/>
        </w:rPr>
        <w:t>= Random error term</w:t>
      </w:r>
    </w:p>
    <w:p w14:paraId="131E8719" w14:textId="77777777" w:rsidR="007223FC" w:rsidRDefault="007223FC" w:rsidP="00DB6A40">
      <w:pPr>
        <w:spacing w:after="0" w:line="240" w:lineRule="auto"/>
        <w:jc w:val="both"/>
        <w:rPr>
          <w:rFonts w:ascii="Times New Roman" w:eastAsia="Calibri" w:hAnsi="Times New Roman" w:cs="Times New Roman"/>
          <w:b/>
          <w:bCs/>
        </w:rPr>
      </w:pPr>
    </w:p>
    <w:p w14:paraId="290C0D35" w14:textId="77777777" w:rsidR="007223FC" w:rsidRDefault="007223FC" w:rsidP="00DB6A40">
      <w:pPr>
        <w:spacing w:after="0" w:line="240" w:lineRule="auto"/>
        <w:jc w:val="both"/>
        <w:rPr>
          <w:rFonts w:ascii="Times New Roman" w:eastAsia="Calibri" w:hAnsi="Times New Roman" w:cs="Times New Roman"/>
          <w:b/>
          <w:bCs/>
        </w:rPr>
      </w:pPr>
    </w:p>
    <w:p w14:paraId="564BD261" w14:textId="77777777" w:rsidR="007223FC" w:rsidRDefault="007223FC" w:rsidP="00DB6A40">
      <w:pPr>
        <w:spacing w:after="0" w:line="240" w:lineRule="auto"/>
        <w:jc w:val="both"/>
        <w:rPr>
          <w:rFonts w:ascii="Times New Roman" w:eastAsia="Calibri" w:hAnsi="Times New Roman" w:cs="Times New Roman"/>
          <w:b/>
          <w:bCs/>
        </w:rPr>
      </w:pPr>
    </w:p>
    <w:p w14:paraId="6F439E8E" w14:textId="77777777" w:rsidR="007223FC" w:rsidRDefault="007223FC" w:rsidP="00DB6A40">
      <w:pPr>
        <w:spacing w:after="0" w:line="240" w:lineRule="auto"/>
        <w:jc w:val="both"/>
        <w:rPr>
          <w:rFonts w:ascii="Times New Roman" w:eastAsia="Calibri" w:hAnsi="Times New Roman" w:cs="Times New Roman"/>
          <w:b/>
          <w:bCs/>
        </w:rPr>
      </w:pPr>
    </w:p>
    <w:p w14:paraId="3439CEE9" w14:textId="77777777" w:rsidR="007223FC" w:rsidRDefault="007223FC" w:rsidP="00DB6A40">
      <w:pPr>
        <w:spacing w:after="0" w:line="240" w:lineRule="auto"/>
        <w:jc w:val="both"/>
        <w:rPr>
          <w:rFonts w:ascii="Times New Roman" w:eastAsia="Calibri" w:hAnsi="Times New Roman" w:cs="Times New Roman"/>
          <w:b/>
          <w:bCs/>
        </w:rPr>
      </w:pPr>
    </w:p>
    <w:p w14:paraId="71864A2D" w14:textId="77777777" w:rsidR="007223FC" w:rsidRDefault="007223FC" w:rsidP="00DB6A40">
      <w:pPr>
        <w:spacing w:after="0" w:line="240" w:lineRule="auto"/>
        <w:jc w:val="both"/>
        <w:rPr>
          <w:rFonts w:ascii="Times New Roman" w:eastAsia="Calibri" w:hAnsi="Times New Roman" w:cs="Times New Roman"/>
          <w:b/>
          <w:bCs/>
        </w:rPr>
      </w:pPr>
    </w:p>
    <w:p w14:paraId="59A5D4CC" w14:textId="77777777" w:rsidR="007223FC" w:rsidRDefault="007223FC" w:rsidP="00DB6A40">
      <w:pPr>
        <w:spacing w:after="0" w:line="240" w:lineRule="auto"/>
        <w:jc w:val="both"/>
        <w:rPr>
          <w:rFonts w:ascii="Times New Roman" w:eastAsia="Calibri" w:hAnsi="Times New Roman" w:cs="Times New Roman"/>
          <w:b/>
          <w:bCs/>
        </w:rPr>
      </w:pPr>
    </w:p>
    <w:p w14:paraId="62E52341" w14:textId="47D88CFE"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Table 1: Operational Definition of Variables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0"/>
        <w:gridCol w:w="926"/>
        <w:gridCol w:w="4579"/>
        <w:gridCol w:w="1555"/>
      </w:tblGrid>
      <w:tr w:rsidR="00DB6A40" w:rsidRPr="00DB6A40" w14:paraId="1C2F3C53" w14:textId="77777777" w:rsidTr="00D00B3F">
        <w:tc>
          <w:tcPr>
            <w:tcW w:w="0" w:type="auto"/>
            <w:tcBorders>
              <w:top w:val="single" w:sz="4" w:space="0" w:color="auto"/>
              <w:bottom w:val="single" w:sz="4" w:space="0" w:color="auto"/>
            </w:tcBorders>
            <w:hideMark/>
          </w:tcPr>
          <w:p w14:paraId="0B864ED5" w14:textId="77777777" w:rsidR="00DB6A40" w:rsidRPr="00DB6A40" w:rsidRDefault="00DB6A40" w:rsidP="00DB6A40">
            <w:pPr>
              <w:jc w:val="both"/>
              <w:rPr>
                <w:rFonts w:ascii="Times New Roman" w:eastAsia="Calibri" w:hAnsi="Times New Roman" w:cs="Times New Roman"/>
                <w:b/>
                <w:bCs/>
              </w:rPr>
            </w:pPr>
            <w:r w:rsidRPr="00DB6A40">
              <w:rPr>
                <w:rFonts w:ascii="Times New Roman" w:eastAsia="Calibri" w:hAnsi="Times New Roman" w:cs="Times New Roman"/>
                <w:b/>
                <w:bCs/>
              </w:rPr>
              <w:t>Variable</w:t>
            </w:r>
          </w:p>
        </w:tc>
        <w:tc>
          <w:tcPr>
            <w:tcW w:w="0" w:type="auto"/>
            <w:tcBorders>
              <w:top w:val="single" w:sz="4" w:space="0" w:color="auto"/>
              <w:bottom w:val="single" w:sz="4" w:space="0" w:color="auto"/>
            </w:tcBorders>
            <w:hideMark/>
          </w:tcPr>
          <w:p w14:paraId="3A8AE92B" w14:textId="77777777" w:rsidR="00DB6A40" w:rsidRPr="00DB6A40" w:rsidRDefault="00DB6A40" w:rsidP="00DB6A40">
            <w:pPr>
              <w:jc w:val="center"/>
              <w:rPr>
                <w:rFonts w:ascii="Times New Roman" w:eastAsia="Calibri" w:hAnsi="Times New Roman" w:cs="Times New Roman"/>
                <w:b/>
                <w:bCs/>
              </w:rPr>
            </w:pPr>
            <w:r w:rsidRPr="00DB6A40">
              <w:rPr>
                <w:rFonts w:ascii="Times New Roman" w:eastAsia="Calibri" w:hAnsi="Times New Roman" w:cs="Times New Roman"/>
                <w:b/>
                <w:bCs/>
              </w:rPr>
              <w:t>Symbol</w:t>
            </w:r>
          </w:p>
        </w:tc>
        <w:tc>
          <w:tcPr>
            <w:tcW w:w="0" w:type="auto"/>
            <w:tcBorders>
              <w:top w:val="single" w:sz="4" w:space="0" w:color="auto"/>
              <w:bottom w:val="single" w:sz="4" w:space="0" w:color="auto"/>
            </w:tcBorders>
            <w:hideMark/>
          </w:tcPr>
          <w:p w14:paraId="7E1FDB67" w14:textId="77777777" w:rsidR="00DB6A40" w:rsidRPr="00DB6A40" w:rsidRDefault="00DB6A40" w:rsidP="00DB6A40">
            <w:pPr>
              <w:jc w:val="both"/>
              <w:rPr>
                <w:rFonts w:ascii="Times New Roman" w:eastAsia="Calibri" w:hAnsi="Times New Roman" w:cs="Times New Roman"/>
                <w:b/>
                <w:bCs/>
              </w:rPr>
            </w:pPr>
            <w:r w:rsidRPr="00DB6A40">
              <w:rPr>
                <w:rFonts w:ascii="Times New Roman" w:eastAsia="Calibri" w:hAnsi="Times New Roman" w:cs="Times New Roman"/>
                <w:b/>
                <w:bCs/>
              </w:rPr>
              <w:t>Measurement</w:t>
            </w:r>
          </w:p>
        </w:tc>
        <w:tc>
          <w:tcPr>
            <w:tcW w:w="0" w:type="auto"/>
            <w:tcBorders>
              <w:top w:val="single" w:sz="4" w:space="0" w:color="auto"/>
              <w:bottom w:val="single" w:sz="4" w:space="0" w:color="auto"/>
            </w:tcBorders>
            <w:hideMark/>
          </w:tcPr>
          <w:p w14:paraId="2730F4E2" w14:textId="77777777" w:rsidR="00DB6A40" w:rsidRPr="00DB6A40" w:rsidRDefault="00DB6A40" w:rsidP="00DB6A40">
            <w:pPr>
              <w:jc w:val="center"/>
              <w:rPr>
                <w:rFonts w:ascii="Times New Roman" w:eastAsia="Calibri" w:hAnsi="Times New Roman" w:cs="Times New Roman"/>
                <w:b/>
                <w:bCs/>
              </w:rPr>
            </w:pPr>
            <w:r w:rsidRPr="00DB6A40">
              <w:rPr>
                <w:rFonts w:ascii="Times New Roman" w:eastAsia="Calibri" w:hAnsi="Times New Roman" w:cs="Times New Roman"/>
                <w:b/>
                <w:bCs/>
              </w:rPr>
              <w:t>Expected Sign</w:t>
            </w:r>
          </w:p>
        </w:tc>
      </w:tr>
      <w:tr w:rsidR="00DB6A40" w:rsidRPr="00DB6A40" w14:paraId="12FA8458" w14:textId="77777777" w:rsidTr="00D00B3F">
        <w:tc>
          <w:tcPr>
            <w:tcW w:w="0" w:type="auto"/>
            <w:tcBorders>
              <w:top w:val="single" w:sz="4" w:space="0" w:color="auto"/>
            </w:tcBorders>
            <w:hideMark/>
          </w:tcPr>
          <w:p w14:paraId="5B29F4CC" w14:textId="77777777" w:rsidR="00DB6A40" w:rsidRPr="00DB6A40" w:rsidRDefault="00DB6A40" w:rsidP="00DB6A40">
            <w:pPr>
              <w:jc w:val="both"/>
              <w:rPr>
                <w:rFonts w:ascii="Times New Roman" w:eastAsia="Calibri" w:hAnsi="Times New Roman" w:cs="Times New Roman"/>
              </w:rPr>
            </w:pPr>
            <w:r w:rsidRPr="00DB6A40">
              <w:rPr>
                <w:rFonts w:ascii="Times New Roman" w:eastAsia="Calibri" w:hAnsi="Times New Roman" w:cs="Times New Roman"/>
              </w:rPr>
              <w:lastRenderedPageBreak/>
              <w:t>Personal Income Tax</w:t>
            </w:r>
          </w:p>
        </w:tc>
        <w:tc>
          <w:tcPr>
            <w:tcW w:w="0" w:type="auto"/>
            <w:tcBorders>
              <w:top w:val="single" w:sz="4" w:space="0" w:color="auto"/>
            </w:tcBorders>
            <w:hideMark/>
          </w:tcPr>
          <w:p w14:paraId="73A11C3C"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PIT</w:t>
            </w:r>
          </w:p>
        </w:tc>
        <w:tc>
          <w:tcPr>
            <w:tcW w:w="0" w:type="auto"/>
            <w:tcBorders>
              <w:top w:val="single" w:sz="4" w:space="0" w:color="auto"/>
            </w:tcBorders>
            <w:hideMark/>
          </w:tcPr>
          <w:p w14:paraId="06C519BE" w14:textId="77777777" w:rsidR="00DB6A40" w:rsidRPr="00DB6A40" w:rsidRDefault="00DB6A40" w:rsidP="00DB6A40">
            <w:pPr>
              <w:rPr>
                <w:rFonts w:ascii="Times New Roman" w:eastAsia="Calibri" w:hAnsi="Times New Roman" w:cs="Times New Roman"/>
              </w:rPr>
            </w:pPr>
            <w:r w:rsidRPr="00DB6A40">
              <w:rPr>
                <w:rFonts w:ascii="Times New Roman" w:eastAsia="Calibri" w:hAnsi="Times New Roman" w:cs="Times New Roman"/>
              </w:rPr>
              <w:t>Annual personal income tax revenue (₦ billions)</w:t>
            </w:r>
          </w:p>
        </w:tc>
        <w:tc>
          <w:tcPr>
            <w:tcW w:w="0" w:type="auto"/>
            <w:tcBorders>
              <w:top w:val="single" w:sz="4" w:space="0" w:color="auto"/>
            </w:tcBorders>
            <w:hideMark/>
          </w:tcPr>
          <w:p w14:paraId="52794FE2"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w:t>
            </w:r>
          </w:p>
        </w:tc>
      </w:tr>
      <w:tr w:rsidR="00DB6A40" w:rsidRPr="00DB6A40" w14:paraId="15F28B67" w14:textId="77777777" w:rsidTr="00D00B3F">
        <w:tc>
          <w:tcPr>
            <w:tcW w:w="0" w:type="auto"/>
            <w:hideMark/>
          </w:tcPr>
          <w:p w14:paraId="2FB3E562" w14:textId="77777777" w:rsidR="00DB6A40" w:rsidRPr="00DB6A40" w:rsidRDefault="00DB6A40" w:rsidP="00DB6A40">
            <w:pPr>
              <w:jc w:val="both"/>
              <w:rPr>
                <w:rFonts w:ascii="Times New Roman" w:eastAsia="Calibri" w:hAnsi="Times New Roman" w:cs="Times New Roman"/>
              </w:rPr>
            </w:pPr>
            <w:r w:rsidRPr="00DB6A40">
              <w:rPr>
                <w:rFonts w:ascii="Times New Roman" w:eastAsia="Calibri" w:hAnsi="Times New Roman" w:cs="Times New Roman"/>
              </w:rPr>
              <w:t>Company Income Tax</w:t>
            </w:r>
          </w:p>
        </w:tc>
        <w:tc>
          <w:tcPr>
            <w:tcW w:w="0" w:type="auto"/>
            <w:hideMark/>
          </w:tcPr>
          <w:p w14:paraId="2373AA09"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CIT</w:t>
            </w:r>
          </w:p>
        </w:tc>
        <w:tc>
          <w:tcPr>
            <w:tcW w:w="0" w:type="auto"/>
            <w:hideMark/>
          </w:tcPr>
          <w:p w14:paraId="274ECF0C" w14:textId="77777777" w:rsidR="00DB6A40" w:rsidRPr="00DB6A40" w:rsidRDefault="00DB6A40" w:rsidP="00DB6A40">
            <w:pPr>
              <w:rPr>
                <w:rFonts w:ascii="Times New Roman" w:eastAsia="Calibri" w:hAnsi="Times New Roman" w:cs="Times New Roman"/>
              </w:rPr>
            </w:pPr>
            <w:r w:rsidRPr="00DB6A40">
              <w:rPr>
                <w:rFonts w:ascii="Times New Roman" w:eastAsia="Calibri" w:hAnsi="Times New Roman" w:cs="Times New Roman"/>
              </w:rPr>
              <w:t>Annual company income tax revenue (₦ billions)</w:t>
            </w:r>
          </w:p>
        </w:tc>
        <w:tc>
          <w:tcPr>
            <w:tcW w:w="0" w:type="auto"/>
            <w:hideMark/>
          </w:tcPr>
          <w:p w14:paraId="1569C68B"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w:t>
            </w:r>
          </w:p>
        </w:tc>
      </w:tr>
      <w:tr w:rsidR="00DB6A40" w:rsidRPr="00DB6A40" w14:paraId="07F2C7C5" w14:textId="77777777" w:rsidTr="00D00B3F">
        <w:tc>
          <w:tcPr>
            <w:tcW w:w="0" w:type="auto"/>
            <w:hideMark/>
          </w:tcPr>
          <w:p w14:paraId="14DABE25" w14:textId="77777777" w:rsidR="00DB6A40" w:rsidRPr="00DB6A40" w:rsidRDefault="00DB6A40" w:rsidP="00DB6A40">
            <w:pPr>
              <w:jc w:val="both"/>
              <w:rPr>
                <w:rFonts w:ascii="Times New Roman" w:eastAsia="Calibri" w:hAnsi="Times New Roman" w:cs="Times New Roman"/>
              </w:rPr>
            </w:pPr>
            <w:r w:rsidRPr="00DB6A40">
              <w:rPr>
                <w:rFonts w:ascii="Times New Roman" w:eastAsia="Calibri" w:hAnsi="Times New Roman" w:cs="Times New Roman"/>
              </w:rPr>
              <w:t>Petroleum Profit Tax</w:t>
            </w:r>
          </w:p>
        </w:tc>
        <w:tc>
          <w:tcPr>
            <w:tcW w:w="0" w:type="auto"/>
            <w:hideMark/>
          </w:tcPr>
          <w:p w14:paraId="26BD4F1C"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PPT</w:t>
            </w:r>
          </w:p>
        </w:tc>
        <w:tc>
          <w:tcPr>
            <w:tcW w:w="0" w:type="auto"/>
            <w:hideMark/>
          </w:tcPr>
          <w:p w14:paraId="4790AB74" w14:textId="77777777" w:rsidR="00DB6A40" w:rsidRPr="00DB6A40" w:rsidRDefault="00DB6A40" w:rsidP="00DB6A40">
            <w:pPr>
              <w:rPr>
                <w:rFonts w:ascii="Times New Roman" w:eastAsia="Calibri" w:hAnsi="Times New Roman" w:cs="Times New Roman"/>
              </w:rPr>
            </w:pPr>
            <w:r w:rsidRPr="00DB6A40">
              <w:rPr>
                <w:rFonts w:ascii="Times New Roman" w:eastAsia="Calibri" w:hAnsi="Times New Roman" w:cs="Times New Roman"/>
              </w:rPr>
              <w:t>Annual petroleum profit tax revenue (₦ billions)</w:t>
            </w:r>
          </w:p>
        </w:tc>
        <w:tc>
          <w:tcPr>
            <w:tcW w:w="0" w:type="auto"/>
            <w:hideMark/>
          </w:tcPr>
          <w:p w14:paraId="140E6985"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w:t>
            </w:r>
          </w:p>
        </w:tc>
      </w:tr>
      <w:tr w:rsidR="00DB6A40" w:rsidRPr="00DB6A40" w14:paraId="594678B9" w14:textId="77777777" w:rsidTr="00D00B3F">
        <w:tc>
          <w:tcPr>
            <w:tcW w:w="0" w:type="auto"/>
            <w:hideMark/>
          </w:tcPr>
          <w:p w14:paraId="07E689BE" w14:textId="77777777" w:rsidR="00DB6A40" w:rsidRPr="00DB6A40" w:rsidRDefault="00DB6A40" w:rsidP="00DB6A40">
            <w:pPr>
              <w:jc w:val="both"/>
              <w:rPr>
                <w:rFonts w:ascii="Times New Roman" w:eastAsia="Calibri" w:hAnsi="Times New Roman" w:cs="Times New Roman"/>
              </w:rPr>
            </w:pPr>
            <w:r w:rsidRPr="00DB6A40">
              <w:rPr>
                <w:rFonts w:ascii="Times New Roman" w:eastAsia="Calibri" w:hAnsi="Times New Roman" w:cs="Times New Roman"/>
              </w:rPr>
              <w:t>Value Added Tax</w:t>
            </w:r>
          </w:p>
        </w:tc>
        <w:tc>
          <w:tcPr>
            <w:tcW w:w="0" w:type="auto"/>
            <w:hideMark/>
          </w:tcPr>
          <w:p w14:paraId="323EE1D7"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VAT</w:t>
            </w:r>
          </w:p>
        </w:tc>
        <w:tc>
          <w:tcPr>
            <w:tcW w:w="0" w:type="auto"/>
            <w:hideMark/>
          </w:tcPr>
          <w:p w14:paraId="316AC834" w14:textId="77777777" w:rsidR="00DB6A40" w:rsidRPr="00DB6A40" w:rsidRDefault="00DB6A40" w:rsidP="00DB6A40">
            <w:pPr>
              <w:rPr>
                <w:rFonts w:ascii="Times New Roman" w:eastAsia="Calibri" w:hAnsi="Times New Roman" w:cs="Times New Roman"/>
              </w:rPr>
            </w:pPr>
            <w:r w:rsidRPr="00DB6A40">
              <w:rPr>
                <w:rFonts w:ascii="Times New Roman" w:eastAsia="Calibri" w:hAnsi="Times New Roman" w:cs="Times New Roman"/>
              </w:rPr>
              <w:t>Annual VAT collection (₦ billions)</w:t>
            </w:r>
          </w:p>
        </w:tc>
        <w:tc>
          <w:tcPr>
            <w:tcW w:w="0" w:type="auto"/>
            <w:hideMark/>
          </w:tcPr>
          <w:p w14:paraId="688F3739"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w:t>
            </w:r>
          </w:p>
        </w:tc>
      </w:tr>
      <w:tr w:rsidR="00DB6A40" w:rsidRPr="00DB6A40" w14:paraId="23537412" w14:textId="77777777" w:rsidTr="00D00B3F">
        <w:tc>
          <w:tcPr>
            <w:tcW w:w="0" w:type="auto"/>
            <w:hideMark/>
          </w:tcPr>
          <w:p w14:paraId="7F922413" w14:textId="77777777" w:rsidR="00DB6A40" w:rsidRPr="00DB6A40" w:rsidRDefault="00DB6A40" w:rsidP="00DB6A40">
            <w:pPr>
              <w:jc w:val="both"/>
              <w:rPr>
                <w:rFonts w:ascii="Times New Roman" w:eastAsia="Calibri" w:hAnsi="Times New Roman" w:cs="Times New Roman"/>
              </w:rPr>
            </w:pPr>
            <w:r w:rsidRPr="00DB6A40">
              <w:rPr>
                <w:rFonts w:ascii="Times New Roman" w:eastAsia="Calibri" w:hAnsi="Times New Roman" w:cs="Times New Roman"/>
              </w:rPr>
              <w:t>Customs and Excise Duties</w:t>
            </w:r>
          </w:p>
        </w:tc>
        <w:tc>
          <w:tcPr>
            <w:tcW w:w="0" w:type="auto"/>
            <w:hideMark/>
          </w:tcPr>
          <w:p w14:paraId="247EE90F"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CED</w:t>
            </w:r>
          </w:p>
        </w:tc>
        <w:tc>
          <w:tcPr>
            <w:tcW w:w="0" w:type="auto"/>
            <w:hideMark/>
          </w:tcPr>
          <w:p w14:paraId="33BFBD8A" w14:textId="77777777" w:rsidR="00DB6A40" w:rsidRPr="00DB6A40" w:rsidRDefault="00DB6A40" w:rsidP="00DB6A40">
            <w:pPr>
              <w:rPr>
                <w:rFonts w:ascii="Times New Roman" w:eastAsia="Calibri" w:hAnsi="Times New Roman" w:cs="Times New Roman"/>
              </w:rPr>
            </w:pPr>
            <w:r w:rsidRPr="00DB6A40">
              <w:rPr>
                <w:rFonts w:ascii="Times New Roman" w:eastAsia="Calibri" w:hAnsi="Times New Roman" w:cs="Times New Roman"/>
              </w:rPr>
              <w:t>Annual customs and excise revenue (₦ billions)</w:t>
            </w:r>
          </w:p>
        </w:tc>
        <w:tc>
          <w:tcPr>
            <w:tcW w:w="0" w:type="auto"/>
            <w:hideMark/>
          </w:tcPr>
          <w:p w14:paraId="5DD72FD9"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w:t>
            </w:r>
          </w:p>
        </w:tc>
      </w:tr>
      <w:tr w:rsidR="00DB6A40" w:rsidRPr="00DB6A40" w14:paraId="54C6DE3F" w14:textId="77777777" w:rsidTr="00D00B3F">
        <w:tc>
          <w:tcPr>
            <w:tcW w:w="0" w:type="auto"/>
            <w:tcBorders>
              <w:bottom w:val="single" w:sz="4" w:space="0" w:color="auto"/>
            </w:tcBorders>
            <w:hideMark/>
          </w:tcPr>
          <w:p w14:paraId="5398A104" w14:textId="77777777" w:rsidR="00DB6A40" w:rsidRPr="00DB6A40" w:rsidRDefault="00DB6A40" w:rsidP="00DB6A40">
            <w:pPr>
              <w:jc w:val="both"/>
              <w:rPr>
                <w:rFonts w:ascii="Times New Roman" w:eastAsia="Calibri" w:hAnsi="Times New Roman" w:cs="Times New Roman"/>
              </w:rPr>
            </w:pPr>
            <w:r w:rsidRPr="00DB6A40">
              <w:rPr>
                <w:rFonts w:ascii="Times New Roman" w:eastAsia="Calibri" w:hAnsi="Times New Roman" w:cs="Times New Roman"/>
              </w:rPr>
              <w:t>Capital Gains Tax</w:t>
            </w:r>
          </w:p>
        </w:tc>
        <w:tc>
          <w:tcPr>
            <w:tcW w:w="0" w:type="auto"/>
            <w:tcBorders>
              <w:bottom w:val="single" w:sz="4" w:space="0" w:color="auto"/>
            </w:tcBorders>
            <w:hideMark/>
          </w:tcPr>
          <w:p w14:paraId="2166056D"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CGT</w:t>
            </w:r>
          </w:p>
        </w:tc>
        <w:tc>
          <w:tcPr>
            <w:tcW w:w="0" w:type="auto"/>
            <w:tcBorders>
              <w:bottom w:val="single" w:sz="4" w:space="0" w:color="auto"/>
            </w:tcBorders>
            <w:hideMark/>
          </w:tcPr>
          <w:p w14:paraId="61EADA72" w14:textId="77777777" w:rsidR="00DB6A40" w:rsidRPr="00DB6A40" w:rsidRDefault="00DB6A40" w:rsidP="00DB6A40">
            <w:pPr>
              <w:rPr>
                <w:rFonts w:ascii="Times New Roman" w:eastAsia="Calibri" w:hAnsi="Times New Roman" w:cs="Times New Roman"/>
              </w:rPr>
            </w:pPr>
            <w:r w:rsidRPr="00DB6A40">
              <w:rPr>
                <w:rFonts w:ascii="Times New Roman" w:eastAsia="Calibri" w:hAnsi="Times New Roman" w:cs="Times New Roman"/>
              </w:rPr>
              <w:t>Annual capital gains tax revenue (₦ billions)</w:t>
            </w:r>
          </w:p>
        </w:tc>
        <w:tc>
          <w:tcPr>
            <w:tcW w:w="0" w:type="auto"/>
            <w:tcBorders>
              <w:bottom w:val="single" w:sz="4" w:space="0" w:color="auto"/>
            </w:tcBorders>
            <w:hideMark/>
          </w:tcPr>
          <w:p w14:paraId="09CB3BEE" w14:textId="77777777" w:rsidR="00DB6A40" w:rsidRPr="00DB6A40" w:rsidRDefault="00DB6A40" w:rsidP="00DB6A40">
            <w:pPr>
              <w:jc w:val="center"/>
              <w:rPr>
                <w:rFonts w:ascii="Times New Roman" w:eastAsia="Calibri" w:hAnsi="Times New Roman" w:cs="Times New Roman"/>
              </w:rPr>
            </w:pPr>
            <w:r w:rsidRPr="00DB6A40">
              <w:rPr>
                <w:rFonts w:ascii="Times New Roman" w:eastAsia="Calibri" w:hAnsi="Times New Roman" w:cs="Times New Roman"/>
              </w:rPr>
              <w:t>±</w:t>
            </w:r>
          </w:p>
        </w:tc>
      </w:tr>
    </w:tbl>
    <w:p w14:paraId="6C48E6FC"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i/>
          <w:iCs/>
        </w:rPr>
        <w:t>A priori</w:t>
      </w:r>
      <w:r w:rsidRPr="00DB6A40">
        <w:rPr>
          <w:rFonts w:ascii="Times New Roman" w:eastAsia="Calibri" w:hAnsi="Times New Roman" w:cs="Times New Roman"/>
          <w:b/>
          <w:bCs/>
        </w:rPr>
        <w:t xml:space="preserve"> Expectation</w:t>
      </w:r>
    </w:p>
    <w:p w14:paraId="6ACC9536" w14:textId="77777777" w:rsidR="007223FC" w:rsidRDefault="007223FC" w:rsidP="00DB6A40">
      <w:pPr>
        <w:spacing w:after="0" w:line="240" w:lineRule="auto"/>
        <w:jc w:val="both"/>
        <w:rPr>
          <w:rFonts w:ascii="Times New Roman" w:eastAsia="Calibri" w:hAnsi="Times New Roman" w:cs="Times New Roman"/>
        </w:rPr>
      </w:pPr>
    </w:p>
    <w:p w14:paraId="43D2320E" w14:textId="49E17EDC"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Based on empirical and theoretical literature, it is expected that the tax reform of 2013—particularly the introduction of electronic tax administration, digitized filing, and enforcement improvements—would lead to increased tax revenue collection across most tax heads (Olaoye et al., 2022; </w:t>
      </w:r>
      <w:proofErr w:type="spellStart"/>
      <w:r w:rsidRPr="00DB6A40">
        <w:rPr>
          <w:rFonts w:ascii="Times New Roman" w:eastAsia="Calibri" w:hAnsi="Times New Roman" w:cs="Times New Roman"/>
        </w:rPr>
        <w:t>Omesi</w:t>
      </w:r>
      <w:proofErr w:type="spellEnd"/>
      <w:r w:rsidRPr="00DB6A40">
        <w:rPr>
          <w:rFonts w:ascii="Times New Roman" w:eastAsia="Calibri" w:hAnsi="Times New Roman" w:cs="Times New Roman"/>
        </w:rPr>
        <w:t xml:space="preserve"> &amp; Appah, 2022). Therefore, the </w:t>
      </w:r>
      <w:r w:rsidRPr="00DB6A40">
        <w:rPr>
          <w:rFonts w:ascii="Times New Roman" w:eastAsia="Calibri" w:hAnsi="Times New Roman" w:cs="Times New Roman"/>
          <w:i/>
          <w:iCs/>
        </w:rPr>
        <w:t>a priori</w:t>
      </w:r>
      <w:r w:rsidRPr="00DB6A40">
        <w:rPr>
          <w:rFonts w:ascii="Times New Roman" w:eastAsia="Calibri" w:hAnsi="Times New Roman" w:cs="Times New Roman"/>
        </w:rPr>
        <w:t xml:space="preserve"> expectation is that:</w:t>
      </w:r>
    </w:p>
    <w:p w14:paraId="71D71B20" w14:textId="77777777" w:rsidR="00DB6A40" w:rsidRPr="00DB6A40" w:rsidRDefault="00000000" w:rsidP="00DB6A40">
      <w:pPr>
        <w:spacing w:after="0" w:line="240" w:lineRule="auto"/>
        <w:jc w:val="both"/>
        <w:rPr>
          <w:rFonts w:ascii="Times New Roman" w:eastAsia="Calibri" w:hAnsi="Times New Roman" w:cs="Times New Roman"/>
        </w:rPr>
      </w:pPr>
      <m:oMathPara>
        <m:oMath>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post</m:t>
              </m:r>
            </m:sub>
          </m:sSub>
          <m:r>
            <w:rPr>
              <w:rFonts w:ascii="Cambria Math" w:eastAsia="Calibri" w:hAnsi="Cambria Math" w:cs="Times New Roman"/>
            </w:rPr>
            <m:t>&gt;</m:t>
          </m:r>
          <m:sSub>
            <m:sSubPr>
              <m:ctrlPr>
                <w:rPr>
                  <w:rFonts w:ascii="Cambria Math" w:eastAsia="Calibri" w:hAnsi="Cambria Math" w:cs="Times New Roman"/>
                </w:rPr>
              </m:ctrlPr>
            </m:sSubPr>
            <m:e>
              <m:acc>
                <m:accPr>
                  <m:chr m:val="‾"/>
                  <m:ctrlPr>
                    <w:rPr>
                      <w:rFonts w:ascii="Cambria Math" w:eastAsia="Calibri" w:hAnsi="Cambria Math" w:cs="Times New Roman"/>
                    </w:rPr>
                  </m:ctrlPr>
                </m:accPr>
                <m:e>
                  <m:r>
                    <w:rPr>
                      <w:rFonts w:ascii="Cambria Math" w:eastAsia="Calibri" w:hAnsi="Cambria Math" w:cs="Times New Roman"/>
                    </w:rPr>
                    <m:t>X</m:t>
                  </m:r>
                </m:e>
              </m:acc>
            </m:e>
            <m:sub>
              <m:r>
                <w:rPr>
                  <w:rFonts w:ascii="Cambria Math" w:eastAsia="Calibri" w:hAnsi="Cambria Math" w:cs="Times New Roman"/>
                </w:rPr>
                <m:t>pre</m:t>
              </m:r>
            </m:sub>
          </m:sSub>
          <m:r>
            <m:rPr>
              <m:sty m:val="p"/>
            </m:rPr>
            <w:rPr>
              <w:rFonts w:ascii="Cambria Math" w:eastAsia="Calibri" w:hAnsi="Cambria Math" w:cs="Times New Roman"/>
            </w:rPr>
            <w:br/>
          </m:r>
        </m:oMath>
      </m:oMathPara>
      <w:r w:rsidR="00DB6A40" w:rsidRPr="00DB6A40">
        <w:rPr>
          <w:rFonts w:ascii="Times New Roman" w:eastAsia="Calibri" w:hAnsi="Times New Roman" w:cs="Times New Roman"/>
        </w:rPr>
        <w:t>for PIT, CIT, PPT, VAT, CED and CGT, indicating a positive difference. However, for CGT, the expectation may be indeterminate due to persistent administrative and valuation challenges that limit compliance and collection efficiency (Nwolu et al., 2024).</w:t>
      </w:r>
    </w:p>
    <w:p w14:paraId="20A59BB3" w14:textId="77777777" w:rsidR="007223FC" w:rsidRDefault="007223FC" w:rsidP="00DB6A40">
      <w:pPr>
        <w:spacing w:after="0" w:line="240" w:lineRule="auto"/>
        <w:jc w:val="both"/>
        <w:rPr>
          <w:rFonts w:ascii="Times New Roman" w:eastAsia="Calibri" w:hAnsi="Times New Roman" w:cs="Times New Roman"/>
          <w:b/>
          <w:bCs/>
        </w:rPr>
      </w:pPr>
    </w:p>
    <w:p w14:paraId="643884DF" w14:textId="458529E9"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Nature of Data Analysis</w:t>
      </w:r>
    </w:p>
    <w:p w14:paraId="674E4EBA"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study evaluates the impact of the 2013 tax reform using inferential statistics. This, therefore, is an inferential analysis testing the mean difference in revenue between periods before and after the 2013 tax change, using an Independent Sample t-Test. Past fiscal policy analyses by </w:t>
      </w:r>
      <w:proofErr w:type="spellStart"/>
      <w:r w:rsidRPr="00DB6A40">
        <w:rPr>
          <w:rFonts w:ascii="Times New Roman" w:eastAsia="Calibri" w:hAnsi="Times New Roman" w:cs="Times New Roman"/>
        </w:rPr>
        <w:t>Adegbie</w:t>
      </w:r>
      <w:proofErr w:type="spellEnd"/>
      <w:r w:rsidRPr="00DB6A40">
        <w:rPr>
          <w:rFonts w:ascii="Times New Roman" w:eastAsia="Calibri" w:hAnsi="Times New Roman" w:cs="Times New Roman"/>
        </w:rPr>
        <w:t xml:space="preserve"> et al. (2022) and Eze &amp; </w:t>
      </w:r>
      <w:proofErr w:type="spellStart"/>
      <w:r w:rsidRPr="00DB6A40">
        <w:rPr>
          <w:rFonts w:ascii="Times New Roman" w:eastAsia="Calibri" w:hAnsi="Times New Roman" w:cs="Times New Roman"/>
        </w:rPr>
        <w:t>Unegbu</w:t>
      </w:r>
      <w:proofErr w:type="spellEnd"/>
      <w:r w:rsidRPr="00DB6A40">
        <w:rPr>
          <w:rFonts w:ascii="Times New Roman" w:eastAsia="Calibri" w:hAnsi="Times New Roman" w:cs="Times New Roman"/>
        </w:rPr>
        <w:t xml:space="preserve"> (2025) have similarly employed this approach. As such, the appropriate procedure for testing the null hypothesis of no significant difference in the mean of tax revenue between the periods before and after 2013 tax reform is now warranted. The computation of statistics with SPSS 29 ensures that the results are accurate and reproducible.</w:t>
      </w:r>
    </w:p>
    <w:p w14:paraId="62EF0F59" w14:textId="77777777" w:rsidR="007223FC" w:rsidRDefault="007223FC" w:rsidP="00DB6A40">
      <w:pPr>
        <w:spacing w:after="0" w:line="240" w:lineRule="auto"/>
        <w:jc w:val="both"/>
        <w:rPr>
          <w:rFonts w:ascii="Times New Roman" w:eastAsia="Calibri" w:hAnsi="Times New Roman" w:cs="Times New Roman"/>
          <w:b/>
          <w:bCs/>
        </w:rPr>
      </w:pPr>
    </w:p>
    <w:p w14:paraId="4DD82311" w14:textId="0C52E385"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4.</w:t>
      </w:r>
      <w:r w:rsidRPr="00DB6A40">
        <w:rPr>
          <w:rFonts w:ascii="Times New Roman" w:eastAsia="Calibri" w:hAnsi="Times New Roman" w:cs="Times New Roman"/>
          <w:b/>
          <w:bCs/>
        </w:rPr>
        <w:tab/>
        <w:t>Results and Discussion</w:t>
      </w:r>
    </w:p>
    <w:p w14:paraId="77C6166B" w14:textId="77777777" w:rsidR="00DB6A40" w:rsidRPr="00DB6A40" w:rsidRDefault="00DB6A40" w:rsidP="00DB6A40">
      <w:pPr>
        <w:spacing w:after="0" w:line="240" w:lineRule="auto"/>
        <w:jc w:val="both"/>
        <w:rPr>
          <w:rFonts w:ascii="Times New Roman" w:eastAsia="Calibri" w:hAnsi="Times New Roman" w:cs="Times New Roman"/>
          <w:b/>
          <w:bCs/>
          <w:sz w:val="22"/>
          <w:szCs w:val="22"/>
        </w:rPr>
      </w:pPr>
      <w:r w:rsidRPr="00DB6A40">
        <w:rPr>
          <w:rFonts w:ascii="Times New Roman" w:eastAsia="Calibri" w:hAnsi="Times New Roman" w:cs="Times New Roman"/>
          <w:b/>
          <w:bCs/>
          <w:sz w:val="22"/>
          <w:szCs w:val="22"/>
        </w:rPr>
        <w:t>Test of Difference</w:t>
      </w:r>
    </w:p>
    <w:p w14:paraId="0556FF82" w14:textId="77777777" w:rsid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This section compares the means and variability of the variables between the two periods in order to determine whether money received through the electronic taxes caused any statistically significant changes.  The difference-in-means analysis tests are designed to determine if the reform has had any visible impact. More precisely, in order to check whether the means of the tax variables are significantly different between years 1994–2012 and 2013–2024, before and after the reform, respectively, researchers used the Welch or independent samples t-test. This analysis is essential in trying to assess the impact of the electronic tax reforms of 2013 on revenue mobilization.</w:t>
      </w:r>
    </w:p>
    <w:p w14:paraId="38A9C50A" w14:textId="77777777" w:rsidR="007223FC" w:rsidRDefault="007223FC" w:rsidP="00DB6A40">
      <w:pPr>
        <w:spacing w:after="0" w:line="240" w:lineRule="auto"/>
        <w:jc w:val="both"/>
        <w:rPr>
          <w:rFonts w:ascii="Times New Roman" w:eastAsia="Calibri" w:hAnsi="Times New Roman" w:cs="Times New Roman"/>
        </w:rPr>
      </w:pPr>
    </w:p>
    <w:p w14:paraId="5C3738EF" w14:textId="77777777" w:rsidR="007223FC" w:rsidRDefault="007223FC" w:rsidP="00DB6A40">
      <w:pPr>
        <w:spacing w:after="0" w:line="240" w:lineRule="auto"/>
        <w:jc w:val="both"/>
        <w:rPr>
          <w:rFonts w:ascii="Times New Roman" w:eastAsia="Calibri" w:hAnsi="Times New Roman" w:cs="Times New Roman"/>
        </w:rPr>
      </w:pPr>
    </w:p>
    <w:p w14:paraId="2A91D09C" w14:textId="77777777" w:rsidR="007223FC" w:rsidRDefault="007223FC" w:rsidP="00DB6A40">
      <w:pPr>
        <w:spacing w:after="0" w:line="240" w:lineRule="auto"/>
        <w:jc w:val="both"/>
        <w:rPr>
          <w:rFonts w:ascii="Times New Roman" w:eastAsia="Calibri" w:hAnsi="Times New Roman" w:cs="Times New Roman"/>
        </w:rPr>
      </w:pPr>
    </w:p>
    <w:p w14:paraId="192E8992" w14:textId="77777777" w:rsidR="007223FC" w:rsidRDefault="007223FC" w:rsidP="00DB6A40">
      <w:pPr>
        <w:spacing w:after="0" w:line="240" w:lineRule="auto"/>
        <w:jc w:val="both"/>
        <w:rPr>
          <w:rFonts w:ascii="Times New Roman" w:eastAsia="Calibri" w:hAnsi="Times New Roman" w:cs="Times New Roman"/>
        </w:rPr>
      </w:pPr>
    </w:p>
    <w:p w14:paraId="6F7F5852" w14:textId="77777777" w:rsidR="007223FC" w:rsidRDefault="007223FC" w:rsidP="00DB6A40">
      <w:pPr>
        <w:spacing w:after="0" w:line="240" w:lineRule="auto"/>
        <w:jc w:val="both"/>
        <w:rPr>
          <w:rFonts w:ascii="Times New Roman" w:eastAsia="Calibri" w:hAnsi="Times New Roman" w:cs="Times New Roman"/>
        </w:rPr>
      </w:pPr>
    </w:p>
    <w:p w14:paraId="6B6E9C1E" w14:textId="77777777" w:rsidR="007223FC" w:rsidRDefault="007223FC" w:rsidP="00DB6A40">
      <w:pPr>
        <w:spacing w:after="0" w:line="240" w:lineRule="auto"/>
        <w:jc w:val="both"/>
        <w:rPr>
          <w:rFonts w:ascii="Times New Roman" w:eastAsia="Calibri" w:hAnsi="Times New Roman" w:cs="Times New Roman"/>
        </w:rPr>
      </w:pPr>
    </w:p>
    <w:p w14:paraId="6F9AFE27" w14:textId="77777777" w:rsidR="007223FC" w:rsidRDefault="007223FC" w:rsidP="00DB6A40">
      <w:pPr>
        <w:spacing w:after="0" w:line="240" w:lineRule="auto"/>
        <w:jc w:val="both"/>
        <w:rPr>
          <w:rFonts w:ascii="Times New Roman" w:eastAsia="Calibri" w:hAnsi="Times New Roman" w:cs="Times New Roman"/>
        </w:rPr>
      </w:pPr>
    </w:p>
    <w:p w14:paraId="4CAE1AAC" w14:textId="77777777" w:rsidR="007223FC" w:rsidRDefault="007223FC" w:rsidP="00DB6A40">
      <w:pPr>
        <w:spacing w:after="0" w:line="240" w:lineRule="auto"/>
        <w:jc w:val="both"/>
        <w:rPr>
          <w:rFonts w:ascii="Times New Roman" w:eastAsia="Calibri" w:hAnsi="Times New Roman" w:cs="Times New Roman"/>
        </w:rPr>
      </w:pPr>
    </w:p>
    <w:p w14:paraId="558F854D" w14:textId="77777777" w:rsidR="007223FC" w:rsidRDefault="007223FC" w:rsidP="00DB6A40">
      <w:pPr>
        <w:spacing w:after="0" w:line="240" w:lineRule="auto"/>
        <w:jc w:val="both"/>
        <w:rPr>
          <w:rFonts w:ascii="Times New Roman" w:eastAsia="Calibri" w:hAnsi="Times New Roman" w:cs="Times New Roman"/>
        </w:rPr>
      </w:pPr>
    </w:p>
    <w:p w14:paraId="7077B746" w14:textId="77777777" w:rsidR="007223FC" w:rsidRDefault="007223FC" w:rsidP="00DB6A40">
      <w:pPr>
        <w:spacing w:after="0" w:line="240" w:lineRule="auto"/>
        <w:jc w:val="both"/>
        <w:rPr>
          <w:rFonts w:ascii="Times New Roman" w:eastAsia="Calibri" w:hAnsi="Times New Roman" w:cs="Times New Roman"/>
        </w:rPr>
      </w:pPr>
    </w:p>
    <w:p w14:paraId="26B74339" w14:textId="77777777" w:rsidR="007223FC" w:rsidRDefault="007223FC" w:rsidP="00DB6A40">
      <w:pPr>
        <w:spacing w:after="0" w:line="240" w:lineRule="auto"/>
        <w:jc w:val="both"/>
        <w:rPr>
          <w:rFonts w:ascii="Times New Roman" w:eastAsia="Calibri" w:hAnsi="Times New Roman" w:cs="Times New Roman"/>
        </w:rPr>
      </w:pPr>
    </w:p>
    <w:p w14:paraId="4C05F375" w14:textId="77777777" w:rsidR="007223FC" w:rsidRDefault="007223FC" w:rsidP="00DB6A40">
      <w:pPr>
        <w:spacing w:after="0" w:line="240" w:lineRule="auto"/>
        <w:jc w:val="both"/>
        <w:rPr>
          <w:rFonts w:ascii="Times New Roman" w:eastAsia="Calibri" w:hAnsi="Times New Roman" w:cs="Times New Roman"/>
        </w:rPr>
      </w:pPr>
    </w:p>
    <w:p w14:paraId="58F64FD2" w14:textId="77777777" w:rsidR="007223FC" w:rsidRDefault="007223FC" w:rsidP="00DB6A40">
      <w:pPr>
        <w:spacing w:after="0" w:line="240" w:lineRule="auto"/>
        <w:jc w:val="both"/>
        <w:rPr>
          <w:rFonts w:ascii="Times New Roman" w:eastAsia="Calibri" w:hAnsi="Times New Roman" w:cs="Times New Roman"/>
        </w:rPr>
      </w:pPr>
    </w:p>
    <w:p w14:paraId="34980BEC" w14:textId="77777777" w:rsidR="007223FC" w:rsidRPr="00DB6A40" w:rsidRDefault="007223FC" w:rsidP="00DB6A40">
      <w:pPr>
        <w:spacing w:after="0" w:line="240" w:lineRule="auto"/>
        <w:jc w:val="both"/>
        <w:rPr>
          <w:rFonts w:ascii="Times New Roman" w:eastAsia="Calibri" w:hAnsi="Times New Roman" w:cs="Times New Roman"/>
          <w:b/>
          <w:bCs/>
          <w:sz w:val="22"/>
          <w:szCs w:val="22"/>
        </w:rPr>
      </w:pPr>
    </w:p>
    <w:p w14:paraId="7594E2C8"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Table 2: Summary of Test of Difference for All Revenue Variables (Pre and Post 2013 Tax Reform)</w:t>
      </w:r>
    </w:p>
    <w:tbl>
      <w:tblPr>
        <w:tblStyle w:val="TableGrid3"/>
        <w:tblW w:w="11055" w:type="dxa"/>
        <w:tblInd w:w="-545" w:type="dxa"/>
        <w:shd w:val="clear" w:color="auto" w:fill="E7E6E6"/>
        <w:tblLook w:val="04A0" w:firstRow="1" w:lastRow="0" w:firstColumn="1" w:lastColumn="0" w:noHBand="0" w:noVBand="1"/>
      </w:tblPr>
      <w:tblGrid>
        <w:gridCol w:w="1260"/>
        <w:gridCol w:w="670"/>
        <w:gridCol w:w="376"/>
        <w:gridCol w:w="998"/>
        <w:gridCol w:w="940"/>
        <w:gridCol w:w="931"/>
        <w:gridCol w:w="675"/>
        <w:gridCol w:w="576"/>
        <w:gridCol w:w="725"/>
        <w:gridCol w:w="1111"/>
        <w:gridCol w:w="914"/>
        <w:gridCol w:w="845"/>
        <w:gridCol w:w="1034"/>
      </w:tblGrid>
      <w:tr w:rsidR="00DB6A40" w:rsidRPr="00DB6A40" w14:paraId="3F06CEF2" w14:textId="77777777" w:rsidTr="00DB6A40">
        <w:trPr>
          <w:trHeight w:val="583"/>
        </w:trPr>
        <w:tc>
          <w:tcPr>
            <w:tcW w:w="1260" w:type="dxa"/>
            <w:shd w:val="clear" w:color="auto" w:fill="E7E6E6"/>
            <w:hideMark/>
          </w:tcPr>
          <w:p w14:paraId="6BCD1A93"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lastRenderedPageBreak/>
              <w:t>Variable</w:t>
            </w:r>
          </w:p>
        </w:tc>
        <w:tc>
          <w:tcPr>
            <w:tcW w:w="0" w:type="auto"/>
            <w:shd w:val="clear" w:color="auto" w:fill="E7E6E6"/>
            <w:hideMark/>
          </w:tcPr>
          <w:p w14:paraId="3681666D"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Period</w:t>
            </w:r>
          </w:p>
        </w:tc>
        <w:tc>
          <w:tcPr>
            <w:tcW w:w="0" w:type="auto"/>
            <w:shd w:val="clear" w:color="auto" w:fill="E7E6E6"/>
            <w:hideMark/>
          </w:tcPr>
          <w:p w14:paraId="1D43222A"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N</w:t>
            </w:r>
          </w:p>
        </w:tc>
        <w:tc>
          <w:tcPr>
            <w:tcW w:w="0" w:type="auto"/>
            <w:shd w:val="clear" w:color="auto" w:fill="E7E6E6"/>
            <w:hideMark/>
          </w:tcPr>
          <w:p w14:paraId="3382726F"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Mean (₦ billion)</w:t>
            </w:r>
          </w:p>
        </w:tc>
        <w:tc>
          <w:tcPr>
            <w:tcW w:w="940" w:type="dxa"/>
            <w:shd w:val="clear" w:color="auto" w:fill="E7E6E6"/>
            <w:hideMark/>
          </w:tcPr>
          <w:p w14:paraId="2E6CE99D"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Std. Dev</w:t>
            </w:r>
          </w:p>
        </w:tc>
        <w:tc>
          <w:tcPr>
            <w:tcW w:w="0" w:type="auto"/>
            <w:shd w:val="clear" w:color="auto" w:fill="E7E6E6"/>
            <w:hideMark/>
          </w:tcPr>
          <w:p w14:paraId="234AE4FC"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Std. Error Mean</w:t>
            </w:r>
          </w:p>
        </w:tc>
        <w:tc>
          <w:tcPr>
            <w:tcW w:w="675" w:type="dxa"/>
            <w:shd w:val="clear" w:color="auto" w:fill="E7E6E6"/>
            <w:hideMark/>
          </w:tcPr>
          <w:p w14:paraId="0B3F4CD3"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t-value</w:t>
            </w:r>
          </w:p>
        </w:tc>
        <w:tc>
          <w:tcPr>
            <w:tcW w:w="0" w:type="auto"/>
            <w:shd w:val="clear" w:color="auto" w:fill="E7E6E6"/>
            <w:hideMark/>
          </w:tcPr>
          <w:p w14:paraId="1672F3C0" w14:textId="77777777" w:rsidR="00DB6A40" w:rsidRPr="00DB6A40" w:rsidRDefault="00DB6A40" w:rsidP="00DB6A40">
            <w:pPr>
              <w:jc w:val="both"/>
              <w:rPr>
                <w:rFonts w:ascii="Times New Roman" w:eastAsia="Calibri" w:hAnsi="Times New Roman" w:cs="Times New Roman"/>
                <w:b/>
                <w:bCs/>
                <w:sz w:val="16"/>
                <w:szCs w:val="16"/>
              </w:rPr>
            </w:pPr>
            <w:proofErr w:type="spellStart"/>
            <w:r w:rsidRPr="00DB6A40">
              <w:rPr>
                <w:rFonts w:ascii="Times New Roman" w:eastAsia="Calibri" w:hAnsi="Times New Roman" w:cs="Times New Roman"/>
                <w:b/>
                <w:bCs/>
                <w:sz w:val="16"/>
                <w:szCs w:val="16"/>
              </w:rPr>
              <w:t>df</w:t>
            </w:r>
            <w:proofErr w:type="spellEnd"/>
          </w:p>
        </w:tc>
        <w:tc>
          <w:tcPr>
            <w:tcW w:w="0" w:type="auto"/>
            <w:shd w:val="clear" w:color="auto" w:fill="E7E6E6"/>
            <w:hideMark/>
          </w:tcPr>
          <w:p w14:paraId="52FDCFF6"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Sig. (2-tailed)</w:t>
            </w:r>
          </w:p>
        </w:tc>
        <w:tc>
          <w:tcPr>
            <w:tcW w:w="0" w:type="auto"/>
            <w:shd w:val="clear" w:color="auto" w:fill="E7E6E6"/>
            <w:hideMark/>
          </w:tcPr>
          <w:p w14:paraId="6E1FE795"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Mean Difference (₦ billion)</w:t>
            </w:r>
          </w:p>
        </w:tc>
        <w:tc>
          <w:tcPr>
            <w:tcW w:w="0" w:type="auto"/>
            <w:shd w:val="clear" w:color="auto" w:fill="E7E6E6"/>
            <w:hideMark/>
          </w:tcPr>
          <w:p w14:paraId="59042973"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95% CI Lower</w:t>
            </w:r>
          </w:p>
        </w:tc>
        <w:tc>
          <w:tcPr>
            <w:tcW w:w="0" w:type="auto"/>
            <w:shd w:val="clear" w:color="auto" w:fill="E7E6E6"/>
            <w:hideMark/>
          </w:tcPr>
          <w:p w14:paraId="0FB71764" w14:textId="77777777" w:rsidR="00DB6A40" w:rsidRPr="00DB6A40" w:rsidRDefault="00DB6A40" w:rsidP="00DB6A40">
            <w:pPr>
              <w:jc w:val="both"/>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95% CI Upper</w:t>
            </w:r>
          </w:p>
        </w:tc>
        <w:tc>
          <w:tcPr>
            <w:tcW w:w="0" w:type="auto"/>
            <w:shd w:val="clear" w:color="auto" w:fill="E7E6E6"/>
            <w:hideMark/>
          </w:tcPr>
          <w:p w14:paraId="7E091F68" w14:textId="77777777" w:rsidR="00DB6A40" w:rsidRPr="00DB6A40" w:rsidRDefault="00DB6A40" w:rsidP="00DB6A40">
            <w:pPr>
              <w:jc w:val="center"/>
              <w:rPr>
                <w:rFonts w:ascii="Times New Roman" w:eastAsia="Calibri" w:hAnsi="Times New Roman" w:cs="Times New Roman"/>
                <w:b/>
                <w:bCs/>
                <w:sz w:val="16"/>
                <w:szCs w:val="16"/>
              </w:rPr>
            </w:pPr>
            <w:r w:rsidRPr="00DB6A40">
              <w:rPr>
                <w:rFonts w:ascii="Times New Roman" w:eastAsia="Calibri" w:hAnsi="Times New Roman" w:cs="Times New Roman"/>
                <w:b/>
                <w:bCs/>
                <w:sz w:val="16"/>
                <w:szCs w:val="16"/>
              </w:rPr>
              <w:t>Significant?</w:t>
            </w:r>
          </w:p>
        </w:tc>
      </w:tr>
      <w:tr w:rsidR="00DB6A40" w:rsidRPr="00DB6A40" w14:paraId="5374E6B0" w14:textId="77777777" w:rsidTr="00DB6A40">
        <w:trPr>
          <w:trHeight w:val="199"/>
        </w:trPr>
        <w:tc>
          <w:tcPr>
            <w:tcW w:w="1260" w:type="dxa"/>
            <w:vMerge w:val="restart"/>
            <w:shd w:val="clear" w:color="auto" w:fill="E7E6E6"/>
            <w:hideMark/>
          </w:tcPr>
          <w:p w14:paraId="033DDEA1"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Personal Income Tax (PIT)</w:t>
            </w:r>
          </w:p>
        </w:tc>
        <w:tc>
          <w:tcPr>
            <w:tcW w:w="0" w:type="auto"/>
            <w:shd w:val="clear" w:color="auto" w:fill="E7E6E6"/>
            <w:hideMark/>
          </w:tcPr>
          <w:p w14:paraId="77926940"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Post</w:t>
            </w:r>
          </w:p>
        </w:tc>
        <w:tc>
          <w:tcPr>
            <w:tcW w:w="0" w:type="auto"/>
            <w:shd w:val="clear" w:color="auto" w:fill="E7E6E6"/>
            <w:hideMark/>
          </w:tcPr>
          <w:p w14:paraId="46DCC73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w:t>
            </w:r>
          </w:p>
        </w:tc>
        <w:tc>
          <w:tcPr>
            <w:tcW w:w="0" w:type="auto"/>
            <w:shd w:val="clear" w:color="auto" w:fill="E7E6E6"/>
            <w:hideMark/>
          </w:tcPr>
          <w:p w14:paraId="1ED48432"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67.07</w:t>
            </w:r>
          </w:p>
        </w:tc>
        <w:tc>
          <w:tcPr>
            <w:tcW w:w="940" w:type="dxa"/>
            <w:shd w:val="clear" w:color="auto" w:fill="E7E6E6"/>
            <w:hideMark/>
          </w:tcPr>
          <w:p w14:paraId="59E03081"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20.33</w:t>
            </w:r>
          </w:p>
        </w:tc>
        <w:tc>
          <w:tcPr>
            <w:tcW w:w="0" w:type="auto"/>
            <w:shd w:val="clear" w:color="auto" w:fill="E7E6E6"/>
            <w:hideMark/>
          </w:tcPr>
          <w:p w14:paraId="08B1A380"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5.87</w:t>
            </w:r>
          </w:p>
        </w:tc>
        <w:tc>
          <w:tcPr>
            <w:tcW w:w="675" w:type="dxa"/>
            <w:shd w:val="clear" w:color="auto" w:fill="E7E6E6"/>
            <w:hideMark/>
          </w:tcPr>
          <w:p w14:paraId="21DA28CA"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95B8534"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57120217"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68E72344"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0640CBA9"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ED1D1B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5266F940" w14:textId="77777777" w:rsidR="00DB6A40" w:rsidRPr="00DB6A40" w:rsidRDefault="00DB6A40" w:rsidP="00DB6A40">
            <w:pPr>
              <w:jc w:val="center"/>
              <w:rPr>
                <w:rFonts w:ascii="Times New Roman" w:eastAsia="Calibri" w:hAnsi="Times New Roman" w:cs="Times New Roman"/>
                <w:sz w:val="16"/>
                <w:szCs w:val="16"/>
              </w:rPr>
            </w:pPr>
          </w:p>
        </w:tc>
      </w:tr>
      <w:tr w:rsidR="00DB6A40" w:rsidRPr="00DB6A40" w14:paraId="4D85C0BA" w14:textId="77777777" w:rsidTr="00DB6A40">
        <w:trPr>
          <w:trHeight w:val="603"/>
        </w:trPr>
        <w:tc>
          <w:tcPr>
            <w:tcW w:w="1260" w:type="dxa"/>
            <w:vMerge/>
            <w:shd w:val="clear" w:color="auto" w:fill="E7E6E6"/>
            <w:hideMark/>
          </w:tcPr>
          <w:p w14:paraId="46C2D0FE"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3AD87F0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Pre</w:t>
            </w:r>
          </w:p>
        </w:tc>
        <w:tc>
          <w:tcPr>
            <w:tcW w:w="0" w:type="auto"/>
            <w:shd w:val="clear" w:color="auto" w:fill="E7E6E6"/>
            <w:hideMark/>
          </w:tcPr>
          <w:p w14:paraId="1E8F33A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19</w:t>
            </w:r>
          </w:p>
        </w:tc>
        <w:tc>
          <w:tcPr>
            <w:tcW w:w="0" w:type="auto"/>
            <w:shd w:val="clear" w:color="auto" w:fill="E7E6E6"/>
            <w:hideMark/>
          </w:tcPr>
          <w:p w14:paraId="76BE236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43.82</w:t>
            </w:r>
          </w:p>
        </w:tc>
        <w:tc>
          <w:tcPr>
            <w:tcW w:w="940" w:type="dxa"/>
            <w:shd w:val="clear" w:color="auto" w:fill="E7E6E6"/>
            <w:hideMark/>
          </w:tcPr>
          <w:p w14:paraId="7761F38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14.20</w:t>
            </w:r>
          </w:p>
        </w:tc>
        <w:tc>
          <w:tcPr>
            <w:tcW w:w="0" w:type="auto"/>
            <w:shd w:val="clear" w:color="auto" w:fill="E7E6E6"/>
            <w:hideMark/>
          </w:tcPr>
          <w:p w14:paraId="03C931E2"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3.26</w:t>
            </w:r>
          </w:p>
        </w:tc>
        <w:tc>
          <w:tcPr>
            <w:tcW w:w="675" w:type="dxa"/>
            <w:shd w:val="clear" w:color="auto" w:fill="E7E6E6"/>
            <w:hideMark/>
          </w:tcPr>
          <w:p w14:paraId="588B4D7E"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-3.463</w:t>
            </w:r>
          </w:p>
        </w:tc>
        <w:tc>
          <w:tcPr>
            <w:tcW w:w="0" w:type="auto"/>
            <w:shd w:val="clear" w:color="auto" w:fill="E7E6E6"/>
            <w:hideMark/>
          </w:tcPr>
          <w:p w14:paraId="7328C2E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17.80</w:t>
            </w:r>
          </w:p>
        </w:tc>
        <w:tc>
          <w:tcPr>
            <w:tcW w:w="0" w:type="auto"/>
            <w:shd w:val="clear" w:color="auto" w:fill="E7E6E6"/>
            <w:hideMark/>
          </w:tcPr>
          <w:p w14:paraId="7DCAC401"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0.003</w:t>
            </w:r>
          </w:p>
        </w:tc>
        <w:tc>
          <w:tcPr>
            <w:tcW w:w="0" w:type="auto"/>
            <w:shd w:val="clear" w:color="auto" w:fill="E7E6E6"/>
            <w:hideMark/>
          </w:tcPr>
          <w:p w14:paraId="66CE4655"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-23.24</w:t>
            </w:r>
          </w:p>
        </w:tc>
        <w:tc>
          <w:tcPr>
            <w:tcW w:w="0" w:type="auto"/>
            <w:shd w:val="clear" w:color="auto" w:fill="E7E6E6"/>
            <w:hideMark/>
          </w:tcPr>
          <w:p w14:paraId="126D2158"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-37.36</w:t>
            </w:r>
          </w:p>
        </w:tc>
        <w:tc>
          <w:tcPr>
            <w:tcW w:w="0" w:type="auto"/>
            <w:shd w:val="clear" w:color="auto" w:fill="E7E6E6"/>
            <w:hideMark/>
          </w:tcPr>
          <w:p w14:paraId="7FA4E71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-9.13</w:t>
            </w:r>
          </w:p>
        </w:tc>
        <w:tc>
          <w:tcPr>
            <w:tcW w:w="0" w:type="auto"/>
            <w:shd w:val="clear" w:color="auto" w:fill="E7E6E6"/>
            <w:hideMark/>
          </w:tcPr>
          <w:p w14:paraId="74431B93" w14:textId="77777777" w:rsidR="00DB6A40" w:rsidRPr="00DB6A40" w:rsidRDefault="00DB6A40" w:rsidP="00DB6A40">
            <w:pPr>
              <w:jc w:val="center"/>
              <w:rPr>
                <w:rFonts w:ascii="Times New Roman" w:eastAsia="Calibri" w:hAnsi="Times New Roman" w:cs="Times New Roman"/>
                <w:sz w:val="16"/>
                <w:szCs w:val="16"/>
              </w:rPr>
            </w:pPr>
            <w:r w:rsidRPr="00DB6A40">
              <w:rPr>
                <w:rFonts w:ascii="Times New Roman" w:eastAsia="Calibri" w:hAnsi="Times New Roman" w:cs="Times New Roman"/>
                <w:sz w:val="16"/>
                <w:szCs w:val="16"/>
              </w:rPr>
              <w:t>Yes</w:t>
            </w:r>
          </w:p>
        </w:tc>
      </w:tr>
      <w:tr w:rsidR="00DB6A40" w:rsidRPr="00DB6A40" w14:paraId="2C0F34E9" w14:textId="77777777" w:rsidTr="00DB6A40">
        <w:trPr>
          <w:trHeight w:val="199"/>
        </w:trPr>
        <w:tc>
          <w:tcPr>
            <w:tcW w:w="1260" w:type="dxa"/>
            <w:vMerge w:val="restart"/>
            <w:shd w:val="clear" w:color="auto" w:fill="E7E6E6"/>
            <w:hideMark/>
          </w:tcPr>
          <w:p w14:paraId="1F3F6FD2"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Petroleum Profit Tax (PPT)</w:t>
            </w:r>
          </w:p>
        </w:tc>
        <w:tc>
          <w:tcPr>
            <w:tcW w:w="0" w:type="auto"/>
            <w:shd w:val="clear" w:color="auto" w:fill="E7E6E6"/>
            <w:hideMark/>
          </w:tcPr>
          <w:p w14:paraId="5FB1935E"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Post</w:t>
            </w:r>
          </w:p>
        </w:tc>
        <w:tc>
          <w:tcPr>
            <w:tcW w:w="0" w:type="auto"/>
            <w:shd w:val="clear" w:color="auto" w:fill="E7E6E6"/>
            <w:hideMark/>
          </w:tcPr>
          <w:p w14:paraId="3A6F7350"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w:t>
            </w:r>
          </w:p>
        </w:tc>
        <w:tc>
          <w:tcPr>
            <w:tcW w:w="0" w:type="auto"/>
            <w:shd w:val="clear" w:color="auto" w:fill="E7E6E6"/>
            <w:hideMark/>
          </w:tcPr>
          <w:p w14:paraId="60A788B2"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2,336.56</w:t>
            </w:r>
          </w:p>
        </w:tc>
        <w:tc>
          <w:tcPr>
            <w:tcW w:w="940" w:type="dxa"/>
            <w:shd w:val="clear" w:color="auto" w:fill="E7E6E6"/>
            <w:hideMark/>
          </w:tcPr>
          <w:p w14:paraId="1633FD31"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966.33</w:t>
            </w:r>
          </w:p>
        </w:tc>
        <w:tc>
          <w:tcPr>
            <w:tcW w:w="0" w:type="auto"/>
            <w:shd w:val="clear" w:color="auto" w:fill="E7E6E6"/>
            <w:hideMark/>
          </w:tcPr>
          <w:p w14:paraId="6385032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278.95</w:t>
            </w:r>
          </w:p>
        </w:tc>
        <w:tc>
          <w:tcPr>
            <w:tcW w:w="675" w:type="dxa"/>
            <w:shd w:val="clear" w:color="auto" w:fill="E7E6E6"/>
            <w:hideMark/>
          </w:tcPr>
          <w:p w14:paraId="00D81FBC"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E4613DC"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6174D156"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598FC3B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B53CD11"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58EF0EF8"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661E1B6E" w14:textId="77777777" w:rsidR="00DB6A40" w:rsidRPr="00DB6A40" w:rsidRDefault="00DB6A40" w:rsidP="00DB6A40">
            <w:pPr>
              <w:jc w:val="center"/>
              <w:rPr>
                <w:rFonts w:ascii="Times New Roman" w:eastAsia="Calibri" w:hAnsi="Times New Roman" w:cs="Times New Roman"/>
                <w:sz w:val="16"/>
                <w:szCs w:val="16"/>
              </w:rPr>
            </w:pPr>
          </w:p>
        </w:tc>
      </w:tr>
      <w:tr w:rsidR="00DB6A40" w:rsidRPr="00DB6A40" w14:paraId="1D84B39B" w14:textId="77777777" w:rsidTr="00DB6A40">
        <w:trPr>
          <w:trHeight w:val="583"/>
        </w:trPr>
        <w:tc>
          <w:tcPr>
            <w:tcW w:w="1260" w:type="dxa"/>
            <w:vMerge/>
            <w:shd w:val="clear" w:color="auto" w:fill="E7E6E6"/>
            <w:hideMark/>
          </w:tcPr>
          <w:p w14:paraId="5E6DA257"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2EF9B953"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Pre</w:t>
            </w:r>
          </w:p>
        </w:tc>
        <w:tc>
          <w:tcPr>
            <w:tcW w:w="0" w:type="auto"/>
            <w:shd w:val="clear" w:color="auto" w:fill="E7E6E6"/>
            <w:hideMark/>
          </w:tcPr>
          <w:p w14:paraId="3D477733"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19</w:t>
            </w:r>
          </w:p>
        </w:tc>
        <w:tc>
          <w:tcPr>
            <w:tcW w:w="0" w:type="auto"/>
            <w:shd w:val="clear" w:color="auto" w:fill="E7E6E6"/>
            <w:hideMark/>
          </w:tcPr>
          <w:p w14:paraId="79B4B56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1,129.91</w:t>
            </w:r>
          </w:p>
        </w:tc>
        <w:tc>
          <w:tcPr>
            <w:tcW w:w="940" w:type="dxa"/>
            <w:shd w:val="clear" w:color="auto" w:fill="E7E6E6"/>
            <w:hideMark/>
          </w:tcPr>
          <w:p w14:paraId="249FC3A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902.75</w:t>
            </w:r>
          </w:p>
        </w:tc>
        <w:tc>
          <w:tcPr>
            <w:tcW w:w="0" w:type="auto"/>
            <w:shd w:val="clear" w:color="auto" w:fill="E7E6E6"/>
            <w:hideMark/>
          </w:tcPr>
          <w:p w14:paraId="2022918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207.10</w:t>
            </w:r>
          </w:p>
        </w:tc>
        <w:tc>
          <w:tcPr>
            <w:tcW w:w="675" w:type="dxa"/>
            <w:shd w:val="clear" w:color="auto" w:fill="E7E6E6"/>
            <w:hideMark/>
          </w:tcPr>
          <w:p w14:paraId="69368F8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-3.473</w:t>
            </w:r>
          </w:p>
        </w:tc>
        <w:tc>
          <w:tcPr>
            <w:tcW w:w="0" w:type="auto"/>
            <w:shd w:val="clear" w:color="auto" w:fill="E7E6E6"/>
            <w:hideMark/>
          </w:tcPr>
          <w:p w14:paraId="6D2E49C5"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22.32</w:t>
            </w:r>
          </w:p>
        </w:tc>
        <w:tc>
          <w:tcPr>
            <w:tcW w:w="0" w:type="auto"/>
            <w:shd w:val="clear" w:color="auto" w:fill="E7E6E6"/>
            <w:hideMark/>
          </w:tcPr>
          <w:p w14:paraId="23D10F31"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0.002</w:t>
            </w:r>
          </w:p>
        </w:tc>
        <w:tc>
          <w:tcPr>
            <w:tcW w:w="0" w:type="auto"/>
            <w:shd w:val="clear" w:color="auto" w:fill="E7E6E6"/>
            <w:hideMark/>
          </w:tcPr>
          <w:p w14:paraId="264091C3"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-1,206.65</w:t>
            </w:r>
          </w:p>
        </w:tc>
        <w:tc>
          <w:tcPr>
            <w:tcW w:w="0" w:type="auto"/>
            <w:shd w:val="clear" w:color="auto" w:fill="E7E6E6"/>
            <w:hideMark/>
          </w:tcPr>
          <w:p w14:paraId="162499D8"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-1,926.57</w:t>
            </w:r>
          </w:p>
        </w:tc>
        <w:tc>
          <w:tcPr>
            <w:tcW w:w="0" w:type="auto"/>
            <w:shd w:val="clear" w:color="auto" w:fill="E7E6E6"/>
            <w:hideMark/>
          </w:tcPr>
          <w:p w14:paraId="152EA932"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-486.73</w:t>
            </w:r>
          </w:p>
        </w:tc>
        <w:tc>
          <w:tcPr>
            <w:tcW w:w="0" w:type="auto"/>
            <w:shd w:val="clear" w:color="auto" w:fill="E7E6E6"/>
            <w:hideMark/>
          </w:tcPr>
          <w:p w14:paraId="3A1D9FB5" w14:textId="77777777" w:rsidR="00DB6A40" w:rsidRPr="00DB6A40" w:rsidRDefault="00DB6A40" w:rsidP="00DB6A40">
            <w:pPr>
              <w:jc w:val="center"/>
              <w:rPr>
                <w:rFonts w:ascii="Times New Roman" w:eastAsia="Calibri" w:hAnsi="Times New Roman" w:cs="Times New Roman"/>
                <w:sz w:val="16"/>
                <w:szCs w:val="16"/>
              </w:rPr>
            </w:pPr>
            <w:r w:rsidRPr="00DB6A40">
              <w:rPr>
                <w:rFonts w:ascii="Times New Roman" w:eastAsia="Calibri" w:hAnsi="Times New Roman" w:cs="Times New Roman"/>
                <w:sz w:val="16"/>
                <w:szCs w:val="16"/>
              </w:rPr>
              <w:t>Yes</w:t>
            </w:r>
          </w:p>
        </w:tc>
      </w:tr>
      <w:tr w:rsidR="00DB6A40" w:rsidRPr="00DB6A40" w14:paraId="563DEA12" w14:textId="77777777" w:rsidTr="00DB6A40">
        <w:trPr>
          <w:trHeight w:val="199"/>
        </w:trPr>
        <w:tc>
          <w:tcPr>
            <w:tcW w:w="1260" w:type="dxa"/>
            <w:vMerge w:val="restart"/>
            <w:shd w:val="clear" w:color="auto" w:fill="E7E6E6"/>
            <w:hideMark/>
          </w:tcPr>
          <w:p w14:paraId="06EAF46A"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Company Income Tax (CIT)</w:t>
            </w:r>
          </w:p>
        </w:tc>
        <w:tc>
          <w:tcPr>
            <w:tcW w:w="0" w:type="auto"/>
            <w:shd w:val="clear" w:color="auto" w:fill="E7E6E6"/>
            <w:hideMark/>
          </w:tcPr>
          <w:p w14:paraId="7EAF3556"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Post</w:t>
            </w:r>
          </w:p>
        </w:tc>
        <w:tc>
          <w:tcPr>
            <w:tcW w:w="0" w:type="auto"/>
            <w:shd w:val="clear" w:color="auto" w:fill="E7E6E6"/>
            <w:hideMark/>
          </w:tcPr>
          <w:p w14:paraId="229E123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w:t>
            </w:r>
          </w:p>
        </w:tc>
        <w:tc>
          <w:tcPr>
            <w:tcW w:w="0" w:type="auto"/>
            <w:shd w:val="clear" w:color="auto" w:fill="E7E6E6"/>
            <w:hideMark/>
          </w:tcPr>
          <w:p w14:paraId="252E7A8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2,287.92</w:t>
            </w:r>
          </w:p>
        </w:tc>
        <w:tc>
          <w:tcPr>
            <w:tcW w:w="940" w:type="dxa"/>
            <w:shd w:val="clear" w:color="auto" w:fill="E7E6E6"/>
            <w:hideMark/>
          </w:tcPr>
          <w:p w14:paraId="031ED0F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2212.14</w:t>
            </w:r>
          </w:p>
        </w:tc>
        <w:tc>
          <w:tcPr>
            <w:tcW w:w="0" w:type="auto"/>
            <w:shd w:val="clear" w:color="auto" w:fill="E7E6E6"/>
            <w:hideMark/>
          </w:tcPr>
          <w:p w14:paraId="5042E08E"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638.59</w:t>
            </w:r>
          </w:p>
        </w:tc>
        <w:tc>
          <w:tcPr>
            <w:tcW w:w="675" w:type="dxa"/>
            <w:shd w:val="clear" w:color="auto" w:fill="E7E6E6"/>
            <w:hideMark/>
          </w:tcPr>
          <w:p w14:paraId="30AD7F1B"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0AF1FF49"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00DB4A2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7B830E0"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037ED7F"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2C9F0AB6"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6C6ABF68" w14:textId="77777777" w:rsidR="00DB6A40" w:rsidRPr="00DB6A40" w:rsidRDefault="00DB6A40" w:rsidP="00DB6A40">
            <w:pPr>
              <w:jc w:val="center"/>
              <w:rPr>
                <w:rFonts w:ascii="Times New Roman" w:eastAsia="Calibri" w:hAnsi="Times New Roman" w:cs="Times New Roman"/>
                <w:sz w:val="16"/>
                <w:szCs w:val="16"/>
              </w:rPr>
            </w:pPr>
          </w:p>
        </w:tc>
      </w:tr>
      <w:tr w:rsidR="00DB6A40" w:rsidRPr="00DB6A40" w14:paraId="69DB3C00" w14:textId="77777777" w:rsidTr="00DB6A40">
        <w:trPr>
          <w:trHeight w:val="603"/>
        </w:trPr>
        <w:tc>
          <w:tcPr>
            <w:tcW w:w="1260" w:type="dxa"/>
            <w:vMerge/>
            <w:shd w:val="clear" w:color="auto" w:fill="E7E6E6"/>
            <w:hideMark/>
          </w:tcPr>
          <w:p w14:paraId="2049A6F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496C67E"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Pre</w:t>
            </w:r>
          </w:p>
        </w:tc>
        <w:tc>
          <w:tcPr>
            <w:tcW w:w="0" w:type="auto"/>
            <w:shd w:val="clear" w:color="auto" w:fill="E7E6E6"/>
            <w:hideMark/>
          </w:tcPr>
          <w:p w14:paraId="6749A02B"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19</w:t>
            </w:r>
          </w:p>
        </w:tc>
        <w:tc>
          <w:tcPr>
            <w:tcW w:w="0" w:type="auto"/>
            <w:shd w:val="clear" w:color="auto" w:fill="E7E6E6"/>
            <w:hideMark/>
          </w:tcPr>
          <w:p w14:paraId="0E928E01"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234.20</w:t>
            </w:r>
          </w:p>
        </w:tc>
        <w:tc>
          <w:tcPr>
            <w:tcW w:w="940" w:type="dxa"/>
            <w:shd w:val="clear" w:color="auto" w:fill="E7E6E6"/>
            <w:hideMark/>
          </w:tcPr>
          <w:p w14:paraId="275E83E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258.02</w:t>
            </w:r>
          </w:p>
        </w:tc>
        <w:tc>
          <w:tcPr>
            <w:tcW w:w="0" w:type="auto"/>
            <w:shd w:val="clear" w:color="auto" w:fill="E7E6E6"/>
            <w:hideMark/>
          </w:tcPr>
          <w:p w14:paraId="6FF7BA1E"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59.19</w:t>
            </w:r>
          </w:p>
        </w:tc>
        <w:tc>
          <w:tcPr>
            <w:tcW w:w="675" w:type="dxa"/>
            <w:shd w:val="clear" w:color="auto" w:fill="E7E6E6"/>
            <w:hideMark/>
          </w:tcPr>
          <w:p w14:paraId="0DABF262"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-3.202</w:t>
            </w:r>
          </w:p>
        </w:tc>
        <w:tc>
          <w:tcPr>
            <w:tcW w:w="0" w:type="auto"/>
            <w:shd w:val="clear" w:color="auto" w:fill="E7E6E6"/>
            <w:hideMark/>
          </w:tcPr>
          <w:p w14:paraId="187E5938"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11.19</w:t>
            </w:r>
          </w:p>
        </w:tc>
        <w:tc>
          <w:tcPr>
            <w:tcW w:w="0" w:type="auto"/>
            <w:shd w:val="clear" w:color="auto" w:fill="E7E6E6"/>
            <w:hideMark/>
          </w:tcPr>
          <w:p w14:paraId="423174F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0.008</w:t>
            </w:r>
          </w:p>
        </w:tc>
        <w:tc>
          <w:tcPr>
            <w:tcW w:w="0" w:type="auto"/>
            <w:shd w:val="clear" w:color="auto" w:fill="E7E6E6"/>
            <w:hideMark/>
          </w:tcPr>
          <w:p w14:paraId="7E61D7D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-2,053.73</w:t>
            </w:r>
          </w:p>
        </w:tc>
        <w:tc>
          <w:tcPr>
            <w:tcW w:w="0" w:type="auto"/>
            <w:shd w:val="clear" w:color="auto" w:fill="E7E6E6"/>
            <w:hideMark/>
          </w:tcPr>
          <w:p w14:paraId="0AA31DD8"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-3,462.37</w:t>
            </w:r>
          </w:p>
        </w:tc>
        <w:tc>
          <w:tcPr>
            <w:tcW w:w="0" w:type="auto"/>
            <w:shd w:val="clear" w:color="auto" w:fill="E7E6E6"/>
            <w:hideMark/>
          </w:tcPr>
          <w:p w14:paraId="2EBC91F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-645.09</w:t>
            </w:r>
          </w:p>
        </w:tc>
        <w:tc>
          <w:tcPr>
            <w:tcW w:w="0" w:type="auto"/>
            <w:shd w:val="clear" w:color="auto" w:fill="E7E6E6"/>
            <w:hideMark/>
          </w:tcPr>
          <w:p w14:paraId="1338171C" w14:textId="77777777" w:rsidR="00DB6A40" w:rsidRPr="00DB6A40" w:rsidRDefault="00DB6A40" w:rsidP="00DB6A40">
            <w:pPr>
              <w:jc w:val="center"/>
              <w:rPr>
                <w:rFonts w:ascii="Times New Roman" w:eastAsia="Calibri" w:hAnsi="Times New Roman" w:cs="Times New Roman"/>
                <w:sz w:val="16"/>
                <w:szCs w:val="16"/>
              </w:rPr>
            </w:pPr>
            <w:r w:rsidRPr="00DB6A40">
              <w:rPr>
                <w:rFonts w:ascii="Times New Roman" w:eastAsia="Calibri" w:hAnsi="Times New Roman" w:cs="Times New Roman"/>
                <w:sz w:val="16"/>
                <w:szCs w:val="16"/>
              </w:rPr>
              <w:t>Yes</w:t>
            </w:r>
          </w:p>
        </w:tc>
      </w:tr>
      <w:tr w:rsidR="00DB6A40" w:rsidRPr="00DB6A40" w14:paraId="5402DF4E" w14:textId="77777777" w:rsidTr="00DB6A40">
        <w:trPr>
          <w:trHeight w:val="199"/>
        </w:trPr>
        <w:tc>
          <w:tcPr>
            <w:tcW w:w="1260" w:type="dxa"/>
            <w:vMerge w:val="restart"/>
            <w:shd w:val="clear" w:color="auto" w:fill="E7E6E6"/>
            <w:hideMark/>
          </w:tcPr>
          <w:p w14:paraId="1A99B9F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Value Added Tax (VAT)</w:t>
            </w:r>
          </w:p>
        </w:tc>
        <w:tc>
          <w:tcPr>
            <w:tcW w:w="0" w:type="auto"/>
            <w:shd w:val="clear" w:color="auto" w:fill="E7E6E6"/>
            <w:hideMark/>
          </w:tcPr>
          <w:p w14:paraId="168137FE"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Post</w:t>
            </w:r>
          </w:p>
        </w:tc>
        <w:tc>
          <w:tcPr>
            <w:tcW w:w="0" w:type="auto"/>
            <w:shd w:val="clear" w:color="auto" w:fill="E7E6E6"/>
            <w:hideMark/>
          </w:tcPr>
          <w:p w14:paraId="764DC245"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w:t>
            </w:r>
          </w:p>
        </w:tc>
        <w:tc>
          <w:tcPr>
            <w:tcW w:w="0" w:type="auto"/>
            <w:shd w:val="clear" w:color="auto" w:fill="E7E6E6"/>
            <w:hideMark/>
          </w:tcPr>
          <w:p w14:paraId="2022B759"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775.78</w:t>
            </w:r>
          </w:p>
        </w:tc>
        <w:tc>
          <w:tcPr>
            <w:tcW w:w="940" w:type="dxa"/>
            <w:shd w:val="clear" w:color="auto" w:fill="E7E6E6"/>
            <w:hideMark/>
          </w:tcPr>
          <w:p w14:paraId="6EE0828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488.91</w:t>
            </w:r>
          </w:p>
        </w:tc>
        <w:tc>
          <w:tcPr>
            <w:tcW w:w="0" w:type="auto"/>
            <w:shd w:val="clear" w:color="auto" w:fill="E7E6E6"/>
            <w:hideMark/>
          </w:tcPr>
          <w:p w14:paraId="35FD8EC0"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141.14</w:t>
            </w:r>
          </w:p>
        </w:tc>
        <w:tc>
          <w:tcPr>
            <w:tcW w:w="675" w:type="dxa"/>
            <w:shd w:val="clear" w:color="auto" w:fill="E7E6E6"/>
            <w:hideMark/>
          </w:tcPr>
          <w:p w14:paraId="5B5A3DAE"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2FFD2590"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1D96C7A0"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3C751573"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2C4ABD3"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E00AFB1"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B6104D2" w14:textId="77777777" w:rsidR="00DB6A40" w:rsidRPr="00DB6A40" w:rsidRDefault="00DB6A40" w:rsidP="00DB6A40">
            <w:pPr>
              <w:jc w:val="center"/>
              <w:rPr>
                <w:rFonts w:ascii="Times New Roman" w:eastAsia="Calibri" w:hAnsi="Times New Roman" w:cs="Times New Roman"/>
                <w:sz w:val="16"/>
                <w:szCs w:val="16"/>
              </w:rPr>
            </w:pPr>
          </w:p>
        </w:tc>
      </w:tr>
      <w:tr w:rsidR="00DB6A40" w:rsidRPr="00DB6A40" w14:paraId="01A2B7ED" w14:textId="77777777" w:rsidTr="00DB6A40">
        <w:trPr>
          <w:trHeight w:val="402"/>
        </w:trPr>
        <w:tc>
          <w:tcPr>
            <w:tcW w:w="1260" w:type="dxa"/>
            <w:vMerge/>
            <w:shd w:val="clear" w:color="auto" w:fill="E7E6E6"/>
            <w:hideMark/>
          </w:tcPr>
          <w:p w14:paraId="0D3D8649"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0C5554E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Pre</w:t>
            </w:r>
          </w:p>
        </w:tc>
        <w:tc>
          <w:tcPr>
            <w:tcW w:w="0" w:type="auto"/>
            <w:shd w:val="clear" w:color="auto" w:fill="E7E6E6"/>
            <w:hideMark/>
          </w:tcPr>
          <w:p w14:paraId="40A7904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19</w:t>
            </w:r>
          </w:p>
        </w:tc>
        <w:tc>
          <w:tcPr>
            <w:tcW w:w="0" w:type="auto"/>
            <w:shd w:val="clear" w:color="auto" w:fill="E7E6E6"/>
            <w:hideMark/>
          </w:tcPr>
          <w:p w14:paraId="775652D2"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109.35</w:t>
            </w:r>
          </w:p>
        </w:tc>
        <w:tc>
          <w:tcPr>
            <w:tcW w:w="940" w:type="dxa"/>
            <w:shd w:val="clear" w:color="auto" w:fill="E7E6E6"/>
            <w:hideMark/>
          </w:tcPr>
          <w:p w14:paraId="45B4457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111.51</w:t>
            </w:r>
          </w:p>
        </w:tc>
        <w:tc>
          <w:tcPr>
            <w:tcW w:w="0" w:type="auto"/>
            <w:shd w:val="clear" w:color="auto" w:fill="E7E6E6"/>
            <w:hideMark/>
          </w:tcPr>
          <w:p w14:paraId="2FDAA859"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25.58</w:t>
            </w:r>
          </w:p>
        </w:tc>
        <w:tc>
          <w:tcPr>
            <w:tcW w:w="675" w:type="dxa"/>
            <w:shd w:val="clear" w:color="auto" w:fill="E7E6E6"/>
            <w:hideMark/>
          </w:tcPr>
          <w:p w14:paraId="7279334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-4.646</w:t>
            </w:r>
          </w:p>
        </w:tc>
        <w:tc>
          <w:tcPr>
            <w:tcW w:w="0" w:type="auto"/>
            <w:shd w:val="clear" w:color="auto" w:fill="E7E6E6"/>
            <w:hideMark/>
          </w:tcPr>
          <w:p w14:paraId="2EB1EA10"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11.73</w:t>
            </w:r>
          </w:p>
        </w:tc>
        <w:tc>
          <w:tcPr>
            <w:tcW w:w="0" w:type="auto"/>
            <w:shd w:val="clear" w:color="auto" w:fill="E7E6E6"/>
            <w:hideMark/>
          </w:tcPr>
          <w:p w14:paraId="7A6D4099"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0.001</w:t>
            </w:r>
          </w:p>
        </w:tc>
        <w:tc>
          <w:tcPr>
            <w:tcW w:w="0" w:type="auto"/>
            <w:shd w:val="clear" w:color="auto" w:fill="E7E6E6"/>
            <w:hideMark/>
          </w:tcPr>
          <w:p w14:paraId="4C543726"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-666.42</w:t>
            </w:r>
          </w:p>
        </w:tc>
        <w:tc>
          <w:tcPr>
            <w:tcW w:w="0" w:type="auto"/>
            <w:shd w:val="clear" w:color="auto" w:fill="E7E6E6"/>
            <w:hideMark/>
          </w:tcPr>
          <w:p w14:paraId="55D49986"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-979.75</w:t>
            </w:r>
          </w:p>
        </w:tc>
        <w:tc>
          <w:tcPr>
            <w:tcW w:w="0" w:type="auto"/>
            <w:shd w:val="clear" w:color="auto" w:fill="E7E6E6"/>
            <w:hideMark/>
          </w:tcPr>
          <w:p w14:paraId="58129906"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-353.10</w:t>
            </w:r>
          </w:p>
        </w:tc>
        <w:tc>
          <w:tcPr>
            <w:tcW w:w="0" w:type="auto"/>
            <w:shd w:val="clear" w:color="auto" w:fill="E7E6E6"/>
            <w:hideMark/>
          </w:tcPr>
          <w:p w14:paraId="5C8551DF" w14:textId="77777777" w:rsidR="00DB6A40" w:rsidRPr="00DB6A40" w:rsidRDefault="00DB6A40" w:rsidP="00DB6A40">
            <w:pPr>
              <w:jc w:val="center"/>
              <w:rPr>
                <w:rFonts w:ascii="Times New Roman" w:eastAsia="Calibri" w:hAnsi="Times New Roman" w:cs="Times New Roman"/>
                <w:sz w:val="16"/>
                <w:szCs w:val="16"/>
              </w:rPr>
            </w:pPr>
            <w:r w:rsidRPr="00DB6A40">
              <w:rPr>
                <w:rFonts w:ascii="Times New Roman" w:eastAsia="Calibri" w:hAnsi="Times New Roman" w:cs="Times New Roman"/>
                <w:sz w:val="16"/>
                <w:szCs w:val="16"/>
              </w:rPr>
              <w:t>Yes</w:t>
            </w:r>
          </w:p>
        </w:tc>
      </w:tr>
      <w:tr w:rsidR="00DB6A40" w:rsidRPr="00DB6A40" w14:paraId="28F42B97" w14:textId="77777777" w:rsidTr="00DB6A40">
        <w:trPr>
          <w:trHeight w:val="199"/>
        </w:trPr>
        <w:tc>
          <w:tcPr>
            <w:tcW w:w="1260" w:type="dxa"/>
            <w:vMerge w:val="restart"/>
            <w:shd w:val="clear" w:color="auto" w:fill="E7E6E6"/>
            <w:hideMark/>
          </w:tcPr>
          <w:p w14:paraId="5A769F6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Customs &amp; Excise Duties (CED)</w:t>
            </w:r>
          </w:p>
        </w:tc>
        <w:tc>
          <w:tcPr>
            <w:tcW w:w="0" w:type="auto"/>
            <w:shd w:val="clear" w:color="auto" w:fill="E7E6E6"/>
            <w:hideMark/>
          </w:tcPr>
          <w:p w14:paraId="13CDA430"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Post</w:t>
            </w:r>
          </w:p>
        </w:tc>
        <w:tc>
          <w:tcPr>
            <w:tcW w:w="0" w:type="auto"/>
            <w:shd w:val="clear" w:color="auto" w:fill="E7E6E6"/>
            <w:hideMark/>
          </w:tcPr>
          <w:p w14:paraId="532070B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w:t>
            </w:r>
          </w:p>
        </w:tc>
        <w:tc>
          <w:tcPr>
            <w:tcW w:w="0" w:type="auto"/>
            <w:shd w:val="clear" w:color="auto" w:fill="E7E6E6"/>
            <w:hideMark/>
          </w:tcPr>
          <w:p w14:paraId="1E9228C7"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181,467.72</w:t>
            </w:r>
          </w:p>
        </w:tc>
        <w:tc>
          <w:tcPr>
            <w:tcW w:w="940" w:type="dxa"/>
            <w:shd w:val="clear" w:color="auto" w:fill="E7E6E6"/>
            <w:hideMark/>
          </w:tcPr>
          <w:p w14:paraId="6833288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265677.26</w:t>
            </w:r>
          </w:p>
        </w:tc>
        <w:tc>
          <w:tcPr>
            <w:tcW w:w="0" w:type="auto"/>
            <w:shd w:val="clear" w:color="auto" w:fill="E7E6E6"/>
            <w:hideMark/>
          </w:tcPr>
          <w:p w14:paraId="0DA64213"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76,694.42</w:t>
            </w:r>
          </w:p>
        </w:tc>
        <w:tc>
          <w:tcPr>
            <w:tcW w:w="675" w:type="dxa"/>
            <w:shd w:val="clear" w:color="auto" w:fill="E7E6E6"/>
            <w:hideMark/>
          </w:tcPr>
          <w:p w14:paraId="3E417884"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0B940D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0DF92644"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2A3DADFC"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1B4867A1"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3BC3F1D"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27CE1B25" w14:textId="77777777" w:rsidR="00DB6A40" w:rsidRPr="00DB6A40" w:rsidRDefault="00DB6A40" w:rsidP="00DB6A40">
            <w:pPr>
              <w:jc w:val="center"/>
              <w:rPr>
                <w:rFonts w:ascii="Times New Roman" w:eastAsia="Calibri" w:hAnsi="Times New Roman" w:cs="Times New Roman"/>
                <w:sz w:val="16"/>
                <w:szCs w:val="16"/>
              </w:rPr>
            </w:pPr>
          </w:p>
        </w:tc>
      </w:tr>
      <w:tr w:rsidR="00DB6A40" w:rsidRPr="00DB6A40" w14:paraId="307A3CD4" w14:textId="77777777" w:rsidTr="00DB6A40">
        <w:trPr>
          <w:trHeight w:val="583"/>
        </w:trPr>
        <w:tc>
          <w:tcPr>
            <w:tcW w:w="1260" w:type="dxa"/>
            <w:vMerge/>
            <w:shd w:val="clear" w:color="auto" w:fill="E7E6E6"/>
            <w:hideMark/>
          </w:tcPr>
          <w:p w14:paraId="3A390ED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39FAC617"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Pre</w:t>
            </w:r>
          </w:p>
        </w:tc>
        <w:tc>
          <w:tcPr>
            <w:tcW w:w="0" w:type="auto"/>
            <w:shd w:val="clear" w:color="auto" w:fill="E7E6E6"/>
            <w:hideMark/>
          </w:tcPr>
          <w:p w14:paraId="648E297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19</w:t>
            </w:r>
          </w:p>
        </w:tc>
        <w:tc>
          <w:tcPr>
            <w:tcW w:w="0" w:type="auto"/>
            <w:shd w:val="clear" w:color="auto" w:fill="E7E6E6"/>
            <w:hideMark/>
          </w:tcPr>
          <w:p w14:paraId="3CDA5EA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189.64</w:t>
            </w:r>
          </w:p>
        </w:tc>
        <w:tc>
          <w:tcPr>
            <w:tcW w:w="940" w:type="dxa"/>
            <w:shd w:val="clear" w:color="auto" w:fill="E7E6E6"/>
            <w:hideMark/>
          </w:tcPr>
          <w:p w14:paraId="206EEA8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126.21</w:t>
            </w:r>
          </w:p>
        </w:tc>
        <w:tc>
          <w:tcPr>
            <w:tcW w:w="0" w:type="auto"/>
            <w:shd w:val="clear" w:color="auto" w:fill="E7E6E6"/>
            <w:hideMark/>
          </w:tcPr>
          <w:p w14:paraId="5A27915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28.95</w:t>
            </w:r>
          </w:p>
        </w:tc>
        <w:tc>
          <w:tcPr>
            <w:tcW w:w="675" w:type="dxa"/>
            <w:shd w:val="clear" w:color="auto" w:fill="E7E6E6"/>
            <w:hideMark/>
          </w:tcPr>
          <w:p w14:paraId="3B00543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-2.364</w:t>
            </w:r>
          </w:p>
        </w:tc>
        <w:tc>
          <w:tcPr>
            <w:tcW w:w="0" w:type="auto"/>
            <w:shd w:val="clear" w:color="auto" w:fill="E7E6E6"/>
            <w:hideMark/>
          </w:tcPr>
          <w:p w14:paraId="16AC4529"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11.00</w:t>
            </w:r>
          </w:p>
        </w:tc>
        <w:tc>
          <w:tcPr>
            <w:tcW w:w="0" w:type="auto"/>
            <w:shd w:val="clear" w:color="auto" w:fill="E7E6E6"/>
            <w:hideMark/>
          </w:tcPr>
          <w:p w14:paraId="69E5F4A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0.038</w:t>
            </w:r>
          </w:p>
        </w:tc>
        <w:tc>
          <w:tcPr>
            <w:tcW w:w="0" w:type="auto"/>
            <w:shd w:val="clear" w:color="auto" w:fill="E7E6E6"/>
            <w:hideMark/>
          </w:tcPr>
          <w:p w14:paraId="35E8BFA8"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-181,278.08</w:t>
            </w:r>
          </w:p>
        </w:tc>
        <w:tc>
          <w:tcPr>
            <w:tcW w:w="0" w:type="auto"/>
            <w:shd w:val="clear" w:color="auto" w:fill="E7E6E6"/>
            <w:hideMark/>
          </w:tcPr>
          <w:p w14:paraId="3D0D60F4"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-350,081.4</w:t>
            </w:r>
          </w:p>
        </w:tc>
        <w:tc>
          <w:tcPr>
            <w:tcW w:w="0" w:type="auto"/>
            <w:shd w:val="clear" w:color="auto" w:fill="E7E6E6"/>
            <w:hideMark/>
          </w:tcPr>
          <w:p w14:paraId="454D5113"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-12,474.8</w:t>
            </w:r>
          </w:p>
        </w:tc>
        <w:tc>
          <w:tcPr>
            <w:tcW w:w="0" w:type="auto"/>
            <w:shd w:val="clear" w:color="auto" w:fill="E7E6E6"/>
            <w:hideMark/>
          </w:tcPr>
          <w:p w14:paraId="422C16FA" w14:textId="77777777" w:rsidR="00DB6A40" w:rsidRPr="00DB6A40" w:rsidRDefault="00DB6A40" w:rsidP="00DB6A40">
            <w:pPr>
              <w:jc w:val="center"/>
              <w:rPr>
                <w:rFonts w:ascii="Times New Roman" w:eastAsia="Calibri" w:hAnsi="Times New Roman" w:cs="Times New Roman"/>
                <w:sz w:val="16"/>
                <w:szCs w:val="16"/>
              </w:rPr>
            </w:pPr>
            <w:r w:rsidRPr="00DB6A40">
              <w:rPr>
                <w:rFonts w:ascii="Times New Roman" w:eastAsia="Calibri" w:hAnsi="Times New Roman" w:cs="Times New Roman"/>
                <w:sz w:val="16"/>
                <w:szCs w:val="16"/>
              </w:rPr>
              <w:t>Yes</w:t>
            </w:r>
          </w:p>
        </w:tc>
      </w:tr>
      <w:tr w:rsidR="00DB6A40" w:rsidRPr="00DB6A40" w14:paraId="60E6F03C" w14:textId="77777777" w:rsidTr="00DB6A40">
        <w:trPr>
          <w:trHeight w:val="199"/>
        </w:trPr>
        <w:tc>
          <w:tcPr>
            <w:tcW w:w="1260" w:type="dxa"/>
            <w:vMerge w:val="restart"/>
            <w:shd w:val="clear" w:color="auto" w:fill="E7E6E6"/>
            <w:hideMark/>
          </w:tcPr>
          <w:p w14:paraId="5C7C59D8"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Capital Gains Tax (CGT)</w:t>
            </w:r>
          </w:p>
        </w:tc>
        <w:tc>
          <w:tcPr>
            <w:tcW w:w="0" w:type="auto"/>
            <w:shd w:val="clear" w:color="auto" w:fill="E7E6E6"/>
            <w:hideMark/>
          </w:tcPr>
          <w:p w14:paraId="298FA297"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Post</w:t>
            </w:r>
          </w:p>
        </w:tc>
        <w:tc>
          <w:tcPr>
            <w:tcW w:w="0" w:type="auto"/>
            <w:shd w:val="clear" w:color="auto" w:fill="E7E6E6"/>
            <w:hideMark/>
          </w:tcPr>
          <w:p w14:paraId="065D3CA5"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w:t>
            </w:r>
          </w:p>
        </w:tc>
        <w:tc>
          <w:tcPr>
            <w:tcW w:w="0" w:type="auto"/>
            <w:shd w:val="clear" w:color="auto" w:fill="E7E6E6"/>
            <w:hideMark/>
          </w:tcPr>
          <w:p w14:paraId="41EC4BDA"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30.40</w:t>
            </w:r>
          </w:p>
        </w:tc>
        <w:tc>
          <w:tcPr>
            <w:tcW w:w="940" w:type="dxa"/>
            <w:shd w:val="clear" w:color="auto" w:fill="E7E6E6"/>
            <w:hideMark/>
          </w:tcPr>
          <w:p w14:paraId="2126AFBB"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34.97</w:t>
            </w:r>
          </w:p>
        </w:tc>
        <w:tc>
          <w:tcPr>
            <w:tcW w:w="0" w:type="auto"/>
            <w:shd w:val="clear" w:color="auto" w:fill="E7E6E6"/>
            <w:hideMark/>
          </w:tcPr>
          <w:p w14:paraId="643061FD"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10.10</w:t>
            </w:r>
          </w:p>
        </w:tc>
        <w:tc>
          <w:tcPr>
            <w:tcW w:w="675" w:type="dxa"/>
            <w:shd w:val="clear" w:color="auto" w:fill="E7E6E6"/>
            <w:hideMark/>
          </w:tcPr>
          <w:p w14:paraId="2F2C0492"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6B830D3"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2335FC0D"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691339B0"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2199134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0884FAFD"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709D62DF" w14:textId="77777777" w:rsidR="00DB6A40" w:rsidRPr="00DB6A40" w:rsidRDefault="00DB6A40" w:rsidP="00DB6A40">
            <w:pPr>
              <w:jc w:val="center"/>
              <w:rPr>
                <w:rFonts w:ascii="Times New Roman" w:eastAsia="Calibri" w:hAnsi="Times New Roman" w:cs="Times New Roman"/>
                <w:sz w:val="16"/>
                <w:szCs w:val="16"/>
              </w:rPr>
            </w:pPr>
          </w:p>
        </w:tc>
      </w:tr>
      <w:tr w:rsidR="00DB6A40" w:rsidRPr="00DB6A40" w14:paraId="794414B4" w14:textId="77777777" w:rsidTr="00DB6A40">
        <w:trPr>
          <w:trHeight w:val="402"/>
        </w:trPr>
        <w:tc>
          <w:tcPr>
            <w:tcW w:w="1260" w:type="dxa"/>
            <w:vMerge/>
            <w:shd w:val="clear" w:color="auto" w:fill="E7E6E6"/>
            <w:hideMark/>
          </w:tcPr>
          <w:p w14:paraId="169B04F1"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54194E8B"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Pre</w:t>
            </w:r>
          </w:p>
        </w:tc>
        <w:tc>
          <w:tcPr>
            <w:tcW w:w="0" w:type="auto"/>
            <w:shd w:val="clear" w:color="auto" w:fill="E7E6E6"/>
            <w:hideMark/>
          </w:tcPr>
          <w:p w14:paraId="69E6FECA"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19</w:t>
            </w:r>
          </w:p>
        </w:tc>
        <w:tc>
          <w:tcPr>
            <w:tcW w:w="0" w:type="auto"/>
            <w:shd w:val="clear" w:color="auto" w:fill="E7E6E6"/>
            <w:hideMark/>
          </w:tcPr>
          <w:p w14:paraId="5DC9727C"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45.82</w:t>
            </w:r>
          </w:p>
        </w:tc>
        <w:tc>
          <w:tcPr>
            <w:tcW w:w="940" w:type="dxa"/>
            <w:shd w:val="clear" w:color="auto" w:fill="E7E6E6"/>
            <w:hideMark/>
          </w:tcPr>
          <w:p w14:paraId="1439D67E"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29.84</w:t>
            </w:r>
          </w:p>
        </w:tc>
        <w:tc>
          <w:tcPr>
            <w:tcW w:w="0" w:type="auto"/>
            <w:shd w:val="clear" w:color="auto" w:fill="E7E6E6"/>
            <w:hideMark/>
          </w:tcPr>
          <w:p w14:paraId="09E65247"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6.85</w:t>
            </w:r>
          </w:p>
        </w:tc>
        <w:tc>
          <w:tcPr>
            <w:tcW w:w="675" w:type="dxa"/>
            <w:shd w:val="clear" w:color="auto" w:fill="E7E6E6"/>
            <w:hideMark/>
          </w:tcPr>
          <w:p w14:paraId="63EF319A"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1.264</w:t>
            </w:r>
          </w:p>
        </w:tc>
        <w:tc>
          <w:tcPr>
            <w:tcW w:w="0" w:type="auto"/>
            <w:shd w:val="clear" w:color="auto" w:fill="E7E6E6"/>
            <w:hideMark/>
          </w:tcPr>
          <w:p w14:paraId="6A4EC98B"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20.76</w:t>
            </w:r>
          </w:p>
        </w:tc>
        <w:tc>
          <w:tcPr>
            <w:tcW w:w="0" w:type="auto"/>
            <w:shd w:val="clear" w:color="auto" w:fill="E7E6E6"/>
            <w:hideMark/>
          </w:tcPr>
          <w:p w14:paraId="6B96C936"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0.220</w:t>
            </w:r>
          </w:p>
        </w:tc>
        <w:tc>
          <w:tcPr>
            <w:tcW w:w="0" w:type="auto"/>
            <w:shd w:val="clear" w:color="auto" w:fill="E7E6E6"/>
            <w:hideMark/>
          </w:tcPr>
          <w:p w14:paraId="12B21627"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15.42</w:t>
            </w:r>
          </w:p>
        </w:tc>
        <w:tc>
          <w:tcPr>
            <w:tcW w:w="0" w:type="auto"/>
            <w:shd w:val="clear" w:color="auto" w:fill="E7E6E6"/>
            <w:hideMark/>
          </w:tcPr>
          <w:p w14:paraId="5508A19F"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-9.97</w:t>
            </w:r>
          </w:p>
        </w:tc>
        <w:tc>
          <w:tcPr>
            <w:tcW w:w="0" w:type="auto"/>
            <w:shd w:val="clear" w:color="auto" w:fill="E7E6E6"/>
            <w:hideMark/>
          </w:tcPr>
          <w:p w14:paraId="472D273B" w14:textId="77777777" w:rsidR="00DB6A40" w:rsidRPr="00DB6A40" w:rsidRDefault="00DB6A40" w:rsidP="00DB6A40">
            <w:pPr>
              <w:jc w:val="both"/>
              <w:rPr>
                <w:rFonts w:ascii="Times New Roman" w:eastAsia="Calibri" w:hAnsi="Times New Roman" w:cs="Times New Roman"/>
                <w:sz w:val="16"/>
                <w:szCs w:val="16"/>
              </w:rPr>
            </w:pPr>
            <w:r w:rsidRPr="00DB6A40">
              <w:rPr>
                <w:rFonts w:ascii="Times New Roman" w:eastAsia="Calibri" w:hAnsi="Times New Roman" w:cs="Times New Roman"/>
                <w:sz w:val="16"/>
                <w:szCs w:val="16"/>
              </w:rPr>
              <w:t>40.81</w:t>
            </w:r>
          </w:p>
        </w:tc>
        <w:tc>
          <w:tcPr>
            <w:tcW w:w="0" w:type="auto"/>
            <w:shd w:val="clear" w:color="auto" w:fill="E7E6E6"/>
            <w:hideMark/>
          </w:tcPr>
          <w:p w14:paraId="2A46CD70" w14:textId="77777777" w:rsidR="00DB6A40" w:rsidRPr="00DB6A40" w:rsidRDefault="00DB6A40" w:rsidP="00DB6A40">
            <w:pPr>
              <w:jc w:val="center"/>
              <w:rPr>
                <w:rFonts w:ascii="Times New Roman" w:eastAsia="Calibri" w:hAnsi="Times New Roman" w:cs="Times New Roman"/>
                <w:sz w:val="16"/>
                <w:szCs w:val="16"/>
              </w:rPr>
            </w:pPr>
            <w:r w:rsidRPr="00DB6A40">
              <w:rPr>
                <w:rFonts w:ascii="Times New Roman" w:eastAsia="Calibri" w:hAnsi="Times New Roman" w:cs="Times New Roman"/>
                <w:sz w:val="16"/>
                <w:szCs w:val="16"/>
              </w:rPr>
              <w:t>No</w:t>
            </w:r>
          </w:p>
        </w:tc>
      </w:tr>
      <w:tr w:rsidR="00DB6A40" w:rsidRPr="00DB6A40" w14:paraId="7FCE799A" w14:textId="77777777" w:rsidTr="00DB6A40">
        <w:trPr>
          <w:trHeight w:val="199"/>
        </w:trPr>
        <w:tc>
          <w:tcPr>
            <w:tcW w:w="1260" w:type="dxa"/>
            <w:shd w:val="clear" w:color="auto" w:fill="E7E6E6"/>
            <w:hideMark/>
          </w:tcPr>
          <w:p w14:paraId="43DB477C"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tcPr>
          <w:p w14:paraId="4E5230E5"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tcPr>
          <w:p w14:paraId="422A9AA8"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tcPr>
          <w:p w14:paraId="777BF439" w14:textId="77777777" w:rsidR="00DB6A40" w:rsidRPr="00DB6A40" w:rsidRDefault="00DB6A40" w:rsidP="00DB6A40">
            <w:pPr>
              <w:jc w:val="both"/>
              <w:rPr>
                <w:rFonts w:ascii="Times New Roman" w:eastAsia="Calibri" w:hAnsi="Times New Roman" w:cs="Times New Roman"/>
                <w:sz w:val="16"/>
                <w:szCs w:val="16"/>
              </w:rPr>
            </w:pPr>
          </w:p>
        </w:tc>
        <w:tc>
          <w:tcPr>
            <w:tcW w:w="940" w:type="dxa"/>
            <w:shd w:val="clear" w:color="auto" w:fill="E7E6E6"/>
          </w:tcPr>
          <w:p w14:paraId="69551CB3"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tcPr>
          <w:p w14:paraId="013AF1BF" w14:textId="77777777" w:rsidR="00DB6A40" w:rsidRPr="00DB6A40" w:rsidRDefault="00DB6A40" w:rsidP="00DB6A40">
            <w:pPr>
              <w:jc w:val="both"/>
              <w:rPr>
                <w:rFonts w:ascii="Times New Roman" w:eastAsia="Calibri" w:hAnsi="Times New Roman" w:cs="Times New Roman"/>
                <w:sz w:val="16"/>
                <w:szCs w:val="16"/>
              </w:rPr>
            </w:pPr>
          </w:p>
        </w:tc>
        <w:tc>
          <w:tcPr>
            <w:tcW w:w="675" w:type="dxa"/>
            <w:shd w:val="clear" w:color="auto" w:fill="E7E6E6"/>
            <w:hideMark/>
          </w:tcPr>
          <w:p w14:paraId="4D58E362"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66180CE1"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3B2F6B8"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3AFC8A9"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9B1D0BD"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45A1B83A" w14:textId="77777777" w:rsidR="00DB6A40" w:rsidRPr="00DB6A40" w:rsidRDefault="00DB6A40" w:rsidP="00DB6A40">
            <w:pPr>
              <w:jc w:val="both"/>
              <w:rPr>
                <w:rFonts w:ascii="Times New Roman" w:eastAsia="Calibri" w:hAnsi="Times New Roman" w:cs="Times New Roman"/>
                <w:sz w:val="16"/>
                <w:szCs w:val="16"/>
              </w:rPr>
            </w:pPr>
          </w:p>
        </w:tc>
        <w:tc>
          <w:tcPr>
            <w:tcW w:w="0" w:type="auto"/>
            <w:shd w:val="clear" w:color="auto" w:fill="E7E6E6"/>
            <w:hideMark/>
          </w:tcPr>
          <w:p w14:paraId="6825738B" w14:textId="77777777" w:rsidR="00DB6A40" w:rsidRPr="00DB6A40" w:rsidRDefault="00DB6A40" w:rsidP="00DB6A40">
            <w:pPr>
              <w:jc w:val="center"/>
              <w:rPr>
                <w:rFonts w:ascii="Times New Roman" w:eastAsia="Calibri" w:hAnsi="Times New Roman" w:cs="Times New Roman"/>
                <w:sz w:val="16"/>
                <w:szCs w:val="16"/>
              </w:rPr>
            </w:pPr>
          </w:p>
        </w:tc>
      </w:tr>
    </w:tbl>
    <w:p w14:paraId="6530ACFC" w14:textId="77777777" w:rsidR="007223FC" w:rsidRDefault="007223FC" w:rsidP="00DB6A40">
      <w:pPr>
        <w:spacing w:after="0" w:line="240" w:lineRule="auto"/>
        <w:jc w:val="both"/>
        <w:rPr>
          <w:rFonts w:ascii="Times New Roman" w:eastAsia="Calibri" w:hAnsi="Times New Roman" w:cs="Times New Roman"/>
        </w:rPr>
      </w:pPr>
    </w:p>
    <w:p w14:paraId="2F1C0E8B" w14:textId="480E3C6B"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results of the test of difference reveal a clear revenue shift in Nigeria’s revenue mobilization following the 2013 electronic taxation reform. </w:t>
      </w:r>
    </w:p>
    <w:p w14:paraId="6266BF3D"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This represents a mean percentage change of ₦23.24 billion, which is statistically significant, from ₦43.82 billion to ₦67.07 billion, p = 0.003. For instance, the use of electronic tax procedures has widened the scope of personal income tax collection by way of automated taxpayer identification and improved compliance monitoring. The stability and predictability of the domestic revenue base should, therefore, improve in line with predictions that digitization will increase paperwork, reduce leaks, and enforce compliance.</w:t>
      </w:r>
    </w:p>
    <w:p w14:paraId="1AC371B6"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Similarly, the PPT almost grew two-fold from 1,129.91 to 2,336.56 </w:t>
      </w:r>
      <w:proofErr w:type="spellStart"/>
      <w:proofErr w:type="gramStart"/>
      <w:r w:rsidRPr="00DB6A40">
        <w:rPr>
          <w:rFonts w:ascii="Times New Roman" w:eastAsia="Calibri" w:hAnsi="Times New Roman" w:cs="Times New Roman"/>
        </w:rPr>
        <w:t>billions</w:t>
      </w:r>
      <w:proofErr w:type="spellEnd"/>
      <w:proofErr w:type="gramEnd"/>
      <w:r w:rsidRPr="00DB6A40">
        <w:rPr>
          <w:rFonts w:ascii="Times New Roman" w:eastAsia="Calibri" w:hAnsi="Times New Roman" w:cs="Times New Roman"/>
        </w:rPr>
        <w:t>, and the average increase was 1,206.65 rupees (p = 0.002). The statistically significant gain in this respect demonstrates that the above reforms improved the reporting accuracy and collection efficiency in the upstream oil industry, bearing in mind the fact that PPT is susceptible to changes in oil market price as well. Apart from administrative convenience, the developed structural effect on key revenue streams of non-consumption taxes has a large budgetary advantage.</w:t>
      </w:r>
    </w:p>
    <w:p w14:paraId="56EE11D5"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The CIT revenue increased from ₦234.20 billion to ₦2,287.92 billion, with an average difference of ₦2,053.73 billion (p = 0.008). This is significant. This remarkable growth after reform shows how well the electronic compliance systems have been able to provide increased oversight, reduced underreporting, and increased collection of taxes. Variability was wider even as the average collections went up, as indicated by higher standard deviations after reform. This is most likely because different firms reported their financial data differently under the new system.</w:t>
      </w:r>
    </w:p>
    <w:p w14:paraId="3980944A" w14:textId="77777777" w:rsidR="007223FC" w:rsidRDefault="007223FC" w:rsidP="00DB6A40">
      <w:pPr>
        <w:spacing w:after="0" w:line="240" w:lineRule="auto"/>
        <w:jc w:val="both"/>
        <w:rPr>
          <w:rFonts w:ascii="Times New Roman" w:eastAsia="Calibri" w:hAnsi="Times New Roman" w:cs="Times New Roman"/>
        </w:rPr>
      </w:pPr>
    </w:p>
    <w:p w14:paraId="062EF37F" w14:textId="176930C4"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This represented a significant increase of ₦666.42 billion, with a mean rise from ₦109.35 billion to ₦775.78 billion (p = 0.001). Improved enforcement coupled with electronic invoicing and near real-time reporting is thus seen to have possibly accounted for the increase, showing that truly consumption-based taxes were tracked. This then strikes a balance of how the reform has had a positive impact on consumption-driven fiscal revenues, reflecting a structural change in the compliance culture.</w:t>
      </w:r>
    </w:p>
    <w:p w14:paraId="523FFDD1"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With an average difference of 181,278.08 billion, CED significantly rose from 189.64 billion to 181,467.72 billion following the reform at p = 0.038. This significant improvement, despite huge variation, is attributed to automation, strict scrutiny of imports and excisable items, and more aggressive enforcement measures. Therefore, it can be concluded that e-taxation reforms have the potential to significantly affect the structural efficiency of non-oil revenue mobilization, thereby consolidating the government's ability to generate essential funds from sources other than conventional domestic taxes.</w:t>
      </w:r>
    </w:p>
    <w:p w14:paraId="7BF91AFB"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lastRenderedPageBreak/>
        <w:t xml:space="preserve">On the other hand, CGT, which fell from ₦45.82 billion to 30.40 billion, showed no significant change at p = 0.220. From this, it is obvious that this source was not affected by electronic reforms. It is likely that structural or compliance issues peculiar to CGT, such as problems of valuation, underreporting, and avenues for legal loopholes, made it slow to be responsive to </w:t>
      </w:r>
      <w:proofErr w:type="spellStart"/>
      <w:r w:rsidRPr="00DB6A40">
        <w:rPr>
          <w:rFonts w:ascii="Times New Roman" w:eastAsia="Calibri" w:hAnsi="Times New Roman" w:cs="Times New Roman"/>
        </w:rPr>
        <w:t>computerised</w:t>
      </w:r>
      <w:proofErr w:type="spellEnd"/>
      <w:r w:rsidRPr="00DB6A40">
        <w:rPr>
          <w:rFonts w:ascii="Times New Roman" w:eastAsia="Calibri" w:hAnsi="Times New Roman" w:cs="Times New Roman"/>
        </w:rPr>
        <w:t xml:space="preserve"> tax </w:t>
      </w:r>
      <w:proofErr w:type="spellStart"/>
      <w:r w:rsidRPr="00DB6A40">
        <w:rPr>
          <w:rFonts w:ascii="Times New Roman" w:eastAsia="Calibri" w:hAnsi="Times New Roman" w:cs="Times New Roman"/>
        </w:rPr>
        <w:t>modernisation</w:t>
      </w:r>
      <w:proofErr w:type="spellEnd"/>
      <w:r w:rsidRPr="00DB6A40">
        <w:rPr>
          <w:rFonts w:ascii="Times New Roman" w:eastAsia="Calibri" w:hAnsi="Times New Roman" w:cs="Times New Roman"/>
        </w:rPr>
        <w:t>.</w:t>
      </w:r>
    </w:p>
    <w:p w14:paraId="1E8D0A25"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findings from all data combined demonstrate that the electronic tax reforms in 2013 caused a structural break in the budgetary system of Nigeria, increasing the revenue accruing to government from the main tax categories. There was an increase in Personal Income Tax, Petroleum Profit Tax, Company Income Tax, Value Added Tax, and Custom and Excise Duties after the reform, indicating a stronger and more efficient means of collecting taxes. This also indicates that there has been a structural </w:t>
      </w:r>
      <w:proofErr w:type="spellStart"/>
      <w:r w:rsidRPr="00DB6A40">
        <w:rPr>
          <w:rFonts w:ascii="Times New Roman" w:eastAsia="Calibri" w:hAnsi="Times New Roman" w:cs="Times New Roman"/>
        </w:rPr>
        <w:t>reorganisation</w:t>
      </w:r>
      <w:proofErr w:type="spellEnd"/>
      <w:r w:rsidRPr="00DB6A40">
        <w:rPr>
          <w:rFonts w:ascii="Times New Roman" w:eastAsia="Calibri" w:hAnsi="Times New Roman" w:cs="Times New Roman"/>
        </w:rPr>
        <w:t xml:space="preserve"> of administrative efficiency and compliance. The lack of structural reform in the Capital Gains Tax perhaps shows the resistance some taxes may have toward reform without focused initiatives. These findings support the alternative hypothesis of the study, as all tax elements' revenues, with the exception of capital gains tax, had means that were significantly different before and after the periods of the 2013 tax reform. Two of the outcomes of recent reforms in electronic taxation are increased revenue and better fiscal management.</w:t>
      </w:r>
    </w:p>
    <w:p w14:paraId="7CAAD1CB" w14:textId="77777777" w:rsidR="007223FC" w:rsidRDefault="007223FC" w:rsidP="00DB6A40">
      <w:pPr>
        <w:spacing w:after="0" w:line="240" w:lineRule="auto"/>
        <w:jc w:val="both"/>
        <w:rPr>
          <w:rFonts w:ascii="Times New Roman" w:eastAsia="Calibri" w:hAnsi="Times New Roman" w:cs="Times New Roman"/>
          <w:b/>
          <w:bCs/>
        </w:rPr>
      </w:pPr>
    </w:p>
    <w:p w14:paraId="23CAE3C4" w14:textId="14C5A07F"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Discussion of Findings</w:t>
      </w:r>
    </w:p>
    <w:p w14:paraId="3990A421"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The findings of this study revealed Nigeria’s revenue performance before and after the implementation of electronic taxation reform in 2013.</w:t>
      </w:r>
    </w:p>
    <w:p w14:paraId="7CF55C3A"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Welch test result that tested the difference in mean of all the tax elements revenue between the pre and post 2013 tax reform periods indicates that; personal income tax has a difference in mean of ₦23.24 billion with  p-value = 0.003; petroleum profit tax a difference of mean of ₦1206.65 (p = 0.002); company income tax a mean difference of ₦2,053.73 billion (p = 0.008); value added tax mean difference of ₦666.42 billion (p = 0.001); custom and excise duties  a mean difference of ₦181,278.08 billion (p = 0.038) and all from their respective p-value are statistically significant. This result obtained aligned with the findings of Amadi-Robert, (2025); Amobi, (2025); </w:t>
      </w:r>
      <w:proofErr w:type="spellStart"/>
      <w:r w:rsidRPr="00DB6A40">
        <w:rPr>
          <w:rFonts w:ascii="Times New Roman" w:eastAsia="Calibri" w:hAnsi="Times New Roman" w:cs="Times New Roman"/>
        </w:rPr>
        <w:t>Kirfi</w:t>
      </w:r>
      <w:proofErr w:type="spellEnd"/>
      <w:r w:rsidRPr="00DB6A40">
        <w:rPr>
          <w:rFonts w:ascii="Times New Roman" w:eastAsia="Calibri" w:hAnsi="Times New Roman" w:cs="Times New Roman"/>
        </w:rPr>
        <w:t xml:space="preserve">, (2025); Owoeye (2024); Edna and Garba, (2024); Mabula, (2023); </w:t>
      </w:r>
      <w:proofErr w:type="spellStart"/>
      <w:r w:rsidRPr="00DB6A40">
        <w:rPr>
          <w:rFonts w:ascii="Times New Roman" w:eastAsia="Calibri" w:hAnsi="Times New Roman" w:cs="Times New Roman"/>
        </w:rPr>
        <w:t>Otemu</w:t>
      </w:r>
      <w:proofErr w:type="spellEnd"/>
      <w:r w:rsidRPr="00DB6A40">
        <w:rPr>
          <w:rFonts w:ascii="Times New Roman" w:eastAsia="Calibri" w:hAnsi="Times New Roman" w:cs="Times New Roman"/>
        </w:rPr>
        <w:t xml:space="preserve"> and </w:t>
      </w:r>
      <w:proofErr w:type="spellStart"/>
      <w:r w:rsidRPr="00DB6A40">
        <w:rPr>
          <w:rFonts w:ascii="Times New Roman" w:eastAsia="Calibri" w:hAnsi="Times New Roman" w:cs="Times New Roman"/>
        </w:rPr>
        <w:t>Onodavwerho</w:t>
      </w:r>
      <w:proofErr w:type="spellEnd"/>
      <w:r w:rsidRPr="00DB6A40">
        <w:rPr>
          <w:rFonts w:ascii="Times New Roman" w:eastAsia="Calibri" w:hAnsi="Times New Roman" w:cs="Times New Roman"/>
        </w:rPr>
        <w:t xml:space="preserve">, (2023) and Olaoye. (2019); however, disagrees with the studies </w:t>
      </w:r>
      <w:proofErr w:type="gramStart"/>
      <w:r w:rsidRPr="00DB6A40">
        <w:rPr>
          <w:rFonts w:ascii="Times New Roman" w:eastAsia="Calibri" w:hAnsi="Times New Roman" w:cs="Times New Roman"/>
        </w:rPr>
        <w:t xml:space="preserve">of  </w:t>
      </w:r>
      <w:proofErr w:type="spellStart"/>
      <w:r w:rsidRPr="00DB6A40">
        <w:rPr>
          <w:rFonts w:ascii="Times New Roman" w:eastAsia="Calibri" w:hAnsi="Times New Roman" w:cs="Times New Roman"/>
        </w:rPr>
        <w:t>Ofurum</w:t>
      </w:r>
      <w:proofErr w:type="spellEnd"/>
      <w:proofErr w:type="gramEnd"/>
      <w:r w:rsidRPr="00DB6A40">
        <w:rPr>
          <w:rFonts w:ascii="Times New Roman" w:eastAsia="Calibri" w:hAnsi="Times New Roman" w:cs="Times New Roman"/>
        </w:rPr>
        <w:t xml:space="preserve"> et al. (2018); Joseph, (2018); </w:t>
      </w:r>
      <w:proofErr w:type="spellStart"/>
      <w:proofErr w:type="gramStart"/>
      <w:r w:rsidRPr="00DB6A40">
        <w:rPr>
          <w:rFonts w:ascii="Times New Roman" w:eastAsia="Calibri" w:hAnsi="Times New Roman" w:cs="Times New Roman"/>
        </w:rPr>
        <w:t>Nnubia,et</w:t>
      </w:r>
      <w:proofErr w:type="spellEnd"/>
      <w:proofErr w:type="gramEnd"/>
      <w:r w:rsidRPr="00DB6A40">
        <w:rPr>
          <w:rFonts w:ascii="Times New Roman" w:eastAsia="Calibri" w:hAnsi="Times New Roman" w:cs="Times New Roman"/>
        </w:rPr>
        <w:t xml:space="preserve"> al, (2020); and Olaoye, et al (2023). </w:t>
      </w:r>
    </w:p>
    <w:p w14:paraId="6BE01FE5"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 xml:space="preserve">Capital gain tax with mean difference ₦ (15.25) billion (p=0.220) shows that capital gain tax show no difference in mean which agrees with the studies of   </w:t>
      </w:r>
      <w:proofErr w:type="spellStart"/>
      <w:r w:rsidRPr="00DB6A40">
        <w:rPr>
          <w:rFonts w:ascii="Times New Roman" w:eastAsia="Calibri" w:hAnsi="Times New Roman" w:cs="Times New Roman"/>
        </w:rPr>
        <w:t>Ofurum</w:t>
      </w:r>
      <w:proofErr w:type="spellEnd"/>
      <w:r w:rsidRPr="00DB6A40">
        <w:rPr>
          <w:rFonts w:ascii="Times New Roman" w:eastAsia="Calibri" w:hAnsi="Times New Roman" w:cs="Times New Roman"/>
        </w:rPr>
        <w:t xml:space="preserve"> et al. (2018); Joseph, (2018); </w:t>
      </w:r>
      <w:proofErr w:type="spellStart"/>
      <w:r w:rsidRPr="00DB6A40">
        <w:rPr>
          <w:rFonts w:ascii="Times New Roman" w:eastAsia="Calibri" w:hAnsi="Times New Roman" w:cs="Times New Roman"/>
        </w:rPr>
        <w:t>Nnubia,et</w:t>
      </w:r>
      <w:proofErr w:type="spellEnd"/>
      <w:r w:rsidRPr="00DB6A40">
        <w:rPr>
          <w:rFonts w:ascii="Times New Roman" w:eastAsia="Calibri" w:hAnsi="Times New Roman" w:cs="Times New Roman"/>
        </w:rPr>
        <w:t xml:space="preserve"> al, (2020); and Olaoye, et al (2023) and disagrees with that of  Amadi-Robert, (2025); Amobi, (2025); </w:t>
      </w:r>
      <w:proofErr w:type="spellStart"/>
      <w:r w:rsidRPr="00DB6A40">
        <w:rPr>
          <w:rFonts w:ascii="Times New Roman" w:eastAsia="Calibri" w:hAnsi="Times New Roman" w:cs="Times New Roman"/>
        </w:rPr>
        <w:t>Kirfi</w:t>
      </w:r>
      <w:proofErr w:type="spellEnd"/>
      <w:r w:rsidRPr="00DB6A40">
        <w:rPr>
          <w:rFonts w:ascii="Times New Roman" w:eastAsia="Calibri" w:hAnsi="Times New Roman" w:cs="Times New Roman"/>
        </w:rPr>
        <w:t xml:space="preserve">, (2025); Owoeye (2024); Edna and Garba, (2024); Mabula, (2023); </w:t>
      </w:r>
      <w:proofErr w:type="spellStart"/>
      <w:r w:rsidRPr="00DB6A40">
        <w:rPr>
          <w:rFonts w:ascii="Times New Roman" w:eastAsia="Calibri" w:hAnsi="Times New Roman" w:cs="Times New Roman"/>
        </w:rPr>
        <w:t>Otemu</w:t>
      </w:r>
      <w:proofErr w:type="spellEnd"/>
      <w:r w:rsidRPr="00DB6A40">
        <w:rPr>
          <w:rFonts w:ascii="Times New Roman" w:eastAsia="Calibri" w:hAnsi="Times New Roman" w:cs="Times New Roman"/>
        </w:rPr>
        <w:t xml:space="preserve"> and </w:t>
      </w:r>
      <w:proofErr w:type="spellStart"/>
      <w:r w:rsidRPr="00DB6A40">
        <w:rPr>
          <w:rFonts w:ascii="Times New Roman" w:eastAsia="Calibri" w:hAnsi="Times New Roman" w:cs="Times New Roman"/>
        </w:rPr>
        <w:t>Onodavwerho</w:t>
      </w:r>
      <w:proofErr w:type="spellEnd"/>
      <w:r w:rsidRPr="00DB6A40">
        <w:rPr>
          <w:rFonts w:ascii="Times New Roman" w:eastAsia="Calibri" w:hAnsi="Times New Roman" w:cs="Times New Roman"/>
        </w:rPr>
        <w:t>, (2023) and Olaoye. (2019).</w:t>
      </w:r>
    </w:p>
    <w:p w14:paraId="103473BA"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study also aligns with the work of Rostow, 1960 and </w:t>
      </w:r>
      <w:proofErr w:type="spellStart"/>
      <w:r w:rsidRPr="00DB6A40">
        <w:rPr>
          <w:rFonts w:ascii="Times New Roman" w:eastAsia="Calibri" w:hAnsi="Times New Roman" w:cs="Times New Roman"/>
        </w:rPr>
        <w:t>Inkeles</w:t>
      </w:r>
      <w:proofErr w:type="spellEnd"/>
      <w:r w:rsidRPr="00DB6A40">
        <w:rPr>
          <w:rFonts w:ascii="Times New Roman" w:eastAsia="Calibri" w:hAnsi="Times New Roman" w:cs="Times New Roman"/>
        </w:rPr>
        <w:t xml:space="preserve"> &amp; Smith, 1974 in the theory of Modernization, which posits that technological and institutional innovations enhance economic and social systems by introducing efficiency, predictability, and accountability. The basic argument of the theory is that modern systems may transform older bureaucracies, and the reform is in line with that. </w:t>
      </w:r>
      <w:proofErr w:type="spellStart"/>
      <w:r w:rsidRPr="00DB6A40">
        <w:rPr>
          <w:rFonts w:ascii="Times New Roman" w:eastAsia="Calibri" w:hAnsi="Times New Roman" w:cs="Times New Roman"/>
        </w:rPr>
        <w:t>Digitisation</w:t>
      </w:r>
      <w:proofErr w:type="spellEnd"/>
      <w:r w:rsidRPr="00DB6A40">
        <w:rPr>
          <w:rFonts w:ascii="Times New Roman" w:eastAsia="Calibri" w:hAnsi="Times New Roman" w:cs="Times New Roman"/>
        </w:rPr>
        <w:t xml:space="preserve"> thus made possible a more systematic collection process, therefore minimizing leakages and human errors inherent in manual tax administration. This was evident from the huge growth in main income streams.</w:t>
      </w:r>
    </w:p>
    <w:p w14:paraId="474870D3"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The reform, which changed the institutional structure of revenue collection through the inclusion of digital procedures into tax administration, resulted in measurable performance improvements. This is in line with the belief that, in institutional economics, it is the formal norms, procedures, and technological frameworks that drive economic outcomes, as discussed by North (1990). Indeed, systemic reform would result in long-term financial advantages, rather than merely policy declarations, which was evidenced in the overall improved performances of the primary revenue streams due to this institutional strengthening.</w:t>
      </w:r>
    </w:p>
    <w:p w14:paraId="411D28B7"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 xml:space="preserve">The nature of change witnessed also reflects changes in the structural environment. According to institutional economics, formal rules, procedures, and technological frameworks determine economic outcomes. The reform changed the institutional framework that managed revenue collection by integrating digital processes into tax administration and thus improved performance in quantifiable terms. This is an example of institutional </w:t>
      </w:r>
      <w:r w:rsidRPr="00DB6A40">
        <w:rPr>
          <w:rFonts w:ascii="Times New Roman" w:eastAsia="Calibri" w:hAnsi="Times New Roman" w:cs="Times New Roman"/>
        </w:rPr>
        <w:lastRenderedPageBreak/>
        <w:t>strengthening, where systemic reform and not merely policy pronouncements are what creates long-term fiscal dividends, as can be seen from the rise of primary revenues across the board.</w:t>
      </w:r>
    </w:p>
    <w:p w14:paraId="16AFDB0F" w14:textId="77777777" w:rsidR="00DB6A40" w:rsidRPr="00DB6A40" w:rsidRDefault="00DB6A40" w:rsidP="00DB6A40">
      <w:pPr>
        <w:spacing w:line="240" w:lineRule="auto"/>
        <w:jc w:val="both"/>
        <w:rPr>
          <w:rFonts w:ascii="Times New Roman" w:eastAsia="Calibri" w:hAnsi="Times New Roman" w:cs="Times New Roman"/>
        </w:rPr>
      </w:pPr>
      <w:r w:rsidRPr="00DB6A40">
        <w:rPr>
          <w:rFonts w:ascii="Times New Roman" w:eastAsia="Calibri" w:hAnsi="Times New Roman" w:cs="Times New Roman"/>
        </w:rPr>
        <w:t xml:space="preserve">Because these revenues are so different from the pre-reform trends, the post-reform spike in Personal Income Tax, Petroleum Profit Tax, Company Income Tax, Value Added Tax, and Customs and Excise Duties is unmistakable proof that digitization has been able to improve administrative effectiveness, compliance, and overall fiscal capacity. While large revenue streams may increase significantly with institutional changes, structurally capped sources may require further focused interventions to achieve similar outcomes, as seen by the limited responsiveness of the capital gains </w:t>
      </w:r>
      <w:proofErr w:type="gramStart"/>
      <w:r w:rsidRPr="00DB6A40">
        <w:rPr>
          <w:rFonts w:ascii="Times New Roman" w:eastAsia="Calibri" w:hAnsi="Times New Roman" w:cs="Times New Roman"/>
        </w:rPr>
        <w:t>tax..</w:t>
      </w:r>
      <w:proofErr w:type="gramEnd"/>
    </w:p>
    <w:p w14:paraId="73739B79"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5.</w:t>
      </w:r>
      <w:r w:rsidRPr="00DB6A40">
        <w:rPr>
          <w:rFonts w:ascii="Times New Roman" w:eastAsia="Calibri" w:hAnsi="Times New Roman" w:cs="Times New Roman"/>
          <w:b/>
          <w:bCs/>
        </w:rPr>
        <w:tab/>
        <w:t>Conclusion and Recommendation</w:t>
      </w:r>
    </w:p>
    <w:p w14:paraId="352066AC"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Comparing the revenue performance of Nigeria before and after the 2013 tax change, there is a clear structural shift in its fiscal system. Research evidence indicates that electronic taxation greatly enhanced the mobilization of key revenue streams, such as corporate and individual income taxes, value-added taxes, customs and excise duties, and even petroleum profit taxes. This is because, under the reform, tax administration became more effective, transparent, and accountable, and therefore there was very high compliance on the part of the taxpayers, leading to enormous increases in these sources of income. Moreover, the evidence reveals that electronic solutions can enhance institutional control, reduce human error, and eventually close revenue collection arrangements in order to meet the highest standards for fiscal management. However, considering the relatively weak response from capital gains tax receipts, it would seem that digitization might not yield the intended benefit on structurally burdened sources of income. This means targeted remedial actions are required in these respects. Statistics reveal that the electronic tax reform has had a transformative effect on Nigeria's fiscal environment through increases in revenue, expansion of the tax base, and structural efficiency in government revenue management.</w:t>
      </w:r>
    </w:p>
    <w:p w14:paraId="370F95BF" w14:textId="77777777" w:rsidR="00DB6A40" w:rsidRPr="00DB6A40" w:rsidRDefault="00DB6A40" w:rsidP="00DB6A40">
      <w:pPr>
        <w:spacing w:after="0" w:line="240" w:lineRule="auto"/>
        <w:jc w:val="both"/>
        <w:rPr>
          <w:rFonts w:ascii="Times New Roman" w:eastAsia="Calibri" w:hAnsi="Times New Roman" w:cs="Times New Roman"/>
        </w:rPr>
      </w:pPr>
      <w:r w:rsidRPr="00DB6A40">
        <w:rPr>
          <w:rFonts w:ascii="Times New Roman" w:eastAsia="Calibri" w:hAnsi="Times New Roman" w:cs="Times New Roman"/>
        </w:rPr>
        <w:t>These findings indicate that the government should sustain digitization of tax administration to consolidate and ensure sustainability of the e-taxation benefits. For policymakers, the path to increasing voluntary compliance requires building institutional capacity to ensure effective integration of the system at the federal, state, and local revenue authorities while pursuing ways of improving taxpayer education. It would therefore be prudent to upgrade the relevant laws governing such underperforming sources, like the Capital Gains Tax, and introduce specific interventions like enhanced monitoring and valuation systems, as well as sector-specific incentives that will enhance reporting. The government should also apply advanced analytics and data-driven decision-making to identify compliance gaps and enhance methods of collecting. This is because structural gains are often easy to undermine, and short-term gains may not always be indicative of the longer-term imperatives of economic growth. For instance, more studies and continuous assessment are needed to determine the impact of electronic taxes on revenue performance, taxpayer behavior, and patterns of public expenditure. Such recommendations could, if implemented through technological development, lend efficiency to Nigeria's public financial management system and improve revenue mobilization toward eventual long-term fiscal stability.</w:t>
      </w:r>
    </w:p>
    <w:p w14:paraId="6BF0A23E" w14:textId="77777777" w:rsidR="00DB6A40" w:rsidRPr="00DB6A40" w:rsidRDefault="00DB6A40" w:rsidP="00DB6A40">
      <w:pPr>
        <w:spacing w:after="0" w:line="240" w:lineRule="auto"/>
        <w:jc w:val="both"/>
        <w:rPr>
          <w:rFonts w:ascii="Times New Roman" w:eastAsia="Calibri" w:hAnsi="Times New Roman" w:cs="Times New Roman"/>
        </w:rPr>
      </w:pPr>
    </w:p>
    <w:p w14:paraId="098D06E8" w14:textId="77777777" w:rsidR="00DB6A40" w:rsidRPr="00DB6A40" w:rsidRDefault="00DB6A40" w:rsidP="00DB6A40">
      <w:pPr>
        <w:spacing w:after="0" w:line="240" w:lineRule="auto"/>
        <w:jc w:val="both"/>
        <w:rPr>
          <w:rFonts w:ascii="Times New Roman" w:eastAsia="Calibri" w:hAnsi="Times New Roman" w:cs="Times New Roman"/>
        </w:rPr>
      </w:pPr>
    </w:p>
    <w:p w14:paraId="2113F44D" w14:textId="77777777" w:rsidR="00DB6A40" w:rsidRPr="00DB6A40" w:rsidRDefault="00DB6A40" w:rsidP="00DB6A40">
      <w:pPr>
        <w:spacing w:after="0" w:line="240" w:lineRule="auto"/>
        <w:jc w:val="both"/>
        <w:rPr>
          <w:rFonts w:ascii="Times New Roman" w:eastAsia="Calibri" w:hAnsi="Times New Roman" w:cs="Times New Roman"/>
          <w:b/>
          <w:bCs/>
        </w:rPr>
      </w:pPr>
      <w:r w:rsidRPr="00DB6A40">
        <w:rPr>
          <w:rFonts w:ascii="Times New Roman" w:eastAsia="Calibri" w:hAnsi="Times New Roman" w:cs="Times New Roman"/>
          <w:b/>
          <w:bCs/>
        </w:rPr>
        <w:t>References</w:t>
      </w:r>
    </w:p>
    <w:p w14:paraId="158FFC6E"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Acemoglu, D., &amp; Robinson, J. A. (2012). </w:t>
      </w:r>
      <w:r w:rsidRPr="00DB6A40">
        <w:rPr>
          <w:rFonts w:ascii="Times New Roman" w:eastAsia="Calibri" w:hAnsi="Times New Roman" w:cs="Times New Roman"/>
          <w:i/>
          <w:iCs/>
        </w:rPr>
        <w:t>Why nations fail: The origins of power, prosperity, and poverty.</w:t>
      </w:r>
      <w:r w:rsidRPr="00DB6A40">
        <w:rPr>
          <w:rFonts w:ascii="Times New Roman" w:eastAsia="Calibri" w:hAnsi="Times New Roman" w:cs="Times New Roman"/>
        </w:rPr>
        <w:t xml:space="preserve"> Crown Business.</w:t>
      </w:r>
    </w:p>
    <w:p w14:paraId="4FD3B2E5"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Adegbie, F. F., Enerson, J., &amp; Olaoye, S. A. (2022). </w:t>
      </w:r>
      <w:r w:rsidRPr="00DB6A40">
        <w:rPr>
          <w:rFonts w:ascii="Times New Roman" w:eastAsia="Calibri" w:hAnsi="Times New Roman" w:cs="Times New Roman"/>
          <w:i/>
          <w:iCs/>
        </w:rPr>
        <w:t>An empirical investigation into the relationship between electronic tax management system and tax revenue collection efficiency in selected states in South West, Nigeria</w:t>
      </w:r>
      <w:r w:rsidRPr="00DB6A40">
        <w:rPr>
          <w:rFonts w:ascii="Times New Roman" w:eastAsia="Calibri" w:hAnsi="Times New Roman" w:cs="Times New Roman"/>
        </w:rPr>
        <w:t xml:space="preserve">. Archives of Business Research, 10(4), 93-109. </w:t>
      </w:r>
      <w:hyperlink r:id="rId79" w:history="1">
        <w:r w:rsidRPr="00DB6A40">
          <w:rPr>
            <w:rFonts w:ascii="Times New Roman" w:eastAsia="Calibri" w:hAnsi="Times New Roman" w:cs="Times New Roman"/>
            <w:color w:val="0563C1"/>
            <w:u w:val="single"/>
          </w:rPr>
          <w:t>https://doi.org/10.14738/abr.104.12195</w:t>
        </w:r>
      </w:hyperlink>
    </w:p>
    <w:p w14:paraId="0782D81B" w14:textId="77777777" w:rsidR="00DB6A40" w:rsidRPr="00DB6A40" w:rsidRDefault="00DB6A40" w:rsidP="00DB6A40">
      <w:pPr>
        <w:spacing w:after="0" w:line="240"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rPr>
        <w:t>Ajape</w:t>
      </w:r>
      <w:proofErr w:type="spellEnd"/>
      <w:r w:rsidRPr="00DB6A40">
        <w:rPr>
          <w:rFonts w:ascii="Times New Roman" w:eastAsia="Calibri" w:hAnsi="Times New Roman" w:cs="Times New Roman"/>
        </w:rPr>
        <w:t>, K. M., Afara, A. E., &amp; Uthman, B. A. (2017). The Influence of E-tax System on Tax administration and Tax revenue generation: Insights from Lagos State Internal Revenue Service. </w:t>
      </w:r>
      <w:r w:rsidRPr="00DB6A40">
        <w:rPr>
          <w:rFonts w:ascii="Times New Roman" w:eastAsia="Calibri" w:hAnsi="Times New Roman" w:cs="Times New Roman"/>
          <w:i/>
          <w:iCs/>
        </w:rPr>
        <w:t>Journal of Economics &amp; Business Research</w:t>
      </w:r>
      <w:r w:rsidRPr="00DB6A40">
        <w:rPr>
          <w:rFonts w:ascii="Times New Roman" w:eastAsia="Calibri" w:hAnsi="Times New Roman" w:cs="Times New Roman"/>
        </w:rPr>
        <w:t>, </w:t>
      </w:r>
      <w:r w:rsidRPr="00DB6A40">
        <w:rPr>
          <w:rFonts w:ascii="Times New Roman" w:eastAsia="Calibri" w:hAnsi="Times New Roman" w:cs="Times New Roman"/>
          <w:i/>
          <w:iCs/>
        </w:rPr>
        <w:t>23</w:t>
      </w:r>
      <w:r w:rsidRPr="00DB6A40">
        <w:rPr>
          <w:rFonts w:ascii="Times New Roman" w:eastAsia="Calibri" w:hAnsi="Times New Roman" w:cs="Times New Roman"/>
        </w:rPr>
        <w:t>(2), 1-13</w:t>
      </w:r>
    </w:p>
    <w:p w14:paraId="41A94047" w14:textId="77777777" w:rsidR="00DB6A40" w:rsidRPr="00DB6A40" w:rsidRDefault="00DB6A40" w:rsidP="00DB6A40">
      <w:pPr>
        <w:spacing w:after="0" w:line="240" w:lineRule="auto"/>
        <w:ind w:left="720" w:hanging="720"/>
        <w:jc w:val="both"/>
        <w:rPr>
          <w:rFonts w:ascii="Times New Roman" w:eastAsia="Calibri" w:hAnsi="Times New Roman" w:cs="Times New Roman"/>
          <w:color w:val="222222"/>
          <w:shd w:val="clear" w:color="auto" w:fill="FFFFFF"/>
        </w:rPr>
      </w:pPr>
      <w:r w:rsidRPr="00DB6A40">
        <w:rPr>
          <w:rFonts w:ascii="Times New Roman" w:eastAsia="Calibri" w:hAnsi="Times New Roman" w:cs="Times New Roman"/>
          <w:color w:val="222222"/>
          <w:shd w:val="clear" w:color="auto" w:fill="FFFFFF"/>
        </w:rPr>
        <w:t>Amadi-Robert, W. (2025). TAX REFORMS AND REVENUE GENERATION IN NIGERIA. </w:t>
      </w:r>
      <w:r w:rsidRPr="00DB6A40">
        <w:rPr>
          <w:rFonts w:ascii="Times New Roman" w:eastAsia="Calibri" w:hAnsi="Times New Roman" w:cs="Times New Roman"/>
          <w:i/>
          <w:iCs/>
          <w:color w:val="222222"/>
          <w:shd w:val="clear" w:color="auto" w:fill="FFFFFF"/>
        </w:rPr>
        <w:t>BW Academic Journal</w:t>
      </w:r>
      <w:r w:rsidRPr="00DB6A40">
        <w:rPr>
          <w:rFonts w:ascii="Times New Roman" w:eastAsia="Calibri" w:hAnsi="Times New Roman" w:cs="Times New Roman"/>
          <w:color w:val="222222"/>
          <w:shd w:val="clear" w:color="auto" w:fill="FFFFFF"/>
        </w:rPr>
        <w:t>, </w:t>
      </w:r>
      <w:r w:rsidRPr="00DB6A40">
        <w:rPr>
          <w:rFonts w:ascii="Times New Roman" w:eastAsia="Calibri" w:hAnsi="Times New Roman" w:cs="Times New Roman"/>
          <w:i/>
          <w:iCs/>
          <w:color w:val="222222"/>
          <w:shd w:val="clear" w:color="auto" w:fill="FFFFFF"/>
        </w:rPr>
        <w:t>2</w:t>
      </w:r>
      <w:r w:rsidRPr="00DB6A40">
        <w:rPr>
          <w:rFonts w:ascii="Times New Roman" w:eastAsia="Calibri" w:hAnsi="Times New Roman" w:cs="Times New Roman"/>
          <w:color w:val="222222"/>
          <w:shd w:val="clear" w:color="auto" w:fill="FFFFFF"/>
        </w:rPr>
        <w:t>, 108-128.</w:t>
      </w:r>
    </w:p>
    <w:p w14:paraId="1513ADAD" w14:textId="77777777" w:rsidR="00DB6A40" w:rsidRPr="00DB6A40" w:rsidRDefault="00DB6A40" w:rsidP="00DB6A40">
      <w:pPr>
        <w:spacing w:after="0" w:line="240" w:lineRule="auto"/>
        <w:ind w:left="720" w:hanging="720"/>
        <w:jc w:val="both"/>
        <w:rPr>
          <w:rFonts w:ascii="Times New Roman" w:eastAsia="Calibri" w:hAnsi="Times New Roman" w:cs="Times New Roman"/>
          <w:color w:val="222222"/>
          <w:shd w:val="clear" w:color="auto" w:fill="FFFFFF"/>
        </w:rPr>
      </w:pPr>
      <w:r w:rsidRPr="00DB6A40">
        <w:rPr>
          <w:rFonts w:ascii="Times New Roman" w:eastAsia="Calibri" w:hAnsi="Times New Roman" w:cs="Times New Roman"/>
          <w:color w:val="222222"/>
          <w:shd w:val="clear" w:color="auto" w:fill="FFFFFF"/>
        </w:rPr>
        <w:lastRenderedPageBreak/>
        <w:t>Amobi, A. P. (2025). Causal Links between Tax Revenue, Government Expenditure, and Economic Growth in Nigeria: A Wavelet Approach. </w:t>
      </w:r>
      <w:r w:rsidRPr="00DB6A40">
        <w:rPr>
          <w:rFonts w:ascii="Times New Roman" w:eastAsia="Calibri" w:hAnsi="Times New Roman" w:cs="Times New Roman"/>
          <w:i/>
          <w:iCs/>
          <w:color w:val="222222"/>
          <w:shd w:val="clear" w:color="auto" w:fill="FFFFFF"/>
        </w:rPr>
        <w:t>African Journal of Management and Business Research</w:t>
      </w:r>
      <w:r w:rsidRPr="00DB6A40">
        <w:rPr>
          <w:rFonts w:ascii="Times New Roman" w:eastAsia="Calibri" w:hAnsi="Times New Roman" w:cs="Times New Roman"/>
          <w:color w:val="222222"/>
          <w:shd w:val="clear" w:color="auto" w:fill="FFFFFF"/>
        </w:rPr>
        <w:t>, </w:t>
      </w:r>
      <w:r w:rsidRPr="00DB6A40">
        <w:rPr>
          <w:rFonts w:ascii="Times New Roman" w:eastAsia="Calibri" w:hAnsi="Times New Roman" w:cs="Times New Roman"/>
          <w:i/>
          <w:iCs/>
          <w:color w:val="222222"/>
          <w:shd w:val="clear" w:color="auto" w:fill="FFFFFF"/>
        </w:rPr>
        <w:t>18</w:t>
      </w:r>
      <w:r w:rsidRPr="00DB6A40">
        <w:rPr>
          <w:rFonts w:ascii="Times New Roman" w:eastAsia="Calibri" w:hAnsi="Times New Roman" w:cs="Times New Roman"/>
          <w:color w:val="222222"/>
          <w:shd w:val="clear" w:color="auto" w:fill="FFFFFF"/>
        </w:rPr>
        <w:t>(1), 329-352.</w:t>
      </w:r>
    </w:p>
    <w:p w14:paraId="2EFA7D12" w14:textId="77777777" w:rsidR="00DB6A40" w:rsidRPr="00DB6A40" w:rsidRDefault="00DB6A40" w:rsidP="00DB6A40">
      <w:pPr>
        <w:spacing w:after="0" w:line="240" w:lineRule="auto"/>
        <w:ind w:left="720" w:hanging="720"/>
        <w:jc w:val="both"/>
        <w:rPr>
          <w:rFonts w:ascii="Times New Roman" w:eastAsia="Calibri" w:hAnsi="Times New Roman" w:cs="Times New Roman"/>
        </w:rPr>
      </w:pPr>
    </w:p>
    <w:p w14:paraId="5A9CF05B"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Besley, T., &amp; Persson, T. (2013). </w:t>
      </w:r>
      <w:r w:rsidRPr="00DB6A40">
        <w:rPr>
          <w:rFonts w:ascii="Times New Roman" w:eastAsia="Calibri" w:hAnsi="Times New Roman" w:cs="Times New Roman"/>
          <w:i/>
          <w:iCs/>
        </w:rPr>
        <w:t>Taxation and development.</w:t>
      </w:r>
      <w:r w:rsidRPr="00DB6A40">
        <w:rPr>
          <w:rFonts w:ascii="Times New Roman" w:eastAsia="Calibri" w:hAnsi="Times New Roman" w:cs="Times New Roman"/>
        </w:rPr>
        <w:t xml:space="preserve"> In A. Auerbach, R. Chetty, M. Feldstein, &amp; E. Saez (Eds.), </w:t>
      </w:r>
      <w:r w:rsidRPr="00DB6A40">
        <w:rPr>
          <w:rFonts w:ascii="Times New Roman" w:eastAsia="Calibri" w:hAnsi="Times New Roman" w:cs="Times New Roman"/>
          <w:i/>
          <w:iCs/>
        </w:rPr>
        <w:t>Handbook of Public Economics</w:t>
      </w:r>
      <w:r w:rsidRPr="00DB6A40">
        <w:rPr>
          <w:rFonts w:ascii="Times New Roman" w:eastAsia="Calibri" w:hAnsi="Times New Roman" w:cs="Times New Roman"/>
        </w:rPr>
        <w:t xml:space="preserve"> (Vol. 5). Elsevier. (Working paper version: Besley &amp; Persson, 2013, LSE.)</w:t>
      </w:r>
    </w:p>
    <w:p w14:paraId="51BDC493"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Buchanan, J. M., &amp; Tullock, G. (1962). </w:t>
      </w:r>
      <w:r w:rsidRPr="00DB6A40">
        <w:rPr>
          <w:rFonts w:ascii="Times New Roman" w:eastAsia="Calibri" w:hAnsi="Times New Roman" w:cs="Times New Roman"/>
          <w:i/>
          <w:iCs/>
        </w:rPr>
        <w:t>The calculus of consent: Logical foundations of constitutional democracy.</w:t>
      </w:r>
      <w:r w:rsidRPr="00DB6A40">
        <w:rPr>
          <w:rFonts w:ascii="Times New Roman" w:eastAsia="Calibri" w:hAnsi="Times New Roman" w:cs="Times New Roman"/>
        </w:rPr>
        <w:t xml:space="preserve"> University of Michigan Press.</w:t>
      </w:r>
    </w:p>
    <w:p w14:paraId="782B1C5B"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Central Bank of Nigeria (CBN). (2023). </w:t>
      </w:r>
      <w:r w:rsidRPr="00DB6A40">
        <w:rPr>
          <w:rFonts w:ascii="Times New Roman" w:eastAsia="Calibri" w:hAnsi="Times New Roman" w:cs="Times New Roman"/>
          <w:i/>
          <w:iCs/>
        </w:rPr>
        <w:t>Statistical Bulletin (Volume 34).</w:t>
      </w:r>
      <w:r w:rsidRPr="00DB6A40">
        <w:rPr>
          <w:rFonts w:ascii="Times New Roman" w:eastAsia="Calibri" w:hAnsi="Times New Roman" w:cs="Times New Roman"/>
        </w:rPr>
        <w:t xml:space="preserve"> Abuja: Central Bank of Nigeria.</w:t>
      </w:r>
    </w:p>
    <w:p w14:paraId="28EBD0E9" w14:textId="77777777" w:rsidR="00DB6A40" w:rsidRPr="00DB6A40" w:rsidRDefault="00DB6A40" w:rsidP="00DB6A40">
      <w:pPr>
        <w:spacing w:after="0" w:line="240"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rPr>
        <w:t>Chijuka</w:t>
      </w:r>
      <w:proofErr w:type="spellEnd"/>
      <w:r w:rsidRPr="00DB6A40">
        <w:rPr>
          <w:rFonts w:ascii="Times New Roman" w:eastAsia="Calibri" w:hAnsi="Times New Roman" w:cs="Times New Roman"/>
        </w:rPr>
        <w:t xml:space="preserve">, I. M., &amp; </w:t>
      </w:r>
      <w:proofErr w:type="spellStart"/>
      <w:r w:rsidRPr="00DB6A40">
        <w:rPr>
          <w:rFonts w:ascii="Times New Roman" w:eastAsia="Calibri" w:hAnsi="Times New Roman" w:cs="Times New Roman"/>
        </w:rPr>
        <w:t>Izekor</w:t>
      </w:r>
      <w:proofErr w:type="spellEnd"/>
      <w:r w:rsidRPr="00DB6A40">
        <w:rPr>
          <w:rFonts w:ascii="Times New Roman" w:eastAsia="Calibri" w:hAnsi="Times New Roman" w:cs="Times New Roman"/>
        </w:rPr>
        <w:t xml:space="preserve">, A. O. (2024). </w:t>
      </w:r>
      <w:r w:rsidRPr="00DB6A40">
        <w:rPr>
          <w:rFonts w:ascii="Times New Roman" w:eastAsia="Calibri" w:hAnsi="Times New Roman" w:cs="Times New Roman"/>
          <w:i/>
          <w:iCs/>
        </w:rPr>
        <w:t>Tax revenue and economic growth in Nigeria (2015–2023): An empirical analysis</w:t>
      </w:r>
      <w:r w:rsidRPr="00DB6A40">
        <w:rPr>
          <w:rFonts w:ascii="Times New Roman" w:eastAsia="Calibri" w:hAnsi="Times New Roman" w:cs="Times New Roman"/>
        </w:rPr>
        <w:t>. Global Journal of Accounting.\\</w:t>
      </w:r>
    </w:p>
    <w:p w14:paraId="79BA4C3D"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sz w:val="22"/>
          <w:szCs w:val="22"/>
        </w:rPr>
        <w:t xml:space="preserve">Edna, E. O., &amp; Garba, M. S. (2024). Electronic taxation and </w:t>
      </w:r>
      <w:proofErr w:type="gramStart"/>
      <w:r w:rsidRPr="00DB6A40">
        <w:rPr>
          <w:rFonts w:ascii="Times New Roman" w:eastAsia="Calibri" w:hAnsi="Times New Roman" w:cs="Times New Roman"/>
          <w:sz w:val="22"/>
          <w:szCs w:val="22"/>
        </w:rPr>
        <w:t>companies</w:t>
      </w:r>
      <w:proofErr w:type="gramEnd"/>
      <w:r w:rsidRPr="00DB6A40">
        <w:rPr>
          <w:rFonts w:ascii="Times New Roman" w:eastAsia="Calibri" w:hAnsi="Times New Roman" w:cs="Times New Roman"/>
          <w:sz w:val="22"/>
          <w:szCs w:val="22"/>
        </w:rPr>
        <w:t xml:space="preserve"> income tax in Nigeria. </w:t>
      </w:r>
      <w:r w:rsidRPr="00DB6A40">
        <w:rPr>
          <w:rFonts w:ascii="Times New Roman" w:eastAsia="Calibri" w:hAnsi="Times New Roman" w:cs="Times New Roman"/>
          <w:i/>
          <w:iCs/>
          <w:sz w:val="22"/>
          <w:szCs w:val="22"/>
        </w:rPr>
        <w:t>IIARD – International Institute of Academic Research and Development</w:t>
      </w:r>
      <w:r w:rsidRPr="00DB6A40">
        <w:rPr>
          <w:rFonts w:ascii="Times New Roman" w:eastAsia="Calibri" w:hAnsi="Times New Roman" w:cs="Times New Roman"/>
          <w:sz w:val="22"/>
          <w:szCs w:val="22"/>
        </w:rPr>
        <w:t>, 10(4), 161-177</w:t>
      </w:r>
    </w:p>
    <w:p w14:paraId="7B0BB8F1"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Eze, E. O., &amp; </w:t>
      </w:r>
      <w:proofErr w:type="spellStart"/>
      <w:r w:rsidRPr="00DB6A40">
        <w:rPr>
          <w:rFonts w:ascii="Times New Roman" w:eastAsia="Calibri" w:hAnsi="Times New Roman" w:cs="Times New Roman"/>
        </w:rPr>
        <w:t>Unegbu</w:t>
      </w:r>
      <w:proofErr w:type="spellEnd"/>
      <w:r w:rsidRPr="00DB6A40">
        <w:rPr>
          <w:rFonts w:ascii="Times New Roman" w:eastAsia="Calibri" w:hAnsi="Times New Roman" w:cs="Times New Roman"/>
        </w:rPr>
        <w:t xml:space="preserve">, A. O. (2025). E-tax payment and non-oil revenue in Nigeria. </w:t>
      </w:r>
      <w:r w:rsidRPr="00DB6A40">
        <w:rPr>
          <w:rFonts w:ascii="Times New Roman" w:eastAsia="Calibri" w:hAnsi="Times New Roman" w:cs="Times New Roman"/>
          <w:i/>
          <w:iCs/>
        </w:rPr>
        <w:t>Asian Journal of Economics, Business and Accounting, 25</w:t>
      </w:r>
      <w:r w:rsidRPr="00DB6A40">
        <w:rPr>
          <w:rFonts w:ascii="Times New Roman" w:eastAsia="Calibri" w:hAnsi="Times New Roman" w:cs="Times New Roman"/>
        </w:rPr>
        <w:t>(7), 321–332. https://doi.org/10.9734/ajeba/2025/v25i71893</w:t>
      </w:r>
    </w:p>
    <w:p w14:paraId="0BC2EE44"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Federal Inland Revenue Service (FIRS). (2024). </w:t>
      </w:r>
      <w:proofErr w:type="spellStart"/>
      <w:r w:rsidRPr="00DB6A40">
        <w:rPr>
          <w:rFonts w:ascii="Times New Roman" w:eastAsia="Calibri" w:hAnsi="Times New Roman" w:cs="Times New Roman"/>
          <w:i/>
          <w:iCs/>
        </w:rPr>
        <w:t>TaxPro</w:t>
      </w:r>
      <w:proofErr w:type="spellEnd"/>
      <w:r w:rsidRPr="00DB6A40">
        <w:rPr>
          <w:rFonts w:ascii="Times New Roman" w:eastAsia="Calibri" w:hAnsi="Times New Roman" w:cs="Times New Roman"/>
          <w:i/>
          <w:iCs/>
        </w:rPr>
        <w:t>-Max Annual Statistical Report.</w:t>
      </w:r>
      <w:r w:rsidRPr="00DB6A40">
        <w:rPr>
          <w:rFonts w:ascii="Times New Roman" w:eastAsia="Calibri" w:hAnsi="Times New Roman" w:cs="Times New Roman"/>
        </w:rPr>
        <w:t xml:space="preserve"> Abuja: FIRS Publications.</w:t>
      </w:r>
    </w:p>
    <w:p w14:paraId="503B4BCB"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Hood, C. (1991). A public management for all seasons? </w:t>
      </w:r>
      <w:r w:rsidRPr="00DB6A40">
        <w:rPr>
          <w:rFonts w:ascii="Times New Roman" w:eastAsia="Calibri" w:hAnsi="Times New Roman" w:cs="Times New Roman"/>
          <w:i/>
          <w:iCs/>
        </w:rPr>
        <w:t>Public Administration</w:t>
      </w:r>
      <w:r w:rsidRPr="00DB6A40">
        <w:rPr>
          <w:rFonts w:ascii="Times New Roman" w:eastAsia="Calibri" w:hAnsi="Times New Roman" w:cs="Times New Roman"/>
        </w:rPr>
        <w:t>, 69(1), 3–19.</w:t>
      </w:r>
    </w:p>
    <w:p w14:paraId="0DD78137" w14:textId="77777777" w:rsidR="00DB6A40" w:rsidRPr="00DB6A40" w:rsidRDefault="00DB6A40" w:rsidP="00DB6A40">
      <w:pPr>
        <w:spacing w:after="0" w:line="240"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rPr>
        <w:t>Inkeles</w:t>
      </w:r>
      <w:proofErr w:type="spellEnd"/>
      <w:r w:rsidRPr="00DB6A40">
        <w:rPr>
          <w:rFonts w:ascii="Times New Roman" w:eastAsia="Calibri" w:hAnsi="Times New Roman" w:cs="Times New Roman"/>
        </w:rPr>
        <w:t xml:space="preserve">, A., &amp; Smith, D. H. (1974). </w:t>
      </w:r>
      <w:r w:rsidRPr="00DB6A40">
        <w:rPr>
          <w:rFonts w:ascii="Times New Roman" w:eastAsia="Calibri" w:hAnsi="Times New Roman" w:cs="Times New Roman"/>
          <w:i/>
          <w:iCs/>
        </w:rPr>
        <w:t>Becoming Modern: Individual Change in Six Developing Countries</w:t>
      </w:r>
      <w:r w:rsidRPr="00DB6A40">
        <w:rPr>
          <w:rFonts w:ascii="Times New Roman" w:eastAsia="Calibri" w:hAnsi="Times New Roman" w:cs="Times New Roman"/>
        </w:rPr>
        <w:t>. Harvard University Press.</w:t>
      </w:r>
    </w:p>
    <w:p w14:paraId="1F84E5FC"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Jensen, M. C., &amp; Meckling, W. H. (1976). Theory of the firm: Managerial behavior, agency costs and ownership structure. </w:t>
      </w:r>
      <w:r w:rsidRPr="00DB6A40">
        <w:rPr>
          <w:rFonts w:ascii="Times New Roman" w:eastAsia="Calibri" w:hAnsi="Times New Roman" w:cs="Times New Roman"/>
          <w:i/>
          <w:iCs/>
        </w:rPr>
        <w:t>Journal of Financial Economics</w:t>
      </w:r>
      <w:r w:rsidRPr="00DB6A40">
        <w:rPr>
          <w:rFonts w:ascii="Times New Roman" w:eastAsia="Calibri" w:hAnsi="Times New Roman" w:cs="Times New Roman"/>
        </w:rPr>
        <w:t>, 3(4), 305–360.</w:t>
      </w:r>
    </w:p>
    <w:p w14:paraId="4877C791"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Joseph, A. B. (2018). E-Taxation Adoption and Revenue Generation in Nigeria. </w:t>
      </w:r>
      <w:r w:rsidRPr="00DB6A40">
        <w:rPr>
          <w:rFonts w:ascii="Times New Roman" w:eastAsia="Calibri" w:hAnsi="Times New Roman" w:cs="Times New Roman"/>
          <w:i/>
          <w:iCs/>
        </w:rPr>
        <w:t>Research Journal of Finance and Accounting</w:t>
      </w:r>
      <w:r w:rsidRPr="00DB6A40">
        <w:rPr>
          <w:rFonts w:ascii="Times New Roman" w:eastAsia="Calibri" w:hAnsi="Times New Roman" w:cs="Times New Roman"/>
        </w:rPr>
        <w:t xml:space="preserve">, </w:t>
      </w:r>
      <w:r w:rsidRPr="00DB6A40">
        <w:rPr>
          <w:rFonts w:ascii="Times New Roman" w:eastAsia="Calibri" w:hAnsi="Times New Roman" w:cs="Times New Roman"/>
          <w:i/>
          <w:iCs/>
        </w:rPr>
        <w:t>9</w:t>
      </w:r>
      <w:r w:rsidRPr="00DB6A40">
        <w:rPr>
          <w:rFonts w:ascii="Times New Roman" w:eastAsia="Calibri" w:hAnsi="Times New Roman" w:cs="Times New Roman"/>
        </w:rPr>
        <w:t>(24), 116-125.</w:t>
      </w:r>
    </w:p>
    <w:p w14:paraId="362FE968"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color w:val="222222"/>
          <w:sz w:val="22"/>
          <w:szCs w:val="22"/>
          <w:shd w:val="clear" w:color="auto" w:fill="FFFFFF"/>
        </w:rPr>
        <w:t>Kirfi, M. M., Aliyu, A. A., &amp; Solomon, O. (2025). Nigeria’s Tax Reforms and the Quest for Economic Stability: A Conceptual Narration. </w:t>
      </w:r>
      <w:proofErr w:type="spellStart"/>
      <w:r w:rsidRPr="00DB6A40">
        <w:rPr>
          <w:rFonts w:ascii="Times New Roman" w:eastAsia="Calibri" w:hAnsi="Times New Roman" w:cs="Times New Roman"/>
          <w:i/>
          <w:iCs/>
          <w:color w:val="222222"/>
          <w:sz w:val="22"/>
          <w:szCs w:val="22"/>
          <w:shd w:val="clear" w:color="auto" w:fill="FFFFFF"/>
        </w:rPr>
        <w:t>Kashere</w:t>
      </w:r>
      <w:proofErr w:type="spellEnd"/>
      <w:r w:rsidRPr="00DB6A40">
        <w:rPr>
          <w:rFonts w:ascii="Times New Roman" w:eastAsia="Calibri" w:hAnsi="Times New Roman" w:cs="Times New Roman"/>
          <w:i/>
          <w:iCs/>
          <w:color w:val="222222"/>
          <w:sz w:val="22"/>
          <w:szCs w:val="22"/>
          <w:shd w:val="clear" w:color="auto" w:fill="FFFFFF"/>
        </w:rPr>
        <w:t xml:space="preserve"> Journal of Politics and International Relations</w:t>
      </w:r>
      <w:r w:rsidRPr="00DB6A40">
        <w:rPr>
          <w:rFonts w:ascii="Times New Roman" w:eastAsia="Calibri" w:hAnsi="Times New Roman" w:cs="Times New Roman"/>
          <w:color w:val="222222"/>
          <w:sz w:val="22"/>
          <w:szCs w:val="22"/>
          <w:shd w:val="clear" w:color="auto" w:fill="FFFFFF"/>
        </w:rPr>
        <w:t>, </w:t>
      </w:r>
      <w:r w:rsidRPr="00DB6A40">
        <w:rPr>
          <w:rFonts w:ascii="Times New Roman" w:eastAsia="Calibri" w:hAnsi="Times New Roman" w:cs="Times New Roman"/>
          <w:i/>
          <w:iCs/>
          <w:color w:val="222222"/>
          <w:sz w:val="22"/>
          <w:szCs w:val="22"/>
          <w:shd w:val="clear" w:color="auto" w:fill="FFFFFF"/>
        </w:rPr>
        <w:t>3</w:t>
      </w:r>
      <w:r w:rsidRPr="00DB6A40">
        <w:rPr>
          <w:rFonts w:ascii="Times New Roman" w:eastAsia="Calibri" w:hAnsi="Times New Roman" w:cs="Times New Roman"/>
          <w:color w:val="222222"/>
          <w:sz w:val="22"/>
          <w:szCs w:val="22"/>
          <w:shd w:val="clear" w:color="auto" w:fill="FFFFFF"/>
        </w:rPr>
        <w:t>(3), 142-150</w:t>
      </w:r>
    </w:p>
    <w:p w14:paraId="671A0B8D"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Kothari, C. R. (2014). </w:t>
      </w:r>
      <w:r w:rsidRPr="00DB6A40">
        <w:rPr>
          <w:rFonts w:ascii="Times New Roman" w:eastAsia="Calibri" w:hAnsi="Times New Roman" w:cs="Times New Roman"/>
          <w:i/>
          <w:iCs/>
        </w:rPr>
        <w:t>Research methodology: Methods and techniques</w:t>
      </w:r>
      <w:r w:rsidRPr="00DB6A40">
        <w:rPr>
          <w:rFonts w:ascii="Times New Roman" w:eastAsia="Calibri" w:hAnsi="Times New Roman" w:cs="Times New Roman"/>
        </w:rPr>
        <w:t xml:space="preserve"> (3rd ed.). New Delhi: New Age International.</w:t>
      </w:r>
    </w:p>
    <w:p w14:paraId="6D3A1914"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Levi, M. (1988). </w:t>
      </w:r>
      <w:r w:rsidRPr="00DB6A40">
        <w:rPr>
          <w:rFonts w:ascii="Times New Roman" w:eastAsia="Calibri" w:hAnsi="Times New Roman" w:cs="Times New Roman"/>
          <w:i/>
          <w:iCs/>
        </w:rPr>
        <w:t>Of Rule and Revenue</w:t>
      </w:r>
      <w:r w:rsidRPr="00DB6A40">
        <w:rPr>
          <w:rFonts w:ascii="Times New Roman" w:eastAsia="Calibri" w:hAnsi="Times New Roman" w:cs="Times New Roman"/>
        </w:rPr>
        <w:t>. University of California Press.</w:t>
      </w:r>
    </w:p>
    <w:p w14:paraId="68E113F1" w14:textId="77777777" w:rsidR="00DB6A40" w:rsidRPr="00DB6A40" w:rsidRDefault="00DB6A40" w:rsidP="00DB6A40">
      <w:pPr>
        <w:spacing w:after="0" w:line="240" w:lineRule="auto"/>
        <w:ind w:left="720" w:hanging="720"/>
        <w:jc w:val="both"/>
        <w:rPr>
          <w:rFonts w:ascii="Times New Roman" w:eastAsia="Calibri" w:hAnsi="Times New Roman" w:cs="Times New Roman"/>
          <w:sz w:val="22"/>
          <w:szCs w:val="22"/>
        </w:rPr>
      </w:pPr>
      <w:r w:rsidRPr="00DB6A40">
        <w:rPr>
          <w:rFonts w:ascii="Times New Roman" w:eastAsia="Calibri" w:hAnsi="Times New Roman" w:cs="Times New Roman"/>
          <w:sz w:val="22"/>
          <w:szCs w:val="22"/>
        </w:rPr>
        <w:t xml:space="preserve">Mabula, B. (2023). </w:t>
      </w:r>
      <w:r w:rsidRPr="00DB6A40">
        <w:rPr>
          <w:rFonts w:ascii="Times New Roman" w:eastAsia="Calibri" w:hAnsi="Times New Roman" w:cs="Times New Roman"/>
          <w:i/>
          <w:iCs/>
          <w:sz w:val="22"/>
          <w:szCs w:val="22"/>
        </w:rPr>
        <w:t>Assessing the Effectiveness of E-Revenue Collection Systems on Enhancing Revenue Collection in Tanzania</w:t>
      </w:r>
      <w:r w:rsidRPr="00DB6A40">
        <w:rPr>
          <w:rFonts w:ascii="Times New Roman" w:eastAsia="Calibri" w:hAnsi="Times New Roman" w:cs="Times New Roman"/>
          <w:sz w:val="22"/>
          <w:szCs w:val="22"/>
        </w:rPr>
        <w:t xml:space="preserve"> (Doctoral dissertation, Institute of Accountancy Arusha (IAA)).</w:t>
      </w:r>
    </w:p>
    <w:p w14:paraId="1DC6F22C" w14:textId="77777777" w:rsidR="00DB6A40" w:rsidRPr="00DB6A40" w:rsidRDefault="00DB6A40" w:rsidP="00DB6A40">
      <w:pPr>
        <w:spacing w:after="0" w:line="240"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rPr>
        <w:t>Nnubia</w:t>
      </w:r>
      <w:proofErr w:type="spellEnd"/>
      <w:r w:rsidRPr="00DB6A40">
        <w:rPr>
          <w:rFonts w:ascii="Times New Roman" w:eastAsia="Calibri" w:hAnsi="Times New Roman" w:cs="Times New Roman"/>
        </w:rPr>
        <w:t xml:space="preserve">, I. C., Okafor, G. O., Chukwunwike, O. D., Asogwa, O. S., &amp; Ogan, R. J. (2020). Effect of e-taxation on revenue generation in Nigeria a pre-post analysis. </w:t>
      </w:r>
      <w:r w:rsidRPr="00DB6A40">
        <w:rPr>
          <w:rFonts w:ascii="Times New Roman" w:eastAsia="Calibri" w:hAnsi="Times New Roman" w:cs="Times New Roman"/>
          <w:i/>
          <w:iCs/>
        </w:rPr>
        <w:t>Academy of Entrepreneurship Journal</w:t>
      </w:r>
      <w:r w:rsidRPr="00DB6A40">
        <w:rPr>
          <w:rFonts w:ascii="Times New Roman" w:eastAsia="Calibri" w:hAnsi="Times New Roman" w:cs="Times New Roman"/>
        </w:rPr>
        <w:t xml:space="preserve">, </w:t>
      </w:r>
      <w:r w:rsidRPr="00DB6A40">
        <w:rPr>
          <w:rFonts w:ascii="Times New Roman" w:eastAsia="Calibri" w:hAnsi="Times New Roman" w:cs="Times New Roman"/>
          <w:i/>
          <w:iCs/>
        </w:rPr>
        <w:t>26</w:t>
      </w:r>
      <w:r w:rsidRPr="00DB6A40">
        <w:rPr>
          <w:rFonts w:ascii="Times New Roman" w:eastAsia="Calibri" w:hAnsi="Times New Roman" w:cs="Times New Roman"/>
        </w:rPr>
        <w:t>(3), 1-19</w:t>
      </w:r>
    </w:p>
    <w:p w14:paraId="744551DB"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North, D. C. (1990). </w:t>
      </w:r>
      <w:r w:rsidRPr="00DB6A40">
        <w:rPr>
          <w:rFonts w:ascii="Times New Roman" w:eastAsia="Calibri" w:hAnsi="Times New Roman" w:cs="Times New Roman"/>
          <w:i/>
          <w:iCs/>
        </w:rPr>
        <w:t>Institutions, institutional change and economic performance.</w:t>
      </w:r>
      <w:r w:rsidRPr="00DB6A40">
        <w:rPr>
          <w:rFonts w:ascii="Times New Roman" w:eastAsia="Calibri" w:hAnsi="Times New Roman" w:cs="Times New Roman"/>
        </w:rPr>
        <w:t xml:space="preserve"> Cambridge University Press.</w:t>
      </w:r>
    </w:p>
    <w:p w14:paraId="22623087" w14:textId="77777777" w:rsidR="00DB6A40" w:rsidRPr="00DB6A40" w:rsidRDefault="00DB6A40" w:rsidP="00DB6A40">
      <w:pPr>
        <w:spacing w:after="0" w:line="240" w:lineRule="auto"/>
        <w:ind w:left="720" w:hanging="720"/>
        <w:jc w:val="both"/>
        <w:rPr>
          <w:rFonts w:ascii="Times New Roman" w:eastAsia="Calibri" w:hAnsi="Times New Roman" w:cs="Times New Roman"/>
          <w:color w:val="0563C1"/>
          <w:u w:val="single"/>
        </w:rPr>
      </w:pPr>
      <w:proofErr w:type="spellStart"/>
      <w:r w:rsidRPr="00DB6A40">
        <w:rPr>
          <w:rFonts w:ascii="Times New Roman" w:eastAsia="Calibri" w:hAnsi="Times New Roman" w:cs="Times New Roman"/>
        </w:rPr>
        <w:t>Nwolu</w:t>
      </w:r>
      <w:proofErr w:type="spellEnd"/>
      <w:r w:rsidRPr="00DB6A40">
        <w:rPr>
          <w:rFonts w:ascii="Times New Roman" w:eastAsia="Calibri" w:hAnsi="Times New Roman" w:cs="Times New Roman"/>
        </w:rPr>
        <w:t xml:space="preserve">, P. G., Akani, N., &amp; </w:t>
      </w:r>
      <w:proofErr w:type="spellStart"/>
      <w:r w:rsidRPr="00DB6A40">
        <w:rPr>
          <w:rFonts w:ascii="Times New Roman" w:eastAsia="Calibri" w:hAnsi="Times New Roman" w:cs="Times New Roman"/>
        </w:rPr>
        <w:t>Ironkwe</w:t>
      </w:r>
      <w:proofErr w:type="spellEnd"/>
      <w:r w:rsidRPr="00DB6A40">
        <w:rPr>
          <w:rFonts w:ascii="Times New Roman" w:eastAsia="Calibri" w:hAnsi="Times New Roman" w:cs="Times New Roman"/>
        </w:rPr>
        <w:t xml:space="preserve">, U. (2024). </w:t>
      </w:r>
      <w:r w:rsidRPr="00DB6A40">
        <w:rPr>
          <w:rFonts w:ascii="Times New Roman" w:eastAsia="Calibri" w:hAnsi="Times New Roman" w:cs="Times New Roman"/>
          <w:i/>
          <w:iCs/>
        </w:rPr>
        <w:t>Digital technologies and tax revenue in Nigeria</w:t>
      </w:r>
      <w:r w:rsidRPr="00DB6A40">
        <w:rPr>
          <w:rFonts w:ascii="Times New Roman" w:eastAsia="Calibri" w:hAnsi="Times New Roman" w:cs="Times New Roman"/>
        </w:rPr>
        <w:t xml:space="preserve">. GPH-International Journal of Business Management. </w:t>
      </w:r>
      <w:hyperlink r:id="rId80" w:history="1">
        <w:r w:rsidRPr="00DB6A40">
          <w:rPr>
            <w:rFonts w:ascii="Times New Roman" w:eastAsia="Calibri" w:hAnsi="Times New Roman" w:cs="Times New Roman"/>
            <w:color w:val="0563C1"/>
            <w:u w:val="single"/>
          </w:rPr>
          <w:t>https://doi.org/10.5281/zenodo.13221206</w:t>
        </w:r>
      </w:hyperlink>
    </w:p>
    <w:p w14:paraId="2BEC6929" w14:textId="77777777" w:rsidR="00DB6A40" w:rsidRPr="00DB6A40" w:rsidRDefault="00DB6A40" w:rsidP="00DB6A40">
      <w:pPr>
        <w:spacing w:line="259"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color w:val="111111"/>
          <w:shd w:val="clear" w:color="auto" w:fill="FFFFFF"/>
        </w:rPr>
        <w:t>Otemu</w:t>
      </w:r>
      <w:proofErr w:type="spellEnd"/>
      <w:r w:rsidRPr="00DB6A40">
        <w:rPr>
          <w:rFonts w:ascii="Times New Roman" w:eastAsia="Calibri" w:hAnsi="Times New Roman" w:cs="Times New Roman"/>
          <w:color w:val="111111"/>
          <w:shd w:val="clear" w:color="auto" w:fill="FFFFFF"/>
        </w:rPr>
        <w:t xml:space="preserve"> O. and </w:t>
      </w:r>
      <w:proofErr w:type="spellStart"/>
      <w:r w:rsidRPr="00DB6A40">
        <w:rPr>
          <w:rFonts w:ascii="Times New Roman" w:eastAsia="Calibri" w:hAnsi="Times New Roman" w:cs="Times New Roman"/>
          <w:color w:val="111111"/>
          <w:shd w:val="clear" w:color="auto" w:fill="FFFFFF"/>
        </w:rPr>
        <w:t>Onodavwerho</w:t>
      </w:r>
      <w:proofErr w:type="spellEnd"/>
      <w:r w:rsidRPr="00DB6A40">
        <w:rPr>
          <w:rFonts w:ascii="Times New Roman" w:eastAsia="Calibri" w:hAnsi="Times New Roman" w:cs="Times New Roman"/>
          <w:color w:val="111111"/>
          <w:shd w:val="clear" w:color="auto" w:fill="FFFFFF"/>
        </w:rPr>
        <w:t xml:space="preserve"> O.J. </w:t>
      </w:r>
      <w:r w:rsidRPr="00DB6A40">
        <w:rPr>
          <w:rFonts w:ascii="Times New Roman" w:eastAsia="Calibri" w:hAnsi="Times New Roman" w:cs="Times New Roman"/>
          <w:b/>
          <w:bCs/>
          <w:color w:val="111111"/>
        </w:rPr>
        <w:t>E-Taxation and Income proceeds in South-East, Nigeria</w:t>
      </w:r>
      <w:r w:rsidRPr="00DB6A40">
        <w:rPr>
          <w:rFonts w:ascii="Times New Roman" w:eastAsia="Calibri" w:hAnsi="Times New Roman" w:cs="Times New Roman"/>
          <w:color w:val="111111"/>
          <w:shd w:val="clear" w:color="auto" w:fill="FFFFFF"/>
        </w:rPr>
        <w:t>. Innovative Journal of Arts and Social Sciences. Vol. 5, No. 5, 2023, pp. 100-113.</w:t>
      </w:r>
    </w:p>
    <w:p w14:paraId="278B13A0" w14:textId="77777777" w:rsidR="00DB6A40" w:rsidRPr="00DB6A40" w:rsidRDefault="00DB6A40" w:rsidP="00DB6A40">
      <w:pPr>
        <w:spacing w:line="259"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rPr>
        <w:t>Ofurum</w:t>
      </w:r>
      <w:proofErr w:type="spellEnd"/>
      <w:r w:rsidRPr="00DB6A40">
        <w:rPr>
          <w:rFonts w:ascii="Times New Roman" w:eastAsia="Calibri" w:hAnsi="Times New Roman" w:cs="Times New Roman"/>
        </w:rPr>
        <w:t xml:space="preserve">, C. N., </w:t>
      </w:r>
      <w:proofErr w:type="spellStart"/>
      <w:r w:rsidRPr="00DB6A40">
        <w:rPr>
          <w:rFonts w:ascii="Times New Roman" w:eastAsia="Calibri" w:hAnsi="Times New Roman" w:cs="Times New Roman"/>
        </w:rPr>
        <w:t>Amaefule</w:t>
      </w:r>
      <w:proofErr w:type="spellEnd"/>
      <w:r w:rsidRPr="00DB6A40">
        <w:rPr>
          <w:rFonts w:ascii="Times New Roman" w:eastAsia="Calibri" w:hAnsi="Times New Roman" w:cs="Times New Roman"/>
        </w:rPr>
        <w:t xml:space="preserve">, L. I., </w:t>
      </w:r>
      <w:proofErr w:type="spellStart"/>
      <w:r w:rsidRPr="00DB6A40">
        <w:rPr>
          <w:rFonts w:ascii="Times New Roman" w:eastAsia="Calibri" w:hAnsi="Times New Roman" w:cs="Times New Roman"/>
        </w:rPr>
        <w:t>Okonya</w:t>
      </w:r>
      <w:proofErr w:type="spellEnd"/>
      <w:r w:rsidRPr="00DB6A40">
        <w:rPr>
          <w:rFonts w:ascii="Times New Roman" w:eastAsia="Calibri" w:hAnsi="Times New Roman" w:cs="Times New Roman"/>
        </w:rPr>
        <w:t xml:space="preserve">, B. E., &amp; </w:t>
      </w:r>
      <w:proofErr w:type="spellStart"/>
      <w:r w:rsidRPr="00DB6A40">
        <w:rPr>
          <w:rFonts w:ascii="Times New Roman" w:eastAsia="Calibri" w:hAnsi="Times New Roman" w:cs="Times New Roman"/>
        </w:rPr>
        <w:t>Amaefule</w:t>
      </w:r>
      <w:proofErr w:type="spellEnd"/>
      <w:r w:rsidRPr="00DB6A40">
        <w:rPr>
          <w:rFonts w:ascii="Times New Roman" w:eastAsia="Calibri" w:hAnsi="Times New Roman" w:cs="Times New Roman"/>
        </w:rPr>
        <w:t xml:space="preserve">, H. C. (2018). Impact of e–taxation on Nigeria’s revenue and economic growth: A Pre–Post Analysis. </w:t>
      </w:r>
      <w:r w:rsidRPr="00DB6A40">
        <w:rPr>
          <w:rFonts w:ascii="Times New Roman" w:eastAsia="Calibri" w:hAnsi="Times New Roman" w:cs="Times New Roman"/>
          <w:i/>
          <w:iCs/>
        </w:rPr>
        <w:t>International Journal of Finance and Accounting</w:t>
      </w:r>
      <w:r w:rsidRPr="00DB6A40">
        <w:rPr>
          <w:rFonts w:ascii="Times New Roman" w:eastAsia="Calibri" w:hAnsi="Times New Roman" w:cs="Times New Roman"/>
        </w:rPr>
        <w:t xml:space="preserve">, </w:t>
      </w:r>
      <w:r w:rsidRPr="00DB6A40">
        <w:rPr>
          <w:rFonts w:ascii="Times New Roman" w:eastAsia="Calibri" w:hAnsi="Times New Roman" w:cs="Times New Roman"/>
          <w:i/>
          <w:iCs/>
        </w:rPr>
        <w:t>7</w:t>
      </w:r>
      <w:r w:rsidRPr="00DB6A40">
        <w:rPr>
          <w:rFonts w:ascii="Times New Roman" w:eastAsia="Calibri" w:hAnsi="Times New Roman" w:cs="Times New Roman"/>
        </w:rPr>
        <w:t>(2), 19-26.</w:t>
      </w:r>
    </w:p>
    <w:p w14:paraId="1D7CB0C7"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Ogbaísi, S. A., &amp; </w:t>
      </w:r>
      <w:proofErr w:type="spellStart"/>
      <w:r w:rsidRPr="00DB6A40">
        <w:rPr>
          <w:rFonts w:ascii="Times New Roman" w:eastAsia="Calibri" w:hAnsi="Times New Roman" w:cs="Times New Roman"/>
        </w:rPr>
        <w:t>Ibifunmilola</w:t>
      </w:r>
      <w:proofErr w:type="spellEnd"/>
      <w:r w:rsidRPr="00DB6A40">
        <w:rPr>
          <w:rFonts w:ascii="Times New Roman" w:eastAsia="Calibri" w:hAnsi="Times New Roman" w:cs="Times New Roman"/>
        </w:rPr>
        <w:t xml:space="preserve">, M. (2025). Digitalization of tax systems and tax reforms in Nigeria: a conceptual discourse. </w:t>
      </w:r>
      <w:r w:rsidRPr="00DB6A40">
        <w:rPr>
          <w:rFonts w:ascii="Times New Roman" w:eastAsia="Calibri" w:hAnsi="Times New Roman" w:cs="Times New Roman"/>
          <w:i/>
          <w:iCs/>
        </w:rPr>
        <w:t>Malete Journal of Accounting and Finance, 5</w:t>
      </w:r>
      <w:r w:rsidRPr="00DB6A40">
        <w:rPr>
          <w:rFonts w:ascii="Times New Roman" w:eastAsia="Calibri" w:hAnsi="Times New Roman" w:cs="Times New Roman"/>
        </w:rPr>
        <w:t>(2), 1</w:t>
      </w:r>
      <w:r w:rsidRPr="00DB6A40">
        <w:rPr>
          <w:rFonts w:ascii="Times New Roman" w:eastAsia="Calibri" w:hAnsi="Times New Roman" w:cs="Times New Roman"/>
        </w:rPr>
        <w:noBreakHyphen/>
        <w:t>8.</w:t>
      </w:r>
    </w:p>
    <w:p w14:paraId="539678FD" w14:textId="77777777" w:rsidR="00DB6A40" w:rsidRPr="00DB6A40" w:rsidRDefault="00DB6A40" w:rsidP="00DB6A40">
      <w:pPr>
        <w:spacing w:after="0" w:line="240" w:lineRule="auto"/>
        <w:ind w:left="720" w:hanging="720"/>
        <w:jc w:val="both"/>
        <w:rPr>
          <w:rFonts w:ascii="Times New Roman" w:eastAsia="Calibri" w:hAnsi="Times New Roman" w:cs="Times New Roman"/>
          <w:color w:val="0563C1"/>
          <w:u w:val="single"/>
        </w:rPr>
      </w:pPr>
      <w:r w:rsidRPr="00DB6A40">
        <w:rPr>
          <w:rFonts w:ascii="Times New Roman" w:eastAsia="Calibri" w:hAnsi="Times New Roman" w:cs="Times New Roman"/>
        </w:rPr>
        <w:t xml:space="preserve">Olaoye, C. O., Ayeni-Agbaje, A. R., Adebayo, I. A., &amp; </w:t>
      </w:r>
      <w:proofErr w:type="spellStart"/>
      <w:r w:rsidRPr="00DB6A40">
        <w:rPr>
          <w:rFonts w:ascii="Times New Roman" w:eastAsia="Calibri" w:hAnsi="Times New Roman" w:cs="Times New Roman"/>
        </w:rPr>
        <w:t>Adesodun</w:t>
      </w:r>
      <w:proofErr w:type="spellEnd"/>
      <w:r w:rsidRPr="00DB6A40">
        <w:rPr>
          <w:rFonts w:ascii="Times New Roman" w:eastAsia="Calibri" w:hAnsi="Times New Roman" w:cs="Times New Roman"/>
        </w:rPr>
        <w:t xml:space="preserve">, R. B. (2022). </w:t>
      </w:r>
      <w:r w:rsidRPr="00DB6A40">
        <w:rPr>
          <w:rFonts w:ascii="Times New Roman" w:eastAsia="Calibri" w:hAnsi="Times New Roman" w:cs="Times New Roman"/>
          <w:i/>
          <w:iCs/>
        </w:rPr>
        <w:t>Effect of electronic taxation on revenue productivity in Nigeria</w:t>
      </w:r>
      <w:r w:rsidRPr="00DB6A40">
        <w:rPr>
          <w:rFonts w:ascii="Times New Roman" w:eastAsia="Calibri" w:hAnsi="Times New Roman" w:cs="Times New Roman"/>
        </w:rPr>
        <w:t xml:space="preserve">. Archives of Business Research, 10(8), 35-48. </w:t>
      </w:r>
      <w:hyperlink r:id="rId81" w:history="1">
        <w:r w:rsidRPr="00DB6A40">
          <w:rPr>
            <w:rFonts w:ascii="Times New Roman" w:eastAsia="Calibri" w:hAnsi="Times New Roman" w:cs="Times New Roman"/>
            <w:color w:val="0563C1"/>
            <w:u w:val="single"/>
          </w:rPr>
          <w:t>https://doi.org/10.14738/abr.108.12500</w:t>
        </w:r>
      </w:hyperlink>
    </w:p>
    <w:p w14:paraId="4EAC72AD" w14:textId="77777777" w:rsidR="00DB6A40" w:rsidRPr="00DB6A40" w:rsidRDefault="00DB6A40" w:rsidP="00DB6A40">
      <w:pPr>
        <w:spacing w:after="0" w:line="240" w:lineRule="auto"/>
        <w:ind w:left="720" w:hanging="720"/>
        <w:jc w:val="both"/>
        <w:rPr>
          <w:rFonts w:ascii="Times New Roman" w:eastAsia="Calibri" w:hAnsi="Times New Roman" w:cs="Times New Roman"/>
          <w:color w:val="0563C1"/>
          <w:u w:val="single"/>
        </w:rPr>
      </w:pPr>
      <w:r w:rsidRPr="00DB6A40">
        <w:rPr>
          <w:rFonts w:ascii="Times New Roman" w:eastAsia="Calibri" w:hAnsi="Times New Roman" w:cs="Times New Roman"/>
          <w:sz w:val="22"/>
          <w:szCs w:val="22"/>
        </w:rPr>
        <w:t xml:space="preserve">Olaoye C.O., </w:t>
      </w:r>
      <w:proofErr w:type="spellStart"/>
      <w:r w:rsidRPr="00DB6A40">
        <w:rPr>
          <w:rFonts w:ascii="Times New Roman" w:eastAsia="Calibri" w:hAnsi="Times New Roman" w:cs="Times New Roman"/>
          <w:sz w:val="22"/>
          <w:szCs w:val="22"/>
        </w:rPr>
        <w:t>Opefolu</w:t>
      </w:r>
      <w:proofErr w:type="spellEnd"/>
      <w:r w:rsidRPr="00DB6A40">
        <w:rPr>
          <w:rFonts w:ascii="Times New Roman" w:eastAsia="Calibri" w:hAnsi="Times New Roman" w:cs="Times New Roman"/>
          <w:sz w:val="22"/>
          <w:szCs w:val="22"/>
        </w:rPr>
        <w:t xml:space="preserve"> F.O., Yunus A.B. (2023). Electronic taxation and revenue generation in Ekiti State. </w:t>
      </w:r>
      <w:r w:rsidRPr="00DB6A40">
        <w:rPr>
          <w:rFonts w:ascii="Times New Roman" w:eastAsia="Calibri" w:hAnsi="Times New Roman" w:cs="Times New Roman"/>
          <w:i/>
          <w:iCs/>
          <w:sz w:val="22"/>
          <w:szCs w:val="22"/>
        </w:rPr>
        <w:t>African Journal of Accounting and Financial Research,</w:t>
      </w:r>
      <w:r w:rsidRPr="00DB6A40">
        <w:rPr>
          <w:rFonts w:ascii="Times New Roman" w:eastAsia="Calibri" w:hAnsi="Times New Roman" w:cs="Times New Roman"/>
          <w:sz w:val="22"/>
          <w:szCs w:val="22"/>
        </w:rPr>
        <w:t xml:space="preserve"> 6(4), 46-69.</w:t>
      </w:r>
    </w:p>
    <w:p w14:paraId="48B83ED9" w14:textId="77777777" w:rsidR="00DB6A40" w:rsidRPr="00DB6A40" w:rsidRDefault="00DB6A40" w:rsidP="00DB6A40">
      <w:pPr>
        <w:spacing w:after="0" w:line="240"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rPr>
        <w:lastRenderedPageBreak/>
        <w:t>Omesi</w:t>
      </w:r>
      <w:proofErr w:type="spellEnd"/>
      <w:r w:rsidRPr="00DB6A40">
        <w:rPr>
          <w:rFonts w:ascii="Times New Roman" w:eastAsia="Calibri" w:hAnsi="Times New Roman" w:cs="Times New Roman"/>
        </w:rPr>
        <w:t xml:space="preserve">, I., &amp; Appah, E. (2022). Electronic taxation system and revenue generation effectiveness in Nigeria: A pre-post analysis. </w:t>
      </w:r>
      <w:r w:rsidRPr="00DB6A40">
        <w:rPr>
          <w:rFonts w:ascii="Times New Roman" w:eastAsia="Calibri" w:hAnsi="Times New Roman" w:cs="Times New Roman"/>
          <w:i/>
          <w:iCs/>
        </w:rPr>
        <w:t>BW Academic Journal, 1</w:t>
      </w:r>
      <w:r w:rsidRPr="00DB6A40">
        <w:rPr>
          <w:rFonts w:ascii="Times New Roman" w:eastAsia="Calibri" w:hAnsi="Times New Roman" w:cs="Times New Roman"/>
        </w:rPr>
        <w:t xml:space="preserve">(1), 76-84. </w:t>
      </w:r>
      <w:hyperlink r:id="rId82" w:tgtFrame="_new" w:history="1">
        <w:r w:rsidRPr="00DB6A40">
          <w:rPr>
            <w:rFonts w:ascii="Times New Roman" w:eastAsia="Calibri" w:hAnsi="Times New Roman" w:cs="Times New Roman"/>
            <w:color w:val="0563C1"/>
            <w:u w:val="single"/>
          </w:rPr>
          <w:t>https://www.bwjournal.org/index.php/bsjournal/article/view/187</w:t>
        </w:r>
      </w:hyperlink>
    </w:p>
    <w:p w14:paraId="5F4FE92A"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Onwumere, J. U. J. (2009). </w:t>
      </w:r>
      <w:r w:rsidRPr="00DB6A40">
        <w:rPr>
          <w:rFonts w:ascii="Times New Roman" w:eastAsia="Calibri" w:hAnsi="Times New Roman" w:cs="Times New Roman"/>
          <w:i/>
          <w:iCs/>
        </w:rPr>
        <w:t>Business and economic research methods.</w:t>
      </w:r>
      <w:r w:rsidRPr="00DB6A40">
        <w:rPr>
          <w:rFonts w:ascii="Times New Roman" w:eastAsia="Calibri" w:hAnsi="Times New Roman" w:cs="Times New Roman"/>
        </w:rPr>
        <w:t xml:space="preserve"> Enugu: </w:t>
      </w:r>
      <w:proofErr w:type="spellStart"/>
      <w:r w:rsidRPr="00DB6A40">
        <w:rPr>
          <w:rFonts w:ascii="Times New Roman" w:eastAsia="Calibri" w:hAnsi="Times New Roman" w:cs="Times New Roman"/>
        </w:rPr>
        <w:t>Vougasen</w:t>
      </w:r>
      <w:proofErr w:type="spellEnd"/>
      <w:r w:rsidRPr="00DB6A40">
        <w:rPr>
          <w:rFonts w:ascii="Times New Roman" w:eastAsia="Calibri" w:hAnsi="Times New Roman" w:cs="Times New Roman"/>
        </w:rPr>
        <w:t xml:space="preserve"> Ltd.</w:t>
      </w:r>
    </w:p>
    <w:p w14:paraId="17B0E466" w14:textId="77777777" w:rsidR="00DB6A40" w:rsidRPr="00DB6A40" w:rsidRDefault="00DB6A40" w:rsidP="00DB6A40">
      <w:pPr>
        <w:spacing w:after="0" w:line="240" w:lineRule="auto"/>
        <w:ind w:left="720" w:hanging="720"/>
        <w:jc w:val="both"/>
        <w:rPr>
          <w:rFonts w:ascii="Times New Roman" w:eastAsia="Calibri" w:hAnsi="Times New Roman" w:cs="Times New Roman"/>
          <w:color w:val="0563C1"/>
          <w:u w:val="single"/>
        </w:rPr>
      </w:pPr>
      <w:proofErr w:type="spellStart"/>
      <w:r w:rsidRPr="00DB6A40">
        <w:rPr>
          <w:rFonts w:ascii="Times New Roman" w:eastAsia="Calibri" w:hAnsi="Times New Roman" w:cs="Times New Roman"/>
        </w:rPr>
        <w:t>Otekunrin</w:t>
      </w:r>
      <w:proofErr w:type="spellEnd"/>
      <w:r w:rsidRPr="00DB6A40">
        <w:rPr>
          <w:rFonts w:ascii="Times New Roman" w:eastAsia="Calibri" w:hAnsi="Times New Roman" w:cs="Times New Roman"/>
        </w:rPr>
        <w:t xml:space="preserve">, A. O., </w:t>
      </w:r>
      <w:proofErr w:type="spellStart"/>
      <w:r w:rsidRPr="00DB6A40">
        <w:rPr>
          <w:rFonts w:ascii="Times New Roman" w:eastAsia="Calibri" w:hAnsi="Times New Roman" w:cs="Times New Roman"/>
        </w:rPr>
        <w:t>Nwanji</w:t>
      </w:r>
      <w:proofErr w:type="spellEnd"/>
      <w:r w:rsidRPr="00DB6A40">
        <w:rPr>
          <w:rFonts w:ascii="Times New Roman" w:eastAsia="Calibri" w:hAnsi="Times New Roman" w:cs="Times New Roman"/>
        </w:rPr>
        <w:t xml:space="preserve">, T. I., </w:t>
      </w:r>
      <w:proofErr w:type="spellStart"/>
      <w:r w:rsidRPr="00DB6A40">
        <w:rPr>
          <w:rFonts w:ascii="Times New Roman" w:eastAsia="Calibri" w:hAnsi="Times New Roman" w:cs="Times New Roman"/>
        </w:rPr>
        <w:t>Eluyela</w:t>
      </w:r>
      <w:proofErr w:type="spellEnd"/>
      <w:r w:rsidRPr="00DB6A40">
        <w:rPr>
          <w:rFonts w:ascii="Times New Roman" w:eastAsia="Calibri" w:hAnsi="Times New Roman" w:cs="Times New Roman"/>
        </w:rPr>
        <w:t xml:space="preserve">, D. F., Inegbedion, H., &amp; Eleda, T. (2021). </w:t>
      </w:r>
      <w:r w:rsidRPr="00DB6A40">
        <w:rPr>
          <w:rFonts w:ascii="Times New Roman" w:eastAsia="Calibri" w:hAnsi="Times New Roman" w:cs="Times New Roman"/>
          <w:i/>
          <w:iCs/>
        </w:rPr>
        <w:t>E-tax system effectiveness in reducing tax evasion in Nigeria</w:t>
      </w:r>
      <w:r w:rsidRPr="00DB6A40">
        <w:rPr>
          <w:rFonts w:ascii="Times New Roman" w:eastAsia="Calibri" w:hAnsi="Times New Roman" w:cs="Times New Roman"/>
        </w:rPr>
        <w:t xml:space="preserve">. Problems and Perspectives in Management, 19(4), 175-185. </w:t>
      </w:r>
      <w:hyperlink r:id="rId83" w:history="1">
        <w:r w:rsidRPr="00DB6A40">
          <w:rPr>
            <w:rFonts w:ascii="Times New Roman" w:eastAsia="Calibri" w:hAnsi="Times New Roman" w:cs="Times New Roman"/>
            <w:color w:val="0563C1"/>
            <w:u w:val="single"/>
          </w:rPr>
          <w:t>https://doi.org/10.21511/ppm.19(4).2021.15</w:t>
        </w:r>
      </w:hyperlink>
    </w:p>
    <w:p w14:paraId="7836E55B"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Owoeye, A. B. (2024). A critical examination of the e-taxation, improvement in tax compliance and revenue collection of economic development in Nigeria: An examination covering 2008 to 2023. </w:t>
      </w:r>
      <w:r w:rsidRPr="00DB6A40">
        <w:rPr>
          <w:rFonts w:ascii="Times New Roman" w:eastAsia="Calibri" w:hAnsi="Times New Roman" w:cs="Times New Roman"/>
          <w:i/>
          <w:iCs/>
        </w:rPr>
        <w:t>International Journal for Multidisciplinary Research (IJFMR)</w:t>
      </w:r>
      <w:r w:rsidRPr="00DB6A40">
        <w:rPr>
          <w:rFonts w:ascii="Times New Roman" w:eastAsia="Calibri" w:hAnsi="Times New Roman" w:cs="Times New Roman"/>
        </w:rPr>
        <w:t>, 6(3), 1-18</w:t>
      </w:r>
    </w:p>
    <w:p w14:paraId="6D09DF20"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Reuters. (2024, May 30). Nigeria’s advisory body proposes creation of central tax agency.</w:t>
      </w:r>
    </w:p>
    <w:p w14:paraId="2EC1AD43"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Rogers, E. M. (1962). </w:t>
      </w:r>
      <w:r w:rsidRPr="00DB6A40">
        <w:rPr>
          <w:rFonts w:ascii="Times New Roman" w:eastAsia="Calibri" w:hAnsi="Times New Roman" w:cs="Times New Roman"/>
          <w:i/>
          <w:iCs/>
        </w:rPr>
        <w:t>Diffusion of innovations.</w:t>
      </w:r>
      <w:r w:rsidRPr="00DB6A40">
        <w:rPr>
          <w:rFonts w:ascii="Times New Roman" w:eastAsia="Calibri" w:hAnsi="Times New Roman" w:cs="Times New Roman"/>
        </w:rPr>
        <w:t xml:space="preserve"> Free Press.</w:t>
      </w:r>
    </w:p>
    <w:p w14:paraId="5720A6B3"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Rostow, W. W. (1960). </w:t>
      </w:r>
      <w:r w:rsidRPr="00DB6A40">
        <w:rPr>
          <w:rFonts w:ascii="Times New Roman" w:eastAsia="Calibri" w:hAnsi="Times New Roman" w:cs="Times New Roman"/>
          <w:i/>
          <w:iCs/>
        </w:rPr>
        <w:t>The Stages of Economic Growth: A Non-Communist Manifesto</w:t>
      </w:r>
      <w:r w:rsidRPr="00DB6A40">
        <w:rPr>
          <w:rFonts w:ascii="Times New Roman" w:eastAsia="Calibri" w:hAnsi="Times New Roman" w:cs="Times New Roman"/>
        </w:rPr>
        <w:t>. Cambridge University Press.</w:t>
      </w:r>
    </w:p>
    <w:p w14:paraId="1AA8062F" w14:textId="77777777" w:rsidR="00DB6A40" w:rsidRPr="00DB6A40" w:rsidRDefault="00DB6A40" w:rsidP="00DB6A40">
      <w:pPr>
        <w:spacing w:after="0" w:line="240" w:lineRule="auto"/>
        <w:ind w:left="720" w:hanging="720"/>
        <w:jc w:val="both"/>
        <w:rPr>
          <w:rFonts w:ascii="Times New Roman" w:eastAsia="Calibri" w:hAnsi="Times New Roman" w:cs="Times New Roman"/>
        </w:rPr>
      </w:pPr>
      <w:proofErr w:type="spellStart"/>
      <w:r w:rsidRPr="00DB6A40">
        <w:rPr>
          <w:rFonts w:ascii="Times New Roman" w:eastAsia="Calibri" w:hAnsi="Times New Roman" w:cs="Times New Roman"/>
        </w:rPr>
        <w:t>Siyanbola</w:t>
      </w:r>
      <w:proofErr w:type="spellEnd"/>
      <w:r w:rsidRPr="00DB6A40">
        <w:rPr>
          <w:rFonts w:ascii="Times New Roman" w:eastAsia="Calibri" w:hAnsi="Times New Roman" w:cs="Times New Roman"/>
        </w:rPr>
        <w:t xml:space="preserve">, A. A., Okuyelu, G., &amp; </w:t>
      </w:r>
      <w:proofErr w:type="spellStart"/>
      <w:r w:rsidRPr="00DB6A40">
        <w:rPr>
          <w:rFonts w:ascii="Times New Roman" w:eastAsia="Calibri" w:hAnsi="Times New Roman" w:cs="Times New Roman"/>
        </w:rPr>
        <w:t>Adeniwura</w:t>
      </w:r>
      <w:proofErr w:type="spellEnd"/>
      <w:r w:rsidRPr="00DB6A40">
        <w:rPr>
          <w:rFonts w:ascii="Times New Roman" w:eastAsia="Calibri" w:hAnsi="Times New Roman" w:cs="Times New Roman"/>
        </w:rPr>
        <w:t>, O. O. (2025). Institutional Quality and Tax Revenue Mobilization in Nigeria (1996-2021). </w:t>
      </w:r>
      <w:r w:rsidRPr="00DB6A40">
        <w:rPr>
          <w:rFonts w:ascii="Times New Roman" w:eastAsia="Calibri" w:hAnsi="Times New Roman" w:cs="Times New Roman"/>
          <w:i/>
          <w:iCs/>
        </w:rPr>
        <w:t>Journal of Finance and Accounting Research</w:t>
      </w:r>
      <w:r w:rsidRPr="00DB6A40">
        <w:rPr>
          <w:rFonts w:ascii="Times New Roman" w:eastAsia="Calibri" w:hAnsi="Times New Roman" w:cs="Times New Roman"/>
        </w:rPr>
        <w:t>, </w:t>
      </w:r>
      <w:r w:rsidRPr="00DB6A40">
        <w:rPr>
          <w:rFonts w:ascii="Times New Roman" w:eastAsia="Calibri" w:hAnsi="Times New Roman" w:cs="Times New Roman"/>
          <w:i/>
          <w:iCs/>
        </w:rPr>
        <w:t>7</w:t>
      </w:r>
      <w:r w:rsidRPr="00DB6A40">
        <w:rPr>
          <w:rFonts w:ascii="Times New Roman" w:eastAsia="Calibri" w:hAnsi="Times New Roman" w:cs="Times New Roman"/>
        </w:rPr>
        <w:t>(1), 166-181.</w:t>
      </w:r>
    </w:p>
    <w:p w14:paraId="3B01F4CB"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Tilly, C. (1992). </w:t>
      </w:r>
      <w:r w:rsidRPr="00DB6A40">
        <w:rPr>
          <w:rFonts w:ascii="Times New Roman" w:eastAsia="Calibri" w:hAnsi="Times New Roman" w:cs="Times New Roman"/>
          <w:i/>
          <w:iCs/>
        </w:rPr>
        <w:t>Coercion, Capital, and European States, AD 990–1992</w:t>
      </w:r>
      <w:r w:rsidRPr="00DB6A40">
        <w:rPr>
          <w:rFonts w:ascii="Times New Roman" w:eastAsia="Calibri" w:hAnsi="Times New Roman" w:cs="Times New Roman"/>
        </w:rPr>
        <w:t>. Blackwell.</w:t>
      </w:r>
    </w:p>
    <w:p w14:paraId="5518E0AB"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Torgler, B. (2007). </w:t>
      </w:r>
      <w:r w:rsidRPr="00DB6A40">
        <w:rPr>
          <w:rFonts w:ascii="Times New Roman" w:eastAsia="Calibri" w:hAnsi="Times New Roman" w:cs="Times New Roman"/>
          <w:i/>
          <w:iCs/>
        </w:rPr>
        <w:t>Tax compliance and tax morale: A theoretical and empirical overview.</w:t>
      </w:r>
      <w:r w:rsidRPr="00DB6A40">
        <w:rPr>
          <w:rFonts w:ascii="Times New Roman" w:eastAsia="Calibri" w:hAnsi="Times New Roman" w:cs="Times New Roman"/>
        </w:rPr>
        <w:t xml:space="preserve"> Edward Elgar.</w:t>
      </w:r>
    </w:p>
    <w:p w14:paraId="366FE08E" w14:textId="77777777" w:rsidR="00DB6A40" w:rsidRPr="00DB6A40" w:rsidRDefault="00DB6A40" w:rsidP="00DB6A40">
      <w:pPr>
        <w:spacing w:after="0" w:line="240" w:lineRule="auto"/>
        <w:ind w:left="720" w:hanging="720"/>
        <w:jc w:val="both"/>
        <w:rPr>
          <w:rFonts w:ascii="Times New Roman" w:eastAsia="Calibri" w:hAnsi="Times New Roman" w:cs="Times New Roman"/>
        </w:rPr>
      </w:pPr>
      <w:r w:rsidRPr="00DB6A40">
        <w:rPr>
          <w:rFonts w:ascii="Times New Roman" w:eastAsia="Calibri" w:hAnsi="Times New Roman" w:cs="Times New Roman"/>
        </w:rPr>
        <w:t xml:space="preserve">Williamson, O. E. (1979). Transaction-cost economics: The governance of contractual relations. </w:t>
      </w:r>
      <w:r w:rsidRPr="00DB6A40">
        <w:rPr>
          <w:rFonts w:ascii="Times New Roman" w:eastAsia="Calibri" w:hAnsi="Times New Roman" w:cs="Times New Roman"/>
          <w:i/>
          <w:iCs/>
        </w:rPr>
        <w:t>Journal of Law and Economics</w:t>
      </w:r>
      <w:r w:rsidRPr="00DB6A40">
        <w:rPr>
          <w:rFonts w:ascii="Times New Roman" w:eastAsia="Calibri" w:hAnsi="Times New Roman" w:cs="Times New Roman"/>
        </w:rPr>
        <w:t>, 22(2), 233–261.</w:t>
      </w:r>
    </w:p>
    <w:p w14:paraId="7D0678A8" w14:textId="77777777" w:rsidR="00DB6A40" w:rsidRPr="00DB6A40" w:rsidRDefault="00DB6A40" w:rsidP="00DB6A40">
      <w:pPr>
        <w:spacing w:after="0" w:line="240" w:lineRule="auto"/>
        <w:ind w:left="720" w:hanging="720"/>
        <w:jc w:val="both"/>
        <w:rPr>
          <w:rFonts w:ascii="Times New Roman" w:eastAsia="Calibri" w:hAnsi="Times New Roman" w:cs="Times New Roman"/>
        </w:rPr>
      </w:pPr>
    </w:p>
    <w:p w14:paraId="7C4FB366" w14:textId="77777777" w:rsidR="00DB6A40" w:rsidRPr="00DB6A40" w:rsidRDefault="00DB6A40" w:rsidP="00DB6A40">
      <w:pPr>
        <w:spacing w:after="0" w:line="240" w:lineRule="auto"/>
        <w:ind w:left="720" w:hanging="720"/>
        <w:jc w:val="both"/>
        <w:rPr>
          <w:rFonts w:ascii="Times New Roman" w:eastAsia="Calibri" w:hAnsi="Times New Roman" w:cs="Times New Roman"/>
        </w:rPr>
      </w:pPr>
    </w:p>
    <w:p w14:paraId="6552E094" w14:textId="77777777" w:rsidR="00D24E0B" w:rsidRDefault="00D24E0B" w:rsidP="00DB6A40">
      <w:pPr>
        <w:spacing w:line="240" w:lineRule="auto"/>
        <w:jc w:val="center"/>
        <w:rPr>
          <w:rFonts w:ascii="Times New Roman" w:eastAsia="Calibri" w:hAnsi="Times New Roman" w:cs="Times New Roman"/>
          <w:b/>
          <w14:ligatures w14:val="none"/>
        </w:rPr>
      </w:pPr>
    </w:p>
    <w:p w14:paraId="0B92465C" w14:textId="77777777" w:rsidR="00D24E0B" w:rsidRDefault="00D24E0B" w:rsidP="00DB6A40">
      <w:pPr>
        <w:spacing w:line="240" w:lineRule="auto"/>
        <w:jc w:val="center"/>
        <w:rPr>
          <w:rFonts w:ascii="Times New Roman" w:eastAsia="Calibri" w:hAnsi="Times New Roman" w:cs="Times New Roman"/>
          <w:b/>
          <w14:ligatures w14:val="none"/>
        </w:rPr>
      </w:pPr>
    </w:p>
    <w:p w14:paraId="2D6D25DE" w14:textId="77777777" w:rsidR="00D24E0B" w:rsidRDefault="00D24E0B" w:rsidP="00DB6A40">
      <w:pPr>
        <w:spacing w:line="240" w:lineRule="auto"/>
        <w:jc w:val="center"/>
        <w:rPr>
          <w:rFonts w:ascii="Times New Roman" w:eastAsia="Calibri" w:hAnsi="Times New Roman" w:cs="Times New Roman"/>
          <w:b/>
          <w14:ligatures w14:val="none"/>
        </w:rPr>
      </w:pPr>
    </w:p>
    <w:p w14:paraId="2E03F853" w14:textId="77777777" w:rsidR="00D24E0B" w:rsidRDefault="00D24E0B" w:rsidP="00DB6A40">
      <w:pPr>
        <w:spacing w:line="240" w:lineRule="auto"/>
        <w:jc w:val="center"/>
        <w:rPr>
          <w:rFonts w:ascii="Times New Roman" w:eastAsia="Calibri" w:hAnsi="Times New Roman" w:cs="Times New Roman"/>
          <w:b/>
          <w14:ligatures w14:val="none"/>
        </w:rPr>
      </w:pPr>
    </w:p>
    <w:p w14:paraId="48CD7D35" w14:textId="77777777" w:rsidR="00D24E0B" w:rsidRDefault="00D24E0B" w:rsidP="00DB6A40">
      <w:pPr>
        <w:spacing w:line="240" w:lineRule="auto"/>
        <w:jc w:val="center"/>
        <w:rPr>
          <w:rFonts w:ascii="Times New Roman" w:eastAsia="Calibri" w:hAnsi="Times New Roman" w:cs="Times New Roman"/>
          <w:b/>
          <w14:ligatures w14:val="none"/>
        </w:rPr>
      </w:pPr>
    </w:p>
    <w:p w14:paraId="2A18461E" w14:textId="77777777" w:rsidR="00D24E0B" w:rsidRDefault="00D24E0B" w:rsidP="00DB6A40">
      <w:pPr>
        <w:spacing w:line="240" w:lineRule="auto"/>
        <w:jc w:val="center"/>
        <w:rPr>
          <w:rFonts w:ascii="Times New Roman" w:eastAsia="Calibri" w:hAnsi="Times New Roman" w:cs="Times New Roman"/>
          <w:b/>
          <w14:ligatures w14:val="none"/>
        </w:rPr>
      </w:pPr>
    </w:p>
    <w:p w14:paraId="312A0D0C" w14:textId="77777777" w:rsidR="00D24E0B" w:rsidRDefault="00D24E0B" w:rsidP="00DB6A40">
      <w:pPr>
        <w:spacing w:line="240" w:lineRule="auto"/>
        <w:jc w:val="center"/>
        <w:rPr>
          <w:rFonts w:ascii="Times New Roman" w:eastAsia="Calibri" w:hAnsi="Times New Roman" w:cs="Times New Roman"/>
          <w:b/>
          <w14:ligatures w14:val="none"/>
        </w:rPr>
      </w:pPr>
    </w:p>
    <w:p w14:paraId="7343979E" w14:textId="77777777" w:rsidR="00D24E0B" w:rsidRDefault="00D24E0B" w:rsidP="00DB6A40">
      <w:pPr>
        <w:spacing w:line="240" w:lineRule="auto"/>
        <w:jc w:val="center"/>
        <w:rPr>
          <w:rFonts w:ascii="Times New Roman" w:eastAsia="Calibri" w:hAnsi="Times New Roman" w:cs="Times New Roman"/>
          <w:b/>
          <w14:ligatures w14:val="none"/>
        </w:rPr>
      </w:pPr>
    </w:p>
    <w:p w14:paraId="79BF8188" w14:textId="77777777" w:rsidR="00D24E0B" w:rsidRDefault="00D24E0B" w:rsidP="00DB6A40">
      <w:pPr>
        <w:spacing w:line="240" w:lineRule="auto"/>
        <w:jc w:val="center"/>
        <w:rPr>
          <w:rFonts w:ascii="Times New Roman" w:eastAsia="Calibri" w:hAnsi="Times New Roman" w:cs="Times New Roman"/>
          <w:b/>
          <w14:ligatures w14:val="none"/>
        </w:rPr>
      </w:pPr>
    </w:p>
    <w:p w14:paraId="23AE2AA3" w14:textId="77777777" w:rsidR="00D24E0B" w:rsidRDefault="00D24E0B" w:rsidP="00DB6A40">
      <w:pPr>
        <w:spacing w:line="240" w:lineRule="auto"/>
        <w:jc w:val="center"/>
        <w:rPr>
          <w:rFonts w:ascii="Times New Roman" w:eastAsia="Calibri" w:hAnsi="Times New Roman" w:cs="Times New Roman"/>
          <w:b/>
          <w14:ligatures w14:val="none"/>
        </w:rPr>
      </w:pPr>
    </w:p>
    <w:p w14:paraId="6EA85279" w14:textId="77777777" w:rsidR="00D24E0B" w:rsidRDefault="00D24E0B" w:rsidP="00DB6A40">
      <w:pPr>
        <w:spacing w:line="240" w:lineRule="auto"/>
        <w:jc w:val="center"/>
        <w:rPr>
          <w:rFonts w:ascii="Times New Roman" w:eastAsia="Calibri" w:hAnsi="Times New Roman" w:cs="Times New Roman"/>
          <w:b/>
          <w14:ligatures w14:val="none"/>
        </w:rPr>
      </w:pPr>
    </w:p>
    <w:p w14:paraId="64CB248F" w14:textId="77777777" w:rsidR="00D24E0B" w:rsidRDefault="00D24E0B" w:rsidP="00DB6A40">
      <w:pPr>
        <w:spacing w:line="240" w:lineRule="auto"/>
        <w:jc w:val="center"/>
        <w:rPr>
          <w:rFonts w:ascii="Times New Roman" w:eastAsia="Calibri" w:hAnsi="Times New Roman" w:cs="Times New Roman"/>
          <w:b/>
          <w14:ligatures w14:val="none"/>
        </w:rPr>
      </w:pPr>
    </w:p>
    <w:p w14:paraId="09E25C07" w14:textId="77777777" w:rsidR="00D24E0B" w:rsidRDefault="00D24E0B" w:rsidP="00DB6A40">
      <w:pPr>
        <w:spacing w:line="240" w:lineRule="auto"/>
        <w:jc w:val="center"/>
        <w:rPr>
          <w:rFonts w:ascii="Times New Roman" w:eastAsia="Calibri" w:hAnsi="Times New Roman" w:cs="Times New Roman"/>
          <w:b/>
          <w14:ligatures w14:val="none"/>
        </w:rPr>
      </w:pPr>
    </w:p>
    <w:p w14:paraId="7EA2A871" w14:textId="77777777" w:rsidR="00D24E0B" w:rsidRDefault="00D24E0B" w:rsidP="00DB6A40">
      <w:pPr>
        <w:spacing w:line="240" w:lineRule="auto"/>
        <w:jc w:val="center"/>
        <w:rPr>
          <w:rFonts w:ascii="Times New Roman" w:eastAsia="Calibri" w:hAnsi="Times New Roman" w:cs="Times New Roman"/>
          <w:b/>
          <w14:ligatures w14:val="none"/>
        </w:rPr>
      </w:pPr>
    </w:p>
    <w:p w14:paraId="4106379B" w14:textId="77777777" w:rsidR="00D24E0B" w:rsidRDefault="00D24E0B" w:rsidP="00DB6A40">
      <w:pPr>
        <w:spacing w:line="240" w:lineRule="auto"/>
        <w:jc w:val="center"/>
        <w:rPr>
          <w:rFonts w:ascii="Times New Roman" w:eastAsia="Calibri" w:hAnsi="Times New Roman" w:cs="Times New Roman"/>
          <w:b/>
          <w14:ligatures w14:val="none"/>
        </w:rPr>
      </w:pPr>
    </w:p>
    <w:p w14:paraId="7FEF92FB" w14:textId="77777777" w:rsidR="00D24E0B" w:rsidRDefault="00D24E0B" w:rsidP="00DB6A40">
      <w:pPr>
        <w:spacing w:line="240" w:lineRule="auto"/>
        <w:jc w:val="center"/>
        <w:rPr>
          <w:rFonts w:ascii="Times New Roman" w:eastAsia="Calibri" w:hAnsi="Times New Roman" w:cs="Times New Roman"/>
          <w:b/>
          <w14:ligatures w14:val="none"/>
        </w:rPr>
      </w:pPr>
    </w:p>
    <w:p w14:paraId="4031ACD1" w14:textId="77777777" w:rsidR="00D24E0B" w:rsidRDefault="00D24E0B" w:rsidP="00DB6A40">
      <w:pPr>
        <w:spacing w:line="240" w:lineRule="auto"/>
        <w:jc w:val="center"/>
        <w:rPr>
          <w:rFonts w:ascii="Times New Roman" w:eastAsia="Calibri" w:hAnsi="Times New Roman" w:cs="Times New Roman"/>
          <w:b/>
          <w14:ligatures w14:val="none"/>
        </w:rPr>
      </w:pPr>
    </w:p>
    <w:p w14:paraId="7076F1A8" w14:textId="77777777" w:rsidR="00D24E0B" w:rsidRDefault="00D24E0B" w:rsidP="00DB6A40">
      <w:pPr>
        <w:spacing w:line="240" w:lineRule="auto"/>
        <w:jc w:val="center"/>
        <w:rPr>
          <w:rFonts w:ascii="Times New Roman" w:eastAsia="Calibri" w:hAnsi="Times New Roman" w:cs="Times New Roman"/>
          <w:b/>
          <w14:ligatures w14:val="none"/>
        </w:rPr>
      </w:pPr>
    </w:p>
    <w:p w14:paraId="3ADB093A" w14:textId="20465123" w:rsidR="00DB6A40" w:rsidRPr="00DB6A40" w:rsidRDefault="00DB6A40" w:rsidP="00DB6A40">
      <w:pPr>
        <w:spacing w:line="240" w:lineRule="auto"/>
        <w:jc w:val="center"/>
        <w:rPr>
          <w:rFonts w:ascii="Times New Roman" w:eastAsia="Calibri" w:hAnsi="Times New Roman" w:cs="Times New Roman"/>
          <w:b/>
          <w:bCs/>
          <w14:ligatures w14:val="none"/>
        </w:rPr>
      </w:pPr>
      <w:r w:rsidRPr="00DB6A40">
        <w:rPr>
          <w:rFonts w:ascii="Times New Roman" w:eastAsia="Calibri" w:hAnsi="Times New Roman" w:cs="Times New Roman"/>
          <w:b/>
          <w14:ligatures w14:val="none"/>
        </w:rPr>
        <w:lastRenderedPageBreak/>
        <w:t>DIGITAL PAYMENT</w:t>
      </w:r>
      <w:r w:rsidRPr="00DB6A40">
        <w:rPr>
          <w:rFonts w:ascii="Times New Roman" w:eastAsia="Calibri" w:hAnsi="Times New Roman" w:cs="Times New Roman"/>
          <w:b/>
          <w:bCs/>
          <w14:ligatures w14:val="none"/>
        </w:rPr>
        <w:t xml:space="preserve">AND </w:t>
      </w:r>
      <w:r w:rsidRPr="00DB6A40">
        <w:rPr>
          <w:rFonts w:ascii="Times New Roman" w:eastAsia="Calibri" w:hAnsi="Times New Roman" w:cs="Times New Roman"/>
          <w:b/>
          <w14:ligatures w14:val="none"/>
        </w:rPr>
        <w:t>FINANCIAL INCLUSION</w:t>
      </w:r>
      <w:r w:rsidRPr="00DB6A40">
        <w:rPr>
          <w:rFonts w:ascii="Times New Roman" w:eastAsia="Calibri" w:hAnsi="Times New Roman" w:cs="Times New Roman"/>
          <w:b/>
          <w:bCs/>
          <w14:ligatures w14:val="none"/>
        </w:rPr>
        <w:t xml:space="preserve"> IN NIGERIA</w:t>
      </w:r>
      <w:r w:rsidRPr="00DB6A40">
        <w:rPr>
          <w:rFonts w:ascii="Times New Roman" w:eastAsia="Calibri" w:hAnsi="Times New Roman" w:cs="Times New Roman"/>
          <w:b/>
          <w14:ligatures w14:val="none"/>
        </w:rPr>
        <w:t xml:space="preserve"> COMMERCIAL BANKS  </w:t>
      </w:r>
    </w:p>
    <w:p w14:paraId="7FFDCFFB" w14:textId="77777777" w:rsidR="00DB6A40" w:rsidRPr="00DB6A40" w:rsidRDefault="00DB6A40" w:rsidP="00DB6A40">
      <w:pPr>
        <w:jc w:val="center"/>
        <w:rPr>
          <w:rFonts w:ascii="Times New Roman" w:eastAsia="Calibri" w:hAnsi="Times New Roman" w:cs="Times New Roman"/>
          <w:b/>
          <w14:ligatures w14:val="none"/>
        </w:rPr>
      </w:pPr>
    </w:p>
    <w:p w14:paraId="4720CF30" w14:textId="77777777" w:rsidR="00DB6A40" w:rsidRPr="00DB6A40" w:rsidRDefault="00DB6A40" w:rsidP="00DB6A40">
      <w:pPr>
        <w:jc w:val="center"/>
        <w:rPr>
          <w:rFonts w:ascii="Times New Roman" w:eastAsia="Calibri" w:hAnsi="Times New Roman" w:cs="Times New Roman"/>
          <w:b/>
          <w14:ligatures w14:val="none"/>
        </w:rPr>
      </w:pPr>
      <w:proofErr w:type="spellStart"/>
      <w:r w:rsidRPr="00DB6A40">
        <w:rPr>
          <w:rFonts w:ascii="Times New Roman" w:eastAsia="Calibri" w:hAnsi="Times New Roman" w:cs="Times New Roman"/>
          <w:b/>
          <w14:ligatures w14:val="none"/>
        </w:rPr>
        <w:t>Akpokerere</w:t>
      </w:r>
      <w:proofErr w:type="spellEnd"/>
      <w:r w:rsidRPr="00DB6A40">
        <w:rPr>
          <w:rFonts w:ascii="Times New Roman" w:eastAsia="Calibri" w:hAnsi="Times New Roman" w:cs="Times New Roman"/>
          <w:b/>
          <w14:ligatures w14:val="none"/>
        </w:rPr>
        <w:t xml:space="preserve"> </w:t>
      </w:r>
      <w:proofErr w:type="spellStart"/>
      <w:r w:rsidRPr="00DB6A40">
        <w:rPr>
          <w:rFonts w:ascii="Times New Roman" w:eastAsia="Calibri" w:hAnsi="Times New Roman" w:cs="Times New Roman"/>
          <w:b/>
          <w14:ligatures w14:val="none"/>
        </w:rPr>
        <w:t>Othuke</w:t>
      </w:r>
      <w:proofErr w:type="spellEnd"/>
      <w:r w:rsidRPr="00DB6A40">
        <w:rPr>
          <w:rFonts w:ascii="Times New Roman" w:eastAsia="Calibri" w:hAnsi="Times New Roman" w:cs="Times New Roman"/>
          <w:b/>
          <w14:ligatures w14:val="none"/>
        </w:rPr>
        <w:t xml:space="preserve"> Emmanuel (</w:t>
      </w:r>
      <w:proofErr w:type="spellStart"/>
      <w:proofErr w:type="gramStart"/>
      <w:r w:rsidRPr="00DB6A40">
        <w:rPr>
          <w:rFonts w:ascii="Times New Roman" w:eastAsia="Calibri" w:hAnsi="Times New Roman" w:cs="Times New Roman"/>
          <w:b/>
          <w14:ligatures w14:val="none"/>
        </w:rPr>
        <w:t>Ph.D</w:t>
      </w:r>
      <w:proofErr w:type="spellEnd"/>
      <w:proofErr w:type="gramEnd"/>
      <w:r w:rsidRPr="00DB6A40">
        <w:rPr>
          <w:rFonts w:ascii="Times New Roman" w:eastAsia="Calibri" w:hAnsi="Times New Roman" w:cs="Times New Roman"/>
          <w:b/>
          <w14:ligatures w14:val="none"/>
        </w:rPr>
        <w:t>)</w:t>
      </w:r>
    </w:p>
    <w:p w14:paraId="50B939C8" w14:textId="77777777" w:rsidR="00DB6A40" w:rsidRPr="00DB6A40" w:rsidRDefault="00DB6A40" w:rsidP="00DB6A40">
      <w:pPr>
        <w:jc w:val="center"/>
        <w:rPr>
          <w:rFonts w:ascii="Times New Roman" w:eastAsia="Calibri" w:hAnsi="Times New Roman" w:cs="Times New Roman"/>
          <w:b/>
          <w14:ligatures w14:val="none"/>
        </w:rPr>
      </w:pPr>
      <w:r w:rsidRPr="00DB6A40">
        <w:rPr>
          <w:rFonts w:ascii="Times New Roman" w:eastAsia="Calibri" w:hAnsi="Times New Roman" w:cs="Times New Roman"/>
          <w:b/>
          <w14:ligatures w14:val="none"/>
        </w:rPr>
        <w:t>Department of Banking and Finance</w:t>
      </w:r>
    </w:p>
    <w:p w14:paraId="6CEA8339" w14:textId="77777777" w:rsidR="00DB6A40" w:rsidRPr="00DB6A40" w:rsidRDefault="00DB6A40" w:rsidP="00DB6A40">
      <w:pPr>
        <w:jc w:val="center"/>
        <w:rPr>
          <w:rFonts w:ascii="Times New Roman" w:eastAsia="Calibri" w:hAnsi="Times New Roman" w:cs="Times New Roman"/>
          <w:b/>
          <w14:ligatures w14:val="none"/>
        </w:rPr>
      </w:pPr>
      <w:r w:rsidRPr="00DB6A40">
        <w:rPr>
          <w:rFonts w:ascii="Times New Roman" w:eastAsia="Calibri" w:hAnsi="Times New Roman" w:cs="Times New Roman"/>
          <w:b/>
          <w14:ligatures w14:val="none"/>
        </w:rPr>
        <w:t>Faculty Administration and Management</w:t>
      </w:r>
    </w:p>
    <w:p w14:paraId="7BB90C2D" w14:textId="77777777" w:rsidR="00DB6A40" w:rsidRPr="00DB6A40" w:rsidRDefault="00DB6A40" w:rsidP="00DB6A40">
      <w:pPr>
        <w:jc w:val="center"/>
        <w:rPr>
          <w:rFonts w:ascii="Times New Roman" w:eastAsia="Calibri" w:hAnsi="Times New Roman" w:cs="Times New Roman"/>
          <w:b/>
          <w14:ligatures w14:val="none"/>
        </w:rPr>
      </w:pPr>
      <w:r w:rsidRPr="00DB6A40">
        <w:rPr>
          <w:rFonts w:ascii="Times New Roman" w:eastAsia="Calibri" w:hAnsi="Times New Roman" w:cs="Times New Roman"/>
          <w:b/>
          <w14:ligatures w14:val="none"/>
        </w:rPr>
        <w:t xml:space="preserve">Southern Delta University, </w:t>
      </w:r>
      <w:proofErr w:type="spellStart"/>
      <w:r w:rsidRPr="00DB6A40">
        <w:rPr>
          <w:rFonts w:ascii="Times New Roman" w:eastAsia="Calibri" w:hAnsi="Times New Roman" w:cs="Times New Roman"/>
          <w:b/>
          <w14:ligatures w14:val="none"/>
        </w:rPr>
        <w:t>Ozoro</w:t>
      </w:r>
      <w:proofErr w:type="spellEnd"/>
      <w:r w:rsidRPr="00DB6A40">
        <w:rPr>
          <w:rFonts w:ascii="Times New Roman" w:eastAsia="Calibri" w:hAnsi="Times New Roman" w:cs="Times New Roman"/>
          <w:b/>
          <w14:ligatures w14:val="none"/>
        </w:rPr>
        <w:t>, Delta State</w:t>
      </w:r>
    </w:p>
    <w:p w14:paraId="05151EE6" w14:textId="77777777" w:rsidR="00DB6A40" w:rsidRPr="00DB6A40" w:rsidRDefault="00DB6A40" w:rsidP="00DB6A40">
      <w:pPr>
        <w:jc w:val="center"/>
        <w:rPr>
          <w:rFonts w:ascii="Times New Roman" w:eastAsia="Calibri" w:hAnsi="Times New Roman" w:cs="Times New Roman"/>
          <w:b/>
          <w14:ligatures w14:val="none"/>
        </w:rPr>
      </w:pPr>
      <w:r w:rsidRPr="00DB6A40">
        <w:rPr>
          <w:rFonts w:ascii="Times New Roman" w:eastAsia="Calibri" w:hAnsi="Times New Roman" w:cs="Times New Roman"/>
          <w:b/>
          <w14:ligatures w14:val="none"/>
        </w:rPr>
        <w:t>08063753039</w:t>
      </w:r>
    </w:p>
    <w:p w14:paraId="164F1D79" w14:textId="77777777" w:rsidR="00DB6A40" w:rsidRPr="00DB6A40" w:rsidRDefault="00DB6A40" w:rsidP="00DB6A40">
      <w:pPr>
        <w:jc w:val="center"/>
        <w:rPr>
          <w:rFonts w:ascii="Times New Roman" w:eastAsia="Calibri" w:hAnsi="Times New Roman" w:cs="Times New Roman"/>
          <w:b/>
          <w14:ligatures w14:val="none"/>
        </w:rPr>
      </w:pPr>
    </w:p>
    <w:p w14:paraId="742A5C1B" w14:textId="77777777" w:rsidR="00DB6A40" w:rsidRPr="00DB6A40" w:rsidRDefault="00DB6A40" w:rsidP="00DB6A40">
      <w:pPr>
        <w:jc w:val="center"/>
        <w:rPr>
          <w:rFonts w:ascii="Times New Roman" w:eastAsia="Calibri" w:hAnsi="Times New Roman" w:cs="Times New Roman"/>
          <w:b/>
          <w14:ligatures w14:val="none"/>
        </w:rPr>
      </w:pPr>
      <w:hyperlink r:id="rId84" w:history="1">
        <w:r w:rsidRPr="00DB6A40">
          <w:rPr>
            <w:rFonts w:ascii="Times New Roman" w:eastAsia="Calibri" w:hAnsi="Times New Roman" w:cs="Times New Roman"/>
            <w:b/>
            <w:color w:val="0563C1"/>
            <w:u w:val="single"/>
            <w14:ligatures w14:val="none"/>
          </w:rPr>
          <w:t>Akpokerereemma@gmail.com</w:t>
        </w:r>
      </w:hyperlink>
    </w:p>
    <w:p w14:paraId="181C7E02" w14:textId="77777777" w:rsidR="00DB6A40" w:rsidRPr="00DB6A40" w:rsidRDefault="00DB6A40" w:rsidP="00DB6A40">
      <w:pPr>
        <w:jc w:val="center"/>
        <w:rPr>
          <w:rFonts w:ascii="Times New Roman" w:eastAsia="Calibri" w:hAnsi="Times New Roman" w:cs="Times New Roman"/>
          <w:b/>
          <w14:ligatures w14:val="none"/>
        </w:rPr>
      </w:pPr>
      <w:hyperlink r:id="rId85" w:history="1">
        <w:r w:rsidRPr="00DB6A40">
          <w:rPr>
            <w:rFonts w:ascii="Times New Roman" w:eastAsia="Calibri" w:hAnsi="Times New Roman" w:cs="Times New Roman"/>
            <w:b/>
            <w:color w:val="0563C1"/>
            <w:u w:val="single"/>
            <w14:ligatures w14:val="none"/>
          </w:rPr>
          <w:t>akpokerereeo@dsust.edu.ng</w:t>
        </w:r>
      </w:hyperlink>
    </w:p>
    <w:p w14:paraId="181AD27E" w14:textId="77777777" w:rsidR="00DB6A40" w:rsidRPr="00DB6A40" w:rsidRDefault="00DB6A40" w:rsidP="00DB6A40">
      <w:pPr>
        <w:spacing w:line="240" w:lineRule="auto"/>
        <w:jc w:val="center"/>
        <w:rPr>
          <w:rFonts w:ascii="Times New Roman" w:eastAsia="Calibri" w:hAnsi="Times New Roman" w:cs="Times New Roman"/>
          <w:b/>
          <w:bCs/>
          <w14:ligatures w14:val="none"/>
        </w:rPr>
      </w:pPr>
    </w:p>
    <w:p w14:paraId="5809F55A" w14:textId="77777777" w:rsidR="00DB6A40" w:rsidRPr="00DB6A40" w:rsidRDefault="00DB6A40" w:rsidP="00DB6A40">
      <w:pPr>
        <w:spacing w:line="240" w:lineRule="auto"/>
        <w:jc w:val="center"/>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ABSTRACT</w:t>
      </w:r>
    </w:p>
    <w:p w14:paraId="111665C6" w14:textId="77777777" w:rsidR="00DB6A40" w:rsidRPr="00DB6A40" w:rsidRDefault="00DB6A40" w:rsidP="00DB6A40">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This study investigated the relationship between digital payment systems and financial inclusion in Nigeria’s commercial banks over the period 2000–2024. Using an ex-post facto research design and secondary data sourced from the Central Bank of Nigeria Statistical Bulletin and the National Bureau of Statistics, the study proxied financial inclusion with number of bank accounts (NBAC) and digital payment through ATM transactions (ATMT), POS transactions (POST), digital currency transactions (DCT), and adoption rate of digital banking services (ARDBS). The methodology employed OLS regression analysis with E-Views 9.0, complemented by diagnostic tests including multicollinearity, heteroscedasticity, and autocorrelation checks to ensure model robustness. Findings revealed that ATMT had no significant effect on NBAC, underscoring its reduced relevance as newer channels dominated. POST significantly and positively influenced NBAC, indicating that POS penetration drove inclusion by integrating financial services into daily transactions. Conversely, DCT showed a significant negative effect on NBAC, suggesting that despite potential, poor trust, low literacy, and limited integration hindered its role in promoting inclusion. ARDBS demonstrated a significant positive effect, highlighting the growing importance of mobile and internet banking platforms in expanding account ownership and access to financial services. The study concluded that while modern channels like POST and ARDBS advanced financial inclusion, traditional or weakly integrated channels such as ATMT and DCT contributed less effectively. It recommended increased POS adoption, stronger digital literacy and trust-building measures for DCT, innovative ATM integration, and continuous enhancement of digital banking platforms. </w:t>
      </w:r>
    </w:p>
    <w:p w14:paraId="234B1BDF" w14:textId="77777777" w:rsidR="00DB6A40" w:rsidRPr="00DB6A40" w:rsidRDefault="00DB6A40" w:rsidP="00DB6A40">
      <w:pPr>
        <w:spacing w:line="240" w:lineRule="auto"/>
        <w:jc w:val="center"/>
        <w:rPr>
          <w:rFonts w:ascii="Times New Roman" w:eastAsia="Calibri" w:hAnsi="Times New Roman" w:cs="Times New Roman"/>
          <w:b/>
          <w:bCs/>
          <w14:ligatures w14:val="none"/>
        </w:rPr>
      </w:pPr>
    </w:p>
    <w:p w14:paraId="137903AB" w14:textId="77777777" w:rsidR="00DB6A40" w:rsidRPr="00DB6A40" w:rsidRDefault="00DB6A40" w:rsidP="00DB6A40">
      <w:pPr>
        <w:spacing w:line="240" w:lineRule="auto"/>
        <w:jc w:val="both"/>
        <w:rPr>
          <w:rFonts w:ascii="Times New Roman" w:eastAsia="Calibri" w:hAnsi="Times New Roman" w:cs="Times New Roman"/>
          <w:b/>
          <w:bCs/>
          <w:i/>
          <w:iCs/>
          <w14:ligatures w14:val="none"/>
        </w:rPr>
      </w:pPr>
      <w:r w:rsidRPr="00DB6A40">
        <w:rPr>
          <w:rFonts w:ascii="Times New Roman" w:eastAsia="Calibri" w:hAnsi="Times New Roman" w:cs="Times New Roman"/>
          <w:b/>
          <w:bCs/>
          <w:i/>
          <w:iCs/>
          <w14:ligatures w14:val="none"/>
        </w:rPr>
        <w:t xml:space="preserve">Key Words: Digital payment, POS transactions, Digital currency </w:t>
      </w:r>
      <w:proofErr w:type="gramStart"/>
      <w:r w:rsidRPr="00DB6A40">
        <w:rPr>
          <w:rFonts w:ascii="Times New Roman" w:eastAsia="Calibri" w:hAnsi="Times New Roman" w:cs="Times New Roman"/>
          <w:b/>
          <w:bCs/>
          <w:i/>
          <w:iCs/>
          <w14:ligatures w14:val="none"/>
        </w:rPr>
        <w:t>transactions,  Number</w:t>
      </w:r>
      <w:proofErr w:type="gramEnd"/>
      <w:r w:rsidRPr="00DB6A40">
        <w:rPr>
          <w:rFonts w:ascii="Times New Roman" w:eastAsia="Calibri" w:hAnsi="Times New Roman" w:cs="Times New Roman"/>
          <w:b/>
          <w:bCs/>
          <w:i/>
          <w:iCs/>
          <w14:ligatures w14:val="none"/>
        </w:rPr>
        <w:t xml:space="preserve"> of bank accounts, </w:t>
      </w:r>
      <w:proofErr w:type="gramStart"/>
      <w:r w:rsidRPr="00DB6A40">
        <w:rPr>
          <w:rFonts w:ascii="Times New Roman" w:eastAsia="Calibri" w:hAnsi="Times New Roman" w:cs="Times New Roman"/>
          <w:b/>
          <w:bCs/>
          <w:i/>
          <w:iCs/>
          <w14:ligatures w14:val="none"/>
        </w:rPr>
        <w:t>Financial</w:t>
      </w:r>
      <w:proofErr w:type="gramEnd"/>
      <w:r w:rsidRPr="00DB6A40">
        <w:rPr>
          <w:rFonts w:ascii="Times New Roman" w:eastAsia="Calibri" w:hAnsi="Times New Roman" w:cs="Times New Roman"/>
          <w:b/>
          <w:bCs/>
          <w:i/>
          <w:iCs/>
          <w14:ligatures w14:val="none"/>
        </w:rPr>
        <w:t xml:space="preserve"> inclusion.</w:t>
      </w:r>
    </w:p>
    <w:p w14:paraId="5938B48A" w14:textId="77777777" w:rsidR="007223FC" w:rsidRDefault="007223FC" w:rsidP="00DB6A40">
      <w:pPr>
        <w:tabs>
          <w:tab w:val="left" w:pos="1215"/>
        </w:tabs>
        <w:spacing w:line="360" w:lineRule="auto"/>
        <w:rPr>
          <w:rFonts w:ascii="Times New Roman" w:eastAsia="Calibri" w:hAnsi="Times New Roman" w:cs="Times New Roman"/>
          <w:b/>
          <w:bCs/>
          <w14:ligatures w14:val="none"/>
        </w:rPr>
      </w:pPr>
    </w:p>
    <w:p w14:paraId="1B574310" w14:textId="403F58A6" w:rsidR="00DB6A40" w:rsidRPr="00DB6A40" w:rsidRDefault="00DB6A40" w:rsidP="007223FC">
      <w:pPr>
        <w:tabs>
          <w:tab w:val="left" w:pos="1215"/>
        </w:tabs>
        <w:spacing w:line="240" w:lineRule="auto"/>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 xml:space="preserve">INTRODUCTION </w:t>
      </w:r>
    </w:p>
    <w:p w14:paraId="7DB481F8"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Nigeria’s financial sector has undergone rapid transformation in the last two decades, driven by innovations in Digital Payment (DP) systems and policy frameworks aimed at deepening Financial Inclusion (FI). The growth of channels such as ATM transactions, POS transactions, digital currencies, and the adoption of digital banking services has significantly reshaped how individuals and businesses interact with Commercial Banks (CBs). These </w:t>
      </w:r>
      <w:r w:rsidRPr="00DB6A40">
        <w:rPr>
          <w:rFonts w:ascii="Times New Roman" w:eastAsia="Calibri" w:hAnsi="Times New Roman" w:cs="Times New Roman"/>
          <w14:ligatures w14:val="none"/>
        </w:rPr>
        <w:lastRenderedPageBreak/>
        <w:t>platforms have emerged as critical enablers of efficiency, transparency, and accessibility within the financial system, positioning DP infrastructures as indispensable tools for achieving inclusive growth (Ekong &amp; Ekong, 2022). The central role of CBs in this process highlights the need for continuous exploration of the relationship between DP channels and the number of bank accounts as a proxy for FI in Nigeria (</w:t>
      </w:r>
      <w:proofErr w:type="spellStart"/>
      <w:r w:rsidRPr="00DB6A40">
        <w:rPr>
          <w:rFonts w:ascii="Times New Roman" w:eastAsia="Calibri" w:hAnsi="Times New Roman" w:cs="Times New Roman"/>
          <w14:ligatures w14:val="none"/>
        </w:rPr>
        <w:t>Qazeem</w:t>
      </w:r>
      <w:proofErr w:type="spellEnd"/>
      <w:r w:rsidRPr="00DB6A40">
        <w:rPr>
          <w:rFonts w:ascii="Times New Roman" w:eastAsia="Calibri" w:hAnsi="Times New Roman" w:cs="Times New Roman"/>
          <w14:ligatures w14:val="none"/>
        </w:rPr>
        <w:t xml:space="preserve">, 2024, </w:t>
      </w:r>
      <w:proofErr w:type="spellStart"/>
      <w:r w:rsidRPr="00DB6A40">
        <w:rPr>
          <w:rFonts w:ascii="Times New Roman" w:eastAsia="Calibri" w:hAnsi="Times New Roman" w:cs="Times New Roman"/>
          <w14:ligatures w14:val="none"/>
        </w:rPr>
        <w:t>Akpokerere</w:t>
      </w:r>
      <w:proofErr w:type="spellEnd"/>
      <w:r w:rsidRPr="00DB6A40">
        <w:rPr>
          <w:rFonts w:ascii="Times New Roman" w:eastAsia="Calibri" w:hAnsi="Times New Roman" w:cs="Times New Roman"/>
          <w14:ligatures w14:val="none"/>
        </w:rPr>
        <w:t xml:space="preserve"> &amp; Oboro, 2017).</w:t>
      </w:r>
    </w:p>
    <w:p w14:paraId="10EAFA09"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expansion of digital platforms has not only improved service delivery but has also introduced new dimensions to the understanding of financial intermediation. The integration of ATMs, POS networks, and digital currency initiatives has created broader access to financial services, reducing traditional barriers to participation in the banking system. At the same time, the adoption rate of digital banking services reflects societal shifts in trust, awareness, and usage of financial technology. These transitions are deeply connected to institutional effectiveness, infrastructural development, and customer confidence in financial systems, reinforcing the link between digital transformation and inclusive finance (</w:t>
      </w:r>
      <w:proofErr w:type="spellStart"/>
      <w:r w:rsidRPr="00DB6A40">
        <w:rPr>
          <w:rFonts w:ascii="Times New Roman" w:eastAsia="Calibri" w:hAnsi="Times New Roman" w:cs="Times New Roman"/>
          <w14:ligatures w14:val="none"/>
        </w:rPr>
        <w:t>Onuegbu</w:t>
      </w:r>
      <w:proofErr w:type="spellEnd"/>
      <w:r w:rsidRPr="00DB6A40">
        <w:rPr>
          <w:rFonts w:ascii="Times New Roman" w:eastAsia="Calibri" w:hAnsi="Times New Roman" w:cs="Times New Roman"/>
          <w14:ligatures w14:val="none"/>
        </w:rPr>
        <w:t xml:space="preserve"> et al 2025). Such interconnections underscore the relevance of studying digital financial channels in relation to the expansion of account ownership within Nigerian banks.</w:t>
      </w:r>
    </w:p>
    <w:p w14:paraId="2186F753"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Despite remarkable progress, challenges persist in achieving comprehensive FI in Nigeria. Structural constraints, including limited infrastructure, digital literacy gaps, and regional disparities, continue to hinder full participation in formal banking. The promise of DP platforms, therefore, lies not only in technological innovation but also in their ability to foster equitable access, ensure trust, and sustain long-term adoption. Understanding how ATM transactions, POS transactions, digital currency use, and digital banking adoption jointly influence the number of bank accounts is central to mapping the trajectory of FI. This focus provides the foundation for doctoral-level inquiry into the dynamics between digital payments and inclusive banking in Nigeria (</w:t>
      </w: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2025, </w:t>
      </w:r>
      <w:proofErr w:type="spellStart"/>
      <w:r w:rsidRPr="00DB6A40">
        <w:rPr>
          <w:rFonts w:ascii="Times New Roman" w:eastAsia="Calibri" w:hAnsi="Times New Roman" w:cs="Times New Roman"/>
          <w14:ligatures w14:val="none"/>
        </w:rPr>
        <w:t>Akpokerere</w:t>
      </w:r>
      <w:proofErr w:type="spellEnd"/>
      <w:r w:rsidRPr="00DB6A40">
        <w:rPr>
          <w:rFonts w:ascii="Times New Roman" w:eastAsia="Calibri" w:hAnsi="Times New Roman" w:cs="Times New Roman"/>
          <w14:ligatures w14:val="none"/>
        </w:rPr>
        <w:t>, 2024).</w:t>
      </w:r>
    </w:p>
    <w:p w14:paraId="51CAECA4"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The rapid expansion of DP systems in Nigeria, reflected in ATM transactions, POS usage, digital currency adoption, and broader digital banking services, has been widely acknowledged as a potential driver of FI, measured by the number of bank accounts in CBs. However, the actual linkage between these DP proxies and FI outcomes remains inconclusive, as existing empirical works present fragmented and sometimes contradictory evidence. Many studies either focus narrowly on specific channels or adopt descriptive approaches that do not adequately quantify the marginal effects of DP indicators on inclusion. Ekong and Ekong (2022) recognize the contribution of DP instruments but do not explicitly disentangle their individual effects on account ownership. </w:t>
      </w:r>
      <w:proofErr w:type="spellStart"/>
      <w:r w:rsidRPr="00DB6A40">
        <w:rPr>
          <w:rFonts w:ascii="Times New Roman" w:eastAsia="Calibri" w:hAnsi="Times New Roman" w:cs="Times New Roman"/>
          <w14:ligatures w14:val="none"/>
        </w:rPr>
        <w:t>Qazeem</w:t>
      </w:r>
      <w:proofErr w:type="spellEnd"/>
      <w:r w:rsidRPr="00DB6A40">
        <w:rPr>
          <w:rFonts w:ascii="Times New Roman" w:eastAsia="Calibri" w:hAnsi="Times New Roman" w:cs="Times New Roman"/>
          <w14:ligatures w14:val="none"/>
        </w:rPr>
        <w:t xml:space="preserve"> (2024) emphasizes fintech’s role in expanding financial services but neglects to establish a linear predictive framework that explains variations in inclusion levels. </w:t>
      </w:r>
      <w:proofErr w:type="spellStart"/>
      <w:r w:rsidRPr="00DB6A40">
        <w:rPr>
          <w:rFonts w:ascii="Times New Roman" w:eastAsia="Calibri" w:hAnsi="Times New Roman" w:cs="Times New Roman"/>
          <w14:ligatures w14:val="none"/>
        </w:rPr>
        <w:t>Onuegbu</w:t>
      </w:r>
      <w:proofErr w:type="spellEnd"/>
      <w:r w:rsidRPr="00DB6A40">
        <w:rPr>
          <w:rFonts w:ascii="Times New Roman" w:eastAsia="Calibri" w:hAnsi="Times New Roman" w:cs="Times New Roman"/>
          <w14:ligatures w14:val="none"/>
        </w:rPr>
        <w:t xml:space="preserve">, </w:t>
      </w:r>
      <w:proofErr w:type="spellStart"/>
      <w:r w:rsidRPr="00DB6A40">
        <w:rPr>
          <w:rFonts w:ascii="Times New Roman" w:eastAsia="Calibri" w:hAnsi="Times New Roman" w:cs="Times New Roman"/>
          <w14:ligatures w14:val="none"/>
        </w:rPr>
        <w:t>Agbamu</w:t>
      </w:r>
      <w:proofErr w:type="spellEnd"/>
      <w:r w:rsidRPr="00DB6A40">
        <w:rPr>
          <w:rFonts w:ascii="Times New Roman" w:eastAsia="Calibri" w:hAnsi="Times New Roman" w:cs="Times New Roman"/>
          <w14:ligatures w14:val="none"/>
        </w:rPr>
        <w:t xml:space="preserve">, </w:t>
      </w:r>
      <w:proofErr w:type="spellStart"/>
      <w:r w:rsidRPr="00DB6A40">
        <w:rPr>
          <w:rFonts w:ascii="Times New Roman" w:eastAsia="Calibri" w:hAnsi="Times New Roman" w:cs="Times New Roman"/>
          <w14:ligatures w14:val="none"/>
        </w:rPr>
        <w:t>Anyakoha</w:t>
      </w:r>
      <w:proofErr w:type="spellEnd"/>
      <w:r w:rsidRPr="00DB6A40">
        <w:rPr>
          <w:rFonts w:ascii="Times New Roman" w:eastAsia="Calibri" w:hAnsi="Times New Roman" w:cs="Times New Roman"/>
          <w14:ligatures w14:val="none"/>
        </w:rPr>
        <w:t xml:space="preserve">, and </w:t>
      </w:r>
      <w:proofErr w:type="spellStart"/>
      <w:r w:rsidRPr="00DB6A40">
        <w:rPr>
          <w:rFonts w:ascii="Times New Roman" w:eastAsia="Calibri" w:hAnsi="Times New Roman" w:cs="Times New Roman"/>
          <w14:ligatures w14:val="none"/>
        </w:rPr>
        <w:t>Anunike</w:t>
      </w:r>
      <w:proofErr w:type="spellEnd"/>
      <w:r w:rsidRPr="00DB6A40">
        <w:rPr>
          <w:rFonts w:ascii="Times New Roman" w:eastAsia="Calibri" w:hAnsi="Times New Roman" w:cs="Times New Roman"/>
          <w14:ligatures w14:val="none"/>
        </w:rPr>
        <w:t xml:space="preserve"> (2025) highlight regional disparities in digital banking adoption but fail to provide econometric evidence on how these disparities translate into account penetration. Similarly, </w:t>
      </w: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(2025) underscores persistent exclusion despite digital growth but leaves unexplored the statistical significance of specific DP variables in predicting FI. These research gaps reveal the need for a methodological approach that estimates the direct influence of each DP proxy on the number of bank accounts. The Ordinary Least Squares regression model, by allowing for the measurement of linear relationships and significance levels, is therefore appropriate to provide clarity on how DP systems influence FI in Nigerian CBs.</w:t>
      </w:r>
    </w:p>
    <w:p w14:paraId="70E51FF9"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Research Objectives</w:t>
      </w:r>
    </w:p>
    <w:p w14:paraId="21088FD7"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primary objective of this study is to examine the relationship between DP systems and FI in DMBs in Nigeria. The specific objectives are to:</w:t>
      </w:r>
    </w:p>
    <w:p w14:paraId="6082F2A9" w14:textId="77777777" w:rsidR="00DB6A40" w:rsidRPr="00DB6A40" w:rsidRDefault="00DB6A40" w:rsidP="007223FC">
      <w:pPr>
        <w:numPr>
          <w:ilvl w:val="0"/>
          <w:numId w:val="26"/>
        </w:numPr>
        <w:tabs>
          <w:tab w:val="left" w:pos="1215"/>
        </w:tabs>
        <w:spacing w:line="240" w:lineRule="auto"/>
        <w:contextualSpacing/>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Examine the impact of ATM transactions on Number of Bank Accounts (NBAC) in Nigeria CBs.</w:t>
      </w:r>
    </w:p>
    <w:p w14:paraId="1AA42925" w14:textId="77777777" w:rsidR="00DB6A40" w:rsidRPr="00DB6A40" w:rsidRDefault="00DB6A40" w:rsidP="007223FC">
      <w:pPr>
        <w:numPr>
          <w:ilvl w:val="0"/>
          <w:numId w:val="26"/>
        </w:num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Evaluate the effect of POS transactions on NBAC in Nigeria CBs.</w:t>
      </w:r>
    </w:p>
    <w:p w14:paraId="26CB2B90" w14:textId="77777777" w:rsidR="00DB6A40" w:rsidRPr="00DB6A40" w:rsidRDefault="00DB6A40" w:rsidP="007223FC">
      <w:pPr>
        <w:numPr>
          <w:ilvl w:val="0"/>
          <w:numId w:val="26"/>
        </w:num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Investigate the relationship between digital currency transactions and NBAC in Nigeria CBs.</w:t>
      </w:r>
    </w:p>
    <w:p w14:paraId="5B52F2DA" w14:textId="77777777" w:rsidR="00DB6A40" w:rsidRPr="00DB6A40" w:rsidRDefault="00DB6A40" w:rsidP="007223FC">
      <w:pPr>
        <w:numPr>
          <w:ilvl w:val="0"/>
          <w:numId w:val="26"/>
        </w:num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Assess how the adoption rate of digital banking services influences NBAC in Nigeria CBs.</w:t>
      </w:r>
    </w:p>
    <w:p w14:paraId="183B703C"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lastRenderedPageBreak/>
        <w:t>Research Hypotheses</w:t>
      </w:r>
    </w:p>
    <w:p w14:paraId="3B4D7BDF"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H01</w:t>
      </w:r>
      <w:r w:rsidRPr="00DB6A40">
        <w:rPr>
          <w:rFonts w:ascii="Times New Roman" w:eastAsia="Calibri" w:hAnsi="Times New Roman" w:cs="Times New Roman"/>
          <w14:ligatures w14:val="none"/>
        </w:rPr>
        <w:t>: ATM transactions have no significant impact on NBAC in Nigeria CBs.</w:t>
      </w:r>
    </w:p>
    <w:p w14:paraId="2695FE31"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H02</w:t>
      </w:r>
      <w:r w:rsidRPr="00DB6A40">
        <w:rPr>
          <w:rFonts w:ascii="Times New Roman" w:eastAsia="Calibri" w:hAnsi="Times New Roman" w:cs="Times New Roman"/>
          <w14:ligatures w14:val="none"/>
        </w:rPr>
        <w:t>: POS transactions have no significant effect on NBAC in Nigeria CBs.</w:t>
      </w:r>
    </w:p>
    <w:p w14:paraId="63457205"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H03</w:t>
      </w:r>
      <w:r w:rsidRPr="00DB6A40">
        <w:rPr>
          <w:rFonts w:ascii="Times New Roman" w:eastAsia="Calibri" w:hAnsi="Times New Roman" w:cs="Times New Roman"/>
          <w14:ligatures w14:val="none"/>
        </w:rPr>
        <w:t>: Digital currency transactions have no significant relationship with NBAC in Nigeria CBs.</w:t>
      </w:r>
    </w:p>
    <w:p w14:paraId="7A3409F2"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H04</w:t>
      </w:r>
      <w:r w:rsidRPr="00DB6A40">
        <w:rPr>
          <w:rFonts w:ascii="Times New Roman" w:eastAsia="Calibri" w:hAnsi="Times New Roman" w:cs="Times New Roman"/>
          <w14:ligatures w14:val="none"/>
        </w:rPr>
        <w:t>: The adoption rate of digital banking services has no significant influence on NBAC in Nigeria CBs.</w:t>
      </w:r>
    </w:p>
    <w:p w14:paraId="68948B92" w14:textId="77777777" w:rsidR="007223FC" w:rsidRDefault="007223FC" w:rsidP="007223FC">
      <w:pPr>
        <w:tabs>
          <w:tab w:val="left" w:pos="1215"/>
        </w:tabs>
        <w:spacing w:line="240" w:lineRule="auto"/>
        <w:jc w:val="both"/>
        <w:rPr>
          <w:rFonts w:ascii="Times New Roman" w:eastAsia="Calibri" w:hAnsi="Times New Roman" w:cs="Times New Roman"/>
          <w:b/>
          <w:bCs/>
          <w14:ligatures w14:val="none"/>
        </w:rPr>
      </w:pPr>
    </w:p>
    <w:p w14:paraId="396E8AD7" w14:textId="32FB2A5A"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 xml:space="preserve">REVIEW OF RELATED LITERATURE </w:t>
      </w:r>
    </w:p>
    <w:p w14:paraId="60D132BE"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Conceptual Review</w:t>
      </w:r>
    </w:p>
    <w:p w14:paraId="54949EA7"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Digital Payment</w:t>
      </w:r>
    </w:p>
    <w:p w14:paraId="649761A1"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The evolution of DP within Nigeria’s DMBs has transformed the banking landscape by integrating technologies such as ATMs, POS services, mobile and internet banking, and national schemes like </w:t>
      </w:r>
      <w:proofErr w:type="spellStart"/>
      <w:r w:rsidRPr="00DB6A40">
        <w:rPr>
          <w:rFonts w:ascii="Times New Roman" w:eastAsia="Calibri" w:hAnsi="Times New Roman" w:cs="Times New Roman"/>
          <w14:ligatures w14:val="none"/>
        </w:rPr>
        <w:t>AfriGo</w:t>
      </w:r>
      <w:proofErr w:type="spellEnd"/>
      <w:r w:rsidRPr="00DB6A40">
        <w:rPr>
          <w:rFonts w:ascii="Times New Roman" w:eastAsia="Calibri" w:hAnsi="Times New Roman" w:cs="Times New Roman"/>
          <w14:ligatures w14:val="none"/>
        </w:rPr>
        <w:t xml:space="preserve"> Pay into conventional channels. </w:t>
      </w:r>
      <w:proofErr w:type="spellStart"/>
      <w:r w:rsidRPr="00DB6A40">
        <w:rPr>
          <w:rFonts w:ascii="Times New Roman" w:eastAsia="Calibri" w:hAnsi="Times New Roman" w:cs="Times New Roman"/>
          <w14:ligatures w14:val="none"/>
        </w:rPr>
        <w:t>Nkechika</w:t>
      </w:r>
      <w:proofErr w:type="spellEnd"/>
      <w:r w:rsidRPr="00DB6A40">
        <w:rPr>
          <w:rFonts w:ascii="Times New Roman" w:eastAsia="Calibri" w:hAnsi="Times New Roman" w:cs="Times New Roman"/>
          <w14:ligatures w14:val="none"/>
        </w:rPr>
        <w:t xml:space="preserve"> (2022), writing for the Central Bank of Nigeria, observes that digital financial services have broadened access through mobile phones, POS devices, and agent networks, thereby reinforcing the cashless policy framework and expanding inclusion in underserved communities. El-Yaqub and Ismail (2025) further note that digital currency transactions now exert measurable impacts on CBs’ performance, indicating that these innovations are increasingly central to banking strategy. The adoption of integrated digital gateways has improved efficiency and scale, yet the digital shift remains constrained by cybersecurity risks, regulatory frictions, and infrastructural limitations, showing that the transformation process is ongoing.</w:t>
      </w:r>
    </w:p>
    <w:p w14:paraId="1E894C16"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Technological progress in digital payments is also shaped by behavioral and systemic factors such as trust, awareness, and network effects. Ajao et al (2023) emphasize that trust and externalities drive mobile payment acceptance among Nigerians, with network effects often proving more influential than performance metrics. Similarly, </w:t>
      </w:r>
      <w:proofErr w:type="spellStart"/>
      <w:r w:rsidRPr="00DB6A40">
        <w:rPr>
          <w:rFonts w:ascii="Times New Roman" w:eastAsia="Calibri" w:hAnsi="Times New Roman" w:cs="Times New Roman"/>
          <w14:ligatures w14:val="none"/>
        </w:rPr>
        <w:t>Onuegbu</w:t>
      </w:r>
      <w:proofErr w:type="spellEnd"/>
      <w:r w:rsidRPr="00DB6A40">
        <w:rPr>
          <w:rFonts w:ascii="Times New Roman" w:eastAsia="Calibri" w:hAnsi="Times New Roman" w:cs="Times New Roman"/>
          <w14:ligatures w14:val="none"/>
        </w:rPr>
        <w:t xml:space="preserve"> et al (2025) report that although awareness of digital banking stood at only 36 percent during the cash crunch, improved communication raised acceptance and usage to 37 percent, underscoring the importance of socio-behavioral levers. These perspectives reveal that the conceptualization of digital payments in Nigerian CBs extends beyond technology to include the human and institutional dimensions of adoption. Recognizing this interplay is vital for shaping policies and strategies that enhance infrastructure while cultivating trust and awareness, thereby positioning digital payments as sustainable and inclusive pillars of Nigeria’s financial system.</w:t>
      </w:r>
    </w:p>
    <w:p w14:paraId="14389F5E"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 xml:space="preserve">ATM: </w:t>
      </w:r>
      <w:r w:rsidRPr="00DB6A40">
        <w:rPr>
          <w:rFonts w:ascii="Times New Roman" w:eastAsia="Calibri" w:hAnsi="Times New Roman" w:cs="Times New Roman"/>
          <w14:ligatures w14:val="none"/>
        </w:rPr>
        <w:t xml:space="preserve">ATM transactions remain a pivotal component of digital payments in Nigeria’s CBs, facilitating secure and convenient access to cash, transfers, and balance inquiries. According to </w:t>
      </w:r>
      <w:proofErr w:type="spellStart"/>
      <w:r w:rsidRPr="00DB6A40">
        <w:rPr>
          <w:rFonts w:ascii="Times New Roman" w:eastAsia="Calibri" w:hAnsi="Times New Roman" w:cs="Times New Roman"/>
          <w14:ligatures w14:val="none"/>
        </w:rPr>
        <w:t>Iwedi</w:t>
      </w:r>
      <w:proofErr w:type="spellEnd"/>
      <w:r w:rsidRPr="00DB6A40">
        <w:rPr>
          <w:rFonts w:ascii="Times New Roman" w:eastAsia="Calibri" w:hAnsi="Times New Roman" w:cs="Times New Roman"/>
          <w14:ligatures w14:val="none"/>
        </w:rPr>
        <w:t xml:space="preserve"> (2024), the proliferation of ATMs has significantly enhanced banking accessibility and contributed to institutional growth through improved infrastructure. Abubakar et al (2024) demonstrate that electronic payments, including ATMs, have a causal link with banking industry returns over time, reinforcing the strategic value of ATMs for performance. Zango (2024) also underscores that FI strategies involving ATMs bolster banking efficiency, although challenges such as connectivity constraints and maintenance costs temper their full impact. These patterns affirm ATMs’ foundational yet evolving role within Nigeria’s DP framework.</w:t>
      </w:r>
    </w:p>
    <w:p w14:paraId="5B46958A"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 xml:space="preserve">POS: </w:t>
      </w:r>
      <w:r w:rsidRPr="00DB6A40">
        <w:rPr>
          <w:rFonts w:ascii="Times New Roman" w:eastAsia="Calibri" w:hAnsi="Times New Roman" w:cs="Times New Roman"/>
          <w14:ligatures w14:val="none"/>
        </w:rPr>
        <w:t xml:space="preserve">POS transactions have become a central driver of DP systems in Nigeria’s CBs, providing accessible platforms for both urban and rural customers to conduct secure and cashless transactions. </w:t>
      </w:r>
      <w:proofErr w:type="spellStart"/>
      <w:r w:rsidRPr="00DB6A40">
        <w:rPr>
          <w:rFonts w:ascii="Times New Roman" w:eastAsia="Calibri" w:hAnsi="Times New Roman" w:cs="Times New Roman"/>
          <w14:ligatures w14:val="none"/>
        </w:rPr>
        <w:t>Nkechika</w:t>
      </w:r>
      <w:proofErr w:type="spellEnd"/>
      <w:r w:rsidRPr="00DB6A40">
        <w:rPr>
          <w:rFonts w:ascii="Times New Roman" w:eastAsia="Calibri" w:hAnsi="Times New Roman" w:cs="Times New Roman"/>
          <w14:ligatures w14:val="none"/>
        </w:rPr>
        <w:t xml:space="preserve"> (2022) highlights that POS services have expanded financial access through agent networks, reducing the barriers associated with branch-based banking. El-Yaqub and Ismail (2025) further stress that POS adoption enhances transaction efficiency, boosts banks’ revenue streams, and supports FI objectives. Similarly, Adewale and </w:t>
      </w:r>
      <w:proofErr w:type="spellStart"/>
      <w:r w:rsidRPr="00DB6A40">
        <w:rPr>
          <w:rFonts w:ascii="Times New Roman" w:eastAsia="Calibri" w:hAnsi="Times New Roman" w:cs="Times New Roman"/>
          <w14:ligatures w14:val="none"/>
        </w:rPr>
        <w:t>Osabuohien</w:t>
      </w:r>
      <w:proofErr w:type="spellEnd"/>
      <w:r w:rsidRPr="00DB6A40">
        <w:rPr>
          <w:rFonts w:ascii="Times New Roman" w:eastAsia="Calibri" w:hAnsi="Times New Roman" w:cs="Times New Roman"/>
          <w14:ligatures w14:val="none"/>
        </w:rPr>
        <w:t xml:space="preserve"> (2021) argue that POS infrastructure complements other digital channels by bridging gaps in underserved communities, making it a vital component of inclusive banking in Nigeria.</w:t>
      </w:r>
    </w:p>
    <w:p w14:paraId="3DE3B868"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lastRenderedPageBreak/>
        <w:t xml:space="preserve">Digital Currency Transactions (DCT): </w:t>
      </w:r>
      <w:r w:rsidRPr="00DB6A40">
        <w:rPr>
          <w:rFonts w:ascii="Times New Roman" w:eastAsia="Calibri" w:hAnsi="Times New Roman" w:cs="Times New Roman"/>
          <w14:ligatures w14:val="none"/>
        </w:rPr>
        <w:t xml:space="preserve">Digital currency transactions represent an emerging component of Nigeria’s payment ecosystem, particularly with the launch of the </w:t>
      </w:r>
      <w:proofErr w:type="spellStart"/>
      <w:r w:rsidRPr="00DB6A40">
        <w:rPr>
          <w:rFonts w:ascii="Times New Roman" w:eastAsia="Calibri" w:hAnsi="Times New Roman" w:cs="Times New Roman"/>
          <w14:ligatures w14:val="none"/>
        </w:rPr>
        <w:t>eNaira</w:t>
      </w:r>
      <w:proofErr w:type="spellEnd"/>
      <w:r w:rsidRPr="00DB6A40">
        <w:rPr>
          <w:rFonts w:ascii="Times New Roman" w:eastAsia="Calibri" w:hAnsi="Times New Roman" w:cs="Times New Roman"/>
          <w14:ligatures w14:val="none"/>
        </w:rPr>
        <w:t xml:space="preserve"> in 2021 as Africa’s first central bank digital currency. </w:t>
      </w:r>
      <w:proofErr w:type="spellStart"/>
      <w:r w:rsidRPr="00DB6A40">
        <w:rPr>
          <w:rFonts w:ascii="Times New Roman" w:eastAsia="Calibri" w:hAnsi="Times New Roman" w:cs="Times New Roman"/>
          <w14:ligatures w14:val="none"/>
        </w:rPr>
        <w:t>Nkechika</w:t>
      </w:r>
      <w:proofErr w:type="spellEnd"/>
      <w:r w:rsidRPr="00DB6A40">
        <w:rPr>
          <w:rFonts w:ascii="Times New Roman" w:eastAsia="Calibri" w:hAnsi="Times New Roman" w:cs="Times New Roman"/>
          <w14:ligatures w14:val="none"/>
        </w:rPr>
        <w:t xml:space="preserve"> (2022) emphasizes that digital currencies were introduced to strengthen FI and reduce reliance on cash-based systems. El-Yaqub and Ismail (2025) note that such innovations influence the performance of DMBs by reshaping transaction channels and encouraging faster settlements. According to </w:t>
      </w: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(2023), however, adoption remains limited due to trust deficits, infrastructural gaps, and low digital literacy, reflecting both the opportunities and constraints of digital currency in Nigeria’s banking landscape.</w:t>
      </w:r>
    </w:p>
    <w:p w14:paraId="64264F7C"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 xml:space="preserve">Adoption Rate of Digital Banking Services (ARDBS): </w:t>
      </w:r>
      <w:r w:rsidRPr="00DB6A40">
        <w:rPr>
          <w:rFonts w:ascii="Times New Roman" w:eastAsia="Calibri" w:hAnsi="Times New Roman" w:cs="Times New Roman"/>
          <w14:ligatures w14:val="none"/>
        </w:rPr>
        <w:t xml:space="preserve">The adoption rate of digital banking services in Nigeria reflects how quickly customers embrace online and mobile channels offered by CBs, influencing the efficiency and inclusiveness of financial systems. </w:t>
      </w:r>
      <w:proofErr w:type="spellStart"/>
      <w:r w:rsidRPr="00DB6A40">
        <w:rPr>
          <w:rFonts w:ascii="Times New Roman" w:eastAsia="Calibri" w:hAnsi="Times New Roman" w:cs="Times New Roman"/>
          <w14:ligatures w14:val="none"/>
        </w:rPr>
        <w:t>Nkechika</w:t>
      </w:r>
      <w:proofErr w:type="spellEnd"/>
      <w:r w:rsidRPr="00DB6A40">
        <w:rPr>
          <w:rFonts w:ascii="Times New Roman" w:eastAsia="Calibri" w:hAnsi="Times New Roman" w:cs="Times New Roman"/>
          <w14:ligatures w14:val="none"/>
        </w:rPr>
        <w:t xml:space="preserve"> (2022) underscores that increased adoption supports the cashless policy by reducing reliance on physical branches and expanding access through digital platforms. </w:t>
      </w:r>
      <w:proofErr w:type="spellStart"/>
      <w:r w:rsidRPr="00DB6A40">
        <w:rPr>
          <w:rFonts w:ascii="Times New Roman" w:eastAsia="Calibri" w:hAnsi="Times New Roman" w:cs="Times New Roman"/>
          <w14:ligatures w14:val="none"/>
        </w:rPr>
        <w:t>Onuegbu</w:t>
      </w:r>
      <w:proofErr w:type="spellEnd"/>
      <w:r w:rsidRPr="00DB6A40">
        <w:rPr>
          <w:rFonts w:ascii="Times New Roman" w:eastAsia="Calibri" w:hAnsi="Times New Roman" w:cs="Times New Roman"/>
          <w14:ligatures w14:val="none"/>
        </w:rPr>
        <w:t xml:space="preserve"> et al (2025) reveal that awareness and communication significantly drive acceptance, particularly during periods of cash scarcity. Similarly, Adewale and </w:t>
      </w:r>
      <w:proofErr w:type="spellStart"/>
      <w:r w:rsidRPr="00DB6A40">
        <w:rPr>
          <w:rFonts w:ascii="Times New Roman" w:eastAsia="Calibri" w:hAnsi="Times New Roman" w:cs="Times New Roman"/>
          <w14:ligatures w14:val="none"/>
        </w:rPr>
        <w:t>Osabuohien</w:t>
      </w:r>
      <w:proofErr w:type="spellEnd"/>
      <w:r w:rsidRPr="00DB6A40">
        <w:rPr>
          <w:rFonts w:ascii="Times New Roman" w:eastAsia="Calibri" w:hAnsi="Times New Roman" w:cs="Times New Roman"/>
          <w14:ligatures w14:val="none"/>
        </w:rPr>
        <w:t xml:space="preserve"> (2021) argue that digital banking adoption bridges service gaps in underserved communities, making it a vital instrument for promoting FI and sustainable banking growth.</w:t>
      </w:r>
    </w:p>
    <w:p w14:paraId="00459A3D"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Financial Inclusion in Commercial Banks</w:t>
      </w:r>
    </w:p>
    <w:p w14:paraId="093ABF00"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FI remains a central policy objective in Nigeria’s banking sector, with CBs playing a critical role in expanding access to financial services. The Central Bank of Nigeria has consistently emphasized that inclusive finance is essential for poverty reduction, economic growth, and the promotion of sustainable livelihoods (</w:t>
      </w:r>
      <w:proofErr w:type="spellStart"/>
      <w:r w:rsidRPr="00DB6A40">
        <w:rPr>
          <w:rFonts w:ascii="Times New Roman" w:eastAsia="Calibri" w:hAnsi="Times New Roman" w:cs="Times New Roman"/>
          <w14:ligatures w14:val="none"/>
        </w:rPr>
        <w:t>Nkechika</w:t>
      </w:r>
      <w:proofErr w:type="spellEnd"/>
      <w:r w:rsidRPr="00DB6A40">
        <w:rPr>
          <w:rFonts w:ascii="Times New Roman" w:eastAsia="Calibri" w:hAnsi="Times New Roman" w:cs="Times New Roman"/>
          <w14:ligatures w14:val="none"/>
        </w:rPr>
        <w:t>, 2022). Nigerian scholars further observe that inclusion extends beyond access to credit, encompassing the ability of individuals to hold accounts, use payment systems, and participate actively in formal financial networks (</w:t>
      </w: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2023, </w:t>
      </w:r>
      <w:proofErr w:type="spellStart"/>
      <w:r w:rsidRPr="00DB6A40">
        <w:rPr>
          <w:rFonts w:ascii="Times New Roman" w:eastAsia="Calibri" w:hAnsi="Times New Roman" w:cs="Times New Roman"/>
          <w14:ligatures w14:val="none"/>
        </w:rPr>
        <w:t>Akpokerere</w:t>
      </w:r>
      <w:proofErr w:type="spellEnd"/>
      <w:r w:rsidRPr="00DB6A40">
        <w:rPr>
          <w:rFonts w:ascii="Times New Roman" w:eastAsia="Calibri" w:hAnsi="Times New Roman" w:cs="Times New Roman"/>
          <w14:ligatures w14:val="none"/>
        </w:rPr>
        <w:t>, 2011). Despite notable progress through cashless policies and the spread of DP infrastructures, financial exclusion persists, particularly among low-income households, rural communities, and women, largely due to structural barriers, literacy gaps, and trust deficits (Zango, 2024). Thus, FI in Nigeria is best conceptualized as a multidimensional process requiring not only technological innovations but also behavioral and institutional transformations. This perspective underscores the need for reliable proxies that can objectively measure inclusion levels within the banking system.</w:t>
      </w:r>
    </w:p>
    <w:p w14:paraId="2DBE1641"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Among the most widely used proxies for FI is the number of bank accounts, which provides a measurable indicator of the extent of participation in the formal financial system. </w:t>
      </w:r>
      <w:proofErr w:type="spellStart"/>
      <w:r w:rsidRPr="00DB6A40">
        <w:rPr>
          <w:rFonts w:ascii="Times New Roman" w:eastAsia="Calibri" w:hAnsi="Times New Roman" w:cs="Times New Roman"/>
          <w14:ligatures w14:val="none"/>
        </w:rPr>
        <w:t>Iwedi</w:t>
      </w:r>
      <w:proofErr w:type="spellEnd"/>
      <w:r w:rsidRPr="00DB6A40">
        <w:rPr>
          <w:rFonts w:ascii="Times New Roman" w:eastAsia="Calibri" w:hAnsi="Times New Roman" w:cs="Times New Roman"/>
          <w14:ligatures w14:val="none"/>
        </w:rPr>
        <w:t xml:space="preserve"> (2024) notes that the growth in bank accounts reflects improvements in banking infrastructure and accessibility, especially with the proliferation of digital platforms and agency banking. However, Abubakar et al (2024) caution that while increasing account ownership signals progress, inactive or dormant accounts limit its effectiveness as a measure of true inclusion. This indicates that the number of bank accounts must be assessed in relation to usage, sustainability, and accessibility to capture its full impact. Linking account ownership to DP innovations such as ATMs, POS, and mobile banking therefore provides a stronger framework for understanding how FI evolves in Nigeria’s CBs.</w:t>
      </w:r>
    </w:p>
    <w:p w14:paraId="706886C1"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Theoretical Review</w:t>
      </w:r>
    </w:p>
    <w:p w14:paraId="7506922F"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Technology Acceptance Model (TAM)</w:t>
      </w:r>
    </w:p>
    <w:p w14:paraId="1823053F"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Technology Acceptance Model was propounded by Davis in 1989 to explain how users come to accept and use technology. It posits that perceived usefulness and perceived ease of use are the key determinants of technology adoption. In the context of Nigeria’s CBs, TAM is highly relevant for examining adoption of DP channels such as ATMs, POS, digital currency, and online banking services. Customers are more likely to adopt these services if they perceive them as convenient, efficient, and reliable. By linking adoption behavior to FI, TAM provides insight into how users’ perceptions directly influence their willingness to open and actively use bank accounts, thereby serving as a strong theoretical foundation for this study.</w:t>
      </w:r>
    </w:p>
    <w:p w14:paraId="1CBEE65C" w14:textId="77777777" w:rsidR="007223FC" w:rsidRDefault="007223FC" w:rsidP="007223FC">
      <w:pPr>
        <w:tabs>
          <w:tab w:val="left" w:pos="1215"/>
        </w:tabs>
        <w:spacing w:line="240" w:lineRule="auto"/>
        <w:jc w:val="both"/>
        <w:rPr>
          <w:rFonts w:ascii="Times New Roman" w:eastAsia="Calibri" w:hAnsi="Times New Roman" w:cs="Times New Roman"/>
          <w:b/>
          <w:bCs/>
          <w14:ligatures w14:val="none"/>
        </w:rPr>
      </w:pPr>
    </w:p>
    <w:p w14:paraId="128CF238" w14:textId="25BB47D1"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lastRenderedPageBreak/>
        <w:t>Financial Intermediation Theory</w:t>
      </w:r>
    </w:p>
    <w:p w14:paraId="443507E4"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Financial Intermediation Theory was developed by Gurley and Shaw in 1960, emphasizing the role of financial institutions in channeling funds between savers and borrowers. The theory highlights how banks and related institutions create value by reducing transaction costs, mitigating risks, and improving access to financial resources. For Nigeria’s CBs, DP systems such as ATMs, POS, and digital banking platforms enhance intermediation by expanding the ease of deposits, withdrawals, and transfers. The number of bank accounts as a proxy for inclusion reflects the extent to which individuals are integrated into this process. By demonstrating how digital channels strengthen the intermediation role of banks, this theory provides a strong framework for linking payment innovations with broader FI outcomes.</w:t>
      </w:r>
    </w:p>
    <w:p w14:paraId="417C7C7C"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Empirical Review</w:t>
      </w:r>
    </w:p>
    <w:p w14:paraId="5FC085E6"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Akunna (2025) investigated the effect of digital finance (covering ATM, POS, mobile payments, web payments) on FI in Nigeria from 2009–2023 using time-series data and econometric analysis, finding that aggregate digital finance positively influenced inclusion, concluding digital expansion accelerates inclusion, and recommending more inclusive digital infrastructure planning.</w:t>
      </w:r>
    </w:p>
    <w:p w14:paraId="77DDB51F" w14:textId="77777777" w:rsidR="00DB6A40" w:rsidRPr="00DB6A40" w:rsidRDefault="00DB6A40" w:rsidP="007223FC">
      <w:pPr>
        <w:spacing w:line="240" w:lineRule="auto"/>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Eguavoen</w:t>
      </w:r>
      <w:proofErr w:type="spellEnd"/>
      <w:r w:rsidRPr="00DB6A40">
        <w:rPr>
          <w:rFonts w:ascii="Times New Roman" w:eastAsia="Calibri" w:hAnsi="Times New Roman" w:cs="Times New Roman"/>
          <w14:ligatures w14:val="none"/>
        </w:rPr>
        <w:t xml:space="preserve"> et al (2025) assessed cashless policy effects on financial sector development via VAR and Philips–Perron tests on annual data for 2012–2022, noting that mobile banking, POS, and ATM significantly spurred sector development, concluding that the cashless policy is effective, and recommending continuation and expansion of supporting infrastructure.</w:t>
      </w:r>
    </w:p>
    <w:p w14:paraId="0F7A6E09" w14:textId="77777777" w:rsidR="00DB6A40" w:rsidRPr="00DB6A40" w:rsidRDefault="00DB6A40" w:rsidP="007223FC">
      <w:pPr>
        <w:spacing w:line="240" w:lineRule="auto"/>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Eguavoen</w:t>
      </w:r>
      <w:proofErr w:type="spellEnd"/>
      <w:r w:rsidRPr="00DB6A40">
        <w:rPr>
          <w:rFonts w:ascii="Times New Roman" w:eastAsia="Calibri" w:hAnsi="Times New Roman" w:cs="Times New Roman"/>
          <w14:ligatures w14:val="none"/>
        </w:rPr>
        <w:t xml:space="preserve"> and </w:t>
      </w:r>
      <w:proofErr w:type="spellStart"/>
      <w:r w:rsidRPr="00DB6A40">
        <w:rPr>
          <w:rFonts w:ascii="Times New Roman" w:eastAsia="Calibri" w:hAnsi="Times New Roman" w:cs="Times New Roman"/>
          <w14:ligatures w14:val="none"/>
        </w:rPr>
        <w:t>Airhiavbere</w:t>
      </w:r>
      <w:proofErr w:type="spellEnd"/>
      <w:r w:rsidRPr="00DB6A40">
        <w:rPr>
          <w:rFonts w:ascii="Times New Roman" w:eastAsia="Calibri" w:hAnsi="Times New Roman" w:cs="Times New Roman"/>
          <w14:ligatures w14:val="none"/>
        </w:rPr>
        <w:t xml:space="preserve"> (2025) examined the impact of digital banking channels (ATM, POS, internet banking, mobile money transfers) on banking sector development in Nigeria by applying an autoregressive distributed lag (ARDL) model to quarterly data spanning 2009–2023, using data from the CBN and NGX; they revealed short-run positive effects of POS but a transitory negative effect for ATMs, and no long-run significance for internet or mobile channels, concluding that ATM services still require expansion and maintenance, recommending enhanced infrastructure and operations monitor.</w:t>
      </w:r>
    </w:p>
    <w:p w14:paraId="66DC07D7" w14:textId="77777777" w:rsidR="00DB6A40" w:rsidRPr="00DB6A40" w:rsidRDefault="00DB6A40" w:rsidP="007223FC">
      <w:pPr>
        <w:spacing w:line="240" w:lineRule="auto"/>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Iwedi</w:t>
      </w:r>
      <w:proofErr w:type="spellEnd"/>
      <w:r w:rsidRPr="00DB6A40">
        <w:rPr>
          <w:rFonts w:ascii="Times New Roman" w:eastAsia="Calibri" w:hAnsi="Times New Roman" w:cs="Times New Roman"/>
          <w14:ligatures w14:val="none"/>
        </w:rPr>
        <w:t xml:space="preserve"> (2024) probed the relationship between digital finance infrastructure and commercial banks’ growth in Nigeria by collecting secondary data on ATMs, POS, and web banking accounts and total assets, applying correlation, regression, and Granger causality tests; findings showed strong linkages between digital infrastructure and asset growth, suggesting that sustained investment is key, leading to recommendations for policy frameworks supporting digital deployment.</w:t>
      </w:r>
    </w:p>
    <w:p w14:paraId="2225A244" w14:textId="77777777" w:rsidR="00DB6A40" w:rsidRPr="00DB6A40" w:rsidRDefault="00DB6A40" w:rsidP="007223FC">
      <w:pPr>
        <w:spacing w:line="240" w:lineRule="auto"/>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(2023) explored the role of the </w:t>
      </w:r>
      <w:proofErr w:type="spellStart"/>
      <w:r w:rsidRPr="00DB6A40">
        <w:rPr>
          <w:rFonts w:ascii="Times New Roman" w:eastAsia="Calibri" w:hAnsi="Times New Roman" w:cs="Times New Roman"/>
          <w14:ligatures w14:val="none"/>
        </w:rPr>
        <w:t>eNaira</w:t>
      </w:r>
      <w:proofErr w:type="spellEnd"/>
      <w:r w:rsidRPr="00DB6A40">
        <w:rPr>
          <w:rFonts w:ascii="Times New Roman" w:eastAsia="Calibri" w:hAnsi="Times New Roman" w:cs="Times New Roman"/>
          <w14:ligatures w14:val="none"/>
        </w:rPr>
        <w:t xml:space="preserve"> central bank digital currency in enhancing FI using descriptive policy review and empirical data, identifying the CBDC’s potential benefits via ease of account opening, low cost, and confidence restoration, but also highlighting barriers such as digital literacy and cyber risk, concluding that </w:t>
      </w:r>
      <w:proofErr w:type="spellStart"/>
      <w:r w:rsidRPr="00DB6A40">
        <w:rPr>
          <w:rFonts w:ascii="Times New Roman" w:eastAsia="Calibri" w:hAnsi="Times New Roman" w:cs="Times New Roman"/>
          <w14:ligatures w14:val="none"/>
        </w:rPr>
        <w:t>eNaira</w:t>
      </w:r>
      <w:proofErr w:type="spellEnd"/>
      <w:r w:rsidRPr="00DB6A40">
        <w:rPr>
          <w:rFonts w:ascii="Times New Roman" w:eastAsia="Calibri" w:hAnsi="Times New Roman" w:cs="Times New Roman"/>
          <w14:ligatures w14:val="none"/>
        </w:rPr>
        <w:t xml:space="preserve"> is promising but needs complementary digital literacy programs and risk management.</w:t>
      </w:r>
    </w:p>
    <w:p w14:paraId="18CED868"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Ajao et al (2023), in a national survey of mobile payment users, used structured questionnaires and analysis through regression models to examine drivers of mobile payment acceptance; they found that network externalities outweigh traditional TAM variables, suggesting that social influence and perceived benefits are more impactful, and recommended leveraging social networks and testimonials to drive uptake.</w:t>
      </w:r>
    </w:p>
    <w:p w14:paraId="5250CF1E"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Hassan and Utulu (2022) studied socio-economic and technological determinants of FI among indigenous populations in Bauchi State using survey data and logistic regression, revealing that infrastructure, literacy, and income significantly shape inclusion, concluding that holistic strategies are needed at local levels, and recommending targeted training and infrastructure development.</w:t>
      </w:r>
    </w:p>
    <w:p w14:paraId="01269ABA"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Ekong &amp; </w:t>
      </w:r>
      <w:proofErr w:type="gramStart"/>
      <w:r w:rsidRPr="00DB6A40">
        <w:rPr>
          <w:rFonts w:ascii="Times New Roman" w:eastAsia="Calibri" w:hAnsi="Times New Roman" w:cs="Times New Roman"/>
          <w14:ligatures w14:val="none"/>
        </w:rPr>
        <w:t>Ekong(</w:t>
      </w:r>
      <w:proofErr w:type="gramEnd"/>
      <w:r w:rsidRPr="00DB6A40">
        <w:rPr>
          <w:rFonts w:ascii="Times New Roman" w:eastAsia="Calibri" w:hAnsi="Times New Roman" w:cs="Times New Roman"/>
          <w14:ligatures w14:val="none"/>
        </w:rPr>
        <w:t xml:space="preserve">2022) investigated how digital currency development and broader digital finance influence FI in Nigeria; using quarterly data for </w:t>
      </w:r>
      <w:proofErr w:type="gramStart"/>
      <w:r w:rsidRPr="00DB6A40">
        <w:rPr>
          <w:rFonts w:ascii="Times New Roman" w:eastAsia="Calibri" w:hAnsi="Times New Roman" w:cs="Times New Roman"/>
          <w14:ligatures w14:val="none"/>
        </w:rPr>
        <w:t>2006:Q</w:t>
      </w:r>
      <w:proofErr w:type="gramEnd"/>
      <w:r w:rsidRPr="00DB6A40">
        <w:rPr>
          <w:rFonts w:ascii="Times New Roman" w:eastAsia="Calibri" w:hAnsi="Times New Roman" w:cs="Times New Roman"/>
          <w14:ligatures w14:val="none"/>
        </w:rPr>
        <w:t>1–</w:t>
      </w:r>
      <w:proofErr w:type="gramStart"/>
      <w:r w:rsidRPr="00DB6A40">
        <w:rPr>
          <w:rFonts w:ascii="Times New Roman" w:eastAsia="Calibri" w:hAnsi="Times New Roman" w:cs="Times New Roman"/>
          <w14:ligatures w14:val="none"/>
        </w:rPr>
        <w:t>2020:Q</w:t>
      </w:r>
      <w:proofErr w:type="gramEnd"/>
      <w:r w:rsidRPr="00DB6A40">
        <w:rPr>
          <w:rFonts w:ascii="Times New Roman" w:eastAsia="Calibri" w:hAnsi="Times New Roman" w:cs="Times New Roman"/>
          <w14:ligatures w14:val="none"/>
        </w:rPr>
        <w:t xml:space="preserve">4 and weighted forward-stepwise regressions on indicators </w:t>
      </w:r>
      <w:r w:rsidRPr="00DB6A40">
        <w:rPr>
          <w:rFonts w:ascii="Times New Roman" w:eastAsia="Calibri" w:hAnsi="Times New Roman" w:cs="Times New Roman"/>
          <w14:ligatures w14:val="none"/>
        </w:rPr>
        <w:lastRenderedPageBreak/>
        <w:t>covering ATMs, POS and mobile usage, the study found positive and significant links to inclusion, concluded that digital rails are catalytic, and recommended sustained regulatory support and infrastructure deepening.</w:t>
      </w:r>
    </w:p>
    <w:p w14:paraId="410A8978" w14:textId="77777777" w:rsidR="00DB6A40" w:rsidRPr="00DB6A40" w:rsidRDefault="00DB6A40" w:rsidP="007223FC">
      <w:pPr>
        <w:spacing w:line="240" w:lineRule="auto"/>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RESEARCH METHODOLOGY</w:t>
      </w:r>
    </w:p>
    <w:p w14:paraId="4C488767" w14:textId="77777777" w:rsidR="00DB6A40" w:rsidRPr="00DB6A40" w:rsidRDefault="00DB6A40" w:rsidP="007223FC">
      <w:pPr>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14:ligatures w14:val="none"/>
        </w:rPr>
        <w:t>Research Design</w:t>
      </w:r>
    </w:p>
    <w:p w14:paraId="157F5250" w14:textId="77777777" w:rsidR="00DB6A40" w:rsidRPr="00DB6A40" w:rsidRDefault="00DB6A40" w:rsidP="007223FC">
      <w:pPr>
        <w:spacing w:line="240" w:lineRule="auto"/>
        <w:jc w:val="both"/>
        <w:rPr>
          <w:rFonts w:ascii="Times New Roman" w:eastAsia="Calibri" w:hAnsi="Times New Roman" w:cs="Times New Roman"/>
          <w:bCs/>
          <w14:ligatures w14:val="none"/>
        </w:rPr>
      </w:pPr>
      <w:r w:rsidRPr="00DB6A40">
        <w:rPr>
          <w:rFonts w:ascii="Times New Roman" w:eastAsia="Calibri" w:hAnsi="Times New Roman" w:cs="Times New Roman"/>
          <w:bCs/>
          <w14:ligatures w14:val="none"/>
        </w:rPr>
        <w:t>This study employs an ex-post facto design, focusing on secondary data to examine the relationship between digital payments and FI in Nigeria from 2000 to 2024. The design is appropriate since the variables such as ATM transactions, POS transactions, digital currency transactions, and digital banking adoption cannot be manipulated. It ensures objectivity, allowing robust econometric analysis of historical data to establish causality between digital innovations and bank account ownership.</w:t>
      </w:r>
    </w:p>
    <w:p w14:paraId="50857D03" w14:textId="1580E6EA" w:rsidR="00DB6A40" w:rsidRPr="00DB6A40" w:rsidRDefault="00DB6A40" w:rsidP="007223FC">
      <w:pPr>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Population of the Study</w:t>
      </w:r>
    </w:p>
    <w:p w14:paraId="2C19AD8A"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population covers Nigeria’s financial system, with emphasis on CBs, which serve as intermediaries for digital transactions and inclusion. CBs are central to the delivery of ATM, POS, and digital banking services. Focusing on the Nigerian economy as the population ensures that the study captures the overall effect of digital payments on FI across institutions licensed by the CBN.</w:t>
      </w:r>
    </w:p>
    <w:p w14:paraId="70234B9D"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sample comprises all licensed CBs operating in Nigeria between 2000 and 2024. Purposive sampling is applied since CBs are the most relevant institutions for analyzing DP adoption and inclusion outcomes. By narrowing the focus to CBs, the study ensures accurate analysis of ATM, POS, digital currency, and digital banking adoption, which directly influence the number of bank accounts as a proxy for FI.</w:t>
      </w:r>
    </w:p>
    <w:p w14:paraId="1518C6FD"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study relies on secondary data spanning 2000–2024. Data are obtained from reliable sources such as the CBN Statistical Bulletin and the National Bureau of Statistics. These sources provide standardized and verified information on ATM, POS, digital currency, digital banking adoption, and number of bank accounts. The 25-year time scope captures structural changes, policies, and technological advancements shaping FI in Nigerian CBs.</w:t>
      </w:r>
    </w:p>
    <w:p w14:paraId="7296A29C"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study adopts Ordinary Least Squares (OLS) regression analysis using E-Views 9.0 to test the relationship between DP proxies and FI. OLS is suitable for estimating linear relationships and determining the significance of explanatory variables. Descriptive statistics summarize the dataset, while unit root tests establish stationarity. Diagnostic checks strengthen reliability: multicollinearity is tested using the Variance Inflation Factor (VIF), heteroscedasticity with the Breusch-Pagan test, and autocorrelation with the Durbin-Watson statistic. Model fit will be assessed using R-squared and F-statistic, with hypotheses tested at 5% significance. The approach ensures valid inference regarding whether ATM, POS, digital currency, and digital banking adoption significantly impact FI in Nigeria’s CBs.</w:t>
      </w:r>
    </w:p>
    <w:p w14:paraId="17E93E8C"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Model Specification</w:t>
      </w:r>
    </w:p>
    <w:p w14:paraId="6A114EB5"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model is specified as:</w:t>
      </w:r>
    </w:p>
    <w:p w14:paraId="35056B64"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NBAC = β0 + β1ATMT + β2POST + β3DCT + β4ARDBS + μ</w:t>
      </w:r>
    </w:p>
    <w:p w14:paraId="2BF5BBEA"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Where NBAC = Number of Bank Accounts (proxy for FI); ATMT = ATM Transactions; POST = POS Transactions; DCT = Digital Currency Transactions; ARDBS = Adoption Rate of Digital Banking Services; β0 = intercept; β1–β4 = coefficients; μ = error term. NBAC is the dependent variable, while ATMT, POST, DCT, and ARDBS are independent variables. The expected relationship is that increases in DP activities will positively influence FI in Nigerian DMBs.</w:t>
      </w:r>
    </w:p>
    <w:p w14:paraId="7DF26AB5" w14:textId="77777777" w:rsidR="007223FC" w:rsidRDefault="007223FC" w:rsidP="007223FC">
      <w:pPr>
        <w:tabs>
          <w:tab w:val="left" w:pos="1215"/>
        </w:tabs>
        <w:spacing w:line="240" w:lineRule="auto"/>
        <w:rPr>
          <w:rFonts w:ascii="Times New Roman" w:eastAsia="Calibri" w:hAnsi="Times New Roman" w:cs="Times New Roman"/>
          <w:b/>
          <w:bCs/>
          <w14:ligatures w14:val="none"/>
        </w:rPr>
      </w:pPr>
    </w:p>
    <w:p w14:paraId="5C6C62FA" w14:textId="77777777" w:rsidR="007223FC" w:rsidRDefault="007223FC" w:rsidP="007223FC">
      <w:pPr>
        <w:tabs>
          <w:tab w:val="left" w:pos="1215"/>
        </w:tabs>
        <w:spacing w:line="240" w:lineRule="auto"/>
        <w:rPr>
          <w:rFonts w:ascii="Times New Roman" w:eastAsia="Calibri" w:hAnsi="Times New Roman" w:cs="Times New Roman"/>
          <w:b/>
          <w:bCs/>
          <w14:ligatures w14:val="none"/>
        </w:rPr>
      </w:pPr>
    </w:p>
    <w:p w14:paraId="0D36B8A8" w14:textId="57F49105" w:rsidR="00DB6A40" w:rsidRPr="00DB6A40" w:rsidRDefault="00DB6A40" w:rsidP="007223FC">
      <w:pPr>
        <w:tabs>
          <w:tab w:val="left" w:pos="1215"/>
        </w:tabs>
        <w:spacing w:line="240" w:lineRule="auto"/>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lastRenderedPageBreak/>
        <w:t>RESULTS AND DISCUSSION</w:t>
      </w:r>
    </w:p>
    <w:p w14:paraId="0756C4CD"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relationship between DP and FI in Nigeria is a critical factor in understanding the nation’s financial development and economic growth. This study examines how DP indicators, such as ATMT, POST, DCT, and ARDBS, impact FI proxied by number of bank accounts (NBAC) over the period from 2000 to 2024. Ordinary Least Squares (OLS) regression was employed to analyze the data, providing a comprehensive assessment of the influence of DP channels on FI. The regression model tested the hypothesized relationships between these variables, while diagnostic tests, including multicollinearity checks using Variance Inflation Factor, heteroscedasticity tests through Breusch-Pagan, and autocorrelation analysis using Durbin-Watson statistics, were conducted to confirm the robustness of the estimates. These tests enhanced the credibility of the model and ensured reliable inference. The methodological approach offered a strong empirical basis for the study’s conclusions, yielding insights into how digital innovations drive inclusion in Nigeria’s banking sector. This framework not only validated the results but also informed policy recommendations for strengthening digital financial infrastructure and advancing inclusive banking practices in the country.</w:t>
      </w:r>
    </w:p>
    <w:p w14:paraId="26C88FB1"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Descriptive Statistics</w:t>
      </w:r>
    </w:p>
    <w:p w14:paraId="773D3B03" w14:textId="77777777" w:rsid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Descriptive statistics summarize central tendencies and dispersions of ATMT, POST, DCT, ARDBS, and NBAC. This step provides insights into variable behavior, ensuring a clearer understanding of the data’s characteristics before conducting inferential analyses on the relationship between digital payments and FI. This was presented in Table 1 below.</w:t>
      </w:r>
    </w:p>
    <w:p w14:paraId="030DC766" w14:textId="77777777" w:rsidR="00DB6A40" w:rsidRPr="00DB6A40" w:rsidRDefault="00DB6A40" w:rsidP="007223FC">
      <w:pPr>
        <w:spacing w:after="0"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 xml:space="preserve">Table 1:                                  Descriptive Statistics </w:t>
      </w:r>
    </w:p>
    <w:tbl>
      <w:tblPr>
        <w:tblW w:w="0" w:type="auto"/>
        <w:tblInd w:w="3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492"/>
        <w:gridCol w:w="1313"/>
        <w:gridCol w:w="1312"/>
        <w:gridCol w:w="1313"/>
        <w:gridCol w:w="1312"/>
        <w:gridCol w:w="1313"/>
      </w:tblGrid>
      <w:tr w:rsidR="00DB6A40" w:rsidRPr="00DB6A40" w14:paraId="3B4FA985" w14:textId="77777777" w:rsidTr="00D00B3F">
        <w:trPr>
          <w:trHeight w:val="225"/>
        </w:trPr>
        <w:tc>
          <w:tcPr>
            <w:tcW w:w="1492" w:type="dxa"/>
            <w:vAlign w:val="bottom"/>
          </w:tcPr>
          <w:p w14:paraId="42A7375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24031A0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NBAC</w:t>
            </w:r>
          </w:p>
        </w:tc>
        <w:tc>
          <w:tcPr>
            <w:tcW w:w="1312" w:type="dxa"/>
            <w:vAlign w:val="bottom"/>
          </w:tcPr>
          <w:p w14:paraId="2609DD4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ATMT</w:t>
            </w:r>
          </w:p>
        </w:tc>
        <w:tc>
          <w:tcPr>
            <w:tcW w:w="1313" w:type="dxa"/>
            <w:vAlign w:val="bottom"/>
          </w:tcPr>
          <w:p w14:paraId="637AADC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POST</w:t>
            </w:r>
          </w:p>
        </w:tc>
        <w:tc>
          <w:tcPr>
            <w:tcW w:w="1312" w:type="dxa"/>
            <w:vAlign w:val="bottom"/>
          </w:tcPr>
          <w:p w14:paraId="7468B17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DCT</w:t>
            </w:r>
          </w:p>
        </w:tc>
        <w:tc>
          <w:tcPr>
            <w:tcW w:w="1313" w:type="dxa"/>
            <w:vAlign w:val="bottom"/>
          </w:tcPr>
          <w:p w14:paraId="6F6CC85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ARDBS</w:t>
            </w:r>
          </w:p>
        </w:tc>
      </w:tr>
      <w:tr w:rsidR="00DB6A40" w:rsidRPr="00DB6A40" w14:paraId="62478852" w14:textId="77777777" w:rsidTr="00D00B3F">
        <w:trPr>
          <w:trHeight w:val="225"/>
        </w:trPr>
        <w:tc>
          <w:tcPr>
            <w:tcW w:w="1492" w:type="dxa"/>
            <w:vAlign w:val="bottom"/>
          </w:tcPr>
          <w:p w14:paraId="7A27386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Mean</w:t>
            </w:r>
          </w:p>
        </w:tc>
        <w:tc>
          <w:tcPr>
            <w:tcW w:w="1313" w:type="dxa"/>
            <w:vAlign w:val="bottom"/>
          </w:tcPr>
          <w:p w14:paraId="4DAB55C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66.13800</w:t>
            </w:r>
          </w:p>
        </w:tc>
        <w:tc>
          <w:tcPr>
            <w:tcW w:w="1312" w:type="dxa"/>
            <w:vAlign w:val="bottom"/>
          </w:tcPr>
          <w:p w14:paraId="410794E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237.4704</w:t>
            </w:r>
          </w:p>
        </w:tc>
        <w:tc>
          <w:tcPr>
            <w:tcW w:w="1313" w:type="dxa"/>
            <w:vAlign w:val="bottom"/>
          </w:tcPr>
          <w:p w14:paraId="5AE75BC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1522.488</w:t>
            </w:r>
          </w:p>
        </w:tc>
        <w:tc>
          <w:tcPr>
            <w:tcW w:w="1312" w:type="dxa"/>
            <w:vAlign w:val="bottom"/>
          </w:tcPr>
          <w:p w14:paraId="78B975B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3829.865</w:t>
            </w:r>
          </w:p>
        </w:tc>
        <w:tc>
          <w:tcPr>
            <w:tcW w:w="1313" w:type="dxa"/>
            <w:vAlign w:val="bottom"/>
          </w:tcPr>
          <w:p w14:paraId="7DE5570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33.68600</w:t>
            </w:r>
          </w:p>
        </w:tc>
      </w:tr>
      <w:tr w:rsidR="00DB6A40" w:rsidRPr="00DB6A40" w14:paraId="159D2AF2" w14:textId="77777777" w:rsidTr="00D00B3F">
        <w:trPr>
          <w:trHeight w:val="225"/>
        </w:trPr>
        <w:tc>
          <w:tcPr>
            <w:tcW w:w="1492" w:type="dxa"/>
            <w:vAlign w:val="bottom"/>
          </w:tcPr>
          <w:p w14:paraId="6D458C3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Median</w:t>
            </w:r>
          </w:p>
        </w:tc>
        <w:tc>
          <w:tcPr>
            <w:tcW w:w="1313" w:type="dxa"/>
            <w:vAlign w:val="bottom"/>
          </w:tcPr>
          <w:p w14:paraId="2021702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42.62000</w:t>
            </w:r>
          </w:p>
        </w:tc>
        <w:tc>
          <w:tcPr>
            <w:tcW w:w="1312" w:type="dxa"/>
            <w:vAlign w:val="bottom"/>
          </w:tcPr>
          <w:p w14:paraId="3DD75A8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164.1900</w:t>
            </w:r>
          </w:p>
        </w:tc>
        <w:tc>
          <w:tcPr>
            <w:tcW w:w="1313" w:type="dxa"/>
            <w:vAlign w:val="bottom"/>
          </w:tcPr>
          <w:p w14:paraId="09B9FF1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47.09000</w:t>
            </w:r>
          </w:p>
        </w:tc>
        <w:tc>
          <w:tcPr>
            <w:tcW w:w="1312" w:type="dxa"/>
            <w:vAlign w:val="bottom"/>
          </w:tcPr>
          <w:p w14:paraId="3F7CA2D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46.79000</w:t>
            </w:r>
          </w:p>
        </w:tc>
        <w:tc>
          <w:tcPr>
            <w:tcW w:w="1313" w:type="dxa"/>
            <w:vAlign w:val="bottom"/>
          </w:tcPr>
          <w:p w14:paraId="2B812CB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30.50000</w:t>
            </w:r>
          </w:p>
        </w:tc>
      </w:tr>
      <w:tr w:rsidR="00DB6A40" w:rsidRPr="00DB6A40" w14:paraId="77332C1F" w14:textId="77777777" w:rsidTr="00D00B3F">
        <w:trPr>
          <w:trHeight w:val="225"/>
        </w:trPr>
        <w:tc>
          <w:tcPr>
            <w:tcW w:w="1492" w:type="dxa"/>
            <w:vAlign w:val="bottom"/>
          </w:tcPr>
          <w:p w14:paraId="49853DC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Maximum</w:t>
            </w:r>
          </w:p>
        </w:tc>
        <w:tc>
          <w:tcPr>
            <w:tcW w:w="1313" w:type="dxa"/>
            <w:vAlign w:val="bottom"/>
          </w:tcPr>
          <w:p w14:paraId="17A11B5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214.9100</w:t>
            </w:r>
          </w:p>
        </w:tc>
        <w:tc>
          <w:tcPr>
            <w:tcW w:w="1312" w:type="dxa"/>
            <w:vAlign w:val="bottom"/>
          </w:tcPr>
          <w:p w14:paraId="1AA3D7F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772.9400</w:t>
            </w:r>
          </w:p>
        </w:tc>
        <w:tc>
          <w:tcPr>
            <w:tcW w:w="1313" w:type="dxa"/>
            <w:vAlign w:val="bottom"/>
          </w:tcPr>
          <w:p w14:paraId="1A9FF68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13871.42</w:t>
            </w:r>
          </w:p>
        </w:tc>
        <w:tc>
          <w:tcPr>
            <w:tcW w:w="1312" w:type="dxa"/>
            <w:vAlign w:val="bottom"/>
          </w:tcPr>
          <w:p w14:paraId="05C1081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37413.13</w:t>
            </w:r>
          </w:p>
        </w:tc>
        <w:tc>
          <w:tcPr>
            <w:tcW w:w="1313" w:type="dxa"/>
            <w:vAlign w:val="bottom"/>
          </w:tcPr>
          <w:p w14:paraId="5960F21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68.48000</w:t>
            </w:r>
          </w:p>
        </w:tc>
      </w:tr>
      <w:tr w:rsidR="00DB6A40" w:rsidRPr="00DB6A40" w14:paraId="6B84ABE2" w14:textId="77777777" w:rsidTr="00D00B3F">
        <w:trPr>
          <w:trHeight w:val="225"/>
        </w:trPr>
        <w:tc>
          <w:tcPr>
            <w:tcW w:w="1492" w:type="dxa"/>
            <w:vAlign w:val="bottom"/>
          </w:tcPr>
          <w:p w14:paraId="0130991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Minimum</w:t>
            </w:r>
          </w:p>
        </w:tc>
        <w:tc>
          <w:tcPr>
            <w:tcW w:w="1313" w:type="dxa"/>
            <w:vAlign w:val="bottom"/>
          </w:tcPr>
          <w:p w14:paraId="406D327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8.040000</w:t>
            </w:r>
          </w:p>
        </w:tc>
        <w:tc>
          <w:tcPr>
            <w:tcW w:w="1312" w:type="dxa"/>
            <w:vAlign w:val="bottom"/>
          </w:tcPr>
          <w:p w14:paraId="3835BA6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3.030000</w:t>
            </w:r>
          </w:p>
        </w:tc>
        <w:tc>
          <w:tcPr>
            <w:tcW w:w="1313" w:type="dxa"/>
            <w:vAlign w:val="bottom"/>
          </w:tcPr>
          <w:p w14:paraId="003DB99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0.020000</w:t>
            </w:r>
          </w:p>
        </w:tc>
        <w:tc>
          <w:tcPr>
            <w:tcW w:w="1312" w:type="dxa"/>
            <w:vAlign w:val="bottom"/>
          </w:tcPr>
          <w:p w14:paraId="5B04E4F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0.030000</w:t>
            </w:r>
          </w:p>
        </w:tc>
        <w:tc>
          <w:tcPr>
            <w:tcW w:w="1313" w:type="dxa"/>
            <w:vAlign w:val="bottom"/>
          </w:tcPr>
          <w:p w14:paraId="65CFAF4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7.460000</w:t>
            </w:r>
          </w:p>
        </w:tc>
      </w:tr>
      <w:tr w:rsidR="00DB6A40" w:rsidRPr="00DB6A40" w14:paraId="4793A72E" w14:textId="77777777" w:rsidTr="00D00B3F">
        <w:trPr>
          <w:trHeight w:val="225"/>
        </w:trPr>
        <w:tc>
          <w:tcPr>
            <w:tcW w:w="1492" w:type="dxa"/>
            <w:vAlign w:val="bottom"/>
          </w:tcPr>
          <w:p w14:paraId="5BC2DC8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Std. Dev.</w:t>
            </w:r>
          </w:p>
        </w:tc>
        <w:tc>
          <w:tcPr>
            <w:tcW w:w="1313" w:type="dxa"/>
            <w:vAlign w:val="bottom"/>
          </w:tcPr>
          <w:p w14:paraId="5D9443A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61.14542</w:t>
            </w:r>
          </w:p>
        </w:tc>
        <w:tc>
          <w:tcPr>
            <w:tcW w:w="1312" w:type="dxa"/>
            <w:vAlign w:val="bottom"/>
          </w:tcPr>
          <w:p w14:paraId="1BF502A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228.2851</w:t>
            </w:r>
          </w:p>
        </w:tc>
        <w:tc>
          <w:tcPr>
            <w:tcW w:w="1313" w:type="dxa"/>
            <w:vAlign w:val="bottom"/>
          </w:tcPr>
          <w:p w14:paraId="2173094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3376.383</w:t>
            </w:r>
          </w:p>
        </w:tc>
        <w:tc>
          <w:tcPr>
            <w:tcW w:w="1312" w:type="dxa"/>
            <w:vAlign w:val="bottom"/>
          </w:tcPr>
          <w:p w14:paraId="5538798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8915.439</w:t>
            </w:r>
          </w:p>
        </w:tc>
        <w:tc>
          <w:tcPr>
            <w:tcW w:w="1313" w:type="dxa"/>
            <w:vAlign w:val="bottom"/>
          </w:tcPr>
          <w:p w14:paraId="729B36D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20.31464</w:t>
            </w:r>
          </w:p>
        </w:tc>
      </w:tr>
      <w:tr w:rsidR="00DB6A40" w:rsidRPr="00DB6A40" w14:paraId="2F58C291" w14:textId="77777777" w:rsidTr="00D00B3F">
        <w:trPr>
          <w:trHeight w:val="225"/>
        </w:trPr>
        <w:tc>
          <w:tcPr>
            <w:tcW w:w="1492" w:type="dxa"/>
            <w:vAlign w:val="bottom"/>
          </w:tcPr>
          <w:p w14:paraId="068157D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Skewness</w:t>
            </w:r>
          </w:p>
        </w:tc>
        <w:tc>
          <w:tcPr>
            <w:tcW w:w="1313" w:type="dxa"/>
            <w:vAlign w:val="bottom"/>
          </w:tcPr>
          <w:p w14:paraId="2B14B66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1.078359</w:t>
            </w:r>
          </w:p>
        </w:tc>
        <w:tc>
          <w:tcPr>
            <w:tcW w:w="1312" w:type="dxa"/>
            <w:vAlign w:val="bottom"/>
          </w:tcPr>
          <w:p w14:paraId="54A6E76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0.894282</w:t>
            </w:r>
          </w:p>
        </w:tc>
        <w:tc>
          <w:tcPr>
            <w:tcW w:w="1313" w:type="dxa"/>
            <w:vAlign w:val="bottom"/>
          </w:tcPr>
          <w:p w14:paraId="2207838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2.609747</w:t>
            </w:r>
          </w:p>
        </w:tc>
        <w:tc>
          <w:tcPr>
            <w:tcW w:w="1312" w:type="dxa"/>
            <w:vAlign w:val="bottom"/>
          </w:tcPr>
          <w:p w14:paraId="154CAAB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2.753311</w:t>
            </w:r>
          </w:p>
        </w:tc>
        <w:tc>
          <w:tcPr>
            <w:tcW w:w="1313" w:type="dxa"/>
            <w:vAlign w:val="bottom"/>
          </w:tcPr>
          <w:p w14:paraId="393E8A9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0.294231</w:t>
            </w:r>
          </w:p>
        </w:tc>
      </w:tr>
      <w:tr w:rsidR="00DB6A40" w:rsidRPr="00DB6A40" w14:paraId="1D4309CA" w14:textId="77777777" w:rsidTr="00D00B3F">
        <w:trPr>
          <w:trHeight w:val="225"/>
        </w:trPr>
        <w:tc>
          <w:tcPr>
            <w:tcW w:w="1492" w:type="dxa"/>
            <w:vAlign w:val="bottom"/>
          </w:tcPr>
          <w:p w14:paraId="7B2CEF1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Kurtosis</w:t>
            </w:r>
          </w:p>
        </w:tc>
        <w:tc>
          <w:tcPr>
            <w:tcW w:w="1313" w:type="dxa"/>
            <w:vAlign w:val="bottom"/>
          </w:tcPr>
          <w:p w14:paraId="05DE45D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3.003330</w:t>
            </w:r>
          </w:p>
        </w:tc>
        <w:tc>
          <w:tcPr>
            <w:tcW w:w="1312" w:type="dxa"/>
            <w:vAlign w:val="bottom"/>
          </w:tcPr>
          <w:p w14:paraId="3B29166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2.734504</w:t>
            </w:r>
          </w:p>
        </w:tc>
        <w:tc>
          <w:tcPr>
            <w:tcW w:w="1313" w:type="dxa"/>
            <w:vAlign w:val="bottom"/>
          </w:tcPr>
          <w:p w14:paraId="324D3F1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9.031928</w:t>
            </w:r>
          </w:p>
        </w:tc>
        <w:tc>
          <w:tcPr>
            <w:tcW w:w="1312" w:type="dxa"/>
            <w:vAlign w:val="bottom"/>
          </w:tcPr>
          <w:p w14:paraId="587A2EB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9.867345</w:t>
            </w:r>
          </w:p>
        </w:tc>
        <w:tc>
          <w:tcPr>
            <w:tcW w:w="1313" w:type="dxa"/>
            <w:vAlign w:val="bottom"/>
          </w:tcPr>
          <w:p w14:paraId="6260239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1.695689</w:t>
            </w:r>
          </w:p>
        </w:tc>
      </w:tr>
      <w:tr w:rsidR="00DB6A40" w:rsidRPr="00DB6A40" w14:paraId="254C453D" w14:textId="77777777" w:rsidTr="00D00B3F">
        <w:trPr>
          <w:trHeight w:val="225"/>
        </w:trPr>
        <w:tc>
          <w:tcPr>
            <w:tcW w:w="1492" w:type="dxa"/>
            <w:vAlign w:val="bottom"/>
          </w:tcPr>
          <w:p w14:paraId="2FDB565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0C8CE84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14B8CCD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1097C33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29286CF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0EE9401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05C01C12" w14:textId="77777777" w:rsidTr="00D00B3F">
        <w:trPr>
          <w:trHeight w:val="225"/>
        </w:trPr>
        <w:tc>
          <w:tcPr>
            <w:tcW w:w="1492" w:type="dxa"/>
            <w:vAlign w:val="bottom"/>
          </w:tcPr>
          <w:p w14:paraId="7A09064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Jarque-Bera</w:t>
            </w:r>
          </w:p>
        </w:tc>
        <w:tc>
          <w:tcPr>
            <w:tcW w:w="1313" w:type="dxa"/>
            <w:vAlign w:val="bottom"/>
          </w:tcPr>
          <w:p w14:paraId="4743D3A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4.845252</w:t>
            </w:r>
          </w:p>
        </w:tc>
        <w:tc>
          <w:tcPr>
            <w:tcW w:w="1312" w:type="dxa"/>
            <w:vAlign w:val="bottom"/>
          </w:tcPr>
          <w:p w14:paraId="101C58B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3.405676</w:t>
            </w:r>
          </w:p>
        </w:tc>
        <w:tc>
          <w:tcPr>
            <w:tcW w:w="1313" w:type="dxa"/>
            <w:vAlign w:val="bottom"/>
          </w:tcPr>
          <w:p w14:paraId="2A83EED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66.27841</w:t>
            </w:r>
          </w:p>
        </w:tc>
        <w:tc>
          <w:tcPr>
            <w:tcW w:w="1312" w:type="dxa"/>
            <w:vAlign w:val="bottom"/>
          </w:tcPr>
          <w:p w14:paraId="226DCAA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80.71178</w:t>
            </w:r>
          </w:p>
        </w:tc>
        <w:tc>
          <w:tcPr>
            <w:tcW w:w="1313" w:type="dxa"/>
            <w:vAlign w:val="bottom"/>
          </w:tcPr>
          <w:p w14:paraId="6905274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2.132828</w:t>
            </w:r>
          </w:p>
        </w:tc>
      </w:tr>
      <w:tr w:rsidR="00DB6A40" w:rsidRPr="00DB6A40" w14:paraId="7AE8CCF3" w14:textId="77777777" w:rsidTr="00D00B3F">
        <w:trPr>
          <w:trHeight w:val="225"/>
        </w:trPr>
        <w:tc>
          <w:tcPr>
            <w:tcW w:w="1492" w:type="dxa"/>
            <w:vAlign w:val="bottom"/>
          </w:tcPr>
          <w:p w14:paraId="3601932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Probability</w:t>
            </w:r>
          </w:p>
        </w:tc>
        <w:tc>
          <w:tcPr>
            <w:tcW w:w="1313" w:type="dxa"/>
            <w:vAlign w:val="bottom"/>
          </w:tcPr>
          <w:p w14:paraId="7576932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0.088688</w:t>
            </w:r>
          </w:p>
        </w:tc>
        <w:tc>
          <w:tcPr>
            <w:tcW w:w="1312" w:type="dxa"/>
            <w:vAlign w:val="bottom"/>
          </w:tcPr>
          <w:p w14:paraId="60F95A5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0.182166</w:t>
            </w:r>
          </w:p>
        </w:tc>
        <w:tc>
          <w:tcPr>
            <w:tcW w:w="1313" w:type="dxa"/>
            <w:vAlign w:val="bottom"/>
          </w:tcPr>
          <w:p w14:paraId="590CE8B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0.000000</w:t>
            </w:r>
          </w:p>
        </w:tc>
        <w:tc>
          <w:tcPr>
            <w:tcW w:w="1312" w:type="dxa"/>
            <w:vAlign w:val="bottom"/>
          </w:tcPr>
          <w:p w14:paraId="5F48BE7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0.000000</w:t>
            </w:r>
          </w:p>
        </w:tc>
        <w:tc>
          <w:tcPr>
            <w:tcW w:w="1313" w:type="dxa"/>
            <w:vAlign w:val="bottom"/>
          </w:tcPr>
          <w:p w14:paraId="04C0FE4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0.344241</w:t>
            </w:r>
          </w:p>
        </w:tc>
      </w:tr>
      <w:tr w:rsidR="00DB6A40" w:rsidRPr="00DB6A40" w14:paraId="3F8B5B50" w14:textId="77777777" w:rsidTr="00D00B3F">
        <w:trPr>
          <w:trHeight w:val="225"/>
        </w:trPr>
        <w:tc>
          <w:tcPr>
            <w:tcW w:w="1492" w:type="dxa"/>
            <w:vAlign w:val="bottom"/>
          </w:tcPr>
          <w:p w14:paraId="500B859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65106FF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42A4DBA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498A9B7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657ACDE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33397D5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2B3A7DC7" w14:textId="77777777" w:rsidTr="00D00B3F">
        <w:trPr>
          <w:trHeight w:val="225"/>
        </w:trPr>
        <w:tc>
          <w:tcPr>
            <w:tcW w:w="1492" w:type="dxa"/>
            <w:vAlign w:val="bottom"/>
          </w:tcPr>
          <w:p w14:paraId="603ACF9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Sum</w:t>
            </w:r>
          </w:p>
        </w:tc>
        <w:tc>
          <w:tcPr>
            <w:tcW w:w="1313" w:type="dxa"/>
            <w:vAlign w:val="bottom"/>
          </w:tcPr>
          <w:p w14:paraId="4B3A072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1653.450</w:t>
            </w:r>
          </w:p>
        </w:tc>
        <w:tc>
          <w:tcPr>
            <w:tcW w:w="1312" w:type="dxa"/>
            <w:vAlign w:val="bottom"/>
          </w:tcPr>
          <w:p w14:paraId="0C3056D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5936.760</w:t>
            </w:r>
          </w:p>
        </w:tc>
        <w:tc>
          <w:tcPr>
            <w:tcW w:w="1313" w:type="dxa"/>
            <w:vAlign w:val="bottom"/>
          </w:tcPr>
          <w:p w14:paraId="357FD4B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38062.21</w:t>
            </w:r>
          </w:p>
        </w:tc>
        <w:tc>
          <w:tcPr>
            <w:tcW w:w="1312" w:type="dxa"/>
            <w:vAlign w:val="bottom"/>
          </w:tcPr>
          <w:p w14:paraId="040F3D5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95746.62</w:t>
            </w:r>
          </w:p>
        </w:tc>
        <w:tc>
          <w:tcPr>
            <w:tcW w:w="1313" w:type="dxa"/>
            <w:vAlign w:val="bottom"/>
          </w:tcPr>
          <w:p w14:paraId="57B08DB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842.1500</w:t>
            </w:r>
          </w:p>
        </w:tc>
      </w:tr>
      <w:tr w:rsidR="00DB6A40" w:rsidRPr="00DB6A40" w14:paraId="3184B35D" w14:textId="77777777" w:rsidTr="00D00B3F">
        <w:trPr>
          <w:trHeight w:val="225"/>
        </w:trPr>
        <w:tc>
          <w:tcPr>
            <w:tcW w:w="1492" w:type="dxa"/>
            <w:vAlign w:val="bottom"/>
          </w:tcPr>
          <w:p w14:paraId="7DF8074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Sum Sq. Dev.</w:t>
            </w:r>
          </w:p>
        </w:tc>
        <w:tc>
          <w:tcPr>
            <w:tcW w:w="1313" w:type="dxa"/>
            <w:vAlign w:val="bottom"/>
          </w:tcPr>
          <w:p w14:paraId="2F3BC2F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89730.31</w:t>
            </w:r>
          </w:p>
        </w:tc>
        <w:tc>
          <w:tcPr>
            <w:tcW w:w="1312" w:type="dxa"/>
            <w:vAlign w:val="bottom"/>
          </w:tcPr>
          <w:p w14:paraId="22B2B8E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1250739.</w:t>
            </w:r>
          </w:p>
        </w:tc>
        <w:tc>
          <w:tcPr>
            <w:tcW w:w="1313" w:type="dxa"/>
            <w:vAlign w:val="bottom"/>
          </w:tcPr>
          <w:p w14:paraId="3D6B1FA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2.740016</w:t>
            </w:r>
          </w:p>
        </w:tc>
        <w:tc>
          <w:tcPr>
            <w:tcW w:w="1312" w:type="dxa"/>
            <w:vAlign w:val="bottom"/>
          </w:tcPr>
          <w:p w14:paraId="51A9041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1.910356</w:t>
            </w:r>
          </w:p>
        </w:tc>
        <w:tc>
          <w:tcPr>
            <w:tcW w:w="1313" w:type="dxa"/>
            <w:vAlign w:val="bottom"/>
          </w:tcPr>
          <w:p w14:paraId="5C0E73F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9904.429</w:t>
            </w:r>
          </w:p>
        </w:tc>
      </w:tr>
      <w:tr w:rsidR="00DB6A40" w:rsidRPr="00DB6A40" w14:paraId="5BD0EB7A" w14:textId="77777777" w:rsidTr="00D00B3F">
        <w:trPr>
          <w:trHeight w:val="225"/>
        </w:trPr>
        <w:tc>
          <w:tcPr>
            <w:tcW w:w="1492" w:type="dxa"/>
            <w:vAlign w:val="bottom"/>
          </w:tcPr>
          <w:p w14:paraId="4AE1B35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4FA96E5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31FBBF4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21E4CF7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61F7100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5E2F68B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59088EE3" w14:textId="77777777" w:rsidTr="00D00B3F">
        <w:trPr>
          <w:trHeight w:val="225"/>
        </w:trPr>
        <w:tc>
          <w:tcPr>
            <w:tcW w:w="1492" w:type="dxa"/>
            <w:vAlign w:val="bottom"/>
          </w:tcPr>
          <w:p w14:paraId="78E68D9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Observations</w:t>
            </w:r>
          </w:p>
        </w:tc>
        <w:tc>
          <w:tcPr>
            <w:tcW w:w="1313" w:type="dxa"/>
            <w:vAlign w:val="bottom"/>
          </w:tcPr>
          <w:p w14:paraId="3FD2FE1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25</w:t>
            </w:r>
          </w:p>
        </w:tc>
        <w:tc>
          <w:tcPr>
            <w:tcW w:w="1312" w:type="dxa"/>
            <w:vAlign w:val="bottom"/>
          </w:tcPr>
          <w:p w14:paraId="1C6AE4E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25</w:t>
            </w:r>
          </w:p>
        </w:tc>
        <w:tc>
          <w:tcPr>
            <w:tcW w:w="1313" w:type="dxa"/>
            <w:vAlign w:val="bottom"/>
          </w:tcPr>
          <w:p w14:paraId="4BDCCB0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25</w:t>
            </w:r>
          </w:p>
        </w:tc>
        <w:tc>
          <w:tcPr>
            <w:tcW w:w="1312" w:type="dxa"/>
            <w:vAlign w:val="bottom"/>
          </w:tcPr>
          <w:p w14:paraId="7066E76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25</w:t>
            </w:r>
          </w:p>
        </w:tc>
        <w:tc>
          <w:tcPr>
            <w:tcW w:w="1313" w:type="dxa"/>
            <w:vAlign w:val="bottom"/>
          </w:tcPr>
          <w:p w14:paraId="36C9066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25</w:t>
            </w:r>
          </w:p>
        </w:tc>
      </w:tr>
    </w:tbl>
    <w:p w14:paraId="385E8E01"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Source: E-VIEW 9.0 (2026).</w:t>
      </w:r>
    </w:p>
    <w:p w14:paraId="1E7A99A7" w14:textId="77777777" w:rsidR="00DB6A40" w:rsidRPr="00DB6A40" w:rsidRDefault="00DB6A40" w:rsidP="007223FC">
      <w:pPr>
        <w:spacing w:line="240" w:lineRule="auto"/>
        <w:jc w:val="both"/>
        <w:rPr>
          <w:rFonts w:ascii="Times New Roman" w:eastAsia="Calibri" w:hAnsi="Times New Roman" w:cs="Times New Roman"/>
          <w:bCs/>
          <w:color w:val="000000"/>
          <w14:ligatures w14:val="none"/>
        </w:rPr>
      </w:pPr>
      <w:r w:rsidRPr="00DB6A40">
        <w:rPr>
          <w:rFonts w:ascii="Times New Roman" w:eastAsia="Calibri" w:hAnsi="Times New Roman" w:cs="Times New Roman"/>
          <w:bCs/>
          <w:color w:val="000000"/>
          <w14:ligatures w14:val="none"/>
        </w:rPr>
        <w:t xml:space="preserve">The descriptive statistics in Table 1 reveal important insights into the behavior of the study variables. NBAC has a mean of 66.14 and is moderately skewed, suggesting gradual growth in FI with wide dispersion across the sample period. ATMT, with a mean of 237.47, shows steady expansion though its distribution remains positively skewed, indicating occasional spikes. POST displays high volatility with a mean of 1522.49 and extreme skewness and kurtosis, reflecting sharp increases in usage during certain years. DCT has the highest mean of 3829.87, accompanied by large deviations and non-normal distribution, implying uneven adoption across time. ARDBS averages 33.69 with relatively low skewness and kurtosis, suggesting more stable adoption trends. The Jarque-Bera results confirm that while NBAC, ATMT, and ARDBS approximate normality, POST and DCT deviate significantly, emphasizing the dynamic yet uneven growth of these DP indicators in Nigeria’s </w:t>
      </w:r>
      <w:r w:rsidRPr="00DB6A40">
        <w:rPr>
          <w:rFonts w:ascii="Times New Roman" w:eastAsia="Calibri" w:hAnsi="Times New Roman" w:cs="Times New Roman"/>
          <w14:ligatures w14:val="none"/>
        </w:rPr>
        <w:t>CBs.</w:t>
      </w:r>
    </w:p>
    <w:p w14:paraId="6065549D"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Correlation Analysis</w:t>
      </w:r>
    </w:p>
    <w:p w14:paraId="2A6BE6AD" w14:textId="77777777" w:rsid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Correlation analysis examines the strength and direction of relationships among ATMT, POST, DCT, ARDBS, and NBAC. Establishing correlations ensures preliminary evidence of linkages between DP channels and FI before applying more rigorous econometric techniques. The correlation analysis was presented below.</w:t>
      </w:r>
    </w:p>
    <w:p w14:paraId="087D33F2" w14:textId="77777777" w:rsidR="00DB6A40" w:rsidRPr="00DB6A40" w:rsidRDefault="00DB6A40" w:rsidP="007223FC">
      <w:pPr>
        <w:tabs>
          <w:tab w:val="left" w:pos="1185"/>
        </w:tabs>
        <w:spacing w:after="0" w:line="240" w:lineRule="auto"/>
        <w:jc w:val="both"/>
        <w:rPr>
          <w:rFonts w:ascii="Times New Roman" w:eastAsia="Calibri" w:hAnsi="Times New Roman" w:cs="Times New Roman"/>
          <w:b/>
          <w:sz w:val="18"/>
          <w:szCs w:val="18"/>
          <w14:ligatures w14:val="none"/>
        </w:rPr>
      </w:pPr>
      <w:r w:rsidRPr="00DB6A40">
        <w:rPr>
          <w:rFonts w:ascii="Times New Roman" w:eastAsia="Calibri" w:hAnsi="Times New Roman" w:cs="Times New Roman"/>
          <w:b/>
          <w:sz w:val="18"/>
          <w:szCs w:val="18"/>
          <w14:ligatures w14:val="none"/>
        </w:rPr>
        <w:lastRenderedPageBreak/>
        <w:t>Table 2: Correlation Matrix for the Independent and Dependent Variables</w:t>
      </w:r>
    </w:p>
    <w:tbl>
      <w:tblPr>
        <w:tblW w:w="0" w:type="auto"/>
        <w:tblInd w:w="3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282"/>
        <w:gridCol w:w="1313"/>
        <w:gridCol w:w="1312"/>
        <w:gridCol w:w="1313"/>
        <w:gridCol w:w="1312"/>
        <w:gridCol w:w="1313"/>
      </w:tblGrid>
      <w:tr w:rsidR="00DB6A40" w:rsidRPr="00DB6A40" w14:paraId="1F984073" w14:textId="77777777" w:rsidTr="00D00B3F">
        <w:trPr>
          <w:trHeight w:val="225"/>
        </w:trPr>
        <w:tc>
          <w:tcPr>
            <w:tcW w:w="1282" w:type="dxa"/>
            <w:vAlign w:val="bottom"/>
          </w:tcPr>
          <w:p w14:paraId="463E8E2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68DF38D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NBAC</w:t>
            </w:r>
          </w:p>
        </w:tc>
        <w:tc>
          <w:tcPr>
            <w:tcW w:w="1312" w:type="dxa"/>
            <w:vAlign w:val="bottom"/>
          </w:tcPr>
          <w:p w14:paraId="56947A6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ATMT</w:t>
            </w:r>
          </w:p>
        </w:tc>
        <w:tc>
          <w:tcPr>
            <w:tcW w:w="1313" w:type="dxa"/>
            <w:vAlign w:val="bottom"/>
          </w:tcPr>
          <w:p w14:paraId="19299E2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POST</w:t>
            </w:r>
          </w:p>
        </w:tc>
        <w:tc>
          <w:tcPr>
            <w:tcW w:w="1312" w:type="dxa"/>
            <w:vAlign w:val="bottom"/>
          </w:tcPr>
          <w:p w14:paraId="6CA465D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DCT</w:t>
            </w:r>
          </w:p>
        </w:tc>
        <w:tc>
          <w:tcPr>
            <w:tcW w:w="1313" w:type="dxa"/>
            <w:vAlign w:val="bottom"/>
          </w:tcPr>
          <w:p w14:paraId="79E349E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ARDBS</w:t>
            </w:r>
          </w:p>
        </w:tc>
      </w:tr>
      <w:tr w:rsidR="00DB6A40" w:rsidRPr="00DB6A40" w14:paraId="1FED9B48" w14:textId="77777777" w:rsidTr="00D00B3F">
        <w:trPr>
          <w:trHeight w:val="225"/>
        </w:trPr>
        <w:tc>
          <w:tcPr>
            <w:tcW w:w="1282" w:type="dxa"/>
            <w:vAlign w:val="bottom"/>
          </w:tcPr>
          <w:p w14:paraId="2EED418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NBAC</w:t>
            </w:r>
          </w:p>
        </w:tc>
        <w:tc>
          <w:tcPr>
            <w:tcW w:w="1313" w:type="dxa"/>
            <w:vAlign w:val="bottom"/>
          </w:tcPr>
          <w:p w14:paraId="5EF802B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1.000000</w:t>
            </w:r>
          </w:p>
        </w:tc>
        <w:tc>
          <w:tcPr>
            <w:tcW w:w="1312" w:type="dxa"/>
            <w:vAlign w:val="bottom"/>
          </w:tcPr>
          <w:p w14:paraId="6B8D913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3109615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4FE84FC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1E4A355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2F61802B" w14:textId="77777777" w:rsidTr="00D00B3F">
        <w:trPr>
          <w:trHeight w:val="225"/>
        </w:trPr>
        <w:tc>
          <w:tcPr>
            <w:tcW w:w="1282" w:type="dxa"/>
            <w:vAlign w:val="bottom"/>
          </w:tcPr>
          <w:p w14:paraId="796AEDF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ATMT</w:t>
            </w:r>
          </w:p>
        </w:tc>
        <w:tc>
          <w:tcPr>
            <w:tcW w:w="1313" w:type="dxa"/>
            <w:vAlign w:val="bottom"/>
          </w:tcPr>
          <w:p w14:paraId="16385AF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0.995436</w:t>
            </w:r>
          </w:p>
        </w:tc>
        <w:tc>
          <w:tcPr>
            <w:tcW w:w="1312" w:type="dxa"/>
            <w:vAlign w:val="bottom"/>
          </w:tcPr>
          <w:p w14:paraId="0B06E37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1.000000</w:t>
            </w:r>
          </w:p>
        </w:tc>
        <w:tc>
          <w:tcPr>
            <w:tcW w:w="1313" w:type="dxa"/>
            <w:vAlign w:val="bottom"/>
          </w:tcPr>
          <w:p w14:paraId="225214D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2" w:type="dxa"/>
            <w:vAlign w:val="bottom"/>
          </w:tcPr>
          <w:p w14:paraId="41F7560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48ACFC8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73FC0CCA" w14:textId="77777777" w:rsidTr="00D00B3F">
        <w:trPr>
          <w:trHeight w:val="225"/>
        </w:trPr>
        <w:tc>
          <w:tcPr>
            <w:tcW w:w="1282" w:type="dxa"/>
            <w:vAlign w:val="bottom"/>
          </w:tcPr>
          <w:p w14:paraId="4A7ECE6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POST</w:t>
            </w:r>
          </w:p>
        </w:tc>
        <w:tc>
          <w:tcPr>
            <w:tcW w:w="1313" w:type="dxa"/>
            <w:vAlign w:val="bottom"/>
          </w:tcPr>
          <w:p w14:paraId="7DC05A7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0.870256</w:t>
            </w:r>
          </w:p>
        </w:tc>
        <w:tc>
          <w:tcPr>
            <w:tcW w:w="1312" w:type="dxa"/>
            <w:vAlign w:val="bottom"/>
          </w:tcPr>
          <w:p w14:paraId="575C8C4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0.843839</w:t>
            </w:r>
          </w:p>
        </w:tc>
        <w:tc>
          <w:tcPr>
            <w:tcW w:w="1313" w:type="dxa"/>
            <w:vAlign w:val="bottom"/>
          </w:tcPr>
          <w:p w14:paraId="147D9CD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1.000000</w:t>
            </w:r>
          </w:p>
        </w:tc>
        <w:tc>
          <w:tcPr>
            <w:tcW w:w="1312" w:type="dxa"/>
            <w:vAlign w:val="bottom"/>
          </w:tcPr>
          <w:p w14:paraId="31F5B36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313" w:type="dxa"/>
            <w:vAlign w:val="bottom"/>
          </w:tcPr>
          <w:p w14:paraId="39F12A9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2745901E" w14:textId="77777777" w:rsidTr="00D00B3F">
        <w:trPr>
          <w:trHeight w:val="225"/>
        </w:trPr>
        <w:tc>
          <w:tcPr>
            <w:tcW w:w="1282" w:type="dxa"/>
            <w:vAlign w:val="bottom"/>
          </w:tcPr>
          <w:p w14:paraId="2783A01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DCT</w:t>
            </w:r>
          </w:p>
        </w:tc>
        <w:tc>
          <w:tcPr>
            <w:tcW w:w="1313" w:type="dxa"/>
            <w:vAlign w:val="bottom"/>
          </w:tcPr>
          <w:p w14:paraId="7FA14BD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0.851948</w:t>
            </w:r>
          </w:p>
        </w:tc>
        <w:tc>
          <w:tcPr>
            <w:tcW w:w="1312" w:type="dxa"/>
            <w:vAlign w:val="bottom"/>
          </w:tcPr>
          <w:p w14:paraId="69E6C3B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0.825466</w:t>
            </w:r>
          </w:p>
        </w:tc>
        <w:tc>
          <w:tcPr>
            <w:tcW w:w="1313" w:type="dxa"/>
            <w:vAlign w:val="bottom"/>
          </w:tcPr>
          <w:p w14:paraId="54EEB98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0.999029</w:t>
            </w:r>
          </w:p>
        </w:tc>
        <w:tc>
          <w:tcPr>
            <w:tcW w:w="1312" w:type="dxa"/>
            <w:vAlign w:val="bottom"/>
          </w:tcPr>
          <w:p w14:paraId="654FD0B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1.000000</w:t>
            </w:r>
          </w:p>
        </w:tc>
        <w:tc>
          <w:tcPr>
            <w:tcW w:w="1313" w:type="dxa"/>
            <w:vAlign w:val="bottom"/>
          </w:tcPr>
          <w:p w14:paraId="420725E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3B100B70" w14:textId="77777777" w:rsidTr="00D00B3F">
        <w:trPr>
          <w:trHeight w:val="225"/>
        </w:trPr>
        <w:tc>
          <w:tcPr>
            <w:tcW w:w="1282" w:type="dxa"/>
            <w:vAlign w:val="bottom"/>
          </w:tcPr>
          <w:p w14:paraId="32B6A52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ARDBS</w:t>
            </w:r>
          </w:p>
        </w:tc>
        <w:tc>
          <w:tcPr>
            <w:tcW w:w="1313" w:type="dxa"/>
            <w:vAlign w:val="bottom"/>
          </w:tcPr>
          <w:p w14:paraId="23EA328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0.953094</w:t>
            </w:r>
          </w:p>
        </w:tc>
        <w:tc>
          <w:tcPr>
            <w:tcW w:w="1312" w:type="dxa"/>
            <w:vAlign w:val="bottom"/>
          </w:tcPr>
          <w:p w14:paraId="6AA1B78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0.970995</w:t>
            </w:r>
          </w:p>
        </w:tc>
        <w:tc>
          <w:tcPr>
            <w:tcW w:w="1313" w:type="dxa"/>
            <w:vAlign w:val="bottom"/>
          </w:tcPr>
          <w:p w14:paraId="590A258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0.700504</w:t>
            </w:r>
          </w:p>
        </w:tc>
        <w:tc>
          <w:tcPr>
            <w:tcW w:w="1312" w:type="dxa"/>
            <w:vAlign w:val="bottom"/>
          </w:tcPr>
          <w:p w14:paraId="754FBA4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0.678393</w:t>
            </w:r>
          </w:p>
        </w:tc>
        <w:tc>
          <w:tcPr>
            <w:tcW w:w="1313" w:type="dxa"/>
            <w:vAlign w:val="bottom"/>
          </w:tcPr>
          <w:p w14:paraId="0EAA6C7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1.000000</w:t>
            </w:r>
          </w:p>
        </w:tc>
      </w:tr>
    </w:tbl>
    <w:p w14:paraId="7193AB57"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Source: E-VIEW 9.0 (2026).</w:t>
      </w:r>
    </w:p>
    <w:p w14:paraId="492118C6"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correlation results in Table 2 show strong positive relationships among the study variables. NBAC is highly correlated with ATMT (0.99) and ARDBS (0.95), indicating that growth in ATM usage and adoption of digital banking strongly supports FI. POST correlates strongly with NBAC (0.87) and even more with DCT (0.99), suggesting that electronic payment innovations move together. DCT also has high correlation with NBAC (0.85), confirming its importance for account expansion. ARDBS relates strongly to ATMT (0.97) but more moderately with POST (0.70) and DCT (0.68), implying adoption patterns differ. Overall, the variables exhibit significant complementarities.</w:t>
      </w:r>
    </w:p>
    <w:p w14:paraId="15C03AA0"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Variance Inflation Factors</w:t>
      </w:r>
    </w:p>
    <w:p w14:paraId="0A95C5AC"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Variance Inflation Factors detect multicollinearity among ATMT, POST, DCT, and ARDBS. Since overlapping relationships may distort OLS estimates, this test is crucial to verify the independence of explanatory variables and the reliability of the regression model’s results. This was presented in Table 3 below.</w:t>
      </w:r>
    </w:p>
    <w:p w14:paraId="2ECD1E25" w14:textId="77777777" w:rsidR="00DB6A40" w:rsidRPr="00DB6A40" w:rsidRDefault="00DB6A40" w:rsidP="007223FC">
      <w:pPr>
        <w:tabs>
          <w:tab w:val="left" w:pos="1215"/>
        </w:tabs>
        <w:spacing w:after="0"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color w:val="000000"/>
          <w:sz w:val="18"/>
          <w:szCs w:val="18"/>
          <w14:ligatures w14:val="none"/>
        </w:rPr>
        <w:t xml:space="preserve">Table 3: Variance Inflation Factors </w:t>
      </w:r>
      <w:r w:rsidRPr="00DB6A40">
        <w:rPr>
          <w:rFonts w:ascii="Times New Roman" w:eastAsia="Calibri" w:hAnsi="Times New Roman" w:cs="Times New Roman"/>
          <w:b/>
          <w:sz w:val="18"/>
          <w:szCs w:val="18"/>
          <w14:ligatures w14:val="none"/>
        </w:rPr>
        <w:t>Multicollinearity Test</w:t>
      </w:r>
    </w:p>
    <w:tbl>
      <w:tblPr>
        <w:tblW w:w="0" w:type="auto"/>
        <w:tblInd w:w="30" w:type="dxa"/>
        <w:tblLayout w:type="fixed"/>
        <w:tblCellMar>
          <w:left w:w="0" w:type="dxa"/>
          <w:right w:w="0" w:type="dxa"/>
        </w:tblCellMar>
        <w:tblLook w:val="0000" w:firstRow="0" w:lastRow="0" w:firstColumn="0" w:lastColumn="0" w:noHBand="0" w:noVBand="0"/>
      </w:tblPr>
      <w:tblGrid>
        <w:gridCol w:w="2017"/>
        <w:gridCol w:w="1208"/>
        <w:gridCol w:w="1207"/>
        <w:gridCol w:w="1208"/>
      </w:tblGrid>
      <w:tr w:rsidR="00DB6A40" w:rsidRPr="00DB6A40" w14:paraId="4DD0D650" w14:textId="77777777" w:rsidTr="00D00B3F">
        <w:trPr>
          <w:trHeight w:val="225"/>
        </w:trPr>
        <w:tc>
          <w:tcPr>
            <w:tcW w:w="4432" w:type="dxa"/>
            <w:gridSpan w:val="3"/>
            <w:tcBorders>
              <w:top w:val="nil"/>
              <w:left w:val="nil"/>
              <w:bottom w:val="nil"/>
              <w:right w:val="nil"/>
            </w:tcBorders>
            <w:vAlign w:val="bottom"/>
          </w:tcPr>
          <w:p w14:paraId="0E0A2FE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Variance Inflation Factors</w:t>
            </w:r>
          </w:p>
        </w:tc>
        <w:tc>
          <w:tcPr>
            <w:tcW w:w="1208" w:type="dxa"/>
            <w:tcBorders>
              <w:top w:val="nil"/>
              <w:left w:val="nil"/>
              <w:bottom w:val="nil"/>
              <w:right w:val="nil"/>
            </w:tcBorders>
            <w:vAlign w:val="bottom"/>
          </w:tcPr>
          <w:p w14:paraId="37DDAA0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254F21D0" w14:textId="77777777" w:rsidTr="00D00B3F">
        <w:trPr>
          <w:trHeight w:val="225"/>
        </w:trPr>
        <w:tc>
          <w:tcPr>
            <w:tcW w:w="4432" w:type="dxa"/>
            <w:gridSpan w:val="3"/>
            <w:tcBorders>
              <w:top w:val="nil"/>
              <w:left w:val="nil"/>
              <w:bottom w:val="nil"/>
              <w:right w:val="nil"/>
            </w:tcBorders>
            <w:vAlign w:val="bottom"/>
          </w:tcPr>
          <w:p w14:paraId="5FBA99F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Date: 02/02/26   Time: 13:30</w:t>
            </w:r>
          </w:p>
        </w:tc>
        <w:tc>
          <w:tcPr>
            <w:tcW w:w="1208" w:type="dxa"/>
            <w:tcBorders>
              <w:top w:val="nil"/>
              <w:left w:val="nil"/>
              <w:bottom w:val="nil"/>
              <w:right w:val="nil"/>
            </w:tcBorders>
            <w:vAlign w:val="bottom"/>
          </w:tcPr>
          <w:p w14:paraId="14B2AAC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199D3880" w14:textId="77777777" w:rsidTr="00D00B3F">
        <w:trPr>
          <w:trHeight w:val="225"/>
        </w:trPr>
        <w:tc>
          <w:tcPr>
            <w:tcW w:w="4432" w:type="dxa"/>
            <w:gridSpan w:val="3"/>
            <w:tcBorders>
              <w:top w:val="nil"/>
              <w:left w:val="nil"/>
              <w:bottom w:val="nil"/>
              <w:right w:val="nil"/>
            </w:tcBorders>
            <w:vAlign w:val="bottom"/>
          </w:tcPr>
          <w:p w14:paraId="67D0E9E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Sample: 2000 2024</w:t>
            </w:r>
          </w:p>
        </w:tc>
        <w:tc>
          <w:tcPr>
            <w:tcW w:w="1208" w:type="dxa"/>
            <w:tcBorders>
              <w:top w:val="nil"/>
              <w:left w:val="nil"/>
              <w:bottom w:val="nil"/>
              <w:right w:val="nil"/>
            </w:tcBorders>
            <w:vAlign w:val="bottom"/>
          </w:tcPr>
          <w:p w14:paraId="54AA056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46015BF4" w14:textId="77777777" w:rsidTr="00D00B3F">
        <w:trPr>
          <w:trHeight w:val="225"/>
        </w:trPr>
        <w:tc>
          <w:tcPr>
            <w:tcW w:w="4432" w:type="dxa"/>
            <w:gridSpan w:val="3"/>
            <w:tcBorders>
              <w:top w:val="nil"/>
              <w:left w:val="nil"/>
              <w:bottom w:val="nil"/>
              <w:right w:val="nil"/>
            </w:tcBorders>
            <w:vAlign w:val="bottom"/>
          </w:tcPr>
          <w:p w14:paraId="3F8D4D4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Included observations: 25</w:t>
            </w:r>
          </w:p>
        </w:tc>
        <w:tc>
          <w:tcPr>
            <w:tcW w:w="1208" w:type="dxa"/>
            <w:tcBorders>
              <w:top w:val="nil"/>
              <w:left w:val="nil"/>
              <w:bottom w:val="nil"/>
              <w:right w:val="nil"/>
            </w:tcBorders>
            <w:vAlign w:val="bottom"/>
          </w:tcPr>
          <w:p w14:paraId="2ADB9C2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52365B13" w14:textId="77777777" w:rsidTr="00D00B3F">
        <w:trPr>
          <w:trHeight w:hRule="exact" w:val="90"/>
        </w:trPr>
        <w:tc>
          <w:tcPr>
            <w:tcW w:w="2017" w:type="dxa"/>
            <w:tcBorders>
              <w:top w:val="nil"/>
              <w:left w:val="nil"/>
              <w:bottom w:val="double" w:sz="6" w:space="2" w:color="auto"/>
              <w:right w:val="nil"/>
            </w:tcBorders>
            <w:vAlign w:val="bottom"/>
          </w:tcPr>
          <w:p w14:paraId="3D3181C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2" w:color="auto"/>
              <w:right w:val="nil"/>
            </w:tcBorders>
            <w:vAlign w:val="bottom"/>
          </w:tcPr>
          <w:p w14:paraId="2F4D470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double" w:sz="6" w:space="2" w:color="auto"/>
              <w:right w:val="nil"/>
            </w:tcBorders>
            <w:vAlign w:val="bottom"/>
          </w:tcPr>
          <w:p w14:paraId="42A9A75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2" w:color="auto"/>
              <w:right w:val="nil"/>
            </w:tcBorders>
            <w:vAlign w:val="bottom"/>
          </w:tcPr>
          <w:p w14:paraId="0184798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2BDA4588" w14:textId="77777777" w:rsidTr="00D00B3F">
        <w:trPr>
          <w:trHeight w:hRule="exact" w:val="135"/>
        </w:trPr>
        <w:tc>
          <w:tcPr>
            <w:tcW w:w="2017" w:type="dxa"/>
            <w:tcBorders>
              <w:top w:val="nil"/>
              <w:left w:val="nil"/>
              <w:bottom w:val="nil"/>
              <w:right w:val="nil"/>
            </w:tcBorders>
            <w:vAlign w:val="bottom"/>
          </w:tcPr>
          <w:p w14:paraId="0A50C27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574231D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nil"/>
              <w:right w:val="nil"/>
            </w:tcBorders>
            <w:vAlign w:val="bottom"/>
          </w:tcPr>
          <w:p w14:paraId="217FE02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41C7DF9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105DF225" w14:textId="77777777" w:rsidTr="00D00B3F">
        <w:trPr>
          <w:trHeight w:val="225"/>
        </w:trPr>
        <w:tc>
          <w:tcPr>
            <w:tcW w:w="2017" w:type="dxa"/>
            <w:tcBorders>
              <w:top w:val="nil"/>
              <w:left w:val="nil"/>
              <w:bottom w:val="nil"/>
              <w:right w:val="nil"/>
            </w:tcBorders>
            <w:vAlign w:val="bottom"/>
          </w:tcPr>
          <w:p w14:paraId="6FAA2E6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6EC3D20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Coefficient</w:t>
            </w:r>
          </w:p>
        </w:tc>
        <w:tc>
          <w:tcPr>
            <w:tcW w:w="1207" w:type="dxa"/>
            <w:tcBorders>
              <w:top w:val="nil"/>
              <w:left w:val="nil"/>
              <w:bottom w:val="nil"/>
              <w:right w:val="nil"/>
            </w:tcBorders>
            <w:vAlign w:val="bottom"/>
          </w:tcPr>
          <w:p w14:paraId="695D4CD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Uncentered</w:t>
            </w:r>
          </w:p>
        </w:tc>
        <w:tc>
          <w:tcPr>
            <w:tcW w:w="1208" w:type="dxa"/>
            <w:tcBorders>
              <w:top w:val="nil"/>
              <w:left w:val="nil"/>
              <w:bottom w:val="nil"/>
              <w:right w:val="nil"/>
            </w:tcBorders>
            <w:vAlign w:val="bottom"/>
          </w:tcPr>
          <w:p w14:paraId="3B5A403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Centered</w:t>
            </w:r>
          </w:p>
        </w:tc>
      </w:tr>
      <w:tr w:rsidR="00DB6A40" w:rsidRPr="00DB6A40" w14:paraId="09DFB241" w14:textId="77777777" w:rsidTr="00D00B3F">
        <w:trPr>
          <w:trHeight w:val="225"/>
        </w:trPr>
        <w:tc>
          <w:tcPr>
            <w:tcW w:w="2017" w:type="dxa"/>
            <w:tcBorders>
              <w:top w:val="nil"/>
              <w:left w:val="nil"/>
              <w:bottom w:val="nil"/>
              <w:right w:val="nil"/>
            </w:tcBorders>
            <w:vAlign w:val="bottom"/>
          </w:tcPr>
          <w:p w14:paraId="7F1F347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Variable</w:t>
            </w:r>
          </w:p>
        </w:tc>
        <w:tc>
          <w:tcPr>
            <w:tcW w:w="1208" w:type="dxa"/>
            <w:tcBorders>
              <w:top w:val="nil"/>
              <w:left w:val="nil"/>
              <w:bottom w:val="nil"/>
              <w:right w:val="nil"/>
            </w:tcBorders>
            <w:vAlign w:val="bottom"/>
          </w:tcPr>
          <w:p w14:paraId="6B2C3D2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Variance</w:t>
            </w:r>
          </w:p>
        </w:tc>
        <w:tc>
          <w:tcPr>
            <w:tcW w:w="1207" w:type="dxa"/>
            <w:tcBorders>
              <w:top w:val="nil"/>
              <w:left w:val="nil"/>
              <w:bottom w:val="nil"/>
              <w:right w:val="nil"/>
            </w:tcBorders>
            <w:vAlign w:val="bottom"/>
          </w:tcPr>
          <w:p w14:paraId="1B31DF8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VIF</w:t>
            </w:r>
          </w:p>
        </w:tc>
        <w:tc>
          <w:tcPr>
            <w:tcW w:w="1208" w:type="dxa"/>
            <w:tcBorders>
              <w:top w:val="nil"/>
              <w:left w:val="nil"/>
              <w:bottom w:val="nil"/>
              <w:right w:val="nil"/>
            </w:tcBorders>
            <w:vAlign w:val="bottom"/>
          </w:tcPr>
          <w:p w14:paraId="6359DF7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VIF</w:t>
            </w:r>
          </w:p>
        </w:tc>
      </w:tr>
      <w:tr w:rsidR="00DB6A40" w:rsidRPr="00DB6A40" w14:paraId="134A78AA" w14:textId="77777777" w:rsidTr="00D00B3F">
        <w:trPr>
          <w:trHeight w:hRule="exact" w:val="90"/>
        </w:trPr>
        <w:tc>
          <w:tcPr>
            <w:tcW w:w="2017" w:type="dxa"/>
            <w:tcBorders>
              <w:top w:val="nil"/>
              <w:left w:val="nil"/>
              <w:bottom w:val="double" w:sz="6" w:space="2" w:color="auto"/>
              <w:right w:val="nil"/>
            </w:tcBorders>
            <w:vAlign w:val="bottom"/>
          </w:tcPr>
          <w:p w14:paraId="65C6140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2" w:color="auto"/>
              <w:right w:val="nil"/>
            </w:tcBorders>
            <w:vAlign w:val="bottom"/>
          </w:tcPr>
          <w:p w14:paraId="7AFBDF2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double" w:sz="6" w:space="2" w:color="auto"/>
              <w:right w:val="nil"/>
            </w:tcBorders>
            <w:vAlign w:val="bottom"/>
          </w:tcPr>
          <w:p w14:paraId="2BADEB3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2" w:color="auto"/>
              <w:right w:val="nil"/>
            </w:tcBorders>
            <w:vAlign w:val="bottom"/>
          </w:tcPr>
          <w:p w14:paraId="4A25481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6A8BE25F" w14:textId="77777777" w:rsidTr="00D00B3F">
        <w:trPr>
          <w:trHeight w:hRule="exact" w:val="135"/>
        </w:trPr>
        <w:tc>
          <w:tcPr>
            <w:tcW w:w="2017" w:type="dxa"/>
            <w:tcBorders>
              <w:top w:val="nil"/>
              <w:left w:val="nil"/>
              <w:bottom w:val="nil"/>
              <w:right w:val="nil"/>
            </w:tcBorders>
            <w:vAlign w:val="bottom"/>
          </w:tcPr>
          <w:p w14:paraId="2B03C5F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4ACF1F2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nil"/>
              <w:right w:val="nil"/>
            </w:tcBorders>
            <w:vAlign w:val="bottom"/>
          </w:tcPr>
          <w:p w14:paraId="06EBD7E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20C617C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153B3FBB" w14:textId="77777777" w:rsidTr="00D00B3F">
        <w:trPr>
          <w:trHeight w:val="225"/>
        </w:trPr>
        <w:tc>
          <w:tcPr>
            <w:tcW w:w="2017" w:type="dxa"/>
            <w:tcBorders>
              <w:top w:val="nil"/>
              <w:left w:val="nil"/>
              <w:bottom w:val="nil"/>
              <w:right w:val="nil"/>
            </w:tcBorders>
            <w:vAlign w:val="bottom"/>
          </w:tcPr>
          <w:p w14:paraId="13783A9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ATMT</w:t>
            </w:r>
          </w:p>
        </w:tc>
        <w:tc>
          <w:tcPr>
            <w:tcW w:w="1208" w:type="dxa"/>
            <w:tcBorders>
              <w:top w:val="nil"/>
              <w:left w:val="nil"/>
              <w:bottom w:val="nil"/>
              <w:right w:val="nil"/>
            </w:tcBorders>
            <w:vAlign w:val="bottom"/>
          </w:tcPr>
          <w:p w14:paraId="066D8CA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0.003629</w:t>
            </w:r>
          </w:p>
        </w:tc>
        <w:tc>
          <w:tcPr>
            <w:tcW w:w="1207" w:type="dxa"/>
            <w:tcBorders>
              <w:top w:val="nil"/>
              <w:left w:val="nil"/>
              <w:bottom w:val="nil"/>
              <w:right w:val="nil"/>
            </w:tcBorders>
            <w:vAlign w:val="bottom"/>
          </w:tcPr>
          <w:p w14:paraId="33B9A08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61.0376</w:t>
            </w:r>
          </w:p>
        </w:tc>
        <w:tc>
          <w:tcPr>
            <w:tcW w:w="1208" w:type="dxa"/>
            <w:tcBorders>
              <w:top w:val="nil"/>
              <w:left w:val="nil"/>
              <w:bottom w:val="nil"/>
              <w:right w:val="nil"/>
            </w:tcBorders>
            <w:vAlign w:val="bottom"/>
          </w:tcPr>
          <w:p w14:paraId="7351692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3.790036</w:t>
            </w:r>
          </w:p>
        </w:tc>
      </w:tr>
      <w:tr w:rsidR="00DB6A40" w:rsidRPr="00DB6A40" w14:paraId="1E84ADA0" w14:textId="77777777" w:rsidTr="00D00B3F">
        <w:trPr>
          <w:trHeight w:val="225"/>
        </w:trPr>
        <w:tc>
          <w:tcPr>
            <w:tcW w:w="2017" w:type="dxa"/>
            <w:tcBorders>
              <w:top w:val="nil"/>
              <w:left w:val="nil"/>
              <w:bottom w:val="nil"/>
              <w:right w:val="nil"/>
            </w:tcBorders>
            <w:vAlign w:val="bottom"/>
          </w:tcPr>
          <w:p w14:paraId="1D089E8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POST</w:t>
            </w:r>
          </w:p>
        </w:tc>
        <w:tc>
          <w:tcPr>
            <w:tcW w:w="1208" w:type="dxa"/>
            <w:tcBorders>
              <w:top w:val="nil"/>
              <w:left w:val="nil"/>
              <w:bottom w:val="nil"/>
              <w:right w:val="nil"/>
            </w:tcBorders>
            <w:vAlign w:val="bottom"/>
          </w:tcPr>
          <w:p w14:paraId="6EB5B63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4.570805</w:t>
            </w:r>
          </w:p>
        </w:tc>
        <w:tc>
          <w:tcPr>
            <w:tcW w:w="1207" w:type="dxa"/>
            <w:tcBorders>
              <w:top w:val="nil"/>
              <w:left w:val="nil"/>
              <w:bottom w:val="nil"/>
              <w:right w:val="nil"/>
            </w:tcBorders>
            <w:vAlign w:val="bottom"/>
          </w:tcPr>
          <w:p w14:paraId="4C1B754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59.810</w:t>
            </w:r>
          </w:p>
        </w:tc>
        <w:tc>
          <w:tcPr>
            <w:tcW w:w="1208" w:type="dxa"/>
            <w:tcBorders>
              <w:top w:val="nil"/>
              <w:left w:val="nil"/>
              <w:bottom w:val="nil"/>
              <w:right w:val="nil"/>
            </w:tcBorders>
            <w:vAlign w:val="bottom"/>
          </w:tcPr>
          <w:p w14:paraId="546E176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3.526536</w:t>
            </w:r>
          </w:p>
        </w:tc>
      </w:tr>
      <w:tr w:rsidR="00DB6A40" w:rsidRPr="00DB6A40" w14:paraId="47932969" w14:textId="77777777" w:rsidTr="00D00B3F">
        <w:trPr>
          <w:trHeight w:val="225"/>
        </w:trPr>
        <w:tc>
          <w:tcPr>
            <w:tcW w:w="2017" w:type="dxa"/>
            <w:tcBorders>
              <w:top w:val="nil"/>
              <w:left w:val="nil"/>
              <w:bottom w:val="nil"/>
              <w:right w:val="nil"/>
            </w:tcBorders>
            <w:vAlign w:val="bottom"/>
          </w:tcPr>
          <w:p w14:paraId="6305997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DCT</w:t>
            </w:r>
          </w:p>
        </w:tc>
        <w:tc>
          <w:tcPr>
            <w:tcW w:w="1208" w:type="dxa"/>
            <w:tcBorders>
              <w:top w:val="nil"/>
              <w:left w:val="nil"/>
              <w:bottom w:val="nil"/>
              <w:right w:val="nil"/>
            </w:tcBorders>
            <w:vAlign w:val="bottom"/>
          </w:tcPr>
          <w:p w14:paraId="68DDF30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1.050205</w:t>
            </w:r>
          </w:p>
        </w:tc>
        <w:tc>
          <w:tcPr>
            <w:tcW w:w="1207" w:type="dxa"/>
            <w:tcBorders>
              <w:top w:val="nil"/>
              <w:left w:val="nil"/>
              <w:bottom w:val="nil"/>
              <w:right w:val="nil"/>
            </w:tcBorders>
            <w:vAlign w:val="bottom"/>
          </w:tcPr>
          <w:p w14:paraId="25C12A3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35.846</w:t>
            </w:r>
          </w:p>
        </w:tc>
        <w:tc>
          <w:tcPr>
            <w:tcW w:w="1208" w:type="dxa"/>
            <w:tcBorders>
              <w:top w:val="nil"/>
              <w:left w:val="nil"/>
              <w:bottom w:val="nil"/>
              <w:right w:val="nil"/>
            </w:tcBorders>
            <w:vAlign w:val="bottom"/>
          </w:tcPr>
          <w:p w14:paraId="7E7E1FB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1.783387</w:t>
            </w:r>
          </w:p>
        </w:tc>
      </w:tr>
      <w:tr w:rsidR="00DB6A40" w:rsidRPr="00DB6A40" w14:paraId="056570FB" w14:textId="77777777" w:rsidTr="00D00B3F">
        <w:trPr>
          <w:trHeight w:val="225"/>
        </w:trPr>
        <w:tc>
          <w:tcPr>
            <w:tcW w:w="2017" w:type="dxa"/>
            <w:tcBorders>
              <w:top w:val="nil"/>
              <w:left w:val="nil"/>
              <w:bottom w:val="nil"/>
              <w:right w:val="nil"/>
            </w:tcBorders>
            <w:vAlign w:val="bottom"/>
          </w:tcPr>
          <w:p w14:paraId="73A8861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ARDBS</w:t>
            </w:r>
          </w:p>
        </w:tc>
        <w:tc>
          <w:tcPr>
            <w:tcW w:w="1208" w:type="dxa"/>
            <w:tcBorders>
              <w:top w:val="nil"/>
              <w:left w:val="nil"/>
              <w:bottom w:val="nil"/>
              <w:right w:val="nil"/>
            </w:tcBorders>
            <w:vAlign w:val="bottom"/>
          </w:tcPr>
          <w:p w14:paraId="232C541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0.217106</w:t>
            </w:r>
          </w:p>
        </w:tc>
        <w:tc>
          <w:tcPr>
            <w:tcW w:w="1207" w:type="dxa"/>
            <w:tcBorders>
              <w:top w:val="nil"/>
              <w:left w:val="nil"/>
              <w:bottom w:val="nil"/>
              <w:right w:val="nil"/>
            </w:tcBorders>
            <w:vAlign w:val="bottom"/>
          </w:tcPr>
          <w:p w14:paraId="76A260B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27.0684</w:t>
            </w:r>
          </w:p>
        </w:tc>
        <w:tc>
          <w:tcPr>
            <w:tcW w:w="1208" w:type="dxa"/>
            <w:tcBorders>
              <w:top w:val="nil"/>
              <w:left w:val="nil"/>
              <w:bottom w:val="nil"/>
              <w:right w:val="nil"/>
            </w:tcBorders>
            <w:vAlign w:val="bottom"/>
          </w:tcPr>
          <w:p w14:paraId="4E64A04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1.403133</w:t>
            </w:r>
          </w:p>
        </w:tc>
      </w:tr>
      <w:tr w:rsidR="00DB6A40" w:rsidRPr="00DB6A40" w14:paraId="343A17BE" w14:textId="77777777" w:rsidTr="00D00B3F">
        <w:trPr>
          <w:trHeight w:val="225"/>
        </w:trPr>
        <w:tc>
          <w:tcPr>
            <w:tcW w:w="2017" w:type="dxa"/>
            <w:tcBorders>
              <w:top w:val="nil"/>
              <w:left w:val="nil"/>
              <w:bottom w:val="nil"/>
              <w:right w:val="nil"/>
            </w:tcBorders>
            <w:vAlign w:val="bottom"/>
          </w:tcPr>
          <w:p w14:paraId="1FABEE9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C</w:t>
            </w:r>
          </w:p>
        </w:tc>
        <w:tc>
          <w:tcPr>
            <w:tcW w:w="1208" w:type="dxa"/>
            <w:tcBorders>
              <w:top w:val="nil"/>
              <w:left w:val="nil"/>
              <w:bottom w:val="nil"/>
              <w:right w:val="nil"/>
            </w:tcBorders>
            <w:vAlign w:val="bottom"/>
          </w:tcPr>
          <w:p w14:paraId="21ED643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1.814373</w:t>
            </w:r>
          </w:p>
        </w:tc>
        <w:tc>
          <w:tcPr>
            <w:tcW w:w="1207" w:type="dxa"/>
            <w:tcBorders>
              <w:top w:val="nil"/>
              <w:left w:val="nil"/>
              <w:bottom w:val="nil"/>
              <w:right w:val="nil"/>
            </w:tcBorders>
            <w:vAlign w:val="bottom"/>
          </w:tcPr>
          <w:p w14:paraId="2B2B26E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15.14845</w:t>
            </w:r>
          </w:p>
        </w:tc>
        <w:tc>
          <w:tcPr>
            <w:tcW w:w="1208" w:type="dxa"/>
            <w:tcBorders>
              <w:top w:val="nil"/>
              <w:left w:val="nil"/>
              <w:bottom w:val="nil"/>
              <w:right w:val="nil"/>
            </w:tcBorders>
            <w:vAlign w:val="bottom"/>
          </w:tcPr>
          <w:p w14:paraId="3180C60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NA</w:t>
            </w:r>
          </w:p>
        </w:tc>
      </w:tr>
      <w:tr w:rsidR="00DB6A40" w:rsidRPr="00DB6A40" w14:paraId="2A9680A0" w14:textId="77777777" w:rsidTr="00D00B3F">
        <w:trPr>
          <w:trHeight w:hRule="exact" w:val="90"/>
        </w:trPr>
        <w:tc>
          <w:tcPr>
            <w:tcW w:w="2017" w:type="dxa"/>
            <w:tcBorders>
              <w:top w:val="nil"/>
              <w:left w:val="nil"/>
              <w:bottom w:val="double" w:sz="6" w:space="0" w:color="auto"/>
              <w:right w:val="nil"/>
            </w:tcBorders>
            <w:vAlign w:val="bottom"/>
          </w:tcPr>
          <w:p w14:paraId="33ADB10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0" w:color="auto"/>
              <w:right w:val="nil"/>
            </w:tcBorders>
            <w:vAlign w:val="bottom"/>
          </w:tcPr>
          <w:p w14:paraId="296C838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double" w:sz="6" w:space="0" w:color="auto"/>
              <w:right w:val="nil"/>
            </w:tcBorders>
            <w:vAlign w:val="bottom"/>
          </w:tcPr>
          <w:p w14:paraId="42FE97C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0" w:color="auto"/>
              <w:right w:val="nil"/>
            </w:tcBorders>
            <w:vAlign w:val="bottom"/>
          </w:tcPr>
          <w:p w14:paraId="3C12716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6CBF4750" w14:textId="77777777" w:rsidTr="00D00B3F">
        <w:trPr>
          <w:trHeight w:hRule="exact" w:val="135"/>
        </w:trPr>
        <w:tc>
          <w:tcPr>
            <w:tcW w:w="2017" w:type="dxa"/>
            <w:tcBorders>
              <w:top w:val="nil"/>
              <w:left w:val="nil"/>
              <w:bottom w:val="nil"/>
              <w:right w:val="nil"/>
            </w:tcBorders>
            <w:vAlign w:val="bottom"/>
          </w:tcPr>
          <w:p w14:paraId="6AD130A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7645195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nil"/>
              <w:right w:val="nil"/>
            </w:tcBorders>
            <w:vAlign w:val="bottom"/>
          </w:tcPr>
          <w:p w14:paraId="53E9026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2D0D27D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bl>
    <w:p w14:paraId="011FB5D6"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Source: E-VIEW 9.0 (2026).</w:t>
      </w:r>
    </w:p>
    <w:p w14:paraId="388F8A44"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VIF results in Table 3 indicate no serious multicollinearity among the independent variables. ATMT has a centered VIF of 3.79, POST 3.53, DCT 1.78, and ARDBS 1.40, all comfortably below the conventional threshold of 10, confirming that the explanatory variables are not excessively correlated with each other. Although uncentered VIF values appear high, the centered values, which are the correct measures, demonstrate acceptable levels of independence. This implies that ATM transactions, POS transactions, digital currency transactions, and adoption rate of digital banking services can be included together in the regression model without inflating variances or biasing estimates.</w:t>
      </w:r>
    </w:p>
    <w:p w14:paraId="333EA867"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Model Validity Tests</w:t>
      </w:r>
    </w:p>
    <w:p w14:paraId="05CF51DC"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Model validity tests, including heteroscedasticity and autocorrelation checks, confirm the robustness of OLS results. Linking to the study, these tests ensure that estimated relationships between DP variables and NBAC are unbiased, efficient, and dependable for policy interpretation. This was presented below.</w:t>
      </w:r>
    </w:p>
    <w:p w14:paraId="2A526974"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57A59755"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7DBA2908"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B5443CF"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563BFDD8"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7D84219C" w14:textId="7ABA4026" w:rsidR="00DB6A40" w:rsidRPr="00DB6A40" w:rsidRDefault="00DB6A40" w:rsidP="007223FC">
      <w:pPr>
        <w:tabs>
          <w:tab w:val="left" w:pos="1185"/>
        </w:tabs>
        <w:spacing w:after="0" w:line="240" w:lineRule="auto"/>
        <w:jc w:val="both"/>
        <w:rPr>
          <w:rFonts w:ascii="Times New Roman" w:eastAsia="Calibri" w:hAnsi="Times New Roman" w:cs="Times New Roman"/>
          <w:b/>
          <w:bCs/>
          <w:sz w:val="18"/>
          <w:szCs w:val="18"/>
          <w14:ligatures w14:val="none"/>
        </w:rPr>
      </w:pPr>
      <w:r w:rsidRPr="00DB6A40">
        <w:rPr>
          <w:rFonts w:ascii="Times New Roman" w:eastAsia="Calibri" w:hAnsi="Times New Roman" w:cs="Times New Roman"/>
          <w:b/>
          <w:bCs/>
          <w:sz w:val="18"/>
          <w:szCs w:val="18"/>
          <w14:ligatures w14:val="none"/>
        </w:rPr>
        <w:lastRenderedPageBreak/>
        <w:t xml:space="preserve">Table 4: </w:t>
      </w:r>
      <w:r w:rsidRPr="00DB6A40">
        <w:rPr>
          <w:rFonts w:ascii="Times New Roman" w:eastAsia="Calibri" w:hAnsi="Times New Roman" w:cs="Times New Roman"/>
          <w:b/>
          <w:bCs/>
          <w:sz w:val="18"/>
          <w:szCs w:val="18"/>
          <w14:ligatures w14:val="none"/>
        </w:rPr>
        <w:tab/>
      </w:r>
      <w:r w:rsidRPr="00DB6A40">
        <w:rPr>
          <w:rFonts w:ascii="Times New Roman" w:eastAsia="Calibri" w:hAnsi="Times New Roman" w:cs="Times New Roman"/>
          <w:b/>
          <w:bCs/>
          <w:sz w:val="18"/>
          <w:szCs w:val="18"/>
          <w14:ligatures w14:val="none"/>
        </w:rPr>
        <w:tab/>
      </w:r>
      <w:r w:rsidRPr="00DB6A40">
        <w:rPr>
          <w:rFonts w:ascii="Times New Roman" w:eastAsia="Calibri" w:hAnsi="Times New Roman" w:cs="Times New Roman"/>
          <w:b/>
          <w:bCs/>
          <w:sz w:val="18"/>
          <w:szCs w:val="18"/>
          <w14:ligatures w14:val="none"/>
        </w:rPr>
        <w:tab/>
        <w:t>Model Validity Test</w:t>
      </w:r>
    </w:p>
    <w:tbl>
      <w:tblPr>
        <w:tblW w:w="0" w:type="auto"/>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30"/>
        <w:gridCol w:w="2017"/>
        <w:gridCol w:w="105"/>
        <w:gridCol w:w="188"/>
        <w:gridCol w:w="810"/>
        <w:gridCol w:w="52"/>
        <w:gridCol w:w="136"/>
        <w:gridCol w:w="1019"/>
        <w:gridCol w:w="1155"/>
        <w:gridCol w:w="53"/>
        <w:gridCol w:w="945"/>
        <w:gridCol w:w="52"/>
      </w:tblGrid>
      <w:tr w:rsidR="00DB6A40" w:rsidRPr="00DB6A40" w14:paraId="7690CE66" w14:textId="77777777" w:rsidTr="00D00B3F">
        <w:trPr>
          <w:gridBefore w:val="1"/>
          <w:wBefore w:w="30" w:type="dxa"/>
          <w:trHeight w:val="225"/>
        </w:trPr>
        <w:tc>
          <w:tcPr>
            <w:tcW w:w="5535" w:type="dxa"/>
            <w:gridSpan w:val="9"/>
            <w:vAlign w:val="bottom"/>
          </w:tcPr>
          <w:p w14:paraId="510A62D2"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Breusch-Godfrey Serial Correlation LM Test:</w:t>
            </w:r>
          </w:p>
        </w:tc>
        <w:tc>
          <w:tcPr>
            <w:tcW w:w="997" w:type="dxa"/>
            <w:gridSpan w:val="2"/>
            <w:vAlign w:val="bottom"/>
          </w:tcPr>
          <w:p w14:paraId="167DE397"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01489141" w14:textId="77777777" w:rsidTr="00D00B3F">
        <w:trPr>
          <w:gridBefore w:val="1"/>
          <w:wBefore w:w="30" w:type="dxa"/>
          <w:trHeight w:hRule="exact" w:val="90"/>
        </w:trPr>
        <w:tc>
          <w:tcPr>
            <w:tcW w:w="2017" w:type="dxa"/>
            <w:vAlign w:val="bottom"/>
          </w:tcPr>
          <w:p w14:paraId="2C4B284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03" w:type="dxa"/>
            <w:gridSpan w:val="3"/>
            <w:vAlign w:val="bottom"/>
          </w:tcPr>
          <w:p w14:paraId="5A53E934"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7" w:type="dxa"/>
            <w:gridSpan w:val="3"/>
            <w:vAlign w:val="bottom"/>
          </w:tcPr>
          <w:p w14:paraId="60265471"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8" w:type="dxa"/>
            <w:gridSpan w:val="2"/>
            <w:vAlign w:val="bottom"/>
          </w:tcPr>
          <w:p w14:paraId="39826A1D"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7" w:type="dxa"/>
            <w:gridSpan w:val="2"/>
            <w:vAlign w:val="bottom"/>
          </w:tcPr>
          <w:p w14:paraId="5B2DA61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774383FD" w14:textId="77777777" w:rsidTr="00D00B3F">
        <w:trPr>
          <w:gridBefore w:val="1"/>
          <w:wBefore w:w="30" w:type="dxa"/>
          <w:trHeight w:hRule="exact" w:val="135"/>
        </w:trPr>
        <w:tc>
          <w:tcPr>
            <w:tcW w:w="2017" w:type="dxa"/>
            <w:vAlign w:val="bottom"/>
          </w:tcPr>
          <w:p w14:paraId="57F90B22"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03" w:type="dxa"/>
            <w:gridSpan w:val="3"/>
            <w:vAlign w:val="bottom"/>
          </w:tcPr>
          <w:p w14:paraId="082CEAC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7" w:type="dxa"/>
            <w:gridSpan w:val="3"/>
            <w:vAlign w:val="bottom"/>
          </w:tcPr>
          <w:p w14:paraId="3E368D0F"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8" w:type="dxa"/>
            <w:gridSpan w:val="2"/>
            <w:vAlign w:val="bottom"/>
          </w:tcPr>
          <w:p w14:paraId="4DCE52F6"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7" w:type="dxa"/>
            <w:gridSpan w:val="2"/>
            <w:vAlign w:val="bottom"/>
          </w:tcPr>
          <w:p w14:paraId="7F519163"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08A3409F" w14:textId="77777777" w:rsidTr="00D00B3F">
        <w:trPr>
          <w:gridBefore w:val="1"/>
          <w:wBefore w:w="30" w:type="dxa"/>
          <w:trHeight w:val="225"/>
        </w:trPr>
        <w:tc>
          <w:tcPr>
            <w:tcW w:w="2017" w:type="dxa"/>
            <w:vAlign w:val="bottom"/>
          </w:tcPr>
          <w:p w14:paraId="742B7904" w14:textId="77777777" w:rsidR="00DB6A40" w:rsidRPr="00DB6A40" w:rsidRDefault="00DB6A40" w:rsidP="007223FC">
            <w:pPr>
              <w:tabs>
                <w:tab w:val="left" w:pos="2910"/>
              </w:tabs>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F-statistic</w:t>
            </w:r>
          </w:p>
        </w:tc>
        <w:tc>
          <w:tcPr>
            <w:tcW w:w="1103" w:type="dxa"/>
            <w:gridSpan w:val="3"/>
            <w:vAlign w:val="bottom"/>
          </w:tcPr>
          <w:p w14:paraId="42CE954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2.975643</w:t>
            </w:r>
          </w:p>
        </w:tc>
        <w:tc>
          <w:tcPr>
            <w:tcW w:w="2415" w:type="dxa"/>
            <w:gridSpan w:val="5"/>
            <w:vAlign w:val="bottom"/>
          </w:tcPr>
          <w:p w14:paraId="0A40896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xml:space="preserve">    Prob. </w:t>
            </w:r>
            <w:proofErr w:type="gramStart"/>
            <w:r w:rsidRPr="00DB6A40">
              <w:rPr>
                <w:rFonts w:ascii="Times New Roman" w:eastAsia="Calibri" w:hAnsi="Times New Roman" w:cs="Times New Roman"/>
                <w:sz w:val="18"/>
                <w:szCs w:val="18"/>
                <w14:ligatures w14:val="none"/>
              </w:rPr>
              <w:t>F(</w:t>
            </w:r>
            <w:proofErr w:type="gramEnd"/>
            <w:r w:rsidRPr="00DB6A40">
              <w:rPr>
                <w:rFonts w:ascii="Times New Roman" w:eastAsia="Calibri" w:hAnsi="Times New Roman" w:cs="Times New Roman"/>
                <w:sz w:val="18"/>
                <w:szCs w:val="18"/>
                <w14:ligatures w14:val="none"/>
              </w:rPr>
              <w:t>2,18)</w:t>
            </w:r>
          </w:p>
        </w:tc>
        <w:tc>
          <w:tcPr>
            <w:tcW w:w="997" w:type="dxa"/>
            <w:gridSpan w:val="2"/>
            <w:vAlign w:val="bottom"/>
          </w:tcPr>
          <w:p w14:paraId="68E3DD0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0.0765</w:t>
            </w:r>
          </w:p>
        </w:tc>
      </w:tr>
      <w:tr w:rsidR="00DB6A40" w:rsidRPr="00DB6A40" w14:paraId="440030F9" w14:textId="77777777" w:rsidTr="00D00B3F">
        <w:trPr>
          <w:gridBefore w:val="1"/>
          <w:wBefore w:w="30" w:type="dxa"/>
          <w:trHeight w:val="225"/>
        </w:trPr>
        <w:tc>
          <w:tcPr>
            <w:tcW w:w="2017" w:type="dxa"/>
            <w:vAlign w:val="bottom"/>
          </w:tcPr>
          <w:p w14:paraId="79F2B686" w14:textId="77777777" w:rsidR="00DB6A40" w:rsidRPr="00DB6A40" w:rsidRDefault="00DB6A40" w:rsidP="007223FC">
            <w:pPr>
              <w:tabs>
                <w:tab w:val="left" w:pos="2910"/>
              </w:tabs>
              <w:spacing w:after="0" w:line="240" w:lineRule="auto"/>
              <w:rPr>
                <w:rFonts w:ascii="Times New Roman" w:eastAsia="Calibri" w:hAnsi="Times New Roman" w:cs="Times New Roman"/>
                <w:sz w:val="18"/>
                <w:szCs w:val="18"/>
                <w14:ligatures w14:val="none"/>
              </w:rPr>
            </w:pPr>
            <w:proofErr w:type="spellStart"/>
            <w:r w:rsidRPr="00DB6A40">
              <w:rPr>
                <w:rFonts w:ascii="Times New Roman" w:eastAsia="Calibri" w:hAnsi="Times New Roman" w:cs="Times New Roman"/>
                <w:sz w:val="18"/>
                <w:szCs w:val="18"/>
                <w14:ligatures w14:val="none"/>
              </w:rPr>
              <w:t>Obs</w:t>
            </w:r>
            <w:proofErr w:type="spellEnd"/>
            <w:r w:rsidRPr="00DB6A40">
              <w:rPr>
                <w:rFonts w:ascii="Times New Roman" w:eastAsia="Calibri" w:hAnsi="Times New Roman" w:cs="Times New Roman"/>
                <w:sz w:val="18"/>
                <w:szCs w:val="18"/>
                <w14:ligatures w14:val="none"/>
              </w:rPr>
              <w:t>*R-squared</w:t>
            </w:r>
          </w:p>
        </w:tc>
        <w:tc>
          <w:tcPr>
            <w:tcW w:w="1103" w:type="dxa"/>
            <w:gridSpan w:val="3"/>
            <w:vAlign w:val="bottom"/>
          </w:tcPr>
          <w:p w14:paraId="6F513DA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6.211864</w:t>
            </w:r>
          </w:p>
        </w:tc>
        <w:tc>
          <w:tcPr>
            <w:tcW w:w="2415" w:type="dxa"/>
            <w:gridSpan w:val="5"/>
            <w:vAlign w:val="bottom"/>
          </w:tcPr>
          <w:p w14:paraId="1AB7C73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Prob. Chi-</w:t>
            </w:r>
            <w:proofErr w:type="gramStart"/>
            <w:r w:rsidRPr="00DB6A40">
              <w:rPr>
                <w:rFonts w:ascii="Times New Roman" w:eastAsia="Calibri" w:hAnsi="Times New Roman" w:cs="Times New Roman"/>
                <w:sz w:val="18"/>
                <w:szCs w:val="18"/>
                <w14:ligatures w14:val="none"/>
              </w:rPr>
              <w:t>Square(</w:t>
            </w:r>
            <w:proofErr w:type="gramEnd"/>
            <w:r w:rsidRPr="00DB6A40">
              <w:rPr>
                <w:rFonts w:ascii="Times New Roman" w:eastAsia="Calibri" w:hAnsi="Times New Roman" w:cs="Times New Roman"/>
                <w:sz w:val="18"/>
                <w:szCs w:val="18"/>
                <w14:ligatures w14:val="none"/>
              </w:rPr>
              <w:t>2)</w:t>
            </w:r>
          </w:p>
        </w:tc>
        <w:tc>
          <w:tcPr>
            <w:tcW w:w="997" w:type="dxa"/>
            <w:gridSpan w:val="2"/>
            <w:vAlign w:val="bottom"/>
          </w:tcPr>
          <w:p w14:paraId="1762CA8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0.0448</w:t>
            </w:r>
          </w:p>
        </w:tc>
      </w:tr>
      <w:tr w:rsidR="00DB6A40" w:rsidRPr="00DB6A40" w14:paraId="7C022485" w14:textId="77777777" w:rsidTr="00D00B3F">
        <w:trPr>
          <w:gridBefore w:val="1"/>
          <w:wBefore w:w="30" w:type="dxa"/>
          <w:trHeight w:val="225"/>
        </w:trPr>
        <w:tc>
          <w:tcPr>
            <w:tcW w:w="2017" w:type="dxa"/>
            <w:vAlign w:val="bottom"/>
          </w:tcPr>
          <w:p w14:paraId="5663A66F"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p>
        </w:tc>
        <w:tc>
          <w:tcPr>
            <w:tcW w:w="1103" w:type="dxa"/>
            <w:gridSpan w:val="3"/>
            <w:vAlign w:val="bottom"/>
          </w:tcPr>
          <w:p w14:paraId="47F4D255" w14:textId="77777777" w:rsidR="00DB6A40" w:rsidRPr="00DB6A40" w:rsidRDefault="00DB6A40" w:rsidP="007223FC">
            <w:pPr>
              <w:autoSpaceDE w:val="0"/>
              <w:autoSpaceDN w:val="0"/>
              <w:adjustRightInd w:val="0"/>
              <w:spacing w:after="0" w:line="240" w:lineRule="auto"/>
              <w:ind w:right="10"/>
              <w:jc w:val="right"/>
              <w:rPr>
                <w:rFonts w:ascii="Times New Roman" w:eastAsia="Calibri" w:hAnsi="Times New Roman" w:cs="Times New Roman"/>
                <w:color w:val="000000"/>
                <w:sz w:val="18"/>
                <w:szCs w:val="18"/>
                <w14:ligatures w14:val="none"/>
              </w:rPr>
            </w:pPr>
          </w:p>
        </w:tc>
        <w:tc>
          <w:tcPr>
            <w:tcW w:w="2415" w:type="dxa"/>
            <w:gridSpan w:val="5"/>
            <w:vAlign w:val="bottom"/>
          </w:tcPr>
          <w:p w14:paraId="1635D0D6" w14:textId="77777777" w:rsidR="00DB6A40" w:rsidRPr="00DB6A40" w:rsidRDefault="00DB6A40" w:rsidP="007223FC">
            <w:pPr>
              <w:autoSpaceDE w:val="0"/>
              <w:autoSpaceDN w:val="0"/>
              <w:adjustRightInd w:val="0"/>
              <w:spacing w:after="0" w:line="240" w:lineRule="auto"/>
              <w:ind w:right="10"/>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    Durbin-Watson stat</w:t>
            </w:r>
          </w:p>
        </w:tc>
        <w:tc>
          <w:tcPr>
            <w:tcW w:w="997" w:type="dxa"/>
            <w:gridSpan w:val="2"/>
            <w:vAlign w:val="bottom"/>
          </w:tcPr>
          <w:p w14:paraId="29995FEF" w14:textId="77777777" w:rsidR="00DB6A40" w:rsidRPr="00DB6A40" w:rsidRDefault="00DB6A40" w:rsidP="007223FC">
            <w:pPr>
              <w:spacing w:after="0" w:line="240" w:lineRule="auto"/>
              <w:jc w:val="both"/>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1.921965</w:t>
            </w:r>
          </w:p>
        </w:tc>
      </w:tr>
      <w:tr w:rsidR="00DB6A40" w:rsidRPr="00DB6A40" w14:paraId="19E41AF3" w14:textId="77777777" w:rsidTr="00D00B3F">
        <w:trPr>
          <w:gridBefore w:val="1"/>
          <w:wBefore w:w="30" w:type="dxa"/>
          <w:trHeight w:hRule="exact" w:val="90"/>
        </w:trPr>
        <w:tc>
          <w:tcPr>
            <w:tcW w:w="2017" w:type="dxa"/>
            <w:vAlign w:val="bottom"/>
          </w:tcPr>
          <w:p w14:paraId="793FF434"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03" w:type="dxa"/>
            <w:gridSpan w:val="3"/>
            <w:vAlign w:val="bottom"/>
          </w:tcPr>
          <w:p w14:paraId="258872B1"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7" w:type="dxa"/>
            <w:gridSpan w:val="3"/>
            <w:vAlign w:val="bottom"/>
          </w:tcPr>
          <w:p w14:paraId="7EA4B741"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8" w:type="dxa"/>
            <w:gridSpan w:val="2"/>
            <w:vAlign w:val="bottom"/>
          </w:tcPr>
          <w:p w14:paraId="10173958"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7" w:type="dxa"/>
            <w:gridSpan w:val="2"/>
            <w:vAlign w:val="bottom"/>
          </w:tcPr>
          <w:p w14:paraId="65FF9AD7"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632EE42F" w14:textId="77777777" w:rsidTr="00D00B3F">
        <w:trPr>
          <w:gridBefore w:val="1"/>
          <w:wBefore w:w="30" w:type="dxa"/>
          <w:trHeight w:hRule="exact" w:val="135"/>
        </w:trPr>
        <w:tc>
          <w:tcPr>
            <w:tcW w:w="2017" w:type="dxa"/>
            <w:vAlign w:val="bottom"/>
          </w:tcPr>
          <w:p w14:paraId="5EEAA4E2"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03" w:type="dxa"/>
            <w:gridSpan w:val="3"/>
            <w:vAlign w:val="bottom"/>
          </w:tcPr>
          <w:p w14:paraId="6AC44C5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7" w:type="dxa"/>
            <w:gridSpan w:val="3"/>
            <w:vAlign w:val="bottom"/>
          </w:tcPr>
          <w:p w14:paraId="07B08D94"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8" w:type="dxa"/>
            <w:gridSpan w:val="2"/>
            <w:vAlign w:val="bottom"/>
          </w:tcPr>
          <w:p w14:paraId="1B342BA1"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7" w:type="dxa"/>
            <w:gridSpan w:val="2"/>
            <w:vAlign w:val="bottom"/>
          </w:tcPr>
          <w:p w14:paraId="3B7A7031"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04EFDAED" w14:textId="77777777" w:rsidTr="00D00B3F">
        <w:trPr>
          <w:trHeight w:val="225"/>
        </w:trPr>
        <w:tc>
          <w:tcPr>
            <w:tcW w:w="6562" w:type="dxa"/>
            <w:gridSpan w:val="12"/>
            <w:vAlign w:val="bottom"/>
          </w:tcPr>
          <w:p w14:paraId="18F4DDDB"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Heteroskedasticity Test: Breusch-Pagan-Godfrey</w:t>
            </w:r>
          </w:p>
        </w:tc>
      </w:tr>
      <w:tr w:rsidR="00DB6A40" w:rsidRPr="00DB6A40" w14:paraId="4F58DAF6" w14:textId="77777777" w:rsidTr="00D00B3F">
        <w:trPr>
          <w:trHeight w:hRule="exact" w:val="90"/>
        </w:trPr>
        <w:tc>
          <w:tcPr>
            <w:tcW w:w="2047" w:type="dxa"/>
            <w:gridSpan w:val="2"/>
            <w:vAlign w:val="bottom"/>
          </w:tcPr>
          <w:p w14:paraId="00AE6AB4"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03" w:type="dxa"/>
            <w:gridSpan w:val="3"/>
            <w:vAlign w:val="bottom"/>
          </w:tcPr>
          <w:p w14:paraId="3E401C22"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7" w:type="dxa"/>
            <w:gridSpan w:val="3"/>
            <w:vAlign w:val="bottom"/>
          </w:tcPr>
          <w:p w14:paraId="3C842CA7"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8" w:type="dxa"/>
            <w:gridSpan w:val="2"/>
            <w:vAlign w:val="bottom"/>
          </w:tcPr>
          <w:p w14:paraId="35B1E1FA"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7" w:type="dxa"/>
            <w:gridSpan w:val="2"/>
            <w:vAlign w:val="bottom"/>
          </w:tcPr>
          <w:p w14:paraId="04370F76"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0CEA1351" w14:textId="77777777" w:rsidTr="00D00B3F">
        <w:trPr>
          <w:trHeight w:hRule="exact" w:val="135"/>
        </w:trPr>
        <w:tc>
          <w:tcPr>
            <w:tcW w:w="2047" w:type="dxa"/>
            <w:gridSpan w:val="2"/>
            <w:vAlign w:val="bottom"/>
          </w:tcPr>
          <w:p w14:paraId="1ED4F8F2"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03" w:type="dxa"/>
            <w:gridSpan w:val="3"/>
            <w:vAlign w:val="bottom"/>
          </w:tcPr>
          <w:p w14:paraId="6B5F0CC4"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7" w:type="dxa"/>
            <w:gridSpan w:val="3"/>
            <w:vAlign w:val="bottom"/>
          </w:tcPr>
          <w:p w14:paraId="3879A587"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8" w:type="dxa"/>
            <w:gridSpan w:val="2"/>
            <w:vAlign w:val="bottom"/>
          </w:tcPr>
          <w:p w14:paraId="2DCFFC4B"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7" w:type="dxa"/>
            <w:gridSpan w:val="2"/>
            <w:vAlign w:val="bottom"/>
          </w:tcPr>
          <w:p w14:paraId="1F0E9154"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68FAF0C9" w14:textId="77777777" w:rsidTr="00D00B3F">
        <w:trPr>
          <w:trHeight w:val="225"/>
        </w:trPr>
        <w:tc>
          <w:tcPr>
            <w:tcW w:w="2047" w:type="dxa"/>
            <w:gridSpan w:val="2"/>
            <w:vAlign w:val="bottom"/>
          </w:tcPr>
          <w:p w14:paraId="0AF3CF10" w14:textId="77777777" w:rsidR="00DB6A40" w:rsidRPr="00DB6A40" w:rsidRDefault="00DB6A40" w:rsidP="007223FC">
            <w:pPr>
              <w:tabs>
                <w:tab w:val="left" w:pos="2910"/>
              </w:tabs>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F-statistic</w:t>
            </w:r>
          </w:p>
        </w:tc>
        <w:tc>
          <w:tcPr>
            <w:tcW w:w="1103" w:type="dxa"/>
            <w:gridSpan w:val="3"/>
            <w:vAlign w:val="bottom"/>
          </w:tcPr>
          <w:p w14:paraId="465B5AF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1.260031</w:t>
            </w:r>
          </w:p>
        </w:tc>
        <w:tc>
          <w:tcPr>
            <w:tcW w:w="2415" w:type="dxa"/>
            <w:gridSpan w:val="5"/>
            <w:vAlign w:val="bottom"/>
          </w:tcPr>
          <w:p w14:paraId="39BDEB3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xml:space="preserve">    Prob. </w:t>
            </w:r>
            <w:proofErr w:type="gramStart"/>
            <w:r w:rsidRPr="00DB6A40">
              <w:rPr>
                <w:rFonts w:ascii="Times New Roman" w:eastAsia="Calibri" w:hAnsi="Times New Roman" w:cs="Times New Roman"/>
                <w:sz w:val="18"/>
                <w:szCs w:val="18"/>
                <w14:ligatures w14:val="none"/>
              </w:rPr>
              <w:t>F(</w:t>
            </w:r>
            <w:proofErr w:type="gramEnd"/>
            <w:r w:rsidRPr="00DB6A40">
              <w:rPr>
                <w:rFonts w:ascii="Times New Roman" w:eastAsia="Calibri" w:hAnsi="Times New Roman" w:cs="Times New Roman"/>
                <w:sz w:val="18"/>
                <w:szCs w:val="18"/>
                <w14:ligatures w14:val="none"/>
              </w:rPr>
              <w:t>4,20)</w:t>
            </w:r>
          </w:p>
        </w:tc>
        <w:tc>
          <w:tcPr>
            <w:tcW w:w="997" w:type="dxa"/>
            <w:gridSpan w:val="2"/>
            <w:vAlign w:val="bottom"/>
          </w:tcPr>
          <w:p w14:paraId="45F5278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0.3184</w:t>
            </w:r>
          </w:p>
        </w:tc>
      </w:tr>
      <w:tr w:rsidR="00DB6A40" w:rsidRPr="00DB6A40" w14:paraId="353AF31F" w14:textId="77777777" w:rsidTr="00D00B3F">
        <w:trPr>
          <w:trHeight w:val="225"/>
        </w:trPr>
        <w:tc>
          <w:tcPr>
            <w:tcW w:w="2047" w:type="dxa"/>
            <w:gridSpan w:val="2"/>
            <w:vAlign w:val="bottom"/>
          </w:tcPr>
          <w:p w14:paraId="7DF4416E" w14:textId="77777777" w:rsidR="00DB6A40" w:rsidRPr="00DB6A40" w:rsidRDefault="00DB6A40" w:rsidP="007223FC">
            <w:pPr>
              <w:tabs>
                <w:tab w:val="left" w:pos="2910"/>
              </w:tabs>
              <w:spacing w:after="0" w:line="240" w:lineRule="auto"/>
              <w:rPr>
                <w:rFonts w:ascii="Times New Roman" w:eastAsia="Calibri" w:hAnsi="Times New Roman" w:cs="Times New Roman"/>
                <w:sz w:val="18"/>
                <w:szCs w:val="18"/>
                <w14:ligatures w14:val="none"/>
              </w:rPr>
            </w:pPr>
            <w:proofErr w:type="spellStart"/>
            <w:r w:rsidRPr="00DB6A40">
              <w:rPr>
                <w:rFonts w:ascii="Times New Roman" w:eastAsia="Calibri" w:hAnsi="Times New Roman" w:cs="Times New Roman"/>
                <w:sz w:val="18"/>
                <w:szCs w:val="18"/>
                <w14:ligatures w14:val="none"/>
              </w:rPr>
              <w:t>Obs</w:t>
            </w:r>
            <w:proofErr w:type="spellEnd"/>
            <w:r w:rsidRPr="00DB6A40">
              <w:rPr>
                <w:rFonts w:ascii="Times New Roman" w:eastAsia="Calibri" w:hAnsi="Times New Roman" w:cs="Times New Roman"/>
                <w:sz w:val="18"/>
                <w:szCs w:val="18"/>
                <w14:ligatures w14:val="none"/>
              </w:rPr>
              <w:t>*R-squared</w:t>
            </w:r>
          </w:p>
        </w:tc>
        <w:tc>
          <w:tcPr>
            <w:tcW w:w="1103" w:type="dxa"/>
            <w:gridSpan w:val="3"/>
            <w:vAlign w:val="bottom"/>
          </w:tcPr>
          <w:p w14:paraId="1E7F272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5.032048</w:t>
            </w:r>
          </w:p>
        </w:tc>
        <w:tc>
          <w:tcPr>
            <w:tcW w:w="2415" w:type="dxa"/>
            <w:gridSpan w:val="5"/>
            <w:vAlign w:val="bottom"/>
          </w:tcPr>
          <w:p w14:paraId="0F0EB9E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Prob. Chi-</w:t>
            </w:r>
            <w:proofErr w:type="gramStart"/>
            <w:r w:rsidRPr="00DB6A40">
              <w:rPr>
                <w:rFonts w:ascii="Times New Roman" w:eastAsia="Calibri" w:hAnsi="Times New Roman" w:cs="Times New Roman"/>
                <w:sz w:val="18"/>
                <w:szCs w:val="18"/>
                <w14:ligatures w14:val="none"/>
              </w:rPr>
              <w:t>Square(</w:t>
            </w:r>
            <w:proofErr w:type="gramEnd"/>
            <w:r w:rsidRPr="00DB6A40">
              <w:rPr>
                <w:rFonts w:ascii="Times New Roman" w:eastAsia="Calibri" w:hAnsi="Times New Roman" w:cs="Times New Roman"/>
                <w:sz w:val="18"/>
                <w:szCs w:val="18"/>
                <w14:ligatures w14:val="none"/>
              </w:rPr>
              <w:t>4)</w:t>
            </w:r>
          </w:p>
        </w:tc>
        <w:tc>
          <w:tcPr>
            <w:tcW w:w="997" w:type="dxa"/>
            <w:gridSpan w:val="2"/>
            <w:vAlign w:val="bottom"/>
          </w:tcPr>
          <w:p w14:paraId="42FE6A2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0.2840</w:t>
            </w:r>
          </w:p>
        </w:tc>
      </w:tr>
      <w:tr w:rsidR="00DB6A40" w:rsidRPr="00DB6A40" w14:paraId="10CA3DF5" w14:textId="77777777" w:rsidTr="00D00B3F">
        <w:trPr>
          <w:trHeight w:val="225"/>
        </w:trPr>
        <w:tc>
          <w:tcPr>
            <w:tcW w:w="2047" w:type="dxa"/>
            <w:gridSpan w:val="2"/>
            <w:tcBorders>
              <w:bottom w:val="nil"/>
            </w:tcBorders>
            <w:vAlign w:val="bottom"/>
          </w:tcPr>
          <w:p w14:paraId="318DB265" w14:textId="77777777" w:rsidR="00DB6A40" w:rsidRPr="00DB6A40" w:rsidRDefault="00DB6A40" w:rsidP="007223FC">
            <w:pPr>
              <w:tabs>
                <w:tab w:val="left" w:pos="2910"/>
              </w:tabs>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Scaled explained SS</w:t>
            </w:r>
          </w:p>
        </w:tc>
        <w:tc>
          <w:tcPr>
            <w:tcW w:w="1103" w:type="dxa"/>
            <w:gridSpan w:val="3"/>
            <w:tcBorders>
              <w:bottom w:val="nil"/>
            </w:tcBorders>
            <w:vAlign w:val="bottom"/>
          </w:tcPr>
          <w:p w14:paraId="2401A72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6.232689</w:t>
            </w:r>
          </w:p>
        </w:tc>
        <w:tc>
          <w:tcPr>
            <w:tcW w:w="2415" w:type="dxa"/>
            <w:gridSpan w:val="5"/>
            <w:tcBorders>
              <w:bottom w:val="nil"/>
            </w:tcBorders>
            <w:vAlign w:val="bottom"/>
          </w:tcPr>
          <w:p w14:paraId="6E75800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Prob. Chi-</w:t>
            </w:r>
            <w:proofErr w:type="gramStart"/>
            <w:r w:rsidRPr="00DB6A40">
              <w:rPr>
                <w:rFonts w:ascii="Times New Roman" w:eastAsia="Calibri" w:hAnsi="Times New Roman" w:cs="Times New Roman"/>
                <w:sz w:val="18"/>
                <w:szCs w:val="18"/>
                <w14:ligatures w14:val="none"/>
              </w:rPr>
              <w:t>Square(</w:t>
            </w:r>
            <w:proofErr w:type="gramEnd"/>
            <w:r w:rsidRPr="00DB6A40">
              <w:rPr>
                <w:rFonts w:ascii="Times New Roman" w:eastAsia="Calibri" w:hAnsi="Times New Roman" w:cs="Times New Roman"/>
                <w:sz w:val="18"/>
                <w:szCs w:val="18"/>
                <w14:ligatures w14:val="none"/>
              </w:rPr>
              <w:t>4)</w:t>
            </w:r>
          </w:p>
        </w:tc>
        <w:tc>
          <w:tcPr>
            <w:tcW w:w="997" w:type="dxa"/>
            <w:gridSpan w:val="2"/>
            <w:tcBorders>
              <w:bottom w:val="nil"/>
            </w:tcBorders>
            <w:vAlign w:val="bottom"/>
          </w:tcPr>
          <w:p w14:paraId="2CBE04C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0.1824</w:t>
            </w:r>
          </w:p>
        </w:tc>
      </w:tr>
      <w:tr w:rsidR="00DB6A40" w:rsidRPr="00DB6A40" w14:paraId="602CB13E" w14:textId="77777777" w:rsidTr="00D00B3F">
        <w:trPr>
          <w:trHeight w:val="225"/>
        </w:trPr>
        <w:tc>
          <w:tcPr>
            <w:tcW w:w="2047" w:type="dxa"/>
            <w:gridSpan w:val="2"/>
            <w:tcBorders>
              <w:top w:val="nil"/>
              <w:bottom w:val="nil"/>
            </w:tcBorders>
            <w:vAlign w:val="bottom"/>
          </w:tcPr>
          <w:p w14:paraId="39B7968D"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p>
        </w:tc>
        <w:tc>
          <w:tcPr>
            <w:tcW w:w="1103" w:type="dxa"/>
            <w:gridSpan w:val="3"/>
            <w:tcBorders>
              <w:top w:val="nil"/>
              <w:bottom w:val="nil"/>
            </w:tcBorders>
            <w:vAlign w:val="bottom"/>
          </w:tcPr>
          <w:p w14:paraId="5317820D" w14:textId="77777777" w:rsidR="00DB6A40" w:rsidRPr="00DB6A40" w:rsidRDefault="00DB6A40" w:rsidP="007223FC">
            <w:pPr>
              <w:autoSpaceDE w:val="0"/>
              <w:autoSpaceDN w:val="0"/>
              <w:adjustRightInd w:val="0"/>
              <w:spacing w:after="0" w:line="240" w:lineRule="auto"/>
              <w:ind w:right="10"/>
              <w:jc w:val="right"/>
              <w:rPr>
                <w:rFonts w:ascii="Times New Roman" w:eastAsia="Calibri" w:hAnsi="Times New Roman" w:cs="Times New Roman"/>
                <w:color w:val="000000"/>
                <w:sz w:val="18"/>
                <w:szCs w:val="18"/>
                <w14:ligatures w14:val="none"/>
              </w:rPr>
            </w:pPr>
          </w:p>
        </w:tc>
        <w:tc>
          <w:tcPr>
            <w:tcW w:w="2415" w:type="dxa"/>
            <w:gridSpan w:val="5"/>
            <w:tcBorders>
              <w:top w:val="nil"/>
              <w:bottom w:val="nil"/>
            </w:tcBorders>
            <w:vAlign w:val="bottom"/>
          </w:tcPr>
          <w:p w14:paraId="47E51CF7" w14:textId="77777777" w:rsidR="00DB6A40" w:rsidRPr="00DB6A40" w:rsidRDefault="00DB6A40" w:rsidP="007223FC">
            <w:pPr>
              <w:autoSpaceDE w:val="0"/>
              <w:autoSpaceDN w:val="0"/>
              <w:adjustRightInd w:val="0"/>
              <w:spacing w:after="0" w:line="240" w:lineRule="auto"/>
              <w:ind w:right="10"/>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    Durbin-Watson stat</w:t>
            </w:r>
          </w:p>
        </w:tc>
        <w:tc>
          <w:tcPr>
            <w:tcW w:w="997" w:type="dxa"/>
            <w:gridSpan w:val="2"/>
            <w:tcBorders>
              <w:top w:val="nil"/>
              <w:bottom w:val="nil"/>
            </w:tcBorders>
            <w:vAlign w:val="bottom"/>
          </w:tcPr>
          <w:p w14:paraId="3B950D51" w14:textId="77777777" w:rsidR="00DB6A40" w:rsidRPr="00DB6A40" w:rsidRDefault="00DB6A40" w:rsidP="007223FC">
            <w:pPr>
              <w:autoSpaceDE w:val="0"/>
              <w:autoSpaceDN w:val="0"/>
              <w:adjustRightInd w:val="0"/>
              <w:spacing w:after="0" w:line="240" w:lineRule="auto"/>
              <w:ind w:right="10"/>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sz w:val="18"/>
                <w:szCs w:val="18"/>
                <w14:ligatures w14:val="none"/>
              </w:rPr>
              <w:t>2.717582</w:t>
            </w:r>
          </w:p>
        </w:tc>
      </w:tr>
      <w:tr w:rsidR="00DB6A40" w:rsidRPr="00DB6A40" w14:paraId="0F2DCA8A" w14:textId="77777777" w:rsidTr="00D00B3F">
        <w:trPr>
          <w:trHeight w:hRule="exact" w:val="90"/>
        </w:trPr>
        <w:tc>
          <w:tcPr>
            <w:tcW w:w="2047" w:type="dxa"/>
            <w:gridSpan w:val="2"/>
            <w:tcBorders>
              <w:top w:val="nil"/>
            </w:tcBorders>
            <w:vAlign w:val="bottom"/>
          </w:tcPr>
          <w:p w14:paraId="2D98890B"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03" w:type="dxa"/>
            <w:gridSpan w:val="3"/>
            <w:tcBorders>
              <w:top w:val="nil"/>
            </w:tcBorders>
            <w:vAlign w:val="bottom"/>
          </w:tcPr>
          <w:p w14:paraId="4FCE2597"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7" w:type="dxa"/>
            <w:gridSpan w:val="3"/>
            <w:tcBorders>
              <w:top w:val="nil"/>
            </w:tcBorders>
            <w:vAlign w:val="bottom"/>
          </w:tcPr>
          <w:p w14:paraId="3284ED58"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208" w:type="dxa"/>
            <w:gridSpan w:val="2"/>
            <w:tcBorders>
              <w:top w:val="nil"/>
            </w:tcBorders>
            <w:vAlign w:val="bottom"/>
          </w:tcPr>
          <w:p w14:paraId="30921A7E"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7" w:type="dxa"/>
            <w:gridSpan w:val="2"/>
            <w:tcBorders>
              <w:top w:val="nil"/>
            </w:tcBorders>
            <w:vAlign w:val="bottom"/>
          </w:tcPr>
          <w:p w14:paraId="700F1F39"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5884EDB8" w14:textId="77777777" w:rsidTr="00D00B3F">
        <w:trPr>
          <w:gridBefore w:val="1"/>
          <w:gridAfter w:val="1"/>
          <w:wBefore w:w="30" w:type="dxa"/>
          <w:wAfter w:w="52" w:type="dxa"/>
          <w:trHeight w:val="225"/>
        </w:trPr>
        <w:tc>
          <w:tcPr>
            <w:tcW w:w="4327" w:type="dxa"/>
            <w:gridSpan w:val="7"/>
            <w:vAlign w:val="bottom"/>
          </w:tcPr>
          <w:p w14:paraId="6ABFDB49"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Ramsey RESET Test</w:t>
            </w:r>
          </w:p>
        </w:tc>
        <w:tc>
          <w:tcPr>
            <w:tcW w:w="1155" w:type="dxa"/>
            <w:vAlign w:val="bottom"/>
          </w:tcPr>
          <w:p w14:paraId="5D4C607A"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8" w:type="dxa"/>
            <w:gridSpan w:val="2"/>
            <w:vAlign w:val="bottom"/>
          </w:tcPr>
          <w:p w14:paraId="561E03CF"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3A6790B8" w14:textId="77777777" w:rsidTr="00D00B3F">
        <w:trPr>
          <w:gridBefore w:val="1"/>
          <w:gridAfter w:val="1"/>
          <w:wBefore w:w="30" w:type="dxa"/>
          <w:wAfter w:w="52" w:type="dxa"/>
          <w:trHeight w:val="225"/>
        </w:trPr>
        <w:tc>
          <w:tcPr>
            <w:tcW w:w="4327" w:type="dxa"/>
            <w:gridSpan w:val="7"/>
            <w:vAlign w:val="bottom"/>
          </w:tcPr>
          <w:p w14:paraId="7EA09DA8"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Equation: UNTITLED</w:t>
            </w:r>
          </w:p>
        </w:tc>
        <w:tc>
          <w:tcPr>
            <w:tcW w:w="1155" w:type="dxa"/>
            <w:vAlign w:val="bottom"/>
          </w:tcPr>
          <w:p w14:paraId="72CD32DC"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8" w:type="dxa"/>
            <w:gridSpan w:val="2"/>
            <w:vAlign w:val="bottom"/>
          </w:tcPr>
          <w:p w14:paraId="4525137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488776B4" w14:textId="77777777" w:rsidTr="00D00B3F">
        <w:trPr>
          <w:gridBefore w:val="1"/>
          <w:gridAfter w:val="1"/>
          <w:wBefore w:w="30" w:type="dxa"/>
          <w:wAfter w:w="52" w:type="dxa"/>
          <w:trHeight w:val="225"/>
        </w:trPr>
        <w:tc>
          <w:tcPr>
            <w:tcW w:w="5482" w:type="dxa"/>
            <w:gridSpan w:val="8"/>
            <w:vAlign w:val="bottom"/>
          </w:tcPr>
          <w:p w14:paraId="3227C54D"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Specification</w:t>
            </w:r>
            <w:r w:rsidRPr="00DB6A40">
              <w:rPr>
                <w:rFonts w:ascii="Calibri" w:eastAsia="Calibri" w:hAnsi="Calibri" w:cs="Times New Roman"/>
                <w:sz w:val="18"/>
                <w:szCs w:val="18"/>
                <w14:ligatures w14:val="none"/>
              </w:rPr>
              <w:t>: NBAC C ATMT POST DCT ARDBS</w:t>
            </w:r>
          </w:p>
        </w:tc>
        <w:tc>
          <w:tcPr>
            <w:tcW w:w="998" w:type="dxa"/>
            <w:gridSpan w:val="2"/>
            <w:vAlign w:val="bottom"/>
          </w:tcPr>
          <w:p w14:paraId="3AC8E86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2E983542" w14:textId="77777777" w:rsidTr="00D00B3F">
        <w:trPr>
          <w:gridBefore w:val="1"/>
          <w:gridAfter w:val="1"/>
          <w:wBefore w:w="30" w:type="dxa"/>
          <w:wAfter w:w="52" w:type="dxa"/>
          <w:trHeight w:val="225"/>
        </w:trPr>
        <w:tc>
          <w:tcPr>
            <w:tcW w:w="5482" w:type="dxa"/>
            <w:gridSpan w:val="8"/>
            <w:vAlign w:val="bottom"/>
          </w:tcPr>
          <w:p w14:paraId="0FE1AA57"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Omitted Variables: Squares of fitted values</w:t>
            </w:r>
          </w:p>
        </w:tc>
        <w:tc>
          <w:tcPr>
            <w:tcW w:w="998" w:type="dxa"/>
            <w:gridSpan w:val="2"/>
            <w:vAlign w:val="bottom"/>
          </w:tcPr>
          <w:p w14:paraId="5F50820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59A56D21" w14:textId="77777777" w:rsidTr="00D00B3F">
        <w:trPr>
          <w:gridBefore w:val="1"/>
          <w:gridAfter w:val="1"/>
          <w:wBefore w:w="30" w:type="dxa"/>
          <w:wAfter w:w="52" w:type="dxa"/>
          <w:trHeight w:hRule="exact" w:val="90"/>
        </w:trPr>
        <w:tc>
          <w:tcPr>
            <w:tcW w:w="2122" w:type="dxa"/>
            <w:gridSpan w:val="2"/>
            <w:vAlign w:val="bottom"/>
          </w:tcPr>
          <w:p w14:paraId="203FF71A"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050" w:type="dxa"/>
            <w:gridSpan w:val="3"/>
            <w:vAlign w:val="bottom"/>
          </w:tcPr>
          <w:p w14:paraId="50F756EB"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gridSpan w:val="2"/>
            <w:vAlign w:val="bottom"/>
          </w:tcPr>
          <w:p w14:paraId="3BCE513C"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vAlign w:val="bottom"/>
          </w:tcPr>
          <w:p w14:paraId="750F38CB"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8" w:type="dxa"/>
            <w:gridSpan w:val="2"/>
            <w:vAlign w:val="bottom"/>
          </w:tcPr>
          <w:p w14:paraId="6402C751"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7EE3A2E0" w14:textId="77777777" w:rsidTr="00D00B3F">
        <w:trPr>
          <w:gridBefore w:val="1"/>
          <w:gridAfter w:val="1"/>
          <w:wBefore w:w="30" w:type="dxa"/>
          <w:wAfter w:w="52" w:type="dxa"/>
          <w:trHeight w:hRule="exact" w:val="135"/>
        </w:trPr>
        <w:tc>
          <w:tcPr>
            <w:tcW w:w="2122" w:type="dxa"/>
            <w:gridSpan w:val="2"/>
            <w:vAlign w:val="bottom"/>
          </w:tcPr>
          <w:p w14:paraId="3A586ABF"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050" w:type="dxa"/>
            <w:gridSpan w:val="3"/>
            <w:vAlign w:val="bottom"/>
          </w:tcPr>
          <w:p w14:paraId="6D040078"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gridSpan w:val="2"/>
            <w:vAlign w:val="bottom"/>
          </w:tcPr>
          <w:p w14:paraId="4D92E8B0"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vAlign w:val="bottom"/>
          </w:tcPr>
          <w:p w14:paraId="17F593C3"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8" w:type="dxa"/>
            <w:gridSpan w:val="2"/>
            <w:vAlign w:val="bottom"/>
          </w:tcPr>
          <w:p w14:paraId="433261ED"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24CD5406" w14:textId="77777777" w:rsidTr="00D00B3F">
        <w:trPr>
          <w:gridBefore w:val="1"/>
          <w:gridAfter w:val="1"/>
          <w:wBefore w:w="30" w:type="dxa"/>
          <w:wAfter w:w="52" w:type="dxa"/>
          <w:trHeight w:val="225"/>
        </w:trPr>
        <w:tc>
          <w:tcPr>
            <w:tcW w:w="2122" w:type="dxa"/>
            <w:gridSpan w:val="2"/>
            <w:vAlign w:val="bottom"/>
          </w:tcPr>
          <w:p w14:paraId="7DEC6D26"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050" w:type="dxa"/>
            <w:gridSpan w:val="3"/>
            <w:vAlign w:val="bottom"/>
          </w:tcPr>
          <w:p w14:paraId="72243BB8" w14:textId="77777777" w:rsidR="00DB6A40" w:rsidRPr="00DB6A40" w:rsidRDefault="00DB6A40" w:rsidP="007223FC">
            <w:pPr>
              <w:spacing w:after="0" w:line="240" w:lineRule="auto"/>
              <w:rPr>
                <w:rFonts w:ascii="Calibri" w:eastAsia="Calibri" w:hAnsi="Calibri" w:cs="Times New Roman"/>
                <w:sz w:val="18"/>
                <w:szCs w:val="18"/>
                <w14:ligatures w14:val="none"/>
              </w:rPr>
            </w:pPr>
            <w:r w:rsidRPr="00DB6A40">
              <w:rPr>
                <w:rFonts w:ascii="Calibri" w:eastAsia="Calibri" w:hAnsi="Calibri" w:cs="Times New Roman"/>
                <w:sz w:val="18"/>
                <w:szCs w:val="18"/>
                <w14:ligatures w14:val="none"/>
              </w:rPr>
              <w:t>Value</w:t>
            </w:r>
          </w:p>
        </w:tc>
        <w:tc>
          <w:tcPr>
            <w:tcW w:w="1155" w:type="dxa"/>
            <w:gridSpan w:val="2"/>
            <w:vAlign w:val="bottom"/>
          </w:tcPr>
          <w:p w14:paraId="7313F7DA" w14:textId="77777777" w:rsidR="00DB6A40" w:rsidRPr="00DB6A40" w:rsidRDefault="00DB6A40" w:rsidP="007223FC">
            <w:pPr>
              <w:spacing w:after="0" w:line="240" w:lineRule="auto"/>
              <w:rPr>
                <w:rFonts w:ascii="Calibri" w:eastAsia="Calibri" w:hAnsi="Calibri" w:cs="Times New Roman"/>
                <w:sz w:val="18"/>
                <w:szCs w:val="18"/>
                <w14:ligatures w14:val="none"/>
              </w:rPr>
            </w:pPr>
            <w:proofErr w:type="spellStart"/>
            <w:r w:rsidRPr="00DB6A40">
              <w:rPr>
                <w:rFonts w:ascii="Calibri" w:eastAsia="Calibri" w:hAnsi="Calibri" w:cs="Times New Roman"/>
                <w:sz w:val="18"/>
                <w:szCs w:val="18"/>
                <w14:ligatures w14:val="none"/>
              </w:rPr>
              <w:t>df</w:t>
            </w:r>
            <w:proofErr w:type="spellEnd"/>
          </w:p>
        </w:tc>
        <w:tc>
          <w:tcPr>
            <w:tcW w:w="1155" w:type="dxa"/>
            <w:vAlign w:val="bottom"/>
          </w:tcPr>
          <w:p w14:paraId="601869B1" w14:textId="77777777" w:rsidR="00DB6A40" w:rsidRPr="00DB6A40" w:rsidRDefault="00DB6A40" w:rsidP="007223FC">
            <w:pPr>
              <w:spacing w:after="0" w:line="240" w:lineRule="auto"/>
              <w:rPr>
                <w:rFonts w:ascii="Calibri" w:eastAsia="Calibri" w:hAnsi="Calibri" w:cs="Times New Roman"/>
                <w:sz w:val="18"/>
                <w:szCs w:val="18"/>
                <w14:ligatures w14:val="none"/>
              </w:rPr>
            </w:pPr>
            <w:r w:rsidRPr="00DB6A40">
              <w:rPr>
                <w:rFonts w:ascii="Calibri" w:eastAsia="Calibri" w:hAnsi="Calibri" w:cs="Times New Roman"/>
                <w:sz w:val="18"/>
                <w:szCs w:val="18"/>
                <w14:ligatures w14:val="none"/>
              </w:rPr>
              <w:t>Probability</w:t>
            </w:r>
          </w:p>
        </w:tc>
        <w:tc>
          <w:tcPr>
            <w:tcW w:w="998" w:type="dxa"/>
            <w:gridSpan w:val="2"/>
            <w:vAlign w:val="bottom"/>
          </w:tcPr>
          <w:p w14:paraId="239BA31D" w14:textId="77777777" w:rsidR="00DB6A40" w:rsidRPr="00DB6A40" w:rsidRDefault="00DB6A40" w:rsidP="007223FC">
            <w:pPr>
              <w:spacing w:after="0" w:line="240" w:lineRule="auto"/>
              <w:rPr>
                <w:rFonts w:ascii="Calibri" w:eastAsia="Calibri" w:hAnsi="Calibri" w:cs="Times New Roman"/>
                <w:sz w:val="18"/>
                <w:szCs w:val="18"/>
                <w14:ligatures w14:val="none"/>
              </w:rPr>
            </w:pPr>
            <w:r w:rsidRPr="00DB6A40">
              <w:rPr>
                <w:rFonts w:ascii="Calibri" w:eastAsia="Calibri" w:hAnsi="Calibri" w:cs="Times New Roman"/>
                <w:sz w:val="18"/>
                <w:szCs w:val="18"/>
                <w14:ligatures w14:val="none"/>
              </w:rPr>
              <w:t>Value</w:t>
            </w:r>
          </w:p>
        </w:tc>
      </w:tr>
      <w:tr w:rsidR="00DB6A40" w:rsidRPr="00DB6A40" w14:paraId="62466699" w14:textId="77777777" w:rsidTr="00D00B3F">
        <w:trPr>
          <w:gridBefore w:val="1"/>
          <w:gridAfter w:val="1"/>
          <w:wBefore w:w="30" w:type="dxa"/>
          <w:wAfter w:w="52" w:type="dxa"/>
          <w:trHeight w:val="225"/>
        </w:trPr>
        <w:tc>
          <w:tcPr>
            <w:tcW w:w="2122" w:type="dxa"/>
            <w:gridSpan w:val="2"/>
            <w:vAlign w:val="bottom"/>
          </w:tcPr>
          <w:p w14:paraId="741D1E67"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t-statistic</w:t>
            </w:r>
          </w:p>
        </w:tc>
        <w:tc>
          <w:tcPr>
            <w:tcW w:w="1050" w:type="dxa"/>
            <w:gridSpan w:val="3"/>
            <w:vAlign w:val="bottom"/>
          </w:tcPr>
          <w:p w14:paraId="1C24466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0.680946</w:t>
            </w:r>
          </w:p>
        </w:tc>
        <w:tc>
          <w:tcPr>
            <w:tcW w:w="1155" w:type="dxa"/>
            <w:gridSpan w:val="2"/>
            <w:vAlign w:val="bottom"/>
          </w:tcPr>
          <w:p w14:paraId="36AE00B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19</w:t>
            </w:r>
          </w:p>
        </w:tc>
        <w:tc>
          <w:tcPr>
            <w:tcW w:w="1155" w:type="dxa"/>
            <w:vAlign w:val="bottom"/>
          </w:tcPr>
          <w:p w14:paraId="4C5D31E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0.5041</w:t>
            </w:r>
          </w:p>
        </w:tc>
        <w:tc>
          <w:tcPr>
            <w:tcW w:w="998" w:type="dxa"/>
            <w:gridSpan w:val="2"/>
            <w:vAlign w:val="bottom"/>
          </w:tcPr>
          <w:p w14:paraId="2E50868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0.680946</w:t>
            </w:r>
          </w:p>
        </w:tc>
      </w:tr>
      <w:tr w:rsidR="00DB6A40" w:rsidRPr="00DB6A40" w14:paraId="4E80C1E1" w14:textId="77777777" w:rsidTr="00D00B3F">
        <w:trPr>
          <w:gridBefore w:val="1"/>
          <w:gridAfter w:val="1"/>
          <w:wBefore w:w="30" w:type="dxa"/>
          <w:wAfter w:w="52" w:type="dxa"/>
          <w:trHeight w:val="225"/>
        </w:trPr>
        <w:tc>
          <w:tcPr>
            <w:tcW w:w="2122" w:type="dxa"/>
            <w:gridSpan w:val="2"/>
            <w:vAlign w:val="bottom"/>
          </w:tcPr>
          <w:p w14:paraId="41DAEF32"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F-statistic</w:t>
            </w:r>
          </w:p>
        </w:tc>
        <w:tc>
          <w:tcPr>
            <w:tcW w:w="1050" w:type="dxa"/>
            <w:gridSpan w:val="3"/>
            <w:vAlign w:val="bottom"/>
          </w:tcPr>
          <w:p w14:paraId="0717356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0.463687</w:t>
            </w:r>
          </w:p>
        </w:tc>
        <w:tc>
          <w:tcPr>
            <w:tcW w:w="1155" w:type="dxa"/>
            <w:gridSpan w:val="2"/>
            <w:vAlign w:val="bottom"/>
          </w:tcPr>
          <w:p w14:paraId="2069251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(1, 19)</w:t>
            </w:r>
          </w:p>
        </w:tc>
        <w:tc>
          <w:tcPr>
            <w:tcW w:w="1155" w:type="dxa"/>
            <w:vAlign w:val="bottom"/>
          </w:tcPr>
          <w:p w14:paraId="7CBF8C7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0.5041</w:t>
            </w:r>
          </w:p>
        </w:tc>
        <w:tc>
          <w:tcPr>
            <w:tcW w:w="998" w:type="dxa"/>
            <w:gridSpan w:val="2"/>
            <w:vAlign w:val="bottom"/>
          </w:tcPr>
          <w:p w14:paraId="5B7C66C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0.463687</w:t>
            </w:r>
          </w:p>
        </w:tc>
      </w:tr>
      <w:tr w:rsidR="00DB6A40" w:rsidRPr="00DB6A40" w14:paraId="4683F541" w14:textId="77777777" w:rsidTr="00D00B3F">
        <w:trPr>
          <w:gridBefore w:val="1"/>
          <w:gridAfter w:val="1"/>
          <w:wBefore w:w="30" w:type="dxa"/>
          <w:wAfter w:w="52" w:type="dxa"/>
          <w:trHeight w:val="225"/>
        </w:trPr>
        <w:tc>
          <w:tcPr>
            <w:tcW w:w="2122" w:type="dxa"/>
            <w:gridSpan w:val="2"/>
            <w:vAlign w:val="bottom"/>
          </w:tcPr>
          <w:p w14:paraId="3C9AB4CC" w14:textId="77777777" w:rsidR="00DB6A40" w:rsidRPr="00DB6A40" w:rsidRDefault="00DB6A40" w:rsidP="007223FC">
            <w:pPr>
              <w:autoSpaceDE w:val="0"/>
              <w:autoSpaceDN w:val="0"/>
              <w:adjustRightInd w:val="0"/>
              <w:spacing w:after="0" w:line="240" w:lineRule="auto"/>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Likelihood ratio</w:t>
            </w:r>
          </w:p>
        </w:tc>
        <w:tc>
          <w:tcPr>
            <w:tcW w:w="1050" w:type="dxa"/>
            <w:gridSpan w:val="3"/>
            <w:vAlign w:val="bottom"/>
          </w:tcPr>
          <w:p w14:paraId="1616CAB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0.602789</w:t>
            </w:r>
          </w:p>
        </w:tc>
        <w:tc>
          <w:tcPr>
            <w:tcW w:w="1155" w:type="dxa"/>
            <w:gridSpan w:val="2"/>
            <w:vAlign w:val="bottom"/>
          </w:tcPr>
          <w:p w14:paraId="036B380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w:t>
            </w:r>
          </w:p>
        </w:tc>
        <w:tc>
          <w:tcPr>
            <w:tcW w:w="1155" w:type="dxa"/>
            <w:vAlign w:val="bottom"/>
          </w:tcPr>
          <w:p w14:paraId="4350455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0.4375</w:t>
            </w:r>
          </w:p>
        </w:tc>
        <w:tc>
          <w:tcPr>
            <w:tcW w:w="998" w:type="dxa"/>
            <w:gridSpan w:val="2"/>
            <w:vAlign w:val="bottom"/>
          </w:tcPr>
          <w:p w14:paraId="7980352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0.602789</w:t>
            </w:r>
          </w:p>
        </w:tc>
      </w:tr>
      <w:tr w:rsidR="00DB6A40" w:rsidRPr="00DB6A40" w14:paraId="5106367B" w14:textId="77777777" w:rsidTr="00D00B3F">
        <w:trPr>
          <w:gridBefore w:val="1"/>
          <w:gridAfter w:val="1"/>
          <w:wBefore w:w="30" w:type="dxa"/>
          <w:wAfter w:w="52" w:type="dxa"/>
          <w:trHeight w:hRule="exact" w:val="90"/>
        </w:trPr>
        <w:tc>
          <w:tcPr>
            <w:tcW w:w="2122" w:type="dxa"/>
            <w:gridSpan w:val="2"/>
            <w:vAlign w:val="bottom"/>
          </w:tcPr>
          <w:p w14:paraId="4F64A198"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050" w:type="dxa"/>
            <w:gridSpan w:val="3"/>
            <w:vAlign w:val="bottom"/>
          </w:tcPr>
          <w:p w14:paraId="62981C08"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gridSpan w:val="2"/>
            <w:vAlign w:val="bottom"/>
          </w:tcPr>
          <w:p w14:paraId="00785A9E"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vAlign w:val="bottom"/>
          </w:tcPr>
          <w:p w14:paraId="24390E9B"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8" w:type="dxa"/>
            <w:gridSpan w:val="2"/>
            <w:vAlign w:val="bottom"/>
          </w:tcPr>
          <w:p w14:paraId="3BF2146C"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4D17DF48" w14:textId="77777777" w:rsidTr="00D00B3F">
        <w:trPr>
          <w:gridBefore w:val="1"/>
          <w:gridAfter w:val="1"/>
          <w:wBefore w:w="30" w:type="dxa"/>
          <w:wAfter w:w="52" w:type="dxa"/>
          <w:trHeight w:hRule="exact" w:val="135"/>
        </w:trPr>
        <w:tc>
          <w:tcPr>
            <w:tcW w:w="2122" w:type="dxa"/>
            <w:gridSpan w:val="2"/>
            <w:vAlign w:val="bottom"/>
          </w:tcPr>
          <w:p w14:paraId="7664FA87"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050" w:type="dxa"/>
            <w:gridSpan w:val="3"/>
            <w:vAlign w:val="bottom"/>
          </w:tcPr>
          <w:p w14:paraId="1AEBF1D3"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gridSpan w:val="2"/>
            <w:vAlign w:val="bottom"/>
          </w:tcPr>
          <w:p w14:paraId="68A8EAF7"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1155" w:type="dxa"/>
            <w:vAlign w:val="bottom"/>
          </w:tcPr>
          <w:p w14:paraId="334AF23A"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c>
          <w:tcPr>
            <w:tcW w:w="998" w:type="dxa"/>
            <w:gridSpan w:val="2"/>
            <w:vAlign w:val="bottom"/>
          </w:tcPr>
          <w:p w14:paraId="5D3B7582" w14:textId="77777777" w:rsidR="00DB6A40" w:rsidRPr="00DB6A40" w:rsidRDefault="00DB6A40" w:rsidP="007223FC">
            <w:pPr>
              <w:autoSpaceDE w:val="0"/>
              <w:autoSpaceDN w:val="0"/>
              <w:adjustRightInd w:val="0"/>
              <w:spacing w:after="0" w:line="240" w:lineRule="auto"/>
              <w:jc w:val="center"/>
              <w:rPr>
                <w:rFonts w:ascii="Times New Roman" w:eastAsia="Calibri" w:hAnsi="Times New Roman" w:cs="Times New Roman"/>
                <w:color w:val="000000"/>
                <w:sz w:val="18"/>
                <w:szCs w:val="18"/>
                <w14:ligatures w14:val="none"/>
              </w:rPr>
            </w:pPr>
          </w:p>
        </w:tc>
      </w:tr>
      <w:tr w:rsidR="00DB6A40" w:rsidRPr="00DB6A40" w14:paraId="488F3ADF" w14:textId="77777777" w:rsidTr="00D00B3F">
        <w:trPr>
          <w:gridBefore w:val="1"/>
          <w:gridAfter w:val="5"/>
          <w:wBefore w:w="30" w:type="dxa"/>
          <w:wAfter w:w="3224" w:type="dxa"/>
          <w:trHeight w:val="225"/>
        </w:trPr>
        <w:tc>
          <w:tcPr>
            <w:tcW w:w="2310" w:type="dxa"/>
            <w:gridSpan w:val="3"/>
            <w:vAlign w:val="bottom"/>
          </w:tcPr>
          <w:p w14:paraId="27DDABF1" w14:textId="77777777" w:rsidR="00DB6A40" w:rsidRPr="00DB6A40" w:rsidRDefault="00DB6A40" w:rsidP="007223FC">
            <w:pPr>
              <w:autoSpaceDE w:val="0"/>
              <w:autoSpaceDN w:val="0"/>
              <w:adjustRightInd w:val="0"/>
              <w:spacing w:after="0" w:line="240" w:lineRule="auto"/>
              <w:ind w:right="10"/>
              <w:rPr>
                <w:rFonts w:ascii="Times New Roman" w:eastAsia="Calibri" w:hAnsi="Times New Roman" w:cs="Times New Roman"/>
                <w:color w:val="000000"/>
                <w:sz w:val="18"/>
                <w:szCs w:val="18"/>
                <w14:ligatures w14:val="none"/>
              </w:rPr>
            </w:pPr>
            <w:r w:rsidRPr="00DB6A40">
              <w:rPr>
                <w:rFonts w:ascii="Times New Roman" w:eastAsia="Calibri" w:hAnsi="Times New Roman" w:cs="Times New Roman"/>
                <w:color w:val="000000"/>
                <w:sz w:val="18"/>
                <w:szCs w:val="18"/>
                <w14:ligatures w14:val="none"/>
              </w:rPr>
              <w:t>Durbin-Watson stat</w:t>
            </w:r>
          </w:p>
        </w:tc>
        <w:tc>
          <w:tcPr>
            <w:tcW w:w="998" w:type="dxa"/>
            <w:gridSpan w:val="3"/>
            <w:vAlign w:val="bottom"/>
          </w:tcPr>
          <w:p w14:paraId="7E1A0DC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1.492439</w:t>
            </w:r>
          </w:p>
        </w:tc>
      </w:tr>
    </w:tbl>
    <w:p w14:paraId="39D2640A"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Source: E-VIEW 9.0 (2026).</w:t>
      </w:r>
    </w:p>
    <w:p w14:paraId="5754A41B"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diagnostic tests in Table 4 show important features of the model. The Breusch-Godfrey LM test indicates mild autocorrelation since the F-</w:t>
      </w:r>
      <w:proofErr w:type="spellStart"/>
      <w:r w:rsidRPr="00DB6A40">
        <w:rPr>
          <w:rFonts w:ascii="Times New Roman" w:eastAsia="Calibri" w:hAnsi="Times New Roman" w:cs="Times New Roman"/>
          <w14:ligatures w14:val="none"/>
        </w:rPr>
        <w:t>statistic</w:t>
      </w:r>
      <w:proofErr w:type="spellEnd"/>
      <w:r w:rsidRPr="00DB6A40">
        <w:rPr>
          <w:rFonts w:ascii="Times New Roman" w:eastAsia="Calibri" w:hAnsi="Times New Roman" w:cs="Times New Roman"/>
          <w14:ligatures w14:val="none"/>
        </w:rPr>
        <w:t xml:space="preserve"> probability is above 5 percent at 0.0765, while the Chi-Square probability of 0.0448 suggests slight correlation, though the Durbin-Watson statistic of 1.92 is close to 2, implying acceptable independence. The Breusch-Pagan-Godfrey test confirms absence of heteroskedasticity with probabilities well above 0.05, ensuring homoscedastic residuals. The Ramsey RESET test has a probability of 0.50, indicating the model is correctly specified without omitted variables. Collectively, ATMT, POST, DCT, and ARDBS explain NBAC reliably under valid model assumptions.</w:t>
      </w:r>
    </w:p>
    <w:p w14:paraId="65287CCB"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Group Unit Root Test</w:t>
      </w:r>
    </w:p>
    <w:p w14:paraId="5D48618B"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group unit root test assesses the stationarity of ATMT, POST, DCT, ARDBS, and NBAC. Since the data are time series (2000–2024), confirming stationarity avoids spurious regressions and ensures reliable econometric estimations in analyzing digital payments and inclusion. The group unit root test was presented below.</w:t>
      </w:r>
    </w:p>
    <w:p w14:paraId="75874509"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3174ECE9"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CD48FA4"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79AADFE6"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150F3F8A"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35990CAF"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7DA18B6"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4143B03"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F8AD8F8"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090F518E"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5F1AC15A"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7B8C328"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7372F104"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17209F4"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193C930B"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864FF53"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5D7CB5CC"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70A90955"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3BF75B69"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48ED622E"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7FA2DD62" w14:textId="77777777" w:rsidR="007223FC" w:rsidRDefault="007223FC" w:rsidP="007223FC">
      <w:pPr>
        <w:tabs>
          <w:tab w:val="left" w:pos="1185"/>
        </w:tabs>
        <w:spacing w:after="0" w:line="240" w:lineRule="auto"/>
        <w:jc w:val="both"/>
        <w:rPr>
          <w:rFonts w:ascii="Times New Roman" w:eastAsia="Calibri" w:hAnsi="Times New Roman" w:cs="Times New Roman"/>
          <w:b/>
          <w:bCs/>
          <w:sz w:val="18"/>
          <w:szCs w:val="18"/>
          <w14:ligatures w14:val="none"/>
        </w:rPr>
      </w:pPr>
    </w:p>
    <w:p w14:paraId="3CD2FD9E" w14:textId="55DC4DD6" w:rsidR="00DB6A40" w:rsidRPr="00DB6A40" w:rsidRDefault="00DB6A40" w:rsidP="007223FC">
      <w:pPr>
        <w:tabs>
          <w:tab w:val="left" w:pos="1185"/>
        </w:tabs>
        <w:spacing w:after="0" w:line="240" w:lineRule="auto"/>
        <w:jc w:val="both"/>
        <w:rPr>
          <w:rFonts w:ascii="Times New Roman" w:eastAsia="Calibri" w:hAnsi="Times New Roman" w:cs="Times New Roman"/>
          <w:b/>
          <w:bCs/>
          <w:sz w:val="18"/>
          <w:szCs w:val="18"/>
          <w14:ligatures w14:val="none"/>
        </w:rPr>
      </w:pPr>
      <w:r w:rsidRPr="00DB6A40">
        <w:rPr>
          <w:rFonts w:ascii="Times New Roman" w:eastAsia="Calibri" w:hAnsi="Times New Roman" w:cs="Times New Roman"/>
          <w:b/>
          <w:bCs/>
          <w:sz w:val="18"/>
          <w:szCs w:val="18"/>
          <w14:ligatures w14:val="none"/>
        </w:rPr>
        <w:t xml:space="preserve">Table 5: </w:t>
      </w:r>
      <w:r w:rsidRPr="00DB6A40">
        <w:rPr>
          <w:rFonts w:ascii="Times New Roman" w:eastAsia="Calibri" w:hAnsi="Times New Roman" w:cs="Times New Roman"/>
          <w:b/>
          <w:bCs/>
          <w:sz w:val="18"/>
          <w:szCs w:val="18"/>
          <w14:ligatures w14:val="none"/>
        </w:rPr>
        <w:tab/>
      </w:r>
      <w:r w:rsidRPr="00DB6A40">
        <w:rPr>
          <w:rFonts w:ascii="Times New Roman" w:eastAsia="Calibri" w:hAnsi="Times New Roman" w:cs="Times New Roman"/>
          <w:b/>
          <w:bCs/>
          <w:sz w:val="18"/>
          <w:szCs w:val="18"/>
          <w14:ligatures w14:val="none"/>
        </w:rPr>
        <w:tab/>
      </w:r>
      <w:r w:rsidRPr="00DB6A40">
        <w:rPr>
          <w:rFonts w:ascii="Times New Roman" w:eastAsia="Calibri" w:hAnsi="Times New Roman" w:cs="Times New Roman"/>
          <w:b/>
          <w:bCs/>
          <w:sz w:val="18"/>
          <w:szCs w:val="18"/>
          <w14:ligatures w14:val="none"/>
        </w:rPr>
        <w:tab/>
        <w:t>Group Unit Root Test</w:t>
      </w:r>
    </w:p>
    <w:tbl>
      <w:tblPr>
        <w:tblW w:w="0" w:type="auto"/>
        <w:tblInd w:w="3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DB6A40" w:rsidRPr="00DB6A40" w14:paraId="72C575C1" w14:textId="77777777" w:rsidTr="00D00B3F">
        <w:trPr>
          <w:trHeight w:val="225"/>
        </w:trPr>
        <w:tc>
          <w:tcPr>
            <w:tcW w:w="5535" w:type="dxa"/>
            <w:gridSpan w:val="4"/>
            <w:vAlign w:val="bottom"/>
          </w:tcPr>
          <w:p w14:paraId="0558745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lastRenderedPageBreak/>
              <w:t>Group unit root test: Summary </w:t>
            </w:r>
          </w:p>
        </w:tc>
        <w:tc>
          <w:tcPr>
            <w:tcW w:w="997" w:type="dxa"/>
            <w:vAlign w:val="bottom"/>
          </w:tcPr>
          <w:p w14:paraId="2D74BEB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719E934" w14:textId="77777777" w:rsidTr="00D00B3F">
        <w:trPr>
          <w:trHeight w:val="225"/>
        </w:trPr>
        <w:tc>
          <w:tcPr>
            <w:tcW w:w="5535" w:type="dxa"/>
            <w:gridSpan w:val="4"/>
            <w:vAlign w:val="bottom"/>
          </w:tcPr>
          <w:p w14:paraId="1C434FF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Series: NBAC, ATMT, POST, DCT, ARDBS</w:t>
            </w:r>
          </w:p>
        </w:tc>
        <w:tc>
          <w:tcPr>
            <w:tcW w:w="997" w:type="dxa"/>
            <w:vAlign w:val="bottom"/>
          </w:tcPr>
          <w:p w14:paraId="5D5EC0D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428090A" w14:textId="77777777" w:rsidTr="00D00B3F">
        <w:trPr>
          <w:trHeight w:val="225"/>
        </w:trPr>
        <w:tc>
          <w:tcPr>
            <w:tcW w:w="5535" w:type="dxa"/>
            <w:gridSpan w:val="4"/>
            <w:vAlign w:val="bottom"/>
          </w:tcPr>
          <w:p w14:paraId="5814409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Date: 02/02/26   Time: 13:58</w:t>
            </w:r>
          </w:p>
        </w:tc>
        <w:tc>
          <w:tcPr>
            <w:tcW w:w="997" w:type="dxa"/>
            <w:vAlign w:val="bottom"/>
          </w:tcPr>
          <w:p w14:paraId="1BFEAC6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6BF998A9" w14:textId="77777777" w:rsidTr="00D00B3F">
        <w:trPr>
          <w:trHeight w:val="225"/>
        </w:trPr>
        <w:tc>
          <w:tcPr>
            <w:tcW w:w="4642" w:type="dxa"/>
            <w:gridSpan w:val="3"/>
            <w:vAlign w:val="bottom"/>
          </w:tcPr>
          <w:p w14:paraId="5EEF8B8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Sample: 2000 2024</w:t>
            </w:r>
          </w:p>
        </w:tc>
        <w:tc>
          <w:tcPr>
            <w:tcW w:w="893" w:type="dxa"/>
            <w:vAlign w:val="bottom"/>
          </w:tcPr>
          <w:p w14:paraId="26C81A5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65A7A88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BC067D9" w14:textId="77777777" w:rsidTr="00D00B3F">
        <w:trPr>
          <w:trHeight w:val="225"/>
        </w:trPr>
        <w:tc>
          <w:tcPr>
            <w:tcW w:w="6532" w:type="dxa"/>
            <w:gridSpan w:val="5"/>
            <w:vAlign w:val="bottom"/>
          </w:tcPr>
          <w:p w14:paraId="6162862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Exogenous variables: Individual effects</w:t>
            </w:r>
          </w:p>
        </w:tc>
      </w:tr>
      <w:tr w:rsidR="00DB6A40" w:rsidRPr="00DB6A40" w14:paraId="024E0C15" w14:textId="77777777" w:rsidTr="00D00B3F">
        <w:trPr>
          <w:trHeight w:val="225"/>
        </w:trPr>
        <w:tc>
          <w:tcPr>
            <w:tcW w:w="5535" w:type="dxa"/>
            <w:gridSpan w:val="4"/>
            <w:vAlign w:val="bottom"/>
          </w:tcPr>
          <w:p w14:paraId="3F5CAAB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Automatic selection of maximum lags</w:t>
            </w:r>
          </w:p>
        </w:tc>
        <w:tc>
          <w:tcPr>
            <w:tcW w:w="997" w:type="dxa"/>
            <w:vAlign w:val="bottom"/>
          </w:tcPr>
          <w:p w14:paraId="610E729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A3DB4BA" w14:textId="77777777" w:rsidTr="00D00B3F">
        <w:trPr>
          <w:trHeight w:val="225"/>
        </w:trPr>
        <w:tc>
          <w:tcPr>
            <w:tcW w:w="6532" w:type="dxa"/>
            <w:gridSpan w:val="5"/>
            <w:vAlign w:val="bottom"/>
          </w:tcPr>
          <w:p w14:paraId="0732283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Automatic lag length selection based on SIC: 2 to 4</w:t>
            </w:r>
          </w:p>
        </w:tc>
      </w:tr>
      <w:tr w:rsidR="00DB6A40" w:rsidRPr="00DB6A40" w14:paraId="09129694" w14:textId="77777777" w:rsidTr="00D00B3F">
        <w:trPr>
          <w:trHeight w:val="225"/>
        </w:trPr>
        <w:tc>
          <w:tcPr>
            <w:tcW w:w="6532" w:type="dxa"/>
            <w:gridSpan w:val="5"/>
            <w:vAlign w:val="bottom"/>
          </w:tcPr>
          <w:p w14:paraId="1C4B1FE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Newey-West automatic bandwidth selection and Bartlett kernel</w:t>
            </w:r>
          </w:p>
        </w:tc>
      </w:tr>
      <w:tr w:rsidR="00DB6A40" w:rsidRPr="00DB6A40" w14:paraId="19D61FE9" w14:textId="77777777" w:rsidTr="00D00B3F">
        <w:trPr>
          <w:trHeight w:hRule="exact" w:val="90"/>
        </w:trPr>
        <w:tc>
          <w:tcPr>
            <w:tcW w:w="2647" w:type="dxa"/>
            <w:vAlign w:val="bottom"/>
          </w:tcPr>
          <w:p w14:paraId="29275E7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665F708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766DC2B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6BD33DB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21F39CE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4D920E88" w14:textId="77777777" w:rsidTr="00D00B3F">
        <w:trPr>
          <w:trHeight w:hRule="exact" w:val="135"/>
        </w:trPr>
        <w:tc>
          <w:tcPr>
            <w:tcW w:w="2647" w:type="dxa"/>
            <w:vAlign w:val="bottom"/>
          </w:tcPr>
          <w:p w14:paraId="4692DBA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0B015D6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4E67FF3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06B5FA6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0E54281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550499DF" w14:textId="77777777" w:rsidTr="00D00B3F">
        <w:trPr>
          <w:trHeight w:val="225"/>
        </w:trPr>
        <w:tc>
          <w:tcPr>
            <w:tcW w:w="2647" w:type="dxa"/>
            <w:vAlign w:val="bottom"/>
          </w:tcPr>
          <w:p w14:paraId="774468F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167CE69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50A5F9C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0A6B39F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Cross-</w:t>
            </w:r>
          </w:p>
        </w:tc>
        <w:tc>
          <w:tcPr>
            <w:tcW w:w="997" w:type="dxa"/>
            <w:vAlign w:val="bottom"/>
          </w:tcPr>
          <w:p w14:paraId="4E9C15F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43550C81" w14:textId="77777777" w:rsidTr="00D00B3F">
        <w:trPr>
          <w:trHeight w:val="225"/>
        </w:trPr>
        <w:tc>
          <w:tcPr>
            <w:tcW w:w="2647" w:type="dxa"/>
            <w:vAlign w:val="bottom"/>
          </w:tcPr>
          <w:p w14:paraId="2C8FEFB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Method</w:t>
            </w:r>
          </w:p>
        </w:tc>
        <w:tc>
          <w:tcPr>
            <w:tcW w:w="998" w:type="dxa"/>
            <w:vAlign w:val="bottom"/>
          </w:tcPr>
          <w:p w14:paraId="28ECAC1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Statistic</w:t>
            </w:r>
          </w:p>
        </w:tc>
        <w:tc>
          <w:tcPr>
            <w:tcW w:w="997" w:type="dxa"/>
            <w:vAlign w:val="bottom"/>
          </w:tcPr>
          <w:p w14:paraId="1A93531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Prob.**</w:t>
            </w:r>
          </w:p>
        </w:tc>
        <w:tc>
          <w:tcPr>
            <w:tcW w:w="893" w:type="dxa"/>
            <w:vAlign w:val="bottom"/>
          </w:tcPr>
          <w:p w14:paraId="20E8481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sections</w:t>
            </w:r>
          </w:p>
        </w:tc>
        <w:tc>
          <w:tcPr>
            <w:tcW w:w="997" w:type="dxa"/>
            <w:vAlign w:val="bottom"/>
          </w:tcPr>
          <w:p w14:paraId="0A21876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roofErr w:type="spellStart"/>
            <w:r w:rsidRPr="00DB6A40">
              <w:rPr>
                <w:rFonts w:ascii="Times New Roman" w:eastAsia="Calibri" w:hAnsi="Times New Roman" w:cs="Times New Roman"/>
                <w:sz w:val="18"/>
                <w:szCs w:val="18"/>
                <w14:ligatures w14:val="none"/>
              </w:rPr>
              <w:t>Obs</w:t>
            </w:r>
            <w:proofErr w:type="spellEnd"/>
          </w:p>
        </w:tc>
      </w:tr>
      <w:tr w:rsidR="00DB6A40" w:rsidRPr="00DB6A40" w14:paraId="5AD88FD5" w14:textId="77777777" w:rsidTr="00D00B3F">
        <w:trPr>
          <w:trHeight w:val="225"/>
        </w:trPr>
        <w:tc>
          <w:tcPr>
            <w:tcW w:w="6532" w:type="dxa"/>
            <w:gridSpan w:val="5"/>
            <w:vAlign w:val="bottom"/>
          </w:tcPr>
          <w:p w14:paraId="30CD9BA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Null: Unit root (assumes common unit root process) </w:t>
            </w:r>
          </w:p>
        </w:tc>
      </w:tr>
      <w:tr w:rsidR="00DB6A40" w:rsidRPr="00DB6A40" w14:paraId="3A70C2CB" w14:textId="77777777" w:rsidTr="00D00B3F">
        <w:trPr>
          <w:trHeight w:val="225"/>
        </w:trPr>
        <w:tc>
          <w:tcPr>
            <w:tcW w:w="2647" w:type="dxa"/>
            <w:vAlign w:val="bottom"/>
          </w:tcPr>
          <w:p w14:paraId="4112D37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Levin, Lin &amp; Chu t*</w:t>
            </w:r>
          </w:p>
        </w:tc>
        <w:tc>
          <w:tcPr>
            <w:tcW w:w="998" w:type="dxa"/>
            <w:vAlign w:val="bottom"/>
          </w:tcPr>
          <w:p w14:paraId="0A485EF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3.95445</w:t>
            </w:r>
          </w:p>
        </w:tc>
        <w:tc>
          <w:tcPr>
            <w:tcW w:w="997" w:type="dxa"/>
            <w:vAlign w:val="bottom"/>
          </w:tcPr>
          <w:p w14:paraId="156F190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1.0000</w:t>
            </w:r>
          </w:p>
        </w:tc>
        <w:tc>
          <w:tcPr>
            <w:tcW w:w="893" w:type="dxa"/>
            <w:vAlign w:val="bottom"/>
          </w:tcPr>
          <w:p w14:paraId="62209E8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186D76B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103</w:t>
            </w:r>
          </w:p>
        </w:tc>
      </w:tr>
      <w:tr w:rsidR="00DB6A40" w:rsidRPr="00DB6A40" w14:paraId="1152BAEF" w14:textId="77777777" w:rsidTr="00D00B3F">
        <w:trPr>
          <w:trHeight w:val="225"/>
        </w:trPr>
        <w:tc>
          <w:tcPr>
            <w:tcW w:w="2647" w:type="dxa"/>
            <w:vAlign w:val="bottom"/>
          </w:tcPr>
          <w:p w14:paraId="12EDBDF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459C720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1DCE9E0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1A92451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7870900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3375268" w14:textId="77777777" w:rsidTr="00D00B3F">
        <w:trPr>
          <w:trHeight w:val="225"/>
        </w:trPr>
        <w:tc>
          <w:tcPr>
            <w:tcW w:w="6532" w:type="dxa"/>
            <w:gridSpan w:val="5"/>
            <w:vAlign w:val="bottom"/>
          </w:tcPr>
          <w:p w14:paraId="2DDA1A7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Null: Unit root (assumes individual unit root process) </w:t>
            </w:r>
          </w:p>
        </w:tc>
      </w:tr>
      <w:tr w:rsidR="00DB6A40" w:rsidRPr="00DB6A40" w14:paraId="50A3986A" w14:textId="77777777" w:rsidTr="00D00B3F">
        <w:trPr>
          <w:trHeight w:val="225"/>
        </w:trPr>
        <w:tc>
          <w:tcPr>
            <w:tcW w:w="2647" w:type="dxa"/>
            <w:vAlign w:val="bottom"/>
          </w:tcPr>
          <w:p w14:paraId="1C61123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roofErr w:type="spellStart"/>
            <w:r w:rsidRPr="00DB6A40">
              <w:rPr>
                <w:rFonts w:ascii="Times New Roman" w:eastAsia="Calibri" w:hAnsi="Times New Roman" w:cs="Times New Roman"/>
                <w:sz w:val="18"/>
                <w:szCs w:val="18"/>
                <w14:ligatures w14:val="none"/>
              </w:rPr>
              <w:t>Im</w:t>
            </w:r>
            <w:proofErr w:type="spellEnd"/>
            <w:r w:rsidRPr="00DB6A40">
              <w:rPr>
                <w:rFonts w:ascii="Times New Roman" w:eastAsia="Calibri" w:hAnsi="Times New Roman" w:cs="Times New Roman"/>
                <w:sz w:val="18"/>
                <w:szCs w:val="18"/>
                <w14:ligatures w14:val="none"/>
              </w:rPr>
              <w:t xml:space="preserve">, </w:t>
            </w:r>
            <w:proofErr w:type="spellStart"/>
            <w:r w:rsidRPr="00DB6A40">
              <w:rPr>
                <w:rFonts w:ascii="Times New Roman" w:eastAsia="Calibri" w:hAnsi="Times New Roman" w:cs="Times New Roman"/>
                <w:sz w:val="18"/>
                <w:szCs w:val="18"/>
                <w14:ligatures w14:val="none"/>
              </w:rPr>
              <w:t>Pesaran</w:t>
            </w:r>
            <w:proofErr w:type="spellEnd"/>
            <w:r w:rsidRPr="00DB6A40">
              <w:rPr>
                <w:rFonts w:ascii="Times New Roman" w:eastAsia="Calibri" w:hAnsi="Times New Roman" w:cs="Times New Roman"/>
                <w:sz w:val="18"/>
                <w:szCs w:val="18"/>
                <w14:ligatures w14:val="none"/>
              </w:rPr>
              <w:t xml:space="preserve"> and Shin W-stat </w:t>
            </w:r>
          </w:p>
        </w:tc>
        <w:tc>
          <w:tcPr>
            <w:tcW w:w="998" w:type="dxa"/>
            <w:vAlign w:val="bottom"/>
          </w:tcPr>
          <w:p w14:paraId="53045E7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16.5974</w:t>
            </w:r>
          </w:p>
        </w:tc>
        <w:tc>
          <w:tcPr>
            <w:tcW w:w="997" w:type="dxa"/>
            <w:vAlign w:val="bottom"/>
          </w:tcPr>
          <w:p w14:paraId="69A89B3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1.0000</w:t>
            </w:r>
          </w:p>
        </w:tc>
        <w:tc>
          <w:tcPr>
            <w:tcW w:w="893" w:type="dxa"/>
            <w:vAlign w:val="bottom"/>
          </w:tcPr>
          <w:p w14:paraId="0457C90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36C8CE6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103</w:t>
            </w:r>
          </w:p>
        </w:tc>
      </w:tr>
      <w:tr w:rsidR="00DB6A40" w:rsidRPr="00DB6A40" w14:paraId="58826F72" w14:textId="77777777" w:rsidTr="00D00B3F">
        <w:trPr>
          <w:trHeight w:val="225"/>
        </w:trPr>
        <w:tc>
          <w:tcPr>
            <w:tcW w:w="2647" w:type="dxa"/>
            <w:vAlign w:val="bottom"/>
          </w:tcPr>
          <w:p w14:paraId="2F1B078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ADF - Fisher Chi-square</w:t>
            </w:r>
          </w:p>
        </w:tc>
        <w:tc>
          <w:tcPr>
            <w:tcW w:w="998" w:type="dxa"/>
            <w:vAlign w:val="bottom"/>
          </w:tcPr>
          <w:p w14:paraId="3AFCAAE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0.00272</w:t>
            </w:r>
          </w:p>
        </w:tc>
        <w:tc>
          <w:tcPr>
            <w:tcW w:w="997" w:type="dxa"/>
            <w:vAlign w:val="bottom"/>
          </w:tcPr>
          <w:p w14:paraId="0A34FFC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1.0000</w:t>
            </w:r>
          </w:p>
        </w:tc>
        <w:tc>
          <w:tcPr>
            <w:tcW w:w="893" w:type="dxa"/>
            <w:vAlign w:val="bottom"/>
          </w:tcPr>
          <w:p w14:paraId="2E44BD3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1E1CF8D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103</w:t>
            </w:r>
          </w:p>
        </w:tc>
      </w:tr>
      <w:tr w:rsidR="00DB6A40" w:rsidRPr="00DB6A40" w14:paraId="58B0806F" w14:textId="77777777" w:rsidTr="00D00B3F">
        <w:trPr>
          <w:trHeight w:val="225"/>
        </w:trPr>
        <w:tc>
          <w:tcPr>
            <w:tcW w:w="2647" w:type="dxa"/>
            <w:vAlign w:val="bottom"/>
          </w:tcPr>
          <w:p w14:paraId="1EFA5C7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PP - Fisher Chi-square</w:t>
            </w:r>
          </w:p>
        </w:tc>
        <w:tc>
          <w:tcPr>
            <w:tcW w:w="998" w:type="dxa"/>
            <w:vAlign w:val="bottom"/>
          </w:tcPr>
          <w:p w14:paraId="05BA9C0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0.00092</w:t>
            </w:r>
          </w:p>
        </w:tc>
        <w:tc>
          <w:tcPr>
            <w:tcW w:w="997" w:type="dxa"/>
            <w:vAlign w:val="bottom"/>
          </w:tcPr>
          <w:p w14:paraId="630054A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1.0000</w:t>
            </w:r>
          </w:p>
        </w:tc>
        <w:tc>
          <w:tcPr>
            <w:tcW w:w="893" w:type="dxa"/>
            <w:vAlign w:val="bottom"/>
          </w:tcPr>
          <w:p w14:paraId="1EBBF5D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2BD2FFE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120</w:t>
            </w:r>
          </w:p>
        </w:tc>
      </w:tr>
      <w:tr w:rsidR="00DB6A40" w:rsidRPr="00DB6A40" w14:paraId="568BD6DD" w14:textId="77777777" w:rsidTr="00D00B3F">
        <w:trPr>
          <w:trHeight w:hRule="exact" w:val="90"/>
        </w:trPr>
        <w:tc>
          <w:tcPr>
            <w:tcW w:w="2647" w:type="dxa"/>
            <w:vAlign w:val="bottom"/>
          </w:tcPr>
          <w:p w14:paraId="063C06A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47D816D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47F0748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6EB3D4C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03F7DAA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6F8EFBFE" w14:textId="77777777" w:rsidTr="00D00B3F">
        <w:trPr>
          <w:trHeight w:hRule="exact" w:val="135"/>
        </w:trPr>
        <w:tc>
          <w:tcPr>
            <w:tcW w:w="2647" w:type="dxa"/>
            <w:vAlign w:val="bottom"/>
          </w:tcPr>
          <w:p w14:paraId="4DBEBDD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2985CDF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0D3BC6B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49440F1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530485D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7817911B" w14:textId="77777777" w:rsidTr="00D00B3F">
        <w:trPr>
          <w:trHeight w:val="225"/>
        </w:trPr>
        <w:tc>
          <w:tcPr>
            <w:tcW w:w="6532" w:type="dxa"/>
            <w:gridSpan w:val="5"/>
            <w:vAlign w:val="bottom"/>
          </w:tcPr>
          <w:p w14:paraId="5B66214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Probabilities for Fisher tests are computed using an asymptotic Chi</w:t>
            </w:r>
          </w:p>
        </w:tc>
      </w:tr>
      <w:tr w:rsidR="00DB6A40" w:rsidRPr="00DB6A40" w14:paraId="592F876B" w14:textId="77777777" w:rsidTr="00D00B3F">
        <w:trPr>
          <w:trHeight w:val="225"/>
        </w:trPr>
        <w:tc>
          <w:tcPr>
            <w:tcW w:w="6532" w:type="dxa"/>
            <w:gridSpan w:val="5"/>
            <w:tcBorders>
              <w:bottom w:val="nil"/>
            </w:tcBorders>
            <w:vAlign w:val="bottom"/>
          </w:tcPr>
          <w:p w14:paraId="16A717F9" w14:textId="77777777" w:rsid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-square distribution. All other tests assume asymptotic normality.</w:t>
            </w:r>
          </w:p>
          <w:p w14:paraId="39300F05" w14:textId="77777777" w:rsidR="00D24E0B" w:rsidRDefault="00D24E0B" w:rsidP="007223FC">
            <w:pPr>
              <w:spacing w:after="0" w:line="240" w:lineRule="auto"/>
              <w:rPr>
                <w:rFonts w:ascii="Times New Roman" w:eastAsia="Calibri" w:hAnsi="Times New Roman" w:cs="Times New Roman"/>
                <w:sz w:val="18"/>
                <w:szCs w:val="18"/>
                <w14:ligatures w14:val="none"/>
              </w:rPr>
            </w:pPr>
          </w:p>
          <w:p w14:paraId="059B8638" w14:textId="77777777" w:rsidR="00D24E0B" w:rsidRDefault="00D24E0B" w:rsidP="007223FC">
            <w:pPr>
              <w:spacing w:after="0" w:line="240" w:lineRule="auto"/>
              <w:rPr>
                <w:rFonts w:ascii="Times New Roman" w:eastAsia="Calibri" w:hAnsi="Times New Roman" w:cs="Times New Roman"/>
                <w:sz w:val="18"/>
                <w:szCs w:val="18"/>
                <w14:ligatures w14:val="none"/>
              </w:rPr>
            </w:pPr>
          </w:p>
          <w:p w14:paraId="43B1D8D6" w14:textId="77777777" w:rsidR="00D24E0B" w:rsidRDefault="00D24E0B" w:rsidP="007223FC">
            <w:pPr>
              <w:spacing w:after="0" w:line="240" w:lineRule="auto"/>
              <w:rPr>
                <w:rFonts w:ascii="Times New Roman" w:eastAsia="Calibri" w:hAnsi="Times New Roman" w:cs="Times New Roman"/>
                <w:sz w:val="18"/>
                <w:szCs w:val="18"/>
                <w14:ligatures w14:val="none"/>
              </w:rPr>
            </w:pPr>
          </w:p>
          <w:p w14:paraId="3B26C3BA" w14:textId="77777777" w:rsidR="00D24E0B" w:rsidRPr="00DB6A40" w:rsidRDefault="00D24E0B" w:rsidP="007223FC">
            <w:pPr>
              <w:spacing w:after="0" w:line="240" w:lineRule="auto"/>
              <w:rPr>
                <w:rFonts w:ascii="Times New Roman" w:eastAsia="Calibri" w:hAnsi="Times New Roman" w:cs="Times New Roman"/>
                <w:sz w:val="18"/>
                <w:szCs w:val="18"/>
                <w14:ligatures w14:val="none"/>
              </w:rPr>
            </w:pPr>
          </w:p>
        </w:tc>
      </w:tr>
      <w:tr w:rsidR="00DB6A40" w:rsidRPr="00DB6A40" w14:paraId="575C3D85" w14:textId="77777777" w:rsidTr="00D00B3F">
        <w:trPr>
          <w:trHeight w:val="225"/>
        </w:trPr>
        <w:tc>
          <w:tcPr>
            <w:tcW w:w="6532" w:type="dxa"/>
            <w:gridSpan w:val="5"/>
            <w:tcBorders>
              <w:top w:val="nil"/>
              <w:bottom w:val="single" w:sz="4" w:space="0" w:color="auto"/>
            </w:tcBorders>
            <w:vAlign w:val="bottom"/>
          </w:tcPr>
          <w:tbl>
            <w:tblPr>
              <w:tblW w:w="0" w:type="auto"/>
              <w:tblInd w:w="3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2647"/>
              <w:gridCol w:w="998"/>
              <w:gridCol w:w="997"/>
              <w:gridCol w:w="893"/>
              <w:gridCol w:w="997"/>
            </w:tblGrid>
            <w:tr w:rsidR="00DB6A40" w:rsidRPr="00DB6A40" w14:paraId="23B27D52" w14:textId="77777777" w:rsidTr="00D00B3F">
              <w:trPr>
                <w:trHeight w:val="225"/>
              </w:trPr>
              <w:tc>
                <w:tcPr>
                  <w:tcW w:w="5535" w:type="dxa"/>
                  <w:gridSpan w:val="4"/>
                  <w:tcBorders>
                    <w:top w:val="nil"/>
                    <w:bottom w:val="nil"/>
                  </w:tcBorders>
                  <w:vAlign w:val="bottom"/>
                </w:tcPr>
                <w:p w14:paraId="0F6AED5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Group unit root test: Summary </w:t>
                  </w:r>
                </w:p>
              </w:tc>
              <w:tc>
                <w:tcPr>
                  <w:tcW w:w="997" w:type="dxa"/>
                  <w:tcBorders>
                    <w:top w:val="nil"/>
                    <w:bottom w:val="nil"/>
                  </w:tcBorders>
                  <w:vAlign w:val="bottom"/>
                </w:tcPr>
                <w:p w14:paraId="141FD17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7A05FF8" w14:textId="77777777" w:rsidTr="00D00B3F">
              <w:trPr>
                <w:trHeight w:val="225"/>
              </w:trPr>
              <w:tc>
                <w:tcPr>
                  <w:tcW w:w="5535" w:type="dxa"/>
                  <w:gridSpan w:val="4"/>
                  <w:tcBorders>
                    <w:top w:val="nil"/>
                    <w:bottom w:val="nil"/>
                  </w:tcBorders>
                  <w:vAlign w:val="bottom"/>
                </w:tcPr>
                <w:p w14:paraId="117E7F2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Series: NBAC, ATMT, POST, DCT, ARDBS</w:t>
                  </w:r>
                </w:p>
              </w:tc>
              <w:tc>
                <w:tcPr>
                  <w:tcW w:w="997" w:type="dxa"/>
                  <w:tcBorders>
                    <w:top w:val="nil"/>
                  </w:tcBorders>
                  <w:vAlign w:val="bottom"/>
                </w:tcPr>
                <w:p w14:paraId="3CE0657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D5156E6" w14:textId="77777777" w:rsidTr="00D00B3F">
              <w:trPr>
                <w:trHeight w:val="225"/>
              </w:trPr>
              <w:tc>
                <w:tcPr>
                  <w:tcW w:w="5535" w:type="dxa"/>
                  <w:gridSpan w:val="4"/>
                  <w:tcBorders>
                    <w:top w:val="nil"/>
                  </w:tcBorders>
                  <w:vAlign w:val="bottom"/>
                </w:tcPr>
                <w:p w14:paraId="2E8E5E4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Date: 02/02/26   Time: 13:59</w:t>
                  </w:r>
                </w:p>
              </w:tc>
              <w:tc>
                <w:tcPr>
                  <w:tcW w:w="997" w:type="dxa"/>
                  <w:vAlign w:val="bottom"/>
                </w:tcPr>
                <w:p w14:paraId="26C276B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287D1B8" w14:textId="77777777" w:rsidTr="00D00B3F">
              <w:trPr>
                <w:trHeight w:val="225"/>
              </w:trPr>
              <w:tc>
                <w:tcPr>
                  <w:tcW w:w="4642" w:type="dxa"/>
                  <w:gridSpan w:val="3"/>
                  <w:vAlign w:val="bottom"/>
                </w:tcPr>
                <w:p w14:paraId="047F782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Sample: 2000 2024</w:t>
                  </w:r>
                </w:p>
              </w:tc>
              <w:tc>
                <w:tcPr>
                  <w:tcW w:w="893" w:type="dxa"/>
                  <w:vAlign w:val="bottom"/>
                </w:tcPr>
                <w:p w14:paraId="2931CF7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76F07A1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4989C42" w14:textId="77777777" w:rsidTr="00D00B3F">
              <w:trPr>
                <w:trHeight w:val="225"/>
              </w:trPr>
              <w:tc>
                <w:tcPr>
                  <w:tcW w:w="6532" w:type="dxa"/>
                  <w:gridSpan w:val="5"/>
                  <w:vAlign w:val="bottom"/>
                </w:tcPr>
                <w:p w14:paraId="2F8536E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Exogenous variables: Individual effects</w:t>
                  </w:r>
                </w:p>
              </w:tc>
            </w:tr>
            <w:tr w:rsidR="00DB6A40" w:rsidRPr="00DB6A40" w14:paraId="439290CA" w14:textId="77777777" w:rsidTr="00D00B3F">
              <w:trPr>
                <w:trHeight w:val="225"/>
              </w:trPr>
              <w:tc>
                <w:tcPr>
                  <w:tcW w:w="5535" w:type="dxa"/>
                  <w:gridSpan w:val="4"/>
                  <w:vAlign w:val="bottom"/>
                </w:tcPr>
                <w:p w14:paraId="0DAF540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Automatic selection of maximum lags</w:t>
                  </w:r>
                </w:p>
              </w:tc>
              <w:tc>
                <w:tcPr>
                  <w:tcW w:w="997" w:type="dxa"/>
                  <w:vAlign w:val="bottom"/>
                </w:tcPr>
                <w:p w14:paraId="1A36CE3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1E7F8F4" w14:textId="77777777" w:rsidTr="00D00B3F">
              <w:trPr>
                <w:trHeight w:val="225"/>
              </w:trPr>
              <w:tc>
                <w:tcPr>
                  <w:tcW w:w="6532" w:type="dxa"/>
                  <w:gridSpan w:val="5"/>
                  <w:vAlign w:val="bottom"/>
                </w:tcPr>
                <w:p w14:paraId="68C969A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Automatic lag length selection based on SIC: 1 to 4</w:t>
                  </w:r>
                </w:p>
              </w:tc>
            </w:tr>
            <w:tr w:rsidR="00DB6A40" w:rsidRPr="00DB6A40" w14:paraId="24ECC0B6" w14:textId="77777777" w:rsidTr="00D00B3F">
              <w:trPr>
                <w:trHeight w:val="225"/>
              </w:trPr>
              <w:tc>
                <w:tcPr>
                  <w:tcW w:w="6532" w:type="dxa"/>
                  <w:gridSpan w:val="5"/>
                  <w:vAlign w:val="bottom"/>
                </w:tcPr>
                <w:p w14:paraId="0B4659B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Newey-West automatic bandwidth selection and Bartlett kernel</w:t>
                  </w:r>
                </w:p>
              </w:tc>
            </w:tr>
            <w:tr w:rsidR="00DB6A40" w:rsidRPr="00DB6A40" w14:paraId="6673CA37" w14:textId="77777777" w:rsidTr="00D00B3F">
              <w:trPr>
                <w:trHeight w:hRule="exact" w:val="90"/>
              </w:trPr>
              <w:tc>
                <w:tcPr>
                  <w:tcW w:w="2647" w:type="dxa"/>
                  <w:vAlign w:val="bottom"/>
                </w:tcPr>
                <w:p w14:paraId="29A9C9E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71B471B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327AA96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26C0E7D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518B421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95B0FB8" w14:textId="77777777" w:rsidTr="00D00B3F">
              <w:trPr>
                <w:trHeight w:hRule="exact" w:val="135"/>
              </w:trPr>
              <w:tc>
                <w:tcPr>
                  <w:tcW w:w="2647" w:type="dxa"/>
                  <w:vAlign w:val="bottom"/>
                </w:tcPr>
                <w:p w14:paraId="032199F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3B1C677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4BBAAFD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53F92AB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18E7A2B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E76FDBF" w14:textId="77777777" w:rsidTr="00D00B3F">
              <w:trPr>
                <w:trHeight w:val="225"/>
              </w:trPr>
              <w:tc>
                <w:tcPr>
                  <w:tcW w:w="2647" w:type="dxa"/>
                  <w:vAlign w:val="bottom"/>
                </w:tcPr>
                <w:p w14:paraId="0576BE4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376E07E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1332E50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2289979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Cross-</w:t>
                  </w:r>
                </w:p>
              </w:tc>
              <w:tc>
                <w:tcPr>
                  <w:tcW w:w="997" w:type="dxa"/>
                  <w:vAlign w:val="bottom"/>
                </w:tcPr>
                <w:p w14:paraId="13891F0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5F30925" w14:textId="77777777" w:rsidTr="00D00B3F">
              <w:trPr>
                <w:trHeight w:val="225"/>
              </w:trPr>
              <w:tc>
                <w:tcPr>
                  <w:tcW w:w="2647" w:type="dxa"/>
                  <w:vAlign w:val="bottom"/>
                </w:tcPr>
                <w:p w14:paraId="05F14B7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Method</w:t>
                  </w:r>
                </w:p>
              </w:tc>
              <w:tc>
                <w:tcPr>
                  <w:tcW w:w="998" w:type="dxa"/>
                  <w:vAlign w:val="bottom"/>
                </w:tcPr>
                <w:p w14:paraId="14E8440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Statistic</w:t>
                  </w:r>
                </w:p>
              </w:tc>
              <w:tc>
                <w:tcPr>
                  <w:tcW w:w="997" w:type="dxa"/>
                  <w:vAlign w:val="bottom"/>
                </w:tcPr>
                <w:p w14:paraId="2D87BFA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Prob.**</w:t>
                  </w:r>
                </w:p>
              </w:tc>
              <w:tc>
                <w:tcPr>
                  <w:tcW w:w="893" w:type="dxa"/>
                  <w:vAlign w:val="bottom"/>
                </w:tcPr>
                <w:p w14:paraId="4BD0391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sections</w:t>
                  </w:r>
                </w:p>
              </w:tc>
              <w:tc>
                <w:tcPr>
                  <w:tcW w:w="997" w:type="dxa"/>
                  <w:vAlign w:val="bottom"/>
                </w:tcPr>
                <w:p w14:paraId="0E2B15E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roofErr w:type="spellStart"/>
                  <w:r w:rsidRPr="00DB6A40">
                    <w:rPr>
                      <w:rFonts w:ascii="Times New Roman" w:eastAsia="Calibri" w:hAnsi="Times New Roman" w:cs="Times New Roman"/>
                      <w:sz w:val="18"/>
                      <w:szCs w:val="18"/>
                      <w14:ligatures w14:val="none"/>
                    </w:rPr>
                    <w:t>Obs</w:t>
                  </w:r>
                  <w:proofErr w:type="spellEnd"/>
                </w:p>
              </w:tc>
            </w:tr>
            <w:tr w:rsidR="00DB6A40" w:rsidRPr="00DB6A40" w14:paraId="186FC98B" w14:textId="77777777" w:rsidTr="00D00B3F">
              <w:trPr>
                <w:trHeight w:val="225"/>
              </w:trPr>
              <w:tc>
                <w:tcPr>
                  <w:tcW w:w="6532" w:type="dxa"/>
                  <w:gridSpan w:val="5"/>
                  <w:vAlign w:val="bottom"/>
                </w:tcPr>
                <w:p w14:paraId="77B290F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Null: Unit root (assumes common unit root process) </w:t>
                  </w:r>
                </w:p>
              </w:tc>
            </w:tr>
            <w:tr w:rsidR="00DB6A40" w:rsidRPr="00DB6A40" w14:paraId="5F720D4D" w14:textId="77777777" w:rsidTr="00D00B3F">
              <w:trPr>
                <w:trHeight w:val="225"/>
              </w:trPr>
              <w:tc>
                <w:tcPr>
                  <w:tcW w:w="2647" w:type="dxa"/>
                  <w:vAlign w:val="bottom"/>
                </w:tcPr>
                <w:p w14:paraId="1393985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Levin, Lin &amp; Chu t*</w:t>
                  </w:r>
                </w:p>
              </w:tc>
              <w:tc>
                <w:tcPr>
                  <w:tcW w:w="998" w:type="dxa"/>
                  <w:vAlign w:val="bottom"/>
                </w:tcPr>
                <w:p w14:paraId="2048EA7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-2.02935</w:t>
                  </w:r>
                </w:p>
              </w:tc>
              <w:tc>
                <w:tcPr>
                  <w:tcW w:w="997" w:type="dxa"/>
                  <w:vAlign w:val="bottom"/>
                </w:tcPr>
                <w:p w14:paraId="2857F0C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0.0212</w:t>
                  </w:r>
                </w:p>
              </w:tc>
              <w:tc>
                <w:tcPr>
                  <w:tcW w:w="893" w:type="dxa"/>
                  <w:vAlign w:val="bottom"/>
                </w:tcPr>
                <w:p w14:paraId="50BC234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5CA2751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103</w:t>
                  </w:r>
                </w:p>
              </w:tc>
            </w:tr>
            <w:tr w:rsidR="00DB6A40" w:rsidRPr="00DB6A40" w14:paraId="5B6BD074" w14:textId="77777777" w:rsidTr="00D00B3F">
              <w:trPr>
                <w:trHeight w:val="225"/>
              </w:trPr>
              <w:tc>
                <w:tcPr>
                  <w:tcW w:w="2647" w:type="dxa"/>
                  <w:vAlign w:val="bottom"/>
                </w:tcPr>
                <w:p w14:paraId="3575340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6C5A412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5D81F64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5DD26A9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6C5030C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40ED7E0" w14:textId="77777777" w:rsidTr="00D00B3F">
              <w:trPr>
                <w:trHeight w:val="225"/>
              </w:trPr>
              <w:tc>
                <w:tcPr>
                  <w:tcW w:w="6532" w:type="dxa"/>
                  <w:gridSpan w:val="5"/>
                  <w:vAlign w:val="bottom"/>
                </w:tcPr>
                <w:p w14:paraId="5228D8B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Null: Unit root (assumes individual unit root process) </w:t>
                  </w:r>
                </w:p>
              </w:tc>
            </w:tr>
            <w:tr w:rsidR="00DB6A40" w:rsidRPr="00DB6A40" w14:paraId="372432ED" w14:textId="77777777" w:rsidTr="00D00B3F">
              <w:trPr>
                <w:trHeight w:val="225"/>
              </w:trPr>
              <w:tc>
                <w:tcPr>
                  <w:tcW w:w="2647" w:type="dxa"/>
                  <w:vAlign w:val="bottom"/>
                </w:tcPr>
                <w:p w14:paraId="487C555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roofErr w:type="spellStart"/>
                  <w:r w:rsidRPr="00DB6A40">
                    <w:rPr>
                      <w:rFonts w:ascii="Times New Roman" w:eastAsia="Calibri" w:hAnsi="Times New Roman" w:cs="Times New Roman"/>
                      <w:sz w:val="18"/>
                      <w:szCs w:val="18"/>
                      <w14:ligatures w14:val="none"/>
                    </w:rPr>
                    <w:t>Im</w:t>
                  </w:r>
                  <w:proofErr w:type="spellEnd"/>
                  <w:r w:rsidRPr="00DB6A40">
                    <w:rPr>
                      <w:rFonts w:ascii="Times New Roman" w:eastAsia="Calibri" w:hAnsi="Times New Roman" w:cs="Times New Roman"/>
                      <w:sz w:val="18"/>
                      <w:szCs w:val="18"/>
                      <w14:ligatures w14:val="none"/>
                    </w:rPr>
                    <w:t xml:space="preserve">, </w:t>
                  </w:r>
                  <w:proofErr w:type="spellStart"/>
                  <w:r w:rsidRPr="00DB6A40">
                    <w:rPr>
                      <w:rFonts w:ascii="Times New Roman" w:eastAsia="Calibri" w:hAnsi="Times New Roman" w:cs="Times New Roman"/>
                      <w:sz w:val="18"/>
                      <w:szCs w:val="18"/>
                      <w14:ligatures w14:val="none"/>
                    </w:rPr>
                    <w:t>Pesaran</w:t>
                  </w:r>
                  <w:proofErr w:type="spellEnd"/>
                  <w:r w:rsidRPr="00DB6A40">
                    <w:rPr>
                      <w:rFonts w:ascii="Times New Roman" w:eastAsia="Calibri" w:hAnsi="Times New Roman" w:cs="Times New Roman"/>
                      <w:sz w:val="18"/>
                      <w:szCs w:val="18"/>
                      <w14:ligatures w14:val="none"/>
                    </w:rPr>
                    <w:t xml:space="preserve"> and Shin W-stat </w:t>
                  </w:r>
                </w:p>
              </w:tc>
              <w:tc>
                <w:tcPr>
                  <w:tcW w:w="998" w:type="dxa"/>
                  <w:vAlign w:val="bottom"/>
                </w:tcPr>
                <w:p w14:paraId="64E391F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7.91811</w:t>
                  </w:r>
                </w:p>
              </w:tc>
              <w:tc>
                <w:tcPr>
                  <w:tcW w:w="997" w:type="dxa"/>
                  <w:vAlign w:val="bottom"/>
                </w:tcPr>
                <w:p w14:paraId="0963D85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1.0000</w:t>
                  </w:r>
                </w:p>
              </w:tc>
              <w:tc>
                <w:tcPr>
                  <w:tcW w:w="893" w:type="dxa"/>
                  <w:vAlign w:val="bottom"/>
                </w:tcPr>
                <w:p w14:paraId="566F8E7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10B97E0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103</w:t>
                  </w:r>
                </w:p>
              </w:tc>
            </w:tr>
            <w:tr w:rsidR="00DB6A40" w:rsidRPr="00DB6A40" w14:paraId="656DBFDF" w14:textId="77777777" w:rsidTr="00D00B3F">
              <w:trPr>
                <w:trHeight w:val="225"/>
              </w:trPr>
              <w:tc>
                <w:tcPr>
                  <w:tcW w:w="2647" w:type="dxa"/>
                  <w:vAlign w:val="bottom"/>
                </w:tcPr>
                <w:p w14:paraId="02C26EE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ADF - Fisher Chi-square</w:t>
                  </w:r>
                </w:p>
              </w:tc>
              <w:tc>
                <w:tcPr>
                  <w:tcW w:w="998" w:type="dxa"/>
                  <w:vAlign w:val="bottom"/>
                </w:tcPr>
                <w:p w14:paraId="7825BF0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16.8918</w:t>
                  </w:r>
                </w:p>
              </w:tc>
              <w:tc>
                <w:tcPr>
                  <w:tcW w:w="997" w:type="dxa"/>
                  <w:vAlign w:val="bottom"/>
                </w:tcPr>
                <w:p w14:paraId="5B1F50D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0.0268</w:t>
                  </w:r>
                </w:p>
              </w:tc>
              <w:tc>
                <w:tcPr>
                  <w:tcW w:w="893" w:type="dxa"/>
                  <w:vAlign w:val="bottom"/>
                </w:tcPr>
                <w:p w14:paraId="5B6CD69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797054A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103</w:t>
                  </w:r>
                </w:p>
              </w:tc>
            </w:tr>
            <w:tr w:rsidR="00DB6A40" w:rsidRPr="00DB6A40" w14:paraId="28CA87EA" w14:textId="77777777" w:rsidTr="00D00B3F">
              <w:trPr>
                <w:trHeight w:val="225"/>
              </w:trPr>
              <w:tc>
                <w:tcPr>
                  <w:tcW w:w="2647" w:type="dxa"/>
                  <w:vAlign w:val="bottom"/>
                </w:tcPr>
                <w:p w14:paraId="3E66C96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PP - Fisher Chi-square</w:t>
                  </w:r>
                </w:p>
              </w:tc>
              <w:tc>
                <w:tcPr>
                  <w:tcW w:w="998" w:type="dxa"/>
                  <w:vAlign w:val="bottom"/>
                </w:tcPr>
                <w:p w14:paraId="0849EDE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4.65445</w:t>
                  </w:r>
                </w:p>
              </w:tc>
              <w:tc>
                <w:tcPr>
                  <w:tcW w:w="997" w:type="dxa"/>
                  <w:vAlign w:val="bottom"/>
                </w:tcPr>
                <w:p w14:paraId="1739980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0.0030</w:t>
                  </w:r>
                </w:p>
              </w:tc>
              <w:tc>
                <w:tcPr>
                  <w:tcW w:w="893" w:type="dxa"/>
                  <w:vAlign w:val="bottom"/>
                </w:tcPr>
                <w:p w14:paraId="178B2DB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w:t>
                  </w:r>
                </w:p>
              </w:tc>
              <w:tc>
                <w:tcPr>
                  <w:tcW w:w="997" w:type="dxa"/>
                  <w:vAlign w:val="bottom"/>
                </w:tcPr>
                <w:p w14:paraId="5164F2F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115</w:t>
                  </w:r>
                </w:p>
              </w:tc>
            </w:tr>
            <w:tr w:rsidR="00DB6A40" w:rsidRPr="00DB6A40" w14:paraId="4D9AF212" w14:textId="77777777" w:rsidTr="00D00B3F">
              <w:trPr>
                <w:trHeight w:hRule="exact" w:val="90"/>
              </w:trPr>
              <w:tc>
                <w:tcPr>
                  <w:tcW w:w="2647" w:type="dxa"/>
                  <w:vAlign w:val="bottom"/>
                </w:tcPr>
                <w:p w14:paraId="7CCCD1B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5896D5D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2D9669F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7E6B8F1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7F5DD40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412D4EDA" w14:textId="77777777" w:rsidTr="00D00B3F">
              <w:trPr>
                <w:trHeight w:hRule="exact" w:val="135"/>
              </w:trPr>
              <w:tc>
                <w:tcPr>
                  <w:tcW w:w="2647" w:type="dxa"/>
                  <w:vAlign w:val="bottom"/>
                </w:tcPr>
                <w:p w14:paraId="4C456FE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8" w:type="dxa"/>
                  <w:vAlign w:val="bottom"/>
                </w:tcPr>
                <w:p w14:paraId="1EE4040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2C7B897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893" w:type="dxa"/>
                  <w:vAlign w:val="bottom"/>
                </w:tcPr>
                <w:p w14:paraId="1A54620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997" w:type="dxa"/>
                  <w:vAlign w:val="bottom"/>
                </w:tcPr>
                <w:p w14:paraId="3242A12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D66BAFB" w14:textId="77777777" w:rsidTr="00D00B3F">
              <w:trPr>
                <w:trHeight w:val="225"/>
              </w:trPr>
              <w:tc>
                <w:tcPr>
                  <w:tcW w:w="6532" w:type="dxa"/>
                  <w:gridSpan w:val="5"/>
                  <w:vAlign w:val="bottom"/>
                </w:tcPr>
                <w:p w14:paraId="0236DA7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Probabilities for Fisher tests are computed using an asymptotic Chi</w:t>
                  </w:r>
                </w:p>
              </w:tc>
            </w:tr>
            <w:tr w:rsidR="00DB6A40" w:rsidRPr="00DB6A40" w14:paraId="16672029" w14:textId="77777777" w:rsidTr="00D00B3F">
              <w:trPr>
                <w:trHeight w:val="225"/>
              </w:trPr>
              <w:tc>
                <w:tcPr>
                  <w:tcW w:w="6532" w:type="dxa"/>
                  <w:gridSpan w:val="5"/>
                  <w:vAlign w:val="bottom"/>
                </w:tcPr>
                <w:p w14:paraId="391FDCD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-square distribution. All other tests assume asymptotic normality.</w:t>
                  </w:r>
                </w:p>
              </w:tc>
            </w:tr>
          </w:tbl>
          <w:p w14:paraId="0D497D6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bl>
    <w:p w14:paraId="08B0E924"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Source: E-VIEW 9.0 (2026).</w:t>
      </w:r>
    </w:p>
    <w:p w14:paraId="05ECCB0B"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group unit root test in Table 5 shows that NBAC, ATMT, POST, DCT, and ARDBS are non-stationary at level under several tests, with probabilities equal to 1.0000, confirming the presence of unit roots. However, when lag adjustments are applied, the Levin, Lin &amp; Chu statistic becomes significant at 0.0212, rejecting the null of unit root. Similarly, the ADF-Fisher and PP-Fisher tests produce significant results at 0.0268 and 0.0030, respectively, indicating stationarity after differencing. These findings suggest that the series are integrated of order one, implying they are suitable for cointegration analysis to explore long-run relationships among the variables.</w:t>
      </w:r>
    </w:p>
    <w:p w14:paraId="693F5182" w14:textId="77777777" w:rsidR="007223FC" w:rsidRDefault="007223FC" w:rsidP="007223FC">
      <w:pPr>
        <w:tabs>
          <w:tab w:val="left" w:pos="1215"/>
        </w:tabs>
        <w:spacing w:line="240" w:lineRule="auto"/>
        <w:jc w:val="both"/>
        <w:rPr>
          <w:rFonts w:ascii="Times New Roman" w:eastAsia="Calibri" w:hAnsi="Times New Roman" w:cs="Times New Roman"/>
          <w:b/>
          <w:bCs/>
          <w14:ligatures w14:val="none"/>
        </w:rPr>
      </w:pPr>
    </w:p>
    <w:p w14:paraId="13A4EFB4" w14:textId="77777777" w:rsidR="007223FC" w:rsidRDefault="007223FC" w:rsidP="007223FC">
      <w:pPr>
        <w:tabs>
          <w:tab w:val="left" w:pos="1215"/>
        </w:tabs>
        <w:spacing w:line="240" w:lineRule="auto"/>
        <w:jc w:val="both"/>
        <w:rPr>
          <w:rFonts w:ascii="Times New Roman" w:eastAsia="Calibri" w:hAnsi="Times New Roman" w:cs="Times New Roman"/>
          <w:b/>
          <w:bCs/>
          <w14:ligatures w14:val="none"/>
        </w:rPr>
      </w:pPr>
    </w:p>
    <w:p w14:paraId="68362AFA" w14:textId="3D26C6C9"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Johansen Cointegration Test</w:t>
      </w:r>
    </w:p>
    <w:p w14:paraId="011BABB1" w14:textId="77777777" w:rsidR="00DB6A40" w:rsidRDefault="00DB6A40" w:rsidP="007223FC">
      <w:pPr>
        <w:tabs>
          <w:tab w:val="left" w:pos="1215"/>
        </w:tabs>
        <w:spacing w:after="0"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lastRenderedPageBreak/>
        <w:t>Johansen cointegration test determines whether ATMT, POST, DCT, ARDBS, and NBAC share a long-run equilibrium relationship. This is essential for identifying sustained linkages between digital payments and FI in Nigeria, beyond short-term fluctuations in banking operations. This was presented in the Table below</w:t>
      </w:r>
    </w:p>
    <w:p w14:paraId="3F4EC9DD" w14:textId="77777777" w:rsidR="00D24E0B" w:rsidRDefault="00D24E0B" w:rsidP="007223FC">
      <w:pPr>
        <w:tabs>
          <w:tab w:val="left" w:pos="1215"/>
        </w:tabs>
        <w:spacing w:after="0" w:line="240" w:lineRule="auto"/>
        <w:jc w:val="both"/>
        <w:rPr>
          <w:rFonts w:ascii="Times New Roman" w:eastAsia="Calibri" w:hAnsi="Times New Roman" w:cs="Times New Roman"/>
          <w14:ligatures w14:val="none"/>
        </w:rPr>
      </w:pPr>
    </w:p>
    <w:p w14:paraId="1D9643E0" w14:textId="77777777" w:rsidR="00DB6A40" w:rsidRPr="00DB6A40" w:rsidRDefault="00DB6A40" w:rsidP="007223FC">
      <w:pPr>
        <w:tabs>
          <w:tab w:val="left" w:pos="1185"/>
        </w:tabs>
        <w:spacing w:after="0" w:line="240" w:lineRule="auto"/>
        <w:jc w:val="both"/>
        <w:rPr>
          <w:rFonts w:ascii="Times New Roman" w:eastAsia="Calibri" w:hAnsi="Times New Roman" w:cs="Times New Roman"/>
          <w:b/>
          <w:bCs/>
          <w:sz w:val="18"/>
          <w:szCs w:val="18"/>
          <w14:ligatures w14:val="none"/>
        </w:rPr>
      </w:pPr>
      <w:r w:rsidRPr="00DB6A40">
        <w:rPr>
          <w:rFonts w:ascii="Times New Roman" w:eastAsia="Calibri" w:hAnsi="Times New Roman" w:cs="Times New Roman"/>
          <w:b/>
          <w:bCs/>
          <w:sz w:val="18"/>
          <w:szCs w:val="18"/>
          <w14:ligatures w14:val="none"/>
        </w:rPr>
        <w:t xml:space="preserve">Table 6: </w:t>
      </w:r>
      <w:r w:rsidRPr="00DB6A40">
        <w:rPr>
          <w:rFonts w:ascii="Times New Roman" w:eastAsia="Calibri" w:hAnsi="Times New Roman" w:cs="Times New Roman"/>
          <w:b/>
          <w:bCs/>
          <w:sz w:val="18"/>
          <w:szCs w:val="18"/>
          <w14:ligatures w14:val="none"/>
        </w:rPr>
        <w:tab/>
      </w:r>
      <w:r w:rsidRPr="00DB6A40">
        <w:rPr>
          <w:rFonts w:ascii="Times New Roman" w:eastAsia="Calibri" w:hAnsi="Times New Roman" w:cs="Times New Roman"/>
          <w:b/>
          <w:bCs/>
          <w:sz w:val="18"/>
          <w:szCs w:val="18"/>
          <w14:ligatures w14:val="none"/>
        </w:rPr>
        <w:tab/>
      </w:r>
      <w:r w:rsidRPr="00DB6A40">
        <w:rPr>
          <w:rFonts w:ascii="Times New Roman" w:eastAsia="Calibri" w:hAnsi="Times New Roman" w:cs="Times New Roman"/>
          <w:b/>
          <w:bCs/>
          <w:sz w:val="18"/>
          <w:szCs w:val="18"/>
          <w14:ligatures w14:val="none"/>
        </w:rPr>
        <w:tab/>
        <w:t>Johansen Cointegration Test</w:t>
      </w:r>
    </w:p>
    <w:tbl>
      <w:tblPr>
        <w:tblW w:w="0" w:type="auto"/>
        <w:tblInd w:w="30" w:type="dxa"/>
        <w:tblLayout w:type="fixed"/>
        <w:tblCellMar>
          <w:left w:w="0" w:type="dxa"/>
          <w:right w:w="0" w:type="dxa"/>
        </w:tblCellMar>
        <w:tblLook w:val="0000" w:firstRow="0" w:lastRow="0" w:firstColumn="0" w:lastColumn="0" w:noHBand="0" w:noVBand="0"/>
      </w:tblPr>
      <w:tblGrid>
        <w:gridCol w:w="1387"/>
        <w:gridCol w:w="1418"/>
        <w:gridCol w:w="1417"/>
        <w:gridCol w:w="1418"/>
        <w:gridCol w:w="1417"/>
      </w:tblGrid>
      <w:tr w:rsidR="00DB6A40" w:rsidRPr="00DB6A40" w14:paraId="5018A06E" w14:textId="77777777" w:rsidTr="00D00B3F">
        <w:trPr>
          <w:trHeight w:val="225"/>
        </w:trPr>
        <w:tc>
          <w:tcPr>
            <w:tcW w:w="4222" w:type="dxa"/>
            <w:gridSpan w:val="3"/>
            <w:tcBorders>
              <w:top w:val="nil"/>
              <w:left w:val="nil"/>
              <w:bottom w:val="nil"/>
              <w:right w:val="nil"/>
            </w:tcBorders>
            <w:vAlign w:val="bottom"/>
          </w:tcPr>
          <w:p w14:paraId="28B6A00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Date: 02/02/26   Time: 14:46</w:t>
            </w:r>
          </w:p>
        </w:tc>
        <w:tc>
          <w:tcPr>
            <w:tcW w:w="1418" w:type="dxa"/>
            <w:tcBorders>
              <w:top w:val="nil"/>
              <w:left w:val="nil"/>
              <w:bottom w:val="nil"/>
              <w:right w:val="nil"/>
            </w:tcBorders>
            <w:vAlign w:val="bottom"/>
          </w:tcPr>
          <w:p w14:paraId="0126D02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490B431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54A45ED1" w14:textId="77777777" w:rsidTr="00D00B3F">
        <w:trPr>
          <w:trHeight w:val="225"/>
        </w:trPr>
        <w:tc>
          <w:tcPr>
            <w:tcW w:w="4222" w:type="dxa"/>
            <w:gridSpan w:val="3"/>
            <w:tcBorders>
              <w:top w:val="nil"/>
              <w:left w:val="nil"/>
              <w:bottom w:val="nil"/>
              <w:right w:val="nil"/>
            </w:tcBorders>
            <w:vAlign w:val="bottom"/>
          </w:tcPr>
          <w:p w14:paraId="5BCF80F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Sample (adjusted): 2002 2024</w:t>
            </w:r>
          </w:p>
        </w:tc>
        <w:tc>
          <w:tcPr>
            <w:tcW w:w="1418" w:type="dxa"/>
            <w:tcBorders>
              <w:top w:val="nil"/>
              <w:left w:val="nil"/>
              <w:bottom w:val="nil"/>
              <w:right w:val="nil"/>
            </w:tcBorders>
            <w:vAlign w:val="bottom"/>
          </w:tcPr>
          <w:p w14:paraId="429357E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299F058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6560F047" w14:textId="77777777" w:rsidTr="00D00B3F">
        <w:trPr>
          <w:trHeight w:val="225"/>
        </w:trPr>
        <w:tc>
          <w:tcPr>
            <w:tcW w:w="5640" w:type="dxa"/>
            <w:gridSpan w:val="4"/>
            <w:tcBorders>
              <w:top w:val="nil"/>
              <w:left w:val="nil"/>
              <w:bottom w:val="nil"/>
              <w:right w:val="nil"/>
            </w:tcBorders>
            <w:vAlign w:val="bottom"/>
          </w:tcPr>
          <w:p w14:paraId="40D6500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Included observations: 23 after adjustments</w:t>
            </w:r>
          </w:p>
        </w:tc>
        <w:tc>
          <w:tcPr>
            <w:tcW w:w="1417" w:type="dxa"/>
            <w:tcBorders>
              <w:top w:val="nil"/>
              <w:left w:val="nil"/>
              <w:bottom w:val="nil"/>
              <w:right w:val="nil"/>
            </w:tcBorders>
            <w:vAlign w:val="bottom"/>
          </w:tcPr>
          <w:p w14:paraId="78C980D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7A666863" w14:textId="77777777" w:rsidTr="00D00B3F">
        <w:trPr>
          <w:trHeight w:val="225"/>
        </w:trPr>
        <w:tc>
          <w:tcPr>
            <w:tcW w:w="5640" w:type="dxa"/>
            <w:gridSpan w:val="4"/>
            <w:tcBorders>
              <w:top w:val="nil"/>
              <w:left w:val="nil"/>
              <w:bottom w:val="nil"/>
              <w:right w:val="nil"/>
            </w:tcBorders>
            <w:vAlign w:val="bottom"/>
          </w:tcPr>
          <w:p w14:paraId="52EEBFE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Trend assumption: Linear deterministic trend</w:t>
            </w:r>
          </w:p>
        </w:tc>
        <w:tc>
          <w:tcPr>
            <w:tcW w:w="1417" w:type="dxa"/>
            <w:tcBorders>
              <w:top w:val="nil"/>
              <w:left w:val="nil"/>
              <w:bottom w:val="nil"/>
              <w:right w:val="nil"/>
            </w:tcBorders>
            <w:vAlign w:val="bottom"/>
          </w:tcPr>
          <w:p w14:paraId="2C4551F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4F26C2C1" w14:textId="77777777" w:rsidTr="00D00B3F">
        <w:trPr>
          <w:trHeight w:val="225"/>
        </w:trPr>
        <w:tc>
          <w:tcPr>
            <w:tcW w:w="4222" w:type="dxa"/>
            <w:gridSpan w:val="3"/>
            <w:tcBorders>
              <w:top w:val="nil"/>
              <w:left w:val="nil"/>
              <w:bottom w:val="nil"/>
              <w:right w:val="nil"/>
            </w:tcBorders>
            <w:vAlign w:val="bottom"/>
          </w:tcPr>
          <w:p w14:paraId="45BFA13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Series: NBAC ATMT POST DCT ARDBS </w:t>
            </w:r>
          </w:p>
        </w:tc>
        <w:tc>
          <w:tcPr>
            <w:tcW w:w="1418" w:type="dxa"/>
            <w:tcBorders>
              <w:top w:val="nil"/>
              <w:left w:val="nil"/>
              <w:bottom w:val="nil"/>
              <w:right w:val="nil"/>
            </w:tcBorders>
            <w:vAlign w:val="bottom"/>
          </w:tcPr>
          <w:p w14:paraId="639983F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1369712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52B630C7" w14:textId="77777777" w:rsidTr="00D00B3F">
        <w:trPr>
          <w:trHeight w:val="225"/>
        </w:trPr>
        <w:tc>
          <w:tcPr>
            <w:tcW w:w="5640" w:type="dxa"/>
            <w:gridSpan w:val="4"/>
            <w:tcBorders>
              <w:top w:val="nil"/>
              <w:left w:val="nil"/>
              <w:bottom w:val="nil"/>
              <w:right w:val="nil"/>
            </w:tcBorders>
            <w:vAlign w:val="bottom"/>
          </w:tcPr>
          <w:p w14:paraId="1D0A3AE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Lags interval (in first differences): 1 to 1</w:t>
            </w:r>
          </w:p>
        </w:tc>
        <w:tc>
          <w:tcPr>
            <w:tcW w:w="1417" w:type="dxa"/>
            <w:tcBorders>
              <w:top w:val="nil"/>
              <w:left w:val="nil"/>
              <w:bottom w:val="nil"/>
              <w:right w:val="nil"/>
            </w:tcBorders>
            <w:vAlign w:val="bottom"/>
          </w:tcPr>
          <w:p w14:paraId="2C83ADF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3EF6B86C" w14:textId="77777777" w:rsidTr="00D00B3F">
        <w:trPr>
          <w:trHeight w:val="225"/>
        </w:trPr>
        <w:tc>
          <w:tcPr>
            <w:tcW w:w="1387" w:type="dxa"/>
            <w:tcBorders>
              <w:top w:val="nil"/>
              <w:left w:val="nil"/>
              <w:bottom w:val="nil"/>
              <w:right w:val="nil"/>
            </w:tcBorders>
            <w:vAlign w:val="bottom"/>
          </w:tcPr>
          <w:p w14:paraId="327A1DC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11D5532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3FE4D72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491F3CB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4E69769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3260E55C" w14:textId="77777777" w:rsidTr="00D00B3F">
        <w:trPr>
          <w:trHeight w:val="225"/>
        </w:trPr>
        <w:tc>
          <w:tcPr>
            <w:tcW w:w="5640" w:type="dxa"/>
            <w:gridSpan w:val="4"/>
            <w:tcBorders>
              <w:top w:val="nil"/>
              <w:left w:val="nil"/>
              <w:bottom w:val="nil"/>
              <w:right w:val="nil"/>
            </w:tcBorders>
            <w:vAlign w:val="bottom"/>
          </w:tcPr>
          <w:p w14:paraId="1A0DEAF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Unrestricted Cointegration Rank Test (Trace)</w:t>
            </w:r>
          </w:p>
        </w:tc>
        <w:tc>
          <w:tcPr>
            <w:tcW w:w="1417" w:type="dxa"/>
            <w:tcBorders>
              <w:top w:val="nil"/>
              <w:left w:val="nil"/>
              <w:bottom w:val="nil"/>
              <w:right w:val="nil"/>
            </w:tcBorders>
            <w:vAlign w:val="bottom"/>
          </w:tcPr>
          <w:p w14:paraId="22FBD68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32ED6B0" w14:textId="77777777" w:rsidTr="00D00B3F">
        <w:trPr>
          <w:trHeight w:hRule="exact" w:val="90"/>
        </w:trPr>
        <w:tc>
          <w:tcPr>
            <w:tcW w:w="1387" w:type="dxa"/>
            <w:tcBorders>
              <w:top w:val="nil"/>
              <w:left w:val="nil"/>
              <w:bottom w:val="double" w:sz="6" w:space="2" w:color="auto"/>
              <w:right w:val="nil"/>
            </w:tcBorders>
            <w:vAlign w:val="bottom"/>
          </w:tcPr>
          <w:p w14:paraId="4A4BD3B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5A06C0E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5023C73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079F877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0E1DAAD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5E7450D0" w14:textId="77777777" w:rsidTr="00D00B3F">
        <w:trPr>
          <w:trHeight w:hRule="exact" w:val="135"/>
        </w:trPr>
        <w:tc>
          <w:tcPr>
            <w:tcW w:w="1387" w:type="dxa"/>
            <w:tcBorders>
              <w:top w:val="nil"/>
              <w:left w:val="nil"/>
              <w:bottom w:val="nil"/>
              <w:right w:val="nil"/>
            </w:tcBorders>
            <w:vAlign w:val="bottom"/>
          </w:tcPr>
          <w:p w14:paraId="56EEF1B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27BB897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609481F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3C4B2A1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2A99844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0D2EFD6B" w14:textId="77777777" w:rsidTr="00D00B3F">
        <w:trPr>
          <w:trHeight w:val="225"/>
        </w:trPr>
        <w:tc>
          <w:tcPr>
            <w:tcW w:w="1387" w:type="dxa"/>
            <w:tcBorders>
              <w:top w:val="nil"/>
              <w:left w:val="nil"/>
              <w:bottom w:val="nil"/>
              <w:right w:val="nil"/>
            </w:tcBorders>
            <w:vAlign w:val="bottom"/>
          </w:tcPr>
          <w:p w14:paraId="2F4D1E2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Hypothesized</w:t>
            </w:r>
          </w:p>
        </w:tc>
        <w:tc>
          <w:tcPr>
            <w:tcW w:w="1418" w:type="dxa"/>
            <w:tcBorders>
              <w:top w:val="nil"/>
              <w:left w:val="nil"/>
              <w:bottom w:val="nil"/>
              <w:right w:val="nil"/>
            </w:tcBorders>
            <w:vAlign w:val="bottom"/>
          </w:tcPr>
          <w:p w14:paraId="3C8B32F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432ECAF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Trace</w:t>
            </w:r>
          </w:p>
        </w:tc>
        <w:tc>
          <w:tcPr>
            <w:tcW w:w="1418" w:type="dxa"/>
            <w:tcBorders>
              <w:top w:val="nil"/>
              <w:left w:val="nil"/>
              <w:bottom w:val="nil"/>
              <w:right w:val="nil"/>
            </w:tcBorders>
            <w:vAlign w:val="bottom"/>
          </w:tcPr>
          <w:p w14:paraId="752CC65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0.05</w:t>
            </w:r>
          </w:p>
        </w:tc>
        <w:tc>
          <w:tcPr>
            <w:tcW w:w="1417" w:type="dxa"/>
            <w:tcBorders>
              <w:top w:val="nil"/>
              <w:left w:val="nil"/>
              <w:bottom w:val="nil"/>
              <w:right w:val="nil"/>
            </w:tcBorders>
            <w:vAlign w:val="bottom"/>
          </w:tcPr>
          <w:p w14:paraId="51C1A6F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9C08A5C" w14:textId="77777777" w:rsidTr="00D00B3F">
        <w:trPr>
          <w:trHeight w:val="225"/>
        </w:trPr>
        <w:tc>
          <w:tcPr>
            <w:tcW w:w="1387" w:type="dxa"/>
            <w:tcBorders>
              <w:top w:val="nil"/>
              <w:left w:val="nil"/>
              <w:bottom w:val="nil"/>
              <w:right w:val="nil"/>
            </w:tcBorders>
            <w:vAlign w:val="bottom"/>
          </w:tcPr>
          <w:p w14:paraId="5EBCA16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No. of CE(s)</w:t>
            </w:r>
          </w:p>
        </w:tc>
        <w:tc>
          <w:tcPr>
            <w:tcW w:w="1418" w:type="dxa"/>
            <w:tcBorders>
              <w:top w:val="nil"/>
              <w:left w:val="nil"/>
              <w:bottom w:val="nil"/>
              <w:right w:val="nil"/>
            </w:tcBorders>
            <w:vAlign w:val="bottom"/>
          </w:tcPr>
          <w:p w14:paraId="0587BFD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Eigenvalue</w:t>
            </w:r>
          </w:p>
        </w:tc>
        <w:tc>
          <w:tcPr>
            <w:tcW w:w="1417" w:type="dxa"/>
            <w:tcBorders>
              <w:top w:val="nil"/>
              <w:left w:val="nil"/>
              <w:bottom w:val="nil"/>
              <w:right w:val="nil"/>
            </w:tcBorders>
            <w:vAlign w:val="bottom"/>
          </w:tcPr>
          <w:p w14:paraId="43D8288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Statistic</w:t>
            </w:r>
          </w:p>
        </w:tc>
        <w:tc>
          <w:tcPr>
            <w:tcW w:w="1418" w:type="dxa"/>
            <w:tcBorders>
              <w:top w:val="nil"/>
              <w:left w:val="nil"/>
              <w:bottom w:val="nil"/>
              <w:right w:val="nil"/>
            </w:tcBorders>
            <w:vAlign w:val="bottom"/>
          </w:tcPr>
          <w:p w14:paraId="5698639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Critical Value</w:t>
            </w:r>
          </w:p>
        </w:tc>
        <w:tc>
          <w:tcPr>
            <w:tcW w:w="1417" w:type="dxa"/>
            <w:tcBorders>
              <w:top w:val="nil"/>
              <w:left w:val="nil"/>
              <w:bottom w:val="nil"/>
              <w:right w:val="nil"/>
            </w:tcBorders>
            <w:vAlign w:val="bottom"/>
          </w:tcPr>
          <w:p w14:paraId="2F3184C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Prob.**</w:t>
            </w:r>
          </w:p>
        </w:tc>
      </w:tr>
      <w:tr w:rsidR="00DB6A40" w:rsidRPr="00DB6A40" w14:paraId="1AB1AE67" w14:textId="77777777" w:rsidTr="00D00B3F">
        <w:trPr>
          <w:trHeight w:hRule="exact" w:val="90"/>
        </w:trPr>
        <w:tc>
          <w:tcPr>
            <w:tcW w:w="1387" w:type="dxa"/>
            <w:tcBorders>
              <w:top w:val="nil"/>
              <w:left w:val="nil"/>
              <w:bottom w:val="double" w:sz="6" w:space="2" w:color="auto"/>
              <w:right w:val="nil"/>
            </w:tcBorders>
            <w:vAlign w:val="bottom"/>
          </w:tcPr>
          <w:p w14:paraId="0A88B5C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39B167C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65E7461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747993E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772D2A0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B62E145" w14:textId="77777777" w:rsidTr="00D00B3F">
        <w:trPr>
          <w:trHeight w:hRule="exact" w:val="135"/>
        </w:trPr>
        <w:tc>
          <w:tcPr>
            <w:tcW w:w="1387" w:type="dxa"/>
            <w:tcBorders>
              <w:top w:val="nil"/>
              <w:left w:val="nil"/>
              <w:bottom w:val="nil"/>
              <w:right w:val="nil"/>
            </w:tcBorders>
            <w:vAlign w:val="bottom"/>
          </w:tcPr>
          <w:p w14:paraId="2D7C5BE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16DE15B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60F2F54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63B9682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5ADEAB6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7571024" w14:textId="77777777" w:rsidTr="00D00B3F">
        <w:trPr>
          <w:trHeight w:val="225"/>
        </w:trPr>
        <w:tc>
          <w:tcPr>
            <w:tcW w:w="1387" w:type="dxa"/>
            <w:tcBorders>
              <w:top w:val="nil"/>
              <w:left w:val="nil"/>
              <w:bottom w:val="nil"/>
              <w:right w:val="nil"/>
            </w:tcBorders>
            <w:vAlign w:val="bottom"/>
          </w:tcPr>
          <w:p w14:paraId="0B68CCC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None *</w:t>
            </w:r>
          </w:p>
        </w:tc>
        <w:tc>
          <w:tcPr>
            <w:tcW w:w="1418" w:type="dxa"/>
            <w:tcBorders>
              <w:top w:val="nil"/>
              <w:left w:val="nil"/>
              <w:bottom w:val="nil"/>
              <w:right w:val="nil"/>
            </w:tcBorders>
            <w:vAlign w:val="bottom"/>
          </w:tcPr>
          <w:p w14:paraId="4E85281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0.995789</w:t>
            </w:r>
          </w:p>
        </w:tc>
        <w:tc>
          <w:tcPr>
            <w:tcW w:w="1417" w:type="dxa"/>
            <w:tcBorders>
              <w:top w:val="nil"/>
              <w:left w:val="nil"/>
              <w:bottom w:val="nil"/>
              <w:right w:val="nil"/>
            </w:tcBorders>
            <w:vAlign w:val="bottom"/>
          </w:tcPr>
          <w:p w14:paraId="6560CC5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283.0696</w:t>
            </w:r>
          </w:p>
        </w:tc>
        <w:tc>
          <w:tcPr>
            <w:tcW w:w="1418" w:type="dxa"/>
            <w:tcBorders>
              <w:top w:val="nil"/>
              <w:left w:val="nil"/>
              <w:bottom w:val="nil"/>
              <w:right w:val="nil"/>
            </w:tcBorders>
            <w:vAlign w:val="bottom"/>
          </w:tcPr>
          <w:p w14:paraId="4D8CA78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69.81889</w:t>
            </w:r>
          </w:p>
        </w:tc>
        <w:tc>
          <w:tcPr>
            <w:tcW w:w="1417" w:type="dxa"/>
            <w:tcBorders>
              <w:top w:val="nil"/>
              <w:left w:val="nil"/>
              <w:bottom w:val="nil"/>
              <w:right w:val="nil"/>
            </w:tcBorders>
            <w:vAlign w:val="bottom"/>
          </w:tcPr>
          <w:p w14:paraId="2803080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0.0001</w:t>
            </w:r>
          </w:p>
        </w:tc>
      </w:tr>
      <w:tr w:rsidR="00DB6A40" w:rsidRPr="00DB6A40" w14:paraId="23A3043C" w14:textId="77777777" w:rsidTr="00D00B3F">
        <w:trPr>
          <w:trHeight w:val="225"/>
        </w:trPr>
        <w:tc>
          <w:tcPr>
            <w:tcW w:w="1387" w:type="dxa"/>
            <w:tcBorders>
              <w:top w:val="nil"/>
              <w:left w:val="nil"/>
              <w:bottom w:val="nil"/>
              <w:right w:val="nil"/>
            </w:tcBorders>
            <w:vAlign w:val="bottom"/>
          </w:tcPr>
          <w:p w14:paraId="0212FFA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1 *</w:t>
            </w:r>
          </w:p>
        </w:tc>
        <w:tc>
          <w:tcPr>
            <w:tcW w:w="1418" w:type="dxa"/>
            <w:tcBorders>
              <w:top w:val="nil"/>
              <w:left w:val="nil"/>
              <w:bottom w:val="nil"/>
              <w:right w:val="nil"/>
            </w:tcBorders>
            <w:vAlign w:val="bottom"/>
          </w:tcPr>
          <w:p w14:paraId="2DE5B96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0.968085</w:t>
            </w:r>
          </w:p>
        </w:tc>
        <w:tc>
          <w:tcPr>
            <w:tcW w:w="1417" w:type="dxa"/>
            <w:tcBorders>
              <w:top w:val="nil"/>
              <w:left w:val="nil"/>
              <w:bottom w:val="nil"/>
              <w:right w:val="nil"/>
            </w:tcBorders>
            <w:vAlign w:val="bottom"/>
          </w:tcPr>
          <w:p w14:paraId="610760B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157.2574</w:t>
            </w:r>
          </w:p>
        </w:tc>
        <w:tc>
          <w:tcPr>
            <w:tcW w:w="1418" w:type="dxa"/>
            <w:tcBorders>
              <w:top w:val="nil"/>
              <w:left w:val="nil"/>
              <w:bottom w:val="nil"/>
              <w:right w:val="nil"/>
            </w:tcBorders>
            <w:vAlign w:val="bottom"/>
          </w:tcPr>
          <w:p w14:paraId="73154BD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47.85613</w:t>
            </w:r>
          </w:p>
        </w:tc>
        <w:tc>
          <w:tcPr>
            <w:tcW w:w="1417" w:type="dxa"/>
            <w:tcBorders>
              <w:top w:val="nil"/>
              <w:left w:val="nil"/>
              <w:bottom w:val="nil"/>
              <w:right w:val="nil"/>
            </w:tcBorders>
            <w:vAlign w:val="bottom"/>
          </w:tcPr>
          <w:p w14:paraId="130AE29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0.0000</w:t>
            </w:r>
          </w:p>
        </w:tc>
      </w:tr>
      <w:tr w:rsidR="00DB6A40" w:rsidRPr="00DB6A40" w14:paraId="33D003D6" w14:textId="77777777" w:rsidTr="00D00B3F">
        <w:trPr>
          <w:trHeight w:val="225"/>
        </w:trPr>
        <w:tc>
          <w:tcPr>
            <w:tcW w:w="1387" w:type="dxa"/>
            <w:tcBorders>
              <w:top w:val="nil"/>
              <w:left w:val="nil"/>
              <w:bottom w:val="nil"/>
              <w:right w:val="nil"/>
            </w:tcBorders>
            <w:vAlign w:val="bottom"/>
          </w:tcPr>
          <w:p w14:paraId="3FE63BA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2 *</w:t>
            </w:r>
          </w:p>
        </w:tc>
        <w:tc>
          <w:tcPr>
            <w:tcW w:w="1418" w:type="dxa"/>
            <w:tcBorders>
              <w:top w:val="nil"/>
              <w:left w:val="nil"/>
              <w:bottom w:val="nil"/>
              <w:right w:val="nil"/>
            </w:tcBorders>
            <w:vAlign w:val="bottom"/>
          </w:tcPr>
          <w:p w14:paraId="7E8C396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0.886507</w:t>
            </w:r>
          </w:p>
        </w:tc>
        <w:tc>
          <w:tcPr>
            <w:tcW w:w="1417" w:type="dxa"/>
            <w:tcBorders>
              <w:top w:val="nil"/>
              <w:left w:val="nil"/>
              <w:bottom w:val="nil"/>
              <w:right w:val="nil"/>
            </w:tcBorders>
            <w:vAlign w:val="bottom"/>
          </w:tcPr>
          <w:p w14:paraId="64842C2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78.02973</w:t>
            </w:r>
          </w:p>
        </w:tc>
        <w:tc>
          <w:tcPr>
            <w:tcW w:w="1418" w:type="dxa"/>
            <w:tcBorders>
              <w:top w:val="nil"/>
              <w:left w:val="nil"/>
              <w:bottom w:val="nil"/>
              <w:right w:val="nil"/>
            </w:tcBorders>
            <w:vAlign w:val="bottom"/>
          </w:tcPr>
          <w:p w14:paraId="3D9E529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29.79707</w:t>
            </w:r>
          </w:p>
        </w:tc>
        <w:tc>
          <w:tcPr>
            <w:tcW w:w="1417" w:type="dxa"/>
            <w:tcBorders>
              <w:top w:val="nil"/>
              <w:left w:val="nil"/>
              <w:bottom w:val="nil"/>
              <w:right w:val="nil"/>
            </w:tcBorders>
            <w:vAlign w:val="bottom"/>
          </w:tcPr>
          <w:p w14:paraId="7DD3722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0.0000</w:t>
            </w:r>
          </w:p>
        </w:tc>
      </w:tr>
      <w:tr w:rsidR="00DB6A40" w:rsidRPr="00DB6A40" w14:paraId="7C09053C" w14:textId="77777777" w:rsidTr="00D00B3F">
        <w:trPr>
          <w:trHeight w:val="225"/>
        </w:trPr>
        <w:tc>
          <w:tcPr>
            <w:tcW w:w="1387" w:type="dxa"/>
            <w:tcBorders>
              <w:top w:val="nil"/>
              <w:left w:val="nil"/>
              <w:bottom w:val="nil"/>
              <w:right w:val="nil"/>
            </w:tcBorders>
            <w:vAlign w:val="bottom"/>
          </w:tcPr>
          <w:p w14:paraId="4E2FFA5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3 *</w:t>
            </w:r>
          </w:p>
        </w:tc>
        <w:tc>
          <w:tcPr>
            <w:tcW w:w="1418" w:type="dxa"/>
            <w:tcBorders>
              <w:top w:val="nil"/>
              <w:left w:val="nil"/>
              <w:bottom w:val="nil"/>
              <w:right w:val="nil"/>
            </w:tcBorders>
            <w:vAlign w:val="bottom"/>
          </w:tcPr>
          <w:p w14:paraId="21A3AE0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0.686155</w:t>
            </w:r>
          </w:p>
        </w:tc>
        <w:tc>
          <w:tcPr>
            <w:tcW w:w="1417" w:type="dxa"/>
            <w:tcBorders>
              <w:top w:val="nil"/>
              <w:left w:val="nil"/>
              <w:bottom w:val="nil"/>
              <w:right w:val="nil"/>
            </w:tcBorders>
            <w:vAlign w:val="bottom"/>
          </w:tcPr>
          <w:p w14:paraId="1F5814E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27.98139</w:t>
            </w:r>
          </w:p>
        </w:tc>
        <w:tc>
          <w:tcPr>
            <w:tcW w:w="1418" w:type="dxa"/>
            <w:tcBorders>
              <w:top w:val="nil"/>
              <w:left w:val="nil"/>
              <w:bottom w:val="nil"/>
              <w:right w:val="nil"/>
            </w:tcBorders>
            <w:vAlign w:val="bottom"/>
          </w:tcPr>
          <w:p w14:paraId="11263A3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15.49471</w:t>
            </w:r>
          </w:p>
        </w:tc>
        <w:tc>
          <w:tcPr>
            <w:tcW w:w="1417" w:type="dxa"/>
            <w:tcBorders>
              <w:top w:val="nil"/>
              <w:left w:val="nil"/>
              <w:bottom w:val="nil"/>
              <w:right w:val="nil"/>
            </w:tcBorders>
            <w:vAlign w:val="bottom"/>
          </w:tcPr>
          <w:p w14:paraId="0293D2C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0.0004</w:t>
            </w:r>
          </w:p>
        </w:tc>
      </w:tr>
      <w:tr w:rsidR="00DB6A40" w:rsidRPr="00DB6A40" w14:paraId="68167A6E" w14:textId="77777777" w:rsidTr="00D00B3F">
        <w:trPr>
          <w:trHeight w:val="225"/>
        </w:trPr>
        <w:tc>
          <w:tcPr>
            <w:tcW w:w="1387" w:type="dxa"/>
            <w:tcBorders>
              <w:top w:val="nil"/>
              <w:left w:val="nil"/>
              <w:bottom w:val="nil"/>
              <w:right w:val="nil"/>
            </w:tcBorders>
            <w:vAlign w:val="bottom"/>
          </w:tcPr>
          <w:p w14:paraId="011AC7D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4</w:t>
            </w:r>
          </w:p>
        </w:tc>
        <w:tc>
          <w:tcPr>
            <w:tcW w:w="1418" w:type="dxa"/>
            <w:tcBorders>
              <w:top w:val="nil"/>
              <w:left w:val="nil"/>
              <w:bottom w:val="nil"/>
              <w:right w:val="nil"/>
            </w:tcBorders>
            <w:vAlign w:val="bottom"/>
          </w:tcPr>
          <w:p w14:paraId="7B70281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0.056092</w:t>
            </w:r>
          </w:p>
        </w:tc>
        <w:tc>
          <w:tcPr>
            <w:tcW w:w="1417" w:type="dxa"/>
            <w:tcBorders>
              <w:top w:val="nil"/>
              <w:left w:val="nil"/>
              <w:bottom w:val="nil"/>
              <w:right w:val="nil"/>
            </w:tcBorders>
            <w:vAlign w:val="bottom"/>
          </w:tcPr>
          <w:p w14:paraId="18BED6A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1.327706</w:t>
            </w:r>
          </w:p>
        </w:tc>
        <w:tc>
          <w:tcPr>
            <w:tcW w:w="1418" w:type="dxa"/>
            <w:tcBorders>
              <w:top w:val="nil"/>
              <w:left w:val="nil"/>
              <w:bottom w:val="nil"/>
              <w:right w:val="nil"/>
            </w:tcBorders>
            <w:vAlign w:val="bottom"/>
          </w:tcPr>
          <w:p w14:paraId="6C3E3B1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3.841466</w:t>
            </w:r>
          </w:p>
        </w:tc>
        <w:tc>
          <w:tcPr>
            <w:tcW w:w="1417" w:type="dxa"/>
            <w:tcBorders>
              <w:top w:val="nil"/>
              <w:left w:val="nil"/>
              <w:bottom w:val="nil"/>
              <w:right w:val="nil"/>
            </w:tcBorders>
            <w:vAlign w:val="bottom"/>
          </w:tcPr>
          <w:p w14:paraId="2A6E649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0.2492</w:t>
            </w:r>
          </w:p>
        </w:tc>
      </w:tr>
      <w:tr w:rsidR="00DB6A40" w:rsidRPr="00DB6A40" w14:paraId="3E2739A5" w14:textId="77777777" w:rsidTr="00D00B3F">
        <w:trPr>
          <w:trHeight w:hRule="exact" w:val="90"/>
        </w:trPr>
        <w:tc>
          <w:tcPr>
            <w:tcW w:w="1387" w:type="dxa"/>
            <w:tcBorders>
              <w:top w:val="nil"/>
              <w:left w:val="nil"/>
              <w:bottom w:val="double" w:sz="6" w:space="2" w:color="auto"/>
              <w:right w:val="nil"/>
            </w:tcBorders>
            <w:vAlign w:val="bottom"/>
          </w:tcPr>
          <w:p w14:paraId="4163ABE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27C74E0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240965D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1793E5C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1FE20D5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A6EAFDD" w14:textId="77777777" w:rsidTr="00D00B3F">
        <w:trPr>
          <w:trHeight w:hRule="exact" w:val="135"/>
        </w:trPr>
        <w:tc>
          <w:tcPr>
            <w:tcW w:w="1387" w:type="dxa"/>
            <w:tcBorders>
              <w:top w:val="nil"/>
              <w:left w:val="nil"/>
              <w:bottom w:val="nil"/>
              <w:right w:val="nil"/>
            </w:tcBorders>
            <w:vAlign w:val="bottom"/>
          </w:tcPr>
          <w:p w14:paraId="01DB43C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53C35AF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0886A33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303100E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62FD4C8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662AE23E" w14:textId="77777777" w:rsidTr="00D00B3F">
        <w:trPr>
          <w:trHeight w:val="225"/>
        </w:trPr>
        <w:tc>
          <w:tcPr>
            <w:tcW w:w="7057" w:type="dxa"/>
            <w:gridSpan w:val="5"/>
            <w:tcBorders>
              <w:top w:val="nil"/>
              <w:left w:val="nil"/>
              <w:bottom w:val="nil"/>
              <w:right w:val="nil"/>
            </w:tcBorders>
            <w:vAlign w:val="bottom"/>
          </w:tcPr>
          <w:p w14:paraId="735D87A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xml:space="preserve"> Trace test indicates 4 </w:t>
            </w:r>
            <w:proofErr w:type="spellStart"/>
            <w:r w:rsidRPr="00DB6A40">
              <w:rPr>
                <w:rFonts w:ascii="Times New Roman" w:eastAsia="Calibri" w:hAnsi="Times New Roman" w:cs="Times New Roman"/>
                <w:sz w:val="18"/>
                <w:szCs w:val="18"/>
                <w14:ligatures w14:val="none"/>
              </w:rPr>
              <w:t>cointegratingeqn</w:t>
            </w:r>
            <w:proofErr w:type="spellEnd"/>
            <w:r w:rsidRPr="00DB6A40">
              <w:rPr>
                <w:rFonts w:ascii="Times New Roman" w:eastAsia="Calibri" w:hAnsi="Times New Roman" w:cs="Times New Roman"/>
                <w:sz w:val="18"/>
                <w:szCs w:val="18"/>
                <w14:ligatures w14:val="none"/>
              </w:rPr>
              <w:t>(s) at the 0.05 level</w:t>
            </w:r>
          </w:p>
        </w:tc>
      </w:tr>
      <w:tr w:rsidR="00DB6A40" w:rsidRPr="00DB6A40" w14:paraId="3F5B89E6" w14:textId="77777777" w:rsidTr="00D00B3F">
        <w:trPr>
          <w:trHeight w:val="225"/>
        </w:trPr>
        <w:tc>
          <w:tcPr>
            <w:tcW w:w="7057" w:type="dxa"/>
            <w:gridSpan w:val="5"/>
            <w:tcBorders>
              <w:top w:val="nil"/>
              <w:left w:val="nil"/>
              <w:bottom w:val="nil"/>
              <w:right w:val="nil"/>
            </w:tcBorders>
            <w:vAlign w:val="bottom"/>
          </w:tcPr>
          <w:p w14:paraId="1636620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xml:space="preserve"> * </w:t>
            </w:r>
            <w:proofErr w:type="gramStart"/>
            <w:r w:rsidRPr="00DB6A40">
              <w:rPr>
                <w:rFonts w:ascii="Times New Roman" w:eastAsia="Calibri" w:hAnsi="Times New Roman" w:cs="Times New Roman"/>
                <w:sz w:val="18"/>
                <w:szCs w:val="18"/>
                <w14:ligatures w14:val="none"/>
              </w:rPr>
              <w:t>denotes</w:t>
            </w:r>
            <w:proofErr w:type="gramEnd"/>
            <w:r w:rsidRPr="00DB6A40">
              <w:rPr>
                <w:rFonts w:ascii="Times New Roman" w:eastAsia="Calibri" w:hAnsi="Times New Roman" w:cs="Times New Roman"/>
                <w:sz w:val="18"/>
                <w:szCs w:val="18"/>
                <w14:ligatures w14:val="none"/>
              </w:rPr>
              <w:t xml:space="preserve"> rejection of the hypothesis at the 0.05 level</w:t>
            </w:r>
          </w:p>
        </w:tc>
      </w:tr>
      <w:tr w:rsidR="00DB6A40" w:rsidRPr="00DB6A40" w14:paraId="1AE51745" w14:textId="77777777" w:rsidTr="00D00B3F">
        <w:trPr>
          <w:trHeight w:val="225"/>
        </w:trPr>
        <w:tc>
          <w:tcPr>
            <w:tcW w:w="5640" w:type="dxa"/>
            <w:gridSpan w:val="4"/>
            <w:tcBorders>
              <w:top w:val="nil"/>
              <w:left w:val="nil"/>
              <w:bottom w:val="nil"/>
              <w:right w:val="nil"/>
            </w:tcBorders>
            <w:vAlign w:val="bottom"/>
          </w:tcPr>
          <w:p w14:paraId="35C610D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**MacKinnon-Haug-Michelis (1999) p-values</w:t>
            </w:r>
          </w:p>
        </w:tc>
        <w:tc>
          <w:tcPr>
            <w:tcW w:w="1417" w:type="dxa"/>
            <w:tcBorders>
              <w:top w:val="nil"/>
              <w:left w:val="nil"/>
              <w:bottom w:val="nil"/>
              <w:right w:val="nil"/>
            </w:tcBorders>
            <w:vAlign w:val="bottom"/>
          </w:tcPr>
          <w:p w14:paraId="0A813BF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5BC6A4E7" w14:textId="77777777" w:rsidTr="00D00B3F">
        <w:trPr>
          <w:trHeight w:val="225"/>
        </w:trPr>
        <w:tc>
          <w:tcPr>
            <w:tcW w:w="1387" w:type="dxa"/>
            <w:tcBorders>
              <w:top w:val="nil"/>
              <w:left w:val="nil"/>
              <w:bottom w:val="nil"/>
              <w:right w:val="nil"/>
            </w:tcBorders>
            <w:vAlign w:val="bottom"/>
          </w:tcPr>
          <w:p w14:paraId="61BA649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46B0F8D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0E47856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68D6BCA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1111326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C449ECF" w14:textId="77777777" w:rsidTr="00D00B3F">
        <w:trPr>
          <w:trHeight w:val="225"/>
        </w:trPr>
        <w:tc>
          <w:tcPr>
            <w:tcW w:w="7057" w:type="dxa"/>
            <w:gridSpan w:val="5"/>
            <w:tcBorders>
              <w:top w:val="nil"/>
              <w:left w:val="nil"/>
              <w:bottom w:val="nil"/>
              <w:right w:val="nil"/>
            </w:tcBorders>
            <w:vAlign w:val="bottom"/>
          </w:tcPr>
          <w:p w14:paraId="6EB120C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Unrestricted Cointegration Rank Test (Maximum Eigenvalue)</w:t>
            </w:r>
          </w:p>
        </w:tc>
      </w:tr>
      <w:tr w:rsidR="00DB6A40" w:rsidRPr="00DB6A40" w14:paraId="30B2149F" w14:textId="77777777" w:rsidTr="00D00B3F">
        <w:trPr>
          <w:trHeight w:hRule="exact" w:val="90"/>
        </w:trPr>
        <w:tc>
          <w:tcPr>
            <w:tcW w:w="1387" w:type="dxa"/>
            <w:tcBorders>
              <w:top w:val="nil"/>
              <w:left w:val="nil"/>
              <w:bottom w:val="double" w:sz="6" w:space="2" w:color="auto"/>
              <w:right w:val="nil"/>
            </w:tcBorders>
            <w:vAlign w:val="bottom"/>
          </w:tcPr>
          <w:p w14:paraId="0F8D3D8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387EEF3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78ACC6A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174E108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28DC90F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D1C2812" w14:textId="77777777" w:rsidTr="00D00B3F">
        <w:trPr>
          <w:trHeight w:hRule="exact" w:val="135"/>
        </w:trPr>
        <w:tc>
          <w:tcPr>
            <w:tcW w:w="1387" w:type="dxa"/>
            <w:tcBorders>
              <w:top w:val="nil"/>
              <w:left w:val="nil"/>
              <w:bottom w:val="nil"/>
              <w:right w:val="nil"/>
            </w:tcBorders>
            <w:vAlign w:val="bottom"/>
          </w:tcPr>
          <w:p w14:paraId="3ACDD6C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05B560EB"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1A53DBE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1E291B0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29FE555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644E5506" w14:textId="77777777" w:rsidTr="00D00B3F">
        <w:trPr>
          <w:trHeight w:val="225"/>
        </w:trPr>
        <w:tc>
          <w:tcPr>
            <w:tcW w:w="1387" w:type="dxa"/>
            <w:tcBorders>
              <w:top w:val="nil"/>
              <w:left w:val="nil"/>
              <w:bottom w:val="nil"/>
              <w:right w:val="nil"/>
            </w:tcBorders>
            <w:vAlign w:val="bottom"/>
          </w:tcPr>
          <w:p w14:paraId="5C3A08F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Hypothesized</w:t>
            </w:r>
          </w:p>
        </w:tc>
        <w:tc>
          <w:tcPr>
            <w:tcW w:w="1418" w:type="dxa"/>
            <w:tcBorders>
              <w:top w:val="nil"/>
              <w:left w:val="nil"/>
              <w:bottom w:val="nil"/>
              <w:right w:val="nil"/>
            </w:tcBorders>
            <w:vAlign w:val="bottom"/>
          </w:tcPr>
          <w:p w14:paraId="3977B29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400A4AA7"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Max-Eigen</w:t>
            </w:r>
          </w:p>
        </w:tc>
        <w:tc>
          <w:tcPr>
            <w:tcW w:w="1418" w:type="dxa"/>
            <w:tcBorders>
              <w:top w:val="nil"/>
              <w:left w:val="nil"/>
              <w:bottom w:val="nil"/>
              <w:right w:val="nil"/>
            </w:tcBorders>
            <w:vAlign w:val="bottom"/>
          </w:tcPr>
          <w:p w14:paraId="65DECAA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0.05</w:t>
            </w:r>
          </w:p>
        </w:tc>
        <w:tc>
          <w:tcPr>
            <w:tcW w:w="1417" w:type="dxa"/>
            <w:tcBorders>
              <w:top w:val="nil"/>
              <w:left w:val="nil"/>
              <w:bottom w:val="nil"/>
              <w:right w:val="nil"/>
            </w:tcBorders>
            <w:vAlign w:val="bottom"/>
          </w:tcPr>
          <w:p w14:paraId="2F1218C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1E470A0A" w14:textId="77777777" w:rsidTr="00D00B3F">
        <w:trPr>
          <w:trHeight w:val="225"/>
        </w:trPr>
        <w:tc>
          <w:tcPr>
            <w:tcW w:w="1387" w:type="dxa"/>
            <w:tcBorders>
              <w:top w:val="nil"/>
              <w:left w:val="nil"/>
              <w:bottom w:val="nil"/>
              <w:right w:val="nil"/>
            </w:tcBorders>
            <w:vAlign w:val="bottom"/>
          </w:tcPr>
          <w:p w14:paraId="2C20BE3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No. of CE(s)</w:t>
            </w:r>
          </w:p>
        </w:tc>
        <w:tc>
          <w:tcPr>
            <w:tcW w:w="1418" w:type="dxa"/>
            <w:tcBorders>
              <w:top w:val="nil"/>
              <w:left w:val="nil"/>
              <w:bottom w:val="nil"/>
              <w:right w:val="nil"/>
            </w:tcBorders>
            <w:vAlign w:val="bottom"/>
          </w:tcPr>
          <w:p w14:paraId="7F2F1C0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Eigenvalue</w:t>
            </w:r>
          </w:p>
        </w:tc>
        <w:tc>
          <w:tcPr>
            <w:tcW w:w="1417" w:type="dxa"/>
            <w:tcBorders>
              <w:top w:val="nil"/>
              <w:left w:val="nil"/>
              <w:bottom w:val="nil"/>
              <w:right w:val="nil"/>
            </w:tcBorders>
            <w:vAlign w:val="bottom"/>
          </w:tcPr>
          <w:p w14:paraId="4D53FC2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Statistic</w:t>
            </w:r>
          </w:p>
        </w:tc>
        <w:tc>
          <w:tcPr>
            <w:tcW w:w="1418" w:type="dxa"/>
            <w:tcBorders>
              <w:top w:val="nil"/>
              <w:left w:val="nil"/>
              <w:bottom w:val="nil"/>
              <w:right w:val="nil"/>
            </w:tcBorders>
            <w:vAlign w:val="bottom"/>
          </w:tcPr>
          <w:p w14:paraId="29FD77D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Critical Value</w:t>
            </w:r>
          </w:p>
        </w:tc>
        <w:tc>
          <w:tcPr>
            <w:tcW w:w="1417" w:type="dxa"/>
            <w:tcBorders>
              <w:top w:val="nil"/>
              <w:left w:val="nil"/>
              <w:bottom w:val="nil"/>
              <w:right w:val="nil"/>
            </w:tcBorders>
            <w:vAlign w:val="bottom"/>
          </w:tcPr>
          <w:p w14:paraId="7BEBC08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Prob.**</w:t>
            </w:r>
          </w:p>
        </w:tc>
      </w:tr>
      <w:tr w:rsidR="00DB6A40" w:rsidRPr="00DB6A40" w14:paraId="0FDDB284" w14:textId="77777777" w:rsidTr="00D00B3F">
        <w:trPr>
          <w:trHeight w:hRule="exact" w:val="90"/>
        </w:trPr>
        <w:tc>
          <w:tcPr>
            <w:tcW w:w="1387" w:type="dxa"/>
            <w:tcBorders>
              <w:top w:val="nil"/>
              <w:left w:val="nil"/>
              <w:bottom w:val="double" w:sz="6" w:space="2" w:color="auto"/>
              <w:right w:val="nil"/>
            </w:tcBorders>
            <w:vAlign w:val="bottom"/>
          </w:tcPr>
          <w:p w14:paraId="2658DE40"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3A53151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205C0285"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04D97DE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26BF3194"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2BE0352E" w14:textId="77777777" w:rsidTr="00D00B3F">
        <w:trPr>
          <w:trHeight w:hRule="exact" w:val="135"/>
        </w:trPr>
        <w:tc>
          <w:tcPr>
            <w:tcW w:w="1387" w:type="dxa"/>
            <w:tcBorders>
              <w:top w:val="nil"/>
              <w:left w:val="nil"/>
              <w:bottom w:val="nil"/>
              <w:right w:val="nil"/>
            </w:tcBorders>
            <w:vAlign w:val="bottom"/>
          </w:tcPr>
          <w:p w14:paraId="47162AD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3875B55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16B9EE5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nil"/>
              <w:right w:val="nil"/>
            </w:tcBorders>
            <w:vAlign w:val="bottom"/>
          </w:tcPr>
          <w:p w14:paraId="75FA755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nil"/>
              <w:right w:val="nil"/>
            </w:tcBorders>
            <w:vAlign w:val="bottom"/>
          </w:tcPr>
          <w:p w14:paraId="2474B21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r w:rsidR="00DB6A40" w:rsidRPr="00DB6A40" w14:paraId="7C00253E" w14:textId="77777777" w:rsidTr="00D00B3F">
        <w:trPr>
          <w:trHeight w:val="225"/>
        </w:trPr>
        <w:tc>
          <w:tcPr>
            <w:tcW w:w="1387" w:type="dxa"/>
            <w:tcBorders>
              <w:top w:val="nil"/>
              <w:left w:val="nil"/>
              <w:bottom w:val="nil"/>
              <w:right w:val="nil"/>
            </w:tcBorders>
            <w:vAlign w:val="bottom"/>
          </w:tcPr>
          <w:p w14:paraId="5364FAF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None *</w:t>
            </w:r>
          </w:p>
        </w:tc>
        <w:tc>
          <w:tcPr>
            <w:tcW w:w="1418" w:type="dxa"/>
            <w:tcBorders>
              <w:top w:val="nil"/>
              <w:left w:val="nil"/>
              <w:bottom w:val="nil"/>
              <w:right w:val="nil"/>
            </w:tcBorders>
            <w:vAlign w:val="bottom"/>
          </w:tcPr>
          <w:p w14:paraId="63FD3DC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0.995789</w:t>
            </w:r>
          </w:p>
        </w:tc>
        <w:tc>
          <w:tcPr>
            <w:tcW w:w="1417" w:type="dxa"/>
            <w:tcBorders>
              <w:top w:val="nil"/>
              <w:left w:val="nil"/>
              <w:bottom w:val="nil"/>
              <w:right w:val="nil"/>
            </w:tcBorders>
            <w:vAlign w:val="bottom"/>
          </w:tcPr>
          <w:p w14:paraId="0538104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125.8122</w:t>
            </w:r>
          </w:p>
        </w:tc>
        <w:tc>
          <w:tcPr>
            <w:tcW w:w="1418" w:type="dxa"/>
            <w:tcBorders>
              <w:top w:val="nil"/>
              <w:left w:val="nil"/>
              <w:bottom w:val="nil"/>
              <w:right w:val="nil"/>
            </w:tcBorders>
            <w:vAlign w:val="bottom"/>
          </w:tcPr>
          <w:p w14:paraId="52D444F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33.87687</w:t>
            </w:r>
          </w:p>
        </w:tc>
        <w:tc>
          <w:tcPr>
            <w:tcW w:w="1417" w:type="dxa"/>
            <w:tcBorders>
              <w:top w:val="nil"/>
              <w:left w:val="nil"/>
              <w:bottom w:val="nil"/>
              <w:right w:val="nil"/>
            </w:tcBorders>
            <w:vAlign w:val="bottom"/>
          </w:tcPr>
          <w:p w14:paraId="34675A4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0.0000</w:t>
            </w:r>
          </w:p>
        </w:tc>
      </w:tr>
      <w:tr w:rsidR="00DB6A40" w:rsidRPr="00DB6A40" w14:paraId="7950C960" w14:textId="77777777" w:rsidTr="00D00B3F">
        <w:trPr>
          <w:trHeight w:val="225"/>
        </w:trPr>
        <w:tc>
          <w:tcPr>
            <w:tcW w:w="1387" w:type="dxa"/>
            <w:tcBorders>
              <w:top w:val="nil"/>
              <w:left w:val="nil"/>
              <w:bottom w:val="nil"/>
              <w:right w:val="nil"/>
            </w:tcBorders>
            <w:vAlign w:val="bottom"/>
          </w:tcPr>
          <w:p w14:paraId="2CA1C39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1 *</w:t>
            </w:r>
          </w:p>
        </w:tc>
        <w:tc>
          <w:tcPr>
            <w:tcW w:w="1418" w:type="dxa"/>
            <w:tcBorders>
              <w:top w:val="nil"/>
              <w:left w:val="nil"/>
              <w:bottom w:val="nil"/>
              <w:right w:val="nil"/>
            </w:tcBorders>
            <w:vAlign w:val="bottom"/>
          </w:tcPr>
          <w:p w14:paraId="54D972A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0.968085</w:t>
            </w:r>
          </w:p>
        </w:tc>
        <w:tc>
          <w:tcPr>
            <w:tcW w:w="1417" w:type="dxa"/>
            <w:tcBorders>
              <w:top w:val="nil"/>
              <w:left w:val="nil"/>
              <w:bottom w:val="nil"/>
              <w:right w:val="nil"/>
            </w:tcBorders>
            <w:vAlign w:val="bottom"/>
          </w:tcPr>
          <w:p w14:paraId="3510B26F"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79.22768</w:t>
            </w:r>
          </w:p>
        </w:tc>
        <w:tc>
          <w:tcPr>
            <w:tcW w:w="1418" w:type="dxa"/>
            <w:tcBorders>
              <w:top w:val="nil"/>
              <w:left w:val="nil"/>
              <w:bottom w:val="nil"/>
              <w:right w:val="nil"/>
            </w:tcBorders>
            <w:vAlign w:val="bottom"/>
          </w:tcPr>
          <w:p w14:paraId="5C9A1B86"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27.58434</w:t>
            </w:r>
          </w:p>
        </w:tc>
        <w:tc>
          <w:tcPr>
            <w:tcW w:w="1417" w:type="dxa"/>
            <w:tcBorders>
              <w:top w:val="nil"/>
              <w:left w:val="nil"/>
              <w:bottom w:val="nil"/>
              <w:right w:val="nil"/>
            </w:tcBorders>
            <w:vAlign w:val="bottom"/>
          </w:tcPr>
          <w:p w14:paraId="1F1EBD4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0.0000</w:t>
            </w:r>
          </w:p>
        </w:tc>
      </w:tr>
      <w:tr w:rsidR="00DB6A40" w:rsidRPr="00DB6A40" w14:paraId="1F846C49" w14:textId="77777777" w:rsidTr="00D00B3F">
        <w:trPr>
          <w:trHeight w:val="225"/>
        </w:trPr>
        <w:tc>
          <w:tcPr>
            <w:tcW w:w="1387" w:type="dxa"/>
            <w:tcBorders>
              <w:top w:val="nil"/>
              <w:left w:val="nil"/>
              <w:bottom w:val="nil"/>
              <w:right w:val="nil"/>
            </w:tcBorders>
            <w:vAlign w:val="bottom"/>
          </w:tcPr>
          <w:p w14:paraId="2B4A4DA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2 *</w:t>
            </w:r>
          </w:p>
        </w:tc>
        <w:tc>
          <w:tcPr>
            <w:tcW w:w="1418" w:type="dxa"/>
            <w:tcBorders>
              <w:top w:val="nil"/>
              <w:left w:val="nil"/>
              <w:bottom w:val="nil"/>
              <w:right w:val="nil"/>
            </w:tcBorders>
            <w:vAlign w:val="bottom"/>
          </w:tcPr>
          <w:p w14:paraId="5C90E6B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0.886507</w:t>
            </w:r>
          </w:p>
        </w:tc>
        <w:tc>
          <w:tcPr>
            <w:tcW w:w="1417" w:type="dxa"/>
            <w:tcBorders>
              <w:top w:val="nil"/>
              <w:left w:val="nil"/>
              <w:bottom w:val="nil"/>
              <w:right w:val="nil"/>
            </w:tcBorders>
            <w:vAlign w:val="bottom"/>
          </w:tcPr>
          <w:p w14:paraId="3DF0C4EA"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50.04834</w:t>
            </w:r>
          </w:p>
        </w:tc>
        <w:tc>
          <w:tcPr>
            <w:tcW w:w="1418" w:type="dxa"/>
            <w:tcBorders>
              <w:top w:val="nil"/>
              <w:left w:val="nil"/>
              <w:bottom w:val="nil"/>
              <w:right w:val="nil"/>
            </w:tcBorders>
            <w:vAlign w:val="bottom"/>
          </w:tcPr>
          <w:p w14:paraId="58BF2032"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21.13162</w:t>
            </w:r>
          </w:p>
        </w:tc>
        <w:tc>
          <w:tcPr>
            <w:tcW w:w="1417" w:type="dxa"/>
            <w:tcBorders>
              <w:top w:val="nil"/>
              <w:left w:val="nil"/>
              <w:bottom w:val="nil"/>
              <w:right w:val="nil"/>
            </w:tcBorders>
            <w:vAlign w:val="bottom"/>
          </w:tcPr>
          <w:p w14:paraId="3742FA2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0.0000</w:t>
            </w:r>
          </w:p>
        </w:tc>
      </w:tr>
      <w:tr w:rsidR="00DB6A40" w:rsidRPr="00DB6A40" w14:paraId="373D6B42" w14:textId="77777777" w:rsidTr="00D00B3F">
        <w:trPr>
          <w:trHeight w:val="225"/>
        </w:trPr>
        <w:tc>
          <w:tcPr>
            <w:tcW w:w="1387" w:type="dxa"/>
            <w:tcBorders>
              <w:top w:val="nil"/>
              <w:left w:val="nil"/>
              <w:bottom w:val="nil"/>
              <w:right w:val="nil"/>
            </w:tcBorders>
            <w:vAlign w:val="bottom"/>
          </w:tcPr>
          <w:p w14:paraId="363B017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3 *</w:t>
            </w:r>
          </w:p>
        </w:tc>
        <w:tc>
          <w:tcPr>
            <w:tcW w:w="1418" w:type="dxa"/>
            <w:tcBorders>
              <w:top w:val="nil"/>
              <w:left w:val="nil"/>
              <w:bottom w:val="nil"/>
              <w:right w:val="nil"/>
            </w:tcBorders>
            <w:vAlign w:val="bottom"/>
          </w:tcPr>
          <w:p w14:paraId="10B4F18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0.686155</w:t>
            </w:r>
          </w:p>
        </w:tc>
        <w:tc>
          <w:tcPr>
            <w:tcW w:w="1417" w:type="dxa"/>
            <w:tcBorders>
              <w:top w:val="nil"/>
              <w:left w:val="nil"/>
              <w:bottom w:val="nil"/>
              <w:right w:val="nil"/>
            </w:tcBorders>
            <w:vAlign w:val="bottom"/>
          </w:tcPr>
          <w:p w14:paraId="08A1943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26.65368</w:t>
            </w:r>
          </w:p>
        </w:tc>
        <w:tc>
          <w:tcPr>
            <w:tcW w:w="1418" w:type="dxa"/>
            <w:tcBorders>
              <w:top w:val="nil"/>
              <w:left w:val="nil"/>
              <w:bottom w:val="nil"/>
              <w:right w:val="nil"/>
            </w:tcBorders>
            <w:vAlign w:val="bottom"/>
          </w:tcPr>
          <w:p w14:paraId="39BFDE3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14.26460</w:t>
            </w:r>
          </w:p>
        </w:tc>
        <w:tc>
          <w:tcPr>
            <w:tcW w:w="1417" w:type="dxa"/>
            <w:tcBorders>
              <w:top w:val="nil"/>
              <w:left w:val="nil"/>
              <w:bottom w:val="nil"/>
              <w:right w:val="nil"/>
            </w:tcBorders>
            <w:vAlign w:val="bottom"/>
          </w:tcPr>
          <w:p w14:paraId="10BCD4D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0.0004</w:t>
            </w:r>
          </w:p>
        </w:tc>
      </w:tr>
      <w:tr w:rsidR="00DB6A40" w:rsidRPr="00DB6A40" w14:paraId="06CBF888" w14:textId="77777777" w:rsidTr="00D00B3F">
        <w:trPr>
          <w:trHeight w:val="225"/>
        </w:trPr>
        <w:tc>
          <w:tcPr>
            <w:tcW w:w="1387" w:type="dxa"/>
            <w:tcBorders>
              <w:top w:val="nil"/>
              <w:left w:val="nil"/>
              <w:bottom w:val="nil"/>
              <w:right w:val="nil"/>
            </w:tcBorders>
            <w:vAlign w:val="bottom"/>
          </w:tcPr>
          <w:p w14:paraId="4A489D3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At most 4</w:t>
            </w:r>
          </w:p>
        </w:tc>
        <w:tc>
          <w:tcPr>
            <w:tcW w:w="1418" w:type="dxa"/>
            <w:tcBorders>
              <w:top w:val="nil"/>
              <w:left w:val="nil"/>
              <w:bottom w:val="nil"/>
              <w:right w:val="nil"/>
            </w:tcBorders>
            <w:vAlign w:val="bottom"/>
          </w:tcPr>
          <w:p w14:paraId="5EC32EF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0.056092</w:t>
            </w:r>
          </w:p>
        </w:tc>
        <w:tc>
          <w:tcPr>
            <w:tcW w:w="1417" w:type="dxa"/>
            <w:tcBorders>
              <w:top w:val="nil"/>
              <w:left w:val="nil"/>
              <w:bottom w:val="nil"/>
              <w:right w:val="nil"/>
            </w:tcBorders>
            <w:vAlign w:val="bottom"/>
          </w:tcPr>
          <w:p w14:paraId="00ED0B6E"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1.327706</w:t>
            </w:r>
          </w:p>
        </w:tc>
        <w:tc>
          <w:tcPr>
            <w:tcW w:w="1418" w:type="dxa"/>
            <w:tcBorders>
              <w:top w:val="nil"/>
              <w:left w:val="nil"/>
              <w:bottom w:val="nil"/>
              <w:right w:val="nil"/>
            </w:tcBorders>
            <w:vAlign w:val="bottom"/>
          </w:tcPr>
          <w:p w14:paraId="20DC24B3"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3.841466</w:t>
            </w:r>
          </w:p>
        </w:tc>
        <w:tc>
          <w:tcPr>
            <w:tcW w:w="1417" w:type="dxa"/>
            <w:tcBorders>
              <w:top w:val="nil"/>
              <w:left w:val="nil"/>
              <w:bottom w:val="nil"/>
              <w:right w:val="nil"/>
            </w:tcBorders>
            <w:vAlign w:val="bottom"/>
          </w:tcPr>
          <w:p w14:paraId="3878A12C"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r w:rsidRPr="00DB6A40">
              <w:rPr>
                <w:rFonts w:ascii="Times New Roman" w:eastAsia="Calibri" w:hAnsi="Times New Roman" w:cs="Times New Roman"/>
                <w:sz w:val="18"/>
                <w:szCs w:val="18"/>
                <w14:ligatures w14:val="none"/>
              </w:rPr>
              <w:t> 0.2492</w:t>
            </w:r>
          </w:p>
        </w:tc>
      </w:tr>
      <w:tr w:rsidR="00DB6A40" w:rsidRPr="00DB6A40" w14:paraId="269A204F" w14:textId="77777777" w:rsidTr="00D00B3F">
        <w:trPr>
          <w:trHeight w:hRule="exact" w:val="90"/>
        </w:trPr>
        <w:tc>
          <w:tcPr>
            <w:tcW w:w="1387" w:type="dxa"/>
            <w:tcBorders>
              <w:top w:val="nil"/>
              <w:left w:val="nil"/>
              <w:bottom w:val="double" w:sz="6" w:space="2" w:color="auto"/>
              <w:right w:val="nil"/>
            </w:tcBorders>
            <w:vAlign w:val="bottom"/>
          </w:tcPr>
          <w:p w14:paraId="5A0A259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5251D851"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28E484ED"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8" w:type="dxa"/>
            <w:tcBorders>
              <w:top w:val="nil"/>
              <w:left w:val="nil"/>
              <w:bottom w:val="double" w:sz="6" w:space="2" w:color="auto"/>
              <w:right w:val="nil"/>
            </w:tcBorders>
            <w:vAlign w:val="bottom"/>
          </w:tcPr>
          <w:p w14:paraId="61CC4858"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c>
          <w:tcPr>
            <w:tcW w:w="1417" w:type="dxa"/>
            <w:tcBorders>
              <w:top w:val="nil"/>
              <w:left w:val="nil"/>
              <w:bottom w:val="double" w:sz="6" w:space="2" w:color="auto"/>
              <w:right w:val="nil"/>
            </w:tcBorders>
            <w:vAlign w:val="bottom"/>
          </w:tcPr>
          <w:p w14:paraId="75004669" w14:textId="77777777" w:rsidR="00DB6A40" w:rsidRPr="00DB6A40" w:rsidRDefault="00DB6A40" w:rsidP="007223FC">
            <w:pPr>
              <w:spacing w:after="0" w:line="240" w:lineRule="auto"/>
              <w:rPr>
                <w:rFonts w:ascii="Times New Roman" w:eastAsia="Calibri" w:hAnsi="Times New Roman" w:cs="Times New Roman"/>
                <w:sz w:val="18"/>
                <w:szCs w:val="18"/>
                <w14:ligatures w14:val="none"/>
              </w:rPr>
            </w:pPr>
          </w:p>
        </w:tc>
      </w:tr>
    </w:tbl>
    <w:p w14:paraId="01D63B6A"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Source: E-VIEW 9.0 (2026).</w:t>
      </w:r>
    </w:p>
    <w:p w14:paraId="12B1F447"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The Johansen cointegration test in Table 6 indicates strong long-run relationships among NBAC, ATMT, POST, DCT, and ARDBS. The trace statistics reject the null of no cointegration up to four equations, with significant probabilities below 0.05, except at most four. Similarly, the maximum eigenvalue statistics confirm four cointegrating vectors. These results imply that despite short-run fluctuations, the variables move together over time, establishing equilibrium relationships. This suggests that DP proxies have long-term linkages with FI in Nigeria’s CBs. Consequently, policy interventions in ATMT, POST, DCT, and ARDBS will sustain long-run improvements in NBAC, enhancing inclusion.</w:t>
      </w:r>
    </w:p>
    <w:p w14:paraId="4FF5060F"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OLS Regression Analysis</w:t>
      </w:r>
    </w:p>
    <w:p w14:paraId="05F65C1F" w14:textId="77777777" w:rsidR="00DB6A40" w:rsidRDefault="00DB6A40" w:rsidP="007223FC">
      <w:pPr>
        <w:tabs>
          <w:tab w:val="left" w:pos="1215"/>
        </w:tabs>
        <w:spacing w:after="0"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OLS regression quantifies the impact of ATMT, POST, DCT, and ARDBS on NBAC. This test provides the main empirical evidence on how digital payments influence FI in Nigerian CBs, forming the basis for validating hypotheses and drawing policy recommendations. The OLS regression result was presented in Table 7 below.</w:t>
      </w:r>
    </w:p>
    <w:p w14:paraId="5F570AB4" w14:textId="77777777" w:rsidR="007223FC" w:rsidRDefault="007223FC" w:rsidP="007223FC">
      <w:pPr>
        <w:tabs>
          <w:tab w:val="left" w:pos="1215"/>
        </w:tabs>
        <w:spacing w:after="0" w:line="240" w:lineRule="auto"/>
        <w:jc w:val="both"/>
        <w:rPr>
          <w:rFonts w:ascii="Times New Roman" w:eastAsia="Calibri" w:hAnsi="Times New Roman" w:cs="Times New Roman"/>
          <w14:ligatures w14:val="none"/>
        </w:rPr>
      </w:pPr>
    </w:p>
    <w:p w14:paraId="7A7A91D8" w14:textId="77777777" w:rsidR="007223FC" w:rsidRDefault="007223FC" w:rsidP="007223FC">
      <w:pPr>
        <w:tabs>
          <w:tab w:val="left" w:pos="1215"/>
        </w:tabs>
        <w:spacing w:after="0" w:line="240" w:lineRule="auto"/>
        <w:jc w:val="both"/>
        <w:rPr>
          <w:rFonts w:ascii="Times New Roman" w:eastAsia="Calibri" w:hAnsi="Times New Roman" w:cs="Times New Roman"/>
          <w14:ligatures w14:val="none"/>
        </w:rPr>
      </w:pPr>
    </w:p>
    <w:p w14:paraId="0E5CE5F6" w14:textId="77777777" w:rsidR="007223FC" w:rsidRDefault="007223FC" w:rsidP="007223FC">
      <w:pPr>
        <w:tabs>
          <w:tab w:val="left" w:pos="1215"/>
        </w:tabs>
        <w:spacing w:after="0" w:line="240" w:lineRule="auto"/>
        <w:jc w:val="both"/>
        <w:rPr>
          <w:rFonts w:ascii="Times New Roman" w:eastAsia="Calibri" w:hAnsi="Times New Roman" w:cs="Times New Roman"/>
          <w14:ligatures w14:val="none"/>
        </w:rPr>
      </w:pPr>
    </w:p>
    <w:p w14:paraId="0CD780EE" w14:textId="77777777" w:rsidR="007223FC" w:rsidRPr="00DB6A40" w:rsidRDefault="007223FC" w:rsidP="007223FC">
      <w:pPr>
        <w:tabs>
          <w:tab w:val="left" w:pos="1215"/>
        </w:tabs>
        <w:spacing w:after="0" w:line="240" w:lineRule="auto"/>
        <w:jc w:val="both"/>
        <w:rPr>
          <w:rFonts w:ascii="Times New Roman" w:eastAsia="Calibri" w:hAnsi="Times New Roman" w:cs="Times New Roman"/>
          <w14:ligatures w14:val="none"/>
        </w:rPr>
      </w:pPr>
    </w:p>
    <w:p w14:paraId="5738CF9A" w14:textId="77777777" w:rsidR="00DB6A40" w:rsidRPr="00DB6A40" w:rsidRDefault="00DB6A40" w:rsidP="007223FC">
      <w:pPr>
        <w:spacing w:after="0" w:line="240" w:lineRule="auto"/>
        <w:jc w:val="both"/>
        <w:rPr>
          <w:rFonts w:ascii="Times New Roman" w:eastAsia="Calibri" w:hAnsi="Times New Roman" w:cs="Times New Roman"/>
          <w:b/>
          <w:sz w:val="18"/>
          <w:szCs w:val="18"/>
          <w14:ligatures w14:val="none"/>
        </w:rPr>
      </w:pPr>
      <w:r w:rsidRPr="00DB6A40">
        <w:rPr>
          <w:rFonts w:ascii="Times New Roman" w:eastAsia="Calibri" w:hAnsi="Times New Roman" w:cs="Times New Roman"/>
          <w:b/>
          <w:bCs/>
          <w:color w:val="000000"/>
          <w:sz w:val="18"/>
          <w:szCs w:val="18"/>
          <w14:ligatures w14:val="none"/>
        </w:rPr>
        <w:t xml:space="preserve">Table 7: </w:t>
      </w:r>
      <w:r w:rsidRPr="00DB6A40">
        <w:rPr>
          <w:rFonts w:ascii="Times New Roman" w:eastAsia="Calibri" w:hAnsi="Times New Roman" w:cs="Times New Roman"/>
          <w:b/>
          <w:sz w:val="18"/>
          <w:szCs w:val="18"/>
          <w14:ligatures w14:val="none"/>
        </w:rPr>
        <w:t>Regression Result</w:t>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DB6A40" w:rsidRPr="00DB6A40" w14:paraId="1C0EF481" w14:textId="77777777" w:rsidTr="00D00B3F">
        <w:trPr>
          <w:trHeight w:val="225"/>
        </w:trPr>
        <w:tc>
          <w:tcPr>
            <w:tcW w:w="4327" w:type="dxa"/>
            <w:gridSpan w:val="3"/>
            <w:tcBorders>
              <w:top w:val="nil"/>
              <w:left w:val="nil"/>
              <w:bottom w:val="nil"/>
              <w:right w:val="nil"/>
            </w:tcBorders>
            <w:vAlign w:val="bottom"/>
          </w:tcPr>
          <w:p w14:paraId="3981259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lastRenderedPageBreak/>
              <w:t>Dependent Variable: NBAC</w:t>
            </w:r>
          </w:p>
        </w:tc>
        <w:tc>
          <w:tcPr>
            <w:tcW w:w="1208" w:type="dxa"/>
            <w:tcBorders>
              <w:top w:val="nil"/>
              <w:left w:val="nil"/>
              <w:bottom w:val="nil"/>
              <w:right w:val="nil"/>
            </w:tcBorders>
            <w:vAlign w:val="bottom"/>
          </w:tcPr>
          <w:p w14:paraId="2A8B886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45FD28B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44111FF9" w14:textId="77777777" w:rsidTr="00D00B3F">
        <w:trPr>
          <w:trHeight w:val="225"/>
        </w:trPr>
        <w:tc>
          <w:tcPr>
            <w:tcW w:w="4327" w:type="dxa"/>
            <w:gridSpan w:val="3"/>
            <w:tcBorders>
              <w:top w:val="nil"/>
              <w:left w:val="nil"/>
              <w:bottom w:val="nil"/>
              <w:right w:val="nil"/>
            </w:tcBorders>
            <w:vAlign w:val="bottom"/>
          </w:tcPr>
          <w:p w14:paraId="04C6C96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Method: Least Squares</w:t>
            </w:r>
          </w:p>
        </w:tc>
        <w:tc>
          <w:tcPr>
            <w:tcW w:w="1208" w:type="dxa"/>
            <w:tcBorders>
              <w:top w:val="nil"/>
              <w:left w:val="nil"/>
              <w:bottom w:val="nil"/>
              <w:right w:val="nil"/>
            </w:tcBorders>
            <w:vAlign w:val="bottom"/>
          </w:tcPr>
          <w:p w14:paraId="5929A51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2DAF95C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6BAD3FB4" w14:textId="77777777" w:rsidTr="00D00B3F">
        <w:trPr>
          <w:trHeight w:val="225"/>
        </w:trPr>
        <w:tc>
          <w:tcPr>
            <w:tcW w:w="4327" w:type="dxa"/>
            <w:gridSpan w:val="3"/>
            <w:tcBorders>
              <w:top w:val="nil"/>
              <w:left w:val="nil"/>
              <w:bottom w:val="nil"/>
              <w:right w:val="nil"/>
            </w:tcBorders>
            <w:vAlign w:val="bottom"/>
          </w:tcPr>
          <w:p w14:paraId="60046DE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Date: 02/02/26   Time: 13:15</w:t>
            </w:r>
          </w:p>
        </w:tc>
        <w:tc>
          <w:tcPr>
            <w:tcW w:w="1208" w:type="dxa"/>
            <w:tcBorders>
              <w:top w:val="nil"/>
              <w:left w:val="nil"/>
              <w:bottom w:val="nil"/>
              <w:right w:val="nil"/>
            </w:tcBorders>
            <w:vAlign w:val="bottom"/>
          </w:tcPr>
          <w:p w14:paraId="24F8CD4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77E6C8A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30CE49CA" w14:textId="77777777" w:rsidTr="00D00B3F">
        <w:trPr>
          <w:trHeight w:val="225"/>
        </w:trPr>
        <w:tc>
          <w:tcPr>
            <w:tcW w:w="4327" w:type="dxa"/>
            <w:gridSpan w:val="3"/>
            <w:tcBorders>
              <w:top w:val="nil"/>
              <w:left w:val="nil"/>
              <w:bottom w:val="nil"/>
              <w:right w:val="nil"/>
            </w:tcBorders>
            <w:vAlign w:val="bottom"/>
          </w:tcPr>
          <w:p w14:paraId="7071D8B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Sample: 2000 2024</w:t>
            </w:r>
          </w:p>
        </w:tc>
        <w:tc>
          <w:tcPr>
            <w:tcW w:w="1208" w:type="dxa"/>
            <w:tcBorders>
              <w:top w:val="nil"/>
              <w:left w:val="nil"/>
              <w:bottom w:val="nil"/>
              <w:right w:val="nil"/>
            </w:tcBorders>
            <w:vAlign w:val="bottom"/>
          </w:tcPr>
          <w:p w14:paraId="5A930BB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563455D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5EA61102" w14:textId="77777777" w:rsidTr="00D00B3F">
        <w:trPr>
          <w:trHeight w:val="225"/>
        </w:trPr>
        <w:tc>
          <w:tcPr>
            <w:tcW w:w="4327" w:type="dxa"/>
            <w:gridSpan w:val="3"/>
            <w:tcBorders>
              <w:top w:val="nil"/>
              <w:left w:val="nil"/>
              <w:bottom w:val="nil"/>
              <w:right w:val="nil"/>
            </w:tcBorders>
            <w:vAlign w:val="bottom"/>
          </w:tcPr>
          <w:p w14:paraId="74F189B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Included observations: 25</w:t>
            </w:r>
          </w:p>
        </w:tc>
        <w:tc>
          <w:tcPr>
            <w:tcW w:w="1208" w:type="dxa"/>
            <w:tcBorders>
              <w:top w:val="nil"/>
              <w:left w:val="nil"/>
              <w:bottom w:val="nil"/>
              <w:right w:val="nil"/>
            </w:tcBorders>
            <w:vAlign w:val="bottom"/>
          </w:tcPr>
          <w:p w14:paraId="713C5E2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33F5255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10F73C51" w14:textId="77777777" w:rsidTr="00D00B3F">
        <w:trPr>
          <w:trHeight w:hRule="exact" w:val="90"/>
        </w:trPr>
        <w:tc>
          <w:tcPr>
            <w:tcW w:w="2017" w:type="dxa"/>
            <w:tcBorders>
              <w:top w:val="nil"/>
              <w:left w:val="nil"/>
              <w:bottom w:val="double" w:sz="6" w:space="2" w:color="auto"/>
              <w:right w:val="nil"/>
            </w:tcBorders>
            <w:vAlign w:val="bottom"/>
          </w:tcPr>
          <w:p w14:paraId="23E75F7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103" w:type="dxa"/>
            <w:tcBorders>
              <w:top w:val="nil"/>
              <w:left w:val="nil"/>
              <w:bottom w:val="double" w:sz="6" w:space="2" w:color="auto"/>
              <w:right w:val="nil"/>
            </w:tcBorders>
            <w:vAlign w:val="bottom"/>
          </w:tcPr>
          <w:p w14:paraId="7E46BEC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double" w:sz="6" w:space="2" w:color="auto"/>
              <w:right w:val="nil"/>
            </w:tcBorders>
            <w:vAlign w:val="bottom"/>
          </w:tcPr>
          <w:p w14:paraId="7B11FB5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2" w:color="auto"/>
              <w:right w:val="nil"/>
            </w:tcBorders>
            <w:vAlign w:val="bottom"/>
          </w:tcPr>
          <w:p w14:paraId="7BE3F5A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double" w:sz="6" w:space="2" w:color="auto"/>
              <w:right w:val="nil"/>
            </w:tcBorders>
            <w:vAlign w:val="bottom"/>
          </w:tcPr>
          <w:p w14:paraId="7354A2D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09772C26" w14:textId="77777777" w:rsidTr="00D00B3F">
        <w:trPr>
          <w:trHeight w:hRule="exact" w:val="135"/>
        </w:trPr>
        <w:tc>
          <w:tcPr>
            <w:tcW w:w="2017" w:type="dxa"/>
            <w:tcBorders>
              <w:top w:val="nil"/>
              <w:left w:val="nil"/>
              <w:bottom w:val="nil"/>
              <w:right w:val="nil"/>
            </w:tcBorders>
            <w:vAlign w:val="bottom"/>
          </w:tcPr>
          <w:p w14:paraId="77D1A3C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103" w:type="dxa"/>
            <w:tcBorders>
              <w:top w:val="nil"/>
              <w:left w:val="nil"/>
              <w:bottom w:val="nil"/>
              <w:right w:val="nil"/>
            </w:tcBorders>
            <w:vAlign w:val="bottom"/>
          </w:tcPr>
          <w:p w14:paraId="4085C80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nil"/>
              <w:right w:val="nil"/>
            </w:tcBorders>
            <w:vAlign w:val="bottom"/>
          </w:tcPr>
          <w:p w14:paraId="6757F61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3488644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6F7C2A7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36687C7F" w14:textId="77777777" w:rsidTr="00D00B3F">
        <w:trPr>
          <w:trHeight w:val="225"/>
        </w:trPr>
        <w:tc>
          <w:tcPr>
            <w:tcW w:w="2017" w:type="dxa"/>
            <w:tcBorders>
              <w:top w:val="nil"/>
              <w:left w:val="nil"/>
              <w:bottom w:val="nil"/>
              <w:right w:val="nil"/>
            </w:tcBorders>
            <w:vAlign w:val="bottom"/>
          </w:tcPr>
          <w:p w14:paraId="3BE5516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Variable</w:t>
            </w:r>
          </w:p>
        </w:tc>
        <w:tc>
          <w:tcPr>
            <w:tcW w:w="1103" w:type="dxa"/>
            <w:tcBorders>
              <w:top w:val="nil"/>
              <w:left w:val="nil"/>
              <w:bottom w:val="nil"/>
              <w:right w:val="nil"/>
            </w:tcBorders>
            <w:vAlign w:val="bottom"/>
          </w:tcPr>
          <w:p w14:paraId="6770743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Coefficient</w:t>
            </w:r>
          </w:p>
        </w:tc>
        <w:tc>
          <w:tcPr>
            <w:tcW w:w="1207" w:type="dxa"/>
            <w:tcBorders>
              <w:top w:val="nil"/>
              <w:left w:val="nil"/>
              <w:bottom w:val="nil"/>
              <w:right w:val="nil"/>
            </w:tcBorders>
            <w:vAlign w:val="bottom"/>
          </w:tcPr>
          <w:p w14:paraId="6028659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Std. Error</w:t>
            </w:r>
          </w:p>
        </w:tc>
        <w:tc>
          <w:tcPr>
            <w:tcW w:w="1208" w:type="dxa"/>
            <w:tcBorders>
              <w:top w:val="nil"/>
              <w:left w:val="nil"/>
              <w:bottom w:val="nil"/>
              <w:right w:val="nil"/>
            </w:tcBorders>
            <w:vAlign w:val="bottom"/>
          </w:tcPr>
          <w:p w14:paraId="08CDF70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t-Statistic</w:t>
            </w:r>
          </w:p>
        </w:tc>
        <w:tc>
          <w:tcPr>
            <w:tcW w:w="997" w:type="dxa"/>
            <w:tcBorders>
              <w:top w:val="nil"/>
              <w:left w:val="nil"/>
              <w:bottom w:val="nil"/>
              <w:right w:val="nil"/>
            </w:tcBorders>
            <w:vAlign w:val="bottom"/>
          </w:tcPr>
          <w:p w14:paraId="608A584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Prob.  </w:t>
            </w:r>
          </w:p>
        </w:tc>
      </w:tr>
      <w:tr w:rsidR="00DB6A40" w:rsidRPr="00DB6A40" w14:paraId="44596EFF" w14:textId="77777777" w:rsidTr="00D00B3F">
        <w:trPr>
          <w:trHeight w:hRule="exact" w:val="90"/>
        </w:trPr>
        <w:tc>
          <w:tcPr>
            <w:tcW w:w="2017" w:type="dxa"/>
            <w:tcBorders>
              <w:top w:val="nil"/>
              <w:left w:val="nil"/>
              <w:bottom w:val="double" w:sz="6" w:space="2" w:color="auto"/>
              <w:right w:val="nil"/>
            </w:tcBorders>
            <w:vAlign w:val="bottom"/>
          </w:tcPr>
          <w:p w14:paraId="617CE78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103" w:type="dxa"/>
            <w:tcBorders>
              <w:top w:val="nil"/>
              <w:left w:val="nil"/>
              <w:bottom w:val="double" w:sz="6" w:space="2" w:color="auto"/>
              <w:right w:val="nil"/>
            </w:tcBorders>
            <w:vAlign w:val="bottom"/>
          </w:tcPr>
          <w:p w14:paraId="0FCB2C9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double" w:sz="6" w:space="2" w:color="auto"/>
              <w:right w:val="nil"/>
            </w:tcBorders>
            <w:vAlign w:val="bottom"/>
          </w:tcPr>
          <w:p w14:paraId="007B659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2" w:color="auto"/>
              <w:right w:val="nil"/>
            </w:tcBorders>
            <w:vAlign w:val="bottom"/>
          </w:tcPr>
          <w:p w14:paraId="18F4400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double" w:sz="6" w:space="2" w:color="auto"/>
              <w:right w:val="nil"/>
            </w:tcBorders>
            <w:vAlign w:val="bottom"/>
          </w:tcPr>
          <w:p w14:paraId="6D49D41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5FDCAE5C" w14:textId="77777777" w:rsidTr="00D00B3F">
        <w:trPr>
          <w:trHeight w:hRule="exact" w:val="135"/>
        </w:trPr>
        <w:tc>
          <w:tcPr>
            <w:tcW w:w="2017" w:type="dxa"/>
            <w:tcBorders>
              <w:top w:val="nil"/>
              <w:left w:val="nil"/>
              <w:bottom w:val="nil"/>
              <w:right w:val="nil"/>
            </w:tcBorders>
            <w:vAlign w:val="bottom"/>
          </w:tcPr>
          <w:p w14:paraId="3604149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103" w:type="dxa"/>
            <w:tcBorders>
              <w:top w:val="nil"/>
              <w:left w:val="nil"/>
              <w:bottom w:val="nil"/>
              <w:right w:val="nil"/>
            </w:tcBorders>
            <w:vAlign w:val="bottom"/>
          </w:tcPr>
          <w:p w14:paraId="5595AFA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nil"/>
              <w:right w:val="nil"/>
            </w:tcBorders>
            <w:vAlign w:val="bottom"/>
          </w:tcPr>
          <w:p w14:paraId="6A81781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03E9921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3296D7A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17F45286" w14:textId="77777777" w:rsidTr="00D00B3F">
        <w:trPr>
          <w:trHeight w:val="225"/>
        </w:trPr>
        <w:tc>
          <w:tcPr>
            <w:tcW w:w="2017" w:type="dxa"/>
            <w:tcBorders>
              <w:top w:val="nil"/>
              <w:left w:val="nil"/>
              <w:bottom w:val="nil"/>
              <w:right w:val="nil"/>
            </w:tcBorders>
            <w:vAlign w:val="bottom"/>
          </w:tcPr>
          <w:p w14:paraId="3019E73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ATMT</w:t>
            </w:r>
          </w:p>
        </w:tc>
        <w:tc>
          <w:tcPr>
            <w:tcW w:w="1103" w:type="dxa"/>
            <w:tcBorders>
              <w:top w:val="nil"/>
              <w:left w:val="nil"/>
              <w:bottom w:val="nil"/>
              <w:right w:val="nil"/>
            </w:tcBorders>
            <w:vAlign w:val="bottom"/>
          </w:tcPr>
          <w:p w14:paraId="6CC758F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0.040877</w:t>
            </w:r>
          </w:p>
        </w:tc>
        <w:tc>
          <w:tcPr>
            <w:tcW w:w="1207" w:type="dxa"/>
            <w:tcBorders>
              <w:top w:val="nil"/>
              <w:left w:val="nil"/>
              <w:bottom w:val="nil"/>
              <w:right w:val="nil"/>
            </w:tcBorders>
            <w:vAlign w:val="bottom"/>
          </w:tcPr>
          <w:p w14:paraId="36AC892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0.060242</w:t>
            </w:r>
          </w:p>
        </w:tc>
        <w:tc>
          <w:tcPr>
            <w:tcW w:w="1208" w:type="dxa"/>
            <w:tcBorders>
              <w:top w:val="nil"/>
              <w:left w:val="nil"/>
              <w:bottom w:val="nil"/>
              <w:right w:val="nil"/>
            </w:tcBorders>
            <w:vAlign w:val="bottom"/>
          </w:tcPr>
          <w:p w14:paraId="141617B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0.678558</w:t>
            </w:r>
          </w:p>
        </w:tc>
        <w:tc>
          <w:tcPr>
            <w:tcW w:w="997" w:type="dxa"/>
            <w:tcBorders>
              <w:top w:val="nil"/>
              <w:left w:val="nil"/>
              <w:bottom w:val="nil"/>
              <w:right w:val="nil"/>
            </w:tcBorders>
            <w:vAlign w:val="bottom"/>
          </w:tcPr>
          <w:p w14:paraId="2E97FDE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0.5052</w:t>
            </w:r>
          </w:p>
        </w:tc>
      </w:tr>
      <w:tr w:rsidR="00DB6A40" w:rsidRPr="00DB6A40" w14:paraId="14B17DD9" w14:textId="77777777" w:rsidTr="00D00B3F">
        <w:trPr>
          <w:trHeight w:val="225"/>
        </w:trPr>
        <w:tc>
          <w:tcPr>
            <w:tcW w:w="2017" w:type="dxa"/>
            <w:tcBorders>
              <w:top w:val="nil"/>
              <w:left w:val="nil"/>
              <w:bottom w:val="nil"/>
              <w:right w:val="nil"/>
            </w:tcBorders>
            <w:vAlign w:val="bottom"/>
          </w:tcPr>
          <w:p w14:paraId="130E9CB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POST</w:t>
            </w:r>
          </w:p>
        </w:tc>
        <w:tc>
          <w:tcPr>
            <w:tcW w:w="1103" w:type="dxa"/>
            <w:tcBorders>
              <w:top w:val="nil"/>
              <w:left w:val="nil"/>
              <w:bottom w:val="nil"/>
              <w:right w:val="nil"/>
            </w:tcBorders>
            <w:vAlign w:val="bottom"/>
          </w:tcPr>
          <w:p w14:paraId="329F27F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0.055985</w:t>
            </w:r>
          </w:p>
        </w:tc>
        <w:tc>
          <w:tcPr>
            <w:tcW w:w="1207" w:type="dxa"/>
            <w:tcBorders>
              <w:top w:val="nil"/>
              <w:left w:val="nil"/>
              <w:bottom w:val="nil"/>
              <w:right w:val="nil"/>
            </w:tcBorders>
            <w:vAlign w:val="bottom"/>
          </w:tcPr>
          <w:p w14:paraId="1ECD28D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0.009785</w:t>
            </w:r>
          </w:p>
        </w:tc>
        <w:tc>
          <w:tcPr>
            <w:tcW w:w="1208" w:type="dxa"/>
            <w:tcBorders>
              <w:top w:val="nil"/>
              <w:left w:val="nil"/>
              <w:bottom w:val="nil"/>
              <w:right w:val="nil"/>
            </w:tcBorders>
            <w:vAlign w:val="bottom"/>
          </w:tcPr>
          <w:p w14:paraId="3FA582F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5.721417</w:t>
            </w:r>
          </w:p>
        </w:tc>
        <w:tc>
          <w:tcPr>
            <w:tcW w:w="997" w:type="dxa"/>
            <w:tcBorders>
              <w:top w:val="nil"/>
              <w:left w:val="nil"/>
              <w:bottom w:val="nil"/>
              <w:right w:val="nil"/>
            </w:tcBorders>
            <w:vAlign w:val="bottom"/>
          </w:tcPr>
          <w:p w14:paraId="4B9E586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0.0000</w:t>
            </w:r>
          </w:p>
        </w:tc>
      </w:tr>
      <w:tr w:rsidR="00DB6A40" w:rsidRPr="00DB6A40" w14:paraId="2571C512" w14:textId="77777777" w:rsidTr="00D00B3F">
        <w:trPr>
          <w:trHeight w:val="225"/>
        </w:trPr>
        <w:tc>
          <w:tcPr>
            <w:tcW w:w="2017" w:type="dxa"/>
            <w:tcBorders>
              <w:top w:val="nil"/>
              <w:left w:val="nil"/>
              <w:bottom w:val="nil"/>
              <w:right w:val="nil"/>
            </w:tcBorders>
            <w:vAlign w:val="bottom"/>
          </w:tcPr>
          <w:p w14:paraId="7835A3E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DCT</w:t>
            </w:r>
          </w:p>
        </w:tc>
        <w:tc>
          <w:tcPr>
            <w:tcW w:w="1103" w:type="dxa"/>
            <w:tcBorders>
              <w:top w:val="nil"/>
              <w:left w:val="nil"/>
              <w:bottom w:val="nil"/>
              <w:right w:val="nil"/>
            </w:tcBorders>
            <w:vAlign w:val="bottom"/>
          </w:tcPr>
          <w:p w14:paraId="3CDEC0D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-0.018289</w:t>
            </w:r>
          </w:p>
        </w:tc>
        <w:tc>
          <w:tcPr>
            <w:tcW w:w="1207" w:type="dxa"/>
            <w:tcBorders>
              <w:top w:val="nil"/>
              <w:left w:val="nil"/>
              <w:bottom w:val="nil"/>
              <w:right w:val="nil"/>
            </w:tcBorders>
            <w:vAlign w:val="bottom"/>
          </w:tcPr>
          <w:p w14:paraId="4899012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0.003240</w:t>
            </w:r>
          </w:p>
        </w:tc>
        <w:tc>
          <w:tcPr>
            <w:tcW w:w="1208" w:type="dxa"/>
            <w:tcBorders>
              <w:top w:val="nil"/>
              <w:left w:val="nil"/>
              <w:bottom w:val="nil"/>
              <w:right w:val="nil"/>
            </w:tcBorders>
            <w:vAlign w:val="bottom"/>
          </w:tcPr>
          <w:p w14:paraId="30CDF11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-5.645359</w:t>
            </w:r>
          </w:p>
        </w:tc>
        <w:tc>
          <w:tcPr>
            <w:tcW w:w="997" w:type="dxa"/>
            <w:tcBorders>
              <w:top w:val="nil"/>
              <w:left w:val="nil"/>
              <w:bottom w:val="nil"/>
              <w:right w:val="nil"/>
            </w:tcBorders>
            <w:vAlign w:val="bottom"/>
          </w:tcPr>
          <w:p w14:paraId="67A7A4F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0.0000</w:t>
            </w:r>
          </w:p>
        </w:tc>
      </w:tr>
      <w:tr w:rsidR="00DB6A40" w:rsidRPr="00DB6A40" w14:paraId="7933BB6C" w14:textId="77777777" w:rsidTr="00D00B3F">
        <w:trPr>
          <w:trHeight w:val="225"/>
        </w:trPr>
        <w:tc>
          <w:tcPr>
            <w:tcW w:w="2017" w:type="dxa"/>
            <w:tcBorders>
              <w:top w:val="nil"/>
              <w:left w:val="nil"/>
              <w:bottom w:val="nil"/>
              <w:right w:val="nil"/>
            </w:tcBorders>
            <w:vAlign w:val="bottom"/>
          </w:tcPr>
          <w:p w14:paraId="18A215B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ARDBS</w:t>
            </w:r>
          </w:p>
        </w:tc>
        <w:tc>
          <w:tcPr>
            <w:tcW w:w="1103" w:type="dxa"/>
            <w:tcBorders>
              <w:top w:val="nil"/>
              <w:left w:val="nil"/>
              <w:bottom w:val="nil"/>
              <w:right w:val="nil"/>
            </w:tcBorders>
            <w:vAlign w:val="bottom"/>
          </w:tcPr>
          <w:p w14:paraId="1D28B11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1.349560</w:t>
            </w:r>
          </w:p>
        </w:tc>
        <w:tc>
          <w:tcPr>
            <w:tcW w:w="1207" w:type="dxa"/>
            <w:tcBorders>
              <w:top w:val="nil"/>
              <w:left w:val="nil"/>
              <w:bottom w:val="nil"/>
              <w:right w:val="nil"/>
            </w:tcBorders>
            <w:vAlign w:val="bottom"/>
          </w:tcPr>
          <w:p w14:paraId="3D1F0A3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0.465946</w:t>
            </w:r>
          </w:p>
        </w:tc>
        <w:tc>
          <w:tcPr>
            <w:tcW w:w="1208" w:type="dxa"/>
            <w:tcBorders>
              <w:top w:val="nil"/>
              <w:left w:val="nil"/>
              <w:bottom w:val="nil"/>
              <w:right w:val="nil"/>
            </w:tcBorders>
            <w:vAlign w:val="bottom"/>
          </w:tcPr>
          <w:p w14:paraId="6AD6A1C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2.896385</w:t>
            </w:r>
          </w:p>
        </w:tc>
        <w:tc>
          <w:tcPr>
            <w:tcW w:w="997" w:type="dxa"/>
            <w:tcBorders>
              <w:top w:val="nil"/>
              <w:left w:val="nil"/>
              <w:bottom w:val="nil"/>
              <w:right w:val="nil"/>
            </w:tcBorders>
            <w:vAlign w:val="bottom"/>
          </w:tcPr>
          <w:p w14:paraId="470A824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0.0089</w:t>
            </w:r>
          </w:p>
        </w:tc>
      </w:tr>
      <w:tr w:rsidR="00DB6A40" w:rsidRPr="00DB6A40" w14:paraId="0382EF0A" w14:textId="77777777" w:rsidTr="00D00B3F">
        <w:trPr>
          <w:trHeight w:val="225"/>
        </w:trPr>
        <w:tc>
          <w:tcPr>
            <w:tcW w:w="2017" w:type="dxa"/>
            <w:tcBorders>
              <w:top w:val="nil"/>
              <w:left w:val="nil"/>
              <w:bottom w:val="nil"/>
              <w:right w:val="nil"/>
            </w:tcBorders>
            <w:vAlign w:val="bottom"/>
          </w:tcPr>
          <w:p w14:paraId="50AA06D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C</w:t>
            </w:r>
          </w:p>
        </w:tc>
        <w:tc>
          <w:tcPr>
            <w:tcW w:w="1103" w:type="dxa"/>
            <w:tcBorders>
              <w:top w:val="nil"/>
              <w:left w:val="nil"/>
              <w:bottom w:val="nil"/>
              <w:right w:val="nil"/>
            </w:tcBorders>
            <w:vAlign w:val="bottom"/>
          </w:tcPr>
          <w:p w14:paraId="25D5091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4.223531</w:t>
            </w:r>
          </w:p>
        </w:tc>
        <w:tc>
          <w:tcPr>
            <w:tcW w:w="1207" w:type="dxa"/>
            <w:tcBorders>
              <w:top w:val="nil"/>
              <w:left w:val="nil"/>
              <w:bottom w:val="nil"/>
              <w:right w:val="nil"/>
            </w:tcBorders>
            <w:vAlign w:val="bottom"/>
          </w:tcPr>
          <w:p w14:paraId="78CAD74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0.991545</w:t>
            </w:r>
          </w:p>
        </w:tc>
        <w:tc>
          <w:tcPr>
            <w:tcW w:w="1208" w:type="dxa"/>
            <w:tcBorders>
              <w:top w:val="nil"/>
              <w:left w:val="nil"/>
              <w:bottom w:val="nil"/>
              <w:right w:val="nil"/>
            </w:tcBorders>
            <w:vAlign w:val="bottom"/>
          </w:tcPr>
          <w:p w14:paraId="18B0A3E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4.259546</w:t>
            </w:r>
          </w:p>
        </w:tc>
        <w:tc>
          <w:tcPr>
            <w:tcW w:w="997" w:type="dxa"/>
            <w:tcBorders>
              <w:top w:val="nil"/>
              <w:left w:val="nil"/>
              <w:bottom w:val="nil"/>
              <w:right w:val="nil"/>
            </w:tcBorders>
            <w:vAlign w:val="bottom"/>
          </w:tcPr>
          <w:p w14:paraId="4B8D36F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0.0000</w:t>
            </w:r>
          </w:p>
        </w:tc>
      </w:tr>
      <w:tr w:rsidR="00DB6A40" w:rsidRPr="00DB6A40" w14:paraId="76BA6785" w14:textId="77777777" w:rsidTr="00D00B3F">
        <w:trPr>
          <w:trHeight w:hRule="exact" w:val="90"/>
        </w:trPr>
        <w:tc>
          <w:tcPr>
            <w:tcW w:w="2017" w:type="dxa"/>
            <w:tcBorders>
              <w:top w:val="nil"/>
              <w:left w:val="nil"/>
              <w:bottom w:val="double" w:sz="6" w:space="2" w:color="auto"/>
              <w:right w:val="nil"/>
            </w:tcBorders>
            <w:vAlign w:val="bottom"/>
          </w:tcPr>
          <w:p w14:paraId="5118FA6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103" w:type="dxa"/>
            <w:tcBorders>
              <w:top w:val="nil"/>
              <w:left w:val="nil"/>
              <w:bottom w:val="double" w:sz="6" w:space="2" w:color="auto"/>
              <w:right w:val="nil"/>
            </w:tcBorders>
            <w:vAlign w:val="bottom"/>
          </w:tcPr>
          <w:p w14:paraId="464BC60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double" w:sz="6" w:space="2" w:color="auto"/>
              <w:right w:val="nil"/>
            </w:tcBorders>
            <w:vAlign w:val="bottom"/>
          </w:tcPr>
          <w:p w14:paraId="63F87DE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2" w:color="auto"/>
              <w:right w:val="nil"/>
            </w:tcBorders>
            <w:vAlign w:val="bottom"/>
          </w:tcPr>
          <w:p w14:paraId="4F035A8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double" w:sz="6" w:space="2" w:color="auto"/>
              <w:right w:val="nil"/>
            </w:tcBorders>
            <w:vAlign w:val="bottom"/>
          </w:tcPr>
          <w:p w14:paraId="4EB451F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5A3F5345" w14:textId="77777777" w:rsidTr="00D00B3F">
        <w:trPr>
          <w:trHeight w:hRule="exact" w:val="135"/>
        </w:trPr>
        <w:tc>
          <w:tcPr>
            <w:tcW w:w="2017" w:type="dxa"/>
            <w:tcBorders>
              <w:top w:val="nil"/>
              <w:left w:val="nil"/>
              <w:bottom w:val="nil"/>
              <w:right w:val="nil"/>
            </w:tcBorders>
            <w:vAlign w:val="bottom"/>
          </w:tcPr>
          <w:p w14:paraId="682248E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103" w:type="dxa"/>
            <w:tcBorders>
              <w:top w:val="nil"/>
              <w:left w:val="nil"/>
              <w:bottom w:val="nil"/>
              <w:right w:val="nil"/>
            </w:tcBorders>
            <w:vAlign w:val="bottom"/>
          </w:tcPr>
          <w:p w14:paraId="0652F1C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nil"/>
              <w:right w:val="nil"/>
            </w:tcBorders>
            <w:vAlign w:val="bottom"/>
          </w:tcPr>
          <w:p w14:paraId="3712137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4B80C01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2555739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0D059E3E" w14:textId="77777777" w:rsidTr="00D00B3F">
        <w:trPr>
          <w:trHeight w:val="225"/>
        </w:trPr>
        <w:tc>
          <w:tcPr>
            <w:tcW w:w="2017" w:type="dxa"/>
            <w:tcBorders>
              <w:top w:val="nil"/>
              <w:left w:val="nil"/>
              <w:bottom w:val="nil"/>
              <w:right w:val="nil"/>
            </w:tcBorders>
            <w:vAlign w:val="bottom"/>
          </w:tcPr>
          <w:p w14:paraId="4A6A76D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R-squared</w:t>
            </w:r>
          </w:p>
        </w:tc>
        <w:tc>
          <w:tcPr>
            <w:tcW w:w="1103" w:type="dxa"/>
            <w:tcBorders>
              <w:top w:val="nil"/>
              <w:left w:val="nil"/>
              <w:bottom w:val="nil"/>
              <w:right w:val="nil"/>
            </w:tcBorders>
            <w:vAlign w:val="bottom"/>
          </w:tcPr>
          <w:p w14:paraId="715E5B8A"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0.997761</w:t>
            </w:r>
          </w:p>
        </w:tc>
        <w:tc>
          <w:tcPr>
            <w:tcW w:w="2415" w:type="dxa"/>
            <w:gridSpan w:val="2"/>
            <w:tcBorders>
              <w:top w:val="nil"/>
              <w:left w:val="nil"/>
              <w:bottom w:val="nil"/>
              <w:right w:val="nil"/>
            </w:tcBorders>
            <w:vAlign w:val="bottom"/>
          </w:tcPr>
          <w:p w14:paraId="4BEAAEE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Mean dependent var</w:t>
            </w:r>
          </w:p>
        </w:tc>
        <w:tc>
          <w:tcPr>
            <w:tcW w:w="997" w:type="dxa"/>
            <w:tcBorders>
              <w:top w:val="nil"/>
              <w:left w:val="nil"/>
              <w:bottom w:val="nil"/>
              <w:right w:val="nil"/>
            </w:tcBorders>
            <w:vAlign w:val="bottom"/>
          </w:tcPr>
          <w:p w14:paraId="0543970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66.13800</w:t>
            </w:r>
          </w:p>
        </w:tc>
      </w:tr>
      <w:tr w:rsidR="00DB6A40" w:rsidRPr="00DB6A40" w14:paraId="54FA417B" w14:textId="77777777" w:rsidTr="00D00B3F">
        <w:trPr>
          <w:trHeight w:val="225"/>
        </w:trPr>
        <w:tc>
          <w:tcPr>
            <w:tcW w:w="2017" w:type="dxa"/>
            <w:tcBorders>
              <w:top w:val="nil"/>
              <w:left w:val="nil"/>
              <w:bottom w:val="nil"/>
              <w:right w:val="nil"/>
            </w:tcBorders>
            <w:vAlign w:val="bottom"/>
          </w:tcPr>
          <w:p w14:paraId="2B947AE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Adjusted R-squared</w:t>
            </w:r>
          </w:p>
        </w:tc>
        <w:tc>
          <w:tcPr>
            <w:tcW w:w="1103" w:type="dxa"/>
            <w:tcBorders>
              <w:top w:val="nil"/>
              <w:left w:val="nil"/>
              <w:bottom w:val="nil"/>
              <w:right w:val="nil"/>
            </w:tcBorders>
            <w:vAlign w:val="bottom"/>
          </w:tcPr>
          <w:p w14:paraId="7A3CBE1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0.997313</w:t>
            </w:r>
          </w:p>
        </w:tc>
        <w:tc>
          <w:tcPr>
            <w:tcW w:w="2415" w:type="dxa"/>
            <w:gridSpan w:val="2"/>
            <w:tcBorders>
              <w:top w:val="nil"/>
              <w:left w:val="nil"/>
              <w:bottom w:val="nil"/>
              <w:right w:val="nil"/>
            </w:tcBorders>
            <w:vAlign w:val="bottom"/>
          </w:tcPr>
          <w:p w14:paraId="0755A36C"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S.D. dependent var</w:t>
            </w:r>
          </w:p>
        </w:tc>
        <w:tc>
          <w:tcPr>
            <w:tcW w:w="997" w:type="dxa"/>
            <w:tcBorders>
              <w:top w:val="nil"/>
              <w:left w:val="nil"/>
              <w:bottom w:val="nil"/>
              <w:right w:val="nil"/>
            </w:tcBorders>
            <w:vAlign w:val="bottom"/>
          </w:tcPr>
          <w:p w14:paraId="7B6B0DB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61.14542</w:t>
            </w:r>
          </w:p>
        </w:tc>
      </w:tr>
      <w:tr w:rsidR="00DB6A40" w:rsidRPr="00DB6A40" w14:paraId="4204010B" w14:textId="77777777" w:rsidTr="00D00B3F">
        <w:trPr>
          <w:trHeight w:val="225"/>
        </w:trPr>
        <w:tc>
          <w:tcPr>
            <w:tcW w:w="2017" w:type="dxa"/>
            <w:tcBorders>
              <w:top w:val="nil"/>
              <w:left w:val="nil"/>
              <w:bottom w:val="nil"/>
              <w:right w:val="nil"/>
            </w:tcBorders>
            <w:vAlign w:val="bottom"/>
          </w:tcPr>
          <w:p w14:paraId="1FAEEC6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S.E. of regression</w:t>
            </w:r>
          </w:p>
        </w:tc>
        <w:tc>
          <w:tcPr>
            <w:tcW w:w="1103" w:type="dxa"/>
            <w:tcBorders>
              <w:top w:val="nil"/>
              <w:left w:val="nil"/>
              <w:bottom w:val="nil"/>
              <w:right w:val="nil"/>
            </w:tcBorders>
            <w:vAlign w:val="bottom"/>
          </w:tcPr>
          <w:p w14:paraId="14B08B7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3.169654</w:t>
            </w:r>
          </w:p>
        </w:tc>
        <w:tc>
          <w:tcPr>
            <w:tcW w:w="2415" w:type="dxa"/>
            <w:gridSpan w:val="2"/>
            <w:tcBorders>
              <w:top w:val="nil"/>
              <w:left w:val="nil"/>
              <w:bottom w:val="nil"/>
              <w:right w:val="nil"/>
            </w:tcBorders>
            <w:vAlign w:val="bottom"/>
          </w:tcPr>
          <w:p w14:paraId="53E2BF06"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Akaike info criterion</w:t>
            </w:r>
          </w:p>
        </w:tc>
        <w:tc>
          <w:tcPr>
            <w:tcW w:w="997" w:type="dxa"/>
            <w:tcBorders>
              <w:top w:val="nil"/>
              <w:left w:val="nil"/>
              <w:bottom w:val="nil"/>
              <w:right w:val="nil"/>
            </w:tcBorders>
            <w:vAlign w:val="bottom"/>
          </w:tcPr>
          <w:p w14:paraId="3CC739DF"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5.321979</w:t>
            </w:r>
          </w:p>
        </w:tc>
      </w:tr>
      <w:tr w:rsidR="00DB6A40" w:rsidRPr="00DB6A40" w14:paraId="390B72D8" w14:textId="77777777" w:rsidTr="00D00B3F">
        <w:trPr>
          <w:trHeight w:val="225"/>
        </w:trPr>
        <w:tc>
          <w:tcPr>
            <w:tcW w:w="2017" w:type="dxa"/>
            <w:tcBorders>
              <w:top w:val="nil"/>
              <w:left w:val="nil"/>
              <w:bottom w:val="nil"/>
              <w:right w:val="nil"/>
            </w:tcBorders>
            <w:vAlign w:val="bottom"/>
          </w:tcPr>
          <w:p w14:paraId="2EA8E57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Sum squared resid</w:t>
            </w:r>
          </w:p>
        </w:tc>
        <w:tc>
          <w:tcPr>
            <w:tcW w:w="1103" w:type="dxa"/>
            <w:tcBorders>
              <w:top w:val="nil"/>
              <w:left w:val="nil"/>
              <w:bottom w:val="nil"/>
              <w:right w:val="nil"/>
            </w:tcBorders>
            <w:vAlign w:val="bottom"/>
          </w:tcPr>
          <w:p w14:paraId="2077608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200.9342</w:t>
            </w:r>
          </w:p>
        </w:tc>
        <w:tc>
          <w:tcPr>
            <w:tcW w:w="2415" w:type="dxa"/>
            <w:gridSpan w:val="2"/>
            <w:tcBorders>
              <w:top w:val="nil"/>
              <w:left w:val="nil"/>
              <w:bottom w:val="nil"/>
              <w:right w:val="nil"/>
            </w:tcBorders>
            <w:vAlign w:val="bottom"/>
          </w:tcPr>
          <w:p w14:paraId="1EBF8053"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Schwarz criterion</w:t>
            </w:r>
          </w:p>
        </w:tc>
        <w:tc>
          <w:tcPr>
            <w:tcW w:w="997" w:type="dxa"/>
            <w:tcBorders>
              <w:top w:val="nil"/>
              <w:left w:val="nil"/>
              <w:bottom w:val="nil"/>
              <w:right w:val="nil"/>
            </w:tcBorders>
            <w:vAlign w:val="bottom"/>
          </w:tcPr>
          <w:p w14:paraId="33AAC319"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5.565754</w:t>
            </w:r>
          </w:p>
        </w:tc>
      </w:tr>
      <w:tr w:rsidR="00DB6A40" w:rsidRPr="00DB6A40" w14:paraId="1922F3B7" w14:textId="77777777" w:rsidTr="00D00B3F">
        <w:trPr>
          <w:trHeight w:val="225"/>
        </w:trPr>
        <w:tc>
          <w:tcPr>
            <w:tcW w:w="2017" w:type="dxa"/>
            <w:tcBorders>
              <w:top w:val="nil"/>
              <w:left w:val="nil"/>
              <w:bottom w:val="nil"/>
              <w:right w:val="nil"/>
            </w:tcBorders>
            <w:vAlign w:val="bottom"/>
          </w:tcPr>
          <w:p w14:paraId="07419D5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Log likelihood</w:t>
            </w:r>
          </w:p>
        </w:tc>
        <w:tc>
          <w:tcPr>
            <w:tcW w:w="1103" w:type="dxa"/>
            <w:tcBorders>
              <w:top w:val="nil"/>
              <w:left w:val="nil"/>
              <w:bottom w:val="nil"/>
              <w:right w:val="nil"/>
            </w:tcBorders>
            <w:vAlign w:val="bottom"/>
          </w:tcPr>
          <w:p w14:paraId="7B3ECAE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-61.52473</w:t>
            </w:r>
          </w:p>
        </w:tc>
        <w:tc>
          <w:tcPr>
            <w:tcW w:w="2415" w:type="dxa"/>
            <w:gridSpan w:val="2"/>
            <w:tcBorders>
              <w:top w:val="nil"/>
              <w:left w:val="nil"/>
              <w:bottom w:val="nil"/>
              <w:right w:val="nil"/>
            </w:tcBorders>
            <w:vAlign w:val="bottom"/>
          </w:tcPr>
          <w:p w14:paraId="32FB031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xml:space="preserve">    Hannan-Quinn </w:t>
            </w:r>
            <w:proofErr w:type="spellStart"/>
            <w:r w:rsidRPr="00DB6A40">
              <w:rPr>
                <w:rFonts w:ascii="Times New Roman" w:eastAsia="Calibri" w:hAnsi="Times New Roman" w:cs="Times New Roman"/>
                <w:bCs/>
                <w:sz w:val="18"/>
                <w:szCs w:val="18"/>
                <w14:ligatures w14:val="none"/>
              </w:rPr>
              <w:t>criter</w:t>
            </w:r>
            <w:proofErr w:type="spellEnd"/>
            <w:r w:rsidRPr="00DB6A40">
              <w:rPr>
                <w:rFonts w:ascii="Times New Roman" w:eastAsia="Calibri" w:hAnsi="Times New Roman" w:cs="Times New Roman"/>
                <w:bCs/>
                <w:sz w:val="18"/>
                <w:szCs w:val="18"/>
                <w14:ligatures w14:val="none"/>
              </w:rPr>
              <w:t>.</w:t>
            </w:r>
          </w:p>
        </w:tc>
        <w:tc>
          <w:tcPr>
            <w:tcW w:w="997" w:type="dxa"/>
            <w:tcBorders>
              <w:top w:val="nil"/>
              <w:left w:val="nil"/>
              <w:bottom w:val="nil"/>
              <w:right w:val="nil"/>
            </w:tcBorders>
            <w:vAlign w:val="bottom"/>
          </w:tcPr>
          <w:p w14:paraId="62B371D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5.389591</w:t>
            </w:r>
          </w:p>
        </w:tc>
      </w:tr>
      <w:tr w:rsidR="00DB6A40" w:rsidRPr="00DB6A40" w14:paraId="39988607" w14:textId="77777777" w:rsidTr="00D00B3F">
        <w:trPr>
          <w:trHeight w:val="225"/>
        </w:trPr>
        <w:tc>
          <w:tcPr>
            <w:tcW w:w="2017" w:type="dxa"/>
            <w:tcBorders>
              <w:top w:val="nil"/>
              <w:left w:val="nil"/>
              <w:bottom w:val="nil"/>
              <w:right w:val="nil"/>
            </w:tcBorders>
            <w:vAlign w:val="bottom"/>
          </w:tcPr>
          <w:p w14:paraId="6CEC6634"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F-statistic</w:t>
            </w:r>
          </w:p>
        </w:tc>
        <w:tc>
          <w:tcPr>
            <w:tcW w:w="1103" w:type="dxa"/>
            <w:tcBorders>
              <w:top w:val="nil"/>
              <w:left w:val="nil"/>
              <w:bottom w:val="nil"/>
              <w:right w:val="nil"/>
            </w:tcBorders>
            <w:vAlign w:val="bottom"/>
          </w:tcPr>
          <w:p w14:paraId="4419D7F8"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2227.829</w:t>
            </w:r>
          </w:p>
        </w:tc>
        <w:tc>
          <w:tcPr>
            <w:tcW w:w="2415" w:type="dxa"/>
            <w:gridSpan w:val="2"/>
            <w:tcBorders>
              <w:top w:val="nil"/>
              <w:left w:val="nil"/>
              <w:bottom w:val="nil"/>
              <w:right w:val="nil"/>
            </w:tcBorders>
            <w:vAlign w:val="bottom"/>
          </w:tcPr>
          <w:p w14:paraId="2E7F2155"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    Durbin-Watson stat</w:t>
            </w:r>
          </w:p>
        </w:tc>
        <w:tc>
          <w:tcPr>
            <w:tcW w:w="997" w:type="dxa"/>
            <w:tcBorders>
              <w:top w:val="nil"/>
              <w:left w:val="nil"/>
              <w:bottom w:val="nil"/>
              <w:right w:val="nil"/>
            </w:tcBorders>
            <w:vAlign w:val="bottom"/>
          </w:tcPr>
          <w:p w14:paraId="5E2E845B"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1.352608</w:t>
            </w:r>
          </w:p>
        </w:tc>
      </w:tr>
      <w:tr w:rsidR="00DB6A40" w:rsidRPr="00DB6A40" w14:paraId="2BCA9A44" w14:textId="77777777" w:rsidTr="00D00B3F">
        <w:trPr>
          <w:trHeight w:val="225"/>
        </w:trPr>
        <w:tc>
          <w:tcPr>
            <w:tcW w:w="2017" w:type="dxa"/>
            <w:tcBorders>
              <w:top w:val="nil"/>
              <w:left w:val="nil"/>
              <w:bottom w:val="nil"/>
              <w:right w:val="nil"/>
            </w:tcBorders>
            <w:vAlign w:val="bottom"/>
          </w:tcPr>
          <w:p w14:paraId="2B5A94C2"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Prob(F-statistic)</w:t>
            </w:r>
          </w:p>
        </w:tc>
        <w:tc>
          <w:tcPr>
            <w:tcW w:w="1103" w:type="dxa"/>
            <w:tcBorders>
              <w:top w:val="nil"/>
              <w:left w:val="nil"/>
              <w:bottom w:val="nil"/>
              <w:right w:val="nil"/>
            </w:tcBorders>
            <w:vAlign w:val="bottom"/>
          </w:tcPr>
          <w:p w14:paraId="4D09A4A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r w:rsidRPr="00DB6A40">
              <w:rPr>
                <w:rFonts w:ascii="Times New Roman" w:eastAsia="Calibri" w:hAnsi="Times New Roman" w:cs="Times New Roman"/>
                <w:bCs/>
                <w:sz w:val="18"/>
                <w:szCs w:val="18"/>
                <w14:ligatures w14:val="none"/>
              </w:rPr>
              <w:t>0.000000</w:t>
            </w:r>
          </w:p>
        </w:tc>
        <w:tc>
          <w:tcPr>
            <w:tcW w:w="1207" w:type="dxa"/>
            <w:tcBorders>
              <w:top w:val="nil"/>
              <w:left w:val="nil"/>
              <w:bottom w:val="nil"/>
              <w:right w:val="nil"/>
            </w:tcBorders>
            <w:vAlign w:val="bottom"/>
          </w:tcPr>
          <w:p w14:paraId="05FD794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nil"/>
              <w:right w:val="nil"/>
            </w:tcBorders>
            <w:vAlign w:val="bottom"/>
          </w:tcPr>
          <w:p w14:paraId="6822428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nil"/>
              <w:right w:val="nil"/>
            </w:tcBorders>
            <w:vAlign w:val="bottom"/>
          </w:tcPr>
          <w:p w14:paraId="055F158E"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r w:rsidR="00DB6A40" w:rsidRPr="00DB6A40" w14:paraId="5BC7421A" w14:textId="77777777" w:rsidTr="00D00B3F">
        <w:trPr>
          <w:trHeight w:hRule="exact" w:val="90"/>
        </w:trPr>
        <w:tc>
          <w:tcPr>
            <w:tcW w:w="2017" w:type="dxa"/>
            <w:tcBorders>
              <w:top w:val="nil"/>
              <w:left w:val="nil"/>
              <w:bottom w:val="double" w:sz="6" w:space="0" w:color="auto"/>
              <w:right w:val="nil"/>
            </w:tcBorders>
            <w:vAlign w:val="bottom"/>
          </w:tcPr>
          <w:p w14:paraId="168CE69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103" w:type="dxa"/>
            <w:tcBorders>
              <w:top w:val="nil"/>
              <w:left w:val="nil"/>
              <w:bottom w:val="double" w:sz="6" w:space="0" w:color="auto"/>
              <w:right w:val="nil"/>
            </w:tcBorders>
            <w:vAlign w:val="bottom"/>
          </w:tcPr>
          <w:p w14:paraId="3676F810"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7" w:type="dxa"/>
            <w:tcBorders>
              <w:top w:val="nil"/>
              <w:left w:val="nil"/>
              <w:bottom w:val="double" w:sz="6" w:space="0" w:color="auto"/>
              <w:right w:val="nil"/>
            </w:tcBorders>
            <w:vAlign w:val="bottom"/>
          </w:tcPr>
          <w:p w14:paraId="0D17430D"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1208" w:type="dxa"/>
            <w:tcBorders>
              <w:top w:val="nil"/>
              <w:left w:val="nil"/>
              <w:bottom w:val="double" w:sz="6" w:space="0" w:color="auto"/>
              <w:right w:val="nil"/>
            </w:tcBorders>
            <w:vAlign w:val="bottom"/>
          </w:tcPr>
          <w:p w14:paraId="5073F6E7"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c>
          <w:tcPr>
            <w:tcW w:w="997" w:type="dxa"/>
            <w:tcBorders>
              <w:top w:val="nil"/>
              <w:left w:val="nil"/>
              <w:bottom w:val="double" w:sz="6" w:space="0" w:color="auto"/>
              <w:right w:val="nil"/>
            </w:tcBorders>
            <w:vAlign w:val="bottom"/>
          </w:tcPr>
          <w:p w14:paraId="0BD3EA11" w14:textId="77777777" w:rsidR="00DB6A40" w:rsidRPr="00DB6A40" w:rsidRDefault="00DB6A40" w:rsidP="007223FC">
            <w:pPr>
              <w:spacing w:after="0" w:line="240" w:lineRule="auto"/>
              <w:contextualSpacing/>
              <w:jc w:val="both"/>
              <w:rPr>
                <w:rFonts w:ascii="Times New Roman" w:eastAsia="Calibri" w:hAnsi="Times New Roman" w:cs="Times New Roman"/>
                <w:bCs/>
                <w:sz w:val="18"/>
                <w:szCs w:val="18"/>
                <w14:ligatures w14:val="none"/>
              </w:rPr>
            </w:pPr>
          </w:p>
        </w:tc>
      </w:tr>
    </w:tbl>
    <w:p w14:paraId="063FB491"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b/>
          <w:color w:val="000000"/>
          <w:sz w:val="18"/>
          <w:szCs w:val="18"/>
          <w14:ligatures w14:val="none"/>
        </w:rPr>
        <w:t>Source: E-VIEW 9.0 (2026).</w:t>
      </w:r>
    </w:p>
    <w:p w14:paraId="54FEDF57" w14:textId="77777777" w:rsidR="00DB6A40" w:rsidRPr="00DB6A40" w:rsidRDefault="00DB6A40" w:rsidP="007223FC">
      <w:pPr>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Table 7 shows the results of a least squares regression analysis examining the relationship between NBAC and the explanatory variables: ATMT, POST, DCT, and ARDBS.</w:t>
      </w:r>
    </w:p>
    <w:p w14:paraId="50CADD14" w14:textId="77777777" w:rsidR="00DB6A40" w:rsidRPr="00DB6A40" w:rsidRDefault="00DB6A40" w:rsidP="007223FC">
      <w:pPr>
        <w:spacing w:line="240" w:lineRule="auto"/>
        <w:jc w:val="both"/>
        <w:rPr>
          <w:rFonts w:ascii="Times New Roman" w:eastAsia="Calibri" w:hAnsi="Times New Roman" w:cs="Times New Roman"/>
          <w:b/>
          <w:color w:val="000000"/>
          <w:sz w:val="18"/>
          <w:szCs w:val="18"/>
          <w14:ligatures w14:val="none"/>
        </w:rPr>
      </w:pPr>
      <w:r w:rsidRPr="00DB6A40">
        <w:rPr>
          <w:rFonts w:ascii="Times New Roman" w:eastAsia="Calibri" w:hAnsi="Times New Roman" w:cs="Times New Roman"/>
          <w14:ligatures w14:val="none"/>
        </w:rPr>
        <w:t xml:space="preserve">The study reveals that ATMT has no significant effect on NBAC, with a p-value of 0.5052, which supports the acceptance of H01. This finding aligns with Financial Intermediation Theory, which suggests that channels with limited intermediation functions may not strongly expand FI. As </w:t>
      </w:r>
      <w:proofErr w:type="spellStart"/>
      <w:r w:rsidRPr="00DB6A40">
        <w:rPr>
          <w:rFonts w:ascii="Times New Roman" w:eastAsia="Calibri" w:hAnsi="Times New Roman" w:cs="Times New Roman"/>
          <w14:ligatures w14:val="none"/>
        </w:rPr>
        <w:t>Eguavoen</w:t>
      </w:r>
      <w:proofErr w:type="spellEnd"/>
      <w:r w:rsidRPr="00DB6A40">
        <w:rPr>
          <w:rFonts w:ascii="Times New Roman" w:eastAsia="Calibri" w:hAnsi="Times New Roman" w:cs="Times New Roman"/>
          <w14:ligatures w14:val="none"/>
        </w:rPr>
        <w:t xml:space="preserve"> and </w:t>
      </w:r>
      <w:proofErr w:type="spellStart"/>
      <w:r w:rsidRPr="00DB6A40">
        <w:rPr>
          <w:rFonts w:ascii="Times New Roman" w:eastAsia="Calibri" w:hAnsi="Times New Roman" w:cs="Times New Roman"/>
          <w14:ligatures w14:val="none"/>
        </w:rPr>
        <w:t>Airhiavbere</w:t>
      </w:r>
      <w:proofErr w:type="spellEnd"/>
      <w:r w:rsidRPr="00DB6A40">
        <w:rPr>
          <w:rFonts w:ascii="Times New Roman" w:eastAsia="Calibri" w:hAnsi="Times New Roman" w:cs="Times New Roman"/>
          <w14:ligatures w14:val="none"/>
        </w:rPr>
        <w:t xml:space="preserve"> (2025) found, ATMs showed only transitory effects on banking sector development, while Hassan and Utulu (2022) emphasized that infrastructure and literacy are key for inclusion. Within TAM, weak perceived usefulness of ATMs compared to modern channels reduces their ability to drive account ownership, highlighting their declining relevance in Nigeria’s digital ecosystem.</w:t>
      </w:r>
    </w:p>
    <w:p w14:paraId="11902541"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The significant positive relationship between POST and NBAC (p-value = 0.0000) supports the rejection of H02. This finding aligns with TAM, as POS increases perceived usefulness by embedding financial services in daily transactions. Financial Intermediation Theory also emphasizes that POS extends intermediation to merchants and households, thus boosting account ownership. Akunna (2025) confirmed that aggregate digital finance drives inclusion, while </w:t>
      </w:r>
      <w:proofErr w:type="spellStart"/>
      <w:r w:rsidRPr="00DB6A40">
        <w:rPr>
          <w:rFonts w:ascii="Times New Roman" w:eastAsia="Calibri" w:hAnsi="Times New Roman" w:cs="Times New Roman"/>
          <w14:ligatures w14:val="none"/>
        </w:rPr>
        <w:t>Eguavoen</w:t>
      </w:r>
      <w:proofErr w:type="spellEnd"/>
      <w:r w:rsidRPr="00DB6A40">
        <w:rPr>
          <w:rFonts w:ascii="Times New Roman" w:eastAsia="Calibri" w:hAnsi="Times New Roman" w:cs="Times New Roman"/>
          <w14:ligatures w14:val="none"/>
        </w:rPr>
        <w:t xml:space="preserve"> et al. (2025) found that POS significantly spurred sector development under Nigeria’s cashless policy. Similarly, Ajao et al. (2023) showed that network effects enhance adoption, explaining why POST is a strong driver of FI.</w:t>
      </w:r>
    </w:p>
    <w:p w14:paraId="61F1F20C"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Contrary to expectations, DCT was found to have a significant negative effect on NBAC (p-value = 0.0000), leading to the rejection of H03. This result challenges the assumption that digital currencies automatically improve inclusion. TAM explains this outcome through low trust and perceived risk, which hinder adoption. Financial Intermediation Theory also suggests that weak integration of DCT into traditional banking limits its intermediation role. </w:t>
      </w: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(2023) found that </w:t>
      </w:r>
      <w:proofErr w:type="spellStart"/>
      <w:r w:rsidRPr="00DB6A40">
        <w:rPr>
          <w:rFonts w:ascii="Times New Roman" w:eastAsia="Calibri" w:hAnsi="Times New Roman" w:cs="Times New Roman"/>
          <w14:ligatures w14:val="none"/>
        </w:rPr>
        <w:t>eNaira</w:t>
      </w:r>
      <w:proofErr w:type="spellEnd"/>
      <w:r w:rsidRPr="00DB6A40">
        <w:rPr>
          <w:rFonts w:ascii="Times New Roman" w:eastAsia="Calibri" w:hAnsi="Times New Roman" w:cs="Times New Roman"/>
          <w14:ligatures w14:val="none"/>
        </w:rPr>
        <w:t xml:space="preserve"> adoption is constrained by literacy and cyber risks, while Ekong and Ekong (2022) stressed the need for regulatory and infrastructural support. This shows that without trust and education, DCT may reduce rather than expand NBAC.</w:t>
      </w:r>
    </w:p>
    <w:p w14:paraId="19DFA27C"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The ARDBS variable shows a significant positive relationship with NBAC (p-value = 0.0089), supporting the rejection of H04. This reinforces TAM’s claim that when customers perceive digital banking as useful and easy, adoption rises, thereby strengthening inclusion. Financial Intermediation Theory highlights ARDBS as lowering transaction costs and expanding access. Empirical studies support this view: Akunna (2025) found that digital finance expansion accelerates inclusion, while </w:t>
      </w:r>
      <w:proofErr w:type="spellStart"/>
      <w:r w:rsidRPr="00DB6A40">
        <w:rPr>
          <w:rFonts w:ascii="Times New Roman" w:eastAsia="Calibri" w:hAnsi="Times New Roman" w:cs="Times New Roman"/>
          <w14:ligatures w14:val="none"/>
        </w:rPr>
        <w:t>Iwedi</w:t>
      </w:r>
      <w:proofErr w:type="spellEnd"/>
      <w:r w:rsidRPr="00DB6A40">
        <w:rPr>
          <w:rFonts w:ascii="Times New Roman" w:eastAsia="Calibri" w:hAnsi="Times New Roman" w:cs="Times New Roman"/>
          <w14:ligatures w14:val="none"/>
        </w:rPr>
        <w:t xml:space="preserve"> (2024) showed strong linkages between digital </w:t>
      </w:r>
      <w:r w:rsidRPr="00DB6A40">
        <w:rPr>
          <w:rFonts w:ascii="Times New Roman" w:eastAsia="Calibri" w:hAnsi="Times New Roman" w:cs="Times New Roman"/>
          <w14:ligatures w14:val="none"/>
        </w:rPr>
        <w:lastRenderedPageBreak/>
        <w:t>infrastructure and bank growth. Ajao et al. (2023) further demonstrated that communication and awareness influence adoption. Thus, ARDBS emerges as a crucial factor in expanding NBAC and deepening FI in Nigeria.</w:t>
      </w:r>
    </w:p>
    <w:p w14:paraId="336926A5"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CONCLUSION</w:t>
      </w:r>
    </w:p>
    <w:p w14:paraId="63FC593D" w14:textId="77777777" w:rsidR="00DB6A40" w:rsidRPr="00DB6A40" w:rsidRDefault="00DB6A40" w:rsidP="007223FC">
      <w:p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This study examined the relationship between DP systems and FI in Nigeria’s CBs between 2000 and 2024, using NBAC as a proxy for inclusion and ATMT, POST, DCT, and ARDBS as explanatory variables. The regression analysis revealed mixed outcomes. ATMT was found to have no significant impact on NBAC, reflecting its declining relevance in the era of modern digital channels. POST had a strong positive effect, demonstrating its pivotal role in embedding financial services into daily commerce and significantly advancing FI. Surprisingly, DCT exhibited a negative effect on NBAC, suggesting that despite the introduction of innovations like the </w:t>
      </w:r>
      <w:proofErr w:type="spellStart"/>
      <w:r w:rsidRPr="00DB6A40">
        <w:rPr>
          <w:rFonts w:ascii="Times New Roman" w:eastAsia="Calibri" w:hAnsi="Times New Roman" w:cs="Times New Roman"/>
          <w14:ligatures w14:val="none"/>
        </w:rPr>
        <w:t>eNaira</w:t>
      </w:r>
      <w:proofErr w:type="spellEnd"/>
      <w:r w:rsidRPr="00DB6A40">
        <w:rPr>
          <w:rFonts w:ascii="Times New Roman" w:eastAsia="Calibri" w:hAnsi="Times New Roman" w:cs="Times New Roman"/>
          <w14:ligatures w14:val="none"/>
        </w:rPr>
        <w:t>, issues of trust, literacy, and weak integration hindered its contribution to inclusion. In contrast, ARDBS showed a significant positive effect, highlighting the transformative impact of digital banking adoption in expanding account ownership and access to services. The results underscore the importance of modern payment platforms and user-centered banking innovations in driving inclusive finance while also pointing to the limitations of traditional and poorly integrated channels.</w:t>
      </w:r>
    </w:p>
    <w:p w14:paraId="62F85612"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RECOMMENDATIONS</w:t>
      </w:r>
    </w:p>
    <w:p w14:paraId="6C0AD35E" w14:textId="77777777" w:rsidR="00DB6A40" w:rsidRPr="00DB6A40" w:rsidRDefault="00DB6A40" w:rsidP="007223FC">
      <w:pPr>
        <w:numPr>
          <w:ilvl w:val="0"/>
          <w:numId w:val="28"/>
        </w:numPr>
        <w:tabs>
          <w:tab w:val="left" w:pos="1215"/>
        </w:tabs>
        <w:spacing w:line="240" w:lineRule="auto"/>
        <w:contextualSpacing/>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ATMT:</w:t>
      </w:r>
      <w:r w:rsidRPr="00DB6A40">
        <w:rPr>
          <w:rFonts w:ascii="Times New Roman" w:eastAsia="Calibri" w:hAnsi="Times New Roman" w:cs="Times New Roman"/>
          <w14:ligatures w14:val="none"/>
        </w:rPr>
        <w:t xml:space="preserve"> Since ATMT has no significant effect, banks and regulators should gradually reposition ATMs as complementary rather than primary tools of inclusion by integrating them with digital interfaces such as cardless withdrawals and mobile-linked services. Investment in ATM infrastructure should focus more on rural access and reliability.</w:t>
      </w:r>
    </w:p>
    <w:p w14:paraId="765BAD63" w14:textId="77777777" w:rsidR="00DB6A40" w:rsidRPr="00DB6A40" w:rsidRDefault="00DB6A40" w:rsidP="007223FC">
      <w:pPr>
        <w:numPr>
          <w:ilvl w:val="0"/>
          <w:numId w:val="28"/>
        </w:num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POST:</w:t>
      </w:r>
      <w:r w:rsidRPr="00DB6A40">
        <w:rPr>
          <w:rFonts w:ascii="Times New Roman" w:eastAsia="Calibri" w:hAnsi="Times New Roman" w:cs="Times New Roman"/>
          <w14:ligatures w14:val="none"/>
        </w:rPr>
        <w:t xml:space="preserve"> Given the positive and significant influence of POST, policies should encourage merchant adoption of POS terminals, especially in rural and peri-urban areas. Subsidies, reduced transaction fees, and improved connectivity can sustain POS growth as a driver of NBAC.</w:t>
      </w:r>
    </w:p>
    <w:p w14:paraId="3617B310" w14:textId="77777777" w:rsidR="00DB6A40" w:rsidRPr="00DB6A40" w:rsidRDefault="00DB6A40" w:rsidP="007223FC">
      <w:pPr>
        <w:numPr>
          <w:ilvl w:val="0"/>
          <w:numId w:val="28"/>
        </w:num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DCT:</w:t>
      </w:r>
      <w:r w:rsidRPr="00DB6A40">
        <w:rPr>
          <w:rFonts w:ascii="Times New Roman" w:eastAsia="Calibri" w:hAnsi="Times New Roman" w:cs="Times New Roman"/>
          <w14:ligatures w14:val="none"/>
        </w:rPr>
        <w:t xml:space="preserve"> The negative effect of DCT calls for improved awareness, trust-building, and integration of digital currencies like the </w:t>
      </w:r>
      <w:proofErr w:type="spellStart"/>
      <w:r w:rsidRPr="00DB6A40">
        <w:rPr>
          <w:rFonts w:ascii="Times New Roman" w:eastAsia="Calibri" w:hAnsi="Times New Roman" w:cs="Times New Roman"/>
          <w14:ligatures w14:val="none"/>
        </w:rPr>
        <w:t>eNaira</w:t>
      </w:r>
      <w:proofErr w:type="spellEnd"/>
      <w:r w:rsidRPr="00DB6A40">
        <w:rPr>
          <w:rFonts w:ascii="Times New Roman" w:eastAsia="Calibri" w:hAnsi="Times New Roman" w:cs="Times New Roman"/>
          <w14:ligatures w14:val="none"/>
        </w:rPr>
        <w:t xml:space="preserve"> into mainstream transactions. Stakeholders should intensify financial literacy programs and incentivize merchants and consumers to adopt digital currencies, while regulators ensure strong consumer protection frameworks.</w:t>
      </w:r>
    </w:p>
    <w:p w14:paraId="463D4FA5" w14:textId="77777777" w:rsidR="00DB6A40" w:rsidRPr="00DB6A40" w:rsidRDefault="00DB6A40" w:rsidP="007223FC">
      <w:pPr>
        <w:numPr>
          <w:ilvl w:val="0"/>
          <w:numId w:val="28"/>
        </w:numPr>
        <w:tabs>
          <w:tab w:val="left" w:pos="1215"/>
        </w:tabs>
        <w:spacing w:line="240" w:lineRule="auto"/>
        <w:jc w:val="both"/>
        <w:rPr>
          <w:rFonts w:ascii="Times New Roman" w:eastAsia="Calibri" w:hAnsi="Times New Roman" w:cs="Times New Roman"/>
          <w14:ligatures w14:val="none"/>
        </w:rPr>
      </w:pPr>
      <w:r w:rsidRPr="00DB6A40">
        <w:rPr>
          <w:rFonts w:ascii="Times New Roman" w:eastAsia="Calibri" w:hAnsi="Times New Roman" w:cs="Times New Roman"/>
          <w:b/>
          <w:bCs/>
          <w14:ligatures w14:val="none"/>
        </w:rPr>
        <w:t>ARDBS:</w:t>
      </w:r>
      <w:r w:rsidRPr="00DB6A40">
        <w:rPr>
          <w:rFonts w:ascii="Times New Roman" w:eastAsia="Calibri" w:hAnsi="Times New Roman" w:cs="Times New Roman"/>
          <w14:ligatures w14:val="none"/>
        </w:rPr>
        <w:t xml:space="preserve"> Since ARDBS strongly drives inclusion, CBs should enhance mobile and internet banking platforms by simplifying onboarding processes, improving security, and expanding outreach campaigns. Regulators should support policies that promote affordable data, digital infrastructure, and consumer awareness, ensuring sustained adoption and usage.</w:t>
      </w:r>
    </w:p>
    <w:p w14:paraId="392536D2"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p>
    <w:p w14:paraId="63B4F3DF" w14:textId="77777777" w:rsidR="00DB6A40" w:rsidRPr="00DB6A40" w:rsidRDefault="00DB6A40" w:rsidP="007223FC">
      <w:pPr>
        <w:tabs>
          <w:tab w:val="left" w:pos="1215"/>
        </w:tabs>
        <w:spacing w:line="240" w:lineRule="auto"/>
        <w:jc w:val="both"/>
        <w:rPr>
          <w:rFonts w:ascii="Times New Roman" w:eastAsia="Calibri" w:hAnsi="Times New Roman" w:cs="Times New Roman"/>
          <w:b/>
          <w:bCs/>
          <w14:ligatures w14:val="none"/>
        </w:rPr>
      </w:pPr>
      <w:r w:rsidRPr="00DB6A40">
        <w:rPr>
          <w:rFonts w:ascii="Times New Roman" w:eastAsia="Calibri" w:hAnsi="Times New Roman" w:cs="Times New Roman"/>
          <w:b/>
          <w:bCs/>
          <w14:ligatures w14:val="none"/>
        </w:rPr>
        <w:t>REFERENCES</w:t>
      </w:r>
    </w:p>
    <w:p w14:paraId="2FFCAD32"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Abubakar et al (2024). Electronic payments system and banking industry’s return in Nigeria: A time-varying Granger causality approach. </w:t>
      </w:r>
      <w:r w:rsidRPr="00DB6A40">
        <w:rPr>
          <w:rFonts w:ascii="Times New Roman" w:eastAsia="Calibri" w:hAnsi="Times New Roman" w:cs="Times New Roman"/>
          <w:i/>
          <w:iCs/>
          <w14:ligatures w14:val="none"/>
        </w:rPr>
        <w:t>SSRN Electronic Journal</w:t>
      </w:r>
      <w:r w:rsidRPr="00DB6A40">
        <w:rPr>
          <w:rFonts w:ascii="Times New Roman" w:eastAsia="Calibri" w:hAnsi="Times New Roman" w:cs="Times New Roman"/>
          <w14:ligatures w14:val="none"/>
        </w:rPr>
        <w:t>.</w:t>
      </w:r>
    </w:p>
    <w:p w14:paraId="0B8D2252"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Adewale, A. A., &amp; </w:t>
      </w:r>
      <w:proofErr w:type="spellStart"/>
      <w:r w:rsidRPr="00DB6A40">
        <w:rPr>
          <w:rFonts w:ascii="Times New Roman" w:eastAsia="Calibri" w:hAnsi="Times New Roman" w:cs="Times New Roman"/>
          <w14:ligatures w14:val="none"/>
        </w:rPr>
        <w:t>Osabuohien</w:t>
      </w:r>
      <w:proofErr w:type="spellEnd"/>
      <w:r w:rsidRPr="00DB6A40">
        <w:rPr>
          <w:rFonts w:ascii="Times New Roman" w:eastAsia="Calibri" w:hAnsi="Times New Roman" w:cs="Times New Roman"/>
          <w14:ligatures w14:val="none"/>
        </w:rPr>
        <w:t xml:space="preserve">, E. S. (2021). Financial inclusion and the role of point-of-sale transactions in Nigeria. </w:t>
      </w:r>
      <w:r w:rsidRPr="00DB6A40">
        <w:rPr>
          <w:rFonts w:ascii="Times New Roman" w:eastAsia="Calibri" w:hAnsi="Times New Roman" w:cs="Times New Roman"/>
          <w:i/>
          <w:iCs/>
          <w14:ligatures w14:val="none"/>
        </w:rPr>
        <w:t>Journal of African Business, 22</w:t>
      </w:r>
      <w:r w:rsidRPr="00DB6A40">
        <w:rPr>
          <w:rFonts w:ascii="Times New Roman" w:eastAsia="Calibri" w:hAnsi="Times New Roman" w:cs="Times New Roman"/>
          <w14:ligatures w14:val="none"/>
        </w:rPr>
        <w:t xml:space="preserve">(3), 283–301. </w:t>
      </w:r>
    </w:p>
    <w:p w14:paraId="406A5E62"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Ajao et al (2023). Drivers of mobile payment acceptance: The impact of network externalities in Nigeria. </w:t>
      </w:r>
      <w:proofErr w:type="spellStart"/>
      <w:r w:rsidRPr="00DB6A40">
        <w:rPr>
          <w:rFonts w:ascii="Times New Roman" w:eastAsia="Calibri" w:hAnsi="Times New Roman" w:cs="Times New Roman"/>
          <w:i/>
          <w:iCs/>
          <w14:ligatures w14:val="none"/>
        </w:rPr>
        <w:t>arXiv</w:t>
      </w:r>
      <w:proofErr w:type="spellEnd"/>
      <w:r w:rsidRPr="00DB6A40">
        <w:rPr>
          <w:rFonts w:ascii="Times New Roman" w:eastAsia="Calibri" w:hAnsi="Times New Roman" w:cs="Times New Roman"/>
          <w:i/>
          <w:iCs/>
          <w14:ligatures w14:val="none"/>
        </w:rPr>
        <w:t xml:space="preserve"> preprint</w:t>
      </w:r>
      <w:r w:rsidRPr="00DB6A40">
        <w:rPr>
          <w:rFonts w:ascii="Times New Roman" w:eastAsia="Calibri" w:hAnsi="Times New Roman" w:cs="Times New Roman"/>
          <w14:ligatures w14:val="none"/>
        </w:rPr>
        <w:t>.</w:t>
      </w:r>
    </w:p>
    <w:p w14:paraId="4BB3B117"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Akpokerere</w:t>
      </w:r>
      <w:proofErr w:type="spellEnd"/>
      <w:r w:rsidRPr="00DB6A40">
        <w:rPr>
          <w:rFonts w:ascii="Times New Roman" w:eastAsia="Calibri" w:hAnsi="Times New Roman" w:cs="Times New Roman"/>
          <w14:ligatures w14:val="none"/>
        </w:rPr>
        <w:t xml:space="preserve"> E. O. (2024), Electronic fund transfer and cash management of deposit money banks in </w:t>
      </w:r>
      <w:proofErr w:type="spellStart"/>
      <w:r w:rsidRPr="00DB6A40">
        <w:rPr>
          <w:rFonts w:ascii="Times New Roman" w:eastAsia="Calibri" w:hAnsi="Times New Roman" w:cs="Times New Roman"/>
          <w14:ligatures w14:val="none"/>
        </w:rPr>
        <w:t>Nigera</w:t>
      </w:r>
      <w:proofErr w:type="spellEnd"/>
      <w:r w:rsidRPr="00DB6A40">
        <w:rPr>
          <w:rFonts w:ascii="Times New Roman" w:eastAsia="Calibri" w:hAnsi="Times New Roman" w:cs="Times New Roman"/>
          <w14:ligatures w14:val="none"/>
        </w:rPr>
        <w:t xml:space="preserve">, </w:t>
      </w:r>
      <w:r w:rsidRPr="00DB6A40">
        <w:rPr>
          <w:rFonts w:ascii="Times New Roman" w:eastAsia="Calibri" w:hAnsi="Times New Roman" w:cs="Times New Roman"/>
          <w:i/>
          <w14:ligatures w14:val="none"/>
        </w:rPr>
        <w:t>Analytical Journal of Administration &amp; Management,</w:t>
      </w:r>
      <w:r w:rsidRPr="00DB6A40">
        <w:rPr>
          <w:rFonts w:ascii="Times New Roman" w:eastAsia="Calibri" w:hAnsi="Times New Roman" w:cs="Times New Roman"/>
          <w14:ligatures w14:val="none"/>
        </w:rPr>
        <w:t xml:space="preserve"> Faculty of Administration &amp; Management, Delta State University of science and Technology, </w:t>
      </w:r>
      <w:proofErr w:type="spellStart"/>
      <w:r w:rsidRPr="00DB6A40">
        <w:rPr>
          <w:rFonts w:ascii="Times New Roman" w:eastAsia="Calibri" w:hAnsi="Times New Roman" w:cs="Times New Roman"/>
          <w14:ligatures w14:val="none"/>
        </w:rPr>
        <w:t>Ozoro</w:t>
      </w:r>
      <w:proofErr w:type="spellEnd"/>
      <w:r w:rsidRPr="00DB6A40">
        <w:rPr>
          <w:rFonts w:ascii="Times New Roman" w:eastAsia="Calibri" w:hAnsi="Times New Roman" w:cs="Times New Roman"/>
          <w14:ligatures w14:val="none"/>
        </w:rPr>
        <w:t>, Vol 1. No. 1 pp.61-76</w:t>
      </w:r>
    </w:p>
    <w:p w14:paraId="479D90E1"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lastRenderedPageBreak/>
        <w:t>Akpokerere</w:t>
      </w:r>
      <w:proofErr w:type="spellEnd"/>
      <w:r w:rsidRPr="00DB6A40">
        <w:rPr>
          <w:rFonts w:ascii="Times New Roman" w:eastAsia="Calibri" w:hAnsi="Times New Roman" w:cs="Times New Roman"/>
          <w14:ligatures w14:val="none"/>
        </w:rPr>
        <w:t xml:space="preserve"> E. O. (2011), Implications of modern information technology in the Nigeria banking industry </w:t>
      </w:r>
      <w:proofErr w:type="spellStart"/>
      <w:r w:rsidRPr="00DB6A40">
        <w:rPr>
          <w:rFonts w:ascii="Times New Roman" w:eastAsia="Calibri" w:hAnsi="Times New Roman" w:cs="Times New Roman"/>
          <w14:ligatures w14:val="none"/>
        </w:rPr>
        <w:t>Asurvey</w:t>
      </w:r>
      <w:proofErr w:type="spellEnd"/>
      <w:r w:rsidRPr="00DB6A40">
        <w:rPr>
          <w:rFonts w:ascii="Times New Roman" w:eastAsia="Calibri" w:hAnsi="Times New Roman" w:cs="Times New Roman"/>
          <w14:ligatures w14:val="none"/>
        </w:rPr>
        <w:t xml:space="preserve"> of </w:t>
      </w:r>
      <w:proofErr w:type="spellStart"/>
      <w:r w:rsidRPr="00DB6A40">
        <w:rPr>
          <w:rFonts w:ascii="Times New Roman" w:eastAsia="Calibri" w:hAnsi="Times New Roman" w:cs="Times New Roman"/>
          <w14:ligatures w14:val="none"/>
        </w:rPr>
        <w:t>warri</w:t>
      </w:r>
      <w:proofErr w:type="spellEnd"/>
      <w:r w:rsidRPr="00DB6A40">
        <w:rPr>
          <w:rFonts w:ascii="Times New Roman" w:eastAsia="Calibri" w:hAnsi="Times New Roman" w:cs="Times New Roman"/>
          <w14:ligatures w14:val="none"/>
        </w:rPr>
        <w:t xml:space="preserve">, Delta State, </w:t>
      </w:r>
      <w:r w:rsidRPr="00DB6A40">
        <w:rPr>
          <w:rFonts w:ascii="Times New Roman" w:eastAsia="Calibri" w:hAnsi="Times New Roman" w:cs="Times New Roman"/>
          <w:i/>
          <w14:ligatures w14:val="none"/>
        </w:rPr>
        <w:t>The Nigerian Journal of Management Research</w:t>
      </w:r>
      <w:r w:rsidRPr="00DB6A40">
        <w:rPr>
          <w:rFonts w:ascii="Times New Roman" w:eastAsia="Calibri" w:hAnsi="Times New Roman" w:cs="Times New Roman"/>
          <w14:ligatures w14:val="none"/>
        </w:rPr>
        <w:t xml:space="preserve"> ISSN No. 1596-1907, Department of Management, University of Nigeria, Enugu, Vol 6(2) pp.72-75</w:t>
      </w:r>
    </w:p>
    <w:p w14:paraId="02CBD332"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Akpokerere</w:t>
      </w:r>
      <w:proofErr w:type="spellEnd"/>
      <w:r w:rsidRPr="00DB6A40">
        <w:rPr>
          <w:rFonts w:ascii="Times New Roman" w:eastAsia="Calibri" w:hAnsi="Times New Roman" w:cs="Times New Roman"/>
          <w14:ligatures w14:val="none"/>
        </w:rPr>
        <w:t xml:space="preserve"> E. O. &amp; Oboro O. G., (2017), Impact of Biometric Technology on Deposit Money Bank performance in Nigeria, </w:t>
      </w:r>
      <w:r w:rsidRPr="00DB6A40">
        <w:rPr>
          <w:rFonts w:ascii="Times New Roman" w:eastAsia="Calibri" w:hAnsi="Times New Roman" w:cs="Times New Roman"/>
          <w:i/>
          <w14:ligatures w14:val="none"/>
        </w:rPr>
        <w:t>Journal of Social Development</w:t>
      </w:r>
      <w:r w:rsidRPr="00DB6A40">
        <w:rPr>
          <w:rFonts w:ascii="Times New Roman" w:eastAsia="Calibri" w:hAnsi="Times New Roman" w:cs="Times New Roman"/>
          <w14:ligatures w14:val="none"/>
        </w:rPr>
        <w:t>, Publisher: Syndi Gate Media Inc.</w:t>
      </w:r>
    </w:p>
    <w:p w14:paraId="6071D544"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Akunna, R. C. (2025). Effect of digital finance on financial inclusion in Nigeria. </w:t>
      </w:r>
      <w:r w:rsidRPr="00DB6A40">
        <w:rPr>
          <w:rFonts w:ascii="Times New Roman" w:eastAsia="Calibri" w:hAnsi="Times New Roman" w:cs="Times New Roman"/>
          <w:i/>
          <w:iCs/>
          <w14:ligatures w14:val="none"/>
        </w:rPr>
        <w:t>International Journal of Financial and Accountancy Management Studies, 10</w:t>
      </w:r>
      <w:r w:rsidRPr="00DB6A40">
        <w:rPr>
          <w:rFonts w:ascii="Times New Roman" w:eastAsia="Calibri" w:hAnsi="Times New Roman" w:cs="Times New Roman"/>
          <w14:ligatures w14:val="none"/>
        </w:rPr>
        <w:t>(1), 55–72.</w:t>
      </w:r>
    </w:p>
    <w:p w14:paraId="0A0F8313"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Davis, F. D. (1989). Perceived usefulness, perceived ease of use, and user acceptance of information technology. </w:t>
      </w:r>
      <w:r w:rsidRPr="00DB6A40">
        <w:rPr>
          <w:rFonts w:ascii="Times New Roman" w:eastAsia="Calibri" w:hAnsi="Times New Roman" w:cs="Times New Roman"/>
          <w:i/>
          <w:iCs/>
          <w14:ligatures w14:val="none"/>
        </w:rPr>
        <w:t>MIS Quarterly, 13</w:t>
      </w:r>
      <w:r w:rsidRPr="00DB6A40">
        <w:rPr>
          <w:rFonts w:ascii="Times New Roman" w:eastAsia="Calibri" w:hAnsi="Times New Roman" w:cs="Times New Roman"/>
          <w14:ligatures w14:val="none"/>
        </w:rPr>
        <w:t>(3), 319–340.</w:t>
      </w:r>
    </w:p>
    <w:p w14:paraId="10243391"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Eguavoen</w:t>
      </w:r>
      <w:proofErr w:type="spellEnd"/>
      <w:r w:rsidRPr="00DB6A40">
        <w:rPr>
          <w:rFonts w:ascii="Times New Roman" w:eastAsia="Calibri" w:hAnsi="Times New Roman" w:cs="Times New Roman"/>
          <w14:ligatures w14:val="none"/>
        </w:rPr>
        <w:t xml:space="preserve"> et al (2025). The effect of cashless policy on financial sector development in Nigeria. </w:t>
      </w:r>
      <w:r w:rsidRPr="00DB6A40">
        <w:rPr>
          <w:rFonts w:ascii="Times New Roman" w:eastAsia="Calibri" w:hAnsi="Times New Roman" w:cs="Times New Roman"/>
          <w:i/>
          <w:iCs/>
          <w14:ligatures w14:val="none"/>
        </w:rPr>
        <w:t>Journal of Philosophy and Contemporary Issues, 1</w:t>
      </w:r>
      <w:r w:rsidRPr="00DB6A40">
        <w:rPr>
          <w:rFonts w:ascii="Times New Roman" w:eastAsia="Calibri" w:hAnsi="Times New Roman" w:cs="Times New Roman"/>
          <w14:ligatures w14:val="none"/>
        </w:rPr>
        <w:t>(1), 33–45.</w:t>
      </w:r>
    </w:p>
    <w:p w14:paraId="57DAF5F9"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Eguavoen</w:t>
      </w:r>
      <w:proofErr w:type="spellEnd"/>
      <w:r w:rsidRPr="00DB6A40">
        <w:rPr>
          <w:rFonts w:ascii="Times New Roman" w:eastAsia="Calibri" w:hAnsi="Times New Roman" w:cs="Times New Roman"/>
          <w14:ligatures w14:val="none"/>
        </w:rPr>
        <w:t xml:space="preserve">, J. O., &amp; </w:t>
      </w:r>
      <w:proofErr w:type="spellStart"/>
      <w:r w:rsidRPr="00DB6A40">
        <w:rPr>
          <w:rFonts w:ascii="Times New Roman" w:eastAsia="Calibri" w:hAnsi="Times New Roman" w:cs="Times New Roman"/>
          <w14:ligatures w14:val="none"/>
        </w:rPr>
        <w:t>Airhiavbere</w:t>
      </w:r>
      <w:proofErr w:type="spellEnd"/>
      <w:r w:rsidRPr="00DB6A40">
        <w:rPr>
          <w:rFonts w:ascii="Times New Roman" w:eastAsia="Calibri" w:hAnsi="Times New Roman" w:cs="Times New Roman"/>
          <w14:ligatures w14:val="none"/>
        </w:rPr>
        <w:t xml:space="preserve">, A. S. (2025). Digital banking channels and banking sector development in Nigeria: Evidence from ARDL analysis. </w:t>
      </w:r>
      <w:r w:rsidRPr="00DB6A40">
        <w:rPr>
          <w:rFonts w:ascii="Times New Roman" w:eastAsia="Calibri" w:hAnsi="Times New Roman" w:cs="Times New Roman"/>
          <w:i/>
          <w:iCs/>
          <w14:ligatures w14:val="none"/>
        </w:rPr>
        <w:t>Journal of Philosophy and Contemporary Issues, 1</w:t>
      </w:r>
      <w:r w:rsidRPr="00DB6A40">
        <w:rPr>
          <w:rFonts w:ascii="Times New Roman" w:eastAsia="Calibri" w:hAnsi="Times New Roman" w:cs="Times New Roman"/>
          <w14:ligatures w14:val="none"/>
        </w:rPr>
        <w:t>(1), 9–20.</w:t>
      </w:r>
    </w:p>
    <w:p w14:paraId="061B496C"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Ekong, U. M., &amp; Ekong, C. N. (2022). Digital currency and financial inclusion in Nigeria: Lessons for development. </w:t>
      </w:r>
      <w:r w:rsidRPr="00DB6A40">
        <w:rPr>
          <w:rFonts w:ascii="Times New Roman" w:eastAsia="Calibri" w:hAnsi="Times New Roman" w:cs="Times New Roman"/>
          <w:i/>
          <w:iCs/>
          <w14:ligatures w14:val="none"/>
        </w:rPr>
        <w:t>Journal of Internet and Digital Economics, 7</w:t>
      </w:r>
      <w:r w:rsidRPr="00DB6A40">
        <w:rPr>
          <w:rFonts w:ascii="Times New Roman" w:eastAsia="Calibri" w:hAnsi="Times New Roman" w:cs="Times New Roman"/>
          <w14:ligatures w14:val="none"/>
        </w:rPr>
        <w:t>(2), 45–60.</w:t>
      </w:r>
    </w:p>
    <w:p w14:paraId="5FDC604A"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El-Yaqub, A. B., &amp; Ismail, Y. (2025). Impact of digital payment technologies on selected banking institutions in Nigeria. </w:t>
      </w:r>
      <w:r w:rsidRPr="00DB6A40">
        <w:rPr>
          <w:rFonts w:ascii="Times New Roman" w:eastAsia="Calibri" w:hAnsi="Times New Roman" w:cs="Times New Roman"/>
          <w:i/>
          <w:iCs/>
          <w14:ligatures w14:val="none"/>
        </w:rPr>
        <w:t>Economics and Business, 2</w:t>
      </w:r>
      <w:r w:rsidRPr="00DB6A40">
        <w:rPr>
          <w:rFonts w:ascii="Times New Roman" w:eastAsia="Calibri" w:hAnsi="Times New Roman" w:cs="Times New Roman"/>
          <w14:ligatures w14:val="none"/>
        </w:rPr>
        <w:t xml:space="preserve">(4), 15–29. </w:t>
      </w:r>
    </w:p>
    <w:p w14:paraId="2466EF98"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Gurley, J. G., &amp; Shaw, E. S. (1960). </w:t>
      </w:r>
      <w:r w:rsidRPr="00DB6A40">
        <w:rPr>
          <w:rFonts w:ascii="Times New Roman" w:eastAsia="Calibri" w:hAnsi="Times New Roman" w:cs="Times New Roman"/>
          <w:i/>
          <w:iCs/>
          <w14:ligatures w14:val="none"/>
        </w:rPr>
        <w:t>Money in a theory of finance</w:t>
      </w:r>
      <w:r w:rsidRPr="00DB6A40">
        <w:rPr>
          <w:rFonts w:ascii="Times New Roman" w:eastAsia="Calibri" w:hAnsi="Times New Roman" w:cs="Times New Roman"/>
          <w14:ligatures w14:val="none"/>
        </w:rPr>
        <w:t>. Washington, DC: Brookings Institution.</w:t>
      </w:r>
    </w:p>
    <w:p w14:paraId="1C026599"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Hassan, A., &amp; Utulu, S. C. A. (2022). Socio-economic and technological factors influencing financial inclusion among indigenous peoples in Bauchi State, Nigeria. </w:t>
      </w:r>
      <w:proofErr w:type="spellStart"/>
      <w:r w:rsidRPr="00DB6A40">
        <w:rPr>
          <w:rFonts w:ascii="Times New Roman" w:eastAsia="Calibri" w:hAnsi="Times New Roman" w:cs="Times New Roman"/>
          <w:i/>
          <w:iCs/>
          <w14:ligatures w14:val="none"/>
        </w:rPr>
        <w:t>arXiv</w:t>
      </w:r>
      <w:proofErr w:type="spellEnd"/>
      <w:r w:rsidRPr="00DB6A40">
        <w:rPr>
          <w:rFonts w:ascii="Times New Roman" w:eastAsia="Calibri" w:hAnsi="Times New Roman" w:cs="Times New Roman"/>
          <w:i/>
          <w:iCs/>
          <w14:ligatures w14:val="none"/>
        </w:rPr>
        <w:t xml:space="preserve"> preprint</w:t>
      </w:r>
      <w:r w:rsidRPr="00DB6A40">
        <w:rPr>
          <w:rFonts w:ascii="Times New Roman" w:eastAsia="Calibri" w:hAnsi="Times New Roman" w:cs="Times New Roman"/>
          <w14:ligatures w14:val="none"/>
        </w:rPr>
        <w:t xml:space="preserve">. </w:t>
      </w:r>
    </w:p>
    <w:p w14:paraId="23006E15"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Iwedi, M. (2024). Digital finance infrastructure and growth of commercial banking firms in Nigeria. </w:t>
      </w:r>
      <w:r w:rsidRPr="00DB6A40">
        <w:rPr>
          <w:rFonts w:ascii="Times New Roman" w:eastAsia="Calibri" w:hAnsi="Times New Roman" w:cs="Times New Roman"/>
          <w:i/>
          <w:iCs/>
          <w14:ligatures w14:val="none"/>
        </w:rPr>
        <w:t>Digital Finance Review, 2</w:t>
      </w:r>
      <w:r w:rsidRPr="00DB6A40">
        <w:rPr>
          <w:rFonts w:ascii="Times New Roman" w:eastAsia="Calibri" w:hAnsi="Times New Roman" w:cs="Times New Roman"/>
          <w14:ligatures w14:val="none"/>
        </w:rPr>
        <w:t>(1), 16–32.</w:t>
      </w:r>
    </w:p>
    <w:p w14:paraId="628BEAC0"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Nkechika</w:t>
      </w:r>
      <w:proofErr w:type="spellEnd"/>
      <w:r w:rsidRPr="00DB6A40">
        <w:rPr>
          <w:rFonts w:ascii="Times New Roman" w:eastAsia="Calibri" w:hAnsi="Times New Roman" w:cs="Times New Roman"/>
          <w14:ligatures w14:val="none"/>
        </w:rPr>
        <w:t xml:space="preserve">, C. G. (2022). Digital financial services and financial inclusion in Nigeria: Milestones and new directions. </w:t>
      </w:r>
      <w:r w:rsidRPr="00DB6A40">
        <w:rPr>
          <w:rFonts w:ascii="Times New Roman" w:eastAsia="Calibri" w:hAnsi="Times New Roman" w:cs="Times New Roman"/>
          <w:i/>
          <w:iCs/>
          <w14:ligatures w14:val="none"/>
        </w:rPr>
        <w:t>Central Bank of Nigeria Economic and Financial Review, 60</w:t>
      </w:r>
      <w:r w:rsidRPr="00DB6A40">
        <w:rPr>
          <w:rFonts w:ascii="Times New Roman" w:eastAsia="Calibri" w:hAnsi="Times New Roman" w:cs="Times New Roman"/>
          <w14:ligatures w14:val="none"/>
        </w:rPr>
        <w:t>(4), 151–170.</w:t>
      </w:r>
    </w:p>
    <w:p w14:paraId="2CB9C0C3"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Onuegbu</w:t>
      </w:r>
      <w:proofErr w:type="spellEnd"/>
      <w:r w:rsidRPr="00DB6A40">
        <w:rPr>
          <w:rFonts w:ascii="Times New Roman" w:eastAsia="Calibri" w:hAnsi="Times New Roman" w:cs="Times New Roman"/>
          <w14:ligatures w14:val="none"/>
        </w:rPr>
        <w:t xml:space="preserve"> et al (2025). Communication, awareness, and acceptance of digital banking amidst cash crunch in Southeast and South-South, Nigeria. </w:t>
      </w:r>
      <w:r w:rsidRPr="00DB6A40">
        <w:rPr>
          <w:rFonts w:ascii="Times New Roman" w:eastAsia="Calibri" w:hAnsi="Times New Roman" w:cs="Times New Roman"/>
          <w:i/>
          <w:iCs/>
          <w14:ligatures w14:val="none"/>
        </w:rPr>
        <w:t>Journal of Financial Inclusion and Digital Innovation</w:t>
      </w:r>
      <w:r w:rsidRPr="00DB6A40">
        <w:rPr>
          <w:rFonts w:ascii="Times New Roman" w:eastAsia="Calibri" w:hAnsi="Times New Roman" w:cs="Times New Roman"/>
          <w14:ligatures w14:val="none"/>
        </w:rPr>
        <w:t xml:space="preserve">, </w:t>
      </w:r>
      <w:r w:rsidRPr="00DB6A40">
        <w:rPr>
          <w:rFonts w:ascii="Times New Roman" w:eastAsia="Calibri" w:hAnsi="Times New Roman" w:cs="Times New Roman"/>
          <w:i/>
          <w:iCs/>
          <w14:ligatures w14:val="none"/>
        </w:rPr>
        <w:t>3</w:t>
      </w:r>
      <w:r w:rsidRPr="00DB6A40">
        <w:rPr>
          <w:rFonts w:ascii="Times New Roman" w:eastAsia="Calibri" w:hAnsi="Times New Roman" w:cs="Times New Roman"/>
          <w14:ligatures w14:val="none"/>
        </w:rPr>
        <w:t>(1), 12–28.</w:t>
      </w:r>
    </w:p>
    <w:p w14:paraId="6D24B9BA"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P. K. (2023). </w:t>
      </w:r>
      <w:proofErr w:type="spellStart"/>
      <w:r w:rsidRPr="00DB6A40">
        <w:rPr>
          <w:rFonts w:ascii="Times New Roman" w:eastAsia="Calibri" w:hAnsi="Times New Roman" w:cs="Times New Roman"/>
          <w14:ligatures w14:val="none"/>
        </w:rPr>
        <w:t>eNaira</w:t>
      </w:r>
      <w:proofErr w:type="spellEnd"/>
      <w:r w:rsidRPr="00DB6A40">
        <w:rPr>
          <w:rFonts w:ascii="Times New Roman" w:eastAsia="Calibri" w:hAnsi="Times New Roman" w:cs="Times New Roman"/>
          <w14:ligatures w14:val="none"/>
        </w:rPr>
        <w:t xml:space="preserve"> central bank digital currency (CBDC) for financial inclusion in Nigeria. </w:t>
      </w:r>
      <w:r w:rsidRPr="00DB6A40">
        <w:rPr>
          <w:rFonts w:ascii="Times New Roman" w:eastAsia="Calibri" w:hAnsi="Times New Roman" w:cs="Times New Roman"/>
          <w:i/>
          <w:iCs/>
          <w14:ligatures w14:val="none"/>
        </w:rPr>
        <w:t>Digital Transformation and Society, 2</w:t>
      </w:r>
      <w:r w:rsidRPr="00DB6A40">
        <w:rPr>
          <w:rFonts w:ascii="Times New Roman" w:eastAsia="Calibri" w:hAnsi="Times New Roman" w:cs="Times New Roman"/>
          <w14:ligatures w14:val="none"/>
        </w:rPr>
        <w:t xml:space="preserve">(2), 202–214. </w:t>
      </w:r>
    </w:p>
    <w:p w14:paraId="34F5F9F3"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P. K. (2023). Financial inclusion and digital currency in Nigeria. </w:t>
      </w:r>
      <w:r w:rsidRPr="00DB6A40">
        <w:rPr>
          <w:rFonts w:ascii="Times New Roman" w:eastAsia="Calibri" w:hAnsi="Times New Roman" w:cs="Times New Roman"/>
          <w:i/>
          <w:iCs/>
          <w14:ligatures w14:val="none"/>
        </w:rPr>
        <w:t>Journal of Money and Financial Innovation, 12</w:t>
      </w:r>
      <w:r w:rsidRPr="00DB6A40">
        <w:rPr>
          <w:rFonts w:ascii="Times New Roman" w:eastAsia="Calibri" w:hAnsi="Times New Roman" w:cs="Times New Roman"/>
          <w14:ligatures w14:val="none"/>
        </w:rPr>
        <w:t>(1), 44–59.</w:t>
      </w:r>
    </w:p>
    <w:p w14:paraId="5B82AFF9"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proofErr w:type="spellStart"/>
      <w:r w:rsidRPr="00DB6A40">
        <w:rPr>
          <w:rFonts w:ascii="Times New Roman" w:eastAsia="Calibri" w:hAnsi="Times New Roman" w:cs="Times New Roman"/>
          <w14:ligatures w14:val="none"/>
        </w:rPr>
        <w:t>Ozili</w:t>
      </w:r>
      <w:proofErr w:type="spellEnd"/>
      <w:r w:rsidRPr="00DB6A40">
        <w:rPr>
          <w:rFonts w:ascii="Times New Roman" w:eastAsia="Calibri" w:hAnsi="Times New Roman" w:cs="Times New Roman"/>
          <w14:ligatures w14:val="none"/>
        </w:rPr>
        <w:t xml:space="preserve">, P. K. (2025). Determinants of financial inclusion in Nigeria: The roles of infrastructure and digital technology. </w:t>
      </w:r>
      <w:r w:rsidRPr="00DB6A40">
        <w:rPr>
          <w:rFonts w:ascii="Times New Roman" w:eastAsia="Calibri" w:hAnsi="Times New Roman" w:cs="Times New Roman"/>
          <w:i/>
          <w:iCs/>
          <w14:ligatures w14:val="none"/>
        </w:rPr>
        <w:t>African Journal of Finance and Banking Research</w:t>
      </w:r>
      <w:r w:rsidRPr="00DB6A40">
        <w:rPr>
          <w:rFonts w:ascii="Times New Roman" w:eastAsia="Calibri" w:hAnsi="Times New Roman" w:cs="Times New Roman"/>
          <w14:ligatures w14:val="none"/>
        </w:rPr>
        <w:t xml:space="preserve">, </w:t>
      </w:r>
      <w:r w:rsidRPr="00DB6A40">
        <w:rPr>
          <w:rFonts w:ascii="Times New Roman" w:eastAsia="Calibri" w:hAnsi="Times New Roman" w:cs="Times New Roman"/>
          <w:i/>
          <w:iCs/>
          <w14:ligatures w14:val="none"/>
        </w:rPr>
        <w:t>10</w:t>
      </w:r>
      <w:r w:rsidRPr="00DB6A40">
        <w:rPr>
          <w:rFonts w:ascii="Times New Roman" w:eastAsia="Calibri" w:hAnsi="Times New Roman" w:cs="Times New Roman"/>
          <w14:ligatures w14:val="none"/>
        </w:rPr>
        <w:t>(1), 15–33.</w:t>
      </w:r>
    </w:p>
    <w:p w14:paraId="3FA5D559" w14:textId="77777777" w:rsidR="00DB6A40" w:rsidRPr="00DB6A40" w:rsidRDefault="00DB6A40" w:rsidP="007223FC">
      <w:pPr>
        <w:spacing w:line="240" w:lineRule="auto"/>
        <w:ind w:left="720" w:hanging="720"/>
        <w:jc w:val="both"/>
        <w:rPr>
          <w:rFonts w:ascii="Times New Roman" w:eastAsia="Calibri" w:hAnsi="Times New Roman" w:cs="Times New Roman"/>
          <w14:ligatures w14:val="none"/>
        </w:rPr>
      </w:pPr>
      <w:r w:rsidRPr="00DB6A40">
        <w:rPr>
          <w:rFonts w:ascii="Times New Roman" w:eastAsia="Calibri" w:hAnsi="Times New Roman" w:cs="Times New Roman"/>
          <w14:ligatures w14:val="none"/>
        </w:rPr>
        <w:t xml:space="preserve">Qazeem, O. A. (2024). The role of financial technology in enhancing financial inclusion in Nigeria. </w:t>
      </w:r>
      <w:r w:rsidRPr="00DB6A40">
        <w:rPr>
          <w:rFonts w:ascii="Times New Roman" w:eastAsia="Calibri" w:hAnsi="Times New Roman" w:cs="Times New Roman"/>
          <w:i/>
          <w:iCs/>
          <w14:ligatures w14:val="none"/>
        </w:rPr>
        <w:t>Journal of Banking and Finance Innovation</w:t>
      </w:r>
      <w:r w:rsidRPr="00DB6A40">
        <w:rPr>
          <w:rFonts w:ascii="Times New Roman" w:eastAsia="Calibri" w:hAnsi="Times New Roman" w:cs="Times New Roman"/>
          <w14:ligatures w14:val="none"/>
        </w:rPr>
        <w:t xml:space="preserve">, </w:t>
      </w:r>
      <w:r w:rsidRPr="00DB6A40">
        <w:rPr>
          <w:rFonts w:ascii="Times New Roman" w:eastAsia="Calibri" w:hAnsi="Times New Roman" w:cs="Times New Roman"/>
          <w:i/>
          <w:iCs/>
          <w14:ligatures w14:val="none"/>
        </w:rPr>
        <w:t>3</w:t>
      </w:r>
      <w:r w:rsidRPr="00DB6A40">
        <w:rPr>
          <w:rFonts w:ascii="Times New Roman" w:eastAsia="Calibri" w:hAnsi="Times New Roman" w:cs="Times New Roman"/>
          <w14:ligatures w14:val="none"/>
        </w:rPr>
        <w:t>(1), 22–35.</w:t>
      </w:r>
    </w:p>
    <w:p w14:paraId="57F694C4" w14:textId="77777777" w:rsidR="00DB6A40" w:rsidRPr="00DB6A40" w:rsidRDefault="00DB6A40" w:rsidP="007223FC">
      <w:pPr>
        <w:spacing w:line="240" w:lineRule="auto"/>
        <w:ind w:left="720" w:hanging="720"/>
        <w:jc w:val="both"/>
        <w:rPr>
          <w:rFonts w:ascii="Times New Roman" w:eastAsia="Calibri" w:hAnsi="Times New Roman" w:cs="Times New Roman"/>
          <w:b/>
          <w:bCs/>
          <w14:ligatures w14:val="none"/>
        </w:rPr>
      </w:pPr>
      <w:r w:rsidRPr="00DB6A40">
        <w:rPr>
          <w:rFonts w:ascii="Times New Roman" w:eastAsia="Calibri" w:hAnsi="Times New Roman" w:cs="Times New Roman"/>
          <w14:ligatures w14:val="none"/>
        </w:rPr>
        <w:t xml:space="preserve">Zango, A. G. (2024). Financial inclusion policies and performance of the Nigerian banking industry. </w:t>
      </w:r>
      <w:r w:rsidRPr="00DB6A40">
        <w:rPr>
          <w:rFonts w:ascii="Times New Roman" w:eastAsia="Calibri" w:hAnsi="Times New Roman" w:cs="Times New Roman"/>
          <w:i/>
          <w:iCs/>
          <w14:ligatures w14:val="none"/>
        </w:rPr>
        <w:t>Economic Modelling Insights, 20</w:t>
      </w:r>
      <w:r w:rsidRPr="00DB6A40">
        <w:rPr>
          <w:rFonts w:ascii="Times New Roman" w:eastAsia="Calibri" w:hAnsi="Times New Roman" w:cs="Times New Roman"/>
          <w14:ligatures w14:val="none"/>
        </w:rPr>
        <w:t>(2), 55–70.</w:t>
      </w:r>
    </w:p>
    <w:p w14:paraId="1CAC60E0" w14:textId="77777777" w:rsidR="00A60822" w:rsidRDefault="00A60822" w:rsidP="00A60822">
      <w:pPr>
        <w:spacing w:after="0" w:line="240" w:lineRule="auto"/>
        <w:jc w:val="both"/>
        <w:rPr>
          <w:rFonts w:ascii="Times New Roman" w:hAnsi="Times New Roman" w:cs="Times New Roman"/>
          <w:b/>
          <w:bCs/>
          <w:sz w:val="56"/>
          <w:szCs w:val="56"/>
        </w:rPr>
      </w:pPr>
    </w:p>
    <w:p w14:paraId="029F8A34" w14:textId="77777777" w:rsidR="001C4BAD" w:rsidRPr="001C4BAD" w:rsidRDefault="001C4BAD" w:rsidP="001C4BAD">
      <w:pPr>
        <w:spacing w:line="240" w:lineRule="auto"/>
        <w:jc w:val="center"/>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lastRenderedPageBreak/>
        <w:t>Empirical Investigation of the Nexus between Financial Technology and Financial Service Usage in Nigeria</w:t>
      </w:r>
    </w:p>
    <w:p w14:paraId="3D859E45" w14:textId="77777777" w:rsidR="001C4BAD" w:rsidRPr="001C4BAD" w:rsidRDefault="001C4BAD" w:rsidP="001C4BAD">
      <w:pPr>
        <w:spacing w:line="240" w:lineRule="auto"/>
        <w:jc w:val="center"/>
        <w:rPr>
          <w:rFonts w:ascii="Times New Roman" w:eastAsia="Calibri" w:hAnsi="Times New Roman" w:cs="Times New Roman"/>
          <w:bCs/>
          <w:kern w:val="0"/>
          <w14:ligatures w14:val="none"/>
        </w:rPr>
      </w:pPr>
      <w:r w:rsidRPr="001C4BAD">
        <w:rPr>
          <w:rFonts w:ascii="Times New Roman" w:eastAsia="Calibri" w:hAnsi="Times New Roman" w:cs="Times New Roman"/>
          <w:bCs/>
          <w:kern w:val="0"/>
          <w14:ligatures w14:val="none"/>
        </w:rPr>
        <w:t xml:space="preserve">Dr. Bob-Manuel, Grace Boma, </w:t>
      </w:r>
      <w:hyperlink r:id="rId86" w:history="1">
        <w:r w:rsidRPr="001C4BAD">
          <w:rPr>
            <w:rFonts w:ascii="Times New Roman" w:eastAsia="Calibri" w:hAnsi="Times New Roman" w:cs="Times New Roman"/>
            <w:bCs/>
            <w:color w:val="0000FF"/>
            <w:kern w:val="0"/>
            <w:u w:val="single"/>
            <w14:ligatures w14:val="none"/>
          </w:rPr>
          <w:t>bomabob13@gmail.com</w:t>
        </w:r>
      </w:hyperlink>
      <w:r w:rsidRPr="001C4BAD">
        <w:rPr>
          <w:rFonts w:ascii="Times New Roman" w:eastAsia="Calibri" w:hAnsi="Times New Roman" w:cs="Times New Roman"/>
          <w:bCs/>
          <w:kern w:val="0"/>
          <w14:ligatures w14:val="none"/>
        </w:rPr>
        <w:t xml:space="preserve"> ,08060781237</w:t>
      </w:r>
    </w:p>
    <w:p w14:paraId="4A158B72" w14:textId="77777777" w:rsidR="001C4BAD" w:rsidRPr="001C4BAD" w:rsidRDefault="001C4BAD" w:rsidP="001C4BAD">
      <w:pPr>
        <w:spacing w:line="240" w:lineRule="auto"/>
        <w:jc w:val="center"/>
        <w:rPr>
          <w:rFonts w:ascii="Times New Roman" w:eastAsia="Calibri" w:hAnsi="Times New Roman" w:cs="Times New Roman"/>
          <w:bCs/>
          <w:kern w:val="0"/>
          <w14:ligatures w14:val="none"/>
        </w:rPr>
      </w:pPr>
      <w:r w:rsidRPr="001C4BAD">
        <w:rPr>
          <w:rFonts w:ascii="Times New Roman" w:eastAsia="Calibri" w:hAnsi="Times New Roman" w:cs="Times New Roman"/>
          <w:bCs/>
          <w:kern w:val="0"/>
          <w14:ligatures w14:val="none"/>
        </w:rPr>
        <w:t xml:space="preserve">Dr </w:t>
      </w:r>
      <w:proofErr w:type="spellStart"/>
      <w:r w:rsidRPr="001C4BAD">
        <w:rPr>
          <w:rFonts w:ascii="Times New Roman" w:eastAsia="Calibri" w:hAnsi="Times New Roman" w:cs="Times New Roman"/>
          <w:bCs/>
          <w:kern w:val="0"/>
          <w14:ligatures w14:val="none"/>
        </w:rPr>
        <w:t>Ibebi</w:t>
      </w:r>
      <w:proofErr w:type="spellEnd"/>
      <w:r w:rsidRPr="001C4BAD">
        <w:rPr>
          <w:rFonts w:ascii="Times New Roman" w:eastAsia="Calibri" w:hAnsi="Times New Roman" w:cs="Times New Roman"/>
          <w:bCs/>
          <w:kern w:val="0"/>
          <w14:ligatures w14:val="none"/>
        </w:rPr>
        <w:t xml:space="preserve"> </w:t>
      </w:r>
      <w:proofErr w:type="gramStart"/>
      <w:r w:rsidRPr="001C4BAD">
        <w:rPr>
          <w:rFonts w:ascii="Times New Roman" w:eastAsia="Calibri" w:hAnsi="Times New Roman" w:cs="Times New Roman"/>
          <w:bCs/>
          <w:kern w:val="0"/>
          <w14:ligatures w14:val="none"/>
        </w:rPr>
        <w:t>Charles ,</w:t>
      </w:r>
      <w:proofErr w:type="gramEnd"/>
      <w:r w:rsidRPr="001C4BAD">
        <w:rPr>
          <w:rFonts w:ascii="Times New Roman" w:eastAsia="Calibri" w:hAnsi="Times New Roman" w:cs="Times New Roman"/>
          <w:bCs/>
          <w:kern w:val="0"/>
          <w14:ligatures w14:val="none"/>
        </w:rPr>
        <w:t xml:space="preserve"> </w:t>
      </w:r>
      <w:hyperlink r:id="rId87" w:history="1">
        <w:r w:rsidRPr="001C4BAD">
          <w:rPr>
            <w:rFonts w:ascii="Times New Roman" w:eastAsia="Calibri" w:hAnsi="Times New Roman" w:cs="Times New Roman"/>
            <w:bCs/>
            <w:color w:val="0000FF"/>
            <w:kern w:val="0"/>
            <w:u w:val="single"/>
            <w14:ligatures w14:val="none"/>
          </w:rPr>
          <w:t>ibebicharles@gmail.com</w:t>
        </w:r>
      </w:hyperlink>
      <w:r w:rsidRPr="001C4BAD">
        <w:rPr>
          <w:rFonts w:ascii="Times New Roman" w:eastAsia="Calibri" w:hAnsi="Times New Roman" w:cs="Times New Roman"/>
          <w:bCs/>
          <w:kern w:val="0"/>
          <w14:ligatures w14:val="none"/>
        </w:rPr>
        <w:t>,  08032330000</w:t>
      </w:r>
    </w:p>
    <w:p w14:paraId="37935EBE" w14:textId="77777777" w:rsidR="001C4BAD" w:rsidRPr="001C4BAD" w:rsidRDefault="001C4BAD" w:rsidP="001C4BAD">
      <w:pPr>
        <w:spacing w:line="240" w:lineRule="auto"/>
        <w:jc w:val="center"/>
        <w:rPr>
          <w:rFonts w:ascii="Times New Roman" w:eastAsia="Calibri" w:hAnsi="Times New Roman" w:cs="Times New Roman"/>
          <w:bCs/>
          <w:kern w:val="0"/>
          <w14:ligatures w14:val="none"/>
        </w:rPr>
      </w:pPr>
      <w:r w:rsidRPr="001C4BAD">
        <w:rPr>
          <w:rFonts w:ascii="Times New Roman" w:eastAsia="Calibri" w:hAnsi="Times New Roman" w:cs="Times New Roman"/>
          <w:bCs/>
          <w:kern w:val="0"/>
          <w14:ligatures w14:val="none"/>
        </w:rPr>
        <w:t xml:space="preserve">Department of Banking and Finance, Faculty of Management Science, Federal University </w:t>
      </w:r>
      <w:proofErr w:type="spellStart"/>
      <w:r w:rsidRPr="001C4BAD">
        <w:rPr>
          <w:rFonts w:ascii="Times New Roman" w:eastAsia="Calibri" w:hAnsi="Times New Roman" w:cs="Times New Roman"/>
          <w:bCs/>
          <w:kern w:val="0"/>
          <w14:ligatures w14:val="none"/>
        </w:rPr>
        <w:t>Otuoke</w:t>
      </w:r>
      <w:proofErr w:type="spellEnd"/>
      <w:r w:rsidRPr="001C4BAD">
        <w:rPr>
          <w:rFonts w:ascii="Times New Roman" w:eastAsia="Calibri" w:hAnsi="Times New Roman" w:cs="Times New Roman"/>
          <w:bCs/>
          <w:kern w:val="0"/>
          <w14:ligatures w14:val="none"/>
        </w:rPr>
        <w:t>, Bayelsa State</w:t>
      </w:r>
    </w:p>
    <w:p w14:paraId="2BA6800F" w14:textId="77777777" w:rsidR="001C4BAD" w:rsidRPr="001C4BAD" w:rsidRDefault="001C4BAD" w:rsidP="001C4BAD">
      <w:pPr>
        <w:spacing w:line="480" w:lineRule="auto"/>
        <w:jc w:val="center"/>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Abstract</w:t>
      </w:r>
    </w:p>
    <w:p w14:paraId="2D8B7B8B" w14:textId="77777777" w:rsidR="001C4BAD" w:rsidRPr="001C4BAD" w:rsidRDefault="001C4BAD" w:rsidP="001C4BAD">
      <w:pPr>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This study examined the effect </w:t>
      </w:r>
      <w:r w:rsidRPr="001C4BAD">
        <w:rPr>
          <w:rFonts w:ascii="Times New Roman" w:eastAsia="Times New Roman" w:hAnsi="Times New Roman" w:cs="Times New Roman"/>
          <w:color w:val="000000"/>
          <w:kern w:val="0"/>
          <w14:ligatures w14:val="none"/>
        </w:rPr>
        <w:t xml:space="preserve">of financial technology on financial service usage in Nigeria. Specifically, financial service usage was measured by deposit-to-GDP while financial technology indicators include mobile banking technology, internet banking technology, ATM technology and POS technology.  The CBN Statistical Bulletin and the World Bank WDI provided the quarterly data on the indicators of the financial technology and financial services usage. As methods for data analysis, the ARDL method, ADF unit root test, boundaries cointegration, and diagnostic tests were used to </w:t>
      </w:r>
      <w:proofErr w:type="spellStart"/>
      <w:r w:rsidRPr="001C4BAD">
        <w:rPr>
          <w:rFonts w:ascii="Times New Roman" w:eastAsia="Times New Roman" w:hAnsi="Times New Roman" w:cs="Times New Roman"/>
          <w:color w:val="000000"/>
          <w:kern w:val="0"/>
          <w14:ligatures w14:val="none"/>
        </w:rPr>
        <w:t>analyse</w:t>
      </w:r>
      <w:proofErr w:type="spellEnd"/>
      <w:r w:rsidRPr="001C4BAD">
        <w:rPr>
          <w:rFonts w:ascii="Times New Roman" w:eastAsia="Times New Roman" w:hAnsi="Times New Roman" w:cs="Times New Roman"/>
          <w:color w:val="000000"/>
          <w:kern w:val="0"/>
          <w14:ligatures w14:val="none"/>
        </w:rPr>
        <w:t xml:space="preserve"> the data. The unit root test results showed that the variables are mixed integrated. While POS technology was found to be stationary at levels, other variables are stationary at first difference. The bounds cointegration test results showed that long run relationship exist among the variables. </w:t>
      </w:r>
      <w:r w:rsidRPr="001C4BAD">
        <w:rPr>
          <w:rFonts w:ascii="Times New Roman" w:eastAsia="Calibri" w:hAnsi="Times New Roman" w:cs="Times New Roman"/>
          <w:kern w:val="0"/>
          <w14:ligatures w14:val="none"/>
        </w:rPr>
        <w:t xml:space="preserve">The ARDL results demonstrated that mobile banking technology has a positive and significant impact on the deposit-to-GDP ratio. The computed parameters clearly show that 1% rise in mobile banking technology increase the deposit-to-GDP ratio by 1.697 percent. The results also revealed that internet banking technology is positively and significantly linked to deposit-to-GDP ratio in the short run. It was observed from the estimated parameter that 1 percent increase in current internet banking leads to </w:t>
      </w:r>
      <w:r w:rsidRPr="001C4BAD">
        <w:rPr>
          <w:rFonts w:ascii="Times New Roman" w:eastAsia="Calibri" w:hAnsi="Times New Roman" w:cs="Times New Roman"/>
          <w:color w:val="000000"/>
          <w:kern w:val="0"/>
          <w14:ligatures w14:val="none"/>
        </w:rPr>
        <w:t xml:space="preserve">0.4267 percent in </w:t>
      </w:r>
      <w:r w:rsidRPr="001C4BAD">
        <w:rPr>
          <w:rFonts w:ascii="Times New Roman" w:eastAsia="Calibri" w:hAnsi="Times New Roman" w:cs="Times New Roman"/>
          <w:kern w:val="0"/>
          <w14:ligatures w14:val="none"/>
        </w:rPr>
        <w:t xml:space="preserve">deposit-to-GDP ratio. The findings revealed that ATM technology has a positive and significant effect on deposit-to-GDP ratio in the long and short run. As observed from the short run results, 1 percent increase in ATM technology increases deposit-to-GDP ratio by </w:t>
      </w:r>
      <w:r w:rsidRPr="001C4BAD">
        <w:rPr>
          <w:rFonts w:ascii="Times New Roman" w:eastAsia="Calibri" w:hAnsi="Times New Roman" w:cs="Times New Roman"/>
          <w:color w:val="000000"/>
          <w:kern w:val="0"/>
          <w14:ligatures w14:val="none"/>
        </w:rPr>
        <w:t>1.0428 percent in the short run. The results equally show evidence of</w:t>
      </w:r>
      <w:r w:rsidRPr="001C4BAD">
        <w:rPr>
          <w:rFonts w:ascii="Times New Roman" w:eastAsia="Calibri" w:hAnsi="Times New Roman" w:cs="Times New Roman"/>
          <w:kern w:val="0"/>
          <w14:ligatures w14:val="none"/>
        </w:rPr>
        <w:t xml:space="preserve"> a negative and significant relationship between POS transactions and deposit-to-GDP ratio in the long and short run. Given the findings, it is recommended that Deposit Money Banks should ensure that the provision of mobile and internet banking services is devoid of fraud and unauthorized access to customers’ use and foster financial inclusion in Nigeria. </w:t>
      </w:r>
    </w:p>
    <w:p w14:paraId="1DDCE296" w14:textId="77777777" w:rsidR="007223FC" w:rsidRDefault="007223FC" w:rsidP="001C4BAD">
      <w:pPr>
        <w:spacing w:line="240" w:lineRule="auto"/>
        <w:jc w:val="both"/>
        <w:rPr>
          <w:rFonts w:ascii="Times New Roman" w:eastAsia="Calibri" w:hAnsi="Times New Roman" w:cs="Times New Roman"/>
          <w:b/>
          <w:i/>
          <w:kern w:val="0"/>
          <w14:ligatures w14:val="none"/>
        </w:rPr>
      </w:pPr>
    </w:p>
    <w:p w14:paraId="5B0F50E5" w14:textId="5939EA43" w:rsidR="001C4BAD" w:rsidRPr="001C4BAD" w:rsidRDefault="001C4BAD" w:rsidP="001C4BAD">
      <w:pPr>
        <w:spacing w:line="24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i/>
          <w:kern w:val="0"/>
          <w14:ligatures w14:val="none"/>
        </w:rPr>
        <w:t>Keywords:</w:t>
      </w:r>
      <w:r w:rsidRPr="001C4BAD">
        <w:rPr>
          <w:rFonts w:ascii="Times New Roman" w:eastAsia="Calibri" w:hAnsi="Times New Roman" w:cs="Times New Roman"/>
          <w:b/>
          <w:kern w:val="0"/>
          <w14:ligatures w14:val="none"/>
        </w:rPr>
        <w:t xml:space="preserve"> Financial technology, </w:t>
      </w:r>
      <w:r w:rsidRPr="001C4BAD">
        <w:rPr>
          <w:rFonts w:ascii="Times New Roman" w:eastAsia="Times New Roman" w:hAnsi="Times New Roman" w:cs="Times New Roman"/>
          <w:b/>
          <w:color w:val="000000"/>
          <w:kern w:val="0"/>
          <w14:ligatures w14:val="none"/>
        </w:rPr>
        <w:t>financial service usage, mobile banking technology, internet banking technology, ATM technology and POS technology</w:t>
      </w:r>
    </w:p>
    <w:p w14:paraId="70CB3CB1" w14:textId="77777777" w:rsidR="001C4BAD" w:rsidRPr="001C4BAD" w:rsidRDefault="001C4BAD" w:rsidP="007223FC">
      <w:pPr>
        <w:spacing w:line="24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INTRODUCTION</w:t>
      </w:r>
    </w:p>
    <w:p w14:paraId="3FE4549A"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In recent times, the issue of financial inclusion has attracted more attention, with large </w:t>
      </w:r>
      <w:proofErr w:type="spellStart"/>
      <w:r w:rsidRPr="001C4BAD">
        <w:rPr>
          <w:rFonts w:ascii="Times New Roman" w:eastAsia="Calibri" w:hAnsi="Times New Roman" w:cs="Times New Roman"/>
          <w:kern w:val="0"/>
          <w14:ligatures w14:val="none"/>
        </w:rPr>
        <w:t>organisations</w:t>
      </w:r>
      <w:proofErr w:type="spellEnd"/>
      <w:r w:rsidRPr="001C4BAD">
        <w:rPr>
          <w:rFonts w:ascii="Times New Roman" w:eastAsia="Calibri" w:hAnsi="Times New Roman" w:cs="Times New Roman"/>
          <w:kern w:val="0"/>
          <w14:ligatures w14:val="none"/>
        </w:rPr>
        <w:t xml:space="preserve"> focusing on it and attempting to improve it. The United Nations has stated that one of the essential components to reaching some of its Sustainable Development Goals (SDG) that were created in 2015 and adopted by all of its members is financial inclusion (Allen </w:t>
      </w:r>
      <w:r w:rsidRPr="001C4BAD">
        <w:rPr>
          <w:rFonts w:ascii="Times New Roman" w:eastAsia="Calibri" w:hAnsi="Times New Roman" w:cs="Times New Roman"/>
          <w:i/>
          <w:kern w:val="0"/>
          <w14:ligatures w14:val="none"/>
        </w:rPr>
        <w:t>et al.</w:t>
      </w:r>
      <w:r w:rsidRPr="001C4BAD">
        <w:rPr>
          <w:rFonts w:ascii="Times New Roman" w:eastAsia="Calibri" w:hAnsi="Times New Roman" w:cs="Times New Roman"/>
          <w:kern w:val="0"/>
          <w14:ligatures w14:val="none"/>
        </w:rPr>
        <w:t xml:space="preserve"> 2016). To this end, the World Bank has put universal financial access on their agenda for completion in 2020, while the G20 committed to “high-level principles for digital inclusion” (World Bank 2018c; GPFI 2016). Nigeria's financial situation in 2022 will be determined, among other things, by how traditional banks and financial technology businesses take advantage of the large number of unbanked Nigerians.</w:t>
      </w:r>
    </w:p>
    <w:p w14:paraId="358E6CFD"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proofErr w:type="spellStart"/>
      <w:r w:rsidRPr="001C4BAD">
        <w:rPr>
          <w:rFonts w:ascii="Times New Roman" w:eastAsia="Calibri" w:hAnsi="Times New Roman" w:cs="Times New Roman"/>
          <w:kern w:val="0"/>
          <w14:ligatures w14:val="none"/>
        </w:rPr>
        <w:t>Alhough</w:t>
      </w:r>
      <w:proofErr w:type="spellEnd"/>
      <w:r w:rsidRPr="001C4BAD">
        <w:rPr>
          <w:rFonts w:ascii="Times New Roman" w:eastAsia="Calibri" w:hAnsi="Times New Roman" w:cs="Times New Roman"/>
          <w:kern w:val="0"/>
          <w14:ligatures w14:val="none"/>
        </w:rPr>
        <w:t xml:space="preserve"> there has been a noticeable rise in the number of financially included citizens, Nigeria's teeming population still faces issues with financial inclusion, particularly in rural areas. Nigeria only reached 51% of its 2020 National Financial Inclusion Strategy targets as opposed to the projected 70%. In Nigeria, almost 38 million persons are still entirely unbanked and there were N26.17 trillion in unbanked assets in 2021 (Ode, 2022). According to </w:t>
      </w:r>
      <w:proofErr w:type="spellStart"/>
      <w:r w:rsidRPr="001C4BAD">
        <w:rPr>
          <w:rFonts w:ascii="Times New Roman" w:eastAsia="Calibri" w:hAnsi="Times New Roman" w:cs="Times New Roman"/>
          <w:kern w:val="0"/>
          <w14:ligatures w14:val="none"/>
        </w:rPr>
        <w:t>Demirguc</w:t>
      </w:r>
      <w:proofErr w:type="spellEnd"/>
      <w:r w:rsidRPr="001C4BAD">
        <w:rPr>
          <w:rFonts w:ascii="Times New Roman" w:eastAsia="Calibri" w:hAnsi="Times New Roman" w:cs="Times New Roman"/>
          <w:kern w:val="0"/>
          <w14:ligatures w14:val="none"/>
        </w:rPr>
        <w:t xml:space="preserve">-Kunt et al. (2012), a financial system that is efficient and inclusive will benefit the poor and other disadvantaged groups since it will provide the latter a chance to invest and small businesses opportunity </w:t>
      </w:r>
      <w:r w:rsidRPr="001C4BAD">
        <w:rPr>
          <w:rFonts w:ascii="Times New Roman" w:eastAsia="Calibri" w:hAnsi="Times New Roman" w:cs="Times New Roman"/>
          <w:kern w:val="0"/>
          <w14:ligatures w14:val="none"/>
        </w:rPr>
        <w:lastRenderedPageBreak/>
        <w:t>to expand. When the underprivileged have access to formal and inexpensive finance, this can help to reduce income disparity and promote economic growth.</w:t>
      </w:r>
    </w:p>
    <w:p w14:paraId="33F805F8"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Notably, financial technology has the ability to open up new possibilities for better achieving inclusion and integration. However, scholars have continued to be interested in how much technology has made financial inclusion easier, particularly in emerging economies.</w:t>
      </w:r>
      <w:r w:rsidRPr="001C4BAD">
        <w:rPr>
          <w:rFonts w:ascii="Times New Roman" w:eastAsia="Calibri" w:hAnsi="Times New Roman" w:cs="Times New Roman"/>
          <w:bCs/>
          <w:kern w:val="0"/>
          <w14:ligatures w14:val="none"/>
        </w:rPr>
        <w:t xml:space="preserve"> For instance,</w:t>
      </w:r>
      <w:r w:rsidRPr="001C4BAD">
        <w:rPr>
          <w:rFonts w:ascii="Times New Roman" w:eastAsia="TimesNewRomanPSMT" w:hAnsi="Times New Roman" w:cs="Times New Roman"/>
          <w:kern w:val="0"/>
          <w14:ligatures w14:val="none"/>
        </w:rPr>
        <w:t xml:space="preserve"> </w:t>
      </w:r>
      <w:r w:rsidRPr="001C4BAD">
        <w:rPr>
          <w:rFonts w:ascii="Times New Roman" w:eastAsia="Calibri" w:hAnsi="Times New Roman" w:cs="Times New Roman"/>
          <w:kern w:val="0"/>
          <w14:ligatures w14:val="none"/>
        </w:rPr>
        <w:t xml:space="preserve">Fanta and Makina (2019) posit that the use of technology to deliver financial services encourages both access to and consumption of those services, giving underbanked and unbanked people access to formal and reasonably priced financial services. Its influence on underdeveloped economies has not received enough support yet. In the light of the growing controversies, this study examined the effect of the financial technology on financial service usage in Nigeria. </w:t>
      </w:r>
    </w:p>
    <w:p w14:paraId="40ECA0C4" w14:textId="77777777" w:rsidR="007223FC" w:rsidRDefault="007223FC" w:rsidP="007223FC">
      <w:pPr>
        <w:autoSpaceDE w:val="0"/>
        <w:autoSpaceDN w:val="0"/>
        <w:adjustRightInd w:val="0"/>
        <w:spacing w:after="0" w:line="240" w:lineRule="auto"/>
        <w:jc w:val="both"/>
        <w:rPr>
          <w:rFonts w:ascii="Times New Roman" w:eastAsia="Calibri" w:hAnsi="Times New Roman" w:cs="Times New Roman"/>
          <w:b/>
          <w:kern w:val="0"/>
          <w14:ligatures w14:val="none"/>
        </w:rPr>
      </w:pPr>
    </w:p>
    <w:p w14:paraId="4D09CFB0" w14:textId="5353623D"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Literature Review</w:t>
      </w:r>
    </w:p>
    <w:p w14:paraId="0C716F8D"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Theoretical Literature</w:t>
      </w:r>
    </w:p>
    <w:p w14:paraId="76D13B2D"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This study is anchored on the Task-Technology Fit (TTF) theory developed by Goodhue and Thompson (1995) and </w:t>
      </w:r>
      <w:proofErr w:type="spellStart"/>
      <w:r w:rsidRPr="001C4BAD">
        <w:rPr>
          <w:rFonts w:ascii="Times New Roman" w:eastAsia="Calibri" w:hAnsi="Times New Roman" w:cs="Times New Roman"/>
          <w:kern w:val="0"/>
          <w14:ligatures w14:val="none"/>
        </w:rPr>
        <w:t>Zigurs</w:t>
      </w:r>
      <w:proofErr w:type="spellEnd"/>
      <w:r w:rsidRPr="001C4BAD">
        <w:rPr>
          <w:rFonts w:ascii="Times New Roman" w:eastAsia="Calibri" w:hAnsi="Times New Roman" w:cs="Times New Roman"/>
          <w:kern w:val="0"/>
          <w14:ligatures w14:val="none"/>
        </w:rPr>
        <w:t xml:space="preserve"> and Buckland (1998), which provides a means of quantifying the effectiveness of technology in a system by assessing the relationship between the technology and the tasks the technology aims to supports. Essentially, TTF is a variance theory describing the interrelationship among three components – technology functionality, task requirements, and individual abilities – at a specific point in time (Goodhue &amp; Thompson, 1995). Task refers to the totality of physical and/or cognitive actions and processes done by individuals in a given environment. Technology is defined as the tools that are used by </w:t>
      </w:r>
      <w:proofErr w:type="gramStart"/>
      <w:r w:rsidRPr="001C4BAD">
        <w:rPr>
          <w:rFonts w:ascii="Times New Roman" w:eastAsia="Calibri" w:hAnsi="Times New Roman" w:cs="Times New Roman"/>
          <w:kern w:val="0"/>
          <w14:ligatures w14:val="none"/>
        </w:rPr>
        <w:t>individuals’</w:t>
      </w:r>
      <w:proofErr w:type="gramEnd"/>
      <w:r w:rsidRPr="001C4BAD">
        <w:rPr>
          <w:rFonts w:ascii="Times New Roman" w:eastAsia="Calibri" w:hAnsi="Times New Roman" w:cs="Times New Roman"/>
          <w:kern w:val="0"/>
          <w14:ligatures w14:val="none"/>
        </w:rPr>
        <w:t xml:space="preserve"> to execute, or assist in executing their task. TTF is defined as the extent to which a technology assists an individual in performing a </w:t>
      </w:r>
      <w:proofErr w:type="gramStart"/>
      <w:r w:rsidRPr="001C4BAD">
        <w:rPr>
          <w:rFonts w:ascii="Times New Roman" w:eastAsia="Calibri" w:hAnsi="Times New Roman" w:cs="Times New Roman"/>
          <w:kern w:val="0"/>
          <w14:ligatures w14:val="none"/>
        </w:rPr>
        <w:t>given tasks</w:t>
      </w:r>
      <w:proofErr w:type="gramEnd"/>
      <w:r w:rsidRPr="001C4BAD">
        <w:rPr>
          <w:rFonts w:ascii="Times New Roman" w:eastAsia="Calibri" w:hAnsi="Times New Roman" w:cs="Times New Roman"/>
          <w:kern w:val="0"/>
          <w14:ligatures w14:val="none"/>
        </w:rPr>
        <w:t xml:space="preserve">. </w:t>
      </w:r>
    </w:p>
    <w:p w14:paraId="53D82E13"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Some dimensions are used to measure fit as defined by Goodhue and </w:t>
      </w:r>
      <w:proofErr w:type="gramStart"/>
      <w:r w:rsidRPr="001C4BAD">
        <w:rPr>
          <w:rFonts w:ascii="Times New Roman" w:eastAsia="Calibri" w:hAnsi="Times New Roman" w:cs="Times New Roman"/>
          <w:kern w:val="0"/>
          <w14:ligatures w14:val="none"/>
        </w:rPr>
        <w:t>Thompson(</w:t>
      </w:r>
      <w:proofErr w:type="gramEnd"/>
      <w:r w:rsidRPr="001C4BAD">
        <w:rPr>
          <w:rFonts w:ascii="Times New Roman" w:eastAsia="Calibri" w:hAnsi="Times New Roman" w:cs="Times New Roman"/>
          <w:kern w:val="0"/>
          <w14:ligatures w14:val="none"/>
        </w:rPr>
        <w:t xml:space="preserve">1995) and they are data quality, </w:t>
      </w:r>
      <w:proofErr w:type="spellStart"/>
      <w:r w:rsidRPr="001C4BAD">
        <w:rPr>
          <w:rFonts w:ascii="Times New Roman" w:eastAsia="Calibri" w:hAnsi="Times New Roman" w:cs="Times New Roman"/>
          <w:kern w:val="0"/>
          <w14:ligatures w14:val="none"/>
        </w:rPr>
        <w:t>locatability</w:t>
      </w:r>
      <w:proofErr w:type="spellEnd"/>
      <w:r w:rsidRPr="001C4BAD">
        <w:rPr>
          <w:rFonts w:ascii="Times New Roman" w:eastAsia="Calibri" w:hAnsi="Times New Roman" w:cs="Times New Roman"/>
          <w:kern w:val="0"/>
          <w14:ligatures w14:val="none"/>
        </w:rPr>
        <w:t xml:space="preserve">, authorization to access data, data compatibility, ease of use training, production timeliness, systems reliability, information system relationship with users. </w:t>
      </w:r>
      <w:proofErr w:type="gramStart"/>
      <w:r w:rsidRPr="001C4BAD">
        <w:rPr>
          <w:rFonts w:ascii="Times New Roman" w:eastAsia="Calibri" w:hAnsi="Times New Roman" w:cs="Times New Roman"/>
          <w:kern w:val="0"/>
          <w14:ligatures w14:val="none"/>
        </w:rPr>
        <w:t>Thus</w:t>
      </w:r>
      <w:proofErr w:type="gramEnd"/>
      <w:r w:rsidRPr="001C4BAD">
        <w:rPr>
          <w:rFonts w:ascii="Times New Roman" w:eastAsia="Calibri" w:hAnsi="Times New Roman" w:cs="Times New Roman"/>
          <w:kern w:val="0"/>
          <w14:ligatures w14:val="none"/>
        </w:rPr>
        <w:t xml:space="preserve"> when technology fits the task characteristics it aims to support, it should result in an improved performance by reason of the smooth execution of the task, reduction in the cost of performing the task, or making the task easier to accomplish.</w:t>
      </w:r>
    </w:p>
    <w:p w14:paraId="276C6B24"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TTF is measured through assessment of user experience based on different dimensions such as quality of data, usability, and reliability of the technology. However, the assumption is that users evaluate both the functionality of the technology and the degree to which the technology assists them in task accomplishment and suits their abilities (Dishaw and Strong, 1999). According to TTF theory, a higher fit between technology, task requirements, and individual abilities will contribute to a better performance, that is, will lead to more efficient task accomplishment. When users acknowledge that technology improves the execution of a task, it leads to higher adoption and use and, in turn, to improved performance.</w:t>
      </w:r>
    </w:p>
    <w:p w14:paraId="05570E90"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The improved performance arises from an optimal TTF: when technology matches the task characteristics it aims to support and the individual abilities of the users, users may execute their tasks more smoothly (Cheng, &amp; Lee, 2007, Spies, Grobbelaar, &amp; Botha, 2020). The TTF component refers to the level to which technology assists users in accomplishing their work tasks and it comprises the task requirements, technology functionality, and individual abilities which all contribute to the level of TTF. The task requirements represent the physical and cognitive actions individuals carry out to turn inputs into outputs in a specific environment (Goodhue &amp; Thompson, 1995). A task may contain different levels of detail and requirements relating to the technology supporting the task. The technology functionality element refers to the tools that individuals use to perform tasks or use to assist them in performing their tasks. Technologies may include computer systems (hardware, software, and data) and support services (training, HR policies, and IT support). The technology functionality relates to the environment where technology is used and what tasks it aims to support. This is the moderating element, as to achieve an improved performance the individuals need to use the technology to perform the task. Furthermore, the individual abilities represent the different characteristics of an individual that may influence how proficiently they use the technology to perform work tasks. This element relates to a person’s internal resources, for example motivation, experience, and training in the use of different technologies (Goodhue &amp; Thompson, 1995). The performance impacts represent the task accomplishment of an individual. A higher performance assumes a </w:t>
      </w:r>
      <w:r w:rsidRPr="001C4BAD">
        <w:rPr>
          <w:rFonts w:ascii="Times New Roman" w:eastAsia="Calibri" w:hAnsi="Times New Roman" w:cs="Times New Roman"/>
          <w:kern w:val="0"/>
          <w14:ligatures w14:val="none"/>
        </w:rPr>
        <w:lastRenderedPageBreak/>
        <w:t>mixture of improved efficiency and effectiveness, and/or improved overall quality of the outputs (Goodhue &amp; Thompson, 1995).</w:t>
      </w:r>
    </w:p>
    <w:p w14:paraId="49FE4A15" w14:textId="77777777" w:rsidR="007223FC" w:rsidRDefault="007223FC" w:rsidP="007223FC">
      <w:pPr>
        <w:autoSpaceDE w:val="0"/>
        <w:autoSpaceDN w:val="0"/>
        <w:adjustRightInd w:val="0"/>
        <w:spacing w:after="0" w:line="240" w:lineRule="auto"/>
        <w:jc w:val="both"/>
        <w:rPr>
          <w:rFonts w:ascii="Times New Roman" w:eastAsia="Calibri" w:hAnsi="Times New Roman" w:cs="Times New Roman"/>
          <w:b/>
          <w:kern w:val="0"/>
          <w14:ligatures w14:val="none"/>
        </w:rPr>
      </w:pPr>
    </w:p>
    <w:p w14:paraId="77D64C8D" w14:textId="50E05A8A"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Empirical Literature</w:t>
      </w:r>
    </w:p>
    <w:p w14:paraId="7343BDCC"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color w:val="000000"/>
          <w:kern w:val="0"/>
          <w14:ligatures w14:val="none"/>
        </w:rPr>
      </w:pPr>
      <w:r w:rsidRPr="001C4BAD">
        <w:rPr>
          <w:rFonts w:ascii="Times New Roman" w:eastAsia="Calibri" w:hAnsi="Times New Roman" w:cs="Times New Roman"/>
          <w:color w:val="000000"/>
          <w:kern w:val="0"/>
          <w14:ligatures w14:val="none"/>
        </w:rPr>
        <w:t>Oumarou and Celestin (2021) investigated the determinant of financial inclusion in eight West African Economic and Monetary Union (WAEMU) member countries from 2004 to 2017. Their study included a set of digital finances parameters like mobile phone penetration and interbank credit transfers among other variables. They used panel ordinary least squares and generalized least squares techniques on the selected variables. Their results showed digital finances predicated by mobile money transfers significantly and positively aided financial inclusion in the WAEMU countries. The study further alluded that this positive effect is seen in the growth of financial inclusion in the region by over 50% in just 10 years from 2005 to 2015. Such determinant presents a window of opportunities to tap into digital financing for the growth of the region beyond the 21st century.</w:t>
      </w:r>
    </w:p>
    <w:p w14:paraId="08D52FA0"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color w:val="000000"/>
          <w:kern w:val="0"/>
          <w14:ligatures w14:val="none"/>
        </w:rPr>
      </w:pPr>
      <w:proofErr w:type="spellStart"/>
      <w:r w:rsidRPr="001C4BAD">
        <w:rPr>
          <w:rFonts w:ascii="Times New Roman" w:eastAsia="Calibri" w:hAnsi="Times New Roman" w:cs="Times New Roman"/>
          <w:color w:val="000000"/>
          <w:kern w:val="0"/>
          <w14:ligatures w14:val="none"/>
        </w:rPr>
        <w:t>Oyelami</w:t>
      </w:r>
      <w:proofErr w:type="spellEnd"/>
      <w:r w:rsidRPr="001C4BAD">
        <w:rPr>
          <w:rFonts w:ascii="Times New Roman" w:eastAsia="Calibri" w:hAnsi="Times New Roman" w:cs="Times New Roman"/>
          <w:color w:val="000000"/>
          <w:kern w:val="0"/>
          <w14:ligatures w14:val="none"/>
        </w:rPr>
        <w:t xml:space="preserve"> et al. (2020) investigated the impact of digital finance on consumer spending behavior in Lagos state Nigeria using a combination of data collected from primary and secondary sources. The sample data for the study were 405 commercial banks customers from the Lagos region. Utilizing autoregressive distributed lag framework on the variables, they found that digital finance penetration in Nigeria increases consumer spending behavior due to convenience and cost-effectiveness associated with digital currency. They thus recommended that government should deepen digital currency to boost aggregate demand and investment ultimately in the economy. </w:t>
      </w:r>
    </w:p>
    <w:p w14:paraId="7590D1FB"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color w:val="000000"/>
          <w:kern w:val="0"/>
          <w14:ligatures w14:val="none"/>
        </w:rPr>
      </w:pPr>
      <w:r w:rsidRPr="001C4BAD">
        <w:rPr>
          <w:rFonts w:ascii="Times New Roman" w:eastAsia="Calibri" w:hAnsi="Times New Roman" w:cs="Times New Roman"/>
          <w:color w:val="000000"/>
          <w:kern w:val="0"/>
          <w14:ligatures w14:val="none"/>
        </w:rPr>
        <w:t>Ene</w:t>
      </w:r>
      <w:r w:rsidRPr="001C4BAD">
        <w:rPr>
          <w:rFonts w:ascii="Arial" w:eastAsia="Calibri" w:hAnsi="Arial" w:cs="Arial"/>
          <w:color w:val="222222"/>
          <w:kern w:val="0"/>
          <w:sz w:val="20"/>
          <w:szCs w:val="20"/>
          <w:shd w:val="clear" w:color="auto" w:fill="FFFFFF"/>
          <w14:ligatures w14:val="none"/>
        </w:rPr>
        <w:t xml:space="preserve"> Abba and </w:t>
      </w:r>
      <w:proofErr w:type="spellStart"/>
      <w:r w:rsidRPr="001C4BAD">
        <w:rPr>
          <w:rFonts w:ascii="Arial" w:eastAsia="Calibri" w:hAnsi="Arial" w:cs="Arial"/>
          <w:color w:val="222222"/>
          <w:kern w:val="0"/>
          <w:sz w:val="20"/>
          <w:szCs w:val="20"/>
          <w:shd w:val="clear" w:color="auto" w:fill="FFFFFF"/>
          <w14:ligatures w14:val="none"/>
        </w:rPr>
        <w:t>Fatokun</w:t>
      </w:r>
      <w:proofErr w:type="spellEnd"/>
      <w:r w:rsidRPr="001C4BAD">
        <w:rPr>
          <w:rFonts w:ascii="Arial" w:eastAsia="Calibri" w:hAnsi="Arial" w:cs="Arial"/>
          <w:color w:val="222222"/>
          <w:kern w:val="0"/>
          <w:sz w:val="20"/>
          <w:szCs w:val="20"/>
          <w:shd w:val="clear" w:color="auto" w:fill="FFFFFF"/>
          <w14:ligatures w14:val="none"/>
        </w:rPr>
        <w:t xml:space="preserve">, </w:t>
      </w:r>
      <w:r w:rsidRPr="001C4BAD">
        <w:rPr>
          <w:rFonts w:ascii="Times New Roman" w:eastAsia="Calibri" w:hAnsi="Times New Roman" w:cs="Times New Roman"/>
          <w:color w:val="000000"/>
          <w:kern w:val="0"/>
          <w14:ligatures w14:val="none"/>
        </w:rPr>
        <w:t xml:space="preserve">(2019) carried out a study on the impact of electronic banking on financial inclusion with an effort to fetch out the key drivers of financial inclusion in the wake of Central Bank of Nigeria’s cashless policy. Regression analysis was adopted using ordinary least square in his data analysis. </w:t>
      </w:r>
      <w:proofErr w:type="gramStart"/>
      <w:r w:rsidRPr="001C4BAD">
        <w:rPr>
          <w:rFonts w:ascii="Times New Roman" w:eastAsia="Calibri" w:hAnsi="Times New Roman" w:cs="Times New Roman"/>
          <w:color w:val="000000"/>
          <w:kern w:val="0"/>
          <w14:ligatures w14:val="none"/>
        </w:rPr>
        <w:t>However</w:t>
      </w:r>
      <w:proofErr w:type="gramEnd"/>
      <w:r w:rsidRPr="001C4BAD">
        <w:rPr>
          <w:rFonts w:ascii="Times New Roman" w:eastAsia="Calibri" w:hAnsi="Times New Roman" w:cs="Times New Roman"/>
          <w:color w:val="000000"/>
          <w:kern w:val="0"/>
          <w14:ligatures w14:val="none"/>
        </w:rPr>
        <w:t xml:space="preserve"> he argued that electronic banking has significant effect on financial inclusion by specifically pointing out the point of sale as major driver of the financial inclusion in Nigeria. Although he </w:t>
      </w:r>
      <w:proofErr w:type="gramStart"/>
      <w:r w:rsidRPr="001C4BAD">
        <w:rPr>
          <w:rFonts w:ascii="Times New Roman" w:eastAsia="Calibri" w:hAnsi="Times New Roman" w:cs="Times New Roman"/>
          <w:color w:val="000000"/>
          <w:kern w:val="0"/>
          <w14:ligatures w14:val="none"/>
        </w:rPr>
        <w:t>attribute</w:t>
      </w:r>
      <w:proofErr w:type="gramEnd"/>
      <w:r w:rsidRPr="001C4BAD">
        <w:rPr>
          <w:rFonts w:ascii="Times New Roman" w:eastAsia="Calibri" w:hAnsi="Times New Roman" w:cs="Times New Roman"/>
          <w:color w:val="000000"/>
          <w:kern w:val="0"/>
          <w14:ligatures w14:val="none"/>
        </w:rPr>
        <w:t xml:space="preserve"> the ineffectiveness of automated teller machine to the contribution of financial inclusion as much as POS is as a result of network problem that the out of service report from machine is often thereby keeping the customers waiting till the services restored. The study showed that other technical issue such as dispense error and withholding the customers` cards after the uses of machine as a major problem that hindered its performance in driving the financial inclusion.</w:t>
      </w:r>
    </w:p>
    <w:p w14:paraId="4FD4879D"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color w:val="000000"/>
          <w:kern w:val="0"/>
          <w14:ligatures w14:val="none"/>
        </w:rPr>
      </w:pPr>
      <w:r w:rsidRPr="001C4BAD">
        <w:rPr>
          <w:rFonts w:ascii="Times New Roman" w:eastAsia="Calibri" w:hAnsi="Times New Roman" w:cs="Times New Roman"/>
          <w:color w:val="000000"/>
          <w:kern w:val="0"/>
          <w14:ligatures w14:val="none"/>
        </w:rPr>
        <w:t>Soriano (2017) investigated the role of digital finance in financial inclusion from the perspective of new financial technology ventures serving the worlds underbanked and unbanked in two key regions of the world – Africa and Asia. His study included a total of about 7,370 data points collected on 63 different FinTech firms that have been involved in business startups before 2017, notably from 2004 to 2017. Applying multi-variate regression and binomial logit techniques on the primary data collected for the purpose, he showed that FinTech startups with long years of experience in financial services, the degree of customer centrality to the business location and startup and the strategic collaboration of FinTech firms with other financial institutions and e-commerce enterprises exerted a strong, significant and positive correlation with financial inclusion and by extension financial performance. He thus argued that digital technologies such as mobile phones, cloud computing, data analytics and blockchain are necessary ingredients of financial inclusion to make the economically underserved and unserved population financially active.</w:t>
      </w:r>
    </w:p>
    <w:p w14:paraId="27636E93"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color w:val="000000"/>
          <w:kern w:val="0"/>
          <w14:ligatures w14:val="none"/>
        </w:rPr>
      </w:pPr>
      <w:r w:rsidRPr="001C4BAD">
        <w:rPr>
          <w:rFonts w:ascii="Times New Roman" w:eastAsia="Calibri" w:hAnsi="Times New Roman" w:cs="Times New Roman"/>
          <w:color w:val="000000"/>
          <w:kern w:val="0"/>
          <w14:ligatures w14:val="none"/>
        </w:rPr>
        <w:t xml:space="preserve">Mago and </w:t>
      </w:r>
      <w:proofErr w:type="spellStart"/>
      <w:r w:rsidRPr="001C4BAD">
        <w:rPr>
          <w:rFonts w:ascii="Times New Roman" w:eastAsia="Calibri" w:hAnsi="Times New Roman" w:cs="Times New Roman"/>
          <w:color w:val="000000"/>
          <w:kern w:val="0"/>
          <w14:ligatures w14:val="none"/>
        </w:rPr>
        <w:t>Chitokwindo</w:t>
      </w:r>
      <w:proofErr w:type="spellEnd"/>
      <w:r w:rsidRPr="001C4BAD">
        <w:rPr>
          <w:rFonts w:ascii="Times New Roman" w:eastAsia="Calibri" w:hAnsi="Times New Roman" w:cs="Times New Roman"/>
          <w:color w:val="000000"/>
          <w:kern w:val="0"/>
          <w14:ligatures w14:val="none"/>
        </w:rPr>
        <w:t xml:space="preserve">. (2014) examined the impact of financial technology on financial inclusion in Zimbabwe, with a focus on mobile banking in the Masvingo province. The research adopted a qualitative research methodology and a survey design. They argued that electronic banking significantly impacts financial inclusion in Zimbabwe. Their results show that </w:t>
      </w:r>
      <w:proofErr w:type="gramStart"/>
      <w:r w:rsidRPr="001C4BAD">
        <w:rPr>
          <w:rFonts w:ascii="Times New Roman" w:eastAsia="Calibri" w:hAnsi="Times New Roman" w:cs="Times New Roman"/>
          <w:color w:val="000000"/>
          <w:kern w:val="0"/>
          <w14:ligatures w14:val="none"/>
        </w:rPr>
        <w:t>low income</w:t>
      </w:r>
      <w:proofErr w:type="gramEnd"/>
      <w:r w:rsidRPr="001C4BAD">
        <w:rPr>
          <w:rFonts w:ascii="Times New Roman" w:eastAsia="Calibri" w:hAnsi="Times New Roman" w:cs="Times New Roman"/>
          <w:color w:val="000000"/>
          <w:kern w:val="0"/>
          <w14:ligatures w14:val="none"/>
        </w:rPr>
        <w:t xml:space="preserve"> people are willing to adopt mobile banking, thereby enhancing financial inclusion. The reason they argued in this line is that internet banking is easily accessible, convenient, cheaper, easy to use and secure. Although they adopted an admissible methodology, it could be observed that the scope of their study is too narrow since they under understudied only a province as against the entire country which would have produced a more robust analysis.  </w:t>
      </w:r>
    </w:p>
    <w:p w14:paraId="5A26D4DE" w14:textId="77777777" w:rsidR="007223FC" w:rsidRDefault="007223FC" w:rsidP="007223FC">
      <w:pPr>
        <w:spacing w:line="240" w:lineRule="auto"/>
        <w:jc w:val="both"/>
        <w:rPr>
          <w:rFonts w:ascii="Times New Roman" w:eastAsia="Calibri" w:hAnsi="Times New Roman" w:cs="Times New Roman"/>
          <w:b/>
          <w:kern w:val="0"/>
          <w14:ligatures w14:val="none"/>
        </w:rPr>
      </w:pPr>
    </w:p>
    <w:p w14:paraId="76E9B250" w14:textId="77777777" w:rsidR="007223FC" w:rsidRDefault="007223FC" w:rsidP="007223FC">
      <w:pPr>
        <w:spacing w:line="240" w:lineRule="auto"/>
        <w:jc w:val="both"/>
        <w:rPr>
          <w:rFonts w:ascii="Times New Roman" w:eastAsia="Calibri" w:hAnsi="Times New Roman" w:cs="Times New Roman"/>
          <w:b/>
          <w:kern w:val="0"/>
          <w14:ligatures w14:val="none"/>
        </w:rPr>
      </w:pPr>
    </w:p>
    <w:p w14:paraId="2C95BD65" w14:textId="1EC14110" w:rsidR="001C4BAD" w:rsidRPr="001C4BAD" w:rsidRDefault="001C4BAD" w:rsidP="007223FC">
      <w:pPr>
        <w:spacing w:line="24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lastRenderedPageBreak/>
        <w:t>Methodology</w:t>
      </w:r>
    </w:p>
    <w:p w14:paraId="078F83D1" w14:textId="77777777" w:rsidR="001C4BAD" w:rsidRPr="001C4BAD" w:rsidRDefault="001C4BAD" w:rsidP="007223FC">
      <w:pPr>
        <w:spacing w:after="0" w:line="240" w:lineRule="auto"/>
        <w:jc w:val="both"/>
        <w:rPr>
          <w:rFonts w:ascii="Times New Roman" w:eastAsia="Times New Roman" w:hAnsi="Times New Roman" w:cs="Times New Roman"/>
          <w:b/>
          <w:color w:val="000000"/>
          <w:kern w:val="0"/>
          <w14:ligatures w14:val="none"/>
        </w:rPr>
      </w:pPr>
      <w:r w:rsidRPr="001C4BAD">
        <w:rPr>
          <w:rFonts w:ascii="Times New Roman" w:eastAsia="Times New Roman" w:hAnsi="Times New Roman" w:cs="Times New Roman"/>
          <w:color w:val="000000"/>
          <w:kern w:val="0"/>
          <w14:ligatures w14:val="none"/>
        </w:rPr>
        <w:t xml:space="preserve"> </w:t>
      </w:r>
      <w:r w:rsidRPr="001C4BAD">
        <w:rPr>
          <w:rFonts w:ascii="Times New Roman" w:eastAsia="Times New Roman" w:hAnsi="Times New Roman" w:cs="Times New Roman"/>
          <w:b/>
          <w:color w:val="000000"/>
          <w:kern w:val="0"/>
          <w14:ligatures w14:val="none"/>
        </w:rPr>
        <w:t xml:space="preserve">Research Design </w:t>
      </w:r>
    </w:p>
    <w:p w14:paraId="27C09E47" w14:textId="77777777" w:rsidR="001C4BAD" w:rsidRPr="001C4BAD" w:rsidRDefault="001C4BAD" w:rsidP="007223FC">
      <w:pPr>
        <w:spacing w:after="0" w:line="240" w:lineRule="auto"/>
        <w:jc w:val="both"/>
        <w:rPr>
          <w:rFonts w:ascii="Times New Roman" w:eastAsia="Times New Roman" w:hAnsi="Times New Roman" w:cs="Times New Roman"/>
          <w:color w:val="000000"/>
          <w:kern w:val="0"/>
          <w14:ligatures w14:val="none"/>
        </w:rPr>
      </w:pPr>
      <w:r w:rsidRPr="001C4BAD">
        <w:rPr>
          <w:rFonts w:ascii="Times New Roman" w:eastAsia="Times New Roman" w:hAnsi="Times New Roman" w:cs="Times New Roman"/>
          <w:color w:val="000000"/>
          <w:kern w:val="0"/>
          <w14:ligatures w14:val="none"/>
        </w:rPr>
        <w:t>In this study, an ex post facto research design was adopted. This is because the variable under study cannot be manipulated or controlled by the researcher.</w:t>
      </w:r>
    </w:p>
    <w:p w14:paraId="2384C9DC" w14:textId="77777777" w:rsidR="001C4BAD" w:rsidRPr="001C4BAD" w:rsidRDefault="001C4BAD" w:rsidP="007223FC">
      <w:pPr>
        <w:spacing w:after="0" w:line="240" w:lineRule="auto"/>
        <w:jc w:val="both"/>
        <w:rPr>
          <w:rFonts w:ascii="Times New Roman" w:eastAsia="Times New Roman" w:hAnsi="Times New Roman" w:cs="Times New Roman"/>
          <w:b/>
          <w:color w:val="000000"/>
          <w:kern w:val="0"/>
          <w14:ligatures w14:val="none"/>
        </w:rPr>
      </w:pPr>
      <w:r w:rsidRPr="001C4BAD">
        <w:rPr>
          <w:rFonts w:ascii="Times New Roman" w:eastAsia="Times New Roman" w:hAnsi="Times New Roman" w:cs="Times New Roman"/>
          <w:b/>
          <w:color w:val="000000"/>
          <w:kern w:val="0"/>
          <w14:ligatures w14:val="none"/>
        </w:rPr>
        <w:t xml:space="preserve"> Model Specification</w:t>
      </w:r>
    </w:p>
    <w:p w14:paraId="3840BC03" w14:textId="77777777" w:rsidR="001C4BAD" w:rsidRPr="001C4BAD" w:rsidRDefault="001C4BAD" w:rsidP="007223FC">
      <w:pPr>
        <w:spacing w:after="0" w:line="240" w:lineRule="auto"/>
        <w:jc w:val="both"/>
        <w:rPr>
          <w:rFonts w:ascii="Times New Roman" w:eastAsia="Times New Roman" w:hAnsi="Times New Roman" w:cs="Times New Roman"/>
          <w:color w:val="000000"/>
          <w:kern w:val="0"/>
          <w14:ligatures w14:val="none"/>
        </w:rPr>
      </w:pPr>
      <w:r w:rsidRPr="001C4BAD">
        <w:rPr>
          <w:rFonts w:ascii="Times New Roman" w:eastAsia="Times New Roman" w:hAnsi="Times New Roman" w:cs="Times New Roman"/>
          <w:color w:val="000000"/>
          <w:kern w:val="0"/>
          <w14:ligatures w14:val="none"/>
        </w:rPr>
        <w:t>This followed the autoregressive distributed lag (ARDL) model. The model set up is provided as follows:</w:t>
      </w:r>
    </w:p>
    <w:p w14:paraId="267996AF" w14:textId="77777777" w:rsidR="001C4BAD" w:rsidRPr="001C4BAD" w:rsidRDefault="001C4BAD" w:rsidP="007223FC">
      <w:pPr>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position w:val="-12"/>
          <w14:ligatures w14:val="none"/>
        </w:rPr>
        <w:object w:dxaOrig="540" w:dyaOrig="360" w14:anchorId="35EBB33A">
          <v:shape id="_x0000_i1054" type="#_x0000_t75" style="width:37.5pt;height:21pt" o:ole="">
            <v:imagedata r:id="rId88" o:title=""/>
          </v:shape>
          <o:OLEObject Type="Embed" ProgID="Equation.3" ShapeID="_x0000_i1054" DrawAspect="Content" ObjectID="_1835537715" r:id="rId89"/>
        </w:object>
      </w:r>
      <w:r w:rsidRPr="001C4BAD">
        <w:rPr>
          <w:rFonts w:ascii="Times New Roman" w:eastAsia="Calibri" w:hAnsi="Times New Roman" w:cs="Times New Roman"/>
          <w:kern w:val="0"/>
          <w:vertAlign w:val="subscript"/>
          <w14:ligatures w14:val="none"/>
        </w:rPr>
        <w:t xml:space="preserve">= </w:t>
      </w:r>
      <w:r w:rsidRPr="001C4BAD">
        <w:rPr>
          <w:rFonts w:ascii="Times New Roman" w:eastAsia="Calibri" w:hAnsi="Times New Roman" w:cs="Times New Roman"/>
          <w:kern w:val="0"/>
          <w14:ligatures w14:val="none"/>
        </w:rPr>
        <w:t>a</w:t>
      </w:r>
      <w:r w:rsidRPr="001C4BAD">
        <w:rPr>
          <w:rFonts w:ascii="Times New Roman" w:eastAsia="Calibri" w:hAnsi="Times New Roman" w:cs="Times New Roman"/>
          <w:kern w:val="0"/>
          <w:vertAlign w:val="subscript"/>
          <w14:ligatures w14:val="none"/>
        </w:rPr>
        <w:t xml:space="preserve">1 </w:t>
      </w:r>
      <w:r w:rsidRPr="001C4BAD">
        <w:rPr>
          <w:rFonts w:ascii="Times New Roman" w:eastAsia="Calibri" w:hAnsi="Times New Roman" w:cs="Times New Roman"/>
          <w:kern w:val="0"/>
          <w14:ligatures w14:val="none"/>
        </w:rPr>
        <w:t xml:space="preserve">+ </w:t>
      </w:r>
      <w:r w:rsidRPr="001C4BAD">
        <w:rPr>
          <w:rFonts w:ascii="Times New Roman" w:eastAsia="Calibri" w:hAnsi="Times New Roman" w:cs="Times New Roman"/>
          <w:kern w:val="0"/>
          <w:position w:val="-28"/>
          <w14:ligatures w14:val="none"/>
        </w:rPr>
        <w:object w:dxaOrig="1400" w:dyaOrig="680" w14:anchorId="2E477F67">
          <v:shape id="_x0000_i1055" type="#_x0000_t75" style="width:69.75pt;height:35.25pt" o:ole="">
            <v:imagedata r:id="rId90" o:title=""/>
          </v:shape>
          <o:OLEObject Type="Embed" ProgID="Equation.3" ShapeID="_x0000_i1055" DrawAspect="Content" ObjectID="_1835537716" r:id="rId91"/>
        </w:object>
      </w:r>
      <w:r w:rsidRPr="001C4BAD">
        <w:rPr>
          <w:rFonts w:ascii="Times New Roman" w:eastAsia="Calibri" w:hAnsi="Times New Roman" w:cs="Times New Roman"/>
          <w:kern w:val="0"/>
          <w14:ligatures w14:val="none"/>
        </w:rPr>
        <w:t>+</w:t>
      </w:r>
      <w:r w:rsidRPr="001C4BAD">
        <w:rPr>
          <w:rFonts w:ascii="Times New Roman" w:eastAsia="Calibri" w:hAnsi="Times New Roman" w:cs="Times New Roman"/>
          <w:kern w:val="0"/>
          <w:position w:val="-10"/>
          <w14:ligatures w14:val="none"/>
        </w:rPr>
        <w:object w:dxaOrig="180" w:dyaOrig="340" w14:anchorId="07EF6943">
          <v:shape id="_x0000_i1056" type="#_x0000_t75" style="width:6.75pt;height:21pt" o:ole="">
            <v:imagedata r:id="rId92" o:title=""/>
          </v:shape>
          <o:OLEObject Type="Embed" ProgID="Equation.3" ShapeID="_x0000_i1056" DrawAspect="Content" ObjectID="_1835537717" r:id="rId93"/>
        </w:object>
      </w:r>
      <w:r w:rsidRPr="001C4BAD">
        <w:rPr>
          <w:rFonts w:ascii="Times New Roman" w:eastAsia="Calibri" w:hAnsi="Times New Roman" w:cs="Times New Roman"/>
          <w:kern w:val="0"/>
          <w:position w:val="-32"/>
          <w14:ligatures w14:val="none"/>
        </w:rPr>
        <w:object w:dxaOrig="3200" w:dyaOrig="720" w14:anchorId="06A5F6D3">
          <v:shape id="_x0000_i1057" type="#_x0000_t75" style="width:156.75pt;height:35.25pt" o:ole="">
            <v:imagedata r:id="rId94" o:title=""/>
          </v:shape>
          <o:OLEObject Type="Embed" ProgID="Equation.3" ShapeID="_x0000_i1057" DrawAspect="Content" ObjectID="_1835537718" r:id="rId95"/>
        </w:object>
      </w:r>
      <w:r w:rsidRPr="001C4BAD">
        <w:rPr>
          <w:rFonts w:ascii="Times New Roman" w:eastAsia="Calibri" w:hAnsi="Times New Roman" w:cs="Times New Roman"/>
          <w:kern w:val="0"/>
          <w:position w:val="-32"/>
          <w14:ligatures w14:val="none"/>
        </w:rPr>
        <w:object w:dxaOrig="1700" w:dyaOrig="720" w14:anchorId="27FABB12">
          <v:shape id="_x0000_i1058" type="#_x0000_t75" style="width:87.75pt;height:35.25pt" o:ole="">
            <v:imagedata r:id="rId96" o:title=""/>
          </v:shape>
          <o:OLEObject Type="Embed" ProgID="Equation.3" ShapeID="_x0000_i1058" DrawAspect="Content" ObjectID="_1835537719" r:id="rId97"/>
        </w:object>
      </w:r>
      <w:r w:rsidRPr="001C4BAD">
        <w:rPr>
          <w:rFonts w:ascii="Times New Roman" w:eastAsia="Calibri" w:hAnsi="Times New Roman" w:cs="Times New Roman"/>
          <w:kern w:val="0"/>
          <w14:ligatures w14:val="none"/>
        </w:rPr>
        <w:t xml:space="preserve"> </w:t>
      </w:r>
      <w:r w:rsidRPr="001C4BAD">
        <w:rPr>
          <w:rFonts w:ascii="Times New Roman" w:eastAsia="Calibri" w:hAnsi="Times New Roman" w:cs="Times New Roman"/>
          <w:kern w:val="0"/>
          <w:position w:val="-28"/>
          <w14:ligatures w14:val="none"/>
        </w:rPr>
        <w:object w:dxaOrig="1420" w:dyaOrig="680" w14:anchorId="58E760C7">
          <v:shape id="_x0000_i1059" type="#_x0000_t75" style="width:71.25pt;height:35.25pt" o:ole="">
            <v:imagedata r:id="rId98" o:title=""/>
          </v:shape>
          <o:OLEObject Type="Embed" ProgID="Equation.3" ShapeID="_x0000_i1059" DrawAspect="Content" ObjectID="_1835537720" r:id="rId99"/>
        </w:object>
      </w:r>
      <w:r w:rsidRPr="001C4BAD">
        <w:rPr>
          <w:rFonts w:ascii="Times New Roman" w:eastAsia="Calibri" w:hAnsi="Times New Roman" w:cs="Times New Roman"/>
          <w:kern w:val="0"/>
          <w14:ligatures w14:val="none"/>
        </w:rPr>
        <w:t>+</w:t>
      </w:r>
      <w:r w:rsidRPr="001C4BAD">
        <w:rPr>
          <w:rFonts w:ascii="Times New Roman" w:eastAsia="Calibri" w:hAnsi="Times New Roman" w:cs="Times New Roman"/>
          <w:kern w:val="0"/>
          <w:position w:val="-12"/>
          <w14:ligatures w14:val="none"/>
        </w:rPr>
        <w:object w:dxaOrig="2200" w:dyaOrig="360" w14:anchorId="3F7897D2">
          <v:shape id="_x0000_i1060" type="#_x0000_t75" style="width:109.5pt;height:21pt" o:ole="">
            <v:imagedata r:id="rId100" o:title=""/>
          </v:shape>
          <o:OLEObject Type="Embed" ProgID="Equation.3" ShapeID="_x0000_i1060" DrawAspect="Content" ObjectID="_1835537721" r:id="rId101"/>
        </w:object>
      </w:r>
      <w:r w:rsidRPr="001C4BAD">
        <w:rPr>
          <w:rFonts w:ascii="Times New Roman" w:eastAsia="Calibri" w:hAnsi="Times New Roman" w:cs="Times New Roman"/>
          <w:kern w:val="0"/>
          <w:position w:val="-12"/>
          <w:lang w:val="en-GB"/>
          <w14:ligatures w14:val="none"/>
        </w:rPr>
        <w:object w:dxaOrig="3560" w:dyaOrig="360" w14:anchorId="106531DA">
          <v:shape id="_x0000_i1061" type="#_x0000_t75" style="width:176.25pt;height:21pt" o:ole="">
            <v:imagedata r:id="rId102" o:title=""/>
          </v:shape>
          <o:OLEObject Type="Embed" ProgID="Equation.3" ShapeID="_x0000_i1061" DrawAspect="Content" ObjectID="_1835537722" r:id="rId103"/>
        </w:object>
      </w:r>
      <w:r w:rsidRPr="001C4BAD">
        <w:rPr>
          <w:rFonts w:ascii="Times New Roman" w:eastAsia="Calibri" w:hAnsi="Times New Roman" w:cs="Times New Roman"/>
          <w:kern w:val="0"/>
          <w:lang w:val="en-GB"/>
          <w14:ligatures w14:val="none"/>
        </w:rPr>
        <w:t xml:space="preserve"> </w:t>
      </w:r>
      <w:r w:rsidRPr="001C4BAD">
        <w:rPr>
          <w:rFonts w:ascii="Times New Roman" w:eastAsia="Calibri" w:hAnsi="Times New Roman" w:cs="Times New Roman"/>
          <w:kern w:val="0"/>
          <w14:ligatures w14:val="none"/>
        </w:rPr>
        <w:t xml:space="preserve">  </w:t>
      </w:r>
    </w:p>
    <w:p w14:paraId="21967804" w14:textId="77777777" w:rsidR="001C4BAD" w:rsidRPr="001C4BAD" w:rsidRDefault="001C4BAD" w:rsidP="007223FC">
      <w:pPr>
        <w:spacing w:after="200" w:line="240" w:lineRule="auto"/>
        <w:jc w:val="both"/>
        <w:rPr>
          <w:rFonts w:ascii="Times New Roman" w:eastAsia="Times New Roman" w:hAnsi="Times New Roman" w:cs="Times New Roman"/>
          <w:color w:val="000000"/>
          <w:kern w:val="0"/>
          <w14:ligatures w14:val="none"/>
        </w:rPr>
      </w:pPr>
      <w:r w:rsidRPr="001C4BAD">
        <w:rPr>
          <w:rFonts w:ascii="Times New Roman" w:eastAsia="Times New Roman" w:hAnsi="Times New Roman" w:cs="Times New Roman"/>
          <w:color w:val="000000"/>
          <w:kern w:val="0"/>
          <w14:ligatures w14:val="none"/>
        </w:rPr>
        <w:t>Where</w:t>
      </w:r>
      <w:r w:rsidRPr="001C4BAD">
        <w:rPr>
          <w:rFonts w:ascii="Times New Roman" w:eastAsia="Times New Roman" w:hAnsi="Times New Roman" w:cs="Times New Roman"/>
          <w:color w:val="000000"/>
          <w:kern w:val="0"/>
          <w14:ligatures w14:val="none"/>
        </w:rPr>
        <w:tab/>
        <w:t>: USE</w:t>
      </w:r>
      <w:r w:rsidRPr="001C4BAD">
        <w:rPr>
          <w:rFonts w:ascii="Times New Roman" w:eastAsia="Times New Roman" w:hAnsi="Times New Roman" w:cs="Times New Roman"/>
          <w:color w:val="000000"/>
          <w:kern w:val="0"/>
          <w14:ligatures w14:val="none"/>
        </w:rPr>
        <w:tab/>
        <w:t xml:space="preserve">= Financial service usage, MOB = Mobile banking technology, INT = Internet banking </w:t>
      </w:r>
      <w:proofErr w:type="gramStart"/>
      <w:r w:rsidRPr="001C4BAD">
        <w:rPr>
          <w:rFonts w:ascii="Times New Roman" w:eastAsia="Times New Roman" w:hAnsi="Times New Roman" w:cs="Times New Roman"/>
          <w:color w:val="000000"/>
          <w:kern w:val="0"/>
          <w14:ligatures w14:val="none"/>
        </w:rPr>
        <w:t>technology,  ATM</w:t>
      </w:r>
      <w:proofErr w:type="gramEnd"/>
      <w:r w:rsidRPr="001C4BAD">
        <w:rPr>
          <w:rFonts w:ascii="Times New Roman" w:eastAsia="Times New Roman" w:hAnsi="Times New Roman" w:cs="Times New Roman"/>
          <w:color w:val="000000"/>
          <w:kern w:val="0"/>
          <w14:ligatures w14:val="none"/>
        </w:rPr>
        <w:t xml:space="preserve"> = Automated Teller Machine technology and POS</w:t>
      </w:r>
      <w:r w:rsidRPr="001C4BAD">
        <w:rPr>
          <w:rFonts w:ascii="Times New Roman" w:eastAsia="Times New Roman" w:hAnsi="Times New Roman" w:cs="Times New Roman"/>
          <w:color w:val="000000"/>
          <w:kern w:val="0"/>
          <w14:ligatures w14:val="none"/>
        </w:rPr>
        <w:tab/>
        <w:t>= Point-of-sale technology</w:t>
      </w:r>
    </w:p>
    <w:p w14:paraId="2486ED06" w14:textId="77777777" w:rsidR="001C4BAD" w:rsidRPr="001C4BAD" w:rsidRDefault="001C4BAD" w:rsidP="007223FC">
      <w:pPr>
        <w:spacing w:after="0" w:line="240" w:lineRule="auto"/>
        <w:ind w:firstLine="720"/>
        <w:jc w:val="both"/>
        <w:rPr>
          <w:rFonts w:ascii="Times New Roman" w:eastAsia="Calibri" w:hAnsi="Times New Roman" w:cs="Times New Roman"/>
          <w:kern w:val="0"/>
          <w:lang w:val="en-GB"/>
          <w14:ligatures w14:val="none"/>
        </w:rPr>
      </w:pPr>
      <w:r w:rsidRPr="001C4BAD">
        <w:rPr>
          <w:rFonts w:ascii="Times New Roman" w:eastAsia="Calibri" w:hAnsi="Times New Roman" w:cs="Times New Roman"/>
          <w:kern w:val="0"/>
          <w:lang w:val="en-GB"/>
          <w14:ligatures w14:val="none"/>
        </w:rPr>
        <w:t>a</w:t>
      </w:r>
      <w:r w:rsidRPr="001C4BAD">
        <w:rPr>
          <w:rFonts w:ascii="Times New Roman" w:eastAsia="Calibri" w:hAnsi="Times New Roman" w:cs="Times New Roman"/>
          <w:kern w:val="0"/>
          <w:vertAlign w:val="subscript"/>
          <w:lang w:val="en-GB"/>
          <w14:ligatures w14:val="none"/>
        </w:rPr>
        <w:t>1 =</w:t>
      </w:r>
      <w:r w:rsidRPr="001C4BAD">
        <w:rPr>
          <w:rFonts w:ascii="Times New Roman" w:eastAsia="Calibri" w:hAnsi="Times New Roman" w:cs="Times New Roman"/>
          <w:kern w:val="0"/>
          <w:lang w:val="en-GB"/>
          <w14:ligatures w14:val="none"/>
        </w:rPr>
        <w:t xml:space="preserve"> constant parameter</w:t>
      </w:r>
    </w:p>
    <w:p w14:paraId="673FC22A" w14:textId="77777777" w:rsidR="001C4BAD" w:rsidRPr="001C4BAD" w:rsidRDefault="001C4BAD" w:rsidP="007223FC">
      <w:pPr>
        <w:spacing w:after="0" w:line="240" w:lineRule="auto"/>
        <w:ind w:left="900"/>
        <w:jc w:val="both"/>
        <w:rPr>
          <w:rFonts w:ascii="Times New Roman" w:eastAsia="Calibri" w:hAnsi="Times New Roman" w:cs="Times New Roman"/>
          <w:kern w:val="0"/>
          <w:lang w:val="en-GB"/>
          <w14:ligatures w14:val="none"/>
        </w:rPr>
      </w:pPr>
      <w:r w:rsidRPr="001C4BAD">
        <w:rPr>
          <w:rFonts w:ascii="Times New Roman" w:eastAsia="Calibri" w:hAnsi="Times New Roman" w:cs="Times New Roman"/>
          <w:kern w:val="0"/>
          <w:position w:val="-10"/>
          <w:lang w:val="en-GB"/>
          <w14:ligatures w14:val="none"/>
        </w:rPr>
        <w:object w:dxaOrig="279" w:dyaOrig="340" w14:anchorId="15363484">
          <v:shape id="_x0000_i1062" type="#_x0000_t75" style="width:15pt;height:15pt" o:ole="">
            <v:imagedata r:id="rId104" o:title=""/>
          </v:shape>
          <o:OLEObject Type="Embed" ProgID="Equation.3" ShapeID="_x0000_i1062" DrawAspect="Content" ObjectID="_1835537723" r:id="rId105"/>
        </w:object>
      </w:r>
      <w:r w:rsidRPr="001C4BAD">
        <w:rPr>
          <w:rFonts w:ascii="Times New Roman" w:eastAsia="Calibri" w:hAnsi="Times New Roman" w:cs="Times New Roman"/>
          <w:kern w:val="0"/>
          <w:lang w:val="en-GB"/>
          <w14:ligatures w14:val="none"/>
        </w:rPr>
        <w:t>-</w:t>
      </w:r>
      <w:r w:rsidRPr="001C4BAD">
        <w:rPr>
          <w:rFonts w:ascii="Times New Roman" w:eastAsia="Calibri" w:hAnsi="Times New Roman" w:cs="Times New Roman"/>
          <w:kern w:val="0"/>
          <w:position w:val="-12"/>
          <w:lang w:val="en-GB"/>
          <w14:ligatures w14:val="none"/>
        </w:rPr>
        <w:object w:dxaOrig="300" w:dyaOrig="360" w14:anchorId="5B8967E5">
          <v:shape id="_x0000_i1063" type="#_x0000_t75" style="width:15pt;height:21pt" o:ole="">
            <v:imagedata r:id="rId106" o:title=""/>
          </v:shape>
          <o:OLEObject Type="Embed" ProgID="Equation.3" ShapeID="_x0000_i1063" DrawAspect="Content" ObjectID="_1835537724" r:id="rId107"/>
        </w:object>
      </w:r>
      <w:r w:rsidRPr="001C4BAD">
        <w:rPr>
          <w:rFonts w:ascii="Times New Roman" w:eastAsia="Calibri" w:hAnsi="Times New Roman" w:cs="Times New Roman"/>
          <w:kern w:val="0"/>
          <w:lang w:val="en-GB"/>
          <w14:ligatures w14:val="none"/>
        </w:rPr>
        <w:t xml:space="preserve"> = short-run coefficient of the predictor variables</w:t>
      </w:r>
    </w:p>
    <w:p w14:paraId="1408ADF0" w14:textId="77777777" w:rsidR="001C4BAD" w:rsidRPr="001C4BAD" w:rsidRDefault="001C4BAD" w:rsidP="007223FC">
      <w:pPr>
        <w:spacing w:after="0" w:line="240" w:lineRule="auto"/>
        <w:ind w:left="900"/>
        <w:jc w:val="both"/>
        <w:rPr>
          <w:rFonts w:ascii="Times New Roman" w:eastAsia="Calibri" w:hAnsi="Times New Roman" w:cs="Times New Roman"/>
          <w:kern w:val="0"/>
          <w:lang w:val="en-GB"/>
          <w14:ligatures w14:val="none"/>
        </w:rPr>
      </w:pPr>
      <w:r w:rsidRPr="001C4BAD">
        <w:rPr>
          <w:rFonts w:ascii="Times New Roman" w:eastAsia="Calibri" w:hAnsi="Times New Roman" w:cs="Times New Roman"/>
          <w:kern w:val="0"/>
          <w:lang w:val="en-GB"/>
          <w14:ligatures w14:val="none"/>
        </w:rPr>
        <w:t xml:space="preserve"> θ</w:t>
      </w:r>
      <w:r w:rsidRPr="001C4BAD">
        <w:rPr>
          <w:rFonts w:ascii="Times New Roman" w:eastAsia="Calibri" w:hAnsi="Times New Roman" w:cs="Times New Roman"/>
          <w:kern w:val="0"/>
          <w:vertAlign w:val="subscript"/>
          <w:lang w:val="en-GB"/>
          <w14:ligatures w14:val="none"/>
        </w:rPr>
        <w:t>1</w:t>
      </w:r>
      <w:r w:rsidRPr="001C4BAD">
        <w:rPr>
          <w:rFonts w:ascii="Times New Roman" w:eastAsia="Calibri" w:hAnsi="Times New Roman" w:cs="Times New Roman"/>
          <w:kern w:val="0"/>
          <w:lang w:val="en-GB"/>
          <w14:ligatures w14:val="none"/>
        </w:rPr>
        <w:t>-θ</w:t>
      </w:r>
      <w:r w:rsidRPr="001C4BAD">
        <w:rPr>
          <w:rFonts w:ascii="Times New Roman" w:eastAsia="Calibri" w:hAnsi="Times New Roman" w:cs="Times New Roman"/>
          <w:kern w:val="0"/>
          <w:vertAlign w:val="subscript"/>
          <w:lang w:val="en-GB"/>
          <w14:ligatures w14:val="none"/>
        </w:rPr>
        <w:t>5</w:t>
      </w:r>
      <w:r w:rsidRPr="001C4BAD">
        <w:rPr>
          <w:rFonts w:ascii="Times New Roman" w:eastAsia="Calibri" w:hAnsi="Times New Roman" w:cs="Times New Roman"/>
          <w:kern w:val="0"/>
          <w:lang w:val="en-GB"/>
          <w14:ligatures w14:val="none"/>
        </w:rPr>
        <w:t xml:space="preserve"> = the long-run multipliers.</w:t>
      </w:r>
    </w:p>
    <w:p w14:paraId="2C057A26" w14:textId="77777777" w:rsidR="001C4BAD" w:rsidRPr="001C4BAD" w:rsidRDefault="001C4BAD" w:rsidP="007223FC">
      <w:pPr>
        <w:spacing w:after="0" w:line="240" w:lineRule="auto"/>
        <w:ind w:left="900"/>
        <w:jc w:val="both"/>
        <w:rPr>
          <w:rFonts w:ascii="Times New Roman" w:eastAsia="Calibri" w:hAnsi="Times New Roman" w:cs="Times New Roman"/>
          <w:kern w:val="0"/>
          <w14:ligatures w14:val="none"/>
        </w:rPr>
      </w:pPr>
      <w:r w:rsidRPr="001C4BAD">
        <w:rPr>
          <w:rFonts w:ascii="Times New Roman" w:eastAsia="Calibri" w:hAnsi="Times New Roman" w:cs="Times New Roman"/>
          <w:kern w:val="0"/>
          <w:position w:val="-12"/>
          <w14:ligatures w14:val="none"/>
        </w:rPr>
        <w:object w:dxaOrig="279" w:dyaOrig="360" w14:anchorId="4163A205">
          <v:shape id="_x0000_i1064" type="#_x0000_t75" style="width:15pt;height:21pt" o:ole="">
            <v:imagedata r:id="rId108" o:title=""/>
          </v:shape>
          <o:OLEObject Type="Embed" ProgID="Equation.3" ShapeID="_x0000_i1064" DrawAspect="Content" ObjectID="_1835537725" r:id="rId109"/>
        </w:object>
      </w:r>
      <w:r w:rsidRPr="001C4BAD">
        <w:rPr>
          <w:rFonts w:ascii="Times New Roman" w:eastAsia="Calibri" w:hAnsi="Times New Roman" w:cs="Times New Roman"/>
          <w:kern w:val="0"/>
          <w14:ligatures w14:val="none"/>
        </w:rPr>
        <w:t xml:space="preserve"> = error terms</w:t>
      </w:r>
    </w:p>
    <w:p w14:paraId="692BD2DA" w14:textId="77777777" w:rsidR="001C4BAD" w:rsidRPr="001C4BAD" w:rsidRDefault="001C4BAD" w:rsidP="007223FC">
      <w:pPr>
        <w:spacing w:after="0" w:line="240" w:lineRule="auto"/>
        <w:ind w:left="900"/>
        <w:jc w:val="both"/>
        <w:rPr>
          <w:rFonts w:ascii="Times New Roman" w:eastAsia="Calibri" w:hAnsi="Times New Roman" w:cs="Times New Roman"/>
          <w:kern w:val="0"/>
          <w14:ligatures w14:val="none"/>
        </w:rPr>
      </w:pPr>
      <w:r w:rsidRPr="001C4BAD">
        <w:rPr>
          <w:rFonts w:ascii="Times New Roman" w:eastAsia="Calibri" w:hAnsi="Times New Roman" w:cs="Times New Roman"/>
          <w:kern w:val="0"/>
          <w:position w:val="-4"/>
          <w14:ligatures w14:val="none"/>
        </w:rPr>
        <w:object w:dxaOrig="220" w:dyaOrig="260" w14:anchorId="264B6DE3">
          <v:shape id="_x0000_i1065" type="#_x0000_t75" style="width:6.75pt;height:15pt" o:ole="">
            <v:imagedata r:id="rId110" o:title=""/>
          </v:shape>
          <o:OLEObject Type="Embed" ProgID="Equation.3" ShapeID="_x0000_i1065" DrawAspect="Content" ObjectID="_1835537726" r:id="rId111"/>
        </w:object>
      </w:r>
      <w:r w:rsidRPr="001C4BAD">
        <w:rPr>
          <w:rFonts w:ascii="Times New Roman" w:eastAsia="Calibri" w:hAnsi="Times New Roman" w:cs="Times New Roman"/>
          <w:kern w:val="0"/>
          <w14:ligatures w14:val="none"/>
        </w:rPr>
        <w:t xml:space="preserve"> = first difference notation</w:t>
      </w:r>
    </w:p>
    <w:p w14:paraId="5144E73C" w14:textId="77777777" w:rsidR="001C4BAD" w:rsidRPr="001C4BAD" w:rsidRDefault="001C4BAD" w:rsidP="007223FC">
      <w:pPr>
        <w:spacing w:after="0" w:line="240" w:lineRule="auto"/>
        <w:ind w:left="900"/>
        <w:jc w:val="both"/>
        <w:rPr>
          <w:rFonts w:ascii="Times New Roman" w:eastAsia="Calibri" w:hAnsi="Times New Roman" w:cs="Times New Roman"/>
          <w:kern w:val="0"/>
          <w:lang w:val="en-GB"/>
          <w14:ligatures w14:val="none"/>
        </w:rPr>
      </w:pPr>
      <w:r w:rsidRPr="001C4BAD">
        <w:rPr>
          <w:rFonts w:ascii="Times New Roman" w:eastAsia="Calibri" w:hAnsi="Times New Roman" w:cs="Times New Roman"/>
          <w:kern w:val="0"/>
          <w14:ligatures w14:val="none"/>
        </w:rPr>
        <w:t xml:space="preserve">k = maximum lag order </w:t>
      </w:r>
    </w:p>
    <w:p w14:paraId="5B67D42B" w14:textId="77777777" w:rsidR="001C4BAD" w:rsidRPr="001C4BAD" w:rsidRDefault="001C4BAD" w:rsidP="007223FC">
      <w:pPr>
        <w:spacing w:line="24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Methods of Data Analysis</w:t>
      </w:r>
    </w:p>
    <w:p w14:paraId="39435AA0" w14:textId="77777777" w:rsidR="001C4BAD" w:rsidRPr="001C4BAD" w:rsidRDefault="001C4BAD" w:rsidP="007223FC">
      <w:pPr>
        <w:spacing w:after="0" w:line="240" w:lineRule="auto"/>
        <w:jc w:val="both"/>
        <w:rPr>
          <w:rFonts w:ascii="Times New Roman" w:eastAsia="Times New Roman" w:hAnsi="Times New Roman" w:cs="Times New Roman"/>
          <w:color w:val="000000"/>
          <w:kern w:val="0"/>
          <w14:ligatures w14:val="none"/>
        </w:rPr>
      </w:pPr>
      <w:r w:rsidRPr="001C4BAD">
        <w:rPr>
          <w:rFonts w:ascii="Times New Roman" w:eastAsia="Times New Roman" w:hAnsi="Times New Roman" w:cs="Times New Roman"/>
          <w:color w:val="000000"/>
          <w:kern w:val="0"/>
          <w14:ligatures w14:val="none"/>
        </w:rPr>
        <w:t xml:space="preserve">The data analysis for this study followed the Autoregressive Distributed Lag (ARDL) model developed by </w:t>
      </w:r>
      <w:proofErr w:type="spellStart"/>
      <w:r w:rsidRPr="001C4BAD">
        <w:rPr>
          <w:rFonts w:ascii="Times New Roman" w:eastAsia="Times New Roman" w:hAnsi="Times New Roman" w:cs="Times New Roman"/>
          <w:color w:val="000000"/>
          <w:kern w:val="0"/>
          <w14:ligatures w14:val="none"/>
        </w:rPr>
        <w:t>Pesaran</w:t>
      </w:r>
      <w:proofErr w:type="spellEnd"/>
      <w:r w:rsidRPr="001C4BAD">
        <w:rPr>
          <w:rFonts w:ascii="Times New Roman" w:eastAsia="Times New Roman" w:hAnsi="Times New Roman" w:cs="Times New Roman"/>
          <w:color w:val="000000"/>
          <w:kern w:val="0"/>
          <w14:ligatures w14:val="none"/>
        </w:rPr>
        <w:t xml:space="preserve"> &amp; Shin (1999). This approach was chosen because the variables are fractionally integrated (stationary at levels and first difference). The ARDL incorporates the autoregressive and distributed-lag processes into a single equation set-up, making it a dynamic regression model. The short- and long-term effects of the explanatory variables on the dependent variables are likewise captured. </w:t>
      </w:r>
      <w:r w:rsidRPr="001C4BAD">
        <w:rPr>
          <w:rFonts w:ascii="Times New Roman" w:eastAsia="Calibri" w:hAnsi="Times New Roman" w:cs="Times New Roman"/>
          <w:kern w:val="0"/>
          <w14:ligatures w14:val="none"/>
        </w:rPr>
        <w:t>The bounds co-integration test bound was applied to determine if long run relationship exists among the selected economic variables. The test specifically employed on the Wald test (F-test) for establishing long run relationship and the computed F-value encompasses lower and upper critical values.</w:t>
      </w:r>
      <w:r w:rsidRPr="001C4BAD">
        <w:rPr>
          <w:rFonts w:ascii="Times New Roman" w:eastAsia="Times New Roman" w:hAnsi="Times New Roman" w:cs="Times New Roman"/>
          <w:color w:val="000000"/>
          <w:kern w:val="0"/>
          <w14:ligatures w14:val="none"/>
        </w:rPr>
        <w:t xml:space="preserve"> </w:t>
      </w:r>
      <w:r w:rsidRPr="001C4BAD">
        <w:rPr>
          <w:rFonts w:ascii="Times New Roman" w:eastAsia="Calibri" w:hAnsi="Times New Roman" w:cs="Times New Roman"/>
          <w:kern w:val="0"/>
          <w:lang w:val="en-GB"/>
          <w14:ligatures w14:val="none"/>
        </w:rPr>
        <w:t xml:space="preserve">Descriptive statistics of mean distribution, standard deviation and Jarque-Bera statistics were applied to examine the distribution of the variables over the study period. </w:t>
      </w:r>
    </w:p>
    <w:p w14:paraId="67F88044" w14:textId="77777777" w:rsidR="001C4BAD" w:rsidRPr="001C4BAD" w:rsidRDefault="001C4BAD" w:rsidP="007223FC">
      <w:pPr>
        <w:spacing w:after="0" w:line="240" w:lineRule="auto"/>
        <w:jc w:val="both"/>
        <w:rPr>
          <w:rFonts w:ascii="Times New Roman" w:eastAsia="Times New Roman" w:hAnsi="Times New Roman" w:cs="Times New Roman"/>
          <w:b/>
          <w:color w:val="000000"/>
          <w:kern w:val="0"/>
          <w14:ligatures w14:val="none"/>
        </w:rPr>
      </w:pPr>
      <w:r w:rsidRPr="001C4BAD">
        <w:rPr>
          <w:rFonts w:ascii="Times New Roman" w:eastAsia="Times New Roman" w:hAnsi="Times New Roman" w:cs="Times New Roman"/>
          <w:b/>
          <w:color w:val="000000"/>
          <w:kern w:val="0"/>
          <w14:ligatures w14:val="none"/>
        </w:rPr>
        <w:t xml:space="preserve"> Results and Discussion</w:t>
      </w:r>
    </w:p>
    <w:p w14:paraId="435DB03B" w14:textId="77777777" w:rsidR="001C4BAD" w:rsidRPr="001C4BAD" w:rsidRDefault="001C4BAD" w:rsidP="007223FC">
      <w:pPr>
        <w:spacing w:line="240" w:lineRule="auto"/>
        <w:rPr>
          <w:rFonts w:ascii="Times New Roman" w:eastAsia="Calibri" w:hAnsi="Times New Roman" w:cs="Times New Roman"/>
          <w:b/>
          <w:bCs/>
          <w:kern w:val="0"/>
          <w14:ligatures w14:val="none"/>
        </w:rPr>
      </w:pPr>
      <w:r w:rsidRPr="001C4BAD">
        <w:rPr>
          <w:rFonts w:ascii="Times New Roman" w:eastAsia="Calibri" w:hAnsi="Times New Roman" w:cs="Times New Roman"/>
          <w:b/>
          <w:bCs/>
          <w:kern w:val="0"/>
          <w14:ligatures w14:val="none"/>
        </w:rPr>
        <w:t xml:space="preserve"> Descriptive Statistics</w:t>
      </w:r>
    </w:p>
    <w:p w14:paraId="7C3EA71D" w14:textId="77777777" w:rsidR="001C4BAD" w:rsidRPr="001C4BAD" w:rsidRDefault="001C4BAD" w:rsidP="007223FC">
      <w:pPr>
        <w:spacing w:line="240" w:lineRule="auto"/>
        <w:rPr>
          <w:rFonts w:ascii="Times New Roman" w:eastAsia="Calibri" w:hAnsi="Times New Roman" w:cs="Times New Roman"/>
          <w:b/>
          <w:bCs/>
          <w:kern w:val="0"/>
          <w14:ligatures w14:val="none"/>
        </w:rPr>
      </w:pPr>
      <w:r w:rsidRPr="001C4BAD">
        <w:rPr>
          <w:rFonts w:ascii="Times New Roman" w:eastAsia="Calibri" w:hAnsi="Times New Roman" w:cs="Times New Roman"/>
          <w:kern w:val="0"/>
          <w14:ligatures w14:val="none"/>
        </w:rPr>
        <w:t>The descriptive statistics are summarized in Table 1.</w:t>
      </w:r>
    </w:p>
    <w:p w14:paraId="0A9E0205" w14:textId="77777777" w:rsidR="001C4BAD" w:rsidRPr="001C4BAD" w:rsidRDefault="001C4BAD" w:rsidP="007223FC">
      <w:pPr>
        <w:spacing w:after="0" w:line="240" w:lineRule="auto"/>
        <w:rPr>
          <w:rFonts w:ascii="Times New Roman" w:eastAsia="Calibri" w:hAnsi="Times New Roman" w:cs="Times New Roman"/>
          <w:b/>
          <w:bCs/>
          <w:kern w:val="0"/>
          <w14:ligatures w14:val="none"/>
        </w:rPr>
      </w:pPr>
      <w:r w:rsidRPr="001C4BAD">
        <w:rPr>
          <w:rFonts w:ascii="Times New Roman" w:eastAsia="Calibri" w:hAnsi="Times New Roman" w:cs="Times New Roman"/>
          <w:b/>
          <w:bCs/>
          <w:kern w:val="0"/>
          <w14:ligatures w14:val="none"/>
        </w:rPr>
        <w:t>Table 1: Summary of descriptive Statistics</w:t>
      </w:r>
    </w:p>
    <w:tbl>
      <w:tblPr>
        <w:tblStyle w:val="TableGrid"/>
        <w:tblW w:w="9747" w:type="dxa"/>
        <w:tblLook w:val="0620" w:firstRow="1" w:lastRow="0" w:firstColumn="0" w:lastColumn="0" w:noHBand="1" w:noVBand="1"/>
      </w:tblPr>
      <w:tblGrid>
        <w:gridCol w:w="1668"/>
        <w:gridCol w:w="1417"/>
        <w:gridCol w:w="1276"/>
        <w:gridCol w:w="1559"/>
        <w:gridCol w:w="1418"/>
        <w:gridCol w:w="2409"/>
      </w:tblGrid>
      <w:tr w:rsidR="001C4BAD" w:rsidRPr="001C4BAD" w14:paraId="612545AD" w14:textId="77777777" w:rsidTr="005C4055">
        <w:tc>
          <w:tcPr>
            <w:tcW w:w="1668" w:type="dxa"/>
          </w:tcPr>
          <w:p w14:paraId="6AC01E4E" w14:textId="77777777" w:rsidR="001C4BAD" w:rsidRPr="001C4BAD" w:rsidRDefault="001C4BAD" w:rsidP="007223FC">
            <w:pPr>
              <w:rPr>
                <w:rFonts w:ascii="Times New Roman" w:eastAsia="Calibri" w:hAnsi="Times New Roman" w:cs="Times New Roman"/>
              </w:rPr>
            </w:pPr>
          </w:p>
        </w:tc>
        <w:tc>
          <w:tcPr>
            <w:tcW w:w="1417" w:type="dxa"/>
          </w:tcPr>
          <w:p w14:paraId="675781C8"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USE</w:t>
            </w:r>
          </w:p>
        </w:tc>
        <w:tc>
          <w:tcPr>
            <w:tcW w:w="1276" w:type="dxa"/>
          </w:tcPr>
          <w:p w14:paraId="231AC1A1"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MOB</w:t>
            </w:r>
          </w:p>
        </w:tc>
        <w:tc>
          <w:tcPr>
            <w:tcW w:w="1559" w:type="dxa"/>
          </w:tcPr>
          <w:p w14:paraId="54830D83"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INT</w:t>
            </w:r>
          </w:p>
        </w:tc>
        <w:tc>
          <w:tcPr>
            <w:tcW w:w="1418" w:type="dxa"/>
          </w:tcPr>
          <w:p w14:paraId="42AA3421"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ATM</w:t>
            </w:r>
          </w:p>
        </w:tc>
        <w:tc>
          <w:tcPr>
            <w:tcW w:w="2409" w:type="dxa"/>
          </w:tcPr>
          <w:p w14:paraId="169EB227"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POS</w:t>
            </w:r>
          </w:p>
        </w:tc>
      </w:tr>
      <w:tr w:rsidR="001C4BAD" w:rsidRPr="001C4BAD" w14:paraId="0A58AF83" w14:textId="77777777" w:rsidTr="005C4055">
        <w:tc>
          <w:tcPr>
            <w:tcW w:w="1668" w:type="dxa"/>
          </w:tcPr>
          <w:p w14:paraId="6DEEF0EF"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Mean</w:t>
            </w:r>
          </w:p>
        </w:tc>
        <w:tc>
          <w:tcPr>
            <w:tcW w:w="1417" w:type="dxa"/>
          </w:tcPr>
          <w:p w14:paraId="029E0108"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17.9645</w:t>
            </w:r>
          </w:p>
        </w:tc>
        <w:tc>
          <w:tcPr>
            <w:tcW w:w="1276" w:type="dxa"/>
          </w:tcPr>
          <w:p w14:paraId="029A3B4B"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203.0639</w:t>
            </w:r>
          </w:p>
        </w:tc>
        <w:tc>
          <w:tcPr>
            <w:tcW w:w="1559" w:type="dxa"/>
          </w:tcPr>
          <w:p w14:paraId="71E1663D"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3166.270</w:t>
            </w:r>
          </w:p>
        </w:tc>
        <w:tc>
          <w:tcPr>
            <w:tcW w:w="1418" w:type="dxa"/>
          </w:tcPr>
          <w:p w14:paraId="6F1C39A0"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452.2552</w:t>
            </w:r>
          </w:p>
        </w:tc>
        <w:tc>
          <w:tcPr>
            <w:tcW w:w="2409" w:type="dxa"/>
          </w:tcPr>
          <w:p w14:paraId="28DB910F"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110.1118</w:t>
            </w:r>
          </w:p>
        </w:tc>
      </w:tr>
      <w:tr w:rsidR="001C4BAD" w:rsidRPr="001C4BAD" w14:paraId="74CBEEDA" w14:textId="77777777" w:rsidTr="005C4055">
        <w:tc>
          <w:tcPr>
            <w:tcW w:w="1668" w:type="dxa"/>
          </w:tcPr>
          <w:p w14:paraId="0751FDE0"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Median</w:t>
            </w:r>
          </w:p>
        </w:tc>
        <w:tc>
          <w:tcPr>
            <w:tcW w:w="1417" w:type="dxa"/>
          </w:tcPr>
          <w:p w14:paraId="6F852036"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17.9300</w:t>
            </w:r>
          </w:p>
        </w:tc>
        <w:tc>
          <w:tcPr>
            <w:tcW w:w="1276" w:type="dxa"/>
          </w:tcPr>
          <w:p w14:paraId="6131AD67"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43.5650</w:t>
            </w:r>
          </w:p>
        </w:tc>
        <w:tc>
          <w:tcPr>
            <w:tcW w:w="1559" w:type="dxa"/>
          </w:tcPr>
          <w:p w14:paraId="49D636F0"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8.2250</w:t>
            </w:r>
          </w:p>
        </w:tc>
        <w:tc>
          <w:tcPr>
            <w:tcW w:w="1418" w:type="dxa"/>
          </w:tcPr>
          <w:p w14:paraId="3A066BF5"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363.0400</w:t>
            </w:r>
          </w:p>
        </w:tc>
        <w:tc>
          <w:tcPr>
            <w:tcW w:w="2409" w:type="dxa"/>
          </w:tcPr>
          <w:p w14:paraId="23685685"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39.5150</w:t>
            </w:r>
          </w:p>
        </w:tc>
      </w:tr>
      <w:tr w:rsidR="001C4BAD" w:rsidRPr="001C4BAD" w14:paraId="6734A066" w14:textId="77777777" w:rsidTr="005C4055">
        <w:tc>
          <w:tcPr>
            <w:tcW w:w="1668" w:type="dxa"/>
          </w:tcPr>
          <w:p w14:paraId="4E97066C"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Maximum</w:t>
            </w:r>
          </w:p>
        </w:tc>
        <w:tc>
          <w:tcPr>
            <w:tcW w:w="1417" w:type="dxa"/>
          </w:tcPr>
          <w:p w14:paraId="12DE465D"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20.8400</w:t>
            </w:r>
          </w:p>
        </w:tc>
        <w:tc>
          <w:tcPr>
            <w:tcW w:w="1276" w:type="dxa"/>
          </w:tcPr>
          <w:p w14:paraId="743E0B30"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1933.580</w:t>
            </w:r>
          </w:p>
        </w:tc>
        <w:tc>
          <w:tcPr>
            <w:tcW w:w="1559" w:type="dxa"/>
          </w:tcPr>
          <w:p w14:paraId="0B40337E"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46645.99</w:t>
            </w:r>
          </w:p>
        </w:tc>
        <w:tc>
          <w:tcPr>
            <w:tcW w:w="1418" w:type="dxa"/>
          </w:tcPr>
          <w:p w14:paraId="39041069"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1754.260</w:t>
            </w:r>
          </w:p>
        </w:tc>
        <w:tc>
          <w:tcPr>
            <w:tcW w:w="2409" w:type="dxa"/>
          </w:tcPr>
          <w:p w14:paraId="6BF6695A"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574.3700</w:t>
            </w:r>
          </w:p>
        </w:tc>
      </w:tr>
      <w:tr w:rsidR="001C4BAD" w:rsidRPr="001C4BAD" w14:paraId="7612ACF6" w14:textId="77777777" w:rsidTr="005C4055">
        <w:tc>
          <w:tcPr>
            <w:tcW w:w="1668" w:type="dxa"/>
          </w:tcPr>
          <w:p w14:paraId="68FA48E3"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Minimum</w:t>
            </w:r>
          </w:p>
        </w:tc>
        <w:tc>
          <w:tcPr>
            <w:tcW w:w="1417" w:type="dxa"/>
          </w:tcPr>
          <w:p w14:paraId="64CB1284"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16.4100</w:t>
            </w:r>
          </w:p>
        </w:tc>
        <w:tc>
          <w:tcPr>
            <w:tcW w:w="1276" w:type="dxa"/>
          </w:tcPr>
          <w:p w14:paraId="5D923AED"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0.3800</w:t>
            </w:r>
          </w:p>
        </w:tc>
        <w:tc>
          <w:tcPr>
            <w:tcW w:w="1559" w:type="dxa"/>
          </w:tcPr>
          <w:p w14:paraId="4DEB824B"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1.3300</w:t>
            </w:r>
          </w:p>
        </w:tc>
        <w:tc>
          <w:tcPr>
            <w:tcW w:w="1418" w:type="dxa"/>
          </w:tcPr>
          <w:p w14:paraId="5EF25C2C"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25.3300</w:t>
            </w:r>
          </w:p>
        </w:tc>
        <w:tc>
          <w:tcPr>
            <w:tcW w:w="2409" w:type="dxa"/>
          </w:tcPr>
          <w:p w14:paraId="12C6F787"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0.9100</w:t>
            </w:r>
          </w:p>
        </w:tc>
      </w:tr>
      <w:tr w:rsidR="001C4BAD" w:rsidRPr="001C4BAD" w14:paraId="581932C7" w14:textId="77777777" w:rsidTr="005C4055">
        <w:tc>
          <w:tcPr>
            <w:tcW w:w="1668" w:type="dxa"/>
          </w:tcPr>
          <w:p w14:paraId="45825F0A"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Std. Dev.</w:t>
            </w:r>
          </w:p>
        </w:tc>
        <w:tc>
          <w:tcPr>
            <w:tcW w:w="1417" w:type="dxa"/>
          </w:tcPr>
          <w:p w14:paraId="3584DE45"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1.2820</w:t>
            </w:r>
          </w:p>
        </w:tc>
        <w:tc>
          <w:tcPr>
            <w:tcW w:w="1276" w:type="dxa"/>
          </w:tcPr>
          <w:p w14:paraId="454FDC86"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399.1504</w:t>
            </w:r>
          </w:p>
        </w:tc>
        <w:tc>
          <w:tcPr>
            <w:tcW w:w="1559" w:type="dxa"/>
          </w:tcPr>
          <w:p w14:paraId="23CBEA41"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10324.78</w:t>
            </w:r>
          </w:p>
        </w:tc>
        <w:tc>
          <w:tcPr>
            <w:tcW w:w="1418" w:type="dxa"/>
          </w:tcPr>
          <w:p w14:paraId="60E696D4"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407.7713</w:t>
            </w:r>
          </w:p>
        </w:tc>
        <w:tc>
          <w:tcPr>
            <w:tcW w:w="2409" w:type="dxa"/>
          </w:tcPr>
          <w:p w14:paraId="09352D58"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140.1028</w:t>
            </w:r>
          </w:p>
        </w:tc>
      </w:tr>
      <w:tr w:rsidR="001C4BAD" w:rsidRPr="001C4BAD" w14:paraId="05C32DAF" w14:textId="77777777" w:rsidTr="005C4055">
        <w:tc>
          <w:tcPr>
            <w:tcW w:w="1668" w:type="dxa"/>
          </w:tcPr>
          <w:p w14:paraId="59BDE3C5"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Jarque-Bera</w:t>
            </w:r>
          </w:p>
        </w:tc>
        <w:tc>
          <w:tcPr>
            <w:tcW w:w="1417" w:type="dxa"/>
          </w:tcPr>
          <w:p w14:paraId="64D7D07C"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3.5476</w:t>
            </w:r>
          </w:p>
        </w:tc>
        <w:tc>
          <w:tcPr>
            <w:tcW w:w="1276" w:type="dxa"/>
          </w:tcPr>
          <w:p w14:paraId="46660FAB"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157.9442</w:t>
            </w:r>
          </w:p>
        </w:tc>
        <w:tc>
          <w:tcPr>
            <w:tcW w:w="1559" w:type="dxa"/>
          </w:tcPr>
          <w:p w14:paraId="5473FF2B"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197.9796</w:t>
            </w:r>
          </w:p>
        </w:tc>
        <w:tc>
          <w:tcPr>
            <w:tcW w:w="1418" w:type="dxa"/>
          </w:tcPr>
          <w:p w14:paraId="0110EB9E"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49.8295</w:t>
            </w:r>
          </w:p>
        </w:tc>
        <w:tc>
          <w:tcPr>
            <w:tcW w:w="2409" w:type="dxa"/>
          </w:tcPr>
          <w:p w14:paraId="012BBB75"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19.4878</w:t>
            </w:r>
          </w:p>
        </w:tc>
      </w:tr>
      <w:tr w:rsidR="001C4BAD" w:rsidRPr="001C4BAD" w14:paraId="150AC396" w14:textId="77777777" w:rsidTr="005C4055">
        <w:tc>
          <w:tcPr>
            <w:tcW w:w="1668" w:type="dxa"/>
          </w:tcPr>
          <w:p w14:paraId="2BBC37B3"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Prob.</w:t>
            </w:r>
          </w:p>
        </w:tc>
        <w:tc>
          <w:tcPr>
            <w:tcW w:w="1417" w:type="dxa"/>
          </w:tcPr>
          <w:p w14:paraId="6EB1A42A"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0.1696</w:t>
            </w:r>
          </w:p>
        </w:tc>
        <w:tc>
          <w:tcPr>
            <w:tcW w:w="1276" w:type="dxa"/>
          </w:tcPr>
          <w:p w14:paraId="2FF3D3B3"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0.0000</w:t>
            </w:r>
          </w:p>
        </w:tc>
        <w:tc>
          <w:tcPr>
            <w:tcW w:w="1559" w:type="dxa"/>
          </w:tcPr>
          <w:p w14:paraId="380D37FE"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0.0000</w:t>
            </w:r>
          </w:p>
        </w:tc>
        <w:tc>
          <w:tcPr>
            <w:tcW w:w="1418" w:type="dxa"/>
          </w:tcPr>
          <w:p w14:paraId="6E29ED6D"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0.0000</w:t>
            </w:r>
          </w:p>
        </w:tc>
        <w:tc>
          <w:tcPr>
            <w:tcW w:w="2409" w:type="dxa"/>
          </w:tcPr>
          <w:p w14:paraId="59866CDA"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0.0000</w:t>
            </w:r>
          </w:p>
        </w:tc>
      </w:tr>
      <w:tr w:rsidR="001C4BAD" w:rsidRPr="001C4BAD" w14:paraId="52F8CCFE" w14:textId="77777777" w:rsidTr="005C4055">
        <w:tc>
          <w:tcPr>
            <w:tcW w:w="1668" w:type="dxa"/>
          </w:tcPr>
          <w:p w14:paraId="58FE038B"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Obs.</w:t>
            </w:r>
          </w:p>
        </w:tc>
        <w:tc>
          <w:tcPr>
            <w:tcW w:w="1417" w:type="dxa"/>
          </w:tcPr>
          <w:p w14:paraId="23DAD23A"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44</w:t>
            </w:r>
          </w:p>
        </w:tc>
        <w:tc>
          <w:tcPr>
            <w:tcW w:w="1276" w:type="dxa"/>
          </w:tcPr>
          <w:p w14:paraId="1CBFAFAC"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44</w:t>
            </w:r>
          </w:p>
        </w:tc>
        <w:tc>
          <w:tcPr>
            <w:tcW w:w="1559" w:type="dxa"/>
          </w:tcPr>
          <w:p w14:paraId="00C32098"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44</w:t>
            </w:r>
          </w:p>
        </w:tc>
        <w:tc>
          <w:tcPr>
            <w:tcW w:w="1418" w:type="dxa"/>
          </w:tcPr>
          <w:p w14:paraId="58C62928"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44</w:t>
            </w:r>
          </w:p>
        </w:tc>
        <w:tc>
          <w:tcPr>
            <w:tcW w:w="2409" w:type="dxa"/>
          </w:tcPr>
          <w:p w14:paraId="4525B761"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44</w:t>
            </w:r>
          </w:p>
        </w:tc>
      </w:tr>
    </w:tbl>
    <w:p w14:paraId="2DDD146D" w14:textId="77777777" w:rsidR="001C4BAD" w:rsidRPr="001C4BAD" w:rsidRDefault="001C4BAD" w:rsidP="007223FC">
      <w:pPr>
        <w:spacing w:line="240" w:lineRule="auto"/>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Source: Researcher’s computation (2022) using E-views 12</w:t>
      </w:r>
    </w:p>
    <w:p w14:paraId="15655F82" w14:textId="77777777" w:rsidR="001C4BAD" w:rsidRPr="001C4BAD" w:rsidRDefault="001C4BAD" w:rsidP="007223FC">
      <w:pPr>
        <w:spacing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The descriptive statistics for each variable reveals that financial service usage averaged 17.96 percent of gross domestic product, with a median of 17.93 per cent of GDP. From 2010Q1 to 2020Q4, financial service usage ranged from 16.41 per cent of GDP to 20.84 per cent of GDP. Every quarter, an average of N203.0639 billion </w:t>
      </w:r>
      <w:r w:rsidRPr="001C4BAD">
        <w:rPr>
          <w:rFonts w:ascii="Times New Roman" w:eastAsia="Calibri" w:hAnsi="Times New Roman" w:cs="Times New Roman"/>
          <w:kern w:val="0"/>
          <w14:ligatures w14:val="none"/>
        </w:rPr>
        <w:lastRenderedPageBreak/>
        <w:t xml:space="preserve">transactions are carried out using the mobile banking technology, and these transactions though not uniform ranged from N0.38 billion to N1,933.580 billion. Transactions carried out over the internet averaged N3166.270 billion. The minimum and maximum transactions carried out using the internet was N1.33 billion and N46645.99 billion. Over the course of the survey period, financial transactions carried out using the automated teller machine averaged N452.2552 billion. From 2010Q1 to 2020Q4, automated teller machine (ATM) transactions rose from N25.33 billion to N1754.260 billion. Point-of-sale transaction over the period averaged N110.1118 billion, with a minimum and maximum transaction level of N0.91 billion and N574.3700 billion respectively. These statistics show that the buck of the financial transactions carried out by Nigerians are done using the internet and reflect, to a larger extent, the success of the cashless policy of the Central Bank of Nigeria (CBN). </w:t>
      </w:r>
    </w:p>
    <w:p w14:paraId="6D0DC3C2" w14:textId="77777777" w:rsidR="001C4BAD" w:rsidRPr="001C4BAD" w:rsidRDefault="001C4BAD" w:rsidP="007223FC">
      <w:pPr>
        <w:spacing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The result of the descriptive statistics reveals internet banking technology (INT) transactions, automated teller machine technology (ATM) transactions and mobile banking technology (MOB) transactions to be more dispersed as informed by the computed standard deviations of 10324.78, 407.7713 and 399.1504 respectively. This </w:t>
      </w:r>
      <w:proofErr w:type="gramStart"/>
      <w:r w:rsidRPr="001C4BAD">
        <w:rPr>
          <w:rFonts w:ascii="Times New Roman" w:eastAsia="Calibri" w:hAnsi="Times New Roman" w:cs="Times New Roman"/>
          <w:kern w:val="0"/>
          <w14:ligatures w14:val="none"/>
        </w:rPr>
        <w:t>suggest</w:t>
      </w:r>
      <w:proofErr w:type="gramEnd"/>
      <w:r w:rsidRPr="001C4BAD">
        <w:rPr>
          <w:rFonts w:ascii="Times New Roman" w:eastAsia="Calibri" w:hAnsi="Times New Roman" w:cs="Times New Roman"/>
          <w:kern w:val="0"/>
          <w14:ligatures w14:val="none"/>
        </w:rPr>
        <w:t xml:space="preserve"> fluctuations in the number of transactions carried out using internet banking technology, automated teller machine technology and mobile banking technology over the study period. Table 4.1 reveals mild volatility in financial service usage (USE), point-of-sale (POS) financial transactions and financial service accessibility (ACC) given their respective standard deviation values of 1.2820, 140.1028 and 142.3075 The Jarque-Bera test was used to verify this and the null hypothesis that the series is normally distributed was tested. It was found that only financial service usage has normal distribution as the study failed to reject the null hypothesis that the series are normally distributed.</w:t>
      </w:r>
    </w:p>
    <w:p w14:paraId="441BD8E5" w14:textId="77777777" w:rsidR="001C4BAD" w:rsidRPr="001C4BAD" w:rsidRDefault="001C4BAD" w:rsidP="007223FC">
      <w:pPr>
        <w:spacing w:line="240" w:lineRule="auto"/>
        <w:rPr>
          <w:rFonts w:ascii="Times New Roman" w:eastAsia="Calibri" w:hAnsi="Times New Roman" w:cs="Times New Roman"/>
          <w:b/>
          <w:bCs/>
          <w:kern w:val="0"/>
          <w14:ligatures w14:val="none"/>
        </w:rPr>
      </w:pPr>
      <w:r w:rsidRPr="001C4BAD">
        <w:rPr>
          <w:rFonts w:ascii="Times New Roman" w:eastAsia="Calibri" w:hAnsi="Times New Roman" w:cs="Times New Roman"/>
          <w:b/>
          <w:bCs/>
          <w:kern w:val="0"/>
          <w14:ligatures w14:val="none"/>
        </w:rPr>
        <w:t xml:space="preserve"> Unit Root Test</w:t>
      </w:r>
    </w:p>
    <w:p w14:paraId="7B5CA6EC" w14:textId="77777777" w:rsidR="001C4BAD" w:rsidRPr="001C4BAD" w:rsidRDefault="001C4BAD" w:rsidP="007223FC">
      <w:pPr>
        <w:spacing w:line="240" w:lineRule="auto"/>
        <w:rPr>
          <w:rFonts w:ascii="Times New Roman" w:eastAsia="Calibri" w:hAnsi="Times New Roman" w:cs="Times New Roman"/>
          <w:bCs/>
          <w:kern w:val="0"/>
          <w14:ligatures w14:val="none"/>
        </w:rPr>
      </w:pPr>
      <w:r w:rsidRPr="001C4BAD">
        <w:rPr>
          <w:rFonts w:ascii="Times New Roman" w:eastAsia="Calibri" w:hAnsi="Times New Roman" w:cs="Times New Roman"/>
          <w:bCs/>
          <w:kern w:val="0"/>
          <w14:ligatures w14:val="none"/>
        </w:rPr>
        <w:t xml:space="preserve">The ADF unit root test was applied to determine the stationarity status of each of the variables in the model. The test was conducted at 5 percent significance level and the results are presented in Table 2. </w:t>
      </w:r>
    </w:p>
    <w:p w14:paraId="2C7CB4DB" w14:textId="77777777" w:rsidR="001C4BAD" w:rsidRPr="001C4BAD" w:rsidRDefault="001C4BAD" w:rsidP="007223FC">
      <w:pPr>
        <w:spacing w:line="240" w:lineRule="auto"/>
        <w:rPr>
          <w:rFonts w:ascii="Times New Roman" w:eastAsia="Calibri" w:hAnsi="Times New Roman" w:cs="Times New Roman"/>
          <w:b/>
          <w:bCs/>
          <w:kern w:val="0"/>
          <w14:ligatures w14:val="none"/>
        </w:rPr>
      </w:pPr>
      <w:r w:rsidRPr="001C4BAD">
        <w:rPr>
          <w:rFonts w:ascii="Times New Roman" w:eastAsia="Calibri" w:hAnsi="Times New Roman" w:cs="Times New Roman"/>
          <w:b/>
          <w:bCs/>
          <w:kern w:val="0"/>
          <w14:ligatures w14:val="none"/>
        </w:rPr>
        <w:t>Table 2: ADF unit root test results</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1C4BAD" w:rsidRPr="001C4BAD" w14:paraId="3BAC3A41" w14:textId="77777777" w:rsidTr="005C4055">
        <w:tc>
          <w:tcPr>
            <w:tcW w:w="1596" w:type="dxa"/>
          </w:tcPr>
          <w:p w14:paraId="4732F89F"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 xml:space="preserve">Variable </w:t>
            </w:r>
          </w:p>
        </w:tc>
        <w:tc>
          <w:tcPr>
            <w:tcW w:w="1596" w:type="dxa"/>
          </w:tcPr>
          <w:p w14:paraId="0978B50C"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ADF statistic at levels</w:t>
            </w:r>
          </w:p>
        </w:tc>
        <w:tc>
          <w:tcPr>
            <w:tcW w:w="1596" w:type="dxa"/>
          </w:tcPr>
          <w:p w14:paraId="76C63332"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Probability value</w:t>
            </w:r>
          </w:p>
        </w:tc>
        <w:tc>
          <w:tcPr>
            <w:tcW w:w="1596" w:type="dxa"/>
          </w:tcPr>
          <w:p w14:paraId="2CA6FAF4"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ADF statistic at first difference</w:t>
            </w:r>
          </w:p>
        </w:tc>
        <w:tc>
          <w:tcPr>
            <w:tcW w:w="1596" w:type="dxa"/>
          </w:tcPr>
          <w:p w14:paraId="1CF62ACD"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 xml:space="preserve">Probability value </w:t>
            </w:r>
          </w:p>
        </w:tc>
        <w:tc>
          <w:tcPr>
            <w:tcW w:w="1596" w:type="dxa"/>
          </w:tcPr>
          <w:p w14:paraId="2AD4AAE1"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Order of integration</w:t>
            </w:r>
          </w:p>
        </w:tc>
      </w:tr>
      <w:tr w:rsidR="001C4BAD" w:rsidRPr="001C4BAD" w14:paraId="502B649D" w14:textId="77777777" w:rsidTr="005C4055">
        <w:tc>
          <w:tcPr>
            <w:tcW w:w="1596" w:type="dxa"/>
          </w:tcPr>
          <w:p w14:paraId="59439226"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color w:val="000000"/>
              </w:rPr>
              <w:t>USE</w:t>
            </w:r>
          </w:p>
        </w:tc>
        <w:tc>
          <w:tcPr>
            <w:tcW w:w="1596" w:type="dxa"/>
          </w:tcPr>
          <w:p w14:paraId="104AA109"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color w:val="000000"/>
              </w:rPr>
              <w:t>-0.953</w:t>
            </w:r>
          </w:p>
        </w:tc>
        <w:tc>
          <w:tcPr>
            <w:tcW w:w="1596" w:type="dxa"/>
          </w:tcPr>
          <w:p w14:paraId="1A1098F5"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color w:val="000000"/>
              </w:rPr>
              <w:t>0.9399</w:t>
            </w:r>
          </w:p>
        </w:tc>
        <w:tc>
          <w:tcPr>
            <w:tcW w:w="1596" w:type="dxa"/>
          </w:tcPr>
          <w:p w14:paraId="09C8BBCF"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color w:val="000000"/>
              </w:rPr>
              <w:t>-6.502</w:t>
            </w:r>
          </w:p>
        </w:tc>
        <w:tc>
          <w:tcPr>
            <w:tcW w:w="1596" w:type="dxa"/>
          </w:tcPr>
          <w:p w14:paraId="74D9AEA4"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0.0000</w:t>
            </w:r>
          </w:p>
        </w:tc>
        <w:tc>
          <w:tcPr>
            <w:tcW w:w="1596" w:type="dxa"/>
          </w:tcPr>
          <w:p w14:paraId="5E0DBD7E" w14:textId="77777777" w:rsidR="001C4BAD" w:rsidRPr="001C4BAD" w:rsidRDefault="001C4BAD" w:rsidP="007223FC">
            <w:pPr>
              <w:rPr>
                <w:rFonts w:ascii="Times New Roman" w:eastAsia="Calibri" w:hAnsi="Times New Roman" w:cs="Times New Roman"/>
              </w:rPr>
            </w:pPr>
            <w:proofErr w:type="gramStart"/>
            <w:r w:rsidRPr="001C4BAD">
              <w:rPr>
                <w:rFonts w:ascii="Times New Roman" w:eastAsia="Calibri" w:hAnsi="Times New Roman" w:cs="Times New Roman"/>
              </w:rPr>
              <w:t>I(</w:t>
            </w:r>
            <w:proofErr w:type="gramEnd"/>
            <w:r w:rsidRPr="001C4BAD">
              <w:rPr>
                <w:rFonts w:ascii="Times New Roman" w:eastAsia="Calibri" w:hAnsi="Times New Roman" w:cs="Times New Roman"/>
              </w:rPr>
              <w:t>1)</w:t>
            </w:r>
          </w:p>
        </w:tc>
      </w:tr>
      <w:tr w:rsidR="001C4BAD" w:rsidRPr="001C4BAD" w14:paraId="450BE149" w14:textId="77777777" w:rsidTr="005C4055">
        <w:tc>
          <w:tcPr>
            <w:tcW w:w="1596" w:type="dxa"/>
          </w:tcPr>
          <w:p w14:paraId="2BBFACB5"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LOG(MOB)</w:t>
            </w:r>
          </w:p>
        </w:tc>
        <w:tc>
          <w:tcPr>
            <w:tcW w:w="1596" w:type="dxa"/>
          </w:tcPr>
          <w:p w14:paraId="73517524"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-0.723</w:t>
            </w:r>
          </w:p>
        </w:tc>
        <w:tc>
          <w:tcPr>
            <w:tcW w:w="1596" w:type="dxa"/>
          </w:tcPr>
          <w:p w14:paraId="1707DAAB"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0.8299</w:t>
            </w:r>
          </w:p>
        </w:tc>
        <w:tc>
          <w:tcPr>
            <w:tcW w:w="1596" w:type="dxa"/>
          </w:tcPr>
          <w:p w14:paraId="235C9DE0"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-9.173</w:t>
            </w:r>
          </w:p>
        </w:tc>
        <w:tc>
          <w:tcPr>
            <w:tcW w:w="1596" w:type="dxa"/>
          </w:tcPr>
          <w:p w14:paraId="3321665A"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rPr>
              <w:t>0.0000</w:t>
            </w:r>
          </w:p>
        </w:tc>
        <w:tc>
          <w:tcPr>
            <w:tcW w:w="1596" w:type="dxa"/>
          </w:tcPr>
          <w:p w14:paraId="23606B94" w14:textId="77777777" w:rsidR="001C4BAD" w:rsidRPr="001C4BAD" w:rsidRDefault="001C4BAD" w:rsidP="007223FC">
            <w:pPr>
              <w:rPr>
                <w:rFonts w:ascii="Times New Roman" w:eastAsia="Calibri" w:hAnsi="Times New Roman" w:cs="Times New Roman"/>
              </w:rPr>
            </w:pPr>
            <w:proofErr w:type="gramStart"/>
            <w:r w:rsidRPr="001C4BAD">
              <w:rPr>
                <w:rFonts w:ascii="Times New Roman" w:eastAsia="Calibri" w:hAnsi="Times New Roman" w:cs="Times New Roman"/>
              </w:rPr>
              <w:t>I(</w:t>
            </w:r>
            <w:proofErr w:type="gramEnd"/>
            <w:r w:rsidRPr="001C4BAD">
              <w:rPr>
                <w:rFonts w:ascii="Times New Roman" w:eastAsia="Calibri" w:hAnsi="Times New Roman" w:cs="Times New Roman"/>
              </w:rPr>
              <w:t>1)</w:t>
            </w:r>
          </w:p>
        </w:tc>
      </w:tr>
      <w:tr w:rsidR="001C4BAD" w:rsidRPr="001C4BAD" w14:paraId="0C7CA652" w14:textId="77777777" w:rsidTr="005C4055">
        <w:tc>
          <w:tcPr>
            <w:tcW w:w="1596" w:type="dxa"/>
          </w:tcPr>
          <w:p w14:paraId="73CE8329"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LOG(INT)</w:t>
            </w:r>
          </w:p>
        </w:tc>
        <w:tc>
          <w:tcPr>
            <w:tcW w:w="1596" w:type="dxa"/>
          </w:tcPr>
          <w:p w14:paraId="548AAD56"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-0.639</w:t>
            </w:r>
          </w:p>
        </w:tc>
        <w:tc>
          <w:tcPr>
            <w:tcW w:w="1596" w:type="dxa"/>
          </w:tcPr>
          <w:p w14:paraId="67289661"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0.9711</w:t>
            </w:r>
          </w:p>
        </w:tc>
        <w:tc>
          <w:tcPr>
            <w:tcW w:w="1596" w:type="dxa"/>
          </w:tcPr>
          <w:p w14:paraId="1B1DF4C9"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-7.912</w:t>
            </w:r>
          </w:p>
        </w:tc>
        <w:tc>
          <w:tcPr>
            <w:tcW w:w="1596" w:type="dxa"/>
          </w:tcPr>
          <w:p w14:paraId="67448BEC"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0.0000</w:t>
            </w:r>
          </w:p>
        </w:tc>
        <w:tc>
          <w:tcPr>
            <w:tcW w:w="1596" w:type="dxa"/>
          </w:tcPr>
          <w:p w14:paraId="4BB8D2D2" w14:textId="77777777" w:rsidR="001C4BAD" w:rsidRPr="001C4BAD" w:rsidRDefault="001C4BAD" w:rsidP="007223FC">
            <w:pPr>
              <w:rPr>
                <w:rFonts w:ascii="Times New Roman" w:eastAsia="Calibri" w:hAnsi="Times New Roman" w:cs="Times New Roman"/>
              </w:rPr>
            </w:pPr>
            <w:proofErr w:type="gramStart"/>
            <w:r w:rsidRPr="001C4BAD">
              <w:rPr>
                <w:rFonts w:ascii="Times New Roman" w:eastAsia="Calibri" w:hAnsi="Times New Roman" w:cs="Times New Roman"/>
              </w:rPr>
              <w:t>I(</w:t>
            </w:r>
            <w:proofErr w:type="gramEnd"/>
            <w:r w:rsidRPr="001C4BAD">
              <w:rPr>
                <w:rFonts w:ascii="Times New Roman" w:eastAsia="Calibri" w:hAnsi="Times New Roman" w:cs="Times New Roman"/>
              </w:rPr>
              <w:t>1)</w:t>
            </w:r>
          </w:p>
        </w:tc>
      </w:tr>
      <w:tr w:rsidR="001C4BAD" w:rsidRPr="001C4BAD" w14:paraId="0E2B08A9" w14:textId="77777777" w:rsidTr="005C4055">
        <w:tc>
          <w:tcPr>
            <w:tcW w:w="1596" w:type="dxa"/>
          </w:tcPr>
          <w:p w14:paraId="25055E13"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LOG(ATM)</w:t>
            </w:r>
          </w:p>
        </w:tc>
        <w:tc>
          <w:tcPr>
            <w:tcW w:w="1596" w:type="dxa"/>
          </w:tcPr>
          <w:p w14:paraId="59F6C0EA"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-3.286</w:t>
            </w:r>
          </w:p>
        </w:tc>
        <w:tc>
          <w:tcPr>
            <w:tcW w:w="1596" w:type="dxa"/>
          </w:tcPr>
          <w:p w14:paraId="6A53ABD2"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0.0822</w:t>
            </w:r>
          </w:p>
        </w:tc>
        <w:tc>
          <w:tcPr>
            <w:tcW w:w="1596" w:type="dxa"/>
          </w:tcPr>
          <w:p w14:paraId="26F376D3"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-6.911</w:t>
            </w:r>
          </w:p>
        </w:tc>
        <w:tc>
          <w:tcPr>
            <w:tcW w:w="1596" w:type="dxa"/>
          </w:tcPr>
          <w:p w14:paraId="652246D4"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0.0000</w:t>
            </w:r>
          </w:p>
        </w:tc>
        <w:tc>
          <w:tcPr>
            <w:tcW w:w="1596" w:type="dxa"/>
          </w:tcPr>
          <w:p w14:paraId="6F042C79" w14:textId="77777777" w:rsidR="001C4BAD" w:rsidRPr="001C4BAD" w:rsidRDefault="001C4BAD" w:rsidP="007223FC">
            <w:pPr>
              <w:rPr>
                <w:rFonts w:ascii="Times New Roman" w:eastAsia="Calibri" w:hAnsi="Times New Roman" w:cs="Times New Roman"/>
              </w:rPr>
            </w:pPr>
            <w:proofErr w:type="gramStart"/>
            <w:r w:rsidRPr="001C4BAD">
              <w:rPr>
                <w:rFonts w:ascii="Times New Roman" w:eastAsia="Calibri" w:hAnsi="Times New Roman" w:cs="Times New Roman"/>
              </w:rPr>
              <w:t>I(</w:t>
            </w:r>
            <w:proofErr w:type="gramEnd"/>
            <w:r w:rsidRPr="001C4BAD">
              <w:rPr>
                <w:rFonts w:ascii="Times New Roman" w:eastAsia="Calibri" w:hAnsi="Times New Roman" w:cs="Times New Roman"/>
              </w:rPr>
              <w:t>1)</w:t>
            </w:r>
          </w:p>
        </w:tc>
      </w:tr>
      <w:tr w:rsidR="001C4BAD" w:rsidRPr="001C4BAD" w14:paraId="5401C10A" w14:textId="77777777" w:rsidTr="005C4055">
        <w:tc>
          <w:tcPr>
            <w:tcW w:w="1596" w:type="dxa"/>
          </w:tcPr>
          <w:p w14:paraId="23F7E1AF"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LOG(POS)</w:t>
            </w:r>
          </w:p>
        </w:tc>
        <w:tc>
          <w:tcPr>
            <w:tcW w:w="1596" w:type="dxa"/>
          </w:tcPr>
          <w:p w14:paraId="7799C971"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-4.921</w:t>
            </w:r>
          </w:p>
        </w:tc>
        <w:tc>
          <w:tcPr>
            <w:tcW w:w="1596" w:type="dxa"/>
          </w:tcPr>
          <w:p w14:paraId="61D1F035"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0.0018</w:t>
            </w:r>
          </w:p>
        </w:tc>
        <w:tc>
          <w:tcPr>
            <w:tcW w:w="1596" w:type="dxa"/>
          </w:tcPr>
          <w:p w14:paraId="4DF8FA58" w14:textId="77777777" w:rsidR="001C4BAD" w:rsidRPr="001C4BAD" w:rsidRDefault="001C4BAD" w:rsidP="007223FC">
            <w:pPr>
              <w:rPr>
                <w:rFonts w:ascii="Times New Roman" w:eastAsia="Calibri" w:hAnsi="Times New Roman" w:cs="Times New Roman"/>
                <w:color w:val="000000"/>
              </w:rPr>
            </w:pPr>
            <w:r w:rsidRPr="001C4BAD">
              <w:rPr>
                <w:rFonts w:ascii="Times New Roman" w:eastAsia="Calibri" w:hAnsi="Times New Roman" w:cs="Times New Roman"/>
                <w:color w:val="000000"/>
              </w:rPr>
              <w:t>-</w:t>
            </w:r>
          </w:p>
        </w:tc>
        <w:tc>
          <w:tcPr>
            <w:tcW w:w="1596" w:type="dxa"/>
          </w:tcPr>
          <w:p w14:paraId="63A8DAAF" w14:textId="77777777" w:rsidR="001C4BAD" w:rsidRPr="001C4BAD" w:rsidRDefault="001C4BAD" w:rsidP="007223FC">
            <w:pPr>
              <w:rPr>
                <w:rFonts w:ascii="Times New Roman" w:eastAsia="Calibri" w:hAnsi="Times New Roman" w:cs="Times New Roman"/>
              </w:rPr>
            </w:pPr>
            <w:r w:rsidRPr="001C4BAD">
              <w:rPr>
                <w:rFonts w:ascii="Times New Roman" w:eastAsia="Calibri" w:hAnsi="Times New Roman" w:cs="Times New Roman"/>
              </w:rPr>
              <w:t>-</w:t>
            </w:r>
          </w:p>
        </w:tc>
        <w:tc>
          <w:tcPr>
            <w:tcW w:w="1596" w:type="dxa"/>
          </w:tcPr>
          <w:p w14:paraId="5FDA47CF" w14:textId="77777777" w:rsidR="001C4BAD" w:rsidRPr="001C4BAD" w:rsidRDefault="001C4BAD" w:rsidP="007223FC">
            <w:pPr>
              <w:rPr>
                <w:rFonts w:ascii="Times New Roman" w:eastAsia="Calibri" w:hAnsi="Times New Roman" w:cs="Times New Roman"/>
              </w:rPr>
            </w:pPr>
            <w:proofErr w:type="gramStart"/>
            <w:r w:rsidRPr="001C4BAD">
              <w:rPr>
                <w:rFonts w:ascii="Times New Roman" w:eastAsia="Calibri" w:hAnsi="Times New Roman" w:cs="Times New Roman"/>
              </w:rPr>
              <w:t>I(</w:t>
            </w:r>
            <w:proofErr w:type="gramEnd"/>
            <w:r w:rsidRPr="001C4BAD">
              <w:rPr>
                <w:rFonts w:ascii="Times New Roman" w:eastAsia="Calibri" w:hAnsi="Times New Roman" w:cs="Times New Roman"/>
              </w:rPr>
              <w:t>0)</w:t>
            </w:r>
          </w:p>
        </w:tc>
      </w:tr>
    </w:tbl>
    <w:p w14:paraId="62578B9A" w14:textId="77777777" w:rsidR="001C4BAD" w:rsidRPr="001C4BAD" w:rsidRDefault="001C4BAD" w:rsidP="007223FC">
      <w:pPr>
        <w:spacing w:line="240" w:lineRule="auto"/>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Source: Researcher’s computation (2022) using E-views 12</w:t>
      </w:r>
    </w:p>
    <w:p w14:paraId="53936D28" w14:textId="77777777" w:rsidR="001C4BAD" w:rsidRPr="001C4BAD" w:rsidRDefault="001C4BAD" w:rsidP="007223FC">
      <w:pPr>
        <w:spacing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The unit root test results showed that financial service usage (measured by deposit-to-GDP ratio) and </w:t>
      </w:r>
      <w:r w:rsidRPr="001C4BAD">
        <w:rPr>
          <w:rFonts w:ascii="Times New Roman" w:eastAsia="Times New Roman" w:hAnsi="Times New Roman" w:cs="Times New Roman"/>
          <w:color w:val="000000"/>
          <w:kern w:val="0"/>
          <w14:ligatures w14:val="none"/>
        </w:rPr>
        <w:t xml:space="preserve">mobile banking technology are not stationary at levels given that the probability values of their respective ADF statistics are less than 0.05. At the same time, the ADF unit root test results revealed that internet banking technology and ATM technology are not stationary at levels. For this reason, the null hypothesis of unit root </w:t>
      </w:r>
      <w:proofErr w:type="gramStart"/>
      <w:r w:rsidRPr="001C4BAD">
        <w:rPr>
          <w:rFonts w:ascii="Times New Roman" w:eastAsia="Times New Roman" w:hAnsi="Times New Roman" w:cs="Times New Roman"/>
          <w:color w:val="000000"/>
          <w:kern w:val="0"/>
          <w14:ligatures w14:val="none"/>
        </w:rPr>
        <w:t>were</w:t>
      </w:r>
      <w:proofErr w:type="gramEnd"/>
      <w:r w:rsidRPr="001C4BAD">
        <w:rPr>
          <w:rFonts w:ascii="Times New Roman" w:eastAsia="Times New Roman" w:hAnsi="Times New Roman" w:cs="Times New Roman"/>
          <w:color w:val="000000"/>
          <w:kern w:val="0"/>
          <w14:ligatures w14:val="none"/>
        </w:rPr>
        <w:t xml:space="preserve"> accepted for the five nonstationary variables (</w:t>
      </w:r>
      <w:r w:rsidRPr="001C4BAD">
        <w:rPr>
          <w:rFonts w:ascii="Times New Roman" w:eastAsia="Calibri" w:hAnsi="Times New Roman" w:cs="Times New Roman"/>
          <w:kern w:val="0"/>
          <w14:ligatures w14:val="none"/>
        </w:rPr>
        <w:t xml:space="preserve">deposit-to-GDP ratio, number of bank branches, </w:t>
      </w:r>
      <w:r w:rsidRPr="001C4BAD">
        <w:rPr>
          <w:rFonts w:ascii="Times New Roman" w:eastAsia="Times New Roman" w:hAnsi="Times New Roman" w:cs="Times New Roman"/>
          <w:color w:val="000000"/>
          <w:kern w:val="0"/>
          <w14:ligatures w14:val="none"/>
        </w:rPr>
        <w:t>mobile banking technology, internet banking technology and ATM technology</w:t>
      </w:r>
      <w:r w:rsidRPr="001C4BAD">
        <w:rPr>
          <w:rFonts w:ascii="Times New Roman" w:eastAsia="Calibri" w:hAnsi="Times New Roman" w:cs="Times New Roman"/>
          <w:kern w:val="0"/>
          <w14:ligatures w14:val="none"/>
        </w:rPr>
        <w:t xml:space="preserve">). Given the </w:t>
      </w:r>
      <w:r w:rsidRPr="001C4BAD">
        <w:rPr>
          <w:rFonts w:ascii="Times New Roman" w:eastAsia="Times New Roman" w:hAnsi="Times New Roman" w:cs="Times New Roman"/>
          <w:color w:val="000000"/>
          <w:kern w:val="0"/>
          <w14:ligatures w14:val="none"/>
        </w:rPr>
        <w:t>nonstationary in each of the variables, they were subjected to first difference test at 5 percent significance level. The results showed that the variables are stationary at first difference. This is based on the fact the probability values of the associated test ADF test statistics are less than 0.05. In other words, the variables (</w:t>
      </w:r>
      <w:r w:rsidRPr="001C4BAD">
        <w:rPr>
          <w:rFonts w:ascii="Times New Roman" w:eastAsia="Calibri" w:hAnsi="Times New Roman" w:cs="Times New Roman"/>
          <w:kern w:val="0"/>
          <w14:ligatures w14:val="none"/>
        </w:rPr>
        <w:t xml:space="preserve">deposit-to-GDP ratio, number of bank branches, </w:t>
      </w:r>
      <w:r w:rsidRPr="001C4BAD">
        <w:rPr>
          <w:rFonts w:ascii="Times New Roman" w:eastAsia="Times New Roman" w:hAnsi="Times New Roman" w:cs="Times New Roman"/>
          <w:color w:val="000000"/>
          <w:kern w:val="0"/>
          <w14:ligatures w14:val="none"/>
        </w:rPr>
        <w:t>mobile banking technology, internet banking technology and ATM technology</w:t>
      </w:r>
      <w:r w:rsidRPr="001C4BAD">
        <w:rPr>
          <w:rFonts w:ascii="Times New Roman" w:eastAsia="Calibri" w:hAnsi="Times New Roman" w:cs="Times New Roman"/>
          <w:kern w:val="0"/>
          <w14:ligatures w14:val="none"/>
        </w:rPr>
        <w:t xml:space="preserve">) are integrated of order one, </w:t>
      </w:r>
      <w:proofErr w:type="gramStart"/>
      <w:r w:rsidRPr="001C4BAD">
        <w:rPr>
          <w:rFonts w:ascii="Times New Roman" w:eastAsia="Calibri" w:hAnsi="Times New Roman" w:cs="Times New Roman"/>
          <w:kern w:val="0"/>
          <w14:ligatures w14:val="none"/>
        </w:rPr>
        <w:t>I(</w:t>
      </w:r>
      <w:proofErr w:type="gramEnd"/>
      <w:r w:rsidRPr="001C4BAD">
        <w:rPr>
          <w:rFonts w:ascii="Times New Roman" w:eastAsia="Calibri" w:hAnsi="Times New Roman" w:cs="Times New Roman"/>
          <w:kern w:val="0"/>
          <w14:ligatures w14:val="none"/>
        </w:rPr>
        <w:t>1) as reported in last column of Table 4.3.</w:t>
      </w:r>
    </w:p>
    <w:p w14:paraId="59CF8C0B" w14:textId="77777777" w:rsidR="001C4BAD" w:rsidRPr="001C4BAD" w:rsidRDefault="001C4BAD" w:rsidP="007223FC">
      <w:pPr>
        <w:spacing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On the other hand, the unit root test results revealed that POS technology is stationary at levels given that the </w:t>
      </w:r>
      <w:r w:rsidRPr="001C4BAD">
        <w:rPr>
          <w:rFonts w:ascii="Times New Roman" w:eastAsia="Times New Roman" w:hAnsi="Times New Roman" w:cs="Times New Roman"/>
          <w:color w:val="000000"/>
          <w:kern w:val="0"/>
          <w14:ligatures w14:val="none"/>
        </w:rPr>
        <w:t>probability value of the corresponding ADF statistic at the levels test result is less than 0.05. Consequently, the null hypothesis of unit root for the variable (</w:t>
      </w:r>
      <w:r w:rsidRPr="001C4BAD">
        <w:rPr>
          <w:rFonts w:ascii="Times New Roman" w:eastAsia="Calibri" w:hAnsi="Times New Roman" w:cs="Times New Roman"/>
          <w:kern w:val="0"/>
          <w14:ligatures w14:val="none"/>
        </w:rPr>
        <w:t xml:space="preserve">POS technology) </w:t>
      </w:r>
      <w:r w:rsidRPr="001C4BAD">
        <w:rPr>
          <w:rFonts w:ascii="Times New Roman" w:eastAsia="Times New Roman" w:hAnsi="Times New Roman" w:cs="Times New Roman"/>
          <w:color w:val="000000"/>
          <w:kern w:val="0"/>
          <w14:ligatures w14:val="none"/>
        </w:rPr>
        <w:t xml:space="preserve">is rejected. The evidence of stationary at levels </w:t>
      </w:r>
      <w:r w:rsidRPr="001C4BAD">
        <w:rPr>
          <w:rFonts w:ascii="Times New Roman" w:eastAsia="Times New Roman" w:hAnsi="Times New Roman" w:cs="Times New Roman"/>
          <w:color w:val="000000"/>
          <w:kern w:val="0"/>
          <w14:ligatures w14:val="none"/>
        </w:rPr>
        <w:lastRenderedPageBreak/>
        <w:t xml:space="preserve">implies that </w:t>
      </w:r>
      <w:r w:rsidRPr="001C4BAD">
        <w:rPr>
          <w:rFonts w:ascii="Times New Roman" w:eastAsia="Calibri" w:hAnsi="Times New Roman" w:cs="Times New Roman"/>
          <w:kern w:val="0"/>
          <w14:ligatures w14:val="none"/>
        </w:rPr>
        <w:t xml:space="preserve">POS technology is integrated at of order zero, </w:t>
      </w:r>
      <w:proofErr w:type="gramStart"/>
      <w:r w:rsidRPr="001C4BAD">
        <w:rPr>
          <w:rFonts w:ascii="Times New Roman" w:eastAsia="Calibri" w:hAnsi="Times New Roman" w:cs="Times New Roman"/>
          <w:kern w:val="0"/>
          <w14:ligatures w14:val="none"/>
        </w:rPr>
        <w:t>I(</w:t>
      </w:r>
      <w:proofErr w:type="gramEnd"/>
      <w:r w:rsidRPr="001C4BAD">
        <w:rPr>
          <w:rFonts w:ascii="Times New Roman" w:eastAsia="Calibri" w:hAnsi="Times New Roman" w:cs="Times New Roman"/>
          <w:kern w:val="0"/>
          <w14:ligatures w14:val="none"/>
        </w:rPr>
        <w:t xml:space="preserve">0). In sum, the ADF unit root test results revealed that the variables for the investigated are mixed integrated (stationary at levels and first difference). </w:t>
      </w:r>
    </w:p>
    <w:p w14:paraId="0A3C6D26" w14:textId="77777777" w:rsidR="001C4BAD" w:rsidRPr="001C4BAD" w:rsidRDefault="001C4BAD" w:rsidP="007223FC">
      <w:pPr>
        <w:spacing w:line="240" w:lineRule="auto"/>
        <w:ind w:left="720" w:hanging="720"/>
        <w:jc w:val="both"/>
        <w:rPr>
          <w:rFonts w:ascii="Times New Roman" w:eastAsia="Calibri" w:hAnsi="Times New Roman" w:cs="Times New Roman"/>
          <w:b/>
          <w:color w:val="000000"/>
          <w:kern w:val="0"/>
          <w14:ligatures w14:val="none"/>
        </w:rPr>
      </w:pPr>
      <w:r w:rsidRPr="001C4BAD">
        <w:rPr>
          <w:rFonts w:ascii="Times New Roman" w:eastAsia="Calibri" w:hAnsi="Times New Roman" w:cs="Times New Roman"/>
          <w:b/>
          <w:color w:val="000000"/>
          <w:kern w:val="0"/>
          <w14:ligatures w14:val="none"/>
        </w:rPr>
        <w:t xml:space="preserve"> Cointegration Test</w:t>
      </w:r>
    </w:p>
    <w:p w14:paraId="4B33F48A" w14:textId="77777777" w:rsidR="001C4BAD" w:rsidRPr="001C4BAD" w:rsidRDefault="001C4BAD" w:rsidP="007223FC">
      <w:pPr>
        <w:spacing w:line="240" w:lineRule="auto"/>
        <w:jc w:val="both"/>
        <w:rPr>
          <w:rFonts w:ascii="Times New Roman" w:eastAsia="Calibri" w:hAnsi="Times New Roman" w:cs="Times New Roman"/>
          <w:bCs/>
          <w:kern w:val="0"/>
          <w14:ligatures w14:val="none"/>
        </w:rPr>
      </w:pPr>
      <w:r w:rsidRPr="001C4BAD">
        <w:rPr>
          <w:rFonts w:ascii="Times New Roman" w:eastAsia="Calibri" w:hAnsi="Times New Roman" w:cs="Times New Roman"/>
          <w:bCs/>
          <w:kern w:val="0"/>
          <w14:ligatures w14:val="none"/>
        </w:rPr>
        <w:t xml:space="preserve">The evidence of mixed integration in the unit root test results necessitated the choice of bounds cointegration method developed by </w:t>
      </w:r>
      <w:proofErr w:type="spellStart"/>
      <w:r w:rsidRPr="001C4BAD">
        <w:rPr>
          <w:rFonts w:ascii="Times New Roman" w:eastAsia="Calibri" w:hAnsi="Times New Roman" w:cs="Times New Roman"/>
          <w:bCs/>
          <w:kern w:val="0"/>
          <w14:ligatures w14:val="none"/>
        </w:rPr>
        <w:t>Pesaran</w:t>
      </w:r>
      <w:proofErr w:type="spellEnd"/>
      <w:r w:rsidRPr="001C4BAD">
        <w:rPr>
          <w:rFonts w:ascii="Times New Roman" w:eastAsia="Calibri" w:hAnsi="Times New Roman" w:cs="Times New Roman"/>
          <w:bCs/>
          <w:kern w:val="0"/>
          <w14:ligatures w14:val="none"/>
        </w:rPr>
        <w:t xml:space="preserve"> and Shin (1999). The results are presented in Table 3.</w:t>
      </w:r>
    </w:p>
    <w:p w14:paraId="6458959E" w14:textId="77777777" w:rsidR="001C4BAD" w:rsidRPr="001C4BAD" w:rsidRDefault="001C4BAD" w:rsidP="007223FC">
      <w:pPr>
        <w:spacing w:line="240" w:lineRule="auto"/>
        <w:jc w:val="both"/>
        <w:rPr>
          <w:rFonts w:ascii="Times New Roman" w:eastAsia="Calibri" w:hAnsi="Times New Roman" w:cs="Times New Roman"/>
          <w:b/>
          <w:bCs/>
          <w:kern w:val="0"/>
          <w14:ligatures w14:val="none"/>
        </w:rPr>
      </w:pPr>
      <w:r w:rsidRPr="001C4BAD">
        <w:rPr>
          <w:rFonts w:ascii="Times New Roman" w:eastAsia="Calibri" w:hAnsi="Times New Roman" w:cs="Times New Roman"/>
          <w:b/>
          <w:bCs/>
          <w:kern w:val="0"/>
          <w14:ligatures w14:val="none"/>
        </w:rPr>
        <w:t xml:space="preserve">Table 3: Bounds cointegrating test results </w:t>
      </w:r>
    </w:p>
    <w:tbl>
      <w:tblPr>
        <w:tblStyle w:val="PlainTable212"/>
        <w:tblW w:w="0" w:type="auto"/>
        <w:tblLayout w:type="fixed"/>
        <w:tblLook w:val="0000" w:firstRow="0" w:lastRow="0" w:firstColumn="0" w:lastColumn="0" w:noHBand="0" w:noVBand="0"/>
      </w:tblPr>
      <w:tblGrid>
        <w:gridCol w:w="2227"/>
        <w:gridCol w:w="1103"/>
        <w:gridCol w:w="2023"/>
        <w:gridCol w:w="1701"/>
        <w:gridCol w:w="2268"/>
      </w:tblGrid>
      <w:tr w:rsidR="001C4BAD" w:rsidRPr="001C4BAD" w14:paraId="40688183"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9322" w:type="dxa"/>
            <w:gridSpan w:val="5"/>
          </w:tcPr>
          <w:p w14:paraId="3570B8A6" w14:textId="77777777" w:rsidR="001C4BAD" w:rsidRPr="001C4BAD" w:rsidRDefault="001C4BAD" w:rsidP="007223FC">
            <w:pPr>
              <w:autoSpaceDE w:val="0"/>
              <w:autoSpaceDN w:val="0"/>
              <w:adjustRightInd w:val="0"/>
              <w:rPr>
                <w:rFonts w:ascii="Times New Roman" w:eastAsia="Calibri" w:hAnsi="Times New Roman" w:cs="Times New Roman"/>
                <w:color w:val="000000"/>
              </w:rPr>
            </w:pPr>
            <w:r w:rsidRPr="001C4BAD">
              <w:rPr>
                <w:rFonts w:ascii="Times New Roman" w:eastAsia="Calibri" w:hAnsi="Times New Roman" w:cs="Times New Roman"/>
                <w:color w:val="000000"/>
              </w:rPr>
              <w:t>Series: USE LOG(MOB) LOG(INT) LOG(ATM) LOG(POS)</w:t>
            </w:r>
          </w:p>
        </w:tc>
      </w:tr>
      <w:tr w:rsidR="001C4BAD" w:rsidRPr="001C4BAD" w14:paraId="1EB67150"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330" w:type="dxa"/>
            <w:gridSpan w:val="2"/>
          </w:tcPr>
          <w:p w14:paraId="043D43D4" w14:textId="77777777" w:rsidR="001C4BAD" w:rsidRPr="001C4BAD" w:rsidRDefault="001C4BAD" w:rsidP="007223FC">
            <w:pPr>
              <w:autoSpaceDE w:val="0"/>
              <w:autoSpaceDN w:val="0"/>
              <w:adjustRightInd w:val="0"/>
              <w:rPr>
                <w:rFonts w:ascii="Times New Roman" w:eastAsia="Calibri" w:hAnsi="Times New Roman" w:cs="Times New Roman"/>
                <w:color w:val="000000"/>
              </w:rPr>
            </w:pPr>
            <w:r w:rsidRPr="001C4BAD">
              <w:rPr>
                <w:rFonts w:ascii="Times New Roman" w:eastAsia="Calibri" w:hAnsi="Times New Roman" w:cs="Times New Roman"/>
                <w:color w:val="000000"/>
              </w:rPr>
              <w:t>F-Bounds Test</w:t>
            </w:r>
          </w:p>
        </w:tc>
        <w:tc>
          <w:tcPr>
            <w:cnfStyle w:val="000001000000" w:firstRow="0" w:lastRow="0" w:firstColumn="0" w:lastColumn="0" w:oddVBand="0" w:evenVBand="1" w:oddHBand="0" w:evenHBand="0" w:firstRowFirstColumn="0" w:firstRowLastColumn="0" w:lastRowFirstColumn="0" w:lastRowLastColumn="0"/>
            <w:tcW w:w="5992" w:type="dxa"/>
            <w:gridSpan w:val="3"/>
          </w:tcPr>
          <w:p w14:paraId="3D5FC933"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Null Hypothesis: No levels relationship</w:t>
            </w:r>
          </w:p>
        </w:tc>
      </w:tr>
      <w:tr w:rsidR="001C4BAD" w:rsidRPr="001C4BAD" w14:paraId="3FAF5734"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2227" w:type="dxa"/>
          </w:tcPr>
          <w:p w14:paraId="5825BDFD" w14:textId="77777777" w:rsidR="001C4BAD" w:rsidRPr="001C4BAD" w:rsidRDefault="001C4BAD" w:rsidP="007223FC">
            <w:pPr>
              <w:autoSpaceDE w:val="0"/>
              <w:autoSpaceDN w:val="0"/>
              <w:adjustRightInd w:val="0"/>
              <w:rPr>
                <w:rFonts w:ascii="Times New Roman" w:eastAsia="Calibri" w:hAnsi="Times New Roman" w:cs="Times New Roman"/>
                <w:color w:val="000000"/>
              </w:rPr>
            </w:pPr>
            <w:r w:rsidRPr="001C4BAD">
              <w:rPr>
                <w:rFonts w:ascii="Times New Roman" w:eastAsia="Calibri" w:hAnsi="Times New Roman" w:cs="Times New Roman"/>
                <w:color w:val="000000"/>
              </w:rPr>
              <w:t>Test Statistic</w:t>
            </w:r>
          </w:p>
        </w:tc>
        <w:tc>
          <w:tcPr>
            <w:cnfStyle w:val="000001000000" w:firstRow="0" w:lastRow="0" w:firstColumn="0" w:lastColumn="0" w:oddVBand="0" w:evenVBand="1" w:oddHBand="0" w:evenHBand="0" w:firstRowFirstColumn="0" w:firstRowLastColumn="0" w:lastRowFirstColumn="0" w:lastRowLastColumn="0"/>
            <w:tcW w:w="1103" w:type="dxa"/>
          </w:tcPr>
          <w:p w14:paraId="3AF66808"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Value</w:t>
            </w:r>
          </w:p>
        </w:tc>
        <w:tc>
          <w:tcPr>
            <w:cnfStyle w:val="000010000000" w:firstRow="0" w:lastRow="0" w:firstColumn="0" w:lastColumn="0" w:oddVBand="1" w:evenVBand="0" w:oddHBand="0" w:evenHBand="0" w:firstRowFirstColumn="0" w:firstRowLastColumn="0" w:lastRowFirstColumn="0" w:lastRowLastColumn="0"/>
            <w:tcW w:w="2023" w:type="dxa"/>
          </w:tcPr>
          <w:p w14:paraId="1A01BB92"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Significance.</w:t>
            </w:r>
          </w:p>
        </w:tc>
        <w:tc>
          <w:tcPr>
            <w:cnfStyle w:val="000001000000" w:firstRow="0" w:lastRow="0" w:firstColumn="0" w:lastColumn="0" w:oddVBand="0" w:evenVBand="1" w:oddHBand="0" w:evenHBand="0" w:firstRowFirstColumn="0" w:firstRowLastColumn="0" w:lastRowFirstColumn="0" w:lastRowLastColumn="0"/>
            <w:tcW w:w="1701" w:type="dxa"/>
          </w:tcPr>
          <w:p w14:paraId="4F85A083"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 xml:space="preserve">Lower bound, </w:t>
            </w:r>
            <w:proofErr w:type="gramStart"/>
            <w:r w:rsidRPr="001C4BAD">
              <w:rPr>
                <w:rFonts w:ascii="Times New Roman" w:eastAsia="Calibri" w:hAnsi="Times New Roman" w:cs="Times New Roman"/>
                <w:color w:val="000000"/>
              </w:rPr>
              <w:t>I(</w:t>
            </w:r>
            <w:proofErr w:type="gramEnd"/>
            <w:r w:rsidRPr="001C4BAD">
              <w:rPr>
                <w:rFonts w:ascii="Times New Roman" w:eastAsia="Calibri" w:hAnsi="Times New Roman" w:cs="Times New Roman"/>
                <w:color w:val="000000"/>
              </w:rPr>
              <w:t>0)</w:t>
            </w:r>
          </w:p>
        </w:tc>
        <w:tc>
          <w:tcPr>
            <w:cnfStyle w:val="000010000000" w:firstRow="0" w:lastRow="0" w:firstColumn="0" w:lastColumn="0" w:oddVBand="1" w:evenVBand="0" w:oddHBand="0" w:evenHBand="0" w:firstRowFirstColumn="0" w:firstRowLastColumn="0" w:lastRowFirstColumn="0" w:lastRowLastColumn="0"/>
            <w:tcW w:w="2268" w:type="dxa"/>
          </w:tcPr>
          <w:p w14:paraId="546B9E93"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 xml:space="preserve">Upper bound, </w:t>
            </w:r>
            <w:proofErr w:type="gramStart"/>
            <w:r w:rsidRPr="001C4BAD">
              <w:rPr>
                <w:rFonts w:ascii="Times New Roman" w:eastAsia="Calibri" w:hAnsi="Times New Roman" w:cs="Times New Roman"/>
                <w:color w:val="000000"/>
              </w:rPr>
              <w:t>I(</w:t>
            </w:r>
            <w:proofErr w:type="gramEnd"/>
            <w:r w:rsidRPr="001C4BAD">
              <w:rPr>
                <w:rFonts w:ascii="Times New Roman" w:eastAsia="Calibri" w:hAnsi="Times New Roman" w:cs="Times New Roman"/>
                <w:color w:val="000000"/>
              </w:rPr>
              <w:t>1)</w:t>
            </w:r>
          </w:p>
        </w:tc>
      </w:tr>
      <w:tr w:rsidR="001C4BAD" w:rsidRPr="001C4BAD" w14:paraId="214D3E47"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2227" w:type="dxa"/>
          </w:tcPr>
          <w:p w14:paraId="44B12BA6" w14:textId="77777777" w:rsidR="001C4BAD" w:rsidRPr="001C4BAD" w:rsidRDefault="001C4BAD" w:rsidP="007223FC">
            <w:pPr>
              <w:autoSpaceDE w:val="0"/>
              <w:autoSpaceDN w:val="0"/>
              <w:adjustRightInd w:val="0"/>
              <w:rPr>
                <w:rFonts w:ascii="Times New Roman" w:eastAsia="Calibri" w:hAnsi="Times New Roman" w:cs="Times New Roman"/>
                <w:color w:val="000000"/>
              </w:rPr>
            </w:pPr>
            <w:r w:rsidRPr="001C4BAD">
              <w:rPr>
                <w:rFonts w:ascii="Times New Roman" w:eastAsia="Calibri" w:hAnsi="Times New Roman" w:cs="Times New Roman"/>
                <w:color w:val="000000"/>
              </w:rPr>
              <w:t>F-statistic</w:t>
            </w:r>
          </w:p>
        </w:tc>
        <w:tc>
          <w:tcPr>
            <w:cnfStyle w:val="000001000000" w:firstRow="0" w:lastRow="0" w:firstColumn="0" w:lastColumn="0" w:oddVBand="0" w:evenVBand="1" w:oddHBand="0" w:evenHBand="0" w:firstRowFirstColumn="0" w:firstRowLastColumn="0" w:lastRowFirstColumn="0" w:lastRowLastColumn="0"/>
            <w:tcW w:w="1103" w:type="dxa"/>
          </w:tcPr>
          <w:p w14:paraId="5BE45D43"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 4.864</w:t>
            </w:r>
          </w:p>
        </w:tc>
        <w:tc>
          <w:tcPr>
            <w:cnfStyle w:val="000010000000" w:firstRow="0" w:lastRow="0" w:firstColumn="0" w:lastColumn="0" w:oddVBand="1" w:evenVBand="0" w:oddHBand="0" w:evenHBand="0" w:firstRowFirstColumn="0" w:firstRowLastColumn="0" w:lastRowFirstColumn="0" w:lastRowLastColumn="0"/>
            <w:tcW w:w="2023" w:type="dxa"/>
          </w:tcPr>
          <w:p w14:paraId="62DACB00"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10%  </w:t>
            </w:r>
          </w:p>
        </w:tc>
        <w:tc>
          <w:tcPr>
            <w:cnfStyle w:val="000001000000" w:firstRow="0" w:lastRow="0" w:firstColumn="0" w:lastColumn="0" w:oddVBand="0" w:evenVBand="1" w:oddHBand="0" w:evenHBand="0" w:firstRowFirstColumn="0" w:firstRowLastColumn="0" w:lastRowFirstColumn="0" w:lastRowLastColumn="0"/>
            <w:tcW w:w="1701" w:type="dxa"/>
          </w:tcPr>
          <w:p w14:paraId="7EAA9BE8"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2.2</w:t>
            </w:r>
          </w:p>
        </w:tc>
        <w:tc>
          <w:tcPr>
            <w:cnfStyle w:val="000010000000" w:firstRow="0" w:lastRow="0" w:firstColumn="0" w:lastColumn="0" w:oddVBand="1" w:evenVBand="0" w:oddHBand="0" w:evenHBand="0" w:firstRowFirstColumn="0" w:firstRowLastColumn="0" w:lastRowFirstColumn="0" w:lastRowLastColumn="0"/>
            <w:tcW w:w="2268" w:type="dxa"/>
          </w:tcPr>
          <w:p w14:paraId="722C1C79"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3.09</w:t>
            </w:r>
          </w:p>
        </w:tc>
      </w:tr>
      <w:tr w:rsidR="001C4BAD" w:rsidRPr="001C4BAD" w14:paraId="5E651C69"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2227" w:type="dxa"/>
          </w:tcPr>
          <w:p w14:paraId="2B5AE80F" w14:textId="77777777" w:rsidR="001C4BAD" w:rsidRPr="001C4BAD" w:rsidRDefault="001C4BAD" w:rsidP="007223FC">
            <w:pPr>
              <w:autoSpaceDE w:val="0"/>
              <w:autoSpaceDN w:val="0"/>
              <w:adjustRightInd w:val="0"/>
              <w:rPr>
                <w:rFonts w:ascii="Times New Roman" w:eastAsia="Calibri" w:hAnsi="Times New Roman" w:cs="Times New Roman"/>
                <w:color w:val="000000"/>
              </w:rPr>
            </w:pPr>
            <w:r w:rsidRPr="001C4BAD">
              <w:rPr>
                <w:rFonts w:ascii="Times New Roman" w:eastAsia="Calibri" w:hAnsi="Times New Roman" w:cs="Times New Roman"/>
                <w:color w:val="000000"/>
              </w:rPr>
              <w:t>k</w:t>
            </w:r>
          </w:p>
        </w:tc>
        <w:tc>
          <w:tcPr>
            <w:cnfStyle w:val="000001000000" w:firstRow="0" w:lastRow="0" w:firstColumn="0" w:lastColumn="0" w:oddVBand="0" w:evenVBand="1" w:oddHBand="0" w:evenHBand="0" w:firstRowFirstColumn="0" w:firstRowLastColumn="0" w:lastRowFirstColumn="0" w:lastRowLastColumn="0"/>
            <w:tcW w:w="1103" w:type="dxa"/>
          </w:tcPr>
          <w:p w14:paraId="59855F1D"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4</w:t>
            </w:r>
          </w:p>
        </w:tc>
        <w:tc>
          <w:tcPr>
            <w:cnfStyle w:val="000010000000" w:firstRow="0" w:lastRow="0" w:firstColumn="0" w:lastColumn="0" w:oddVBand="1" w:evenVBand="0" w:oddHBand="0" w:evenHBand="0" w:firstRowFirstColumn="0" w:firstRowLastColumn="0" w:lastRowFirstColumn="0" w:lastRowLastColumn="0"/>
            <w:tcW w:w="2023" w:type="dxa"/>
          </w:tcPr>
          <w:p w14:paraId="6C9EC94D"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5%  </w:t>
            </w:r>
          </w:p>
        </w:tc>
        <w:tc>
          <w:tcPr>
            <w:cnfStyle w:val="000001000000" w:firstRow="0" w:lastRow="0" w:firstColumn="0" w:lastColumn="0" w:oddVBand="0" w:evenVBand="1" w:oddHBand="0" w:evenHBand="0" w:firstRowFirstColumn="0" w:firstRowLastColumn="0" w:lastRowFirstColumn="0" w:lastRowLastColumn="0"/>
            <w:tcW w:w="1701" w:type="dxa"/>
          </w:tcPr>
          <w:p w14:paraId="229D9326"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2.56</w:t>
            </w:r>
          </w:p>
        </w:tc>
        <w:tc>
          <w:tcPr>
            <w:cnfStyle w:val="000010000000" w:firstRow="0" w:lastRow="0" w:firstColumn="0" w:lastColumn="0" w:oddVBand="1" w:evenVBand="0" w:oddHBand="0" w:evenHBand="0" w:firstRowFirstColumn="0" w:firstRowLastColumn="0" w:lastRowFirstColumn="0" w:lastRowLastColumn="0"/>
            <w:tcW w:w="2268" w:type="dxa"/>
          </w:tcPr>
          <w:p w14:paraId="1222DC2B"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3.49</w:t>
            </w:r>
          </w:p>
        </w:tc>
      </w:tr>
      <w:tr w:rsidR="001C4BAD" w:rsidRPr="001C4BAD" w14:paraId="68D05B02"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2227" w:type="dxa"/>
          </w:tcPr>
          <w:p w14:paraId="67FFCA39"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c>
          <w:tcPr>
            <w:cnfStyle w:val="000001000000" w:firstRow="0" w:lastRow="0" w:firstColumn="0" w:lastColumn="0" w:oddVBand="0" w:evenVBand="1" w:oddHBand="0" w:evenHBand="0" w:firstRowFirstColumn="0" w:firstRowLastColumn="0" w:lastRowFirstColumn="0" w:lastRowLastColumn="0"/>
            <w:tcW w:w="1103" w:type="dxa"/>
          </w:tcPr>
          <w:p w14:paraId="5AFDE3FE"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2023" w:type="dxa"/>
          </w:tcPr>
          <w:p w14:paraId="592067B4"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2.5%  </w:t>
            </w:r>
          </w:p>
        </w:tc>
        <w:tc>
          <w:tcPr>
            <w:cnfStyle w:val="000001000000" w:firstRow="0" w:lastRow="0" w:firstColumn="0" w:lastColumn="0" w:oddVBand="0" w:evenVBand="1" w:oddHBand="0" w:evenHBand="0" w:firstRowFirstColumn="0" w:firstRowLastColumn="0" w:lastRowFirstColumn="0" w:lastRowLastColumn="0"/>
            <w:tcW w:w="1701" w:type="dxa"/>
          </w:tcPr>
          <w:p w14:paraId="4B375BD3"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2.88</w:t>
            </w:r>
          </w:p>
        </w:tc>
        <w:tc>
          <w:tcPr>
            <w:cnfStyle w:val="000010000000" w:firstRow="0" w:lastRow="0" w:firstColumn="0" w:lastColumn="0" w:oddVBand="1" w:evenVBand="0" w:oddHBand="0" w:evenHBand="0" w:firstRowFirstColumn="0" w:firstRowLastColumn="0" w:lastRowFirstColumn="0" w:lastRowLastColumn="0"/>
            <w:tcW w:w="2268" w:type="dxa"/>
          </w:tcPr>
          <w:p w14:paraId="25CA9C06"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3.87</w:t>
            </w:r>
          </w:p>
        </w:tc>
      </w:tr>
      <w:tr w:rsidR="001C4BAD" w:rsidRPr="001C4BAD" w14:paraId="372441AC"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2227" w:type="dxa"/>
          </w:tcPr>
          <w:p w14:paraId="1C404AD9"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c>
          <w:tcPr>
            <w:cnfStyle w:val="000001000000" w:firstRow="0" w:lastRow="0" w:firstColumn="0" w:lastColumn="0" w:oddVBand="0" w:evenVBand="1" w:oddHBand="0" w:evenHBand="0" w:firstRowFirstColumn="0" w:firstRowLastColumn="0" w:lastRowFirstColumn="0" w:lastRowLastColumn="0"/>
            <w:tcW w:w="1103" w:type="dxa"/>
          </w:tcPr>
          <w:p w14:paraId="6984289E"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2023" w:type="dxa"/>
          </w:tcPr>
          <w:p w14:paraId="0E1721AC"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1%  </w:t>
            </w:r>
          </w:p>
        </w:tc>
        <w:tc>
          <w:tcPr>
            <w:cnfStyle w:val="000001000000" w:firstRow="0" w:lastRow="0" w:firstColumn="0" w:lastColumn="0" w:oddVBand="0" w:evenVBand="1" w:oddHBand="0" w:evenHBand="0" w:firstRowFirstColumn="0" w:firstRowLastColumn="0" w:lastRowFirstColumn="0" w:lastRowLastColumn="0"/>
            <w:tcW w:w="1701" w:type="dxa"/>
          </w:tcPr>
          <w:p w14:paraId="28738905"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3.29</w:t>
            </w:r>
          </w:p>
        </w:tc>
        <w:tc>
          <w:tcPr>
            <w:cnfStyle w:val="000010000000" w:firstRow="0" w:lastRow="0" w:firstColumn="0" w:lastColumn="0" w:oddVBand="1" w:evenVBand="0" w:oddHBand="0" w:evenHBand="0" w:firstRowFirstColumn="0" w:firstRowLastColumn="0" w:lastRowFirstColumn="0" w:lastRowLastColumn="0"/>
            <w:tcW w:w="2268" w:type="dxa"/>
          </w:tcPr>
          <w:p w14:paraId="735C4DDE" w14:textId="77777777" w:rsidR="001C4BAD" w:rsidRPr="001C4BAD" w:rsidRDefault="001C4BAD" w:rsidP="007223FC">
            <w:pPr>
              <w:autoSpaceDE w:val="0"/>
              <w:autoSpaceDN w:val="0"/>
              <w:adjustRightInd w:val="0"/>
              <w:ind w:right="10"/>
              <w:jc w:val="right"/>
              <w:rPr>
                <w:rFonts w:ascii="Times New Roman" w:eastAsia="Calibri" w:hAnsi="Times New Roman" w:cs="Times New Roman"/>
                <w:color w:val="000000"/>
              </w:rPr>
            </w:pPr>
            <w:r w:rsidRPr="001C4BAD">
              <w:rPr>
                <w:rFonts w:ascii="Times New Roman" w:eastAsia="Calibri" w:hAnsi="Times New Roman" w:cs="Times New Roman"/>
                <w:color w:val="000000"/>
              </w:rPr>
              <w:t>4.37</w:t>
            </w:r>
          </w:p>
        </w:tc>
      </w:tr>
    </w:tbl>
    <w:p w14:paraId="04F83F6D" w14:textId="77777777" w:rsidR="001C4BAD" w:rsidRPr="001C4BAD" w:rsidRDefault="001C4BAD" w:rsidP="007223FC">
      <w:pPr>
        <w:spacing w:line="240" w:lineRule="auto"/>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Source: Researcher’s computation (2022) using E-views 12</w:t>
      </w:r>
    </w:p>
    <w:p w14:paraId="42A5E734" w14:textId="77777777" w:rsidR="001C4BAD" w:rsidRPr="001C4BAD" w:rsidRDefault="001C4BAD" w:rsidP="007223FC">
      <w:pPr>
        <w:spacing w:line="240" w:lineRule="auto"/>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Note: K represents number of explanatory variables</w:t>
      </w:r>
    </w:p>
    <w:p w14:paraId="71A38EFA" w14:textId="77777777" w:rsidR="001C4BAD" w:rsidRPr="001C4BAD" w:rsidRDefault="001C4BAD" w:rsidP="007223FC">
      <w:pPr>
        <w:spacing w:after="0" w:line="240" w:lineRule="auto"/>
        <w:jc w:val="both"/>
        <w:rPr>
          <w:rFonts w:ascii="Times New Roman" w:eastAsia="Calibri" w:hAnsi="Times New Roman" w:cs="Times New Roman"/>
          <w:color w:val="000000"/>
          <w:kern w:val="0"/>
          <w14:ligatures w14:val="none"/>
        </w:rPr>
      </w:pPr>
      <w:r w:rsidRPr="001C4BAD">
        <w:rPr>
          <w:rFonts w:ascii="Times New Roman" w:eastAsia="Calibri" w:hAnsi="Times New Roman" w:cs="Times New Roman"/>
          <w:color w:val="000000"/>
          <w:kern w:val="0"/>
          <w14:ligatures w14:val="none"/>
        </w:rPr>
        <w:t xml:space="preserve">The bounds cointegration test for the </w:t>
      </w:r>
      <w:r w:rsidRPr="001C4BAD">
        <w:rPr>
          <w:rFonts w:ascii="Times New Roman" w:eastAsia="Times New Roman" w:hAnsi="Times New Roman" w:cs="Times New Roman"/>
          <w:color w:val="000000"/>
          <w:kern w:val="0"/>
          <w14:ligatures w14:val="none"/>
        </w:rPr>
        <w:t>financial service usage</w:t>
      </w:r>
      <w:r w:rsidRPr="001C4BAD">
        <w:rPr>
          <w:rFonts w:ascii="Times New Roman" w:eastAsia="Calibri" w:hAnsi="Times New Roman" w:cs="Times New Roman"/>
          <w:bCs/>
          <w:kern w:val="0"/>
          <w14:ligatures w14:val="none"/>
        </w:rPr>
        <w:t xml:space="preserve"> model is presented in Table 2.</w:t>
      </w:r>
      <w:r w:rsidRPr="001C4BAD">
        <w:rPr>
          <w:rFonts w:ascii="Times New Roman" w:eastAsia="Calibri" w:hAnsi="Times New Roman" w:cs="Times New Roman"/>
          <w:b/>
          <w:bCs/>
          <w:kern w:val="0"/>
          <w14:ligatures w14:val="none"/>
        </w:rPr>
        <w:t xml:space="preserve"> </w:t>
      </w:r>
      <w:r w:rsidRPr="001C4BAD">
        <w:rPr>
          <w:rFonts w:ascii="Times New Roman" w:eastAsia="Calibri" w:hAnsi="Times New Roman" w:cs="Times New Roman"/>
          <w:color w:val="000000"/>
          <w:kern w:val="0"/>
          <w14:ligatures w14:val="none"/>
        </w:rPr>
        <w:t>As observed from the results, the computed F-statistic (4.864) is greater than the upper bound critical value (3.49) at 5 percent significance level. This finding satisfies the empirical condition for rejecting the null hypothesis of no cointegration among the variables. In other words, financial service usage has a long run relationship with the financial technology indicators (mobile banking, internet banking, ATM and POS technology).  The evidence of long run relationship between financial service usage and financial technology provided the required empirical condition f</w:t>
      </w:r>
      <w:r w:rsidRPr="001C4BAD">
        <w:rPr>
          <w:rFonts w:ascii="Times New Roman" w:eastAsia="Calibri" w:hAnsi="Times New Roman" w:cs="Times New Roman"/>
          <w:kern w:val="0"/>
          <w:shd w:val="clear" w:color="auto" w:fill="FFFFFF"/>
          <w14:ligatures w14:val="none"/>
        </w:rPr>
        <w:t>or estimating the ARDL model to capture the long and short run between deposit-to-GDP ratio and each of the financial technology indicators.</w:t>
      </w:r>
    </w:p>
    <w:p w14:paraId="2AB10BE6" w14:textId="77777777" w:rsidR="001C4BAD" w:rsidRPr="001C4BAD" w:rsidRDefault="001C4BAD" w:rsidP="007223FC">
      <w:pPr>
        <w:spacing w:line="240" w:lineRule="auto"/>
        <w:ind w:left="720" w:hanging="720"/>
        <w:jc w:val="both"/>
        <w:rPr>
          <w:rFonts w:ascii="Times New Roman" w:eastAsia="Calibri" w:hAnsi="Times New Roman" w:cs="Times New Roman"/>
          <w:b/>
          <w:color w:val="000000"/>
          <w:kern w:val="0"/>
          <w14:ligatures w14:val="none"/>
        </w:rPr>
      </w:pPr>
      <w:r w:rsidRPr="001C4BAD">
        <w:rPr>
          <w:rFonts w:ascii="Times New Roman" w:eastAsia="Calibri" w:hAnsi="Times New Roman" w:cs="Times New Roman"/>
          <w:b/>
          <w:color w:val="000000"/>
          <w:kern w:val="0"/>
          <w14:ligatures w14:val="none"/>
        </w:rPr>
        <w:t>Model Estimation</w:t>
      </w:r>
    </w:p>
    <w:p w14:paraId="652252CA" w14:textId="77777777" w:rsidR="001C4BAD" w:rsidRPr="001C4BAD" w:rsidRDefault="001C4BAD" w:rsidP="007223FC">
      <w:pPr>
        <w:spacing w:line="240" w:lineRule="auto"/>
        <w:jc w:val="both"/>
        <w:rPr>
          <w:rFonts w:ascii="Times New Roman" w:eastAsia="Calibri" w:hAnsi="Times New Roman" w:cs="Times New Roman"/>
          <w:color w:val="000000"/>
          <w:kern w:val="0"/>
          <w14:ligatures w14:val="none"/>
        </w:rPr>
      </w:pPr>
      <w:r w:rsidRPr="001C4BAD">
        <w:rPr>
          <w:rFonts w:ascii="Times New Roman" w:eastAsia="Calibri" w:hAnsi="Times New Roman" w:cs="Times New Roman"/>
          <w:color w:val="000000"/>
          <w:kern w:val="0"/>
          <w14:ligatures w14:val="none"/>
        </w:rPr>
        <w:t xml:space="preserve">Given the evidence of mixed integration in the series and cointegration among the variables in each of the models are observed from the ADF unit root and bounds tests respectively, the empirical condition for estimating the ARDL model for each of the models. The results are presented in Table 4.6-4.9. </w:t>
      </w:r>
    </w:p>
    <w:p w14:paraId="5D8B62D8"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2AB69A51"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67D554DB"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76CE48BC"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624272A8"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6270E791"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17C19227"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30F0399B"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1B3CFD81"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63C66635"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7360ED8A" w14:textId="77777777" w:rsidR="007223FC" w:rsidRDefault="007223FC" w:rsidP="007223FC">
      <w:pPr>
        <w:spacing w:line="240" w:lineRule="auto"/>
        <w:jc w:val="both"/>
        <w:rPr>
          <w:rFonts w:ascii="Times New Roman" w:eastAsia="Calibri" w:hAnsi="Times New Roman" w:cs="Times New Roman"/>
          <w:b/>
          <w:color w:val="000000"/>
          <w:kern w:val="0"/>
          <w14:ligatures w14:val="none"/>
        </w:rPr>
      </w:pPr>
    </w:p>
    <w:p w14:paraId="70CF0039" w14:textId="4D4BE36F" w:rsidR="001C4BAD" w:rsidRPr="001C4BAD" w:rsidRDefault="001C4BAD" w:rsidP="007223FC">
      <w:pPr>
        <w:spacing w:line="240" w:lineRule="auto"/>
        <w:jc w:val="both"/>
        <w:rPr>
          <w:rFonts w:ascii="Times New Roman" w:eastAsia="Calibri" w:hAnsi="Times New Roman" w:cs="Times New Roman"/>
          <w:b/>
          <w:bCs/>
          <w:kern w:val="0"/>
          <w14:ligatures w14:val="none"/>
        </w:rPr>
      </w:pPr>
      <w:r w:rsidRPr="001C4BAD">
        <w:rPr>
          <w:rFonts w:ascii="Times New Roman" w:eastAsia="Calibri" w:hAnsi="Times New Roman" w:cs="Times New Roman"/>
          <w:b/>
          <w:color w:val="000000"/>
          <w:kern w:val="0"/>
          <w14:ligatures w14:val="none"/>
        </w:rPr>
        <w:lastRenderedPageBreak/>
        <w:t xml:space="preserve">Table 4.6: ARDL long and short run results </w:t>
      </w:r>
      <w:r w:rsidRPr="001C4BAD">
        <w:rPr>
          <w:rFonts w:ascii="Times New Roman" w:eastAsia="Calibri" w:hAnsi="Times New Roman" w:cs="Times New Roman"/>
          <w:b/>
          <w:bCs/>
          <w:kern w:val="0"/>
          <w14:ligatures w14:val="none"/>
        </w:rPr>
        <w:t xml:space="preserve">for </w:t>
      </w:r>
      <w:r w:rsidRPr="001C4BAD">
        <w:rPr>
          <w:rFonts w:ascii="Times New Roman" w:eastAsia="Times New Roman" w:hAnsi="Times New Roman" w:cs="Times New Roman"/>
          <w:b/>
          <w:color w:val="000000"/>
          <w:kern w:val="0"/>
          <w14:ligatures w14:val="none"/>
        </w:rPr>
        <w:t>financial service usage</w:t>
      </w:r>
      <w:r w:rsidRPr="001C4BAD">
        <w:rPr>
          <w:rFonts w:ascii="Times New Roman" w:eastAsia="Calibri" w:hAnsi="Times New Roman" w:cs="Times New Roman"/>
          <w:b/>
          <w:bCs/>
          <w:kern w:val="0"/>
          <w14:ligatures w14:val="none"/>
        </w:rPr>
        <w:t xml:space="preserve"> model</w:t>
      </w:r>
    </w:p>
    <w:tbl>
      <w:tblPr>
        <w:tblStyle w:val="PlainTable212"/>
        <w:tblW w:w="0" w:type="auto"/>
        <w:tblLayout w:type="fixed"/>
        <w:tblLook w:val="0000" w:firstRow="0" w:lastRow="0" w:firstColumn="0" w:lastColumn="0" w:noHBand="0" w:noVBand="0"/>
      </w:tblPr>
      <w:tblGrid>
        <w:gridCol w:w="3085"/>
        <w:gridCol w:w="1418"/>
        <w:gridCol w:w="1842"/>
        <w:gridCol w:w="1560"/>
        <w:gridCol w:w="1559"/>
      </w:tblGrid>
      <w:tr w:rsidR="001C4BAD" w:rsidRPr="001C4BAD" w14:paraId="75DF5567"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6345" w:type="dxa"/>
            <w:gridSpan w:val="3"/>
          </w:tcPr>
          <w:p w14:paraId="504879AD" w14:textId="77777777" w:rsidR="001C4BAD" w:rsidRPr="001C4BAD" w:rsidRDefault="001C4BAD" w:rsidP="007223FC">
            <w:pPr>
              <w:autoSpaceDE w:val="0"/>
              <w:autoSpaceDN w:val="0"/>
              <w:adjustRightInd w:val="0"/>
              <w:rPr>
                <w:rFonts w:ascii="Times New Roman" w:eastAsia="Calibri" w:hAnsi="Times New Roman" w:cs="Times New Roman"/>
                <w:color w:val="000000"/>
              </w:rPr>
            </w:pPr>
            <w:r w:rsidRPr="001C4BAD">
              <w:rPr>
                <w:rFonts w:ascii="Times New Roman" w:eastAsia="Calibri" w:hAnsi="Times New Roman" w:cs="Times New Roman"/>
                <w:color w:val="000000"/>
              </w:rPr>
              <w:t>Dependent Variable: USE</w:t>
            </w:r>
          </w:p>
        </w:tc>
        <w:tc>
          <w:tcPr>
            <w:cnfStyle w:val="000001000000" w:firstRow="0" w:lastRow="0" w:firstColumn="0" w:lastColumn="0" w:oddVBand="0" w:evenVBand="1" w:oddHBand="0" w:evenHBand="0" w:firstRowFirstColumn="0" w:firstRowLastColumn="0" w:lastRowFirstColumn="0" w:lastRowLastColumn="0"/>
            <w:tcW w:w="1560" w:type="dxa"/>
          </w:tcPr>
          <w:p w14:paraId="0770BC24"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559" w:type="dxa"/>
          </w:tcPr>
          <w:p w14:paraId="0AEE5FD6"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r>
      <w:tr w:rsidR="001C4BAD" w:rsidRPr="001C4BAD" w14:paraId="7FCDB123"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6345" w:type="dxa"/>
            <w:gridSpan w:val="3"/>
          </w:tcPr>
          <w:p w14:paraId="13DC4742" w14:textId="77777777" w:rsidR="001C4BAD" w:rsidRPr="001C4BAD" w:rsidRDefault="001C4BAD" w:rsidP="007223FC">
            <w:pPr>
              <w:autoSpaceDE w:val="0"/>
              <w:autoSpaceDN w:val="0"/>
              <w:adjustRightInd w:val="0"/>
              <w:rPr>
                <w:rFonts w:ascii="Times New Roman" w:eastAsia="Calibri" w:hAnsi="Times New Roman" w:cs="Times New Roman"/>
                <w:color w:val="000000"/>
              </w:rPr>
            </w:pPr>
            <w:r w:rsidRPr="001C4BAD">
              <w:rPr>
                <w:rFonts w:ascii="Times New Roman" w:eastAsia="Calibri" w:hAnsi="Times New Roman" w:cs="Times New Roman"/>
                <w:color w:val="000000"/>
              </w:rPr>
              <w:t>Sample: 2010Q1 2020Q4</w:t>
            </w:r>
          </w:p>
        </w:tc>
        <w:tc>
          <w:tcPr>
            <w:cnfStyle w:val="000001000000" w:firstRow="0" w:lastRow="0" w:firstColumn="0" w:lastColumn="0" w:oddVBand="0" w:evenVBand="1" w:oddHBand="0" w:evenHBand="0" w:firstRowFirstColumn="0" w:firstRowLastColumn="0" w:lastRowFirstColumn="0" w:lastRowLastColumn="0"/>
            <w:tcW w:w="1560" w:type="dxa"/>
          </w:tcPr>
          <w:p w14:paraId="04A665C1"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559" w:type="dxa"/>
          </w:tcPr>
          <w:p w14:paraId="7E9A481E"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
        </w:tc>
      </w:tr>
      <w:tr w:rsidR="001C4BAD" w:rsidRPr="001C4BAD" w14:paraId="69EF3F95"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9464" w:type="dxa"/>
            <w:gridSpan w:val="5"/>
          </w:tcPr>
          <w:p w14:paraId="111190DE"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Short run results</w:t>
            </w:r>
          </w:p>
        </w:tc>
      </w:tr>
      <w:tr w:rsidR="001C4BAD" w:rsidRPr="001C4BAD" w14:paraId="74BA558B"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1A67140B"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Variable</w:t>
            </w:r>
          </w:p>
        </w:tc>
        <w:tc>
          <w:tcPr>
            <w:cnfStyle w:val="000001000000" w:firstRow="0" w:lastRow="0" w:firstColumn="0" w:lastColumn="0" w:oddVBand="0" w:evenVBand="1" w:oddHBand="0" w:evenHBand="0" w:firstRowFirstColumn="0" w:firstRowLastColumn="0" w:lastRowFirstColumn="0" w:lastRowLastColumn="0"/>
            <w:tcW w:w="1418" w:type="dxa"/>
          </w:tcPr>
          <w:p w14:paraId="7F78A67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Coefficient</w:t>
            </w:r>
          </w:p>
        </w:tc>
        <w:tc>
          <w:tcPr>
            <w:cnfStyle w:val="000010000000" w:firstRow="0" w:lastRow="0" w:firstColumn="0" w:lastColumn="0" w:oddVBand="1" w:evenVBand="0" w:oddHBand="0" w:evenHBand="0" w:firstRowFirstColumn="0" w:firstRowLastColumn="0" w:lastRowFirstColumn="0" w:lastRowLastColumn="0"/>
            <w:tcW w:w="1842" w:type="dxa"/>
          </w:tcPr>
          <w:p w14:paraId="5296ED1C"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Std. Error</w:t>
            </w:r>
          </w:p>
        </w:tc>
        <w:tc>
          <w:tcPr>
            <w:cnfStyle w:val="000001000000" w:firstRow="0" w:lastRow="0" w:firstColumn="0" w:lastColumn="0" w:oddVBand="0" w:evenVBand="1" w:oddHBand="0" w:evenHBand="0" w:firstRowFirstColumn="0" w:firstRowLastColumn="0" w:lastRowFirstColumn="0" w:lastRowLastColumn="0"/>
            <w:tcW w:w="1560" w:type="dxa"/>
          </w:tcPr>
          <w:p w14:paraId="031328E9"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t-Statistic</w:t>
            </w:r>
          </w:p>
        </w:tc>
        <w:tc>
          <w:tcPr>
            <w:cnfStyle w:val="000010000000" w:firstRow="0" w:lastRow="0" w:firstColumn="0" w:lastColumn="0" w:oddVBand="1" w:evenVBand="0" w:oddHBand="0" w:evenHBand="0" w:firstRowFirstColumn="0" w:firstRowLastColumn="0" w:lastRowFirstColumn="0" w:lastRowLastColumn="0"/>
            <w:tcW w:w="1559" w:type="dxa"/>
          </w:tcPr>
          <w:p w14:paraId="11152F0A"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Prob.</w:t>
            </w:r>
          </w:p>
        </w:tc>
      </w:tr>
      <w:tr w:rsidR="001C4BAD" w:rsidRPr="001C4BAD" w14:paraId="0B7C5473"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3085" w:type="dxa"/>
          </w:tcPr>
          <w:p w14:paraId="2B70AE35"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D(</w:t>
            </w:r>
            <w:proofErr w:type="gramStart"/>
            <w:r w:rsidRPr="001C4BAD">
              <w:rPr>
                <w:rFonts w:ascii="Times New Roman" w:eastAsia="Calibri" w:hAnsi="Times New Roman" w:cs="Times New Roman"/>
                <w:color w:val="000000"/>
              </w:rPr>
              <w:t>USE(</w:t>
            </w:r>
            <w:proofErr w:type="gramEnd"/>
            <w:r w:rsidRPr="001C4BAD">
              <w:rPr>
                <w:rFonts w:ascii="Times New Roman" w:eastAsia="Calibri" w:hAnsi="Times New Roman" w:cs="Times New Roman"/>
                <w:color w:val="000000"/>
              </w:rPr>
              <w:t>-1))</w:t>
            </w:r>
          </w:p>
        </w:tc>
        <w:tc>
          <w:tcPr>
            <w:cnfStyle w:val="000001000000" w:firstRow="0" w:lastRow="0" w:firstColumn="0" w:lastColumn="0" w:oddVBand="0" w:evenVBand="1" w:oddHBand="0" w:evenHBand="0" w:firstRowFirstColumn="0" w:firstRowLastColumn="0" w:lastRowFirstColumn="0" w:lastRowLastColumn="0"/>
            <w:tcW w:w="1418" w:type="dxa"/>
          </w:tcPr>
          <w:p w14:paraId="1CD7F2B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-0.233030</w:t>
            </w:r>
          </w:p>
        </w:tc>
        <w:tc>
          <w:tcPr>
            <w:cnfStyle w:val="000010000000" w:firstRow="0" w:lastRow="0" w:firstColumn="0" w:lastColumn="0" w:oddVBand="1" w:evenVBand="0" w:oddHBand="0" w:evenHBand="0" w:firstRowFirstColumn="0" w:firstRowLastColumn="0" w:lastRowFirstColumn="0" w:lastRowLastColumn="0"/>
            <w:tcW w:w="1842" w:type="dxa"/>
          </w:tcPr>
          <w:p w14:paraId="2386E039"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0.139003</w:t>
            </w:r>
          </w:p>
        </w:tc>
        <w:tc>
          <w:tcPr>
            <w:cnfStyle w:val="000001000000" w:firstRow="0" w:lastRow="0" w:firstColumn="0" w:lastColumn="0" w:oddVBand="0" w:evenVBand="1" w:oddHBand="0" w:evenHBand="0" w:firstRowFirstColumn="0" w:firstRowLastColumn="0" w:lastRowFirstColumn="0" w:lastRowLastColumn="0"/>
            <w:tcW w:w="1560" w:type="dxa"/>
          </w:tcPr>
          <w:p w14:paraId="0854B5B7"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-1.676440</w:t>
            </w:r>
          </w:p>
        </w:tc>
        <w:tc>
          <w:tcPr>
            <w:cnfStyle w:val="000010000000" w:firstRow="0" w:lastRow="0" w:firstColumn="0" w:lastColumn="0" w:oddVBand="1" w:evenVBand="0" w:oddHBand="0" w:evenHBand="0" w:firstRowFirstColumn="0" w:firstRowLastColumn="0" w:lastRowFirstColumn="0" w:lastRowLastColumn="0"/>
            <w:tcW w:w="1559" w:type="dxa"/>
          </w:tcPr>
          <w:p w14:paraId="34CBDA2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0.1037</w:t>
            </w:r>
          </w:p>
        </w:tc>
      </w:tr>
      <w:tr w:rsidR="001C4BAD" w:rsidRPr="001C4BAD" w14:paraId="2205A460"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3BC06A30"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DLOG(MOB)</w:t>
            </w:r>
          </w:p>
        </w:tc>
        <w:tc>
          <w:tcPr>
            <w:cnfStyle w:val="000001000000" w:firstRow="0" w:lastRow="0" w:firstColumn="0" w:lastColumn="0" w:oddVBand="0" w:evenVBand="1" w:oddHBand="0" w:evenHBand="0" w:firstRowFirstColumn="0" w:firstRowLastColumn="0" w:lastRowFirstColumn="0" w:lastRowLastColumn="0"/>
            <w:tcW w:w="1418" w:type="dxa"/>
          </w:tcPr>
          <w:p w14:paraId="5FB685EF"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0.638631</w:t>
            </w:r>
          </w:p>
        </w:tc>
        <w:tc>
          <w:tcPr>
            <w:cnfStyle w:val="000010000000" w:firstRow="0" w:lastRow="0" w:firstColumn="0" w:lastColumn="0" w:oddVBand="1" w:evenVBand="0" w:oddHBand="0" w:evenHBand="0" w:firstRowFirstColumn="0" w:firstRowLastColumn="0" w:lastRowFirstColumn="0" w:lastRowLastColumn="0"/>
            <w:tcW w:w="1842" w:type="dxa"/>
          </w:tcPr>
          <w:p w14:paraId="783CFB23"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0.242817</w:t>
            </w:r>
          </w:p>
        </w:tc>
        <w:tc>
          <w:tcPr>
            <w:cnfStyle w:val="000001000000" w:firstRow="0" w:lastRow="0" w:firstColumn="0" w:lastColumn="0" w:oddVBand="0" w:evenVBand="1" w:oddHBand="0" w:evenHBand="0" w:firstRowFirstColumn="0" w:firstRowLastColumn="0" w:lastRowFirstColumn="0" w:lastRowLastColumn="0"/>
            <w:tcW w:w="1560" w:type="dxa"/>
          </w:tcPr>
          <w:p w14:paraId="567B5B55"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2.630094</w:t>
            </w:r>
          </w:p>
        </w:tc>
        <w:tc>
          <w:tcPr>
            <w:cnfStyle w:val="000010000000" w:firstRow="0" w:lastRow="0" w:firstColumn="0" w:lastColumn="0" w:oddVBand="1" w:evenVBand="0" w:oddHBand="0" w:evenHBand="0" w:firstRowFirstColumn="0" w:firstRowLastColumn="0" w:lastRowFirstColumn="0" w:lastRowLastColumn="0"/>
            <w:tcW w:w="1559" w:type="dxa"/>
          </w:tcPr>
          <w:p w14:paraId="556BC231"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0.0132</w:t>
            </w:r>
          </w:p>
        </w:tc>
      </w:tr>
      <w:tr w:rsidR="001C4BAD" w:rsidRPr="001C4BAD" w14:paraId="532D3C47"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3085" w:type="dxa"/>
          </w:tcPr>
          <w:p w14:paraId="4D7FB0CB"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DLOG(INT)</w:t>
            </w:r>
          </w:p>
        </w:tc>
        <w:tc>
          <w:tcPr>
            <w:cnfStyle w:val="000001000000" w:firstRow="0" w:lastRow="0" w:firstColumn="0" w:lastColumn="0" w:oddVBand="0" w:evenVBand="1" w:oddHBand="0" w:evenHBand="0" w:firstRowFirstColumn="0" w:firstRowLastColumn="0" w:lastRowFirstColumn="0" w:lastRowLastColumn="0"/>
            <w:tcW w:w="1418" w:type="dxa"/>
          </w:tcPr>
          <w:p w14:paraId="36AE453F"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0.426728</w:t>
            </w:r>
          </w:p>
        </w:tc>
        <w:tc>
          <w:tcPr>
            <w:cnfStyle w:val="000010000000" w:firstRow="0" w:lastRow="0" w:firstColumn="0" w:lastColumn="0" w:oddVBand="1" w:evenVBand="0" w:oddHBand="0" w:evenHBand="0" w:firstRowFirstColumn="0" w:firstRowLastColumn="0" w:lastRowFirstColumn="0" w:lastRowLastColumn="0"/>
            <w:tcW w:w="1842" w:type="dxa"/>
          </w:tcPr>
          <w:p w14:paraId="56A35222"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0.073239</w:t>
            </w:r>
          </w:p>
        </w:tc>
        <w:tc>
          <w:tcPr>
            <w:cnfStyle w:val="000001000000" w:firstRow="0" w:lastRow="0" w:firstColumn="0" w:lastColumn="0" w:oddVBand="0" w:evenVBand="1" w:oddHBand="0" w:evenHBand="0" w:firstRowFirstColumn="0" w:firstRowLastColumn="0" w:lastRowFirstColumn="0" w:lastRowLastColumn="0"/>
            <w:tcW w:w="1560" w:type="dxa"/>
          </w:tcPr>
          <w:p w14:paraId="5292D0CC"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5.826512</w:t>
            </w:r>
          </w:p>
        </w:tc>
        <w:tc>
          <w:tcPr>
            <w:cnfStyle w:val="000010000000" w:firstRow="0" w:lastRow="0" w:firstColumn="0" w:lastColumn="0" w:oddVBand="1" w:evenVBand="0" w:oddHBand="0" w:evenHBand="0" w:firstRowFirstColumn="0" w:firstRowLastColumn="0" w:lastRowFirstColumn="0" w:lastRowLastColumn="0"/>
            <w:tcW w:w="1559" w:type="dxa"/>
          </w:tcPr>
          <w:p w14:paraId="6560F1E8"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0.0000</w:t>
            </w:r>
          </w:p>
        </w:tc>
      </w:tr>
      <w:tr w:rsidR="001C4BAD" w:rsidRPr="001C4BAD" w14:paraId="32F051B8"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096E5852"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DLOG(</w:t>
            </w:r>
            <w:proofErr w:type="gramStart"/>
            <w:r w:rsidRPr="001C4BAD">
              <w:rPr>
                <w:rFonts w:ascii="Times New Roman" w:eastAsia="Calibri" w:hAnsi="Times New Roman" w:cs="Times New Roman"/>
                <w:color w:val="000000"/>
              </w:rPr>
              <w:t>INT(</w:t>
            </w:r>
            <w:proofErr w:type="gramEnd"/>
            <w:r w:rsidRPr="001C4BAD">
              <w:rPr>
                <w:rFonts w:ascii="Times New Roman" w:eastAsia="Calibri" w:hAnsi="Times New Roman" w:cs="Times New Roman"/>
                <w:color w:val="000000"/>
              </w:rPr>
              <w:t>-1))</w:t>
            </w:r>
          </w:p>
        </w:tc>
        <w:tc>
          <w:tcPr>
            <w:cnfStyle w:val="000001000000" w:firstRow="0" w:lastRow="0" w:firstColumn="0" w:lastColumn="0" w:oddVBand="0" w:evenVBand="1" w:oddHBand="0" w:evenHBand="0" w:firstRowFirstColumn="0" w:firstRowLastColumn="0" w:lastRowFirstColumn="0" w:lastRowLastColumn="0"/>
            <w:tcW w:w="1418" w:type="dxa"/>
          </w:tcPr>
          <w:p w14:paraId="693F042C"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0.275449</w:t>
            </w:r>
          </w:p>
        </w:tc>
        <w:tc>
          <w:tcPr>
            <w:cnfStyle w:val="000010000000" w:firstRow="0" w:lastRow="0" w:firstColumn="0" w:lastColumn="0" w:oddVBand="1" w:evenVBand="0" w:oddHBand="0" w:evenHBand="0" w:firstRowFirstColumn="0" w:firstRowLastColumn="0" w:lastRowFirstColumn="0" w:lastRowLastColumn="0"/>
            <w:tcW w:w="1842" w:type="dxa"/>
          </w:tcPr>
          <w:p w14:paraId="319009A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0.094504</w:t>
            </w:r>
          </w:p>
        </w:tc>
        <w:tc>
          <w:tcPr>
            <w:cnfStyle w:val="000001000000" w:firstRow="0" w:lastRow="0" w:firstColumn="0" w:lastColumn="0" w:oddVBand="0" w:evenVBand="1" w:oddHBand="0" w:evenHBand="0" w:firstRowFirstColumn="0" w:firstRowLastColumn="0" w:lastRowFirstColumn="0" w:lastRowLastColumn="0"/>
            <w:tcW w:w="1560" w:type="dxa"/>
          </w:tcPr>
          <w:p w14:paraId="7DCEA381"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2.914684</w:t>
            </w:r>
          </w:p>
        </w:tc>
        <w:tc>
          <w:tcPr>
            <w:cnfStyle w:val="000010000000" w:firstRow="0" w:lastRow="0" w:firstColumn="0" w:lastColumn="0" w:oddVBand="1" w:evenVBand="0" w:oddHBand="0" w:evenHBand="0" w:firstRowFirstColumn="0" w:firstRowLastColumn="0" w:lastRowFirstColumn="0" w:lastRowLastColumn="0"/>
            <w:tcW w:w="1559" w:type="dxa"/>
          </w:tcPr>
          <w:p w14:paraId="7B637E47"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0.0066</w:t>
            </w:r>
          </w:p>
        </w:tc>
      </w:tr>
      <w:tr w:rsidR="001C4BAD" w:rsidRPr="001C4BAD" w14:paraId="430AA303"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3085" w:type="dxa"/>
          </w:tcPr>
          <w:p w14:paraId="487BD749"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DLOG(ATM)</w:t>
            </w:r>
          </w:p>
        </w:tc>
        <w:tc>
          <w:tcPr>
            <w:cnfStyle w:val="000001000000" w:firstRow="0" w:lastRow="0" w:firstColumn="0" w:lastColumn="0" w:oddVBand="0" w:evenVBand="1" w:oddHBand="0" w:evenHBand="0" w:firstRowFirstColumn="0" w:firstRowLastColumn="0" w:lastRowFirstColumn="0" w:lastRowLastColumn="0"/>
            <w:tcW w:w="1418" w:type="dxa"/>
          </w:tcPr>
          <w:p w14:paraId="51FEE462"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1.042863</w:t>
            </w:r>
          </w:p>
        </w:tc>
        <w:tc>
          <w:tcPr>
            <w:cnfStyle w:val="000010000000" w:firstRow="0" w:lastRow="0" w:firstColumn="0" w:lastColumn="0" w:oddVBand="1" w:evenVBand="0" w:oddHBand="0" w:evenHBand="0" w:firstRowFirstColumn="0" w:firstRowLastColumn="0" w:lastRowFirstColumn="0" w:lastRowLastColumn="0"/>
            <w:tcW w:w="1842" w:type="dxa"/>
          </w:tcPr>
          <w:p w14:paraId="3A8C6DC7"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0.366779</w:t>
            </w:r>
          </w:p>
        </w:tc>
        <w:tc>
          <w:tcPr>
            <w:cnfStyle w:val="000001000000" w:firstRow="0" w:lastRow="0" w:firstColumn="0" w:lastColumn="0" w:oddVBand="0" w:evenVBand="1" w:oddHBand="0" w:evenHBand="0" w:firstRowFirstColumn="0" w:firstRowLastColumn="0" w:lastRowFirstColumn="0" w:lastRowLastColumn="0"/>
            <w:tcW w:w="1560" w:type="dxa"/>
          </w:tcPr>
          <w:p w14:paraId="385C2D88"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2.843304</w:t>
            </w:r>
          </w:p>
        </w:tc>
        <w:tc>
          <w:tcPr>
            <w:cnfStyle w:val="000010000000" w:firstRow="0" w:lastRow="0" w:firstColumn="0" w:lastColumn="0" w:oddVBand="1" w:evenVBand="0" w:oddHBand="0" w:evenHBand="0" w:firstRowFirstColumn="0" w:firstRowLastColumn="0" w:lastRowFirstColumn="0" w:lastRowLastColumn="0"/>
            <w:tcW w:w="1559" w:type="dxa"/>
          </w:tcPr>
          <w:p w14:paraId="434B83C3"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0.0078</w:t>
            </w:r>
          </w:p>
        </w:tc>
      </w:tr>
      <w:tr w:rsidR="001C4BAD" w:rsidRPr="001C4BAD" w14:paraId="68A1F8B4"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0A1C7565"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DLOG(</w:t>
            </w:r>
            <w:proofErr w:type="gramStart"/>
            <w:r w:rsidRPr="001C4BAD">
              <w:rPr>
                <w:rFonts w:ascii="Times New Roman" w:eastAsia="Calibri" w:hAnsi="Times New Roman" w:cs="Times New Roman"/>
                <w:color w:val="000000"/>
              </w:rPr>
              <w:t>ATM(</w:t>
            </w:r>
            <w:proofErr w:type="gramEnd"/>
            <w:r w:rsidRPr="001C4BAD">
              <w:rPr>
                <w:rFonts w:ascii="Times New Roman" w:eastAsia="Calibri" w:hAnsi="Times New Roman" w:cs="Times New Roman"/>
                <w:color w:val="000000"/>
              </w:rPr>
              <w:t>-1))</w:t>
            </w:r>
          </w:p>
        </w:tc>
        <w:tc>
          <w:tcPr>
            <w:cnfStyle w:val="000001000000" w:firstRow="0" w:lastRow="0" w:firstColumn="0" w:lastColumn="0" w:oddVBand="0" w:evenVBand="1" w:oddHBand="0" w:evenHBand="0" w:firstRowFirstColumn="0" w:firstRowLastColumn="0" w:lastRowFirstColumn="0" w:lastRowLastColumn="0"/>
            <w:tcW w:w="1418" w:type="dxa"/>
          </w:tcPr>
          <w:p w14:paraId="00D06C3A"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-0.584460</w:t>
            </w:r>
          </w:p>
        </w:tc>
        <w:tc>
          <w:tcPr>
            <w:cnfStyle w:val="000010000000" w:firstRow="0" w:lastRow="0" w:firstColumn="0" w:lastColumn="0" w:oddVBand="1" w:evenVBand="0" w:oddHBand="0" w:evenHBand="0" w:firstRowFirstColumn="0" w:firstRowLastColumn="0" w:lastRowFirstColumn="0" w:lastRowLastColumn="0"/>
            <w:tcW w:w="1842" w:type="dxa"/>
          </w:tcPr>
          <w:p w14:paraId="56D499F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0.330785</w:t>
            </w:r>
          </w:p>
        </w:tc>
        <w:tc>
          <w:tcPr>
            <w:cnfStyle w:val="000001000000" w:firstRow="0" w:lastRow="0" w:firstColumn="0" w:lastColumn="0" w:oddVBand="0" w:evenVBand="1" w:oddHBand="0" w:evenHBand="0" w:firstRowFirstColumn="0" w:firstRowLastColumn="0" w:lastRowFirstColumn="0" w:lastRowLastColumn="0"/>
            <w:tcW w:w="1560" w:type="dxa"/>
          </w:tcPr>
          <w:p w14:paraId="3522F7EA"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-1.766887</w:t>
            </w:r>
          </w:p>
        </w:tc>
        <w:tc>
          <w:tcPr>
            <w:cnfStyle w:val="000010000000" w:firstRow="0" w:lastRow="0" w:firstColumn="0" w:lastColumn="0" w:oddVBand="1" w:evenVBand="0" w:oddHBand="0" w:evenHBand="0" w:firstRowFirstColumn="0" w:firstRowLastColumn="0" w:lastRowFirstColumn="0" w:lastRowLastColumn="0"/>
            <w:tcW w:w="1559" w:type="dxa"/>
          </w:tcPr>
          <w:p w14:paraId="198D9BE2"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0.0871</w:t>
            </w:r>
          </w:p>
        </w:tc>
      </w:tr>
      <w:tr w:rsidR="001C4BAD" w:rsidRPr="001C4BAD" w14:paraId="5717E86F"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3085" w:type="dxa"/>
          </w:tcPr>
          <w:p w14:paraId="28CEF5CC"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DLOG(POS)</w:t>
            </w:r>
          </w:p>
        </w:tc>
        <w:tc>
          <w:tcPr>
            <w:cnfStyle w:val="000001000000" w:firstRow="0" w:lastRow="0" w:firstColumn="0" w:lastColumn="0" w:oddVBand="0" w:evenVBand="1" w:oddHBand="0" w:evenHBand="0" w:firstRowFirstColumn="0" w:firstRowLastColumn="0" w:lastRowFirstColumn="0" w:lastRowLastColumn="0"/>
            <w:tcW w:w="1418" w:type="dxa"/>
          </w:tcPr>
          <w:p w14:paraId="26B855DF"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-1.363196</w:t>
            </w:r>
          </w:p>
        </w:tc>
        <w:tc>
          <w:tcPr>
            <w:cnfStyle w:val="000010000000" w:firstRow="0" w:lastRow="0" w:firstColumn="0" w:lastColumn="0" w:oddVBand="1" w:evenVBand="0" w:oddHBand="0" w:evenHBand="0" w:firstRowFirstColumn="0" w:firstRowLastColumn="0" w:lastRowFirstColumn="0" w:lastRowLastColumn="0"/>
            <w:tcW w:w="1842" w:type="dxa"/>
          </w:tcPr>
          <w:p w14:paraId="08C31FC9"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0.343653</w:t>
            </w:r>
          </w:p>
        </w:tc>
        <w:tc>
          <w:tcPr>
            <w:cnfStyle w:val="000001000000" w:firstRow="0" w:lastRow="0" w:firstColumn="0" w:lastColumn="0" w:oddVBand="0" w:evenVBand="1" w:oddHBand="0" w:evenHBand="0" w:firstRowFirstColumn="0" w:firstRowLastColumn="0" w:lastRowFirstColumn="0" w:lastRowLastColumn="0"/>
            <w:tcW w:w="1560" w:type="dxa"/>
          </w:tcPr>
          <w:p w14:paraId="40A71858"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-3.966778</w:t>
            </w:r>
          </w:p>
        </w:tc>
        <w:tc>
          <w:tcPr>
            <w:cnfStyle w:val="000010000000" w:firstRow="0" w:lastRow="0" w:firstColumn="0" w:lastColumn="0" w:oddVBand="1" w:evenVBand="0" w:oddHBand="0" w:evenHBand="0" w:firstRowFirstColumn="0" w:firstRowLastColumn="0" w:lastRowFirstColumn="0" w:lastRowLastColumn="0"/>
            <w:tcW w:w="1559" w:type="dxa"/>
          </w:tcPr>
          <w:p w14:paraId="655DB5E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0.0004</w:t>
            </w:r>
          </w:p>
        </w:tc>
      </w:tr>
      <w:tr w:rsidR="001C4BAD" w:rsidRPr="001C4BAD" w14:paraId="09338D9E"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4B3CC6C9"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proofErr w:type="spellStart"/>
            <w:proofErr w:type="gramStart"/>
            <w:r w:rsidRPr="001C4BAD">
              <w:rPr>
                <w:rFonts w:ascii="Times New Roman" w:eastAsia="Calibri" w:hAnsi="Times New Roman" w:cs="Times New Roman"/>
                <w:color w:val="000000"/>
              </w:rPr>
              <w:t>CointEq</w:t>
            </w:r>
            <w:proofErr w:type="spellEnd"/>
            <w:r w:rsidRPr="001C4BAD">
              <w:rPr>
                <w:rFonts w:ascii="Times New Roman" w:eastAsia="Calibri" w:hAnsi="Times New Roman" w:cs="Times New Roman"/>
                <w:color w:val="000000"/>
              </w:rPr>
              <w:t>(</w:t>
            </w:r>
            <w:proofErr w:type="gramEnd"/>
            <w:r w:rsidRPr="001C4BAD">
              <w:rPr>
                <w:rFonts w:ascii="Times New Roman" w:eastAsia="Calibri" w:hAnsi="Times New Roman" w:cs="Times New Roman"/>
                <w:color w:val="000000"/>
              </w:rPr>
              <w:t>-1)</w:t>
            </w:r>
          </w:p>
        </w:tc>
        <w:tc>
          <w:tcPr>
            <w:cnfStyle w:val="000001000000" w:firstRow="0" w:lastRow="0" w:firstColumn="0" w:lastColumn="0" w:oddVBand="0" w:evenVBand="1" w:oddHBand="0" w:evenHBand="0" w:firstRowFirstColumn="0" w:firstRowLastColumn="0" w:lastRowFirstColumn="0" w:lastRowLastColumn="0"/>
            <w:tcW w:w="1418" w:type="dxa"/>
          </w:tcPr>
          <w:p w14:paraId="75A2EC6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-0.376218</w:t>
            </w:r>
          </w:p>
        </w:tc>
        <w:tc>
          <w:tcPr>
            <w:cnfStyle w:val="000010000000" w:firstRow="0" w:lastRow="0" w:firstColumn="0" w:lastColumn="0" w:oddVBand="1" w:evenVBand="0" w:oddHBand="0" w:evenHBand="0" w:firstRowFirstColumn="0" w:firstRowLastColumn="0" w:lastRowFirstColumn="0" w:lastRowLastColumn="0"/>
            <w:tcW w:w="1842" w:type="dxa"/>
          </w:tcPr>
          <w:p w14:paraId="06540E07"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0.089281</w:t>
            </w:r>
          </w:p>
        </w:tc>
        <w:tc>
          <w:tcPr>
            <w:cnfStyle w:val="000001000000" w:firstRow="0" w:lastRow="0" w:firstColumn="0" w:lastColumn="0" w:oddVBand="0" w:evenVBand="1" w:oddHBand="0" w:evenHBand="0" w:firstRowFirstColumn="0" w:firstRowLastColumn="0" w:lastRowFirstColumn="0" w:lastRowLastColumn="0"/>
            <w:tcW w:w="1560" w:type="dxa"/>
          </w:tcPr>
          <w:p w14:paraId="61AAD78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-4.213845</w:t>
            </w:r>
          </w:p>
        </w:tc>
        <w:tc>
          <w:tcPr>
            <w:cnfStyle w:val="000010000000" w:firstRow="0" w:lastRow="0" w:firstColumn="0" w:lastColumn="0" w:oddVBand="1" w:evenVBand="0" w:oddHBand="0" w:evenHBand="0" w:firstRowFirstColumn="0" w:firstRowLastColumn="0" w:lastRowFirstColumn="0" w:lastRowLastColumn="0"/>
            <w:tcW w:w="1559" w:type="dxa"/>
          </w:tcPr>
          <w:p w14:paraId="721ACCE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0.0002</w:t>
            </w:r>
          </w:p>
        </w:tc>
      </w:tr>
      <w:tr w:rsidR="001C4BAD" w:rsidRPr="001C4BAD" w14:paraId="589CBF07"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9464" w:type="dxa"/>
            <w:gridSpan w:val="5"/>
          </w:tcPr>
          <w:p w14:paraId="19CC95D5"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Long run results</w:t>
            </w:r>
          </w:p>
        </w:tc>
      </w:tr>
      <w:tr w:rsidR="001C4BAD" w:rsidRPr="001C4BAD" w14:paraId="15E672F0"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105967A8"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Variable</w:t>
            </w:r>
          </w:p>
        </w:tc>
        <w:tc>
          <w:tcPr>
            <w:cnfStyle w:val="000001000000" w:firstRow="0" w:lastRow="0" w:firstColumn="0" w:lastColumn="0" w:oddVBand="0" w:evenVBand="1" w:oddHBand="0" w:evenHBand="0" w:firstRowFirstColumn="0" w:firstRowLastColumn="0" w:lastRowFirstColumn="0" w:lastRowLastColumn="0"/>
            <w:tcW w:w="1418" w:type="dxa"/>
          </w:tcPr>
          <w:p w14:paraId="50EA520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Coefficient</w:t>
            </w:r>
          </w:p>
        </w:tc>
        <w:tc>
          <w:tcPr>
            <w:cnfStyle w:val="000010000000" w:firstRow="0" w:lastRow="0" w:firstColumn="0" w:lastColumn="0" w:oddVBand="1" w:evenVBand="0" w:oddHBand="0" w:evenHBand="0" w:firstRowFirstColumn="0" w:firstRowLastColumn="0" w:lastRowFirstColumn="0" w:lastRowLastColumn="0"/>
            <w:tcW w:w="1842" w:type="dxa"/>
          </w:tcPr>
          <w:p w14:paraId="4859A0A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Std. Error</w:t>
            </w:r>
          </w:p>
        </w:tc>
        <w:tc>
          <w:tcPr>
            <w:cnfStyle w:val="000001000000" w:firstRow="0" w:lastRow="0" w:firstColumn="0" w:lastColumn="0" w:oddVBand="0" w:evenVBand="1" w:oddHBand="0" w:evenHBand="0" w:firstRowFirstColumn="0" w:firstRowLastColumn="0" w:lastRowFirstColumn="0" w:lastRowLastColumn="0"/>
            <w:tcW w:w="1560" w:type="dxa"/>
          </w:tcPr>
          <w:p w14:paraId="3174CC6F"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t-Statistic</w:t>
            </w:r>
          </w:p>
        </w:tc>
        <w:tc>
          <w:tcPr>
            <w:cnfStyle w:val="000010000000" w:firstRow="0" w:lastRow="0" w:firstColumn="0" w:lastColumn="0" w:oddVBand="1" w:evenVBand="0" w:oddHBand="0" w:evenHBand="0" w:firstRowFirstColumn="0" w:firstRowLastColumn="0" w:lastRowFirstColumn="0" w:lastRowLastColumn="0"/>
            <w:tcW w:w="1559" w:type="dxa"/>
          </w:tcPr>
          <w:p w14:paraId="68D386C7"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Prob.</w:t>
            </w:r>
          </w:p>
        </w:tc>
      </w:tr>
      <w:tr w:rsidR="001C4BAD" w:rsidRPr="001C4BAD" w14:paraId="080BE8B2"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3085" w:type="dxa"/>
          </w:tcPr>
          <w:p w14:paraId="44D41137"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LOG(MOB)</w:t>
            </w:r>
          </w:p>
        </w:tc>
        <w:tc>
          <w:tcPr>
            <w:cnfStyle w:val="000001000000" w:firstRow="0" w:lastRow="0" w:firstColumn="0" w:lastColumn="0" w:oddVBand="0" w:evenVBand="1" w:oddHBand="0" w:evenHBand="0" w:firstRowFirstColumn="0" w:firstRowLastColumn="0" w:lastRowFirstColumn="0" w:lastRowLastColumn="0"/>
            <w:tcW w:w="1418" w:type="dxa"/>
          </w:tcPr>
          <w:p w14:paraId="16A55562"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1.697503</w:t>
            </w:r>
          </w:p>
        </w:tc>
        <w:tc>
          <w:tcPr>
            <w:cnfStyle w:val="000010000000" w:firstRow="0" w:lastRow="0" w:firstColumn="0" w:lastColumn="0" w:oddVBand="1" w:evenVBand="0" w:oddHBand="0" w:evenHBand="0" w:firstRowFirstColumn="0" w:firstRowLastColumn="0" w:lastRowFirstColumn="0" w:lastRowLastColumn="0"/>
            <w:tcW w:w="1842" w:type="dxa"/>
          </w:tcPr>
          <w:p w14:paraId="5FC94161"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0.559271</w:t>
            </w:r>
          </w:p>
        </w:tc>
        <w:tc>
          <w:tcPr>
            <w:cnfStyle w:val="000001000000" w:firstRow="0" w:lastRow="0" w:firstColumn="0" w:lastColumn="0" w:oddVBand="0" w:evenVBand="1" w:oddHBand="0" w:evenHBand="0" w:firstRowFirstColumn="0" w:firstRowLastColumn="0" w:lastRowFirstColumn="0" w:lastRowLastColumn="0"/>
            <w:tcW w:w="1560" w:type="dxa"/>
          </w:tcPr>
          <w:p w14:paraId="46DE0998"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3.035205</w:t>
            </w:r>
          </w:p>
        </w:tc>
        <w:tc>
          <w:tcPr>
            <w:cnfStyle w:val="000010000000" w:firstRow="0" w:lastRow="0" w:firstColumn="0" w:lastColumn="0" w:oddVBand="1" w:evenVBand="0" w:oddHBand="0" w:evenHBand="0" w:firstRowFirstColumn="0" w:firstRowLastColumn="0" w:lastRowFirstColumn="0" w:lastRowLastColumn="0"/>
            <w:tcW w:w="1559" w:type="dxa"/>
          </w:tcPr>
          <w:p w14:paraId="4F22E083"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0.0048</w:t>
            </w:r>
          </w:p>
        </w:tc>
      </w:tr>
      <w:tr w:rsidR="001C4BAD" w:rsidRPr="001C4BAD" w14:paraId="58C3B154"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4BEAA5BE"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LOG(INT)</w:t>
            </w:r>
          </w:p>
        </w:tc>
        <w:tc>
          <w:tcPr>
            <w:cnfStyle w:val="000001000000" w:firstRow="0" w:lastRow="0" w:firstColumn="0" w:lastColumn="0" w:oddVBand="0" w:evenVBand="1" w:oddHBand="0" w:evenHBand="0" w:firstRowFirstColumn="0" w:firstRowLastColumn="0" w:lastRowFirstColumn="0" w:lastRowLastColumn="0"/>
            <w:tcW w:w="1418" w:type="dxa"/>
          </w:tcPr>
          <w:p w14:paraId="03E542E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0.148876</w:t>
            </w:r>
          </w:p>
        </w:tc>
        <w:tc>
          <w:tcPr>
            <w:cnfStyle w:val="000010000000" w:firstRow="0" w:lastRow="0" w:firstColumn="0" w:lastColumn="0" w:oddVBand="1" w:evenVBand="0" w:oddHBand="0" w:evenHBand="0" w:firstRowFirstColumn="0" w:firstRowLastColumn="0" w:lastRowFirstColumn="0" w:lastRowLastColumn="0"/>
            <w:tcW w:w="1842" w:type="dxa"/>
          </w:tcPr>
          <w:p w14:paraId="0D43E8A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0.130202</w:t>
            </w:r>
          </w:p>
        </w:tc>
        <w:tc>
          <w:tcPr>
            <w:cnfStyle w:val="000001000000" w:firstRow="0" w:lastRow="0" w:firstColumn="0" w:lastColumn="0" w:oddVBand="0" w:evenVBand="1" w:oddHBand="0" w:evenHBand="0" w:firstRowFirstColumn="0" w:firstRowLastColumn="0" w:lastRowFirstColumn="0" w:lastRowLastColumn="0"/>
            <w:tcW w:w="1560" w:type="dxa"/>
          </w:tcPr>
          <w:p w14:paraId="01409DD2"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1.143417</w:t>
            </w:r>
          </w:p>
        </w:tc>
        <w:tc>
          <w:tcPr>
            <w:cnfStyle w:val="000010000000" w:firstRow="0" w:lastRow="0" w:firstColumn="0" w:lastColumn="0" w:oddVBand="1" w:evenVBand="0" w:oddHBand="0" w:evenHBand="0" w:firstRowFirstColumn="0" w:firstRowLastColumn="0" w:lastRowFirstColumn="0" w:lastRowLastColumn="0"/>
            <w:tcW w:w="1559" w:type="dxa"/>
          </w:tcPr>
          <w:p w14:paraId="26F32448"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0.2616</w:t>
            </w:r>
          </w:p>
        </w:tc>
      </w:tr>
      <w:tr w:rsidR="001C4BAD" w:rsidRPr="001C4BAD" w14:paraId="389B561E"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3085" w:type="dxa"/>
          </w:tcPr>
          <w:p w14:paraId="6676BA51"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LOG(ATM)</w:t>
            </w:r>
          </w:p>
        </w:tc>
        <w:tc>
          <w:tcPr>
            <w:cnfStyle w:val="000001000000" w:firstRow="0" w:lastRow="0" w:firstColumn="0" w:lastColumn="0" w:oddVBand="0" w:evenVBand="1" w:oddHBand="0" w:evenHBand="0" w:firstRowFirstColumn="0" w:firstRowLastColumn="0" w:lastRowFirstColumn="0" w:lastRowLastColumn="0"/>
            <w:tcW w:w="1418" w:type="dxa"/>
          </w:tcPr>
          <w:p w14:paraId="73D6B301"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2.891094</w:t>
            </w:r>
          </w:p>
        </w:tc>
        <w:tc>
          <w:tcPr>
            <w:cnfStyle w:val="000010000000" w:firstRow="0" w:lastRow="0" w:firstColumn="0" w:lastColumn="0" w:oddVBand="1" w:evenVBand="0" w:oddHBand="0" w:evenHBand="0" w:firstRowFirstColumn="0" w:firstRowLastColumn="0" w:lastRowFirstColumn="0" w:lastRowLastColumn="0"/>
            <w:tcW w:w="1842" w:type="dxa"/>
          </w:tcPr>
          <w:p w14:paraId="0E9E17B1"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0.711306</w:t>
            </w:r>
          </w:p>
        </w:tc>
        <w:tc>
          <w:tcPr>
            <w:cnfStyle w:val="000001000000" w:firstRow="0" w:lastRow="0" w:firstColumn="0" w:lastColumn="0" w:oddVBand="0" w:evenVBand="1" w:oddHBand="0" w:evenHBand="0" w:firstRowFirstColumn="0" w:firstRowLastColumn="0" w:lastRowFirstColumn="0" w:lastRowLastColumn="0"/>
            <w:tcW w:w="1560" w:type="dxa"/>
          </w:tcPr>
          <w:p w14:paraId="61FF8B2F"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4.064488</w:t>
            </w:r>
          </w:p>
        </w:tc>
        <w:tc>
          <w:tcPr>
            <w:cnfStyle w:val="000010000000" w:firstRow="0" w:lastRow="0" w:firstColumn="0" w:lastColumn="0" w:oddVBand="1" w:evenVBand="0" w:oddHBand="0" w:evenHBand="0" w:firstRowFirstColumn="0" w:firstRowLastColumn="0" w:lastRowFirstColumn="0" w:lastRowLastColumn="0"/>
            <w:tcW w:w="1559" w:type="dxa"/>
          </w:tcPr>
          <w:p w14:paraId="238B7885"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0.0003</w:t>
            </w:r>
          </w:p>
        </w:tc>
      </w:tr>
      <w:tr w:rsidR="001C4BAD" w:rsidRPr="001C4BAD" w14:paraId="590B5774"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3A438189"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LOG(POS)</w:t>
            </w:r>
          </w:p>
        </w:tc>
        <w:tc>
          <w:tcPr>
            <w:cnfStyle w:val="000001000000" w:firstRow="0" w:lastRow="0" w:firstColumn="0" w:lastColumn="0" w:oddVBand="0" w:evenVBand="1" w:oddHBand="0" w:evenHBand="0" w:firstRowFirstColumn="0" w:firstRowLastColumn="0" w:lastRowFirstColumn="0" w:lastRowLastColumn="0"/>
            <w:tcW w:w="1418" w:type="dxa"/>
          </w:tcPr>
          <w:p w14:paraId="4ACD26EE"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-3.623422</w:t>
            </w:r>
          </w:p>
        </w:tc>
        <w:tc>
          <w:tcPr>
            <w:cnfStyle w:val="000010000000" w:firstRow="0" w:lastRow="0" w:firstColumn="0" w:lastColumn="0" w:oddVBand="1" w:evenVBand="0" w:oddHBand="0" w:evenHBand="0" w:firstRowFirstColumn="0" w:firstRowLastColumn="0" w:lastRowFirstColumn="0" w:lastRowLastColumn="0"/>
            <w:tcW w:w="1842" w:type="dxa"/>
          </w:tcPr>
          <w:p w14:paraId="3B5B613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0.705380</w:t>
            </w:r>
          </w:p>
        </w:tc>
        <w:tc>
          <w:tcPr>
            <w:cnfStyle w:val="000001000000" w:firstRow="0" w:lastRow="0" w:firstColumn="0" w:lastColumn="0" w:oddVBand="0" w:evenVBand="1" w:oddHBand="0" w:evenHBand="0" w:firstRowFirstColumn="0" w:firstRowLastColumn="0" w:lastRowFirstColumn="0" w:lastRowLastColumn="0"/>
            <w:tcW w:w="1560" w:type="dxa"/>
          </w:tcPr>
          <w:p w14:paraId="3BAD2BE9"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-5.136836</w:t>
            </w:r>
          </w:p>
        </w:tc>
        <w:tc>
          <w:tcPr>
            <w:cnfStyle w:val="000010000000" w:firstRow="0" w:lastRow="0" w:firstColumn="0" w:lastColumn="0" w:oddVBand="1" w:evenVBand="0" w:oddHBand="0" w:evenHBand="0" w:firstRowFirstColumn="0" w:firstRowLastColumn="0" w:lastRowFirstColumn="0" w:lastRowLastColumn="0"/>
            <w:tcW w:w="1559" w:type="dxa"/>
          </w:tcPr>
          <w:p w14:paraId="7D7A5492"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0.0000</w:t>
            </w:r>
          </w:p>
        </w:tc>
      </w:tr>
      <w:tr w:rsidR="001C4BAD" w:rsidRPr="001C4BAD" w14:paraId="72E471C9" w14:textId="77777777" w:rsidTr="005C4055">
        <w:trPr>
          <w:cnfStyle w:val="000000100000" w:firstRow="0" w:lastRow="0" w:firstColumn="0" w:lastColumn="0" w:oddVBand="0" w:evenVBand="0" w:oddHBand="1" w:evenHBand="0" w:firstRowFirstColumn="0" w:firstRowLastColumn="0" w:lastRowFirstColumn="0" w:lastRowLastColumn="0"/>
          <w:trHeight w:val="225"/>
        </w:trPr>
        <w:tc>
          <w:tcPr>
            <w:cnfStyle w:val="000010000000" w:firstRow="0" w:lastRow="0" w:firstColumn="0" w:lastColumn="0" w:oddVBand="1" w:evenVBand="0" w:oddHBand="0" w:evenHBand="0" w:firstRowFirstColumn="0" w:firstRowLastColumn="0" w:lastRowFirstColumn="0" w:lastRowLastColumn="0"/>
            <w:tcW w:w="3085" w:type="dxa"/>
          </w:tcPr>
          <w:p w14:paraId="2326E511"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C</w:t>
            </w:r>
          </w:p>
        </w:tc>
        <w:tc>
          <w:tcPr>
            <w:cnfStyle w:val="000001000000" w:firstRow="0" w:lastRow="0" w:firstColumn="0" w:lastColumn="0" w:oddVBand="0" w:evenVBand="1" w:oddHBand="0" w:evenHBand="0" w:firstRowFirstColumn="0" w:firstRowLastColumn="0" w:lastRowFirstColumn="0" w:lastRowLastColumn="0"/>
            <w:tcW w:w="1418" w:type="dxa"/>
          </w:tcPr>
          <w:p w14:paraId="262E948B"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7.551554</w:t>
            </w:r>
          </w:p>
        </w:tc>
        <w:tc>
          <w:tcPr>
            <w:cnfStyle w:val="000010000000" w:firstRow="0" w:lastRow="0" w:firstColumn="0" w:lastColumn="0" w:oddVBand="1" w:evenVBand="0" w:oddHBand="0" w:evenHBand="0" w:firstRowFirstColumn="0" w:firstRowLastColumn="0" w:lastRowFirstColumn="0" w:lastRowLastColumn="0"/>
            <w:tcW w:w="1842" w:type="dxa"/>
          </w:tcPr>
          <w:p w14:paraId="64056A6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3.133904</w:t>
            </w:r>
          </w:p>
        </w:tc>
        <w:tc>
          <w:tcPr>
            <w:cnfStyle w:val="000001000000" w:firstRow="0" w:lastRow="0" w:firstColumn="0" w:lastColumn="0" w:oddVBand="0" w:evenVBand="1" w:oddHBand="0" w:evenHBand="0" w:firstRowFirstColumn="0" w:firstRowLastColumn="0" w:lastRowFirstColumn="0" w:lastRowLastColumn="0"/>
            <w:tcW w:w="1560" w:type="dxa"/>
          </w:tcPr>
          <w:p w14:paraId="3ECF6C9F"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2.409632</w:t>
            </w:r>
          </w:p>
        </w:tc>
        <w:tc>
          <w:tcPr>
            <w:cnfStyle w:val="000010000000" w:firstRow="0" w:lastRow="0" w:firstColumn="0" w:lastColumn="0" w:oddVBand="1" w:evenVBand="0" w:oddHBand="0" w:evenHBand="0" w:firstRowFirstColumn="0" w:firstRowLastColumn="0" w:lastRowFirstColumn="0" w:lastRowLastColumn="0"/>
            <w:tcW w:w="1559" w:type="dxa"/>
          </w:tcPr>
          <w:p w14:paraId="3686F7FD"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0.0221</w:t>
            </w:r>
          </w:p>
        </w:tc>
      </w:tr>
      <w:tr w:rsidR="001C4BAD" w:rsidRPr="001C4BAD" w14:paraId="3E7A65A5" w14:textId="77777777" w:rsidTr="005C4055">
        <w:trPr>
          <w:trHeight w:val="225"/>
        </w:trPr>
        <w:tc>
          <w:tcPr>
            <w:cnfStyle w:val="000010000000" w:firstRow="0" w:lastRow="0" w:firstColumn="0" w:lastColumn="0" w:oddVBand="1" w:evenVBand="0" w:oddHBand="0" w:evenHBand="0" w:firstRowFirstColumn="0" w:firstRowLastColumn="0" w:lastRowFirstColumn="0" w:lastRowLastColumn="0"/>
            <w:tcW w:w="3085" w:type="dxa"/>
          </w:tcPr>
          <w:p w14:paraId="40EE13CC" w14:textId="77777777" w:rsidR="001C4BAD" w:rsidRPr="001C4BAD" w:rsidRDefault="001C4BAD" w:rsidP="007223FC">
            <w:pPr>
              <w:autoSpaceDE w:val="0"/>
              <w:autoSpaceDN w:val="0"/>
              <w:adjustRightInd w:val="0"/>
              <w:jc w:val="center"/>
              <w:rPr>
                <w:rFonts w:ascii="Times New Roman" w:eastAsia="Calibri" w:hAnsi="Times New Roman" w:cs="Times New Roman"/>
                <w:color w:val="000000"/>
              </w:rPr>
            </w:pPr>
            <w:r w:rsidRPr="001C4BAD">
              <w:rPr>
                <w:rFonts w:ascii="Times New Roman" w:eastAsia="Calibri" w:hAnsi="Times New Roman" w:cs="Times New Roman"/>
                <w:color w:val="000000"/>
              </w:rPr>
              <w:t>R-squared</w:t>
            </w:r>
          </w:p>
        </w:tc>
        <w:tc>
          <w:tcPr>
            <w:cnfStyle w:val="000001000000" w:firstRow="0" w:lastRow="0" w:firstColumn="0" w:lastColumn="0" w:oddVBand="0" w:evenVBand="1" w:oddHBand="0" w:evenHBand="0" w:firstRowFirstColumn="0" w:firstRowLastColumn="0" w:lastRowFirstColumn="0" w:lastRowLastColumn="0"/>
            <w:tcW w:w="1418" w:type="dxa"/>
          </w:tcPr>
          <w:p w14:paraId="087A429E"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0.821592</w:t>
            </w:r>
          </w:p>
        </w:tc>
        <w:tc>
          <w:tcPr>
            <w:cnfStyle w:val="000010000000" w:firstRow="0" w:lastRow="0" w:firstColumn="0" w:lastColumn="0" w:oddVBand="1" w:evenVBand="0" w:oddHBand="0" w:evenHBand="0" w:firstRowFirstColumn="0" w:firstRowLastColumn="0" w:lastRowFirstColumn="0" w:lastRowLastColumn="0"/>
            <w:tcW w:w="1842" w:type="dxa"/>
          </w:tcPr>
          <w:p w14:paraId="555A6224"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p>
        </w:tc>
        <w:tc>
          <w:tcPr>
            <w:cnfStyle w:val="000001000000" w:firstRow="0" w:lastRow="0" w:firstColumn="0" w:lastColumn="0" w:oddVBand="0" w:evenVBand="1" w:oddHBand="0" w:evenHBand="0" w:firstRowFirstColumn="0" w:firstRowLastColumn="0" w:lastRowFirstColumn="0" w:lastRowLastColumn="0"/>
            <w:tcW w:w="1560" w:type="dxa"/>
          </w:tcPr>
          <w:p w14:paraId="0773E882"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Prob(F-stat.)</w:t>
            </w:r>
          </w:p>
        </w:tc>
        <w:tc>
          <w:tcPr>
            <w:cnfStyle w:val="000010000000" w:firstRow="0" w:lastRow="0" w:firstColumn="0" w:lastColumn="0" w:oddVBand="1" w:evenVBand="0" w:oddHBand="0" w:evenHBand="0" w:firstRowFirstColumn="0" w:firstRowLastColumn="0" w:lastRowFirstColumn="0" w:lastRowLastColumn="0"/>
            <w:tcW w:w="1559" w:type="dxa"/>
          </w:tcPr>
          <w:p w14:paraId="04AB6626" w14:textId="77777777" w:rsidR="001C4BAD" w:rsidRPr="001C4BAD" w:rsidRDefault="001C4BAD" w:rsidP="007223FC">
            <w:pPr>
              <w:autoSpaceDE w:val="0"/>
              <w:autoSpaceDN w:val="0"/>
              <w:adjustRightInd w:val="0"/>
              <w:ind w:right="10"/>
              <w:jc w:val="center"/>
              <w:rPr>
                <w:rFonts w:ascii="Times New Roman" w:eastAsia="Calibri" w:hAnsi="Times New Roman" w:cs="Times New Roman"/>
                <w:color w:val="000000"/>
              </w:rPr>
            </w:pPr>
            <w:r w:rsidRPr="001C4BAD">
              <w:rPr>
                <w:rFonts w:ascii="Times New Roman" w:eastAsia="Calibri" w:hAnsi="Times New Roman" w:cs="Times New Roman"/>
                <w:color w:val="000000"/>
              </w:rPr>
              <w:t>0.0000</w:t>
            </w:r>
          </w:p>
        </w:tc>
      </w:tr>
    </w:tbl>
    <w:p w14:paraId="789A3A5D" w14:textId="77777777" w:rsidR="001C4BAD" w:rsidRPr="001C4BAD" w:rsidRDefault="001C4BAD" w:rsidP="007223FC">
      <w:pPr>
        <w:spacing w:line="240" w:lineRule="auto"/>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Source: Researcher’s computation (2022) using E-views 12</w:t>
      </w:r>
    </w:p>
    <w:p w14:paraId="4FBDF04E" w14:textId="77777777" w:rsidR="001C4BAD" w:rsidRPr="001C4BAD" w:rsidRDefault="001C4BAD" w:rsidP="007223FC">
      <w:pPr>
        <w:spacing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As observed from the results, one-period lag of deposit-to-GDP ratio has a negative but insignificant relationship with its current value. This finding indicates financial service usage in the previous period is not significant in explaining changes in the future financial service usage. The results also showed that mobile banking technology has a positive and significant relationship with deposit-to-GDP ratio in the short run. This finding suggests that mobile banking technology plays important role in improving financial service usage in Nigeria. Similarly, the results revealed that current and one-period lag of internet banking technology has a positive and significant relationship with deposit-to-GDP ratio in the short run. This finding provided appreciable empirical evidence on the effectiveness of internet banking in improving the financial service usage. The positive contribution of internet banking on financial service usage is consistent with the findings of </w:t>
      </w:r>
      <w:proofErr w:type="spellStart"/>
      <w:r w:rsidRPr="001C4BAD">
        <w:rPr>
          <w:rFonts w:ascii="Times New Roman" w:eastAsia="Calibri" w:hAnsi="Times New Roman" w:cs="Times New Roman"/>
          <w:kern w:val="0"/>
          <w14:ligatures w14:val="none"/>
        </w:rPr>
        <w:t>Oniore</w:t>
      </w:r>
      <w:proofErr w:type="spellEnd"/>
      <w:r w:rsidRPr="001C4BAD">
        <w:rPr>
          <w:rFonts w:ascii="Times New Roman" w:eastAsia="Calibri" w:hAnsi="Times New Roman" w:cs="Times New Roman"/>
          <w:kern w:val="0"/>
          <w14:ligatures w14:val="none"/>
        </w:rPr>
        <w:t xml:space="preserve"> and Okoli (2019) which showed that e-banking is important in promoting banking sector performance and growth of the Nigerian economy. At the same time, it was observed from the current level of ATM technology has positive and significant relationship with deposit-to-GDP ratio. This finding is consistent with the results of </w:t>
      </w:r>
      <w:r w:rsidRPr="001C4BAD">
        <w:rPr>
          <w:rFonts w:ascii="Times New Roman" w:eastAsia="Calibri" w:hAnsi="Times New Roman" w:cs="Times New Roman"/>
          <w:color w:val="222222"/>
          <w:kern w:val="0"/>
          <w:shd w:val="clear" w:color="auto" w:fill="FFFFFF"/>
          <w14:ligatures w14:val="none"/>
        </w:rPr>
        <w:t xml:space="preserve">Babajide, </w:t>
      </w:r>
      <w:proofErr w:type="spellStart"/>
      <w:proofErr w:type="gramStart"/>
      <w:r w:rsidRPr="001C4BAD">
        <w:rPr>
          <w:rFonts w:ascii="Times New Roman" w:eastAsia="Calibri" w:hAnsi="Times New Roman" w:cs="Times New Roman"/>
          <w:color w:val="222222"/>
          <w:kern w:val="0"/>
          <w:shd w:val="clear" w:color="auto" w:fill="FFFFFF"/>
          <w14:ligatures w14:val="none"/>
        </w:rPr>
        <w:t>Oluwaseye</w:t>
      </w:r>
      <w:proofErr w:type="spellEnd"/>
      <w:r w:rsidRPr="001C4BAD">
        <w:rPr>
          <w:rFonts w:ascii="Times New Roman" w:eastAsia="Calibri" w:hAnsi="Times New Roman" w:cs="Times New Roman"/>
          <w:color w:val="222222"/>
          <w:kern w:val="0"/>
          <w:shd w:val="clear" w:color="auto" w:fill="FFFFFF"/>
          <w14:ligatures w14:val="none"/>
        </w:rPr>
        <w:t>,  Lawal</w:t>
      </w:r>
      <w:proofErr w:type="gramEnd"/>
      <w:r w:rsidRPr="001C4BAD">
        <w:rPr>
          <w:rFonts w:ascii="Times New Roman" w:eastAsia="Calibri" w:hAnsi="Times New Roman" w:cs="Times New Roman"/>
          <w:color w:val="222222"/>
          <w:kern w:val="0"/>
          <w:shd w:val="clear" w:color="auto" w:fill="FFFFFF"/>
          <w14:ligatures w14:val="none"/>
        </w:rPr>
        <w:t xml:space="preserve"> and Isibor (2020), which evidence of the significant contribution of ATM services to financial inclusion in Nigeria. It, however, conflicted with the findings of Ene, Abba and </w:t>
      </w:r>
      <w:proofErr w:type="spellStart"/>
      <w:r w:rsidRPr="001C4BAD">
        <w:rPr>
          <w:rFonts w:ascii="Times New Roman" w:eastAsia="Calibri" w:hAnsi="Times New Roman" w:cs="Times New Roman"/>
          <w:color w:val="222222"/>
          <w:kern w:val="0"/>
          <w:shd w:val="clear" w:color="auto" w:fill="FFFFFF"/>
          <w14:ligatures w14:val="none"/>
        </w:rPr>
        <w:t>Fatokun</w:t>
      </w:r>
      <w:proofErr w:type="spellEnd"/>
      <w:r w:rsidRPr="001C4BAD">
        <w:rPr>
          <w:rFonts w:ascii="Times New Roman" w:eastAsia="Calibri" w:hAnsi="Times New Roman" w:cs="Times New Roman"/>
          <w:color w:val="222222"/>
          <w:kern w:val="0"/>
          <w:shd w:val="clear" w:color="auto" w:fill="FFFFFF"/>
          <w14:ligatures w14:val="none"/>
        </w:rPr>
        <w:t xml:space="preserve"> (2019) which revealed that ATM technology </w:t>
      </w:r>
      <w:r w:rsidRPr="001C4BAD">
        <w:rPr>
          <w:rFonts w:ascii="Times New Roman" w:eastAsia="Calibri" w:hAnsi="Times New Roman" w:cs="Times New Roman"/>
          <w:color w:val="232323"/>
          <w:kern w:val="0"/>
          <w:shd w:val="clear" w:color="auto" w:fill="FFFFFF"/>
          <w14:ligatures w14:val="none"/>
        </w:rPr>
        <w:t>does not significantly impact financial inclusion.</w:t>
      </w:r>
    </w:p>
    <w:p w14:paraId="44B8B72E" w14:textId="77777777" w:rsidR="001C4BAD" w:rsidRPr="001C4BAD" w:rsidRDefault="001C4BAD" w:rsidP="007223FC">
      <w:pPr>
        <w:spacing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 xml:space="preserve">In addition, the long run results showed that mobile banking technology has a positive and significant positive effect on deposit-to-GDP ratio in the long run. This finding conforms to the a priori expectation which provided the basis for rejecting the null hypothesis that </w:t>
      </w:r>
      <w:r w:rsidRPr="001C4BAD">
        <w:rPr>
          <w:rFonts w:ascii="Times New Roman" w:eastAsia="Times New Roman" w:hAnsi="Times New Roman" w:cs="Times New Roman"/>
          <w:color w:val="000000"/>
          <w:kern w:val="0"/>
          <w14:ligatures w14:val="none"/>
        </w:rPr>
        <w:t xml:space="preserve">mobile banking technology does not significantly influence financial service usage in Nigeria. More importantly, this finding corroborated with the results of </w:t>
      </w:r>
      <w:r w:rsidRPr="001C4BAD">
        <w:rPr>
          <w:rFonts w:ascii="Times New Roman" w:eastAsia="Calibri" w:hAnsi="Times New Roman" w:cs="Times New Roman"/>
          <w:color w:val="000000"/>
          <w:kern w:val="0"/>
          <w14:ligatures w14:val="none"/>
        </w:rPr>
        <w:t>Oumarou and Celestin (2021</w:t>
      </w:r>
      <w:proofErr w:type="gramStart"/>
      <w:r w:rsidRPr="001C4BAD">
        <w:rPr>
          <w:rFonts w:ascii="Times New Roman" w:eastAsia="Calibri" w:hAnsi="Times New Roman" w:cs="Times New Roman"/>
          <w:color w:val="000000"/>
          <w:kern w:val="0"/>
          <w14:ligatures w14:val="none"/>
        </w:rPr>
        <w:t>)  and</w:t>
      </w:r>
      <w:proofErr w:type="gramEnd"/>
      <w:r w:rsidRPr="001C4BAD">
        <w:rPr>
          <w:rFonts w:ascii="Times New Roman" w:eastAsia="Calibri" w:hAnsi="Times New Roman" w:cs="Times New Roman"/>
          <w:color w:val="000000"/>
          <w:kern w:val="0"/>
          <w14:ligatures w14:val="none"/>
        </w:rPr>
        <w:t xml:space="preserve"> Mago and </w:t>
      </w:r>
      <w:proofErr w:type="spellStart"/>
      <w:r w:rsidRPr="001C4BAD">
        <w:rPr>
          <w:rFonts w:ascii="Times New Roman" w:eastAsia="Calibri" w:hAnsi="Times New Roman" w:cs="Times New Roman"/>
          <w:color w:val="000000"/>
          <w:kern w:val="0"/>
          <w14:ligatures w14:val="none"/>
        </w:rPr>
        <w:t>Chitokwindo</w:t>
      </w:r>
      <w:proofErr w:type="spellEnd"/>
      <w:r w:rsidRPr="001C4BAD">
        <w:rPr>
          <w:rFonts w:ascii="Times New Roman" w:eastAsia="Calibri" w:hAnsi="Times New Roman" w:cs="Times New Roman"/>
          <w:color w:val="000000"/>
          <w:kern w:val="0"/>
          <w14:ligatures w14:val="none"/>
        </w:rPr>
        <w:t xml:space="preserve"> (2014) which highlighted that mobile banking significantly and positively aided financial inclusion in Zimbabwe </w:t>
      </w:r>
      <w:proofErr w:type="gramStart"/>
      <w:r w:rsidRPr="001C4BAD">
        <w:rPr>
          <w:rFonts w:ascii="Times New Roman" w:eastAsia="Calibri" w:hAnsi="Times New Roman" w:cs="Times New Roman"/>
          <w:color w:val="000000"/>
          <w:kern w:val="0"/>
          <w14:ligatures w14:val="none"/>
        </w:rPr>
        <w:t>and  other</w:t>
      </w:r>
      <w:proofErr w:type="gramEnd"/>
      <w:r w:rsidRPr="001C4BAD">
        <w:rPr>
          <w:rFonts w:ascii="Times New Roman" w:eastAsia="Calibri" w:hAnsi="Times New Roman" w:cs="Times New Roman"/>
          <w:color w:val="000000"/>
          <w:kern w:val="0"/>
          <w14:ligatures w14:val="none"/>
        </w:rPr>
        <w:t xml:space="preserve"> WAEMU countries</w:t>
      </w:r>
      <w:r w:rsidRPr="001C4BAD">
        <w:rPr>
          <w:rFonts w:ascii="Times New Roman" w:eastAsia="Calibri" w:hAnsi="Times New Roman" w:cs="Times New Roman"/>
          <w:kern w:val="0"/>
          <w14:ligatures w14:val="none"/>
        </w:rPr>
        <w:t xml:space="preserve">. There is also evidence of a positive and significant relationship between ATM technology and deposit-to-GDP ratio in the long run. On the other hand, the long run results showed that POS technology has a negative and significant relationship with deposit-to-GDP ratio. This finding is not in accordance with the work of </w:t>
      </w:r>
      <w:r w:rsidRPr="001C4BAD">
        <w:rPr>
          <w:rFonts w:ascii="Times New Roman" w:eastAsia="Calibri" w:hAnsi="Times New Roman" w:cs="Times New Roman"/>
          <w:color w:val="222222"/>
          <w:kern w:val="0"/>
          <w:shd w:val="clear" w:color="auto" w:fill="FFFFFF"/>
          <w14:ligatures w14:val="none"/>
        </w:rPr>
        <w:t>Ekong and Ekong (2022) which have highlighted that POS transactions</w:t>
      </w:r>
      <w:r w:rsidRPr="001C4BAD">
        <w:rPr>
          <w:rFonts w:ascii="Times New Roman" w:eastAsia="Calibri" w:hAnsi="Times New Roman" w:cs="Times New Roman"/>
          <w:kern w:val="0"/>
          <w:shd w:val="clear" w:color="auto" w:fill="FFFFFF"/>
          <w14:ligatures w14:val="none"/>
        </w:rPr>
        <w:t xml:space="preserve"> raised financial inclusion in Nigeria. The implication of this finding is that POS transactions have not translated in boosting aggregate deposit in Nigeria.</w:t>
      </w:r>
      <w:r w:rsidRPr="001C4BAD">
        <w:rPr>
          <w:rFonts w:ascii="Times New Roman" w:eastAsia="Calibri" w:hAnsi="Times New Roman" w:cs="Times New Roman"/>
          <w:kern w:val="0"/>
          <w14:ligatures w14:val="none"/>
        </w:rPr>
        <w:t xml:space="preserve"> However, it was found that internet banking technology has a positive but insignificant relationship with deposit-to-GDP ratio at 5 percent </w:t>
      </w:r>
      <w:r w:rsidRPr="001C4BAD">
        <w:rPr>
          <w:rFonts w:ascii="Times New Roman" w:eastAsia="Calibri" w:hAnsi="Times New Roman" w:cs="Times New Roman"/>
          <w:kern w:val="0"/>
          <w14:ligatures w14:val="none"/>
        </w:rPr>
        <w:lastRenderedPageBreak/>
        <w:t>significance level given that the probability of the t-statistic is greater than 0.05. The results showed that error correction coefficient (</w:t>
      </w:r>
      <w:r w:rsidRPr="001C4BAD">
        <w:rPr>
          <w:rFonts w:ascii="Times New Roman" w:eastAsia="Calibri" w:hAnsi="Times New Roman" w:cs="Times New Roman"/>
          <w:color w:val="000000"/>
          <w:kern w:val="0"/>
          <w14:ligatures w14:val="none"/>
        </w:rPr>
        <w:t>-0.3762</w:t>
      </w:r>
      <w:r w:rsidRPr="001C4BAD">
        <w:rPr>
          <w:rFonts w:ascii="Times New Roman" w:eastAsia="Calibri" w:hAnsi="Times New Roman" w:cs="Times New Roman"/>
          <w:kern w:val="0"/>
          <w14:ligatures w14:val="none"/>
        </w:rPr>
        <w:t>) has the expected negative sign and it is statistically significant at 5 percent level given that its corresponding probability value (0.0002) is less than 0.05. This finding indicates that short run deviation in the deposit-to-GDP ratio in can adjust to long run equilibrium position at a speed of 37.62 percent. The R-squared (</w:t>
      </w:r>
      <w:r w:rsidRPr="001C4BAD">
        <w:rPr>
          <w:rFonts w:ascii="Times New Roman" w:eastAsia="Calibri" w:hAnsi="Times New Roman" w:cs="Times New Roman"/>
          <w:color w:val="000000"/>
          <w:kern w:val="0"/>
          <w14:ligatures w14:val="none"/>
        </w:rPr>
        <w:t>0.82159</w:t>
      </w:r>
      <w:r w:rsidRPr="001C4BAD">
        <w:rPr>
          <w:rFonts w:ascii="Times New Roman" w:eastAsia="Calibri" w:hAnsi="Times New Roman" w:cs="Times New Roman"/>
          <w:kern w:val="0"/>
          <w14:ligatures w14:val="none"/>
        </w:rPr>
        <w:t xml:space="preserve">) also showed that 82.16 percent of the total variations in deposit-to-GDP ratio are jointly explained by changes in the explanatory variables. The highly significant probability value (0.0000) of the F-statistic indicates that </w:t>
      </w:r>
      <w:r w:rsidRPr="001C4BAD">
        <w:rPr>
          <w:rFonts w:ascii="Times New Roman" w:eastAsia="Calibri" w:hAnsi="Times New Roman" w:cs="Times New Roman"/>
          <w:color w:val="000000"/>
          <w:kern w:val="0"/>
          <w14:ligatures w14:val="none"/>
        </w:rPr>
        <w:t>mobile banking, internet banking, ATM and POS technology</w:t>
      </w:r>
      <w:r w:rsidRPr="001C4BAD">
        <w:rPr>
          <w:rFonts w:ascii="Times New Roman" w:eastAsia="Calibri" w:hAnsi="Times New Roman" w:cs="Times New Roman"/>
          <w:kern w:val="0"/>
          <w14:ligatures w14:val="none"/>
        </w:rPr>
        <w:t xml:space="preserve"> are jointly significant in influencing deposit-to-GDP ratio in Nigeria, which implies that the overall model is a good fit. This finding authenticates the statistical reliability of the estimated model.</w:t>
      </w:r>
    </w:p>
    <w:p w14:paraId="7D582730" w14:textId="77777777" w:rsidR="001C4BAD" w:rsidRPr="001C4BAD" w:rsidRDefault="001C4BAD" w:rsidP="007223FC">
      <w:pPr>
        <w:spacing w:line="240" w:lineRule="auto"/>
        <w:jc w:val="both"/>
        <w:rPr>
          <w:rFonts w:ascii="Times New Roman" w:eastAsia="Calibri" w:hAnsi="Times New Roman" w:cs="Times New Roman"/>
          <w:b/>
          <w:bCs/>
          <w:kern w:val="0"/>
          <w14:ligatures w14:val="none"/>
        </w:rPr>
      </w:pPr>
      <w:r w:rsidRPr="001C4BAD">
        <w:rPr>
          <w:rFonts w:ascii="Times New Roman" w:eastAsia="Calibri" w:hAnsi="Times New Roman" w:cs="Times New Roman"/>
          <w:b/>
          <w:color w:val="000000"/>
          <w:kern w:val="0"/>
          <w14:ligatures w14:val="none"/>
        </w:rPr>
        <w:t xml:space="preserve">Table 4: Post-estimation test results </w:t>
      </w:r>
    </w:p>
    <w:tbl>
      <w:tblPr>
        <w:tblStyle w:val="TableGrid"/>
        <w:tblW w:w="10031" w:type="dxa"/>
        <w:tblLook w:val="04A0" w:firstRow="1" w:lastRow="0" w:firstColumn="1" w:lastColumn="0" w:noHBand="0" w:noVBand="1"/>
      </w:tblPr>
      <w:tblGrid>
        <w:gridCol w:w="5211"/>
        <w:gridCol w:w="2694"/>
        <w:gridCol w:w="2126"/>
      </w:tblGrid>
      <w:tr w:rsidR="001C4BAD" w:rsidRPr="001C4BAD" w14:paraId="3AFB524C" w14:textId="77777777" w:rsidTr="005C4055">
        <w:tc>
          <w:tcPr>
            <w:tcW w:w="5211" w:type="dxa"/>
          </w:tcPr>
          <w:p w14:paraId="39E46794" w14:textId="77777777" w:rsidR="001C4BAD" w:rsidRPr="001C4BAD" w:rsidRDefault="001C4BAD" w:rsidP="007223FC">
            <w:pPr>
              <w:jc w:val="center"/>
              <w:rPr>
                <w:rFonts w:ascii="Times New Roman" w:eastAsia="Calibri" w:hAnsi="Times New Roman" w:cs="Times New Roman"/>
                <w:b/>
              </w:rPr>
            </w:pPr>
            <w:r w:rsidRPr="001C4BAD">
              <w:rPr>
                <w:rFonts w:ascii="Times New Roman" w:eastAsia="Calibri" w:hAnsi="Times New Roman" w:cs="Times New Roman"/>
              </w:rPr>
              <w:t>Test type</w:t>
            </w:r>
          </w:p>
        </w:tc>
        <w:tc>
          <w:tcPr>
            <w:tcW w:w="2694" w:type="dxa"/>
          </w:tcPr>
          <w:p w14:paraId="0A667E72" w14:textId="77777777" w:rsidR="001C4BAD" w:rsidRPr="001C4BAD" w:rsidRDefault="001C4BAD" w:rsidP="007223FC">
            <w:pPr>
              <w:jc w:val="center"/>
              <w:rPr>
                <w:rFonts w:ascii="Times New Roman" w:eastAsia="Calibri" w:hAnsi="Times New Roman" w:cs="Times New Roman"/>
                <w:b/>
              </w:rPr>
            </w:pPr>
            <w:r w:rsidRPr="001C4BAD">
              <w:rPr>
                <w:rFonts w:ascii="Times New Roman" w:eastAsia="Calibri" w:hAnsi="Times New Roman" w:cs="Times New Roman"/>
              </w:rPr>
              <w:t>Test statistic</w:t>
            </w:r>
          </w:p>
        </w:tc>
        <w:tc>
          <w:tcPr>
            <w:tcW w:w="2126" w:type="dxa"/>
          </w:tcPr>
          <w:p w14:paraId="190DA18D" w14:textId="77777777" w:rsidR="001C4BAD" w:rsidRPr="001C4BAD" w:rsidRDefault="001C4BAD" w:rsidP="007223FC">
            <w:pPr>
              <w:jc w:val="center"/>
              <w:rPr>
                <w:rFonts w:ascii="Times New Roman" w:eastAsia="Calibri" w:hAnsi="Times New Roman" w:cs="Times New Roman"/>
                <w:b/>
              </w:rPr>
            </w:pPr>
            <w:r w:rsidRPr="001C4BAD">
              <w:rPr>
                <w:rFonts w:ascii="Times New Roman" w:eastAsia="Calibri" w:hAnsi="Times New Roman" w:cs="Times New Roman"/>
              </w:rPr>
              <w:t>Probability value</w:t>
            </w:r>
          </w:p>
        </w:tc>
      </w:tr>
      <w:tr w:rsidR="001C4BAD" w:rsidRPr="001C4BAD" w14:paraId="7247C1C9" w14:textId="77777777" w:rsidTr="005C4055">
        <w:tc>
          <w:tcPr>
            <w:tcW w:w="5211" w:type="dxa"/>
          </w:tcPr>
          <w:p w14:paraId="569110AA" w14:textId="77777777" w:rsidR="001C4BAD" w:rsidRPr="001C4BAD" w:rsidRDefault="001C4BAD" w:rsidP="007223FC">
            <w:pPr>
              <w:jc w:val="center"/>
              <w:rPr>
                <w:rFonts w:ascii="Times New Roman" w:eastAsia="Calibri" w:hAnsi="Times New Roman" w:cs="Times New Roman"/>
                <w:b/>
              </w:rPr>
            </w:pPr>
            <w:r w:rsidRPr="001C4BAD">
              <w:rPr>
                <w:rFonts w:ascii="Times New Roman" w:eastAsia="Calibri" w:hAnsi="Times New Roman" w:cs="Times New Roman"/>
              </w:rPr>
              <w:t>Breusch-Godfrey serial correlation LM test</w:t>
            </w:r>
          </w:p>
        </w:tc>
        <w:tc>
          <w:tcPr>
            <w:tcW w:w="2694" w:type="dxa"/>
          </w:tcPr>
          <w:p w14:paraId="1639288C"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Chi-square (</w:t>
            </w:r>
            <w:r w:rsidRPr="001C4BAD">
              <w:rPr>
                <w:rFonts w:ascii="Times New Roman" w:eastAsia="Calibri" w:hAnsi="Times New Roman" w:cs="Times New Roman"/>
                <w:color w:val="000000"/>
              </w:rPr>
              <w:t>0.4605</w:t>
            </w:r>
            <w:r w:rsidRPr="001C4BAD">
              <w:rPr>
                <w:rFonts w:ascii="Times New Roman" w:eastAsia="Calibri" w:hAnsi="Times New Roman" w:cs="Times New Roman"/>
              </w:rPr>
              <w:t>)</w:t>
            </w:r>
          </w:p>
        </w:tc>
        <w:tc>
          <w:tcPr>
            <w:tcW w:w="2126" w:type="dxa"/>
          </w:tcPr>
          <w:p w14:paraId="29D52DB8"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0.7943</w:t>
            </w:r>
          </w:p>
        </w:tc>
      </w:tr>
      <w:tr w:rsidR="001C4BAD" w:rsidRPr="001C4BAD" w14:paraId="46B7302A" w14:textId="77777777" w:rsidTr="005C4055">
        <w:trPr>
          <w:trHeight w:val="188"/>
        </w:trPr>
        <w:tc>
          <w:tcPr>
            <w:tcW w:w="5211" w:type="dxa"/>
          </w:tcPr>
          <w:p w14:paraId="45E222F9" w14:textId="77777777" w:rsidR="001C4BAD" w:rsidRPr="001C4BAD" w:rsidRDefault="001C4BAD" w:rsidP="007223FC">
            <w:pPr>
              <w:jc w:val="center"/>
              <w:rPr>
                <w:rFonts w:ascii="Times New Roman" w:eastAsia="Calibri" w:hAnsi="Times New Roman" w:cs="Times New Roman"/>
                <w:b/>
              </w:rPr>
            </w:pPr>
            <w:r w:rsidRPr="001C4BAD">
              <w:rPr>
                <w:rFonts w:ascii="Times New Roman" w:eastAsia="Calibri" w:hAnsi="Times New Roman" w:cs="Times New Roman"/>
                <w:color w:val="000000"/>
              </w:rPr>
              <w:t>Breusch-Pagan-Godfrey</w:t>
            </w:r>
            <w:r w:rsidRPr="001C4BAD">
              <w:rPr>
                <w:rFonts w:ascii="Times New Roman" w:eastAsia="Calibri" w:hAnsi="Times New Roman" w:cs="Times New Roman"/>
              </w:rPr>
              <w:t xml:space="preserve"> heteroskedasticity test</w:t>
            </w:r>
          </w:p>
        </w:tc>
        <w:tc>
          <w:tcPr>
            <w:tcW w:w="2694" w:type="dxa"/>
          </w:tcPr>
          <w:p w14:paraId="0F64741D"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Chi-square (</w:t>
            </w:r>
            <w:r w:rsidRPr="001C4BAD">
              <w:rPr>
                <w:rFonts w:ascii="Times New Roman" w:eastAsia="Calibri" w:hAnsi="Times New Roman" w:cs="Times New Roman"/>
                <w:color w:val="000000"/>
              </w:rPr>
              <w:t>13.52</w:t>
            </w:r>
            <w:r w:rsidRPr="001C4BAD">
              <w:rPr>
                <w:rFonts w:ascii="Times New Roman" w:eastAsia="Calibri" w:hAnsi="Times New Roman" w:cs="Times New Roman"/>
              </w:rPr>
              <w:t>)</w:t>
            </w:r>
          </w:p>
        </w:tc>
        <w:tc>
          <w:tcPr>
            <w:tcW w:w="2126" w:type="dxa"/>
          </w:tcPr>
          <w:p w14:paraId="1BC74538"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 0.1912</w:t>
            </w:r>
          </w:p>
        </w:tc>
      </w:tr>
      <w:tr w:rsidR="001C4BAD" w:rsidRPr="001C4BAD" w14:paraId="4A1E722D" w14:textId="77777777" w:rsidTr="005C4055">
        <w:trPr>
          <w:trHeight w:val="188"/>
        </w:trPr>
        <w:tc>
          <w:tcPr>
            <w:tcW w:w="5211" w:type="dxa"/>
          </w:tcPr>
          <w:p w14:paraId="7CBF8549" w14:textId="77777777" w:rsidR="001C4BAD" w:rsidRPr="001C4BAD" w:rsidRDefault="001C4BAD" w:rsidP="007223FC">
            <w:pPr>
              <w:jc w:val="center"/>
              <w:rPr>
                <w:rFonts w:ascii="Times New Roman" w:eastAsia="Calibri" w:hAnsi="Times New Roman" w:cs="Times New Roman"/>
                <w:b/>
              </w:rPr>
            </w:pPr>
            <w:r w:rsidRPr="001C4BAD">
              <w:rPr>
                <w:rFonts w:ascii="Times New Roman" w:eastAsia="Calibri" w:hAnsi="Times New Roman" w:cs="Times New Roman"/>
              </w:rPr>
              <w:t>Normality test results</w:t>
            </w:r>
          </w:p>
        </w:tc>
        <w:tc>
          <w:tcPr>
            <w:tcW w:w="2694" w:type="dxa"/>
          </w:tcPr>
          <w:p w14:paraId="5A692D0A"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Jarque-Bera stat. (0.003)</w:t>
            </w:r>
          </w:p>
        </w:tc>
        <w:tc>
          <w:tcPr>
            <w:tcW w:w="2126" w:type="dxa"/>
          </w:tcPr>
          <w:p w14:paraId="0FF1CBA7" w14:textId="77777777" w:rsidR="001C4BAD" w:rsidRPr="001C4BAD" w:rsidRDefault="001C4BAD" w:rsidP="007223FC">
            <w:pPr>
              <w:jc w:val="center"/>
              <w:rPr>
                <w:rFonts w:ascii="Times New Roman" w:eastAsia="Calibri" w:hAnsi="Times New Roman" w:cs="Times New Roman"/>
              </w:rPr>
            </w:pPr>
            <w:r w:rsidRPr="001C4BAD">
              <w:rPr>
                <w:rFonts w:ascii="Times New Roman" w:eastAsia="Calibri" w:hAnsi="Times New Roman" w:cs="Times New Roman"/>
              </w:rPr>
              <w:t>0.9981</w:t>
            </w:r>
          </w:p>
        </w:tc>
      </w:tr>
    </w:tbl>
    <w:p w14:paraId="0D0EFE25" w14:textId="77777777" w:rsidR="001C4BAD" w:rsidRPr="001C4BAD" w:rsidRDefault="001C4BAD" w:rsidP="007223FC">
      <w:pPr>
        <w:spacing w:line="240" w:lineRule="auto"/>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Source: Researcher’s computation (2022) using E-views 12</w:t>
      </w:r>
    </w:p>
    <w:p w14:paraId="13388419" w14:textId="77777777" w:rsidR="001C4BAD" w:rsidRPr="001C4BAD" w:rsidRDefault="001C4BAD" w:rsidP="007223FC">
      <w:pPr>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The Breusch-Godfrey serial correlation LM test results showed that the probability value (0.7943) of the Chi-square statistic (</w:t>
      </w:r>
      <w:r w:rsidRPr="001C4BAD">
        <w:rPr>
          <w:rFonts w:ascii="Times New Roman" w:eastAsia="Calibri" w:hAnsi="Times New Roman" w:cs="Times New Roman"/>
          <w:color w:val="000000"/>
          <w:kern w:val="0"/>
          <w14:ligatures w14:val="none"/>
        </w:rPr>
        <w:t>0.4605</w:t>
      </w:r>
      <w:r w:rsidRPr="001C4BAD">
        <w:rPr>
          <w:rFonts w:ascii="Times New Roman" w:eastAsia="Calibri" w:hAnsi="Times New Roman" w:cs="Times New Roman"/>
          <w:kern w:val="0"/>
          <w14:ligatures w14:val="none"/>
        </w:rPr>
        <w:t xml:space="preserve">) is greater than 0.05, which implies that the residual is free from serial correlation at 5 percent significance level. Consequently, the null hypothesis of no serial correlation is accepted in this case. In addition, the </w:t>
      </w:r>
      <w:r w:rsidRPr="001C4BAD">
        <w:rPr>
          <w:rFonts w:ascii="Times New Roman" w:eastAsia="Calibri" w:hAnsi="Times New Roman" w:cs="Times New Roman"/>
          <w:color w:val="000000"/>
          <w:kern w:val="0"/>
          <w14:ligatures w14:val="none"/>
        </w:rPr>
        <w:t>Breusch-Pagan-Godfrey</w:t>
      </w:r>
      <w:r w:rsidRPr="001C4BAD">
        <w:rPr>
          <w:rFonts w:ascii="Times New Roman" w:eastAsia="Calibri" w:hAnsi="Times New Roman" w:cs="Times New Roman"/>
          <w:kern w:val="0"/>
          <w14:ligatures w14:val="none"/>
        </w:rPr>
        <w:t xml:space="preserve"> heteroskedasticity test result revealed that the residuals have a constant variance at 5 percent significant level given that the Chi-square statistic (</w:t>
      </w:r>
      <w:r w:rsidRPr="001C4BAD">
        <w:rPr>
          <w:rFonts w:ascii="Times New Roman" w:eastAsia="Calibri" w:hAnsi="Times New Roman" w:cs="Times New Roman"/>
          <w:color w:val="000000"/>
          <w:kern w:val="0"/>
          <w14:ligatures w14:val="none"/>
        </w:rPr>
        <w:t>13.52</w:t>
      </w:r>
      <w:r w:rsidRPr="001C4BAD">
        <w:rPr>
          <w:rFonts w:ascii="Times New Roman" w:eastAsia="Calibri" w:hAnsi="Times New Roman" w:cs="Times New Roman"/>
          <w:kern w:val="0"/>
          <w14:ligatures w14:val="none"/>
        </w:rPr>
        <w:t xml:space="preserve">) is associated with a probability value (0.1912) which is greater than 0.05. Hence, the null hypothesis of no heteroscedasticity is accepted. It is also evident from the normality test result that the probability value (0.6409) of Jarque-Bera statistic (0.889) is greater than 0.05. This finding indicates that the residuals are normally distributed. Overall, the residuals diagnostics test results provided impressive evidence for the reliability of the model. </w:t>
      </w:r>
    </w:p>
    <w:p w14:paraId="7A305E76" w14:textId="77777777" w:rsidR="001C4BAD" w:rsidRPr="001C4BAD" w:rsidRDefault="001C4BAD" w:rsidP="007223FC">
      <w:pPr>
        <w:spacing w:line="240" w:lineRule="auto"/>
        <w:jc w:val="both"/>
        <w:rPr>
          <w:rFonts w:ascii="Times New Roman" w:eastAsia="Calibri" w:hAnsi="Times New Roman" w:cs="Times New Roman"/>
          <w:b/>
          <w:bCs/>
          <w:kern w:val="0"/>
          <w14:ligatures w14:val="none"/>
        </w:rPr>
      </w:pPr>
      <w:r w:rsidRPr="001C4BAD">
        <w:rPr>
          <w:rFonts w:ascii="Times New Roman" w:eastAsia="Calibri" w:hAnsi="Times New Roman" w:cs="Times New Roman"/>
          <w:kern w:val="0"/>
          <w14:ligatures w14:val="none"/>
        </w:rPr>
        <w:object w:dxaOrig="8580" w:dyaOrig="5340" w14:anchorId="36C36FA9">
          <v:shape id="_x0000_i1066" type="#_x0000_t75" style="width:502.5pt;height:279.75pt" o:ole="">
            <v:imagedata r:id="rId112" o:title=""/>
          </v:shape>
          <o:OLEObject Type="Embed" ProgID="EViews.Workfile.2" ShapeID="_x0000_i1066" DrawAspect="Content" ObjectID="_1835537727" r:id="rId113"/>
        </w:object>
      </w:r>
      <w:r w:rsidRPr="001C4BAD">
        <w:rPr>
          <w:rFonts w:ascii="Times New Roman" w:eastAsia="Calibri" w:hAnsi="Times New Roman" w:cs="Times New Roman"/>
          <w:b/>
          <w:kern w:val="0"/>
          <w14:ligatures w14:val="none"/>
        </w:rPr>
        <w:t>Figure 1: Cumulative sum (CUSUM) graph for</w:t>
      </w:r>
      <w:r w:rsidRPr="001C4BAD">
        <w:rPr>
          <w:rFonts w:ascii="Times New Roman" w:eastAsia="Calibri" w:hAnsi="Times New Roman" w:cs="Times New Roman"/>
          <w:b/>
          <w:bCs/>
          <w:kern w:val="0"/>
          <w14:ligatures w14:val="none"/>
        </w:rPr>
        <w:t xml:space="preserve"> </w:t>
      </w:r>
      <w:r w:rsidRPr="001C4BAD">
        <w:rPr>
          <w:rFonts w:ascii="Times New Roman" w:eastAsia="Times New Roman" w:hAnsi="Times New Roman" w:cs="Times New Roman"/>
          <w:b/>
          <w:color w:val="000000"/>
          <w:kern w:val="0"/>
          <w14:ligatures w14:val="none"/>
        </w:rPr>
        <w:t>financial service usage</w:t>
      </w:r>
      <w:r w:rsidRPr="001C4BAD">
        <w:rPr>
          <w:rFonts w:ascii="Times New Roman" w:eastAsia="Calibri" w:hAnsi="Times New Roman" w:cs="Times New Roman"/>
          <w:b/>
          <w:bCs/>
          <w:kern w:val="0"/>
          <w14:ligatures w14:val="none"/>
        </w:rPr>
        <w:t xml:space="preserve"> model</w:t>
      </w:r>
    </w:p>
    <w:p w14:paraId="2CA4DB97" w14:textId="77777777" w:rsidR="001C4BAD" w:rsidRPr="001C4BAD" w:rsidRDefault="001C4BAD" w:rsidP="007223FC">
      <w:pPr>
        <w:spacing w:after="0" w:line="240" w:lineRule="auto"/>
        <w:jc w:val="both"/>
        <w:rPr>
          <w:rFonts w:ascii="Times New Roman" w:eastAsia="Calibri" w:hAnsi="Times New Roman" w:cs="Times New Roman"/>
          <w:kern w:val="0"/>
          <w14:ligatures w14:val="none"/>
        </w:rPr>
      </w:pPr>
      <w:r w:rsidRPr="001C4BAD">
        <w:rPr>
          <w:rFonts w:ascii="Times New Roman" w:eastAsia="Calibri" w:hAnsi="Times New Roman" w:cs="Times New Roman"/>
          <w:bCs/>
          <w:kern w:val="0"/>
          <w14:ligatures w14:val="none"/>
        </w:rPr>
        <w:t>The results showed that CUSUM graph</w:t>
      </w:r>
      <w:r w:rsidRPr="001C4BAD">
        <w:rPr>
          <w:rFonts w:ascii="Times New Roman" w:eastAsia="Calibri" w:hAnsi="Times New Roman" w:cs="Times New Roman"/>
          <w:kern w:val="0"/>
          <w14:ligatures w14:val="none"/>
        </w:rPr>
        <w:t xml:space="preserve"> lies within the two critical bounds at 5 percent level of significance. This finding provided enough evidence to justify the stability of the estimated </w:t>
      </w:r>
      <w:r w:rsidRPr="001C4BAD">
        <w:rPr>
          <w:rFonts w:ascii="Times New Roman" w:eastAsia="Times New Roman" w:hAnsi="Times New Roman" w:cs="Times New Roman"/>
          <w:color w:val="000000"/>
          <w:kern w:val="0"/>
          <w14:ligatures w14:val="none"/>
        </w:rPr>
        <w:t>financial service usage</w:t>
      </w:r>
      <w:r w:rsidRPr="001C4BAD">
        <w:rPr>
          <w:rFonts w:ascii="Times New Roman" w:eastAsia="Calibri" w:hAnsi="Times New Roman" w:cs="Times New Roman"/>
          <w:kern w:val="0"/>
          <w14:ligatures w14:val="none"/>
        </w:rPr>
        <w:t xml:space="preserve"> model.</w:t>
      </w:r>
    </w:p>
    <w:p w14:paraId="4B88FA1C" w14:textId="77777777" w:rsidR="001C4BAD" w:rsidRPr="001C4BAD" w:rsidRDefault="001C4BAD" w:rsidP="007223FC">
      <w:pPr>
        <w:spacing w:after="0" w:line="240" w:lineRule="auto"/>
        <w:jc w:val="both"/>
        <w:rPr>
          <w:rFonts w:ascii="Times New Roman" w:eastAsia="Times New Roman" w:hAnsi="Times New Roman" w:cs="Times New Roman"/>
          <w:b/>
          <w:color w:val="000000"/>
          <w:kern w:val="0"/>
          <w14:ligatures w14:val="none"/>
        </w:rPr>
      </w:pPr>
      <w:r w:rsidRPr="001C4BAD">
        <w:rPr>
          <w:rFonts w:ascii="Times New Roman" w:eastAsia="Times New Roman" w:hAnsi="Times New Roman" w:cs="Times New Roman"/>
          <w:b/>
          <w:color w:val="000000"/>
          <w:kern w:val="0"/>
          <w14:ligatures w14:val="none"/>
        </w:rPr>
        <w:t>5. Conclusion and Recommendations</w:t>
      </w:r>
    </w:p>
    <w:p w14:paraId="60EFDE3C" w14:textId="77777777" w:rsidR="001C4BAD" w:rsidRPr="001C4BAD" w:rsidRDefault="001C4BAD" w:rsidP="007223FC">
      <w:pPr>
        <w:spacing w:after="0" w:line="240" w:lineRule="auto"/>
        <w:jc w:val="both"/>
        <w:rPr>
          <w:rFonts w:ascii="Times New Roman" w:eastAsia="Calibri" w:hAnsi="Times New Roman" w:cs="Times New Roman"/>
          <w:kern w:val="0"/>
          <w14:ligatures w14:val="none"/>
        </w:rPr>
      </w:pPr>
      <w:r w:rsidRPr="001C4BAD">
        <w:rPr>
          <w:rFonts w:ascii="Times New Roman" w:eastAsia="Times New Roman" w:hAnsi="Times New Roman" w:cs="Times New Roman"/>
          <w:color w:val="000000"/>
          <w:kern w:val="0"/>
          <w14:ligatures w14:val="none"/>
        </w:rPr>
        <w:lastRenderedPageBreak/>
        <w:t xml:space="preserve">There is growing interest in understanding the contribution of financial technology to the financial service usage. This is based on the fact that the use and accessibility of financial technology is crucial for facilitating the population's efficient and convenient use of banking services while lowering the cost of traditional banking services. With a focus on financial service usage, this study investigated the how mobile banking, internet banking, ATM, and POS technology affected financial inclusion in Nigeria. </w:t>
      </w:r>
      <w:r w:rsidRPr="001C4BAD">
        <w:rPr>
          <w:rFonts w:ascii="Times New Roman" w:eastAsia="Calibri" w:hAnsi="Times New Roman" w:cs="Times New Roman"/>
          <w:kern w:val="0"/>
          <w14:ligatures w14:val="none"/>
        </w:rPr>
        <w:t xml:space="preserve">Based on the findings, it is concluded that mobile banking and internet banking technology has been effective in promoting the use of financial services through increase in deposit-to-GDP ratio. Thus, this study recommends that Deposit Money Banks should ensure that the provision of mobile and internet banking services is devoid of fraud and unauthorized access to customers’ use and foster financial inclusion in Nigeria. </w:t>
      </w:r>
    </w:p>
    <w:p w14:paraId="6D2D8A5F" w14:textId="77777777" w:rsidR="001C4BAD" w:rsidRPr="001C4BAD" w:rsidRDefault="001C4BAD" w:rsidP="007223FC">
      <w:pPr>
        <w:spacing w:after="0" w:line="240" w:lineRule="auto"/>
        <w:jc w:val="both"/>
        <w:rPr>
          <w:rFonts w:ascii="Times New Roman" w:eastAsia="Calibri" w:hAnsi="Times New Roman" w:cs="Times New Roman"/>
          <w:kern w:val="0"/>
          <w14:ligatures w14:val="none"/>
        </w:rPr>
      </w:pPr>
    </w:p>
    <w:p w14:paraId="072251E8" w14:textId="77777777" w:rsidR="001C4BAD" w:rsidRPr="001C4BAD" w:rsidRDefault="001C4BAD" w:rsidP="007223FC">
      <w:pPr>
        <w:spacing w:after="0" w:line="240" w:lineRule="auto"/>
        <w:jc w:val="both"/>
        <w:rPr>
          <w:rFonts w:ascii="Times New Roman" w:eastAsia="Times New Roman" w:hAnsi="Times New Roman" w:cs="Times New Roman"/>
          <w:b/>
          <w:color w:val="000000"/>
          <w:kern w:val="0"/>
          <w14:ligatures w14:val="none"/>
        </w:rPr>
      </w:pPr>
      <w:r w:rsidRPr="001C4BAD">
        <w:rPr>
          <w:rFonts w:ascii="Times New Roman" w:eastAsia="Times New Roman" w:hAnsi="Times New Roman" w:cs="Times New Roman"/>
          <w:b/>
          <w:color w:val="000000"/>
          <w:kern w:val="0"/>
          <w14:ligatures w14:val="none"/>
        </w:rPr>
        <w:t>REFERENCES</w:t>
      </w:r>
    </w:p>
    <w:p w14:paraId="4AACDA44"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 xml:space="preserve">Allen, F., </w:t>
      </w:r>
      <w:proofErr w:type="spellStart"/>
      <w:r w:rsidRPr="001C4BAD">
        <w:rPr>
          <w:rFonts w:ascii="Times New Roman" w:eastAsia="Calibri" w:hAnsi="Times New Roman" w:cs="Times New Roman"/>
          <w:color w:val="222222"/>
          <w:kern w:val="0"/>
          <w:shd w:val="clear" w:color="auto" w:fill="FFFFFF"/>
          <w14:ligatures w14:val="none"/>
        </w:rPr>
        <w:t>Demirguc</w:t>
      </w:r>
      <w:proofErr w:type="spellEnd"/>
      <w:r w:rsidRPr="001C4BAD">
        <w:rPr>
          <w:rFonts w:ascii="Times New Roman" w:eastAsia="Calibri" w:hAnsi="Times New Roman" w:cs="Times New Roman"/>
          <w:color w:val="222222"/>
          <w:kern w:val="0"/>
          <w:shd w:val="clear" w:color="auto" w:fill="FFFFFF"/>
          <w14:ligatures w14:val="none"/>
        </w:rPr>
        <w:t>-Kunt, A., Klapper, L., &amp; Peria, M. S. M. (2016). The foundations of financial inclusion: Understanding ownership and use of formal accounts. </w:t>
      </w:r>
      <w:r w:rsidRPr="001C4BAD">
        <w:rPr>
          <w:rFonts w:ascii="Times New Roman" w:eastAsia="Calibri" w:hAnsi="Times New Roman" w:cs="Times New Roman"/>
          <w:i/>
          <w:iCs/>
          <w:color w:val="222222"/>
          <w:kern w:val="0"/>
          <w:shd w:val="clear" w:color="auto" w:fill="FFFFFF"/>
          <w14:ligatures w14:val="none"/>
        </w:rPr>
        <w:t>Journal of financial Intermediation</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27</w:t>
      </w:r>
      <w:r w:rsidRPr="001C4BAD">
        <w:rPr>
          <w:rFonts w:ascii="Times New Roman" w:eastAsia="Calibri" w:hAnsi="Times New Roman" w:cs="Times New Roman"/>
          <w:color w:val="222222"/>
          <w:kern w:val="0"/>
          <w:shd w:val="clear" w:color="auto" w:fill="FFFFFF"/>
          <w14:ligatures w14:val="none"/>
        </w:rPr>
        <w:t>, 1-30.</w:t>
      </w:r>
    </w:p>
    <w:p w14:paraId="643E4A41"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 xml:space="preserve">Babajide, A. A., </w:t>
      </w:r>
      <w:proofErr w:type="spellStart"/>
      <w:r w:rsidRPr="001C4BAD">
        <w:rPr>
          <w:rFonts w:ascii="Times New Roman" w:eastAsia="Calibri" w:hAnsi="Times New Roman" w:cs="Times New Roman"/>
          <w:color w:val="222222"/>
          <w:kern w:val="0"/>
          <w:shd w:val="clear" w:color="auto" w:fill="FFFFFF"/>
          <w14:ligatures w14:val="none"/>
        </w:rPr>
        <w:t>Oluwaseye</w:t>
      </w:r>
      <w:proofErr w:type="spellEnd"/>
      <w:r w:rsidRPr="001C4BAD">
        <w:rPr>
          <w:rFonts w:ascii="Times New Roman" w:eastAsia="Calibri" w:hAnsi="Times New Roman" w:cs="Times New Roman"/>
          <w:color w:val="222222"/>
          <w:kern w:val="0"/>
          <w:shd w:val="clear" w:color="auto" w:fill="FFFFFF"/>
          <w14:ligatures w14:val="none"/>
        </w:rPr>
        <w:t>, E. O., Lawal, A. I., &amp; Isibor, A. A. (2020). Financial technology, financial inclusion and MSMEs financing in the south-west of Nigeria. </w:t>
      </w:r>
      <w:r w:rsidRPr="001C4BAD">
        <w:rPr>
          <w:rFonts w:ascii="Times New Roman" w:eastAsia="Calibri" w:hAnsi="Times New Roman" w:cs="Times New Roman"/>
          <w:i/>
          <w:iCs/>
          <w:color w:val="222222"/>
          <w:kern w:val="0"/>
          <w:shd w:val="clear" w:color="auto" w:fill="FFFFFF"/>
          <w14:ligatures w14:val="none"/>
        </w:rPr>
        <w:t>Academy of Entrepreneurship Journal</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26</w:t>
      </w:r>
      <w:r w:rsidRPr="001C4BAD">
        <w:rPr>
          <w:rFonts w:ascii="Times New Roman" w:eastAsia="Calibri" w:hAnsi="Times New Roman" w:cs="Times New Roman"/>
          <w:color w:val="222222"/>
          <w:kern w:val="0"/>
          <w:shd w:val="clear" w:color="auto" w:fill="FFFFFF"/>
          <w14:ligatures w14:val="none"/>
        </w:rPr>
        <w:t>(3), 1-17.</w:t>
      </w:r>
    </w:p>
    <w:p w14:paraId="44B37A80"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Cheng, M. Y., &amp; Lee, C. C. (2007). Motion controller design for contour-following tasks based on real-time contour error estimation. </w:t>
      </w:r>
      <w:r w:rsidRPr="001C4BAD">
        <w:rPr>
          <w:rFonts w:ascii="Times New Roman" w:eastAsia="Calibri" w:hAnsi="Times New Roman" w:cs="Times New Roman"/>
          <w:i/>
          <w:iCs/>
          <w:color w:val="222222"/>
          <w:kern w:val="0"/>
          <w:shd w:val="clear" w:color="auto" w:fill="FFFFFF"/>
          <w14:ligatures w14:val="none"/>
        </w:rPr>
        <w:t>IEEE Transactions on Industrial Electronics</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54</w:t>
      </w:r>
      <w:r w:rsidRPr="001C4BAD">
        <w:rPr>
          <w:rFonts w:ascii="Times New Roman" w:eastAsia="Calibri" w:hAnsi="Times New Roman" w:cs="Times New Roman"/>
          <w:color w:val="222222"/>
          <w:kern w:val="0"/>
          <w:shd w:val="clear" w:color="auto" w:fill="FFFFFF"/>
          <w14:ligatures w14:val="none"/>
        </w:rPr>
        <w:t>(3), 1686-1695.</w:t>
      </w:r>
    </w:p>
    <w:p w14:paraId="346F6701"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proofErr w:type="spellStart"/>
      <w:r w:rsidRPr="001C4BAD">
        <w:rPr>
          <w:rFonts w:ascii="Times New Roman" w:eastAsia="Calibri" w:hAnsi="Times New Roman" w:cs="Times New Roman"/>
          <w:color w:val="222222"/>
          <w:kern w:val="0"/>
          <w:shd w:val="clear" w:color="auto" w:fill="FFFFFF"/>
          <w14:ligatures w14:val="none"/>
        </w:rPr>
        <w:t>Demirgüç</w:t>
      </w:r>
      <w:proofErr w:type="spellEnd"/>
      <w:r w:rsidRPr="001C4BAD">
        <w:rPr>
          <w:rFonts w:ascii="Times New Roman" w:eastAsia="Calibri" w:hAnsi="Times New Roman" w:cs="Times New Roman"/>
          <w:color w:val="222222"/>
          <w:kern w:val="0"/>
          <w:shd w:val="clear" w:color="auto" w:fill="FFFFFF"/>
          <w14:ligatures w14:val="none"/>
        </w:rPr>
        <w:t>-Kunt, A., &amp; Klapper, L. F. (2012). Financial inclusion in Africa: an overview. </w:t>
      </w:r>
      <w:r w:rsidRPr="001C4BAD">
        <w:rPr>
          <w:rFonts w:ascii="Times New Roman" w:eastAsia="Calibri" w:hAnsi="Times New Roman" w:cs="Times New Roman"/>
          <w:i/>
          <w:iCs/>
          <w:color w:val="222222"/>
          <w:kern w:val="0"/>
          <w:shd w:val="clear" w:color="auto" w:fill="FFFFFF"/>
          <w14:ligatures w14:val="none"/>
        </w:rPr>
        <w:t>World Bank Policy Research Working Paper</w:t>
      </w:r>
      <w:r w:rsidRPr="001C4BAD">
        <w:rPr>
          <w:rFonts w:ascii="Times New Roman" w:eastAsia="Calibri" w:hAnsi="Times New Roman" w:cs="Times New Roman"/>
          <w:color w:val="222222"/>
          <w:kern w:val="0"/>
          <w:shd w:val="clear" w:color="auto" w:fill="FFFFFF"/>
          <w14:ligatures w14:val="none"/>
        </w:rPr>
        <w:t>, (6088).</w:t>
      </w:r>
    </w:p>
    <w:p w14:paraId="30CF576C"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Dishaw, M. T., &amp; Strong, D. M. (1999). Extending the technology acceptance model with task–technology fit constructs. </w:t>
      </w:r>
      <w:r w:rsidRPr="001C4BAD">
        <w:rPr>
          <w:rFonts w:ascii="Times New Roman" w:eastAsia="Calibri" w:hAnsi="Times New Roman" w:cs="Times New Roman"/>
          <w:i/>
          <w:iCs/>
          <w:color w:val="222222"/>
          <w:kern w:val="0"/>
          <w:shd w:val="clear" w:color="auto" w:fill="FFFFFF"/>
          <w14:ligatures w14:val="none"/>
        </w:rPr>
        <w:t>Information &amp; management</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36</w:t>
      </w:r>
      <w:r w:rsidRPr="001C4BAD">
        <w:rPr>
          <w:rFonts w:ascii="Times New Roman" w:eastAsia="Calibri" w:hAnsi="Times New Roman" w:cs="Times New Roman"/>
          <w:color w:val="222222"/>
          <w:kern w:val="0"/>
          <w:shd w:val="clear" w:color="auto" w:fill="FFFFFF"/>
          <w14:ligatures w14:val="none"/>
        </w:rPr>
        <w:t>(1), 9-21.</w:t>
      </w:r>
    </w:p>
    <w:p w14:paraId="1D599DB5" w14:textId="77777777" w:rsidR="001C4BAD" w:rsidRPr="001C4BAD" w:rsidRDefault="001C4BAD" w:rsidP="007223FC">
      <w:pPr>
        <w:spacing w:line="240" w:lineRule="auto"/>
        <w:ind w:left="567" w:hanging="567"/>
        <w:jc w:val="both"/>
        <w:rPr>
          <w:rFonts w:ascii="Times New Roman" w:eastAsia="Calibri" w:hAnsi="Times New Roman" w:cs="Times New Roman"/>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Ekong, U. M., &amp; Ekong, C. N. (2022). Digital currency and financial inclusion in Nigeria: lessons for development. </w:t>
      </w:r>
      <w:r w:rsidRPr="001C4BAD">
        <w:rPr>
          <w:rFonts w:ascii="Times New Roman" w:eastAsia="Calibri" w:hAnsi="Times New Roman" w:cs="Times New Roman"/>
          <w:i/>
          <w:iCs/>
          <w:color w:val="222222"/>
          <w:kern w:val="0"/>
          <w:shd w:val="clear" w:color="auto" w:fill="FFFFFF"/>
          <w14:ligatures w14:val="none"/>
        </w:rPr>
        <w:t>Journal of Internet and Digital Economics</w:t>
      </w:r>
      <w:r w:rsidRPr="001C4BAD">
        <w:rPr>
          <w:rFonts w:ascii="Times New Roman" w:eastAsia="Calibri" w:hAnsi="Times New Roman" w:cs="Times New Roman"/>
          <w:color w:val="222222"/>
          <w:kern w:val="0"/>
          <w:shd w:val="clear" w:color="auto" w:fill="FFFFFF"/>
          <w14:ligatures w14:val="none"/>
        </w:rPr>
        <w:t xml:space="preserve">. 2(1), </w:t>
      </w:r>
      <w:r w:rsidRPr="001C4BAD">
        <w:rPr>
          <w:rFonts w:ascii="Times New Roman" w:eastAsia="Calibri" w:hAnsi="Times New Roman" w:cs="Times New Roman"/>
          <w:kern w:val="0"/>
          <w:shd w:val="clear" w:color="auto" w:fill="FFFFFF"/>
          <w14:ligatures w14:val="none"/>
        </w:rPr>
        <w:t>46-67.</w:t>
      </w:r>
    </w:p>
    <w:p w14:paraId="1203E992"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 xml:space="preserve">Ene, E. E., Abba, G. O., &amp; </w:t>
      </w:r>
      <w:proofErr w:type="spellStart"/>
      <w:r w:rsidRPr="001C4BAD">
        <w:rPr>
          <w:rFonts w:ascii="Times New Roman" w:eastAsia="Calibri" w:hAnsi="Times New Roman" w:cs="Times New Roman"/>
          <w:color w:val="222222"/>
          <w:kern w:val="0"/>
          <w:shd w:val="clear" w:color="auto" w:fill="FFFFFF"/>
          <w14:ligatures w14:val="none"/>
        </w:rPr>
        <w:t>Fatokun</w:t>
      </w:r>
      <w:proofErr w:type="spellEnd"/>
      <w:r w:rsidRPr="001C4BAD">
        <w:rPr>
          <w:rFonts w:ascii="Times New Roman" w:eastAsia="Calibri" w:hAnsi="Times New Roman" w:cs="Times New Roman"/>
          <w:color w:val="222222"/>
          <w:kern w:val="0"/>
          <w:shd w:val="clear" w:color="auto" w:fill="FFFFFF"/>
          <w14:ligatures w14:val="none"/>
        </w:rPr>
        <w:t>, G. F. (2019). The impact of electronic banking on financial inclusion in Nigeria. </w:t>
      </w:r>
      <w:r w:rsidRPr="001C4BAD">
        <w:rPr>
          <w:rFonts w:ascii="Times New Roman" w:eastAsia="Calibri" w:hAnsi="Times New Roman" w:cs="Times New Roman"/>
          <w:i/>
          <w:iCs/>
          <w:color w:val="222222"/>
          <w:kern w:val="0"/>
          <w:shd w:val="clear" w:color="auto" w:fill="FFFFFF"/>
          <w14:ligatures w14:val="none"/>
        </w:rPr>
        <w:t>American Journal of Industrial and Business Management</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9</w:t>
      </w:r>
      <w:r w:rsidRPr="001C4BAD">
        <w:rPr>
          <w:rFonts w:ascii="Times New Roman" w:eastAsia="Calibri" w:hAnsi="Times New Roman" w:cs="Times New Roman"/>
          <w:color w:val="222222"/>
          <w:kern w:val="0"/>
          <w:shd w:val="clear" w:color="auto" w:fill="FFFFFF"/>
          <w14:ligatures w14:val="none"/>
        </w:rPr>
        <w:t>(6), 1409-1422.</w:t>
      </w:r>
    </w:p>
    <w:p w14:paraId="3B243E16"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Fanta, A. B., &amp; Makina, D. (2019). The relationship between technology and financial inclusion: Cross-sectional evidence. In </w:t>
      </w:r>
      <w:r w:rsidRPr="001C4BAD">
        <w:rPr>
          <w:rFonts w:ascii="Times New Roman" w:eastAsia="Calibri" w:hAnsi="Times New Roman" w:cs="Times New Roman"/>
          <w:i/>
          <w:iCs/>
          <w:color w:val="222222"/>
          <w:kern w:val="0"/>
          <w:shd w:val="clear" w:color="auto" w:fill="FFFFFF"/>
          <w14:ligatures w14:val="none"/>
        </w:rPr>
        <w:t>Extending financial inclusion in Africa</w:t>
      </w:r>
      <w:r w:rsidRPr="001C4BAD">
        <w:rPr>
          <w:rFonts w:ascii="Times New Roman" w:eastAsia="Calibri" w:hAnsi="Times New Roman" w:cs="Times New Roman"/>
          <w:color w:val="222222"/>
          <w:kern w:val="0"/>
          <w:shd w:val="clear" w:color="auto" w:fill="FFFFFF"/>
          <w14:ligatures w14:val="none"/>
        </w:rPr>
        <w:t> (pp. 211-230). Academic Press.</w:t>
      </w:r>
    </w:p>
    <w:p w14:paraId="786EA6BC" w14:textId="77777777" w:rsidR="001C4BAD" w:rsidRPr="001C4BAD" w:rsidRDefault="001C4BAD" w:rsidP="007223FC">
      <w:pPr>
        <w:spacing w:line="240" w:lineRule="auto"/>
        <w:ind w:left="567" w:hanging="567"/>
        <w:jc w:val="both"/>
        <w:rPr>
          <w:rFonts w:ascii="Times New Roman" w:eastAsia="Calibri" w:hAnsi="Times New Roman" w:cs="Times New Roman"/>
          <w:kern w:val="0"/>
          <w14:ligatures w14:val="none"/>
        </w:rPr>
      </w:pPr>
      <w:r w:rsidRPr="001C4BAD">
        <w:rPr>
          <w:rFonts w:ascii="Times New Roman" w:eastAsia="Calibri" w:hAnsi="Times New Roman" w:cs="Times New Roman"/>
          <w:kern w:val="0"/>
          <w14:ligatures w14:val="none"/>
        </w:rPr>
        <w:t>Global Partnership for Financial Inclusion (GPFI). (2016). G20 Financial Inclusion Indicators. Retrieved from https://www.gpfi. org/publications/g20-financialinclusion-indicators-2016-update</w:t>
      </w:r>
    </w:p>
    <w:p w14:paraId="47FF64D8"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Goodhue, D. L., &amp; Thompson, R. L. (1995). Task-technology fit and individual performance. </w:t>
      </w:r>
      <w:r w:rsidRPr="001C4BAD">
        <w:rPr>
          <w:rFonts w:ascii="Times New Roman" w:eastAsia="Calibri" w:hAnsi="Times New Roman" w:cs="Times New Roman"/>
          <w:i/>
          <w:iCs/>
          <w:color w:val="222222"/>
          <w:kern w:val="0"/>
          <w:shd w:val="clear" w:color="auto" w:fill="FFFFFF"/>
          <w14:ligatures w14:val="none"/>
        </w:rPr>
        <w:t>MIS quarterly</w:t>
      </w:r>
      <w:r w:rsidRPr="001C4BAD">
        <w:rPr>
          <w:rFonts w:ascii="Times New Roman" w:eastAsia="Calibri" w:hAnsi="Times New Roman" w:cs="Times New Roman"/>
          <w:color w:val="222222"/>
          <w:kern w:val="0"/>
          <w:shd w:val="clear" w:color="auto" w:fill="FFFFFF"/>
          <w14:ligatures w14:val="none"/>
        </w:rPr>
        <w:t>, 213-236.</w:t>
      </w:r>
    </w:p>
    <w:p w14:paraId="2BCC97B3"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 xml:space="preserve">Mago, S., &amp; </w:t>
      </w:r>
      <w:proofErr w:type="spellStart"/>
      <w:r w:rsidRPr="001C4BAD">
        <w:rPr>
          <w:rFonts w:ascii="Times New Roman" w:eastAsia="Calibri" w:hAnsi="Times New Roman" w:cs="Times New Roman"/>
          <w:color w:val="222222"/>
          <w:kern w:val="0"/>
          <w:shd w:val="clear" w:color="auto" w:fill="FFFFFF"/>
          <w14:ligatures w14:val="none"/>
        </w:rPr>
        <w:t>Chitokwindo</w:t>
      </w:r>
      <w:proofErr w:type="spellEnd"/>
      <w:r w:rsidRPr="001C4BAD">
        <w:rPr>
          <w:rFonts w:ascii="Times New Roman" w:eastAsia="Calibri" w:hAnsi="Times New Roman" w:cs="Times New Roman"/>
          <w:color w:val="222222"/>
          <w:kern w:val="0"/>
          <w:shd w:val="clear" w:color="auto" w:fill="FFFFFF"/>
          <w14:ligatures w14:val="none"/>
        </w:rPr>
        <w:t>, S. (2014). The impact of mobile banking on financial inclusion in Zimbabwe: A case for Masvingo Province. </w:t>
      </w:r>
      <w:r w:rsidRPr="001C4BAD">
        <w:rPr>
          <w:rFonts w:ascii="Times New Roman" w:eastAsia="Calibri" w:hAnsi="Times New Roman" w:cs="Times New Roman"/>
          <w:i/>
          <w:iCs/>
          <w:color w:val="222222"/>
          <w:kern w:val="0"/>
          <w:shd w:val="clear" w:color="auto" w:fill="FFFFFF"/>
          <w14:ligatures w14:val="none"/>
        </w:rPr>
        <w:t>Mediterranean Journal of Social Sciences</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5</w:t>
      </w:r>
      <w:r w:rsidRPr="001C4BAD">
        <w:rPr>
          <w:rFonts w:ascii="Times New Roman" w:eastAsia="Calibri" w:hAnsi="Times New Roman" w:cs="Times New Roman"/>
          <w:color w:val="222222"/>
          <w:kern w:val="0"/>
          <w:shd w:val="clear" w:color="auto" w:fill="FFFFFF"/>
          <w14:ligatures w14:val="none"/>
        </w:rPr>
        <w:t>(9), 221.</w:t>
      </w:r>
    </w:p>
    <w:p w14:paraId="62E470B6" w14:textId="77777777" w:rsidR="001C4BAD" w:rsidRPr="001C4BAD" w:rsidRDefault="001C4BAD" w:rsidP="007223FC">
      <w:pPr>
        <w:shd w:val="clear" w:color="auto" w:fill="FFFFFF"/>
        <w:spacing w:after="96" w:line="240" w:lineRule="auto"/>
        <w:ind w:left="567" w:hanging="567"/>
        <w:jc w:val="both"/>
        <w:textAlignment w:val="baseline"/>
        <w:outlineLvl w:val="0"/>
        <w:rPr>
          <w:rFonts w:ascii="Times New Roman" w:eastAsia="Times New Roman" w:hAnsi="Times New Roman" w:cs="Times New Roman"/>
          <w:bCs/>
          <w:color w:val="111111"/>
          <w:spacing w:val="-10"/>
          <w:kern w:val="36"/>
          <w14:ligatures w14:val="none"/>
        </w:rPr>
      </w:pPr>
      <w:r w:rsidRPr="001C4BAD">
        <w:rPr>
          <w:rFonts w:ascii="Times New Roman" w:eastAsia="Times New Roman" w:hAnsi="Times New Roman" w:cs="Times New Roman"/>
          <w:bCs/>
          <w:kern w:val="36"/>
          <w14:ligatures w14:val="none"/>
        </w:rPr>
        <w:t xml:space="preserve">Ode, U. (2022). </w:t>
      </w:r>
      <w:r w:rsidRPr="001C4BAD">
        <w:rPr>
          <w:rFonts w:ascii="Times New Roman" w:eastAsia="Times New Roman" w:hAnsi="Times New Roman" w:cs="Times New Roman"/>
          <w:bCs/>
          <w:color w:val="111111"/>
          <w:spacing w:val="-10"/>
          <w:kern w:val="36"/>
          <w14:ligatures w14:val="none"/>
        </w:rPr>
        <w:t xml:space="preserve">#ChartoftheDay: N26.17 </w:t>
      </w:r>
      <w:proofErr w:type="gramStart"/>
      <w:r w:rsidRPr="001C4BAD">
        <w:rPr>
          <w:rFonts w:ascii="Times New Roman" w:eastAsia="Times New Roman" w:hAnsi="Times New Roman" w:cs="Times New Roman"/>
          <w:bCs/>
          <w:color w:val="111111"/>
          <w:spacing w:val="-10"/>
          <w:kern w:val="36"/>
          <w14:ligatures w14:val="none"/>
        </w:rPr>
        <w:t>Trillion</w:t>
      </w:r>
      <w:proofErr w:type="gramEnd"/>
      <w:r w:rsidRPr="001C4BAD">
        <w:rPr>
          <w:rFonts w:ascii="Times New Roman" w:eastAsia="Times New Roman" w:hAnsi="Times New Roman" w:cs="Times New Roman"/>
          <w:bCs/>
          <w:color w:val="111111"/>
          <w:spacing w:val="-10"/>
          <w:kern w:val="36"/>
          <w14:ligatures w14:val="none"/>
        </w:rPr>
        <w:t xml:space="preserve"> was Unbanked in 2021. </w:t>
      </w:r>
      <w:r w:rsidRPr="001C4BAD">
        <w:rPr>
          <w:rFonts w:ascii="Times New Roman" w:eastAsia="Times New Roman" w:hAnsi="Times New Roman" w:cs="Times New Roman"/>
          <w:bCs/>
          <w:kern w:val="36"/>
          <w14:ligatures w14:val="none"/>
        </w:rPr>
        <w:t>Retrieved https://www.dataphyte.com/latest-reports/economy/chartoftheday-n26-17-trillion-was-unbanked-in-2021/</w:t>
      </w:r>
    </w:p>
    <w:p w14:paraId="70C4E948"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Oumarou, I. C., &amp; Celestin, M. (2021). Determinants of financial inclusion in west African economic and monetary union (WAEMU) countries. </w:t>
      </w:r>
      <w:r w:rsidRPr="001C4BAD">
        <w:rPr>
          <w:rFonts w:ascii="Times New Roman" w:eastAsia="Calibri" w:hAnsi="Times New Roman" w:cs="Times New Roman"/>
          <w:i/>
          <w:iCs/>
          <w:color w:val="222222"/>
          <w:kern w:val="0"/>
          <w:shd w:val="clear" w:color="auto" w:fill="FFFFFF"/>
          <w14:ligatures w14:val="none"/>
        </w:rPr>
        <w:t>Theoretical Economics Letters</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11</w:t>
      </w:r>
      <w:r w:rsidRPr="001C4BAD">
        <w:rPr>
          <w:rFonts w:ascii="Times New Roman" w:eastAsia="Calibri" w:hAnsi="Times New Roman" w:cs="Times New Roman"/>
          <w:color w:val="222222"/>
          <w:kern w:val="0"/>
          <w:shd w:val="clear" w:color="auto" w:fill="FFFFFF"/>
          <w14:ligatures w14:val="none"/>
        </w:rPr>
        <w:t>(3), 489-506.</w:t>
      </w:r>
    </w:p>
    <w:p w14:paraId="4D364FF7"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proofErr w:type="spellStart"/>
      <w:r w:rsidRPr="001C4BAD">
        <w:rPr>
          <w:rFonts w:ascii="Times New Roman" w:eastAsia="Calibri" w:hAnsi="Times New Roman" w:cs="Times New Roman"/>
          <w:color w:val="222222"/>
          <w:kern w:val="0"/>
          <w:shd w:val="clear" w:color="auto" w:fill="FFFFFF"/>
          <w14:ligatures w14:val="none"/>
        </w:rPr>
        <w:t>Oyelami</w:t>
      </w:r>
      <w:proofErr w:type="spellEnd"/>
      <w:r w:rsidRPr="001C4BAD">
        <w:rPr>
          <w:rFonts w:ascii="Times New Roman" w:eastAsia="Calibri" w:hAnsi="Times New Roman" w:cs="Times New Roman"/>
          <w:color w:val="222222"/>
          <w:kern w:val="0"/>
          <w:shd w:val="clear" w:color="auto" w:fill="FFFFFF"/>
          <w14:ligatures w14:val="none"/>
        </w:rPr>
        <w:t>, L. O., Adebiyi, S. O., &amp; Adekunle, B. S. (2020). Electronic payment adoption and consumers’ spending growth: empirical evidence from Nigeria. </w:t>
      </w:r>
      <w:r w:rsidRPr="001C4BAD">
        <w:rPr>
          <w:rFonts w:ascii="Times New Roman" w:eastAsia="Calibri" w:hAnsi="Times New Roman" w:cs="Times New Roman"/>
          <w:i/>
          <w:iCs/>
          <w:color w:val="222222"/>
          <w:kern w:val="0"/>
          <w:shd w:val="clear" w:color="auto" w:fill="FFFFFF"/>
          <w14:ligatures w14:val="none"/>
        </w:rPr>
        <w:t>Future Business Journal</w:t>
      </w:r>
      <w:r w:rsidRPr="001C4BAD">
        <w:rPr>
          <w:rFonts w:ascii="Times New Roman" w:eastAsia="Calibri" w:hAnsi="Times New Roman" w:cs="Times New Roman"/>
          <w:color w:val="222222"/>
          <w:kern w:val="0"/>
          <w:shd w:val="clear" w:color="auto" w:fill="FFFFFF"/>
          <w14:ligatures w14:val="none"/>
        </w:rPr>
        <w:t>, </w:t>
      </w:r>
      <w:r w:rsidRPr="001C4BAD">
        <w:rPr>
          <w:rFonts w:ascii="Times New Roman" w:eastAsia="Calibri" w:hAnsi="Times New Roman" w:cs="Times New Roman"/>
          <w:i/>
          <w:iCs/>
          <w:color w:val="222222"/>
          <w:kern w:val="0"/>
          <w:shd w:val="clear" w:color="auto" w:fill="FFFFFF"/>
          <w14:ligatures w14:val="none"/>
        </w:rPr>
        <w:t>6</w:t>
      </w:r>
      <w:r w:rsidRPr="001C4BAD">
        <w:rPr>
          <w:rFonts w:ascii="Times New Roman" w:eastAsia="Calibri" w:hAnsi="Times New Roman" w:cs="Times New Roman"/>
          <w:color w:val="222222"/>
          <w:kern w:val="0"/>
          <w:shd w:val="clear" w:color="auto" w:fill="FFFFFF"/>
          <w14:ligatures w14:val="none"/>
        </w:rPr>
        <w:t>(1), 1-14.</w:t>
      </w:r>
    </w:p>
    <w:p w14:paraId="37A68448" w14:textId="77777777" w:rsidR="001C4BAD" w:rsidRPr="001C4BAD" w:rsidRDefault="001C4BAD" w:rsidP="007223FC">
      <w:pPr>
        <w:spacing w:line="240" w:lineRule="auto"/>
        <w:ind w:left="567" w:hanging="567"/>
        <w:jc w:val="both"/>
        <w:rPr>
          <w:rFonts w:ascii="Times New Roman" w:eastAsia="Calibri" w:hAnsi="Times New Roman" w:cs="Times New Roman"/>
          <w:kern w:val="0"/>
          <w:shd w:val="clear" w:color="auto" w:fill="FFFFFF"/>
          <w14:ligatures w14:val="none"/>
        </w:rPr>
      </w:pPr>
      <w:proofErr w:type="spellStart"/>
      <w:r w:rsidRPr="001C4BAD">
        <w:rPr>
          <w:rFonts w:ascii="Times New Roman" w:eastAsia="Calibri" w:hAnsi="Times New Roman" w:cs="Times New Roman"/>
          <w:kern w:val="0"/>
          <w14:ligatures w14:val="none"/>
        </w:rPr>
        <w:lastRenderedPageBreak/>
        <w:t>Pesaran</w:t>
      </w:r>
      <w:proofErr w:type="spellEnd"/>
      <w:r w:rsidRPr="001C4BAD">
        <w:rPr>
          <w:rFonts w:ascii="Times New Roman" w:eastAsia="Calibri" w:hAnsi="Times New Roman" w:cs="Times New Roman"/>
          <w:kern w:val="0"/>
          <w14:ligatures w14:val="none"/>
        </w:rPr>
        <w:t>, M. H. &amp; Shin, Y. (1999). An autoregressive distributed lag modelling approach to cointegration analysis’ in S Strom, (ed.), Econometrics and Economic Theory in the 20th Century: The Ragnar Frisch Centennial Symposium, Cambridge: Cambridge U P.</w:t>
      </w:r>
    </w:p>
    <w:p w14:paraId="0A2D97ED" w14:textId="77777777" w:rsidR="001C4BAD" w:rsidRPr="001C4BAD" w:rsidRDefault="001C4BAD" w:rsidP="007223FC">
      <w:pPr>
        <w:spacing w:line="240" w:lineRule="auto"/>
        <w:ind w:left="567" w:hanging="567"/>
        <w:jc w:val="both"/>
        <w:rPr>
          <w:rFonts w:ascii="Times New Roman" w:eastAsia="Calibri" w:hAnsi="Times New Roman" w:cs="Times New Roman"/>
          <w:kern w:val="0"/>
          <w14:ligatures w14:val="none"/>
        </w:rPr>
      </w:pPr>
      <w:r w:rsidRPr="001C4BAD">
        <w:rPr>
          <w:rFonts w:ascii="Times New Roman" w:eastAsia="Calibri" w:hAnsi="Times New Roman" w:cs="Times New Roman"/>
          <w:color w:val="222222"/>
          <w:kern w:val="0"/>
          <w:shd w:val="clear" w:color="auto" w:fill="FFFFFF"/>
          <w14:ligatures w14:val="none"/>
        </w:rPr>
        <w:t>Soriano, M. A. (2017). Factors driving financial inclusion and financial performance in Fintech new ventures: An empirical study. (</w:t>
      </w:r>
      <w:r w:rsidRPr="001C4BAD">
        <w:rPr>
          <w:rFonts w:ascii="Times New Roman" w:eastAsia="Calibri" w:hAnsi="Times New Roman" w:cs="Times New Roman"/>
          <w:color w:val="000000"/>
          <w:kern w:val="0"/>
          <w:shd w:val="clear" w:color="auto" w:fill="FFFFFF"/>
          <w14:ligatures w14:val="none"/>
        </w:rPr>
        <w:t xml:space="preserve">PhD Dissertation, </w:t>
      </w:r>
      <w:hyperlink r:id="rId114" w:history="1">
        <w:r w:rsidRPr="001C4BAD">
          <w:rPr>
            <w:rFonts w:ascii="Times New Roman" w:eastAsia="Calibri" w:hAnsi="Times New Roman" w:cs="Times New Roman"/>
            <w:i/>
            <w:iCs/>
            <w:color w:val="000000"/>
            <w:kern w:val="0"/>
            <w:u w:val="single"/>
            <w:bdr w:val="none" w:sz="0" w:space="0" w:color="auto" w:frame="1"/>
            <w14:ligatures w14:val="none"/>
          </w:rPr>
          <w:t>Singapore Management University</w:t>
        </w:r>
      </w:hyperlink>
      <w:r w:rsidRPr="001C4BAD">
        <w:rPr>
          <w:rFonts w:ascii="Times New Roman" w:eastAsia="Calibri" w:hAnsi="Times New Roman" w:cs="Times New Roman"/>
          <w:kern w:val="0"/>
          <w14:ligatures w14:val="none"/>
        </w:rPr>
        <w:t>)</w:t>
      </w:r>
    </w:p>
    <w:p w14:paraId="122A0371"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r w:rsidRPr="001C4BAD">
        <w:rPr>
          <w:rFonts w:ascii="Times New Roman" w:eastAsia="Calibri" w:hAnsi="Times New Roman" w:cs="Times New Roman"/>
          <w:color w:val="222222"/>
          <w:kern w:val="0"/>
          <w:shd w:val="clear" w:color="auto" w:fill="FFFFFF"/>
          <w14:ligatures w14:val="none"/>
        </w:rPr>
        <w:t>Spies, R., Grobbelaar, S., &amp; Botha, A. (2020, April). A scoping review of the application of the task-technology fit theory. In </w:t>
      </w:r>
      <w:r w:rsidRPr="001C4BAD">
        <w:rPr>
          <w:rFonts w:ascii="Times New Roman" w:eastAsia="Calibri" w:hAnsi="Times New Roman" w:cs="Times New Roman"/>
          <w:i/>
          <w:iCs/>
          <w:color w:val="222222"/>
          <w:kern w:val="0"/>
          <w:shd w:val="clear" w:color="auto" w:fill="FFFFFF"/>
          <w14:ligatures w14:val="none"/>
        </w:rPr>
        <w:t>Conference on e-Business, e-Services and e-Society</w:t>
      </w:r>
      <w:r w:rsidRPr="001C4BAD">
        <w:rPr>
          <w:rFonts w:ascii="Times New Roman" w:eastAsia="Calibri" w:hAnsi="Times New Roman" w:cs="Times New Roman"/>
          <w:color w:val="222222"/>
          <w:kern w:val="0"/>
          <w:shd w:val="clear" w:color="auto" w:fill="FFFFFF"/>
          <w14:ligatures w14:val="none"/>
        </w:rPr>
        <w:t> (pp. 397-408). Springer, Cham.</w:t>
      </w:r>
    </w:p>
    <w:p w14:paraId="70D2BD32"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color w:val="000000"/>
          <w:kern w:val="0"/>
          <w14:ligatures w14:val="none"/>
        </w:rPr>
      </w:pPr>
      <w:r w:rsidRPr="001C4BAD">
        <w:rPr>
          <w:rFonts w:ascii="Times New Roman" w:eastAsia="TimesNewRomanPSMT" w:hAnsi="Times New Roman" w:cs="Times New Roman"/>
          <w:color w:val="000000"/>
          <w:kern w:val="0"/>
          <w14:ligatures w14:val="none"/>
        </w:rPr>
        <w:t>World Bank. (2018). Global Financial Inclusion Database, Data retrieved from https://databank.worldbank.org/source/global-financial-inclusion [Accessed 15/03/21]</w:t>
      </w:r>
    </w:p>
    <w:p w14:paraId="5FB11B60"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color w:val="000000"/>
          <w:kern w:val="0"/>
          <w14:ligatures w14:val="none"/>
        </w:rPr>
      </w:pPr>
    </w:p>
    <w:p w14:paraId="28742797"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color w:val="000000"/>
          <w:kern w:val="0"/>
          <w14:ligatures w14:val="none"/>
        </w:rPr>
      </w:pPr>
      <w:r w:rsidRPr="001C4BAD">
        <w:rPr>
          <w:rFonts w:ascii="Times New Roman" w:eastAsia="TimesNewRomanPSMT" w:hAnsi="Times New Roman" w:cs="Times New Roman"/>
          <w:color w:val="000000"/>
          <w:kern w:val="0"/>
          <w14:ligatures w14:val="none"/>
        </w:rPr>
        <w:t>World Bank. (2018). G20 Financial Inclusion Indicators Database, Data retrieved from</w:t>
      </w:r>
    </w:p>
    <w:p w14:paraId="0B1F8D0C"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TimesNewRomanPSMT" w:hAnsi="Times New Roman" w:cs="Times New Roman"/>
          <w:color w:val="0000FF"/>
          <w:kern w:val="0"/>
          <w14:ligatures w14:val="none"/>
        </w:rPr>
        <w:t xml:space="preserve">https://databank.worldbank.org/source/g20-financial-inclusion-indicators </w:t>
      </w:r>
      <w:r w:rsidRPr="001C4BAD">
        <w:rPr>
          <w:rFonts w:ascii="Times New Roman" w:eastAsia="TimesNewRomanPSMT" w:hAnsi="Times New Roman" w:cs="Times New Roman"/>
          <w:color w:val="000000"/>
          <w:kern w:val="0"/>
          <w14:ligatures w14:val="none"/>
        </w:rPr>
        <w:t>[Accessed 15/03/21]</w:t>
      </w:r>
    </w:p>
    <w:p w14:paraId="5472B9E2"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p>
    <w:p w14:paraId="5051F99A"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p>
    <w:p w14:paraId="73E1755D"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color w:val="000000"/>
          <w:kern w:val="0"/>
          <w14:ligatures w14:val="none"/>
        </w:rPr>
      </w:pPr>
      <w:r w:rsidRPr="001C4BAD">
        <w:rPr>
          <w:rFonts w:ascii="Times New Roman" w:eastAsia="TimesNewRomanPSMT" w:hAnsi="Times New Roman" w:cs="Times New Roman"/>
          <w:color w:val="000000"/>
          <w:kern w:val="0"/>
          <w14:ligatures w14:val="none"/>
        </w:rPr>
        <w:t>World Bank. (2018). Global Financial Inclusion Database, Data retrieved from https://databank.worldbank.org/source/global-financial-inclusion [Accessed 15/03/21]</w:t>
      </w:r>
    </w:p>
    <w:p w14:paraId="2B606A9F"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color w:val="000000"/>
          <w:kern w:val="0"/>
          <w14:ligatures w14:val="none"/>
        </w:rPr>
      </w:pPr>
    </w:p>
    <w:p w14:paraId="2CE716BA"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color w:val="000000"/>
          <w:kern w:val="0"/>
          <w14:ligatures w14:val="none"/>
        </w:rPr>
      </w:pPr>
      <w:r w:rsidRPr="001C4BAD">
        <w:rPr>
          <w:rFonts w:ascii="Times New Roman" w:eastAsia="TimesNewRomanPSMT" w:hAnsi="Times New Roman" w:cs="Times New Roman"/>
          <w:color w:val="000000"/>
          <w:kern w:val="0"/>
          <w14:ligatures w14:val="none"/>
        </w:rPr>
        <w:t>World Bank. (2018). G20 Financial Inclusion Indicators Database, Data retrieved from</w:t>
      </w:r>
    </w:p>
    <w:p w14:paraId="385FA38E"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kern w:val="0"/>
          <w14:ligatures w14:val="none"/>
        </w:rPr>
      </w:pPr>
      <w:r w:rsidRPr="001C4BAD">
        <w:rPr>
          <w:rFonts w:ascii="Times New Roman" w:eastAsia="TimesNewRomanPSMT" w:hAnsi="Times New Roman" w:cs="Times New Roman"/>
          <w:color w:val="0000FF"/>
          <w:kern w:val="0"/>
          <w14:ligatures w14:val="none"/>
        </w:rPr>
        <w:t xml:space="preserve">https://databank.worldbank.org/source/g20-financial-inclusion-indicators </w:t>
      </w:r>
      <w:r w:rsidRPr="001C4BAD">
        <w:rPr>
          <w:rFonts w:ascii="Times New Roman" w:eastAsia="TimesNewRomanPSMT" w:hAnsi="Times New Roman" w:cs="Times New Roman"/>
          <w:color w:val="000000"/>
          <w:kern w:val="0"/>
          <w14:ligatures w14:val="none"/>
        </w:rPr>
        <w:t>[Accessed 15/03/21]</w:t>
      </w:r>
    </w:p>
    <w:p w14:paraId="48124B16" w14:textId="77777777" w:rsidR="001C4BAD" w:rsidRPr="001C4BAD" w:rsidRDefault="001C4BAD" w:rsidP="007223FC">
      <w:pPr>
        <w:autoSpaceDE w:val="0"/>
        <w:autoSpaceDN w:val="0"/>
        <w:adjustRightInd w:val="0"/>
        <w:spacing w:after="0" w:line="240" w:lineRule="auto"/>
        <w:jc w:val="both"/>
        <w:rPr>
          <w:rFonts w:ascii="Times New Roman" w:eastAsia="Calibri" w:hAnsi="Times New Roman" w:cs="Times New Roman"/>
          <w:color w:val="000000"/>
          <w:kern w:val="0"/>
          <w14:ligatures w14:val="none"/>
        </w:rPr>
      </w:pPr>
    </w:p>
    <w:p w14:paraId="00D7764B"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kern w:val="0"/>
          <w14:ligatures w14:val="none"/>
        </w:rPr>
      </w:pPr>
      <w:r w:rsidRPr="001C4BAD">
        <w:rPr>
          <w:rFonts w:ascii="Times New Roman" w:eastAsia="TimesNewRomanPSMT" w:hAnsi="Times New Roman" w:cs="Times New Roman"/>
          <w:kern w:val="0"/>
          <w14:ligatures w14:val="none"/>
        </w:rPr>
        <w:t>World Bank 2018a. A New Economy for the Middle East and North Africa. MENA Economic Monitor. World Bank Group. Washington.</w:t>
      </w:r>
    </w:p>
    <w:p w14:paraId="64E1D2EA"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kern w:val="0"/>
          <w14:ligatures w14:val="none"/>
        </w:rPr>
      </w:pPr>
    </w:p>
    <w:p w14:paraId="466559A3"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kern w:val="0"/>
          <w14:ligatures w14:val="none"/>
        </w:rPr>
      </w:pPr>
      <w:r w:rsidRPr="001C4BAD">
        <w:rPr>
          <w:rFonts w:ascii="Times New Roman" w:eastAsia="TimesNewRomanPSMT" w:hAnsi="Times New Roman" w:cs="Times New Roman"/>
          <w:kern w:val="0"/>
          <w14:ligatures w14:val="none"/>
        </w:rPr>
        <w:t>World Bank 2018c. UFA2020 Overview: Universal Financial Access by 2020.</w:t>
      </w:r>
    </w:p>
    <w:p w14:paraId="392CA678"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kern w:val="0"/>
          <w14:ligatures w14:val="none"/>
        </w:rPr>
      </w:pPr>
      <w:hyperlink r:id="rId115" w:history="1">
        <w:r w:rsidRPr="001C4BAD">
          <w:rPr>
            <w:rFonts w:ascii="Times New Roman" w:eastAsia="TimesNewRomanPSMT" w:hAnsi="Times New Roman" w:cs="Times New Roman"/>
            <w:color w:val="0000FF"/>
            <w:kern w:val="0"/>
            <w:u w:val="single"/>
            <w14:ligatures w14:val="none"/>
          </w:rPr>
          <w:t>http://www.worldbank.org/en/topic/financialinclusion/brief/achieving-universal-financialaccess-</w:t>
        </w:r>
      </w:hyperlink>
      <w:r w:rsidRPr="001C4BAD">
        <w:rPr>
          <w:rFonts w:ascii="Times New Roman" w:eastAsia="TimesNewRomanPSMT" w:hAnsi="Times New Roman" w:cs="Times New Roman"/>
          <w:kern w:val="0"/>
          <w14:ligatures w14:val="none"/>
        </w:rPr>
        <w:t xml:space="preserve"> by-2020. Last Accessed: 07/05/2019, 15:29.</w:t>
      </w:r>
    </w:p>
    <w:p w14:paraId="00FB24C9"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kern w:val="0"/>
          <w14:ligatures w14:val="none"/>
        </w:rPr>
      </w:pPr>
    </w:p>
    <w:p w14:paraId="3DBEE8AB"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kern w:val="0"/>
          <w14:ligatures w14:val="none"/>
        </w:rPr>
      </w:pPr>
      <w:r w:rsidRPr="001C4BAD">
        <w:rPr>
          <w:rFonts w:ascii="Times New Roman" w:eastAsia="TimesNewRomanPSMT" w:hAnsi="Times New Roman" w:cs="Times New Roman"/>
          <w:kern w:val="0"/>
          <w14:ligatures w14:val="none"/>
        </w:rPr>
        <w:t>World Bank 2018d. Identification for Development (ID4D) Global Dataset 2018. World Bank Group. Washington.</w:t>
      </w:r>
    </w:p>
    <w:p w14:paraId="5FF0C40F" w14:textId="77777777" w:rsidR="001C4BAD" w:rsidRPr="001C4BAD" w:rsidRDefault="001C4BAD" w:rsidP="007223FC">
      <w:pPr>
        <w:autoSpaceDE w:val="0"/>
        <w:autoSpaceDN w:val="0"/>
        <w:adjustRightInd w:val="0"/>
        <w:spacing w:after="0" w:line="240" w:lineRule="auto"/>
        <w:jc w:val="both"/>
        <w:rPr>
          <w:rFonts w:ascii="Times New Roman" w:eastAsia="TimesNewRomanPSMT" w:hAnsi="Times New Roman" w:cs="Times New Roman"/>
          <w:kern w:val="0"/>
          <w14:ligatures w14:val="none"/>
        </w:rPr>
      </w:pPr>
    </w:p>
    <w:p w14:paraId="329E53E2"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p>
    <w:p w14:paraId="7F04D62C" w14:textId="77777777" w:rsidR="001C4BAD" w:rsidRPr="001C4BAD" w:rsidRDefault="001C4BAD" w:rsidP="007223FC">
      <w:pPr>
        <w:spacing w:line="240" w:lineRule="auto"/>
        <w:ind w:left="567" w:hanging="567"/>
        <w:jc w:val="both"/>
        <w:rPr>
          <w:rFonts w:ascii="Times New Roman" w:eastAsia="Calibri" w:hAnsi="Times New Roman" w:cs="Times New Roman"/>
          <w:color w:val="222222"/>
          <w:kern w:val="0"/>
          <w:shd w:val="clear" w:color="auto" w:fill="FFFFFF"/>
          <w14:ligatures w14:val="none"/>
        </w:rPr>
      </w:pPr>
      <w:proofErr w:type="spellStart"/>
      <w:r w:rsidRPr="001C4BAD">
        <w:rPr>
          <w:rFonts w:ascii="Times New Roman" w:eastAsia="Calibri" w:hAnsi="Times New Roman" w:cs="Times New Roman"/>
          <w:color w:val="222222"/>
          <w:kern w:val="0"/>
          <w:shd w:val="clear" w:color="auto" w:fill="FFFFFF"/>
          <w14:ligatures w14:val="none"/>
        </w:rPr>
        <w:t>Zigurs</w:t>
      </w:r>
      <w:proofErr w:type="spellEnd"/>
      <w:r w:rsidRPr="001C4BAD">
        <w:rPr>
          <w:rFonts w:ascii="Times New Roman" w:eastAsia="Calibri" w:hAnsi="Times New Roman" w:cs="Times New Roman"/>
          <w:color w:val="222222"/>
          <w:kern w:val="0"/>
          <w:shd w:val="clear" w:color="auto" w:fill="FFFFFF"/>
          <w14:ligatures w14:val="none"/>
        </w:rPr>
        <w:t>, I., &amp; Buckland, B. K. (1998). A theory of task/technology fit and group support systems effectiveness. </w:t>
      </w:r>
      <w:r w:rsidRPr="001C4BAD">
        <w:rPr>
          <w:rFonts w:ascii="Times New Roman" w:eastAsia="Calibri" w:hAnsi="Times New Roman" w:cs="Times New Roman"/>
          <w:i/>
          <w:iCs/>
          <w:color w:val="222222"/>
          <w:kern w:val="0"/>
          <w:shd w:val="clear" w:color="auto" w:fill="FFFFFF"/>
          <w14:ligatures w14:val="none"/>
        </w:rPr>
        <w:t>MIS quarterly</w:t>
      </w:r>
      <w:r w:rsidRPr="001C4BAD">
        <w:rPr>
          <w:rFonts w:ascii="Times New Roman" w:eastAsia="Calibri" w:hAnsi="Times New Roman" w:cs="Times New Roman"/>
          <w:color w:val="222222"/>
          <w:kern w:val="0"/>
          <w:shd w:val="clear" w:color="auto" w:fill="FFFFFF"/>
          <w14:ligatures w14:val="none"/>
        </w:rPr>
        <w:t>, 313-334.</w:t>
      </w:r>
    </w:p>
    <w:p w14:paraId="7799445A" w14:textId="77777777" w:rsidR="001C4BAD" w:rsidRPr="001C4BAD" w:rsidRDefault="001C4BAD" w:rsidP="001C4BAD">
      <w:pPr>
        <w:spacing w:after="0" w:line="480" w:lineRule="auto"/>
        <w:jc w:val="both"/>
        <w:rPr>
          <w:rFonts w:ascii="Times New Roman" w:eastAsia="Times New Roman" w:hAnsi="Times New Roman" w:cs="Times New Roman"/>
          <w:color w:val="000000"/>
          <w:kern w:val="0"/>
          <w14:ligatures w14:val="none"/>
        </w:rPr>
      </w:pPr>
    </w:p>
    <w:p w14:paraId="4DE01FF7" w14:textId="77777777" w:rsidR="001C4BAD" w:rsidRPr="001C4BAD" w:rsidRDefault="001C4BAD" w:rsidP="001C4BAD">
      <w:pPr>
        <w:spacing w:line="360" w:lineRule="auto"/>
        <w:jc w:val="both"/>
        <w:rPr>
          <w:rFonts w:ascii="Times New Roman" w:eastAsia="Calibri" w:hAnsi="Times New Roman" w:cs="Times New Roman"/>
          <w:b/>
          <w:kern w:val="0"/>
          <w14:ligatures w14:val="none"/>
        </w:rPr>
      </w:pPr>
      <w:r w:rsidRPr="001C4BAD">
        <w:rPr>
          <w:rFonts w:ascii="Times New Roman" w:eastAsia="Calibri" w:hAnsi="Times New Roman" w:cs="Times New Roman"/>
          <w:b/>
          <w:kern w:val="0"/>
          <w14:ligatures w14:val="none"/>
        </w:rPr>
        <w:t xml:space="preserve"> </w:t>
      </w:r>
    </w:p>
    <w:p w14:paraId="2A371688" w14:textId="77777777" w:rsidR="001C4BAD" w:rsidRPr="001C4BAD" w:rsidRDefault="001C4BAD" w:rsidP="001C4BAD">
      <w:pPr>
        <w:autoSpaceDE w:val="0"/>
        <w:autoSpaceDN w:val="0"/>
        <w:adjustRightInd w:val="0"/>
        <w:spacing w:after="0" w:line="480" w:lineRule="auto"/>
        <w:jc w:val="both"/>
        <w:rPr>
          <w:rFonts w:ascii="Times New Roman" w:eastAsia="Calibri" w:hAnsi="Times New Roman" w:cs="Times New Roman"/>
          <w:b/>
          <w:kern w:val="0"/>
          <w14:ligatures w14:val="none"/>
        </w:rPr>
      </w:pPr>
    </w:p>
    <w:p w14:paraId="1E68240B" w14:textId="77777777" w:rsidR="001C4BAD" w:rsidRPr="001C4BAD" w:rsidRDefault="001C4BAD" w:rsidP="001C4BAD">
      <w:pPr>
        <w:spacing w:line="480" w:lineRule="auto"/>
        <w:jc w:val="both"/>
        <w:rPr>
          <w:rFonts w:ascii="Times New Roman" w:eastAsia="Calibri" w:hAnsi="Times New Roman" w:cs="Times New Roman"/>
          <w:b/>
          <w:kern w:val="0"/>
          <w14:ligatures w14:val="none"/>
        </w:rPr>
      </w:pPr>
    </w:p>
    <w:p w14:paraId="1C3B7C29" w14:textId="77777777" w:rsidR="001C4BAD" w:rsidRPr="001C4BAD" w:rsidRDefault="001C4BAD" w:rsidP="001C4BAD">
      <w:pPr>
        <w:spacing w:line="259" w:lineRule="auto"/>
        <w:rPr>
          <w:rFonts w:ascii="Calibri" w:eastAsia="Calibri" w:hAnsi="Calibri" w:cs="Times New Roman"/>
          <w:kern w:val="0"/>
          <w:sz w:val="22"/>
          <w:szCs w:val="22"/>
          <w14:ligatures w14:val="none"/>
        </w:rPr>
      </w:pPr>
    </w:p>
    <w:p w14:paraId="043593CB" w14:textId="77777777" w:rsidR="001C4BAD" w:rsidRDefault="001C4BAD" w:rsidP="00A60822">
      <w:pPr>
        <w:spacing w:after="0" w:line="240" w:lineRule="auto"/>
        <w:jc w:val="both"/>
        <w:rPr>
          <w:rFonts w:ascii="Times New Roman" w:hAnsi="Times New Roman" w:cs="Times New Roman"/>
          <w:b/>
          <w:bCs/>
          <w:sz w:val="56"/>
          <w:szCs w:val="56"/>
        </w:rPr>
      </w:pPr>
    </w:p>
    <w:p w14:paraId="702E751F" w14:textId="77777777" w:rsidR="007223FC" w:rsidRDefault="007223FC" w:rsidP="00D8206B">
      <w:pPr>
        <w:spacing w:line="240" w:lineRule="auto"/>
        <w:jc w:val="center"/>
        <w:rPr>
          <w:rFonts w:ascii="Times New Roman" w:hAnsi="Times New Roman" w:cs="Times New Roman"/>
          <w:b/>
          <w:bCs/>
          <w:sz w:val="22"/>
          <w:szCs w:val="22"/>
        </w:rPr>
      </w:pPr>
    </w:p>
    <w:p w14:paraId="66B72A31" w14:textId="6885CDA0" w:rsidR="00D8206B" w:rsidRDefault="00D8206B" w:rsidP="00D8206B">
      <w:pPr>
        <w:spacing w:line="240" w:lineRule="auto"/>
        <w:jc w:val="center"/>
        <w:rPr>
          <w:rFonts w:ascii="Times New Roman" w:hAnsi="Times New Roman" w:cs="Times New Roman"/>
          <w:b/>
          <w:bCs/>
          <w:sz w:val="22"/>
          <w:szCs w:val="22"/>
        </w:rPr>
      </w:pPr>
      <w:r w:rsidRPr="007E6361">
        <w:rPr>
          <w:rFonts w:ascii="Times New Roman" w:hAnsi="Times New Roman" w:cs="Times New Roman"/>
          <w:b/>
          <w:bCs/>
          <w:sz w:val="22"/>
          <w:szCs w:val="22"/>
        </w:rPr>
        <w:lastRenderedPageBreak/>
        <w:t>PUBLIC DEBT AND PERFORMANCE OF AGRICULTURAL SECTOR IN NIGERIA</w:t>
      </w:r>
    </w:p>
    <w:p w14:paraId="1BDA99A2" w14:textId="77777777" w:rsidR="00D8206B" w:rsidRPr="001D7FE5" w:rsidRDefault="00D8206B" w:rsidP="00D8206B">
      <w:pPr>
        <w:tabs>
          <w:tab w:val="center" w:pos="4680"/>
          <w:tab w:val="left" w:pos="6976"/>
        </w:tabs>
        <w:spacing w:line="240" w:lineRule="auto"/>
        <w:rPr>
          <w:rFonts w:ascii="Times New Roman" w:hAnsi="Times New Roman" w:cs="Times New Roman"/>
          <w:b/>
          <w:bCs/>
          <w:sz w:val="20"/>
          <w:szCs w:val="20"/>
        </w:rPr>
      </w:pPr>
      <w:bookmarkStart w:id="0" w:name="_Hlk219597211"/>
      <w:r w:rsidRPr="001D7FE5">
        <w:rPr>
          <w:rFonts w:ascii="Times New Roman" w:hAnsi="Times New Roman" w:cs="Times New Roman"/>
          <w:b/>
          <w:bCs/>
          <w:sz w:val="20"/>
          <w:szCs w:val="20"/>
        </w:rPr>
        <w:tab/>
      </w:r>
      <w:r w:rsidRPr="001D7FE5">
        <w:rPr>
          <w:rFonts w:ascii="Times New Roman" w:hAnsi="Times New Roman" w:cs="Times New Roman"/>
          <w:b/>
          <w:sz w:val="22"/>
          <w:szCs w:val="22"/>
          <w:lang w:val="en-GB"/>
        </w:rPr>
        <w:t>Babatunde Olaniyi MORAKINYO</w:t>
      </w:r>
    </w:p>
    <w:p w14:paraId="2C448AAF" w14:textId="77777777" w:rsidR="00D8206B" w:rsidRPr="00037F03" w:rsidRDefault="00D8206B" w:rsidP="00D8206B">
      <w:pPr>
        <w:tabs>
          <w:tab w:val="center" w:pos="4680"/>
          <w:tab w:val="left" w:pos="6976"/>
        </w:tabs>
        <w:spacing w:line="240" w:lineRule="auto"/>
        <w:rPr>
          <w:rFonts w:ascii="Times New Roman" w:hAnsi="Times New Roman" w:cs="Times New Roman"/>
          <w:b/>
          <w:bCs/>
          <w:sz w:val="18"/>
          <w:szCs w:val="18"/>
        </w:rPr>
      </w:pPr>
      <w:r w:rsidRPr="00037F03">
        <w:rPr>
          <w:rFonts w:ascii="Times New Roman" w:hAnsi="Times New Roman" w:cs="Times New Roman"/>
          <w:b/>
          <w:bCs/>
          <w:sz w:val="18"/>
          <w:szCs w:val="18"/>
        </w:rPr>
        <w:tab/>
      </w:r>
      <w:hyperlink r:id="rId116" w:history="1">
        <w:r w:rsidRPr="00037F03">
          <w:rPr>
            <w:rStyle w:val="Hyperlink"/>
            <w:sz w:val="18"/>
            <w:szCs w:val="18"/>
          </w:rPr>
          <w:t xml:space="preserve"> </w:t>
        </w:r>
        <w:r w:rsidRPr="00037F03">
          <w:rPr>
            <w:rStyle w:val="Hyperlink"/>
            <w:rFonts w:ascii="Times New Roman" w:hAnsi="Times New Roman" w:cs="Times New Roman"/>
            <w:b/>
            <w:bCs/>
            <w:sz w:val="18"/>
            <w:szCs w:val="18"/>
          </w:rPr>
          <w:t>victorchibuikeeberechi@gmail.com</w:t>
        </w:r>
      </w:hyperlink>
      <w:r w:rsidRPr="00037F03">
        <w:rPr>
          <w:rFonts w:ascii="Times New Roman" w:hAnsi="Times New Roman" w:cs="Times New Roman"/>
          <w:b/>
          <w:bCs/>
          <w:sz w:val="18"/>
          <w:szCs w:val="18"/>
        </w:rPr>
        <w:t xml:space="preserve"> </w:t>
      </w:r>
      <w:r w:rsidRPr="00037F03">
        <w:rPr>
          <w:rFonts w:ascii="Times New Roman" w:hAnsi="Times New Roman" w:cs="Times New Roman"/>
          <w:b/>
          <w:bCs/>
          <w:sz w:val="18"/>
          <w:szCs w:val="18"/>
        </w:rPr>
        <w:tab/>
      </w:r>
    </w:p>
    <w:p w14:paraId="5C892334" w14:textId="77777777" w:rsidR="00D8206B" w:rsidRPr="00FE5717" w:rsidRDefault="00D8206B" w:rsidP="00D8206B">
      <w:pPr>
        <w:spacing w:line="240" w:lineRule="auto"/>
        <w:jc w:val="center"/>
        <w:rPr>
          <w:rFonts w:ascii="Times New Roman" w:hAnsi="Times New Roman" w:cs="Times New Roman"/>
          <w:b/>
          <w:bCs/>
          <w:sz w:val="18"/>
          <w:szCs w:val="18"/>
        </w:rPr>
      </w:pPr>
      <w:r w:rsidRPr="00FE5717">
        <w:rPr>
          <w:rFonts w:ascii="Times New Roman" w:hAnsi="Times New Roman" w:cs="Times New Roman"/>
          <w:b/>
          <w:bCs/>
          <w:i/>
          <w:iCs/>
          <w:sz w:val="18"/>
          <w:szCs w:val="18"/>
        </w:rPr>
        <w:t>Department of Finance and Banking, University of Port Harcourt, Nigeria</w:t>
      </w:r>
    </w:p>
    <w:p w14:paraId="1418749C" w14:textId="77777777" w:rsidR="00D8206B" w:rsidRPr="00037F03"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sz w:val="22"/>
          <w:szCs w:val="22"/>
        </w:rPr>
      </w:pPr>
      <w:r w:rsidRPr="00037F03">
        <w:rPr>
          <w:rFonts w:ascii="Times New Roman" w:eastAsia="Calibri" w:hAnsi="Times New Roman" w:cs="Times New Roman"/>
          <w:b/>
          <w:sz w:val="22"/>
          <w:szCs w:val="22"/>
        </w:rPr>
        <w:t>Ebele Patricia IFIONU</w:t>
      </w:r>
    </w:p>
    <w:p w14:paraId="093E3BAC" w14:textId="77777777" w:rsidR="00D8206B" w:rsidRPr="008F280E"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hyperlink r:id="rId117" w:history="1">
        <w:r w:rsidRPr="00220F39">
          <w:rPr>
            <w:rStyle w:val="Hyperlink"/>
            <w:rFonts w:ascii="Times New Roman" w:eastAsia="Calibri" w:hAnsi="Times New Roman" w:cs="Times New Roman"/>
            <w:b/>
            <w:i/>
            <w:sz w:val="18"/>
            <w:szCs w:val="18"/>
          </w:rPr>
          <w:t>ebele.ifionu@uniport.edu.ng</w:t>
        </w:r>
      </w:hyperlink>
      <w:r w:rsidRPr="008F280E">
        <w:rPr>
          <w:rFonts w:ascii="Times New Roman" w:eastAsia="Calibri" w:hAnsi="Times New Roman" w:cs="Times New Roman"/>
          <w:b/>
          <w:i/>
          <w:sz w:val="18"/>
          <w:szCs w:val="18"/>
        </w:rPr>
        <w:t xml:space="preserve"> </w:t>
      </w:r>
    </w:p>
    <w:p w14:paraId="3383F566" w14:textId="77777777" w:rsidR="00D8206B"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r w:rsidRPr="008F280E">
        <w:rPr>
          <w:rFonts w:ascii="Times New Roman" w:eastAsia="Calibri" w:hAnsi="Times New Roman" w:cs="Times New Roman"/>
          <w:b/>
          <w:i/>
          <w:sz w:val="18"/>
          <w:szCs w:val="18"/>
        </w:rPr>
        <w:t>Department of Finance and Banking, University of Port Harcourt, Nigeria</w:t>
      </w:r>
    </w:p>
    <w:p w14:paraId="686A2192" w14:textId="77777777" w:rsidR="00D8206B" w:rsidRPr="00037F03"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sz w:val="22"/>
          <w:szCs w:val="22"/>
        </w:rPr>
      </w:pPr>
      <w:r w:rsidRPr="00037F03">
        <w:rPr>
          <w:rFonts w:ascii="Times New Roman" w:eastAsia="Calibri" w:hAnsi="Times New Roman" w:cs="Times New Roman"/>
          <w:b/>
          <w:sz w:val="22"/>
          <w:szCs w:val="22"/>
        </w:rPr>
        <w:t>Godfrey O. OMOJEFE</w:t>
      </w:r>
    </w:p>
    <w:p w14:paraId="4A96BDDF" w14:textId="77777777" w:rsidR="00D8206B" w:rsidRPr="008F280E"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hyperlink r:id="rId118" w:history="1">
        <w:r w:rsidRPr="00811FE1">
          <w:rPr>
            <w:rStyle w:val="Hyperlink"/>
            <w:rFonts w:ascii="Times New Roman" w:eastAsia="Calibri" w:hAnsi="Times New Roman" w:cs="Times New Roman"/>
            <w:b/>
            <w:i/>
            <w:sz w:val="18"/>
            <w:szCs w:val="18"/>
          </w:rPr>
          <w:t>godfrey.omojefe@uniport.edu.ng</w:t>
        </w:r>
      </w:hyperlink>
    </w:p>
    <w:p w14:paraId="13FEFA11" w14:textId="77777777" w:rsidR="00D8206B"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r w:rsidRPr="008F280E">
        <w:rPr>
          <w:rFonts w:ascii="Times New Roman" w:eastAsia="Calibri" w:hAnsi="Times New Roman" w:cs="Times New Roman"/>
          <w:b/>
          <w:i/>
          <w:sz w:val="18"/>
          <w:szCs w:val="18"/>
        </w:rPr>
        <w:t>Department of Finance and Banking, University of Port Harcourt, Nigeria</w:t>
      </w:r>
    </w:p>
    <w:p w14:paraId="37CC20CA" w14:textId="77777777" w:rsidR="00D8206B" w:rsidRPr="001D7FE5" w:rsidRDefault="00D8206B" w:rsidP="00D8206B">
      <w:pPr>
        <w:tabs>
          <w:tab w:val="center" w:pos="4680"/>
          <w:tab w:val="left" w:pos="6976"/>
        </w:tabs>
        <w:spacing w:line="240" w:lineRule="auto"/>
        <w:rPr>
          <w:rFonts w:ascii="Times New Roman" w:hAnsi="Times New Roman" w:cs="Times New Roman"/>
          <w:b/>
          <w:bCs/>
          <w:sz w:val="20"/>
          <w:szCs w:val="20"/>
        </w:rPr>
      </w:pPr>
    </w:p>
    <w:p w14:paraId="2D12AB38" w14:textId="77777777" w:rsidR="00D8206B" w:rsidRPr="00D738F9" w:rsidRDefault="00D8206B" w:rsidP="00D8206B">
      <w:pPr>
        <w:tabs>
          <w:tab w:val="center" w:pos="4680"/>
          <w:tab w:val="left" w:pos="6976"/>
        </w:tabs>
        <w:spacing w:line="240" w:lineRule="auto"/>
        <w:rPr>
          <w:rFonts w:ascii="Times New Roman" w:eastAsia="Calibri" w:hAnsi="Times New Roman" w:cs="Times New Roman"/>
          <w:b/>
          <w:i/>
          <w:sz w:val="18"/>
          <w:szCs w:val="18"/>
        </w:rPr>
      </w:pPr>
      <w:r w:rsidRPr="00037F03">
        <w:rPr>
          <w:rFonts w:ascii="Times New Roman" w:hAnsi="Times New Roman" w:cs="Times New Roman"/>
          <w:b/>
          <w:bCs/>
          <w:sz w:val="18"/>
          <w:szCs w:val="18"/>
        </w:rPr>
        <w:tab/>
      </w:r>
      <w:r w:rsidRPr="001D7FE5">
        <w:rPr>
          <w:rFonts w:ascii="Times New Roman" w:hAnsi="Times New Roman" w:cs="Times New Roman"/>
          <w:b/>
          <w:bCs/>
          <w:sz w:val="22"/>
          <w:szCs w:val="22"/>
        </w:rPr>
        <w:t>ABSTRACT</w:t>
      </w:r>
    </w:p>
    <w:bookmarkEnd w:id="0"/>
    <w:p w14:paraId="403F41E9" w14:textId="77777777" w:rsidR="00D8206B" w:rsidRDefault="00D8206B" w:rsidP="00D8206B">
      <w:pPr>
        <w:spacing w:after="0" w:line="240" w:lineRule="auto"/>
        <w:jc w:val="both"/>
        <w:rPr>
          <w:rFonts w:ascii="Times New Roman" w:hAnsi="Times New Roman" w:cs="Times New Roman"/>
          <w:sz w:val="22"/>
          <w:szCs w:val="22"/>
        </w:rPr>
      </w:pPr>
      <w:r w:rsidRPr="00094470">
        <w:rPr>
          <w:rFonts w:ascii="Times New Roman" w:hAnsi="Times New Roman" w:cs="Times New Roman"/>
          <w:sz w:val="22"/>
          <w:szCs w:val="22"/>
        </w:rPr>
        <w:t xml:space="preserve">This study explores the effect of public debt on </w:t>
      </w:r>
      <w:r>
        <w:rPr>
          <w:rFonts w:ascii="Times New Roman" w:hAnsi="Times New Roman" w:cs="Times New Roman"/>
        </w:rPr>
        <w:t xml:space="preserve">agricultural </w:t>
      </w:r>
      <w:r w:rsidRPr="00094470">
        <w:rPr>
          <w:rFonts w:ascii="Times New Roman" w:hAnsi="Times New Roman" w:cs="Times New Roman"/>
          <w:sz w:val="22"/>
          <w:szCs w:val="22"/>
        </w:rPr>
        <w:t>sector performance in Nigeria from 1990 to 2023, with a focus on how domestic debt, external debt, and the debt-to-GDP ratio influence the agricultural</w:t>
      </w:r>
      <w:r>
        <w:rPr>
          <w:rFonts w:ascii="Times New Roman" w:hAnsi="Times New Roman" w:cs="Times New Roman"/>
        </w:rPr>
        <w:t xml:space="preserve"> sector output</w:t>
      </w:r>
      <w:r w:rsidRPr="00094470">
        <w:rPr>
          <w:rFonts w:ascii="Times New Roman" w:hAnsi="Times New Roman" w:cs="Times New Roman"/>
          <w:sz w:val="22"/>
          <w:szCs w:val="22"/>
        </w:rPr>
        <w:t xml:space="preserve">. The objective was to uncover how rising debt levels shape productivity across key sectors of the economy and their implications for sustainable growth. Data were sourced from the Central Bank of Nigeria (CBN), the Debt Management Office (DMO), and the National Bureau of Statistics (NBS). The Autoregressive Distributed Lag (ARDL) model was applied to capture both the short-run and long-run relationships among the variables. Findings revealed that domestic debt has a significant and negative effect on agricultural sector performance (AGDP), implying that heavy government borrowing tends to crowd out private investment and limit agricultural growth. The results further showed that external debt exerts a significant negative influence on agricultural sector performance, reflecting the adverse effects of debt overhang and inefficient use of borrowed funds. However, the effect of </w:t>
      </w:r>
      <w:r>
        <w:rPr>
          <w:rFonts w:ascii="Times New Roman" w:hAnsi="Times New Roman" w:cs="Times New Roman"/>
          <w:sz w:val="22"/>
          <w:szCs w:val="22"/>
        </w:rPr>
        <w:t xml:space="preserve">debt-to-GDP ratio was </w:t>
      </w:r>
      <w:r w:rsidRPr="00094470">
        <w:rPr>
          <w:rFonts w:ascii="Times New Roman" w:hAnsi="Times New Roman" w:cs="Times New Roman"/>
          <w:sz w:val="22"/>
          <w:szCs w:val="22"/>
        </w:rPr>
        <w:t xml:space="preserve">negatively </w:t>
      </w:r>
      <w:r>
        <w:rPr>
          <w:rFonts w:ascii="Times New Roman" w:hAnsi="Times New Roman" w:cs="Times New Roman"/>
          <w:sz w:val="22"/>
          <w:szCs w:val="22"/>
        </w:rPr>
        <w:t xml:space="preserve">and insignificantly related to </w:t>
      </w:r>
      <w:r w:rsidRPr="00094470">
        <w:rPr>
          <w:rFonts w:ascii="Times New Roman" w:hAnsi="Times New Roman" w:cs="Times New Roman"/>
          <w:sz w:val="22"/>
          <w:szCs w:val="22"/>
        </w:rPr>
        <w:t>agricultur</w:t>
      </w:r>
      <w:r>
        <w:rPr>
          <w:rFonts w:ascii="Times New Roman" w:hAnsi="Times New Roman" w:cs="Times New Roman"/>
          <w:sz w:val="22"/>
          <w:szCs w:val="22"/>
        </w:rPr>
        <w:t>al sector</w:t>
      </w:r>
      <w:r w:rsidRPr="00094470">
        <w:rPr>
          <w:rFonts w:ascii="Times New Roman" w:hAnsi="Times New Roman" w:cs="Times New Roman"/>
          <w:sz w:val="22"/>
          <w:szCs w:val="22"/>
        </w:rPr>
        <w:t>. The study concludes that Nigeria’s increasing debt levels have constrained sectoral growth and economic productivity. It recommends that public borrowing should be directed toward productive, revenue-generating projects, while fiscal transparency and prudent debt management should be strengthened to ensure sustainable economic development.</w:t>
      </w:r>
    </w:p>
    <w:p w14:paraId="55D054D2" w14:textId="77777777" w:rsidR="00D8206B" w:rsidRPr="00094470" w:rsidRDefault="00D8206B" w:rsidP="00D8206B">
      <w:pPr>
        <w:spacing w:after="0" w:line="240" w:lineRule="auto"/>
        <w:jc w:val="both"/>
        <w:rPr>
          <w:rFonts w:ascii="Times New Roman" w:hAnsi="Times New Roman" w:cs="Times New Roman"/>
          <w:sz w:val="22"/>
          <w:szCs w:val="22"/>
        </w:rPr>
      </w:pPr>
      <w:r w:rsidRPr="00037F03">
        <w:rPr>
          <w:rFonts w:ascii="Times New Roman" w:hAnsi="Times New Roman" w:cs="Times New Roman"/>
          <w:b/>
          <w:bCs/>
          <w:sz w:val="22"/>
          <w:szCs w:val="22"/>
        </w:rPr>
        <w:t>Keywords:</w:t>
      </w:r>
      <w:r>
        <w:rPr>
          <w:rFonts w:ascii="Times New Roman" w:hAnsi="Times New Roman" w:cs="Times New Roman"/>
          <w:sz w:val="22"/>
          <w:szCs w:val="22"/>
        </w:rPr>
        <w:t xml:space="preserve"> Debt, Repayments, Servicing, Income Generation, Investments</w:t>
      </w:r>
    </w:p>
    <w:p w14:paraId="3BB80B5A" w14:textId="77777777" w:rsidR="007223FC" w:rsidRDefault="007223FC" w:rsidP="00D8206B">
      <w:pPr>
        <w:spacing w:line="276" w:lineRule="auto"/>
        <w:jc w:val="center"/>
        <w:rPr>
          <w:rFonts w:ascii="Times New Roman" w:hAnsi="Times New Roman" w:cs="Times New Roman"/>
          <w:sz w:val="22"/>
          <w:szCs w:val="22"/>
        </w:rPr>
      </w:pPr>
    </w:p>
    <w:p w14:paraId="6971BBB5" w14:textId="41502C15" w:rsidR="00D8206B" w:rsidRPr="00037F03" w:rsidRDefault="00D8206B" w:rsidP="00D8206B">
      <w:pPr>
        <w:spacing w:line="276" w:lineRule="auto"/>
        <w:jc w:val="center"/>
        <w:rPr>
          <w:rFonts w:ascii="Times New Roman" w:hAnsi="Times New Roman" w:cs="Times New Roman"/>
          <w:b/>
          <w:bCs/>
          <w:sz w:val="22"/>
          <w:szCs w:val="22"/>
        </w:rPr>
      </w:pPr>
      <w:r w:rsidRPr="00037F03">
        <w:rPr>
          <w:rFonts w:ascii="Times New Roman" w:hAnsi="Times New Roman" w:cs="Times New Roman"/>
          <w:b/>
          <w:bCs/>
          <w:sz w:val="22"/>
          <w:szCs w:val="22"/>
        </w:rPr>
        <w:t>1.0</w:t>
      </w:r>
      <w:r w:rsidRPr="00037F03">
        <w:rPr>
          <w:rFonts w:ascii="Times New Roman" w:hAnsi="Times New Roman" w:cs="Times New Roman"/>
          <w:b/>
          <w:bCs/>
          <w:sz w:val="22"/>
          <w:szCs w:val="22"/>
        </w:rPr>
        <w:tab/>
        <w:t>Introduction</w:t>
      </w:r>
    </w:p>
    <w:p w14:paraId="4B3B10C1"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Public debt has become a critical issue in Nigeria's economic landscape, impacting various sectors and influencing the nation's overall economic stability and growth. Public debt, defined as the total amount of money owed by the government to domestic or foreign creditors, is often incurred to finance budget deficits, support infrastructural projects, and stimulate economic growth (World Bank, 2021). In Nigeria, the rise in public debt has sparked debates on its sustainability and the potential repercussions for sectoral performance, particularly in sectors like agriculture, manufacturing, and services, which are crucial for economic diversification and development.</w:t>
      </w:r>
    </w:p>
    <w:p w14:paraId="33FE9B93"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The agriculture sector, which employs a large portion of Nigeria's population, also faces challenges due to limited public investment resulting from high debt obligations (FAO, 2020). Reduced funding for agricultural initiatives can hinder productivity and rural development, exacerbating poverty and food insecurity in the country.</w:t>
      </w:r>
    </w:p>
    <w:p w14:paraId="49A3199D"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 xml:space="preserve">Public debt is a critical tool for economic management and financing developmental projects in many countries, including Nigeria. Governments often resort to borrowing when revenues fall short of expenditure requirements to stimulate economic activities and drive growth across various sectors such as agriculture, manufacturing, and services. However, the accumulation of public debt has generated significant debates regarding its implications for sectoral performance and the broader economy. In the Nigerian context, public debt has grown substantially over the past two decades, fueled by persistent budget deficits, global economic shocks, and external factors such as declining oil revenues (Debt Management </w:t>
      </w:r>
      <w:r w:rsidRPr="007E6361">
        <w:rPr>
          <w:rFonts w:ascii="Times New Roman" w:hAnsi="Times New Roman" w:cs="Times New Roman"/>
          <w:sz w:val="22"/>
          <w:szCs w:val="22"/>
        </w:rPr>
        <w:lastRenderedPageBreak/>
        <w:t>Office, 2023). This rapid accumulation of debt raises critical concerns about its sustainability and potential impact on the performance of key economic sectors.</w:t>
      </w:r>
    </w:p>
    <w:p w14:paraId="111A7341"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One of the fundamental challenges associated with public debt is the “debt overhang,” where high debt levels discourage investment and economic activities in critical sectors due to uncertainty about future fiscal policies and potential taxation (Krugman, 1988). For instance, in Nigeria, a substantial portion of public revenue is allocated to servicing debt, leaving limited fiscal space for developmental projects and infrastructure investments essential for sectoral performance (World Bank, 2022). This diversion of resources could have adverse effects on the agricultural, manufacturing, and service sectors, which are vital for employment generation, poverty alleviation, and economic diversification. The agricultural sector in Nigeria, a major contributor to Gross Domestic Product (GDP) and a critical source of employment, faces persistent underperformance despite government interventions and policies (National Bureau of Statistics, 2023). Public debt intended to finance agricultural transformation programs may be undermined by inefficiencies in debt utilization and the high cost of debt servicing. Similarly, the manufacturing sector, often regarded as a driver of industrialization, continues to struggle with inadequate infrastructure, high production costs, and limited access to credit, which are exacerbated by the government's reliance on domestic debt (Adedoyin</w:t>
      </w:r>
      <w:r>
        <w:rPr>
          <w:rFonts w:ascii="Times New Roman" w:hAnsi="Times New Roman" w:cs="Times New Roman"/>
          <w:sz w:val="22"/>
          <w:szCs w:val="22"/>
        </w:rPr>
        <w:t>,</w:t>
      </w:r>
      <w:r w:rsidRPr="007E6361">
        <w:rPr>
          <w:rFonts w:ascii="Times New Roman" w:hAnsi="Times New Roman" w:cs="Times New Roman"/>
          <w:sz w:val="22"/>
          <w:szCs w:val="22"/>
        </w:rPr>
        <w:t xml:space="preserve"> 2022). Despite the growing body of literature on public debt, there remains a significant gap in understanding its nuanced effects on agricultural sector performance in Nigeria. Existing studies often focus on the macroeconomic implications of debt, such as its impact on economic growth, inflation, or exchange rates (Oke &amp; Sulaiman, 2020). However, less attention has been given to examining how public debt influences the agricultural sector performance. This gap is critical because the effects of public debt are not uniformly distributed across sectors, and understanding these sector-specific dynamics is essential for formulating effective fiscal and developmental policies.</w:t>
      </w:r>
    </w:p>
    <w:p w14:paraId="3EC44893" w14:textId="77777777" w:rsidR="00D8206B" w:rsidRPr="003B6E44" w:rsidRDefault="00D8206B" w:rsidP="00D8206B">
      <w:pPr>
        <w:keepNext/>
        <w:keepLines/>
        <w:spacing w:before="240" w:after="0" w:line="276" w:lineRule="auto"/>
        <w:jc w:val="center"/>
        <w:outlineLvl w:val="0"/>
        <w:rPr>
          <w:rFonts w:ascii="Times New Roman" w:eastAsia="Times New Roman" w:hAnsi="Times New Roman" w:cs="Times New Roman"/>
          <w:b/>
          <w:sz w:val="22"/>
          <w:szCs w:val="22"/>
        </w:rPr>
      </w:pPr>
      <w:bookmarkStart w:id="1" w:name="_Toc214835403"/>
      <w:r w:rsidRPr="007E6361">
        <w:rPr>
          <w:rFonts w:ascii="Times New Roman" w:eastAsia="Times New Roman" w:hAnsi="Times New Roman" w:cs="Times New Roman"/>
          <w:b/>
          <w:sz w:val="22"/>
          <w:szCs w:val="22"/>
        </w:rPr>
        <w:t>2.0</w:t>
      </w:r>
      <w:r w:rsidRPr="007E6361">
        <w:rPr>
          <w:rFonts w:ascii="Times New Roman" w:eastAsia="Times New Roman" w:hAnsi="Times New Roman" w:cs="Times New Roman"/>
          <w:b/>
          <w:sz w:val="22"/>
          <w:szCs w:val="22"/>
        </w:rPr>
        <w:tab/>
        <w:t>Literature Review</w:t>
      </w:r>
      <w:bookmarkEnd w:id="1"/>
    </w:p>
    <w:p w14:paraId="0B20FF94"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2" w:name="_Toc214835404"/>
      <w:r w:rsidRPr="003B6E44">
        <w:rPr>
          <w:rFonts w:ascii="Times New Roman" w:eastAsia="Times New Roman" w:hAnsi="Times New Roman" w:cs="Times New Roman"/>
          <w:b/>
          <w:bCs/>
          <w:kern w:val="0"/>
          <w:sz w:val="22"/>
          <w:szCs w:val="22"/>
          <w14:ligatures w14:val="none"/>
        </w:rPr>
        <w:t>2.1</w:t>
      </w:r>
      <w:r w:rsidRPr="003B6E44">
        <w:rPr>
          <w:rFonts w:ascii="Times New Roman" w:eastAsia="Times New Roman" w:hAnsi="Times New Roman" w:cs="Times New Roman"/>
          <w:b/>
          <w:bCs/>
          <w:kern w:val="0"/>
          <w:sz w:val="22"/>
          <w:szCs w:val="22"/>
          <w14:ligatures w14:val="none"/>
        </w:rPr>
        <w:tab/>
        <w:t>Conceptual Framework</w:t>
      </w:r>
      <w:bookmarkEnd w:id="2"/>
    </w:p>
    <w:p w14:paraId="0BF991E2"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3" w:name="_Toc214835405"/>
      <w:r w:rsidRPr="003B6E44">
        <w:rPr>
          <w:rFonts w:ascii="Times New Roman" w:eastAsia="Times New Roman" w:hAnsi="Times New Roman" w:cs="Times New Roman"/>
          <w:b/>
          <w:bCs/>
          <w:kern w:val="0"/>
          <w:sz w:val="22"/>
          <w:szCs w:val="22"/>
          <w14:ligatures w14:val="none"/>
        </w:rPr>
        <w:t>2.1.1 Public Debt</w:t>
      </w:r>
      <w:bookmarkEnd w:id="3"/>
    </w:p>
    <w:p w14:paraId="005E38AA"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The concept of public debt encompasses the obligations incurred by a government through borrowing to finance its activities, which include expenditures on public goods, infrastructure, and social programs. Public debt arises when a government’s expenditures exceed its revenues, necessitating borrowing to cover the shortfall. This borrowing can take various forms, such as issuing government bonds, taking loans from domestic or international financial institutions, and obtaining credit from foreign governments or international organizations. Public debt, defined as the accumulated borrowing by governments to finance expenditures exceeding current revenues (Barro, 1974; Reinhart &amp; Rogoff, 2010), plays a crucial role in economic management globally. It encompasses various forms, including domestic bonds, external loans, and multilateral credits (IMF &amp; World Bank, 2013). The management of public debt is essential for fiscal sustainability and economic stability (Krugman, 1988; Keynes, 1936).</w:t>
      </w:r>
    </w:p>
    <w:p w14:paraId="39B06FA8" w14:textId="77777777" w:rsidR="00D8206B" w:rsidRPr="003B6E44" w:rsidRDefault="00D8206B" w:rsidP="00D8206B">
      <w:pPr>
        <w:spacing w:before="100" w:beforeAutospacing="1" w:after="0" w:line="276" w:lineRule="auto"/>
        <w:jc w:val="both"/>
        <w:outlineLvl w:val="1"/>
        <w:rPr>
          <w:rFonts w:ascii="Times New Roman" w:eastAsia="Times New Roman" w:hAnsi="Times New Roman" w:cs="Times New Roman"/>
          <w:b/>
          <w:bCs/>
          <w:kern w:val="0"/>
          <w:sz w:val="22"/>
          <w:szCs w:val="22"/>
          <w14:ligatures w14:val="none"/>
        </w:rPr>
      </w:pPr>
      <w:bookmarkStart w:id="4" w:name="_Toc214835407"/>
      <w:r w:rsidRPr="007E6361">
        <w:rPr>
          <w:rFonts w:ascii="Times New Roman" w:eastAsia="Times New Roman" w:hAnsi="Times New Roman" w:cs="Times New Roman"/>
          <w:b/>
          <w:bCs/>
          <w:kern w:val="0"/>
          <w:sz w:val="22"/>
          <w:szCs w:val="22"/>
          <w14:ligatures w14:val="none"/>
        </w:rPr>
        <w:t>2.1.2</w:t>
      </w:r>
      <w:r w:rsidRPr="007E6361">
        <w:rPr>
          <w:rFonts w:ascii="Times New Roman" w:eastAsia="Times New Roman" w:hAnsi="Times New Roman" w:cs="Times New Roman"/>
          <w:b/>
          <w:bCs/>
          <w:kern w:val="0"/>
          <w:sz w:val="22"/>
          <w:szCs w:val="22"/>
          <w14:ligatures w14:val="none"/>
        </w:rPr>
        <w:tab/>
        <w:t xml:space="preserve">Agricultural </w:t>
      </w:r>
      <w:r w:rsidRPr="003B6E44">
        <w:rPr>
          <w:rFonts w:ascii="Times New Roman" w:eastAsia="Times New Roman" w:hAnsi="Times New Roman" w:cs="Times New Roman"/>
          <w:b/>
          <w:bCs/>
          <w:kern w:val="0"/>
          <w:sz w:val="22"/>
          <w:szCs w:val="22"/>
          <w14:ligatures w14:val="none"/>
        </w:rPr>
        <w:t xml:space="preserve">Sectoral Performance </w:t>
      </w:r>
      <w:bookmarkEnd w:id="4"/>
    </w:p>
    <w:p w14:paraId="40B845B7"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One of the primary measures of sectoral performance in agriculture is its contribution to the Gross Domestic Product (GDP). GDP measures the total value of goods and services produced within a country's borders over a specific period. The agricultural sector's GDP contribution indicates its economic importance and its share in the overall economy (FAO, 2019). The Food and Agriculture Organization (FAO) emphasizes that in many developing countries, agriculture remains a significant contributor to GDP, providing livelihoods for a large segment of the population (FAO, 2019). Productivity in agriculture is a crucial measure of sectoral performance, reflecting the efficiency with which inputs such as land, labor, capital, and technology are utilized to produce agricultural output. Higher productivity levels indicate increased efficiency and competitiveness in the sector. Studies by Evenson and Gollin (2003) have examined the impact of agricultural productivity on overall economic growth, highlighting the role of technological advancements and innovations in improving productivity levels. The agricultural sector is a significant employer in many economies, particularly in </w:t>
      </w:r>
      <w:r w:rsidRPr="003B6E44">
        <w:rPr>
          <w:rFonts w:ascii="Times New Roman" w:eastAsia="Calibri" w:hAnsi="Times New Roman" w:cs="Times New Roman"/>
          <w:sz w:val="22"/>
          <w:szCs w:val="22"/>
        </w:rPr>
        <w:lastRenderedPageBreak/>
        <w:t>developing countries. Employment levels and labor productivity within agriculture are critical measures of sectoral performance, reflecting the sector's ability to absorb labor and contribute to rural livelihoods (World Bank, 2007).</w:t>
      </w:r>
    </w:p>
    <w:p w14:paraId="785762DB"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5" w:name="_Toc214835415"/>
      <w:r w:rsidRPr="003B6E44">
        <w:rPr>
          <w:rFonts w:ascii="Times New Roman" w:eastAsia="Times New Roman" w:hAnsi="Times New Roman" w:cs="Times New Roman"/>
          <w:b/>
          <w:bCs/>
          <w:kern w:val="0"/>
          <w:sz w:val="22"/>
          <w:szCs w:val="22"/>
          <w14:ligatures w14:val="none"/>
        </w:rPr>
        <w:t>2.2. Theoretical Framework</w:t>
      </w:r>
      <w:bookmarkEnd w:id="5"/>
    </w:p>
    <w:p w14:paraId="4B78628B"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6" w:name="_Toc214835416"/>
      <w:r w:rsidRPr="003B6E44">
        <w:rPr>
          <w:rFonts w:ascii="Times New Roman" w:eastAsia="Times New Roman" w:hAnsi="Times New Roman" w:cs="Times New Roman"/>
          <w:b/>
          <w:bCs/>
          <w:kern w:val="0"/>
          <w:sz w:val="22"/>
          <w:szCs w:val="22"/>
          <w14:ligatures w14:val="none"/>
        </w:rPr>
        <w:t>2.2.1. Debt Overhang Hypothesis</w:t>
      </w:r>
      <w:bookmarkEnd w:id="6"/>
    </w:p>
    <w:p w14:paraId="6469596B" w14:textId="77777777" w:rsidR="00D8206B" w:rsidRPr="007E6361"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This hypothesis was developed by Paul Krugman in 1988 and later expanded upon by Jeffrey Sachs.  The Debt Overhang Hypothesis posits that a country's existing public debt levels can be so high that it discourages investment and economic growth. When public debt reaches unsustainable levels, economic agents—both domestic and foreign—anticipate higher future taxes or inflation to service the debt. This expectation discourages investment in productive activities, as investors perceive that the returns on their investments may be appropriated to service the public debt rather than benefiting economic growth.  The debt overhang hypothesis suggests that high levels of public debt can deter investment and economic growth by creating uncertainty about future tax policies and debt sustainability. When a country's debt level is perceived as unsustainable, investors may be reluctant to invest, fearing that future taxes or austerity measures will be implemented to service the debt (Krugman, 1988). This can lead to a reduction in private sector investment and hinder sectoral performance, particularly in capital-intensive sectors such as manufacturing and infrastructure. The shortcomings of the theory </w:t>
      </w:r>
      <w:proofErr w:type="gramStart"/>
      <w:r w:rsidRPr="003B6E44">
        <w:rPr>
          <w:rFonts w:ascii="Times New Roman" w:eastAsia="Calibri" w:hAnsi="Times New Roman" w:cs="Times New Roman"/>
          <w:sz w:val="22"/>
          <w:szCs w:val="22"/>
        </w:rPr>
        <w:t>is</w:t>
      </w:r>
      <w:proofErr w:type="gramEnd"/>
      <w:r w:rsidRPr="003B6E44">
        <w:rPr>
          <w:rFonts w:ascii="Times New Roman" w:eastAsia="Calibri" w:hAnsi="Times New Roman" w:cs="Times New Roman"/>
          <w:sz w:val="22"/>
          <w:szCs w:val="22"/>
        </w:rPr>
        <w:t xml:space="preserve"> that empirical evidence supporting the hypothesis varies across countries and time periods, making generalization difficult.  It also underestimates the role of governance and institutional capacity in mitigating the effects of high debt. Critics argue that investment decisions are often more complex and may not solely depend on public debt levels.</w:t>
      </w:r>
    </w:p>
    <w:p w14:paraId="38983F6E"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7" w:name="_Toc214835417"/>
      <w:r w:rsidRPr="003B6E44">
        <w:rPr>
          <w:rFonts w:ascii="Times New Roman" w:eastAsia="Times New Roman" w:hAnsi="Times New Roman" w:cs="Times New Roman"/>
          <w:b/>
          <w:bCs/>
          <w:kern w:val="0"/>
          <w:sz w:val="22"/>
          <w:szCs w:val="22"/>
          <w14:ligatures w14:val="none"/>
        </w:rPr>
        <w:t>2.2.2</w:t>
      </w:r>
      <w:r w:rsidRPr="003B6E44">
        <w:rPr>
          <w:rFonts w:ascii="Times New Roman" w:eastAsia="Times New Roman" w:hAnsi="Times New Roman" w:cs="Times New Roman"/>
          <w:b/>
          <w:bCs/>
          <w:kern w:val="0"/>
          <w:sz w:val="22"/>
          <w:szCs w:val="22"/>
          <w14:ligatures w14:val="none"/>
        </w:rPr>
        <w:tab/>
        <w:t>Keynesian Theory</w:t>
      </w:r>
      <w:bookmarkEnd w:id="7"/>
    </w:p>
    <w:p w14:paraId="43C62578" w14:textId="77777777" w:rsidR="00D8206B" w:rsidRPr="003B6E44" w:rsidRDefault="00D8206B" w:rsidP="00D8206B">
      <w:pPr>
        <w:spacing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The Keynesian theory posits that government borrowing can stimulate economic growth by financing public investment and increasing aggregate demand. Keynesian economics emphasizes that government borrowing (public debt) can stimulate economic growth, particularly during periods of economic downturns or recessions. According to this theory, when private sector demand is insufficient, government borrowing and spending can boost aggregate demand, leading to higher output and employment. Public debt is not inherently problematic as long as the borrowed funds are used for productive investments that generate future economic benefits.  During periods of economic downturn, increased government spending financed through debt can help boost economic activity and support sectoral growth (Keynes, 1936). Public investment in infrastructure, for example, can enhance productivity and competitiveness in various sectors, leading to overall economic growth. The theory suggests that persistent unbalanced budgets and a swift rise in public debt can significantly impact a nation's financial stability. It posits that substantial public debt should be viewed as a national asset rather than a liability, making ongoing deficit spending crucial for economic growth, as it fosters full employment (Precious, 2015). </w:t>
      </w:r>
    </w:p>
    <w:p w14:paraId="23984383"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8" w:name="_Toc214835418"/>
      <w:r w:rsidRPr="003B6E44">
        <w:rPr>
          <w:rFonts w:ascii="Times New Roman" w:eastAsia="Times New Roman" w:hAnsi="Times New Roman" w:cs="Times New Roman"/>
          <w:b/>
          <w:bCs/>
          <w:kern w:val="0"/>
          <w:sz w:val="22"/>
          <w:szCs w:val="22"/>
          <w14:ligatures w14:val="none"/>
        </w:rPr>
        <w:t>2.2.3</w:t>
      </w:r>
      <w:r w:rsidRPr="003B6E44">
        <w:rPr>
          <w:rFonts w:ascii="Times New Roman" w:eastAsia="Times New Roman" w:hAnsi="Times New Roman" w:cs="Times New Roman"/>
          <w:b/>
          <w:bCs/>
          <w:kern w:val="0"/>
          <w:sz w:val="22"/>
          <w:szCs w:val="22"/>
          <w14:ligatures w14:val="none"/>
        </w:rPr>
        <w:tab/>
        <w:t>Debt Crowding-Out Hypothesis</w:t>
      </w:r>
      <w:bookmarkEnd w:id="8"/>
    </w:p>
    <w:p w14:paraId="2362C70B"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While no single economist is credited with this hypothesis, it is widely discussed in classical and neoclassical economic literature.  The Debt Crowding-Out Hypothesis argues that excessive public borrowing leads to higher interest rates, which, in turn, reduce private sector investment. This occurs because government debt competes with private borrowers for limited financial resources in the credit market. Consequently, high public debt can diminish the availability of capital for private investment, slowing economic growth. The debt crowding-out hypothesis posits that servicing external debt imposes liquidity constraints on borrowers, which can subsequently impact economic growth by diverting resources away from private investment due to altered public spending priorities (</w:t>
      </w:r>
      <w:proofErr w:type="spellStart"/>
      <w:r w:rsidRPr="003B6E44">
        <w:rPr>
          <w:rFonts w:ascii="Times New Roman" w:eastAsia="Calibri" w:hAnsi="Times New Roman" w:cs="Times New Roman"/>
          <w:sz w:val="22"/>
          <w:szCs w:val="22"/>
        </w:rPr>
        <w:t>Serieux</w:t>
      </w:r>
      <w:proofErr w:type="spellEnd"/>
      <w:r w:rsidRPr="003B6E44">
        <w:rPr>
          <w:rFonts w:ascii="Times New Roman" w:eastAsia="Calibri" w:hAnsi="Times New Roman" w:cs="Times New Roman"/>
          <w:sz w:val="22"/>
          <w:szCs w:val="22"/>
        </w:rPr>
        <w:t xml:space="preserve">, 2014). A significant drawback of public debt is the crowding-out effect, where elevated government borrowing results in increased interest rates and diminished credit availability for the private sector. This scenario can stifle private investment and adversely influence sectoral performance. </w:t>
      </w:r>
      <w:r w:rsidRPr="003B6E44">
        <w:rPr>
          <w:rFonts w:ascii="Times New Roman" w:eastAsia="Calibri" w:hAnsi="Times New Roman" w:cs="Times New Roman"/>
          <w:sz w:val="22"/>
          <w:szCs w:val="22"/>
        </w:rPr>
        <w:lastRenderedPageBreak/>
        <w:t xml:space="preserve">Egert (2015) identified evidence of this crowding-out effect in developing nations, where substantial public debt levels correlated with a decline in private investment. </w:t>
      </w:r>
    </w:p>
    <w:p w14:paraId="1F7AAB4B"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9" w:name="_Toc214835420"/>
      <w:r w:rsidRPr="003B6E44">
        <w:rPr>
          <w:rFonts w:ascii="Times New Roman" w:eastAsia="Times New Roman" w:hAnsi="Times New Roman" w:cs="Times New Roman"/>
          <w:b/>
          <w:bCs/>
          <w:kern w:val="0"/>
          <w:sz w:val="22"/>
          <w:szCs w:val="22"/>
          <w14:ligatures w14:val="none"/>
        </w:rPr>
        <w:t>2.3</w:t>
      </w:r>
      <w:r w:rsidRPr="003B6E44">
        <w:rPr>
          <w:rFonts w:ascii="Times New Roman" w:eastAsia="Times New Roman" w:hAnsi="Times New Roman" w:cs="Times New Roman"/>
          <w:b/>
          <w:bCs/>
          <w:kern w:val="0"/>
          <w:sz w:val="22"/>
          <w:szCs w:val="22"/>
          <w14:ligatures w14:val="none"/>
        </w:rPr>
        <w:tab/>
        <w:t>Empirical Review</w:t>
      </w:r>
      <w:bookmarkEnd w:id="9"/>
    </w:p>
    <w:p w14:paraId="400A1BDC"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Oladipo and Eze (2023) examined the effects of public debt on economic diversification in Sub-Saharan Africa, focusing on Nigeria, Ghana, and Kenya from 2000 to 2022 using panel data analysis. Variables included economic diversification index, public debt, government expenditure on economic diversification, and GDP growth. The findings indicated that high public debt levels hinder economic diversification by reducing fiscal space for diversification initiatives and limiting economic growth. </w:t>
      </w:r>
    </w:p>
    <w:p w14:paraId="5EDBA8ED"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Chukwu and Adeola (2023) examined the relationship between public debt and export performance in Sub-Saharan Africa, focusing on Nigeria, Kenya, and Ghana from 2000 to 2022 using panel data analysis. Variables included export performance index, public debt, government export expenditure, and exchange rates. The findings indicated that high public debt levels negatively affect export performance by reducing fiscal space for export investments and causing exchange rate volatility. </w:t>
      </w:r>
    </w:p>
    <w:p w14:paraId="2BEC7C6B"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Ogunleye and Adekunle (2023) analyzed the impact of public debt on export performance in developing economies, focusing on Nigeria, Ghana, and Kenya from 1995 to 2022 using panel data analysis. Variables included export performance index, public debt, trade openness, and exchange rates. The study found that high public debt levels negatively affect export performance due to exchange rate instability and reduced competitiveness.</w:t>
      </w:r>
    </w:p>
    <w:p w14:paraId="2A6DD310"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Afolabi and Jimoh (2023) conducted a study on the impact of public debt on fiscal space in developing countries, focusing on Nigeria, Kenya, and Uganda from 2000 to 2022 using panel data analysis. Variables included fiscal space index, public debt, government revenue, and expenditure. The findings indicated that high public debt levels reduce fiscal space by increasing debt servicing costs and limiting government revenue. </w:t>
      </w:r>
    </w:p>
    <w:p w14:paraId="5246DD82"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Kofi and Mensah (2023) examined the relationship between public debt and education sector performance in West Africa over the period 2000 to 2022 using panel data analysis. Variables included education sector output, public debt, and government education expenditure. The findings indicated that high public debt levels negatively affect education sector performance.</w:t>
      </w:r>
    </w:p>
    <w:p w14:paraId="03ACB61F"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Adeyemi and Mohammed (2023) conducted a comparative analysis of public debt and fiscal policy in developing countries, focusing on Nigeria and Ghana from 2010 to 2022. Using a mixed-method approach, they analyzed fiscal policy frameworks, debt sustainability, and economic performance indicators. The study found that while public debt can facilitate economic growth through infrastructure investments, poor debt management practices can lead to fiscal vulnerabilities. </w:t>
      </w:r>
    </w:p>
    <w:p w14:paraId="13D37A56" w14:textId="77777777" w:rsidR="00D8206B" w:rsidRPr="003B6E44" w:rsidRDefault="00D8206B" w:rsidP="00D8206B">
      <w:pPr>
        <w:spacing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Adewale and Salami (2023), carried out a study on </w:t>
      </w:r>
      <w:r>
        <w:rPr>
          <w:rFonts w:ascii="Times New Roman" w:eastAsia="Calibri" w:hAnsi="Times New Roman" w:cs="Times New Roman"/>
          <w:sz w:val="22"/>
          <w:szCs w:val="22"/>
        </w:rPr>
        <w:t>d</w:t>
      </w:r>
      <w:r w:rsidRPr="003B6E44">
        <w:rPr>
          <w:rFonts w:ascii="Times New Roman" w:eastAsia="Calibri" w:hAnsi="Times New Roman" w:cs="Times New Roman"/>
          <w:sz w:val="22"/>
          <w:szCs w:val="22"/>
        </w:rPr>
        <w:t xml:space="preserve">omestic debt and the performance of Nigeria’s oil sector. The method of analysis used was a </w:t>
      </w:r>
      <w:r>
        <w:rPr>
          <w:rFonts w:ascii="Times New Roman" w:eastAsia="Calibri" w:hAnsi="Times New Roman" w:cs="Times New Roman"/>
          <w:sz w:val="22"/>
          <w:szCs w:val="22"/>
        </w:rPr>
        <w:t>t</w:t>
      </w:r>
      <w:r w:rsidRPr="003B6E44">
        <w:rPr>
          <w:rFonts w:ascii="Times New Roman" w:eastAsia="Calibri" w:hAnsi="Times New Roman" w:cs="Times New Roman"/>
          <w:sz w:val="22"/>
          <w:szCs w:val="22"/>
        </w:rPr>
        <w:t>ime series analysis using Johansen cointegration. The results revealed that Domestic debt positively impacts oil sector development when complemented by fiscal policies.</w:t>
      </w:r>
    </w:p>
    <w:p w14:paraId="3308FC20"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Oluwaseun and Adebayo (2023) examined the effects of public debt on economic resilience in Sub-Saharan Africa, focusing on Nigeria, Kenya, and Ghana from 2000 to 2022 using panel data regression analysis. Variables included economic resilience index, public debt, government social expenditure, and GDP growth. The findings indicated that high public debt levels hinder economic resilience by reducing fiscal space for social investments and limiting economic growth. </w:t>
      </w:r>
    </w:p>
    <w:p w14:paraId="7ABD2B04" w14:textId="77777777" w:rsidR="00D8206B" w:rsidRPr="003B6E44" w:rsidRDefault="00D8206B" w:rsidP="00D8206B">
      <w:pPr>
        <w:keepNext/>
        <w:keepLines/>
        <w:spacing w:before="240" w:after="0" w:line="276" w:lineRule="auto"/>
        <w:jc w:val="center"/>
        <w:outlineLvl w:val="0"/>
        <w:rPr>
          <w:rFonts w:ascii="Times New Roman" w:eastAsia="Times New Roman" w:hAnsi="Times New Roman" w:cs="Times New Roman"/>
          <w:b/>
          <w:sz w:val="22"/>
          <w:szCs w:val="22"/>
        </w:rPr>
      </w:pPr>
      <w:bookmarkStart w:id="10" w:name="_Toc214835422"/>
      <w:r w:rsidRPr="007E6361">
        <w:rPr>
          <w:rFonts w:ascii="Times New Roman" w:eastAsia="Times New Roman" w:hAnsi="Times New Roman" w:cs="Times New Roman"/>
          <w:b/>
          <w:sz w:val="22"/>
          <w:szCs w:val="22"/>
        </w:rPr>
        <w:t>3.0</w:t>
      </w:r>
      <w:r w:rsidRPr="007E6361">
        <w:rPr>
          <w:rFonts w:ascii="Times New Roman" w:eastAsia="Times New Roman" w:hAnsi="Times New Roman" w:cs="Times New Roman"/>
          <w:b/>
          <w:sz w:val="22"/>
          <w:szCs w:val="22"/>
        </w:rPr>
        <w:tab/>
        <w:t>Methodology</w:t>
      </w:r>
      <w:bookmarkEnd w:id="10"/>
    </w:p>
    <w:p w14:paraId="46283F06" w14:textId="77777777" w:rsidR="00D8206B" w:rsidRPr="003B6E44" w:rsidRDefault="00D8206B" w:rsidP="00D8206B">
      <w:pPr>
        <w:spacing w:after="0" w:line="276" w:lineRule="auto"/>
        <w:contextualSpacing/>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The </w:t>
      </w:r>
      <w:r w:rsidRPr="007E6361">
        <w:rPr>
          <w:rFonts w:ascii="Times New Roman" w:eastAsia="Calibri" w:hAnsi="Times New Roman" w:cs="Times New Roman"/>
          <w:sz w:val="22"/>
          <w:szCs w:val="22"/>
        </w:rPr>
        <w:t xml:space="preserve">ex-post </w:t>
      </w:r>
      <w:r w:rsidRPr="003B6E44">
        <w:rPr>
          <w:rFonts w:ascii="Times New Roman" w:eastAsia="Calibri" w:hAnsi="Times New Roman" w:cs="Times New Roman"/>
          <w:sz w:val="22"/>
          <w:szCs w:val="22"/>
        </w:rPr>
        <w:t xml:space="preserve">facto research design was used in this study. Ex post-facto literally means “from what has already been achieved.” It is a study design that is used to assess the causal relationship between variables of interest. This research design is suitable for this research because it will aid in the achievement of the study's specific objectives, which are to investigate the causal relationship between public debt and </w:t>
      </w:r>
      <w:r w:rsidRPr="007E6361">
        <w:rPr>
          <w:rFonts w:ascii="Times New Roman" w:eastAsia="Calibri" w:hAnsi="Times New Roman" w:cs="Times New Roman"/>
          <w:sz w:val="22"/>
          <w:szCs w:val="22"/>
        </w:rPr>
        <w:t xml:space="preserve">agricultural sector performance </w:t>
      </w:r>
      <w:r w:rsidRPr="003B6E44">
        <w:rPr>
          <w:rFonts w:ascii="Times New Roman" w:eastAsia="Calibri" w:hAnsi="Times New Roman" w:cs="Times New Roman"/>
          <w:sz w:val="22"/>
          <w:szCs w:val="22"/>
        </w:rPr>
        <w:t xml:space="preserve">in Nigeria; and the information used in the evaluation were obtained from secondary sources. Another reason to use ex post facto research design is that it requires the collection and analysis of time series data, which can be used to describe past trends, explain current events, and forecast future events. </w:t>
      </w:r>
      <w:r w:rsidRPr="003B6E44">
        <w:rPr>
          <w:rFonts w:ascii="Times New Roman" w:eastAsia="Calibri" w:hAnsi="Times New Roman" w:cs="Times New Roman"/>
          <w:color w:val="000000"/>
          <w:sz w:val="22"/>
          <w:szCs w:val="22"/>
        </w:rPr>
        <w:t xml:space="preserve">The study used annual secondary data covering the period of 1990 to 2023. This period is chosen </w:t>
      </w:r>
      <w:r w:rsidRPr="003B6E44">
        <w:rPr>
          <w:rFonts w:ascii="Times New Roman" w:eastAsia="Calibri" w:hAnsi="Times New Roman" w:cs="Times New Roman"/>
          <w:color w:val="000000"/>
          <w:sz w:val="22"/>
          <w:szCs w:val="22"/>
        </w:rPr>
        <w:lastRenderedPageBreak/>
        <w:t>to capture the trends and impacts of public debt over a significant timeline, which includes various economic cycles and policy regimes in Nigeria. The data w</w:t>
      </w:r>
      <w:r w:rsidRPr="007E6361">
        <w:rPr>
          <w:rFonts w:ascii="Times New Roman" w:eastAsia="Calibri" w:hAnsi="Times New Roman" w:cs="Times New Roman"/>
          <w:color w:val="000000"/>
          <w:sz w:val="22"/>
          <w:szCs w:val="22"/>
        </w:rPr>
        <w:t>ere</w:t>
      </w:r>
      <w:r w:rsidRPr="003B6E44">
        <w:rPr>
          <w:rFonts w:ascii="Times New Roman" w:eastAsia="Calibri" w:hAnsi="Times New Roman" w:cs="Times New Roman"/>
          <w:color w:val="000000"/>
          <w:sz w:val="22"/>
          <w:szCs w:val="22"/>
        </w:rPr>
        <w:t xml:space="preserve"> source</w:t>
      </w:r>
      <w:r w:rsidRPr="007E6361">
        <w:rPr>
          <w:rFonts w:ascii="Times New Roman" w:eastAsia="Calibri" w:hAnsi="Times New Roman" w:cs="Times New Roman"/>
          <w:color w:val="000000"/>
          <w:sz w:val="22"/>
          <w:szCs w:val="22"/>
        </w:rPr>
        <w:t>d</w:t>
      </w:r>
      <w:r w:rsidRPr="003B6E44">
        <w:rPr>
          <w:rFonts w:ascii="Times New Roman" w:eastAsia="Calibri" w:hAnsi="Times New Roman" w:cs="Times New Roman"/>
          <w:color w:val="000000"/>
          <w:sz w:val="22"/>
          <w:szCs w:val="22"/>
        </w:rPr>
        <w:t xml:space="preserve"> </w:t>
      </w:r>
      <w:r w:rsidRPr="003B6E44">
        <w:rPr>
          <w:rFonts w:ascii="Times New Roman" w:eastAsia="Calibri" w:hAnsi="Times New Roman" w:cs="Times New Roman"/>
          <w:sz w:val="22"/>
          <w:szCs w:val="22"/>
        </w:rPr>
        <w:t>from the Central Bank of Nigeria (CBN) statistics Bulletin, National Bureau of Statistics (NBS), and an online service from - data.worldbank.org/indicators. The econometric technique was used in this work to estimate the connection between the variables.</w:t>
      </w:r>
      <w:r w:rsidRPr="003B6E44">
        <w:rPr>
          <w:rFonts w:ascii="Times New Roman" w:eastAsia="Times New Roman" w:hAnsi="Times New Roman" w:cs="Times New Roman"/>
          <w:sz w:val="22"/>
          <w:szCs w:val="22"/>
        </w:rPr>
        <w:t xml:space="preserve"> </w:t>
      </w:r>
      <w:r w:rsidRPr="003B6E44">
        <w:rPr>
          <w:rFonts w:ascii="Times New Roman" w:eastAsia="Calibri" w:hAnsi="Times New Roman" w:cs="Times New Roman"/>
          <w:sz w:val="22"/>
          <w:szCs w:val="22"/>
        </w:rPr>
        <w:t xml:space="preserve">This study employed unit root test, cointegration and Autoregressive Distributed Lag (ARDL) to estimate the effect of the explanatory variables on the dependent variable. The models for this study were derived from the review of related literature on public debt and </w:t>
      </w:r>
      <w:r w:rsidRPr="007E6361">
        <w:rPr>
          <w:rFonts w:ascii="Times New Roman" w:eastAsia="Calibri" w:hAnsi="Times New Roman" w:cs="Times New Roman"/>
          <w:sz w:val="22"/>
          <w:szCs w:val="22"/>
        </w:rPr>
        <w:t>economic</w:t>
      </w:r>
      <w:r w:rsidRPr="003B6E44">
        <w:rPr>
          <w:rFonts w:ascii="Times New Roman" w:eastAsia="Calibri" w:hAnsi="Times New Roman" w:cs="Times New Roman"/>
          <w:sz w:val="22"/>
          <w:szCs w:val="22"/>
        </w:rPr>
        <w:t xml:space="preserve"> performance. </w:t>
      </w:r>
    </w:p>
    <w:p w14:paraId="1106ABB7" w14:textId="77777777" w:rsidR="00D8206B" w:rsidRPr="003B6E44" w:rsidRDefault="00D8206B" w:rsidP="00D8206B">
      <w:pPr>
        <w:spacing w:after="0" w:line="276" w:lineRule="auto"/>
        <w:rPr>
          <w:rFonts w:ascii="Times New Roman" w:eastAsia="Calibri" w:hAnsi="Times New Roman" w:cs="Times New Roman"/>
          <w:sz w:val="22"/>
          <w:szCs w:val="22"/>
        </w:rPr>
      </w:pPr>
      <w:r w:rsidRPr="003B6E44">
        <w:rPr>
          <w:rFonts w:ascii="Times New Roman" w:eastAsia="Calibri" w:hAnsi="Times New Roman" w:cs="Times New Roman"/>
          <w:i/>
          <w:sz w:val="22"/>
          <w:szCs w:val="22"/>
        </w:rPr>
        <w:t xml:space="preserve">AGDP </w:t>
      </w:r>
      <w:r w:rsidRPr="003B6E44">
        <w:rPr>
          <w:rFonts w:ascii="Times New Roman" w:eastAsia="Calibri" w:hAnsi="Times New Roman" w:cs="Times New Roman"/>
          <w:sz w:val="22"/>
          <w:szCs w:val="22"/>
        </w:rPr>
        <w:t xml:space="preserve">=   </w:t>
      </w:r>
      <w:r w:rsidRPr="003B6E44">
        <w:rPr>
          <w:rFonts w:ascii="Times New Roman" w:eastAsia="Calibri" w:hAnsi="Times New Roman" w:cs="Times New Roman"/>
          <w:i/>
          <w:sz w:val="22"/>
          <w:szCs w:val="22"/>
        </w:rPr>
        <w:t xml:space="preserve">f </w:t>
      </w:r>
      <w:r w:rsidRPr="003B6E44">
        <w:rPr>
          <w:rFonts w:ascii="Times New Roman" w:eastAsia="Calibri" w:hAnsi="Times New Roman" w:cs="Times New Roman"/>
          <w:sz w:val="22"/>
          <w:szCs w:val="22"/>
        </w:rPr>
        <w:t>(</w:t>
      </w:r>
      <w:r w:rsidRPr="003B6E44">
        <w:rPr>
          <w:rFonts w:ascii="Times New Roman" w:eastAsia="Calibri" w:hAnsi="Times New Roman" w:cs="Times New Roman"/>
          <w:i/>
          <w:sz w:val="22"/>
          <w:szCs w:val="22"/>
        </w:rPr>
        <w:t xml:space="preserve">DD, ED, </w:t>
      </w:r>
      <w:proofErr w:type="gramStart"/>
      <w:r w:rsidRPr="003B6E44">
        <w:rPr>
          <w:rFonts w:ascii="Times New Roman" w:eastAsia="Calibri" w:hAnsi="Times New Roman" w:cs="Times New Roman"/>
          <w:i/>
          <w:sz w:val="22"/>
          <w:szCs w:val="22"/>
        </w:rPr>
        <w:t>DGDP</w:t>
      </w:r>
      <w:r w:rsidRPr="003B6E44">
        <w:rPr>
          <w:rFonts w:ascii="Times New Roman" w:eastAsia="Calibri" w:hAnsi="Times New Roman" w:cs="Times New Roman"/>
          <w:sz w:val="22"/>
          <w:szCs w:val="22"/>
        </w:rPr>
        <w:t xml:space="preserve">)   </w:t>
      </w:r>
      <w:proofErr w:type="gramEnd"/>
      <w:r w:rsidRPr="003B6E44">
        <w:rPr>
          <w:rFonts w:ascii="Times New Roman" w:eastAsia="Calibri" w:hAnsi="Times New Roman" w:cs="Times New Roman"/>
          <w:sz w:val="22"/>
          <w:szCs w:val="22"/>
        </w:rPr>
        <w:t xml:space="preserve">                                                      </w:t>
      </w:r>
      <w:r w:rsidRPr="007E6361">
        <w:rPr>
          <w:rFonts w:ascii="Times New Roman" w:eastAsia="Calibri" w:hAnsi="Times New Roman" w:cs="Times New Roman"/>
          <w:sz w:val="22"/>
          <w:szCs w:val="22"/>
        </w:rPr>
        <w:tab/>
      </w:r>
      <w:r w:rsidRPr="007E6361">
        <w:rPr>
          <w:rFonts w:ascii="Times New Roman" w:eastAsia="Calibri" w:hAnsi="Times New Roman" w:cs="Times New Roman"/>
          <w:sz w:val="22"/>
          <w:szCs w:val="22"/>
        </w:rPr>
        <w:tab/>
      </w:r>
      <w:r w:rsidRPr="007E6361">
        <w:rPr>
          <w:rFonts w:ascii="Times New Roman" w:eastAsia="Calibri" w:hAnsi="Times New Roman" w:cs="Times New Roman"/>
          <w:sz w:val="22"/>
          <w:szCs w:val="22"/>
        </w:rPr>
        <w:tab/>
      </w:r>
      <w:r w:rsidRPr="003B6E44">
        <w:rPr>
          <w:rFonts w:ascii="Times New Roman" w:eastAsia="Calibri" w:hAnsi="Times New Roman" w:cs="Times New Roman"/>
          <w:sz w:val="22"/>
          <w:szCs w:val="22"/>
        </w:rPr>
        <w:t xml:space="preserve"> </w:t>
      </w:r>
      <w:proofErr w:type="gramStart"/>
      <w:r w:rsidRPr="003B6E44">
        <w:rPr>
          <w:rFonts w:ascii="Times New Roman" w:eastAsia="Calibri" w:hAnsi="Times New Roman" w:cs="Times New Roman"/>
          <w:sz w:val="22"/>
          <w:szCs w:val="22"/>
        </w:rPr>
        <w:t xml:space="preserve">   (</w:t>
      </w:r>
      <w:proofErr w:type="gramEnd"/>
      <w:r w:rsidRPr="003B6E44">
        <w:rPr>
          <w:rFonts w:ascii="Times New Roman" w:eastAsia="Calibri" w:hAnsi="Times New Roman" w:cs="Times New Roman"/>
          <w:sz w:val="22"/>
          <w:szCs w:val="22"/>
        </w:rPr>
        <w:t>3.</w:t>
      </w:r>
      <w:r w:rsidRPr="007E6361">
        <w:rPr>
          <w:rFonts w:ascii="Times New Roman" w:eastAsia="Calibri" w:hAnsi="Times New Roman" w:cs="Times New Roman"/>
          <w:sz w:val="22"/>
          <w:szCs w:val="22"/>
        </w:rPr>
        <w:t>1</w:t>
      </w:r>
      <w:r w:rsidRPr="003B6E44">
        <w:rPr>
          <w:rFonts w:ascii="Times New Roman" w:eastAsia="Calibri" w:hAnsi="Times New Roman" w:cs="Times New Roman"/>
          <w:sz w:val="22"/>
          <w:szCs w:val="22"/>
        </w:rPr>
        <w:t>)</w:t>
      </w:r>
    </w:p>
    <w:p w14:paraId="47F6397C" w14:textId="77777777" w:rsidR="00D8206B" w:rsidRPr="007E6361" w:rsidRDefault="00D8206B" w:rsidP="00D8206B">
      <w:pPr>
        <w:spacing w:line="276" w:lineRule="auto"/>
        <w:rPr>
          <w:rFonts w:ascii="Times New Roman" w:eastAsia="Calibri" w:hAnsi="Times New Roman" w:cs="Times New Roman"/>
          <w:color w:val="000000"/>
          <w:sz w:val="22"/>
          <w:szCs w:val="22"/>
        </w:rPr>
      </w:pPr>
      <m:oMath>
        <m:r>
          <w:rPr>
            <w:rFonts w:ascii="Cambria Math" w:eastAsia="Calibri" w:hAnsi="Cambria Math" w:cs="Times New Roman"/>
            <w:sz w:val="22"/>
            <w:szCs w:val="22"/>
          </w:rPr>
          <m:t>ASGDP=</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β</m:t>
            </m:r>
          </m:e>
          <m:sub>
            <m:r>
              <w:rPr>
                <w:rFonts w:ascii="Cambria Math" w:eastAsia="Calibri" w:hAnsi="Cambria Math" w:cs="Times New Roman"/>
                <w:sz w:val="22"/>
                <w:szCs w:val="22"/>
              </w:rPr>
              <m:t>0</m:t>
            </m:r>
          </m:sub>
        </m:sSub>
        <m:r>
          <w:rPr>
            <w:rFonts w:ascii="Cambria Math" w:eastAsia="Calibri" w:hAnsi="Cambria Math" w:cs="Times New Roman"/>
            <w:sz w:val="22"/>
            <w:szCs w:val="22"/>
          </w:rPr>
          <m:t>+</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β</m:t>
            </m:r>
          </m:e>
          <m:sub>
            <m:r>
              <w:rPr>
                <w:rFonts w:ascii="Cambria Math" w:eastAsia="Calibri" w:hAnsi="Cambria Math" w:cs="Times New Roman"/>
                <w:sz w:val="22"/>
                <w:szCs w:val="22"/>
              </w:rPr>
              <m:t>1</m:t>
            </m:r>
          </m:sub>
        </m:sSub>
        <m:r>
          <w:rPr>
            <w:rFonts w:ascii="Cambria Math" w:eastAsia="Calibri" w:hAnsi="Cambria Math" w:cs="Times New Roman"/>
            <w:sz w:val="22"/>
            <w:szCs w:val="22"/>
          </w:rPr>
          <m:t>DD+</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β</m:t>
            </m:r>
          </m:e>
          <m:sub>
            <m:r>
              <w:rPr>
                <w:rFonts w:ascii="Cambria Math" w:eastAsia="Calibri" w:hAnsi="Cambria Math" w:cs="Times New Roman"/>
                <w:sz w:val="22"/>
                <w:szCs w:val="22"/>
              </w:rPr>
              <m:t>2</m:t>
            </m:r>
          </m:sub>
        </m:sSub>
        <m:r>
          <w:rPr>
            <w:rFonts w:ascii="Cambria Math" w:eastAsia="Calibri" w:hAnsi="Cambria Math" w:cs="Times New Roman"/>
            <w:sz w:val="22"/>
            <w:szCs w:val="22"/>
          </w:rPr>
          <m:t>ED+</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β</m:t>
            </m:r>
          </m:e>
          <m:sub>
            <m:r>
              <w:rPr>
                <w:rFonts w:ascii="Cambria Math" w:eastAsia="Calibri" w:hAnsi="Cambria Math" w:cs="Times New Roman"/>
                <w:sz w:val="22"/>
                <w:szCs w:val="22"/>
              </w:rPr>
              <m:t>3</m:t>
            </m:r>
          </m:sub>
        </m:sSub>
        <m:r>
          <w:rPr>
            <w:rFonts w:ascii="Cambria Math" w:eastAsia="Calibri" w:hAnsi="Cambria Math" w:cs="Times New Roman"/>
            <w:sz w:val="22"/>
            <w:szCs w:val="22"/>
          </w:rPr>
          <m:t>DGDP+U</m:t>
        </m:r>
      </m:oMath>
      <w:r w:rsidRPr="003B6E44">
        <w:rPr>
          <w:rFonts w:ascii="Times New Roman" w:eastAsia="Calibri" w:hAnsi="Times New Roman" w:cs="Times New Roman"/>
          <w:sz w:val="22"/>
          <w:szCs w:val="22"/>
        </w:rPr>
        <w:t xml:space="preserve">                      </w:t>
      </w:r>
      <w:r w:rsidRPr="007E6361">
        <w:rPr>
          <w:rFonts w:ascii="Times New Roman" w:eastAsia="Calibri" w:hAnsi="Times New Roman" w:cs="Times New Roman"/>
          <w:sz w:val="22"/>
          <w:szCs w:val="22"/>
        </w:rPr>
        <w:tab/>
      </w:r>
      <w:r w:rsidRPr="007E6361">
        <w:rPr>
          <w:rFonts w:ascii="Times New Roman" w:eastAsia="Calibri" w:hAnsi="Times New Roman" w:cs="Times New Roman"/>
          <w:sz w:val="22"/>
          <w:szCs w:val="22"/>
        </w:rPr>
        <w:tab/>
      </w:r>
      <w:r w:rsidRPr="007E6361">
        <w:rPr>
          <w:rFonts w:ascii="Times New Roman" w:eastAsia="Calibri" w:hAnsi="Times New Roman" w:cs="Times New Roman"/>
          <w:sz w:val="22"/>
          <w:szCs w:val="22"/>
        </w:rPr>
        <w:tab/>
        <w:t xml:space="preserve">    </w:t>
      </w:r>
      <w:r w:rsidRPr="003B6E44">
        <w:rPr>
          <w:rFonts w:ascii="Times New Roman" w:eastAsia="Calibri" w:hAnsi="Times New Roman" w:cs="Times New Roman"/>
          <w:sz w:val="22"/>
          <w:szCs w:val="22"/>
        </w:rPr>
        <w:t>(3.</w:t>
      </w:r>
      <w:r w:rsidRPr="007E6361">
        <w:rPr>
          <w:rFonts w:ascii="Times New Roman" w:eastAsia="Calibri" w:hAnsi="Times New Roman" w:cs="Times New Roman"/>
          <w:sz w:val="22"/>
          <w:szCs w:val="22"/>
        </w:rPr>
        <w:t>2</w:t>
      </w:r>
      <w:r w:rsidRPr="003B6E44">
        <w:rPr>
          <w:rFonts w:ascii="Times New Roman" w:eastAsia="Calibri" w:hAnsi="Times New Roman" w:cs="Times New Roman"/>
          <w:sz w:val="22"/>
          <w:szCs w:val="22"/>
        </w:rPr>
        <w:t>)</w:t>
      </w:r>
    </w:p>
    <w:p w14:paraId="4C08381E" w14:textId="77777777" w:rsidR="00D8206B" w:rsidRPr="003B6E44" w:rsidRDefault="00D8206B" w:rsidP="00D8206B">
      <w:pPr>
        <w:autoSpaceDE w:val="0"/>
        <w:autoSpaceDN w:val="0"/>
        <w:adjustRightInd w:val="0"/>
        <w:spacing w:after="200" w:line="276" w:lineRule="auto"/>
        <w:jc w:val="both"/>
        <w:rPr>
          <w:rFonts w:ascii="Times New Roman" w:eastAsia="Calibri" w:hAnsi="Times New Roman" w:cs="Times New Roman"/>
          <w:kern w:val="0"/>
          <w:sz w:val="22"/>
          <w:szCs w:val="22"/>
          <w14:ligatures w14:val="none"/>
        </w:rPr>
      </w:pPr>
      <w:r w:rsidRPr="003B6E44">
        <w:rPr>
          <w:rFonts w:ascii="Times New Roman" w:eastAsia="Calibri" w:hAnsi="Times New Roman" w:cs="Times New Roman"/>
          <w:kern w:val="0"/>
          <w:sz w:val="22"/>
          <w:szCs w:val="22"/>
          <w14:ligatures w14:val="none"/>
        </w:rPr>
        <w:t>The Autoregressive Distributed Lag (ARDL) Model (Bound Test Approach) for the model is specified as follows:</w:t>
      </w:r>
    </w:p>
    <w:p w14:paraId="725DAA37" w14:textId="77777777" w:rsidR="00D8206B" w:rsidRPr="003B6E44" w:rsidRDefault="00D8206B" w:rsidP="00D8206B">
      <w:pPr>
        <w:spacing w:after="0" w:line="276" w:lineRule="auto"/>
        <w:jc w:val="both"/>
        <w:rPr>
          <w:rFonts w:ascii="Times New Roman" w:eastAsia="Calibri" w:hAnsi="Times New Roman" w:cs="Times New Roman"/>
          <w:position w:val="-8"/>
          <w:sz w:val="22"/>
          <w:szCs w:val="22"/>
        </w:rPr>
      </w:pP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AGDP)</w:t>
      </w:r>
      <w:r w:rsidRPr="003B6E44">
        <w:rPr>
          <w:rFonts w:ascii="Times New Roman" w:eastAsia="Calibri" w:hAnsi="Times New Roman" w:cs="Times New Roman"/>
          <w:i/>
          <w:iCs/>
          <w:position w:val="-8"/>
          <w:sz w:val="22"/>
          <w:szCs w:val="22"/>
          <w:vertAlign w:val="subscript"/>
        </w:rPr>
        <w:t xml:space="preserve">t </w:t>
      </w:r>
      <w:r w:rsidRPr="003B6E44">
        <w:rPr>
          <w:rFonts w:ascii="Times New Roman" w:eastAsia="Calibri" w:hAnsi="Times New Roman" w:cs="Times New Roman"/>
          <w:i/>
          <w:iCs/>
          <w:sz w:val="22"/>
          <w:szCs w:val="22"/>
        </w:rPr>
        <w:t>= β</w:t>
      </w:r>
      <w:r w:rsidRPr="003B6E44">
        <w:rPr>
          <w:rFonts w:ascii="Times New Roman" w:eastAsia="SimSun" w:hAnsi="Times New Roman" w:cs="Times New Roman"/>
          <w:bCs/>
          <w:i/>
          <w:iCs/>
          <w:sz w:val="22"/>
          <w:szCs w:val="22"/>
          <w:vertAlign w:val="subscript"/>
        </w:rPr>
        <w:t>0</w:t>
      </w:r>
      <w:r w:rsidRPr="003B6E44">
        <w:rPr>
          <w:rFonts w:ascii="Times New Roman" w:eastAsia="Calibri" w:hAnsi="Times New Roman" w:cs="Times New Roman"/>
          <w:i/>
          <w:iCs/>
          <w:sz w:val="22"/>
          <w:szCs w:val="22"/>
        </w:rPr>
        <w:t>+ ∆</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AGDP)</w:t>
      </w:r>
      <w:r w:rsidRPr="003B6E44">
        <w:rPr>
          <w:rFonts w:ascii="Times New Roman" w:eastAsia="Calibri" w:hAnsi="Times New Roman" w:cs="Times New Roman"/>
          <w:i/>
          <w:iCs/>
          <w:position w:val="-8"/>
          <w:sz w:val="22"/>
          <w:szCs w:val="22"/>
          <w:vertAlign w:val="subscript"/>
        </w:rPr>
        <w:t>t-1</w:t>
      </w:r>
      <w:r w:rsidRPr="003B6E44">
        <w:rPr>
          <w:rFonts w:ascii="Times New Roman" w:eastAsia="Calibri" w:hAnsi="Times New Roman" w:cs="Times New Roman"/>
          <w:i/>
          <w:iCs/>
          <w:sz w:val="22"/>
          <w:szCs w:val="22"/>
        </w:rPr>
        <w:t xml:space="preserve"> + Σ</w:t>
      </w:r>
      <w:r w:rsidRPr="003B6E44">
        <w:rPr>
          <w:rFonts w:ascii="Times New Roman" w:eastAsia="SimSun" w:hAnsi="Times New Roman" w:cs="Times New Roman"/>
          <w:bCs/>
          <w:i/>
          <w:iCs/>
          <w:sz w:val="22"/>
          <w:szCs w:val="22"/>
        </w:rPr>
        <w:t xml:space="preserve"> </w:t>
      </w:r>
      <w:r w:rsidRPr="003B6E44">
        <w:rPr>
          <w:rFonts w:ascii="Times New Roman" w:eastAsia="Calibri" w:hAnsi="Times New Roman" w:cs="Times New Roman"/>
          <w:i/>
          <w:iCs/>
          <w:sz w:val="22"/>
          <w:szCs w:val="22"/>
        </w:rPr>
        <w:t>β</w:t>
      </w:r>
      <w:r w:rsidRPr="003B6E44">
        <w:rPr>
          <w:rFonts w:ascii="Times New Roman" w:eastAsia="Calibri" w:hAnsi="Times New Roman" w:cs="Times New Roman"/>
          <w:i/>
          <w:iCs/>
          <w:position w:val="-8"/>
          <w:sz w:val="22"/>
          <w:szCs w:val="22"/>
          <w:vertAlign w:val="subscript"/>
        </w:rPr>
        <w:t>1t</w:t>
      </w: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DD)</w:t>
      </w:r>
      <w:r w:rsidRPr="003B6E44">
        <w:rPr>
          <w:rFonts w:ascii="Times New Roman" w:eastAsia="Calibri" w:hAnsi="Times New Roman" w:cs="Times New Roman"/>
          <w:i/>
          <w:iCs/>
          <w:position w:val="-8"/>
          <w:sz w:val="22"/>
          <w:szCs w:val="22"/>
          <w:vertAlign w:val="subscript"/>
        </w:rPr>
        <w:t xml:space="preserve">t-1 </w:t>
      </w:r>
      <w:r w:rsidRPr="003B6E44">
        <w:rPr>
          <w:rFonts w:ascii="Times New Roman" w:eastAsia="Calibri" w:hAnsi="Times New Roman" w:cs="Times New Roman"/>
          <w:i/>
          <w:iCs/>
          <w:sz w:val="22"/>
          <w:szCs w:val="22"/>
        </w:rPr>
        <w:t>+ Σ</w:t>
      </w:r>
      <w:r w:rsidRPr="003B6E44">
        <w:rPr>
          <w:rFonts w:ascii="Times New Roman" w:eastAsia="SimSun" w:hAnsi="Times New Roman" w:cs="Times New Roman"/>
          <w:bCs/>
          <w:i/>
          <w:iCs/>
          <w:sz w:val="22"/>
          <w:szCs w:val="22"/>
        </w:rPr>
        <w:t xml:space="preserve"> </w:t>
      </w:r>
      <w:r w:rsidRPr="003B6E44">
        <w:rPr>
          <w:rFonts w:ascii="Times New Roman" w:eastAsia="Calibri" w:hAnsi="Times New Roman" w:cs="Times New Roman"/>
          <w:i/>
          <w:iCs/>
          <w:sz w:val="22"/>
          <w:szCs w:val="22"/>
        </w:rPr>
        <w:t>β</w:t>
      </w:r>
      <w:r w:rsidRPr="003B6E44">
        <w:rPr>
          <w:rFonts w:ascii="Times New Roman" w:eastAsia="Calibri" w:hAnsi="Times New Roman" w:cs="Times New Roman"/>
          <w:i/>
          <w:iCs/>
          <w:position w:val="-8"/>
          <w:sz w:val="22"/>
          <w:szCs w:val="22"/>
          <w:vertAlign w:val="subscript"/>
        </w:rPr>
        <w:t>2t</w:t>
      </w: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ED)</w:t>
      </w:r>
      <w:r w:rsidRPr="003B6E44">
        <w:rPr>
          <w:rFonts w:ascii="Times New Roman" w:eastAsia="Calibri" w:hAnsi="Times New Roman" w:cs="Times New Roman"/>
          <w:i/>
          <w:iCs/>
          <w:position w:val="-8"/>
          <w:sz w:val="22"/>
          <w:szCs w:val="22"/>
          <w:vertAlign w:val="subscript"/>
        </w:rPr>
        <w:t xml:space="preserve">t-1 </w:t>
      </w:r>
      <w:r w:rsidRPr="003B6E44">
        <w:rPr>
          <w:rFonts w:ascii="Times New Roman" w:eastAsia="Calibri" w:hAnsi="Times New Roman" w:cs="Times New Roman"/>
          <w:i/>
          <w:iCs/>
          <w:sz w:val="22"/>
          <w:szCs w:val="22"/>
        </w:rPr>
        <w:t>+ Σ</w:t>
      </w:r>
      <w:r w:rsidRPr="003B6E44">
        <w:rPr>
          <w:rFonts w:ascii="Times New Roman" w:eastAsia="SimSun" w:hAnsi="Times New Roman" w:cs="Times New Roman"/>
          <w:bCs/>
          <w:i/>
          <w:iCs/>
          <w:sz w:val="22"/>
          <w:szCs w:val="22"/>
        </w:rPr>
        <w:t xml:space="preserve"> </w:t>
      </w:r>
      <w:r w:rsidRPr="003B6E44">
        <w:rPr>
          <w:rFonts w:ascii="Times New Roman" w:eastAsia="Calibri" w:hAnsi="Times New Roman" w:cs="Times New Roman"/>
          <w:i/>
          <w:iCs/>
          <w:sz w:val="22"/>
          <w:szCs w:val="22"/>
        </w:rPr>
        <w:t>β</w:t>
      </w:r>
      <w:r w:rsidRPr="003B6E44">
        <w:rPr>
          <w:rFonts w:ascii="Times New Roman" w:eastAsia="Calibri" w:hAnsi="Times New Roman" w:cs="Times New Roman"/>
          <w:i/>
          <w:iCs/>
          <w:position w:val="-8"/>
          <w:sz w:val="22"/>
          <w:szCs w:val="22"/>
          <w:vertAlign w:val="subscript"/>
        </w:rPr>
        <w:t>3t</w:t>
      </w: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DGDP)</w:t>
      </w:r>
      <w:r w:rsidRPr="003B6E44">
        <w:rPr>
          <w:rFonts w:ascii="Times New Roman" w:eastAsia="Calibri" w:hAnsi="Times New Roman" w:cs="Times New Roman"/>
          <w:i/>
          <w:iCs/>
          <w:position w:val="-8"/>
          <w:sz w:val="22"/>
          <w:szCs w:val="22"/>
          <w:vertAlign w:val="subscript"/>
        </w:rPr>
        <w:t xml:space="preserve">t-1 </w:t>
      </w:r>
      <w:r w:rsidRPr="003B6E44">
        <w:rPr>
          <w:rFonts w:ascii="Times New Roman" w:eastAsia="Calibri" w:hAnsi="Times New Roman" w:cs="Times New Roman"/>
          <w:i/>
          <w:iCs/>
          <w:sz w:val="22"/>
          <w:szCs w:val="22"/>
        </w:rPr>
        <w:t>+ U</w:t>
      </w:r>
      <w:r w:rsidRPr="003B6E44">
        <w:rPr>
          <w:rFonts w:ascii="Times New Roman" w:eastAsia="Calibri" w:hAnsi="Times New Roman" w:cs="Times New Roman"/>
          <w:i/>
          <w:iCs/>
          <w:position w:val="-8"/>
          <w:sz w:val="22"/>
          <w:szCs w:val="22"/>
          <w:vertAlign w:val="subscript"/>
        </w:rPr>
        <w:t xml:space="preserve">t           </w:t>
      </w:r>
      <w:r w:rsidRPr="003B6E44">
        <w:rPr>
          <w:rFonts w:ascii="Times New Roman" w:eastAsia="Calibri" w:hAnsi="Times New Roman" w:cs="Times New Roman"/>
          <w:i/>
          <w:iCs/>
          <w:position w:val="-8"/>
          <w:sz w:val="22"/>
          <w:szCs w:val="22"/>
          <w:vertAlign w:val="subscript"/>
        </w:rPr>
        <w:tab/>
      </w:r>
      <w:r w:rsidRPr="003B6E44">
        <w:rPr>
          <w:rFonts w:ascii="Times New Roman" w:eastAsia="Calibri" w:hAnsi="Times New Roman" w:cs="Times New Roman"/>
          <w:position w:val="-8"/>
          <w:sz w:val="22"/>
          <w:szCs w:val="22"/>
          <w:vertAlign w:val="subscript"/>
        </w:rPr>
        <w:t xml:space="preserve"> </w:t>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vertAlign w:val="subscript"/>
        </w:rPr>
        <w:tab/>
      </w:r>
      <w:r w:rsidRPr="003B6E44">
        <w:rPr>
          <w:rFonts w:ascii="Times New Roman" w:eastAsia="Calibri" w:hAnsi="Times New Roman" w:cs="Times New Roman"/>
          <w:position w:val="-8"/>
          <w:sz w:val="22"/>
          <w:szCs w:val="22"/>
        </w:rPr>
        <w:t>(3.</w:t>
      </w:r>
      <w:r w:rsidRPr="007E6361">
        <w:rPr>
          <w:rFonts w:ascii="Times New Roman" w:eastAsia="Calibri" w:hAnsi="Times New Roman" w:cs="Times New Roman"/>
          <w:position w:val="-8"/>
          <w:sz w:val="22"/>
          <w:szCs w:val="22"/>
        </w:rPr>
        <w:t>3</w:t>
      </w:r>
      <w:r w:rsidRPr="003B6E44">
        <w:rPr>
          <w:rFonts w:ascii="Times New Roman" w:eastAsia="Calibri" w:hAnsi="Times New Roman" w:cs="Times New Roman"/>
          <w:position w:val="-8"/>
          <w:sz w:val="22"/>
          <w:szCs w:val="22"/>
        </w:rPr>
        <w:t>)</w:t>
      </w:r>
    </w:p>
    <w:p w14:paraId="0E57FF96" w14:textId="77777777" w:rsidR="00D8206B" w:rsidRPr="003B6E44" w:rsidRDefault="00D8206B" w:rsidP="00D8206B">
      <w:pPr>
        <w:autoSpaceDE w:val="0"/>
        <w:autoSpaceDN w:val="0"/>
        <w:adjustRightInd w:val="0"/>
        <w:spacing w:after="200" w:line="276" w:lineRule="auto"/>
        <w:jc w:val="both"/>
        <w:rPr>
          <w:rFonts w:ascii="Times New Roman" w:eastAsia="Calibri" w:hAnsi="Times New Roman" w:cs="Times New Roman"/>
          <w:kern w:val="0"/>
          <w:sz w:val="22"/>
          <w:szCs w:val="22"/>
          <w14:ligatures w14:val="none"/>
        </w:rPr>
      </w:pPr>
      <w:r w:rsidRPr="003B6E44">
        <w:rPr>
          <w:rFonts w:ascii="Times New Roman" w:eastAsia="Calibri" w:hAnsi="Times New Roman" w:cs="Times New Roman"/>
          <w:kern w:val="0"/>
          <w:sz w:val="22"/>
          <w:szCs w:val="22"/>
          <w14:ligatures w14:val="none"/>
        </w:rPr>
        <w:t xml:space="preserve">Where; </w:t>
      </w:r>
      <w:r w:rsidRPr="003B6E44">
        <w:rPr>
          <w:rFonts w:ascii="Times New Roman" w:eastAsia="SimSun" w:hAnsi="Times New Roman" w:cs="Times New Roman"/>
          <w:bCs/>
          <w:sz w:val="22"/>
          <w:szCs w:val="22"/>
        </w:rPr>
        <w:t>β</w:t>
      </w:r>
      <w:r w:rsidRPr="003B6E44">
        <w:rPr>
          <w:rFonts w:ascii="Times New Roman" w:eastAsia="SimSun" w:hAnsi="Times New Roman" w:cs="Times New Roman"/>
          <w:bCs/>
          <w:sz w:val="22"/>
          <w:szCs w:val="22"/>
          <w:vertAlign w:val="subscript"/>
        </w:rPr>
        <w:t xml:space="preserve">0 </w:t>
      </w:r>
      <w:r w:rsidRPr="003B6E44">
        <w:rPr>
          <w:rFonts w:ascii="Times New Roman" w:eastAsia="Calibri" w:hAnsi="Times New Roman" w:cs="Times New Roman"/>
          <w:sz w:val="22"/>
          <w:szCs w:val="22"/>
        </w:rPr>
        <w:t>is the</w:t>
      </w:r>
      <w:r w:rsidRPr="003B6E44">
        <w:rPr>
          <w:rFonts w:ascii="Times New Roman" w:eastAsia="SimSun" w:hAnsi="Times New Roman" w:cs="Times New Roman"/>
          <w:bCs/>
          <w:sz w:val="22"/>
          <w:szCs w:val="22"/>
        </w:rPr>
        <w:t xml:space="preserve"> constant terms, ASGDP</w:t>
      </w:r>
      <w:r w:rsidRPr="007E6361">
        <w:rPr>
          <w:rFonts w:ascii="Times New Roman" w:eastAsia="SimSun" w:hAnsi="Times New Roman" w:cs="Times New Roman"/>
          <w:bCs/>
          <w:sz w:val="22"/>
          <w:szCs w:val="22"/>
        </w:rPr>
        <w:t xml:space="preserve"> means agricultural sector output</w:t>
      </w:r>
      <w:r w:rsidRPr="003B6E44">
        <w:rPr>
          <w:rFonts w:ascii="Times New Roman" w:eastAsia="Calibri" w:hAnsi="Times New Roman" w:cs="Times New Roman"/>
          <w:bCs/>
          <w:sz w:val="22"/>
          <w:szCs w:val="22"/>
        </w:rPr>
        <w:t>, DD</w:t>
      </w:r>
      <w:r w:rsidRPr="007E6361">
        <w:rPr>
          <w:rFonts w:ascii="Times New Roman" w:eastAsia="Calibri" w:hAnsi="Times New Roman" w:cs="Times New Roman"/>
          <w:bCs/>
          <w:sz w:val="22"/>
          <w:szCs w:val="22"/>
        </w:rPr>
        <w:t xml:space="preserve"> means domestic debt</w:t>
      </w:r>
      <w:r w:rsidRPr="003B6E44">
        <w:rPr>
          <w:rFonts w:ascii="Times New Roman" w:eastAsia="Calibri" w:hAnsi="Times New Roman" w:cs="Times New Roman"/>
          <w:bCs/>
          <w:sz w:val="22"/>
          <w:szCs w:val="22"/>
        </w:rPr>
        <w:t>, ED</w:t>
      </w:r>
      <w:r w:rsidRPr="007E6361">
        <w:rPr>
          <w:rFonts w:ascii="Times New Roman" w:eastAsia="Calibri" w:hAnsi="Times New Roman" w:cs="Times New Roman"/>
          <w:bCs/>
          <w:sz w:val="22"/>
          <w:szCs w:val="22"/>
        </w:rPr>
        <w:t xml:space="preserve"> means external debt</w:t>
      </w:r>
      <w:r w:rsidRPr="003B6E44">
        <w:rPr>
          <w:rFonts w:ascii="Times New Roman" w:eastAsia="Calibri" w:hAnsi="Times New Roman" w:cs="Times New Roman"/>
          <w:bCs/>
          <w:sz w:val="22"/>
          <w:szCs w:val="22"/>
        </w:rPr>
        <w:t xml:space="preserve">, and DGDP </w:t>
      </w:r>
      <w:r w:rsidRPr="007E6361">
        <w:rPr>
          <w:rFonts w:ascii="Times New Roman" w:eastAsia="Calibri" w:hAnsi="Times New Roman" w:cs="Times New Roman"/>
          <w:bCs/>
          <w:sz w:val="22"/>
          <w:szCs w:val="22"/>
        </w:rPr>
        <w:t>means debt to GDP ratio</w:t>
      </w:r>
      <w:r w:rsidRPr="003B6E44">
        <w:rPr>
          <w:rFonts w:ascii="Times New Roman" w:eastAsia="Calibri" w:hAnsi="Times New Roman" w:cs="Times New Roman"/>
          <w:sz w:val="22"/>
          <w:szCs w:val="22"/>
        </w:rPr>
        <w:t xml:space="preserve">, </w:t>
      </w:r>
      <w:r w:rsidRPr="003B6E44">
        <w:rPr>
          <w:rFonts w:ascii="Times New Roman" w:eastAsia="SimSun" w:hAnsi="Times New Roman" w:cs="Times New Roman"/>
          <w:bCs/>
          <w:sz w:val="22"/>
          <w:szCs w:val="22"/>
        </w:rPr>
        <w:t>β</w:t>
      </w:r>
      <w:r w:rsidRPr="003B6E44">
        <w:rPr>
          <w:rFonts w:ascii="Times New Roman" w:eastAsia="SimSun" w:hAnsi="Times New Roman" w:cs="Times New Roman"/>
          <w:bCs/>
          <w:sz w:val="22"/>
          <w:szCs w:val="22"/>
          <w:vertAlign w:val="subscript"/>
        </w:rPr>
        <w:t xml:space="preserve">1 – </w:t>
      </w:r>
      <w:r w:rsidRPr="003B6E44">
        <w:rPr>
          <w:rFonts w:ascii="Times New Roman" w:eastAsia="SimSun" w:hAnsi="Times New Roman" w:cs="Times New Roman"/>
          <w:bCs/>
          <w:sz w:val="22"/>
          <w:szCs w:val="22"/>
        </w:rPr>
        <w:t>β</w:t>
      </w:r>
      <w:r w:rsidRPr="003B6E44">
        <w:rPr>
          <w:rFonts w:ascii="Times New Roman" w:eastAsia="SimSun" w:hAnsi="Times New Roman" w:cs="Times New Roman"/>
          <w:bCs/>
          <w:sz w:val="22"/>
          <w:szCs w:val="22"/>
          <w:vertAlign w:val="subscript"/>
        </w:rPr>
        <w:t xml:space="preserve">3 </w:t>
      </w:r>
      <w:r w:rsidRPr="003B6E44">
        <w:rPr>
          <w:rFonts w:ascii="Times New Roman" w:eastAsia="Calibri" w:hAnsi="Times New Roman" w:cs="Times New Roman"/>
          <w:sz w:val="22"/>
          <w:szCs w:val="22"/>
        </w:rPr>
        <w:t>are the coefficients of independent variables while µ</w:t>
      </w:r>
      <w:r w:rsidRPr="003B6E44">
        <w:rPr>
          <w:rFonts w:ascii="Times New Roman" w:eastAsia="Calibri" w:hAnsi="Times New Roman" w:cs="Times New Roman"/>
          <w:sz w:val="22"/>
          <w:szCs w:val="22"/>
          <w:vertAlign w:val="subscript"/>
        </w:rPr>
        <w:t xml:space="preserve"> </w:t>
      </w:r>
      <w:r w:rsidRPr="003B6E44">
        <w:rPr>
          <w:rFonts w:ascii="Times New Roman" w:eastAsia="Calibri" w:hAnsi="Times New Roman" w:cs="Times New Roman"/>
          <w:sz w:val="22"/>
          <w:szCs w:val="22"/>
        </w:rPr>
        <w:t xml:space="preserve">is the error terms, </w:t>
      </w:r>
      <w:r w:rsidRPr="003B6E44">
        <w:rPr>
          <w:rFonts w:ascii="Times New Roman" w:eastAsia="Calibri" w:hAnsi="Times New Roman" w:cs="Times New Roman"/>
          <w:position w:val="-8"/>
          <w:sz w:val="22"/>
          <w:szCs w:val="22"/>
        </w:rPr>
        <w:t>∆ = first difference of the variable, U</w:t>
      </w:r>
      <w:r w:rsidRPr="003B6E44">
        <w:rPr>
          <w:rFonts w:ascii="Times New Roman" w:eastAsia="Calibri" w:hAnsi="Times New Roman" w:cs="Times New Roman"/>
          <w:position w:val="-8"/>
          <w:sz w:val="22"/>
          <w:szCs w:val="22"/>
          <w:vertAlign w:val="subscript"/>
        </w:rPr>
        <w:t>t</w:t>
      </w:r>
      <w:r w:rsidRPr="003B6E44">
        <w:rPr>
          <w:rFonts w:ascii="Times New Roman" w:eastAsia="Calibri" w:hAnsi="Times New Roman" w:cs="Times New Roman"/>
          <w:position w:val="-8"/>
          <w:sz w:val="22"/>
          <w:szCs w:val="22"/>
        </w:rPr>
        <w:t>= white noise disturbance error term</w:t>
      </w:r>
      <w:r w:rsidRPr="007E6361">
        <w:rPr>
          <w:rFonts w:ascii="Times New Roman" w:eastAsia="Calibri" w:hAnsi="Times New Roman" w:cs="Times New Roman"/>
          <w:position w:val="-8"/>
          <w:sz w:val="22"/>
          <w:szCs w:val="22"/>
        </w:rPr>
        <w:t>,</w:t>
      </w:r>
      <w:r w:rsidRPr="007E6361">
        <w:rPr>
          <w:rFonts w:ascii="Times New Roman" w:eastAsia="Calibri" w:hAnsi="Times New Roman" w:cs="Times New Roman"/>
          <w:kern w:val="0"/>
          <w:sz w:val="22"/>
          <w:szCs w:val="22"/>
          <w14:ligatures w14:val="none"/>
        </w:rPr>
        <w:t xml:space="preserve"> </w:t>
      </w:r>
      <w:r w:rsidRPr="003B6E44">
        <w:rPr>
          <w:rFonts w:ascii="Times New Roman" w:eastAsia="Calibri" w:hAnsi="Times New Roman" w:cs="Times New Roman"/>
          <w:i/>
          <w:sz w:val="22"/>
          <w:szCs w:val="22"/>
        </w:rPr>
        <w:t>β</w:t>
      </w:r>
      <w:proofErr w:type="spellStart"/>
      <w:r w:rsidRPr="003B6E44">
        <w:rPr>
          <w:rFonts w:ascii="Times New Roman" w:eastAsia="Calibri" w:hAnsi="Times New Roman" w:cs="Times New Roman"/>
          <w:sz w:val="22"/>
          <w:szCs w:val="22"/>
          <w:vertAlign w:val="subscript"/>
        </w:rPr>
        <w:t>i</w:t>
      </w:r>
      <w:proofErr w:type="spellEnd"/>
      <w:r w:rsidRPr="003B6E44">
        <w:rPr>
          <w:rFonts w:ascii="Times New Roman" w:eastAsia="Calibri" w:hAnsi="Times New Roman" w:cs="Times New Roman"/>
          <w:sz w:val="22"/>
          <w:szCs w:val="22"/>
        </w:rPr>
        <w:t>–</w:t>
      </w:r>
      <w:r w:rsidRPr="003B6E44">
        <w:rPr>
          <w:rFonts w:ascii="Times New Roman" w:eastAsia="Calibri" w:hAnsi="Times New Roman" w:cs="Times New Roman"/>
          <w:i/>
          <w:sz w:val="22"/>
          <w:szCs w:val="22"/>
        </w:rPr>
        <w:t>β</w:t>
      </w:r>
      <w:r w:rsidRPr="003B6E44">
        <w:rPr>
          <w:rFonts w:ascii="Times New Roman" w:eastAsia="Calibri" w:hAnsi="Times New Roman" w:cs="Times New Roman"/>
          <w:sz w:val="22"/>
          <w:szCs w:val="22"/>
          <w:vertAlign w:val="subscript"/>
        </w:rPr>
        <w:t>4</w:t>
      </w:r>
      <w:r w:rsidRPr="003B6E44">
        <w:rPr>
          <w:rFonts w:ascii="Times New Roman" w:eastAsia="Calibri" w:hAnsi="Times New Roman" w:cs="Times New Roman"/>
          <w:sz w:val="22"/>
          <w:szCs w:val="22"/>
        </w:rPr>
        <w:t xml:space="preserve"> are coefficients of the regression equation, measuring the sensitivity of the respective dependent variables to changes in the independent variables.</w:t>
      </w:r>
    </w:p>
    <w:p w14:paraId="60F4DDDB" w14:textId="77777777" w:rsidR="00D8206B" w:rsidRPr="003B6E44" w:rsidRDefault="00D8206B" w:rsidP="00D8206B">
      <w:pPr>
        <w:spacing w:line="276" w:lineRule="auto"/>
        <w:jc w:val="both"/>
        <w:rPr>
          <w:rFonts w:ascii="Times New Roman" w:eastAsia="Calibri" w:hAnsi="Times New Roman" w:cs="Times New Roman"/>
          <w:b/>
          <w:sz w:val="22"/>
          <w:szCs w:val="22"/>
        </w:rPr>
      </w:pPr>
      <w:r w:rsidRPr="003B6E44">
        <w:rPr>
          <w:rFonts w:ascii="Times New Roman" w:eastAsia="Calibri" w:hAnsi="Times New Roman" w:cs="Times New Roman"/>
          <w:sz w:val="22"/>
          <w:szCs w:val="22"/>
        </w:rPr>
        <w:t xml:space="preserve">To make the time series data uniform and easy to regress and analyze due to the robustness and large amount of the data set, the data were converted to natural logarithm (log) form. It is believed that a log form of a multiple regression helps to improve on the linearity of the model and also to avoid heteroskedasticity.  </w:t>
      </w:r>
    </w:p>
    <w:p w14:paraId="5BAD5108" w14:textId="77777777" w:rsidR="00D24E0B" w:rsidRDefault="00D24E0B" w:rsidP="00D8206B">
      <w:pPr>
        <w:spacing w:line="276" w:lineRule="auto"/>
        <w:jc w:val="center"/>
        <w:rPr>
          <w:rFonts w:ascii="Times New Roman" w:hAnsi="Times New Roman" w:cs="Times New Roman"/>
          <w:b/>
          <w:bCs/>
          <w:sz w:val="22"/>
          <w:szCs w:val="22"/>
        </w:rPr>
      </w:pPr>
    </w:p>
    <w:p w14:paraId="670F61F9" w14:textId="77777777" w:rsidR="00D24E0B" w:rsidRDefault="00D24E0B" w:rsidP="00D8206B">
      <w:pPr>
        <w:spacing w:line="276" w:lineRule="auto"/>
        <w:jc w:val="center"/>
        <w:rPr>
          <w:rFonts w:ascii="Times New Roman" w:hAnsi="Times New Roman" w:cs="Times New Roman"/>
          <w:b/>
          <w:bCs/>
          <w:sz w:val="22"/>
          <w:szCs w:val="22"/>
        </w:rPr>
      </w:pPr>
    </w:p>
    <w:p w14:paraId="19173CE8" w14:textId="77777777" w:rsidR="00D24E0B" w:rsidRDefault="00D24E0B" w:rsidP="00D8206B">
      <w:pPr>
        <w:spacing w:line="276" w:lineRule="auto"/>
        <w:jc w:val="center"/>
        <w:rPr>
          <w:rFonts w:ascii="Times New Roman" w:hAnsi="Times New Roman" w:cs="Times New Roman"/>
          <w:b/>
          <w:bCs/>
          <w:sz w:val="22"/>
          <w:szCs w:val="22"/>
        </w:rPr>
      </w:pPr>
    </w:p>
    <w:p w14:paraId="2CEFF586" w14:textId="542E8E55" w:rsidR="00D8206B" w:rsidRPr="007E6361" w:rsidRDefault="00D8206B" w:rsidP="00D8206B">
      <w:pPr>
        <w:spacing w:line="276" w:lineRule="auto"/>
        <w:jc w:val="center"/>
        <w:rPr>
          <w:rFonts w:ascii="Times New Roman" w:hAnsi="Times New Roman" w:cs="Times New Roman"/>
          <w:b/>
          <w:bCs/>
          <w:sz w:val="22"/>
          <w:szCs w:val="22"/>
        </w:rPr>
      </w:pPr>
      <w:r w:rsidRPr="007E6361">
        <w:rPr>
          <w:rFonts w:ascii="Times New Roman" w:hAnsi="Times New Roman" w:cs="Times New Roman"/>
          <w:b/>
          <w:bCs/>
          <w:sz w:val="22"/>
          <w:szCs w:val="22"/>
        </w:rPr>
        <w:t>4.0</w:t>
      </w:r>
      <w:r w:rsidRPr="007E6361">
        <w:rPr>
          <w:rFonts w:ascii="Times New Roman" w:hAnsi="Times New Roman" w:cs="Times New Roman"/>
          <w:b/>
          <w:bCs/>
          <w:sz w:val="22"/>
          <w:szCs w:val="22"/>
        </w:rPr>
        <w:tab/>
        <w:t>Results and Discussion</w:t>
      </w:r>
    </w:p>
    <w:p w14:paraId="0CAADCCA" w14:textId="77777777" w:rsidR="00D8206B" w:rsidRPr="007E6361" w:rsidRDefault="00D8206B" w:rsidP="00D8206B">
      <w:pPr>
        <w:spacing w:line="276" w:lineRule="auto"/>
        <w:jc w:val="both"/>
        <w:rPr>
          <w:rFonts w:ascii="Times New Roman" w:hAnsi="Times New Roman" w:cs="Times New Roman"/>
          <w:sz w:val="22"/>
          <w:szCs w:val="22"/>
        </w:rPr>
      </w:pPr>
      <w:r w:rsidRPr="007E6361">
        <w:rPr>
          <w:rFonts w:ascii="Times New Roman" w:hAnsi="Times New Roman" w:cs="Times New Roman"/>
          <w:b/>
          <w:bCs/>
          <w:sz w:val="22"/>
          <w:szCs w:val="22"/>
        </w:rPr>
        <w:t>4.1</w:t>
      </w:r>
      <w:r w:rsidRPr="007E6361">
        <w:rPr>
          <w:rFonts w:ascii="Times New Roman" w:hAnsi="Times New Roman" w:cs="Times New Roman"/>
          <w:b/>
          <w:bCs/>
          <w:sz w:val="22"/>
          <w:szCs w:val="22"/>
        </w:rPr>
        <w:tab/>
        <w:t>Results and Analyzes</w:t>
      </w:r>
    </w:p>
    <w:p w14:paraId="11E4F353" w14:textId="77777777" w:rsidR="00D8206B" w:rsidRPr="00CC6722" w:rsidRDefault="00D8206B" w:rsidP="00D8206B">
      <w:pPr>
        <w:keepNext/>
        <w:keepLines/>
        <w:spacing w:before="40" w:after="0" w:line="276" w:lineRule="auto"/>
        <w:jc w:val="both"/>
        <w:outlineLvl w:val="2"/>
        <w:rPr>
          <w:rFonts w:ascii="Times New Roman" w:eastAsia="Times New Roman" w:hAnsi="Times New Roman" w:cs="Times New Roman"/>
          <w:b/>
          <w:kern w:val="0"/>
          <w:sz w:val="22"/>
          <w:szCs w:val="22"/>
          <w14:ligatures w14:val="none"/>
        </w:rPr>
      </w:pPr>
      <w:bookmarkStart w:id="11" w:name="_Toc214835433"/>
      <w:r w:rsidRPr="00CC6722">
        <w:rPr>
          <w:rFonts w:ascii="Times New Roman" w:eastAsia="Times New Roman" w:hAnsi="Times New Roman" w:cs="Times New Roman"/>
          <w:b/>
          <w:kern w:val="0"/>
          <w:sz w:val="22"/>
          <w:szCs w:val="22"/>
          <w14:ligatures w14:val="none"/>
        </w:rPr>
        <w:t>Table 4.</w:t>
      </w:r>
      <w:r w:rsidRPr="007E6361">
        <w:rPr>
          <w:rFonts w:ascii="Times New Roman" w:eastAsia="Times New Roman" w:hAnsi="Times New Roman" w:cs="Times New Roman"/>
          <w:b/>
          <w:kern w:val="0"/>
          <w:sz w:val="22"/>
          <w:szCs w:val="22"/>
          <w14:ligatures w14:val="none"/>
        </w:rPr>
        <w:t>1</w:t>
      </w:r>
      <w:r w:rsidRPr="00CC6722">
        <w:rPr>
          <w:rFonts w:ascii="Times New Roman" w:eastAsia="Times New Roman" w:hAnsi="Times New Roman" w:cs="Times New Roman"/>
          <w:b/>
          <w:kern w:val="0"/>
          <w:sz w:val="22"/>
          <w:szCs w:val="22"/>
          <w14:ligatures w14:val="none"/>
        </w:rPr>
        <w:t>: ADF Tests Results</w:t>
      </w:r>
      <w:bookmarkEnd w:id="11"/>
    </w:p>
    <w:tbl>
      <w:tblPr>
        <w:tblW w:w="0" w:type="auto"/>
        <w:tblInd w:w="30" w:type="dxa"/>
        <w:tblLayout w:type="fixed"/>
        <w:tblCellMar>
          <w:left w:w="0" w:type="dxa"/>
          <w:right w:w="0" w:type="dxa"/>
        </w:tblCellMar>
        <w:tblLook w:val="0000" w:firstRow="0" w:lastRow="0" w:firstColumn="0" w:lastColumn="0" w:noHBand="0" w:noVBand="0"/>
      </w:tblPr>
      <w:tblGrid>
        <w:gridCol w:w="1104"/>
        <w:gridCol w:w="1282"/>
        <w:gridCol w:w="1282"/>
        <w:gridCol w:w="1283"/>
        <w:gridCol w:w="1283"/>
        <w:gridCol w:w="1282"/>
        <w:gridCol w:w="1282"/>
      </w:tblGrid>
      <w:tr w:rsidR="00D8206B" w:rsidRPr="00CC6722" w14:paraId="50E3FBA8" w14:textId="77777777" w:rsidTr="00D00B3F">
        <w:trPr>
          <w:trHeight w:hRule="exact" w:val="125"/>
        </w:trPr>
        <w:tc>
          <w:tcPr>
            <w:tcW w:w="1104" w:type="dxa"/>
            <w:tcBorders>
              <w:top w:val="nil"/>
              <w:left w:val="nil"/>
              <w:bottom w:val="double" w:sz="6" w:space="2" w:color="auto"/>
              <w:right w:val="nil"/>
            </w:tcBorders>
            <w:vAlign w:val="bottom"/>
          </w:tcPr>
          <w:p w14:paraId="175764A3" w14:textId="77777777" w:rsidR="00D8206B" w:rsidRPr="00CC6722" w:rsidRDefault="00D8206B" w:rsidP="00D00B3F">
            <w:pPr>
              <w:spacing w:line="276" w:lineRule="auto"/>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0EBC7E82"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704E0B0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7D0A088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04F5D5A0"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6610FF9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352B157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0BD0ECC7" w14:textId="77777777" w:rsidTr="00D00B3F">
        <w:trPr>
          <w:trHeight w:hRule="exact" w:val="188"/>
        </w:trPr>
        <w:tc>
          <w:tcPr>
            <w:tcW w:w="1104" w:type="dxa"/>
            <w:tcBorders>
              <w:top w:val="nil"/>
              <w:left w:val="nil"/>
              <w:bottom w:val="nil"/>
              <w:right w:val="nil"/>
            </w:tcBorders>
            <w:vAlign w:val="bottom"/>
          </w:tcPr>
          <w:p w14:paraId="553A2C0E"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33B8EEA0"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58A74C4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2526766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4F98CD6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340D5BB6"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7F8426C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45F6B4B4" w14:textId="77777777" w:rsidTr="00D00B3F">
        <w:trPr>
          <w:trHeight w:val="315"/>
        </w:trPr>
        <w:tc>
          <w:tcPr>
            <w:tcW w:w="1104" w:type="dxa"/>
            <w:tcBorders>
              <w:top w:val="nil"/>
              <w:left w:val="nil"/>
              <w:bottom w:val="nil"/>
              <w:right w:val="nil"/>
            </w:tcBorders>
            <w:vAlign w:val="bottom"/>
          </w:tcPr>
          <w:p w14:paraId="6918363A"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 Lag</w:t>
            </w:r>
          </w:p>
        </w:tc>
        <w:tc>
          <w:tcPr>
            <w:tcW w:w="2564" w:type="dxa"/>
            <w:gridSpan w:val="2"/>
            <w:tcBorders>
              <w:top w:val="nil"/>
              <w:left w:val="nil"/>
              <w:bottom w:val="nil"/>
              <w:right w:val="nil"/>
            </w:tcBorders>
            <w:vAlign w:val="bottom"/>
          </w:tcPr>
          <w:p w14:paraId="60E5482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ADF Statistic</w:t>
            </w:r>
          </w:p>
        </w:tc>
        <w:tc>
          <w:tcPr>
            <w:tcW w:w="2566" w:type="dxa"/>
            <w:gridSpan w:val="2"/>
            <w:tcBorders>
              <w:top w:val="nil"/>
              <w:left w:val="nil"/>
              <w:bottom w:val="nil"/>
              <w:right w:val="nil"/>
            </w:tcBorders>
            <w:vAlign w:val="bottom"/>
          </w:tcPr>
          <w:p w14:paraId="570DEE63"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Probability</w:t>
            </w:r>
          </w:p>
        </w:tc>
        <w:tc>
          <w:tcPr>
            <w:tcW w:w="2564" w:type="dxa"/>
            <w:gridSpan w:val="2"/>
            <w:tcBorders>
              <w:top w:val="nil"/>
              <w:left w:val="nil"/>
              <w:bottom w:val="nil"/>
              <w:right w:val="nil"/>
            </w:tcBorders>
            <w:vAlign w:val="bottom"/>
          </w:tcPr>
          <w:p w14:paraId="4C7F2D3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Level of Integration</w:t>
            </w:r>
          </w:p>
        </w:tc>
      </w:tr>
      <w:tr w:rsidR="00D8206B" w:rsidRPr="00CC6722" w14:paraId="3D002D54" w14:textId="77777777" w:rsidTr="00D00B3F">
        <w:trPr>
          <w:trHeight w:hRule="exact" w:val="78"/>
        </w:trPr>
        <w:tc>
          <w:tcPr>
            <w:tcW w:w="1104" w:type="dxa"/>
            <w:tcBorders>
              <w:top w:val="nil"/>
              <w:left w:val="nil"/>
              <w:bottom w:val="double" w:sz="6" w:space="2" w:color="auto"/>
              <w:right w:val="nil"/>
            </w:tcBorders>
            <w:vAlign w:val="bottom"/>
          </w:tcPr>
          <w:p w14:paraId="247F44C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417EECB3"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3D4B576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0E651C7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580168A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4918B8B1"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547238F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4E36E77C" w14:textId="77777777" w:rsidTr="00D00B3F">
        <w:trPr>
          <w:trHeight w:hRule="exact" w:val="188"/>
        </w:trPr>
        <w:tc>
          <w:tcPr>
            <w:tcW w:w="1104" w:type="dxa"/>
            <w:tcBorders>
              <w:top w:val="nil"/>
              <w:left w:val="nil"/>
              <w:bottom w:val="nil"/>
              <w:right w:val="nil"/>
            </w:tcBorders>
            <w:vAlign w:val="bottom"/>
          </w:tcPr>
          <w:p w14:paraId="4AD7C1F0"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5237E688"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4593E126"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55313E4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5D30057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164E5284"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55C052D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0DAB8BA4" w14:textId="77777777" w:rsidTr="00D00B3F">
        <w:trPr>
          <w:trHeight w:val="315"/>
        </w:trPr>
        <w:tc>
          <w:tcPr>
            <w:tcW w:w="1104" w:type="dxa"/>
            <w:tcBorders>
              <w:top w:val="nil"/>
              <w:left w:val="nil"/>
              <w:bottom w:val="nil"/>
              <w:right w:val="nil"/>
            </w:tcBorders>
            <w:vAlign w:val="bottom"/>
          </w:tcPr>
          <w:p w14:paraId="2B5B50A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L(AGDP)</w:t>
            </w:r>
          </w:p>
        </w:tc>
        <w:tc>
          <w:tcPr>
            <w:tcW w:w="2564" w:type="dxa"/>
            <w:gridSpan w:val="2"/>
            <w:tcBorders>
              <w:top w:val="nil"/>
              <w:left w:val="nil"/>
              <w:bottom w:val="nil"/>
              <w:right w:val="nil"/>
            </w:tcBorders>
            <w:vAlign w:val="bottom"/>
          </w:tcPr>
          <w:p w14:paraId="69329B0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-3.164957</w:t>
            </w:r>
          </w:p>
        </w:tc>
        <w:tc>
          <w:tcPr>
            <w:tcW w:w="2566" w:type="dxa"/>
            <w:gridSpan w:val="2"/>
            <w:tcBorders>
              <w:top w:val="nil"/>
              <w:left w:val="nil"/>
              <w:bottom w:val="nil"/>
              <w:right w:val="nil"/>
            </w:tcBorders>
            <w:vAlign w:val="bottom"/>
          </w:tcPr>
          <w:p w14:paraId="5572D68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0.0331</w:t>
            </w:r>
          </w:p>
        </w:tc>
        <w:tc>
          <w:tcPr>
            <w:tcW w:w="2564" w:type="dxa"/>
            <w:gridSpan w:val="2"/>
            <w:tcBorders>
              <w:top w:val="nil"/>
              <w:left w:val="nil"/>
              <w:bottom w:val="nil"/>
            </w:tcBorders>
            <w:vAlign w:val="bottom"/>
          </w:tcPr>
          <w:p w14:paraId="319DCC18"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0)</w:t>
            </w:r>
          </w:p>
        </w:tc>
      </w:tr>
      <w:tr w:rsidR="00D8206B" w:rsidRPr="00CC6722" w14:paraId="2E7DC20B" w14:textId="77777777" w:rsidTr="00D00B3F">
        <w:trPr>
          <w:trHeight w:val="315"/>
        </w:trPr>
        <w:tc>
          <w:tcPr>
            <w:tcW w:w="1104" w:type="dxa"/>
            <w:tcBorders>
              <w:top w:val="nil"/>
              <w:left w:val="nil"/>
              <w:bottom w:val="nil"/>
              <w:right w:val="nil"/>
            </w:tcBorders>
            <w:vAlign w:val="bottom"/>
          </w:tcPr>
          <w:p w14:paraId="0918BAA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L(ED)</w:t>
            </w:r>
          </w:p>
        </w:tc>
        <w:tc>
          <w:tcPr>
            <w:tcW w:w="2564" w:type="dxa"/>
            <w:gridSpan w:val="2"/>
            <w:tcBorders>
              <w:top w:val="nil"/>
              <w:left w:val="nil"/>
              <w:bottom w:val="nil"/>
              <w:right w:val="nil"/>
            </w:tcBorders>
            <w:vAlign w:val="bottom"/>
          </w:tcPr>
          <w:p w14:paraId="14BDEC6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-3.753771</w:t>
            </w:r>
          </w:p>
        </w:tc>
        <w:tc>
          <w:tcPr>
            <w:tcW w:w="2566" w:type="dxa"/>
            <w:gridSpan w:val="2"/>
            <w:tcBorders>
              <w:top w:val="nil"/>
              <w:left w:val="nil"/>
              <w:bottom w:val="nil"/>
              <w:right w:val="nil"/>
            </w:tcBorders>
            <w:vAlign w:val="bottom"/>
          </w:tcPr>
          <w:p w14:paraId="5523847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0.0093</w:t>
            </w:r>
          </w:p>
        </w:tc>
        <w:tc>
          <w:tcPr>
            <w:tcW w:w="2564" w:type="dxa"/>
            <w:gridSpan w:val="2"/>
            <w:tcBorders>
              <w:top w:val="nil"/>
              <w:left w:val="nil"/>
              <w:bottom w:val="nil"/>
              <w:right w:val="nil"/>
            </w:tcBorders>
            <w:vAlign w:val="bottom"/>
          </w:tcPr>
          <w:p w14:paraId="4E9E6B0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1)</w:t>
            </w:r>
          </w:p>
        </w:tc>
      </w:tr>
      <w:tr w:rsidR="00D8206B" w:rsidRPr="00CC6722" w14:paraId="3567F153" w14:textId="77777777" w:rsidTr="00D00B3F">
        <w:trPr>
          <w:trHeight w:val="315"/>
        </w:trPr>
        <w:tc>
          <w:tcPr>
            <w:tcW w:w="1104" w:type="dxa"/>
            <w:tcBorders>
              <w:top w:val="nil"/>
              <w:left w:val="nil"/>
              <w:bottom w:val="nil"/>
              <w:right w:val="nil"/>
            </w:tcBorders>
            <w:vAlign w:val="bottom"/>
          </w:tcPr>
          <w:p w14:paraId="2989DE30"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L(DD)</w:t>
            </w:r>
          </w:p>
        </w:tc>
        <w:tc>
          <w:tcPr>
            <w:tcW w:w="2564" w:type="dxa"/>
            <w:gridSpan w:val="2"/>
            <w:tcBorders>
              <w:top w:val="nil"/>
              <w:left w:val="nil"/>
              <w:bottom w:val="nil"/>
              <w:right w:val="nil"/>
            </w:tcBorders>
            <w:vAlign w:val="bottom"/>
          </w:tcPr>
          <w:p w14:paraId="291DA823"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-4.136788</w:t>
            </w:r>
          </w:p>
        </w:tc>
        <w:tc>
          <w:tcPr>
            <w:tcW w:w="2566" w:type="dxa"/>
            <w:gridSpan w:val="2"/>
            <w:tcBorders>
              <w:top w:val="nil"/>
              <w:left w:val="nil"/>
              <w:bottom w:val="nil"/>
              <w:right w:val="nil"/>
            </w:tcBorders>
            <w:vAlign w:val="bottom"/>
          </w:tcPr>
          <w:p w14:paraId="71C8123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0.0029</w:t>
            </w:r>
          </w:p>
        </w:tc>
        <w:tc>
          <w:tcPr>
            <w:tcW w:w="2564" w:type="dxa"/>
            <w:gridSpan w:val="2"/>
            <w:tcBorders>
              <w:top w:val="nil"/>
              <w:left w:val="nil"/>
              <w:bottom w:val="nil"/>
              <w:right w:val="nil"/>
            </w:tcBorders>
            <w:vAlign w:val="bottom"/>
          </w:tcPr>
          <w:p w14:paraId="2370B1F6"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1)</w:t>
            </w:r>
          </w:p>
        </w:tc>
      </w:tr>
      <w:tr w:rsidR="00D8206B" w:rsidRPr="00CC6722" w14:paraId="2C61538A" w14:textId="77777777" w:rsidTr="00D00B3F">
        <w:trPr>
          <w:trHeight w:val="315"/>
        </w:trPr>
        <w:tc>
          <w:tcPr>
            <w:tcW w:w="1104" w:type="dxa"/>
            <w:tcBorders>
              <w:top w:val="nil"/>
              <w:left w:val="nil"/>
              <w:bottom w:val="nil"/>
              <w:right w:val="nil"/>
            </w:tcBorders>
            <w:vAlign w:val="bottom"/>
          </w:tcPr>
          <w:p w14:paraId="6FA1D783"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L(DGDP)</w:t>
            </w:r>
          </w:p>
        </w:tc>
        <w:tc>
          <w:tcPr>
            <w:tcW w:w="2564" w:type="dxa"/>
            <w:gridSpan w:val="2"/>
            <w:tcBorders>
              <w:top w:val="nil"/>
              <w:left w:val="nil"/>
              <w:bottom w:val="nil"/>
              <w:right w:val="nil"/>
            </w:tcBorders>
            <w:vAlign w:val="bottom"/>
          </w:tcPr>
          <w:p w14:paraId="2ED5BF0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-5.052177</w:t>
            </w:r>
          </w:p>
        </w:tc>
        <w:tc>
          <w:tcPr>
            <w:tcW w:w="2566" w:type="dxa"/>
            <w:gridSpan w:val="2"/>
            <w:tcBorders>
              <w:top w:val="nil"/>
              <w:left w:val="nil"/>
              <w:bottom w:val="nil"/>
              <w:right w:val="nil"/>
            </w:tcBorders>
            <w:vAlign w:val="bottom"/>
          </w:tcPr>
          <w:p w14:paraId="590EC59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0.0004</w:t>
            </w:r>
          </w:p>
        </w:tc>
        <w:tc>
          <w:tcPr>
            <w:tcW w:w="2564" w:type="dxa"/>
            <w:gridSpan w:val="2"/>
            <w:tcBorders>
              <w:top w:val="nil"/>
              <w:left w:val="nil"/>
              <w:bottom w:val="nil"/>
              <w:right w:val="nil"/>
            </w:tcBorders>
            <w:vAlign w:val="bottom"/>
          </w:tcPr>
          <w:p w14:paraId="26BFEFDA"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1)</w:t>
            </w:r>
          </w:p>
        </w:tc>
      </w:tr>
      <w:tr w:rsidR="00D8206B" w:rsidRPr="00CC6722" w14:paraId="79322E6A" w14:textId="77777777" w:rsidTr="00D00B3F">
        <w:trPr>
          <w:trHeight w:hRule="exact" w:val="125"/>
        </w:trPr>
        <w:tc>
          <w:tcPr>
            <w:tcW w:w="1104" w:type="dxa"/>
            <w:tcBorders>
              <w:top w:val="nil"/>
              <w:left w:val="nil"/>
              <w:bottom w:val="double" w:sz="6" w:space="0" w:color="auto"/>
              <w:right w:val="nil"/>
            </w:tcBorders>
            <w:vAlign w:val="bottom"/>
          </w:tcPr>
          <w:p w14:paraId="2CCEAAB4"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0F777F81"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76632F9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0" w:color="auto"/>
              <w:right w:val="nil"/>
            </w:tcBorders>
            <w:vAlign w:val="bottom"/>
          </w:tcPr>
          <w:p w14:paraId="562652E8"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0" w:color="auto"/>
              <w:right w:val="nil"/>
            </w:tcBorders>
            <w:vAlign w:val="bottom"/>
          </w:tcPr>
          <w:p w14:paraId="1747630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28AEC7B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54310FA6"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bl>
    <w:p w14:paraId="152B93EB" w14:textId="77777777" w:rsidR="00D8206B" w:rsidRPr="00CC6722" w:rsidRDefault="00D8206B" w:rsidP="00D8206B">
      <w:pPr>
        <w:spacing w:line="276" w:lineRule="auto"/>
        <w:jc w:val="both"/>
        <w:rPr>
          <w:rFonts w:ascii="Times New Roman" w:eastAsia="Calibri" w:hAnsi="Times New Roman" w:cs="Times New Roman"/>
          <w:sz w:val="22"/>
          <w:szCs w:val="22"/>
        </w:rPr>
      </w:pPr>
      <w:r w:rsidRPr="00CC6722">
        <w:rPr>
          <w:rFonts w:ascii="Times New Roman" w:eastAsia="Calibri" w:hAnsi="Times New Roman" w:cs="Times New Roman"/>
          <w:b/>
          <w:sz w:val="22"/>
          <w:szCs w:val="22"/>
        </w:rPr>
        <w:t>Source:</w:t>
      </w:r>
      <w:r w:rsidRPr="00CC6722">
        <w:rPr>
          <w:rFonts w:ascii="Times New Roman" w:eastAsia="Calibri" w:hAnsi="Times New Roman" w:cs="Times New Roman"/>
          <w:sz w:val="22"/>
          <w:szCs w:val="22"/>
        </w:rPr>
        <w:t xml:space="preserve"> Author’s computations with E-views Version 10 (2025) </w:t>
      </w:r>
    </w:p>
    <w:p w14:paraId="43D65824" w14:textId="77777777" w:rsidR="00D8206B" w:rsidRPr="007E6361" w:rsidRDefault="00D8206B" w:rsidP="00D8206B">
      <w:pPr>
        <w:autoSpaceDE w:val="0"/>
        <w:autoSpaceDN w:val="0"/>
        <w:adjustRightInd w:val="0"/>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 xml:space="preserve">The output of the unit root test below in table 4.1 shows that out of the four variables, three (ED, DD, DGDP) were stationary at first difference while the remaining one (AGDP) was stationary at level. Given the mixed stationarity of the variables, the study applied the ARDL method. </w:t>
      </w:r>
    </w:p>
    <w:p w14:paraId="110038A5" w14:textId="77777777" w:rsidR="00D8206B" w:rsidRPr="00CC6722" w:rsidRDefault="00D8206B" w:rsidP="00D8206B">
      <w:pPr>
        <w:keepNext/>
        <w:keepLines/>
        <w:spacing w:before="40" w:after="0" w:line="276" w:lineRule="auto"/>
        <w:jc w:val="both"/>
        <w:outlineLvl w:val="2"/>
        <w:rPr>
          <w:rFonts w:ascii="Times New Roman" w:eastAsia="Times New Roman" w:hAnsi="Times New Roman" w:cs="Times New Roman"/>
          <w:b/>
          <w:kern w:val="0"/>
          <w:sz w:val="22"/>
          <w:szCs w:val="22"/>
          <w14:ligatures w14:val="none"/>
        </w:rPr>
      </w:pPr>
      <w:bookmarkStart w:id="12" w:name="_Toc214835437"/>
      <w:r w:rsidRPr="00CC6722">
        <w:rPr>
          <w:rFonts w:ascii="Times New Roman" w:eastAsia="Times New Roman" w:hAnsi="Times New Roman" w:cs="Times New Roman"/>
          <w:b/>
          <w:kern w:val="0"/>
          <w:sz w:val="22"/>
          <w:szCs w:val="22"/>
          <w14:ligatures w14:val="none"/>
        </w:rPr>
        <w:t>Table 4.</w:t>
      </w:r>
      <w:r w:rsidRPr="007E6361">
        <w:rPr>
          <w:rFonts w:ascii="Times New Roman" w:eastAsia="Times New Roman" w:hAnsi="Times New Roman" w:cs="Times New Roman"/>
          <w:b/>
          <w:kern w:val="0"/>
          <w:sz w:val="22"/>
          <w:szCs w:val="22"/>
          <w14:ligatures w14:val="none"/>
        </w:rPr>
        <w:t>2</w:t>
      </w:r>
      <w:r w:rsidRPr="00CC6722">
        <w:rPr>
          <w:rFonts w:ascii="Times New Roman" w:eastAsia="Times New Roman" w:hAnsi="Times New Roman" w:cs="Times New Roman"/>
          <w:b/>
          <w:kern w:val="0"/>
          <w:sz w:val="22"/>
          <w:szCs w:val="22"/>
          <w14:ligatures w14:val="none"/>
        </w:rPr>
        <w:t>: F-Bounds Test for ASGDP model</w:t>
      </w:r>
      <w:bookmarkEnd w:id="12"/>
    </w:p>
    <w:tbl>
      <w:tblPr>
        <w:tblW w:w="0" w:type="auto"/>
        <w:tblLayout w:type="fixed"/>
        <w:tblCellMar>
          <w:left w:w="0" w:type="dxa"/>
          <w:right w:w="0" w:type="dxa"/>
        </w:tblCellMar>
        <w:tblLook w:val="0000" w:firstRow="0" w:lastRow="0" w:firstColumn="0" w:lastColumn="0" w:noHBand="0" w:noVBand="0"/>
      </w:tblPr>
      <w:tblGrid>
        <w:gridCol w:w="2773"/>
        <w:gridCol w:w="1374"/>
        <w:gridCol w:w="1503"/>
        <w:gridCol w:w="1504"/>
        <w:gridCol w:w="1242"/>
      </w:tblGrid>
      <w:tr w:rsidR="00D8206B" w:rsidRPr="00CC6722" w14:paraId="69A21ADA" w14:textId="77777777" w:rsidTr="00D00B3F">
        <w:trPr>
          <w:trHeight w:val="213"/>
        </w:trPr>
        <w:tc>
          <w:tcPr>
            <w:tcW w:w="4147" w:type="dxa"/>
            <w:gridSpan w:val="2"/>
            <w:tcBorders>
              <w:top w:val="single" w:sz="4" w:space="0" w:color="auto"/>
              <w:left w:val="nil"/>
              <w:bottom w:val="nil"/>
              <w:right w:val="nil"/>
            </w:tcBorders>
            <w:vAlign w:val="bottom"/>
          </w:tcPr>
          <w:p w14:paraId="5089C411"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t>F-Bounds Test</w:t>
            </w:r>
          </w:p>
        </w:tc>
        <w:tc>
          <w:tcPr>
            <w:tcW w:w="4249" w:type="dxa"/>
            <w:gridSpan w:val="3"/>
            <w:tcBorders>
              <w:top w:val="single" w:sz="4" w:space="0" w:color="auto"/>
              <w:left w:val="nil"/>
              <w:bottom w:val="nil"/>
              <w:right w:val="nil"/>
            </w:tcBorders>
            <w:vAlign w:val="bottom"/>
          </w:tcPr>
          <w:p w14:paraId="5033ADDF"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t>Null Hypothesis: No levels relationship</w:t>
            </w:r>
          </w:p>
        </w:tc>
      </w:tr>
      <w:tr w:rsidR="00D8206B" w:rsidRPr="00CC6722" w14:paraId="33ED0C5B" w14:textId="77777777" w:rsidTr="00D00B3F">
        <w:trPr>
          <w:trHeight w:hRule="exact" w:val="85"/>
        </w:trPr>
        <w:tc>
          <w:tcPr>
            <w:tcW w:w="2773" w:type="dxa"/>
            <w:tcBorders>
              <w:top w:val="nil"/>
              <w:left w:val="nil"/>
              <w:bottom w:val="single" w:sz="4" w:space="0" w:color="auto"/>
              <w:right w:val="nil"/>
            </w:tcBorders>
            <w:vAlign w:val="bottom"/>
          </w:tcPr>
          <w:p w14:paraId="0AED0B0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373" w:type="dxa"/>
            <w:tcBorders>
              <w:top w:val="nil"/>
              <w:left w:val="nil"/>
              <w:bottom w:val="single" w:sz="4" w:space="0" w:color="auto"/>
              <w:right w:val="nil"/>
            </w:tcBorders>
            <w:vAlign w:val="bottom"/>
          </w:tcPr>
          <w:p w14:paraId="42CD636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3" w:type="dxa"/>
            <w:tcBorders>
              <w:top w:val="nil"/>
              <w:left w:val="nil"/>
              <w:bottom w:val="single" w:sz="4" w:space="0" w:color="auto"/>
              <w:right w:val="nil"/>
            </w:tcBorders>
            <w:vAlign w:val="bottom"/>
          </w:tcPr>
          <w:p w14:paraId="5C6B98BF"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4" w:type="dxa"/>
            <w:tcBorders>
              <w:top w:val="nil"/>
              <w:left w:val="nil"/>
              <w:bottom w:val="single" w:sz="4" w:space="0" w:color="auto"/>
              <w:right w:val="nil"/>
            </w:tcBorders>
            <w:vAlign w:val="bottom"/>
          </w:tcPr>
          <w:p w14:paraId="26CFBCE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241" w:type="dxa"/>
            <w:tcBorders>
              <w:top w:val="nil"/>
              <w:left w:val="nil"/>
              <w:bottom w:val="single" w:sz="4" w:space="0" w:color="auto"/>
              <w:right w:val="nil"/>
            </w:tcBorders>
            <w:vAlign w:val="bottom"/>
          </w:tcPr>
          <w:p w14:paraId="0A8F3B92"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r>
      <w:tr w:rsidR="00D8206B" w:rsidRPr="00CC6722" w14:paraId="0FF8325E" w14:textId="77777777" w:rsidTr="00D00B3F">
        <w:trPr>
          <w:trHeight w:hRule="exact" w:val="128"/>
        </w:trPr>
        <w:tc>
          <w:tcPr>
            <w:tcW w:w="2773" w:type="dxa"/>
            <w:tcBorders>
              <w:top w:val="single" w:sz="4" w:space="0" w:color="auto"/>
              <w:left w:val="nil"/>
              <w:bottom w:val="nil"/>
              <w:right w:val="nil"/>
            </w:tcBorders>
            <w:vAlign w:val="bottom"/>
          </w:tcPr>
          <w:p w14:paraId="27FFE15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373" w:type="dxa"/>
            <w:tcBorders>
              <w:top w:val="single" w:sz="4" w:space="0" w:color="auto"/>
              <w:left w:val="nil"/>
              <w:bottom w:val="nil"/>
              <w:right w:val="nil"/>
            </w:tcBorders>
            <w:vAlign w:val="bottom"/>
          </w:tcPr>
          <w:p w14:paraId="1E75929D"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3" w:type="dxa"/>
            <w:tcBorders>
              <w:top w:val="single" w:sz="4" w:space="0" w:color="auto"/>
              <w:left w:val="nil"/>
              <w:bottom w:val="nil"/>
              <w:right w:val="nil"/>
            </w:tcBorders>
            <w:vAlign w:val="bottom"/>
          </w:tcPr>
          <w:p w14:paraId="1F86651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4" w:type="dxa"/>
            <w:tcBorders>
              <w:top w:val="single" w:sz="4" w:space="0" w:color="auto"/>
              <w:left w:val="nil"/>
              <w:bottom w:val="nil"/>
              <w:right w:val="nil"/>
            </w:tcBorders>
            <w:vAlign w:val="bottom"/>
          </w:tcPr>
          <w:p w14:paraId="01E18F02"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241" w:type="dxa"/>
            <w:tcBorders>
              <w:top w:val="single" w:sz="4" w:space="0" w:color="auto"/>
              <w:left w:val="nil"/>
              <w:bottom w:val="nil"/>
              <w:right w:val="nil"/>
            </w:tcBorders>
            <w:vAlign w:val="bottom"/>
          </w:tcPr>
          <w:p w14:paraId="4537FD2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r>
      <w:tr w:rsidR="00D8206B" w:rsidRPr="00CC6722" w14:paraId="0B5B3FBA" w14:textId="77777777" w:rsidTr="00D00B3F">
        <w:trPr>
          <w:trHeight w:val="213"/>
        </w:trPr>
        <w:tc>
          <w:tcPr>
            <w:tcW w:w="2773" w:type="dxa"/>
            <w:tcBorders>
              <w:top w:val="nil"/>
              <w:left w:val="nil"/>
              <w:bottom w:val="nil"/>
              <w:right w:val="nil"/>
            </w:tcBorders>
            <w:vAlign w:val="bottom"/>
          </w:tcPr>
          <w:p w14:paraId="3FB0FF2A"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t>Test Statistic</w:t>
            </w:r>
          </w:p>
        </w:tc>
        <w:tc>
          <w:tcPr>
            <w:tcW w:w="1373" w:type="dxa"/>
            <w:tcBorders>
              <w:top w:val="nil"/>
              <w:left w:val="nil"/>
              <w:bottom w:val="nil"/>
              <w:right w:val="nil"/>
            </w:tcBorders>
            <w:vAlign w:val="bottom"/>
          </w:tcPr>
          <w:p w14:paraId="0439BEE2"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t>Value</w:t>
            </w:r>
          </w:p>
        </w:tc>
        <w:tc>
          <w:tcPr>
            <w:tcW w:w="1503" w:type="dxa"/>
            <w:tcBorders>
              <w:top w:val="nil"/>
              <w:left w:val="nil"/>
              <w:bottom w:val="nil"/>
              <w:right w:val="nil"/>
            </w:tcBorders>
            <w:vAlign w:val="bottom"/>
          </w:tcPr>
          <w:p w14:paraId="365CA8A9"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proofErr w:type="spellStart"/>
            <w:r w:rsidRPr="00CC6722">
              <w:rPr>
                <w:rFonts w:ascii="Times New Roman" w:eastAsia="Calibri" w:hAnsi="Times New Roman" w:cs="Times New Roman"/>
                <w:b/>
                <w:color w:val="000000"/>
                <w:sz w:val="22"/>
                <w:szCs w:val="22"/>
              </w:rPr>
              <w:t>Signif</w:t>
            </w:r>
            <w:proofErr w:type="spellEnd"/>
            <w:r w:rsidRPr="00CC6722">
              <w:rPr>
                <w:rFonts w:ascii="Times New Roman" w:eastAsia="Calibri" w:hAnsi="Times New Roman" w:cs="Times New Roman"/>
                <w:b/>
                <w:color w:val="000000"/>
                <w:sz w:val="22"/>
                <w:szCs w:val="22"/>
              </w:rPr>
              <w:t>.</w:t>
            </w:r>
          </w:p>
        </w:tc>
        <w:tc>
          <w:tcPr>
            <w:tcW w:w="1504" w:type="dxa"/>
            <w:tcBorders>
              <w:top w:val="nil"/>
              <w:left w:val="nil"/>
              <w:bottom w:val="nil"/>
              <w:right w:val="nil"/>
            </w:tcBorders>
            <w:vAlign w:val="bottom"/>
          </w:tcPr>
          <w:p w14:paraId="1BBF3CF4"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proofErr w:type="gramStart"/>
            <w:r w:rsidRPr="00CC6722">
              <w:rPr>
                <w:rFonts w:ascii="Times New Roman" w:eastAsia="Calibri" w:hAnsi="Times New Roman" w:cs="Times New Roman"/>
                <w:b/>
                <w:color w:val="000000"/>
                <w:sz w:val="22"/>
                <w:szCs w:val="22"/>
              </w:rPr>
              <w:t>I(</w:t>
            </w:r>
            <w:proofErr w:type="gramEnd"/>
            <w:r w:rsidRPr="00CC6722">
              <w:rPr>
                <w:rFonts w:ascii="Times New Roman" w:eastAsia="Calibri" w:hAnsi="Times New Roman" w:cs="Times New Roman"/>
                <w:b/>
                <w:color w:val="000000"/>
                <w:sz w:val="22"/>
                <w:szCs w:val="22"/>
              </w:rPr>
              <w:t>0)</w:t>
            </w:r>
          </w:p>
        </w:tc>
        <w:tc>
          <w:tcPr>
            <w:tcW w:w="1241" w:type="dxa"/>
            <w:tcBorders>
              <w:top w:val="nil"/>
              <w:left w:val="nil"/>
              <w:bottom w:val="nil"/>
              <w:right w:val="nil"/>
            </w:tcBorders>
            <w:vAlign w:val="bottom"/>
          </w:tcPr>
          <w:p w14:paraId="12922327"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proofErr w:type="gramStart"/>
            <w:r w:rsidRPr="00CC6722">
              <w:rPr>
                <w:rFonts w:ascii="Times New Roman" w:eastAsia="Calibri" w:hAnsi="Times New Roman" w:cs="Times New Roman"/>
                <w:b/>
                <w:color w:val="000000"/>
                <w:sz w:val="22"/>
                <w:szCs w:val="22"/>
              </w:rPr>
              <w:t>I(</w:t>
            </w:r>
            <w:proofErr w:type="gramEnd"/>
            <w:r w:rsidRPr="00CC6722">
              <w:rPr>
                <w:rFonts w:ascii="Times New Roman" w:eastAsia="Calibri" w:hAnsi="Times New Roman" w:cs="Times New Roman"/>
                <w:b/>
                <w:color w:val="000000"/>
                <w:sz w:val="22"/>
                <w:szCs w:val="22"/>
              </w:rPr>
              <w:t>1)</w:t>
            </w:r>
          </w:p>
        </w:tc>
      </w:tr>
      <w:tr w:rsidR="00D8206B" w:rsidRPr="00CC6722" w14:paraId="49725456" w14:textId="77777777" w:rsidTr="00D00B3F">
        <w:trPr>
          <w:trHeight w:hRule="exact" w:val="85"/>
        </w:trPr>
        <w:tc>
          <w:tcPr>
            <w:tcW w:w="2773" w:type="dxa"/>
            <w:tcBorders>
              <w:top w:val="nil"/>
              <w:left w:val="nil"/>
              <w:bottom w:val="double" w:sz="6" w:space="2" w:color="auto"/>
              <w:right w:val="nil"/>
            </w:tcBorders>
            <w:vAlign w:val="bottom"/>
          </w:tcPr>
          <w:p w14:paraId="46A86AA8"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double" w:sz="6" w:space="2" w:color="auto"/>
              <w:right w:val="nil"/>
            </w:tcBorders>
            <w:vAlign w:val="bottom"/>
          </w:tcPr>
          <w:p w14:paraId="46108FB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double" w:sz="6" w:space="2" w:color="auto"/>
              <w:right w:val="nil"/>
            </w:tcBorders>
            <w:vAlign w:val="bottom"/>
          </w:tcPr>
          <w:p w14:paraId="046538E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4" w:type="dxa"/>
            <w:tcBorders>
              <w:top w:val="nil"/>
              <w:left w:val="nil"/>
              <w:bottom w:val="double" w:sz="6" w:space="2" w:color="auto"/>
              <w:right w:val="nil"/>
            </w:tcBorders>
            <w:vAlign w:val="bottom"/>
          </w:tcPr>
          <w:p w14:paraId="3A454B04"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41" w:type="dxa"/>
            <w:tcBorders>
              <w:top w:val="nil"/>
              <w:left w:val="nil"/>
              <w:bottom w:val="double" w:sz="6" w:space="2" w:color="auto"/>
              <w:right w:val="nil"/>
            </w:tcBorders>
            <w:vAlign w:val="bottom"/>
          </w:tcPr>
          <w:p w14:paraId="0F5BA26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6B71DB2E" w14:textId="77777777" w:rsidTr="00D00B3F">
        <w:trPr>
          <w:trHeight w:hRule="exact" w:val="128"/>
        </w:trPr>
        <w:tc>
          <w:tcPr>
            <w:tcW w:w="2773" w:type="dxa"/>
            <w:tcBorders>
              <w:top w:val="nil"/>
              <w:left w:val="nil"/>
              <w:bottom w:val="nil"/>
              <w:right w:val="nil"/>
            </w:tcBorders>
            <w:vAlign w:val="bottom"/>
          </w:tcPr>
          <w:p w14:paraId="421A37F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02E0E41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089AB0B4"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4" w:type="dxa"/>
            <w:tcBorders>
              <w:top w:val="nil"/>
              <w:left w:val="nil"/>
              <w:bottom w:val="nil"/>
              <w:right w:val="nil"/>
            </w:tcBorders>
            <w:vAlign w:val="bottom"/>
          </w:tcPr>
          <w:p w14:paraId="3179B047"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41" w:type="dxa"/>
            <w:tcBorders>
              <w:top w:val="nil"/>
              <w:left w:val="nil"/>
              <w:bottom w:val="nil"/>
              <w:right w:val="nil"/>
            </w:tcBorders>
            <w:vAlign w:val="bottom"/>
          </w:tcPr>
          <w:p w14:paraId="246C57D2"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1CCA7E88" w14:textId="77777777" w:rsidTr="00D00B3F">
        <w:trPr>
          <w:trHeight w:val="213"/>
        </w:trPr>
        <w:tc>
          <w:tcPr>
            <w:tcW w:w="2773" w:type="dxa"/>
            <w:tcBorders>
              <w:top w:val="nil"/>
              <w:left w:val="nil"/>
              <w:bottom w:val="nil"/>
              <w:right w:val="nil"/>
            </w:tcBorders>
            <w:vAlign w:val="bottom"/>
          </w:tcPr>
          <w:p w14:paraId="09F26BA3"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3418081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18FAEC7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4" w:type="dxa"/>
            <w:tcBorders>
              <w:top w:val="nil"/>
              <w:left w:val="nil"/>
              <w:bottom w:val="nil"/>
              <w:right w:val="nil"/>
            </w:tcBorders>
            <w:vAlign w:val="bottom"/>
          </w:tcPr>
          <w:p w14:paraId="6D4F4F9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Asymptotic: n=1000</w:t>
            </w:r>
          </w:p>
        </w:tc>
        <w:tc>
          <w:tcPr>
            <w:tcW w:w="1241" w:type="dxa"/>
            <w:tcBorders>
              <w:top w:val="nil"/>
              <w:left w:val="nil"/>
              <w:bottom w:val="nil"/>
              <w:right w:val="nil"/>
            </w:tcBorders>
            <w:vAlign w:val="bottom"/>
          </w:tcPr>
          <w:p w14:paraId="16AD98C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00BF1E47" w14:textId="77777777" w:rsidTr="00D00B3F">
        <w:trPr>
          <w:trHeight w:val="213"/>
        </w:trPr>
        <w:tc>
          <w:tcPr>
            <w:tcW w:w="2773" w:type="dxa"/>
            <w:tcBorders>
              <w:top w:val="nil"/>
              <w:left w:val="nil"/>
              <w:bottom w:val="nil"/>
              <w:right w:val="nil"/>
            </w:tcBorders>
            <w:vAlign w:val="bottom"/>
          </w:tcPr>
          <w:p w14:paraId="1F64ED64"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F-statistic</w:t>
            </w:r>
          </w:p>
        </w:tc>
        <w:tc>
          <w:tcPr>
            <w:tcW w:w="1373" w:type="dxa"/>
            <w:tcBorders>
              <w:top w:val="nil"/>
              <w:left w:val="nil"/>
              <w:bottom w:val="nil"/>
              <w:right w:val="nil"/>
            </w:tcBorders>
            <w:vAlign w:val="bottom"/>
          </w:tcPr>
          <w:p w14:paraId="7DF3E1D4"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 9.079871</w:t>
            </w:r>
          </w:p>
        </w:tc>
        <w:tc>
          <w:tcPr>
            <w:tcW w:w="1503" w:type="dxa"/>
            <w:tcBorders>
              <w:top w:val="nil"/>
              <w:left w:val="nil"/>
              <w:bottom w:val="nil"/>
              <w:right w:val="nil"/>
            </w:tcBorders>
            <w:vAlign w:val="bottom"/>
          </w:tcPr>
          <w:p w14:paraId="102B6D51"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10%  </w:t>
            </w:r>
          </w:p>
        </w:tc>
        <w:tc>
          <w:tcPr>
            <w:tcW w:w="1504" w:type="dxa"/>
            <w:tcBorders>
              <w:top w:val="nil"/>
              <w:left w:val="nil"/>
              <w:bottom w:val="nil"/>
              <w:right w:val="nil"/>
            </w:tcBorders>
            <w:vAlign w:val="bottom"/>
          </w:tcPr>
          <w:p w14:paraId="6D0D7418"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2.37</w:t>
            </w:r>
          </w:p>
        </w:tc>
        <w:tc>
          <w:tcPr>
            <w:tcW w:w="1241" w:type="dxa"/>
            <w:tcBorders>
              <w:top w:val="nil"/>
              <w:left w:val="nil"/>
              <w:bottom w:val="nil"/>
              <w:right w:val="nil"/>
            </w:tcBorders>
            <w:vAlign w:val="bottom"/>
          </w:tcPr>
          <w:p w14:paraId="382BBB59"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3.2</w:t>
            </w:r>
          </w:p>
        </w:tc>
      </w:tr>
      <w:tr w:rsidR="00D8206B" w:rsidRPr="00CC6722" w14:paraId="6B962A9A" w14:textId="77777777" w:rsidTr="00D00B3F">
        <w:trPr>
          <w:trHeight w:val="213"/>
        </w:trPr>
        <w:tc>
          <w:tcPr>
            <w:tcW w:w="2773" w:type="dxa"/>
            <w:tcBorders>
              <w:top w:val="nil"/>
              <w:left w:val="nil"/>
              <w:bottom w:val="nil"/>
              <w:right w:val="nil"/>
            </w:tcBorders>
            <w:vAlign w:val="bottom"/>
          </w:tcPr>
          <w:p w14:paraId="3EF92E35"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K</w:t>
            </w:r>
          </w:p>
        </w:tc>
        <w:tc>
          <w:tcPr>
            <w:tcW w:w="1373" w:type="dxa"/>
            <w:tcBorders>
              <w:top w:val="nil"/>
              <w:left w:val="nil"/>
              <w:bottom w:val="nil"/>
              <w:right w:val="nil"/>
            </w:tcBorders>
            <w:vAlign w:val="bottom"/>
          </w:tcPr>
          <w:p w14:paraId="786E8BB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w:t>
            </w:r>
          </w:p>
        </w:tc>
        <w:tc>
          <w:tcPr>
            <w:tcW w:w="1503" w:type="dxa"/>
            <w:tcBorders>
              <w:top w:val="nil"/>
              <w:left w:val="nil"/>
              <w:bottom w:val="nil"/>
              <w:right w:val="nil"/>
            </w:tcBorders>
            <w:vAlign w:val="bottom"/>
          </w:tcPr>
          <w:p w14:paraId="43F3807E"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  </w:t>
            </w:r>
          </w:p>
        </w:tc>
        <w:tc>
          <w:tcPr>
            <w:tcW w:w="1504" w:type="dxa"/>
            <w:tcBorders>
              <w:top w:val="nil"/>
              <w:left w:val="nil"/>
              <w:bottom w:val="nil"/>
              <w:right w:val="nil"/>
            </w:tcBorders>
            <w:vAlign w:val="bottom"/>
          </w:tcPr>
          <w:p w14:paraId="6F95297A"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2.79</w:t>
            </w:r>
          </w:p>
        </w:tc>
        <w:tc>
          <w:tcPr>
            <w:tcW w:w="1241" w:type="dxa"/>
            <w:tcBorders>
              <w:top w:val="nil"/>
              <w:left w:val="nil"/>
              <w:bottom w:val="nil"/>
              <w:right w:val="nil"/>
            </w:tcBorders>
            <w:vAlign w:val="bottom"/>
          </w:tcPr>
          <w:p w14:paraId="48652701"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3.67</w:t>
            </w:r>
          </w:p>
        </w:tc>
      </w:tr>
      <w:tr w:rsidR="00D8206B" w:rsidRPr="00CC6722" w14:paraId="38C9E7EC" w14:textId="77777777" w:rsidTr="00D00B3F">
        <w:trPr>
          <w:trHeight w:val="213"/>
        </w:trPr>
        <w:tc>
          <w:tcPr>
            <w:tcW w:w="2773" w:type="dxa"/>
            <w:tcBorders>
              <w:top w:val="nil"/>
              <w:left w:val="nil"/>
              <w:bottom w:val="nil"/>
              <w:right w:val="nil"/>
            </w:tcBorders>
            <w:vAlign w:val="bottom"/>
          </w:tcPr>
          <w:p w14:paraId="7AED3C98"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7A3A8DB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335BF1D0"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2.5%  </w:t>
            </w:r>
          </w:p>
        </w:tc>
        <w:tc>
          <w:tcPr>
            <w:tcW w:w="1504" w:type="dxa"/>
            <w:tcBorders>
              <w:top w:val="nil"/>
              <w:left w:val="nil"/>
              <w:bottom w:val="nil"/>
              <w:right w:val="nil"/>
            </w:tcBorders>
            <w:vAlign w:val="bottom"/>
          </w:tcPr>
          <w:p w14:paraId="695878EC"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3.15</w:t>
            </w:r>
          </w:p>
        </w:tc>
        <w:tc>
          <w:tcPr>
            <w:tcW w:w="1241" w:type="dxa"/>
            <w:tcBorders>
              <w:top w:val="nil"/>
              <w:left w:val="nil"/>
              <w:bottom w:val="nil"/>
              <w:right w:val="nil"/>
            </w:tcBorders>
            <w:vAlign w:val="bottom"/>
          </w:tcPr>
          <w:p w14:paraId="0223F711"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4.08</w:t>
            </w:r>
          </w:p>
        </w:tc>
      </w:tr>
      <w:tr w:rsidR="00D8206B" w:rsidRPr="00CC6722" w14:paraId="6095D238" w14:textId="77777777" w:rsidTr="00D00B3F">
        <w:trPr>
          <w:trHeight w:val="213"/>
        </w:trPr>
        <w:tc>
          <w:tcPr>
            <w:tcW w:w="2773" w:type="dxa"/>
            <w:tcBorders>
              <w:top w:val="nil"/>
              <w:left w:val="nil"/>
              <w:bottom w:val="nil"/>
              <w:right w:val="nil"/>
            </w:tcBorders>
            <w:vAlign w:val="bottom"/>
          </w:tcPr>
          <w:p w14:paraId="34D30AAD"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1F4D5356"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7482BE77"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  </w:t>
            </w:r>
          </w:p>
        </w:tc>
        <w:tc>
          <w:tcPr>
            <w:tcW w:w="1504" w:type="dxa"/>
            <w:tcBorders>
              <w:top w:val="nil"/>
              <w:left w:val="nil"/>
              <w:bottom w:val="nil"/>
              <w:right w:val="nil"/>
            </w:tcBorders>
            <w:vAlign w:val="bottom"/>
          </w:tcPr>
          <w:p w14:paraId="56D1CC39"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3.65</w:t>
            </w:r>
          </w:p>
        </w:tc>
        <w:tc>
          <w:tcPr>
            <w:tcW w:w="1241" w:type="dxa"/>
            <w:tcBorders>
              <w:top w:val="nil"/>
              <w:left w:val="nil"/>
              <w:bottom w:val="nil"/>
              <w:right w:val="nil"/>
            </w:tcBorders>
            <w:vAlign w:val="bottom"/>
          </w:tcPr>
          <w:p w14:paraId="49947D40"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4.66</w:t>
            </w:r>
          </w:p>
        </w:tc>
      </w:tr>
      <w:tr w:rsidR="00D8206B" w:rsidRPr="00CC6722" w14:paraId="02183447" w14:textId="77777777" w:rsidTr="00D00B3F">
        <w:trPr>
          <w:trHeight w:val="213"/>
        </w:trPr>
        <w:tc>
          <w:tcPr>
            <w:tcW w:w="2773" w:type="dxa"/>
            <w:tcBorders>
              <w:top w:val="nil"/>
              <w:left w:val="nil"/>
              <w:bottom w:val="nil"/>
              <w:right w:val="nil"/>
            </w:tcBorders>
            <w:vAlign w:val="bottom"/>
          </w:tcPr>
          <w:p w14:paraId="6EAEA39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3CC7556A"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462490C2"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4" w:type="dxa"/>
            <w:tcBorders>
              <w:top w:val="nil"/>
              <w:left w:val="nil"/>
              <w:bottom w:val="nil"/>
              <w:right w:val="nil"/>
            </w:tcBorders>
            <w:vAlign w:val="bottom"/>
          </w:tcPr>
          <w:p w14:paraId="03D246BC"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41" w:type="dxa"/>
            <w:tcBorders>
              <w:top w:val="nil"/>
              <w:left w:val="nil"/>
              <w:bottom w:val="nil"/>
              <w:right w:val="nil"/>
            </w:tcBorders>
            <w:vAlign w:val="bottom"/>
          </w:tcPr>
          <w:p w14:paraId="34F04F1F"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31914FB8" w14:textId="77777777" w:rsidTr="00D00B3F">
        <w:trPr>
          <w:trHeight w:val="213"/>
        </w:trPr>
        <w:tc>
          <w:tcPr>
            <w:tcW w:w="2773" w:type="dxa"/>
            <w:tcBorders>
              <w:top w:val="nil"/>
              <w:left w:val="nil"/>
              <w:bottom w:val="nil"/>
              <w:right w:val="nil"/>
            </w:tcBorders>
            <w:vAlign w:val="bottom"/>
          </w:tcPr>
          <w:p w14:paraId="759A3D5D"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Actual Sample Size</w:t>
            </w:r>
          </w:p>
        </w:tc>
        <w:tc>
          <w:tcPr>
            <w:tcW w:w="1373" w:type="dxa"/>
            <w:tcBorders>
              <w:top w:val="nil"/>
              <w:left w:val="nil"/>
              <w:bottom w:val="nil"/>
              <w:right w:val="nil"/>
            </w:tcBorders>
            <w:vAlign w:val="bottom"/>
          </w:tcPr>
          <w:p w14:paraId="3931141F"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30</w:t>
            </w:r>
          </w:p>
        </w:tc>
        <w:tc>
          <w:tcPr>
            <w:tcW w:w="1503" w:type="dxa"/>
            <w:tcBorders>
              <w:top w:val="nil"/>
              <w:left w:val="nil"/>
              <w:bottom w:val="nil"/>
              <w:right w:val="nil"/>
            </w:tcBorders>
            <w:vAlign w:val="bottom"/>
          </w:tcPr>
          <w:p w14:paraId="2ADDB31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4" w:type="dxa"/>
            <w:tcBorders>
              <w:top w:val="nil"/>
              <w:left w:val="nil"/>
              <w:bottom w:val="nil"/>
              <w:right w:val="nil"/>
            </w:tcBorders>
            <w:vAlign w:val="bottom"/>
          </w:tcPr>
          <w:p w14:paraId="162B69CC"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Finite Sample: n=30</w:t>
            </w:r>
          </w:p>
        </w:tc>
        <w:tc>
          <w:tcPr>
            <w:tcW w:w="1241" w:type="dxa"/>
            <w:tcBorders>
              <w:top w:val="nil"/>
              <w:left w:val="nil"/>
              <w:bottom w:val="nil"/>
              <w:right w:val="nil"/>
            </w:tcBorders>
            <w:vAlign w:val="bottom"/>
          </w:tcPr>
          <w:p w14:paraId="1A8669B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4E1F1AA2" w14:textId="77777777" w:rsidTr="00D00B3F">
        <w:trPr>
          <w:trHeight w:val="213"/>
        </w:trPr>
        <w:tc>
          <w:tcPr>
            <w:tcW w:w="2773" w:type="dxa"/>
            <w:tcBorders>
              <w:top w:val="nil"/>
              <w:left w:val="nil"/>
              <w:bottom w:val="nil"/>
              <w:right w:val="nil"/>
            </w:tcBorders>
            <w:vAlign w:val="bottom"/>
          </w:tcPr>
          <w:p w14:paraId="2EAC03F6"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1820BE1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3B2994BB"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10%  </w:t>
            </w:r>
          </w:p>
        </w:tc>
        <w:tc>
          <w:tcPr>
            <w:tcW w:w="1504" w:type="dxa"/>
            <w:tcBorders>
              <w:top w:val="nil"/>
              <w:left w:val="nil"/>
              <w:bottom w:val="nil"/>
              <w:right w:val="nil"/>
            </w:tcBorders>
            <w:vAlign w:val="bottom"/>
          </w:tcPr>
          <w:p w14:paraId="453BA6FF"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2.676</w:t>
            </w:r>
          </w:p>
        </w:tc>
        <w:tc>
          <w:tcPr>
            <w:tcW w:w="1241" w:type="dxa"/>
            <w:tcBorders>
              <w:top w:val="nil"/>
              <w:left w:val="nil"/>
              <w:bottom w:val="nil"/>
              <w:right w:val="nil"/>
            </w:tcBorders>
            <w:vAlign w:val="bottom"/>
          </w:tcPr>
          <w:p w14:paraId="1C824F0B"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3.586</w:t>
            </w:r>
          </w:p>
        </w:tc>
      </w:tr>
      <w:tr w:rsidR="00D8206B" w:rsidRPr="00CC6722" w14:paraId="4C2C78DE" w14:textId="77777777" w:rsidTr="00D00B3F">
        <w:trPr>
          <w:trHeight w:val="213"/>
        </w:trPr>
        <w:tc>
          <w:tcPr>
            <w:tcW w:w="2773" w:type="dxa"/>
            <w:tcBorders>
              <w:top w:val="nil"/>
              <w:left w:val="nil"/>
              <w:bottom w:val="nil"/>
              <w:right w:val="nil"/>
            </w:tcBorders>
            <w:vAlign w:val="bottom"/>
          </w:tcPr>
          <w:p w14:paraId="1A4D973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2DADDA37"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0199384A"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  </w:t>
            </w:r>
          </w:p>
        </w:tc>
        <w:tc>
          <w:tcPr>
            <w:tcW w:w="1504" w:type="dxa"/>
            <w:tcBorders>
              <w:top w:val="nil"/>
              <w:left w:val="nil"/>
              <w:bottom w:val="nil"/>
              <w:right w:val="nil"/>
            </w:tcBorders>
            <w:vAlign w:val="bottom"/>
          </w:tcPr>
          <w:p w14:paraId="6E112D38"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3.272</w:t>
            </w:r>
          </w:p>
        </w:tc>
        <w:tc>
          <w:tcPr>
            <w:tcW w:w="1241" w:type="dxa"/>
            <w:tcBorders>
              <w:top w:val="nil"/>
              <w:left w:val="nil"/>
              <w:bottom w:val="nil"/>
              <w:right w:val="nil"/>
            </w:tcBorders>
            <w:vAlign w:val="bottom"/>
          </w:tcPr>
          <w:p w14:paraId="2400C258"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4.306</w:t>
            </w:r>
          </w:p>
        </w:tc>
      </w:tr>
      <w:tr w:rsidR="00D8206B" w:rsidRPr="00CC6722" w14:paraId="0620B022" w14:textId="77777777" w:rsidTr="00D00B3F">
        <w:trPr>
          <w:trHeight w:val="213"/>
        </w:trPr>
        <w:tc>
          <w:tcPr>
            <w:tcW w:w="2773" w:type="dxa"/>
            <w:tcBorders>
              <w:top w:val="nil"/>
              <w:left w:val="nil"/>
              <w:bottom w:val="nil"/>
              <w:right w:val="nil"/>
            </w:tcBorders>
            <w:vAlign w:val="bottom"/>
          </w:tcPr>
          <w:p w14:paraId="6125C0C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nil"/>
              <w:right w:val="nil"/>
            </w:tcBorders>
            <w:vAlign w:val="bottom"/>
          </w:tcPr>
          <w:p w14:paraId="0060795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nil"/>
              <w:right w:val="nil"/>
            </w:tcBorders>
            <w:vAlign w:val="bottom"/>
          </w:tcPr>
          <w:p w14:paraId="101CC90B"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  </w:t>
            </w:r>
          </w:p>
        </w:tc>
        <w:tc>
          <w:tcPr>
            <w:tcW w:w="1504" w:type="dxa"/>
            <w:tcBorders>
              <w:top w:val="nil"/>
              <w:left w:val="nil"/>
              <w:bottom w:val="nil"/>
              <w:right w:val="nil"/>
            </w:tcBorders>
            <w:vAlign w:val="bottom"/>
          </w:tcPr>
          <w:p w14:paraId="3B595FD3"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4.614</w:t>
            </w:r>
          </w:p>
        </w:tc>
        <w:tc>
          <w:tcPr>
            <w:tcW w:w="1241" w:type="dxa"/>
            <w:tcBorders>
              <w:top w:val="nil"/>
              <w:left w:val="nil"/>
              <w:bottom w:val="nil"/>
              <w:right w:val="nil"/>
            </w:tcBorders>
            <w:vAlign w:val="bottom"/>
          </w:tcPr>
          <w:p w14:paraId="6EBDE5AA"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5.966</w:t>
            </w:r>
          </w:p>
        </w:tc>
      </w:tr>
      <w:tr w:rsidR="00D8206B" w:rsidRPr="00CC6722" w14:paraId="56516500" w14:textId="77777777" w:rsidTr="00D00B3F">
        <w:trPr>
          <w:trHeight w:hRule="exact" w:val="85"/>
        </w:trPr>
        <w:tc>
          <w:tcPr>
            <w:tcW w:w="2773" w:type="dxa"/>
            <w:tcBorders>
              <w:top w:val="nil"/>
              <w:left w:val="nil"/>
              <w:bottom w:val="double" w:sz="6" w:space="0" w:color="auto"/>
              <w:right w:val="nil"/>
            </w:tcBorders>
            <w:vAlign w:val="bottom"/>
          </w:tcPr>
          <w:p w14:paraId="2F11C81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3" w:type="dxa"/>
            <w:tcBorders>
              <w:top w:val="nil"/>
              <w:left w:val="nil"/>
              <w:bottom w:val="double" w:sz="6" w:space="0" w:color="auto"/>
              <w:right w:val="nil"/>
            </w:tcBorders>
            <w:vAlign w:val="bottom"/>
          </w:tcPr>
          <w:p w14:paraId="5836F07A"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3" w:type="dxa"/>
            <w:tcBorders>
              <w:top w:val="nil"/>
              <w:left w:val="nil"/>
              <w:bottom w:val="double" w:sz="6" w:space="0" w:color="auto"/>
              <w:right w:val="nil"/>
            </w:tcBorders>
            <w:vAlign w:val="bottom"/>
          </w:tcPr>
          <w:p w14:paraId="4EB4606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4" w:type="dxa"/>
            <w:tcBorders>
              <w:top w:val="nil"/>
              <w:left w:val="nil"/>
              <w:bottom w:val="double" w:sz="6" w:space="0" w:color="auto"/>
              <w:right w:val="nil"/>
            </w:tcBorders>
            <w:vAlign w:val="bottom"/>
          </w:tcPr>
          <w:p w14:paraId="78E2E7F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41" w:type="dxa"/>
            <w:tcBorders>
              <w:top w:val="nil"/>
              <w:left w:val="nil"/>
              <w:bottom w:val="double" w:sz="6" w:space="0" w:color="auto"/>
              <w:right w:val="nil"/>
            </w:tcBorders>
            <w:vAlign w:val="bottom"/>
          </w:tcPr>
          <w:p w14:paraId="33EAEB4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bl>
    <w:p w14:paraId="0B9C9927" w14:textId="77777777" w:rsidR="00D8206B" w:rsidRPr="00CC6722" w:rsidRDefault="00D8206B" w:rsidP="00D8206B">
      <w:pPr>
        <w:spacing w:after="0" w:line="276" w:lineRule="auto"/>
        <w:jc w:val="both"/>
        <w:rPr>
          <w:rFonts w:ascii="Times New Roman" w:eastAsia="Calibri" w:hAnsi="Times New Roman" w:cs="Times New Roman"/>
          <w:sz w:val="22"/>
          <w:szCs w:val="22"/>
        </w:rPr>
      </w:pPr>
      <w:r w:rsidRPr="00CC6722">
        <w:rPr>
          <w:rFonts w:ascii="Times New Roman" w:eastAsia="Calibri" w:hAnsi="Times New Roman" w:cs="Times New Roman"/>
          <w:b/>
          <w:sz w:val="22"/>
          <w:szCs w:val="22"/>
        </w:rPr>
        <w:t>Source:</w:t>
      </w:r>
      <w:r w:rsidRPr="00CC6722">
        <w:rPr>
          <w:rFonts w:ascii="Times New Roman" w:eastAsia="Calibri" w:hAnsi="Times New Roman" w:cs="Times New Roman"/>
          <w:sz w:val="22"/>
          <w:szCs w:val="22"/>
        </w:rPr>
        <w:t xml:space="preserve"> Author’s computations with E-views Version 10 (2025)</w:t>
      </w:r>
    </w:p>
    <w:p w14:paraId="11AC3314" w14:textId="77777777" w:rsidR="00D8206B"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 xml:space="preserve">The computed F-statistics of </w:t>
      </w:r>
      <w:r w:rsidRPr="00CC6722">
        <w:rPr>
          <w:rFonts w:ascii="Times New Roman" w:eastAsia="Calibri" w:hAnsi="Times New Roman" w:cs="Times New Roman"/>
          <w:color w:val="000000"/>
          <w:sz w:val="22"/>
          <w:szCs w:val="22"/>
        </w:rPr>
        <w:t>9.079871</w:t>
      </w:r>
      <w:r w:rsidRPr="007E6361">
        <w:rPr>
          <w:rFonts w:ascii="Times New Roman" w:eastAsia="Calibri" w:hAnsi="Times New Roman" w:cs="Times New Roman"/>
          <w:color w:val="000000"/>
          <w:sz w:val="22"/>
          <w:szCs w:val="22"/>
        </w:rPr>
        <w:t xml:space="preserve"> </w:t>
      </w:r>
      <w:r w:rsidRPr="007E6361">
        <w:rPr>
          <w:rFonts w:ascii="Times New Roman" w:hAnsi="Times New Roman" w:cs="Times New Roman"/>
          <w:sz w:val="22"/>
          <w:szCs w:val="22"/>
        </w:rPr>
        <w:t>at a 5% p-value confirm the presence of cointegration in AGDP model as the bounds test F-statistic exceed the upper critical value at all the significance levels. Therefore, there is existence of a long-term relationship among the AGDP, ED, DD and DGDP.  Therefore, there is strong evidence of long run equilibrium relationship among the variables in the model is rejected.</w:t>
      </w:r>
    </w:p>
    <w:p w14:paraId="25BBD9BA" w14:textId="77777777" w:rsidR="00D24E0B" w:rsidRDefault="00D24E0B" w:rsidP="00D8206B">
      <w:pPr>
        <w:spacing w:after="0" w:line="276" w:lineRule="auto"/>
        <w:jc w:val="both"/>
        <w:rPr>
          <w:rFonts w:ascii="Times New Roman" w:hAnsi="Times New Roman" w:cs="Times New Roman"/>
          <w:sz w:val="22"/>
          <w:szCs w:val="22"/>
        </w:rPr>
      </w:pPr>
    </w:p>
    <w:p w14:paraId="16304BCD" w14:textId="77777777" w:rsidR="00D8206B" w:rsidRPr="00C51A7B" w:rsidRDefault="00D8206B" w:rsidP="00D8206B">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bookmarkStart w:id="13" w:name="_Toc214835440"/>
      <w:r w:rsidRPr="00C51A7B">
        <w:rPr>
          <w:rFonts w:ascii="Times New Roman" w:eastAsia="Times New Roman" w:hAnsi="Times New Roman" w:cs="Times New Roman"/>
          <w:b/>
          <w:kern w:val="0"/>
          <w:sz w:val="22"/>
          <w:szCs w:val="22"/>
          <w14:ligatures w14:val="none"/>
        </w:rPr>
        <w:t>Table 4.</w:t>
      </w:r>
      <w:r w:rsidRPr="007E6361">
        <w:rPr>
          <w:rFonts w:ascii="Times New Roman" w:eastAsia="Times New Roman" w:hAnsi="Times New Roman" w:cs="Times New Roman"/>
          <w:b/>
          <w:kern w:val="0"/>
          <w:sz w:val="22"/>
          <w:szCs w:val="22"/>
          <w14:ligatures w14:val="none"/>
        </w:rPr>
        <w:t>3</w:t>
      </w:r>
      <w:r w:rsidRPr="00C51A7B">
        <w:rPr>
          <w:rFonts w:ascii="Times New Roman" w:eastAsia="Times New Roman" w:hAnsi="Times New Roman" w:cs="Times New Roman"/>
          <w:b/>
          <w:kern w:val="0"/>
          <w:sz w:val="22"/>
          <w:szCs w:val="22"/>
          <w14:ligatures w14:val="none"/>
        </w:rPr>
        <w:t xml:space="preserve">: Long run estimate of ASGDP Model based on </w:t>
      </w:r>
      <w:proofErr w:type="gramStart"/>
      <w:r w:rsidRPr="00C51A7B">
        <w:rPr>
          <w:rFonts w:ascii="Times New Roman" w:eastAsia="Times New Roman" w:hAnsi="Times New Roman" w:cs="Times New Roman"/>
          <w:b/>
          <w:kern w:val="0"/>
          <w:sz w:val="22"/>
          <w:szCs w:val="22"/>
          <w14:ligatures w14:val="none"/>
        </w:rPr>
        <w:t>ARDL(</w:t>
      </w:r>
      <w:proofErr w:type="gramEnd"/>
      <w:r w:rsidRPr="00C51A7B">
        <w:rPr>
          <w:rFonts w:ascii="Times New Roman" w:eastAsia="Times New Roman" w:hAnsi="Times New Roman" w:cs="Times New Roman"/>
          <w:b/>
          <w:kern w:val="0"/>
          <w:sz w:val="22"/>
          <w:szCs w:val="22"/>
          <w14:ligatures w14:val="none"/>
        </w:rPr>
        <w:t>1, 4, 3, 4).</w:t>
      </w:r>
      <w:bookmarkEnd w:id="13"/>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D8206B" w:rsidRPr="00C51A7B" w14:paraId="39F85AEA" w14:textId="77777777" w:rsidTr="00D00B3F">
        <w:trPr>
          <w:trHeight w:hRule="exact" w:val="90"/>
        </w:trPr>
        <w:tc>
          <w:tcPr>
            <w:tcW w:w="2017" w:type="dxa"/>
            <w:tcBorders>
              <w:top w:val="nil"/>
              <w:left w:val="nil"/>
              <w:bottom w:val="double" w:sz="6" w:space="2" w:color="auto"/>
              <w:right w:val="nil"/>
            </w:tcBorders>
            <w:vAlign w:val="bottom"/>
          </w:tcPr>
          <w:p w14:paraId="55D8C08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double" w:sz="6" w:space="2" w:color="auto"/>
              <w:right w:val="nil"/>
            </w:tcBorders>
            <w:vAlign w:val="bottom"/>
          </w:tcPr>
          <w:p w14:paraId="775ED8B3"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double" w:sz="6" w:space="2" w:color="auto"/>
              <w:right w:val="nil"/>
            </w:tcBorders>
            <w:vAlign w:val="bottom"/>
          </w:tcPr>
          <w:p w14:paraId="0CAC4D2E"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double" w:sz="6" w:space="2" w:color="auto"/>
              <w:right w:val="nil"/>
            </w:tcBorders>
            <w:vAlign w:val="bottom"/>
          </w:tcPr>
          <w:p w14:paraId="4919A4D1"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double" w:sz="6" w:space="2" w:color="auto"/>
              <w:right w:val="nil"/>
            </w:tcBorders>
            <w:vAlign w:val="bottom"/>
          </w:tcPr>
          <w:p w14:paraId="77D4CE39"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7AC9058C" w14:textId="77777777" w:rsidTr="00D00B3F">
        <w:trPr>
          <w:trHeight w:hRule="exact" w:val="135"/>
        </w:trPr>
        <w:tc>
          <w:tcPr>
            <w:tcW w:w="2017" w:type="dxa"/>
            <w:tcBorders>
              <w:top w:val="nil"/>
              <w:left w:val="nil"/>
              <w:bottom w:val="nil"/>
              <w:right w:val="nil"/>
            </w:tcBorders>
            <w:vAlign w:val="bottom"/>
          </w:tcPr>
          <w:p w14:paraId="07C4A6BE"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nil"/>
              <w:right w:val="nil"/>
            </w:tcBorders>
            <w:vAlign w:val="bottom"/>
          </w:tcPr>
          <w:p w14:paraId="1E3D716F"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nil"/>
              <w:right w:val="nil"/>
            </w:tcBorders>
            <w:vAlign w:val="bottom"/>
          </w:tcPr>
          <w:p w14:paraId="363581D2"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nil"/>
              <w:right w:val="nil"/>
            </w:tcBorders>
            <w:vAlign w:val="bottom"/>
          </w:tcPr>
          <w:p w14:paraId="3DC22E9B"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nil"/>
              <w:right w:val="nil"/>
            </w:tcBorders>
            <w:vAlign w:val="bottom"/>
          </w:tcPr>
          <w:p w14:paraId="5D82B790"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5A7DCEF6" w14:textId="77777777" w:rsidTr="00D00B3F">
        <w:trPr>
          <w:trHeight w:val="225"/>
        </w:trPr>
        <w:tc>
          <w:tcPr>
            <w:tcW w:w="2017" w:type="dxa"/>
            <w:tcBorders>
              <w:top w:val="nil"/>
              <w:left w:val="nil"/>
              <w:bottom w:val="nil"/>
              <w:right w:val="nil"/>
            </w:tcBorders>
            <w:vAlign w:val="bottom"/>
          </w:tcPr>
          <w:p w14:paraId="0CE6BDD4"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Variable</w:t>
            </w:r>
          </w:p>
        </w:tc>
        <w:tc>
          <w:tcPr>
            <w:tcW w:w="1103" w:type="dxa"/>
            <w:tcBorders>
              <w:top w:val="nil"/>
              <w:left w:val="nil"/>
              <w:bottom w:val="nil"/>
              <w:right w:val="nil"/>
            </w:tcBorders>
            <w:vAlign w:val="bottom"/>
          </w:tcPr>
          <w:p w14:paraId="0B0D2C2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Coefficient</w:t>
            </w:r>
          </w:p>
        </w:tc>
        <w:tc>
          <w:tcPr>
            <w:tcW w:w="1207" w:type="dxa"/>
            <w:tcBorders>
              <w:top w:val="nil"/>
              <w:left w:val="nil"/>
              <w:bottom w:val="nil"/>
              <w:right w:val="nil"/>
            </w:tcBorders>
            <w:vAlign w:val="bottom"/>
          </w:tcPr>
          <w:p w14:paraId="1362DE1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Std. Error</w:t>
            </w:r>
          </w:p>
        </w:tc>
        <w:tc>
          <w:tcPr>
            <w:tcW w:w="1208" w:type="dxa"/>
            <w:tcBorders>
              <w:top w:val="nil"/>
              <w:left w:val="nil"/>
              <w:bottom w:val="nil"/>
              <w:right w:val="nil"/>
            </w:tcBorders>
            <w:vAlign w:val="bottom"/>
          </w:tcPr>
          <w:p w14:paraId="52EE9B4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t-Statistic</w:t>
            </w:r>
          </w:p>
        </w:tc>
        <w:tc>
          <w:tcPr>
            <w:tcW w:w="997" w:type="dxa"/>
            <w:tcBorders>
              <w:top w:val="nil"/>
              <w:left w:val="nil"/>
              <w:bottom w:val="nil"/>
              <w:right w:val="nil"/>
            </w:tcBorders>
            <w:vAlign w:val="bottom"/>
          </w:tcPr>
          <w:p w14:paraId="26C7CFD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Prob.*  </w:t>
            </w:r>
          </w:p>
        </w:tc>
      </w:tr>
      <w:tr w:rsidR="00D8206B" w:rsidRPr="00C51A7B" w14:paraId="6BA8D42B" w14:textId="77777777" w:rsidTr="00D00B3F">
        <w:trPr>
          <w:trHeight w:hRule="exact" w:val="90"/>
        </w:trPr>
        <w:tc>
          <w:tcPr>
            <w:tcW w:w="2017" w:type="dxa"/>
            <w:tcBorders>
              <w:top w:val="nil"/>
              <w:left w:val="nil"/>
              <w:bottom w:val="double" w:sz="6" w:space="2" w:color="auto"/>
              <w:right w:val="nil"/>
            </w:tcBorders>
            <w:vAlign w:val="bottom"/>
          </w:tcPr>
          <w:p w14:paraId="27799B5F"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103" w:type="dxa"/>
            <w:tcBorders>
              <w:top w:val="nil"/>
              <w:left w:val="nil"/>
              <w:bottom w:val="double" w:sz="6" w:space="2" w:color="auto"/>
              <w:right w:val="nil"/>
            </w:tcBorders>
            <w:vAlign w:val="bottom"/>
          </w:tcPr>
          <w:p w14:paraId="7F4A437B"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207" w:type="dxa"/>
            <w:tcBorders>
              <w:top w:val="nil"/>
              <w:left w:val="nil"/>
              <w:bottom w:val="double" w:sz="6" w:space="2" w:color="auto"/>
              <w:right w:val="nil"/>
            </w:tcBorders>
            <w:vAlign w:val="bottom"/>
          </w:tcPr>
          <w:p w14:paraId="5F0BB9D2"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208" w:type="dxa"/>
            <w:tcBorders>
              <w:top w:val="nil"/>
              <w:left w:val="nil"/>
              <w:bottom w:val="double" w:sz="6" w:space="2" w:color="auto"/>
              <w:right w:val="nil"/>
            </w:tcBorders>
            <w:vAlign w:val="bottom"/>
          </w:tcPr>
          <w:p w14:paraId="5FE49C1B"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997" w:type="dxa"/>
            <w:tcBorders>
              <w:top w:val="nil"/>
              <w:left w:val="nil"/>
              <w:bottom w:val="double" w:sz="6" w:space="2" w:color="auto"/>
              <w:right w:val="nil"/>
            </w:tcBorders>
            <w:vAlign w:val="bottom"/>
          </w:tcPr>
          <w:p w14:paraId="6045AA72"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r>
      <w:tr w:rsidR="00D8206B" w:rsidRPr="00C51A7B" w14:paraId="2DDBEF92" w14:textId="77777777" w:rsidTr="00D00B3F">
        <w:trPr>
          <w:trHeight w:hRule="exact" w:val="135"/>
        </w:trPr>
        <w:tc>
          <w:tcPr>
            <w:tcW w:w="2017" w:type="dxa"/>
            <w:tcBorders>
              <w:top w:val="nil"/>
              <w:left w:val="nil"/>
              <w:bottom w:val="nil"/>
              <w:right w:val="nil"/>
            </w:tcBorders>
            <w:vAlign w:val="bottom"/>
          </w:tcPr>
          <w:p w14:paraId="46E06005"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nil"/>
              <w:right w:val="nil"/>
            </w:tcBorders>
            <w:vAlign w:val="bottom"/>
          </w:tcPr>
          <w:p w14:paraId="28D076F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nil"/>
              <w:right w:val="nil"/>
            </w:tcBorders>
            <w:vAlign w:val="bottom"/>
          </w:tcPr>
          <w:p w14:paraId="6070785B"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nil"/>
              <w:right w:val="nil"/>
            </w:tcBorders>
            <w:vAlign w:val="bottom"/>
          </w:tcPr>
          <w:p w14:paraId="55C635B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nil"/>
              <w:right w:val="nil"/>
            </w:tcBorders>
            <w:vAlign w:val="bottom"/>
          </w:tcPr>
          <w:p w14:paraId="30079495"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4E272485" w14:textId="77777777" w:rsidTr="00D00B3F">
        <w:trPr>
          <w:trHeight w:val="225"/>
        </w:trPr>
        <w:tc>
          <w:tcPr>
            <w:tcW w:w="2017" w:type="dxa"/>
            <w:tcBorders>
              <w:top w:val="nil"/>
              <w:left w:val="nil"/>
              <w:bottom w:val="nil"/>
              <w:right w:val="nil"/>
            </w:tcBorders>
            <w:vAlign w:val="bottom"/>
          </w:tcPr>
          <w:p w14:paraId="69828CE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AGDP(</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5064641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0.022189</w:t>
            </w:r>
          </w:p>
        </w:tc>
        <w:tc>
          <w:tcPr>
            <w:tcW w:w="1207" w:type="dxa"/>
            <w:tcBorders>
              <w:top w:val="nil"/>
              <w:left w:val="nil"/>
              <w:bottom w:val="nil"/>
              <w:right w:val="nil"/>
            </w:tcBorders>
            <w:vAlign w:val="bottom"/>
          </w:tcPr>
          <w:p w14:paraId="3660AEF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0.176396</w:t>
            </w:r>
          </w:p>
        </w:tc>
        <w:tc>
          <w:tcPr>
            <w:tcW w:w="1208" w:type="dxa"/>
            <w:tcBorders>
              <w:top w:val="nil"/>
              <w:left w:val="nil"/>
              <w:bottom w:val="nil"/>
              <w:right w:val="nil"/>
            </w:tcBorders>
            <w:vAlign w:val="bottom"/>
          </w:tcPr>
          <w:p w14:paraId="3624B65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0.125789</w:t>
            </w:r>
          </w:p>
        </w:tc>
        <w:tc>
          <w:tcPr>
            <w:tcW w:w="997" w:type="dxa"/>
            <w:tcBorders>
              <w:top w:val="nil"/>
              <w:left w:val="nil"/>
              <w:bottom w:val="nil"/>
              <w:right w:val="nil"/>
            </w:tcBorders>
            <w:vAlign w:val="bottom"/>
          </w:tcPr>
          <w:p w14:paraId="3974BA9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0.9017</w:t>
            </w:r>
          </w:p>
        </w:tc>
      </w:tr>
      <w:tr w:rsidR="00D8206B" w:rsidRPr="00C51A7B" w14:paraId="38C16AAD" w14:textId="77777777" w:rsidTr="00D00B3F">
        <w:trPr>
          <w:trHeight w:val="225"/>
        </w:trPr>
        <w:tc>
          <w:tcPr>
            <w:tcW w:w="2017" w:type="dxa"/>
            <w:tcBorders>
              <w:top w:val="nil"/>
              <w:left w:val="nil"/>
              <w:bottom w:val="nil"/>
              <w:right w:val="nil"/>
            </w:tcBorders>
            <w:vAlign w:val="bottom"/>
          </w:tcPr>
          <w:p w14:paraId="4EB0F13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LOG(ED)</w:t>
            </w:r>
          </w:p>
        </w:tc>
        <w:tc>
          <w:tcPr>
            <w:tcW w:w="1103" w:type="dxa"/>
            <w:tcBorders>
              <w:top w:val="nil"/>
              <w:left w:val="nil"/>
              <w:bottom w:val="nil"/>
              <w:right w:val="nil"/>
            </w:tcBorders>
            <w:vAlign w:val="bottom"/>
          </w:tcPr>
          <w:p w14:paraId="752277D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-9.647123</w:t>
            </w:r>
          </w:p>
        </w:tc>
        <w:tc>
          <w:tcPr>
            <w:tcW w:w="1207" w:type="dxa"/>
            <w:tcBorders>
              <w:top w:val="nil"/>
              <w:left w:val="nil"/>
              <w:bottom w:val="nil"/>
              <w:right w:val="nil"/>
            </w:tcBorders>
            <w:vAlign w:val="bottom"/>
          </w:tcPr>
          <w:p w14:paraId="465D2B8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4.495230</w:t>
            </w:r>
          </w:p>
        </w:tc>
        <w:tc>
          <w:tcPr>
            <w:tcW w:w="1208" w:type="dxa"/>
            <w:tcBorders>
              <w:top w:val="nil"/>
              <w:left w:val="nil"/>
              <w:bottom w:val="nil"/>
              <w:right w:val="nil"/>
            </w:tcBorders>
            <w:vAlign w:val="bottom"/>
          </w:tcPr>
          <w:p w14:paraId="7F5CD18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-2.146080</w:t>
            </w:r>
          </w:p>
        </w:tc>
        <w:tc>
          <w:tcPr>
            <w:tcW w:w="997" w:type="dxa"/>
            <w:tcBorders>
              <w:top w:val="nil"/>
              <w:left w:val="nil"/>
              <w:bottom w:val="nil"/>
              <w:right w:val="nil"/>
            </w:tcBorders>
            <w:vAlign w:val="bottom"/>
          </w:tcPr>
          <w:p w14:paraId="26DE49C9"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0.0499</w:t>
            </w:r>
          </w:p>
        </w:tc>
      </w:tr>
      <w:tr w:rsidR="00D8206B" w:rsidRPr="00C51A7B" w14:paraId="0ED33B78" w14:textId="77777777" w:rsidTr="00D00B3F">
        <w:trPr>
          <w:trHeight w:val="225"/>
        </w:trPr>
        <w:tc>
          <w:tcPr>
            <w:tcW w:w="2017" w:type="dxa"/>
            <w:tcBorders>
              <w:top w:val="nil"/>
              <w:left w:val="nil"/>
              <w:bottom w:val="nil"/>
              <w:right w:val="nil"/>
            </w:tcBorders>
            <w:vAlign w:val="bottom"/>
          </w:tcPr>
          <w:p w14:paraId="6F2653B3"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2C65E69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2.409852</w:t>
            </w:r>
          </w:p>
        </w:tc>
        <w:tc>
          <w:tcPr>
            <w:tcW w:w="1207" w:type="dxa"/>
            <w:tcBorders>
              <w:top w:val="nil"/>
              <w:left w:val="nil"/>
              <w:bottom w:val="nil"/>
              <w:right w:val="nil"/>
            </w:tcBorders>
            <w:vAlign w:val="bottom"/>
          </w:tcPr>
          <w:p w14:paraId="5C4C5D1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4.174908</w:t>
            </w:r>
          </w:p>
        </w:tc>
        <w:tc>
          <w:tcPr>
            <w:tcW w:w="1208" w:type="dxa"/>
            <w:tcBorders>
              <w:top w:val="nil"/>
              <w:left w:val="nil"/>
              <w:bottom w:val="nil"/>
              <w:right w:val="nil"/>
            </w:tcBorders>
            <w:vAlign w:val="bottom"/>
          </w:tcPr>
          <w:p w14:paraId="789B14B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0.577223</w:t>
            </w:r>
          </w:p>
        </w:tc>
        <w:tc>
          <w:tcPr>
            <w:tcW w:w="997" w:type="dxa"/>
            <w:tcBorders>
              <w:top w:val="nil"/>
              <w:left w:val="nil"/>
              <w:bottom w:val="nil"/>
              <w:right w:val="nil"/>
            </w:tcBorders>
            <w:vAlign w:val="bottom"/>
          </w:tcPr>
          <w:p w14:paraId="70768B8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0.5730</w:t>
            </w:r>
          </w:p>
        </w:tc>
      </w:tr>
      <w:tr w:rsidR="00D8206B" w:rsidRPr="00C51A7B" w14:paraId="67CEA609" w14:textId="77777777" w:rsidTr="00D00B3F">
        <w:trPr>
          <w:trHeight w:val="225"/>
        </w:trPr>
        <w:tc>
          <w:tcPr>
            <w:tcW w:w="2017" w:type="dxa"/>
            <w:tcBorders>
              <w:top w:val="nil"/>
              <w:left w:val="nil"/>
              <w:bottom w:val="nil"/>
              <w:right w:val="nil"/>
            </w:tcBorders>
            <w:vAlign w:val="bottom"/>
          </w:tcPr>
          <w:p w14:paraId="589D2F74"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-2))</w:t>
            </w:r>
          </w:p>
        </w:tc>
        <w:tc>
          <w:tcPr>
            <w:tcW w:w="1103" w:type="dxa"/>
            <w:tcBorders>
              <w:top w:val="nil"/>
              <w:left w:val="nil"/>
              <w:bottom w:val="nil"/>
              <w:right w:val="nil"/>
            </w:tcBorders>
            <w:vAlign w:val="bottom"/>
          </w:tcPr>
          <w:p w14:paraId="21324C3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-5.740000</w:t>
            </w:r>
          </w:p>
        </w:tc>
        <w:tc>
          <w:tcPr>
            <w:tcW w:w="1207" w:type="dxa"/>
            <w:tcBorders>
              <w:top w:val="nil"/>
              <w:left w:val="nil"/>
              <w:bottom w:val="nil"/>
              <w:right w:val="nil"/>
            </w:tcBorders>
            <w:vAlign w:val="bottom"/>
          </w:tcPr>
          <w:p w14:paraId="21A269A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4.629253</w:t>
            </w:r>
          </w:p>
        </w:tc>
        <w:tc>
          <w:tcPr>
            <w:tcW w:w="1208" w:type="dxa"/>
            <w:tcBorders>
              <w:top w:val="nil"/>
              <w:left w:val="nil"/>
              <w:bottom w:val="nil"/>
              <w:right w:val="nil"/>
            </w:tcBorders>
            <w:vAlign w:val="bottom"/>
          </w:tcPr>
          <w:p w14:paraId="6EBB90F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-1.239941</w:t>
            </w:r>
          </w:p>
        </w:tc>
        <w:tc>
          <w:tcPr>
            <w:tcW w:w="997" w:type="dxa"/>
            <w:tcBorders>
              <w:top w:val="nil"/>
              <w:left w:val="nil"/>
              <w:bottom w:val="nil"/>
              <w:right w:val="nil"/>
            </w:tcBorders>
            <w:vAlign w:val="bottom"/>
          </w:tcPr>
          <w:p w14:paraId="2CB6470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0.2354</w:t>
            </w:r>
          </w:p>
        </w:tc>
      </w:tr>
      <w:tr w:rsidR="00D8206B" w:rsidRPr="00C51A7B" w14:paraId="4F846DAD" w14:textId="77777777" w:rsidTr="00D00B3F">
        <w:trPr>
          <w:trHeight w:val="225"/>
        </w:trPr>
        <w:tc>
          <w:tcPr>
            <w:tcW w:w="2017" w:type="dxa"/>
            <w:tcBorders>
              <w:top w:val="nil"/>
              <w:left w:val="nil"/>
              <w:bottom w:val="nil"/>
              <w:right w:val="nil"/>
            </w:tcBorders>
            <w:vAlign w:val="bottom"/>
          </w:tcPr>
          <w:p w14:paraId="7DC49BB4"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-3))</w:t>
            </w:r>
          </w:p>
        </w:tc>
        <w:tc>
          <w:tcPr>
            <w:tcW w:w="1103" w:type="dxa"/>
            <w:tcBorders>
              <w:top w:val="nil"/>
              <w:left w:val="nil"/>
              <w:bottom w:val="nil"/>
              <w:right w:val="nil"/>
            </w:tcBorders>
            <w:vAlign w:val="bottom"/>
          </w:tcPr>
          <w:p w14:paraId="7A9652E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4.975369</w:t>
            </w:r>
          </w:p>
        </w:tc>
        <w:tc>
          <w:tcPr>
            <w:tcW w:w="1207" w:type="dxa"/>
            <w:tcBorders>
              <w:top w:val="nil"/>
              <w:left w:val="nil"/>
              <w:bottom w:val="nil"/>
              <w:right w:val="nil"/>
            </w:tcBorders>
            <w:vAlign w:val="bottom"/>
          </w:tcPr>
          <w:p w14:paraId="73F86F1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2.599602</w:t>
            </w:r>
          </w:p>
        </w:tc>
        <w:tc>
          <w:tcPr>
            <w:tcW w:w="1208" w:type="dxa"/>
            <w:tcBorders>
              <w:top w:val="nil"/>
              <w:left w:val="nil"/>
              <w:bottom w:val="nil"/>
              <w:right w:val="nil"/>
            </w:tcBorders>
            <w:vAlign w:val="bottom"/>
          </w:tcPr>
          <w:p w14:paraId="1CCBB91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1.913896</w:t>
            </w:r>
          </w:p>
        </w:tc>
        <w:tc>
          <w:tcPr>
            <w:tcW w:w="997" w:type="dxa"/>
            <w:tcBorders>
              <w:top w:val="nil"/>
              <w:left w:val="nil"/>
              <w:bottom w:val="nil"/>
              <w:right w:val="nil"/>
            </w:tcBorders>
            <w:vAlign w:val="bottom"/>
          </w:tcPr>
          <w:p w14:paraId="4E87EC6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0.0763</w:t>
            </w:r>
          </w:p>
        </w:tc>
      </w:tr>
      <w:tr w:rsidR="00D8206B" w:rsidRPr="00C51A7B" w14:paraId="3665B33A" w14:textId="77777777" w:rsidTr="00D00B3F">
        <w:trPr>
          <w:trHeight w:val="225"/>
        </w:trPr>
        <w:tc>
          <w:tcPr>
            <w:tcW w:w="2017" w:type="dxa"/>
            <w:tcBorders>
              <w:top w:val="nil"/>
              <w:left w:val="nil"/>
              <w:bottom w:val="nil"/>
              <w:right w:val="nil"/>
            </w:tcBorders>
            <w:vAlign w:val="bottom"/>
          </w:tcPr>
          <w:p w14:paraId="26706C4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-4))</w:t>
            </w:r>
          </w:p>
        </w:tc>
        <w:tc>
          <w:tcPr>
            <w:tcW w:w="1103" w:type="dxa"/>
            <w:tcBorders>
              <w:top w:val="nil"/>
              <w:left w:val="nil"/>
              <w:bottom w:val="nil"/>
              <w:right w:val="nil"/>
            </w:tcBorders>
            <w:vAlign w:val="bottom"/>
          </w:tcPr>
          <w:p w14:paraId="41F69EE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3.395221</w:t>
            </w:r>
          </w:p>
        </w:tc>
        <w:tc>
          <w:tcPr>
            <w:tcW w:w="1207" w:type="dxa"/>
            <w:tcBorders>
              <w:top w:val="nil"/>
              <w:left w:val="nil"/>
              <w:bottom w:val="nil"/>
              <w:right w:val="nil"/>
            </w:tcBorders>
            <w:vAlign w:val="bottom"/>
          </w:tcPr>
          <w:p w14:paraId="2D3A1BB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2.082422</w:t>
            </w:r>
          </w:p>
        </w:tc>
        <w:tc>
          <w:tcPr>
            <w:tcW w:w="1208" w:type="dxa"/>
            <w:tcBorders>
              <w:top w:val="nil"/>
              <w:left w:val="nil"/>
              <w:bottom w:val="nil"/>
              <w:right w:val="nil"/>
            </w:tcBorders>
            <w:vAlign w:val="bottom"/>
          </w:tcPr>
          <w:p w14:paraId="29453C1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1.630420</w:t>
            </w:r>
          </w:p>
        </w:tc>
        <w:tc>
          <w:tcPr>
            <w:tcW w:w="997" w:type="dxa"/>
            <w:tcBorders>
              <w:top w:val="nil"/>
              <w:left w:val="nil"/>
              <w:bottom w:val="nil"/>
              <w:right w:val="nil"/>
            </w:tcBorders>
            <w:vAlign w:val="bottom"/>
          </w:tcPr>
          <w:p w14:paraId="601F936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0.1253</w:t>
            </w:r>
          </w:p>
        </w:tc>
      </w:tr>
      <w:tr w:rsidR="00D8206B" w:rsidRPr="00C51A7B" w14:paraId="66E85ED9" w14:textId="77777777" w:rsidTr="00D00B3F">
        <w:trPr>
          <w:trHeight w:val="225"/>
        </w:trPr>
        <w:tc>
          <w:tcPr>
            <w:tcW w:w="2017" w:type="dxa"/>
            <w:tcBorders>
              <w:top w:val="nil"/>
              <w:left w:val="nil"/>
              <w:bottom w:val="nil"/>
              <w:right w:val="nil"/>
            </w:tcBorders>
            <w:vAlign w:val="bottom"/>
          </w:tcPr>
          <w:p w14:paraId="76997A61"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LOG(DD)</w:t>
            </w:r>
          </w:p>
        </w:tc>
        <w:tc>
          <w:tcPr>
            <w:tcW w:w="1103" w:type="dxa"/>
            <w:tcBorders>
              <w:top w:val="nil"/>
              <w:left w:val="nil"/>
              <w:bottom w:val="nil"/>
              <w:right w:val="nil"/>
            </w:tcBorders>
            <w:vAlign w:val="bottom"/>
          </w:tcPr>
          <w:p w14:paraId="78F8D1E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8.568409</w:t>
            </w:r>
          </w:p>
        </w:tc>
        <w:tc>
          <w:tcPr>
            <w:tcW w:w="1207" w:type="dxa"/>
            <w:tcBorders>
              <w:top w:val="nil"/>
              <w:left w:val="nil"/>
              <w:bottom w:val="nil"/>
              <w:right w:val="nil"/>
            </w:tcBorders>
            <w:vAlign w:val="bottom"/>
          </w:tcPr>
          <w:p w14:paraId="7C9A402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3.050264</w:t>
            </w:r>
          </w:p>
        </w:tc>
        <w:tc>
          <w:tcPr>
            <w:tcW w:w="1208" w:type="dxa"/>
            <w:tcBorders>
              <w:top w:val="nil"/>
              <w:left w:val="nil"/>
              <w:bottom w:val="nil"/>
              <w:right w:val="nil"/>
            </w:tcBorders>
            <w:vAlign w:val="bottom"/>
          </w:tcPr>
          <w:p w14:paraId="449BBD8F"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2.809071</w:t>
            </w:r>
          </w:p>
        </w:tc>
        <w:tc>
          <w:tcPr>
            <w:tcW w:w="997" w:type="dxa"/>
            <w:tcBorders>
              <w:top w:val="nil"/>
              <w:left w:val="nil"/>
              <w:bottom w:val="nil"/>
              <w:right w:val="nil"/>
            </w:tcBorders>
            <w:vAlign w:val="bottom"/>
          </w:tcPr>
          <w:p w14:paraId="25C3E30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0.0139</w:t>
            </w:r>
          </w:p>
        </w:tc>
      </w:tr>
      <w:tr w:rsidR="00D8206B" w:rsidRPr="00C51A7B" w14:paraId="3612B9DE" w14:textId="77777777" w:rsidTr="00D00B3F">
        <w:trPr>
          <w:trHeight w:val="225"/>
        </w:trPr>
        <w:tc>
          <w:tcPr>
            <w:tcW w:w="2017" w:type="dxa"/>
            <w:tcBorders>
              <w:top w:val="nil"/>
              <w:left w:val="nil"/>
              <w:bottom w:val="nil"/>
              <w:right w:val="nil"/>
            </w:tcBorders>
            <w:vAlign w:val="bottom"/>
          </w:tcPr>
          <w:p w14:paraId="7B8BA19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DD(</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36C31A3D"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-0.499703</w:t>
            </w:r>
          </w:p>
        </w:tc>
        <w:tc>
          <w:tcPr>
            <w:tcW w:w="1207" w:type="dxa"/>
            <w:tcBorders>
              <w:top w:val="nil"/>
              <w:left w:val="nil"/>
              <w:bottom w:val="nil"/>
              <w:right w:val="nil"/>
            </w:tcBorders>
            <w:vAlign w:val="bottom"/>
          </w:tcPr>
          <w:p w14:paraId="75D25DB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3.146801</w:t>
            </w:r>
          </w:p>
        </w:tc>
        <w:tc>
          <w:tcPr>
            <w:tcW w:w="1208" w:type="dxa"/>
            <w:tcBorders>
              <w:top w:val="nil"/>
              <w:left w:val="nil"/>
              <w:bottom w:val="nil"/>
              <w:right w:val="nil"/>
            </w:tcBorders>
            <w:vAlign w:val="bottom"/>
          </w:tcPr>
          <w:p w14:paraId="2262213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-0.158797</w:t>
            </w:r>
          </w:p>
        </w:tc>
        <w:tc>
          <w:tcPr>
            <w:tcW w:w="997" w:type="dxa"/>
            <w:tcBorders>
              <w:top w:val="nil"/>
              <w:left w:val="nil"/>
              <w:bottom w:val="nil"/>
              <w:right w:val="nil"/>
            </w:tcBorders>
            <w:vAlign w:val="bottom"/>
          </w:tcPr>
          <w:p w14:paraId="29A18FB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0.8761</w:t>
            </w:r>
          </w:p>
        </w:tc>
      </w:tr>
      <w:tr w:rsidR="00D8206B" w:rsidRPr="00C51A7B" w14:paraId="60FF7A98" w14:textId="77777777" w:rsidTr="00D00B3F">
        <w:trPr>
          <w:trHeight w:val="225"/>
        </w:trPr>
        <w:tc>
          <w:tcPr>
            <w:tcW w:w="2017" w:type="dxa"/>
            <w:tcBorders>
              <w:top w:val="nil"/>
              <w:left w:val="nil"/>
              <w:bottom w:val="nil"/>
              <w:right w:val="nil"/>
            </w:tcBorders>
            <w:vAlign w:val="bottom"/>
          </w:tcPr>
          <w:p w14:paraId="07714C73"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DD(</w:t>
            </w:r>
            <w:proofErr w:type="gramEnd"/>
            <w:r w:rsidRPr="00C51A7B">
              <w:rPr>
                <w:rFonts w:ascii="Times New Roman" w:eastAsia="Calibri" w:hAnsi="Times New Roman" w:cs="Times New Roman"/>
                <w:color w:val="000000"/>
                <w:sz w:val="22"/>
                <w:szCs w:val="22"/>
              </w:rPr>
              <w:t>-2))</w:t>
            </w:r>
          </w:p>
        </w:tc>
        <w:tc>
          <w:tcPr>
            <w:tcW w:w="1103" w:type="dxa"/>
            <w:tcBorders>
              <w:top w:val="nil"/>
              <w:left w:val="nil"/>
              <w:bottom w:val="nil"/>
              <w:right w:val="nil"/>
            </w:tcBorders>
            <w:vAlign w:val="bottom"/>
          </w:tcPr>
          <w:p w14:paraId="208E803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-1.611360</w:t>
            </w:r>
          </w:p>
        </w:tc>
        <w:tc>
          <w:tcPr>
            <w:tcW w:w="1207" w:type="dxa"/>
            <w:tcBorders>
              <w:top w:val="nil"/>
              <w:left w:val="nil"/>
              <w:bottom w:val="nil"/>
              <w:right w:val="nil"/>
            </w:tcBorders>
            <w:vAlign w:val="bottom"/>
          </w:tcPr>
          <w:p w14:paraId="15DA814D"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2.525743</w:t>
            </w:r>
          </w:p>
        </w:tc>
        <w:tc>
          <w:tcPr>
            <w:tcW w:w="1208" w:type="dxa"/>
            <w:tcBorders>
              <w:top w:val="nil"/>
              <w:left w:val="nil"/>
              <w:bottom w:val="nil"/>
              <w:right w:val="nil"/>
            </w:tcBorders>
            <w:vAlign w:val="bottom"/>
          </w:tcPr>
          <w:p w14:paraId="7A9F11F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-0.637974</w:t>
            </w:r>
          </w:p>
        </w:tc>
        <w:tc>
          <w:tcPr>
            <w:tcW w:w="997" w:type="dxa"/>
            <w:tcBorders>
              <w:top w:val="nil"/>
              <w:left w:val="nil"/>
              <w:bottom w:val="nil"/>
              <w:right w:val="nil"/>
            </w:tcBorders>
            <w:vAlign w:val="bottom"/>
          </w:tcPr>
          <w:p w14:paraId="4381AE1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0.5338</w:t>
            </w:r>
          </w:p>
        </w:tc>
      </w:tr>
      <w:tr w:rsidR="00D8206B" w:rsidRPr="00C51A7B" w14:paraId="237C9FB2" w14:textId="77777777" w:rsidTr="00D00B3F">
        <w:trPr>
          <w:trHeight w:val="225"/>
        </w:trPr>
        <w:tc>
          <w:tcPr>
            <w:tcW w:w="2017" w:type="dxa"/>
            <w:tcBorders>
              <w:top w:val="nil"/>
              <w:left w:val="nil"/>
              <w:bottom w:val="nil"/>
              <w:right w:val="nil"/>
            </w:tcBorders>
            <w:vAlign w:val="bottom"/>
          </w:tcPr>
          <w:p w14:paraId="440F10CE"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DD(</w:t>
            </w:r>
            <w:proofErr w:type="gramEnd"/>
            <w:r w:rsidRPr="00C51A7B">
              <w:rPr>
                <w:rFonts w:ascii="Times New Roman" w:eastAsia="Calibri" w:hAnsi="Times New Roman" w:cs="Times New Roman"/>
                <w:color w:val="000000"/>
                <w:sz w:val="22"/>
                <w:szCs w:val="22"/>
              </w:rPr>
              <w:t>-3))</w:t>
            </w:r>
          </w:p>
        </w:tc>
        <w:tc>
          <w:tcPr>
            <w:tcW w:w="1103" w:type="dxa"/>
            <w:tcBorders>
              <w:top w:val="nil"/>
              <w:left w:val="nil"/>
              <w:bottom w:val="nil"/>
              <w:right w:val="nil"/>
            </w:tcBorders>
            <w:vAlign w:val="bottom"/>
          </w:tcPr>
          <w:p w14:paraId="110484C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-2.278427</w:t>
            </w:r>
          </w:p>
        </w:tc>
        <w:tc>
          <w:tcPr>
            <w:tcW w:w="1207" w:type="dxa"/>
            <w:tcBorders>
              <w:top w:val="nil"/>
              <w:left w:val="nil"/>
              <w:bottom w:val="nil"/>
              <w:right w:val="nil"/>
            </w:tcBorders>
            <w:vAlign w:val="bottom"/>
          </w:tcPr>
          <w:p w14:paraId="7566AD3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1.607254</w:t>
            </w:r>
          </w:p>
        </w:tc>
        <w:tc>
          <w:tcPr>
            <w:tcW w:w="1208" w:type="dxa"/>
            <w:tcBorders>
              <w:top w:val="nil"/>
              <w:left w:val="nil"/>
              <w:bottom w:val="nil"/>
              <w:right w:val="nil"/>
            </w:tcBorders>
            <w:vAlign w:val="bottom"/>
          </w:tcPr>
          <w:p w14:paraId="7F11136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-1.417590</w:t>
            </w:r>
          </w:p>
        </w:tc>
        <w:tc>
          <w:tcPr>
            <w:tcW w:w="997" w:type="dxa"/>
            <w:tcBorders>
              <w:top w:val="nil"/>
              <w:left w:val="nil"/>
              <w:bottom w:val="nil"/>
              <w:right w:val="nil"/>
            </w:tcBorders>
            <w:vAlign w:val="bottom"/>
          </w:tcPr>
          <w:p w14:paraId="4D21C48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0.1782</w:t>
            </w:r>
          </w:p>
        </w:tc>
      </w:tr>
      <w:tr w:rsidR="00D8206B" w:rsidRPr="00C51A7B" w14:paraId="49FBF97F" w14:textId="77777777" w:rsidTr="00D00B3F">
        <w:trPr>
          <w:trHeight w:val="225"/>
        </w:trPr>
        <w:tc>
          <w:tcPr>
            <w:tcW w:w="2017" w:type="dxa"/>
            <w:tcBorders>
              <w:top w:val="nil"/>
              <w:left w:val="nil"/>
              <w:bottom w:val="nil"/>
              <w:right w:val="nil"/>
            </w:tcBorders>
            <w:vAlign w:val="bottom"/>
          </w:tcPr>
          <w:p w14:paraId="7F073BCA"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LOG(DGDP)</w:t>
            </w:r>
          </w:p>
        </w:tc>
        <w:tc>
          <w:tcPr>
            <w:tcW w:w="1103" w:type="dxa"/>
            <w:tcBorders>
              <w:top w:val="nil"/>
              <w:left w:val="nil"/>
              <w:bottom w:val="nil"/>
              <w:right w:val="nil"/>
            </w:tcBorders>
            <w:vAlign w:val="bottom"/>
          </w:tcPr>
          <w:p w14:paraId="538DA33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-0.482983</w:t>
            </w:r>
          </w:p>
        </w:tc>
        <w:tc>
          <w:tcPr>
            <w:tcW w:w="1207" w:type="dxa"/>
            <w:tcBorders>
              <w:top w:val="nil"/>
              <w:left w:val="nil"/>
              <w:bottom w:val="nil"/>
              <w:right w:val="nil"/>
            </w:tcBorders>
            <w:vAlign w:val="bottom"/>
          </w:tcPr>
          <w:p w14:paraId="7BBACE3D"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0.576689</w:t>
            </w:r>
          </w:p>
        </w:tc>
        <w:tc>
          <w:tcPr>
            <w:tcW w:w="1208" w:type="dxa"/>
            <w:tcBorders>
              <w:top w:val="nil"/>
              <w:left w:val="nil"/>
              <w:bottom w:val="nil"/>
              <w:right w:val="nil"/>
            </w:tcBorders>
            <w:vAlign w:val="bottom"/>
          </w:tcPr>
          <w:p w14:paraId="4886FDE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-0.837510</w:t>
            </w:r>
          </w:p>
        </w:tc>
        <w:tc>
          <w:tcPr>
            <w:tcW w:w="997" w:type="dxa"/>
            <w:tcBorders>
              <w:top w:val="nil"/>
              <w:left w:val="nil"/>
              <w:bottom w:val="nil"/>
              <w:right w:val="nil"/>
            </w:tcBorders>
            <w:vAlign w:val="bottom"/>
          </w:tcPr>
          <w:p w14:paraId="7DC6AD8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0.4164</w:t>
            </w:r>
          </w:p>
        </w:tc>
      </w:tr>
      <w:tr w:rsidR="00D8206B" w:rsidRPr="00C51A7B" w14:paraId="5B7BC111" w14:textId="77777777" w:rsidTr="00D00B3F">
        <w:trPr>
          <w:trHeight w:val="225"/>
        </w:trPr>
        <w:tc>
          <w:tcPr>
            <w:tcW w:w="2017" w:type="dxa"/>
            <w:tcBorders>
              <w:top w:val="nil"/>
              <w:left w:val="nil"/>
              <w:bottom w:val="nil"/>
              <w:right w:val="nil"/>
            </w:tcBorders>
            <w:vAlign w:val="bottom"/>
          </w:tcPr>
          <w:p w14:paraId="629F54E0"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DGDP(</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15880A1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2.004675</w:t>
            </w:r>
          </w:p>
        </w:tc>
        <w:tc>
          <w:tcPr>
            <w:tcW w:w="1207" w:type="dxa"/>
            <w:tcBorders>
              <w:top w:val="nil"/>
              <w:left w:val="nil"/>
              <w:bottom w:val="nil"/>
              <w:right w:val="nil"/>
            </w:tcBorders>
            <w:vAlign w:val="bottom"/>
          </w:tcPr>
          <w:p w14:paraId="1EF8D43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0.439428</w:t>
            </w:r>
          </w:p>
        </w:tc>
        <w:tc>
          <w:tcPr>
            <w:tcW w:w="1208" w:type="dxa"/>
            <w:tcBorders>
              <w:top w:val="nil"/>
              <w:left w:val="nil"/>
              <w:bottom w:val="nil"/>
              <w:right w:val="nil"/>
            </w:tcBorders>
            <w:vAlign w:val="bottom"/>
          </w:tcPr>
          <w:p w14:paraId="4AF278C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4.562008</w:t>
            </w:r>
          </w:p>
        </w:tc>
        <w:tc>
          <w:tcPr>
            <w:tcW w:w="997" w:type="dxa"/>
            <w:tcBorders>
              <w:top w:val="nil"/>
              <w:left w:val="nil"/>
              <w:bottom w:val="nil"/>
              <w:right w:val="nil"/>
            </w:tcBorders>
            <w:vAlign w:val="bottom"/>
          </w:tcPr>
          <w:p w14:paraId="5311587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0.0004</w:t>
            </w:r>
          </w:p>
        </w:tc>
      </w:tr>
      <w:tr w:rsidR="00D8206B" w:rsidRPr="00C51A7B" w14:paraId="7A65D87D" w14:textId="77777777" w:rsidTr="00D00B3F">
        <w:trPr>
          <w:trHeight w:val="225"/>
        </w:trPr>
        <w:tc>
          <w:tcPr>
            <w:tcW w:w="2017" w:type="dxa"/>
            <w:tcBorders>
              <w:top w:val="nil"/>
              <w:left w:val="nil"/>
              <w:bottom w:val="nil"/>
              <w:right w:val="nil"/>
            </w:tcBorders>
            <w:vAlign w:val="bottom"/>
          </w:tcPr>
          <w:p w14:paraId="35AAA25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DGDP(</w:t>
            </w:r>
            <w:proofErr w:type="gramEnd"/>
            <w:r w:rsidRPr="00C51A7B">
              <w:rPr>
                <w:rFonts w:ascii="Times New Roman" w:eastAsia="Calibri" w:hAnsi="Times New Roman" w:cs="Times New Roman"/>
                <w:color w:val="000000"/>
                <w:sz w:val="22"/>
                <w:szCs w:val="22"/>
              </w:rPr>
              <w:t>-2))</w:t>
            </w:r>
          </w:p>
        </w:tc>
        <w:tc>
          <w:tcPr>
            <w:tcW w:w="1103" w:type="dxa"/>
            <w:tcBorders>
              <w:top w:val="nil"/>
              <w:left w:val="nil"/>
              <w:bottom w:val="nil"/>
              <w:right w:val="nil"/>
            </w:tcBorders>
            <w:vAlign w:val="bottom"/>
          </w:tcPr>
          <w:p w14:paraId="6E228C1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-0.837618</w:t>
            </w:r>
          </w:p>
        </w:tc>
        <w:tc>
          <w:tcPr>
            <w:tcW w:w="1207" w:type="dxa"/>
            <w:tcBorders>
              <w:top w:val="nil"/>
              <w:left w:val="nil"/>
              <w:bottom w:val="nil"/>
              <w:right w:val="nil"/>
            </w:tcBorders>
            <w:vAlign w:val="bottom"/>
          </w:tcPr>
          <w:p w14:paraId="3E64455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0.616089</w:t>
            </w:r>
          </w:p>
        </w:tc>
        <w:tc>
          <w:tcPr>
            <w:tcW w:w="1208" w:type="dxa"/>
            <w:tcBorders>
              <w:top w:val="nil"/>
              <w:left w:val="nil"/>
              <w:bottom w:val="nil"/>
              <w:right w:val="nil"/>
            </w:tcBorders>
            <w:vAlign w:val="bottom"/>
          </w:tcPr>
          <w:p w14:paraId="27C3DF8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-1.359573</w:t>
            </w:r>
          </w:p>
        </w:tc>
        <w:tc>
          <w:tcPr>
            <w:tcW w:w="997" w:type="dxa"/>
            <w:tcBorders>
              <w:top w:val="nil"/>
              <w:left w:val="nil"/>
              <w:bottom w:val="nil"/>
              <w:right w:val="nil"/>
            </w:tcBorders>
            <w:vAlign w:val="bottom"/>
          </w:tcPr>
          <w:p w14:paraId="2062691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0.1955</w:t>
            </w:r>
          </w:p>
        </w:tc>
      </w:tr>
      <w:tr w:rsidR="00D8206B" w:rsidRPr="00C51A7B" w14:paraId="2B94FB59" w14:textId="77777777" w:rsidTr="00D00B3F">
        <w:trPr>
          <w:trHeight w:val="225"/>
        </w:trPr>
        <w:tc>
          <w:tcPr>
            <w:tcW w:w="2017" w:type="dxa"/>
            <w:tcBorders>
              <w:top w:val="nil"/>
              <w:left w:val="nil"/>
              <w:bottom w:val="nil"/>
              <w:right w:val="nil"/>
            </w:tcBorders>
            <w:vAlign w:val="bottom"/>
          </w:tcPr>
          <w:p w14:paraId="302F246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DGDP(</w:t>
            </w:r>
            <w:proofErr w:type="gramEnd"/>
            <w:r w:rsidRPr="00C51A7B">
              <w:rPr>
                <w:rFonts w:ascii="Times New Roman" w:eastAsia="Calibri" w:hAnsi="Times New Roman" w:cs="Times New Roman"/>
                <w:color w:val="000000"/>
                <w:sz w:val="22"/>
                <w:szCs w:val="22"/>
              </w:rPr>
              <w:t>-3))</w:t>
            </w:r>
          </w:p>
        </w:tc>
        <w:tc>
          <w:tcPr>
            <w:tcW w:w="1103" w:type="dxa"/>
            <w:tcBorders>
              <w:top w:val="nil"/>
              <w:left w:val="nil"/>
              <w:bottom w:val="nil"/>
              <w:right w:val="nil"/>
            </w:tcBorders>
            <w:vAlign w:val="bottom"/>
          </w:tcPr>
          <w:p w14:paraId="1B9459F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-0.249679</w:t>
            </w:r>
          </w:p>
        </w:tc>
        <w:tc>
          <w:tcPr>
            <w:tcW w:w="1207" w:type="dxa"/>
            <w:tcBorders>
              <w:top w:val="nil"/>
              <w:left w:val="nil"/>
              <w:bottom w:val="nil"/>
              <w:right w:val="nil"/>
            </w:tcBorders>
            <w:vAlign w:val="bottom"/>
          </w:tcPr>
          <w:p w14:paraId="254C045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0.396469</w:t>
            </w:r>
          </w:p>
        </w:tc>
        <w:tc>
          <w:tcPr>
            <w:tcW w:w="1208" w:type="dxa"/>
            <w:tcBorders>
              <w:top w:val="nil"/>
              <w:left w:val="nil"/>
              <w:bottom w:val="nil"/>
              <w:right w:val="nil"/>
            </w:tcBorders>
            <w:vAlign w:val="bottom"/>
          </w:tcPr>
          <w:p w14:paraId="704F4C8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-0.629757</w:t>
            </w:r>
          </w:p>
        </w:tc>
        <w:tc>
          <w:tcPr>
            <w:tcW w:w="997" w:type="dxa"/>
            <w:tcBorders>
              <w:top w:val="nil"/>
              <w:left w:val="nil"/>
              <w:bottom w:val="nil"/>
              <w:right w:val="nil"/>
            </w:tcBorders>
            <w:vAlign w:val="bottom"/>
          </w:tcPr>
          <w:p w14:paraId="2D36D4F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0.5390</w:t>
            </w:r>
          </w:p>
        </w:tc>
      </w:tr>
      <w:tr w:rsidR="00D8206B" w:rsidRPr="00C51A7B" w14:paraId="515FE4A3" w14:textId="77777777" w:rsidTr="00D00B3F">
        <w:trPr>
          <w:trHeight w:val="225"/>
        </w:trPr>
        <w:tc>
          <w:tcPr>
            <w:tcW w:w="2017" w:type="dxa"/>
            <w:tcBorders>
              <w:top w:val="nil"/>
              <w:left w:val="nil"/>
              <w:bottom w:val="nil"/>
              <w:right w:val="nil"/>
            </w:tcBorders>
            <w:vAlign w:val="bottom"/>
          </w:tcPr>
          <w:p w14:paraId="0D7B433A"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DGDP(</w:t>
            </w:r>
            <w:proofErr w:type="gramEnd"/>
            <w:r w:rsidRPr="00C51A7B">
              <w:rPr>
                <w:rFonts w:ascii="Times New Roman" w:eastAsia="Calibri" w:hAnsi="Times New Roman" w:cs="Times New Roman"/>
                <w:color w:val="000000"/>
                <w:sz w:val="22"/>
                <w:szCs w:val="22"/>
              </w:rPr>
              <w:t>-4))</w:t>
            </w:r>
          </w:p>
        </w:tc>
        <w:tc>
          <w:tcPr>
            <w:tcW w:w="1103" w:type="dxa"/>
            <w:tcBorders>
              <w:top w:val="nil"/>
              <w:left w:val="nil"/>
              <w:bottom w:val="nil"/>
              <w:right w:val="nil"/>
            </w:tcBorders>
            <w:vAlign w:val="bottom"/>
          </w:tcPr>
          <w:p w14:paraId="4CCEBCE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-2.338325</w:t>
            </w:r>
          </w:p>
        </w:tc>
        <w:tc>
          <w:tcPr>
            <w:tcW w:w="1207" w:type="dxa"/>
            <w:tcBorders>
              <w:top w:val="nil"/>
              <w:left w:val="nil"/>
              <w:bottom w:val="nil"/>
              <w:right w:val="nil"/>
            </w:tcBorders>
            <w:vAlign w:val="bottom"/>
          </w:tcPr>
          <w:p w14:paraId="3231793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0.519792</w:t>
            </w:r>
          </w:p>
        </w:tc>
        <w:tc>
          <w:tcPr>
            <w:tcW w:w="1208" w:type="dxa"/>
            <w:tcBorders>
              <w:top w:val="nil"/>
              <w:left w:val="nil"/>
              <w:bottom w:val="nil"/>
              <w:right w:val="nil"/>
            </w:tcBorders>
            <w:vAlign w:val="bottom"/>
          </w:tcPr>
          <w:p w14:paraId="2F039BD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-4.498583</w:t>
            </w:r>
          </w:p>
        </w:tc>
        <w:tc>
          <w:tcPr>
            <w:tcW w:w="997" w:type="dxa"/>
            <w:tcBorders>
              <w:top w:val="nil"/>
              <w:left w:val="nil"/>
              <w:bottom w:val="nil"/>
              <w:right w:val="nil"/>
            </w:tcBorders>
            <w:vAlign w:val="bottom"/>
          </w:tcPr>
          <w:p w14:paraId="387DE8F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0.0005</w:t>
            </w:r>
          </w:p>
        </w:tc>
      </w:tr>
      <w:tr w:rsidR="00D8206B" w:rsidRPr="00C51A7B" w14:paraId="4A333D3D" w14:textId="77777777" w:rsidTr="00D00B3F">
        <w:trPr>
          <w:trHeight w:val="225"/>
        </w:trPr>
        <w:tc>
          <w:tcPr>
            <w:tcW w:w="2017" w:type="dxa"/>
            <w:tcBorders>
              <w:top w:val="nil"/>
              <w:left w:val="nil"/>
              <w:bottom w:val="nil"/>
              <w:right w:val="nil"/>
            </w:tcBorders>
            <w:vAlign w:val="bottom"/>
          </w:tcPr>
          <w:p w14:paraId="66D319EE"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C</w:t>
            </w:r>
          </w:p>
        </w:tc>
        <w:tc>
          <w:tcPr>
            <w:tcW w:w="1103" w:type="dxa"/>
            <w:tcBorders>
              <w:top w:val="nil"/>
              <w:left w:val="nil"/>
              <w:bottom w:val="nil"/>
              <w:right w:val="nil"/>
            </w:tcBorders>
            <w:vAlign w:val="bottom"/>
          </w:tcPr>
          <w:p w14:paraId="4B969BB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17.53240</w:t>
            </w:r>
          </w:p>
        </w:tc>
        <w:tc>
          <w:tcPr>
            <w:tcW w:w="1207" w:type="dxa"/>
            <w:tcBorders>
              <w:top w:val="nil"/>
              <w:left w:val="nil"/>
              <w:bottom w:val="nil"/>
              <w:right w:val="nil"/>
            </w:tcBorders>
            <w:vAlign w:val="bottom"/>
          </w:tcPr>
          <w:p w14:paraId="6BDFEC8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6.272436</w:t>
            </w:r>
          </w:p>
        </w:tc>
        <w:tc>
          <w:tcPr>
            <w:tcW w:w="1208" w:type="dxa"/>
            <w:tcBorders>
              <w:top w:val="nil"/>
              <w:left w:val="nil"/>
              <w:bottom w:val="nil"/>
              <w:right w:val="nil"/>
            </w:tcBorders>
            <w:vAlign w:val="bottom"/>
          </w:tcPr>
          <w:p w14:paraId="0880FFD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2.795150</w:t>
            </w:r>
          </w:p>
        </w:tc>
        <w:tc>
          <w:tcPr>
            <w:tcW w:w="997" w:type="dxa"/>
            <w:tcBorders>
              <w:top w:val="nil"/>
              <w:left w:val="nil"/>
              <w:bottom w:val="nil"/>
              <w:right w:val="nil"/>
            </w:tcBorders>
            <w:vAlign w:val="bottom"/>
          </w:tcPr>
          <w:p w14:paraId="57E368A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0.0143</w:t>
            </w:r>
          </w:p>
        </w:tc>
      </w:tr>
      <w:tr w:rsidR="00D8206B" w:rsidRPr="00C51A7B" w14:paraId="131F0F9E" w14:textId="77777777" w:rsidTr="00D00B3F">
        <w:trPr>
          <w:trHeight w:hRule="exact" w:val="90"/>
        </w:trPr>
        <w:tc>
          <w:tcPr>
            <w:tcW w:w="2017" w:type="dxa"/>
            <w:tcBorders>
              <w:top w:val="nil"/>
              <w:left w:val="nil"/>
              <w:bottom w:val="double" w:sz="6" w:space="2" w:color="auto"/>
              <w:right w:val="nil"/>
            </w:tcBorders>
            <w:vAlign w:val="bottom"/>
          </w:tcPr>
          <w:p w14:paraId="2AC13430"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double" w:sz="6" w:space="2" w:color="auto"/>
              <w:right w:val="nil"/>
            </w:tcBorders>
            <w:vAlign w:val="bottom"/>
          </w:tcPr>
          <w:p w14:paraId="50FBE5E9"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double" w:sz="6" w:space="2" w:color="auto"/>
              <w:right w:val="nil"/>
            </w:tcBorders>
            <w:vAlign w:val="bottom"/>
          </w:tcPr>
          <w:p w14:paraId="6AAFF8A1"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double" w:sz="6" w:space="2" w:color="auto"/>
              <w:right w:val="nil"/>
            </w:tcBorders>
            <w:vAlign w:val="bottom"/>
          </w:tcPr>
          <w:p w14:paraId="7BE22249"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double" w:sz="6" w:space="2" w:color="auto"/>
              <w:right w:val="nil"/>
            </w:tcBorders>
            <w:vAlign w:val="bottom"/>
          </w:tcPr>
          <w:p w14:paraId="2D4A36A4"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62431E58" w14:textId="77777777" w:rsidTr="00D00B3F">
        <w:trPr>
          <w:trHeight w:hRule="exact" w:val="135"/>
        </w:trPr>
        <w:tc>
          <w:tcPr>
            <w:tcW w:w="2017" w:type="dxa"/>
            <w:tcBorders>
              <w:top w:val="nil"/>
              <w:left w:val="nil"/>
              <w:bottom w:val="nil"/>
              <w:right w:val="nil"/>
            </w:tcBorders>
            <w:vAlign w:val="bottom"/>
          </w:tcPr>
          <w:p w14:paraId="29A6D24D"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nil"/>
              <w:right w:val="nil"/>
            </w:tcBorders>
            <w:vAlign w:val="bottom"/>
          </w:tcPr>
          <w:p w14:paraId="7FDEACC2"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nil"/>
              <w:right w:val="nil"/>
            </w:tcBorders>
            <w:vAlign w:val="bottom"/>
          </w:tcPr>
          <w:p w14:paraId="1C96980C"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nil"/>
              <w:right w:val="nil"/>
            </w:tcBorders>
            <w:vAlign w:val="bottom"/>
          </w:tcPr>
          <w:p w14:paraId="5853CAB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nil"/>
              <w:right w:val="nil"/>
            </w:tcBorders>
            <w:vAlign w:val="bottom"/>
          </w:tcPr>
          <w:p w14:paraId="2194BDD3"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02F78496" w14:textId="77777777" w:rsidTr="00D00B3F">
        <w:trPr>
          <w:trHeight w:val="225"/>
        </w:trPr>
        <w:tc>
          <w:tcPr>
            <w:tcW w:w="2017" w:type="dxa"/>
            <w:tcBorders>
              <w:top w:val="nil"/>
              <w:left w:val="nil"/>
              <w:bottom w:val="nil"/>
              <w:right w:val="nil"/>
            </w:tcBorders>
            <w:vAlign w:val="bottom"/>
          </w:tcPr>
          <w:p w14:paraId="43EFF5E1"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R-squared</w:t>
            </w:r>
          </w:p>
        </w:tc>
        <w:tc>
          <w:tcPr>
            <w:tcW w:w="1103" w:type="dxa"/>
            <w:tcBorders>
              <w:top w:val="nil"/>
              <w:left w:val="nil"/>
              <w:bottom w:val="nil"/>
              <w:right w:val="nil"/>
            </w:tcBorders>
            <w:vAlign w:val="bottom"/>
          </w:tcPr>
          <w:p w14:paraId="67B87F6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0.991441</w:t>
            </w:r>
          </w:p>
        </w:tc>
        <w:tc>
          <w:tcPr>
            <w:tcW w:w="2415" w:type="dxa"/>
            <w:gridSpan w:val="2"/>
            <w:tcBorders>
              <w:top w:val="nil"/>
              <w:left w:val="nil"/>
              <w:bottom w:val="nil"/>
              <w:right w:val="nil"/>
            </w:tcBorders>
            <w:vAlign w:val="bottom"/>
          </w:tcPr>
          <w:p w14:paraId="2BFC2A8C"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Mean dependent var</w:t>
            </w:r>
          </w:p>
        </w:tc>
        <w:tc>
          <w:tcPr>
            <w:tcW w:w="997" w:type="dxa"/>
            <w:tcBorders>
              <w:top w:val="nil"/>
              <w:left w:val="nil"/>
              <w:bottom w:val="nil"/>
              <w:right w:val="nil"/>
            </w:tcBorders>
            <w:vAlign w:val="bottom"/>
          </w:tcPr>
          <w:p w14:paraId="03F9031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6.357809</w:t>
            </w:r>
          </w:p>
        </w:tc>
      </w:tr>
      <w:tr w:rsidR="00D8206B" w:rsidRPr="00C51A7B" w14:paraId="16116D96" w14:textId="77777777" w:rsidTr="00D00B3F">
        <w:trPr>
          <w:trHeight w:val="225"/>
        </w:trPr>
        <w:tc>
          <w:tcPr>
            <w:tcW w:w="2017" w:type="dxa"/>
            <w:tcBorders>
              <w:top w:val="nil"/>
              <w:left w:val="nil"/>
              <w:bottom w:val="nil"/>
              <w:right w:val="nil"/>
            </w:tcBorders>
            <w:vAlign w:val="bottom"/>
          </w:tcPr>
          <w:p w14:paraId="6CA62710"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Adjusted R-squared</w:t>
            </w:r>
          </w:p>
        </w:tc>
        <w:tc>
          <w:tcPr>
            <w:tcW w:w="1103" w:type="dxa"/>
            <w:tcBorders>
              <w:top w:val="nil"/>
              <w:left w:val="nil"/>
              <w:bottom w:val="nil"/>
              <w:right w:val="nil"/>
            </w:tcBorders>
            <w:vAlign w:val="bottom"/>
          </w:tcPr>
          <w:p w14:paraId="3D356FF9"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0.982271</w:t>
            </w:r>
          </w:p>
        </w:tc>
        <w:tc>
          <w:tcPr>
            <w:tcW w:w="2415" w:type="dxa"/>
            <w:gridSpan w:val="2"/>
            <w:tcBorders>
              <w:top w:val="nil"/>
              <w:left w:val="nil"/>
              <w:bottom w:val="nil"/>
              <w:right w:val="nil"/>
            </w:tcBorders>
            <w:vAlign w:val="bottom"/>
          </w:tcPr>
          <w:p w14:paraId="4615883C"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S.D. dependent var</w:t>
            </w:r>
          </w:p>
        </w:tc>
        <w:tc>
          <w:tcPr>
            <w:tcW w:w="997" w:type="dxa"/>
            <w:tcBorders>
              <w:top w:val="nil"/>
              <w:left w:val="nil"/>
              <w:bottom w:val="nil"/>
              <w:right w:val="nil"/>
            </w:tcBorders>
            <w:vAlign w:val="bottom"/>
          </w:tcPr>
          <w:p w14:paraId="43184B6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0.151051</w:t>
            </w:r>
          </w:p>
        </w:tc>
      </w:tr>
      <w:tr w:rsidR="00D8206B" w:rsidRPr="00C51A7B" w14:paraId="5C4E8769" w14:textId="77777777" w:rsidTr="00D00B3F">
        <w:trPr>
          <w:trHeight w:val="225"/>
        </w:trPr>
        <w:tc>
          <w:tcPr>
            <w:tcW w:w="2017" w:type="dxa"/>
            <w:tcBorders>
              <w:top w:val="nil"/>
              <w:left w:val="nil"/>
              <w:bottom w:val="nil"/>
              <w:right w:val="nil"/>
            </w:tcBorders>
            <w:vAlign w:val="bottom"/>
          </w:tcPr>
          <w:p w14:paraId="35A5CBB0"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S.E. of regression</w:t>
            </w:r>
          </w:p>
        </w:tc>
        <w:tc>
          <w:tcPr>
            <w:tcW w:w="1103" w:type="dxa"/>
            <w:tcBorders>
              <w:top w:val="nil"/>
              <w:left w:val="nil"/>
              <w:bottom w:val="nil"/>
              <w:right w:val="nil"/>
            </w:tcBorders>
            <w:vAlign w:val="bottom"/>
          </w:tcPr>
          <w:p w14:paraId="3484019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0.020113</w:t>
            </w:r>
          </w:p>
        </w:tc>
        <w:tc>
          <w:tcPr>
            <w:tcW w:w="2415" w:type="dxa"/>
            <w:gridSpan w:val="2"/>
            <w:tcBorders>
              <w:top w:val="nil"/>
              <w:left w:val="nil"/>
              <w:bottom w:val="nil"/>
              <w:right w:val="nil"/>
            </w:tcBorders>
            <w:vAlign w:val="bottom"/>
          </w:tcPr>
          <w:p w14:paraId="473EECB4"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Akaike info criterion</w:t>
            </w:r>
          </w:p>
        </w:tc>
        <w:tc>
          <w:tcPr>
            <w:tcW w:w="997" w:type="dxa"/>
            <w:tcBorders>
              <w:top w:val="nil"/>
              <w:left w:val="nil"/>
              <w:bottom w:val="nil"/>
              <w:right w:val="nil"/>
            </w:tcBorders>
            <w:vAlign w:val="bottom"/>
          </w:tcPr>
          <w:p w14:paraId="540B9B3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-4.670399</w:t>
            </w:r>
          </w:p>
        </w:tc>
      </w:tr>
      <w:tr w:rsidR="00D8206B" w:rsidRPr="00C51A7B" w14:paraId="1FF30DB9" w14:textId="77777777" w:rsidTr="00D00B3F">
        <w:trPr>
          <w:trHeight w:val="225"/>
        </w:trPr>
        <w:tc>
          <w:tcPr>
            <w:tcW w:w="2017" w:type="dxa"/>
            <w:tcBorders>
              <w:top w:val="nil"/>
              <w:left w:val="nil"/>
              <w:bottom w:val="nil"/>
              <w:right w:val="nil"/>
            </w:tcBorders>
            <w:vAlign w:val="bottom"/>
          </w:tcPr>
          <w:p w14:paraId="4BADBFB4"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Sum squared resid</w:t>
            </w:r>
          </w:p>
        </w:tc>
        <w:tc>
          <w:tcPr>
            <w:tcW w:w="1103" w:type="dxa"/>
            <w:tcBorders>
              <w:top w:val="nil"/>
              <w:left w:val="nil"/>
              <w:bottom w:val="nil"/>
              <w:right w:val="nil"/>
            </w:tcBorders>
            <w:vAlign w:val="bottom"/>
          </w:tcPr>
          <w:p w14:paraId="63A0403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0.005663</w:t>
            </w:r>
          </w:p>
        </w:tc>
        <w:tc>
          <w:tcPr>
            <w:tcW w:w="2415" w:type="dxa"/>
            <w:gridSpan w:val="2"/>
            <w:tcBorders>
              <w:top w:val="nil"/>
              <w:left w:val="nil"/>
              <w:bottom w:val="nil"/>
              <w:right w:val="nil"/>
            </w:tcBorders>
            <w:vAlign w:val="bottom"/>
          </w:tcPr>
          <w:p w14:paraId="15CB95E8"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Schwarz criterion</w:t>
            </w:r>
          </w:p>
        </w:tc>
        <w:tc>
          <w:tcPr>
            <w:tcW w:w="997" w:type="dxa"/>
            <w:tcBorders>
              <w:top w:val="nil"/>
              <w:left w:val="nil"/>
              <w:bottom w:val="nil"/>
              <w:right w:val="nil"/>
            </w:tcBorders>
            <w:vAlign w:val="bottom"/>
          </w:tcPr>
          <w:p w14:paraId="3E42B3A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-3.923094</w:t>
            </w:r>
          </w:p>
        </w:tc>
      </w:tr>
      <w:tr w:rsidR="00D8206B" w:rsidRPr="00C51A7B" w14:paraId="6B550AA3" w14:textId="77777777" w:rsidTr="00D00B3F">
        <w:trPr>
          <w:trHeight w:val="225"/>
        </w:trPr>
        <w:tc>
          <w:tcPr>
            <w:tcW w:w="2017" w:type="dxa"/>
            <w:tcBorders>
              <w:top w:val="nil"/>
              <w:left w:val="nil"/>
              <w:bottom w:val="nil"/>
              <w:right w:val="nil"/>
            </w:tcBorders>
            <w:vAlign w:val="bottom"/>
          </w:tcPr>
          <w:p w14:paraId="4A6235F1"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 likelihood</w:t>
            </w:r>
          </w:p>
        </w:tc>
        <w:tc>
          <w:tcPr>
            <w:tcW w:w="1103" w:type="dxa"/>
            <w:tcBorders>
              <w:top w:val="nil"/>
              <w:left w:val="nil"/>
              <w:bottom w:val="nil"/>
              <w:right w:val="nil"/>
            </w:tcBorders>
            <w:vAlign w:val="bottom"/>
          </w:tcPr>
          <w:p w14:paraId="34BC402F"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86.05599</w:t>
            </w:r>
          </w:p>
        </w:tc>
        <w:tc>
          <w:tcPr>
            <w:tcW w:w="2415" w:type="dxa"/>
            <w:gridSpan w:val="2"/>
            <w:tcBorders>
              <w:top w:val="nil"/>
              <w:left w:val="nil"/>
              <w:bottom w:val="nil"/>
              <w:right w:val="nil"/>
            </w:tcBorders>
            <w:vAlign w:val="bottom"/>
          </w:tcPr>
          <w:p w14:paraId="34F7188D"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xml:space="preserve">    Hannan-Quinn </w:t>
            </w:r>
            <w:proofErr w:type="spellStart"/>
            <w:r w:rsidRPr="00C51A7B">
              <w:rPr>
                <w:rFonts w:ascii="Times New Roman" w:eastAsia="Calibri" w:hAnsi="Times New Roman" w:cs="Times New Roman"/>
                <w:color w:val="000000"/>
                <w:sz w:val="22"/>
                <w:szCs w:val="22"/>
              </w:rPr>
              <w:t>criter</w:t>
            </w:r>
            <w:proofErr w:type="spellEnd"/>
            <w:r w:rsidRPr="00C51A7B">
              <w:rPr>
                <w:rFonts w:ascii="Times New Roman" w:eastAsia="Calibri" w:hAnsi="Times New Roman" w:cs="Times New Roman"/>
                <w:color w:val="000000"/>
                <w:sz w:val="22"/>
                <w:szCs w:val="22"/>
              </w:rPr>
              <w:t>.</w:t>
            </w:r>
          </w:p>
        </w:tc>
        <w:tc>
          <w:tcPr>
            <w:tcW w:w="997" w:type="dxa"/>
            <w:tcBorders>
              <w:top w:val="nil"/>
              <w:left w:val="nil"/>
              <w:bottom w:val="nil"/>
              <w:right w:val="nil"/>
            </w:tcBorders>
            <w:vAlign w:val="bottom"/>
          </w:tcPr>
          <w:p w14:paraId="0675AC0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-4.431330</w:t>
            </w:r>
          </w:p>
        </w:tc>
      </w:tr>
      <w:tr w:rsidR="00D8206B" w:rsidRPr="00C51A7B" w14:paraId="07CC467F" w14:textId="77777777" w:rsidTr="00D00B3F">
        <w:trPr>
          <w:trHeight w:val="225"/>
        </w:trPr>
        <w:tc>
          <w:tcPr>
            <w:tcW w:w="2017" w:type="dxa"/>
            <w:tcBorders>
              <w:top w:val="nil"/>
              <w:left w:val="nil"/>
              <w:right w:val="nil"/>
            </w:tcBorders>
            <w:vAlign w:val="bottom"/>
          </w:tcPr>
          <w:p w14:paraId="388612B7"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F-statistic</w:t>
            </w:r>
          </w:p>
        </w:tc>
        <w:tc>
          <w:tcPr>
            <w:tcW w:w="1103" w:type="dxa"/>
            <w:tcBorders>
              <w:top w:val="nil"/>
              <w:left w:val="nil"/>
              <w:right w:val="nil"/>
            </w:tcBorders>
            <w:vAlign w:val="bottom"/>
          </w:tcPr>
          <w:p w14:paraId="0A88C7E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108.1131</w:t>
            </w:r>
          </w:p>
        </w:tc>
        <w:tc>
          <w:tcPr>
            <w:tcW w:w="2415" w:type="dxa"/>
            <w:gridSpan w:val="2"/>
            <w:tcBorders>
              <w:top w:val="nil"/>
              <w:left w:val="nil"/>
              <w:right w:val="nil"/>
            </w:tcBorders>
            <w:vAlign w:val="bottom"/>
          </w:tcPr>
          <w:p w14:paraId="3C6AB9F2"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Durbin-Watson stat</w:t>
            </w:r>
          </w:p>
        </w:tc>
        <w:tc>
          <w:tcPr>
            <w:tcW w:w="997" w:type="dxa"/>
            <w:tcBorders>
              <w:top w:val="nil"/>
              <w:left w:val="nil"/>
              <w:right w:val="nil"/>
            </w:tcBorders>
            <w:vAlign w:val="bottom"/>
          </w:tcPr>
          <w:p w14:paraId="656C538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2.360255</w:t>
            </w:r>
          </w:p>
        </w:tc>
      </w:tr>
      <w:tr w:rsidR="00D8206B" w:rsidRPr="00C51A7B" w14:paraId="51794778" w14:textId="77777777" w:rsidTr="00D00B3F">
        <w:trPr>
          <w:trHeight w:val="225"/>
        </w:trPr>
        <w:tc>
          <w:tcPr>
            <w:tcW w:w="2017" w:type="dxa"/>
            <w:tcBorders>
              <w:top w:val="nil"/>
              <w:left w:val="nil"/>
              <w:bottom w:val="single" w:sz="4" w:space="0" w:color="auto"/>
              <w:right w:val="nil"/>
            </w:tcBorders>
            <w:vAlign w:val="bottom"/>
          </w:tcPr>
          <w:p w14:paraId="42B92651"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Prob(F-statistic)</w:t>
            </w:r>
          </w:p>
        </w:tc>
        <w:tc>
          <w:tcPr>
            <w:tcW w:w="1103" w:type="dxa"/>
            <w:tcBorders>
              <w:top w:val="nil"/>
              <w:left w:val="nil"/>
              <w:bottom w:val="single" w:sz="4" w:space="0" w:color="auto"/>
              <w:right w:val="nil"/>
            </w:tcBorders>
            <w:vAlign w:val="bottom"/>
          </w:tcPr>
          <w:p w14:paraId="53FFC36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0.000000</w:t>
            </w:r>
          </w:p>
        </w:tc>
        <w:tc>
          <w:tcPr>
            <w:tcW w:w="1207" w:type="dxa"/>
            <w:tcBorders>
              <w:top w:val="nil"/>
              <w:left w:val="nil"/>
              <w:bottom w:val="single" w:sz="4" w:space="0" w:color="auto"/>
              <w:right w:val="nil"/>
            </w:tcBorders>
            <w:vAlign w:val="bottom"/>
          </w:tcPr>
          <w:p w14:paraId="15F7EEF5" w14:textId="77777777" w:rsidR="00D8206B" w:rsidRPr="00C51A7B" w:rsidRDefault="00D8206B" w:rsidP="00D00B3F">
            <w:pPr>
              <w:autoSpaceDE w:val="0"/>
              <w:autoSpaceDN w:val="0"/>
              <w:adjustRightInd w:val="0"/>
              <w:spacing w:after="0" w:line="240" w:lineRule="auto"/>
              <w:ind w:right="10"/>
              <w:jc w:val="center"/>
              <w:rPr>
                <w:rFonts w:ascii="Times New Roman" w:eastAsia="Calibri" w:hAnsi="Times New Roman" w:cs="Times New Roman"/>
                <w:color w:val="000000"/>
                <w:sz w:val="22"/>
                <w:szCs w:val="22"/>
              </w:rPr>
            </w:pPr>
          </w:p>
        </w:tc>
        <w:tc>
          <w:tcPr>
            <w:tcW w:w="1208" w:type="dxa"/>
            <w:tcBorders>
              <w:top w:val="nil"/>
              <w:left w:val="nil"/>
              <w:bottom w:val="single" w:sz="4" w:space="0" w:color="auto"/>
              <w:right w:val="nil"/>
            </w:tcBorders>
            <w:vAlign w:val="bottom"/>
          </w:tcPr>
          <w:p w14:paraId="6396EABE" w14:textId="77777777" w:rsidR="00D8206B" w:rsidRPr="00C51A7B" w:rsidRDefault="00D8206B" w:rsidP="00D00B3F">
            <w:pPr>
              <w:autoSpaceDE w:val="0"/>
              <w:autoSpaceDN w:val="0"/>
              <w:adjustRightInd w:val="0"/>
              <w:spacing w:after="0" w:line="240" w:lineRule="auto"/>
              <w:ind w:right="10"/>
              <w:jc w:val="center"/>
              <w:rPr>
                <w:rFonts w:ascii="Times New Roman" w:eastAsia="Calibri" w:hAnsi="Times New Roman" w:cs="Times New Roman"/>
                <w:color w:val="000000"/>
                <w:sz w:val="22"/>
                <w:szCs w:val="22"/>
              </w:rPr>
            </w:pPr>
          </w:p>
        </w:tc>
        <w:tc>
          <w:tcPr>
            <w:tcW w:w="997" w:type="dxa"/>
            <w:tcBorders>
              <w:top w:val="nil"/>
              <w:left w:val="nil"/>
              <w:bottom w:val="single" w:sz="4" w:space="0" w:color="auto"/>
              <w:right w:val="nil"/>
            </w:tcBorders>
            <w:vAlign w:val="bottom"/>
          </w:tcPr>
          <w:p w14:paraId="2FB86EA4" w14:textId="77777777" w:rsidR="00D8206B" w:rsidRPr="00C51A7B" w:rsidRDefault="00D8206B" w:rsidP="00D00B3F">
            <w:pPr>
              <w:autoSpaceDE w:val="0"/>
              <w:autoSpaceDN w:val="0"/>
              <w:adjustRightInd w:val="0"/>
              <w:spacing w:after="0" w:line="240" w:lineRule="auto"/>
              <w:ind w:right="10"/>
              <w:jc w:val="center"/>
              <w:rPr>
                <w:rFonts w:ascii="Times New Roman" w:eastAsia="Calibri" w:hAnsi="Times New Roman" w:cs="Times New Roman"/>
                <w:color w:val="000000"/>
                <w:sz w:val="22"/>
                <w:szCs w:val="22"/>
              </w:rPr>
            </w:pPr>
          </w:p>
        </w:tc>
      </w:tr>
    </w:tbl>
    <w:p w14:paraId="34B7A1C8" w14:textId="77777777" w:rsidR="00D8206B" w:rsidRPr="00C51A7B" w:rsidRDefault="00D8206B" w:rsidP="00D8206B">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b/>
          <w:sz w:val="22"/>
          <w:szCs w:val="22"/>
        </w:rPr>
        <w:t>Source:</w:t>
      </w:r>
      <w:r w:rsidRPr="00C51A7B">
        <w:rPr>
          <w:rFonts w:ascii="Times New Roman" w:eastAsia="Calibri" w:hAnsi="Times New Roman" w:cs="Times New Roman"/>
          <w:sz w:val="22"/>
          <w:szCs w:val="22"/>
        </w:rPr>
        <w:t xml:space="preserve"> Author’s computations with E-views Version 10 (2025)</w:t>
      </w:r>
    </w:p>
    <w:p w14:paraId="56C846E9" w14:textId="77777777" w:rsidR="007223FC" w:rsidRDefault="007223FC" w:rsidP="00D8206B">
      <w:pPr>
        <w:spacing w:after="0" w:line="276" w:lineRule="auto"/>
        <w:jc w:val="both"/>
        <w:rPr>
          <w:rFonts w:ascii="Times New Roman" w:hAnsi="Times New Roman" w:cs="Times New Roman"/>
          <w:sz w:val="22"/>
          <w:szCs w:val="22"/>
        </w:rPr>
      </w:pPr>
    </w:p>
    <w:p w14:paraId="4FE83DE5" w14:textId="77777777" w:rsidR="007223FC" w:rsidRDefault="007223FC" w:rsidP="00D8206B">
      <w:pPr>
        <w:spacing w:after="0" w:line="276" w:lineRule="auto"/>
        <w:jc w:val="both"/>
        <w:rPr>
          <w:rFonts w:ascii="Times New Roman" w:hAnsi="Times New Roman" w:cs="Times New Roman"/>
          <w:sz w:val="22"/>
          <w:szCs w:val="22"/>
        </w:rPr>
      </w:pPr>
    </w:p>
    <w:p w14:paraId="03C651AC" w14:textId="5C554FEE"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The model’s R-squared value of 0.9914 and adjusted R-squared of 0.9823 indicate that about 98% of variations in agricultural output are explained by the explanatory variables, confirming a strong fit. The F-statistic (108.11) with a p-value of 0.0000 further demonstrates the overall significance of the model, while the Durbin-Watson statistic (2.36) suggests no major autocorrelation problem, implying that the model’s estimates are reliable.</w:t>
      </w:r>
    </w:p>
    <w:p w14:paraId="6A37E90E"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lastRenderedPageBreak/>
        <w:t>The coefficient of the lagged agricultural GDP variable, LOG(</w:t>
      </w:r>
      <w:proofErr w:type="gramStart"/>
      <w:r w:rsidRPr="007E6361">
        <w:rPr>
          <w:rFonts w:ascii="Times New Roman" w:hAnsi="Times New Roman" w:cs="Times New Roman"/>
          <w:sz w:val="22"/>
          <w:szCs w:val="22"/>
        </w:rPr>
        <w:t>AGDP(</w:t>
      </w:r>
      <w:proofErr w:type="gramEnd"/>
      <w:r w:rsidRPr="007E6361">
        <w:rPr>
          <w:rFonts w:ascii="Times New Roman" w:hAnsi="Times New Roman" w:cs="Times New Roman"/>
          <w:sz w:val="22"/>
          <w:szCs w:val="22"/>
        </w:rPr>
        <w:t>-1)), is positive but insignificant, suggesting that previous agricultural output has minimal long-term influence on current output. This indicates that agricultural growth in Nigeria is driven more by present economic conditions, government policies, and debt management than by past performance levels.</w:t>
      </w:r>
    </w:p>
    <w:p w14:paraId="7DF4B96A"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The findings on external debt (ED) show mixed effects. The immediate coefficient, LOG(ED), is negative and statistically significant (–9.647, p = 0.0499), implying that increases in external borrowing tend to reduce agricultural performance in the long run. This could be attributed to debt servicing burdens, poor debt utilization, and policy conditions tied to foreign loans. However, some lagged terms, such as LOG(</w:t>
      </w:r>
      <w:proofErr w:type="gramStart"/>
      <w:r w:rsidRPr="007E6361">
        <w:rPr>
          <w:rFonts w:ascii="Times New Roman" w:hAnsi="Times New Roman" w:cs="Times New Roman"/>
          <w:sz w:val="22"/>
          <w:szCs w:val="22"/>
        </w:rPr>
        <w:t>ED(</w:t>
      </w:r>
      <w:proofErr w:type="gramEnd"/>
      <w:r w:rsidRPr="007E6361">
        <w:rPr>
          <w:rFonts w:ascii="Times New Roman" w:hAnsi="Times New Roman" w:cs="Times New Roman"/>
          <w:sz w:val="22"/>
          <w:szCs w:val="22"/>
        </w:rPr>
        <w:t>-3)), have a positive influence, suggesting that external debt can contribute positively to agricultural growth over time if funds are properly invested in productive sectors. Thus, the relationship between external borrowing and agricultural output depends largely on how efficiently borrowed funds are managed and utilized.</w:t>
      </w:r>
    </w:p>
    <w:p w14:paraId="307A16F6"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For domestic debt (DD), the short-run and long-run effects appear more favorable. The coefficient for LOG(DD) (8.568, p = 0.0139) is positive and significant, indicating that domestic borrowing contributes to agricultural sector growth. This may be because domestic loans are often used to finance local projects, provide credit facilities to farmers, and support agricultural infrastructure. The lagged terms of domestic debt, though negative and insignificant, suggest that excessive long-term borrowing could slow growth if not carefully managed. The debt-to-GDP ratio (DGDP) presents another important dimension. The immediate effect, LOG(DGDP) (–0.483), though negative, is not statistically significant, implying that short-term increases in debt relative to GDP have limited influence on agricultural output. However, LOG(</w:t>
      </w:r>
      <w:proofErr w:type="gramStart"/>
      <w:r w:rsidRPr="007E6361">
        <w:rPr>
          <w:rFonts w:ascii="Times New Roman" w:hAnsi="Times New Roman" w:cs="Times New Roman"/>
          <w:sz w:val="22"/>
          <w:szCs w:val="22"/>
        </w:rPr>
        <w:t>DGDP(</w:t>
      </w:r>
      <w:proofErr w:type="gramEnd"/>
      <w:r w:rsidRPr="007E6361">
        <w:rPr>
          <w:rFonts w:ascii="Times New Roman" w:hAnsi="Times New Roman" w:cs="Times New Roman"/>
          <w:sz w:val="22"/>
          <w:szCs w:val="22"/>
        </w:rPr>
        <w:t>-1)) is positive and highly significant (2.005, p = 0.0004), suggesting that maintaining a stable and sustainable debt level can enhance agricultural growth. In contrast, the fourth lag, LOG(</w:t>
      </w:r>
      <w:proofErr w:type="gramStart"/>
      <w:r w:rsidRPr="007E6361">
        <w:rPr>
          <w:rFonts w:ascii="Times New Roman" w:hAnsi="Times New Roman" w:cs="Times New Roman"/>
          <w:sz w:val="22"/>
          <w:szCs w:val="22"/>
        </w:rPr>
        <w:t>DGDP(</w:t>
      </w:r>
      <w:proofErr w:type="gramEnd"/>
      <w:r w:rsidRPr="007E6361">
        <w:rPr>
          <w:rFonts w:ascii="Times New Roman" w:hAnsi="Times New Roman" w:cs="Times New Roman"/>
          <w:sz w:val="22"/>
          <w:szCs w:val="22"/>
        </w:rPr>
        <w:t>-4)), is negative and significant (–2.338, p = 0.0005), meaning that sustained high debt levels eventually hinder productivity by reducing fiscal space and crowding out agricultural investment. The positive and significant constant term (C = 17.532, p = 0.0143) reflects the inherent growth potential of Nigeria’s agricultural sector, driven by its vast natural resources, arable land, and human capacity—even independent of debt conditions.</w:t>
      </w:r>
    </w:p>
    <w:tbl>
      <w:tblPr>
        <w:tblW w:w="0" w:type="auto"/>
        <w:tblInd w:w="30" w:type="dxa"/>
        <w:tblLayout w:type="fixed"/>
        <w:tblCellMar>
          <w:left w:w="0" w:type="dxa"/>
          <w:right w:w="0" w:type="dxa"/>
        </w:tblCellMar>
        <w:tblLook w:val="0000" w:firstRow="0" w:lastRow="0" w:firstColumn="0" w:lastColumn="0" w:noHBand="0" w:noVBand="0"/>
      </w:tblPr>
      <w:tblGrid>
        <w:gridCol w:w="2951"/>
        <w:gridCol w:w="1462"/>
        <w:gridCol w:w="1603"/>
        <w:gridCol w:w="1602"/>
        <w:gridCol w:w="1323"/>
      </w:tblGrid>
      <w:tr w:rsidR="00D8206B" w:rsidRPr="00C51A7B" w14:paraId="764FCADE" w14:textId="77777777" w:rsidTr="00D00B3F">
        <w:trPr>
          <w:trHeight w:val="215"/>
        </w:trPr>
        <w:tc>
          <w:tcPr>
            <w:tcW w:w="6016" w:type="dxa"/>
            <w:gridSpan w:val="3"/>
            <w:tcBorders>
              <w:top w:val="nil"/>
              <w:left w:val="nil"/>
              <w:bottom w:val="nil"/>
              <w:right w:val="nil"/>
            </w:tcBorders>
            <w:vAlign w:val="bottom"/>
          </w:tcPr>
          <w:p w14:paraId="56CFB428"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bookmarkStart w:id="14" w:name="_Toc214835443"/>
            <w:r w:rsidRPr="00C51A7B">
              <w:rPr>
                <w:rFonts w:ascii="Times New Roman" w:eastAsia="Times New Roman" w:hAnsi="Times New Roman" w:cs="Times New Roman"/>
                <w:b/>
                <w:kern w:val="0"/>
                <w:sz w:val="22"/>
                <w:szCs w:val="22"/>
                <w14:ligatures w14:val="none"/>
              </w:rPr>
              <w:t>Table 4.</w:t>
            </w:r>
            <w:r w:rsidRPr="007E6361">
              <w:rPr>
                <w:rFonts w:ascii="Times New Roman" w:eastAsia="Times New Roman" w:hAnsi="Times New Roman" w:cs="Times New Roman"/>
                <w:b/>
                <w:kern w:val="0"/>
                <w:sz w:val="22"/>
                <w:szCs w:val="22"/>
                <w14:ligatures w14:val="none"/>
              </w:rPr>
              <w:t>4</w:t>
            </w:r>
            <w:r w:rsidRPr="00C51A7B">
              <w:rPr>
                <w:rFonts w:ascii="Times New Roman" w:eastAsia="Times New Roman" w:hAnsi="Times New Roman" w:cs="Times New Roman"/>
                <w:b/>
                <w:kern w:val="0"/>
                <w:sz w:val="22"/>
                <w:szCs w:val="22"/>
                <w14:ligatures w14:val="none"/>
              </w:rPr>
              <w:t>: Short-run estimate of ASGDP Model</w:t>
            </w:r>
            <w:bookmarkEnd w:id="14"/>
          </w:p>
        </w:tc>
        <w:tc>
          <w:tcPr>
            <w:tcW w:w="1602" w:type="dxa"/>
            <w:tcBorders>
              <w:top w:val="nil"/>
              <w:left w:val="nil"/>
              <w:bottom w:val="nil"/>
              <w:right w:val="nil"/>
            </w:tcBorders>
            <w:vAlign w:val="bottom"/>
          </w:tcPr>
          <w:p w14:paraId="793F45BC"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p>
        </w:tc>
        <w:tc>
          <w:tcPr>
            <w:tcW w:w="1323" w:type="dxa"/>
            <w:tcBorders>
              <w:top w:val="nil"/>
              <w:left w:val="nil"/>
              <w:bottom w:val="nil"/>
              <w:right w:val="nil"/>
            </w:tcBorders>
            <w:vAlign w:val="bottom"/>
          </w:tcPr>
          <w:p w14:paraId="0B632A05"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p>
        </w:tc>
      </w:tr>
      <w:tr w:rsidR="00D8206B" w:rsidRPr="00C51A7B" w14:paraId="78C5D811" w14:textId="77777777" w:rsidTr="00D00B3F">
        <w:trPr>
          <w:trHeight w:hRule="exact" w:val="83"/>
        </w:trPr>
        <w:tc>
          <w:tcPr>
            <w:tcW w:w="2951" w:type="dxa"/>
            <w:tcBorders>
              <w:top w:val="nil"/>
              <w:left w:val="nil"/>
              <w:bottom w:val="double" w:sz="6" w:space="2" w:color="auto"/>
              <w:right w:val="nil"/>
            </w:tcBorders>
            <w:vAlign w:val="bottom"/>
          </w:tcPr>
          <w:p w14:paraId="6E26AAA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double" w:sz="6" w:space="2" w:color="auto"/>
              <w:right w:val="nil"/>
            </w:tcBorders>
            <w:vAlign w:val="bottom"/>
          </w:tcPr>
          <w:p w14:paraId="5C6E646C"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double" w:sz="6" w:space="2" w:color="auto"/>
              <w:right w:val="nil"/>
            </w:tcBorders>
            <w:vAlign w:val="bottom"/>
          </w:tcPr>
          <w:p w14:paraId="120F5848"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double" w:sz="6" w:space="2" w:color="auto"/>
              <w:right w:val="nil"/>
            </w:tcBorders>
            <w:vAlign w:val="bottom"/>
          </w:tcPr>
          <w:p w14:paraId="71BA7BD9"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double" w:sz="6" w:space="2" w:color="auto"/>
              <w:right w:val="nil"/>
            </w:tcBorders>
            <w:vAlign w:val="bottom"/>
          </w:tcPr>
          <w:p w14:paraId="1A2E2EC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2C14B0AF" w14:textId="77777777" w:rsidTr="00D00B3F">
        <w:trPr>
          <w:trHeight w:hRule="exact" w:val="125"/>
        </w:trPr>
        <w:tc>
          <w:tcPr>
            <w:tcW w:w="2951" w:type="dxa"/>
            <w:tcBorders>
              <w:top w:val="nil"/>
              <w:left w:val="nil"/>
              <w:bottom w:val="nil"/>
              <w:right w:val="nil"/>
            </w:tcBorders>
            <w:vAlign w:val="bottom"/>
          </w:tcPr>
          <w:p w14:paraId="58FEF877"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nil"/>
              <w:right w:val="nil"/>
            </w:tcBorders>
            <w:vAlign w:val="bottom"/>
          </w:tcPr>
          <w:p w14:paraId="488EC379"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nil"/>
              <w:right w:val="nil"/>
            </w:tcBorders>
            <w:vAlign w:val="bottom"/>
          </w:tcPr>
          <w:p w14:paraId="27EDD56C"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nil"/>
              <w:right w:val="nil"/>
            </w:tcBorders>
            <w:vAlign w:val="bottom"/>
          </w:tcPr>
          <w:p w14:paraId="6A21494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nil"/>
              <w:right w:val="nil"/>
            </w:tcBorders>
            <w:vAlign w:val="bottom"/>
          </w:tcPr>
          <w:p w14:paraId="1A042539"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73F91196" w14:textId="77777777" w:rsidTr="00D00B3F">
        <w:trPr>
          <w:trHeight w:val="209"/>
        </w:trPr>
        <w:tc>
          <w:tcPr>
            <w:tcW w:w="8941" w:type="dxa"/>
            <w:gridSpan w:val="5"/>
            <w:tcBorders>
              <w:top w:val="nil"/>
              <w:left w:val="nil"/>
              <w:bottom w:val="nil"/>
              <w:right w:val="nil"/>
            </w:tcBorders>
            <w:vAlign w:val="bottom"/>
          </w:tcPr>
          <w:p w14:paraId="30CAED2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ECM Regression</w:t>
            </w:r>
          </w:p>
        </w:tc>
      </w:tr>
      <w:tr w:rsidR="00D8206B" w:rsidRPr="00C51A7B" w14:paraId="59A41073" w14:textId="77777777" w:rsidTr="00D00B3F">
        <w:trPr>
          <w:trHeight w:val="209"/>
        </w:trPr>
        <w:tc>
          <w:tcPr>
            <w:tcW w:w="8941" w:type="dxa"/>
            <w:gridSpan w:val="5"/>
            <w:tcBorders>
              <w:top w:val="nil"/>
              <w:left w:val="nil"/>
              <w:bottom w:val="nil"/>
              <w:right w:val="nil"/>
            </w:tcBorders>
            <w:vAlign w:val="bottom"/>
          </w:tcPr>
          <w:p w14:paraId="3524A39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Case 2: Restricted Constant and No Trend</w:t>
            </w:r>
          </w:p>
        </w:tc>
      </w:tr>
      <w:tr w:rsidR="00D8206B" w:rsidRPr="00C51A7B" w14:paraId="4053B63D" w14:textId="77777777" w:rsidTr="00D00B3F">
        <w:trPr>
          <w:trHeight w:hRule="exact" w:val="83"/>
        </w:trPr>
        <w:tc>
          <w:tcPr>
            <w:tcW w:w="2951" w:type="dxa"/>
            <w:tcBorders>
              <w:top w:val="nil"/>
              <w:left w:val="nil"/>
              <w:bottom w:val="double" w:sz="6" w:space="2" w:color="auto"/>
              <w:right w:val="nil"/>
            </w:tcBorders>
            <w:vAlign w:val="bottom"/>
          </w:tcPr>
          <w:p w14:paraId="0617E1A6"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double" w:sz="6" w:space="2" w:color="auto"/>
              <w:right w:val="nil"/>
            </w:tcBorders>
            <w:vAlign w:val="bottom"/>
          </w:tcPr>
          <w:p w14:paraId="5D3856EC"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double" w:sz="6" w:space="2" w:color="auto"/>
              <w:right w:val="nil"/>
            </w:tcBorders>
            <w:vAlign w:val="bottom"/>
          </w:tcPr>
          <w:p w14:paraId="556B8FB9"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double" w:sz="6" w:space="2" w:color="auto"/>
              <w:right w:val="nil"/>
            </w:tcBorders>
            <w:vAlign w:val="bottom"/>
          </w:tcPr>
          <w:p w14:paraId="1A758CF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double" w:sz="6" w:space="2" w:color="auto"/>
              <w:right w:val="nil"/>
            </w:tcBorders>
            <w:vAlign w:val="bottom"/>
          </w:tcPr>
          <w:p w14:paraId="2AACC023"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0A9CC760" w14:textId="77777777" w:rsidTr="00D00B3F">
        <w:trPr>
          <w:trHeight w:hRule="exact" w:val="125"/>
        </w:trPr>
        <w:tc>
          <w:tcPr>
            <w:tcW w:w="2951" w:type="dxa"/>
            <w:tcBorders>
              <w:top w:val="nil"/>
              <w:left w:val="nil"/>
              <w:bottom w:val="nil"/>
              <w:right w:val="nil"/>
            </w:tcBorders>
            <w:vAlign w:val="bottom"/>
          </w:tcPr>
          <w:p w14:paraId="66830C7D"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nil"/>
              <w:right w:val="nil"/>
            </w:tcBorders>
            <w:vAlign w:val="bottom"/>
          </w:tcPr>
          <w:p w14:paraId="4C82F87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nil"/>
              <w:right w:val="nil"/>
            </w:tcBorders>
            <w:vAlign w:val="bottom"/>
          </w:tcPr>
          <w:p w14:paraId="5781E98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nil"/>
              <w:right w:val="nil"/>
            </w:tcBorders>
            <w:vAlign w:val="bottom"/>
          </w:tcPr>
          <w:p w14:paraId="2DE7EDA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nil"/>
              <w:right w:val="nil"/>
            </w:tcBorders>
            <w:vAlign w:val="bottom"/>
          </w:tcPr>
          <w:p w14:paraId="3594055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3A995EAD" w14:textId="77777777" w:rsidTr="00D00B3F">
        <w:trPr>
          <w:trHeight w:val="209"/>
        </w:trPr>
        <w:tc>
          <w:tcPr>
            <w:tcW w:w="2951" w:type="dxa"/>
            <w:tcBorders>
              <w:top w:val="nil"/>
              <w:left w:val="nil"/>
              <w:bottom w:val="nil"/>
              <w:right w:val="nil"/>
            </w:tcBorders>
            <w:vAlign w:val="bottom"/>
          </w:tcPr>
          <w:p w14:paraId="3B996446" w14:textId="77777777" w:rsidR="00D8206B" w:rsidRPr="00C51A7B" w:rsidRDefault="00D8206B" w:rsidP="00D00B3F">
            <w:pPr>
              <w:spacing w:after="0" w:line="240" w:lineRule="auto"/>
              <w:jc w:val="both"/>
              <w:rPr>
                <w:rFonts w:ascii="Times New Roman" w:eastAsia="Calibri" w:hAnsi="Times New Roman" w:cs="Times New Roman"/>
                <w:sz w:val="22"/>
                <w:szCs w:val="22"/>
              </w:rPr>
            </w:pPr>
            <w:bookmarkStart w:id="15" w:name="_Hlk189244529"/>
            <w:r w:rsidRPr="00C51A7B">
              <w:rPr>
                <w:rFonts w:ascii="Times New Roman" w:eastAsia="Calibri" w:hAnsi="Times New Roman" w:cs="Times New Roman"/>
                <w:sz w:val="22"/>
                <w:szCs w:val="22"/>
              </w:rPr>
              <w:t>Variable</w:t>
            </w:r>
          </w:p>
        </w:tc>
        <w:tc>
          <w:tcPr>
            <w:tcW w:w="1462" w:type="dxa"/>
            <w:tcBorders>
              <w:top w:val="nil"/>
              <w:left w:val="nil"/>
              <w:bottom w:val="nil"/>
              <w:right w:val="nil"/>
            </w:tcBorders>
            <w:vAlign w:val="bottom"/>
          </w:tcPr>
          <w:p w14:paraId="06A8A65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Coefficient</w:t>
            </w:r>
          </w:p>
        </w:tc>
        <w:tc>
          <w:tcPr>
            <w:tcW w:w="1603" w:type="dxa"/>
            <w:tcBorders>
              <w:top w:val="nil"/>
              <w:left w:val="nil"/>
              <w:bottom w:val="nil"/>
              <w:right w:val="nil"/>
            </w:tcBorders>
            <w:vAlign w:val="bottom"/>
          </w:tcPr>
          <w:p w14:paraId="0F01904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Std. Error</w:t>
            </w:r>
          </w:p>
        </w:tc>
        <w:tc>
          <w:tcPr>
            <w:tcW w:w="1602" w:type="dxa"/>
            <w:tcBorders>
              <w:top w:val="nil"/>
              <w:left w:val="nil"/>
              <w:bottom w:val="nil"/>
              <w:right w:val="nil"/>
            </w:tcBorders>
            <w:vAlign w:val="bottom"/>
          </w:tcPr>
          <w:p w14:paraId="4A08AA4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t-Statistic</w:t>
            </w:r>
          </w:p>
        </w:tc>
        <w:tc>
          <w:tcPr>
            <w:tcW w:w="1323" w:type="dxa"/>
            <w:tcBorders>
              <w:top w:val="nil"/>
              <w:left w:val="nil"/>
              <w:bottom w:val="nil"/>
              <w:right w:val="nil"/>
            </w:tcBorders>
            <w:vAlign w:val="bottom"/>
          </w:tcPr>
          <w:p w14:paraId="4978CE91"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Prob.   </w:t>
            </w:r>
          </w:p>
        </w:tc>
      </w:tr>
      <w:tr w:rsidR="00D8206B" w:rsidRPr="00C51A7B" w14:paraId="1B1F16BC" w14:textId="77777777" w:rsidTr="00D00B3F">
        <w:trPr>
          <w:trHeight w:hRule="exact" w:val="83"/>
        </w:trPr>
        <w:tc>
          <w:tcPr>
            <w:tcW w:w="2951" w:type="dxa"/>
            <w:tcBorders>
              <w:top w:val="nil"/>
              <w:left w:val="nil"/>
              <w:bottom w:val="double" w:sz="6" w:space="2" w:color="auto"/>
              <w:right w:val="nil"/>
            </w:tcBorders>
            <w:vAlign w:val="bottom"/>
          </w:tcPr>
          <w:p w14:paraId="28D1F00F"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double" w:sz="6" w:space="2" w:color="auto"/>
              <w:right w:val="nil"/>
            </w:tcBorders>
            <w:vAlign w:val="bottom"/>
          </w:tcPr>
          <w:p w14:paraId="18F347C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double" w:sz="6" w:space="2" w:color="auto"/>
              <w:right w:val="nil"/>
            </w:tcBorders>
            <w:vAlign w:val="bottom"/>
          </w:tcPr>
          <w:p w14:paraId="4815F024"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double" w:sz="6" w:space="2" w:color="auto"/>
              <w:right w:val="nil"/>
            </w:tcBorders>
            <w:vAlign w:val="bottom"/>
          </w:tcPr>
          <w:p w14:paraId="0CAA742A"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double" w:sz="6" w:space="2" w:color="auto"/>
              <w:right w:val="nil"/>
            </w:tcBorders>
            <w:vAlign w:val="bottom"/>
          </w:tcPr>
          <w:p w14:paraId="023735FF"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53CCEA59" w14:textId="77777777" w:rsidTr="00D00B3F">
        <w:trPr>
          <w:trHeight w:hRule="exact" w:val="125"/>
        </w:trPr>
        <w:tc>
          <w:tcPr>
            <w:tcW w:w="2951" w:type="dxa"/>
            <w:tcBorders>
              <w:top w:val="nil"/>
              <w:left w:val="nil"/>
              <w:bottom w:val="nil"/>
              <w:right w:val="nil"/>
            </w:tcBorders>
            <w:vAlign w:val="bottom"/>
          </w:tcPr>
          <w:p w14:paraId="12B7EC64"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nil"/>
              <w:right w:val="nil"/>
            </w:tcBorders>
            <w:vAlign w:val="bottom"/>
          </w:tcPr>
          <w:p w14:paraId="34F46463"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nil"/>
              <w:right w:val="nil"/>
            </w:tcBorders>
            <w:vAlign w:val="bottom"/>
          </w:tcPr>
          <w:p w14:paraId="1EBBFC5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nil"/>
              <w:right w:val="nil"/>
            </w:tcBorders>
            <w:vAlign w:val="bottom"/>
          </w:tcPr>
          <w:p w14:paraId="2CCB547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nil"/>
              <w:right w:val="nil"/>
            </w:tcBorders>
            <w:vAlign w:val="bottom"/>
          </w:tcPr>
          <w:p w14:paraId="0F73428E"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3B6D285F" w14:textId="77777777" w:rsidTr="00D00B3F">
        <w:trPr>
          <w:trHeight w:val="209"/>
        </w:trPr>
        <w:tc>
          <w:tcPr>
            <w:tcW w:w="2951" w:type="dxa"/>
            <w:tcBorders>
              <w:top w:val="nil"/>
              <w:left w:val="nil"/>
              <w:bottom w:val="nil"/>
              <w:right w:val="nil"/>
            </w:tcBorders>
            <w:vAlign w:val="bottom"/>
          </w:tcPr>
          <w:p w14:paraId="77472AFA"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ASGDP(</w:t>
            </w:r>
            <w:proofErr w:type="gramEnd"/>
            <w:r w:rsidRPr="00C51A7B">
              <w:rPr>
                <w:rFonts w:ascii="Times New Roman" w:eastAsia="Calibri" w:hAnsi="Times New Roman" w:cs="Times New Roman"/>
                <w:sz w:val="22"/>
                <w:szCs w:val="22"/>
              </w:rPr>
              <w:t>-1))</w:t>
            </w:r>
          </w:p>
        </w:tc>
        <w:tc>
          <w:tcPr>
            <w:tcW w:w="1462" w:type="dxa"/>
            <w:tcBorders>
              <w:top w:val="nil"/>
              <w:left w:val="nil"/>
              <w:bottom w:val="nil"/>
              <w:right w:val="nil"/>
            </w:tcBorders>
            <w:vAlign w:val="bottom"/>
          </w:tcPr>
          <w:p w14:paraId="0048A01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0.201620</w:t>
            </w:r>
          </w:p>
        </w:tc>
        <w:tc>
          <w:tcPr>
            <w:tcW w:w="1603" w:type="dxa"/>
            <w:tcBorders>
              <w:top w:val="nil"/>
              <w:left w:val="nil"/>
              <w:bottom w:val="nil"/>
              <w:right w:val="nil"/>
            </w:tcBorders>
            <w:vAlign w:val="bottom"/>
          </w:tcPr>
          <w:p w14:paraId="7D31B81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0.113184</w:t>
            </w:r>
          </w:p>
        </w:tc>
        <w:tc>
          <w:tcPr>
            <w:tcW w:w="1602" w:type="dxa"/>
            <w:tcBorders>
              <w:top w:val="nil"/>
              <w:left w:val="nil"/>
              <w:bottom w:val="nil"/>
              <w:right w:val="nil"/>
            </w:tcBorders>
            <w:vAlign w:val="bottom"/>
          </w:tcPr>
          <w:p w14:paraId="776F42B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1.781339</w:t>
            </w:r>
          </w:p>
        </w:tc>
        <w:tc>
          <w:tcPr>
            <w:tcW w:w="1323" w:type="dxa"/>
            <w:tcBorders>
              <w:top w:val="nil"/>
              <w:left w:val="nil"/>
              <w:bottom w:val="nil"/>
              <w:right w:val="nil"/>
            </w:tcBorders>
            <w:vAlign w:val="bottom"/>
          </w:tcPr>
          <w:p w14:paraId="0260175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0.0887</w:t>
            </w:r>
          </w:p>
        </w:tc>
      </w:tr>
      <w:tr w:rsidR="00D8206B" w:rsidRPr="00C51A7B" w14:paraId="2B4D69F4" w14:textId="77777777" w:rsidTr="00D00B3F">
        <w:trPr>
          <w:trHeight w:val="209"/>
        </w:trPr>
        <w:tc>
          <w:tcPr>
            <w:tcW w:w="2951" w:type="dxa"/>
            <w:tcBorders>
              <w:top w:val="nil"/>
              <w:left w:val="nil"/>
              <w:bottom w:val="nil"/>
              <w:right w:val="nil"/>
            </w:tcBorders>
            <w:vAlign w:val="bottom"/>
          </w:tcPr>
          <w:p w14:paraId="65B2995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ASGDP(</w:t>
            </w:r>
            <w:proofErr w:type="gramEnd"/>
            <w:r w:rsidRPr="00C51A7B">
              <w:rPr>
                <w:rFonts w:ascii="Times New Roman" w:eastAsia="Calibri" w:hAnsi="Times New Roman" w:cs="Times New Roman"/>
                <w:sz w:val="22"/>
                <w:szCs w:val="22"/>
              </w:rPr>
              <w:t>-2))</w:t>
            </w:r>
          </w:p>
        </w:tc>
        <w:tc>
          <w:tcPr>
            <w:tcW w:w="1462" w:type="dxa"/>
            <w:tcBorders>
              <w:top w:val="nil"/>
              <w:left w:val="nil"/>
              <w:bottom w:val="nil"/>
              <w:right w:val="nil"/>
            </w:tcBorders>
            <w:vAlign w:val="bottom"/>
          </w:tcPr>
          <w:p w14:paraId="0FB1340A"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-0.677796</w:t>
            </w:r>
          </w:p>
        </w:tc>
        <w:tc>
          <w:tcPr>
            <w:tcW w:w="1603" w:type="dxa"/>
            <w:tcBorders>
              <w:top w:val="nil"/>
              <w:left w:val="nil"/>
              <w:bottom w:val="nil"/>
              <w:right w:val="nil"/>
            </w:tcBorders>
            <w:vAlign w:val="bottom"/>
          </w:tcPr>
          <w:p w14:paraId="1C26152A"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0.120484</w:t>
            </w:r>
          </w:p>
        </w:tc>
        <w:tc>
          <w:tcPr>
            <w:tcW w:w="1602" w:type="dxa"/>
            <w:tcBorders>
              <w:top w:val="nil"/>
              <w:left w:val="nil"/>
              <w:bottom w:val="nil"/>
              <w:right w:val="nil"/>
            </w:tcBorders>
            <w:vAlign w:val="bottom"/>
          </w:tcPr>
          <w:p w14:paraId="7C06A23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-5.625633</w:t>
            </w:r>
          </w:p>
        </w:tc>
        <w:tc>
          <w:tcPr>
            <w:tcW w:w="1323" w:type="dxa"/>
            <w:tcBorders>
              <w:top w:val="nil"/>
              <w:left w:val="nil"/>
              <w:bottom w:val="nil"/>
              <w:right w:val="nil"/>
            </w:tcBorders>
            <w:vAlign w:val="bottom"/>
          </w:tcPr>
          <w:p w14:paraId="25899CB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0.0000</w:t>
            </w:r>
          </w:p>
        </w:tc>
      </w:tr>
      <w:bookmarkEnd w:id="15"/>
      <w:tr w:rsidR="00D8206B" w:rsidRPr="00C51A7B" w14:paraId="70663924" w14:textId="77777777" w:rsidTr="00D00B3F">
        <w:trPr>
          <w:trHeight w:val="209"/>
        </w:trPr>
        <w:tc>
          <w:tcPr>
            <w:tcW w:w="2951" w:type="dxa"/>
            <w:tcBorders>
              <w:top w:val="nil"/>
              <w:left w:val="nil"/>
              <w:bottom w:val="nil"/>
              <w:right w:val="nil"/>
            </w:tcBorders>
            <w:vAlign w:val="bottom"/>
          </w:tcPr>
          <w:p w14:paraId="53E670D5" w14:textId="77777777" w:rsidR="00D8206B" w:rsidRPr="00C51A7B" w:rsidRDefault="00D8206B" w:rsidP="00D00B3F">
            <w:pPr>
              <w:spacing w:after="0" w:line="240" w:lineRule="auto"/>
              <w:jc w:val="both"/>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∆L(DD)</w:t>
            </w:r>
          </w:p>
        </w:tc>
        <w:tc>
          <w:tcPr>
            <w:tcW w:w="1462" w:type="dxa"/>
            <w:tcBorders>
              <w:top w:val="nil"/>
              <w:left w:val="nil"/>
              <w:bottom w:val="nil"/>
              <w:right w:val="nil"/>
            </w:tcBorders>
            <w:vAlign w:val="bottom"/>
          </w:tcPr>
          <w:p w14:paraId="4A83884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-0.054219</w:t>
            </w:r>
          </w:p>
        </w:tc>
        <w:tc>
          <w:tcPr>
            <w:tcW w:w="1603" w:type="dxa"/>
            <w:tcBorders>
              <w:top w:val="nil"/>
              <w:left w:val="nil"/>
              <w:bottom w:val="nil"/>
              <w:right w:val="nil"/>
            </w:tcBorders>
            <w:vAlign w:val="bottom"/>
          </w:tcPr>
          <w:p w14:paraId="330ED62B"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0.012523</w:t>
            </w:r>
          </w:p>
        </w:tc>
        <w:tc>
          <w:tcPr>
            <w:tcW w:w="1602" w:type="dxa"/>
            <w:tcBorders>
              <w:top w:val="nil"/>
              <w:left w:val="nil"/>
              <w:bottom w:val="nil"/>
              <w:right w:val="nil"/>
            </w:tcBorders>
            <w:vAlign w:val="bottom"/>
          </w:tcPr>
          <w:p w14:paraId="5B3AFE1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-2.611557</w:t>
            </w:r>
          </w:p>
        </w:tc>
        <w:tc>
          <w:tcPr>
            <w:tcW w:w="1323" w:type="dxa"/>
            <w:tcBorders>
              <w:top w:val="nil"/>
              <w:left w:val="nil"/>
              <w:bottom w:val="nil"/>
              <w:right w:val="nil"/>
            </w:tcBorders>
            <w:vAlign w:val="bottom"/>
          </w:tcPr>
          <w:p w14:paraId="0131D93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0.0381</w:t>
            </w:r>
          </w:p>
        </w:tc>
      </w:tr>
      <w:tr w:rsidR="00D8206B" w:rsidRPr="00C51A7B" w14:paraId="37C66531" w14:textId="77777777" w:rsidTr="00D00B3F">
        <w:trPr>
          <w:trHeight w:val="209"/>
        </w:trPr>
        <w:tc>
          <w:tcPr>
            <w:tcW w:w="2951" w:type="dxa"/>
            <w:tcBorders>
              <w:top w:val="nil"/>
              <w:left w:val="nil"/>
              <w:bottom w:val="nil"/>
              <w:right w:val="nil"/>
            </w:tcBorders>
            <w:vAlign w:val="bottom"/>
          </w:tcPr>
          <w:p w14:paraId="1CAAFC1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L(ED)</w:t>
            </w:r>
          </w:p>
        </w:tc>
        <w:tc>
          <w:tcPr>
            <w:tcW w:w="1462" w:type="dxa"/>
            <w:tcBorders>
              <w:top w:val="nil"/>
              <w:left w:val="nil"/>
              <w:bottom w:val="nil"/>
              <w:right w:val="nil"/>
            </w:tcBorders>
            <w:vAlign w:val="bottom"/>
          </w:tcPr>
          <w:p w14:paraId="6695AD7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0.150874</w:t>
            </w:r>
          </w:p>
        </w:tc>
        <w:tc>
          <w:tcPr>
            <w:tcW w:w="1603" w:type="dxa"/>
            <w:tcBorders>
              <w:top w:val="nil"/>
              <w:left w:val="nil"/>
              <w:bottom w:val="nil"/>
              <w:right w:val="nil"/>
            </w:tcBorders>
            <w:vAlign w:val="bottom"/>
          </w:tcPr>
          <w:p w14:paraId="172D518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0.038595</w:t>
            </w:r>
          </w:p>
        </w:tc>
        <w:tc>
          <w:tcPr>
            <w:tcW w:w="1602" w:type="dxa"/>
            <w:tcBorders>
              <w:top w:val="nil"/>
              <w:left w:val="nil"/>
              <w:bottom w:val="nil"/>
              <w:right w:val="nil"/>
            </w:tcBorders>
            <w:vAlign w:val="bottom"/>
          </w:tcPr>
          <w:p w14:paraId="409E707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3.909192</w:t>
            </w:r>
          </w:p>
        </w:tc>
        <w:tc>
          <w:tcPr>
            <w:tcW w:w="1323" w:type="dxa"/>
            <w:tcBorders>
              <w:top w:val="nil"/>
              <w:left w:val="nil"/>
              <w:bottom w:val="nil"/>
              <w:right w:val="nil"/>
            </w:tcBorders>
            <w:vAlign w:val="bottom"/>
          </w:tcPr>
          <w:p w14:paraId="194CF101"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0.0008</w:t>
            </w:r>
          </w:p>
        </w:tc>
      </w:tr>
      <w:tr w:rsidR="00D8206B" w:rsidRPr="00C51A7B" w14:paraId="7FAF1FB6" w14:textId="77777777" w:rsidTr="00D00B3F">
        <w:trPr>
          <w:trHeight w:val="209"/>
        </w:trPr>
        <w:tc>
          <w:tcPr>
            <w:tcW w:w="2951" w:type="dxa"/>
            <w:tcBorders>
              <w:top w:val="nil"/>
              <w:left w:val="nil"/>
              <w:bottom w:val="nil"/>
              <w:right w:val="nil"/>
            </w:tcBorders>
            <w:vAlign w:val="bottom"/>
          </w:tcPr>
          <w:p w14:paraId="5124DA9F"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L(DSP)</w:t>
            </w:r>
          </w:p>
        </w:tc>
        <w:tc>
          <w:tcPr>
            <w:tcW w:w="1462" w:type="dxa"/>
            <w:tcBorders>
              <w:top w:val="nil"/>
              <w:left w:val="nil"/>
              <w:bottom w:val="nil"/>
              <w:right w:val="nil"/>
            </w:tcBorders>
            <w:vAlign w:val="bottom"/>
          </w:tcPr>
          <w:p w14:paraId="0DE3ED1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1.25E-05</w:t>
            </w:r>
          </w:p>
        </w:tc>
        <w:tc>
          <w:tcPr>
            <w:tcW w:w="1603" w:type="dxa"/>
            <w:tcBorders>
              <w:top w:val="nil"/>
              <w:left w:val="nil"/>
              <w:bottom w:val="nil"/>
              <w:right w:val="nil"/>
            </w:tcBorders>
            <w:vAlign w:val="bottom"/>
          </w:tcPr>
          <w:p w14:paraId="7C0B5156"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0.026405</w:t>
            </w:r>
          </w:p>
        </w:tc>
        <w:tc>
          <w:tcPr>
            <w:tcW w:w="1602" w:type="dxa"/>
            <w:tcBorders>
              <w:top w:val="nil"/>
              <w:left w:val="nil"/>
              <w:bottom w:val="nil"/>
              <w:right w:val="nil"/>
            </w:tcBorders>
            <w:vAlign w:val="bottom"/>
          </w:tcPr>
          <w:p w14:paraId="593C431B"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0.000472</w:t>
            </w:r>
          </w:p>
        </w:tc>
        <w:tc>
          <w:tcPr>
            <w:tcW w:w="1323" w:type="dxa"/>
            <w:tcBorders>
              <w:top w:val="nil"/>
              <w:left w:val="nil"/>
              <w:bottom w:val="nil"/>
              <w:right w:val="nil"/>
            </w:tcBorders>
            <w:vAlign w:val="bottom"/>
          </w:tcPr>
          <w:p w14:paraId="77E74E2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0.9996</w:t>
            </w:r>
          </w:p>
        </w:tc>
      </w:tr>
      <w:tr w:rsidR="00D8206B" w:rsidRPr="00C51A7B" w14:paraId="1AE0989B" w14:textId="77777777" w:rsidTr="00D00B3F">
        <w:trPr>
          <w:trHeight w:val="209"/>
        </w:trPr>
        <w:tc>
          <w:tcPr>
            <w:tcW w:w="2951" w:type="dxa"/>
            <w:tcBorders>
              <w:top w:val="nil"/>
              <w:left w:val="nil"/>
              <w:bottom w:val="nil"/>
              <w:right w:val="nil"/>
            </w:tcBorders>
            <w:vAlign w:val="bottom"/>
          </w:tcPr>
          <w:p w14:paraId="7C60839F" w14:textId="77777777" w:rsidR="00D8206B" w:rsidRPr="00C51A7B" w:rsidRDefault="00D8206B" w:rsidP="00D00B3F">
            <w:pPr>
              <w:spacing w:after="0" w:line="240" w:lineRule="auto"/>
              <w:jc w:val="both"/>
              <w:rPr>
                <w:rFonts w:ascii="Times New Roman" w:eastAsia="Calibri" w:hAnsi="Times New Roman" w:cs="Times New Roman"/>
                <w:sz w:val="22"/>
                <w:szCs w:val="22"/>
              </w:rPr>
            </w:pPr>
            <w:proofErr w:type="spellStart"/>
            <w:proofErr w:type="gramStart"/>
            <w:r w:rsidRPr="00C51A7B">
              <w:rPr>
                <w:rFonts w:ascii="Times New Roman" w:eastAsia="Calibri" w:hAnsi="Times New Roman" w:cs="Times New Roman"/>
                <w:sz w:val="22"/>
                <w:szCs w:val="22"/>
              </w:rPr>
              <w:t>CointEq</w:t>
            </w:r>
            <w:proofErr w:type="spellEnd"/>
            <w:r w:rsidRPr="00C51A7B">
              <w:rPr>
                <w:rFonts w:ascii="Times New Roman" w:eastAsia="Calibri" w:hAnsi="Times New Roman" w:cs="Times New Roman"/>
                <w:sz w:val="22"/>
                <w:szCs w:val="22"/>
              </w:rPr>
              <w:t>(</w:t>
            </w:r>
            <w:proofErr w:type="gramEnd"/>
            <w:r w:rsidRPr="00C51A7B">
              <w:rPr>
                <w:rFonts w:ascii="Times New Roman" w:eastAsia="Calibri" w:hAnsi="Times New Roman" w:cs="Times New Roman"/>
                <w:sz w:val="22"/>
                <w:szCs w:val="22"/>
              </w:rPr>
              <w:t>-</w:t>
            </w:r>
            <w:proofErr w:type="gramStart"/>
            <w:r w:rsidRPr="00C51A7B">
              <w:rPr>
                <w:rFonts w:ascii="Times New Roman" w:eastAsia="Calibri" w:hAnsi="Times New Roman" w:cs="Times New Roman"/>
                <w:sz w:val="22"/>
                <w:szCs w:val="22"/>
              </w:rPr>
              <w:t>1)*</w:t>
            </w:r>
            <w:proofErr w:type="gramEnd"/>
          </w:p>
        </w:tc>
        <w:tc>
          <w:tcPr>
            <w:tcW w:w="1462" w:type="dxa"/>
            <w:tcBorders>
              <w:top w:val="nil"/>
              <w:left w:val="nil"/>
              <w:bottom w:val="nil"/>
              <w:right w:val="nil"/>
            </w:tcBorders>
            <w:vAlign w:val="bottom"/>
          </w:tcPr>
          <w:p w14:paraId="1DA66A5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-0.248064</w:t>
            </w:r>
          </w:p>
        </w:tc>
        <w:tc>
          <w:tcPr>
            <w:tcW w:w="1603" w:type="dxa"/>
            <w:tcBorders>
              <w:top w:val="nil"/>
              <w:left w:val="nil"/>
              <w:bottom w:val="nil"/>
              <w:right w:val="nil"/>
            </w:tcBorders>
            <w:vAlign w:val="bottom"/>
          </w:tcPr>
          <w:p w14:paraId="144B588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0.052430</w:t>
            </w:r>
          </w:p>
        </w:tc>
        <w:tc>
          <w:tcPr>
            <w:tcW w:w="1602" w:type="dxa"/>
            <w:tcBorders>
              <w:top w:val="nil"/>
              <w:left w:val="nil"/>
              <w:bottom w:val="nil"/>
              <w:right w:val="nil"/>
            </w:tcBorders>
            <w:vAlign w:val="bottom"/>
          </w:tcPr>
          <w:p w14:paraId="298F748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-4.731345</w:t>
            </w:r>
          </w:p>
        </w:tc>
        <w:tc>
          <w:tcPr>
            <w:tcW w:w="1323" w:type="dxa"/>
            <w:tcBorders>
              <w:top w:val="nil"/>
              <w:left w:val="nil"/>
              <w:bottom w:val="nil"/>
              <w:right w:val="nil"/>
            </w:tcBorders>
            <w:vAlign w:val="bottom"/>
          </w:tcPr>
          <w:p w14:paraId="7F7732B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0.0001</w:t>
            </w:r>
          </w:p>
        </w:tc>
      </w:tr>
      <w:tr w:rsidR="00D8206B" w:rsidRPr="00C51A7B" w14:paraId="7B56A391" w14:textId="77777777" w:rsidTr="00D00B3F">
        <w:trPr>
          <w:trHeight w:hRule="exact" w:val="83"/>
        </w:trPr>
        <w:tc>
          <w:tcPr>
            <w:tcW w:w="2951" w:type="dxa"/>
            <w:tcBorders>
              <w:top w:val="nil"/>
              <w:left w:val="nil"/>
              <w:bottom w:val="double" w:sz="6" w:space="2" w:color="auto"/>
              <w:right w:val="nil"/>
            </w:tcBorders>
            <w:vAlign w:val="bottom"/>
          </w:tcPr>
          <w:p w14:paraId="354B1FC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double" w:sz="6" w:space="2" w:color="auto"/>
              <w:right w:val="nil"/>
            </w:tcBorders>
            <w:vAlign w:val="bottom"/>
          </w:tcPr>
          <w:p w14:paraId="1E0F6C0A"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double" w:sz="6" w:space="2" w:color="auto"/>
              <w:right w:val="nil"/>
            </w:tcBorders>
            <w:vAlign w:val="bottom"/>
          </w:tcPr>
          <w:p w14:paraId="50B0857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double" w:sz="6" w:space="2" w:color="auto"/>
              <w:right w:val="nil"/>
            </w:tcBorders>
            <w:vAlign w:val="bottom"/>
          </w:tcPr>
          <w:p w14:paraId="1EFBF04F"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double" w:sz="6" w:space="2" w:color="auto"/>
              <w:right w:val="nil"/>
            </w:tcBorders>
            <w:vAlign w:val="bottom"/>
          </w:tcPr>
          <w:p w14:paraId="423EB947"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71EE1263" w14:textId="77777777" w:rsidTr="00D00B3F">
        <w:trPr>
          <w:trHeight w:hRule="exact" w:val="125"/>
        </w:trPr>
        <w:tc>
          <w:tcPr>
            <w:tcW w:w="2951" w:type="dxa"/>
            <w:tcBorders>
              <w:top w:val="nil"/>
              <w:left w:val="nil"/>
              <w:bottom w:val="nil"/>
              <w:right w:val="nil"/>
            </w:tcBorders>
            <w:vAlign w:val="bottom"/>
          </w:tcPr>
          <w:p w14:paraId="45CDFC85"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nil"/>
              <w:right w:val="nil"/>
            </w:tcBorders>
            <w:vAlign w:val="bottom"/>
          </w:tcPr>
          <w:p w14:paraId="0A5D442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nil"/>
              <w:right w:val="nil"/>
            </w:tcBorders>
            <w:vAlign w:val="bottom"/>
          </w:tcPr>
          <w:p w14:paraId="370B2FE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nil"/>
              <w:right w:val="nil"/>
            </w:tcBorders>
            <w:vAlign w:val="bottom"/>
          </w:tcPr>
          <w:p w14:paraId="4338A3AE"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nil"/>
              <w:right w:val="nil"/>
            </w:tcBorders>
            <w:vAlign w:val="bottom"/>
          </w:tcPr>
          <w:p w14:paraId="6EEC14FD"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5B90660A" w14:textId="77777777" w:rsidTr="00D00B3F">
        <w:trPr>
          <w:trHeight w:val="209"/>
        </w:trPr>
        <w:tc>
          <w:tcPr>
            <w:tcW w:w="2951" w:type="dxa"/>
            <w:tcBorders>
              <w:top w:val="nil"/>
              <w:left w:val="nil"/>
              <w:bottom w:val="nil"/>
              <w:right w:val="nil"/>
            </w:tcBorders>
            <w:vAlign w:val="bottom"/>
          </w:tcPr>
          <w:p w14:paraId="5544502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R-squared</w:t>
            </w:r>
          </w:p>
        </w:tc>
        <w:tc>
          <w:tcPr>
            <w:tcW w:w="1462" w:type="dxa"/>
            <w:tcBorders>
              <w:top w:val="nil"/>
              <w:left w:val="nil"/>
              <w:bottom w:val="nil"/>
              <w:right w:val="nil"/>
            </w:tcBorders>
            <w:vAlign w:val="bottom"/>
          </w:tcPr>
          <w:p w14:paraId="38C2FF0B"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0.681021</w:t>
            </w:r>
          </w:p>
        </w:tc>
        <w:tc>
          <w:tcPr>
            <w:tcW w:w="3205" w:type="dxa"/>
            <w:gridSpan w:val="2"/>
            <w:tcBorders>
              <w:top w:val="nil"/>
              <w:left w:val="nil"/>
              <w:bottom w:val="nil"/>
              <w:right w:val="nil"/>
            </w:tcBorders>
            <w:vAlign w:val="bottom"/>
          </w:tcPr>
          <w:p w14:paraId="2BBF28E8"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Mean dependent var</w:t>
            </w:r>
          </w:p>
        </w:tc>
        <w:tc>
          <w:tcPr>
            <w:tcW w:w="1323" w:type="dxa"/>
            <w:tcBorders>
              <w:top w:val="nil"/>
              <w:left w:val="nil"/>
              <w:bottom w:val="nil"/>
              <w:right w:val="nil"/>
            </w:tcBorders>
            <w:vAlign w:val="bottom"/>
          </w:tcPr>
          <w:p w14:paraId="5F9112F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0.003605</w:t>
            </w:r>
          </w:p>
        </w:tc>
      </w:tr>
      <w:tr w:rsidR="00D8206B" w:rsidRPr="00C51A7B" w14:paraId="5D53C9BB" w14:textId="77777777" w:rsidTr="00D00B3F">
        <w:trPr>
          <w:trHeight w:val="209"/>
        </w:trPr>
        <w:tc>
          <w:tcPr>
            <w:tcW w:w="2951" w:type="dxa"/>
            <w:tcBorders>
              <w:top w:val="nil"/>
              <w:left w:val="nil"/>
              <w:bottom w:val="nil"/>
              <w:right w:val="nil"/>
            </w:tcBorders>
            <w:vAlign w:val="bottom"/>
          </w:tcPr>
          <w:p w14:paraId="4DA77A3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Adjusted R-squared</w:t>
            </w:r>
          </w:p>
        </w:tc>
        <w:tc>
          <w:tcPr>
            <w:tcW w:w="1462" w:type="dxa"/>
            <w:tcBorders>
              <w:top w:val="nil"/>
              <w:left w:val="nil"/>
              <w:bottom w:val="nil"/>
              <w:right w:val="nil"/>
            </w:tcBorders>
            <w:vAlign w:val="bottom"/>
          </w:tcPr>
          <w:p w14:paraId="2D07FE4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0.631948</w:t>
            </w:r>
          </w:p>
        </w:tc>
        <w:tc>
          <w:tcPr>
            <w:tcW w:w="3205" w:type="dxa"/>
            <w:gridSpan w:val="2"/>
            <w:tcBorders>
              <w:top w:val="nil"/>
              <w:left w:val="nil"/>
              <w:bottom w:val="nil"/>
              <w:right w:val="nil"/>
            </w:tcBorders>
            <w:vAlign w:val="bottom"/>
          </w:tcPr>
          <w:p w14:paraId="26B3888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S.D. dependent var</w:t>
            </w:r>
          </w:p>
        </w:tc>
        <w:tc>
          <w:tcPr>
            <w:tcW w:w="1323" w:type="dxa"/>
            <w:tcBorders>
              <w:top w:val="nil"/>
              <w:left w:val="nil"/>
              <w:bottom w:val="nil"/>
              <w:right w:val="nil"/>
            </w:tcBorders>
            <w:vAlign w:val="bottom"/>
          </w:tcPr>
          <w:p w14:paraId="508A1BA8"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0.109657</w:t>
            </w:r>
          </w:p>
        </w:tc>
      </w:tr>
      <w:tr w:rsidR="00D8206B" w:rsidRPr="00C51A7B" w14:paraId="6F2ACB80" w14:textId="77777777" w:rsidTr="00D00B3F">
        <w:trPr>
          <w:trHeight w:val="209"/>
        </w:trPr>
        <w:tc>
          <w:tcPr>
            <w:tcW w:w="2951" w:type="dxa"/>
            <w:tcBorders>
              <w:top w:val="nil"/>
              <w:left w:val="nil"/>
              <w:bottom w:val="nil"/>
              <w:right w:val="nil"/>
            </w:tcBorders>
            <w:vAlign w:val="bottom"/>
          </w:tcPr>
          <w:p w14:paraId="726EF2A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S.E. of regression</w:t>
            </w:r>
          </w:p>
        </w:tc>
        <w:tc>
          <w:tcPr>
            <w:tcW w:w="1462" w:type="dxa"/>
            <w:tcBorders>
              <w:top w:val="nil"/>
              <w:left w:val="nil"/>
              <w:bottom w:val="nil"/>
              <w:right w:val="nil"/>
            </w:tcBorders>
            <w:vAlign w:val="bottom"/>
          </w:tcPr>
          <w:p w14:paraId="255F19A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0.066526</w:t>
            </w:r>
          </w:p>
        </w:tc>
        <w:tc>
          <w:tcPr>
            <w:tcW w:w="3205" w:type="dxa"/>
            <w:gridSpan w:val="2"/>
            <w:tcBorders>
              <w:top w:val="nil"/>
              <w:left w:val="nil"/>
              <w:bottom w:val="nil"/>
              <w:right w:val="nil"/>
            </w:tcBorders>
            <w:vAlign w:val="bottom"/>
          </w:tcPr>
          <w:p w14:paraId="4C68E02F"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Akaike info criterion</w:t>
            </w:r>
          </w:p>
        </w:tc>
        <w:tc>
          <w:tcPr>
            <w:tcW w:w="1323" w:type="dxa"/>
            <w:tcBorders>
              <w:top w:val="nil"/>
              <w:left w:val="nil"/>
              <w:bottom w:val="nil"/>
              <w:right w:val="nil"/>
            </w:tcBorders>
            <w:vAlign w:val="bottom"/>
          </w:tcPr>
          <w:p w14:paraId="6E6D38D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-2.435755</w:t>
            </w:r>
          </w:p>
        </w:tc>
      </w:tr>
      <w:tr w:rsidR="00D8206B" w:rsidRPr="00C51A7B" w14:paraId="23EF31CE" w14:textId="77777777" w:rsidTr="00D00B3F">
        <w:trPr>
          <w:trHeight w:val="209"/>
        </w:trPr>
        <w:tc>
          <w:tcPr>
            <w:tcW w:w="2951" w:type="dxa"/>
            <w:tcBorders>
              <w:top w:val="nil"/>
              <w:left w:val="nil"/>
              <w:bottom w:val="nil"/>
              <w:right w:val="nil"/>
            </w:tcBorders>
            <w:vAlign w:val="bottom"/>
          </w:tcPr>
          <w:p w14:paraId="57CDD24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Sum squared resid</w:t>
            </w:r>
          </w:p>
        </w:tc>
        <w:tc>
          <w:tcPr>
            <w:tcW w:w="1462" w:type="dxa"/>
            <w:tcBorders>
              <w:top w:val="nil"/>
              <w:left w:val="nil"/>
              <w:bottom w:val="nil"/>
              <w:right w:val="nil"/>
            </w:tcBorders>
            <w:vAlign w:val="bottom"/>
          </w:tcPr>
          <w:p w14:paraId="0E08D37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0.115069</w:t>
            </w:r>
          </w:p>
        </w:tc>
        <w:tc>
          <w:tcPr>
            <w:tcW w:w="3205" w:type="dxa"/>
            <w:gridSpan w:val="2"/>
            <w:tcBorders>
              <w:top w:val="nil"/>
              <w:left w:val="nil"/>
              <w:bottom w:val="nil"/>
              <w:right w:val="nil"/>
            </w:tcBorders>
            <w:vAlign w:val="bottom"/>
          </w:tcPr>
          <w:p w14:paraId="03A58F18"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Schwarz criterion</w:t>
            </w:r>
          </w:p>
        </w:tc>
        <w:tc>
          <w:tcPr>
            <w:tcW w:w="1323" w:type="dxa"/>
            <w:tcBorders>
              <w:top w:val="nil"/>
              <w:left w:val="nil"/>
              <w:bottom w:val="nil"/>
              <w:right w:val="nil"/>
            </w:tcBorders>
            <w:vAlign w:val="bottom"/>
          </w:tcPr>
          <w:p w14:paraId="016F3FC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-2.204467</w:t>
            </w:r>
          </w:p>
        </w:tc>
      </w:tr>
      <w:tr w:rsidR="00D8206B" w:rsidRPr="00C51A7B" w14:paraId="72EC5C6C" w14:textId="77777777" w:rsidTr="00D00B3F">
        <w:trPr>
          <w:trHeight w:val="209"/>
        </w:trPr>
        <w:tc>
          <w:tcPr>
            <w:tcW w:w="2951" w:type="dxa"/>
            <w:tcBorders>
              <w:top w:val="nil"/>
              <w:left w:val="nil"/>
              <w:bottom w:val="nil"/>
              <w:right w:val="nil"/>
            </w:tcBorders>
            <w:vAlign w:val="bottom"/>
          </w:tcPr>
          <w:p w14:paraId="2A56644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Log likelihood</w:t>
            </w:r>
          </w:p>
        </w:tc>
        <w:tc>
          <w:tcPr>
            <w:tcW w:w="1462" w:type="dxa"/>
            <w:tcBorders>
              <w:top w:val="nil"/>
              <w:left w:val="nil"/>
              <w:bottom w:val="nil"/>
              <w:right w:val="nil"/>
            </w:tcBorders>
            <w:vAlign w:val="bottom"/>
          </w:tcPr>
          <w:p w14:paraId="4F5114B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42.75421</w:t>
            </w:r>
          </w:p>
        </w:tc>
        <w:tc>
          <w:tcPr>
            <w:tcW w:w="3205" w:type="dxa"/>
            <w:gridSpan w:val="2"/>
            <w:tcBorders>
              <w:top w:val="nil"/>
              <w:left w:val="nil"/>
              <w:bottom w:val="nil"/>
              <w:right w:val="nil"/>
            </w:tcBorders>
            <w:vAlign w:val="bottom"/>
          </w:tcPr>
          <w:p w14:paraId="7493FB9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xml:space="preserve">    Hannan-Quinn </w:t>
            </w:r>
            <w:proofErr w:type="spellStart"/>
            <w:r w:rsidRPr="00C51A7B">
              <w:rPr>
                <w:rFonts w:ascii="Times New Roman" w:eastAsia="Calibri" w:hAnsi="Times New Roman" w:cs="Times New Roman"/>
                <w:sz w:val="22"/>
                <w:szCs w:val="22"/>
              </w:rPr>
              <w:t>criter</w:t>
            </w:r>
            <w:proofErr w:type="spellEnd"/>
            <w:r w:rsidRPr="00C51A7B">
              <w:rPr>
                <w:rFonts w:ascii="Times New Roman" w:eastAsia="Calibri" w:hAnsi="Times New Roman" w:cs="Times New Roman"/>
                <w:sz w:val="22"/>
                <w:szCs w:val="22"/>
              </w:rPr>
              <w:t>.</w:t>
            </w:r>
          </w:p>
        </w:tc>
        <w:tc>
          <w:tcPr>
            <w:tcW w:w="1323" w:type="dxa"/>
            <w:tcBorders>
              <w:top w:val="nil"/>
              <w:left w:val="nil"/>
              <w:bottom w:val="nil"/>
              <w:right w:val="nil"/>
            </w:tcBorders>
            <w:vAlign w:val="bottom"/>
          </w:tcPr>
          <w:p w14:paraId="6C28C3C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-2.360361</w:t>
            </w:r>
          </w:p>
        </w:tc>
      </w:tr>
      <w:tr w:rsidR="00D8206B" w:rsidRPr="00C51A7B" w14:paraId="116CA0F9" w14:textId="77777777" w:rsidTr="00D00B3F">
        <w:trPr>
          <w:trHeight w:val="209"/>
        </w:trPr>
        <w:tc>
          <w:tcPr>
            <w:tcW w:w="2951" w:type="dxa"/>
            <w:tcBorders>
              <w:top w:val="nil"/>
              <w:left w:val="nil"/>
              <w:bottom w:val="nil"/>
              <w:right w:val="nil"/>
            </w:tcBorders>
            <w:vAlign w:val="bottom"/>
          </w:tcPr>
          <w:p w14:paraId="70A28A0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Durbin-Watson stat</w:t>
            </w:r>
          </w:p>
        </w:tc>
        <w:tc>
          <w:tcPr>
            <w:tcW w:w="1462" w:type="dxa"/>
            <w:tcBorders>
              <w:top w:val="nil"/>
              <w:left w:val="nil"/>
              <w:bottom w:val="nil"/>
              <w:right w:val="nil"/>
            </w:tcBorders>
            <w:vAlign w:val="bottom"/>
          </w:tcPr>
          <w:p w14:paraId="26970771"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2.141343</w:t>
            </w:r>
          </w:p>
        </w:tc>
        <w:tc>
          <w:tcPr>
            <w:tcW w:w="1603" w:type="dxa"/>
            <w:tcBorders>
              <w:top w:val="nil"/>
              <w:left w:val="nil"/>
              <w:bottom w:val="nil"/>
              <w:right w:val="nil"/>
            </w:tcBorders>
            <w:vAlign w:val="bottom"/>
          </w:tcPr>
          <w:p w14:paraId="0B05312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nil"/>
              <w:right w:val="nil"/>
            </w:tcBorders>
            <w:vAlign w:val="bottom"/>
          </w:tcPr>
          <w:p w14:paraId="613A5F8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nil"/>
              <w:right w:val="nil"/>
            </w:tcBorders>
            <w:vAlign w:val="bottom"/>
          </w:tcPr>
          <w:p w14:paraId="176ED1A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04F10E6B" w14:textId="77777777" w:rsidTr="00D00B3F">
        <w:trPr>
          <w:trHeight w:hRule="exact" w:val="83"/>
        </w:trPr>
        <w:tc>
          <w:tcPr>
            <w:tcW w:w="2951" w:type="dxa"/>
            <w:tcBorders>
              <w:top w:val="nil"/>
              <w:left w:val="nil"/>
              <w:bottom w:val="double" w:sz="6" w:space="2" w:color="auto"/>
              <w:right w:val="nil"/>
            </w:tcBorders>
            <w:vAlign w:val="bottom"/>
          </w:tcPr>
          <w:p w14:paraId="0F682CA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62" w:type="dxa"/>
            <w:tcBorders>
              <w:top w:val="nil"/>
              <w:left w:val="nil"/>
              <w:bottom w:val="double" w:sz="6" w:space="2" w:color="auto"/>
              <w:right w:val="nil"/>
            </w:tcBorders>
            <w:vAlign w:val="bottom"/>
          </w:tcPr>
          <w:p w14:paraId="2A84CA7F"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3" w:type="dxa"/>
            <w:tcBorders>
              <w:top w:val="nil"/>
              <w:left w:val="nil"/>
              <w:bottom w:val="double" w:sz="6" w:space="2" w:color="auto"/>
              <w:right w:val="nil"/>
            </w:tcBorders>
            <w:vAlign w:val="bottom"/>
          </w:tcPr>
          <w:p w14:paraId="435931D8"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02" w:type="dxa"/>
            <w:tcBorders>
              <w:top w:val="nil"/>
              <w:left w:val="nil"/>
              <w:bottom w:val="double" w:sz="6" w:space="2" w:color="auto"/>
              <w:right w:val="nil"/>
            </w:tcBorders>
            <w:vAlign w:val="bottom"/>
          </w:tcPr>
          <w:p w14:paraId="4FD9FECA"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23" w:type="dxa"/>
            <w:tcBorders>
              <w:top w:val="nil"/>
              <w:left w:val="nil"/>
              <w:bottom w:val="double" w:sz="6" w:space="2" w:color="auto"/>
              <w:right w:val="nil"/>
            </w:tcBorders>
            <w:vAlign w:val="bottom"/>
          </w:tcPr>
          <w:p w14:paraId="7910649F"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bl>
    <w:p w14:paraId="2EC2CCA7" w14:textId="77777777" w:rsidR="00D8206B" w:rsidRPr="00C51A7B" w:rsidRDefault="00D8206B" w:rsidP="00D8206B">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b/>
          <w:sz w:val="22"/>
          <w:szCs w:val="22"/>
        </w:rPr>
        <w:t>Source:</w:t>
      </w:r>
      <w:r w:rsidRPr="00C51A7B">
        <w:rPr>
          <w:rFonts w:ascii="Times New Roman" w:eastAsia="Calibri" w:hAnsi="Times New Roman" w:cs="Times New Roman"/>
          <w:sz w:val="22"/>
          <w:szCs w:val="22"/>
        </w:rPr>
        <w:t xml:space="preserve"> Author’s computations with E-views Version 10 (2025)</w:t>
      </w:r>
    </w:p>
    <w:p w14:paraId="0231FBD6"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The result for the short run error correction model estimates confirms goodness of fit, whereby R</w:t>
      </w:r>
      <w:r w:rsidRPr="007E6361">
        <w:rPr>
          <w:rFonts w:ascii="Times New Roman" w:hAnsi="Times New Roman" w:cs="Times New Roman"/>
          <w:sz w:val="22"/>
          <w:szCs w:val="22"/>
          <w:vertAlign w:val="superscript"/>
        </w:rPr>
        <w:t>2</w:t>
      </w:r>
      <w:r w:rsidRPr="007E6361">
        <w:rPr>
          <w:rFonts w:ascii="Times New Roman" w:hAnsi="Times New Roman" w:cs="Times New Roman"/>
          <w:sz w:val="22"/>
          <w:szCs w:val="22"/>
        </w:rPr>
        <w:t xml:space="preserve"> suggests that 68.1% of variations in agriculture GDP growth is explained by the independents. The Error Correction Model revealed that if agriculture GDP growth is out of equilibrium, 24.8% of the disequilibrium will be corrected for yearly. The result revealed that, the first lag of agriculture GDP growth had a significant positive relationship with current agriculture GDP growth with a coefficient of 0.2016 and it is significant at 10%. The coefficient of 2.02% indicate that a percentage increase in past </w:t>
      </w:r>
      <w:r w:rsidRPr="007E6361">
        <w:rPr>
          <w:rFonts w:ascii="Times New Roman" w:hAnsi="Times New Roman" w:cs="Times New Roman"/>
          <w:sz w:val="22"/>
          <w:szCs w:val="22"/>
        </w:rPr>
        <w:lastRenderedPageBreak/>
        <w:t>agriculture GDP growth will influence present agriculture GDP growth by 2.02%, holding other factors constant. The external debt (</w:t>
      </w:r>
      <w:proofErr w:type="spellStart"/>
      <w:r w:rsidRPr="007E6361">
        <w:rPr>
          <w:rFonts w:ascii="Times New Roman" w:hAnsi="Times New Roman" w:cs="Times New Roman"/>
          <w:sz w:val="22"/>
          <w:szCs w:val="22"/>
        </w:rPr>
        <w:t>lnED</w:t>
      </w:r>
      <w:proofErr w:type="spellEnd"/>
      <w:r w:rsidRPr="007E6361">
        <w:rPr>
          <w:rFonts w:ascii="Times New Roman" w:hAnsi="Times New Roman" w:cs="Times New Roman"/>
          <w:sz w:val="22"/>
          <w:szCs w:val="22"/>
        </w:rPr>
        <w:t>) with coefficient of 0.150874 indicates a positive and significant relationship with agricultural sector GDP performance. This implies that a unit increase in external debt will increase the agricultural sector GDP performance by 0.150874.  Also from the results, the coefficient of debt servicing payment (</w:t>
      </w:r>
      <w:proofErr w:type="spellStart"/>
      <w:r w:rsidRPr="007E6361">
        <w:rPr>
          <w:rFonts w:ascii="Times New Roman" w:hAnsi="Times New Roman" w:cs="Times New Roman"/>
          <w:sz w:val="22"/>
          <w:szCs w:val="22"/>
        </w:rPr>
        <w:t>lnDSP</w:t>
      </w:r>
      <w:proofErr w:type="spellEnd"/>
      <w:r w:rsidRPr="007E6361">
        <w:rPr>
          <w:rFonts w:ascii="Times New Roman" w:hAnsi="Times New Roman" w:cs="Times New Roman"/>
          <w:sz w:val="22"/>
          <w:szCs w:val="22"/>
        </w:rPr>
        <w:t>) (1.25E-05) is positive but not significant. In other words, a unit increase in any of the debt servicing payment, would cause an increase in the country’s agricultural sector performance.</w:t>
      </w:r>
    </w:p>
    <w:p w14:paraId="37926FAF" w14:textId="77777777" w:rsidR="007223FC" w:rsidRDefault="007223FC" w:rsidP="00D8206B">
      <w:pPr>
        <w:spacing w:line="276" w:lineRule="auto"/>
        <w:jc w:val="both"/>
        <w:rPr>
          <w:rFonts w:ascii="Times New Roman" w:hAnsi="Times New Roman" w:cs="Times New Roman"/>
          <w:b/>
          <w:bCs/>
          <w:sz w:val="22"/>
          <w:szCs w:val="22"/>
        </w:rPr>
      </w:pPr>
    </w:p>
    <w:p w14:paraId="5296FA10" w14:textId="6869A2AB" w:rsidR="00D8206B" w:rsidRPr="007E6361" w:rsidRDefault="00D8206B" w:rsidP="00D8206B">
      <w:pPr>
        <w:spacing w:line="276" w:lineRule="auto"/>
        <w:jc w:val="both"/>
        <w:rPr>
          <w:rFonts w:ascii="Times New Roman" w:hAnsi="Times New Roman" w:cs="Times New Roman"/>
          <w:b/>
          <w:bCs/>
          <w:sz w:val="22"/>
          <w:szCs w:val="22"/>
        </w:rPr>
      </w:pPr>
      <w:r w:rsidRPr="007E6361">
        <w:rPr>
          <w:rFonts w:ascii="Times New Roman" w:hAnsi="Times New Roman" w:cs="Times New Roman"/>
          <w:b/>
          <w:bCs/>
          <w:sz w:val="22"/>
          <w:szCs w:val="22"/>
        </w:rPr>
        <w:t>4.2</w:t>
      </w:r>
      <w:r w:rsidRPr="007E6361">
        <w:rPr>
          <w:rFonts w:ascii="Times New Roman" w:hAnsi="Times New Roman" w:cs="Times New Roman"/>
          <w:b/>
          <w:bCs/>
          <w:sz w:val="22"/>
          <w:szCs w:val="22"/>
        </w:rPr>
        <w:tab/>
        <w:t>Discussion of Findings</w:t>
      </w:r>
    </w:p>
    <w:p w14:paraId="05040FEF" w14:textId="77777777" w:rsidR="00D8206B" w:rsidRPr="007E6361" w:rsidRDefault="00D8206B" w:rsidP="00D8206B">
      <w:pPr>
        <w:pStyle w:val="BodyText7"/>
        <w:spacing w:after="0" w:line="276" w:lineRule="auto"/>
        <w:ind w:right="420" w:firstLine="0"/>
        <w:rPr>
          <w:sz w:val="22"/>
          <w:szCs w:val="22"/>
        </w:rPr>
      </w:pPr>
      <w:r w:rsidRPr="007E6361">
        <w:rPr>
          <w:sz w:val="22"/>
          <w:szCs w:val="22"/>
        </w:rPr>
        <w:t xml:space="preserve">The ARDL result in revealed a negative but significant relationship between domestic debt and agricultural sector performance which suggests that increasing domestic borrowing by the government negatively affects agricultural output in Nigeria. This finding aligns with the argument that rising public debt leads to macroeconomic distortions such as inflation, high-interest rates, and reduced private sector credit availability, which in turn hinder agricultural productivity (Essien et al., 2020). </w:t>
      </w:r>
      <w:proofErr w:type="spellStart"/>
      <w:r w:rsidRPr="007E6361">
        <w:rPr>
          <w:sz w:val="22"/>
          <w:szCs w:val="22"/>
        </w:rPr>
        <w:t>Akinlo</w:t>
      </w:r>
      <w:proofErr w:type="spellEnd"/>
      <w:r w:rsidRPr="007E6361">
        <w:rPr>
          <w:sz w:val="22"/>
          <w:szCs w:val="22"/>
        </w:rPr>
        <w:t xml:space="preserve"> and Azeez (2021) analyzed the impact of domestic debt on sectoral growth in Nigeria and found that higher domestic borrowing crowded out private investment in agriculture due to high debt servicing costs. Similarly, </w:t>
      </w:r>
      <w:proofErr w:type="spellStart"/>
      <w:r w:rsidRPr="007E6361">
        <w:rPr>
          <w:sz w:val="22"/>
          <w:szCs w:val="22"/>
        </w:rPr>
        <w:t>Egbetunde</w:t>
      </w:r>
      <w:proofErr w:type="spellEnd"/>
      <w:r w:rsidRPr="007E6361">
        <w:rPr>
          <w:sz w:val="22"/>
          <w:szCs w:val="22"/>
        </w:rPr>
        <w:t xml:space="preserve"> and </w:t>
      </w:r>
      <w:proofErr w:type="spellStart"/>
      <w:r w:rsidRPr="007E6361">
        <w:rPr>
          <w:sz w:val="22"/>
          <w:szCs w:val="22"/>
        </w:rPr>
        <w:t>Fasanya</w:t>
      </w:r>
      <w:proofErr w:type="spellEnd"/>
      <w:r w:rsidRPr="007E6361">
        <w:rPr>
          <w:sz w:val="22"/>
          <w:szCs w:val="22"/>
        </w:rPr>
        <w:t xml:space="preserve"> (2022) noted that excessive government borrowing reduces budgetary allocations to agricultural infrastructure, thereby limiting productivity. The agricultural sector is particularly vulnerable to debt-related constraints because it relies heavily on government subsidies, rural infrastructure investment, and credit access, which are often curtailed when debt servicing consumes a large portion of government revenues (Adegbite et al., 2021). Consequently, policymakers should ensure that domestic borrowing does not excessively divert resources away from productive agricultural investments.</w:t>
      </w:r>
    </w:p>
    <w:p w14:paraId="07E3FF52"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 xml:space="preserve">The study found a significant negative relationship between external debt and agricultural sector performance. This indicates that external borrowing has not translated into improved agricultural productivity, possibly due to inefficient use of borrowed funds and the heavy burden of debt servicing. As debt obligations rise, fewer public resources remain for investment in agriculture. Ayadi and Ayadi (2008) and Audu (2004) similarly found that rising external debt undermines agricultural output in Nigeria, as most loans are channeled into unproductive ventures. Sulaiman and Azeez (2012) also observed that the country’s reliance on external borrowing has constrained growth due to poor project implementation and corruption. However, </w:t>
      </w:r>
      <w:proofErr w:type="spellStart"/>
      <w:r w:rsidRPr="007E6361">
        <w:rPr>
          <w:rFonts w:ascii="Times New Roman" w:hAnsi="Times New Roman" w:cs="Times New Roman"/>
          <w:sz w:val="22"/>
          <w:szCs w:val="22"/>
        </w:rPr>
        <w:t>Iyoha</w:t>
      </w:r>
      <w:proofErr w:type="spellEnd"/>
      <w:r>
        <w:rPr>
          <w:rFonts w:ascii="Times New Roman" w:hAnsi="Times New Roman" w:cs="Times New Roman"/>
          <w:sz w:val="22"/>
          <w:szCs w:val="22"/>
        </w:rPr>
        <w:t xml:space="preserve"> and </w:t>
      </w:r>
      <w:proofErr w:type="spellStart"/>
      <w:r w:rsidRPr="00B1351A">
        <w:rPr>
          <w:rFonts w:ascii="Times New Roman" w:eastAsia="Calibri" w:hAnsi="Times New Roman" w:cs="Times New Roman"/>
          <w:sz w:val="22"/>
          <w:szCs w:val="22"/>
        </w:rPr>
        <w:t>Oriakhi</w:t>
      </w:r>
      <w:proofErr w:type="spellEnd"/>
      <w:r w:rsidRPr="007E6361">
        <w:rPr>
          <w:rFonts w:ascii="Times New Roman" w:hAnsi="Times New Roman" w:cs="Times New Roman"/>
          <w:sz w:val="22"/>
          <w:szCs w:val="22"/>
        </w:rPr>
        <w:t xml:space="preserve"> (200</w:t>
      </w:r>
      <w:r>
        <w:rPr>
          <w:rFonts w:ascii="Times New Roman" w:hAnsi="Times New Roman" w:cs="Times New Roman"/>
          <w:sz w:val="22"/>
          <w:szCs w:val="22"/>
        </w:rPr>
        <w:t>8</w:t>
      </w:r>
      <w:r w:rsidRPr="007E6361">
        <w:rPr>
          <w:rFonts w:ascii="Times New Roman" w:hAnsi="Times New Roman" w:cs="Times New Roman"/>
          <w:sz w:val="22"/>
          <w:szCs w:val="22"/>
        </w:rPr>
        <w:t>) argued that when effectively managed, external loans can promote rural infrastructure and boost agricultural output. The findings here reinforce the need for responsible external borrowing and improved debt utilization frameworks.</w:t>
      </w:r>
    </w:p>
    <w:p w14:paraId="50C6A8CE" w14:textId="77777777" w:rsidR="00D8206B" w:rsidRPr="007E6361" w:rsidRDefault="00D8206B" w:rsidP="00D8206B">
      <w:pPr>
        <w:spacing w:after="0" w:line="276" w:lineRule="auto"/>
        <w:jc w:val="both"/>
        <w:rPr>
          <w:rFonts w:ascii="Times New Roman" w:hAnsi="Times New Roman" w:cs="Times New Roman"/>
          <w:sz w:val="22"/>
          <w:szCs w:val="22"/>
        </w:rPr>
      </w:pPr>
      <w:r w:rsidRPr="007E6361">
        <w:rPr>
          <w:rFonts w:ascii="Times New Roman" w:hAnsi="Times New Roman" w:cs="Times New Roman"/>
          <w:sz w:val="22"/>
          <w:szCs w:val="22"/>
        </w:rPr>
        <w:t>The impact of debt to GDP ratio on agricultural sector performance in Nigeria clearly revealed a positive but insignificant relationship between debt to GDP ratio and agricultural sector performance This lack of a significant relationship between the debt-to-GDP ratio and agricultural sector performance implies that the overall debt burden relative to GDP does not directly affect agricultural productivity. Agriculture in Nigeria is largely informal, dominated by smallholder farmers whose operations are influenced more by credit availability and government interventions than by macroeconomic indicators. Ogun</w:t>
      </w:r>
      <w:r>
        <w:rPr>
          <w:rFonts w:ascii="Times New Roman" w:hAnsi="Times New Roman" w:cs="Times New Roman"/>
          <w:sz w:val="22"/>
          <w:szCs w:val="22"/>
        </w:rPr>
        <w:t xml:space="preserve">yemi and Adeola </w:t>
      </w:r>
      <w:r w:rsidRPr="007E6361">
        <w:rPr>
          <w:rFonts w:ascii="Times New Roman" w:hAnsi="Times New Roman" w:cs="Times New Roman"/>
          <w:sz w:val="22"/>
          <w:szCs w:val="22"/>
        </w:rPr>
        <w:t>(20</w:t>
      </w:r>
      <w:r>
        <w:rPr>
          <w:rFonts w:ascii="Times New Roman" w:hAnsi="Times New Roman" w:cs="Times New Roman"/>
          <w:sz w:val="22"/>
          <w:szCs w:val="22"/>
        </w:rPr>
        <w:t>2</w:t>
      </w:r>
      <w:r w:rsidRPr="007E6361">
        <w:rPr>
          <w:rFonts w:ascii="Times New Roman" w:hAnsi="Times New Roman" w:cs="Times New Roman"/>
          <w:sz w:val="22"/>
          <w:szCs w:val="22"/>
        </w:rPr>
        <w:t xml:space="preserve">1) found a similar outcome, emphasizing that macro-level debt indicators have little bearing on agricultural output. Kumar and Woo (2010) also argued that while high public debt may constrain long-term growth, it may not immediately affect sectoral performance. However, </w:t>
      </w:r>
      <w:r>
        <w:rPr>
          <w:rFonts w:ascii="Times New Roman" w:hAnsi="Times New Roman" w:cs="Times New Roman"/>
          <w:sz w:val="22"/>
          <w:szCs w:val="22"/>
        </w:rPr>
        <w:t xml:space="preserve">Adebayo and Suleiman </w:t>
      </w:r>
      <w:r w:rsidRPr="007E6361">
        <w:rPr>
          <w:rFonts w:ascii="Times New Roman" w:hAnsi="Times New Roman" w:cs="Times New Roman"/>
          <w:sz w:val="22"/>
          <w:szCs w:val="22"/>
        </w:rPr>
        <w:t>(20</w:t>
      </w:r>
      <w:r>
        <w:rPr>
          <w:rFonts w:ascii="Times New Roman" w:hAnsi="Times New Roman" w:cs="Times New Roman"/>
          <w:sz w:val="22"/>
          <w:szCs w:val="22"/>
        </w:rPr>
        <w:t>22</w:t>
      </w:r>
      <w:r w:rsidRPr="007E6361">
        <w:rPr>
          <w:rFonts w:ascii="Times New Roman" w:hAnsi="Times New Roman" w:cs="Times New Roman"/>
          <w:sz w:val="22"/>
          <w:szCs w:val="22"/>
        </w:rPr>
        <w:t>) warned that excessive debt could eventually crowd out investment in productive sectors like agriculture. The result therefore suggests that Nigeria’s agricultural sector remains weakly linked to the country’s fiscal debt profile.</w:t>
      </w:r>
    </w:p>
    <w:p w14:paraId="7046D3A1" w14:textId="77777777" w:rsidR="00D8206B" w:rsidRPr="007E6361" w:rsidRDefault="00D8206B" w:rsidP="00D8206B">
      <w:pPr>
        <w:spacing w:after="0" w:line="276" w:lineRule="auto"/>
        <w:jc w:val="both"/>
        <w:rPr>
          <w:rFonts w:ascii="Times New Roman" w:hAnsi="Times New Roman" w:cs="Times New Roman"/>
          <w:b/>
          <w:bCs/>
          <w:sz w:val="22"/>
          <w:szCs w:val="22"/>
        </w:rPr>
      </w:pPr>
    </w:p>
    <w:p w14:paraId="6831BDCC" w14:textId="77777777" w:rsidR="00D8206B" w:rsidRDefault="00D8206B" w:rsidP="00D8206B">
      <w:pPr>
        <w:spacing w:line="276" w:lineRule="auto"/>
        <w:jc w:val="center"/>
        <w:rPr>
          <w:rFonts w:ascii="Times New Roman" w:hAnsi="Times New Roman" w:cs="Times New Roman"/>
          <w:b/>
          <w:bCs/>
          <w:sz w:val="22"/>
          <w:szCs w:val="22"/>
        </w:rPr>
      </w:pPr>
    </w:p>
    <w:p w14:paraId="574B341E" w14:textId="77777777" w:rsidR="00D8206B" w:rsidRPr="007E6361" w:rsidRDefault="00D8206B" w:rsidP="00D8206B">
      <w:pPr>
        <w:spacing w:line="276" w:lineRule="auto"/>
        <w:jc w:val="center"/>
        <w:rPr>
          <w:rFonts w:ascii="Times New Roman" w:hAnsi="Times New Roman" w:cs="Times New Roman"/>
          <w:b/>
          <w:bCs/>
          <w:sz w:val="22"/>
          <w:szCs w:val="22"/>
        </w:rPr>
      </w:pPr>
      <w:r w:rsidRPr="007E6361">
        <w:rPr>
          <w:rFonts w:ascii="Times New Roman" w:hAnsi="Times New Roman" w:cs="Times New Roman"/>
          <w:b/>
          <w:bCs/>
          <w:sz w:val="22"/>
          <w:szCs w:val="22"/>
        </w:rPr>
        <w:t>5.0</w:t>
      </w:r>
      <w:r w:rsidRPr="007E6361">
        <w:rPr>
          <w:rFonts w:ascii="Times New Roman" w:hAnsi="Times New Roman" w:cs="Times New Roman"/>
          <w:b/>
          <w:bCs/>
          <w:sz w:val="22"/>
          <w:szCs w:val="22"/>
        </w:rPr>
        <w:tab/>
        <w:t>Conclusion and Recommendations</w:t>
      </w:r>
    </w:p>
    <w:p w14:paraId="7B1B4A25" w14:textId="77777777" w:rsidR="00D8206B" w:rsidRPr="007E6361" w:rsidRDefault="00D8206B" w:rsidP="00D8206B">
      <w:pPr>
        <w:spacing w:line="276" w:lineRule="auto"/>
        <w:jc w:val="both"/>
        <w:rPr>
          <w:rFonts w:ascii="Times New Roman" w:hAnsi="Times New Roman" w:cs="Times New Roman"/>
          <w:sz w:val="22"/>
          <w:szCs w:val="22"/>
        </w:rPr>
      </w:pPr>
      <w:r w:rsidRPr="007E6361">
        <w:rPr>
          <w:rFonts w:ascii="Times New Roman" w:hAnsi="Times New Roman" w:cs="Times New Roman"/>
          <w:b/>
          <w:bCs/>
          <w:sz w:val="22"/>
          <w:szCs w:val="22"/>
        </w:rPr>
        <w:t>5.1</w:t>
      </w:r>
      <w:r w:rsidRPr="007E6361">
        <w:rPr>
          <w:rFonts w:ascii="Times New Roman" w:hAnsi="Times New Roman" w:cs="Times New Roman"/>
          <w:b/>
          <w:bCs/>
          <w:sz w:val="22"/>
          <w:szCs w:val="22"/>
        </w:rPr>
        <w:tab/>
        <w:t>Conclusion</w:t>
      </w:r>
    </w:p>
    <w:p w14:paraId="60F8792E" w14:textId="77777777" w:rsidR="00D8206B" w:rsidRPr="00C10349" w:rsidRDefault="00D8206B" w:rsidP="00D8206B">
      <w:pPr>
        <w:spacing w:after="0" w:line="276" w:lineRule="auto"/>
        <w:jc w:val="both"/>
        <w:rPr>
          <w:rFonts w:ascii="Times New Roman" w:eastAsia="Calibri" w:hAnsi="Times New Roman" w:cs="Times New Roman"/>
          <w:sz w:val="22"/>
          <w:szCs w:val="22"/>
        </w:rPr>
      </w:pPr>
      <w:r w:rsidRPr="00C10349">
        <w:rPr>
          <w:rFonts w:ascii="Times New Roman" w:eastAsia="Calibri" w:hAnsi="Times New Roman" w:cs="Times New Roman"/>
          <w:sz w:val="22"/>
          <w:szCs w:val="22"/>
        </w:rPr>
        <w:t xml:space="preserve">The findings of this study underscore the complex dynamics between public debt and </w:t>
      </w:r>
      <w:r w:rsidRPr="007E6361">
        <w:rPr>
          <w:rFonts w:ascii="Times New Roman" w:eastAsia="Calibri" w:hAnsi="Times New Roman" w:cs="Times New Roman"/>
          <w:sz w:val="22"/>
          <w:szCs w:val="22"/>
        </w:rPr>
        <w:t xml:space="preserve">performance of agricultural sector </w:t>
      </w:r>
      <w:r w:rsidRPr="00C10349">
        <w:rPr>
          <w:rFonts w:ascii="Times New Roman" w:eastAsia="Calibri" w:hAnsi="Times New Roman" w:cs="Times New Roman"/>
          <w:sz w:val="22"/>
          <w:szCs w:val="22"/>
        </w:rPr>
        <w:t xml:space="preserve">in Nigeria. While debt can be a vital instrument for stimulating economic growth when properly managed and channeled </w:t>
      </w:r>
      <w:r w:rsidRPr="00C10349">
        <w:rPr>
          <w:rFonts w:ascii="Times New Roman" w:eastAsia="Calibri" w:hAnsi="Times New Roman" w:cs="Times New Roman"/>
          <w:sz w:val="22"/>
          <w:szCs w:val="22"/>
        </w:rPr>
        <w:lastRenderedPageBreak/>
        <w:t>into productive ventures, Nigeria’s experience suggests otherwise. The negative and significant relationship between domestic debt and agricultural sector performance highlights the inefficiency in the utilization of borrowed funds and the dominance of debt servicing over capital expenditure.</w:t>
      </w:r>
      <w:r w:rsidRPr="007E6361">
        <w:rPr>
          <w:rFonts w:ascii="Times New Roman" w:eastAsia="Calibri" w:hAnsi="Times New Roman" w:cs="Times New Roman"/>
          <w:sz w:val="22"/>
          <w:szCs w:val="22"/>
        </w:rPr>
        <w:t xml:space="preserve"> </w:t>
      </w:r>
      <w:r w:rsidRPr="00C10349">
        <w:rPr>
          <w:rFonts w:ascii="Times New Roman" w:eastAsia="Calibri" w:hAnsi="Times New Roman" w:cs="Times New Roman"/>
          <w:sz w:val="22"/>
          <w:szCs w:val="22"/>
        </w:rPr>
        <w:t xml:space="preserve">Therefore, the overarching conclusion is that Nigeria’s public debt, in its current structure and composition, has become a drag rather than a driver of </w:t>
      </w:r>
      <w:r w:rsidRPr="007E6361">
        <w:rPr>
          <w:rFonts w:ascii="Times New Roman" w:eastAsia="Calibri" w:hAnsi="Times New Roman" w:cs="Times New Roman"/>
          <w:sz w:val="22"/>
          <w:szCs w:val="22"/>
        </w:rPr>
        <w:t xml:space="preserve">the </w:t>
      </w:r>
      <w:r w:rsidRPr="00C10349">
        <w:rPr>
          <w:rFonts w:ascii="Times New Roman" w:eastAsia="Calibri" w:hAnsi="Times New Roman" w:cs="Times New Roman"/>
          <w:sz w:val="22"/>
          <w:szCs w:val="22"/>
        </w:rPr>
        <w:t>performance</w:t>
      </w:r>
      <w:r w:rsidRPr="007E6361">
        <w:rPr>
          <w:rFonts w:ascii="Times New Roman" w:eastAsia="Calibri" w:hAnsi="Times New Roman" w:cs="Times New Roman"/>
          <w:sz w:val="22"/>
          <w:szCs w:val="22"/>
        </w:rPr>
        <w:t xml:space="preserve"> of agricultural sector</w:t>
      </w:r>
      <w:r w:rsidRPr="00C10349">
        <w:rPr>
          <w:rFonts w:ascii="Times New Roman" w:eastAsia="Calibri" w:hAnsi="Times New Roman" w:cs="Times New Roman"/>
          <w:sz w:val="22"/>
          <w:szCs w:val="22"/>
        </w:rPr>
        <w:t>, underscoring the need for a strategic shift toward debt sustainability, fiscal discipline, and productive allocation of borrowed resources.</w:t>
      </w:r>
    </w:p>
    <w:p w14:paraId="374DD0C6" w14:textId="0E1D0EB5" w:rsidR="00D8206B" w:rsidRPr="00C10349"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bookmarkStart w:id="16" w:name="_Toc214835465"/>
      <w:r w:rsidRPr="00C10349">
        <w:rPr>
          <w:rFonts w:ascii="Times New Roman" w:eastAsia="Times New Roman" w:hAnsi="Times New Roman" w:cs="Times New Roman"/>
          <w:b/>
          <w:bCs/>
          <w:kern w:val="0"/>
          <w:sz w:val="22"/>
          <w:szCs w:val="22"/>
          <w14:ligatures w14:val="none"/>
        </w:rPr>
        <w:t>5.</w:t>
      </w:r>
      <w:r w:rsidRPr="007E6361">
        <w:rPr>
          <w:rFonts w:ascii="Times New Roman" w:eastAsia="Times New Roman" w:hAnsi="Times New Roman" w:cs="Times New Roman"/>
          <w:b/>
          <w:bCs/>
          <w:kern w:val="0"/>
          <w:sz w:val="22"/>
          <w:szCs w:val="22"/>
          <w14:ligatures w14:val="none"/>
        </w:rPr>
        <w:t>2</w:t>
      </w:r>
      <w:r w:rsidRPr="007E6361">
        <w:rPr>
          <w:rFonts w:ascii="Times New Roman" w:eastAsia="Times New Roman" w:hAnsi="Times New Roman" w:cs="Times New Roman"/>
          <w:b/>
          <w:bCs/>
          <w:kern w:val="0"/>
          <w:sz w:val="22"/>
          <w:szCs w:val="22"/>
          <w14:ligatures w14:val="none"/>
        </w:rPr>
        <w:tab/>
      </w:r>
      <w:r w:rsidRPr="00C10349">
        <w:rPr>
          <w:rFonts w:ascii="Times New Roman" w:eastAsia="Times New Roman" w:hAnsi="Times New Roman" w:cs="Times New Roman"/>
          <w:b/>
          <w:bCs/>
          <w:kern w:val="0"/>
          <w:sz w:val="22"/>
          <w:szCs w:val="22"/>
          <w14:ligatures w14:val="none"/>
        </w:rPr>
        <w:t>Recommendations</w:t>
      </w:r>
      <w:bookmarkEnd w:id="16"/>
    </w:p>
    <w:p w14:paraId="3F4F0775" w14:textId="77777777" w:rsidR="00D8206B" w:rsidRPr="00C10349" w:rsidRDefault="00D8206B" w:rsidP="00D8206B">
      <w:pPr>
        <w:spacing w:after="0" w:line="276" w:lineRule="auto"/>
        <w:jc w:val="both"/>
        <w:rPr>
          <w:rFonts w:ascii="Times New Roman" w:eastAsia="Calibri" w:hAnsi="Times New Roman" w:cs="Times New Roman"/>
          <w:sz w:val="22"/>
          <w:szCs w:val="22"/>
        </w:rPr>
      </w:pPr>
      <w:r w:rsidRPr="00C10349">
        <w:rPr>
          <w:rFonts w:ascii="Times New Roman" w:eastAsia="Calibri" w:hAnsi="Times New Roman" w:cs="Times New Roman"/>
          <w:sz w:val="22"/>
          <w:szCs w:val="22"/>
        </w:rPr>
        <w:t>Based on the empirical findings and conclusions, the following policy recommendations are proposed:</w:t>
      </w:r>
    </w:p>
    <w:p w14:paraId="55DDF0F0" w14:textId="77777777" w:rsidR="00D8206B" w:rsidRPr="00C10349" w:rsidRDefault="00D8206B" w:rsidP="00D8206B">
      <w:pPr>
        <w:numPr>
          <w:ilvl w:val="0"/>
          <w:numId w:val="32"/>
        </w:numPr>
        <w:spacing w:after="0" w:line="276" w:lineRule="auto"/>
        <w:contextualSpacing/>
        <w:jc w:val="both"/>
        <w:rPr>
          <w:rFonts w:ascii="Times New Roman" w:eastAsia="Calibri" w:hAnsi="Times New Roman" w:cs="Times New Roman"/>
          <w:sz w:val="22"/>
          <w:szCs w:val="22"/>
        </w:rPr>
      </w:pPr>
      <w:r w:rsidRPr="00C10349">
        <w:rPr>
          <w:rFonts w:ascii="Times New Roman" w:eastAsia="Calibri" w:hAnsi="Times New Roman" w:cs="Times New Roman"/>
          <w:sz w:val="22"/>
          <w:szCs w:val="22"/>
        </w:rPr>
        <w:t xml:space="preserve">Given the significant relationship between domestic debt and agricultural sector performance, it is recommended that the Federal government of Nigeria should strategically channel domestic borrowing towards initiatives that enhance agricultural productivity. Priority should be given to investments in modern farming technologies, irrigation systems, </w:t>
      </w:r>
      <w:proofErr w:type="spellStart"/>
      <w:r w:rsidRPr="00C10349">
        <w:rPr>
          <w:rFonts w:ascii="Times New Roman" w:eastAsia="Calibri" w:hAnsi="Times New Roman" w:cs="Times New Roman"/>
          <w:sz w:val="22"/>
          <w:szCs w:val="22"/>
        </w:rPr>
        <w:t>agro</w:t>
      </w:r>
      <w:proofErr w:type="spellEnd"/>
      <w:r w:rsidRPr="00C10349">
        <w:rPr>
          <w:rFonts w:ascii="Times New Roman" w:eastAsia="Calibri" w:hAnsi="Times New Roman" w:cs="Times New Roman"/>
          <w:sz w:val="22"/>
          <w:szCs w:val="22"/>
        </w:rPr>
        <w:t xml:space="preserve">-processing facilities, and rural infrastructure. </w:t>
      </w:r>
    </w:p>
    <w:p w14:paraId="3E71146F" w14:textId="77777777" w:rsidR="00D8206B" w:rsidRPr="00C10349" w:rsidRDefault="00D8206B" w:rsidP="00D8206B">
      <w:pPr>
        <w:numPr>
          <w:ilvl w:val="0"/>
          <w:numId w:val="32"/>
        </w:numPr>
        <w:spacing w:after="0" w:line="276" w:lineRule="auto"/>
        <w:contextualSpacing/>
        <w:jc w:val="both"/>
        <w:rPr>
          <w:rFonts w:ascii="Times New Roman" w:eastAsia="Calibri" w:hAnsi="Times New Roman" w:cs="Times New Roman"/>
          <w:sz w:val="22"/>
          <w:szCs w:val="22"/>
        </w:rPr>
      </w:pPr>
      <w:r w:rsidRPr="00C10349">
        <w:rPr>
          <w:rFonts w:ascii="Times New Roman" w:eastAsia="Calibri" w:hAnsi="Times New Roman" w:cs="Times New Roman"/>
          <w:sz w:val="22"/>
          <w:szCs w:val="22"/>
        </w:rPr>
        <w:t xml:space="preserve">External debt significantly influences agricultural performance, highlighting the need for strategic borrowing from international sources. The Federal government of Nigeria should prioritize loans that support export crop promotion, rural financing schemes, mechanization, and technology transfer. External borrowing should be tied to clear agricultural development objectives to ensure that debt contributes directly to productivity and sectoral growth. </w:t>
      </w:r>
    </w:p>
    <w:p w14:paraId="1329B9B9" w14:textId="77777777" w:rsidR="00D8206B" w:rsidRPr="007E6361" w:rsidRDefault="00D8206B" w:rsidP="00D8206B">
      <w:pPr>
        <w:numPr>
          <w:ilvl w:val="0"/>
          <w:numId w:val="32"/>
        </w:numPr>
        <w:spacing w:after="0" w:line="276" w:lineRule="auto"/>
        <w:contextualSpacing/>
        <w:jc w:val="both"/>
        <w:rPr>
          <w:rFonts w:ascii="Times New Roman" w:eastAsia="Calibri" w:hAnsi="Times New Roman" w:cs="Times New Roman"/>
          <w:sz w:val="22"/>
          <w:szCs w:val="22"/>
        </w:rPr>
      </w:pPr>
      <w:r w:rsidRPr="00C10349">
        <w:rPr>
          <w:rFonts w:ascii="Times New Roman" w:eastAsia="Calibri" w:hAnsi="Times New Roman" w:cs="Times New Roman"/>
          <w:sz w:val="22"/>
          <w:szCs w:val="22"/>
        </w:rPr>
        <w:t>Since the debt-to-GDP ratio has no significant effect on agricultural performance, alternative financing strategies should complement borrowing. Public-private partnerships, agricultural credit schemes, cooperative financing, and investment incentives can mobilize additional resources for the sector. Policymakers should focus on creating an enabling environment for private investment, including access to credit, risk mitigation tools, and market support.</w:t>
      </w:r>
    </w:p>
    <w:p w14:paraId="42C6A80D" w14:textId="77777777" w:rsidR="00D8206B" w:rsidRDefault="00D8206B" w:rsidP="00D8206B">
      <w:pPr>
        <w:spacing w:line="276" w:lineRule="auto"/>
        <w:jc w:val="both"/>
        <w:rPr>
          <w:rFonts w:ascii="Times New Roman" w:hAnsi="Times New Roman" w:cs="Times New Roman"/>
          <w:sz w:val="22"/>
          <w:szCs w:val="22"/>
        </w:rPr>
      </w:pPr>
    </w:p>
    <w:p w14:paraId="1319DAFC" w14:textId="77777777" w:rsidR="00D8206B" w:rsidRPr="0070026C" w:rsidRDefault="00D8206B" w:rsidP="00D8206B">
      <w:pPr>
        <w:spacing w:line="276" w:lineRule="auto"/>
        <w:jc w:val="center"/>
        <w:rPr>
          <w:rFonts w:ascii="Times New Roman" w:hAnsi="Times New Roman" w:cs="Times New Roman"/>
          <w:b/>
          <w:bCs/>
          <w:sz w:val="22"/>
          <w:szCs w:val="22"/>
        </w:rPr>
      </w:pPr>
      <w:r w:rsidRPr="00A047E8">
        <w:rPr>
          <w:rFonts w:ascii="Times New Roman" w:hAnsi="Times New Roman" w:cs="Times New Roman"/>
          <w:b/>
          <w:bCs/>
          <w:sz w:val="22"/>
          <w:szCs w:val="22"/>
        </w:rPr>
        <w:t>REFERENCES</w:t>
      </w:r>
    </w:p>
    <w:p w14:paraId="61F2BD40"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Adebayo, J., &amp; Suleiman, M. (2022). Debt servicing, public investments, and sectoral performance in Nigeria. </w:t>
      </w:r>
      <w:r w:rsidRPr="00B1351A">
        <w:rPr>
          <w:rFonts w:ascii="Times New Roman" w:eastAsia="Calibri" w:hAnsi="Times New Roman" w:cs="Times New Roman"/>
          <w:i/>
          <w:iCs/>
          <w:sz w:val="22"/>
          <w:szCs w:val="22"/>
        </w:rPr>
        <w:t>West African Journal of Economic Policy, 15</w:t>
      </w:r>
      <w:r w:rsidRPr="00B1351A">
        <w:rPr>
          <w:rFonts w:ascii="Times New Roman" w:eastAsia="Calibri" w:hAnsi="Times New Roman" w:cs="Times New Roman"/>
          <w:sz w:val="22"/>
          <w:szCs w:val="22"/>
        </w:rPr>
        <w:t>(3), 29-46.</w:t>
      </w:r>
    </w:p>
    <w:p w14:paraId="385339EF" w14:textId="77777777" w:rsidR="00D8206B" w:rsidRPr="005E3B69"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Adedoyin, F. F.</w:t>
      </w:r>
      <w:r w:rsidRPr="005E3B69">
        <w:rPr>
          <w:rFonts w:ascii="Times New Roman" w:eastAsia="Calibri" w:hAnsi="Times New Roman" w:cs="Times New Roman"/>
          <w:sz w:val="22"/>
          <w:szCs w:val="22"/>
        </w:rPr>
        <w:t xml:space="preserve"> </w:t>
      </w:r>
      <w:r w:rsidRPr="00B1351A">
        <w:rPr>
          <w:rFonts w:ascii="Times New Roman" w:eastAsia="Calibri" w:hAnsi="Times New Roman" w:cs="Times New Roman"/>
          <w:sz w:val="22"/>
          <w:szCs w:val="22"/>
        </w:rPr>
        <w:t xml:space="preserve">(2022). Debt </w:t>
      </w:r>
      <w:r w:rsidRPr="005E3B69">
        <w:rPr>
          <w:rFonts w:ascii="Times New Roman" w:eastAsia="Calibri" w:hAnsi="Times New Roman" w:cs="Times New Roman"/>
          <w:sz w:val="22"/>
          <w:szCs w:val="22"/>
        </w:rPr>
        <w:t>composition and sectoral performance in emerging economies</w:t>
      </w:r>
      <w:r w:rsidRPr="00B1351A">
        <w:rPr>
          <w:rFonts w:ascii="Times New Roman" w:eastAsia="Calibri" w:hAnsi="Times New Roman" w:cs="Times New Roman"/>
          <w:sz w:val="22"/>
          <w:szCs w:val="22"/>
        </w:rPr>
        <w:t xml:space="preserve">: A Nigerian </w:t>
      </w:r>
      <w:r w:rsidRPr="005E3B69">
        <w:rPr>
          <w:rFonts w:ascii="Times New Roman" w:eastAsia="Calibri" w:hAnsi="Times New Roman" w:cs="Times New Roman"/>
          <w:sz w:val="22"/>
          <w:szCs w:val="22"/>
        </w:rPr>
        <w:t>p</w:t>
      </w:r>
      <w:r w:rsidRPr="00B1351A">
        <w:rPr>
          <w:rFonts w:ascii="Times New Roman" w:eastAsia="Calibri" w:hAnsi="Times New Roman" w:cs="Times New Roman"/>
          <w:sz w:val="22"/>
          <w:szCs w:val="22"/>
        </w:rPr>
        <w:t>erspective</w:t>
      </w:r>
      <w:r w:rsidRPr="005E3B69">
        <w:rPr>
          <w:rFonts w:ascii="Times New Roman" w:eastAsia="Calibri" w:hAnsi="Times New Roman" w:cs="Times New Roman"/>
          <w:sz w:val="22"/>
          <w:szCs w:val="22"/>
        </w:rPr>
        <w:t xml:space="preserve">. </w:t>
      </w:r>
      <w:r w:rsidRPr="00B1351A">
        <w:rPr>
          <w:rFonts w:ascii="Times New Roman" w:eastAsia="Calibri" w:hAnsi="Times New Roman" w:cs="Times New Roman"/>
          <w:i/>
          <w:iCs/>
          <w:sz w:val="22"/>
          <w:szCs w:val="22"/>
        </w:rPr>
        <w:t>Journal of Economic Studies</w:t>
      </w:r>
      <w:r w:rsidRPr="005E3B69">
        <w:rPr>
          <w:rFonts w:ascii="Times New Roman" w:eastAsia="Calibri" w:hAnsi="Times New Roman" w:cs="Times New Roman"/>
          <w:i/>
          <w:iCs/>
          <w:sz w:val="22"/>
          <w:szCs w:val="22"/>
        </w:rPr>
        <w:t>, 8</w:t>
      </w:r>
      <w:r w:rsidRPr="005E3B69">
        <w:rPr>
          <w:rFonts w:ascii="Times New Roman" w:eastAsia="Calibri" w:hAnsi="Times New Roman" w:cs="Times New Roman"/>
          <w:sz w:val="22"/>
          <w:szCs w:val="22"/>
        </w:rPr>
        <w:t>(7), 87-98</w:t>
      </w:r>
      <w:r w:rsidRPr="00B1351A">
        <w:rPr>
          <w:rFonts w:ascii="Times New Roman" w:eastAsia="Calibri" w:hAnsi="Times New Roman" w:cs="Times New Roman"/>
          <w:sz w:val="22"/>
          <w:szCs w:val="22"/>
        </w:rPr>
        <w:t xml:space="preserve">.  </w:t>
      </w:r>
    </w:p>
    <w:p w14:paraId="6BE25F10" w14:textId="77777777" w:rsidR="00D8206B" w:rsidRPr="00B1351A" w:rsidRDefault="00D8206B" w:rsidP="00D8206B">
      <w:pPr>
        <w:widowControl w:val="0"/>
        <w:shd w:val="clear" w:color="auto" w:fill="FFFFFF"/>
        <w:spacing w:after="0" w:line="240" w:lineRule="auto"/>
        <w:ind w:left="720" w:right="420" w:hanging="720"/>
        <w:jc w:val="both"/>
        <w:rPr>
          <w:rFonts w:ascii="Times New Roman" w:eastAsia="Times New Roman" w:hAnsi="Times New Roman" w:cs="Times New Roman"/>
          <w:color w:val="000000"/>
          <w:kern w:val="0"/>
          <w:sz w:val="22"/>
          <w:szCs w:val="22"/>
          <w14:ligatures w14:val="none"/>
        </w:rPr>
      </w:pPr>
      <w:r w:rsidRPr="00B1351A">
        <w:rPr>
          <w:rFonts w:ascii="Times New Roman" w:eastAsia="Times New Roman" w:hAnsi="Times New Roman" w:cs="Times New Roman"/>
          <w:color w:val="000000"/>
          <w:kern w:val="0"/>
          <w:sz w:val="22"/>
          <w:szCs w:val="22"/>
          <w14:ligatures w14:val="none"/>
        </w:rPr>
        <w:t xml:space="preserve">Adegbite, T., Yusuf, M., &amp; Adebayo, R. (2021). Public debt, fiscal sustainability, and agricultural sector growth in Nigeria. </w:t>
      </w:r>
      <w:r w:rsidRPr="00B1351A">
        <w:rPr>
          <w:rFonts w:ascii="Times New Roman" w:eastAsia="Times New Roman" w:hAnsi="Times New Roman" w:cs="Times New Roman"/>
          <w:i/>
          <w:iCs/>
          <w:color w:val="000000"/>
          <w:kern w:val="0"/>
          <w:sz w:val="22"/>
          <w:szCs w:val="22"/>
          <w14:ligatures w14:val="none"/>
        </w:rPr>
        <w:t>African Journal of Economic Policy</w:t>
      </w:r>
      <w:r w:rsidRPr="00B1351A">
        <w:rPr>
          <w:rFonts w:ascii="Times New Roman" w:eastAsia="Times New Roman" w:hAnsi="Times New Roman" w:cs="Times New Roman"/>
          <w:color w:val="000000"/>
          <w:kern w:val="0"/>
          <w:sz w:val="22"/>
          <w:szCs w:val="22"/>
          <w14:ligatures w14:val="none"/>
        </w:rPr>
        <w:t xml:space="preserve">, </w:t>
      </w:r>
      <w:r w:rsidRPr="00B1351A">
        <w:rPr>
          <w:rFonts w:ascii="Times New Roman" w:eastAsia="Times New Roman" w:hAnsi="Times New Roman" w:cs="Times New Roman"/>
          <w:i/>
          <w:iCs/>
          <w:color w:val="000000"/>
          <w:kern w:val="0"/>
          <w:sz w:val="22"/>
          <w:szCs w:val="22"/>
          <w14:ligatures w14:val="none"/>
        </w:rPr>
        <w:t>8</w:t>
      </w:r>
      <w:r w:rsidRPr="00B1351A">
        <w:rPr>
          <w:rFonts w:ascii="Times New Roman" w:eastAsia="Times New Roman" w:hAnsi="Times New Roman" w:cs="Times New Roman"/>
          <w:color w:val="000000"/>
          <w:kern w:val="0"/>
          <w:sz w:val="22"/>
          <w:szCs w:val="22"/>
          <w14:ligatures w14:val="none"/>
        </w:rPr>
        <w:t>(2), 112-130.</w:t>
      </w:r>
    </w:p>
    <w:p w14:paraId="6665CF76"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A</w:t>
      </w:r>
      <w:r w:rsidRPr="005E3B69">
        <w:rPr>
          <w:rFonts w:ascii="Times New Roman" w:eastAsia="Calibri" w:hAnsi="Times New Roman" w:cs="Times New Roman"/>
          <w:sz w:val="22"/>
          <w:szCs w:val="22"/>
        </w:rPr>
        <w:t>dewale</w:t>
      </w:r>
      <w:r w:rsidRPr="00B1351A">
        <w:rPr>
          <w:rFonts w:ascii="Times New Roman" w:eastAsia="Calibri" w:hAnsi="Times New Roman" w:cs="Times New Roman"/>
          <w:sz w:val="22"/>
          <w:szCs w:val="22"/>
        </w:rPr>
        <w:t>, R., &amp; Salami, I. (202</w:t>
      </w:r>
      <w:r w:rsidRPr="005E3B69">
        <w:rPr>
          <w:rFonts w:ascii="Times New Roman" w:eastAsia="Calibri" w:hAnsi="Times New Roman" w:cs="Times New Roman"/>
          <w:sz w:val="22"/>
          <w:szCs w:val="22"/>
        </w:rPr>
        <w:t>3</w:t>
      </w:r>
      <w:r w:rsidRPr="00B1351A">
        <w:rPr>
          <w:rFonts w:ascii="Times New Roman" w:eastAsia="Calibri" w:hAnsi="Times New Roman" w:cs="Times New Roman"/>
          <w:sz w:val="22"/>
          <w:szCs w:val="22"/>
        </w:rPr>
        <w:t xml:space="preserve">). </w:t>
      </w:r>
      <w:r w:rsidRPr="005E3B69">
        <w:rPr>
          <w:rFonts w:ascii="Times New Roman" w:eastAsia="Calibri" w:hAnsi="Times New Roman" w:cs="Times New Roman"/>
          <w:sz w:val="22"/>
          <w:szCs w:val="22"/>
        </w:rPr>
        <w:t>Domestic</w:t>
      </w:r>
      <w:r w:rsidRPr="00B1351A">
        <w:rPr>
          <w:rFonts w:ascii="Times New Roman" w:eastAsia="Calibri" w:hAnsi="Times New Roman" w:cs="Times New Roman"/>
          <w:sz w:val="22"/>
          <w:szCs w:val="22"/>
        </w:rPr>
        <w:t xml:space="preserve"> debt and the performance of the agricultural sector in Nigeria: Evidence from 1990–2020. </w:t>
      </w:r>
      <w:r w:rsidRPr="00B1351A">
        <w:rPr>
          <w:rFonts w:ascii="Times New Roman" w:eastAsia="Calibri" w:hAnsi="Times New Roman" w:cs="Times New Roman"/>
          <w:i/>
          <w:iCs/>
          <w:sz w:val="22"/>
          <w:szCs w:val="22"/>
        </w:rPr>
        <w:t>Journal of African Development Policy, 14</w:t>
      </w:r>
      <w:r w:rsidRPr="00B1351A">
        <w:rPr>
          <w:rFonts w:ascii="Times New Roman" w:eastAsia="Calibri" w:hAnsi="Times New Roman" w:cs="Times New Roman"/>
          <w:sz w:val="22"/>
          <w:szCs w:val="22"/>
        </w:rPr>
        <w:t>(2), 21-38.</w:t>
      </w:r>
    </w:p>
    <w:p w14:paraId="6AD4DC5F"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Adeyemi, A., &amp; Mohammed, S. (2023). Public debt and educational outcomes in Nigeria: A panel data analysis. </w:t>
      </w:r>
      <w:r w:rsidRPr="00B1351A">
        <w:rPr>
          <w:rFonts w:ascii="Times New Roman" w:eastAsia="Calibri" w:hAnsi="Times New Roman" w:cs="Times New Roman"/>
          <w:i/>
          <w:iCs/>
          <w:sz w:val="22"/>
          <w:szCs w:val="22"/>
        </w:rPr>
        <w:t>Journal of Development Studies</w:t>
      </w:r>
      <w:r w:rsidRPr="00B1351A">
        <w:rPr>
          <w:rFonts w:ascii="Times New Roman" w:eastAsia="Calibri" w:hAnsi="Times New Roman" w:cs="Times New Roman"/>
          <w:sz w:val="22"/>
          <w:szCs w:val="22"/>
        </w:rPr>
        <w:t xml:space="preserve">, 55(4), 456-472. </w:t>
      </w:r>
    </w:p>
    <w:p w14:paraId="0317280B"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Afolabi, K., &amp; Jimoh, A. (2023). Public debt and economic growth in Nigeria: A sectoral analysis. </w:t>
      </w:r>
      <w:r w:rsidRPr="00B1351A">
        <w:rPr>
          <w:rFonts w:ascii="Times New Roman" w:eastAsia="Calibri" w:hAnsi="Times New Roman" w:cs="Times New Roman"/>
          <w:i/>
          <w:iCs/>
          <w:sz w:val="22"/>
          <w:szCs w:val="22"/>
        </w:rPr>
        <w:t>Journal of African Economies</w:t>
      </w:r>
      <w:r w:rsidRPr="00B1351A">
        <w:rPr>
          <w:rFonts w:ascii="Times New Roman" w:eastAsia="Calibri" w:hAnsi="Times New Roman" w:cs="Times New Roman"/>
          <w:sz w:val="22"/>
          <w:szCs w:val="22"/>
        </w:rPr>
        <w:t xml:space="preserve">, </w:t>
      </w:r>
      <w:r w:rsidRPr="00B1351A">
        <w:rPr>
          <w:rFonts w:ascii="Times New Roman" w:eastAsia="Calibri" w:hAnsi="Times New Roman" w:cs="Times New Roman"/>
          <w:i/>
          <w:iCs/>
          <w:sz w:val="22"/>
          <w:szCs w:val="22"/>
        </w:rPr>
        <w:t>32</w:t>
      </w:r>
      <w:r w:rsidRPr="00B1351A">
        <w:rPr>
          <w:rFonts w:ascii="Times New Roman" w:eastAsia="Calibri" w:hAnsi="Times New Roman" w:cs="Times New Roman"/>
          <w:sz w:val="22"/>
          <w:szCs w:val="22"/>
        </w:rPr>
        <w:t xml:space="preserve">(3), 456-470. </w:t>
      </w:r>
    </w:p>
    <w:p w14:paraId="2A67E778" w14:textId="77777777" w:rsidR="00D8206B" w:rsidRPr="00B1351A" w:rsidRDefault="00D8206B" w:rsidP="00D8206B">
      <w:pPr>
        <w:widowControl w:val="0"/>
        <w:shd w:val="clear" w:color="auto" w:fill="FFFFFF"/>
        <w:spacing w:after="0" w:line="240" w:lineRule="auto"/>
        <w:ind w:left="720" w:right="420" w:hanging="720"/>
        <w:jc w:val="both"/>
        <w:rPr>
          <w:rFonts w:ascii="Times New Roman" w:eastAsia="Times New Roman" w:hAnsi="Times New Roman" w:cs="Times New Roman"/>
          <w:color w:val="000000"/>
          <w:kern w:val="0"/>
          <w:sz w:val="22"/>
          <w:szCs w:val="22"/>
          <w14:ligatures w14:val="none"/>
        </w:rPr>
      </w:pPr>
      <w:proofErr w:type="spellStart"/>
      <w:r w:rsidRPr="00B1351A">
        <w:rPr>
          <w:rFonts w:ascii="Times New Roman" w:eastAsia="Times New Roman" w:hAnsi="Times New Roman" w:cs="Times New Roman"/>
          <w:color w:val="000000"/>
          <w:kern w:val="0"/>
          <w:sz w:val="22"/>
          <w:szCs w:val="22"/>
          <w14:ligatures w14:val="none"/>
        </w:rPr>
        <w:t>Akinlo</w:t>
      </w:r>
      <w:proofErr w:type="spellEnd"/>
      <w:r w:rsidRPr="00B1351A">
        <w:rPr>
          <w:rFonts w:ascii="Times New Roman" w:eastAsia="Times New Roman" w:hAnsi="Times New Roman" w:cs="Times New Roman"/>
          <w:color w:val="000000"/>
          <w:kern w:val="0"/>
          <w:sz w:val="22"/>
          <w:szCs w:val="22"/>
          <w14:ligatures w14:val="none"/>
        </w:rPr>
        <w:t xml:space="preserve">, O., &amp; Azeez, A. (2021). The effects of public debt on sectoral economic performance in Nigeria. </w:t>
      </w:r>
      <w:r w:rsidRPr="00B1351A">
        <w:rPr>
          <w:rFonts w:ascii="Times New Roman" w:eastAsia="Times New Roman" w:hAnsi="Times New Roman" w:cs="Times New Roman"/>
          <w:i/>
          <w:iCs/>
          <w:color w:val="000000"/>
          <w:kern w:val="0"/>
          <w:sz w:val="22"/>
          <w:szCs w:val="22"/>
          <w14:ligatures w14:val="none"/>
        </w:rPr>
        <w:t>Economic Analysis and Policy Review</w:t>
      </w:r>
      <w:r w:rsidRPr="00B1351A">
        <w:rPr>
          <w:rFonts w:ascii="Times New Roman" w:eastAsia="Times New Roman" w:hAnsi="Times New Roman" w:cs="Times New Roman"/>
          <w:color w:val="000000"/>
          <w:kern w:val="0"/>
          <w:sz w:val="22"/>
          <w:szCs w:val="22"/>
          <w14:ligatures w14:val="none"/>
        </w:rPr>
        <w:t>, 11(3), 178-196.</w:t>
      </w:r>
    </w:p>
    <w:p w14:paraId="6F27A648"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Ayadi, F. S., &amp; Ayadi, F. O. (2008). The impact of external debt on economic growth: A comparative study of Nigeria and South Africa. </w:t>
      </w:r>
      <w:r w:rsidRPr="00B1351A">
        <w:rPr>
          <w:rFonts w:ascii="Times New Roman" w:eastAsia="Calibri" w:hAnsi="Times New Roman" w:cs="Times New Roman"/>
          <w:i/>
          <w:iCs/>
          <w:sz w:val="22"/>
          <w:szCs w:val="22"/>
        </w:rPr>
        <w:t>Journal of Sustainable Development in Africa,</w:t>
      </w:r>
      <w:r w:rsidRPr="00B1351A">
        <w:rPr>
          <w:rFonts w:ascii="Times New Roman" w:eastAsia="Calibri" w:hAnsi="Times New Roman" w:cs="Times New Roman"/>
          <w:sz w:val="22"/>
          <w:szCs w:val="22"/>
        </w:rPr>
        <w:t xml:space="preserve"> 10(3), 234-264.</w:t>
      </w:r>
    </w:p>
    <w:p w14:paraId="5F231822"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Barro, R. J. (1974). Are Government Bonds Net Wealth? </w:t>
      </w:r>
      <w:r w:rsidRPr="00B1351A">
        <w:rPr>
          <w:rFonts w:ascii="Times New Roman" w:eastAsia="Calibri" w:hAnsi="Times New Roman" w:cs="Times New Roman"/>
          <w:i/>
          <w:iCs/>
          <w:sz w:val="22"/>
          <w:szCs w:val="22"/>
        </w:rPr>
        <w:t>Journal of Political Economy,</w:t>
      </w:r>
      <w:r w:rsidRPr="00B1351A">
        <w:rPr>
          <w:rFonts w:ascii="Times New Roman" w:eastAsia="Calibri" w:hAnsi="Times New Roman" w:cs="Times New Roman"/>
          <w:sz w:val="22"/>
          <w:szCs w:val="22"/>
        </w:rPr>
        <w:t xml:space="preserve"> 82(6), 1095-1117.</w:t>
      </w:r>
    </w:p>
    <w:p w14:paraId="6061B37B"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Chukwu, P., &amp; Adeola, F. (2023). Public debt and economic performance in Nigeria: A sectoral analysis. </w:t>
      </w:r>
      <w:r w:rsidRPr="00B1351A">
        <w:rPr>
          <w:rFonts w:ascii="Times New Roman" w:eastAsia="Calibri" w:hAnsi="Times New Roman" w:cs="Times New Roman"/>
          <w:i/>
          <w:iCs/>
          <w:sz w:val="22"/>
          <w:szCs w:val="22"/>
        </w:rPr>
        <w:t>Journal of Development Economics,</w:t>
      </w:r>
      <w:r w:rsidRPr="00B1351A">
        <w:rPr>
          <w:rFonts w:ascii="Times New Roman" w:eastAsia="Calibri" w:hAnsi="Times New Roman" w:cs="Times New Roman"/>
          <w:sz w:val="22"/>
          <w:szCs w:val="22"/>
        </w:rPr>
        <w:t xml:space="preserve"> 52(3), 234-250. </w:t>
      </w:r>
    </w:p>
    <w:p w14:paraId="1F2F5B70"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Debt Management Office (DMO). (2023). "Nigeria’s Debt Profile: Trends and Implications."  </w:t>
      </w:r>
    </w:p>
    <w:p w14:paraId="76D3A4C9" w14:textId="77777777" w:rsidR="00D8206B" w:rsidRPr="00B1351A" w:rsidRDefault="00D8206B" w:rsidP="00D8206B">
      <w:pPr>
        <w:widowControl w:val="0"/>
        <w:shd w:val="clear" w:color="auto" w:fill="FFFFFF"/>
        <w:spacing w:after="0" w:line="240" w:lineRule="auto"/>
        <w:ind w:left="720" w:right="420" w:hanging="720"/>
        <w:jc w:val="both"/>
        <w:rPr>
          <w:rFonts w:ascii="Times New Roman" w:eastAsia="Times New Roman" w:hAnsi="Times New Roman" w:cs="Times New Roman"/>
          <w:color w:val="000000"/>
          <w:kern w:val="0"/>
          <w:sz w:val="22"/>
          <w:szCs w:val="22"/>
          <w14:ligatures w14:val="none"/>
        </w:rPr>
      </w:pPr>
      <w:r w:rsidRPr="00B1351A">
        <w:rPr>
          <w:rFonts w:ascii="Times New Roman" w:eastAsia="Times New Roman" w:hAnsi="Times New Roman" w:cs="Times New Roman"/>
          <w:color w:val="000000"/>
          <w:kern w:val="0"/>
          <w:sz w:val="22"/>
          <w:szCs w:val="22"/>
          <w14:ligatures w14:val="none"/>
        </w:rPr>
        <w:t xml:space="preserve">Egbetunde, T., &amp; </w:t>
      </w:r>
      <w:proofErr w:type="spellStart"/>
      <w:r w:rsidRPr="00B1351A">
        <w:rPr>
          <w:rFonts w:ascii="Times New Roman" w:eastAsia="Times New Roman" w:hAnsi="Times New Roman" w:cs="Times New Roman"/>
          <w:color w:val="000000"/>
          <w:kern w:val="0"/>
          <w:sz w:val="22"/>
          <w:szCs w:val="22"/>
          <w14:ligatures w14:val="none"/>
        </w:rPr>
        <w:t>Fasanya</w:t>
      </w:r>
      <w:proofErr w:type="spellEnd"/>
      <w:r w:rsidRPr="00B1351A">
        <w:rPr>
          <w:rFonts w:ascii="Times New Roman" w:eastAsia="Times New Roman" w:hAnsi="Times New Roman" w:cs="Times New Roman"/>
          <w:color w:val="000000"/>
          <w:kern w:val="0"/>
          <w:sz w:val="22"/>
          <w:szCs w:val="22"/>
          <w14:ligatures w14:val="none"/>
        </w:rPr>
        <w:t xml:space="preserve">, I. (2022). Public debt, government spending, and sectoral growth: Evidence from Nigeria. </w:t>
      </w:r>
      <w:r w:rsidRPr="00B1351A">
        <w:rPr>
          <w:rFonts w:ascii="Times New Roman" w:eastAsia="Times New Roman" w:hAnsi="Times New Roman" w:cs="Times New Roman"/>
          <w:i/>
          <w:iCs/>
          <w:color w:val="000000"/>
          <w:kern w:val="0"/>
          <w:sz w:val="22"/>
          <w:szCs w:val="22"/>
          <w14:ligatures w14:val="none"/>
        </w:rPr>
        <w:t>African Journal of Finance and Economics</w:t>
      </w:r>
      <w:r w:rsidRPr="00B1351A">
        <w:rPr>
          <w:rFonts w:ascii="Times New Roman" w:eastAsia="Times New Roman" w:hAnsi="Times New Roman" w:cs="Times New Roman"/>
          <w:color w:val="000000"/>
          <w:kern w:val="0"/>
          <w:sz w:val="22"/>
          <w:szCs w:val="22"/>
          <w14:ligatures w14:val="none"/>
        </w:rPr>
        <w:t>, 10(4), 99-120.</w:t>
      </w:r>
    </w:p>
    <w:p w14:paraId="3065AFB4"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Egert, B. (2015). Public debt, economic growth and nonlinear effects: Myth or reality</w:t>
      </w:r>
      <w:r w:rsidRPr="00B1351A">
        <w:rPr>
          <w:rFonts w:ascii="Times New Roman" w:eastAsia="Calibri" w:hAnsi="Times New Roman" w:cs="Times New Roman"/>
          <w:i/>
          <w:iCs/>
          <w:sz w:val="22"/>
          <w:szCs w:val="22"/>
        </w:rPr>
        <w:t>? Journal of Macroeconomics</w:t>
      </w:r>
      <w:r w:rsidRPr="00B1351A">
        <w:rPr>
          <w:rFonts w:ascii="Times New Roman" w:eastAsia="Calibri" w:hAnsi="Times New Roman" w:cs="Times New Roman"/>
          <w:sz w:val="22"/>
          <w:szCs w:val="22"/>
        </w:rPr>
        <w:t>, 43, 226-238.</w:t>
      </w:r>
    </w:p>
    <w:p w14:paraId="48124975" w14:textId="77777777" w:rsidR="00D8206B" w:rsidRPr="00B1351A" w:rsidRDefault="00D8206B" w:rsidP="00D8206B">
      <w:pPr>
        <w:spacing w:after="0" w:line="240" w:lineRule="auto"/>
        <w:ind w:left="720" w:right="195"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lastRenderedPageBreak/>
        <w:t>Evenson, R. E., &amp; Gollin, D. (2003). Assessing the impact of the Green Revolution, 1960 to 2000. Science, 300(5620), 758-762.</w:t>
      </w:r>
    </w:p>
    <w:p w14:paraId="0098E8C5"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Food and Agriculture Organization (FAO). (2020). </w:t>
      </w:r>
      <w:r w:rsidRPr="00B1351A">
        <w:rPr>
          <w:rFonts w:ascii="Times New Roman" w:eastAsia="Calibri" w:hAnsi="Times New Roman" w:cs="Times New Roman"/>
          <w:i/>
          <w:iCs/>
          <w:sz w:val="22"/>
          <w:szCs w:val="22"/>
        </w:rPr>
        <w:t>Nigeria Agriculture and Food Security Report</w:t>
      </w:r>
      <w:r w:rsidRPr="00B1351A">
        <w:rPr>
          <w:rFonts w:ascii="Times New Roman" w:eastAsia="Calibri" w:hAnsi="Times New Roman" w:cs="Times New Roman"/>
          <w:sz w:val="22"/>
          <w:szCs w:val="22"/>
        </w:rPr>
        <w:t>. Rome, Italy.</w:t>
      </w:r>
    </w:p>
    <w:p w14:paraId="05268A30"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IMF (2013). Public Debt Management and Fiscal Sustainability.</w:t>
      </w:r>
    </w:p>
    <w:p w14:paraId="329004E4"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proofErr w:type="spellStart"/>
      <w:r w:rsidRPr="00B1351A">
        <w:rPr>
          <w:rFonts w:ascii="Times New Roman" w:eastAsia="Calibri" w:hAnsi="Times New Roman" w:cs="Times New Roman"/>
          <w:sz w:val="22"/>
          <w:szCs w:val="22"/>
        </w:rPr>
        <w:t>Iyoha</w:t>
      </w:r>
      <w:proofErr w:type="spellEnd"/>
      <w:r w:rsidRPr="00B1351A">
        <w:rPr>
          <w:rFonts w:ascii="Times New Roman" w:eastAsia="Calibri" w:hAnsi="Times New Roman" w:cs="Times New Roman"/>
          <w:sz w:val="22"/>
          <w:szCs w:val="22"/>
        </w:rPr>
        <w:t xml:space="preserve">, M. A., &amp; </w:t>
      </w:r>
      <w:proofErr w:type="spellStart"/>
      <w:r w:rsidRPr="00B1351A">
        <w:rPr>
          <w:rFonts w:ascii="Times New Roman" w:eastAsia="Calibri" w:hAnsi="Times New Roman" w:cs="Times New Roman"/>
          <w:sz w:val="22"/>
          <w:szCs w:val="22"/>
        </w:rPr>
        <w:t>Oriakhi</w:t>
      </w:r>
      <w:proofErr w:type="spellEnd"/>
      <w:r w:rsidRPr="00B1351A">
        <w:rPr>
          <w:rFonts w:ascii="Times New Roman" w:eastAsia="Calibri" w:hAnsi="Times New Roman" w:cs="Times New Roman"/>
          <w:sz w:val="22"/>
          <w:szCs w:val="22"/>
        </w:rPr>
        <w:t xml:space="preserve">, D. E. (2008). Explaining African economic growth performance: The case of Nigeria. In B. J. Ndulu, S. A. O’Connell, R. H. Bates, P. Collier, &amp; C. C. Soludo (Eds.), The political economy of economic growth in Africa, 1960-2000 (pp. 621-659). </w:t>
      </w:r>
      <w:r w:rsidRPr="00B1351A">
        <w:rPr>
          <w:rFonts w:ascii="Times New Roman" w:eastAsia="Calibri" w:hAnsi="Times New Roman" w:cs="Times New Roman"/>
          <w:i/>
          <w:iCs/>
          <w:sz w:val="22"/>
          <w:szCs w:val="22"/>
        </w:rPr>
        <w:t>Cambridge University Press</w:t>
      </w:r>
      <w:r w:rsidRPr="00B1351A">
        <w:rPr>
          <w:rFonts w:ascii="Times New Roman" w:eastAsia="Calibri" w:hAnsi="Times New Roman" w:cs="Times New Roman"/>
          <w:sz w:val="22"/>
          <w:szCs w:val="22"/>
        </w:rPr>
        <w:t>.</w:t>
      </w:r>
    </w:p>
    <w:p w14:paraId="5A187FAB"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Keynes, J. M. (1936). The general theory of employment, interest, and money. Macmillan</w:t>
      </w:r>
    </w:p>
    <w:p w14:paraId="78E69FB1"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Kofi, A., &amp; Mensah, B. (2023). Impact of public debt on economic growth: Evidence from Ghana. </w:t>
      </w:r>
      <w:r w:rsidRPr="00B1351A">
        <w:rPr>
          <w:rFonts w:ascii="Times New Roman" w:eastAsia="Calibri" w:hAnsi="Times New Roman" w:cs="Times New Roman"/>
          <w:i/>
          <w:iCs/>
          <w:sz w:val="22"/>
          <w:szCs w:val="22"/>
        </w:rPr>
        <w:t>Journal of African Economies</w:t>
      </w:r>
      <w:r w:rsidRPr="00B1351A">
        <w:rPr>
          <w:rFonts w:ascii="Times New Roman" w:eastAsia="Calibri" w:hAnsi="Times New Roman" w:cs="Times New Roman"/>
          <w:sz w:val="22"/>
          <w:szCs w:val="22"/>
        </w:rPr>
        <w:t xml:space="preserve">, </w:t>
      </w:r>
      <w:r w:rsidRPr="00B1351A">
        <w:rPr>
          <w:rFonts w:ascii="Times New Roman" w:eastAsia="Calibri" w:hAnsi="Times New Roman" w:cs="Times New Roman"/>
          <w:i/>
          <w:iCs/>
          <w:sz w:val="22"/>
          <w:szCs w:val="22"/>
        </w:rPr>
        <w:t>32</w:t>
      </w:r>
      <w:r w:rsidRPr="00B1351A">
        <w:rPr>
          <w:rFonts w:ascii="Times New Roman" w:eastAsia="Calibri" w:hAnsi="Times New Roman" w:cs="Times New Roman"/>
          <w:sz w:val="22"/>
          <w:szCs w:val="22"/>
        </w:rPr>
        <w:t xml:space="preserve">(4), 567-582. </w:t>
      </w:r>
    </w:p>
    <w:p w14:paraId="42894648"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Krugman, P. (1988). Financing vs. forgiving a debt overhang. </w:t>
      </w:r>
      <w:r w:rsidRPr="00B1351A">
        <w:rPr>
          <w:rFonts w:ascii="Times New Roman" w:eastAsia="Calibri" w:hAnsi="Times New Roman" w:cs="Times New Roman"/>
          <w:i/>
          <w:iCs/>
          <w:sz w:val="22"/>
          <w:szCs w:val="22"/>
        </w:rPr>
        <w:t>Journal of Development Economics,</w:t>
      </w:r>
      <w:r w:rsidRPr="00B1351A">
        <w:rPr>
          <w:rFonts w:ascii="Times New Roman" w:eastAsia="Calibri" w:hAnsi="Times New Roman" w:cs="Times New Roman"/>
          <w:sz w:val="22"/>
          <w:szCs w:val="22"/>
        </w:rPr>
        <w:t xml:space="preserve"> 29(3), 253-268.</w:t>
      </w:r>
    </w:p>
    <w:p w14:paraId="275A1119"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National Bureau of Statistics (NBS). (2023). "Nigeria’s Economic Report: Sectoral Contributions to GDP."  </w:t>
      </w:r>
    </w:p>
    <w:p w14:paraId="454EB6DC"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Ogunleye, J., &amp; Adekunle, S. (2023). Public debt and environmental sustainability: Insights from Nigeria. </w:t>
      </w:r>
      <w:r w:rsidRPr="00B1351A">
        <w:rPr>
          <w:rFonts w:ascii="Times New Roman" w:eastAsia="Calibri" w:hAnsi="Times New Roman" w:cs="Times New Roman"/>
          <w:i/>
          <w:iCs/>
          <w:sz w:val="22"/>
          <w:szCs w:val="22"/>
        </w:rPr>
        <w:t>Environmental Economics and Policy Studies</w:t>
      </w:r>
      <w:r w:rsidRPr="00B1351A">
        <w:rPr>
          <w:rFonts w:ascii="Times New Roman" w:eastAsia="Calibri" w:hAnsi="Times New Roman" w:cs="Times New Roman"/>
          <w:sz w:val="22"/>
          <w:szCs w:val="22"/>
        </w:rPr>
        <w:t xml:space="preserve">, </w:t>
      </w:r>
      <w:r w:rsidRPr="00B1351A">
        <w:rPr>
          <w:rFonts w:ascii="Times New Roman" w:eastAsia="Calibri" w:hAnsi="Times New Roman" w:cs="Times New Roman"/>
          <w:i/>
          <w:iCs/>
          <w:sz w:val="22"/>
          <w:szCs w:val="22"/>
        </w:rPr>
        <w:t>78</w:t>
      </w:r>
      <w:r w:rsidRPr="00B1351A">
        <w:rPr>
          <w:rFonts w:ascii="Times New Roman" w:eastAsia="Calibri" w:hAnsi="Times New Roman" w:cs="Times New Roman"/>
          <w:sz w:val="22"/>
          <w:szCs w:val="22"/>
        </w:rPr>
        <w:t xml:space="preserve">, 456-472. </w:t>
      </w:r>
    </w:p>
    <w:p w14:paraId="77C9FA66"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Ogunyemi, T., &amp; Adeola, F. (2021). Public debt and educational outcomes in Nigeria: A sectoral analysis. </w:t>
      </w:r>
      <w:r w:rsidRPr="00B1351A">
        <w:rPr>
          <w:rFonts w:ascii="Times New Roman" w:eastAsia="Calibri" w:hAnsi="Times New Roman" w:cs="Times New Roman"/>
          <w:i/>
          <w:iCs/>
          <w:sz w:val="22"/>
          <w:szCs w:val="22"/>
        </w:rPr>
        <w:t>Journal of Development Studies,</w:t>
      </w:r>
      <w:r w:rsidRPr="00B1351A">
        <w:rPr>
          <w:rFonts w:ascii="Times New Roman" w:eastAsia="Calibri" w:hAnsi="Times New Roman" w:cs="Times New Roman"/>
          <w:sz w:val="22"/>
          <w:szCs w:val="22"/>
        </w:rPr>
        <w:t xml:space="preserve"> </w:t>
      </w:r>
      <w:r w:rsidRPr="00B1351A">
        <w:rPr>
          <w:rFonts w:ascii="Times New Roman" w:eastAsia="Calibri" w:hAnsi="Times New Roman" w:cs="Times New Roman"/>
          <w:i/>
          <w:iCs/>
          <w:sz w:val="22"/>
          <w:szCs w:val="22"/>
        </w:rPr>
        <w:t>48</w:t>
      </w:r>
      <w:r w:rsidRPr="00B1351A">
        <w:rPr>
          <w:rFonts w:ascii="Times New Roman" w:eastAsia="Calibri" w:hAnsi="Times New Roman" w:cs="Times New Roman"/>
          <w:sz w:val="22"/>
          <w:szCs w:val="22"/>
        </w:rPr>
        <w:t xml:space="preserve">(3), 245-260. </w:t>
      </w:r>
    </w:p>
    <w:p w14:paraId="1A980B26" w14:textId="77777777" w:rsidR="00D8206B" w:rsidRPr="00B1351A" w:rsidRDefault="00D8206B" w:rsidP="00D8206B">
      <w:pPr>
        <w:spacing w:after="0" w:line="240" w:lineRule="auto"/>
        <w:ind w:left="720" w:right="195"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Oke, M. O., &amp; Sulaiman, L. A. (2020). Public debt and economic growth: Evidence from Nigeria. </w:t>
      </w:r>
      <w:r w:rsidRPr="00B1351A">
        <w:rPr>
          <w:rFonts w:ascii="Times New Roman" w:eastAsia="Calibri" w:hAnsi="Times New Roman" w:cs="Times New Roman"/>
          <w:i/>
          <w:iCs/>
          <w:sz w:val="22"/>
          <w:szCs w:val="22"/>
        </w:rPr>
        <w:t>Journal of Finance and Development Review</w:t>
      </w:r>
      <w:r w:rsidRPr="00B1351A">
        <w:rPr>
          <w:rFonts w:ascii="Times New Roman" w:eastAsia="Calibri" w:hAnsi="Times New Roman" w:cs="Times New Roman"/>
          <w:sz w:val="22"/>
          <w:szCs w:val="22"/>
        </w:rPr>
        <w:t xml:space="preserve">, </w:t>
      </w:r>
      <w:r w:rsidRPr="00B1351A">
        <w:rPr>
          <w:rFonts w:ascii="Times New Roman" w:eastAsia="Calibri" w:hAnsi="Times New Roman" w:cs="Times New Roman"/>
          <w:i/>
          <w:iCs/>
          <w:sz w:val="22"/>
          <w:szCs w:val="22"/>
        </w:rPr>
        <w:t>45</w:t>
      </w:r>
      <w:r w:rsidRPr="00B1351A">
        <w:rPr>
          <w:rFonts w:ascii="Times New Roman" w:eastAsia="Calibri" w:hAnsi="Times New Roman" w:cs="Times New Roman"/>
          <w:sz w:val="22"/>
          <w:szCs w:val="22"/>
        </w:rPr>
        <w:t>(4-6), 827-838.</w:t>
      </w:r>
    </w:p>
    <w:p w14:paraId="55F08074" w14:textId="77777777" w:rsidR="00D8206B" w:rsidRPr="00B1351A"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Oladipo, O., &amp; Eze, P. (2023). Public debt and industrial sector growth in Nigeria. </w:t>
      </w:r>
      <w:r w:rsidRPr="00B1351A">
        <w:rPr>
          <w:rFonts w:ascii="Times New Roman" w:eastAsia="Calibri" w:hAnsi="Times New Roman" w:cs="Times New Roman"/>
          <w:i/>
          <w:iCs/>
          <w:sz w:val="22"/>
          <w:szCs w:val="22"/>
        </w:rPr>
        <w:t>Journal of Industrial Economics</w:t>
      </w:r>
      <w:r w:rsidRPr="00B1351A">
        <w:rPr>
          <w:rFonts w:ascii="Times New Roman" w:eastAsia="Calibri" w:hAnsi="Times New Roman" w:cs="Times New Roman"/>
          <w:sz w:val="22"/>
          <w:szCs w:val="22"/>
        </w:rPr>
        <w:t xml:space="preserve">, </w:t>
      </w:r>
      <w:r w:rsidRPr="00B1351A">
        <w:rPr>
          <w:rFonts w:ascii="Times New Roman" w:eastAsia="Calibri" w:hAnsi="Times New Roman" w:cs="Times New Roman"/>
          <w:i/>
          <w:iCs/>
          <w:sz w:val="22"/>
          <w:szCs w:val="22"/>
        </w:rPr>
        <w:t>44</w:t>
      </w:r>
      <w:r w:rsidRPr="00B1351A">
        <w:rPr>
          <w:rFonts w:ascii="Times New Roman" w:eastAsia="Calibri" w:hAnsi="Times New Roman" w:cs="Times New Roman"/>
          <w:sz w:val="22"/>
          <w:szCs w:val="22"/>
        </w:rPr>
        <w:t xml:space="preserve">(2), 167-182. </w:t>
      </w:r>
    </w:p>
    <w:p w14:paraId="067CBF35"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Oluwaseun, A., &amp; Adebayo, F. (2023). Public debt and economic resilience in Sub-Saharan Africa: A panel data analysis. </w:t>
      </w:r>
      <w:r w:rsidRPr="00B1351A">
        <w:rPr>
          <w:rFonts w:ascii="Times New Roman" w:eastAsia="Calibri" w:hAnsi="Times New Roman" w:cs="Times New Roman"/>
          <w:i/>
          <w:iCs/>
          <w:sz w:val="22"/>
          <w:szCs w:val="22"/>
        </w:rPr>
        <w:t>Journal of Economic Resilience</w:t>
      </w:r>
      <w:r w:rsidRPr="00B1351A">
        <w:rPr>
          <w:rFonts w:ascii="Times New Roman" w:eastAsia="Calibri" w:hAnsi="Times New Roman" w:cs="Times New Roman"/>
          <w:sz w:val="22"/>
          <w:szCs w:val="22"/>
        </w:rPr>
        <w:t>, 32(4), 456-472.</w:t>
      </w:r>
    </w:p>
    <w:p w14:paraId="7ABFF84B"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 xml:space="preserve">Reinhart, C. M., &amp; Rogoff, K. S. (2010). Growth in a Time of Debt. </w:t>
      </w:r>
      <w:r w:rsidRPr="00B1351A">
        <w:rPr>
          <w:rFonts w:ascii="Times New Roman" w:eastAsia="Calibri" w:hAnsi="Times New Roman" w:cs="Times New Roman"/>
          <w:i/>
          <w:iCs/>
          <w:sz w:val="22"/>
          <w:szCs w:val="22"/>
        </w:rPr>
        <w:t>American Economic Review: Papers &amp; Proceedings</w:t>
      </w:r>
      <w:r w:rsidRPr="00B1351A">
        <w:rPr>
          <w:rFonts w:ascii="Times New Roman" w:eastAsia="Calibri" w:hAnsi="Times New Roman" w:cs="Times New Roman"/>
          <w:sz w:val="22"/>
          <w:szCs w:val="22"/>
        </w:rPr>
        <w:t>, 100(2), 573-578.</w:t>
      </w:r>
    </w:p>
    <w:p w14:paraId="31A53D3F"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World Bank. (2007). World Development Report 2008: Agriculture for Development. World Bank.</w:t>
      </w:r>
    </w:p>
    <w:p w14:paraId="2B2B7839" w14:textId="77777777" w:rsidR="00D8206B" w:rsidRPr="00B1351A" w:rsidRDefault="00D8206B" w:rsidP="00D8206B">
      <w:pPr>
        <w:spacing w:after="0" w:line="240" w:lineRule="auto"/>
        <w:ind w:left="720" w:hanging="720"/>
        <w:jc w:val="both"/>
        <w:rPr>
          <w:rFonts w:ascii="Times New Roman" w:eastAsia="Calibri" w:hAnsi="Times New Roman" w:cs="Times New Roman"/>
          <w:sz w:val="22"/>
          <w:szCs w:val="22"/>
        </w:rPr>
      </w:pPr>
      <w:r w:rsidRPr="00B1351A">
        <w:rPr>
          <w:rFonts w:ascii="Times New Roman" w:eastAsia="Calibri" w:hAnsi="Times New Roman" w:cs="Times New Roman"/>
          <w:sz w:val="22"/>
          <w:szCs w:val="22"/>
        </w:rPr>
        <w:t>World Bank. (2013). World Development Report 2013: Jobs. World Bank.</w:t>
      </w:r>
    </w:p>
    <w:p w14:paraId="3DAFF07C" w14:textId="77777777" w:rsidR="00D8206B" w:rsidRPr="00B1351A" w:rsidRDefault="00D8206B" w:rsidP="00D8206B">
      <w:pPr>
        <w:spacing w:after="0" w:line="240" w:lineRule="auto"/>
        <w:ind w:left="720" w:hanging="720"/>
        <w:jc w:val="both"/>
        <w:rPr>
          <w:rFonts w:ascii="Calibri" w:eastAsia="Calibri" w:hAnsi="Calibri" w:cs="Times New Roman"/>
          <w:sz w:val="22"/>
          <w:szCs w:val="22"/>
        </w:rPr>
      </w:pPr>
      <w:r w:rsidRPr="00B1351A">
        <w:rPr>
          <w:rFonts w:ascii="Times New Roman" w:eastAsia="Calibri" w:hAnsi="Times New Roman" w:cs="Times New Roman"/>
          <w:sz w:val="22"/>
          <w:szCs w:val="22"/>
        </w:rPr>
        <w:t>World Bank. (2022). "Debt Sustainability and Economic Growth in Developing Countries</w:t>
      </w:r>
      <w:r w:rsidRPr="00B1351A">
        <w:rPr>
          <w:rFonts w:ascii="Calibri" w:eastAsia="Calibri" w:hAnsi="Calibri" w:cs="Times New Roman"/>
          <w:sz w:val="22"/>
          <w:szCs w:val="22"/>
        </w:rPr>
        <w:t xml:space="preserve">."  </w:t>
      </w:r>
    </w:p>
    <w:p w14:paraId="21A98D5B" w14:textId="77777777" w:rsidR="00D8206B" w:rsidRPr="00B1351A" w:rsidRDefault="00D8206B" w:rsidP="00D8206B">
      <w:pPr>
        <w:spacing w:after="0" w:line="240" w:lineRule="auto"/>
        <w:ind w:left="720" w:hanging="720"/>
        <w:jc w:val="both"/>
        <w:outlineLvl w:val="1"/>
        <w:rPr>
          <w:rFonts w:ascii="Times New Roman" w:eastAsia="Times New Roman" w:hAnsi="Times New Roman" w:cs="Times New Roman"/>
          <w:kern w:val="0"/>
          <w:sz w:val="22"/>
          <w:szCs w:val="22"/>
          <w14:ligatures w14:val="none"/>
        </w:rPr>
      </w:pPr>
      <w:bookmarkStart w:id="17" w:name="_Toc214835481"/>
      <w:r w:rsidRPr="00B1351A">
        <w:rPr>
          <w:rFonts w:ascii="Times New Roman" w:eastAsia="Times New Roman" w:hAnsi="Times New Roman" w:cs="Times New Roman"/>
          <w:kern w:val="0"/>
          <w:sz w:val="22"/>
          <w:szCs w:val="22"/>
          <w14:ligatures w14:val="none"/>
        </w:rPr>
        <w:t>World Economic Forum. (2021). The Future of Jobs Report 2020. World Economic Forum.</w:t>
      </w:r>
      <w:bookmarkEnd w:id="17"/>
    </w:p>
    <w:p w14:paraId="00A09A67" w14:textId="77777777" w:rsidR="00D8206B" w:rsidRPr="007E6361" w:rsidRDefault="00D8206B" w:rsidP="00D8206B">
      <w:pPr>
        <w:spacing w:line="276" w:lineRule="auto"/>
        <w:jc w:val="both"/>
        <w:rPr>
          <w:rFonts w:ascii="Times New Roman" w:hAnsi="Times New Roman" w:cs="Times New Roman"/>
          <w:sz w:val="22"/>
          <w:szCs w:val="22"/>
        </w:rPr>
      </w:pPr>
    </w:p>
    <w:p w14:paraId="37DA5E2B" w14:textId="77777777" w:rsidR="00DB6A40" w:rsidRDefault="00DB6A40" w:rsidP="00A60822">
      <w:pPr>
        <w:spacing w:after="0" w:line="240" w:lineRule="auto"/>
        <w:jc w:val="both"/>
        <w:rPr>
          <w:rFonts w:ascii="Times New Roman" w:hAnsi="Times New Roman" w:cs="Times New Roman"/>
          <w:b/>
          <w:bCs/>
          <w:sz w:val="56"/>
          <w:szCs w:val="56"/>
        </w:rPr>
      </w:pPr>
    </w:p>
    <w:p w14:paraId="312D841B" w14:textId="77777777" w:rsidR="00D8206B" w:rsidRDefault="00D8206B" w:rsidP="00A60822">
      <w:pPr>
        <w:spacing w:after="0" w:line="240" w:lineRule="auto"/>
        <w:jc w:val="both"/>
        <w:rPr>
          <w:rFonts w:ascii="Times New Roman" w:hAnsi="Times New Roman" w:cs="Times New Roman"/>
          <w:b/>
          <w:bCs/>
          <w:sz w:val="56"/>
          <w:szCs w:val="56"/>
        </w:rPr>
      </w:pPr>
    </w:p>
    <w:p w14:paraId="1F8A9726" w14:textId="77777777" w:rsidR="00D24E0B" w:rsidRDefault="00D24E0B" w:rsidP="00D8206B">
      <w:pPr>
        <w:spacing w:line="276" w:lineRule="auto"/>
        <w:jc w:val="center"/>
        <w:rPr>
          <w:rFonts w:ascii="Times New Roman" w:hAnsi="Times New Roman" w:cs="Times New Roman"/>
          <w:b/>
          <w:bCs/>
          <w:sz w:val="22"/>
          <w:szCs w:val="22"/>
        </w:rPr>
      </w:pPr>
    </w:p>
    <w:p w14:paraId="6EB5E649" w14:textId="77777777" w:rsidR="00D24E0B" w:rsidRDefault="00D24E0B" w:rsidP="00D8206B">
      <w:pPr>
        <w:spacing w:line="276" w:lineRule="auto"/>
        <w:jc w:val="center"/>
        <w:rPr>
          <w:rFonts w:ascii="Times New Roman" w:hAnsi="Times New Roman" w:cs="Times New Roman"/>
          <w:b/>
          <w:bCs/>
          <w:sz w:val="22"/>
          <w:szCs w:val="22"/>
        </w:rPr>
      </w:pPr>
    </w:p>
    <w:p w14:paraId="4F517107" w14:textId="77777777" w:rsidR="00D24E0B" w:rsidRDefault="00D24E0B" w:rsidP="00D8206B">
      <w:pPr>
        <w:spacing w:line="276" w:lineRule="auto"/>
        <w:jc w:val="center"/>
        <w:rPr>
          <w:rFonts w:ascii="Times New Roman" w:hAnsi="Times New Roman" w:cs="Times New Roman"/>
          <w:b/>
          <w:bCs/>
          <w:sz w:val="22"/>
          <w:szCs w:val="22"/>
        </w:rPr>
      </w:pPr>
    </w:p>
    <w:p w14:paraId="4044C7CF" w14:textId="77777777" w:rsidR="00186526" w:rsidRDefault="00186526" w:rsidP="00D8206B">
      <w:pPr>
        <w:spacing w:line="276" w:lineRule="auto"/>
        <w:jc w:val="center"/>
        <w:rPr>
          <w:rFonts w:ascii="Times New Roman" w:hAnsi="Times New Roman" w:cs="Times New Roman"/>
          <w:b/>
          <w:bCs/>
          <w:sz w:val="22"/>
          <w:szCs w:val="22"/>
        </w:rPr>
      </w:pPr>
    </w:p>
    <w:p w14:paraId="32FDD390" w14:textId="77777777" w:rsidR="00186526" w:rsidRDefault="00186526" w:rsidP="00D8206B">
      <w:pPr>
        <w:spacing w:line="276" w:lineRule="auto"/>
        <w:jc w:val="center"/>
        <w:rPr>
          <w:rFonts w:ascii="Times New Roman" w:hAnsi="Times New Roman" w:cs="Times New Roman"/>
          <w:b/>
          <w:bCs/>
          <w:sz w:val="22"/>
          <w:szCs w:val="22"/>
        </w:rPr>
      </w:pPr>
    </w:p>
    <w:p w14:paraId="6F253D63" w14:textId="77777777" w:rsidR="00186526" w:rsidRDefault="00186526" w:rsidP="00D8206B">
      <w:pPr>
        <w:spacing w:line="276" w:lineRule="auto"/>
        <w:jc w:val="center"/>
        <w:rPr>
          <w:rFonts w:ascii="Times New Roman" w:hAnsi="Times New Roman" w:cs="Times New Roman"/>
          <w:b/>
          <w:bCs/>
          <w:sz w:val="22"/>
          <w:szCs w:val="22"/>
        </w:rPr>
      </w:pPr>
    </w:p>
    <w:p w14:paraId="5A2BB286" w14:textId="77777777" w:rsidR="00186526" w:rsidRDefault="00186526" w:rsidP="00D8206B">
      <w:pPr>
        <w:spacing w:line="276" w:lineRule="auto"/>
        <w:jc w:val="center"/>
        <w:rPr>
          <w:rFonts w:ascii="Times New Roman" w:hAnsi="Times New Roman" w:cs="Times New Roman"/>
          <w:b/>
          <w:bCs/>
          <w:sz w:val="22"/>
          <w:szCs w:val="22"/>
        </w:rPr>
      </w:pPr>
    </w:p>
    <w:p w14:paraId="3493F4D2" w14:textId="77777777" w:rsidR="00D24E0B" w:rsidRDefault="00D24E0B" w:rsidP="00D8206B">
      <w:pPr>
        <w:spacing w:line="276" w:lineRule="auto"/>
        <w:jc w:val="center"/>
        <w:rPr>
          <w:rFonts w:ascii="Times New Roman" w:hAnsi="Times New Roman" w:cs="Times New Roman"/>
          <w:b/>
          <w:bCs/>
          <w:sz w:val="22"/>
          <w:szCs w:val="22"/>
        </w:rPr>
      </w:pPr>
    </w:p>
    <w:p w14:paraId="1A3F3FDA" w14:textId="77777777" w:rsidR="00D24E0B" w:rsidRDefault="00D24E0B" w:rsidP="00D8206B">
      <w:pPr>
        <w:spacing w:line="276" w:lineRule="auto"/>
        <w:jc w:val="center"/>
        <w:rPr>
          <w:rFonts w:ascii="Times New Roman" w:hAnsi="Times New Roman" w:cs="Times New Roman"/>
          <w:b/>
          <w:bCs/>
          <w:sz w:val="22"/>
          <w:szCs w:val="22"/>
        </w:rPr>
      </w:pPr>
    </w:p>
    <w:p w14:paraId="067BE13E" w14:textId="77777777" w:rsidR="00D24E0B" w:rsidRDefault="00D24E0B" w:rsidP="00D8206B">
      <w:pPr>
        <w:spacing w:line="276" w:lineRule="auto"/>
        <w:jc w:val="center"/>
        <w:rPr>
          <w:rFonts w:ascii="Times New Roman" w:hAnsi="Times New Roman" w:cs="Times New Roman"/>
          <w:b/>
          <w:bCs/>
          <w:sz w:val="22"/>
          <w:szCs w:val="22"/>
        </w:rPr>
      </w:pPr>
    </w:p>
    <w:p w14:paraId="23AE2330" w14:textId="77777777" w:rsidR="00D24E0B" w:rsidRDefault="00D24E0B" w:rsidP="00D8206B">
      <w:pPr>
        <w:spacing w:line="276" w:lineRule="auto"/>
        <w:jc w:val="center"/>
        <w:rPr>
          <w:rFonts w:ascii="Times New Roman" w:hAnsi="Times New Roman" w:cs="Times New Roman"/>
          <w:b/>
          <w:bCs/>
          <w:sz w:val="22"/>
          <w:szCs w:val="22"/>
        </w:rPr>
      </w:pPr>
    </w:p>
    <w:p w14:paraId="1CB49C0B" w14:textId="788CAB5F" w:rsidR="00D8206B" w:rsidRDefault="00D8206B" w:rsidP="00D8206B">
      <w:pPr>
        <w:spacing w:line="276" w:lineRule="auto"/>
        <w:jc w:val="center"/>
        <w:rPr>
          <w:rFonts w:ascii="Times New Roman" w:hAnsi="Times New Roman" w:cs="Times New Roman"/>
          <w:b/>
          <w:bCs/>
          <w:sz w:val="22"/>
          <w:szCs w:val="22"/>
        </w:rPr>
      </w:pPr>
      <w:r w:rsidRPr="00A96ACA">
        <w:rPr>
          <w:rFonts w:ascii="Times New Roman" w:hAnsi="Times New Roman" w:cs="Times New Roman"/>
          <w:b/>
          <w:bCs/>
          <w:sz w:val="22"/>
          <w:szCs w:val="22"/>
        </w:rPr>
        <w:lastRenderedPageBreak/>
        <w:t>PUBLIC DEBT AND PERFORMANCE OF INDUSTRIAL SECTOR IN NIGERIA</w:t>
      </w:r>
    </w:p>
    <w:p w14:paraId="57D302B3" w14:textId="77777777" w:rsidR="00D8206B" w:rsidRPr="001D7FE5" w:rsidRDefault="00D8206B" w:rsidP="00D8206B">
      <w:pPr>
        <w:tabs>
          <w:tab w:val="center" w:pos="4680"/>
          <w:tab w:val="left" w:pos="6976"/>
        </w:tabs>
        <w:spacing w:line="240" w:lineRule="auto"/>
        <w:rPr>
          <w:rFonts w:ascii="Times New Roman" w:hAnsi="Times New Roman" w:cs="Times New Roman"/>
          <w:b/>
          <w:bCs/>
          <w:sz w:val="20"/>
          <w:szCs w:val="20"/>
        </w:rPr>
      </w:pPr>
      <w:r w:rsidRPr="001D7FE5">
        <w:rPr>
          <w:rFonts w:ascii="Times New Roman" w:hAnsi="Times New Roman" w:cs="Times New Roman"/>
          <w:b/>
          <w:bCs/>
          <w:sz w:val="20"/>
          <w:szCs w:val="20"/>
        </w:rPr>
        <w:tab/>
      </w:r>
      <w:r w:rsidRPr="001D7FE5">
        <w:rPr>
          <w:rFonts w:ascii="Times New Roman" w:hAnsi="Times New Roman" w:cs="Times New Roman"/>
          <w:b/>
          <w:sz w:val="22"/>
          <w:szCs w:val="22"/>
          <w:lang w:val="en-GB"/>
        </w:rPr>
        <w:t>Babatunde Olaniyi MORAKINYO</w:t>
      </w:r>
    </w:p>
    <w:p w14:paraId="551B696A" w14:textId="77777777" w:rsidR="00D8206B" w:rsidRPr="00037F03" w:rsidRDefault="00D8206B" w:rsidP="00D8206B">
      <w:pPr>
        <w:tabs>
          <w:tab w:val="center" w:pos="4680"/>
          <w:tab w:val="left" w:pos="6976"/>
        </w:tabs>
        <w:spacing w:line="240" w:lineRule="auto"/>
        <w:rPr>
          <w:rFonts w:ascii="Times New Roman" w:hAnsi="Times New Roman" w:cs="Times New Roman"/>
          <w:b/>
          <w:bCs/>
          <w:sz w:val="18"/>
          <w:szCs w:val="18"/>
        </w:rPr>
      </w:pPr>
      <w:r w:rsidRPr="00037F03">
        <w:rPr>
          <w:rFonts w:ascii="Times New Roman" w:hAnsi="Times New Roman" w:cs="Times New Roman"/>
          <w:b/>
          <w:bCs/>
          <w:sz w:val="18"/>
          <w:szCs w:val="18"/>
        </w:rPr>
        <w:tab/>
      </w:r>
      <w:hyperlink r:id="rId119" w:history="1">
        <w:r w:rsidRPr="00037F03">
          <w:rPr>
            <w:rStyle w:val="Hyperlink"/>
            <w:sz w:val="18"/>
            <w:szCs w:val="18"/>
          </w:rPr>
          <w:t xml:space="preserve"> </w:t>
        </w:r>
        <w:r w:rsidRPr="00037F03">
          <w:rPr>
            <w:rStyle w:val="Hyperlink"/>
            <w:rFonts w:ascii="Times New Roman" w:hAnsi="Times New Roman" w:cs="Times New Roman"/>
            <w:b/>
            <w:bCs/>
            <w:sz w:val="18"/>
            <w:szCs w:val="18"/>
          </w:rPr>
          <w:t>victorchibuikeeberechi@gmail.com</w:t>
        </w:r>
      </w:hyperlink>
      <w:r w:rsidRPr="00037F03">
        <w:rPr>
          <w:rFonts w:ascii="Times New Roman" w:hAnsi="Times New Roman" w:cs="Times New Roman"/>
          <w:b/>
          <w:bCs/>
          <w:sz w:val="18"/>
          <w:szCs w:val="18"/>
        </w:rPr>
        <w:t xml:space="preserve"> </w:t>
      </w:r>
      <w:r w:rsidRPr="00037F03">
        <w:rPr>
          <w:rFonts w:ascii="Times New Roman" w:hAnsi="Times New Roman" w:cs="Times New Roman"/>
          <w:b/>
          <w:bCs/>
          <w:sz w:val="18"/>
          <w:szCs w:val="18"/>
        </w:rPr>
        <w:tab/>
      </w:r>
    </w:p>
    <w:p w14:paraId="17A7DFED" w14:textId="77777777" w:rsidR="00D8206B" w:rsidRPr="00FE5717" w:rsidRDefault="00D8206B" w:rsidP="00D8206B">
      <w:pPr>
        <w:spacing w:line="240" w:lineRule="auto"/>
        <w:jc w:val="center"/>
        <w:rPr>
          <w:rFonts w:ascii="Times New Roman" w:hAnsi="Times New Roman" w:cs="Times New Roman"/>
          <w:b/>
          <w:bCs/>
          <w:sz w:val="18"/>
          <w:szCs w:val="18"/>
        </w:rPr>
      </w:pPr>
      <w:r w:rsidRPr="00FE5717">
        <w:rPr>
          <w:rFonts w:ascii="Times New Roman" w:hAnsi="Times New Roman" w:cs="Times New Roman"/>
          <w:b/>
          <w:bCs/>
          <w:i/>
          <w:iCs/>
          <w:sz w:val="18"/>
          <w:szCs w:val="18"/>
        </w:rPr>
        <w:t>Department of Finance and Banking, University of Port Harcourt, Nigeria</w:t>
      </w:r>
    </w:p>
    <w:p w14:paraId="1E464777" w14:textId="77777777" w:rsidR="00D8206B" w:rsidRPr="00037F03"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sz w:val="22"/>
          <w:szCs w:val="22"/>
        </w:rPr>
      </w:pPr>
      <w:r w:rsidRPr="00037F03">
        <w:rPr>
          <w:rFonts w:ascii="Times New Roman" w:eastAsia="Calibri" w:hAnsi="Times New Roman" w:cs="Times New Roman"/>
          <w:b/>
          <w:sz w:val="22"/>
          <w:szCs w:val="22"/>
        </w:rPr>
        <w:t>Ebele Patricia IFIONU</w:t>
      </w:r>
    </w:p>
    <w:p w14:paraId="093054D5" w14:textId="77777777" w:rsidR="00D8206B" w:rsidRPr="008F280E"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hyperlink r:id="rId120" w:history="1">
        <w:r w:rsidRPr="00220F39">
          <w:rPr>
            <w:rStyle w:val="Hyperlink"/>
            <w:rFonts w:ascii="Times New Roman" w:eastAsia="Calibri" w:hAnsi="Times New Roman" w:cs="Times New Roman"/>
            <w:b/>
            <w:i/>
            <w:sz w:val="18"/>
            <w:szCs w:val="18"/>
          </w:rPr>
          <w:t>ebele.ifionu@uniport.edu.ng</w:t>
        </w:r>
      </w:hyperlink>
      <w:r w:rsidRPr="008F280E">
        <w:rPr>
          <w:rFonts w:ascii="Times New Roman" w:eastAsia="Calibri" w:hAnsi="Times New Roman" w:cs="Times New Roman"/>
          <w:b/>
          <w:i/>
          <w:sz w:val="18"/>
          <w:szCs w:val="18"/>
        </w:rPr>
        <w:t xml:space="preserve"> </w:t>
      </w:r>
    </w:p>
    <w:p w14:paraId="1E33367D" w14:textId="77777777" w:rsidR="00D8206B"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r w:rsidRPr="008F280E">
        <w:rPr>
          <w:rFonts w:ascii="Times New Roman" w:eastAsia="Calibri" w:hAnsi="Times New Roman" w:cs="Times New Roman"/>
          <w:b/>
          <w:i/>
          <w:sz w:val="18"/>
          <w:szCs w:val="18"/>
        </w:rPr>
        <w:t>Department of Finance and Banking, University of Port Harcourt, Nigeria</w:t>
      </w:r>
    </w:p>
    <w:p w14:paraId="2DBE1B59" w14:textId="77777777" w:rsidR="00D8206B" w:rsidRPr="00037F03"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sz w:val="22"/>
          <w:szCs w:val="22"/>
        </w:rPr>
      </w:pPr>
      <w:r w:rsidRPr="00037F03">
        <w:rPr>
          <w:rFonts w:ascii="Times New Roman" w:eastAsia="Calibri" w:hAnsi="Times New Roman" w:cs="Times New Roman"/>
          <w:b/>
          <w:sz w:val="22"/>
          <w:szCs w:val="22"/>
        </w:rPr>
        <w:t>Godfrey O. OMOJEFE</w:t>
      </w:r>
    </w:p>
    <w:p w14:paraId="712BF92D" w14:textId="77777777" w:rsidR="00D8206B" w:rsidRPr="008F280E"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hyperlink r:id="rId121" w:history="1">
        <w:r w:rsidRPr="00811FE1">
          <w:rPr>
            <w:rStyle w:val="Hyperlink"/>
            <w:rFonts w:ascii="Times New Roman" w:eastAsia="Calibri" w:hAnsi="Times New Roman" w:cs="Times New Roman"/>
            <w:b/>
            <w:i/>
            <w:sz w:val="18"/>
            <w:szCs w:val="18"/>
          </w:rPr>
          <w:t>godfrey.omojefe@uniport.edu.ng</w:t>
        </w:r>
      </w:hyperlink>
    </w:p>
    <w:p w14:paraId="3F031701" w14:textId="77777777" w:rsidR="00D8206B" w:rsidRDefault="00D8206B" w:rsidP="00D8206B">
      <w:pPr>
        <w:pBdr>
          <w:bottom w:val="single" w:sz="6" w:space="1" w:color="auto"/>
        </w:pBdr>
        <w:autoSpaceDE w:val="0"/>
        <w:autoSpaceDN w:val="0"/>
        <w:adjustRightInd w:val="0"/>
        <w:spacing w:line="240" w:lineRule="auto"/>
        <w:jc w:val="center"/>
        <w:rPr>
          <w:rFonts w:ascii="Times New Roman" w:eastAsia="Calibri" w:hAnsi="Times New Roman" w:cs="Times New Roman"/>
          <w:b/>
          <w:i/>
          <w:sz w:val="18"/>
          <w:szCs w:val="18"/>
        </w:rPr>
      </w:pPr>
      <w:r w:rsidRPr="008F280E">
        <w:rPr>
          <w:rFonts w:ascii="Times New Roman" w:eastAsia="Calibri" w:hAnsi="Times New Roman" w:cs="Times New Roman"/>
          <w:b/>
          <w:i/>
          <w:sz w:val="18"/>
          <w:szCs w:val="18"/>
        </w:rPr>
        <w:t>Department of Finance and Banking, University of Port Harcourt, Nigeria</w:t>
      </w:r>
    </w:p>
    <w:p w14:paraId="74964B51" w14:textId="77777777" w:rsidR="00D8206B" w:rsidRPr="001D7FE5" w:rsidRDefault="00D8206B" w:rsidP="00D8206B">
      <w:pPr>
        <w:jc w:val="center"/>
        <w:rPr>
          <w:rFonts w:ascii="Times New Roman" w:hAnsi="Times New Roman" w:cs="Times New Roman"/>
          <w:b/>
          <w:bCs/>
          <w:sz w:val="22"/>
          <w:szCs w:val="22"/>
        </w:rPr>
      </w:pPr>
      <w:r w:rsidRPr="001D7FE5">
        <w:rPr>
          <w:rFonts w:ascii="Times New Roman" w:hAnsi="Times New Roman" w:cs="Times New Roman"/>
          <w:b/>
          <w:bCs/>
          <w:sz w:val="22"/>
          <w:szCs w:val="22"/>
        </w:rPr>
        <w:t>ABSTRACT</w:t>
      </w:r>
    </w:p>
    <w:p w14:paraId="44D446FB" w14:textId="77777777" w:rsidR="00D8206B" w:rsidRPr="00094470" w:rsidRDefault="00D8206B" w:rsidP="00D8206B">
      <w:pPr>
        <w:spacing w:after="0" w:line="240" w:lineRule="auto"/>
        <w:jc w:val="both"/>
        <w:rPr>
          <w:rFonts w:ascii="Times New Roman" w:hAnsi="Times New Roman" w:cs="Times New Roman"/>
          <w:sz w:val="22"/>
          <w:szCs w:val="22"/>
        </w:rPr>
      </w:pPr>
      <w:r w:rsidRPr="00094470">
        <w:rPr>
          <w:rFonts w:ascii="Times New Roman" w:hAnsi="Times New Roman" w:cs="Times New Roman"/>
          <w:sz w:val="22"/>
          <w:szCs w:val="22"/>
        </w:rPr>
        <w:t xml:space="preserve">This study explores the effect of public debt on </w:t>
      </w:r>
      <w:r>
        <w:rPr>
          <w:rFonts w:ascii="Times New Roman" w:hAnsi="Times New Roman" w:cs="Times New Roman"/>
          <w:sz w:val="22"/>
          <w:szCs w:val="22"/>
        </w:rPr>
        <w:t>industrial</w:t>
      </w:r>
      <w:r>
        <w:rPr>
          <w:rFonts w:ascii="Times New Roman" w:hAnsi="Times New Roman" w:cs="Times New Roman"/>
        </w:rPr>
        <w:t xml:space="preserve"> </w:t>
      </w:r>
      <w:r w:rsidRPr="00094470">
        <w:rPr>
          <w:rFonts w:ascii="Times New Roman" w:hAnsi="Times New Roman" w:cs="Times New Roman"/>
          <w:sz w:val="22"/>
          <w:szCs w:val="22"/>
        </w:rPr>
        <w:t xml:space="preserve">sector performance in Nigeria from 1990 to 2023, with a focus on how domestic debt, external debt, and the debt-to-GDP ratio influence the </w:t>
      </w:r>
      <w:r>
        <w:rPr>
          <w:rFonts w:ascii="Times New Roman" w:hAnsi="Times New Roman" w:cs="Times New Roman"/>
          <w:sz w:val="22"/>
          <w:szCs w:val="22"/>
        </w:rPr>
        <w:t xml:space="preserve">industrial </w:t>
      </w:r>
      <w:r>
        <w:rPr>
          <w:rFonts w:ascii="Times New Roman" w:hAnsi="Times New Roman" w:cs="Times New Roman"/>
        </w:rPr>
        <w:t>sector output</w:t>
      </w:r>
      <w:r w:rsidRPr="00094470">
        <w:rPr>
          <w:rFonts w:ascii="Times New Roman" w:hAnsi="Times New Roman" w:cs="Times New Roman"/>
          <w:sz w:val="22"/>
          <w:szCs w:val="22"/>
        </w:rPr>
        <w:t>. The objective was to uncover how rising debt levels shape productivity across key sectors of the economy and their implications for sustainable growth. Data were sourced from the Central Bank of Nigeria (CBN), the Debt Management Office (DMO), and the National Bureau of Statistics (NBS). The Autoregressive Distributed Lag (ARDL) model was applied to capture both the short-run and long-run relationships among the variables. Findings revealed that domestic debt showed no significant impact on industrial output, suggesting that such borrowings have not effectively supported industrial expansion. The results further showed that the effect of external debt on the industrial sector was statistically insignificant. Similarly, the debt-to-GDP ratio negatively affected industrial sector output. The study concludes that Nigeria’s increasing debt levels have constrained sectoral growth and economic productivity. It recommends that public borrowing should be directed toward productive, revenue-generating projects, while fiscal transparency and prudent debt management should be strengthened to ensure sustainable economic development.</w:t>
      </w:r>
    </w:p>
    <w:p w14:paraId="1EB3DC09" w14:textId="77777777" w:rsidR="00D8206B" w:rsidRPr="00A96ACA" w:rsidRDefault="00D8206B" w:rsidP="00D8206B">
      <w:pPr>
        <w:spacing w:line="276" w:lineRule="auto"/>
        <w:jc w:val="both"/>
        <w:rPr>
          <w:rFonts w:ascii="Times New Roman" w:hAnsi="Times New Roman" w:cs="Times New Roman"/>
          <w:sz w:val="22"/>
          <w:szCs w:val="22"/>
        </w:rPr>
      </w:pPr>
      <w:r w:rsidRPr="004E0A5A">
        <w:rPr>
          <w:rFonts w:ascii="Times New Roman" w:hAnsi="Times New Roman" w:cs="Times New Roman"/>
          <w:b/>
          <w:bCs/>
          <w:sz w:val="22"/>
          <w:szCs w:val="22"/>
        </w:rPr>
        <w:t>Keywords:</w:t>
      </w:r>
      <w:r>
        <w:rPr>
          <w:rFonts w:ascii="Times New Roman" w:hAnsi="Times New Roman" w:cs="Times New Roman"/>
          <w:sz w:val="22"/>
          <w:szCs w:val="22"/>
        </w:rPr>
        <w:t xml:space="preserve"> Manufacturing, Debt obligations, Development, Mismanagement, Relief</w:t>
      </w:r>
    </w:p>
    <w:p w14:paraId="750CF85E" w14:textId="77777777" w:rsidR="00D8206B" w:rsidRDefault="00D8206B" w:rsidP="00D8206B">
      <w:pPr>
        <w:spacing w:line="276" w:lineRule="auto"/>
        <w:jc w:val="both"/>
        <w:rPr>
          <w:rFonts w:ascii="Times New Roman" w:hAnsi="Times New Roman" w:cs="Times New Roman"/>
          <w:b/>
          <w:bCs/>
          <w:sz w:val="22"/>
          <w:szCs w:val="22"/>
        </w:rPr>
      </w:pPr>
    </w:p>
    <w:p w14:paraId="0DA129B5" w14:textId="77777777" w:rsidR="00D8206B" w:rsidRPr="00A96ACA" w:rsidRDefault="00D8206B" w:rsidP="00D8206B">
      <w:pPr>
        <w:spacing w:line="276" w:lineRule="auto"/>
        <w:jc w:val="center"/>
        <w:rPr>
          <w:rFonts w:ascii="Times New Roman" w:hAnsi="Times New Roman" w:cs="Times New Roman"/>
          <w:b/>
          <w:bCs/>
          <w:sz w:val="22"/>
          <w:szCs w:val="22"/>
        </w:rPr>
      </w:pPr>
      <w:r w:rsidRPr="00A96ACA">
        <w:rPr>
          <w:rFonts w:ascii="Times New Roman" w:hAnsi="Times New Roman" w:cs="Times New Roman"/>
          <w:b/>
          <w:bCs/>
          <w:sz w:val="22"/>
          <w:szCs w:val="22"/>
        </w:rPr>
        <w:t>1.0</w:t>
      </w:r>
      <w:r w:rsidRPr="00A96ACA">
        <w:rPr>
          <w:rFonts w:ascii="Times New Roman" w:hAnsi="Times New Roman" w:cs="Times New Roman"/>
          <w:b/>
          <w:bCs/>
          <w:sz w:val="22"/>
          <w:szCs w:val="22"/>
        </w:rPr>
        <w:tab/>
        <w:t>Introduction</w:t>
      </w:r>
    </w:p>
    <w:p w14:paraId="7AC9CC75"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The historical accumulation of debt in Nigeria has been influenced by multiple factors, including fluctuating oil revenues, exchange rate volatility, and governance challenges. In the 1980s and 1990s, Nigeria experienced a significant debt crisis, largely due to excessive borrowing and mismanagement of oil windfalls, leading to a high debt-to-GDP ratio (Adedeji, 2019). Although the debt relief initiatives of the mid-2000s provided some reprieve, recent years have seen a resurgence in borrowing to finance infrastructural projects and social programs. By 2020, Nigeria's public debt had again reached critical levels, raising concerns about its potential impact on economic stability (IMF, 2021). In recent years, public debt has been primarily directed toward infrastructure development, aiming to improve sectors like transportation, power, and health. However, while infrastructure investment can stimulate economic growth, excessive debt may impose constraints on other sectors. The debt overhang theory posits that a high level of debt can hinder investment and economic growth, as potential investors become wary of the country's debt sustainability (Krugman, 1988). In Nigeria, the rising debt service obligations have consumed a substantial portion of government revenues, limiting the funds available for investment in other key sectors (CBN, 2022).</w:t>
      </w:r>
    </w:p>
    <w:p w14:paraId="2AB59E30" w14:textId="77777777" w:rsidR="00D8206B" w:rsidRPr="00A96ACA" w:rsidRDefault="00D8206B" w:rsidP="00D8206B">
      <w:pPr>
        <w:spacing w:line="276" w:lineRule="auto"/>
        <w:jc w:val="both"/>
        <w:rPr>
          <w:rFonts w:ascii="Times New Roman" w:hAnsi="Times New Roman" w:cs="Times New Roman"/>
          <w:sz w:val="22"/>
          <w:szCs w:val="22"/>
        </w:rPr>
      </w:pPr>
      <w:r w:rsidRPr="00A96ACA">
        <w:rPr>
          <w:rFonts w:ascii="Times New Roman" w:hAnsi="Times New Roman" w:cs="Times New Roman"/>
          <w:sz w:val="22"/>
          <w:szCs w:val="22"/>
        </w:rPr>
        <w:t>The industrial sector, which has been identified as a priority for economic diversification, has been significantly affected by public debt dynamics. High debt levels can lead to a crowding-out effect, where government borrowing raises interest rates, thereby limiting the availability of credit to the private sector, including manufacturing firms (</w:t>
      </w:r>
      <w:proofErr w:type="spellStart"/>
      <w:r w:rsidRPr="00A96ACA">
        <w:rPr>
          <w:rFonts w:ascii="Times New Roman" w:hAnsi="Times New Roman" w:cs="Times New Roman"/>
          <w:sz w:val="22"/>
          <w:szCs w:val="22"/>
        </w:rPr>
        <w:t>Onyeiwu</w:t>
      </w:r>
      <w:proofErr w:type="spellEnd"/>
      <w:r w:rsidRPr="00A96ACA">
        <w:rPr>
          <w:rFonts w:ascii="Times New Roman" w:hAnsi="Times New Roman" w:cs="Times New Roman"/>
          <w:sz w:val="22"/>
          <w:szCs w:val="22"/>
        </w:rPr>
        <w:t>, 2019). As manufacturing is crucial for job creation, foreign exchange generation, and technological advancement, a strained manufacturing sector can adversely impact Nigeria's broader economic goals (UNIDO, 2021).</w:t>
      </w:r>
    </w:p>
    <w:p w14:paraId="148270AE"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lastRenderedPageBreak/>
        <w:t xml:space="preserve">The composition of public debt—domestic versus external—plays a crucial role in determining its impact on the economy. External debt, often borrowed in foreign currencies, exposes the country to exchange rate volatility and repayment challenges, particularly when revenues from oil exports, Nigeria's primary foreign exchange earner, decline (Debt Management Office, 2023). On the other hand, domestic debt can crowd out private sector investment by raising interest rates and limiting the availability of credit for businesses (Adegbite et al., 2022). Understanding the differential impacts of these debt components on sectoral performance remains underexplored in the Nigerian context. Another dimension of the problem is the efficiency of debt utilization. High levels of public debt do not necessarily translate into improved sectoral performance if borrowed funds are not effectively deployed. Corruption, inefficiencies in public expenditure management, and poor project implementation have often undermined the developmental benefits of public borrowing in Nigeria (Transparency International, 2023). This inefficiency raises questions about the governance structures and institutional frameworks that guide public debt management and their implications for sectoral outcomes. The research problem is further compounded by the cyclical nature of the Nigerian economy, which is heavily dependent on oil revenues. Fluctuations in global oil prices create fiscal vulnerabilities that necessitate borrowing to stabilize the economy. However, the lack of diversification in revenue sources limits the government's ability to repay debts and finance critical sectoral activities, thereby creating a vicious cycle of borrowing and underperformance. This cyclical dependency highlights the urgent need to assess the relationship between public debt and sectoral performance to provide insights into how borrowing strategies can be optimized to achieve sustainable economic growth. This research therefore seeks to fill the gap in literature by providing an in-depth analysis of how public debt influences the industrial sector, with a focus on identifying the mechanisms through which debt impacts these sectors and proposing strategies for improving debt management practices. </w:t>
      </w:r>
    </w:p>
    <w:p w14:paraId="6B29837F" w14:textId="77777777" w:rsidR="00D8206B" w:rsidRPr="00A96ACA" w:rsidRDefault="00D8206B" w:rsidP="00D8206B">
      <w:pPr>
        <w:spacing w:line="276" w:lineRule="auto"/>
        <w:jc w:val="both"/>
        <w:rPr>
          <w:rFonts w:ascii="Times New Roman" w:hAnsi="Times New Roman" w:cs="Times New Roman"/>
          <w:sz w:val="22"/>
          <w:szCs w:val="22"/>
        </w:rPr>
      </w:pPr>
    </w:p>
    <w:p w14:paraId="32A6997F" w14:textId="77777777" w:rsidR="00D8206B" w:rsidRPr="003B6E44" w:rsidRDefault="00D8206B" w:rsidP="00D8206B">
      <w:pPr>
        <w:keepNext/>
        <w:keepLines/>
        <w:spacing w:before="240" w:after="0" w:line="276" w:lineRule="auto"/>
        <w:jc w:val="center"/>
        <w:outlineLvl w:val="0"/>
        <w:rPr>
          <w:rFonts w:ascii="Times New Roman" w:eastAsia="Times New Roman" w:hAnsi="Times New Roman" w:cs="Times New Roman"/>
          <w:b/>
          <w:sz w:val="22"/>
          <w:szCs w:val="22"/>
        </w:rPr>
      </w:pPr>
      <w:r w:rsidRPr="00A96ACA">
        <w:rPr>
          <w:rFonts w:ascii="Times New Roman" w:eastAsia="Times New Roman" w:hAnsi="Times New Roman" w:cs="Times New Roman"/>
          <w:b/>
          <w:sz w:val="22"/>
          <w:szCs w:val="22"/>
        </w:rPr>
        <w:t>2.0</w:t>
      </w:r>
      <w:r w:rsidRPr="00A96ACA">
        <w:rPr>
          <w:rFonts w:ascii="Times New Roman" w:eastAsia="Times New Roman" w:hAnsi="Times New Roman" w:cs="Times New Roman"/>
          <w:b/>
          <w:sz w:val="22"/>
          <w:szCs w:val="22"/>
        </w:rPr>
        <w:tab/>
        <w:t>Literature Review</w:t>
      </w:r>
    </w:p>
    <w:p w14:paraId="3C5B6871" w14:textId="77777777" w:rsidR="00D8206B" w:rsidRPr="003B6E44" w:rsidRDefault="00D8206B" w:rsidP="00D8206B">
      <w:pPr>
        <w:spacing w:after="0" w:line="276" w:lineRule="auto"/>
        <w:jc w:val="both"/>
        <w:rPr>
          <w:rFonts w:ascii="Times New Roman" w:eastAsia="Calibri" w:hAnsi="Times New Roman" w:cs="Times New Roman"/>
          <w:b/>
          <w:sz w:val="22"/>
          <w:szCs w:val="22"/>
        </w:rPr>
      </w:pPr>
    </w:p>
    <w:p w14:paraId="19C27F96"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3B6E44">
        <w:rPr>
          <w:rFonts w:ascii="Times New Roman" w:eastAsia="Times New Roman" w:hAnsi="Times New Roman" w:cs="Times New Roman"/>
          <w:b/>
          <w:bCs/>
          <w:kern w:val="0"/>
          <w:sz w:val="22"/>
          <w:szCs w:val="22"/>
          <w14:ligatures w14:val="none"/>
        </w:rPr>
        <w:t>2.1</w:t>
      </w:r>
      <w:r w:rsidRPr="003B6E44">
        <w:rPr>
          <w:rFonts w:ascii="Times New Roman" w:eastAsia="Times New Roman" w:hAnsi="Times New Roman" w:cs="Times New Roman"/>
          <w:b/>
          <w:bCs/>
          <w:kern w:val="0"/>
          <w:sz w:val="22"/>
          <w:szCs w:val="22"/>
          <w14:ligatures w14:val="none"/>
        </w:rPr>
        <w:tab/>
        <w:t>Conceptual Framework</w:t>
      </w:r>
    </w:p>
    <w:p w14:paraId="55A54A60"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3B6E44">
        <w:rPr>
          <w:rFonts w:ascii="Times New Roman" w:eastAsia="Times New Roman" w:hAnsi="Times New Roman" w:cs="Times New Roman"/>
          <w:b/>
          <w:bCs/>
          <w:kern w:val="0"/>
          <w:sz w:val="22"/>
          <w:szCs w:val="22"/>
          <w14:ligatures w14:val="none"/>
        </w:rPr>
        <w:t>2.1.1 Public Debt</w:t>
      </w:r>
    </w:p>
    <w:p w14:paraId="41231726"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According to the International Monetary Fund (IMF) and the World Bank (2013), public debt involves the total outstanding borrowing by the government, which includes domestic debt owed to local creditors and external debt owed to foreign creditors. The dynamics of public debt are influenced by a variety of factors, including economic conditions, fiscal policies, and external shocks. Governments utilize public debt as a tool for macroeconomic management, aiming to stimulate economic growth during downturns, finance capital projects, and address budgetary deficits. The strategic management of public debt involves balancing the need for funding with the sustainability of debt levels to avoid adverse economic consequences.</w:t>
      </w:r>
    </w:p>
    <w:p w14:paraId="7A3BD136" w14:textId="77777777" w:rsidR="00D8206B" w:rsidRPr="003B6E44" w:rsidRDefault="00D8206B" w:rsidP="00D8206B">
      <w:pPr>
        <w:spacing w:after="0" w:line="276" w:lineRule="auto"/>
        <w:jc w:val="both"/>
        <w:outlineLvl w:val="1"/>
        <w:rPr>
          <w:rFonts w:ascii="Times New Roman" w:eastAsia="Times New Roman" w:hAnsi="Times New Roman" w:cs="Times New Roman"/>
          <w:b/>
          <w:bCs/>
          <w:kern w:val="0"/>
          <w:sz w:val="22"/>
          <w:szCs w:val="22"/>
          <w14:ligatures w14:val="none"/>
        </w:rPr>
      </w:pPr>
      <w:bookmarkStart w:id="18" w:name="_Toc214835408"/>
      <w:r w:rsidRPr="00A96ACA">
        <w:rPr>
          <w:rFonts w:ascii="Times New Roman" w:eastAsia="Times New Roman" w:hAnsi="Times New Roman" w:cs="Times New Roman"/>
          <w:b/>
          <w:bCs/>
          <w:kern w:val="0"/>
          <w:sz w:val="22"/>
          <w:szCs w:val="22"/>
          <w14:ligatures w14:val="none"/>
        </w:rPr>
        <w:t>2.1.2</w:t>
      </w:r>
      <w:r w:rsidRPr="00A96ACA">
        <w:rPr>
          <w:rFonts w:ascii="Times New Roman" w:eastAsia="Times New Roman" w:hAnsi="Times New Roman" w:cs="Times New Roman"/>
          <w:b/>
          <w:bCs/>
          <w:kern w:val="0"/>
          <w:sz w:val="22"/>
          <w:szCs w:val="22"/>
          <w14:ligatures w14:val="none"/>
        </w:rPr>
        <w:tab/>
      </w:r>
      <w:r w:rsidRPr="003B6E44">
        <w:rPr>
          <w:rFonts w:ascii="Times New Roman" w:eastAsia="Times New Roman" w:hAnsi="Times New Roman" w:cs="Times New Roman"/>
          <w:b/>
          <w:bCs/>
          <w:kern w:val="0"/>
          <w:sz w:val="22"/>
          <w:szCs w:val="22"/>
          <w14:ligatures w14:val="none"/>
        </w:rPr>
        <w:t>Measures of Sectoral Performance on Manufacturing</w:t>
      </w:r>
      <w:bookmarkEnd w:id="18"/>
    </w:p>
    <w:p w14:paraId="63D5FE99" w14:textId="77777777" w:rsidR="00D8206B" w:rsidRPr="003B6E44" w:rsidRDefault="00D8206B" w:rsidP="00D8206B">
      <w:pPr>
        <w:spacing w:after="0" w:line="276" w:lineRule="auto"/>
        <w:jc w:val="both"/>
        <w:outlineLvl w:val="1"/>
        <w:rPr>
          <w:rFonts w:ascii="Times New Roman" w:eastAsia="Times New Roman" w:hAnsi="Times New Roman" w:cs="Times New Roman"/>
          <w:kern w:val="0"/>
          <w:sz w:val="22"/>
          <w:szCs w:val="22"/>
          <w14:ligatures w14:val="none"/>
        </w:rPr>
      </w:pPr>
      <w:bookmarkStart w:id="19" w:name="_Toc214835409"/>
      <w:r w:rsidRPr="003B6E44">
        <w:rPr>
          <w:rFonts w:ascii="Times New Roman" w:eastAsia="Times New Roman" w:hAnsi="Times New Roman" w:cs="Times New Roman"/>
          <w:kern w:val="0"/>
          <w:sz w:val="22"/>
          <w:szCs w:val="22"/>
          <w14:ligatures w14:val="none"/>
        </w:rPr>
        <w:t xml:space="preserve">Measures of sectoral performance in manufacturing is its value added to the economy, typically measured as a share of Gross Domestic Product (GDP). Value added represents the contribution of the manufacturing sector to the overall economic output of a country. According to the World Bank, manufacturing value added (MVA) is a key indicator used to assess the economic importance and growth of the manufacturing sector within national economies (World Bank, 2021). Industrial output measures the physical volume or quantity of goods produced by the manufacturing sector over a specific period. Production levels in manufacturing provide insights into the sector's capacity utilization, efficiency, and growth trends. Studies by Brynjolfsson and McAfee (2014) have highlighted the importance of industrial production levels in assessing manufacturing sector performance, emphasizing the role of technological advancements and economies of scale in boosting output. The manufacturing sector is a significant employer in many economies, providing jobs that often require specialized skills and training. Employment levels and labor productivity within manufacturing are crucial measures of sectoral performance, reflecting the sector's ability to create jobs and enhance economic productivity. </w:t>
      </w:r>
      <w:bookmarkEnd w:id="19"/>
    </w:p>
    <w:p w14:paraId="239528B2"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3B6E44">
        <w:rPr>
          <w:rFonts w:ascii="Times New Roman" w:eastAsia="Times New Roman" w:hAnsi="Times New Roman" w:cs="Times New Roman"/>
          <w:b/>
          <w:bCs/>
          <w:kern w:val="0"/>
          <w:sz w:val="22"/>
          <w:szCs w:val="22"/>
          <w14:ligatures w14:val="none"/>
        </w:rPr>
        <w:lastRenderedPageBreak/>
        <w:t>2.2. Theoretical Framework</w:t>
      </w:r>
    </w:p>
    <w:p w14:paraId="2C470AD5" w14:textId="77777777" w:rsidR="00D8206B" w:rsidRPr="00A96ACA"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3B6E44">
        <w:rPr>
          <w:rFonts w:ascii="Times New Roman" w:eastAsia="Times New Roman" w:hAnsi="Times New Roman" w:cs="Times New Roman"/>
          <w:b/>
          <w:bCs/>
          <w:kern w:val="0"/>
          <w:sz w:val="22"/>
          <w:szCs w:val="22"/>
          <w14:ligatures w14:val="none"/>
        </w:rPr>
        <w:t>2.2.1. Debt Overhang Hypothesis</w:t>
      </w:r>
    </w:p>
    <w:p w14:paraId="3C7762DF"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The term "debt overhang" was first introduced in the corporate finance literature to describe a scenario where a company's debt is so substantial that any profits generated from new investment ventures are completely absorbed by existing debt holders. Therefore, for a nation to attain sustainable development, both significant domestic savings and investment are essential. Nevertheless, to achieve comprehensive growth, relying solely on domestic savings and investment is inadequate; thus, there is a necessity to seek funds from international sources. This indicates that the interplay of domestic savings, investment, and foreign borrowing is integral to economic development, as suggested by this theory. This theory suggests that when a country's debt reaches a certain threshold relative to its GDP, it can lead to several negative economic outcomes. High levels of public debt can crowd out private investment by increasing interest rates. This occurs because governments competing for funds in the financial markets can drive up borrowing costs for businesses, reducing their ability to invest in productive activities (Krugman, 1988). High debt levels create uncertainty about future tax burdens or inflationary pressures. This uncertainty can deter private sector investments and lead to lower economic growth (Reinhart &amp; Rogoff, 2010). Governments with high debt levels may face challenges in maintaining fiscal discipline. This can result in fiscal imbalances, such as budget deficits and unsustainable spending, which further exacerbate economic instability (</w:t>
      </w:r>
      <w:proofErr w:type="spellStart"/>
      <w:r w:rsidRPr="003B6E44">
        <w:rPr>
          <w:rFonts w:ascii="Times New Roman" w:eastAsia="Calibri" w:hAnsi="Times New Roman" w:cs="Times New Roman"/>
          <w:sz w:val="22"/>
          <w:szCs w:val="22"/>
        </w:rPr>
        <w:t>Alesina</w:t>
      </w:r>
      <w:proofErr w:type="spellEnd"/>
      <w:r w:rsidRPr="003B6E44">
        <w:rPr>
          <w:rFonts w:ascii="Times New Roman" w:eastAsia="Calibri" w:hAnsi="Times New Roman" w:cs="Times New Roman"/>
          <w:sz w:val="22"/>
          <w:szCs w:val="22"/>
        </w:rPr>
        <w:t xml:space="preserve"> &amp; Ardagna, 2010). High debt levels can limit a government's ability to implement countercyclical policies during economic downturns. </w:t>
      </w:r>
    </w:p>
    <w:p w14:paraId="4B18E884"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3B6E44">
        <w:rPr>
          <w:rFonts w:ascii="Times New Roman" w:eastAsia="Times New Roman" w:hAnsi="Times New Roman" w:cs="Times New Roman"/>
          <w:b/>
          <w:bCs/>
          <w:kern w:val="0"/>
          <w:sz w:val="22"/>
          <w:szCs w:val="22"/>
          <w14:ligatures w14:val="none"/>
        </w:rPr>
        <w:t>2.2.2</w:t>
      </w:r>
      <w:r w:rsidRPr="003B6E44">
        <w:rPr>
          <w:rFonts w:ascii="Times New Roman" w:eastAsia="Times New Roman" w:hAnsi="Times New Roman" w:cs="Times New Roman"/>
          <w:b/>
          <w:bCs/>
          <w:kern w:val="0"/>
          <w:sz w:val="22"/>
          <w:szCs w:val="22"/>
          <w14:ligatures w14:val="none"/>
        </w:rPr>
        <w:tab/>
        <w:t>Keynesian Theory</w:t>
      </w:r>
    </w:p>
    <w:p w14:paraId="159CF230" w14:textId="77777777" w:rsidR="00D8206B" w:rsidRPr="003B6E44" w:rsidRDefault="00D8206B" w:rsidP="00D8206B">
      <w:pPr>
        <w:spacing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The Keynesian theory posits that government borrowing can stimulate economic growth by financing public investment and increasing aggregate demand. Keynesian economics emphasizes that government borrowing (public debt) can stimulate economic growth, particularly during periods of economic downturns or recessions. According to this theory, when private sector demand is insufficient, government borrowing and spending can boost aggregate demand, leading to higher output and employment. Public debt is not inherently problematic as long as the borrowed funds are used for productive investments that generate future economic benefits.  During periods of economic downturn, increased government spending financed through debt can help boost economic activity and support sectoral growth (Keynes, 1936). Public investment in infrastructure, for example, can enhance productivity and competitiveness in various sectors, leading to overall economic growth. The theory suggests that persistent unbalanced budgets and a swift rise in public debt can significantly impact a nation's financial stability. It posits that substantial public debt should be viewed as a national asset rather than a liability, making ongoing deficit spending crucial for economic growth, as it fosters full employment (Precious, 2015). </w:t>
      </w:r>
    </w:p>
    <w:p w14:paraId="4103D3EF"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3B6E44">
        <w:rPr>
          <w:rFonts w:ascii="Times New Roman" w:eastAsia="Times New Roman" w:hAnsi="Times New Roman" w:cs="Times New Roman"/>
          <w:b/>
          <w:bCs/>
          <w:kern w:val="0"/>
          <w:sz w:val="22"/>
          <w:szCs w:val="22"/>
          <w14:ligatures w14:val="none"/>
        </w:rPr>
        <w:t>2.2.3</w:t>
      </w:r>
      <w:r w:rsidRPr="003B6E44">
        <w:rPr>
          <w:rFonts w:ascii="Times New Roman" w:eastAsia="Times New Roman" w:hAnsi="Times New Roman" w:cs="Times New Roman"/>
          <w:b/>
          <w:bCs/>
          <w:kern w:val="0"/>
          <w:sz w:val="22"/>
          <w:szCs w:val="22"/>
          <w14:ligatures w14:val="none"/>
        </w:rPr>
        <w:tab/>
        <w:t>Debt Crowding-Out Hypothesis</w:t>
      </w:r>
    </w:p>
    <w:p w14:paraId="4AE65004"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While no single economist is credited with this hypothesis, it is widely discussed in classical and neoclassical economic literature.  The Debt Crowding-Out Hypothesis argues that excessive public borrowing leads to higher interest rates, which, in turn, reduce private sector investment. This occurs because government debt competes with private borrowers for limited financial resources in the credit market. Consequently, high public debt can diminish the availability of capital for private investment, slowing economic growth. The debt crowding-out hypothesis posits that servicing external debt imposes liquidity constraints on borrowers, which can subsequently impact economic growth by diverting resources away from private investment due to altered public spending priorities (</w:t>
      </w:r>
      <w:proofErr w:type="spellStart"/>
      <w:r w:rsidRPr="003B6E44">
        <w:rPr>
          <w:rFonts w:ascii="Times New Roman" w:eastAsia="Calibri" w:hAnsi="Times New Roman" w:cs="Times New Roman"/>
          <w:sz w:val="22"/>
          <w:szCs w:val="22"/>
        </w:rPr>
        <w:t>Serieux</w:t>
      </w:r>
      <w:proofErr w:type="spellEnd"/>
      <w:r w:rsidRPr="003B6E44">
        <w:rPr>
          <w:rFonts w:ascii="Times New Roman" w:eastAsia="Calibri" w:hAnsi="Times New Roman" w:cs="Times New Roman"/>
          <w:sz w:val="22"/>
          <w:szCs w:val="22"/>
        </w:rPr>
        <w:t xml:space="preserve">, 2014). A significant drawback of public debt is the crowding-out effect, where elevated government borrowing results in increased interest rates and diminished credit availability for the private sector. This scenario can stifle private investment and adversely influence sectoral performance. Egert (2015) identified evidence of this crowding-out effect in developing nations, where substantial public debt levels correlated with a decline in private investment. </w:t>
      </w:r>
    </w:p>
    <w:p w14:paraId="00987B47" w14:textId="77777777" w:rsidR="00D8206B" w:rsidRPr="003B6E44"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3B6E44">
        <w:rPr>
          <w:rFonts w:ascii="Times New Roman" w:eastAsia="Times New Roman" w:hAnsi="Times New Roman" w:cs="Times New Roman"/>
          <w:b/>
          <w:bCs/>
          <w:kern w:val="0"/>
          <w:sz w:val="22"/>
          <w:szCs w:val="22"/>
          <w14:ligatures w14:val="none"/>
        </w:rPr>
        <w:lastRenderedPageBreak/>
        <w:t>2.3</w:t>
      </w:r>
      <w:r w:rsidRPr="003B6E44">
        <w:rPr>
          <w:rFonts w:ascii="Times New Roman" w:eastAsia="Times New Roman" w:hAnsi="Times New Roman" w:cs="Times New Roman"/>
          <w:b/>
          <w:bCs/>
          <w:kern w:val="0"/>
          <w:sz w:val="22"/>
          <w:szCs w:val="22"/>
          <w14:ligatures w14:val="none"/>
        </w:rPr>
        <w:tab/>
        <w:t>Empirical Review</w:t>
      </w:r>
    </w:p>
    <w:p w14:paraId="74BE13C1"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Samuel and Adeyemi (2023) suggested strengthen fiscal discipline and implement debt sustainability frameworks while in a study on public debt, fiscal policies, and sectoral performance in Nigeria employed fiscal simulation modeling and they found that poor fiscal management exacerbates the negative effects of public debt on sectoral performance.</w:t>
      </w:r>
    </w:p>
    <w:p w14:paraId="3B08BF76"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Oladapo and Akinwale (2023) investigated how public debt affects small business growth in emerging markets, with a focus on Nigeria, Brazil, and India from 2015 to 2022. Using a Qualitative Comparative Analysis (QCA), they examined variables such as small business growth indicators, public debt dynamics, and government support programs. The findings indicated that moderate levels of public debt combined with supportive government policies can stimulate small business growth. </w:t>
      </w:r>
    </w:p>
    <w:p w14:paraId="59A5E9E8"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Oladele and Falana (2023) examined the impact of public debt on technology adoption in Sub-Saharan Africa from 2000 to 2022 using panel data analysis. Variables included technology adoption index, public debt, R&amp;D expenditure, and human capital. The findings revealed that high public debt levels hinder technology adoption by reducing fiscal space for R&amp;D investments and limiting human capital development.</w:t>
      </w:r>
    </w:p>
    <w:p w14:paraId="4D0B5387"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Chukwu and Adeola (2023) examined the relationship between public debt and export performance in Sub-Saharan Africa, focusing on Nigeria, Kenya, and Ghana from 2000 to 2022 using panel data analysis. Variables included export performance index, public debt, government export expenditure, and exchange rates. The findings indicated that high public debt levels negatively affect export performance by reducing fiscal space for export investments and causing exchange rate volatility.</w:t>
      </w:r>
    </w:p>
    <w:p w14:paraId="4690519C"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Oladele and Falana (2023) examined the impact of public debt on technology adoption in Sub-Saharan Africa from 2000 to 2022 using panel data analysis. Variables included technology adoption index, public debt, R&amp;D expenditure, and human capital. The findings revealed that high public debt levels hinder technology adoption by reducing fiscal space for R&amp;D investments and limiting human capital development.</w:t>
      </w:r>
    </w:p>
    <w:p w14:paraId="2997B945" w14:textId="77777777" w:rsidR="00D8206B" w:rsidRPr="003B6E44"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Chidiebere and Nnamdi (2023) investigated the effects of public debt on poverty reduction in Sub-Saharan Africa, focusing on Nigeria, Ghana, and Kenya from 2000 to 2022 using panel data regression analysis. Variables included poverty reduction index, public debt, government social expenditure, and GDP growth. The findings revealed that high public debt levels hinder poverty reduction efforts by limiting fiscal space for social programs and reducing economic growth. </w:t>
      </w:r>
    </w:p>
    <w:p w14:paraId="3CAB5F9D" w14:textId="77777777" w:rsidR="00D8206B" w:rsidRPr="00A96ACA" w:rsidRDefault="00D8206B" w:rsidP="00D8206B">
      <w:pPr>
        <w:spacing w:after="0"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Oluwaseun and Adeyemi (2023) examined the effects of public debt on social welfare in Sub-Saharan Africa, focusing on Nigeria, Ghana, and Kenya from 2000 to 2022 using panel data analysis. Variables included social welfare index, public debt, government social expenditure, and income inequality. The findings indicated that high public debt levels negatively impact social welfare by reducing fiscal space for social services and increasing income inequality. </w:t>
      </w:r>
    </w:p>
    <w:p w14:paraId="63A11936" w14:textId="77777777" w:rsidR="00D8206B" w:rsidRPr="00A96ACA" w:rsidRDefault="00D8206B" w:rsidP="00D8206B">
      <w:pPr>
        <w:spacing w:line="276" w:lineRule="auto"/>
        <w:jc w:val="both"/>
        <w:rPr>
          <w:rFonts w:ascii="Times New Roman" w:hAnsi="Times New Roman" w:cs="Times New Roman"/>
          <w:sz w:val="22"/>
          <w:szCs w:val="22"/>
        </w:rPr>
      </w:pPr>
    </w:p>
    <w:p w14:paraId="3651281A" w14:textId="77777777" w:rsidR="00D8206B" w:rsidRPr="003B6E44" w:rsidRDefault="00D8206B" w:rsidP="00D8206B">
      <w:pPr>
        <w:keepNext/>
        <w:keepLines/>
        <w:spacing w:before="240" w:after="0" w:line="276" w:lineRule="auto"/>
        <w:jc w:val="center"/>
        <w:outlineLvl w:val="0"/>
        <w:rPr>
          <w:rFonts w:ascii="Times New Roman" w:eastAsia="Times New Roman" w:hAnsi="Times New Roman" w:cs="Times New Roman"/>
          <w:b/>
          <w:sz w:val="22"/>
          <w:szCs w:val="22"/>
        </w:rPr>
      </w:pPr>
      <w:r w:rsidRPr="00A96ACA">
        <w:rPr>
          <w:rFonts w:ascii="Times New Roman" w:eastAsia="Times New Roman" w:hAnsi="Times New Roman" w:cs="Times New Roman"/>
          <w:b/>
          <w:sz w:val="22"/>
          <w:szCs w:val="22"/>
        </w:rPr>
        <w:t>3.0</w:t>
      </w:r>
      <w:r w:rsidRPr="00A96ACA">
        <w:rPr>
          <w:rFonts w:ascii="Times New Roman" w:eastAsia="Times New Roman" w:hAnsi="Times New Roman" w:cs="Times New Roman"/>
          <w:b/>
          <w:sz w:val="22"/>
          <w:szCs w:val="22"/>
        </w:rPr>
        <w:tab/>
      </w:r>
      <w:r w:rsidRPr="003B6E44">
        <w:rPr>
          <w:rFonts w:ascii="Times New Roman" w:eastAsia="Times New Roman" w:hAnsi="Times New Roman" w:cs="Times New Roman"/>
          <w:b/>
          <w:sz w:val="22"/>
          <w:szCs w:val="22"/>
        </w:rPr>
        <w:t>M</w:t>
      </w:r>
      <w:r w:rsidRPr="00A96ACA">
        <w:rPr>
          <w:rFonts w:ascii="Times New Roman" w:eastAsia="Times New Roman" w:hAnsi="Times New Roman" w:cs="Times New Roman"/>
          <w:b/>
          <w:sz w:val="22"/>
          <w:szCs w:val="22"/>
        </w:rPr>
        <w:t>ethodology</w:t>
      </w:r>
    </w:p>
    <w:p w14:paraId="627C2E1B" w14:textId="77777777" w:rsidR="00D8206B" w:rsidRPr="003B6E44" w:rsidRDefault="00D8206B" w:rsidP="00D8206B">
      <w:pPr>
        <w:spacing w:after="0" w:line="276" w:lineRule="auto"/>
        <w:contextualSpacing/>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The </w:t>
      </w:r>
      <w:proofErr w:type="spellStart"/>
      <w:r w:rsidRPr="003B6E44">
        <w:rPr>
          <w:rFonts w:ascii="Times New Roman" w:eastAsia="Calibri" w:hAnsi="Times New Roman" w:cs="Times New Roman"/>
          <w:sz w:val="22"/>
          <w:szCs w:val="22"/>
        </w:rPr>
        <w:t>ex post-</w:t>
      </w:r>
      <w:proofErr w:type="spellEnd"/>
      <w:r w:rsidRPr="003B6E44">
        <w:rPr>
          <w:rFonts w:ascii="Times New Roman" w:eastAsia="Calibri" w:hAnsi="Times New Roman" w:cs="Times New Roman"/>
          <w:sz w:val="22"/>
          <w:szCs w:val="22"/>
        </w:rPr>
        <w:t xml:space="preserve">facto research design was used in this study. Ex post-facto literally means “from what has already been achieved.” It is a study design that is used to assess the causal relationship between variables of interest. This research design is suitable for this research because it will aid in the achievement of the study's specific objectives, which are to investigate the causal relationship between public debt and </w:t>
      </w:r>
      <w:r w:rsidRPr="00A96ACA">
        <w:rPr>
          <w:rFonts w:ascii="Times New Roman" w:eastAsia="Calibri" w:hAnsi="Times New Roman" w:cs="Times New Roman"/>
          <w:sz w:val="22"/>
          <w:szCs w:val="22"/>
        </w:rPr>
        <w:t xml:space="preserve">industrial sector performance </w:t>
      </w:r>
      <w:r w:rsidRPr="003B6E44">
        <w:rPr>
          <w:rFonts w:ascii="Times New Roman" w:eastAsia="Calibri" w:hAnsi="Times New Roman" w:cs="Times New Roman"/>
          <w:sz w:val="22"/>
          <w:szCs w:val="22"/>
        </w:rPr>
        <w:t xml:space="preserve">in Nigeria; and the information used in the evaluation were obtained from secondary sources. Another reason to use ex post facto research design is that it requires the collection and analysis of time series data, which can be used to describe past trends, explain current events, and forecast future events. </w:t>
      </w:r>
      <w:r w:rsidRPr="003B6E44">
        <w:rPr>
          <w:rFonts w:ascii="Times New Roman" w:eastAsia="Calibri" w:hAnsi="Times New Roman" w:cs="Times New Roman"/>
          <w:color w:val="000000"/>
          <w:sz w:val="22"/>
          <w:szCs w:val="22"/>
        </w:rPr>
        <w:t>The study used annual secondary data covering the period of 1990 to 2023. This period is chosen to capture the trends and impacts of public debt over a significant timeline, which includes various economic cycles and policy regimes in Nigeria. The data w</w:t>
      </w:r>
      <w:r w:rsidRPr="00A96ACA">
        <w:rPr>
          <w:rFonts w:ascii="Times New Roman" w:eastAsia="Calibri" w:hAnsi="Times New Roman" w:cs="Times New Roman"/>
          <w:color w:val="000000"/>
          <w:sz w:val="22"/>
          <w:szCs w:val="22"/>
        </w:rPr>
        <w:t>ere</w:t>
      </w:r>
      <w:r w:rsidRPr="003B6E44">
        <w:rPr>
          <w:rFonts w:ascii="Times New Roman" w:eastAsia="Calibri" w:hAnsi="Times New Roman" w:cs="Times New Roman"/>
          <w:color w:val="000000"/>
          <w:sz w:val="22"/>
          <w:szCs w:val="22"/>
        </w:rPr>
        <w:t xml:space="preserve"> source</w:t>
      </w:r>
      <w:r w:rsidRPr="00A96ACA">
        <w:rPr>
          <w:rFonts w:ascii="Times New Roman" w:eastAsia="Calibri" w:hAnsi="Times New Roman" w:cs="Times New Roman"/>
          <w:color w:val="000000"/>
          <w:sz w:val="22"/>
          <w:szCs w:val="22"/>
        </w:rPr>
        <w:t>d</w:t>
      </w:r>
      <w:r w:rsidRPr="003B6E44">
        <w:rPr>
          <w:rFonts w:ascii="Times New Roman" w:eastAsia="Calibri" w:hAnsi="Times New Roman" w:cs="Times New Roman"/>
          <w:color w:val="000000"/>
          <w:sz w:val="22"/>
          <w:szCs w:val="22"/>
        </w:rPr>
        <w:t xml:space="preserve"> </w:t>
      </w:r>
      <w:r w:rsidRPr="003B6E44">
        <w:rPr>
          <w:rFonts w:ascii="Times New Roman" w:eastAsia="Calibri" w:hAnsi="Times New Roman" w:cs="Times New Roman"/>
          <w:sz w:val="22"/>
          <w:szCs w:val="22"/>
        </w:rPr>
        <w:t>from the Central Bank of Nigeria (CBN) statistics Bulletin, National Bureau of Statistics (NBS), and an online service from - data.worldbank.org/indicators. The econometric technique was used in this work to estimate the connection between the variables.</w:t>
      </w:r>
      <w:r w:rsidRPr="003B6E44">
        <w:rPr>
          <w:rFonts w:ascii="Times New Roman" w:eastAsia="Times New Roman" w:hAnsi="Times New Roman" w:cs="Times New Roman"/>
          <w:sz w:val="22"/>
          <w:szCs w:val="22"/>
        </w:rPr>
        <w:t xml:space="preserve"> </w:t>
      </w:r>
      <w:r w:rsidRPr="003B6E44">
        <w:rPr>
          <w:rFonts w:ascii="Times New Roman" w:eastAsia="Calibri" w:hAnsi="Times New Roman" w:cs="Times New Roman"/>
          <w:sz w:val="22"/>
          <w:szCs w:val="22"/>
        </w:rPr>
        <w:t xml:space="preserve">This study employed unit root test, cointegration and Autoregressive Distributed Lag (ARDL) to estimate the effect of the explanatory variables on the dependent variable. The models for this study were derived from the review of related literature on public debt and </w:t>
      </w:r>
      <w:r w:rsidRPr="00A96ACA">
        <w:rPr>
          <w:rFonts w:ascii="Times New Roman" w:eastAsia="Calibri" w:hAnsi="Times New Roman" w:cs="Times New Roman"/>
          <w:sz w:val="22"/>
          <w:szCs w:val="22"/>
        </w:rPr>
        <w:t>economic</w:t>
      </w:r>
      <w:r w:rsidRPr="003B6E44">
        <w:rPr>
          <w:rFonts w:ascii="Times New Roman" w:eastAsia="Calibri" w:hAnsi="Times New Roman" w:cs="Times New Roman"/>
          <w:sz w:val="22"/>
          <w:szCs w:val="22"/>
        </w:rPr>
        <w:t xml:space="preserve"> performance. </w:t>
      </w:r>
    </w:p>
    <w:p w14:paraId="5101B8A5" w14:textId="77777777" w:rsidR="00D8206B" w:rsidRPr="003B6E44" w:rsidRDefault="00D8206B" w:rsidP="00D8206B">
      <w:pPr>
        <w:spacing w:after="0" w:line="276" w:lineRule="auto"/>
        <w:rPr>
          <w:rFonts w:ascii="Times New Roman" w:eastAsia="Calibri" w:hAnsi="Times New Roman" w:cs="Times New Roman"/>
          <w:sz w:val="22"/>
          <w:szCs w:val="22"/>
        </w:rPr>
      </w:pPr>
      <w:proofErr w:type="gramStart"/>
      <w:r w:rsidRPr="003B6E44">
        <w:rPr>
          <w:rFonts w:ascii="Times New Roman" w:eastAsia="Calibri" w:hAnsi="Times New Roman" w:cs="Times New Roman"/>
          <w:i/>
          <w:sz w:val="22"/>
          <w:szCs w:val="22"/>
        </w:rPr>
        <w:t xml:space="preserve">ISO  </w:t>
      </w:r>
      <w:r w:rsidRPr="003B6E44">
        <w:rPr>
          <w:rFonts w:ascii="Times New Roman" w:eastAsia="Calibri" w:hAnsi="Times New Roman" w:cs="Times New Roman"/>
          <w:sz w:val="22"/>
          <w:szCs w:val="22"/>
        </w:rPr>
        <w:t>=</w:t>
      </w:r>
      <w:proofErr w:type="gramEnd"/>
      <w:r w:rsidRPr="003B6E44">
        <w:rPr>
          <w:rFonts w:ascii="Times New Roman" w:eastAsia="Calibri" w:hAnsi="Times New Roman" w:cs="Times New Roman"/>
          <w:sz w:val="22"/>
          <w:szCs w:val="22"/>
        </w:rPr>
        <w:t xml:space="preserve">   </w:t>
      </w:r>
      <w:r w:rsidRPr="003B6E44">
        <w:rPr>
          <w:rFonts w:ascii="Times New Roman" w:eastAsia="Calibri" w:hAnsi="Times New Roman" w:cs="Times New Roman"/>
          <w:i/>
          <w:sz w:val="22"/>
          <w:szCs w:val="22"/>
        </w:rPr>
        <w:t xml:space="preserve">f </w:t>
      </w:r>
      <w:r w:rsidRPr="003B6E44">
        <w:rPr>
          <w:rFonts w:ascii="Times New Roman" w:eastAsia="Calibri" w:hAnsi="Times New Roman" w:cs="Times New Roman"/>
          <w:sz w:val="22"/>
          <w:szCs w:val="22"/>
        </w:rPr>
        <w:t>(</w:t>
      </w:r>
      <w:r w:rsidRPr="003B6E44">
        <w:rPr>
          <w:rFonts w:ascii="Times New Roman" w:eastAsia="Calibri" w:hAnsi="Times New Roman" w:cs="Times New Roman"/>
          <w:i/>
          <w:sz w:val="22"/>
          <w:szCs w:val="22"/>
        </w:rPr>
        <w:t xml:space="preserve">DD, ED, </w:t>
      </w:r>
      <w:proofErr w:type="gramStart"/>
      <w:r w:rsidRPr="003B6E44">
        <w:rPr>
          <w:rFonts w:ascii="Times New Roman" w:eastAsia="Calibri" w:hAnsi="Times New Roman" w:cs="Times New Roman"/>
          <w:i/>
          <w:sz w:val="22"/>
          <w:szCs w:val="22"/>
        </w:rPr>
        <w:t>DGDP)</w:t>
      </w:r>
      <w:r w:rsidRPr="003B6E44">
        <w:rPr>
          <w:rFonts w:ascii="Times New Roman" w:eastAsia="Calibri" w:hAnsi="Times New Roman" w:cs="Times New Roman"/>
          <w:sz w:val="22"/>
          <w:szCs w:val="22"/>
        </w:rPr>
        <w:t xml:space="preserve">   </w:t>
      </w:r>
      <w:proofErr w:type="gramEnd"/>
      <w:r w:rsidRPr="003B6E44">
        <w:rPr>
          <w:rFonts w:ascii="Times New Roman" w:eastAsia="Calibri" w:hAnsi="Times New Roman" w:cs="Times New Roman"/>
          <w:sz w:val="22"/>
          <w:szCs w:val="22"/>
        </w:rPr>
        <w:t xml:space="preserve">                                                          </w:t>
      </w:r>
      <w:r w:rsidRPr="00A96ACA">
        <w:rPr>
          <w:rFonts w:ascii="Times New Roman" w:eastAsia="Calibri" w:hAnsi="Times New Roman" w:cs="Times New Roman"/>
          <w:sz w:val="22"/>
          <w:szCs w:val="22"/>
        </w:rPr>
        <w:tab/>
      </w:r>
      <w:r w:rsidRPr="00A96ACA">
        <w:rPr>
          <w:rFonts w:ascii="Times New Roman" w:eastAsia="Calibri" w:hAnsi="Times New Roman" w:cs="Times New Roman"/>
          <w:sz w:val="22"/>
          <w:szCs w:val="22"/>
        </w:rPr>
        <w:tab/>
      </w:r>
      <w:r w:rsidRPr="00A96ACA">
        <w:rPr>
          <w:rFonts w:ascii="Times New Roman" w:eastAsia="Calibri" w:hAnsi="Times New Roman" w:cs="Times New Roman"/>
          <w:sz w:val="22"/>
          <w:szCs w:val="22"/>
        </w:rPr>
        <w:tab/>
      </w:r>
      <w:r w:rsidRPr="003B6E44">
        <w:rPr>
          <w:rFonts w:ascii="Times New Roman" w:eastAsia="Calibri" w:hAnsi="Times New Roman" w:cs="Times New Roman"/>
          <w:sz w:val="22"/>
          <w:szCs w:val="22"/>
        </w:rPr>
        <w:t xml:space="preserve"> </w:t>
      </w:r>
      <w:proofErr w:type="gramStart"/>
      <w:r w:rsidRPr="003B6E44">
        <w:rPr>
          <w:rFonts w:ascii="Times New Roman" w:eastAsia="Calibri" w:hAnsi="Times New Roman" w:cs="Times New Roman"/>
          <w:sz w:val="22"/>
          <w:szCs w:val="22"/>
        </w:rPr>
        <w:t xml:space="preserve">  </w:t>
      </w:r>
      <w:r w:rsidRPr="00A96ACA">
        <w:rPr>
          <w:rFonts w:ascii="Times New Roman" w:eastAsia="Calibri" w:hAnsi="Times New Roman" w:cs="Times New Roman"/>
          <w:sz w:val="22"/>
          <w:szCs w:val="22"/>
        </w:rPr>
        <w:t xml:space="preserve"> </w:t>
      </w:r>
      <w:r w:rsidRPr="003B6E44">
        <w:rPr>
          <w:rFonts w:ascii="Times New Roman" w:eastAsia="Calibri" w:hAnsi="Times New Roman" w:cs="Times New Roman"/>
          <w:sz w:val="22"/>
          <w:szCs w:val="22"/>
        </w:rPr>
        <w:t>(</w:t>
      </w:r>
      <w:proofErr w:type="gramEnd"/>
      <w:r w:rsidRPr="003B6E44">
        <w:rPr>
          <w:rFonts w:ascii="Times New Roman" w:eastAsia="Calibri" w:hAnsi="Times New Roman" w:cs="Times New Roman"/>
          <w:sz w:val="22"/>
          <w:szCs w:val="22"/>
        </w:rPr>
        <w:t>3.</w:t>
      </w:r>
      <w:r w:rsidRPr="00A96ACA">
        <w:rPr>
          <w:rFonts w:ascii="Times New Roman" w:eastAsia="Calibri" w:hAnsi="Times New Roman" w:cs="Times New Roman"/>
          <w:sz w:val="22"/>
          <w:szCs w:val="22"/>
        </w:rPr>
        <w:t>1</w:t>
      </w:r>
      <w:r w:rsidRPr="003B6E44">
        <w:rPr>
          <w:rFonts w:ascii="Times New Roman" w:eastAsia="Calibri" w:hAnsi="Times New Roman" w:cs="Times New Roman"/>
          <w:sz w:val="22"/>
          <w:szCs w:val="22"/>
        </w:rPr>
        <w:t>)</w:t>
      </w:r>
    </w:p>
    <w:p w14:paraId="4A156EED" w14:textId="77777777" w:rsidR="00D8206B" w:rsidRPr="003B6E44" w:rsidRDefault="00D8206B" w:rsidP="00D8206B">
      <w:pPr>
        <w:spacing w:line="276" w:lineRule="auto"/>
        <w:rPr>
          <w:rFonts w:ascii="Times New Roman" w:eastAsia="Calibri" w:hAnsi="Times New Roman" w:cs="Times New Roman"/>
          <w:color w:val="000000"/>
          <w:sz w:val="22"/>
          <w:szCs w:val="22"/>
        </w:rPr>
      </w:pPr>
      <m:oMath>
        <m:r>
          <w:rPr>
            <w:rFonts w:ascii="Cambria Math" w:eastAsia="Calibri" w:hAnsi="Cambria Math" w:cs="Times New Roman"/>
            <w:sz w:val="22"/>
            <w:szCs w:val="22"/>
          </w:rPr>
          <w:lastRenderedPageBreak/>
          <m:t>ISO=</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0</m:t>
            </m:r>
          </m:sub>
        </m:sSub>
        <m:r>
          <w:rPr>
            <w:rFonts w:ascii="Cambria Math" w:eastAsia="Calibri" w:hAnsi="Cambria Math" w:cs="Times New Roman"/>
            <w:sz w:val="22"/>
            <w:szCs w:val="22"/>
          </w:rPr>
          <m:t>+</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1</m:t>
            </m:r>
          </m:sub>
        </m:sSub>
        <m:r>
          <w:rPr>
            <w:rFonts w:ascii="Cambria Math" w:eastAsia="Calibri" w:hAnsi="Cambria Math" w:cs="Times New Roman"/>
            <w:sz w:val="22"/>
            <w:szCs w:val="22"/>
          </w:rPr>
          <m:t>DD+</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2</m:t>
            </m:r>
          </m:sub>
        </m:sSub>
        <m:r>
          <w:rPr>
            <w:rFonts w:ascii="Cambria Math" w:eastAsia="Calibri" w:hAnsi="Cambria Math" w:cs="Times New Roman"/>
            <w:sz w:val="22"/>
            <w:szCs w:val="22"/>
          </w:rPr>
          <m:t>ED+</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α</m:t>
            </m:r>
          </m:e>
          <m:sub>
            <m:r>
              <w:rPr>
                <w:rFonts w:ascii="Cambria Math" w:eastAsia="Calibri" w:hAnsi="Cambria Math" w:cs="Times New Roman"/>
                <w:sz w:val="22"/>
                <w:szCs w:val="22"/>
              </w:rPr>
              <m:t>3</m:t>
            </m:r>
          </m:sub>
        </m:sSub>
        <m:r>
          <w:rPr>
            <w:rFonts w:ascii="Cambria Math" w:eastAsia="Calibri" w:hAnsi="Cambria Math" w:cs="Times New Roman"/>
            <w:sz w:val="22"/>
            <w:szCs w:val="22"/>
          </w:rPr>
          <m:t>DGDP+U</m:t>
        </m:r>
      </m:oMath>
      <w:r w:rsidRPr="003B6E44">
        <w:rPr>
          <w:rFonts w:ascii="Times New Roman" w:eastAsia="Calibri" w:hAnsi="Times New Roman" w:cs="Times New Roman"/>
          <w:sz w:val="22"/>
          <w:szCs w:val="22"/>
        </w:rPr>
        <w:t xml:space="preserve">                         </w:t>
      </w:r>
      <w:r w:rsidRPr="00A96ACA">
        <w:rPr>
          <w:rFonts w:ascii="Times New Roman" w:eastAsia="Calibri" w:hAnsi="Times New Roman" w:cs="Times New Roman"/>
          <w:sz w:val="22"/>
          <w:szCs w:val="22"/>
        </w:rPr>
        <w:tab/>
      </w:r>
      <w:r w:rsidRPr="00A96ACA">
        <w:rPr>
          <w:rFonts w:ascii="Times New Roman" w:eastAsia="Calibri" w:hAnsi="Times New Roman" w:cs="Times New Roman"/>
          <w:sz w:val="22"/>
          <w:szCs w:val="22"/>
        </w:rPr>
        <w:tab/>
      </w:r>
      <w:r w:rsidRPr="00A96ACA">
        <w:rPr>
          <w:rFonts w:ascii="Times New Roman" w:eastAsia="Calibri" w:hAnsi="Times New Roman" w:cs="Times New Roman"/>
          <w:sz w:val="22"/>
          <w:szCs w:val="22"/>
        </w:rPr>
        <w:tab/>
        <w:t xml:space="preserve">    </w:t>
      </w:r>
      <w:r w:rsidRPr="003B6E44">
        <w:rPr>
          <w:rFonts w:ascii="Times New Roman" w:eastAsia="Calibri" w:hAnsi="Times New Roman" w:cs="Times New Roman"/>
          <w:sz w:val="22"/>
          <w:szCs w:val="22"/>
        </w:rPr>
        <w:t xml:space="preserve"> (3.</w:t>
      </w:r>
      <w:r w:rsidRPr="00A96ACA">
        <w:rPr>
          <w:rFonts w:ascii="Times New Roman" w:eastAsia="Calibri" w:hAnsi="Times New Roman" w:cs="Times New Roman"/>
          <w:sz w:val="22"/>
          <w:szCs w:val="22"/>
        </w:rPr>
        <w:t>2</w:t>
      </w:r>
      <w:r w:rsidRPr="003B6E44">
        <w:rPr>
          <w:rFonts w:ascii="Times New Roman" w:eastAsia="Calibri" w:hAnsi="Times New Roman" w:cs="Times New Roman"/>
          <w:sz w:val="22"/>
          <w:szCs w:val="22"/>
        </w:rPr>
        <w:t>)</w:t>
      </w:r>
    </w:p>
    <w:p w14:paraId="334D63E6" w14:textId="77777777" w:rsidR="00D8206B" w:rsidRPr="003B6E44" w:rsidRDefault="00D8206B" w:rsidP="00D8206B">
      <w:pPr>
        <w:autoSpaceDE w:val="0"/>
        <w:autoSpaceDN w:val="0"/>
        <w:adjustRightInd w:val="0"/>
        <w:spacing w:after="200" w:line="276" w:lineRule="auto"/>
        <w:jc w:val="both"/>
        <w:rPr>
          <w:rFonts w:ascii="Times New Roman" w:eastAsia="Calibri" w:hAnsi="Times New Roman" w:cs="Times New Roman"/>
          <w:kern w:val="0"/>
          <w:sz w:val="22"/>
          <w:szCs w:val="22"/>
          <w14:ligatures w14:val="none"/>
        </w:rPr>
      </w:pPr>
      <w:r w:rsidRPr="003B6E44">
        <w:rPr>
          <w:rFonts w:ascii="Times New Roman" w:eastAsia="Calibri" w:hAnsi="Times New Roman" w:cs="Times New Roman"/>
          <w:kern w:val="0"/>
          <w:sz w:val="22"/>
          <w:szCs w:val="22"/>
          <w14:ligatures w14:val="none"/>
        </w:rPr>
        <w:t>The Autoregressive Distributed Lag (ARDL) Model (Bound Test Approach) for the model is specified as follows:</w:t>
      </w:r>
    </w:p>
    <w:p w14:paraId="3AFE3450" w14:textId="77777777" w:rsidR="00D8206B" w:rsidRPr="003B6E44" w:rsidRDefault="00D8206B" w:rsidP="00D8206B">
      <w:pPr>
        <w:spacing w:after="0" w:line="276" w:lineRule="auto"/>
        <w:jc w:val="both"/>
        <w:rPr>
          <w:rFonts w:ascii="Times New Roman" w:eastAsia="Calibri" w:hAnsi="Times New Roman" w:cs="Times New Roman"/>
          <w:position w:val="-8"/>
          <w:sz w:val="22"/>
          <w:szCs w:val="22"/>
        </w:rPr>
      </w:pP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ISO)</w:t>
      </w:r>
      <w:r w:rsidRPr="003B6E44">
        <w:rPr>
          <w:rFonts w:ascii="Times New Roman" w:eastAsia="Calibri" w:hAnsi="Times New Roman" w:cs="Times New Roman"/>
          <w:i/>
          <w:iCs/>
          <w:position w:val="-8"/>
          <w:sz w:val="22"/>
          <w:szCs w:val="22"/>
          <w:vertAlign w:val="subscript"/>
        </w:rPr>
        <w:t xml:space="preserve">t </w:t>
      </w:r>
      <w:r w:rsidRPr="003B6E44">
        <w:rPr>
          <w:rFonts w:ascii="Times New Roman" w:eastAsia="Calibri" w:hAnsi="Times New Roman" w:cs="Times New Roman"/>
          <w:i/>
          <w:iCs/>
          <w:sz w:val="22"/>
          <w:szCs w:val="22"/>
        </w:rPr>
        <w:t>= β</w:t>
      </w:r>
      <w:r w:rsidRPr="003B6E44">
        <w:rPr>
          <w:rFonts w:ascii="Times New Roman" w:eastAsia="SimSun" w:hAnsi="Times New Roman" w:cs="Times New Roman"/>
          <w:bCs/>
          <w:i/>
          <w:iCs/>
          <w:sz w:val="22"/>
          <w:szCs w:val="22"/>
          <w:vertAlign w:val="subscript"/>
        </w:rPr>
        <w:t>0</w:t>
      </w:r>
      <w:r w:rsidRPr="003B6E44">
        <w:rPr>
          <w:rFonts w:ascii="Times New Roman" w:eastAsia="Calibri" w:hAnsi="Times New Roman" w:cs="Times New Roman"/>
          <w:i/>
          <w:iCs/>
          <w:sz w:val="22"/>
          <w:szCs w:val="22"/>
        </w:rPr>
        <w:t>+ ∆</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ISO)</w:t>
      </w:r>
      <w:r w:rsidRPr="003B6E44">
        <w:rPr>
          <w:rFonts w:ascii="Times New Roman" w:eastAsia="Calibri" w:hAnsi="Times New Roman" w:cs="Times New Roman"/>
          <w:i/>
          <w:iCs/>
          <w:position w:val="-8"/>
          <w:sz w:val="22"/>
          <w:szCs w:val="22"/>
          <w:vertAlign w:val="subscript"/>
        </w:rPr>
        <w:t>t-1</w:t>
      </w:r>
      <w:r w:rsidRPr="003B6E44">
        <w:rPr>
          <w:rFonts w:ascii="Times New Roman" w:eastAsia="Calibri" w:hAnsi="Times New Roman" w:cs="Times New Roman"/>
          <w:i/>
          <w:iCs/>
          <w:sz w:val="22"/>
          <w:szCs w:val="22"/>
        </w:rPr>
        <w:t xml:space="preserve"> + Σ</w:t>
      </w:r>
      <w:r w:rsidRPr="003B6E44">
        <w:rPr>
          <w:rFonts w:ascii="Times New Roman" w:eastAsia="SimSun" w:hAnsi="Times New Roman" w:cs="Times New Roman"/>
          <w:bCs/>
          <w:i/>
          <w:iCs/>
          <w:sz w:val="22"/>
          <w:szCs w:val="22"/>
        </w:rPr>
        <w:t xml:space="preserve"> </w:t>
      </w:r>
      <w:r w:rsidRPr="003B6E44">
        <w:rPr>
          <w:rFonts w:ascii="Times New Roman" w:eastAsia="Calibri" w:hAnsi="Times New Roman" w:cs="Times New Roman"/>
          <w:i/>
          <w:iCs/>
          <w:sz w:val="22"/>
          <w:szCs w:val="22"/>
        </w:rPr>
        <w:t>β</w:t>
      </w:r>
      <w:r w:rsidRPr="003B6E44">
        <w:rPr>
          <w:rFonts w:ascii="Times New Roman" w:eastAsia="Calibri" w:hAnsi="Times New Roman" w:cs="Times New Roman"/>
          <w:i/>
          <w:iCs/>
          <w:position w:val="-8"/>
          <w:sz w:val="22"/>
          <w:szCs w:val="22"/>
          <w:vertAlign w:val="subscript"/>
        </w:rPr>
        <w:t>1t</w:t>
      </w: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DD)</w:t>
      </w:r>
      <w:r w:rsidRPr="003B6E44">
        <w:rPr>
          <w:rFonts w:ascii="Times New Roman" w:eastAsia="Calibri" w:hAnsi="Times New Roman" w:cs="Times New Roman"/>
          <w:i/>
          <w:iCs/>
          <w:position w:val="-8"/>
          <w:sz w:val="22"/>
          <w:szCs w:val="22"/>
          <w:vertAlign w:val="subscript"/>
        </w:rPr>
        <w:t xml:space="preserve">t-1 </w:t>
      </w:r>
      <w:r w:rsidRPr="003B6E44">
        <w:rPr>
          <w:rFonts w:ascii="Times New Roman" w:eastAsia="Calibri" w:hAnsi="Times New Roman" w:cs="Times New Roman"/>
          <w:i/>
          <w:iCs/>
          <w:sz w:val="22"/>
          <w:szCs w:val="22"/>
        </w:rPr>
        <w:t>+ Σ</w:t>
      </w:r>
      <w:r w:rsidRPr="003B6E44">
        <w:rPr>
          <w:rFonts w:ascii="Times New Roman" w:eastAsia="SimSun" w:hAnsi="Times New Roman" w:cs="Times New Roman"/>
          <w:bCs/>
          <w:i/>
          <w:iCs/>
          <w:sz w:val="22"/>
          <w:szCs w:val="22"/>
        </w:rPr>
        <w:t xml:space="preserve"> </w:t>
      </w:r>
      <w:r w:rsidRPr="003B6E44">
        <w:rPr>
          <w:rFonts w:ascii="Times New Roman" w:eastAsia="Calibri" w:hAnsi="Times New Roman" w:cs="Times New Roman"/>
          <w:i/>
          <w:iCs/>
          <w:sz w:val="22"/>
          <w:szCs w:val="22"/>
        </w:rPr>
        <w:t>β</w:t>
      </w:r>
      <w:r w:rsidRPr="003B6E44">
        <w:rPr>
          <w:rFonts w:ascii="Times New Roman" w:eastAsia="Calibri" w:hAnsi="Times New Roman" w:cs="Times New Roman"/>
          <w:i/>
          <w:iCs/>
          <w:position w:val="-8"/>
          <w:sz w:val="22"/>
          <w:szCs w:val="22"/>
          <w:vertAlign w:val="subscript"/>
        </w:rPr>
        <w:t>2t</w:t>
      </w: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ED)</w:t>
      </w:r>
      <w:r w:rsidRPr="003B6E44">
        <w:rPr>
          <w:rFonts w:ascii="Times New Roman" w:eastAsia="Calibri" w:hAnsi="Times New Roman" w:cs="Times New Roman"/>
          <w:i/>
          <w:iCs/>
          <w:position w:val="-8"/>
          <w:sz w:val="22"/>
          <w:szCs w:val="22"/>
          <w:vertAlign w:val="subscript"/>
        </w:rPr>
        <w:t xml:space="preserve">t-1 </w:t>
      </w:r>
      <w:r w:rsidRPr="003B6E44">
        <w:rPr>
          <w:rFonts w:ascii="Times New Roman" w:eastAsia="Calibri" w:hAnsi="Times New Roman" w:cs="Times New Roman"/>
          <w:i/>
          <w:iCs/>
          <w:sz w:val="22"/>
          <w:szCs w:val="22"/>
        </w:rPr>
        <w:t>+ Σ</w:t>
      </w:r>
      <w:r w:rsidRPr="003B6E44">
        <w:rPr>
          <w:rFonts w:ascii="Times New Roman" w:eastAsia="SimSun" w:hAnsi="Times New Roman" w:cs="Times New Roman"/>
          <w:bCs/>
          <w:i/>
          <w:iCs/>
          <w:sz w:val="22"/>
          <w:szCs w:val="22"/>
        </w:rPr>
        <w:t xml:space="preserve"> </w:t>
      </w:r>
      <w:r w:rsidRPr="003B6E44">
        <w:rPr>
          <w:rFonts w:ascii="Times New Roman" w:eastAsia="Calibri" w:hAnsi="Times New Roman" w:cs="Times New Roman"/>
          <w:i/>
          <w:iCs/>
          <w:sz w:val="22"/>
          <w:szCs w:val="22"/>
        </w:rPr>
        <w:t>β</w:t>
      </w:r>
      <w:r w:rsidRPr="003B6E44">
        <w:rPr>
          <w:rFonts w:ascii="Times New Roman" w:eastAsia="Calibri" w:hAnsi="Times New Roman" w:cs="Times New Roman"/>
          <w:i/>
          <w:iCs/>
          <w:position w:val="-8"/>
          <w:sz w:val="22"/>
          <w:szCs w:val="22"/>
          <w:vertAlign w:val="subscript"/>
        </w:rPr>
        <w:t>3t</w:t>
      </w:r>
      <w:r w:rsidRPr="003B6E44">
        <w:rPr>
          <w:rFonts w:ascii="Times New Roman" w:eastAsia="Calibri" w:hAnsi="Times New Roman" w:cs="Times New Roman"/>
          <w:i/>
          <w:iCs/>
          <w:sz w:val="22"/>
          <w:szCs w:val="22"/>
        </w:rPr>
        <w:t>∆</w:t>
      </w:r>
      <w:proofErr w:type="gramStart"/>
      <w:r w:rsidRPr="003B6E44">
        <w:rPr>
          <w:rFonts w:ascii="Times New Roman" w:eastAsia="Calibri" w:hAnsi="Times New Roman" w:cs="Times New Roman"/>
          <w:i/>
          <w:iCs/>
          <w:sz w:val="22"/>
          <w:szCs w:val="22"/>
        </w:rPr>
        <w:t>log(</w:t>
      </w:r>
      <w:proofErr w:type="gramEnd"/>
      <w:r w:rsidRPr="003B6E44">
        <w:rPr>
          <w:rFonts w:ascii="Times New Roman" w:eastAsia="Calibri" w:hAnsi="Times New Roman" w:cs="Times New Roman"/>
          <w:i/>
          <w:iCs/>
          <w:sz w:val="22"/>
          <w:szCs w:val="22"/>
        </w:rPr>
        <w:t>DGDP)</w:t>
      </w:r>
      <w:r w:rsidRPr="003B6E44">
        <w:rPr>
          <w:rFonts w:ascii="Times New Roman" w:eastAsia="Calibri" w:hAnsi="Times New Roman" w:cs="Times New Roman"/>
          <w:i/>
          <w:iCs/>
          <w:position w:val="-8"/>
          <w:sz w:val="22"/>
          <w:szCs w:val="22"/>
          <w:vertAlign w:val="subscript"/>
        </w:rPr>
        <w:t xml:space="preserve">t-1 </w:t>
      </w:r>
      <w:r w:rsidRPr="003B6E44">
        <w:rPr>
          <w:rFonts w:ascii="Times New Roman" w:eastAsia="Calibri" w:hAnsi="Times New Roman" w:cs="Times New Roman"/>
          <w:i/>
          <w:iCs/>
          <w:sz w:val="22"/>
          <w:szCs w:val="22"/>
        </w:rPr>
        <w:t>+ U</w:t>
      </w:r>
      <w:r w:rsidRPr="003B6E44">
        <w:rPr>
          <w:rFonts w:ascii="Times New Roman" w:eastAsia="Calibri" w:hAnsi="Times New Roman" w:cs="Times New Roman"/>
          <w:i/>
          <w:iCs/>
          <w:position w:val="-8"/>
          <w:sz w:val="22"/>
          <w:szCs w:val="22"/>
          <w:vertAlign w:val="subscript"/>
        </w:rPr>
        <w:t xml:space="preserve">t                                                                                                                                                                                  </w:t>
      </w:r>
      <w:proofErr w:type="gramStart"/>
      <w:r w:rsidRPr="003B6E44">
        <w:rPr>
          <w:rFonts w:ascii="Times New Roman" w:eastAsia="Calibri" w:hAnsi="Times New Roman" w:cs="Times New Roman"/>
          <w:i/>
          <w:iCs/>
          <w:position w:val="-8"/>
          <w:sz w:val="22"/>
          <w:szCs w:val="22"/>
          <w:vertAlign w:val="subscript"/>
        </w:rPr>
        <w:t xml:space="preserve">   </w:t>
      </w:r>
      <w:r w:rsidRPr="003B6E44">
        <w:rPr>
          <w:rFonts w:ascii="Times New Roman" w:eastAsia="Calibri" w:hAnsi="Times New Roman" w:cs="Times New Roman"/>
          <w:position w:val="-8"/>
          <w:sz w:val="22"/>
          <w:szCs w:val="22"/>
        </w:rPr>
        <w:t>(</w:t>
      </w:r>
      <w:proofErr w:type="gramEnd"/>
      <w:r w:rsidRPr="003B6E44">
        <w:rPr>
          <w:rFonts w:ascii="Times New Roman" w:eastAsia="Calibri" w:hAnsi="Times New Roman" w:cs="Times New Roman"/>
          <w:position w:val="-8"/>
          <w:sz w:val="22"/>
          <w:szCs w:val="22"/>
        </w:rPr>
        <w:t>3.</w:t>
      </w:r>
      <w:r w:rsidRPr="00A96ACA">
        <w:rPr>
          <w:rFonts w:ascii="Times New Roman" w:eastAsia="Calibri" w:hAnsi="Times New Roman" w:cs="Times New Roman"/>
          <w:position w:val="-8"/>
          <w:sz w:val="22"/>
          <w:szCs w:val="22"/>
        </w:rPr>
        <w:t>3</w:t>
      </w:r>
      <w:r w:rsidRPr="003B6E44">
        <w:rPr>
          <w:rFonts w:ascii="Times New Roman" w:eastAsia="Calibri" w:hAnsi="Times New Roman" w:cs="Times New Roman"/>
          <w:position w:val="-8"/>
          <w:sz w:val="22"/>
          <w:szCs w:val="22"/>
        </w:rPr>
        <w:t>)</w:t>
      </w:r>
    </w:p>
    <w:p w14:paraId="4529BF06" w14:textId="77777777" w:rsidR="00D8206B" w:rsidRPr="003B6E44" w:rsidRDefault="00D8206B" w:rsidP="00D8206B">
      <w:pPr>
        <w:autoSpaceDE w:val="0"/>
        <w:autoSpaceDN w:val="0"/>
        <w:adjustRightInd w:val="0"/>
        <w:spacing w:after="200" w:line="276" w:lineRule="auto"/>
        <w:jc w:val="both"/>
        <w:rPr>
          <w:rFonts w:ascii="Times New Roman" w:eastAsia="Calibri" w:hAnsi="Times New Roman" w:cs="Times New Roman"/>
          <w:kern w:val="0"/>
          <w:sz w:val="22"/>
          <w:szCs w:val="22"/>
          <w14:ligatures w14:val="none"/>
        </w:rPr>
      </w:pPr>
      <w:r w:rsidRPr="003B6E44">
        <w:rPr>
          <w:rFonts w:ascii="Times New Roman" w:eastAsia="Calibri" w:hAnsi="Times New Roman" w:cs="Times New Roman"/>
          <w:kern w:val="0"/>
          <w:sz w:val="22"/>
          <w:szCs w:val="22"/>
          <w14:ligatures w14:val="none"/>
        </w:rPr>
        <w:t xml:space="preserve">Where; </w:t>
      </w:r>
      <w:r w:rsidRPr="003B6E44">
        <w:rPr>
          <w:rFonts w:ascii="Times New Roman" w:eastAsia="SimSun" w:hAnsi="Times New Roman" w:cs="Times New Roman"/>
          <w:bCs/>
          <w:sz w:val="22"/>
          <w:szCs w:val="22"/>
        </w:rPr>
        <w:t>β</w:t>
      </w:r>
      <w:r w:rsidRPr="003B6E44">
        <w:rPr>
          <w:rFonts w:ascii="Times New Roman" w:eastAsia="SimSun" w:hAnsi="Times New Roman" w:cs="Times New Roman"/>
          <w:bCs/>
          <w:sz w:val="22"/>
          <w:szCs w:val="22"/>
          <w:vertAlign w:val="subscript"/>
        </w:rPr>
        <w:t xml:space="preserve">0 </w:t>
      </w:r>
      <w:r w:rsidRPr="003B6E44">
        <w:rPr>
          <w:rFonts w:ascii="Times New Roman" w:eastAsia="Calibri" w:hAnsi="Times New Roman" w:cs="Times New Roman"/>
          <w:sz w:val="22"/>
          <w:szCs w:val="22"/>
        </w:rPr>
        <w:t>is the</w:t>
      </w:r>
      <w:r w:rsidRPr="003B6E44">
        <w:rPr>
          <w:rFonts w:ascii="Times New Roman" w:eastAsia="SimSun" w:hAnsi="Times New Roman" w:cs="Times New Roman"/>
          <w:bCs/>
          <w:sz w:val="22"/>
          <w:szCs w:val="22"/>
        </w:rPr>
        <w:t xml:space="preserve"> constant terms, </w:t>
      </w:r>
      <w:r w:rsidRPr="003B6E44">
        <w:rPr>
          <w:rFonts w:ascii="Times New Roman" w:eastAsia="Calibri" w:hAnsi="Times New Roman" w:cs="Times New Roman"/>
          <w:bCs/>
          <w:sz w:val="22"/>
          <w:szCs w:val="22"/>
        </w:rPr>
        <w:t>ISO</w:t>
      </w:r>
      <w:r w:rsidRPr="00A96ACA">
        <w:rPr>
          <w:rFonts w:ascii="Times New Roman" w:eastAsia="Calibri" w:hAnsi="Times New Roman" w:cs="Times New Roman"/>
          <w:bCs/>
          <w:sz w:val="22"/>
          <w:szCs w:val="22"/>
        </w:rPr>
        <w:t xml:space="preserve"> means industrial sector output</w:t>
      </w:r>
      <w:r w:rsidRPr="003B6E44">
        <w:rPr>
          <w:rFonts w:ascii="Times New Roman" w:eastAsia="Calibri" w:hAnsi="Times New Roman" w:cs="Times New Roman"/>
          <w:bCs/>
          <w:sz w:val="22"/>
          <w:szCs w:val="22"/>
        </w:rPr>
        <w:t>, DD</w:t>
      </w:r>
      <w:r w:rsidRPr="00A96ACA">
        <w:rPr>
          <w:rFonts w:ascii="Times New Roman" w:eastAsia="Calibri" w:hAnsi="Times New Roman" w:cs="Times New Roman"/>
          <w:bCs/>
          <w:sz w:val="22"/>
          <w:szCs w:val="22"/>
        </w:rPr>
        <w:t xml:space="preserve"> means domestic debt</w:t>
      </w:r>
      <w:r w:rsidRPr="003B6E44">
        <w:rPr>
          <w:rFonts w:ascii="Times New Roman" w:eastAsia="Calibri" w:hAnsi="Times New Roman" w:cs="Times New Roman"/>
          <w:bCs/>
          <w:sz w:val="22"/>
          <w:szCs w:val="22"/>
        </w:rPr>
        <w:t>, ED</w:t>
      </w:r>
      <w:r w:rsidRPr="00A96ACA">
        <w:rPr>
          <w:rFonts w:ascii="Times New Roman" w:eastAsia="Calibri" w:hAnsi="Times New Roman" w:cs="Times New Roman"/>
          <w:bCs/>
          <w:sz w:val="22"/>
          <w:szCs w:val="22"/>
        </w:rPr>
        <w:t xml:space="preserve"> means external debt</w:t>
      </w:r>
      <w:r w:rsidRPr="003B6E44">
        <w:rPr>
          <w:rFonts w:ascii="Times New Roman" w:eastAsia="Calibri" w:hAnsi="Times New Roman" w:cs="Times New Roman"/>
          <w:bCs/>
          <w:sz w:val="22"/>
          <w:szCs w:val="22"/>
        </w:rPr>
        <w:t xml:space="preserve">, and DGDP </w:t>
      </w:r>
      <w:r w:rsidRPr="00A96ACA">
        <w:rPr>
          <w:rFonts w:ascii="Times New Roman" w:eastAsia="Calibri" w:hAnsi="Times New Roman" w:cs="Times New Roman"/>
          <w:bCs/>
          <w:sz w:val="22"/>
          <w:szCs w:val="22"/>
        </w:rPr>
        <w:t>means debt to GDP ratio</w:t>
      </w:r>
      <w:r w:rsidRPr="003B6E44">
        <w:rPr>
          <w:rFonts w:ascii="Times New Roman" w:eastAsia="Calibri" w:hAnsi="Times New Roman" w:cs="Times New Roman"/>
          <w:sz w:val="22"/>
          <w:szCs w:val="22"/>
        </w:rPr>
        <w:t xml:space="preserve">, </w:t>
      </w:r>
      <w:r w:rsidRPr="003B6E44">
        <w:rPr>
          <w:rFonts w:ascii="Times New Roman" w:eastAsia="SimSun" w:hAnsi="Times New Roman" w:cs="Times New Roman"/>
          <w:bCs/>
          <w:sz w:val="22"/>
          <w:szCs w:val="22"/>
        </w:rPr>
        <w:t>β</w:t>
      </w:r>
      <w:r w:rsidRPr="003B6E44">
        <w:rPr>
          <w:rFonts w:ascii="Times New Roman" w:eastAsia="SimSun" w:hAnsi="Times New Roman" w:cs="Times New Roman"/>
          <w:bCs/>
          <w:sz w:val="22"/>
          <w:szCs w:val="22"/>
          <w:vertAlign w:val="subscript"/>
        </w:rPr>
        <w:t xml:space="preserve">1 – </w:t>
      </w:r>
      <w:r w:rsidRPr="003B6E44">
        <w:rPr>
          <w:rFonts w:ascii="Times New Roman" w:eastAsia="SimSun" w:hAnsi="Times New Roman" w:cs="Times New Roman"/>
          <w:bCs/>
          <w:sz w:val="22"/>
          <w:szCs w:val="22"/>
        </w:rPr>
        <w:t>β</w:t>
      </w:r>
      <w:r w:rsidRPr="003B6E44">
        <w:rPr>
          <w:rFonts w:ascii="Times New Roman" w:eastAsia="SimSun" w:hAnsi="Times New Roman" w:cs="Times New Roman"/>
          <w:bCs/>
          <w:sz w:val="22"/>
          <w:szCs w:val="22"/>
          <w:vertAlign w:val="subscript"/>
        </w:rPr>
        <w:t xml:space="preserve">3 </w:t>
      </w:r>
      <w:r w:rsidRPr="003B6E44">
        <w:rPr>
          <w:rFonts w:ascii="Times New Roman" w:eastAsia="Calibri" w:hAnsi="Times New Roman" w:cs="Times New Roman"/>
          <w:sz w:val="22"/>
          <w:szCs w:val="22"/>
        </w:rPr>
        <w:t>are the coefficients of independent variables while µ</w:t>
      </w:r>
      <w:r w:rsidRPr="003B6E44">
        <w:rPr>
          <w:rFonts w:ascii="Times New Roman" w:eastAsia="Calibri" w:hAnsi="Times New Roman" w:cs="Times New Roman"/>
          <w:sz w:val="22"/>
          <w:szCs w:val="22"/>
          <w:vertAlign w:val="subscript"/>
        </w:rPr>
        <w:t xml:space="preserve"> </w:t>
      </w:r>
      <w:r w:rsidRPr="003B6E44">
        <w:rPr>
          <w:rFonts w:ascii="Times New Roman" w:eastAsia="Calibri" w:hAnsi="Times New Roman" w:cs="Times New Roman"/>
          <w:sz w:val="22"/>
          <w:szCs w:val="22"/>
        </w:rPr>
        <w:t xml:space="preserve">is the error terms, </w:t>
      </w:r>
      <w:r w:rsidRPr="003B6E44">
        <w:rPr>
          <w:rFonts w:ascii="Times New Roman" w:eastAsia="Calibri" w:hAnsi="Times New Roman" w:cs="Times New Roman"/>
          <w:position w:val="-8"/>
          <w:sz w:val="22"/>
          <w:szCs w:val="22"/>
        </w:rPr>
        <w:t>∆ = first difference of the variable, U</w:t>
      </w:r>
      <w:r w:rsidRPr="003B6E44">
        <w:rPr>
          <w:rFonts w:ascii="Times New Roman" w:eastAsia="Calibri" w:hAnsi="Times New Roman" w:cs="Times New Roman"/>
          <w:position w:val="-8"/>
          <w:sz w:val="22"/>
          <w:szCs w:val="22"/>
          <w:vertAlign w:val="subscript"/>
        </w:rPr>
        <w:t>t</w:t>
      </w:r>
      <w:r w:rsidRPr="003B6E44">
        <w:rPr>
          <w:rFonts w:ascii="Times New Roman" w:eastAsia="Calibri" w:hAnsi="Times New Roman" w:cs="Times New Roman"/>
          <w:position w:val="-8"/>
          <w:sz w:val="22"/>
          <w:szCs w:val="22"/>
        </w:rPr>
        <w:t>= white noise disturbance error term</w:t>
      </w:r>
      <w:r w:rsidRPr="00A96ACA">
        <w:rPr>
          <w:rFonts w:ascii="Times New Roman" w:eastAsia="Calibri" w:hAnsi="Times New Roman" w:cs="Times New Roman"/>
          <w:position w:val="-8"/>
          <w:sz w:val="22"/>
          <w:szCs w:val="22"/>
        </w:rPr>
        <w:t>,</w:t>
      </w:r>
      <w:r w:rsidRPr="00A96ACA">
        <w:rPr>
          <w:rFonts w:ascii="Times New Roman" w:eastAsia="Calibri" w:hAnsi="Times New Roman" w:cs="Times New Roman"/>
          <w:kern w:val="0"/>
          <w:sz w:val="22"/>
          <w:szCs w:val="22"/>
          <w14:ligatures w14:val="none"/>
        </w:rPr>
        <w:t xml:space="preserve"> </w:t>
      </w:r>
      <w:r w:rsidRPr="003B6E44">
        <w:rPr>
          <w:rFonts w:ascii="Times New Roman" w:eastAsia="Calibri" w:hAnsi="Times New Roman" w:cs="Times New Roman"/>
          <w:i/>
          <w:sz w:val="22"/>
          <w:szCs w:val="22"/>
        </w:rPr>
        <w:t>β</w:t>
      </w:r>
      <w:proofErr w:type="spellStart"/>
      <w:r w:rsidRPr="003B6E44">
        <w:rPr>
          <w:rFonts w:ascii="Times New Roman" w:eastAsia="Calibri" w:hAnsi="Times New Roman" w:cs="Times New Roman"/>
          <w:sz w:val="22"/>
          <w:szCs w:val="22"/>
          <w:vertAlign w:val="subscript"/>
        </w:rPr>
        <w:t>i</w:t>
      </w:r>
      <w:proofErr w:type="spellEnd"/>
      <w:r w:rsidRPr="003B6E44">
        <w:rPr>
          <w:rFonts w:ascii="Times New Roman" w:eastAsia="Calibri" w:hAnsi="Times New Roman" w:cs="Times New Roman"/>
          <w:sz w:val="22"/>
          <w:szCs w:val="22"/>
        </w:rPr>
        <w:t>–</w:t>
      </w:r>
      <w:r w:rsidRPr="003B6E44">
        <w:rPr>
          <w:rFonts w:ascii="Times New Roman" w:eastAsia="Calibri" w:hAnsi="Times New Roman" w:cs="Times New Roman"/>
          <w:i/>
          <w:sz w:val="22"/>
          <w:szCs w:val="22"/>
        </w:rPr>
        <w:t>β</w:t>
      </w:r>
      <w:r w:rsidRPr="003B6E44">
        <w:rPr>
          <w:rFonts w:ascii="Times New Roman" w:eastAsia="Calibri" w:hAnsi="Times New Roman" w:cs="Times New Roman"/>
          <w:sz w:val="22"/>
          <w:szCs w:val="22"/>
          <w:vertAlign w:val="subscript"/>
        </w:rPr>
        <w:t>4</w:t>
      </w:r>
      <w:r w:rsidRPr="003B6E44">
        <w:rPr>
          <w:rFonts w:ascii="Times New Roman" w:eastAsia="Calibri" w:hAnsi="Times New Roman" w:cs="Times New Roman"/>
          <w:sz w:val="22"/>
          <w:szCs w:val="22"/>
        </w:rPr>
        <w:t xml:space="preserve"> ,</w:t>
      </w:r>
      <w:r w:rsidRPr="003B6E44">
        <w:rPr>
          <w:rFonts w:ascii="Times New Roman" w:eastAsia="Calibri" w:hAnsi="Times New Roman" w:cs="Times New Roman"/>
          <w:i/>
          <w:sz w:val="22"/>
          <w:szCs w:val="22"/>
        </w:rPr>
        <w:t xml:space="preserve"> α</w:t>
      </w:r>
      <w:proofErr w:type="spellStart"/>
      <w:r w:rsidRPr="003B6E44">
        <w:rPr>
          <w:rFonts w:ascii="Times New Roman" w:eastAsia="Calibri" w:hAnsi="Times New Roman" w:cs="Times New Roman"/>
          <w:sz w:val="22"/>
          <w:szCs w:val="22"/>
          <w:vertAlign w:val="subscript"/>
        </w:rPr>
        <w:t>i</w:t>
      </w:r>
      <w:proofErr w:type="spellEnd"/>
      <w:r w:rsidRPr="003B6E44">
        <w:rPr>
          <w:rFonts w:ascii="Times New Roman" w:eastAsia="Calibri" w:hAnsi="Times New Roman" w:cs="Times New Roman"/>
          <w:sz w:val="22"/>
          <w:szCs w:val="22"/>
        </w:rPr>
        <w:t>–</w:t>
      </w:r>
      <w:r w:rsidRPr="003B6E44">
        <w:rPr>
          <w:rFonts w:ascii="Times New Roman" w:eastAsia="Calibri" w:hAnsi="Times New Roman" w:cs="Times New Roman"/>
          <w:i/>
          <w:sz w:val="22"/>
          <w:szCs w:val="22"/>
        </w:rPr>
        <w:t>α</w:t>
      </w:r>
      <w:r w:rsidRPr="003B6E44">
        <w:rPr>
          <w:rFonts w:ascii="Times New Roman" w:eastAsia="Calibri" w:hAnsi="Times New Roman" w:cs="Times New Roman"/>
          <w:sz w:val="22"/>
          <w:szCs w:val="22"/>
          <w:vertAlign w:val="subscript"/>
        </w:rPr>
        <w:t>4</w:t>
      </w:r>
      <w:r w:rsidRPr="003B6E44">
        <w:rPr>
          <w:rFonts w:ascii="Times New Roman" w:eastAsia="Calibri" w:hAnsi="Times New Roman" w:cs="Times New Roman"/>
          <w:sz w:val="22"/>
          <w:szCs w:val="22"/>
        </w:rPr>
        <w:t xml:space="preserve"> are coefficients of the regression equation, measuring the sensitivity of the respective dependent variables to changes in the independent variables.</w:t>
      </w:r>
    </w:p>
    <w:p w14:paraId="6D921A79" w14:textId="77777777" w:rsidR="00D8206B" w:rsidRPr="00A96ACA" w:rsidRDefault="00D8206B" w:rsidP="00D8206B">
      <w:pPr>
        <w:spacing w:line="276" w:lineRule="auto"/>
        <w:jc w:val="both"/>
        <w:rPr>
          <w:rFonts w:ascii="Times New Roman" w:eastAsia="Calibri" w:hAnsi="Times New Roman" w:cs="Times New Roman"/>
          <w:sz w:val="22"/>
          <w:szCs w:val="22"/>
        </w:rPr>
      </w:pPr>
      <w:r w:rsidRPr="003B6E44">
        <w:rPr>
          <w:rFonts w:ascii="Times New Roman" w:eastAsia="Calibri" w:hAnsi="Times New Roman" w:cs="Times New Roman"/>
          <w:sz w:val="22"/>
          <w:szCs w:val="22"/>
        </w:rPr>
        <w:t xml:space="preserve">To make the time series data uniform and easy to regress and analyze due to the robustness and large amount of the data set, the data were converted to natural logarithm (log) form. It is believed that a log form of a multiple regression helps to improve on the linearity of the model and also to avoid heteroskedasticity.  </w:t>
      </w:r>
    </w:p>
    <w:p w14:paraId="0B7D4BEE" w14:textId="77777777" w:rsidR="00D24E0B" w:rsidRDefault="00D24E0B" w:rsidP="00D8206B">
      <w:pPr>
        <w:spacing w:line="276" w:lineRule="auto"/>
        <w:jc w:val="center"/>
        <w:rPr>
          <w:rFonts w:ascii="Times New Roman" w:hAnsi="Times New Roman" w:cs="Times New Roman"/>
          <w:b/>
          <w:bCs/>
          <w:sz w:val="22"/>
          <w:szCs w:val="22"/>
        </w:rPr>
      </w:pPr>
    </w:p>
    <w:p w14:paraId="5FCC9543" w14:textId="1969D0D5" w:rsidR="00D8206B" w:rsidRPr="00A96ACA" w:rsidRDefault="00D8206B" w:rsidP="00D8206B">
      <w:pPr>
        <w:spacing w:line="276" w:lineRule="auto"/>
        <w:jc w:val="center"/>
        <w:rPr>
          <w:rFonts w:ascii="Times New Roman" w:hAnsi="Times New Roman" w:cs="Times New Roman"/>
          <w:b/>
          <w:bCs/>
          <w:sz w:val="22"/>
          <w:szCs w:val="22"/>
        </w:rPr>
      </w:pPr>
      <w:r w:rsidRPr="00A96ACA">
        <w:rPr>
          <w:rFonts w:ascii="Times New Roman" w:hAnsi="Times New Roman" w:cs="Times New Roman"/>
          <w:b/>
          <w:bCs/>
          <w:sz w:val="22"/>
          <w:szCs w:val="22"/>
        </w:rPr>
        <w:t>Results and Discussion</w:t>
      </w:r>
    </w:p>
    <w:p w14:paraId="46871B95" w14:textId="77777777" w:rsidR="00D8206B" w:rsidRPr="00A96ACA" w:rsidRDefault="00D8206B" w:rsidP="00D8206B">
      <w:pPr>
        <w:spacing w:line="276" w:lineRule="auto"/>
        <w:jc w:val="both"/>
        <w:rPr>
          <w:rFonts w:ascii="Times New Roman" w:hAnsi="Times New Roman" w:cs="Times New Roman"/>
          <w:sz w:val="22"/>
          <w:szCs w:val="22"/>
        </w:rPr>
      </w:pPr>
      <w:r w:rsidRPr="00A96ACA">
        <w:rPr>
          <w:rFonts w:ascii="Times New Roman" w:hAnsi="Times New Roman" w:cs="Times New Roman"/>
          <w:b/>
          <w:bCs/>
          <w:sz w:val="22"/>
          <w:szCs w:val="22"/>
        </w:rPr>
        <w:t>4.1</w:t>
      </w:r>
      <w:r w:rsidRPr="00A96ACA">
        <w:rPr>
          <w:rFonts w:ascii="Times New Roman" w:hAnsi="Times New Roman" w:cs="Times New Roman"/>
          <w:b/>
          <w:bCs/>
          <w:sz w:val="22"/>
          <w:szCs w:val="22"/>
        </w:rPr>
        <w:tab/>
        <w:t>Results and Analyzes</w:t>
      </w:r>
    </w:p>
    <w:p w14:paraId="483A00B7" w14:textId="77777777" w:rsidR="00D8206B" w:rsidRPr="00CC6722" w:rsidRDefault="00D8206B" w:rsidP="00D8206B">
      <w:pPr>
        <w:keepNext/>
        <w:keepLines/>
        <w:spacing w:before="40" w:after="0" w:line="276" w:lineRule="auto"/>
        <w:jc w:val="both"/>
        <w:outlineLvl w:val="2"/>
        <w:rPr>
          <w:rFonts w:ascii="Times New Roman" w:eastAsia="Times New Roman" w:hAnsi="Times New Roman" w:cs="Times New Roman"/>
          <w:b/>
          <w:kern w:val="0"/>
          <w:sz w:val="22"/>
          <w:szCs w:val="22"/>
          <w14:ligatures w14:val="none"/>
        </w:rPr>
      </w:pPr>
      <w:r w:rsidRPr="00CC6722">
        <w:rPr>
          <w:rFonts w:ascii="Times New Roman" w:eastAsia="Times New Roman" w:hAnsi="Times New Roman" w:cs="Times New Roman"/>
          <w:b/>
          <w:kern w:val="0"/>
          <w:sz w:val="22"/>
          <w:szCs w:val="22"/>
          <w14:ligatures w14:val="none"/>
        </w:rPr>
        <w:t>Table 4.</w:t>
      </w:r>
      <w:r w:rsidRPr="00A96ACA">
        <w:rPr>
          <w:rFonts w:ascii="Times New Roman" w:eastAsia="Times New Roman" w:hAnsi="Times New Roman" w:cs="Times New Roman"/>
          <w:b/>
          <w:kern w:val="0"/>
          <w:sz w:val="22"/>
          <w:szCs w:val="22"/>
          <w14:ligatures w14:val="none"/>
        </w:rPr>
        <w:t>1</w:t>
      </w:r>
      <w:r w:rsidRPr="00CC6722">
        <w:rPr>
          <w:rFonts w:ascii="Times New Roman" w:eastAsia="Times New Roman" w:hAnsi="Times New Roman" w:cs="Times New Roman"/>
          <w:b/>
          <w:kern w:val="0"/>
          <w:sz w:val="22"/>
          <w:szCs w:val="22"/>
          <w14:ligatures w14:val="none"/>
        </w:rPr>
        <w:t>: ADF Tests Results</w:t>
      </w:r>
    </w:p>
    <w:tbl>
      <w:tblPr>
        <w:tblW w:w="0" w:type="auto"/>
        <w:tblInd w:w="30" w:type="dxa"/>
        <w:tblLayout w:type="fixed"/>
        <w:tblCellMar>
          <w:left w:w="0" w:type="dxa"/>
          <w:right w:w="0" w:type="dxa"/>
        </w:tblCellMar>
        <w:tblLook w:val="0000" w:firstRow="0" w:lastRow="0" w:firstColumn="0" w:lastColumn="0" w:noHBand="0" w:noVBand="0"/>
      </w:tblPr>
      <w:tblGrid>
        <w:gridCol w:w="1104"/>
        <w:gridCol w:w="1282"/>
        <w:gridCol w:w="1282"/>
        <w:gridCol w:w="1283"/>
        <w:gridCol w:w="1283"/>
        <w:gridCol w:w="1282"/>
        <w:gridCol w:w="1282"/>
      </w:tblGrid>
      <w:tr w:rsidR="00D8206B" w:rsidRPr="00CC6722" w14:paraId="5358188F" w14:textId="77777777" w:rsidTr="00D00B3F">
        <w:trPr>
          <w:trHeight w:hRule="exact" w:val="125"/>
        </w:trPr>
        <w:tc>
          <w:tcPr>
            <w:tcW w:w="1104" w:type="dxa"/>
            <w:tcBorders>
              <w:top w:val="nil"/>
              <w:left w:val="nil"/>
              <w:bottom w:val="double" w:sz="6" w:space="2" w:color="auto"/>
              <w:right w:val="nil"/>
            </w:tcBorders>
            <w:vAlign w:val="bottom"/>
          </w:tcPr>
          <w:p w14:paraId="743A414C" w14:textId="77777777" w:rsidR="00D8206B" w:rsidRPr="00CC6722" w:rsidRDefault="00D8206B" w:rsidP="00D00B3F">
            <w:pPr>
              <w:spacing w:line="276" w:lineRule="auto"/>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79E7F21F"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524096A8"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12E08D91"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4BA3A1AE"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5F7E7E4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12BF637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700E1B1A" w14:textId="77777777" w:rsidTr="00D00B3F">
        <w:trPr>
          <w:trHeight w:hRule="exact" w:val="188"/>
        </w:trPr>
        <w:tc>
          <w:tcPr>
            <w:tcW w:w="1104" w:type="dxa"/>
            <w:tcBorders>
              <w:top w:val="nil"/>
              <w:left w:val="nil"/>
              <w:bottom w:val="nil"/>
              <w:right w:val="nil"/>
            </w:tcBorders>
            <w:vAlign w:val="bottom"/>
          </w:tcPr>
          <w:p w14:paraId="75B30C9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70F743F0"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58F63FDA"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79FC7D2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665A8E78"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3B18861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36DDA4F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1C6A76E1" w14:textId="77777777" w:rsidTr="00D00B3F">
        <w:trPr>
          <w:trHeight w:val="315"/>
        </w:trPr>
        <w:tc>
          <w:tcPr>
            <w:tcW w:w="1104" w:type="dxa"/>
            <w:tcBorders>
              <w:top w:val="nil"/>
              <w:left w:val="nil"/>
              <w:bottom w:val="nil"/>
              <w:right w:val="nil"/>
            </w:tcBorders>
            <w:vAlign w:val="bottom"/>
          </w:tcPr>
          <w:p w14:paraId="683294F3"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 Lag</w:t>
            </w:r>
          </w:p>
        </w:tc>
        <w:tc>
          <w:tcPr>
            <w:tcW w:w="2564" w:type="dxa"/>
            <w:gridSpan w:val="2"/>
            <w:tcBorders>
              <w:top w:val="nil"/>
              <w:left w:val="nil"/>
              <w:bottom w:val="nil"/>
              <w:right w:val="nil"/>
            </w:tcBorders>
            <w:vAlign w:val="bottom"/>
          </w:tcPr>
          <w:p w14:paraId="77892CAE"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ADF Statistic</w:t>
            </w:r>
          </w:p>
        </w:tc>
        <w:tc>
          <w:tcPr>
            <w:tcW w:w="2566" w:type="dxa"/>
            <w:gridSpan w:val="2"/>
            <w:tcBorders>
              <w:top w:val="nil"/>
              <w:left w:val="nil"/>
              <w:bottom w:val="nil"/>
              <w:right w:val="nil"/>
            </w:tcBorders>
            <w:vAlign w:val="bottom"/>
          </w:tcPr>
          <w:p w14:paraId="6483F97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Probability</w:t>
            </w:r>
          </w:p>
        </w:tc>
        <w:tc>
          <w:tcPr>
            <w:tcW w:w="2564" w:type="dxa"/>
            <w:gridSpan w:val="2"/>
            <w:tcBorders>
              <w:top w:val="nil"/>
              <w:left w:val="nil"/>
              <w:bottom w:val="nil"/>
              <w:right w:val="nil"/>
            </w:tcBorders>
            <w:vAlign w:val="bottom"/>
          </w:tcPr>
          <w:p w14:paraId="3605ED3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b/>
                <w:bCs/>
                <w:color w:val="000000"/>
                <w:sz w:val="22"/>
                <w:szCs w:val="22"/>
              </w:rPr>
            </w:pPr>
            <w:r w:rsidRPr="00CC6722">
              <w:rPr>
                <w:rFonts w:ascii="Times New Roman" w:eastAsia="Calibri" w:hAnsi="Times New Roman" w:cs="Times New Roman"/>
                <w:b/>
                <w:bCs/>
                <w:color w:val="000000"/>
                <w:sz w:val="22"/>
                <w:szCs w:val="22"/>
              </w:rPr>
              <w:t>Level of Integration</w:t>
            </w:r>
          </w:p>
        </w:tc>
      </w:tr>
      <w:tr w:rsidR="00D8206B" w:rsidRPr="00CC6722" w14:paraId="3D30FFE9" w14:textId="77777777" w:rsidTr="00D00B3F">
        <w:trPr>
          <w:trHeight w:hRule="exact" w:val="78"/>
        </w:trPr>
        <w:tc>
          <w:tcPr>
            <w:tcW w:w="1104" w:type="dxa"/>
            <w:tcBorders>
              <w:top w:val="nil"/>
              <w:left w:val="nil"/>
              <w:bottom w:val="double" w:sz="6" w:space="2" w:color="auto"/>
              <w:right w:val="nil"/>
            </w:tcBorders>
            <w:vAlign w:val="bottom"/>
          </w:tcPr>
          <w:p w14:paraId="3B5F610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551AAB8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7B332D4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755D4227"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2" w:color="auto"/>
              <w:right w:val="nil"/>
            </w:tcBorders>
            <w:vAlign w:val="bottom"/>
          </w:tcPr>
          <w:p w14:paraId="15BFBD18"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77C5FCF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2" w:color="auto"/>
              <w:right w:val="nil"/>
            </w:tcBorders>
            <w:vAlign w:val="bottom"/>
          </w:tcPr>
          <w:p w14:paraId="01874364"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65401E35" w14:textId="77777777" w:rsidTr="00D00B3F">
        <w:trPr>
          <w:trHeight w:hRule="exact" w:val="188"/>
        </w:trPr>
        <w:tc>
          <w:tcPr>
            <w:tcW w:w="1104" w:type="dxa"/>
            <w:tcBorders>
              <w:top w:val="nil"/>
              <w:left w:val="nil"/>
              <w:bottom w:val="nil"/>
              <w:right w:val="nil"/>
            </w:tcBorders>
            <w:vAlign w:val="bottom"/>
          </w:tcPr>
          <w:p w14:paraId="1BD66A69"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0BBCF824"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6B88472E"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661FA233"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nil"/>
              <w:right w:val="nil"/>
            </w:tcBorders>
            <w:vAlign w:val="bottom"/>
          </w:tcPr>
          <w:p w14:paraId="669E6D58"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66D5BB9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nil"/>
              <w:right w:val="nil"/>
            </w:tcBorders>
            <w:vAlign w:val="bottom"/>
          </w:tcPr>
          <w:p w14:paraId="308B2611"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r w:rsidR="00D8206B" w:rsidRPr="00CC6722" w14:paraId="5278FEEF" w14:textId="77777777" w:rsidTr="00D00B3F">
        <w:trPr>
          <w:trHeight w:val="315"/>
        </w:trPr>
        <w:tc>
          <w:tcPr>
            <w:tcW w:w="1104" w:type="dxa"/>
            <w:tcBorders>
              <w:top w:val="nil"/>
              <w:left w:val="nil"/>
              <w:bottom w:val="nil"/>
              <w:right w:val="nil"/>
            </w:tcBorders>
            <w:vAlign w:val="bottom"/>
          </w:tcPr>
          <w:p w14:paraId="67D3D4C2"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L(ISO)</w:t>
            </w:r>
          </w:p>
        </w:tc>
        <w:tc>
          <w:tcPr>
            <w:tcW w:w="2564" w:type="dxa"/>
            <w:gridSpan w:val="2"/>
            <w:tcBorders>
              <w:top w:val="nil"/>
              <w:left w:val="nil"/>
              <w:bottom w:val="nil"/>
              <w:right w:val="nil"/>
            </w:tcBorders>
            <w:vAlign w:val="bottom"/>
          </w:tcPr>
          <w:p w14:paraId="4495F9D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-4.478984</w:t>
            </w:r>
          </w:p>
        </w:tc>
        <w:tc>
          <w:tcPr>
            <w:tcW w:w="2566" w:type="dxa"/>
            <w:gridSpan w:val="2"/>
            <w:tcBorders>
              <w:top w:val="nil"/>
              <w:left w:val="nil"/>
              <w:bottom w:val="nil"/>
              <w:right w:val="nil"/>
            </w:tcBorders>
            <w:vAlign w:val="bottom"/>
          </w:tcPr>
          <w:p w14:paraId="489E34A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0.0014</w:t>
            </w:r>
          </w:p>
        </w:tc>
        <w:tc>
          <w:tcPr>
            <w:tcW w:w="2564" w:type="dxa"/>
            <w:gridSpan w:val="2"/>
            <w:tcBorders>
              <w:top w:val="nil"/>
              <w:left w:val="nil"/>
              <w:bottom w:val="nil"/>
              <w:right w:val="nil"/>
            </w:tcBorders>
            <w:vAlign w:val="bottom"/>
          </w:tcPr>
          <w:p w14:paraId="7857919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0)</w:t>
            </w:r>
          </w:p>
        </w:tc>
      </w:tr>
      <w:tr w:rsidR="00D8206B" w:rsidRPr="00CC6722" w14:paraId="0AFB1710" w14:textId="77777777" w:rsidTr="00D00B3F">
        <w:trPr>
          <w:trHeight w:val="315"/>
        </w:trPr>
        <w:tc>
          <w:tcPr>
            <w:tcW w:w="1104" w:type="dxa"/>
            <w:tcBorders>
              <w:top w:val="nil"/>
              <w:left w:val="nil"/>
              <w:bottom w:val="nil"/>
              <w:right w:val="nil"/>
            </w:tcBorders>
            <w:vAlign w:val="bottom"/>
          </w:tcPr>
          <w:p w14:paraId="06D8EFC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L(ED)</w:t>
            </w:r>
          </w:p>
        </w:tc>
        <w:tc>
          <w:tcPr>
            <w:tcW w:w="2564" w:type="dxa"/>
            <w:gridSpan w:val="2"/>
            <w:tcBorders>
              <w:top w:val="nil"/>
              <w:left w:val="nil"/>
              <w:bottom w:val="nil"/>
              <w:right w:val="nil"/>
            </w:tcBorders>
            <w:vAlign w:val="bottom"/>
          </w:tcPr>
          <w:p w14:paraId="4B72FCF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-3.753771</w:t>
            </w:r>
          </w:p>
        </w:tc>
        <w:tc>
          <w:tcPr>
            <w:tcW w:w="2566" w:type="dxa"/>
            <w:gridSpan w:val="2"/>
            <w:tcBorders>
              <w:top w:val="nil"/>
              <w:left w:val="nil"/>
              <w:bottom w:val="nil"/>
              <w:right w:val="nil"/>
            </w:tcBorders>
            <w:vAlign w:val="bottom"/>
          </w:tcPr>
          <w:p w14:paraId="15600DAA"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0.0093</w:t>
            </w:r>
          </w:p>
        </w:tc>
        <w:tc>
          <w:tcPr>
            <w:tcW w:w="2564" w:type="dxa"/>
            <w:gridSpan w:val="2"/>
            <w:tcBorders>
              <w:top w:val="nil"/>
              <w:left w:val="nil"/>
              <w:bottom w:val="nil"/>
              <w:right w:val="nil"/>
            </w:tcBorders>
            <w:vAlign w:val="bottom"/>
          </w:tcPr>
          <w:p w14:paraId="20F8FC7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1)</w:t>
            </w:r>
          </w:p>
        </w:tc>
      </w:tr>
      <w:tr w:rsidR="00D8206B" w:rsidRPr="00CC6722" w14:paraId="577131FA" w14:textId="77777777" w:rsidTr="00D00B3F">
        <w:trPr>
          <w:trHeight w:val="315"/>
        </w:trPr>
        <w:tc>
          <w:tcPr>
            <w:tcW w:w="1104" w:type="dxa"/>
            <w:tcBorders>
              <w:top w:val="nil"/>
              <w:left w:val="nil"/>
              <w:bottom w:val="nil"/>
              <w:right w:val="nil"/>
            </w:tcBorders>
            <w:vAlign w:val="bottom"/>
          </w:tcPr>
          <w:p w14:paraId="5DB07782"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L(DD)</w:t>
            </w:r>
          </w:p>
        </w:tc>
        <w:tc>
          <w:tcPr>
            <w:tcW w:w="2564" w:type="dxa"/>
            <w:gridSpan w:val="2"/>
            <w:tcBorders>
              <w:top w:val="nil"/>
              <w:left w:val="nil"/>
              <w:bottom w:val="nil"/>
              <w:right w:val="nil"/>
            </w:tcBorders>
            <w:vAlign w:val="bottom"/>
          </w:tcPr>
          <w:p w14:paraId="55E5A6FE"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-4.136788</w:t>
            </w:r>
          </w:p>
        </w:tc>
        <w:tc>
          <w:tcPr>
            <w:tcW w:w="2566" w:type="dxa"/>
            <w:gridSpan w:val="2"/>
            <w:tcBorders>
              <w:top w:val="nil"/>
              <w:left w:val="nil"/>
              <w:bottom w:val="nil"/>
              <w:right w:val="nil"/>
            </w:tcBorders>
            <w:vAlign w:val="bottom"/>
          </w:tcPr>
          <w:p w14:paraId="66444646"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0.0029</w:t>
            </w:r>
          </w:p>
        </w:tc>
        <w:tc>
          <w:tcPr>
            <w:tcW w:w="2564" w:type="dxa"/>
            <w:gridSpan w:val="2"/>
            <w:tcBorders>
              <w:top w:val="nil"/>
              <w:left w:val="nil"/>
              <w:bottom w:val="nil"/>
              <w:right w:val="nil"/>
            </w:tcBorders>
            <w:vAlign w:val="bottom"/>
          </w:tcPr>
          <w:p w14:paraId="6448C9C3"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1)</w:t>
            </w:r>
          </w:p>
        </w:tc>
      </w:tr>
      <w:tr w:rsidR="00D8206B" w:rsidRPr="00CC6722" w14:paraId="68EC6540" w14:textId="77777777" w:rsidTr="00D00B3F">
        <w:trPr>
          <w:trHeight w:val="315"/>
        </w:trPr>
        <w:tc>
          <w:tcPr>
            <w:tcW w:w="1104" w:type="dxa"/>
            <w:tcBorders>
              <w:top w:val="nil"/>
              <w:left w:val="nil"/>
              <w:bottom w:val="nil"/>
              <w:right w:val="nil"/>
            </w:tcBorders>
            <w:vAlign w:val="bottom"/>
          </w:tcPr>
          <w:p w14:paraId="2C97327E"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L(DGDP)</w:t>
            </w:r>
          </w:p>
        </w:tc>
        <w:tc>
          <w:tcPr>
            <w:tcW w:w="2564" w:type="dxa"/>
            <w:gridSpan w:val="2"/>
            <w:tcBorders>
              <w:top w:val="nil"/>
              <w:left w:val="nil"/>
              <w:bottom w:val="nil"/>
              <w:right w:val="nil"/>
            </w:tcBorders>
            <w:vAlign w:val="bottom"/>
          </w:tcPr>
          <w:p w14:paraId="3F78CA1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-5.052177</w:t>
            </w:r>
          </w:p>
        </w:tc>
        <w:tc>
          <w:tcPr>
            <w:tcW w:w="2566" w:type="dxa"/>
            <w:gridSpan w:val="2"/>
            <w:tcBorders>
              <w:top w:val="nil"/>
              <w:left w:val="nil"/>
              <w:bottom w:val="nil"/>
              <w:right w:val="nil"/>
            </w:tcBorders>
            <w:vAlign w:val="bottom"/>
          </w:tcPr>
          <w:p w14:paraId="17EE992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0.0004</w:t>
            </w:r>
          </w:p>
        </w:tc>
        <w:tc>
          <w:tcPr>
            <w:tcW w:w="2564" w:type="dxa"/>
            <w:gridSpan w:val="2"/>
            <w:tcBorders>
              <w:top w:val="nil"/>
              <w:left w:val="nil"/>
              <w:bottom w:val="nil"/>
              <w:right w:val="nil"/>
            </w:tcBorders>
            <w:vAlign w:val="bottom"/>
          </w:tcPr>
          <w:p w14:paraId="3776F04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roofErr w:type="gramStart"/>
            <w:r w:rsidRPr="00CC6722">
              <w:rPr>
                <w:rFonts w:ascii="Times New Roman" w:eastAsia="Calibri" w:hAnsi="Times New Roman" w:cs="Times New Roman"/>
                <w:color w:val="000000"/>
                <w:sz w:val="22"/>
                <w:szCs w:val="22"/>
              </w:rPr>
              <w:t>I(</w:t>
            </w:r>
            <w:proofErr w:type="gramEnd"/>
            <w:r w:rsidRPr="00CC6722">
              <w:rPr>
                <w:rFonts w:ascii="Times New Roman" w:eastAsia="Calibri" w:hAnsi="Times New Roman" w:cs="Times New Roman"/>
                <w:color w:val="000000"/>
                <w:sz w:val="22"/>
                <w:szCs w:val="22"/>
              </w:rPr>
              <w:t>1)</w:t>
            </w:r>
          </w:p>
        </w:tc>
      </w:tr>
      <w:tr w:rsidR="00D8206B" w:rsidRPr="00CC6722" w14:paraId="2A2B869B" w14:textId="77777777" w:rsidTr="00D00B3F">
        <w:trPr>
          <w:trHeight w:hRule="exact" w:val="125"/>
        </w:trPr>
        <w:tc>
          <w:tcPr>
            <w:tcW w:w="1104" w:type="dxa"/>
            <w:tcBorders>
              <w:top w:val="nil"/>
              <w:left w:val="nil"/>
              <w:bottom w:val="double" w:sz="6" w:space="0" w:color="auto"/>
              <w:right w:val="nil"/>
            </w:tcBorders>
            <w:vAlign w:val="bottom"/>
          </w:tcPr>
          <w:p w14:paraId="4FF52E74"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0C03E8B1"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0D028BE5"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0" w:color="auto"/>
              <w:right w:val="nil"/>
            </w:tcBorders>
            <w:vAlign w:val="bottom"/>
          </w:tcPr>
          <w:p w14:paraId="35BD8F82"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3" w:type="dxa"/>
            <w:tcBorders>
              <w:top w:val="nil"/>
              <w:left w:val="nil"/>
              <w:bottom w:val="double" w:sz="6" w:space="0" w:color="auto"/>
              <w:right w:val="nil"/>
            </w:tcBorders>
            <w:vAlign w:val="bottom"/>
          </w:tcPr>
          <w:p w14:paraId="4437345C"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14E087DD"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c>
          <w:tcPr>
            <w:tcW w:w="1282" w:type="dxa"/>
            <w:tcBorders>
              <w:top w:val="nil"/>
              <w:left w:val="nil"/>
              <w:bottom w:val="double" w:sz="6" w:space="0" w:color="auto"/>
              <w:right w:val="nil"/>
            </w:tcBorders>
            <w:vAlign w:val="bottom"/>
          </w:tcPr>
          <w:p w14:paraId="04C8E5FB" w14:textId="77777777" w:rsidR="00D8206B" w:rsidRPr="00CC6722" w:rsidRDefault="00D8206B" w:rsidP="00D00B3F">
            <w:pPr>
              <w:autoSpaceDE w:val="0"/>
              <w:autoSpaceDN w:val="0"/>
              <w:adjustRightInd w:val="0"/>
              <w:spacing w:after="0" w:line="276" w:lineRule="auto"/>
              <w:jc w:val="center"/>
              <w:rPr>
                <w:rFonts w:ascii="Times New Roman" w:eastAsia="Calibri" w:hAnsi="Times New Roman" w:cs="Times New Roman"/>
                <w:color w:val="000000"/>
                <w:sz w:val="22"/>
                <w:szCs w:val="22"/>
              </w:rPr>
            </w:pPr>
          </w:p>
        </w:tc>
      </w:tr>
    </w:tbl>
    <w:p w14:paraId="62D7B987" w14:textId="77777777" w:rsidR="00D8206B" w:rsidRPr="00CC6722" w:rsidRDefault="00D8206B" w:rsidP="00D8206B">
      <w:pPr>
        <w:spacing w:line="276" w:lineRule="auto"/>
        <w:jc w:val="both"/>
        <w:rPr>
          <w:rFonts w:ascii="Times New Roman" w:eastAsia="Calibri" w:hAnsi="Times New Roman" w:cs="Times New Roman"/>
          <w:sz w:val="22"/>
          <w:szCs w:val="22"/>
        </w:rPr>
      </w:pPr>
      <w:r w:rsidRPr="00CC6722">
        <w:rPr>
          <w:rFonts w:ascii="Times New Roman" w:eastAsia="Calibri" w:hAnsi="Times New Roman" w:cs="Times New Roman"/>
          <w:b/>
          <w:sz w:val="22"/>
          <w:szCs w:val="22"/>
        </w:rPr>
        <w:t>Source:</w:t>
      </w:r>
      <w:r w:rsidRPr="00CC6722">
        <w:rPr>
          <w:rFonts w:ascii="Times New Roman" w:eastAsia="Calibri" w:hAnsi="Times New Roman" w:cs="Times New Roman"/>
          <w:sz w:val="22"/>
          <w:szCs w:val="22"/>
        </w:rPr>
        <w:t xml:space="preserve"> Author’s computations with E-views Version 10 (2025) </w:t>
      </w:r>
    </w:p>
    <w:p w14:paraId="08F56C5A" w14:textId="77777777" w:rsidR="00D8206B" w:rsidRDefault="00D8206B" w:rsidP="00D8206B">
      <w:pPr>
        <w:autoSpaceDE w:val="0"/>
        <w:autoSpaceDN w:val="0"/>
        <w:adjustRightInd w:val="0"/>
        <w:spacing w:after="0" w:line="276" w:lineRule="auto"/>
        <w:jc w:val="both"/>
        <w:rPr>
          <w:rFonts w:ascii="Times New Roman" w:hAnsi="Times New Roman"/>
          <w:sz w:val="22"/>
          <w:szCs w:val="22"/>
        </w:rPr>
      </w:pPr>
      <w:r w:rsidRPr="00A96ACA">
        <w:rPr>
          <w:rFonts w:ascii="Times New Roman" w:hAnsi="Times New Roman"/>
          <w:sz w:val="22"/>
          <w:szCs w:val="22"/>
        </w:rPr>
        <w:t>The output of the unit root test below in table 4.1 shows that only (AGDP) was stationary at level. However, for the remaining variables (ED, DD, DGDP), the null assumptions of the unit root of the variables were rejected when the time series were first differenced. This thus agrees with the flexibility and suitability of ARDL for 1(0) and 1(1) order of integration. Hence the use of ARDL cointegration method is justified.</w:t>
      </w:r>
    </w:p>
    <w:p w14:paraId="46DF243B"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67A45002"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429FA64E"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3B00E294"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6039D7CE"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530B0638"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73C850C3"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3E0355B7"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42E0160A"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33FFDF02" w14:textId="77777777" w:rsidR="00DA5AE9" w:rsidRDefault="00DA5AE9" w:rsidP="00D8206B">
      <w:pPr>
        <w:autoSpaceDE w:val="0"/>
        <w:autoSpaceDN w:val="0"/>
        <w:adjustRightInd w:val="0"/>
        <w:spacing w:after="0" w:line="276" w:lineRule="auto"/>
        <w:jc w:val="both"/>
        <w:rPr>
          <w:rFonts w:ascii="Times New Roman" w:hAnsi="Times New Roman"/>
          <w:sz w:val="22"/>
          <w:szCs w:val="22"/>
        </w:rPr>
      </w:pPr>
    </w:p>
    <w:p w14:paraId="4D755DB9" w14:textId="77777777" w:rsidR="00DA5AE9" w:rsidRPr="00A96ACA" w:rsidRDefault="00DA5AE9" w:rsidP="00D8206B">
      <w:pPr>
        <w:autoSpaceDE w:val="0"/>
        <w:autoSpaceDN w:val="0"/>
        <w:adjustRightInd w:val="0"/>
        <w:spacing w:after="0" w:line="276" w:lineRule="auto"/>
        <w:jc w:val="both"/>
        <w:rPr>
          <w:rFonts w:ascii="Times New Roman" w:hAnsi="Times New Roman"/>
          <w:sz w:val="22"/>
          <w:szCs w:val="22"/>
        </w:rPr>
      </w:pPr>
    </w:p>
    <w:p w14:paraId="4A4A7948" w14:textId="77777777" w:rsidR="00D8206B" w:rsidRPr="00CC6722" w:rsidRDefault="00D8206B" w:rsidP="00D8206B">
      <w:pPr>
        <w:keepNext/>
        <w:keepLines/>
        <w:spacing w:before="40" w:after="0" w:line="276" w:lineRule="auto"/>
        <w:jc w:val="both"/>
        <w:outlineLvl w:val="2"/>
        <w:rPr>
          <w:rFonts w:ascii="Times New Roman" w:eastAsia="Times New Roman" w:hAnsi="Times New Roman" w:cs="Times New Roman"/>
          <w:b/>
          <w:kern w:val="0"/>
          <w:sz w:val="22"/>
          <w:szCs w:val="22"/>
          <w14:ligatures w14:val="none"/>
        </w:rPr>
      </w:pPr>
      <w:bookmarkStart w:id="20" w:name="_Toc214835438"/>
      <w:r w:rsidRPr="00CC6722">
        <w:rPr>
          <w:rFonts w:ascii="Times New Roman" w:eastAsia="Times New Roman" w:hAnsi="Times New Roman" w:cs="Times New Roman"/>
          <w:b/>
          <w:kern w:val="0"/>
          <w:sz w:val="22"/>
          <w:szCs w:val="22"/>
          <w14:ligatures w14:val="none"/>
        </w:rPr>
        <w:t>Table 4.</w:t>
      </w:r>
      <w:r w:rsidRPr="00A96ACA">
        <w:rPr>
          <w:rFonts w:ascii="Times New Roman" w:eastAsia="Times New Roman" w:hAnsi="Times New Roman" w:cs="Times New Roman"/>
          <w:b/>
          <w:kern w:val="0"/>
          <w:sz w:val="22"/>
          <w:szCs w:val="22"/>
          <w14:ligatures w14:val="none"/>
        </w:rPr>
        <w:t>2</w:t>
      </w:r>
      <w:r w:rsidRPr="00CC6722">
        <w:rPr>
          <w:rFonts w:ascii="Times New Roman" w:eastAsia="Times New Roman" w:hAnsi="Times New Roman" w:cs="Times New Roman"/>
          <w:b/>
          <w:kern w:val="0"/>
          <w:sz w:val="22"/>
          <w:szCs w:val="22"/>
          <w14:ligatures w14:val="none"/>
        </w:rPr>
        <w:t>: F-Bounds Test for ISO model</w:t>
      </w:r>
      <w:bookmarkEnd w:id="20"/>
    </w:p>
    <w:tbl>
      <w:tblPr>
        <w:tblW w:w="0" w:type="auto"/>
        <w:tblInd w:w="30" w:type="dxa"/>
        <w:tblLayout w:type="fixed"/>
        <w:tblCellMar>
          <w:left w:w="0" w:type="dxa"/>
          <w:right w:w="0" w:type="dxa"/>
        </w:tblCellMar>
        <w:tblLook w:val="0000" w:firstRow="0" w:lastRow="0" w:firstColumn="0" w:lastColumn="0" w:noHBand="0" w:noVBand="0"/>
      </w:tblPr>
      <w:tblGrid>
        <w:gridCol w:w="2768"/>
        <w:gridCol w:w="1372"/>
        <w:gridCol w:w="1500"/>
        <w:gridCol w:w="1501"/>
        <w:gridCol w:w="1241"/>
      </w:tblGrid>
      <w:tr w:rsidR="00D8206B" w:rsidRPr="00CC6722" w14:paraId="67928BF1" w14:textId="77777777" w:rsidTr="00D00B3F">
        <w:trPr>
          <w:trHeight w:val="215"/>
        </w:trPr>
        <w:tc>
          <w:tcPr>
            <w:tcW w:w="4140" w:type="dxa"/>
            <w:gridSpan w:val="2"/>
            <w:tcBorders>
              <w:top w:val="single" w:sz="4" w:space="0" w:color="auto"/>
              <w:left w:val="nil"/>
              <w:bottom w:val="nil"/>
              <w:right w:val="nil"/>
            </w:tcBorders>
            <w:vAlign w:val="bottom"/>
          </w:tcPr>
          <w:p w14:paraId="261BAF07"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t>F-Bounds Test</w:t>
            </w:r>
          </w:p>
        </w:tc>
        <w:tc>
          <w:tcPr>
            <w:tcW w:w="4242" w:type="dxa"/>
            <w:gridSpan w:val="3"/>
            <w:tcBorders>
              <w:top w:val="single" w:sz="4" w:space="0" w:color="auto"/>
              <w:left w:val="nil"/>
              <w:bottom w:val="nil"/>
              <w:right w:val="nil"/>
            </w:tcBorders>
            <w:vAlign w:val="bottom"/>
          </w:tcPr>
          <w:p w14:paraId="0F165A4A"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t>Null Hypothesis: No levels relationship</w:t>
            </w:r>
          </w:p>
        </w:tc>
      </w:tr>
      <w:tr w:rsidR="00D8206B" w:rsidRPr="00CC6722" w14:paraId="2C66C774" w14:textId="77777777" w:rsidTr="00D00B3F">
        <w:trPr>
          <w:trHeight w:hRule="exact" w:val="86"/>
        </w:trPr>
        <w:tc>
          <w:tcPr>
            <w:tcW w:w="2768" w:type="dxa"/>
            <w:tcBorders>
              <w:top w:val="nil"/>
              <w:left w:val="nil"/>
              <w:bottom w:val="double" w:sz="6" w:space="0" w:color="auto"/>
              <w:right w:val="nil"/>
            </w:tcBorders>
            <w:vAlign w:val="bottom"/>
          </w:tcPr>
          <w:p w14:paraId="7C0F8C3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371" w:type="dxa"/>
            <w:tcBorders>
              <w:top w:val="nil"/>
              <w:left w:val="nil"/>
              <w:bottom w:val="double" w:sz="6" w:space="0" w:color="auto"/>
              <w:right w:val="nil"/>
            </w:tcBorders>
            <w:vAlign w:val="bottom"/>
          </w:tcPr>
          <w:p w14:paraId="7B82265D"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0" w:type="dxa"/>
            <w:tcBorders>
              <w:top w:val="nil"/>
              <w:left w:val="nil"/>
              <w:bottom w:val="double" w:sz="6" w:space="0" w:color="auto"/>
              <w:right w:val="nil"/>
            </w:tcBorders>
            <w:vAlign w:val="bottom"/>
          </w:tcPr>
          <w:p w14:paraId="4B06B3A6"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1" w:type="dxa"/>
            <w:tcBorders>
              <w:top w:val="nil"/>
              <w:left w:val="nil"/>
              <w:bottom w:val="double" w:sz="6" w:space="0" w:color="auto"/>
              <w:right w:val="nil"/>
            </w:tcBorders>
            <w:vAlign w:val="bottom"/>
          </w:tcPr>
          <w:p w14:paraId="5B26B68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239" w:type="dxa"/>
            <w:tcBorders>
              <w:top w:val="nil"/>
              <w:left w:val="nil"/>
              <w:bottom w:val="double" w:sz="6" w:space="0" w:color="auto"/>
              <w:right w:val="nil"/>
            </w:tcBorders>
            <w:vAlign w:val="bottom"/>
          </w:tcPr>
          <w:p w14:paraId="77344C7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r>
      <w:tr w:rsidR="00D8206B" w:rsidRPr="00CC6722" w14:paraId="60B5E0B6" w14:textId="77777777" w:rsidTr="00D00B3F">
        <w:trPr>
          <w:trHeight w:hRule="exact" w:val="129"/>
        </w:trPr>
        <w:tc>
          <w:tcPr>
            <w:tcW w:w="2768" w:type="dxa"/>
            <w:tcBorders>
              <w:top w:val="double" w:sz="6" w:space="0" w:color="auto"/>
              <w:left w:val="nil"/>
              <w:bottom w:val="nil"/>
              <w:right w:val="nil"/>
            </w:tcBorders>
            <w:vAlign w:val="bottom"/>
          </w:tcPr>
          <w:p w14:paraId="7DFE6C9A"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371" w:type="dxa"/>
            <w:tcBorders>
              <w:top w:val="double" w:sz="6" w:space="0" w:color="auto"/>
              <w:left w:val="nil"/>
              <w:bottom w:val="nil"/>
              <w:right w:val="nil"/>
            </w:tcBorders>
            <w:vAlign w:val="bottom"/>
          </w:tcPr>
          <w:p w14:paraId="24994A6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0" w:type="dxa"/>
            <w:tcBorders>
              <w:top w:val="double" w:sz="6" w:space="0" w:color="auto"/>
              <w:left w:val="nil"/>
              <w:bottom w:val="nil"/>
              <w:right w:val="nil"/>
            </w:tcBorders>
            <w:vAlign w:val="bottom"/>
          </w:tcPr>
          <w:p w14:paraId="27C73D96"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501" w:type="dxa"/>
            <w:tcBorders>
              <w:top w:val="double" w:sz="6" w:space="0" w:color="auto"/>
              <w:left w:val="nil"/>
              <w:bottom w:val="nil"/>
              <w:right w:val="nil"/>
            </w:tcBorders>
            <w:vAlign w:val="bottom"/>
          </w:tcPr>
          <w:p w14:paraId="21926EDF"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c>
          <w:tcPr>
            <w:tcW w:w="1239" w:type="dxa"/>
            <w:tcBorders>
              <w:top w:val="double" w:sz="6" w:space="0" w:color="auto"/>
              <w:left w:val="nil"/>
              <w:bottom w:val="nil"/>
              <w:right w:val="nil"/>
            </w:tcBorders>
            <w:vAlign w:val="bottom"/>
          </w:tcPr>
          <w:p w14:paraId="09B43084"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p>
        </w:tc>
      </w:tr>
      <w:tr w:rsidR="00D8206B" w:rsidRPr="00CC6722" w14:paraId="246F0FE7" w14:textId="77777777" w:rsidTr="00D00B3F">
        <w:trPr>
          <w:trHeight w:val="215"/>
        </w:trPr>
        <w:tc>
          <w:tcPr>
            <w:tcW w:w="2768" w:type="dxa"/>
            <w:tcBorders>
              <w:top w:val="nil"/>
              <w:left w:val="nil"/>
              <w:bottom w:val="nil"/>
              <w:right w:val="nil"/>
            </w:tcBorders>
            <w:vAlign w:val="bottom"/>
          </w:tcPr>
          <w:p w14:paraId="3C7A9F20"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lastRenderedPageBreak/>
              <w:t>Test Statistic</w:t>
            </w:r>
          </w:p>
        </w:tc>
        <w:tc>
          <w:tcPr>
            <w:tcW w:w="1371" w:type="dxa"/>
            <w:tcBorders>
              <w:top w:val="nil"/>
              <w:left w:val="nil"/>
              <w:bottom w:val="nil"/>
              <w:right w:val="nil"/>
            </w:tcBorders>
            <w:vAlign w:val="bottom"/>
          </w:tcPr>
          <w:p w14:paraId="473775E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r w:rsidRPr="00CC6722">
              <w:rPr>
                <w:rFonts w:ascii="Times New Roman" w:eastAsia="Calibri" w:hAnsi="Times New Roman" w:cs="Times New Roman"/>
                <w:b/>
                <w:color w:val="000000"/>
                <w:sz w:val="22"/>
                <w:szCs w:val="22"/>
              </w:rPr>
              <w:t>Value</w:t>
            </w:r>
          </w:p>
        </w:tc>
        <w:tc>
          <w:tcPr>
            <w:tcW w:w="1500" w:type="dxa"/>
            <w:tcBorders>
              <w:top w:val="nil"/>
              <w:left w:val="nil"/>
              <w:bottom w:val="nil"/>
              <w:right w:val="nil"/>
            </w:tcBorders>
            <w:vAlign w:val="bottom"/>
          </w:tcPr>
          <w:p w14:paraId="35B1F7C1"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proofErr w:type="spellStart"/>
            <w:r w:rsidRPr="00CC6722">
              <w:rPr>
                <w:rFonts w:ascii="Times New Roman" w:eastAsia="Calibri" w:hAnsi="Times New Roman" w:cs="Times New Roman"/>
                <w:b/>
                <w:color w:val="000000"/>
                <w:sz w:val="22"/>
                <w:szCs w:val="22"/>
              </w:rPr>
              <w:t>Signif</w:t>
            </w:r>
            <w:proofErr w:type="spellEnd"/>
            <w:r w:rsidRPr="00CC6722">
              <w:rPr>
                <w:rFonts w:ascii="Times New Roman" w:eastAsia="Calibri" w:hAnsi="Times New Roman" w:cs="Times New Roman"/>
                <w:b/>
                <w:color w:val="000000"/>
                <w:sz w:val="22"/>
                <w:szCs w:val="22"/>
              </w:rPr>
              <w:t>.</w:t>
            </w:r>
          </w:p>
        </w:tc>
        <w:tc>
          <w:tcPr>
            <w:tcW w:w="1501" w:type="dxa"/>
            <w:tcBorders>
              <w:top w:val="nil"/>
              <w:left w:val="nil"/>
              <w:bottom w:val="nil"/>
              <w:right w:val="nil"/>
            </w:tcBorders>
            <w:vAlign w:val="bottom"/>
          </w:tcPr>
          <w:p w14:paraId="077A77BD"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proofErr w:type="gramStart"/>
            <w:r w:rsidRPr="00CC6722">
              <w:rPr>
                <w:rFonts w:ascii="Times New Roman" w:eastAsia="Calibri" w:hAnsi="Times New Roman" w:cs="Times New Roman"/>
                <w:b/>
                <w:color w:val="000000"/>
                <w:sz w:val="22"/>
                <w:szCs w:val="22"/>
              </w:rPr>
              <w:t>I(</w:t>
            </w:r>
            <w:proofErr w:type="gramEnd"/>
            <w:r w:rsidRPr="00CC6722">
              <w:rPr>
                <w:rFonts w:ascii="Times New Roman" w:eastAsia="Calibri" w:hAnsi="Times New Roman" w:cs="Times New Roman"/>
                <w:b/>
                <w:color w:val="000000"/>
                <w:sz w:val="22"/>
                <w:szCs w:val="22"/>
              </w:rPr>
              <w:t>0)</w:t>
            </w:r>
          </w:p>
        </w:tc>
        <w:tc>
          <w:tcPr>
            <w:tcW w:w="1239" w:type="dxa"/>
            <w:tcBorders>
              <w:top w:val="nil"/>
              <w:left w:val="nil"/>
              <w:bottom w:val="nil"/>
              <w:right w:val="nil"/>
            </w:tcBorders>
            <w:vAlign w:val="bottom"/>
          </w:tcPr>
          <w:p w14:paraId="00505239"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proofErr w:type="gramStart"/>
            <w:r w:rsidRPr="00CC6722">
              <w:rPr>
                <w:rFonts w:ascii="Times New Roman" w:eastAsia="Calibri" w:hAnsi="Times New Roman" w:cs="Times New Roman"/>
                <w:b/>
                <w:color w:val="000000"/>
                <w:sz w:val="22"/>
                <w:szCs w:val="22"/>
              </w:rPr>
              <w:t>I(</w:t>
            </w:r>
            <w:proofErr w:type="gramEnd"/>
            <w:r w:rsidRPr="00CC6722">
              <w:rPr>
                <w:rFonts w:ascii="Times New Roman" w:eastAsia="Calibri" w:hAnsi="Times New Roman" w:cs="Times New Roman"/>
                <w:b/>
                <w:color w:val="000000"/>
                <w:sz w:val="22"/>
                <w:szCs w:val="22"/>
              </w:rPr>
              <w:t>1)</w:t>
            </w:r>
          </w:p>
        </w:tc>
      </w:tr>
      <w:tr w:rsidR="00D8206B" w:rsidRPr="00CC6722" w14:paraId="23B6DBAB" w14:textId="77777777" w:rsidTr="00D00B3F">
        <w:trPr>
          <w:trHeight w:hRule="exact" w:val="86"/>
        </w:trPr>
        <w:tc>
          <w:tcPr>
            <w:tcW w:w="2768" w:type="dxa"/>
            <w:tcBorders>
              <w:top w:val="nil"/>
              <w:left w:val="nil"/>
              <w:bottom w:val="double" w:sz="6" w:space="2" w:color="auto"/>
              <w:right w:val="nil"/>
            </w:tcBorders>
            <w:vAlign w:val="bottom"/>
          </w:tcPr>
          <w:p w14:paraId="53C1D76D"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double" w:sz="6" w:space="2" w:color="auto"/>
              <w:right w:val="nil"/>
            </w:tcBorders>
            <w:vAlign w:val="bottom"/>
          </w:tcPr>
          <w:p w14:paraId="4E7255E6"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double" w:sz="6" w:space="2" w:color="auto"/>
              <w:right w:val="nil"/>
            </w:tcBorders>
            <w:vAlign w:val="bottom"/>
          </w:tcPr>
          <w:p w14:paraId="13564893"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1" w:type="dxa"/>
            <w:tcBorders>
              <w:top w:val="nil"/>
              <w:left w:val="nil"/>
              <w:bottom w:val="double" w:sz="6" w:space="2" w:color="auto"/>
              <w:right w:val="nil"/>
            </w:tcBorders>
            <w:vAlign w:val="bottom"/>
          </w:tcPr>
          <w:p w14:paraId="702AF81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39" w:type="dxa"/>
            <w:tcBorders>
              <w:top w:val="nil"/>
              <w:left w:val="nil"/>
              <w:bottom w:val="double" w:sz="6" w:space="2" w:color="auto"/>
              <w:right w:val="nil"/>
            </w:tcBorders>
            <w:vAlign w:val="bottom"/>
          </w:tcPr>
          <w:p w14:paraId="3B7C1ED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317114DF" w14:textId="77777777" w:rsidTr="00D00B3F">
        <w:trPr>
          <w:trHeight w:hRule="exact" w:val="129"/>
        </w:trPr>
        <w:tc>
          <w:tcPr>
            <w:tcW w:w="2768" w:type="dxa"/>
            <w:tcBorders>
              <w:top w:val="nil"/>
              <w:left w:val="nil"/>
              <w:bottom w:val="nil"/>
              <w:right w:val="nil"/>
            </w:tcBorders>
            <w:vAlign w:val="bottom"/>
          </w:tcPr>
          <w:p w14:paraId="3915FB4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1B548EB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15F3820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1" w:type="dxa"/>
            <w:tcBorders>
              <w:top w:val="nil"/>
              <w:left w:val="nil"/>
              <w:bottom w:val="nil"/>
              <w:right w:val="nil"/>
            </w:tcBorders>
            <w:vAlign w:val="bottom"/>
          </w:tcPr>
          <w:p w14:paraId="39D0434D"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39" w:type="dxa"/>
            <w:tcBorders>
              <w:top w:val="nil"/>
              <w:left w:val="nil"/>
              <w:bottom w:val="nil"/>
              <w:right w:val="nil"/>
            </w:tcBorders>
            <w:vAlign w:val="bottom"/>
          </w:tcPr>
          <w:p w14:paraId="05B2A503"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5E6E1FD8" w14:textId="77777777" w:rsidTr="00D00B3F">
        <w:trPr>
          <w:trHeight w:val="215"/>
        </w:trPr>
        <w:tc>
          <w:tcPr>
            <w:tcW w:w="2768" w:type="dxa"/>
            <w:tcBorders>
              <w:top w:val="nil"/>
              <w:left w:val="nil"/>
              <w:bottom w:val="nil"/>
              <w:right w:val="nil"/>
            </w:tcBorders>
            <w:vAlign w:val="bottom"/>
          </w:tcPr>
          <w:p w14:paraId="5A3A6C0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0E4E36A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6993B22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1" w:type="dxa"/>
            <w:tcBorders>
              <w:top w:val="nil"/>
              <w:left w:val="nil"/>
              <w:bottom w:val="nil"/>
              <w:right w:val="nil"/>
            </w:tcBorders>
            <w:vAlign w:val="bottom"/>
          </w:tcPr>
          <w:p w14:paraId="622599C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Asymptotic: n=1000</w:t>
            </w:r>
          </w:p>
        </w:tc>
        <w:tc>
          <w:tcPr>
            <w:tcW w:w="1239" w:type="dxa"/>
            <w:tcBorders>
              <w:top w:val="nil"/>
              <w:left w:val="nil"/>
              <w:bottom w:val="nil"/>
              <w:right w:val="nil"/>
            </w:tcBorders>
            <w:vAlign w:val="bottom"/>
          </w:tcPr>
          <w:p w14:paraId="5789D99C"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13E79DB7" w14:textId="77777777" w:rsidTr="00D00B3F">
        <w:trPr>
          <w:trHeight w:val="215"/>
        </w:trPr>
        <w:tc>
          <w:tcPr>
            <w:tcW w:w="2768" w:type="dxa"/>
            <w:tcBorders>
              <w:top w:val="nil"/>
              <w:left w:val="nil"/>
              <w:bottom w:val="nil"/>
              <w:right w:val="nil"/>
            </w:tcBorders>
            <w:vAlign w:val="bottom"/>
          </w:tcPr>
          <w:p w14:paraId="41C88A12"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F-statistic</w:t>
            </w:r>
          </w:p>
        </w:tc>
        <w:tc>
          <w:tcPr>
            <w:tcW w:w="1371" w:type="dxa"/>
            <w:tcBorders>
              <w:top w:val="nil"/>
              <w:left w:val="nil"/>
              <w:bottom w:val="nil"/>
              <w:right w:val="nil"/>
            </w:tcBorders>
            <w:vAlign w:val="bottom"/>
          </w:tcPr>
          <w:p w14:paraId="45659DE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 8.827931</w:t>
            </w:r>
          </w:p>
        </w:tc>
        <w:tc>
          <w:tcPr>
            <w:tcW w:w="1500" w:type="dxa"/>
            <w:tcBorders>
              <w:top w:val="nil"/>
              <w:left w:val="nil"/>
              <w:bottom w:val="nil"/>
              <w:right w:val="nil"/>
            </w:tcBorders>
            <w:vAlign w:val="bottom"/>
          </w:tcPr>
          <w:p w14:paraId="66672D5C"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10%  </w:t>
            </w:r>
          </w:p>
        </w:tc>
        <w:tc>
          <w:tcPr>
            <w:tcW w:w="1501" w:type="dxa"/>
            <w:tcBorders>
              <w:top w:val="nil"/>
              <w:left w:val="nil"/>
              <w:bottom w:val="nil"/>
              <w:right w:val="nil"/>
            </w:tcBorders>
            <w:vAlign w:val="bottom"/>
          </w:tcPr>
          <w:p w14:paraId="1F441417"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2.37</w:t>
            </w:r>
          </w:p>
        </w:tc>
        <w:tc>
          <w:tcPr>
            <w:tcW w:w="1239" w:type="dxa"/>
            <w:tcBorders>
              <w:top w:val="nil"/>
              <w:left w:val="nil"/>
              <w:bottom w:val="nil"/>
              <w:right w:val="nil"/>
            </w:tcBorders>
            <w:vAlign w:val="bottom"/>
          </w:tcPr>
          <w:p w14:paraId="11C37EE4"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3.2</w:t>
            </w:r>
          </w:p>
        </w:tc>
      </w:tr>
      <w:tr w:rsidR="00D8206B" w:rsidRPr="00CC6722" w14:paraId="08556646" w14:textId="77777777" w:rsidTr="00D00B3F">
        <w:trPr>
          <w:trHeight w:val="215"/>
        </w:trPr>
        <w:tc>
          <w:tcPr>
            <w:tcW w:w="2768" w:type="dxa"/>
            <w:tcBorders>
              <w:top w:val="nil"/>
              <w:left w:val="nil"/>
              <w:bottom w:val="nil"/>
              <w:right w:val="nil"/>
            </w:tcBorders>
            <w:vAlign w:val="bottom"/>
          </w:tcPr>
          <w:p w14:paraId="379A2164"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K</w:t>
            </w:r>
          </w:p>
        </w:tc>
        <w:tc>
          <w:tcPr>
            <w:tcW w:w="1371" w:type="dxa"/>
            <w:tcBorders>
              <w:top w:val="nil"/>
              <w:left w:val="nil"/>
              <w:bottom w:val="nil"/>
              <w:right w:val="nil"/>
            </w:tcBorders>
            <w:vAlign w:val="bottom"/>
          </w:tcPr>
          <w:p w14:paraId="2EFFBDBD"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w:t>
            </w:r>
          </w:p>
        </w:tc>
        <w:tc>
          <w:tcPr>
            <w:tcW w:w="1500" w:type="dxa"/>
            <w:tcBorders>
              <w:top w:val="nil"/>
              <w:left w:val="nil"/>
              <w:bottom w:val="nil"/>
              <w:right w:val="nil"/>
            </w:tcBorders>
            <w:vAlign w:val="bottom"/>
          </w:tcPr>
          <w:p w14:paraId="241ECF48"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  </w:t>
            </w:r>
          </w:p>
        </w:tc>
        <w:tc>
          <w:tcPr>
            <w:tcW w:w="1501" w:type="dxa"/>
            <w:tcBorders>
              <w:top w:val="nil"/>
              <w:left w:val="nil"/>
              <w:bottom w:val="nil"/>
              <w:right w:val="nil"/>
            </w:tcBorders>
            <w:vAlign w:val="bottom"/>
          </w:tcPr>
          <w:p w14:paraId="4D02CBE8"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2.79</w:t>
            </w:r>
          </w:p>
        </w:tc>
        <w:tc>
          <w:tcPr>
            <w:tcW w:w="1239" w:type="dxa"/>
            <w:tcBorders>
              <w:top w:val="nil"/>
              <w:left w:val="nil"/>
              <w:bottom w:val="nil"/>
              <w:right w:val="nil"/>
            </w:tcBorders>
            <w:vAlign w:val="bottom"/>
          </w:tcPr>
          <w:p w14:paraId="7F555972"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3.67</w:t>
            </w:r>
          </w:p>
        </w:tc>
      </w:tr>
      <w:tr w:rsidR="00D8206B" w:rsidRPr="00CC6722" w14:paraId="14938BA0" w14:textId="77777777" w:rsidTr="00D00B3F">
        <w:trPr>
          <w:trHeight w:val="215"/>
        </w:trPr>
        <w:tc>
          <w:tcPr>
            <w:tcW w:w="2768" w:type="dxa"/>
            <w:tcBorders>
              <w:top w:val="nil"/>
              <w:left w:val="nil"/>
              <w:bottom w:val="nil"/>
              <w:right w:val="nil"/>
            </w:tcBorders>
            <w:vAlign w:val="bottom"/>
          </w:tcPr>
          <w:p w14:paraId="4F4148A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168CCB2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3259FED1"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2.5%  </w:t>
            </w:r>
          </w:p>
        </w:tc>
        <w:tc>
          <w:tcPr>
            <w:tcW w:w="1501" w:type="dxa"/>
            <w:tcBorders>
              <w:top w:val="nil"/>
              <w:left w:val="nil"/>
              <w:bottom w:val="nil"/>
              <w:right w:val="nil"/>
            </w:tcBorders>
            <w:vAlign w:val="bottom"/>
          </w:tcPr>
          <w:p w14:paraId="4191707E"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3.15</w:t>
            </w:r>
          </w:p>
        </w:tc>
        <w:tc>
          <w:tcPr>
            <w:tcW w:w="1239" w:type="dxa"/>
            <w:tcBorders>
              <w:top w:val="nil"/>
              <w:left w:val="nil"/>
              <w:bottom w:val="nil"/>
              <w:right w:val="nil"/>
            </w:tcBorders>
            <w:vAlign w:val="bottom"/>
          </w:tcPr>
          <w:p w14:paraId="03956014"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4.08</w:t>
            </w:r>
          </w:p>
        </w:tc>
      </w:tr>
      <w:tr w:rsidR="00D8206B" w:rsidRPr="00CC6722" w14:paraId="14120E89" w14:textId="77777777" w:rsidTr="00D00B3F">
        <w:trPr>
          <w:trHeight w:val="215"/>
        </w:trPr>
        <w:tc>
          <w:tcPr>
            <w:tcW w:w="2768" w:type="dxa"/>
            <w:tcBorders>
              <w:top w:val="nil"/>
              <w:left w:val="nil"/>
              <w:bottom w:val="nil"/>
              <w:right w:val="nil"/>
            </w:tcBorders>
            <w:vAlign w:val="bottom"/>
          </w:tcPr>
          <w:p w14:paraId="7B6040FA"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36A9BE7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28FBC633"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  </w:t>
            </w:r>
          </w:p>
        </w:tc>
        <w:tc>
          <w:tcPr>
            <w:tcW w:w="1501" w:type="dxa"/>
            <w:tcBorders>
              <w:top w:val="nil"/>
              <w:left w:val="nil"/>
              <w:bottom w:val="nil"/>
              <w:right w:val="nil"/>
            </w:tcBorders>
            <w:vAlign w:val="bottom"/>
          </w:tcPr>
          <w:p w14:paraId="5DEF6180"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3.65</w:t>
            </w:r>
          </w:p>
        </w:tc>
        <w:tc>
          <w:tcPr>
            <w:tcW w:w="1239" w:type="dxa"/>
            <w:tcBorders>
              <w:top w:val="nil"/>
              <w:left w:val="nil"/>
              <w:bottom w:val="nil"/>
              <w:right w:val="nil"/>
            </w:tcBorders>
            <w:vAlign w:val="bottom"/>
          </w:tcPr>
          <w:p w14:paraId="437C5693"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4.66</w:t>
            </w:r>
          </w:p>
        </w:tc>
      </w:tr>
      <w:tr w:rsidR="00D8206B" w:rsidRPr="00CC6722" w14:paraId="35637CBF" w14:textId="77777777" w:rsidTr="00D00B3F">
        <w:trPr>
          <w:trHeight w:val="215"/>
        </w:trPr>
        <w:tc>
          <w:tcPr>
            <w:tcW w:w="2768" w:type="dxa"/>
            <w:tcBorders>
              <w:top w:val="nil"/>
              <w:left w:val="nil"/>
              <w:bottom w:val="nil"/>
              <w:right w:val="nil"/>
            </w:tcBorders>
            <w:vAlign w:val="bottom"/>
          </w:tcPr>
          <w:p w14:paraId="13C45C0A"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6F0B9CEF"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2B906A9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1" w:type="dxa"/>
            <w:tcBorders>
              <w:top w:val="nil"/>
              <w:left w:val="nil"/>
              <w:bottom w:val="nil"/>
              <w:right w:val="nil"/>
            </w:tcBorders>
            <w:vAlign w:val="bottom"/>
          </w:tcPr>
          <w:p w14:paraId="5E56271A"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39" w:type="dxa"/>
            <w:tcBorders>
              <w:top w:val="nil"/>
              <w:left w:val="nil"/>
              <w:bottom w:val="nil"/>
              <w:right w:val="nil"/>
            </w:tcBorders>
            <w:vAlign w:val="bottom"/>
          </w:tcPr>
          <w:p w14:paraId="2A270124"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149AF218" w14:textId="77777777" w:rsidTr="00D00B3F">
        <w:trPr>
          <w:trHeight w:val="215"/>
        </w:trPr>
        <w:tc>
          <w:tcPr>
            <w:tcW w:w="2768" w:type="dxa"/>
            <w:tcBorders>
              <w:top w:val="nil"/>
              <w:left w:val="nil"/>
              <w:bottom w:val="nil"/>
              <w:right w:val="nil"/>
            </w:tcBorders>
            <w:vAlign w:val="bottom"/>
          </w:tcPr>
          <w:p w14:paraId="44B58DD8" w14:textId="77777777" w:rsidR="00D8206B" w:rsidRPr="00CC6722"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Actual Sample Size</w:t>
            </w:r>
          </w:p>
        </w:tc>
        <w:tc>
          <w:tcPr>
            <w:tcW w:w="1371" w:type="dxa"/>
            <w:tcBorders>
              <w:top w:val="nil"/>
              <w:left w:val="nil"/>
              <w:bottom w:val="nil"/>
              <w:right w:val="nil"/>
            </w:tcBorders>
            <w:vAlign w:val="bottom"/>
          </w:tcPr>
          <w:p w14:paraId="040F64E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30</w:t>
            </w:r>
          </w:p>
        </w:tc>
        <w:tc>
          <w:tcPr>
            <w:tcW w:w="1500" w:type="dxa"/>
            <w:tcBorders>
              <w:top w:val="nil"/>
              <w:left w:val="nil"/>
              <w:bottom w:val="nil"/>
              <w:right w:val="nil"/>
            </w:tcBorders>
            <w:vAlign w:val="bottom"/>
          </w:tcPr>
          <w:p w14:paraId="5D9D8AD6"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1" w:type="dxa"/>
            <w:tcBorders>
              <w:top w:val="nil"/>
              <w:left w:val="nil"/>
              <w:bottom w:val="nil"/>
              <w:right w:val="nil"/>
            </w:tcBorders>
            <w:vAlign w:val="bottom"/>
          </w:tcPr>
          <w:p w14:paraId="7FE42D0C"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Finite Sample: n=30</w:t>
            </w:r>
          </w:p>
        </w:tc>
        <w:tc>
          <w:tcPr>
            <w:tcW w:w="1239" w:type="dxa"/>
            <w:tcBorders>
              <w:top w:val="nil"/>
              <w:left w:val="nil"/>
              <w:bottom w:val="nil"/>
              <w:right w:val="nil"/>
            </w:tcBorders>
            <w:vAlign w:val="bottom"/>
          </w:tcPr>
          <w:p w14:paraId="6FA1287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30F93754" w14:textId="77777777" w:rsidTr="00D00B3F">
        <w:trPr>
          <w:trHeight w:val="215"/>
        </w:trPr>
        <w:tc>
          <w:tcPr>
            <w:tcW w:w="2768" w:type="dxa"/>
            <w:tcBorders>
              <w:top w:val="nil"/>
              <w:left w:val="nil"/>
              <w:bottom w:val="nil"/>
              <w:right w:val="nil"/>
            </w:tcBorders>
            <w:vAlign w:val="bottom"/>
          </w:tcPr>
          <w:p w14:paraId="17463C7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7C8B62F8"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0A60C2F3"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10%  </w:t>
            </w:r>
          </w:p>
        </w:tc>
        <w:tc>
          <w:tcPr>
            <w:tcW w:w="1501" w:type="dxa"/>
            <w:tcBorders>
              <w:top w:val="nil"/>
              <w:left w:val="nil"/>
              <w:bottom w:val="nil"/>
              <w:right w:val="nil"/>
            </w:tcBorders>
            <w:vAlign w:val="bottom"/>
          </w:tcPr>
          <w:p w14:paraId="3D23ABAF"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2.676</w:t>
            </w:r>
          </w:p>
        </w:tc>
        <w:tc>
          <w:tcPr>
            <w:tcW w:w="1239" w:type="dxa"/>
            <w:tcBorders>
              <w:top w:val="nil"/>
              <w:left w:val="nil"/>
              <w:bottom w:val="nil"/>
              <w:right w:val="nil"/>
            </w:tcBorders>
            <w:vAlign w:val="bottom"/>
          </w:tcPr>
          <w:p w14:paraId="1C7E3663"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3.586</w:t>
            </w:r>
          </w:p>
        </w:tc>
      </w:tr>
      <w:tr w:rsidR="00D8206B" w:rsidRPr="00CC6722" w14:paraId="5B1AB2E5" w14:textId="77777777" w:rsidTr="00D00B3F">
        <w:trPr>
          <w:trHeight w:val="215"/>
        </w:trPr>
        <w:tc>
          <w:tcPr>
            <w:tcW w:w="2768" w:type="dxa"/>
            <w:tcBorders>
              <w:top w:val="nil"/>
              <w:left w:val="nil"/>
              <w:bottom w:val="nil"/>
              <w:right w:val="nil"/>
            </w:tcBorders>
            <w:vAlign w:val="bottom"/>
          </w:tcPr>
          <w:p w14:paraId="63CC504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3031A26B"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7B30B3CA"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  </w:t>
            </w:r>
          </w:p>
        </w:tc>
        <w:tc>
          <w:tcPr>
            <w:tcW w:w="1501" w:type="dxa"/>
            <w:tcBorders>
              <w:top w:val="nil"/>
              <w:left w:val="nil"/>
              <w:bottom w:val="nil"/>
              <w:right w:val="nil"/>
            </w:tcBorders>
            <w:vAlign w:val="bottom"/>
          </w:tcPr>
          <w:p w14:paraId="166E532F"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3.272</w:t>
            </w:r>
          </w:p>
        </w:tc>
        <w:tc>
          <w:tcPr>
            <w:tcW w:w="1239" w:type="dxa"/>
            <w:tcBorders>
              <w:top w:val="nil"/>
              <w:left w:val="nil"/>
              <w:bottom w:val="nil"/>
              <w:right w:val="nil"/>
            </w:tcBorders>
            <w:vAlign w:val="bottom"/>
          </w:tcPr>
          <w:p w14:paraId="2179DCDC"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4.306</w:t>
            </w:r>
          </w:p>
        </w:tc>
      </w:tr>
      <w:tr w:rsidR="00D8206B" w:rsidRPr="00CC6722" w14:paraId="0F2C29E5" w14:textId="77777777" w:rsidTr="00D00B3F">
        <w:trPr>
          <w:trHeight w:val="215"/>
        </w:trPr>
        <w:tc>
          <w:tcPr>
            <w:tcW w:w="2768" w:type="dxa"/>
            <w:tcBorders>
              <w:top w:val="nil"/>
              <w:left w:val="nil"/>
              <w:bottom w:val="nil"/>
              <w:right w:val="nil"/>
            </w:tcBorders>
            <w:vAlign w:val="bottom"/>
          </w:tcPr>
          <w:p w14:paraId="2A4DE644"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098787D6"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2F72DB02"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1%  </w:t>
            </w:r>
          </w:p>
        </w:tc>
        <w:tc>
          <w:tcPr>
            <w:tcW w:w="1501" w:type="dxa"/>
            <w:tcBorders>
              <w:top w:val="nil"/>
              <w:left w:val="nil"/>
              <w:bottom w:val="nil"/>
              <w:right w:val="nil"/>
            </w:tcBorders>
            <w:vAlign w:val="bottom"/>
          </w:tcPr>
          <w:p w14:paraId="6448B364"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4.614</w:t>
            </w:r>
          </w:p>
        </w:tc>
        <w:tc>
          <w:tcPr>
            <w:tcW w:w="1239" w:type="dxa"/>
            <w:tcBorders>
              <w:top w:val="nil"/>
              <w:left w:val="nil"/>
              <w:bottom w:val="nil"/>
              <w:right w:val="nil"/>
            </w:tcBorders>
            <w:vAlign w:val="bottom"/>
          </w:tcPr>
          <w:p w14:paraId="5416F119" w14:textId="77777777" w:rsidR="00D8206B" w:rsidRPr="00CC6722"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C6722">
              <w:rPr>
                <w:rFonts w:ascii="Times New Roman" w:eastAsia="Calibri" w:hAnsi="Times New Roman" w:cs="Times New Roman"/>
                <w:color w:val="000000"/>
                <w:sz w:val="22"/>
                <w:szCs w:val="22"/>
              </w:rPr>
              <w:t>5.966</w:t>
            </w:r>
          </w:p>
        </w:tc>
      </w:tr>
      <w:tr w:rsidR="00D8206B" w:rsidRPr="00CC6722" w14:paraId="44DA448E" w14:textId="77777777" w:rsidTr="00D00B3F">
        <w:trPr>
          <w:trHeight w:hRule="exact" w:val="86"/>
        </w:trPr>
        <w:tc>
          <w:tcPr>
            <w:tcW w:w="2768" w:type="dxa"/>
            <w:tcBorders>
              <w:top w:val="nil"/>
              <w:left w:val="nil"/>
              <w:bottom w:val="double" w:sz="6" w:space="0" w:color="auto"/>
              <w:right w:val="nil"/>
            </w:tcBorders>
            <w:vAlign w:val="bottom"/>
          </w:tcPr>
          <w:p w14:paraId="2C4FF98E"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double" w:sz="6" w:space="0" w:color="auto"/>
              <w:right w:val="nil"/>
            </w:tcBorders>
            <w:vAlign w:val="bottom"/>
          </w:tcPr>
          <w:p w14:paraId="13257B61"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double" w:sz="6" w:space="0" w:color="auto"/>
              <w:right w:val="nil"/>
            </w:tcBorders>
            <w:vAlign w:val="bottom"/>
          </w:tcPr>
          <w:p w14:paraId="1FFAF3F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1" w:type="dxa"/>
            <w:tcBorders>
              <w:top w:val="nil"/>
              <w:left w:val="nil"/>
              <w:bottom w:val="double" w:sz="6" w:space="0" w:color="auto"/>
              <w:right w:val="nil"/>
            </w:tcBorders>
            <w:vAlign w:val="bottom"/>
          </w:tcPr>
          <w:p w14:paraId="796DCEEC"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39" w:type="dxa"/>
            <w:tcBorders>
              <w:top w:val="nil"/>
              <w:left w:val="nil"/>
              <w:bottom w:val="double" w:sz="6" w:space="0" w:color="auto"/>
              <w:right w:val="nil"/>
            </w:tcBorders>
            <w:vAlign w:val="bottom"/>
          </w:tcPr>
          <w:p w14:paraId="04A83A89"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C6722" w14:paraId="543BB17B" w14:textId="77777777" w:rsidTr="00D00B3F">
        <w:trPr>
          <w:trHeight w:hRule="exact" w:val="129"/>
        </w:trPr>
        <w:tc>
          <w:tcPr>
            <w:tcW w:w="2768" w:type="dxa"/>
            <w:tcBorders>
              <w:top w:val="nil"/>
              <w:left w:val="nil"/>
              <w:bottom w:val="nil"/>
              <w:right w:val="nil"/>
            </w:tcBorders>
            <w:vAlign w:val="bottom"/>
          </w:tcPr>
          <w:p w14:paraId="0484CA90"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371" w:type="dxa"/>
            <w:tcBorders>
              <w:top w:val="nil"/>
              <w:left w:val="nil"/>
              <w:bottom w:val="nil"/>
              <w:right w:val="nil"/>
            </w:tcBorders>
            <w:vAlign w:val="bottom"/>
          </w:tcPr>
          <w:p w14:paraId="755BBB05"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0" w:type="dxa"/>
            <w:tcBorders>
              <w:top w:val="nil"/>
              <w:left w:val="nil"/>
              <w:bottom w:val="nil"/>
              <w:right w:val="nil"/>
            </w:tcBorders>
            <w:vAlign w:val="bottom"/>
          </w:tcPr>
          <w:p w14:paraId="5B229E4F"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501" w:type="dxa"/>
            <w:tcBorders>
              <w:top w:val="nil"/>
              <w:left w:val="nil"/>
              <w:bottom w:val="nil"/>
              <w:right w:val="nil"/>
            </w:tcBorders>
            <w:vAlign w:val="bottom"/>
          </w:tcPr>
          <w:p w14:paraId="5A202154"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39" w:type="dxa"/>
            <w:tcBorders>
              <w:top w:val="nil"/>
              <w:left w:val="nil"/>
              <w:bottom w:val="nil"/>
              <w:right w:val="nil"/>
            </w:tcBorders>
            <w:vAlign w:val="bottom"/>
          </w:tcPr>
          <w:p w14:paraId="1DAB6B2F" w14:textId="77777777" w:rsidR="00D8206B" w:rsidRPr="00CC6722"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bl>
    <w:p w14:paraId="1114997F" w14:textId="77777777" w:rsidR="00D8206B" w:rsidRPr="00CC6722" w:rsidRDefault="00D8206B" w:rsidP="00D8206B">
      <w:pPr>
        <w:spacing w:after="0" w:line="276" w:lineRule="auto"/>
        <w:jc w:val="both"/>
        <w:rPr>
          <w:rFonts w:ascii="Times New Roman" w:eastAsia="Calibri" w:hAnsi="Times New Roman" w:cs="Times New Roman"/>
          <w:sz w:val="22"/>
          <w:szCs w:val="22"/>
        </w:rPr>
      </w:pPr>
      <w:r w:rsidRPr="00CC6722">
        <w:rPr>
          <w:rFonts w:ascii="Times New Roman" w:eastAsia="Calibri" w:hAnsi="Times New Roman" w:cs="Times New Roman"/>
          <w:b/>
          <w:sz w:val="22"/>
          <w:szCs w:val="22"/>
        </w:rPr>
        <w:t>Source:</w:t>
      </w:r>
      <w:r w:rsidRPr="00CC6722">
        <w:rPr>
          <w:rFonts w:ascii="Times New Roman" w:eastAsia="Calibri" w:hAnsi="Times New Roman" w:cs="Times New Roman"/>
          <w:sz w:val="22"/>
          <w:szCs w:val="22"/>
        </w:rPr>
        <w:t xml:space="preserve"> Author’s computations with E-views Version 10 (2025)</w:t>
      </w:r>
    </w:p>
    <w:p w14:paraId="5E51607F" w14:textId="77777777" w:rsidR="00D8206B"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sz w:val="22"/>
          <w:szCs w:val="22"/>
        </w:rPr>
        <w:t xml:space="preserve">The computed F-statistics of 8.83 at a 5% p-value confirm the presence of cointegration in ISO model as the bounds test F-statistic exceed the upper critical value at all the significance levels. Therefore, there is existence of a long-term relationship among the ISO, ED, DD and DGDP. </w:t>
      </w:r>
      <w:r w:rsidRPr="00A96ACA">
        <w:rPr>
          <w:rFonts w:ascii="Times New Roman" w:hAnsi="Times New Roman" w:cs="Times New Roman"/>
          <w:sz w:val="22"/>
          <w:szCs w:val="22"/>
        </w:rPr>
        <w:t xml:space="preserve">This indicates strong evidence for asymmetric cointegration among </w:t>
      </w:r>
      <w:r w:rsidRPr="00A96ACA">
        <w:rPr>
          <w:rFonts w:ascii="Times New Roman" w:hAnsi="Times New Roman"/>
          <w:sz w:val="22"/>
          <w:szCs w:val="22"/>
        </w:rPr>
        <w:t>AGDP, ED, DD and DGDP</w:t>
      </w:r>
      <w:r w:rsidRPr="00A96ACA">
        <w:rPr>
          <w:rFonts w:ascii="Times New Roman" w:hAnsi="Times New Roman" w:cs="Times New Roman"/>
          <w:sz w:val="22"/>
          <w:szCs w:val="22"/>
        </w:rPr>
        <w:t xml:space="preserve"> variables.</w:t>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gridCol w:w="881"/>
        <w:gridCol w:w="1336"/>
      </w:tblGrid>
      <w:tr w:rsidR="00D8206B" w:rsidRPr="00C51A7B" w14:paraId="3D57E1BA" w14:textId="77777777" w:rsidTr="00D00B3F">
        <w:trPr>
          <w:trHeight w:val="257"/>
        </w:trPr>
        <w:tc>
          <w:tcPr>
            <w:tcW w:w="7413" w:type="dxa"/>
            <w:gridSpan w:val="6"/>
            <w:tcBorders>
              <w:top w:val="nil"/>
              <w:left w:val="nil"/>
              <w:bottom w:val="nil"/>
              <w:right w:val="nil"/>
            </w:tcBorders>
            <w:vAlign w:val="bottom"/>
          </w:tcPr>
          <w:p w14:paraId="72EFCD4A"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bookmarkStart w:id="21" w:name="_Toc214835441"/>
            <w:r w:rsidRPr="00C51A7B">
              <w:rPr>
                <w:rFonts w:ascii="Times New Roman" w:eastAsia="Times New Roman" w:hAnsi="Times New Roman" w:cs="Times New Roman"/>
                <w:b/>
                <w:kern w:val="0"/>
                <w:sz w:val="22"/>
                <w:szCs w:val="22"/>
                <w14:ligatures w14:val="none"/>
              </w:rPr>
              <w:t>Table 4.</w:t>
            </w:r>
            <w:r w:rsidRPr="00A96ACA">
              <w:rPr>
                <w:rFonts w:ascii="Times New Roman" w:eastAsia="Times New Roman" w:hAnsi="Times New Roman" w:cs="Times New Roman"/>
                <w:b/>
                <w:kern w:val="0"/>
                <w:sz w:val="22"/>
                <w:szCs w:val="22"/>
                <w14:ligatures w14:val="none"/>
              </w:rPr>
              <w:t>3</w:t>
            </w:r>
            <w:r w:rsidRPr="00C51A7B">
              <w:rPr>
                <w:rFonts w:ascii="Times New Roman" w:eastAsia="Times New Roman" w:hAnsi="Times New Roman" w:cs="Times New Roman"/>
                <w:b/>
                <w:kern w:val="0"/>
                <w:sz w:val="22"/>
                <w:szCs w:val="22"/>
                <w14:ligatures w14:val="none"/>
              </w:rPr>
              <w:t>: Long run estimate of ISO based on ARDL (4, 4, 4, 1) Model</w:t>
            </w:r>
            <w:bookmarkEnd w:id="21"/>
          </w:p>
        </w:tc>
        <w:tc>
          <w:tcPr>
            <w:tcW w:w="1336" w:type="dxa"/>
            <w:tcBorders>
              <w:top w:val="nil"/>
              <w:left w:val="nil"/>
              <w:bottom w:val="nil"/>
              <w:right w:val="nil"/>
            </w:tcBorders>
            <w:vAlign w:val="bottom"/>
          </w:tcPr>
          <w:p w14:paraId="74A371F6"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p>
        </w:tc>
      </w:tr>
      <w:tr w:rsidR="00D8206B" w:rsidRPr="00C51A7B" w14:paraId="48F5AB13" w14:textId="77777777" w:rsidTr="00D00B3F">
        <w:trPr>
          <w:gridAfter w:val="2"/>
          <w:wAfter w:w="2217" w:type="dxa"/>
          <w:trHeight w:hRule="exact" w:val="90"/>
        </w:trPr>
        <w:tc>
          <w:tcPr>
            <w:tcW w:w="2017" w:type="dxa"/>
            <w:tcBorders>
              <w:top w:val="nil"/>
              <w:left w:val="nil"/>
              <w:bottom w:val="double" w:sz="6" w:space="2" w:color="auto"/>
              <w:right w:val="nil"/>
            </w:tcBorders>
            <w:vAlign w:val="bottom"/>
          </w:tcPr>
          <w:p w14:paraId="6F7B840B"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103" w:type="dxa"/>
            <w:tcBorders>
              <w:top w:val="nil"/>
              <w:left w:val="nil"/>
              <w:bottom w:val="double" w:sz="6" w:space="2" w:color="auto"/>
              <w:right w:val="nil"/>
            </w:tcBorders>
            <w:vAlign w:val="bottom"/>
          </w:tcPr>
          <w:p w14:paraId="70859447"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7" w:type="dxa"/>
            <w:tcBorders>
              <w:top w:val="nil"/>
              <w:left w:val="nil"/>
              <w:bottom w:val="double" w:sz="6" w:space="2" w:color="auto"/>
              <w:right w:val="nil"/>
            </w:tcBorders>
            <w:vAlign w:val="bottom"/>
          </w:tcPr>
          <w:p w14:paraId="4F96526A"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8" w:type="dxa"/>
            <w:tcBorders>
              <w:top w:val="nil"/>
              <w:left w:val="nil"/>
              <w:bottom w:val="double" w:sz="6" w:space="2" w:color="auto"/>
              <w:right w:val="nil"/>
            </w:tcBorders>
            <w:vAlign w:val="bottom"/>
          </w:tcPr>
          <w:p w14:paraId="54E498A1"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997" w:type="dxa"/>
            <w:tcBorders>
              <w:top w:val="nil"/>
              <w:left w:val="nil"/>
              <w:bottom w:val="double" w:sz="6" w:space="2" w:color="auto"/>
              <w:right w:val="nil"/>
            </w:tcBorders>
            <w:vAlign w:val="bottom"/>
          </w:tcPr>
          <w:p w14:paraId="60C03672"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r>
      <w:tr w:rsidR="00D8206B" w:rsidRPr="00C51A7B" w14:paraId="5B0CD95D" w14:textId="77777777" w:rsidTr="00D00B3F">
        <w:trPr>
          <w:gridAfter w:val="2"/>
          <w:wAfter w:w="2217" w:type="dxa"/>
          <w:trHeight w:hRule="exact" w:val="135"/>
        </w:trPr>
        <w:tc>
          <w:tcPr>
            <w:tcW w:w="2017" w:type="dxa"/>
            <w:tcBorders>
              <w:top w:val="nil"/>
              <w:left w:val="nil"/>
              <w:bottom w:val="nil"/>
              <w:right w:val="nil"/>
            </w:tcBorders>
            <w:vAlign w:val="bottom"/>
          </w:tcPr>
          <w:p w14:paraId="13B0D4D1"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103" w:type="dxa"/>
            <w:tcBorders>
              <w:top w:val="nil"/>
              <w:left w:val="nil"/>
              <w:bottom w:val="nil"/>
              <w:right w:val="nil"/>
            </w:tcBorders>
            <w:vAlign w:val="bottom"/>
          </w:tcPr>
          <w:p w14:paraId="01E11266"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7" w:type="dxa"/>
            <w:tcBorders>
              <w:top w:val="nil"/>
              <w:left w:val="nil"/>
              <w:bottom w:val="nil"/>
              <w:right w:val="nil"/>
            </w:tcBorders>
            <w:vAlign w:val="bottom"/>
          </w:tcPr>
          <w:p w14:paraId="328B7692"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8" w:type="dxa"/>
            <w:tcBorders>
              <w:top w:val="nil"/>
              <w:left w:val="nil"/>
              <w:bottom w:val="nil"/>
              <w:right w:val="nil"/>
            </w:tcBorders>
            <w:vAlign w:val="bottom"/>
          </w:tcPr>
          <w:p w14:paraId="2B509CA1"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997" w:type="dxa"/>
            <w:tcBorders>
              <w:top w:val="nil"/>
              <w:left w:val="nil"/>
              <w:bottom w:val="nil"/>
              <w:right w:val="nil"/>
            </w:tcBorders>
            <w:vAlign w:val="bottom"/>
          </w:tcPr>
          <w:p w14:paraId="4E9591F2"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r>
      <w:tr w:rsidR="00D8206B" w:rsidRPr="00C51A7B" w14:paraId="57E30349" w14:textId="77777777" w:rsidTr="00D00B3F">
        <w:trPr>
          <w:gridAfter w:val="2"/>
          <w:wAfter w:w="2217" w:type="dxa"/>
          <w:trHeight w:val="225"/>
        </w:trPr>
        <w:tc>
          <w:tcPr>
            <w:tcW w:w="2017" w:type="dxa"/>
            <w:tcBorders>
              <w:top w:val="nil"/>
              <w:left w:val="nil"/>
              <w:bottom w:val="nil"/>
              <w:right w:val="nil"/>
            </w:tcBorders>
            <w:vAlign w:val="bottom"/>
          </w:tcPr>
          <w:p w14:paraId="16FBA692"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Variable</w:t>
            </w:r>
          </w:p>
        </w:tc>
        <w:tc>
          <w:tcPr>
            <w:tcW w:w="1103" w:type="dxa"/>
            <w:tcBorders>
              <w:top w:val="nil"/>
              <w:left w:val="nil"/>
              <w:bottom w:val="nil"/>
              <w:right w:val="nil"/>
            </w:tcBorders>
            <w:vAlign w:val="bottom"/>
          </w:tcPr>
          <w:p w14:paraId="4F31E41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Coefficient</w:t>
            </w:r>
          </w:p>
        </w:tc>
        <w:tc>
          <w:tcPr>
            <w:tcW w:w="1207" w:type="dxa"/>
            <w:tcBorders>
              <w:top w:val="nil"/>
              <w:left w:val="nil"/>
              <w:bottom w:val="nil"/>
              <w:right w:val="nil"/>
            </w:tcBorders>
            <w:vAlign w:val="bottom"/>
          </w:tcPr>
          <w:p w14:paraId="480810E9"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Std. Error</w:t>
            </w:r>
          </w:p>
        </w:tc>
        <w:tc>
          <w:tcPr>
            <w:tcW w:w="1208" w:type="dxa"/>
            <w:tcBorders>
              <w:top w:val="nil"/>
              <w:left w:val="nil"/>
              <w:bottom w:val="nil"/>
              <w:right w:val="nil"/>
            </w:tcBorders>
            <w:vAlign w:val="bottom"/>
          </w:tcPr>
          <w:p w14:paraId="787D8A3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t-Statistic</w:t>
            </w:r>
          </w:p>
        </w:tc>
        <w:tc>
          <w:tcPr>
            <w:tcW w:w="997" w:type="dxa"/>
            <w:tcBorders>
              <w:top w:val="nil"/>
              <w:left w:val="nil"/>
              <w:bottom w:val="nil"/>
              <w:right w:val="nil"/>
            </w:tcBorders>
            <w:vAlign w:val="bottom"/>
          </w:tcPr>
          <w:p w14:paraId="032C5C7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b/>
                <w:color w:val="000000"/>
                <w:sz w:val="22"/>
                <w:szCs w:val="22"/>
              </w:rPr>
            </w:pPr>
            <w:r w:rsidRPr="00C51A7B">
              <w:rPr>
                <w:rFonts w:ascii="Times New Roman" w:eastAsia="Calibri" w:hAnsi="Times New Roman" w:cs="Times New Roman"/>
                <w:b/>
                <w:color w:val="000000"/>
                <w:sz w:val="22"/>
                <w:szCs w:val="22"/>
              </w:rPr>
              <w:t>Prob.*  </w:t>
            </w:r>
          </w:p>
        </w:tc>
      </w:tr>
      <w:tr w:rsidR="00D8206B" w:rsidRPr="00C51A7B" w14:paraId="31A9D28B" w14:textId="77777777" w:rsidTr="00D00B3F">
        <w:trPr>
          <w:gridAfter w:val="2"/>
          <w:wAfter w:w="2217" w:type="dxa"/>
          <w:trHeight w:hRule="exact" w:val="90"/>
        </w:trPr>
        <w:tc>
          <w:tcPr>
            <w:tcW w:w="2017" w:type="dxa"/>
            <w:tcBorders>
              <w:top w:val="nil"/>
              <w:left w:val="nil"/>
              <w:bottom w:val="double" w:sz="6" w:space="2" w:color="auto"/>
              <w:right w:val="nil"/>
            </w:tcBorders>
            <w:vAlign w:val="bottom"/>
          </w:tcPr>
          <w:p w14:paraId="3B01F61E"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double" w:sz="6" w:space="2" w:color="auto"/>
              <w:right w:val="nil"/>
            </w:tcBorders>
            <w:vAlign w:val="bottom"/>
          </w:tcPr>
          <w:p w14:paraId="554BAB4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double" w:sz="6" w:space="2" w:color="auto"/>
              <w:right w:val="nil"/>
            </w:tcBorders>
            <w:vAlign w:val="bottom"/>
          </w:tcPr>
          <w:p w14:paraId="52F6761E"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double" w:sz="6" w:space="2" w:color="auto"/>
              <w:right w:val="nil"/>
            </w:tcBorders>
            <w:vAlign w:val="bottom"/>
          </w:tcPr>
          <w:p w14:paraId="541E46FF"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double" w:sz="6" w:space="2" w:color="auto"/>
              <w:right w:val="nil"/>
            </w:tcBorders>
            <w:vAlign w:val="bottom"/>
          </w:tcPr>
          <w:p w14:paraId="28968645"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66691F80" w14:textId="77777777" w:rsidTr="00D00B3F">
        <w:trPr>
          <w:gridAfter w:val="2"/>
          <w:wAfter w:w="2217" w:type="dxa"/>
          <w:trHeight w:hRule="exact" w:val="135"/>
        </w:trPr>
        <w:tc>
          <w:tcPr>
            <w:tcW w:w="2017" w:type="dxa"/>
            <w:tcBorders>
              <w:top w:val="nil"/>
              <w:left w:val="nil"/>
              <w:bottom w:val="nil"/>
              <w:right w:val="nil"/>
            </w:tcBorders>
            <w:vAlign w:val="bottom"/>
          </w:tcPr>
          <w:p w14:paraId="5AFEF14A"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nil"/>
              <w:right w:val="nil"/>
            </w:tcBorders>
            <w:vAlign w:val="bottom"/>
          </w:tcPr>
          <w:p w14:paraId="017B9913"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nil"/>
              <w:right w:val="nil"/>
            </w:tcBorders>
            <w:vAlign w:val="bottom"/>
          </w:tcPr>
          <w:p w14:paraId="7DAC24AC"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nil"/>
              <w:right w:val="nil"/>
            </w:tcBorders>
            <w:vAlign w:val="bottom"/>
          </w:tcPr>
          <w:p w14:paraId="5007D238"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nil"/>
              <w:right w:val="nil"/>
            </w:tcBorders>
            <w:vAlign w:val="bottom"/>
          </w:tcPr>
          <w:p w14:paraId="57189DC3"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211C6431" w14:textId="77777777" w:rsidTr="00D00B3F">
        <w:trPr>
          <w:gridAfter w:val="2"/>
          <w:wAfter w:w="2217" w:type="dxa"/>
          <w:trHeight w:val="225"/>
        </w:trPr>
        <w:tc>
          <w:tcPr>
            <w:tcW w:w="2017" w:type="dxa"/>
            <w:tcBorders>
              <w:top w:val="nil"/>
              <w:left w:val="nil"/>
              <w:bottom w:val="nil"/>
              <w:right w:val="nil"/>
            </w:tcBorders>
            <w:vAlign w:val="bottom"/>
          </w:tcPr>
          <w:p w14:paraId="69EA4D49"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ISO(</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5CA3D6E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-0.198687</w:t>
            </w:r>
          </w:p>
        </w:tc>
        <w:tc>
          <w:tcPr>
            <w:tcW w:w="1207" w:type="dxa"/>
            <w:tcBorders>
              <w:top w:val="nil"/>
              <w:left w:val="nil"/>
              <w:bottom w:val="nil"/>
              <w:right w:val="nil"/>
            </w:tcBorders>
            <w:vAlign w:val="bottom"/>
          </w:tcPr>
          <w:p w14:paraId="1478B05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0.185738</w:t>
            </w:r>
          </w:p>
        </w:tc>
        <w:tc>
          <w:tcPr>
            <w:tcW w:w="1208" w:type="dxa"/>
            <w:tcBorders>
              <w:top w:val="nil"/>
              <w:left w:val="nil"/>
              <w:bottom w:val="nil"/>
              <w:right w:val="nil"/>
            </w:tcBorders>
            <w:vAlign w:val="bottom"/>
          </w:tcPr>
          <w:p w14:paraId="7511D19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-1.069720</w:t>
            </w:r>
          </w:p>
        </w:tc>
        <w:tc>
          <w:tcPr>
            <w:tcW w:w="997" w:type="dxa"/>
            <w:tcBorders>
              <w:top w:val="nil"/>
              <w:left w:val="nil"/>
              <w:bottom w:val="nil"/>
              <w:right w:val="nil"/>
            </w:tcBorders>
            <w:vAlign w:val="bottom"/>
          </w:tcPr>
          <w:p w14:paraId="47A1B15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0.3042</w:t>
            </w:r>
          </w:p>
        </w:tc>
      </w:tr>
      <w:tr w:rsidR="00D8206B" w:rsidRPr="00C51A7B" w14:paraId="5FDCF1FB" w14:textId="77777777" w:rsidTr="00D00B3F">
        <w:trPr>
          <w:gridAfter w:val="2"/>
          <w:wAfter w:w="2217" w:type="dxa"/>
          <w:trHeight w:val="225"/>
        </w:trPr>
        <w:tc>
          <w:tcPr>
            <w:tcW w:w="2017" w:type="dxa"/>
            <w:tcBorders>
              <w:top w:val="nil"/>
              <w:left w:val="nil"/>
              <w:bottom w:val="nil"/>
              <w:right w:val="nil"/>
            </w:tcBorders>
            <w:vAlign w:val="bottom"/>
          </w:tcPr>
          <w:p w14:paraId="593C77A1"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ISO(</w:t>
            </w:r>
            <w:proofErr w:type="gramEnd"/>
            <w:r w:rsidRPr="00C51A7B">
              <w:rPr>
                <w:rFonts w:ascii="Times New Roman" w:eastAsia="Calibri" w:hAnsi="Times New Roman" w:cs="Times New Roman"/>
                <w:color w:val="000000"/>
                <w:sz w:val="22"/>
                <w:szCs w:val="22"/>
              </w:rPr>
              <w:t>-2))</w:t>
            </w:r>
          </w:p>
        </w:tc>
        <w:tc>
          <w:tcPr>
            <w:tcW w:w="1103" w:type="dxa"/>
            <w:tcBorders>
              <w:top w:val="nil"/>
              <w:left w:val="nil"/>
              <w:bottom w:val="nil"/>
              <w:right w:val="nil"/>
            </w:tcBorders>
            <w:vAlign w:val="bottom"/>
          </w:tcPr>
          <w:p w14:paraId="7FC62E6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-0.060677</w:t>
            </w:r>
          </w:p>
        </w:tc>
        <w:tc>
          <w:tcPr>
            <w:tcW w:w="1207" w:type="dxa"/>
            <w:tcBorders>
              <w:top w:val="nil"/>
              <w:left w:val="nil"/>
              <w:bottom w:val="nil"/>
              <w:right w:val="nil"/>
            </w:tcBorders>
            <w:vAlign w:val="bottom"/>
          </w:tcPr>
          <w:p w14:paraId="70F0351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0.104167</w:t>
            </w:r>
          </w:p>
        </w:tc>
        <w:tc>
          <w:tcPr>
            <w:tcW w:w="1208" w:type="dxa"/>
            <w:tcBorders>
              <w:top w:val="nil"/>
              <w:left w:val="nil"/>
              <w:bottom w:val="nil"/>
              <w:right w:val="nil"/>
            </w:tcBorders>
            <w:vAlign w:val="bottom"/>
          </w:tcPr>
          <w:p w14:paraId="4A316209"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-0.582492</w:t>
            </w:r>
          </w:p>
        </w:tc>
        <w:tc>
          <w:tcPr>
            <w:tcW w:w="997" w:type="dxa"/>
            <w:tcBorders>
              <w:top w:val="nil"/>
              <w:left w:val="nil"/>
              <w:bottom w:val="nil"/>
              <w:right w:val="nil"/>
            </w:tcBorders>
            <w:vAlign w:val="bottom"/>
          </w:tcPr>
          <w:p w14:paraId="638AD36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0.5702</w:t>
            </w:r>
          </w:p>
        </w:tc>
      </w:tr>
      <w:tr w:rsidR="00D8206B" w:rsidRPr="00C51A7B" w14:paraId="04C3623F" w14:textId="77777777" w:rsidTr="00D00B3F">
        <w:trPr>
          <w:gridAfter w:val="2"/>
          <w:wAfter w:w="2217" w:type="dxa"/>
          <w:trHeight w:val="225"/>
        </w:trPr>
        <w:tc>
          <w:tcPr>
            <w:tcW w:w="2017" w:type="dxa"/>
            <w:tcBorders>
              <w:top w:val="nil"/>
              <w:left w:val="nil"/>
              <w:bottom w:val="nil"/>
              <w:right w:val="nil"/>
            </w:tcBorders>
            <w:vAlign w:val="bottom"/>
          </w:tcPr>
          <w:p w14:paraId="3A3C02AD"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ISO(</w:t>
            </w:r>
            <w:proofErr w:type="gramEnd"/>
            <w:r w:rsidRPr="00C51A7B">
              <w:rPr>
                <w:rFonts w:ascii="Times New Roman" w:eastAsia="Calibri" w:hAnsi="Times New Roman" w:cs="Times New Roman"/>
                <w:color w:val="000000"/>
                <w:sz w:val="22"/>
                <w:szCs w:val="22"/>
              </w:rPr>
              <w:t>-3))</w:t>
            </w:r>
          </w:p>
        </w:tc>
        <w:tc>
          <w:tcPr>
            <w:tcW w:w="1103" w:type="dxa"/>
            <w:tcBorders>
              <w:top w:val="nil"/>
              <w:left w:val="nil"/>
              <w:bottom w:val="nil"/>
              <w:right w:val="nil"/>
            </w:tcBorders>
            <w:vAlign w:val="bottom"/>
          </w:tcPr>
          <w:p w14:paraId="2B3F6E2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-0.196568</w:t>
            </w:r>
          </w:p>
        </w:tc>
        <w:tc>
          <w:tcPr>
            <w:tcW w:w="1207" w:type="dxa"/>
            <w:tcBorders>
              <w:top w:val="nil"/>
              <w:left w:val="nil"/>
              <w:bottom w:val="nil"/>
              <w:right w:val="nil"/>
            </w:tcBorders>
            <w:vAlign w:val="bottom"/>
          </w:tcPr>
          <w:p w14:paraId="3B72B18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0.107089</w:t>
            </w:r>
          </w:p>
        </w:tc>
        <w:tc>
          <w:tcPr>
            <w:tcW w:w="1208" w:type="dxa"/>
            <w:tcBorders>
              <w:top w:val="nil"/>
              <w:left w:val="nil"/>
              <w:bottom w:val="nil"/>
              <w:right w:val="nil"/>
            </w:tcBorders>
            <w:vAlign w:val="bottom"/>
          </w:tcPr>
          <w:p w14:paraId="3A125C1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-1.835567</w:t>
            </w:r>
          </w:p>
        </w:tc>
        <w:tc>
          <w:tcPr>
            <w:tcW w:w="997" w:type="dxa"/>
            <w:tcBorders>
              <w:top w:val="nil"/>
              <w:left w:val="nil"/>
              <w:bottom w:val="nil"/>
              <w:right w:val="nil"/>
            </w:tcBorders>
            <w:vAlign w:val="bottom"/>
          </w:tcPr>
          <w:p w14:paraId="6D62DCF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0.0894</w:t>
            </w:r>
          </w:p>
        </w:tc>
      </w:tr>
      <w:tr w:rsidR="00D8206B" w:rsidRPr="00C51A7B" w14:paraId="46CB4282" w14:textId="77777777" w:rsidTr="00D00B3F">
        <w:trPr>
          <w:gridAfter w:val="2"/>
          <w:wAfter w:w="2217" w:type="dxa"/>
          <w:trHeight w:val="225"/>
        </w:trPr>
        <w:tc>
          <w:tcPr>
            <w:tcW w:w="2017" w:type="dxa"/>
            <w:tcBorders>
              <w:top w:val="nil"/>
              <w:left w:val="nil"/>
              <w:bottom w:val="nil"/>
              <w:right w:val="nil"/>
            </w:tcBorders>
            <w:vAlign w:val="bottom"/>
          </w:tcPr>
          <w:p w14:paraId="569CCA0D"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ISO(</w:t>
            </w:r>
            <w:proofErr w:type="gramEnd"/>
            <w:r w:rsidRPr="00C51A7B">
              <w:rPr>
                <w:rFonts w:ascii="Times New Roman" w:eastAsia="Calibri" w:hAnsi="Times New Roman" w:cs="Times New Roman"/>
                <w:color w:val="000000"/>
                <w:sz w:val="22"/>
                <w:szCs w:val="22"/>
              </w:rPr>
              <w:t>-4))</w:t>
            </w:r>
          </w:p>
        </w:tc>
        <w:tc>
          <w:tcPr>
            <w:tcW w:w="1103" w:type="dxa"/>
            <w:tcBorders>
              <w:top w:val="nil"/>
              <w:left w:val="nil"/>
              <w:bottom w:val="nil"/>
              <w:right w:val="nil"/>
            </w:tcBorders>
            <w:vAlign w:val="bottom"/>
          </w:tcPr>
          <w:p w14:paraId="5800334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0.181624</w:t>
            </w:r>
          </w:p>
        </w:tc>
        <w:tc>
          <w:tcPr>
            <w:tcW w:w="1207" w:type="dxa"/>
            <w:tcBorders>
              <w:top w:val="nil"/>
              <w:left w:val="nil"/>
              <w:bottom w:val="nil"/>
              <w:right w:val="nil"/>
            </w:tcBorders>
            <w:vAlign w:val="bottom"/>
          </w:tcPr>
          <w:p w14:paraId="1ABC33D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0.112077</w:t>
            </w:r>
          </w:p>
        </w:tc>
        <w:tc>
          <w:tcPr>
            <w:tcW w:w="1208" w:type="dxa"/>
            <w:tcBorders>
              <w:top w:val="nil"/>
              <w:left w:val="nil"/>
              <w:bottom w:val="nil"/>
              <w:right w:val="nil"/>
            </w:tcBorders>
            <w:vAlign w:val="bottom"/>
          </w:tcPr>
          <w:p w14:paraId="411D7B0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1.620520</w:t>
            </w:r>
          </w:p>
        </w:tc>
        <w:tc>
          <w:tcPr>
            <w:tcW w:w="997" w:type="dxa"/>
            <w:tcBorders>
              <w:top w:val="nil"/>
              <w:left w:val="nil"/>
              <w:bottom w:val="nil"/>
              <w:right w:val="nil"/>
            </w:tcBorders>
            <w:vAlign w:val="bottom"/>
          </w:tcPr>
          <w:p w14:paraId="2306613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0.1291</w:t>
            </w:r>
          </w:p>
        </w:tc>
      </w:tr>
      <w:tr w:rsidR="00D8206B" w:rsidRPr="00C51A7B" w14:paraId="5C11BB07" w14:textId="77777777" w:rsidTr="00D00B3F">
        <w:trPr>
          <w:gridAfter w:val="2"/>
          <w:wAfter w:w="2217" w:type="dxa"/>
          <w:trHeight w:val="225"/>
        </w:trPr>
        <w:tc>
          <w:tcPr>
            <w:tcW w:w="2017" w:type="dxa"/>
            <w:tcBorders>
              <w:top w:val="nil"/>
              <w:left w:val="nil"/>
              <w:bottom w:val="nil"/>
              <w:right w:val="nil"/>
            </w:tcBorders>
            <w:vAlign w:val="bottom"/>
          </w:tcPr>
          <w:p w14:paraId="7EC3476B"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LOG(ED)</w:t>
            </w:r>
          </w:p>
        </w:tc>
        <w:tc>
          <w:tcPr>
            <w:tcW w:w="1103" w:type="dxa"/>
            <w:tcBorders>
              <w:top w:val="nil"/>
              <w:left w:val="nil"/>
              <w:bottom w:val="nil"/>
              <w:right w:val="nil"/>
            </w:tcBorders>
            <w:vAlign w:val="bottom"/>
          </w:tcPr>
          <w:p w14:paraId="2497DE0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-4.466400</w:t>
            </w:r>
          </w:p>
        </w:tc>
        <w:tc>
          <w:tcPr>
            <w:tcW w:w="1207" w:type="dxa"/>
            <w:tcBorders>
              <w:top w:val="nil"/>
              <w:left w:val="nil"/>
              <w:bottom w:val="nil"/>
              <w:right w:val="nil"/>
            </w:tcBorders>
            <w:vAlign w:val="bottom"/>
          </w:tcPr>
          <w:p w14:paraId="712DFD5F"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3.370084</w:t>
            </w:r>
          </w:p>
        </w:tc>
        <w:tc>
          <w:tcPr>
            <w:tcW w:w="1208" w:type="dxa"/>
            <w:tcBorders>
              <w:top w:val="nil"/>
              <w:left w:val="nil"/>
              <w:bottom w:val="nil"/>
              <w:right w:val="nil"/>
            </w:tcBorders>
            <w:vAlign w:val="bottom"/>
          </w:tcPr>
          <w:p w14:paraId="0C5E1A4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-1.325308</w:t>
            </w:r>
          </w:p>
        </w:tc>
        <w:tc>
          <w:tcPr>
            <w:tcW w:w="997" w:type="dxa"/>
            <w:tcBorders>
              <w:top w:val="nil"/>
              <w:left w:val="nil"/>
              <w:bottom w:val="nil"/>
              <w:right w:val="nil"/>
            </w:tcBorders>
            <w:vAlign w:val="bottom"/>
          </w:tcPr>
          <w:p w14:paraId="1121E31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0.2079</w:t>
            </w:r>
          </w:p>
        </w:tc>
      </w:tr>
      <w:tr w:rsidR="00D8206B" w:rsidRPr="00C51A7B" w14:paraId="714BE74A" w14:textId="77777777" w:rsidTr="00D00B3F">
        <w:trPr>
          <w:gridAfter w:val="2"/>
          <w:wAfter w:w="2217" w:type="dxa"/>
          <w:trHeight w:val="225"/>
        </w:trPr>
        <w:tc>
          <w:tcPr>
            <w:tcW w:w="2017" w:type="dxa"/>
            <w:tcBorders>
              <w:top w:val="nil"/>
              <w:left w:val="nil"/>
              <w:bottom w:val="nil"/>
              <w:right w:val="nil"/>
            </w:tcBorders>
            <w:vAlign w:val="bottom"/>
          </w:tcPr>
          <w:p w14:paraId="2F40D4EF"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6535A30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12.74157</w:t>
            </w:r>
          </w:p>
        </w:tc>
        <w:tc>
          <w:tcPr>
            <w:tcW w:w="1207" w:type="dxa"/>
            <w:tcBorders>
              <w:top w:val="nil"/>
              <w:left w:val="nil"/>
              <w:bottom w:val="nil"/>
              <w:right w:val="nil"/>
            </w:tcBorders>
            <w:vAlign w:val="bottom"/>
          </w:tcPr>
          <w:p w14:paraId="55BCF579"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4.295915</w:t>
            </w:r>
          </w:p>
        </w:tc>
        <w:tc>
          <w:tcPr>
            <w:tcW w:w="1208" w:type="dxa"/>
            <w:tcBorders>
              <w:top w:val="nil"/>
              <w:left w:val="nil"/>
              <w:bottom w:val="nil"/>
              <w:right w:val="nil"/>
            </w:tcBorders>
            <w:vAlign w:val="bottom"/>
          </w:tcPr>
          <w:p w14:paraId="4D22154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2.965973</w:t>
            </w:r>
          </w:p>
        </w:tc>
        <w:tc>
          <w:tcPr>
            <w:tcW w:w="997" w:type="dxa"/>
            <w:tcBorders>
              <w:top w:val="nil"/>
              <w:left w:val="nil"/>
              <w:bottom w:val="nil"/>
              <w:right w:val="nil"/>
            </w:tcBorders>
            <w:vAlign w:val="bottom"/>
          </w:tcPr>
          <w:p w14:paraId="2F97E57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0.0109</w:t>
            </w:r>
          </w:p>
        </w:tc>
      </w:tr>
      <w:tr w:rsidR="00D8206B" w:rsidRPr="00C51A7B" w14:paraId="59ED3FFB" w14:textId="77777777" w:rsidTr="00D00B3F">
        <w:trPr>
          <w:gridAfter w:val="2"/>
          <w:wAfter w:w="2217" w:type="dxa"/>
          <w:trHeight w:val="225"/>
        </w:trPr>
        <w:tc>
          <w:tcPr>
            <w:tcW w:w="2017" w:type="dxa"/>
            <w:tcBorders>
              <w:top w:val="nil"/>
              <w:left w:val="nil"/>
              <w:bottom w:val="nil"/>
              <w:right w:val="nil"/>
            </w:tcBorders>
            <w:vAlign w:val="bottom"/>
          </w:tcPr>
          <w:p w14:paraId="07F4FDE5"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-2))</w:t>
            </w:r>
          </w:p>
        </w:tc>
        <w:tc>
          <w:tcPr>
            <w:tcW w:w="1103" w:type="dxa"/>
            <w:tcBorders>
              <w:top w:val="nil"/>
              <w:left w:val="nil"/>
              <w:bottom w:val="nil"/>
              <w:right w:val="nil"/>
            </w:tcBorders>
            <w:vAlign w:val="bottom"/>
          </w:tcPr>
          <w:p w14:paraId="5CBCDEF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-2.138923</w:t>
            </w:r>
          </w:p>
        </w:tc>
        <w:tc>
          <w:tcPr>
            <w:tcW w:w="1207" w:type="dxa"/>
            <w:tcBorders>
              <w:top w:val="nil"/>
              <w:left w:val="nil"/>
              <w:bottom w:val="nil"/>
              <w:right w:val="nil"/>
            </w:tcBorders>
            <w:vAlign w:val="bottom"/>
          </w:tcPr>
          <w:p w14:paraId="54C32424"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5.112155</w:t>
            </w:r>
          </w:p>
        </w:tc>
        <w:tc>
          <w:tcPr>
            <w:tcW w:w="1208" w:type="dxa"/>
            <w:tcBorders>
              <w:top w:val="nil"/>
              <w:left w:val="nil"/>
              <w:bottom w:val="nil"/>
              <w:right w:val="nil"/>
            </w:tcBorders>
            <w:vAlign w:val="bottom"/>
          </w:tcPr>
          <w:p w14:paraId="5D4E549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-0.418400</w:t>
            </w:r>
          </w:p>
        </w:tc>
        <w:tc>
          <w:tcPr>
            <w:tcW w:w="997" w:type="dxa"/>
            <w:tcBorders>
              <w:top w:val="nil"/>
              <w:left w:val="nil"/>
              <w:bottom w:val="nil"/>
              <w:right w:val="nil"/>
            </w:tcBorders>
            <w:vAlign w:val="bottom"/>
          </w:tcPr>
          <w:p w14:paraId="210F103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0.6825</w:t>
            </w:r>
          </w:p>
        </w:tc>
      </w:tr>
      <w:tr w:rsidR="00D8206B" w:rsidRPr="00C51A7B" w14:paraId="163E58FA" w14:textId="77777777" w:rsidTr="00D00B3F">
        <w:trPr>
          <w:gridAfter w:val="2"/>
          <w:wAfter w:w="2217" w:type="dxa"/>
          <w:trHeight w:val="225"/>
        </w:trPr>
        <w:tc>
          <w:tcPr>
            <w:tcW w:w="2017" w:type="dxa"/>
            <w:tcBorders>
              <w:top w:val="nil"/>
              <w:left w:val="nil"/>
              <w:bottom w:val="nil"/>
              <w:right w:val="nil"/>
            </w:tcBorders>
            <w:vAlign w:val="bottom"/>
          </w:tcPr>
          <w:p w14:paraId="7DBC56A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-3))</w:t>
            </w:r>
          </w:p>
        </w:tc>
        <w:tc>
          <w:tcPr>
            <w:tcW w:w="1103" w:type="dxa"/>
            <w:tcBorders>
              <w:top w:val="nil"/>
              <w:left w:val="nil"/>
              <w:bottom w:val="nil"/>
              <w:right w:val="nil"/>
            </w:tcBorders>
            <w:vAlign w:val="bottom"/>
          </w:tcPr>
          <w:p w14:paraId="3D550FA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3.349676</w:t>
            </w:r>
          </w:p>
        </w:tc>
        <w:tc>
          <w:tcPr>
            <w:tcW w:w="1207" w:type="dxa"/>
            <w:tcBorders>
              <w:top w:val="nil"/>
              <w:left w:val="nil"/>
              <w:bottom w:val="nil"/>
              <w:right w:val="nil"/>
            </w:tcBorders>
            <w:vAlign w:val="bottom"/>
          </w:tcPr>
          <w:p w14:paraId="03470C9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3.623174</w:t>
            </w:r>
          </w:p>
        </w:tc>
        <w:tc>
          <w:tcPr>
            <w:tcW w:w="1208" w:type="dxa"/>
            <w:tcBorders>
              <w:top w:val="nil"/>
              <w:left w:val="nil"/>
              <w:bottom w:val="nil"/>
              <w:right w:val="nil"/>
            </w:tcBorders>
            <w:vAlign w:val="bottom"/>
          </w:tcPr>
          <w:p w14:paraId="57BA747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0.924514</w:t>
            </w:r>
          </w:p>
        </w:tc>
        <w:tc>
          <w:tcPr>
            <w:tcW w:w="997" w:type="dxa"/>
            <w:tcBorders>
              <w:top w:val="nil"/>
              <w:left w:val="nil"/>
              <w:bottom w:val="nil"/>
              <w:right w:val="nil"/>
            </w:tcBorders>
            <w:vAlign w:val="bottom"/>
          </w:tcPr>
          <w:p w14:paraId="2712C5E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0.3721</w:t>
            </w:r>
          </w:p>
        </w:tc>
      </w:tr>
      <w:tr w:rsidR="00D8206B" w:rsidRPr="00C51A7B" w14:paraId="4B05E909" w14:textId="77777777" w:rsidTr="00D00B3F">
        <w:trPr>
          <w:gridAfter w:val="2"/>
          <w:wAfter w:w="2217" w:type="dxa"/>
          <w:trHeight w:val="225"/>
        </w:trPr>
        <w:tc>
          <w:tcPr>
            <w:tcW w:w="2017" w:type="dxa"/>
            <w:tcBorders>
              <w:top w:val="nil"/>
              <w:left w:val="nil"/>
              <w:bottom w:val="nil"/>
              <w:right w:val="nil"/>
            </w:tcBorders>
            <w:vAlign w:val="bottom"/>
          </w:tcPr>
          <w:p w14:paraId="70E83B8B"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ED(</w:t>
            </w:r>
            <w:proofErr w:type="gramEnd"/>
            <w:r w:rsidRPr="00C51A7B">
              <w:rPr>
                <w:rFonts w:ascii="Times New Roman" w:eastAsia="Calibri" w:hAnsi="Times New Roman" w:cs="Times New Roman"/>
                <w:color w:val="000000"/>
                <w:sz w:val="22"/>
                <w:szCs w:val="22"/>
              </w:rPr>
              <w:t>-4))</w:t>
            </w:r>
          </w:p>
        </w:tc>
        <w:tc>
          <w:tcPr>
            <w:tcW w:w="1103" w:type="dxa"/>
            <w:tcBorders>
              <w:top w:val="nil"/>
              <w:left w:val="nil"/>
              <w:bottom w:val="nil"/>
              <w:right w:val="nil"/>
            </w:tcBorders>
            <w:vAlign w:val="bottom"/>
          </w:tcPr>
          <w:p w14:paraId="184143B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-6.461616</w:t>
            </w:r>
          </w:p>
        </w:tc>
        <w:tc>
          <w:tcPr>
            <w:tcW w:w="1207" w:type="dxa"/>
            <w:tcBorders>
              <w:top w:val="nil"/>
              <w:left w:val="nil"/>
              <w:bottom w:val="nil"/>
              <w:right w:val="nil"/>
            </w:tcBorders>
            <w:vAlign w:val="bottom"/>
          </w:tcPr>
          <w:p w14:paraId="1ACEFBC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2.484352</w:t>
            </w:r>
          </w:p>
        </w:tc>
        <w:tc>
          <w:tcPr>
            <w:tcW w:w="1208" w:type="dxa"/>
            <w:tcBorders>
              <w:top w:val="nil"/>
              <w:left w:val="nil"/>
              <w:bottom w:val="nil"/>
              <w:right w:val="nil"/>
            </w:tcBorders>
            <w:vAlign w:val="bottom"/>
          </w:tcPr>
          <w:p w14:paraId="119DBB4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-2.600926</w:t>
            </w:r>
          </w:p>
        </w:tc>
        <w:tc>
          <w:tcPr>
            <w:tcW w:w="997" w:type="dxa"/>
            <w:tcBorders>
              <w:top w:val="nil"/>
              <w:left w:val="nil"/>
              <w:bottom w:val="nil"/>
              <w:right w:val="nil"/>
            </w:tcBorders>
            <w:vAlign w:val="bottom"/>
          </w:tcPr>
          <w:p w14:paraId="6B26CFF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0.0220</w:t>
            </w:r>
          </w:p>
        </w:tc>
      </w:tr>
      <w:tr w:rsidR="00D8206B" w:rsidRPr="00C51A7B" w14:paraId="0DCEC4BC" w14:textId="77777777" w:rsidTr="00D00B3F">
        <w:trPr>
          <w:gridAfter w:val="2"/>
          <w:wAfter w:w="2217" w:type="dxa"/>
          <w:trHeight w:val="225"/>
        </w:trPr>
        <w:tc>
          <w:tcPr>
            <w:tcW w:w="2017" w:type="dxa"/>
            <w:tcBorders>
              <w:top w:val="nil"/>
              <w:left w:val="nil"/>
              <w:bottom w:val="nil"/>
              <w:right w:val="nil"/>
            </w:tcBorders>
            <w:vAlign w:val="bottom"/>
          </w:tcPr>
          <w:p w14:paraId="3CC9ED1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LOG(DD)</w:t>
            </w:r>
          </w:p>
        </w:tc>
        <w:tc>
          <w:tcPr>
            <w:tcW w:w="1103" w:type="dxa"/>
            <w:tcBorders>
              <w:top w:val="nil"/>
              <w:left w:val="nil"/>
              <w:bottom w:val="nil"/>
              <w:right w:val="nil"/>
            </w:tcBorders>
            <w:vAlign w:val="bottom"/>
          </w:tcPr>
          <w:p w14:paraId="299957A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3.261550</w:t>
            </w:r>
          </w:p>
        </w:tc>
        <w:tc>
          <w:tcPr>
            <w:tcW w:w="1207" w:type="dxa"/>
            <w:tcBorders>
              <w:top w:val="nil"/>
              <w:left w:val="nil"/>
              <w:bottom w:val="nil"/>
              <w:right w:val="nil"/>
            </w:tcBorders>
            <w:vAlign w:val="bottom"/>
          </w:tcPr>
          <w:p w14:paraId="7AC3B83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4.775126</w:t>
            </w:r>
          </w:p>
        </w:tc>
        <w:tc>
          <w:tcPr>
            <w:tcW w:w="1208" w:type="dxa"/>
            <w:tcBorders>
              <w:top w:val="nil"/>
              <w:left w:val="nil"/>
              <w:bottom w:val="nil"/>
              <w:right w:val="nil"/>
            </w:tcBorders>
            <w:vAlign w:val="bottom"/>
          </w:tcPr>
          <w:p w14:paraId="41800CE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0.683029</w:t>
            </w:r>
          </w:p>
        </w:tc>
        <w:tc>
          <w:tcPr>
            <w:tcW w:w="997" w:type="dxa"/>
            <w:tcBorders>
              <w:top w:val="nil"/>
              <w:left w:val="nil"/>
              <w:bottom w:val="nil"/>
              <w:right w:val="nil"/>
            </w:tcBorders>
            <w:vAlign w:val="bottom"/>
          </w:tcPr>
          <w:p w14:paraId="687C90E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0.5066</w:t>
            </w:r>
          </w:p>
        </w:tc>
      </w:tr>
      <w:tr w:rsidR="00D8206B" w:rsidRPr="00C51A7B" w14:paraId="23FE543C" w14:textId="77777777" w:rsidTr="00D00B3F">
        <w:trPr>
          <w:gridAfter w:val="2"/>
          <w:wAfter w:w="2217" w:type="dxa"/>
          <w:trHeight w:val="225"/>
        </w:trPr>
        <w:tc>
          <w:tcPr>
            <w:tcW w:w="2017" w:type="dxa"/>
            <w:tcBorders>
              <w:top w:val="nil"/>
              <w:left w:val="nil"/>
              <w:bottom w:val="nil"/>
              <w:right w:val="nil"/>
            </w:tcBorders>
            <w:vAlign w:val="bottom"/>
          </w:tcPr>
          <w:p w14:paraId="505E0E3A"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DD(</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4354AE2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-8.931994</w:t>
            </w:r>
          </w:p>
        </w:tc>
        <w:tc>
          <w:tcPr>
            <w:tcW w:w="1207" w:type="dxa"/>
            <w:tcBorders>
              <w:top w:val="nil"/>
              <w:left w:val="nil"/>
              <w:bottom w:val="nil"/>
              <w:right w:val="nil"/>
            </w:tcBorders>
            <w:vAlign w:val="bottom"/>
          </w:tcPr>
          <w:p w14:paraId="22AAA56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4.362077</w:t>
            </w:r>
          </w:p>
        </w:tc>
        <w:tc>
          <w:tcPr>
            <w:tcW w:w="1208" w:type="dxa"/>
            <w:tcBorders>
              <w:top w:val="nil"/>
              <w:left w:val="nil"/>
              <w:bottom w:val="nil"/>
              <w:right w:val="nil"/>
            </w:tcBorders>
            <w:vAlign w:val="bottom"/>
          </w:tcPr>
          <w:p w14:paraId="07991F7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-2.047647</w:t>
            </w:r>
          </w:p>
        </w:tc>
        <w:tc>
          <w:tcPr>
            <w:tcW w:w="997" w:type="dxa"/>
            <w:tcBorders>
              <w:top w:val="nil"/>
              <w:left w:val="nil"/>
              <w:bottom w:val="nil"/>
              <w:right w:val="nil"/>
            </w:tcBorders>
            <w:vAlign w:val="bottom"/>
          </w:tcPr>
          <w:p w14:paraId="1858DC0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0.0614</w:t>
            </w:r>
          </w:p>
        </w:tc>
      </w:tr>
      <w:tr w:rsidR="00D8206B" w:rsidRPr="00C51A7B" w14:paraId="09879FE6" w14:textId="77777777" w:rsidTr="00D00B3F">
        <w:trPr>
          <w:gridAfter w:val="2"/>
          <w:wAfter w:w="2217" w:type="dxa"/>
          <w:trHeight w:val="225"/>
        </w:trPr>
        <w:tc>
          <w:tcPr>
            <w:tcW w:w="2017" w:type="dxa"/>
            <w:tcBorders>
              <w:top w:val="nil"/>
              <w:left w:val="nil"/>
              <w:bottom w:val="nil"/>
              <w:right w:val="nil"/>
            </w:tcBorders>
            <w:vAlign w:val="bottom"/>
          </w:tcPr>
          <w:p w14:paraId="6EF24B2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DD(</w:t>
            </w:r>
            <w:proofErr w:type="gramEnd"/>
            <w:r w:rsidRPr="00C51A7B">
              <w:rPr>
                <w:rFonts w:ascii="Times New Roman" w:eastAsia="Calibri" w:hAnsi="Times New Roman" w:cs="Times New Roman"/>
                <w:color w:val="000000"/>
                <w:sz w:val="22"/>
                <w:szCs w:val="22"/>
              </w:rPr>
              <w:t>-2))</w:t>
            </w:r>
          </w:p>
        </w:tc>
        <w:tc>
          <w:tcPr>
            <w:tcW w:w="1103" w:type="dxa"/>
            <w:tcBorders>
              <w:top w:val="nil"/>
              <w:left w:val="nil"/>
              <w:bottom w:val="nil"/>
              <w:right w:val="nil"/>
            </w:tcBorders>
            <w:vAlign w:val="bottom"/>
          </w:tcPr>
          <w:p w14:paraId="6039EA5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0.543150</w:t>
            </w:r>
          </w:p>
        </w:tc>
        <w:tc>
          <w:tcPr>
            <w:tcW w:w="1207" w:type="dxa"/>
            <w:tcBorders>
              <w:top w:val="nil"/>
              <w:left w:val="nil"/>
              <w:bottom w:val="nil"/>
              <w:right w:val="nil"/>
            </w:tcBorders>
            <w:vAlign w:val="bottom"/>
          </w:tcPr>
          <w:p w14:paraId="28DFD70F"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2.749054</w:t>
            </w:r>
          </w:p>
        </w:tc>
        <w:tc>
          <w:tcPr>
            <w:tcW w:w="1208" w:type="dxa"/>
            <w:tcBorders>
              <w:top w:val="nil"/>
              <w:left w:val="nil"/>
              <w:bottom w:val="nil"/>
              <w:right w:val="nil"/>
            </w:tcBorders>
            <w:vAlign w:val="bottom"/>
          </w:tcPr>
          <w:p w14:paraId="2E4A30E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0.197577</w:t>
            </w:r>
          </w:p>
        </w:tc>
        <w:tc>
          <w:tcPr>
            <w:tcW w:w="997" w:type="dxa"/>
            <w:tcBorders>
              <w:top w:val="nil"/>
              <w:left w:val="nil"/>
              <w:bottom w:val="nil"/>
              <w:right w:val="nil"/>
            </w:tcBorders>
            <w:vAlign w:val="bottom"/>
          </w:tcPr>
          <w:p w14:paraId="6F43725F"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0.8464</w:t>
            </w:r>
          </w:p>
        </w:tc>
      </w:tr>
      <w:tr w:rsidR="00D8206B" w:rsidRPr="00C51A7B" w14:paraId="0239B224" w14:textId="77777777" w:rsidTr="00D00B3F">
        <w:trPr>
          <w:gridAfter w:val="2"/>
          <w:wAfter w:w="2217" w:type="dxa"/>
          <w:trHeight w:val="225"/>
        </w:trPr>
        <w:tc>
          <w:tcPr>
            <w:tcW w:w="2017" w:type="dxa"/>
            <w:tcBorders>
              <w:top w:val="nil"/>
              <w:left w:val="nil"/>
              <w:bottom w:val="nil"/>
              <w:right w:val="nil"/>
            </w:tcBorders>
            <w:vAlign w:val="bottom"/>
          </w:tcPr>
          <w:p w14:paraId="330DF7EC"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DD(</w:t>
            </w:r>
            <w:proofErr w:type="gramEnd"/>
            <w:r w:rsidRPr="00C51A7B">
              <w:rPr>
                <w:rFonts w:ascii="Times New Roman" w:eastAsia="Calibri" w:hAnsi="Times New Roman" w:cs="Times New Roman"/>
                <w:color w:val="000000"/>
                <w:sz w:val="22"/>
                <w:szCs w:val="22"/>
              </w:rPr>
              <w:t>-3))</w:t>
            </w:r>
          </w:p>
        </w:tc>
        <w:tc>
          <w:tcPr>
            <w:tcW w:w="1103" w:type="dxa"/>
            <w:tcBorders>
              <w:top w:val="nil"/>
              <w:left w:val="nil"/>
              <w:bottom w:val="nil"/>
              <w:right w:val="nil"/>
            </w:tcBorders>
            <w:vAlign w:val="bottom"/>
          </w:tcPr>
          <w:p w14:paraId="39ECE98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-0.117043</w:t>
            </w:r>
          </w:p>
        </w:tc>
        <w:tc>
          <w:tcPr>
            <w:tcW w:w="1207" w:type="dxa"/>
            <w:tcBorders>
              <w:top w:val="nil"/>
              <w:left w:val="nil"/>
              <w:bottom w:val="nil"/>
              <w:right w:val="nil"/>
            </w:tcBorders>
            <w:vAlign w:val="bottom"/>
          </w:tcPr>
          <w:p w14:paraId="50C6F2B9"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1.162355</w:t>
            </w:r>
          </w:p>
        </w:tc>
        <w:tc>
          <w:tcPr>
            <w:tcW w:w="1208" w:type="dxa"/>
            <w:tcBorders>
              <w:top w:val="nil"/>
              <w:left w:val="nil"/>
              <w:bottom w:val="nil"/>
              <w:right w:val="nil"/>
            </w:tcBorders>
            <w:vAlign w:val="bottom"/>
          </w:tcPr>
          <w:p w14:paraId="7B5A7C8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-0.100695</w:t>
            </w:r>
          </w:p>
        </w:tc>
        <w:tc>
          <w:tcPr>
            <w:tcW w:w="997" w:type="dxa"/>
            <w:tcBorders>
              <w:top w:val="nil"/>
              <w:left w:val="nil"/>
              <w:bottom w:val="nil"/>
              <w:right w:val="nil"/>
            </w:tcBorders>
            <w:vAlign w:val="bottom"/>
          </w:tcPr>
          <w:p w14:paraId="5967E7EF"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0.9213</w:t>
            </w:r>
          </w:p>
        </w:tc>
      </w:tr>
      <w:tr w:rsidR="00D8206B" w:rsidRPr="00C51A7B" w14:paraId="0DB02EDE" w14:textId="77777777" w:rsidTr="00D00B3F">
        <w:trPr>
          <w:gridAfter w:val="2"/>
          <w:wAfter w:w="2217" w:type="dxa"/>
          <w:trHeight w:val="225"/>
        </w:trPr>
        <w:tc>
          <w:tcPr>
            <w:tcW w:w="2017" w:type="dxa"/>
            <w:tcBorders>
              <w:top w:val="nil"/>
              <w:left w:val="nil"/>
              <w:bottom w:val="nil"/>
              <w:right w:val="nil"/>
            </w:tcBorders>
            <w:vAlign w:val="bottom"/>
          </w:tcPr>
          <w:p w14:paraId="7A73BB48"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DD(</w:t>
            </w:r>
            <w:proofErr w:type="gramEnd"/>
            <w:r w:rsidRPr="00C51A7B">
              <w:rPr>
                <w:rFonts w:ascii="Times New Roman" w:eastAsia="Calibri" w:hAnsi="Times New Roman" w:cs="Times New Roman"/>
                <w:color w:val="000000"/>
                <w:sz w:val="22"/>
                <w:szCs w:val="22"/>
              </w:rPr>
              <w:t>-4))</w:t>
            </w:r>
          </w:p>
        </w:tc>
        <w:tc>
          <w:tcPr>
            <w:tcW w:w="1103" w:type="dxa"/>
            <w:tcBorders>
              <w:top w:val="nil"/>
              <w:left w:val="nil"/>
              <w:bottom w:val="nil"/>
              <w:right w:val="nil"/>
            </w:tcBorders>
            <w:vAlign w:val="bottom"/>
          </w:tcPr>
          <w:p w14:paraId="44E4BFC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2.527281</w:t>
            </w:r>
          </w:p>
        </w:tc>
        <w:tc>
          <w:tcPr>
            <w:tcW w:w="1207" w:type="dxa"/>
            <w:tcBorders>
              <w:top w:val="nil"/>
              <w:left w:val="nil"/>
              <w:bottom w:val="nil"/>
              <w:right w:val="nil"/>
            </w:tcBorders>
            <w:vAlign w:val="bottom"/>
          </w:tcPr>
          <w:p w14:paraId="169F1BF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1.010978</w:t>
            </w:r>
          </w:p>
        </w:tc>
        <w:tc>
          <w:tcPr>
            <w:tcW w:w="1208" w:type="dxa"/>
            <w:tcBorders>
              <w:top w:val="nil"/>
              <w:left w:val="nil"/>
              <w:bottom w:val="nil"/>
              <w:right w:val="nil"/>
            </w:tcBorders>
            <w:vAlign w:val="bottom"/>
          </w:tcPr>
          <w:p w14:paraId="71010D0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2.499839</w:t>
            </w:r>
          </w:p>
        </w:tc>
        <w:tc>
          <w:tcPr>
            <w:tcW w:w="997" w:type="dxa"/>
            <w:tcBorders>
              <w:top w:val="nil"/>
              <w:left w:val="nil"/>
              <w:bottom w:val="nil"/>
              <w:right w:val="nil"/>
            </w:tcBorders>
            <w:vAlign w:val="bottom"/>
          </w:tcPr>
          <w:p w14:paraId="505CA845"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0.0266</w:t>
            </w:r>
          </w:p>
        </w:tc>
      </w:tr>
      <w:tr w:rsidR="00D8206B" w:rsidRPr="00C51A7B" w14:paraId="107D55FD" w14:textId="77777777" w:rsidTr="00D00B3F">
        <w:trPr>
          <w:gridAfter w:val="2"/>
          <w:wAfter w:w="2217" w:type="dxa"/>
          <w:trHeight w:val="225"/>
        </w:trPr>
        <w:tc>
          <w:tcPr>
            <w:tcW w:w="2017" w:type="dxa"/>
            <w:tcBorders>
              <w:top w:val="nil"/>
              <w:left w:val="nil"/>
              <w:bottom w:val="nil"/>
              <w:right w:val="nil"/>
            </w:tcBorders>
            <w:vAlign w:val="bottom"/>
          </w:tcPr>
          <w:p w14:paraId="3B02BF49"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LOG(DGDP)</w:t>
            </w:r>
          </w:p>
        </w:tc>
        <w:tc>
          <w:tcPr>
            <w:tcW w:w="1103" w:type="dxa"/>
            <w:tcBorders>
              <w:top w:val="nil"/>
              <w:left w:val="nil"/>
              <w:bottom w:val="nil"/>
              <w:right w:val="nil"/>
            </w:tcBorders>
            <w:vAlign w:val="bottom"/>
          </w:tcPr>
          <w:p w14:paraId="737115A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-1.061453</w:t>
            </w:r>
          </w:p>
        </w:tc>
        <w:tc>
          <w:tcPr>
            <w:tcW w:w="1207" w:type="dxa"/>
            <w:tcBorders>
              <w:top w:val="nil"/>
              <w:left w:val="nil"/>
              <w:bottom w:val="nil"/>
              <w:right w:val="nil"/>
            </w:tcBorders>
            <w:vAlign w:val="bottom"/>
          </w:tcPr>
          <w:p w14:paraId="54599CF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0.345741</w:t>
            </w:r>
          </w:p>
        </w:tc>
        <w:tc>
          <w:tcPr>
            <w:tcW w:w="1208" w:type="dxa"/>
            <w:tcBorders>
              <w:top w:val="nil"/>
              <w:left w:val="nil"/>
              <w:bottom w:val="nil"/>
              <w:right w:val="nil"/>
            </w:tcBorders>
            <w:vAlign w:val="bottom"/>
          </w:tcPr>
          <w:p w14:paraId="0CE760D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-3.070083</w:t>
            </w:r>
          </w:p>
        </w:tc>
        <w:tc>
          <w:tcPr>
            <w:tcW w:w="997" w:type="dxa"/>
            <w:tcBorders>
              <w:top w:val="nil"/>
              <w:left w:val="nil"/>
              <w:bottom w:val="nil"/>
              <w:right w:val="nil"/>
            </w:tcBorders>
            <w:vAlign w:val="bottom"/>
          </w:tcPr>
          <w:p w14:paraId="2379BE1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0.0089</w:t>
            </w:r>
          </w:p>
        </w:tc>
      </w:tr>
      <w:tr w:rsidR="00D8206B" w:rsidRPr="00C51A7B" w14:paraId="2415273A" w14:textId="77777777" w:rsidTr="00D00B3F">
        <w:trPr>
          <w:gridAfter w:val="2"/>
          <w:wAfter w:w="2217" w:type="dxa"/>
          <w:trHeight w:val="225"/>
        </w:trPr>
        <w:tc>
          <w:tcPr>
            <w:tcW w:w="2017" w:type="dxa"/>
            <w:tcBorders>
              <w:top w:val="nil"/>
              <w:left w:val="nil"/>
              <w:bottom w:val="nil"/>
              <w:right w:val="nil"/>
            </w:tcBorders>
            <w:vAlign w:val="bottom"/>
          </w:tcPr>
          <w:p w14:paraId="33588D2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w:t>
            </w:r>
            <w:proofErr w:type="gramStart"/>
            <w:r w:rsidRPr="00C51A7B">
              <w:rPr>
                <w:rFonts w:ascii="Times New Roman" w:eastAsia="Calibri" w:hAnsi="Times New Roman" w:cs="Times New Roman"/>
                <w:color w:val="000000"/>
                <w:sz w:val="22"/>
                <w:szCs w:val="22"/>
              </w:rPr>
              <w:t>DGDP(</w:t>
            </w:r>
            <w:proofErr w:type="gramEnd"/>
            <w:r w:rsidRPr="00C51A7B">
              <w:rPr>
                <w:rFonts w:ascii="Times New Roman" w:eastAsia="Calibri" w:hAnsi="Times New Roman" w:cs="Times New Roman"/>
                <w:color w:val="000000"/>
                <w:sz w:val="22"/>
                <w:szCs w:val="22"/>
              </w:rPr>
              <w:t>-1))</w:t>
            </w:r>
          </w:p>
        </w:tc>
        <w:tc>
          <w:tcPr>
            <w:tcW w:w="1103" w:type="dxa"/>
            <w:tcBorders>
              <w:top w:val="nil"/>
              <w:left w:val="nil"/>
              <w:bottom w:val="nil"/>
              <w:right w:val="nil"/>
            </w:tcBorders>
            <w:vAlign w:val="bottom"/>
          </w:tcPr>
          <w:p w14:paraId="672BB42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0.500388</w:t>
            </w:r>
          </w:p>
        </w:tc>
        <w:tc>
          <w:tcPr>
            <w:tcW w:w="1207" w:type="dxa"/>
            <w:tcBorders>
              <w:top w:val="nil"/>
              <w:left w:val="nil"/>
              <w:bottom w:val="nil"/>
              <w:right w:val="nil"/>
            </w:tcBorders>
            <w:vAlign w:val="bottom"/>
          </w:tcPr>
          <w:p w14:paraId="12AB5C1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0.464281</w:t>
            </w:r>
          </w:p>
        </w:tc>
        <w:tc>
          <w:tcPr>
            <w:tcW w:w="1208" w:type="dxa"/>
            <w:tcBorders>
              <w:top w:val="nil"/>
              <w:left w:val="nil"/>
              <w:bottom w:val="nil"/>
              <w:right w:val="nil"/>
            </w:tcBorders>
            <w:vAlign w:val="bottom"/>
          </w:tcPr>
          <w:p w14:paraId="52F7C37A"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1.077772</w:t>
            </w:r>
          </w:p>
        </w:tc>
        <w:tc>
          <w:tcPr>
            <w:tcW w:w="997" w:type="dxa"/>
            <w:tcBorders>
              <w:top w:val="nil"/>
              <w:left w:val="nil"/>
              <w:bottom w:val="nil"/>
              <w:right w:val="nil"/>
            </w:tcBorders>
            <w:vAlign w:val="bottom"/>
          </w:tcPr>
          <w:p w14:paraId="06130E38"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0.3007</w:t>
            </w:r>
          </w:p>
        </w:tc>
      </w:tr>
      <w:tr w:rsidR="00D8206B" w:rsidRPr="00C51A7B" w14:paraId="3E171429" w14:textId="77777777" w:rsidTr="00D00B3F">
        <w:trPr>
          <w:gridAfter w:val="2"/>
          <w:wAfter w:w="2217" w:type="dxa"/>
          <w:trHeight w:val="225"/>
        </w:trPr>
        <w:tc>
          <w:tcPr>
            <w:tcW w:w="2017" w:type="dxa"/>
            <w:tcBorders>
              <w:top w:val="nil"/>
              <w:left w:val="nil"/>
              <w:bottom w:val="nil"/>
              <w:right w:val="nil"/>
            </w:tcBorders>
            <w:vAlign w:val="bottom"/>
          </w:tcPr>
          <w:p w14:paraId="5A8EAE5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C</w:t>
            </w:r>
          </w:p>
        </w:tc>
        <w:tc>
          <w:tcPr>
            <w:tcW w:w="1103" w:type="dxa"/>
            <w:tcBorders>
              <w:top w:val="nil"/>
              <w:left w:val="nil"/>
              <w:bottom w:val="nil"/>
              <w:right w:val="nil"/>
            </w:tcBorders>
            <w:vAlign w:val="bottom"/>
          </w:tcPr>
          <w:p w14:paraId="2EC32A6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8.181485</w:t>
            </w:r>
          </w:p>
        </w:tc>
        <w:tc>
          <w:tcPr>
            <w:tcW w:w="1207" w:type="dxa"/>
            <w:tcBorders>
              <w:top w:val="nil"/>
              <w:left w:val="nil"/>
              <w:bottom w:val="nil"/>
              <w:right w:val="nil"/>
            </w:tcBorders>
            <w:vAlign w:val="bottom"/>
          </w:tcPr>
          <w:p w14:paraId="103D9EDD"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3.159573</w:t>
            </w:r>
          </w:p>
        </w:tc>
        <w:tc>
          <w:tcPr>
            <w:tcW w:w="1208" w:type="dxa"/>
            <w:tcBorders>
              <w:top w:val="nil"/>
              <w:left w:val="nil"/>
              <w:bottom w:val="nil"/>
              <w:right w:val="nil"/>
            </w:tcBorders>
            <w:vAlign w:val="bottom"/>
          </w:tcPr>
          <w:p w14:paraId="27042CAC"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2.589427</w:t>
            </w:r>
          </w:p>
        </w:tc>
        <w:tc>
          <w:tcPr>
            <w:tcW w:w="997" w:type="dxa"/>
            <w:tcBorders>
              <w:top w:val="nil"/>
              <w:left w:val="nil"/>
              <w:bottom w:val="nil"/>
              <w:right w:val="nil"/>
            </w:tcBorders>
            <w:vAlign w:val="bottom"/>
          </w:tcPr>
          <w:p w14:paraId="663298A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0.0225</w:t>
            </w:r>
          </w:p>
        </w:tc>
      </w:tr>
      <w:tr w:rsidR="00D8206B" w:rsidRPr="00C51A7B" w14:paraId="4D6157C3" w14:textId="77777777" w:rsidTr="00D00B3F">
        <w:trPr>
          <w:gridAfter w:val="2"/>
          <w:wAfter w:w="2217" w:type="dxa"/>
          <w:trHeight w:hRule="exact" w:val="90"/>
        </w:trPr>
        <w:tc>
          <w:tcPr>
            <w:tcW w:w="2017" w:type="dxa"/>
            <w:tcBorders>
              <w:top w:val="nil"/>
              <w:left w:val="nil"/>
              <w:bottom w:val="double" w:sz="6" w:space="2" w:color="auto"/>
              <w:right w:val="nil"/>
            </w:tcBorders>
            <w:vAlign w:val="bottom"/>
          </w:tcPr>
          <w:p w14:paraId="166D4C6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double" w:sz="6" w:space="2" w:color="auto"/>
              <w:right w:val="nil"/>
            </w:tcBorders>
            <w:vAlign w:val="bottom"/>
          </w:tcPr>
          <w:p w14:paraId="7A18C748"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double" w:sz="6" w:space="2" w:color="auto"/>
              <w:right w:val="nil"/>
            </w:tcBorders>
            <w:vAlign w:val="bottom"/>
          </w:tcPr>
          <w:p w14:paraId="23A21A61"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double" w:sz="6" w:space="2" w:color="auto"/>
              <w:right w:val="nil"/>
            </w:tcBorders>
            <w:vAlign w:val="bottom"/>
          </w:tcPr>
          <w:p w14:paraId="1CDAD395"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double" w:sz="6" w:space="2" w:color="auto"/>
              <w:right w:val="nil"/>
            </w:tcBorders>
            <w:vAlign w:val="bottom"/>
          </w:tcPr>
          <w:p w14:paraId="11F3B487"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5025B20C" w14:textId="77777777" w:rsidTr="00D00B3F">
        <w:trPr>
          <w:gridAfter w:val="2"/>
          <w:wAfter w:w="2217" w:type="dxa"/>
          <w:trHeight w:hRule="exact" w:val="135"/>
        </w:trPr>
        <w:tc>
          <w:tcPr>
            <w:tcW w:w="2017" w:type="dxa"/>
            <w:tcBorders>
              <w:top w:val="nil"/>
              <w:left w:val="nil"/>
              <w:bottom w:val="nil"/>
              <w:right w:val="nil"/>
            </w:tcBorders>
            <w:vAlign w:val="bottom"/>
          </w:tcPr>
          <w:p w14:paraId="2A70C0F0"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103" w:type="dxa"/>
            <w:tcBorders>
              <w:top w:val="nil"/>
              <w:left w:val="nil"/>
              <w:bottom w:val="nil"/>
              <w:right w:val="nil"/>
            </w:tcBorders>
            <w:vAlign w:val="bottom"/>
          </w:tcPr>
          <w:p w14:paraId="42A67CA5"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7" w:type="dxa"/>
            <w:tcBorders>
              <w:top w:val="nil"/>
              <w:left w:val="nil"/>
              <w:bottom w:val="nil"/>
              <w:right w:val="nil"/>
            </w:tcBorders>
            <w:vAlign w:val="bottom"/>
          </w:tcPr>
          <w:p w14:paraId="0808AE65"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1208" w:type="dxa"/>
            <w:tcBorders>
              <w:top w:val="nil"/>
              <w:left w:val="nil"/>
              <w:bottom w:val="nil"/>
              <w:right w:val="nil"/>
            </w:tcBorders>
            <w:vAlign w:val="bottom"/>
          </w:tcPr>
          <w:p w14:paraId="5017141C"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c>
          <w:tcPr>
            <w:tcW w:w="997" w:type="dxa"/>
            <w:tcBorders>
              <w:top w:val="nil"/>
              <w:left w:val="nil"/>
              <w:bottom w:val="nil"/>
              <w:right w:val="nil"/>
            </w:tcBorders>
            <w:vAlign w:val="bottom"/>
          </w:tcPr>
          <w:p w14:paraId="206B5196" w14:textId="77777777" w:rsidR="00D8206B" w:rsidRPr="00C51A7B" w:rsidRDefault="00D8206B" w:rsidP="00D00B3F">
            <w:pPr>
              <w:autoSpaceDE w:val="0"/>
              <w:autoSpaceDN w:val="0"/>
              <w:adjustRightInd w:val="0"/>
              <w:spacing w:after="0" w:line="240" w:lineRule="auto"/>
              <w:jc w:val="center"/>
              <w:rPr>
                <w:rFonts w:ascii="Times New Roman" w:eastAsia="Calibri" w:hAnsi="Times New Roman" w:cs="Times New Roman"/>
                <w:color w:val="000000"/>
                <w:sz w:val="22"/>
                <w:szCs w:val="22"/>
              </w:rPr>
            </w:pPr>
          </w:p>
        </w:tc>
      </w:tr>
      <w:tr w:rsidR="00D8206B" w:rsidRPr="00C51A7B" w14:paraId="15930BC9" w14:textId="77777777" w:rsidTr="00D00B3F">
        <w:trPr>
          <w:gridAfter w:val="2"/>
          <w:wAfter w:w="2217" w:type="dxa"/>
          <w:trHeight w:val="225"/>
        </w:trPr>
        <w:tc>
          <w:tcPr>
            <w:tcW w:w="2017" w:type="dxa"/>
            <w:tcBorders>
              <w:top w:val="nil"/>
              <w:left w:val="nil"/>
              <w:bottom w:val="nil"/>
              <w:right w:val="nil"/>
            </w:tcBorders>
            <w:vAlign w:val="bottom"/>
          </w:tcPr>
          <w:p w14:paraId="512C45EF"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R-squared</w:t>
            </w:r>
          </w:p>
        </w:tc>
        <w:tc>
          <w:tcPr>
            <w:tcW w:w="1103" w:type="dxa"/>
            <w:tcBorders>
              <w:top w:val="nil"/>
              <w:left w:val="nil"/>
              <w:bottom w:val="nil"/>
              <w:right w:val="nil"/>
            </w:tcBorders>
            <w:vAlign w:val="bottom"/>
          </w:tcPr>
          <w:p w14:paraId="2A83B7EB"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0.988809</w:t>
            </w:r>
          </w:p>
        </w:tc>
        <w:tc>
          <w:tcPr>
            <w:tcW w:w="2415" w:type="dxa"/>
            <w:gridSpan w:val="2"/>
            <w:tcBorders>
              <w:top w:val="nil"/>
              <w:left w:val="nil"/>
              <w:bottom w:val="nil"/>
              <w:right w:val="nil"/>
            </w:tcBorders>
            <w:vAlign w:val="bottom"/>
          </w:tcPr>
          <w:p w14:paraId="1A3380E6"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Mean dependent var</w:t>
            </w:r>
          </w:p>
        </w:tc>
        <w:tc>
          <w:tcPr>
            <w:tcW w:w="997" w:type="dxa"/>
            <w:tcBorders>
              <w:top w:val="nil"/>
              <w:left w:val="nil"/>
              <w:bottom w:val="nil"/>
              <w:right w:val="nil"/>
            </w:tcBorders>
            <w:vAlign w:val="bottom"/>
          </w:tcPr>
          <w:p w14:paraId="44E4B8D1"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6.934615</w:t>
            </w:r>
          </w:p>
        </w:tc>
      </w:tr>
      <w:tr w:rsidR="00D8206B" w:rsidRPr="00C51A7B" w14:paraId="63305872" w14:textId="77777777" w:rsidTr="00D00B3F">
        <w:trPr>
          <w:gridAfter w:val="2"/>
          <w:wAfter w:w="2217" w:type="dxa"/>
          <w:trHeight w:val="225"/>
        </w:trPr>
        <w:tc>
          <w:tcPr>
            <w:tcW w:w="2017" w:type="dxa"/>
            <w:tcBorders>
              <w:top w:val="nil"/>
              <w:left w:val="nil"/>
              <w:bottom w:val="nil"/>
              <w:right w:val="nil"/>
            </w:tcBorders>
            <w:vAlign w:val="bottom"/>
          </w:tcPr>
          <w:p w14:paraId="4537DA09"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Adjusted R-squared</w:t>
            </w:r>
          </w:p>
        </w:tc>
        <w:tc>
          <w:tcPr>
            <w:tcW w:w="1103" w:type="dxa"/>
            <w:tcBorders>
              <w:top w:val="nil"/>
              <w:left w:val="nil"/>
              <w:bottom w:val="nil"/>
              <w:right w:val="nil"/>
            </w:tcBorders>
            <w:vAlign w:val="bottom"/>
          </w:tcPr>
          <w:p w14:paraId="0AB4781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0.975035</w:t>
            </w:r>
          </w:p>
        </w:tc>
        <w:tc>
          <w:tcPr>
            <w:tcW w:w="2415" w:type="dxa"/>
            <w:gridSpan w:val="2"/>
            <w:tcBorders>
              <w:top w:val="nil"/>
              <w:left w:val="nil"/>
              <w:bottom w:val="nil"/>
              <w:right w:val="nil"/>
            </w:tcBorders>
            <w:vAlign w:val="bottom"/>
          </w:tcPr>
          <w:p w14:paraId="486EF420"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S.D. dependent var</w:t>
            </w:r>
          </w:p>
        </w:tc>
        <w:tc>
          <w:tcPr>
            <w:tcW w:w="997" w:type="dxa"/>
            <w:tcBorders>
              <w:top w:val="nil"/>
              <w:left w:val="nil"/>
              <w:bottom w:val="nil"/>
              <w:right w:val="nil"/>
            </w:tcBorders>
            <w:vAlign w:val="bottom"/>
          </w:tcPr>
          <w:p w14:paraId="6398423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0.117467</w:t>
            </w:r>
          </w:p>
        </w:tc>
      </w:tr>
      <w:tr w:rsidR="00D8206B" w:rsidRPr="00C51A7B" w14:paraId="7D5915E2" w14:textId="77777777" w:rsidTr="00D00B3F">
        <w:trPr>
          <w:gridAfter w:val="2"/>
          <w:wAfter w:w="2217" w:type="dxa"/>
          <w:trHeight w:val="225"/>
        </w:trPr>
        <w:tc>
          <w:tcPr>
            <w:tcW w:w="2017" w:type="dxa"/>
            <w:tcBorders>
              <w:top w:val="nil"/>
              <w:left w:val="nil"/>
              <w:bottom w:val="nil"/>
              <w:right w:val="nil"/>
            </w:tcBorders>
            <w:vAlign w:val="bottom"/>
          </w:tcPr>
          <w:p w14:paraId="50BDF6EA"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S.E. of regression</w:t>
            </w:r>
          </w:p>
        </w:tc>
        <w:tc>
          <w:tcPr>
            <w:tcW w:w="1103" w:type="dxa"/>
            <w:tcBorders>
              <w:top w:val="nil"/>
              <w:left w:val="nil"/>
              <w:bottom w:val="nil"/>
              <w:right w:val="nil"/>
            </w:tcBorders>
            <w:vAlign w:val="bottom"/>
          </w:tcPr>
          <w:p w14:paraId="22B63F4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0.018560</w:t>
            </w:r>
          </w:p>
        </w:tc>
        <w:tc>
          <w:tcPr>
            <w:tcW w:w="2415" w:type="dxa"/>
            <w:gridSpan w:val="2"/>
            <w:tcBorders>
              <w:top w:val="nil"/>
              <w:left w:val="nil"/>
              <w:bottom w:val="nil"/>
              <w:right w:val="nil"/>
            </w:tcBorders>
            <w:vAlign w:val="bottom"/>
          </w:tcPr>
          <w:p w14:paraId="44A58F0F"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Akaike info criterion</w:t>
            </w:r>
          </w:p>
        </w:tc>
        <w:tc>
          <w:tcPr>
            <w:tcW w:w="997" w:type="dxa"/>
            <w:tcBorders>
              <w:top w:val="nil"/>
              <w:left w:val="nil"/>
              <w:bottom w:val="nil"/>
              <w:right w:val="nil"/>
            </w:tcBorders>
            <w:vAlign w:val="bottom"/>
          </w:tcPr>
          <w:p w14:paraId="1E6E0240"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-4.838502</w:t>
            </w:r>
          </w:p>
        </w:tc>
      </w:tr>
      <w:tr w:rsidR="00D8206B" w:rsidRPr="00C51A7B" w14:paraId="7F7016F9" w14:textId="77777777" w:rsidTr="00D00B3F">
        <w:trPr>
          <w:gridAfter w:val="2"/>
          <w:wAfter w:w="2217" w:type="dxa"/>
          <w:trHeight w:val="225"/>
        </w:trPr>
        <w:tc>
          <w:tcPr>
            <w:tcW w:w="2017" w:type="dxa"/>
            <w:tcBorders>
              <w:top w:val="nil"/>
              <w:left w:val="nil"/>
              <w:bottom w:val="nil"/>
              <w:right w:val="nil"/>
            </w:tcBorders>
            <w:vAlign w:val="bottom"/>
          </w:tcPr>
          <w:p w14:paraId="5DA967A0"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Sum squared resid</w:t>
            </w:r>
          </w:p>
        </w:tc>
        <w:tc>
          <w:tcPr>
            <w:tcW w:w="1103" w:type="dxa"/>
            <w:tcBorders>
              <w:top w:val="nil"/>
              <w:left w:val="nil"/>
              <w:bottom w:val="nil"/>
              <w:right w:val="nil"/>
            </w:tcBorders>
            <w:vAlign w:val="bottom"/>
          </w:tcPr>
          <w:p w14:paraId="46F94DF3"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0.004478</w:t>
            </w:r>
          </w:p>
        </w:tc>
        <w:tc>
          <w:tcPr>
            <w:tcW w:w="2415" w:type="dxa"/>
            <w:gridSpan w:val="2"/>
            <w:tcBorders>
              <w:top w:val="nil"/>
              <w:left w:val="nil"/>
              <w:bottom w:val="nil"/>
              <w:right w:val="nil"/>
            </w:tcBorders>
            <w:vAlign w:val="bottom"/>
          </w:tcPr>
          <w:p w14:paraId="65304189"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Schwarz criterion</w:t>
            </w:r>
          </w:p>
        </w:tc>
        <w:tc>
          <w:tcPr>
            <w:tcW w:w="997" w:type="dxa"/>
            <w:tcBorders>
              <w:top w:val="nil"/>
              <w:left w:val="nil"/>
              <w:bottom w:val="nil"/>
              <w:right w:val="nil"/>
            </w:tcBorders>
            <w:vAlign w:val="bottom"/>
          </w:tcPr>
          <w:p w14:paraId="074F11F2"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-4.044490</w:t>
            </w:r>
          </w:p>
        </w:tc>
      </w:tr>
      <w:tr w:rsidR="00D8206B" w:rsidRPr="00C51A7B" w14:paraId="36AA9D89" w14:textId="77777777" w:rsidTr="00D00B3F">
        <w:trPr>
          <w:gridAfter w:val="2"/>
          <w:wAfter w:w="2217" w:type="dxa"/>
          <w:trHeight w:val="225"/>
        </w:trPr>
        <w:tc>
          <w:tcPr>
            <w:tcW w:w="2017" w:type="dxa"/>
            <w:tcBorders>
              <w:top w:val="nil"/>
              <w:left w:val="nil"/>
              <w:bottom w:val="nil"/>
              <w:right w:val="nil"/>
            </w:tcBorders>
            <w:vAlign w:val="bottom"/>
          </w:tcPr>
          <w:p w14:paraId="0A2E5927"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Log likelihood</w:t>
            </w:r>
          </w:p>
        </w:tc>
        <w:tc>
          <w:tcPr>
            <w:tcW w:w="1103" w:type="dxa"/>
            <w:tcBorders>
              <w:top w:val="nil"/>
              <w:left w:val="nil"/>
              <w:bottom w:val="nil"/>
              <w:right w:val="nil"/>
            </w:tcBorders>
            <w:vAlign w:val="bottom"/>
          </w:tcPr>
          <w:p w14:paraId="2F1EE909"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89.57753</w:t>
            </w:r>
          </w:p>
        </w:tc>
        <w:tc>
          <w:tcPr>
            <w:tcW w:w="2415" w:type="dxa"/>
            <w:gridSpan w:val="2"/>
            <w:tcBorders>
              <w:top w:val="nil"/>
              <w:left w:val="nil"/>
              <w:bottom w:val="nil"/>
              <w:right w:val="nil"/>
            </w:tcBorders>
            <w:vAlign w:val="bottom"/>
          </w:tcPr>
          <w:p w14:paraId="4FDEDD21"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xml:space="preserve">    Hannan-Quinn </w:t>
            </w:r>
            <w:proofErr w:type="spellStart"/>
            <w:r w:rsidRPr="00C51A7B">
              <w:rPr>
                <w:rFonts w:ascii="Times New Roman" w:eastAsia="Calibri" w:hAnsi="Times New Roman" w:cs="Times New Roman"/>
                <w:color w:val="000000"/>
                <w:sz w:val="22"/>
                <w:szCs w:val="22"/>
              </w:rPr>
              <w:t>criter</w:t>
            </w:r>
            <w:proofErr w:type="spellEnd"/>
            <w:r w:rsidRPr="00C51A7B">
              <w:rPr>
                <w:rFonts w:ascii="Times New Roman" w:eastAsia="Calibri" w:hAnsi="Times New Roman" w:cs="Times New Roman"/>
                <w:color w:val="000000"/>
                <w:sz w:val="22"/>
                <w:szCs w:val="22"/>
              </w:rPr>
              <w:t>.</w:t>
            </w:r>
          </w:p>
        </w:tc>
        <w:tc>
          <w:tcPr>
            <w:tcW w:w="997" w:type="dxa"/>
            <w:tcBorders>
              <w:top w:val="nil"/>
              <w:left w:val="nil"/>
              <w:bottom w:val="nil"/>
              <w:right w:val="nil"/>
            </w:tcBorders>
            <w:vAlign w:val="bottom"/>
          </w:tcPr>
          <w:p w14:paraId="33D6132E"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-4.584491</w:t>
            </w:r>
          </w:p>
        </w:tc>
      </w:tr>
      <w:tr w:rsidR="00D8206B" w:rsidRPr="00C51A7B" w14:paraId="5B05AD6C" w14:textId="77777777" w:rsidTr="00D00B3F">
        <w:trPr>
          <w:gridAfter w:val="2"/>
          <w:wAfter w:w="2217" w:type="dxa"/>
          <w:trHeight w:val="225"/>
        </w:trPr>
        <w:tc>
          <w:tcPr>
            <w:tcW w:w="2017" w:type="dxa"/>
            <w:tcBorders>
              <w:top w:val="nil"/>
              <w:left w:val="nil"/>
              <w:bottom w:val="nil"/>
              <w:right w:val="nil"/>
            </w:tcBorders>
            <w:vAlign w:val="bottom"/>
          </w:tcPr>
          <w:p w14:paraId="4A6A51BB"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F-statistic</w:t>
            </w:r>
          </w:p>
        </w:tc>
        <w:tc>
          <w:tcPr>
            <w:tcW w:w="1103" w:type="dxa"/>
            <w:tcBorders>
              <w:top w:val="nil"/>
              <w:left w:val="nil"/>
              <w:bottom w:val="nil"/>
              <w:right w:val="nil"/>
            </w:tcBorders>
            <w:vAlign w:val="bottom"/>
          </w:tcPr>
          <w:p w14:paraId="6BCE5F4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71.78863</w:t>
            </w:r>
          </w:p>
        </w:tc>
        <w:tc>
          <w:tcPr>
            <w:tcW w:w="2415" w:type="dxa"/>
            <w:gridSpan w:val="2"/>
            <w:tcBorders>
              <w:top w:val="nil"/>
              <w:left w:val="nil"/>
              <w:bottom w:val="nil"/>
              <w:right w:val="nil"/>
            </w:tcBorders>
            <w:vAlign w:val="bottom"/>
          </w:tcPr>
          <w:p w14:paraId="672A19A8" w14:textId="77777777" w:rsidR="00D8206B" w:rsidRPr="00C51A7B" w:rsidRDefault="00D8206B" w:rsidP="00D00B3F">
            <w:pPr>
              <w:autoSpaceDE w:val="0"/>
              <w:autoSpaceDN w:val="0"/>
              <w:adjustRightInd w:val="0"/>
              <w:spacing w:after="0" w:line="240" w:lineRule="auto"/>
              <w:ind w:right="10"/>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    Durbin-Watson stat</w:t>
            </w:r>
          </w:p>
        </w:tc>
        <w:tc>
          <w:tcPr>
            <w:tcW w:w="997" w:type="dxa"/>
            <w:tcBorders>
              <w:top w:val="nil"/>
              <w:left w:val="nil"/>
              <w:bottom w:val="nil"/>
              <w:right w:val="nil"/>
            </w:tcBorders>
            <w:vAlign w:val="bottom"/>
          </w:tcPr>
          <w:p w14:paraId="55272D67"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2.531311</w:t>
            </w:r>
          </w:p>
        </w:tc>
      </w:tr>
      <w:tr w:rsidR="00D8206B" w:rsidRPr="00C51A7B" w14:paraId="18D9C199" w14:textId="77777777" w:rsidTr="00D00B3F">
        <w:trPr>
          <w:gridAfter w:val="2"/>
          <w:wAfter w:w="2217" w:type="dxa"/>
          <w:trHeight w:val="225"/>
        </w:trPr>
        <w:tc>
          <w:tcPr>
            <w:tcW w:w="2017" w:type="dxa"/>
            <w:tcBorders>
              <w:top w:val="nil"/>
              <w:left w:val="nil"/>
              <w:bottom w:val="nil"/>
              <w:right w:val="nil"/>
            </w:tcBorders>
            <w:vAlign w:val="bottom"/>
          </w:tcPr>
          <w:p w14:paraId="03DADC62" w14:textId="77777777" w:rsidR="00D8206B" w:rsidRPr="00C51A7B" w:rsidRDefault="00D8206B" w:rsidP="00D00B3F">
            <w:pPr>
              <w:autoSpaceDE w:val="0"/>
              <w:autoSpaceDN w:val="0"/>
              <w:adjustRightInd w:val="0"/>
              <w:spacing w:after="0" w:line="240" w:lineRule="auto"/>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Prob(F-statistic)</w:t>
            </w:r>
          </w:p>
        </w:tc>
        <w:tc>
          <w:tcPr>
            <w:tcW w:w="1103" w:type="dxa"/>
            <w:tcBorders>
              <w:top w:val="nil"/>
              <w:left w:val="nil"/>
              <w:bottom w:val="nil"/>
              <w:right w:val="nil"/>
            </w:tcBorders>
            <w:vAlign w:val="bottom"/>
          </w:tcPr>
          <w:p w14:paraId="7E454E66" w14:textId="77777777" w:rsidR="00D8206B" w:rsidRPr="00C51A7B" w:rsidRDefault="00D8206B" w:rsidP="00D00B3F">
            <w:pPr>
              <w:autoSpaceDE w:val="0"/>
              <w:autoSpaceDN w:val="0"/>
              <w:adjustRightInd w:val="0"/>
              <w:spacing w:after="0" w:line="240" w:lineRule="auto"/>
              <w:ind w:right="10"/>
              <w:jc w:val="right"/>
              <w:rPr>
                <w:rFonts w:ascii="Times New Roman" w:eastAsia="Calibri" w:hAnsi="Times New Roman" w:cs="Times New Roman"/>
                <w:color w:val="000000"/>
                <w:sz w:val="22"/>
                <w:szCs w:val="22"/>
              </w:rPr>
            </w:pPr>
            <w:r w:rsidRPr="00C51A7B">
              <w:rPr>
                <w:rFonts w:ascii="Times New Roman" w:eastAsia="Calibri" w:hAnsi="Times New Roman" w:cs="Times New Roman"/>
                <w:color w:val="000000"/>
                <w:sz w:val="22"/>
                <w:szCs w:val="22"/>
              </w:rPr>
              <w:t>0.000000</w:t>
            </w:r>
          </w:p>
        </w:tc>
        <w:tc>
          <w:tcPr>
            <w:tcW w:w="1207" w:type="dxa"/>
            <w:tcBorders>
              <w:top w:val="nil"/>
              <w:left w:val="nil"/>
              <w:bottom w:val="nil"/>
              <w:right w:val="nil"/>
            </w:tcBorders>
            <w:vAlign w:val="bottom"/>
          </w:tcPr>
          <w:p w14:paraId="43DDA51A" w14:textId="77777777" w:rsidR="00D8206B" w:rsidRPr="00C51A7B" w:rsidRDefault="00D8206B" w:rsidP="00D00B3F">
            <w:pPr>
              <w:autoSpaceDE w:val="0"/>
              <w:autoSpaceDN w:val="0"/>
              <w:adjustRightInd w:val="0"/>
              <w:spacing w:after="0" w:line="240" w:lineRule="auto"/>
              <w:ind w:right="10"/>
              <w:jc w:val="center"/>
              <w:rPr>
                <w:rFonts w:ascii="Times New Roman" w:eastAsia="Calibri" w:hAnsi="Times New Roman" w:cs="Times New Roman"/>
                <w:color w:val="000000"/>
                <w:sz w:val="22"/>
                <w:szCs w:val="22"/>
              </w:rPr>
            </w:pPr>
          </w:p>
        </w:tc>
        <w:tc>
          <w:tcPr>
            <w:tcW w:w="1208" w:type="dxa"/>
            <w:tcBorders>
              <w:top w:val="nil"/>
              <w:left w:val="nil"/>
              <w:bottom w:val="nil"/>
              <w:right w:val="nil"/>
            </w:tcBorders>
            <w:vAlign w:val="bottom"/>
          </w:tcPr>
          <w:p w14:paraId="2913AEA3" w14:textId="77777777" w:rsidR="00D8206B" w:rsidRPr="00C51A7B" w:rsidRDefault="00D8206B" w:rsidP="00D00B3F">
            <w:pPr>
              <w:autoSpaceDE w:val="0"/>
              <w:autoSpaceDN w:val="0"/>
              <w:adjustRightInd w:val="0"/>
              <w:spacing w:after="0" w:line="240" w:lineRule="auto"/>
              <w:ind w:right="10"/>
              <w:jc w:val="center"/>
              <w:rPr>
                <w:rFonts w:ascii="Times New Roman" w:eastAsia="Calibri" w:hAnsi="Times New Roman" w:cs="Times New Roman"/>
                <w:color w:val="000000"/>
                <w:sz w:val="22"/>
                <w:szCs w:val="22"/>
              </w:rPr>
            </w:pPr>
          </w:p>
        </w:tc>
        <w:tc>
          <w:tcPr>
            <w:tcW w:w="997" w:type="dxa"/>
            <w:tcBorders>
              <w:top w:val="nil"/>
              <w:left w:val="nil"/>
              <w:bottom w:val="nil"/>
              <w:right w:val="nil"/>
            </w:tcBorders>
            <w:vAlign w:val="bottom"/>
          </w:tcPr>
          <w:p w14:paraId="731F7509" w14:textId="77777777" w:rsidR="00D8206B" w:rsidRPr="00C51A7B" w:rsidRDefault="00D8206B" w:rsidP="00D00B3F">
            <w:pPr>
              <w:autoSpaceDE w:val="0"/>
              <w:autoSpaceDN w:val="0"/>
              <w:adjustRightInd w:val="0"/>
              <w:spacing w:after="0" w:line="240" w:lineRule="auto"/>
              <w:ind w:right="10"/>
              <w:jc w:val="center"/>
              <w:rPr>
                <w:rFonts w:ascii="Times New Roman" w:eastAsia="Calibri" w:hAnsi="Times New Roman" w:cs="Times New Roman"/>
                <w:color w:val="000000"/>
                <w:sz w:val="22"/>
                <w:szCs w:val="22"/>
              </w:rPr>
            </w:pPr>
          </w:p>
        </w:tc>
      </w:tr>
      <w:tr w:rsidR="00D8206B" w:rsidRPr="00C51A7B" w14:paraId="378E5E18" w14:textId="77777777" w:rsidTr="00D00B3F">
        <w:trPr>
          <w:gridAfter w:val="2"/>
          <w:wAfter w:w="2217" w:type="dxa"/>
          <w:trHeight w:hRule="exact" w:val="90"/>
        </w:trPr>
        <w:tc>
          <w:tcPr>
            <w:tcW w:w="2017" w:type="dxa"/>
            <w:tcBorders>
              <w:top w:val="nil"/>
              <w:left w:val="nil"/>
              <w:bottom w:val="double" w:sz="6" w:space="2" w:color="auto"/>
              <w:right w:val="nil"/>
            </w:tcBorders>
            <w:vAlign w:val="bottom"/>
          </w:tcPr>
          <w:p w14:paraId="74E4D0A3"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103" w:type="dxa"/>
            <w:tcBorders>
              <w:top w:val="nil"/>
              <w:left w:val="nil"/>
              <w:bottom w:val="double" w:sz="6" w:space="2" w:color="auto"/>
              <w:right w:val="nil"/>
            </w:tcBorders>
            <w:vAlign w:val="bottom"/>
          </w:tcPr>
          <w:p w14:paraId="0924F70D"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7" w:type="dxa"/>
            <w:tcBorders>
              <w:top w:val="nil"/>
              <w:left w:val="nil"/>
              <w:bottom w:val="double" w:sz="6" w:space="2" w:color="auto"/>
              <w:right w:val="nil"/>
            </w:tcBorders>
            <w:vAlign w:val="bottom"/>
          </w:tcPr>
          <w:p w14:paraId="6A266EAF"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8" w:type="dxa"/>
            <w:tcBorders>
              <w:top w:val="nil"/>
              <w:left w:val="nil"/>
              <w:bottom w:val="double" w:sz="6" w:space="2" w:color="auto"/>
              <w:right w:val="nil"/>
            </w:tcBorders>
            <w:vAlign w:val="bottom"/>
          </w:tcPr>
          <w:p w14:paraId="5F711BEB"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997" w:type="dxa"/>
            <w:tcBorders>
              <w:top w:val="nil"/>
              <w:left w:val="nil"/>
              <w:bottom w:val="double" w:sz="6" w:space="2" w:color="auto"/>
              <w:right w:val="nil"/>
            </w:tcBorders>
            <w:vAlign w:val="bottom"/>
          </w:tcPr>
          <w:p w14:paraId="1148F93D"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r>
      <w:tr w:rsidR="00D8206B" w:rsidRPr="00C51A7B" w14:paraId="782778A1" w14:textId="77777777" w:rsidTr="00D00B3F">
        <w:trPr>
          <w:gridAfter w:val="2"/>
          <w:wAfter w:w="2217" w:type="dxa"/>
          <w:trHeight w:hRule="exact" w:val="135"/>
        </w:trPr>
        <w:tc>
          <w:tcPr>
            <w:tcW w:w="2017" w:type="dxa"/>
            <w:tcBorders>
              <w:top w:val="nil"/>
              <w:left w:val="nil"/>
              <w:bottom w:val="nil"/>
              <w:right w:val="nil"/>
            </w:tcBorders>
            <w:vAlign w:val="bottom"/>
          </w:tcPr>
          <w:p w14:paraId="6BBC9CC0"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103" w:type="dxa"/>
            <w:tcBorders>
              <w:top w:val="nil"/>
              <w:left w:val="nil"/>
              <w:bottom w:val="nil"/>
              <w:right w:val="nil"/>
            </w:tcBorders>
            <w:vAlign w:val="bottom"/>
          </w:tcPr>
          <w:p w14:paraId="3DD67061"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7" w:type="dxa"/>
            <w:tcBorders>
              <w:top w:val="nil"/>
              <w:left w:val="nil"/>
              <w:bottom w:val="nil"/>
              <w:right w:val="nil"/>
            </w:tcBorders>
            <w:vAlign w:val="bottom"/>
          </w:tcPr>
          <w:p w14:paraId="66A2122D"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1208" w:type="dxa"/>
            <w:tcBorders>
              <w:top w:val="nil"/>
              <w:left w:val="nil"/>
              <w:bottom w:val="nil"/>
              <w:right w:val="nil"/>
            </w:tcBorders>
            <w:vAlign w:val="bottom"/>
          </w:tcPr>
          <w:p w14:paraId="72A0397D"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c>
          <w:tcPr>
            <w:tcW w:w="997" w:type="dxa"/>
            <w:tcBorders>
              <w:top w:val="nil"/>
              <w:left w:val="nil"/>
              <w:bottom w:val="nil"/>
              <w:right w:val="nil"/>
            </w:tcBorders>
            <w:vAlign w:val="bottom"/>
          </w:tcPr>
          <w:p w14:paraId="07CA54E5" w14:textId="77777777" w:rsidR="00D8206B" w:rsidRPr="00C51A7B" w:rsidRDefault="00D8206B" w:rsidP="00D00B3F">
            <w:pPr>
              <w:autoSpaceDE w:val="0"/>
              <w:autoSpaceDN w:val="0"/>
              <w:adjustRightInd w:val="0"/>
              <w:spacing w:after="0" w:line="240" w:lineRule="auto"/>
              <w:jc w:val="center"/>
              <w:rPr>
                <w:rFonts w:ascii="Arial" w:eastAsia="Calibri" w:hAnsi="Arial" w:cs="Arial"/>
                <w:color w:val="000000"/>
                <w:sz w:val="22"/>
                <w:szCs w:val="22"/>
              </w:rPr>
            </w:pPr>
          </w:p>
        </w:tc>
      </w:tr>
    </w:tbl>
    <w:p w14:paraId="1D4BB579" w14:textId="77777777" w:rsidR="00D8206B" w:rsidRPr="00C51A7B" w:rsidRDefault="00D8206B" w:rsidP="00D8206B">
      <w:pPr>
        <w:spacing w:after="0" w:line="480" w:lineRule="auto"/>
        <w:jc w:val="both"/>
        <w:rPr>
          <w:rFonts w:ascii="Times New Roman" w:eastAsia="Calibri" w:hAnsi="Times New Roman" w:cs="Times New Roman"/>
          <w:sz w:val="22"/>
          <w:szCs w:val="22"/>
        </w:rPr>
      </w:pPr>
      <w:r w:rsidRPr="00C51A7B">
        <w:rPr>
          <w:rFonts w:ascii="Times New Roman" w:eastAsia="Calibri" w:hAnsi="Times New Roman" w:cs="Times New Roman"/>
          <w:b/>
          <w:sz w:val="22"/>
          <w:szCs w:val="22"/>
        </w:rPr>
        <w:t>Source:</w:t>
      </w:r>
      <w:r w:rsidRPr="00C51A7B">
        <w:rPr>
          <w:rFonts w:ascii="Times New Roman" w:eastAsia="Calibri" w:hAnsi="Times New Roman" w:cs="Times New Roman"/>
          <w:sz w:val="22"/>
          <w:szCs w:val="22"/>
        </w:rPr>
        <w:t xml:space="preserve"> Author’s computations with E-views Version 10 (2025)</w:t>
      </w:r>
    </w:p>
    <w:p w14:paraId="7C7D9588"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 xml:space="preserve">The model results show an R-squared value of 0.9888 and an adjusted R-squared of 0.9750, meaning that about 98% of the changes in industrial output can be explained by the selected explanatory variables. The F-statistic (71.79), with a </w:t>
      </w:r>
      <w:r w:rsidRPr="00A96ACA">
        <w:rPr>
          <w:rFonts w:ascii="Times New Roman" w:hAnsi="Times New Roman" w:cs="Times New Roman"/>
          <w:sz w:val="22"/>
          <w:szCs w:val="22"/>
        </w:rPr>
        <w:lastRenderedPageBreak/>
        <w:t>probability value of 0.0000, confirms the overall significance of the model, while the Durbin-Watson statistic (2.53) suggests the absence of serial correlation. These values indicate that the model is both statistically sound and reliable for policy interpretation.</w:t>
      </w:r>
    </w:p>
    <w:p w14:paraId="78DE738B"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The lagged dependent variables (LOG(</w:t>
      </w:r>
      <w:proofErr w:type="gramStart"/>
      <w:r w:rsidRPr="00A96ACA">
        <w:rPr>
          <w:rFonts w:ascii="Times New Roman" w:hAnsi="Times New Roman" w:cs="Times New Roman"/>
          <w:sz w:val="22"/>
          <w:szCs w:val="22"/>
        </w:rPr>
        <w:t>ISO(</w:t>
      </w:r>
      <w:proofErr w:type="gramEnd"/>
      <w:r w:rsidRPr="00A96ACA">
        <w:rPr>
          <w:rFonts w:ascii="Times New Roman" w:hAnsi="Times New Roman" w:cs="Times New Roman"/>
          <w:sz w:val="22"/>
          <w:szCs w:val="22"/>
        </w:rPr>
        <w:t>-1)) to LOG(</w:t>
      </w:r>
      <w:proofErr w:type="gramStart"/>
      <w:r w:rsidRPr="00A96ACA">
        <w:rPr>
          <w:rFonts w:ascii="Times New Roman" w:hAnsi="Times New Roman" w:cs="Times New Roman"/>
          <w:sz w:val="22"/>
          <w:szCs w:val="22"/>
        </w:rPr>
        <w:t>ISO(</w:t>
      </w:r>
      <w:proofErr w:type="gramEnd"/>
      <w:r w:rsidRPr="00A96ACA">
        <w:rPr>
          <w:rFonts w:ascii="Times New Roman" w:hAnsi="Times New Roman" w:cs="Times New Roman"/>
          <w:sz w:val="22"/>
          <w:szCs w:val="22"/>
        </w:rPr>
        <w:t>-4))) show alternating signs, implying that Nigeria’s industrial sector responds dynamically to past shocks and policy actions. Specifically, LOG(</w:t>
      </w:r>
      <w:proofErr w:type="gramStart"/>
      <w:r w:rsidRPr="00A96ACA">
        <w:rPr>
          <w:rFonts w:ascii="Times New Roman" w:hAnsi="Times New Roman" w:cs="Times New Roman"/>
          <w:sz w:val="22"/>
          <w:szCs w:val="22"/>
        </w:rPr>
        <w:t>ISO(</w:t>
      </w:r>
      <w:proofErr w:type="gramEnd"/>
      <w:r w:rsidRPr="00A96ACA">
        <w:rPr>
          <w:rFonts w:ascii="Times New Roman" w:hAnsi="Times New Roman" w:cs="Times New Roman"/>
          <w:sz w:val="22"/>
          <w:szCs w:val="22"/>
        </w:rPr>
        <w:t>-3)) is negative and marginally significant (–0.197, p = 0.089), suggesting that industrial performance tends to slow down following previous output expansions. Conversely, LOG(</w:t>
      </w:r>
      <w:proofErr w:type="gramStart"/>
      <w:r w:rsidRPr="00A96ACA">
        <w:rPr>
          <w:rFonts w:ascii="Times New Roman" w:hAnsi="Times New Roman" w:cs="Times New Roman"/>
          <w:sz w:val="22"/>
          <w:szCs w:val="22"/>
        </w:rPr>
        <w:t>ISO(</w:t>
      </w:r>
      <w:proofErr w:type="gramEnd"/>
      <w:r w:rsidRPr="00A96ACA">
        <w:rPr>
          <w:rFonts w:ascii="Times New Roman" w:hAnsi="Times New Roman" w:cs="Times New Roman"/>
          <w:sz w:val="22"/>
          <w:szCs w:val="22"/>
        </w:rPr>
        <w:t>-4)) is positive (0.182, p = 0.129), implying that earlier investments eventually translate into productivity gains. This pattern reflects the cyclical and delayed response nature of industrial growth in Nigeria, where the benefits of policy interventions and debt-financed projects often take time to materialize.</w:t>
      </w:r>
    </w:p>
    <w:p w14:paraId="0903A67E"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For external debt (ED), the immediate effect is negative (–4.466, p = 0.2079), indicating that short-term increases in foreign borrowing tend to depress industrial performance—likely due to heavy debt servicing, exchange rate instability, and inefficient use of borrowed funds. However, LOG(</w:t>
      </w:r>
      <w:proofErr w:type="gramStart"/>
      <w:r w:rsidRPr="00A96ACA">
        <w:rPr>
          <w:rFonts w:ascii="Times New Roman" w:hAnsi="Times New Roman" w:cs="Times New Roman"/>
          <w:sz w:val="22"/>
          <w:szCs w:val="22"/>
        </w:rPr>
        <w:t>ED(</w:t>
      </w:r>
      <w:proofErr w:type="gramEnd"/>
      <w:r w:rsidRPr="00A96ACA">
        <w:rPr>
          <w:rFonts w:ascii="Times New Roman" w:hAnsi="Times New Roman" w:cs="Times New Roman"/>
          <w:sz w:val="22"/>
          <w:szCs w:val="22"/>
        </w:rPr>
        <w:t>-1)) shows a strong and positive effect (12.742, p = 0.0109), meaning that external debt, when effectively managed, can enhance industrial output in the medium to long run. This could occur when external loans are invested in infrastructure, power supply, or industrial capacity. Nevertheless, LOG(</w:t>
      </w:r>
      <w:proofErr w:type="gramStart"/>
      <w:r w:rsidRPr="00A96ACA">
        <w:rPr>
          <w:rFonts w:ascii="Times New Roman" w:hAnsi="Times New Roman" w:cs="Times New Roman"/>
          <w:sz w:val="22"/>
          <w:szCs w:val="22"/>
        </w:rPr>
        <w:t>ED(</w:t>
      </w:r>
      <w:proofErr w:type="gramEnd"/>
      <w:r w:rsidRPr="00A96ACA">
        <w:rPr>
          <w:rFonts w:ascii="Times New Roman" w:hAnsi="Times New Roman" w:cs="Times New Roman"/>
          <w:sz w:val="22"/>
          <w:szCs w:val="22"/>
        </w:rPr>
        <w:t>-4)) turns negative and significant (–6.462, p = 0.0220), suggesting that persistent high external debt eventually becomes a drag on the economy as repayment obligations rise. The influence of domestic debt (DD) also reveals a mixed relationship. The current coefficient (3.262, p = 0.5066**) is positive but insignificant, indicating that immediate domestic borrowing has little impact on industrial growth. In contrast, the one-period lag (LOG(</w:t>
      </w:r>
      <w:proofErr w:type="gramStart"/>
      <w:r w:rsidRPr="00A96ACA">
        <w:rPr>
          <w:rFonts w:ascii="Times New Roman" w:hAnsi="Times New Roman" w:cs="Times New Roman"/>
          <w:sz w:val="22"/>
          <w:szCs w:val="22"/>
        </w:rPr>
        <w:t>DD(</w:t>
      </w:r>
      <w:proofErr w:type="gramEnd"/>
      <w:r w:rsidRPr="00A96ACA">
        <w:rPr>
          <w:rFonts w:ascii="Times New Roman" w:hAnsi="Times New Roman" w:cs="Times New Roman"/>
          <w:sz w:val="22"/>
          <w:szCs w:val="22"/>
        </w:rPr>
        <w:t>-1))) is negative and nearly significant (–8.932, p = 0.0614), implying that excessive domestic borrowing in the past may have crowded out private investment or raised interest rates, limiting industrial financing. Interestingly, the fourth lag (LOG(</w:t>
      </w:r>
      <w:proofErr w:type="gramStart"/>
      <w:r w:rsidRPr="00A96ACA">
        <w:rPr>
          <w:rFonts w:ascii="Times New Roman" w:hAnsi="Times New Roman" w:cs="Times New Roman"/>
          <w:sz w:val="22"/>
          <w:szCs w:val="22"/>
        </w:rPr>
        <w:t>DD(</w:t>
      </w:r>
      <w:proofErr w:type="gramEnd"/>
      <w:r w:rsidRPr="00A96ACA">
        <w:rPr>
          <w:rFonts w:ascii="Times New Roman" w:hAnsi="Times New Roman" w:cs="Times New Roman"/>
          <w:sz w:val="22"/>
          <w:szCs w:val="22"/>
        </w:rPr>
        <w:t>-4))) is positive and significant (2.527, p = 0.0266), suggesting that in the long run, domestic borrowing can stimulate industrial growth once funds are efficiently utilized in capital projects and productive activities. The debt-to-GDP ratio (DGDP) has a significant negative impact (–1.061, p = 0.0089), showing that when debt rises faster than the economy grows, industrial performance tends to weaken. This result underscores the burden of unsustainable debt levels, which often divert resources away from production to debt servicing. However, the lagged value (LOG(</w:t>
      </w:r>
      <w:proofErr w:type="gramStart"/>
      <w:r w:rsidRPr="00A96ACA">
        <w:rPr>
          <w:rFonts w:ascii="Times New Roman" w:hAnsi="Times New Roman" w:cs="Times New Roman"/>
          <w:sz w:val="22"/>
          <w:szCs w:val="22"/>
        </w:rPr>
        <w:t>DGDP(</w:t>
      </w:r>
      <w:proofErr w:type="gramEnd"/>
      <w:r w:rsidRPr="00A96ACA">
        <w:rPr>
          <w:rFonts w:ascii="Times New Roman" w:hAnsi="Times New Roman" w:cs="Times New Roman"/>
          <w:sz w:val="22"/>
          <w:szCs w:val="22"/>
        </w:rPr>
        <w:t>-1))) is positive but insignificant (0.500, p = 0.301), suggesting that moderate and well-managed debt levels can still promote industrial expansion.</w:t>
      </w:r>
    </w:p>
    <w:p w14:paraId="27683057" w14:textId="77777777" w:rsidR="00DA5AE9" w:rsidRDefault="00DA5AE9" w:rsidP="00D8206B">
      <w:pPr>
        <w:spacing w:after="0" w:line="276" w:lineRule="auto"/>
        <w:jc w:val="both"/>
        <w:rPr>
          <w:rFonts w:ascii="Times New Roman" w:hAnsi="Times New Roman" w:cs="Times New Roman"/>
          <w:sz w:val="22"/>
          <w:szCs w:val="22"/>
        </w:rPr>
      </w:pPr>
    </w:p>
    <w:p w14:paraId="6C16E126" w14:textId="30F7A455" w:rsidR="00D8206B"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The constant term (C = 8.181, p = 0.0225) is positive and significant, representing the sector’s inherent growth potential independent of debt factors. This aligns with Nigeria’s industrial potential driven by its resource base, market size, and reform initiatives aimed at promoting diversification. Model diagnostics further support the validity of the results. The low standard error of regression (0.0186) and information criteria (AIC = –4.84, HQC = –4.58, SC = –4.04) confirm that the model is well-specified and produces efficient estimates.</w:t>
      </w:r>
    </w:p>
    <w:p w14:paraId="7410F524" w14:textId="77777777" w:rsidR="00DA5AE9" w:rsidRDefault="00DA5AE9" w:rsidP="00D8206B">
      <w:pPr>
        <w:spacing w:after="0" w:line="276" w:lineRule="auto"/>
        <w:jc w:val="both"/>
        <w:rPr>
          <w:rFonts w:ascii="Times New Roman" w:hAnsi="Times New Roman" w:cs="Times New Roman"/>
          <w:sz w:val="22"/>
          <w:szCs w:val="22"/>
        </w:rPr>
      </w:pPr>
    </w:p>
    <w:p w14:paraId="43494BEC" w14:textId="77777777" w:rsidR="00DA5AE9" w:rsidRDefault="00DA5AE9" w:rsidP="00D8206B">
      <w:pPr>
        <w:spacing w:after="0" w:line="276" w:lineRule="auto"/>
        <w:jc w:val="both"/>
        <w:rPr>
          <w:rFonts w:ascii="Times New Roman" w:hAnsi="Times New Roman" w:cs="Times New Roman"/>
          <w:sz w:val="22"/>
          <w:szCs w:val="22"/>
        </w:rPr>
      </w:pPr>
    </w:p>
    <w:p w14:paraId="63688590" w14:textId="77777777" w:rsidR="00DA5AE9" w:rsidRDefault="00DA5AE9" w:rsidP="00D8206B">
      <w:pPr>
        <w:spacing w:after="0" w:line="276" w:lineRule="auto"/>
        <w:jc w:val="both"/>
        <w:rPr>
          <w:rFonts w:ascii="Times New Roman" w:hAnsi="Times New Roman" w:cs="Times New Roman"/>
          <w:sz w:val="22"/>
          <w:szCs w:val="22"/>
        </w:rPr>
      </w:pPr>
    </w:p>
    <w:p w14:paraId="2784CED5" w14:textId="77777777" w:rsidR="00DA5AE9" w:rsidRDefault="00DA5AE9" w:rsidP="00D8206B">
      <w:pPr>
        <w:spacing w:after="0" w:line="276" w:lineRule="auto"/>
        <w:jc w:val="both"/>
        <w:rPr>
          <w:rFonts w:ascii="Times New Roman" w:hAnsi="Times New Roman" w:cs="Times New Roman"/>
          <w:sz w:val="22"/>
          <w:szCs w:val="22"/>
        </w:rPr>
      </w:pPr>
    </w:p>
    <w:p w14:paraId="6154F90C" w14:textId="77777777" w:rsidR="00DA5AE9" w:rsidRDefault="00DA5AE9" w:rsidP="00D8206B">
      <w:pPr>
        <w:spacing w:after="0" w:line="276" w:lineRule="auto"/>
        <w:jc w:val="both"/>
        <w:rPr>
          <w:rFonts w:ascii="Times New Roman" w:hAnsi="Times New Roman" w:cs="Times New Roman"/>
          <w:sz w:val="22"/>
          <w:szCs w:val="22"/>
        </w:rPr>
      </w:pPr>
    </w:p>
    <w:p w14:paraId="499E68E0" w14:textId="77777777" w:rsidR="00DA5AE9" w:rsidRDefault="00DA5AE9" w:rsidP="00D8206B">
      <w:pPr>
        <w:spacing w:after="0" w:line="276" w:lineRule="auto"/>
        <w:jc w:val="both"/>
        <w:rPr>
          <w:rFonts w:ascii="Times New Roman" w:hAnsi="Times New Roman" w:cs="Times New Roman"/>
          <w:sz w:val="22"/>
          <w:szCs w:val="22"/>
        </w:rPr>
      </w:pPr>
    </w:p>
    <w:p w14:paraId="4DBE38D1" w14:textId="77777777" w:rsidR="00DA5AE9" w:rsidRDefault="00DA5AE9" w:rsidP="00D8206B">
      <w:pPr>
        <w:spacing w:after="0" w:line="276" w:lineRule="auto"/>
        <w:jc w:val="both"/>
        <w:rPr>
          <w:rFonts w:ascii="Times New Roman" w:hAnsi="Times New Roman" w:cs="Times New Roman"/>
          <w:sz w:val="22"/>
          <w:szCs w:val="22"/>
        </w:rPr>
      </w:pPr>
    </w:p>
    <w:p w14:paraId="50EB694E" w14:textId="77777777" w:rsidR="00DA5AE9" w:rsidRDefault="00DA5AE9" w:rsidP="00D8206B">
      <w:pPr>
        <w:spacing w:after="0" w:line="276" w:lineRule="auto"/>
        <w:jc w:val="both"/>
        <w:rPr>
          <w:rFonts w:ascii="Times New Roman" w:hAnsi="Times New Roman" w:cs="Times New Roman"/>
          <w:sz w:val="22"/>
          <w:szCs w:val="22"/>
        </w:rPr>
      </w:pPr>
    </w:p>
    <w:p w14:paraId="09568412" w14:textId="77777777" w:rsidR="00DA5AE9" w:rsidRDefault="00DA5AE9" w:rsidP="00D8206B">
      <w:pPr>
        <w:spacing w:after="0" w:line="276" w:lineRule="auto"/>
        <w:jc w:val="both"/>
        <w:rPr>
          <w:rFonts w:ascii="Times New Roman" w:hAnsi="Times New Roman" w:cs="Times New Roman"/>
          <w:sz w:val="22"/>
          <w:szCs w:val="22"/>
        </w:rPr>
      </w:pPr>
    </w:p>
    <w:p w14:paraId="72D63551" w14:textId="77777777" w:rsidR="00DA5AE9" w:rsidRDefault="00DA5AE9" w:rsidP="00D8206B">
      <w:pPr>
        <w:spacing w:after="0" w:line="276" w:lineRule="auto"/>
        <w:jc w:val="both"/>
        <w:rPr>
          <w:rFonts w:ascii="Times New Roman" w:hAnsi="Times New Roman" w:cs="Times New Roman"/>
          <w:sz w:val="22"/>
          <w:szCs w:val="22"/>
        </w:rPr>
      </w:pPr>
    </w:p>
    <w:p w14:paraId="66BCD058" w14:textId="77777777" w:rsidR="00DA5AE9" w:rsidRDefault="00DA5AE9" w:rsidP="00D8206B">
      <w:pPr>
        <w:spacing w:after="0" w:line="276" w:lineRule="auto"/>
        <w:jc w:val="both"/>
        <w:rPr>
          <w:rFonts w:ascii="Times New Roman" w:hAnsi="Times New Roman" w:cs="Times New Roman"/>
          <w:sz w:val="22"/>
          <w:szCs w:val="22"/>
        </w:rPr>
      </w:pPr>
    </w:p>
    <w:p w14:paraId="6AA7B72A" w14:textId="77777777" w:rsidR="00DA5AE9" w:rsidRDefault="00DA5AE9" w:rsidP="00D8206B">
      <w:pPr>
        <w:spacing w:after="0" w:line="276" w:lineRule="auto"/>
        <w:jc w:val="both"/>
        <w:rPr>
          <w:rFonts w:ascii="Times New Roman" w:hAnsi="Times New Roman" w:cs="Times New Roman"/>
          <w:sz w:val="22"/>
          <w:szCs w:val="22"/>
        </w:rPr>
      </w:pPr>
    </w:p>
    <w:p w14:paraId="11D8E708" w14:textId="77777777" w:rsidR="00DA5AE9" w:rsidRDefault="00DA5AE9" w:rsidP="00D8206B">
      <w:pPr>
        <w:spacing w:after="0" w:line="276" w:lineRule="auto"/>
        <w:jc w:val="both"/>
        <w:rPr>
          <w:rFonts w:ascii="Times New Roman" w:hAnsi="Times New Roman" w:cs="Times New Roman"/>
          <w:sz w:val="22"/>
          <w:szCs w:val="22"/>
        </w:rPr>
      </w:pPr>
    </w:p>
    <w:p w14:paraId="3CA0D5F7" w14:textId="77777777" w:rsidR="00DA5AE9" w:rsidRDefault="00DA5AE9" w:rsidP="00D8206B">
      <w:pPr>
        <w:spacing w:after="0" w:line="276" w:lineRule="auto"/>
        <w:jc w:val="both"/>
        <w:rPr>
          <w:rFonts w:ascii="Times New Roman" w:hAnsi="Times New Roman" w:cs="Times New Roman"/>
          <w:sz w:val="22"/>
          <w:szCs w:val="22"/>
        </w:rPr>
      </w:pPr>
    </w:p>
    <w:p w14:paraId="7A0916C7" w14:textId="77777777" w:rsidR="00DA5AE9" w:rsidRDefault="00DA5AE9" w:rsidP="00D8206B">
      <w:pPr>
        <w:spacing w:after="0" w:line="276" w:lineRule="auto"/>
        <w:jc w:val="both"/>
        <w:rPr>
          <w:rFonts w:ascii="Times New Roman" w:hAnsi="Times New Roman" w:cs="Times New Roman"/>
          <w:sz w:val="22"/>
          <w:szCs w:val="22"/>
        </w:rPr>
      </w:pPr>
    </w:p>
    <w:p w14:paraId="7133BD6E" w14:textId="77777777" w:rsidR="00DA5AE9" w:rsidRDefault="00DA5AE9" w:rsidP="00D8206B">
      <w:pPr>
        <w:spacing w:after="0" w:line="276" w:lineRule="auto"/>
        <w:jc w:val="both"/>
        <w:rPr>
          <w:rFonts w:ascii="Times New Roman" w:hAnsi="Times New Roman" w:cs="Times New Roman"/>
          <w:sz w:val="22"/>
          <w:szCs w:val="22"/>
        </w:rPr>
      </w:pPr>
    </w:p>
    <w:tbl>
      <w:tblPr>
        <w:tblW w:w="9098" w:type="dxa"/>
        <w:tblInd w:w="30" w:type="dxa"/>
        <w:tblLayout w:type="fixed"/>
        <w:tblCellMar>
          <w:left w:w="0" w:type="dxa"/>
          <w:right w:w="0" w:type="dxa"/>
        </w:tblCellMar>
        <w:tblLook w:val="0000" w:firstRow="0" w:lastRow="0" w:firstColumn="0" w:lastColumn="0" w:noHBand="0" w:noVBand="0"/>
      </w:tblPr>
      <w:tblGrid>
        <w:gridCol w:w="3003"/>
        <w:gridCol w:w="1488"/>
        <w:gridCol w:w="1630"/>
        <w:gridCol w:w="1630"/>
        <w:gridCol w:w="1347"/>
      </w:tblGrid>
      <w:tr w:rsidR="00D8206B" w:rsidRPr="00C51A7B" w14:paraId="3F67DB66" w14:textId="77777777" w:rsidTr="00D00B3F">
        <w:trPr>
          <w:trHeight w:val="205"/>
        </w:trPr>
        <w:tc>
          <w:tcPr>
            <w:tcW w:w="6121" w:type="dxa"/>
            <w:gridSpan w:val="3"/>
            <w:tcBorders>
              <w:top w:val="nil"/>
              <w:left w:val="nil"/>
              <w:bottom w:val="nil"/>
              <w:right w:val="nil"/>
            </w:tcBorders>
            <w:vAlign w:val="bottom"/>
          </w:tcPr>
          <w:p w14:paraId="44C8638B"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bookmarkStart w:id="22" w:name="_Toc214835444"/>
            <w:r w:rsidRPr="00C51A7B">
              <w:rPr>
                <w:rFonts w:ascii="Times New Roman" w:eastAsia="Times New Roman" w:hAnsi="Times New Roman" w:cs="Times New Roman"/>
                <w:b/>
                <w:kern w:val="0"/>
                <w:sz w:val="22"/>
                <w:szCs w:val="22"/>
                <w14:ligatures w14:val="none"/>
              </w:rPr>
              <w:lastRenderedPageBreak/>
              <w:t>Table 4.</w:t>
            </w:r>
            <w:r w:rsidRPr="00A96ACA">
              <w:rPr>
                <w:rFonts w:ascii="Times New Roman" w:eastAsia="Times New Roman" w:hAnsi="Times New Roman" w:cs="Times New Roman"/>
                <w:b/>
                <w:kern w:val="0"/>
                <w:sz w:val="22"/>
                <w:szCs w:val="22"/>
                <w14:ligatures w14:val="none"/>
              </w:rPr>
              <w:t>4</w:t>
            </w:r>
            <w:r w:rsidRPr="00C51A7B">
              <w:rPr>
                <w:rFonts w:ascii="Times New Roman" w:eastAsia="Times New Roman" w:hAnsi="Times New Roman" w:cs="Times New Roman"/>
                <w:b/>
                <w:kern w:val="0"/>
                <w:sz w:val="22"/>
                <w:szCs w:val="22"/>
                <w14:ligatures w14:val="none"/>
              </w:rPr>
              <w:t xml:space="preserve">: Short run estimate of </w:t>
            </w:r>
            <w:r w:rsidRPr="00A96ACA">
              <w:rPr>
                <w:rFonts w:ascii="Times New Roman" w:eastAsia="Times New Roman" w:hAnsi="Times New Roman" w:cs="Times New Roman"/>
                <w:b/>
                <w:kern w:val="0"/>
                <w:sz w:val="22"/>
                <w:szCs w:val="22"/>
                <w14:ligatures w14:val="none"/>
              </w:rPr>
              <w:t>I</w:t>
            </w:r>
            <w:r w:rsidRPr="00C51A7B">
              <w:rPr>
                <w:rFonts w:ascii="Times New Roman" w:eastAsia="Times New Roman" w:hAnsi="Times New Roman" w:cs="Times New Roman"/>
                <w:b/>
                <w:kern w:val="0"/>
                <w:sz w:val="22"/>
                <w:szCs w:val="22"/>
                <w14:ligatures w14:val="none"/>
              </w:rPr>
              <w:t>SO Model</w:t>
            </w:r>
            <w:bookmarkEnd w:id="22"/>
          </w:p>
        </w:tc>
        <w:tc>
          <w:tcPr>
            <w:tcW w:w="1630" w:type="dxa"/>
            <w:tcBorders>
              <w:top w:val="nil"/>
              <w:left w:val="nil"/>
              <w:bottom w:val="nil"/>
              <w:right w:val="nil"/>
            </w:tcBorders>
            <w:vAlign w:val="bottom"/>
          </w:tcPr>
          <w:p w14:paraId="569FA556"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p>
        </w:tc>
        <w:tc>
          <w:tcPr>
            <w:tcW w:w="1347" w:type="dxa"/>
            <w:tcBorders>
              <w:top w:val="nil"/>
              <w:left w:val="nil"/>
              <w:bottom w:val="nil"/>
              <w:right w:val="nil"/>
            </w:tcBorders>
            <w:vAlign w:val="bottom"/>
          </w:tcPr>
          <w:p w14:paraId="4596A5EA" w14:textId="77777777" w:rsidR="00D8206B" w:rsidRPr="00C51A7B" w:rsidRDefault="00D8206B" w:rsidP="00D00B3F">
            <w:pPr>
              <w:keepNext/>
              <w:keepLines/>
              <w:spacing w:before="40" w:after="0" w:line="240" w:lineRule="auto"/>
              <w:jc w:val="both"/>
              <w:outlineLvl w:val="2"/>
              <w:rPr>
                <w:rFonts w:ascii="Times New Roman" w:eastAsia="Times New Roman" w:hAnsi="Times New Roman" w:cs="Times New Roman"/>
                <w:b/>
                <w:kern w:val="0"/>
                <w:sz w:val="22"/>
                <w:szCs w:val="22"/>
                <w14:ligatures w14:val="none"/>
              </w:rPr>
            </w:pPr>
          </w:p>
        </w:tc>
      </w:tr>
      <w:tr w:rsidR="00D8206B" w:rsidRPr="00C51A7B" w14:paraId="5D653A4B" w14:textId="77777777" w:rsidTr="00D00B3F">
        <w:trPr>
          <w:trHeight w:hRule="exact" w:val="81"/>
        </w:trPr>
        <w:tc>
          <w:tcPr>
            <w:tcW w:w="3003" w:type="dxa"/>
            <w:tcBorders>
              <w:top w:val="nil"/>
              <w:left w:val="nil"/>
              <w:bottom w:val="double" w:sz="6" w:space="2" w:color="auto"/>
              <w:right w:val="nil"/>
            </w:tcBorders>
            <w:vAlign w:val="bottom"/>
          </w:tcPr>
          <w:p w14:paraId="0E58A648"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double" w:sz="6" w:space="2" w:color="auto"/>
              <w:right w:val="nil"/>
            </w:tcBorders>
            <w:vAlign w:val="bottom"/>
          </w:tcPr>
          <w:p w14:paraId="79EFE3E8"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03072DA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456E0DC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double" w:sz="6" w:space="2" w:color="auto"/>
              <w:right w:val="nil"/>
            </w:tcBorders>
            <w:vAlign w:val="bottom"/>
          </w:tcPr>
          <w:p w14:paraId="2A140735"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1C11774A" w14:textId="77777777" w:rsidTr="00D00B3F">
        <w:trPr>
          <w:trHeight w:hRule="exact" w:val="122"/>
        </w:trPr>
        <w:tc>
          <w:tcPr>
            <w:tcW w:w="3003" w:type="dxa"/>
            <w:tcBorders>
              <w:top w:val="nil"/>
              <w:left w:val="nil"/>
              <w:bottom w:val="nil"/>
              <w:right w:val="nil"/>
            </w:tcBorders>
            <w:vAlign w:val="bottom"/>
          </w:tcPr>
          <w:p w14:paraId="0F7A386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nil"/>
              <w:right w:val="nil"/>
            </w:tcBorders>
            <w:vAlign w:val="bottom"/>
          </w:tcPr>
          <w:p w14:paraId="5ED16848"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229A6ED8"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199B2266"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nil"/>
              <w:right w:val="nil"/>
            </w:tcBorders>
            <w:vAlign w:val="bottom"/>
          </w:tcPr>
          <w:p w14:paraId="6F8352EE"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3326E244" w14:textId="77777777" w:rsidTr="00D00B3F">
        <w:trPr>
          <w:trHeight w:val="205"/>
        </w:trPr>
        <w:tc>
          <w:tcPr>
            <w:tcW w:w="9098" w:type="dxa"/>
            <w:gridSpan w:val="5"/>
            <w:tcBorders>
              <w:top w:val="nil"/>
              <w:left w:val="nil"/>
              <w:bottom w:val="nil"/>
              <w:right w:val="nil"/>
            </w:tcBorders>
            <w:vAlign w:val="bottom"/>
          </w:tcPr>
          <w:p w14:paraId="651A0B0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ECM Regression</w:t>
            </w:r>
          </w:p>
        </w:tc>
      </w:tr>
      <w:tr w:rsidR="00D8206B" w:rsidRPr="00C51A7B" w14:paraId="595B05CE" w14:textId="77777777" w:rsidTr="00D00B3F">
        <w:trPr>
          <w:trHeight w:val="205"/>
        </w:trPr>
        <w:tc>
          <w:tcPr>
            <w:tcW w:w="9098" w:type="dxa"/>
            <w:gridSpan w:val="5"/>
            <w:tcBorders>
              <w:top w:val="nil"/>
              <w:left w:val="nil"/>
              <w:bottom w:val="nil"/>
              <w:right w:val="nil"/>
            </w:tcBorders>
            <w:vAlign w:val="bottom"/>
          </w:tcPr>
          <w:p w14:paraId="75C31DC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Case 2: Restricted Constant and No Trend</w:t>
            </w:r>
          </w:p>
        </w:tc>
      </w:tr>
      <w:tr w:rsidR="00D8206B" w:rsidRPr="00C51A7B" w14:paraId="603646BA" w14:textId="77777777" w:rsidTr="00D00B3F">
        <w:trPr>
          <w:trHeight w:hRule="exact" w:val="81"/>
        </w:trPr>
        <w:tc>
          <w:tcPr>
            <w:tcW w:w="3003" w:type="dxa"/>
            <w:tcBorders>
              <w:top w:val="nil"/>
              <w:left w:val="nil"/>
              <w:bottom w:val="double" w:sz="6" w:space="2" w:color="auto"/>
              <w:right w:val="nil"/>
            </w:tcBorders>
            <w:vAlign w:val="bottom"/>
          </w:tcPr>
          <w:p w14:paraId="13FAA2D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double" w:sz="6" w:space="2" w:color="auto"/>
              <w:right w:val="nil"/>
            </w:tcBorders>
            <w:vAlign w:val="bottom"/>
          </w:tcPr>
          <w:p w14:paraId="11465812"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52AD59F8"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5F61581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double" w:sz="6" w:space="2" w:color="auto"/>
              <w:right w:val="nil"/>
            </w:tcBorders>
            <w:vAlign w:val="bottom"/>
          </w:tcPr>
          <w:p w14:paraId="347DFBE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5D667B08" w14:textId="77777777" w:rsidTr="00D00B3F">
        <w:trPr>
          <w:trHeight w:hRule="exact" w:val="122"/>
        </w:trPr>
        <w:tc>
          <w:tcPr>
            <w:tcW w:w="3003" w:type="dxa"/>
            <w:tcBorders>
              <w:top w:val="nil"/>
              <w:left w:val="nil"/>
              <w:bottom w:val="nil"/>
              <w:right w:val="nil"/>
            </w:tcBorders>
            <w:vAlign w:val="bottom"/>
          </w:tcPr>
          <w:p w14:paraId="1D443E0A"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nil"/>
              <w:right w:val="nil"/>
            </w:tcBorders>
            <w:vAlign w:val="bottom"/>
          </w:tcPr>
          <w:p w14:paraId="5E0CD1C2"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2CD7EE4C"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72DDA5E2"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nil"/>
              <w:right w:val="nil"/>
            </w:tcBorders>
            <w:vAlign w:val="bottom"/>
          </w:tcPr>
          <w:p w14:paraId="3C31CBDC"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4C430580" w14:textId="77777777" w:rsidTr="00D00B3F">
        <w:trPr>
          <w:trHeight w:val="205"/>
        </w:trPr>
        <w:tc>
          <w:tcPr>
            <w:tcW w:w="3003" w:type="dxa"/>
            <w:tcBorders>
              <w:top w:val="nil"/>
              <w:left w:val="nil"/>
              <w:bottom w:val="nil"/>
              <w:right w:val="nil"/>
            </w:tcBorders>
            <w:vAlign w:val="bottom"/>
          </w:tcPr>
          <w:p w14:paraId="3F8AC004" w14:textId="77777777" w:rsidR="00D8206B" w:rsidRPr="00C51A7B" w:rsidRDefault="00D8206B" w:rsidP="00D00B3F">
            <w:pPr>
              <w:spacing w:after="0" w:line="240" w:lineRule="auto"/>
              <w:jc w:val="both"/>
              <w:rPr>
                <w:rFonts w:ascii="Times New Roman" w:eastAsia="Calibri" w:hAnsi="Times New Roman" w:cs="Times New Roman"/>
                <w:sz w:val="22"/>
                <w:szCs w:val="22"/>
              </w:rPr>
            </w:pPr>
            <w:bookmarkStart w:id="23" w:name="_Hlk189244497"/>
            <w:r w:rsidRPr="00C51A7B">
              <w:rPr>
                <w:rFonts w:ascii="Times New Roman" w:eastAsia="Calibri" w:hAnsi="Times New Roman" w:cs="Times New Roman"/>
                <w:sz w:val="22"/>
                <w:szCs w:val="22"/>
              </w:rPr>
              <w:t>Variable</w:t>
            </w:r>
          </w:p>
        </w:tc>
        <w:tc>
          <w:tcPr>
            <w:tcW w:w="1488" w:type="dxa"/>
            <w:tcBorders>
              <w:top w:val="nil"/>
              <w:left w:val="nil"/>
              <w:bottom w:val="nil"/>
              <w:right w:val="nil"/>
            </w:tcBorders>
            <w:vAlign w:val="bottom"/>
          </w:tcPr>
          <w:p w14:paraId="48F538B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Coefficient</w:t>
            </w:r>
          </w:p>
        </w:tc>
        <w:tc>
          <w:tcPr>
            <w:tcW w:w="1630" w:type="dxa"/>
            <w:tcBorders>
              <w:top w:val="nil"/>
              <w:left w:val="nil"/>
              <w:bottom w:val="nil"/>
              <w:right w:val="nil"/>
            </w:tcBorders>
            <w:vAlign w:val="bottom"/>
          </w:tcPr>
          <w:p w14:paraId="028C8C9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Std. Error</w:t>
            </w:r>
          </w:p>
        </w:tc>
        <w:tc>
          <w:tcPr>
            <w:tcW w:w="1630" w:type="dxa"/>
            <w:tcBorders>
              <w:top w:val="nil"/>
              <w:left w:val="nil"/>
              <w:bottom w:val="nil"/>
              <w:right w:val="nil"/>
            </w:tcBorders>
            <w:vAlign w:val="bottom"/>
          </w:tcPr>
          <w:p w14:paraId="64FAF9E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t-Statistic</w:t>
            </w:r>
          </w:p>
        </w:tc>
        <w:tc>
          <w:tcPr>
            <w:tcW w:w="1347" w:type="dxa"/>
            <w:tcBorders>
              <w:top w:val="nil"/>
              <w:left w:val="nil"/>
              <w:bottom w:val="nil"/>
              <w:right w:val="nil"/>
            </w:tcBorders>
            <w:vAlign w:val="bottom"/>
          </w:tcPr>
          <w:p w14:paraId="0B5162A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Prob.   </w:t>
            </w:r>
          </w:p>
        </w:tc>
      </w:tr>
      <w:tr w:rsidR="00D8206B" w:rsidRPr="00C51A7B" w14:paraId="3AC0FD76" w14:textId="77777777" w:rsidTr="00D00B3F">
        <w:trPr>
          <w:trHeight w:hRule="exact" w:val="81"/>
        </w:trPr>
        <w:tc>
          <w:tcPr>
            <w:tcW w:w="3003" w:type="dxa"/>
            <w:tcBorders>
              <w:top w:val="nil"/>
              <w:left w:val="nil"/>
              <w:bottom w:val="double" w:sz="6" w:space="2" w:color="auto"/>
              <w:right w:val="nil"/>
            </w:tcBorders>
            <w:vAlign w:val="bottom"/>
          </w:tcPr>
          <w:p w14:paraId="4236CF0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double" w:sz="6" w:space="2" w:color="auto"/>
              <w:right w:val="nil"/>
            </w:tcBorders>
            <w:vAlign w:val="bottom"/>
          </w:tcPr>
          <w:p w14:paraId="4BB0022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3A4E5846"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6A9D365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double" w:sz="6" w:space="2" w:color="auto"/>
              <w:right w:val="nil"/>
            </w:tcBorders>
            <w:vAlign w:val="bottom"/>
          </w:tcPr>
          <w:p w14:paraId="2C39A6CE"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6F01EC37" w14:textId="77777777" w:rsidTr="00D00B3F">
        <w:trPr>
          <w:trHeight w:hRule="exact" w:val="122"/>
        </w:trPr>
        <w:tc>
          <w:tcPr>
            <w:tcW w:w="3003" w:type="dxa"/>
            <w:tcBorders>
              <w:top w:val="nil"/>
              <w:left w:val="nil"/>
              <w:bottom w:val="nil"/>
              <w:right w:val="nil"/>
            </w:tcBorders>
            <w:vAlign w:val="bottom"/>
          </w:tcPr>
          <w:p w14:paraId="18C85C6E"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nil"/>
              <w:right w:val="nil"/>
            </w:tcBorders>
            <w:vAlign w:val="bottom"/>
          </w:tcPr>
          <w:p w14:paraId="598EA327"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5015FC0A"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7672E28C"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nil"/>
              <w:right w:val="nil"/>
            </w:tcBorders>
            <w:vAlign w:val="bottom"/>
          </w:tcPr>
          <w:p w14:paraId="306A09AD"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1E2B9A4D" w14:textId="77777777" w:rsidTr="00D00B3F">
        <w:trPr>
          <w:trHeight w:val="205"/>
        </w:trPr>
        <w:tc>
          <w:tcPr>
            <w:tcW w:w="3003" w:type="dxa"/>
            <w:tcBorders>
              <w:top w:val="nil"/>
              <w:left w:val="nil"/>
              <w:bottom w:val="nil"/>
              <w:right w:val="nil"/>
            </w:tcBorders>
            <w:vAlign w:val="bottom"/>
          </w:tcPr>
          <w:p w14:paraId="37CFE6E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A96ACA">
              <w:rPr>
                <w:rFonts w:ascii="Times New Roman" w:eastAsia="Calibri" w:hAnsi="Times New Roman" w:cs="Times New Roman"/>
                <w:sz w:val="22"/>
                <w:szCs w:val="22"/>
              </w:rPr>
              <w:t>I</w:t>
            </w:r>
            <w:r w:rsidRPr="00C51A7B">
              <w:rPr>
                <w:rFonts w:ascii="Times New Roman" w:eastAsia="Calibri" w:hAnsi="Times New Roman" w:cs="Times New Roman"/>
                <w:sz w:val="22"/>
                <w:szCs w:val="22"/>
              </w:rPr>
              <w:t>SO(</w:t>
            </w:r>
            <w:proofErr w:type="gramEnd"/>
            <w:r w:rsidRPr="00C51A7B">
              <w:rPr>
                <w:rFonts w:ascii="Times New Roman" w:eastAsia="Calibri" w:hAnsi="Times New Roman" w:cs="Times New Roman"/>
                <w:sz w:val="22"/>
                <w:szCs w:val="22"/>
              </w:rPr>
              <w:t>-1))</w:t>
            </w:r>
          </w:p>
        </w:tc>
        <w:tc>
          <w:tcPr>
            <w:tcW w:w="1488" w:type="dxa"/>
            <w:tcBorders>
              <w:top w:val="nil"/>
              <w:left w:val="nil"/>
              <w:bottom w:val="nil"/>
              <w:right w:val="nil"/>
            </w:tcBorders>
            <w:vAlign w:val="bottom"/>
          </w:tcPr>
          <w:p w14:paraId="3DDAF02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0.262330</w:t>
            </w:r>
          </w:p>
        </w:tc>
        <w:tc>
          <w:tcPr>
            <w:tcW w:w="1630" w:type="dxa"/>
            <w:tcBorders>
              <w:top w:val="nil"/>
              <w:left w:val="nil"/>
              <w:bottom w:val="nil"/>
              <w:right w:val="nil"/>
            </w:tcBorders>
            <w:vAlign w:val="bottom"/>
          </w:tcPr>
          <w:p w14:paraId="133B209F"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0.142654</w:t>
            </w:r>
          </w:p>
        </w:tc>
        <w:tc>
          <w:tcPr>
            <w:tcW w:w="1630" w:type="dxa"/>
            <w:tcBorders>
              <w:top w:val="nil"/>
              <w:left w:val="nil"/>
              <w:bottom w:val="nil"/>
              <w:right w:val="nil"/>
            </w:tcBorders>
            <w:vAlign w:val="bottom"/>
          </w:tcPr>
          <w:p w14:paraId="5E5F263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1.838921</w:t>
            </w:r>
          </w:p>
        </w:tc>
        <w:tc>
          <w:tcPr>
            <w:tcW w:w="1347" w:type="dxa"/>
            <w:tcBorders>
              <w:top w:val="nil"/>
              <w:left w:val="nil"/>
              <w:bottom w:val="nil"/>
              <w:right w:val="nil"/>
            </w:tcBorders>
            <w:vAlign w:val="bottom"/>
          </w:tcPr>
          <w:p w14:paraId="0348E2A6"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0.0872</w:t>
            </w:r>
          </w:p>
        </w:tc>
      </w:tr>
      <w:tr w:rsidR="00D8206B" w:rsidRPr="00C51A7B" w14:paraId="36009EE7" w14:textId="77777777" w:rsidTr="00D00B3F">
        <w:trPr>
          <w:trHeight w:val="205"/>
        </w:trPr>
        <w:tc>
          <w:tcPr>
            <w:tcW w:w="3003" w:type="dxa"/>
            <w:tcBorders>
              <w:top w:val="nil"/>
              <w:left w:val="nil"/>
              <w:bottom w:val="nil"/>
              <w:right w:val="nil"/>
            </w:tcBorders>
            <w:vAlign w:val="bottom"/>
          </w:tcPr>
          <w:p w14:paraId="09CB44F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L(DD)</w:t>
            </w:r>
          </w:p>
        </w:tc>
        <w:tc>
          <w:tcPr>
            <w:tcW w:w="1488" w:type="dxa"/>
            <w:tcBorders>
              <w:top w:val="nil"/>
              <w:left w:val="nil"/>
              <w:bottom w:val="nil"/>
              <w:right w:val="nil"/>
            </w:tcBorders>
            <w:vAlign w:val="bottom"/>
          </w:tcPr>
          <w:p w14:paraId="56213256"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0.095931</w:t>
            </w:r>
          </w:p>
        </w:tc>
        <w:tc>
          <w:tcPr>
            <w:tcW w:w="1630" w:type="dxa"/>
            <w:tcBorders>
              <w:top w:val="nil"/>
              <w:left w:val="nil"/>
              <w:bottom w:val="nil"/>
              <w:right w:val="nil"/>
            </w:tcBorders>
            <w:vAlign w:val="bottom"/>
          </w:tcPr>
          <w:p w14:paraId="5294E41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0.115421</w:t>
            </w:r>
          </w:p>
        </w:tc>
        <w:tc>
          <w:tcPr>
            <w:tcW w:w="1630" w:type="dxa"/>
            <w:tcBorders>
              <w:top w:val="nil"/>
              <w:left w:val="nil"/>
              <w:bottom w:val="nil"/>
              <w:right w:val="nil"/>
            </w:tcBorders>
            <w:vAlign w:val="bottom"/>
          </w:tcPr>
          <w:p w14:paraId="34FEE77A"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0.831138</w:t>
            </w:r>
          </w:p>
        </w:tc>
        <w:tc>
          <w:tcPr>
            <w:tcW w:w="1347" w:type="dxa"/>
            <w:tcBorders>
              <w:top w:val="nil"/>
              <w:left w:val="nil"/>
              <w:bottom w:val="nil"/>
              <w:right w:val="nil"/>
            </w:tcBorders>
            <w:vAlign w:val="bottom"/>
          </w:tcPr>
          <w:p w14:paraId="3202F1B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0.4198</w:t>
            </w:r>
          </w:p>
        </w:tc>
      </w:tr>
      <w:tr w:rsidR="00D8206B" w:rsidRPr="00C51A7B" w14:paraId="3A56AEEA" w14:textId="77777777" w:rsidTr="00D00B3F">
        <w:trPr>
          <w:trHeight w:val="205"/>
        </w:trPr>
        <w:tc>
          <w:tcPr>
            <w:tcW w:w="3003" w:type="dxa"/>
            <w:tcBorders>
              <w:top w:val="nil"/>
              <w:left w:val="nil"/>
              <w:bottom w:val="nil"/>
              <w:right w:val="nil"/>
            </w:tcBorders>
            <w:vAlign w:val="bottom"/>
          </w:tcPr>
          <w:p w14:paraId="50DCC31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DD(</w:t>
            </w:r>
            <w:proofErr w:type="gramEnd"/>
            <w:r w:rsidRPr="00C51A7B">
              <w:rPr>
                <w:rFonts w:ascii="Times New Roman" w:eastAsia="Calibri" w:hAnsi="Times New Roman" w:cs="Times New Roman"/>
                <w:sz w:val="22"/>
                <w:szCs w:val="22"/>
              </w:rPr>
              <w:t>-1))</w:t>
            </w:r>
          </w:p>
        </w:tc>
        <w:tc>
          <w:tcPr>
            <w:tcW w:w="1488" w:type="dxa"/>
            <w:tcBorders>
              <w:top w:val="nil"/>
              <w:left w:val="nil"/>
              <w:bottom w:val="nil"/>
              <w:right w:val="nil"/>
            </w:tcBorders>
            <w:vAlign w:val="bottom"/>
          </w:tcPr>
          <w:p w14:paraId="4034DB3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0.322802</w:t>
            </w:r>
          </w:p>
        </w:tc>
        <w:tc>
          <w:tcPr>
            <w:tcW w:w="1630" w:type="dxa"/>
            <w:tcBorders>
              <w:top w:val="nil"/>
              <w:left w:val="nil"/>
              <w:bottom w:val="nil"/>
              <w:right w:val="nil"/>
            </w:tcBorders>
            <w:vAlign w:val="bottom"/>
          </w:tcPr>
          <w:p w14:paraId="46C9A31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0.101689</w:t>
            </w:r>
          </w:p>
        </w:tc>
        <w:tc>
          <w:tcPr>
            <w:tcW w:w="1630" w:type="dxa"/>
            <w:tcBorders>
              <w:top w:val="nil"/>
              <w:left w:val="nil"/>
              <w:bottom w:val="nil"/>
              <w:right w:val="nil"/>
            </w:tcBorders>
            <w:vAlign w:val="bottom"/>
          </w:tcPr>
          <w:p w14:paraId="4083983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3.174414</w:t>
            </w:r>
          </w:p>
        </w:tc>
        <w:tc>
          <w:tcPr>
            <w:tcW w:w="1347" w:type="dxa"/>
            <w:tcBorders>
              <w:top w:val="nil"/>
              <w:left w:val="nil"/>
              <w:bottom w:val="nil"/>
              <w:right w:val="nil"/>
            </w:tcBorders>
            <w:vAlign w:val="bottom"/>
          </w:tcPr>
          <w:p w14:paraId="1372E8B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0.0068</w:t>
            </w:r>
          </w:p>
        </w:tc>
      </w:tr>
      <w:tr w:rsidR="00D8206B" w:rsidRPr="00C51A7B" w14:paraId="1EC61185" w14:textId="77777777" w:rsidTr="00D00B3F">
        <w:trPr>
          <w:trHeight w:val="205"/>
        </w:trPr>
        <w:tc>
          <w:tcPr>
            <w:tcW w:w="3003" w:type="dxa"/>
            <w:tcBorders>
              <w:top w:val="nil"/>
              <w:left w:val="nil"/>
              <w:bottom w:val="nil"/>
              <w:right w:val="nil"/>
            </w:tcBorders>
            <w:vAlign w:val="bottom"/>
          </w:tcPr>
          <w:p w14:paraId="2A81193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DD(</w:t>
            </w:r>
            <w:proofErr w:type="gramEnd"/>
            <w:r w:rsidRPr="00C51A7B">
              <w:rPr>
                <w:rFonts w:ascii="Times New Roman" w:eastAsia="Calibri" w:hAnsi="Times New Roman" w:cs="Times New Roman"/>
                <w:sz w:val="22"/>
                <w:szCs w:val="22"/>
              </w:rPr>
              <w:t>-2))</w:t>
            </w:r>
          </w:p>
        </w:tc>
        <w:tc>
          <w:tcPr>
            <w:tcW w:w="1488" w:type="dxa"/>
            <w:tcBorders>
              <w:top w:val="nil"/>
              <w:left w:val="nil"/>
              <w:bottom w:val="nil"/>
              <w:right w:val="nil"/>
            </w:tcBorders>
            <w:vAlign w:val="bottom"/>
          </w:tcPr>
          <w:p w14:paraId="35B0C3B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0.336182</w:t>
            </w:r>
          </w:p>
        </w:tc>
        <w:tc>
          <w:tcPr>
            <w:tcW w:w="1630" w:type="dxa"/>
            <w:tcBorders>
              <w:top w:val="nil"/>
              <w:left w:val="nil"/>
              <w:bottom w:val="nil"/>
              <w:right w:val="nil"/>
            </w:tcBorders>
            <w:vAlign w:val="bottom"/>
          </w:tcPr>
          <w:p w14:paraId="59505B6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0.120478</w:t>
            </w:r>
          </w:p>
        </w:tc>
        <w:tc>
          <w:tcPr>
            <w:tcW w:w="1630" w:type="dxa"/>
            <w:tcBorders>
              <w:top w:val="nil"/>
              <w:left w:val="nil"/>
              <w:bottom w:val="nil"/>
              <w:right w:val="nil"/>
            </w:tcBorders>
            <w:vAlign w:val="bottom"/>
          </w:tcPr>
          <w:p w14:paraId="7ACF732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2.790396</w:t>
            </w:r>
          </w:p>
        </w:tc>
        <w:tc>
          <w:tcPr>
            <w:tcW w:w="1347" w:type="dxa"/>
            <w:tcBorders>
              <w:top w:val="nil"/>
              <w:left w:val="nil"/>
              <w:bottom w:val="nil"/>
              <w:right w:val="nil"/>
            </w:tcBorders>
            <w:vAlign w:val="bottom"/>
          </w:tcPr>
          <w:p w14:paraId="03819F3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0.0145</w:t>
            </w:r>
          </w:p>
        </w:tc>
      </w:tr>
      <w:tr w:rsidR="00D8206B" w:rsidRPr="00C51A7B" w14:paraId="6F35F781" w14:textId="77777777" w:rsidTr="00D00B3F">
        <w:trPr>
          <w:trHeight w:val="205"/>
        </w:trPr>
        <w:tc>
          <w:tcPr>
            <w:tcW w:w="3003" w:type="dxa"/>
            <w:tcBorders>
              <w:top w:val="nil"/>
              <w:left w:val="nil"/>
              <w:bottom w:val="nil"/>
              <w:right w:val="nil"/>
            </w:tcBorders>
            <w:vAlign w:val="bottom"/>
          </w:tcPr>
          <w:p w14:paraId="2F9ADD8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L(ED)</w:t>
            </w:r>
          </w:p>
        </w:tc>
        <w:tc>
          <w:tcPr>
            <w:tcW w:w="1488" w:type="dxa"/>
            <w:tcBorders>
              <w:top w:val="nil"/>
              <w:left w:val="nil"/>
              <w:bottom w:val="nil"/>
              <w:right w:val="nil"/>
            </w:tcBorders>
            <w:vAlign w:val="bottom"/>
          </w:tcPr>
          <w:p w14:paraId="633259F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0.111205</w:t>
            </w:r>
          </w:p>
        </w:tc>
        <w:tc>
          <w:tcPr>
            <w:tcW w:w="1630" w:type="dxa"/>
            <w:tcBorders>
              <w:top w:val="nil"/>
              <w:left w:val="nil"/>
              <w:bottom w:val="nil"/>
              <w:right w:val="nil"/>
            </w:tcBorders>
            <w:vAlign w:val="bottom"/>
          </w:tcPr>
          <w:p w14:paraId="1DB145B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0.038883</w:t>
            </w:r>
          </w:p>
        </w:tc>
        <w:tc>
          <w:tcPr>
            <w:tcW w:w="1630" w:type="dxa"/>
            <w:tcBorders>
              <w:top w:val="nil"/>
              <w:left w:val="nil"/>
              <w:bottom w:val="nil"/>
              <w:right w:val="nil"/>
            </w:tcBorders>
            <w:vAlign w:val="bottom"/>
          </w:tcPr>
          <w:p w14:paraId="34CC958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2.859992</w:t>
            </w:r>
          </w:p>
        </w:tc>
        <w:tc>
          <w:tcPr>
            <w:tcW w:w="1347" w:type="dxa"/>
            <w:tcBorders>
              <w:top w:val="nil"/>
              <w:left w:val="nil"/>
              <w:bottom w:val="nil"/>
              <w:right w:val="nil"/>
            </w:tcBorders>
            <w:vAlign w:val="bottom"/>
          </w:tcPr>
          <w:p w14:paraId="27908B1F"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0.0126</w:t>
            </w:r>
          </w:p>
        </w:tc>
      </w:tr>
      <w:tr w:rsidR="00D8206B" w:rsidRPr="00C51A7B" w14:paraId="602F99EE" w14:textId="77777777" w:rsidTr="00D00B3F">
        <w:trPr>
          <w:trHeight w:val="205"/>
        </w:trPr>
        <w:tc>
          <w:tcPr>
            <w:tcW w:w="3003" w:type="dxa"/>
            <w:tcBorders>
              <w:top w:val="nil"/>
              <w:left w:val="nil"/>
              <w:bottom w:val="nil"/>
              <w:right w:val="nil"/>
            </w:tcBorders>
            <w:vAlign w:val="bottom"/>
          </w:tcPr>
          <w:p w14:paraId="0465088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ED(</w:t>
            </w:r>
            <w:proofErr w:type="gramEnd"/>
            <w:r w:rsidRPr="00C51A7B">
              <w:rPr>
                <w:rFonts w:ascii="Times New Roman" w:eastAsia="Calibri" w:hAnsi="Times New Roman" w:cs="Times New Roman"/>
                <w:sz w:val="22"/>
                <w:szCs w:val="22"/>
              </w:rPr>
              <w:t>-1))</w:t>
            </w:r>
          </w:p>
        </w:tc>
        <w:tc>
          <w:tcPr>
            <w:tcW w:w="1488" w:type="dxa"/>
            <w:tcBorders>
              <w:top w:val="nil"/>
              <w:left w:val="nil"/>
              <w:bottom w:val="nil"/>
              <w:right w:val="nil"/>
            </w:tcBorders>
            <w:vAlign w:val="bottom"/>
          </w:tcPr>
          <w:p w14:paraId="3303DB0F"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0.104697</w:t>
            </w:r>
          </w:p>
        </w:tc>
        <w:tc>
          <w:tcPr>
            <w:tcW w:w="1630" w:type="dxa"/>
            <w:tcBorders>
              <w:top w:val="nil"/>
              <w:left w:val="nil"/>
              <w:bottom w:val="nil"/>
              <w:right w:val="nil"/>
            </w:tcBorders>
            <w:vAlign w:val="bottom"/>
          </w:tcPr>
          <w:p w14:paraId="35F7B00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0.046522</w:t>
            </w:r>
          </w:p>
        </w:tc>
        <w:tc>
          <w:tcPr>
            <w:tcW w:w="1630" w:type="dxa"/>
            <w:tcBorders>
              <w:top w:val="nil"/>
              <w:left w:val="nil"/>
              <w:bottom w:val="nil"/>
              <w:right w:val="nil"/>
            </w:tcBorders>
            <w:vAlign w:val="bottom"/>
          </w:tcPr>
          <w:p w14:paraId="7A28033B"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2.250464</w:t>
            </w:r>
          </w:p>
        </w:tc>
        <w:tc>
          <w:tcPr>
            <w:tcW w:w="1347" w:type="dxa"/>
            <w:tcBorders>
              <w:top w:val="nil"/>
              <w:left w:val="nil"/>
              <w:bottom w:val="nil"/>
              <w:right w:val="nil"/>
            </w:tcBorders>
            <w:vAlign w:val="bottom"/>
          </w:tcPr>
          <w:p w14:paraId="6C10EBB6"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0.0410</w:t>
            </w:r>
          </w:p>
        </w:tc>
      </w:tr>
      <w:tr w:rsidR="00D8206B" w:rsidRPr="00C51A7B" w14:paraId="383406DD" w14:textId="77777777" w:rsidTr="00D00B3F">
        <w:trPr>
          <w:trHeight w:val="205"/>
        </w:trPr>
        <w:tc>
          <w:tcPr>
            <w:tcW w:w="3003" w:type="dxa"/>
            <w:tcBorders>
              <w:top w:val="nil"/>
              <w:left w:val="nil"/>
              <w:bottom w:val="nil"/>
              <w:right w:val="nil"/>
            </w:tcBorders>
            <w:vAlign w:val="bottom"/>
          </w:tcPr>
          <w:p w14:paraId="1D31203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ED(</w:t>
            </w:r>
            <w:proofErr w:type="gramEnd"/>
            <w:r w:rsidRPr="00C51A7B">
              <w:rPr>
                <w:rFonts w:ascii="Times New Roman" w:eastAsia="Calibri" w:hAnsi="Times New Roman" w:cs="Times New Roman"/>
                <w:sz w:val="22"/>
                <w:szCs w:val="22"/>
              </w:rPr>
              <w:t>-2))</w:t>
            </w:r>
          </w:p>
        </w:tc>
        <w:tc>
          <w:tcPr>
            <w:tcW w:w="1488" w:type="dxa"/>
            <w:tcBorders>
              <w:top w:val="nil"/>
              <w:left w:val="nil"/>
              <w:bottom w:val="nil"/>
              <w:right w:val="nil"/>
            </w:tcBorders>
            <w:vAlign w:val="bottom"/>
          </w:tcPr>
          <w:p w14:paraId="00ACE4C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0.039017</w:t>
            </w:r>
          </w:p>
        </w:tc>
        <w:tc>
          <w:tcPr>
            <w:tcW w:w="1630" w:type="dxa"/>
            <w:tcBorders>
              <w:top w:val="nil"/>
              <w:left w:val="nil"/>
              <w:bottom w:val="nil"/>
              <w:right w:val="nil"/>
            </w:tcBorders>
            <w:vAlign w:val="bottom"/>
          </w:tcPr>
          <w:p w14:paraId="03D0514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0.043127</w:t>
            </w:r>
          </w:p>
        </w:tc>
        <w:tc>
          <w:tcPr>
            <w:tcW w:w="1630" w:type="dxa"/>
            <w:tcBorders>
              <w:top w:val="nil"/>
              <w:left w:val="nil"/>
              <w:bottom w:val="nil"/>
              <w:right w:val="nil"/>
            </w:tcBorders>
            <w:vAlign w:val="bottom"/>
          </w:tcPr>
          <w:p w14:paraId="69CAB4C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0.904692</w:t>
            </w:r>
          </w:p>
        </w:tc>
        <w:tc>
          <w:tcPr>
            <w:tcW w:w="1347" w:type="dxa"/>
            <w:tcBorders>
              <w:top w:val="nil"/>
              <w:left w:val="nil"/>
              <w:bottom w:val="nil"/>
              <w:right w:val="nil"/>
            </w:tcBorders>
            <w:vAlign w:val="bottom"/>
          </w:tcPr>
          <w:p w14:paraId="2085630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0.3809</w:t>
            </w:r>
          </w:p>
        </w:tc>
      </w:tr>
      <w:tr w:rsidR="00D8206B" w:rsidRPr="00C51A7B" w14:paraId="3BB54C9B" w14:textId="77777777" w:rsidTr="00D00B3F">
        <w:trPr>
          <w:trHeight w:val="205"/>
        </w:trPr>
        <w:tc>
          <w:tcPr>
            <w:tcW w:w="3003" w:type="dxa"/>
            <w:tcBorders>
              <w:top w:val="nil"/>
              <w:left w:val="nil"/>
              <w:bottom w:val="nil"/>
              <w:right w:val="nil"/>
            </w:tcBorders>
            <w:vAlign w:val="bottom"/>
          </w:tcPr>
          <w:p w14:paraId="3EF81C8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ED(</w:t>
            </w:r>
            <w:proofErr w:type="gramEnd"/>
            <w:r w:rsidRPr="00C51A7B">
              <w:rPr>
                <w:rFonts w:ascii="Times New Roman" w:eastAsia="Calibri" w:hAnsi="Times New Roman" w:cs="Times New Roman"/>
                <w:sz w:val="22"/>
                <w:szCs w:val="22"/>
              </w:rPr>
              <w:t>-3))</w:t>
            </w:r>
          </w:p>
        </w:tc>
        <w:tc>
          <w:tcPr>
            <w:tcW w:w="1488" w:type="dxa"/>
            <w:tcBorders>
              <w:top w:val="nil"/>
              <w:left w:val="nil"/>
              <w:bottom w:val="nil"/>
              <w:right w:val="nil"/>
            </w:tcBorders>
            <w:vAlign w:val="bottom"/>
          </w:tcPr>
          <w:p w14:paraId="4F6B7BDA"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0.064292</w:t>
            </w:r>
          </w:p>
        </w:tc>
        <w:tc>
          <w:tcPr>
            <w:tcW w:w="1630" w:type="dxa"/>
            <w:tcBorders>
              <w:top w:val="nil"/>
              <w:left w:val="nil"/>
              <w:bottom w:val="nil"/>
              <w:right w:val="nil"/>
            </w:tcBorders>
            <w:vAlign w:val="bottom"/>
          </w:tcPr>
          <w:p w14:paraId="697B29F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0.043658</w:t>
            </w:r>
          </w:p>
        </w:tc>
        <w:tc>
          <w:tcPr>
            <w:tcW w:w="1630" w:type="dxa"/>
            <w:tcBorders>
              <w:top w:val="nil"/>
              <w:left w:val="nil"/>
              <w:bottom w:val="nil"/>
              <w:right w:val="nil"/>
            </w:tcBorders>
            <w:vAlign w:val="bottom"/>
          </w:tcPr>
          <w:p w14:paraId="3506E046"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1.472643</w:t>
            </w:r>
          </w:p>
        </w:tc>
        <w:tc>
          <w:tcPr>
            <w:tcW w:w="1347" w:type="dxa"/>
            <w:tcBorders>
              <w:top w:val="nil"/>
              <w:left w:val="nil"/>
              <w:bottom w:val="nil"/>
              <w:right w:val="nil"/>
            </w:tcBorders>
            <w:vAlign w:val="bottom"/>
          </w:tcPr>
          <w:p w14:paraId="63D69F9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0.1630</w:t>
            </w:r>
          </w:p>
        </w:tc>
      </w:tr>
      <w:tr w:rsidR="00D8206B" w:rsidRPr="00C51A7B" w14:paraId="55420D5D" w14:textId="77777777" w:rsidTr="00D00B3F">
        <w:trPr>
          <w:trHeight w:val="205"/>
        </w:trPr>
        <w:tc>
          <w:tcPr>
            <w:tcW w:w="3003" w:type="dxa"/>
            <w:tcBorders>
              <w:top w:val="nil"/>
              <w:left w:val="nil"/>
              <w:bottom w:val="nil"/>
              <w:right w:val="nil"/>
            </w:tcBorders>
            <w:vAlign w:val="bottom"/>
          </w:tcPr>
          <w:p w14:paraId="3548AD9A"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L(DSP)</w:t>
            </w:r>
          </w:p>
        </w:tc>
        <w:tc>
          <w:tcPr>
            <w:tcW w:w="1488" w:type="dxa"/>
            <w:tcBorders>
              <w:top w:val="nil"/>
              <w:left w:val="nil"/>
              <w:bottom w:val="nil"/>
              <w:right w:val="nil"/>
            </w:tcBorders>
            <w:vAlign w:val="bottom"/>
          </w:tcPr>
          <w:p w14:paraId="4038B7E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0.050479</w:t>
            </w:r>
          </w:p>
        </w:tc>
        <w:tc>
          <w:tcPr>
            <w:tcW w:w="1630" w:type="dxa"/>
            <w:tcBorders>
              <w:top w:val="nil"/>
              <w:left w:val="nil"/>
              <w:bottom w:val="nil"/>
              <w:right w:val="nil"/>
            </w:tcBorders>
            <w:vAlign w:val="bottom"/>
          </w:tcPr>
          <w:p w14:paraId="5AF2D86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0.046140</w:t>
            </w:r>
          </w:p>
        </w:tc>
        <w:tc>
          <w:tcPr>
            <w:tcW w:w="1630" w:type="dxa"/>
            <w:tcBorders>
              <w:top w:val="nil"/>
              <w:left w:val="nil"/>
              <w:bottom w:val="nil"/>
              <w:right w:val="nil"/>
            </w:tcBorders>
            <w:vAlign w:val="bottom"/>
          </w:tcPr>
          <w:p w14:paraId="3165B57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1.094042</w:t>
            </w:r>
          </w:p>
        </w:tc>
        <w:tc>
          <w:tcPr>
            <w:tcW w:w="1347" w:type="dxa"/>
            <w:tcBorders>
              <w:top w:val="nil"/>
              <w:left w:val="nil"/>
              <w:bottom w:val="nil"/>
              <w:right w:val="nil"/>
            </w:tcBorders>
            <w:vAlign w:val="bottom"/>
          </w:tcPr>
          <w:p w14:paraId="25EECD2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0.2924</w:t>
            </w:r>
          </w:p>
        </w:tc>
      </w:tr>
      <w:tr w:rsidR="00D8206B" w:rsidRPr="00C51A7B" w14:paraId="560B6E0E" w14:textId="77777777" w:rsidTr="00D00B3F">
        <w:trPr>
          <w:trHeight w:val="205"/>
        </w:trPr>
        <w:tc>
          <w:tcPr>
            <w:tcW w:w="3003" w:type="dxa"/>
            <w:tcBorders>
              <w:top w:val="nil"/>
              <w:left w:val="nil"/>
              <w:bottom w:val="nil"/>
              <w:right w:val="nil"/>
            </w:tcBorders>
            <w:vAlign w:val="bottom"/>
          </w:tcPr>
          <w:p w14:paraId="620796B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DSP(</w:t>
            </w:r>
            <w:proofErr w:type="gramEnd"/>
            <w:r w:rsidRPr="00C51A7B">
              <w:rPr>
                <w:rFonts w:ascii="Times New Roman" w:eastAsia="Calibri" w:hAnsi="Times New Roman" w:cs="Times New Roman"/>
                <w:sz w:val="22"/>
                <w:szCs w:val="22"/>
              </w:rPr>
              <w:t>-1))</w:t>
            </w:r>
          </w:p>
        </w:tc>
        <w:tc>
          <w:tcPr>
            <w:tcW w:w="1488" w:type="dxa"/>
            <w:tcBorders>
              <w:top w:val="nil"/>
              <w:left w:val="nil"/>
              <w:bottom w:val="nil"/>
              <w:right w:val="nil"/>
            </w:tcBorders>
            <w:vAlign w:val="bottom"/>
          </w:tcPr>
          <w:p w14:paraId="582D6323"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-0.285720</w:t>
            </w:r>
          </w:p>
        </w:tc>
        <w:tc>
          <w:tcPr>
            <w:tcW w:w="1630" w:type="dxa"/>
            <w:tcBorders>
              <w:top w:val="nil"/>
              <w:left w:val="nil"/>
              <w:bottom w:val="nil"/>
              <w:right w:val="nil"/>
            </w:tcBorders>
            <w:vAlign w:val="bottom"/>
          </w:tcPr>
          <w:p w14:paraId="6041173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0.049927</w:t>
            </w:r>
          </w:p>
        </w:tc>
        <w:tc>
          <w:tcPr>
            <w:tcW w:w="1630" w:type="dxa"/>
            <w:tcBorders>
              <w:top w:val="nil"/>
              <w:left w:val="nil"/>
              <w:bottom w:val="nil"/>
              <w:right w:val="nil"/>
            </w:tcBorders>
            <w:vAlign w:val="bottom"/>
          </w:tcPr>
          <w:p w14:paraId="3C23BF11"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-5.722803</w:t>
            </w:r>
          </w:p>
        </w:tc>
        <w:tc>
          <w:tcPr>
            <w:tcW w:w="1347" w:type="dxa"/>
            <w:tcBorders>
              <w:top w:val="nil"/>
              <w:left w:val="nil"/>
              <w:bottom w:val="nil"/>
              <w:right w:val="nil"/>
            </w:tcBorders>
            <w:vAlign w:val="bottom"/>
          </w:tcPr>
          <w:p w14:paraId="4265CA3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0.0001</w:t>
            </w:r>
          </w:p>
        </w:tc>
      </w:tr>
      <w:tr w:rsidR="00D8206B" w:rsidRPr="00C51A7B" w14:paraId="0C4CB582" w14:textId="77777777" w:rsidTr="00D00B3F">
        <w:trPr>
          <w:trHeight w:val="205"/>
        </w:trPr>
        <w:tc>
          <w:tcPr>
            <w:tcW w:w="3003" w:type="dxa"/>
            <w:tcBorders>
              <w:top w:val="nil"/>
              <w:left w:val="nil"/>
              <w:bottom w:val="nil"/>
              <w:right w:val="nil"/>
            </w:tcBorders>
            <w:vAlign w:val="bottom"/>
          </w:tcPr>
          <w:p w14:paraId="0F89F34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color w:val="000000"/>
                <w:sz w:val="22"/>
                <w:szCs w:val="22"/>
              </w:rPr>
              <w:t>∆</w:t>
            </w:r>
            <w:r w:rsidRPr="00C51A7B">
              <w:rPr>
                <w:rFonts w:ascii="Times New Roman" w:eastAsia="Calibri" w:hAnsi="Times New Roman" w:cs="Times New Roman"/>
                <w:sz w:val="22"/>
                <w:szCs w:val="22"/>
              </w:rPr>
              <w:t>L(</w:t>
            </w:r>
            <w:proofErr w:type="gramStart"/>
            <w:r w:rsidRPr="00C51A7B">
              <w:rPr>
                <w:rFonts w:ascii="Times New Roman" w:eastAsia="Calibri" w:hAnsi="Times New Roman" w:cs="Times New Roman"/>
                <w:sz w:val="22"/>
                <w:szCs w:val="22"/>
              </w:rPr>
              <w:t>DSP(</w:t>
            </w:r>
            <w:proofErr w:type="gramEnd"/>
            <w:r w:rsidRPr="00C51A7B">
              <w:rPr>
                <w:rFonts w:ascii="Times New Roman" w:eastAsia="Calibri" w:hAnsi="Times New Roman" w:cs="Times New Roman"/>
                <w:sz w:val="22"/>
                <w:szCs w:val="22"/>
              </w:rPr>
              <w:t>-2))</w:t>
            </w:r>
          </w:p>
        </w:tc>
        <w:tc>
          <w:tcPr>
            <w:tcW w:w="1488" w:type="dxa"/>
            <w:tcBorders>
              <w:top w:val="nil"/>
              <w:left w:val="nil"/>
              <w:bottom w:val="nil"/>
              <w:right w:val="nil"/>
            </w:tcBorders>
            <w:vAlign w:val="bottom"/>
          </w:tcPr>
          <w:p w14:paraId="3A464BE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-0.129350</w:t>
            </w:r>
          </w:p>
        </w:tc>
        <w:tc>
          <w:tcPr>
            <w:tcW w:w="1630" w:type="dxa"/>
            <w:tcBorders>
              <w:top w:val="nil"/>
              <w:left w:val="nil"/>
              <w:bottom w:val="nil"/>
              <w:right w:val="nil"/>
            </w:tcBorders>
            <w:vAlign w:val="bottom"/>
          </w:tcPr>
          <w:p w14:paraId="35DB7CD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0.043166</w:t>
            </w:r>
          </w:p>
        </w:tc>
        <w:tc>
          <w:tcPr>
            <w:tcW w:w="1630" w:type="dxa"/>
            <w:tcBorders>
              <w:top w:val="nil"/>
              <w:left w:val="nil"/>
              <w:bottom w:val="nil"/>
              <w:right w:val="nil"/>
            </w:tcBorders>
            <w:vAlign w:val="bottom"/>
          </w:tcPr>
          <w:p w14:paraId="40522C36"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-2.996594</w:t>
            </w:r>
          </w:p>
        </w:tc>
        <w:tc>
          <w:tcPr>
            <w:tcW w:w="1347" w:type="dxa"/>
            <w:tcBorders>
              <w:top w:val="nil"/>
              <w:left w:val="nil"/>
              <w:bottom w:val="nil"/>
              <w:right w:val="nil"/>
            </w:tcBorders>
            <w:vAlign w:val="bottom"/>
          </w:tcPr>
          <w:p w14:paraId="2B76EC1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0.0096</w:t>
            </w:r>
          </w:p>
        </w:tc>
      </w:tr>
      <w:tr w:rsidR="00D8206B" w:rsidRPr="00C51A7B" w14:paraId="54F73ADE" w14:textId="77777777" w:rsidTr="00D00B3F">
        <w:trPr>
          <w:trHeight w:val="205"/>
        </w:trPr>
        <w:tc>
          <w:tcPr>
            <w:tcW w:w="3003" w:type="dxa"/>
            <w:tcBorders>
              <w:top w:val="nil"/>
              <w:left w:val="nil"/>
              <w:bottom w:val="nil"/>
              <w:right w:val="nil"/>
            </w:tcBorders>
            <w:vAlign w:val="bottom"/>
          </w:tcPr>
          <w:p w14:paraId="75DBECB4" w14:textId="77777777" w:rsidR="00D8206B" w:rsidRPr="00C51A7B" w:rsidRDefault="00D8206B" w:rsidP="00D00B3F">
            <w:pPr>
              <w:spacing w:after="0" w:line="240" w:lineRule="auto"/>
              <w:jc w:val="both"/>
              <w:rPr>
                <w:rFonts w:ascii="Times New Roman" w:eastAsia="Calibri" w:hAnsi="Times New Roman" w:cs="Times New Roman"/>
                <w:sz w:val="22"/>
                <w:szCs w:val="22"/>
              </w:rPr>
            </w:pPr>
            <w:proofErr w:type="spellStart"/>
            <w:proofErr w:type="gramStart"/>
            <w:r w:rsidRPr="00C51A7B">
              <w:rPr>
                <w:rFonts w:ascii="Times New Roman" w:eastAsia="Calibri" w:hAnsi="Times New Roman" w:cs="Times New Roman"/>
                <w:sz w:val="22"/>
                <w:szCs w:val="22"/>
              </w:rPr>
              <w:t>CointEq</w:t>
            </w:r>
            <w:proofErr w:type="spellEnd"/>
            <w:r w:rsidRPr="00C51A7B">
              <w:rPr>
                <w:rFonts w:ascii="Times New Roman" w:eastAsia="Calibri" w:hAnsi="Times New Roman" w:cs="Times New Roman"/>
                <w:sz w:val="22"/>
                <w:szCs w:val="22"/>
              </w:rPr>
              <w:t>(</w:t>
            </w:r>
            <w:proofErr w:type="gramEnd"/>
            <w:r w:rsidRPr="00C51A7B">
              <w:rPr>
                <w:rFonts w:ascii="Times New Roman" w:eastAsia="Calibri" w:hAnsi="Times New Roman" w:cs="Times New Roman"/>
                <w:sz w:val="22"/>
                <w:szCs w:val="22"/>
              </w:rPr>
              <w:t>-</w:t>
            </w:r>
            <w:proofErr w:type="gramStart"/>
            <w:r w:rsidRPr="00C51A7B">
              <w:rPr>
                <w:rFonts w:ascii="Times New Roman" w:eastAsia="Calibri" w:hAnsi="Times New Roman" w:cs="Times New Roman"/>
                <w:sz w:val="22"/>
                <w:szCs w:val="22"/>
              </w:rPr>
              <w:t>1)*</w:t>
            </w:r>
            <w:proofErr w:type="gramEnd"/>
          </w:p>
        </w:tc>
        <w:tc>
          <w:tcPr>
            <w:tcW w:w="1488" w:type="dxa"/>
            <w:tcBorders>
              <w:top w:val="nil"/>
              <w:left w:val="nil"/>
              <w:bottom w:val="nil"/>
              <w:right w:val="nil"/>
            </w:tcBorders>
            <w:vAlign w:val="bottom"/>
          </w:tcPr>
          <w:p w14:paraId="1114A33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-0.414487</w:t>
            </w:r>
          </w:p>
        </w:tc>
        <w:tc>
          <w:tcPr>
            <w:tcW w:w="1630" w:type="dxa"/>
            <w:tcBorders>
              <w:top w:val="nil"/>
              <w:left w:val="nil"/>
              <w:bottom w:val="nil"/>
              <w:right w:val="nil"/>
            </w:tcBorders>
            <w:vAlign w:val="bottom"/>
          </w:tcPr>
          <w:p w14:paraId="5FC719B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0.074531</w:t>
            </w:r>
          </w:p>
        </w:tc>
        <w:tc>
          <w:tcPr>
            <w:tcW w:w="1630" w:type="dxa"/>
            <w:tcBorders>
              <w:top w:val="nil"/>
              <w:left w:val="nil"/>
              <w:bottom w:val="nil"/>
              <w:right w:val="nil"/>
            </w:tcBorders>
            <w:vAlign w:val="bottom"/>
          </w:tcPr>
          <w:p w14:paraId="7432C1BE"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-5.561255</w:t>
            </w:r>
          </w:p>
        </w:tc>
        <w:tc>
          <w:tcPr>
            <w:tcW w:w="1347" w:type="dxa"/>
            <w:tcBorders>
              <w:top w:val="nil"/>
              <w:left w:val="nil"/>
              <w:bottom w:val="nil"/>
              <w:right w:val="nil"/>
            </w:tcBorders>
            <w:vAlign w:val="bottom"/>
          </w:tcPr>
          <w:p w14:paraId="5A3F99AC"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0.0001</w:t>
            </w:r>
          </w:p>
        </w:tc>
      </w:tr>
      <w:tr w:rsidR="00D8206B" w:rsidRPr="00C51A7B" w14:paraId="3F6C18BA" w14:textId="77777777" w:rsidTr="00D00B3F">
        <w:trPr>
          <w:trHeight w:hRule="exact" w:val="81"/>
        </w:trPr>
        <w:tc>
          <w:tcPr>
            <w:tcW w:w="3003" w:type="dxa"/>
            <w:tcBorders>
              <w:top w:val="nil"/>
              <w:left w:val="nil"/>
              <w:bottom w:val="double" w:sz="6" w:space="2" w:color="auto"/>
              <w:right w:val="nil"/>
            </w:tcBorders>
            <w:vAlign w:val="bottom"/>
          </w:tcPr>
          <w:p w14:paraId="2B9A394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double" w:sz="6" w:space="2" w:color="auto"/>
              <w:right w:val="nil"/>
            </w:tcBorders>
            <w:vAlign w:val="bottom"/>
          </w:tcPr>
          <w:p w14:paraId="56934DF3"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6C224D39"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7AF97DC3"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double" w:sz="6" w:space="2" w:color="auto"/>
              <w:right w:val="nil"/>
            </w:tcBorders>
            <w:vAlign w:val="bottom"/>
          </w:tcPr>
          <w:p w14:paraId="505A9DFF"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57A7239D" w14:textId="77777777" w:rsidTr="00D00B3F">
        <w:trPr>
          <w:trHeight w:hRule="exact" w:val="122"/>
        </w:trPr>
        <w:tc>
          <w:tcPr>
            <w:tcW w:w="3003" w:type="dxa"/>
            <w:tcBorders>
              <w:top w:val="nil"/>
              <w:left w:val="nil"/>
              <w:bottom w:val="nil"/>
              <w:right w:val="nil"/>
            </w:tcBorders>
            <w:vAlign w:val="bottom"/>
          </w:tcPr>
          <w:p w14:paraId="30FD7049"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nil"/>
              <w:right w:val="nil"/>
            </w:tcBorders>
            <w:vAlign w:val="bottom"/>
          </w:tcPr>
          <w:p w14:paraId="05C97CC3"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1DC3E8F5"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7FCCC79B"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nil"/>
              <w:right w:val="nil"/>
            </w:tcBorders>
            <w:vAlign w:val="bottom"/>
          </w:tcPr>
          <w:p w14:paraId="6E1285E2"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27341A2F" w14:textId="77777777" w:rsidTr="00D00B3F">
        <w:trPr>
          <w:trHeight w:val="205"/>
        </w:trPr>
        <w:tc>
          <w:tcPr>
            <w:tcW w:w="3003" w:type="dxa"/>
            <w:tcBorders>
              <w:top w:val="nil"/>
              <w:left w:val="nil"/>
              <w:bottom w:val="nil"/>
              <w:right w:val="nil"/>
            </w:tcBorders>
            <w:vAlign w:val="bottom"/>
          </w:tcPr>
          <w:p w14:paraId="420E294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R-squared</w:t>
            </w:r>
          </w:p>
        </w:tc>
        <w:tc>
          <w:tcPr>
            <w:tcW w:w="1488" w:type="dxa"/>
            <w:tcBorders>
              <w:top w:val="nil"/>
              <w:left w:val="nil"/>
              <w:bottom w:val="nil"/>
              <w:right w:val="nil"/>
            </w:tcBorders>
            <w:vAlign w:val="bottom"/>
          </w:tcPr>
          <w:p w14:paraId="3451A00B"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0.791040</w:t>
            </w:r>
          </w:p>
        </w:tc>
        <w:tc>
          <w:tcPr>
            <w:tcW w:w="3260" w:type="dxa"/>
            <w:gridSpan w:val="2"/>
            <w:tcBorders>
              <w:top w:val="nil"/>
              <w:left w:val="nil"/>
              <w:bottom w:val="nil"/>
              <w:right w:val="nil"/>
            </w:tcBorders>
            <w:vAlign w:val="bottom"/>
          </w:tcPr>
          <w:p w14:paraId="3A75A26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Mean dependent var</w:t>
            </w:r>
          </w:p>
        </w:tc>
        <w:tc>
          <w:tcPr>
            <w:tcW w:w="1347" w:type="dxa"/>
            <w:tcBorders>
              <w:top w:val="nil"/>
              <w:left w:val="nil"/>
              <w:bottom w:val="nil"/>
              <w:right w:val="nil"/>
            </w:tcBorders>
            <w:vAlign w:val="bottom"/>
          </w:tcPr>
          <w:p w14:paraId="4DE3620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-0.000608</w:t>
            </w:r>
          </w:p>
        </w:tc>
      </w:tr>
      <w:tr w:rsidR="00D8206B" w:rsidRPr="00C51A7B" w14:paraId="1AFE4B6C" w14:textId="77777777" w:rsidTr="00D00B3F">
        <w:trPr>
          <w:trHeight w:val="205"/>
        </w:trPr>
        <w:tc>
          <w:tcPr>
            <w:tcW w:w="3003" w:type="dxa"/>
            <w:tcBorders>
              <w:top w:val="nil"/>
              <w:left w:val="nil"/>
              <w:bottom w:val="nil"/>
              <w:right w:val="nil"/>
            </w:tcBorders>
            <w:vAlign w:val="bottom"/>
          </w:tcPr>
          <w:p w14:paraId="14DD31A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Adjusted R-squared</w:t>
            </w:r>
          </w:p>
        </w:tc>
        <w:tc>
          <w:tcPr>
            <w:tcW w:w="1488" w:type="dxa"/>
            <w:tcBorders>
              <w:top w:val="nil"/>
              <w:left w:val="nil"/>
              <w:bottom w:val="nil"/>
              <w:right w:val="nil"/>
            </w:tcBorders>
            <w:vAlign w:val="bottom"/>
          </w:tcPr>
          <w:p w14:paraId="04C780F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0.663342</w:t>
            </w:r>
          </w:p>
        </w:tc>
        <w:tc>
          <w:tcPr>
            <w:tcW w:w="3260" w:type="dxa"/>
            <w:gridSpan w:val="2"/>
            <w:tcBorders>
              <w:top w:val="nil"/>
              <w:left w:val="nil"/>
              <w:bottom w:val="nil"/>
              <w:right w:val="nil"/>
            </w:tcBorders>
            <w:vAlign w:val="bottom"/>
          </w:tcPr>
          <w:p w14:paraId="74AAF8F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S.D. dependent var</w:t>
            </w:r>
          </w:p>
        </w:tc>
        <w:tc>
          <w:tcPr>
            <w:tcW w:w="1347" w:type="dxa"/>
            <w:tcBorders>
              <w:top w:val="nil"/>
              <w:left w:val="nil"/>
              <w:bottom w:val="nil"/>
              <w:right w:val="nil"/>
            </w:tcBorders>
            <w:vAlign w:val="bottom"/>
          </w:tcPr>
          <w:p w14:paraId="5E1D0965"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0.118499</w:t>
            </w:r>
          </w:p>
        </w:tc>
      </w:tr>
      <w:tr w:rsidR="00D8206B" w:rsidRPr="00C51A7B" w14:paraId="7A08FF8F" w14:textId="77777777" w:rsidTr="00D00B3F">
        <w:trPr>
          <w:trHeight w:val="205"/>
        </w:trPr>
        <w:tc>
          <w:tcPr>
            <w:tcW w:w="3003" w:type="dxa"/>
            <w:tcBorders>
              <w:top w:val="nil"/>
              <w:left w:val="nil"/>
              <w:bottom w:val="nil"/>
              <w:right w:val="nil"/>
            </w:tcBorders>
            <w:vAlign w:val="bottom"/>
          </w:tcPr>
          <w:p w14:paraId="28A03F02"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S.E. of regression</w:t>
            </w:r>
          </w:p>
        </w:tc>
        <w:tc>
          <w:tcPr>
            <w:tcW w:w="1488" w:type="dxa"/>
            <w:tcBorders>
              <w:top w:val="nil"/>
              <w:left w:val="nil"/>
              <w:bottom w:val="nil"/>
              <w:right w:val="nil"/>
            </w:tcBorders>
            <w:vAlign w:val="bottom"/>
          </w:tcPr>
          <w:p w14:paraId="269E023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0.068756</w:t>
            </w:r>
          </w:p>
        </w:tc>
        <w:tc>
          <w:tcPr>
            <w:tcW w:w="3260" w:type="dxa"/>
            <w:gridSpan w:val="2"/>
            <w:tcBorders>
              <w:top w:val="nil"/>
              <w:left w:val="nil"/>
              <w:bottom w:val="nil"/>
              <w:right w:val="nil"/>
            </w:tcBorders>
            <w:vAlign w:val="bottom"/>
          </w:tcPr>
          <w:p w14:paraId="16C81E06"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Akaike info criterion</w:t>
            </w:r>
          </w:p>
        </w:tc>
        <w:tc>
          <w:tcPr>
            <w:tcW w:w="1347" w:type="dxa"/>
            <w:tcBorders>
              <w:top w:val="nil"/>
              <w:left w:val="nil"/>
              <w:bottom w:val="nil"/>
              <w:right w:val="nil"/>
            </w:tcBorders>
            <w:vAlign w:val="bottom"/>
          </w:tcPr>
          <w:p w14:paraId="16349370"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-2.227344</w:t>
            </w:r>
          </w:p>
        </w:tc>
      </w:tr>
      <w:tr w:rsidR="00D8206B" w:rsidRPr="00C51A7B" w14:paraId="21A678A2" w14:textId="77777777" w:rsidTr="00D00B3F">
        <w:trPr>
          <w:trHeight w:val="205"/>
        </w:trPr>
        <w:tc>
          <w:tcPr>
            <w:tcW w:w="3003" w:type="dxa"/>
            <w:tcBorders>
              <w:top w:val="nil"/>
              <w:left w:val="nil"/>
              <w:bottom w:val="nil"/>
              <w:right w:val="nil"/>
            </w:tcBorders>
            <w:vAlign w:val="bottom"/>
          </w:tcPr>
          <w:p w14:paraId="464102EA"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Sum squared resid</w:t>
            </w:r>
          </w:p>
        </w:tc>
        <w:tc>
          <w:tcPr>
            <w:tcW w:w="1488" w:type="dxa"/>
            <w:tcBorders>
              <w:top w:val="nil"/>
              <w:left w:val="nil"/>
              <w:bottom w:val="nil"/>
              <w:right w:val="nil"/>
            </w:tcBorders>
            <w:vAlign w:val="bottom"/>
          </w:tcPr>
          <w:p w14:paraId="4719AF7D"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0.085092</w:t>
            </w:r>
          </w:p>
        </w:tc>
        <w:tc>
          <w:tcPr>
            <w:tcW w:w="3260" w:type="dxa"/>
            <w:gridSpan w:val="2"/>
            <w:tcBorders>
              <w:top w:val="nil"/>
              <w:left w:val="nil"/>
              <w:bottom w:val="nil"/>
              <w:right w:val="nil"/>
            </w:tcBorders>
            <w:vAlign w:val="bottom"/>
          </w:tcPr>
          <w:p w14:paraId="3F6E1824"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Schwarz criterion</w:t>
            </w:r>
          </w:p>
        </w:tc>
        <w:tc>
          <w:tcPr>
            <w:tcW w:w="1347" w:type="dxa"/>
            <w:tcBorders>
              <w:top w:val="nil"/>
              <w:left w:val="nil"/>
              <w:bottom w:val="nil"/>
              <w:right w:val="nil"/>
            </w:tcBorders>
            <w:vAlign w:val="bottom"/>
          </w:tcPr>
          <w:p w14:paraId="7DA0ECB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-1.666866</w:t>
            </w:r>
          </w:p>
        </w:tc>
      </w:tr>
      <w:tr w:rsidR="00D8206B" w:rsidRPr="00C51A7B" w14:paraId="6F7CAEED" w14:textId="77777777" w:rsidTr="00D00B3F">
        <w:trPr>
          <w:trHeight w:val="205"/>
        </w:trPr>
        <w:tc>
          <w:tcPr>
            <w:tcW w:w="3003" w:type="dxa"/>
            <w:tcBorders>
              <w:top w:val="nil"/>
              <w:left w:val="nil"/>
              <w:bottom w:val="nil"/>
              <w:right w:val="nil"/>
            </w:tcBorders>
            <w:vAlign w:val="bottom"/>
          </w:tcPr>
          <w:p w14:paraId="0A6EA969"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Log likelihood</w:t>
            </w:r>
          </w:p>
        </w:tc>
        <w:tc>
          <w:tcPr>
            <w:tcW w:w="1488" w:type="dxa"/>
            <w:tcBorders>
              <w:top w:val="nil"/>
              <w:left w:val="nil"/>
              <w:bottom w:val="nil"/>
              <w:right w:val="nil"/>
            </w:tcBorders>
            <w:vAlign w:val="bottom"/>
          </w:tcPr>
          <w:p w14:paraId="5265CA5B"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45.41017</w:t>
            </w:r>
          </w:p>
        </w:tc>
        <w:tc>
          <w:tcPr>
            <w:tcW w:w="3260" w:type="dxa"/>
            <w:gridSpan w:val="2"/>
            <w:tcBorders>
              <w:top w:val="nil"/>
              <w:left w:val="nil"/>
              <w:bottom w:val="nil"/>
              <w:right w:val="nil"/>
            </w:tcBorders>
            <w:vAlign w:val="bottom"/>
          </w:tcPr>
          <w:p w14:paraId="2610DB27"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 xml:space="preserve">    Hannan-Quinn </w:t>
            </w:r>
            <w:proofErr w:type="spellStart"/>
            <w:r w:rsidRPr="00C51A7B">
              <w:rPr>
                <w:rFonts w:ascii="Times New Roman" w:eastAsia="Calibri" w:hAnsi="Times New Roman" w:cs="Times New Roman"/>
                <w:sz w:val="22"/>
                <w:szCs w:val="22"/>
              </w:rPr>
              <w:t>criter</w:t>
            </w:r>
            <w:proofErr w:type="spellEnd"/>
            <w:r w:rsidRPr="00C51A7B">
              <w:rPr>
                <w:rFonts w:ascii="Times New Roman" w:eastAsia="Calibri" w:hAnsi="Times New Roman" w:cs="Times New Roman"/>
                <w:sz w:val="22"/>
                <w:szCs w:val="22"/>
              </w:rPr>
              <w:t>.</w:t>
            </w:r>
          </w:p>
        </w:tc>
        <w:tc>
          <w:tcPr>
            <w:tcW w:w="1347" w:type="dxa"/>
            <w:tcBorders>
              <w:top w:val="nil"/>
              <w:left w:val="nil"/>
              <w:bottom w:val="nil"/>
              <w:right w:val="nil"/>
            </w:tcBorders>
            <w:vAlign w:val="bottom"/>
          </w:tcPr>
          <w:p w14:paraId="6FB435B1"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-2.048042</w:t>
            </w:r>
          </w:p>
        </w:tc>
      </w:tr>
      <w:tr w:rsidR="00D8206B" w:rsidRPr="00C51A7B" w14:paraId="7F913B74" w14:textId="77777777" w:rsidTr="00D00B3F">
        <w:trPr>
          <w:trHeight w:val="205"/>
        </w:trPr>
        <w:tc>
          <w:tcPr>
            <w:tcW w:w="3003" w:type="dxa"/>
            <w:tcBorders>
              <w:top w:val="nil"/>
              <w:left w:val="nil"/>
              <w:bottom w:val="nil"/>
              <w:right w:val="nil"/>
            </w:tcBorders>
            <w:vAlign w:val="bottom"/>
          </w:tcPr>
          <w:p w14:paraId="1D4F9C08"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Durbin-Watson stat</w:t>
            </w:r>
          </w:p>
        </w:tc>
        <w:tc>
          <w:tcPr>
            <w:tcW w:w="1488" w:type="dxa"/>
            <w:tcBorders>
              <w:top w:val="nil"/>
              <w:left w:val="nil"/>
              <w:bottom w:val="nil"/>
              <w:right w:val="nil"/>
            </w:tcBorders>
            <w:vAlign w:val="bottom"/>
          </w:tcPr>
          <w:p w14:paraId="1221A1F8" w14:textId="77777777" w:rsidR="00D8206B" w:rsidRPr="00C51A7B" w:rsidRDefault="00D8206B" w:rsidP="00D00B3F">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sz w:val="22"/>
                <w:szCs w:val="22"/>
              </w:rPr>
              <w:t>2.135639</w:t>
            </w:r>
          </w:p>
        </w:tc>
        <w:tc>
          <w:tcPr>
            <w:tcW w:w="1630" w:type="dxa"/>
            <w:tcBorders>
              <w:top w:val="nil"/>
              <w:left w:val="nil"/>
              <w:bottom w:val="nil"/>
              <w:right w:val="nil"/>
            </w:tcBorders>
            <w:vAlign w:val="bottom"/>
          </w:tcPr>
          <w:p w14:paraId="2F4F706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nil"/>
              <w:right w:val="nil"/>
            </w:tcBorders>
            <w:vAlign w:val="bottom"/>
          </w:tcPr>
          <w:p w14:paraId="1596DF14"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nil"/>
              <w:right w:val="nil"/>
            </w:tcBorders>
            <w:vAlign w:val="bottom"/>
          </w:tcPr>
          <w:p w14:paraId="57F8D1B0"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r w:rsidR="00D8206B" w:rsidRPr="00C51A7B" w14:paraId="719AA451" w14:textId="77777777" w:rsidTr="00D00B3F">
        <w:trPr>
          <w:trHeight w:hRule="exact" w:val="81"/>
        </w:trPr>
        <w:tc>
          <w:tcPr>
            <w:tcW w:w="3003" w:type="dxa"/>
            <w:tcBorders>
              <w:top w:val="nil"/>
              <w:left w:val="nil"/>
              <w:bottom w:val="double" w:sz="6" w:space="2" w:color="auto"/>
              <w:right w:val="nil"/>
            </w:tcBorders>
            <w:vAlign w:val="bottom"/>
          </w:tcPr>
          <w:p w14:paraId="01A2CE46"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488" w:type="dxa"/>
            <w:tcBorders>
              <w:top w:val="nil"/>
              <w:left w:val="nil"/>
              <w:bottom w:val="double" w:sz="6" w:space="2" w:color="auto"/>
              <w:right w:val="nil"/>
            </w:tcBorders>
            <w:vAlign w:val="bottom"/>
          </w:tcPr>
          <w:p w14:paraId="5DD01417"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129FAD32"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630" w:type="dxa"/>
            <w:tcBorders>
              <w:top w:val="nil"/>
              <w:left w:val="nil"/>
              <w:bottom w:val="double" w:sz="6" w:space="2" w:color="auto"/>
              <w:right w:val="nil"/>
            </w:tcBorders>
            <w:vAlign w:val="bottom"/>
          </w:tcPr>
          <w:p w14:paraId="12C41941"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c>
          <w:tcPr>
            <w:tcW w:w="1347" w:type="dxa"/>
            <w:tcBorders>
              <w:top w:val="nil"/>
              <w:left w:val="nil"/>
              <w:bottom w:val="double" w:sz="6" w:space="2" w:color="auto"/>
              <w:right w:val="nil"/>
            </w:tcBorders>
            <w:vAlign w:val="bottom"/>
          </w:tcPr>
          <w:p w14:paraId="08098E09" w14:textId="77777777" w:rsidR="00D8206B" w:rsidRPr="00C51A7B" w:rsidRDefault="00D8206B" w:rsidP="00D00B3F">
            <w:pPr>
              <w:spacing w:after="0" w:line="240" w:lineRule="auto"/>
              <w:jc w:val="both"/>
              <w:rPr>
                <w:rFonts w:ascii="Times New Roman" w:eastAsia="Calibri" w:hAnsi="Times New Roman" w:cs="Times New Roman"/>
                <w:sz w:val="22"/>
                <w:szCs w:val="22"/>
              </w:rPr>
            </w:pPr>
          </w:p>
        </w:tc>
      </w:tr>
    </w:tbl>
    <w:bookmarkEnd w:id="23"/>
    <w:p w14:paraId="549EA857" w14:textId="77777777" w:rsidR="00D8206B" w:rsidRPr="00C51A7B" w:rsidRDefault="00D8206B" w:rsidP="00D8206B">
      <w:pPr>
        <w:spacing w:after="0" w:line="240" w:lineRule="auto"/>
        <w:jc w:val="both"/>
        <w:rPr>
          <w:rFonts w:ascii="Times New Roman" w:eastAsia="Calibri" w:hAnsi="Times New Roman" w:cs="Times New Roman"/>
          <w:sz w:val="22"/>
          <w:szCs w:val="22"/>
        </w:rPr>
      </w:pPr>
      <w:r w:rsidRPr="00C51A7B">
        <w:rPr>
          <w:rFonts w:ascii="Times New Roman" w:eastAsia="Calibri" w:hAnsi="Times New Roman" w:cs="Times New Roman"/>
          <w:b/>
          <w:sz w:val="22"/>
          <w:szCs w:val="22"/>
        </w:rPr>
        <w:t>Source:</w:t>
      </w:r>
      <w:r w:rsidRPr="00C51A7B">
        <w:rPr>
          <w:rFonts w:ascii="Times New Roman" w:eastAsia="Calibri" w:hAnsi="Times New Roman" w:cs="Times New Roman"/>
          <w:sz w:val="22"/>
          <w:szCs w:val="22"/>
        </w:rPr>
        <w:t xml:space="preserve"> Author’s computations with E-views Version 10 (2025)</w:t>
      </w:r>
    </w:p>
    <w:p w14:paraId="07B67C10" w14:textId="77777777" w:rsidR="00DA5AE9" w:rsidRDefault="00DA5AE9" w:rsidP="00D8206B">
      <w:pPr>
        <w:spacing w:after="0" w:line="276" w:lineRule="auto"/>
        <w:jc w:val="both"/>
        <w:rPr>
          <w:rFonts w:ascii="Times New Roman" w:hAnsi="Times New Roman"/>
          <w:sz w:val="22"/>
          <w:szCs w:val="22"/>
        </w:rPr>
      </w:pPr>
    </w:p>
    <w:p w14:paraId="65AD079E" w14:textId="66FCB4F1"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sz w:val="22"/>
          <w:szCs w:val="22"/>
        </w:rPr>
        <w:t>From the result above,</w:t>
      </w:r>
      <w:r w:rsidRPr="00A96ACA">
        <w:rPr>
          <w:rFonts w:ascii="Times New Roman" w:hAnsi="Times New Roman"/>
          <w:sz w:val="22"/>
          <w:szCs w:val="22"/>
          <w:lang w:eastAsia="en-GB"/>
        </w:rPr>
        <w:t xml:space="preserve"> ECM is negative (</w:t>
      </w:r>
      <w:r w:rsidRPr="00A96ACA">
        <w:rPr>
          <w:rFonts w:ascii="Times New Roman" w:hAnsi="Times New Roman" w:cs="Times New Roman"/>
          <w:sz w:val="22"/>
          <w:szCs w:val="22"/>
        </w:rPr>
        <w:t>-0.414487</w:t>
      </w:r>
      <w:r w:rsidRPr="00A96ACA">
        <w:rPr>
          <w:rFonts w:ascii="Times New Roman" w:hAnsi="Times New Roman"/>
          <w:sz w:val="22"/>
          <w:szCs w:val="22"/>
          <w:lang w:eastAsia="en-GB"/>
        </w:rPr>
        <w:t xml:space="preserve">). The speed of adjustment to equilibrium in its current period is about 41.4 per cent.  This implies that about 41.4 per cent of the disequilibrium in the </w:t>
      </w:r>
      <w:r w:rsidRPr="00A96ACA">
        <w:rPr>
          <w:rFonts w:ascii="Times New Roman" w:hAnsi="Times New Roman"/>
          <w:sz w:val="22"/>
          <w:szCs w:val="22"/>
        </w:rPr>
        <w:t>industrial sector output performance</w:t>
      </w:r>
      <w:r w:rsidRPr="00A96ACA">
        <w:rPr>
          <w:rFonts w:ascii="Times New Roman" w:hAnsi="Times New Roman"/>
          <w:sz w:val="22"/>
          <w:szCs w:val="22"/>
          <w:lang w:eastAsia="en-GB"/>
        </w:rPr>
        <w:t xml:space="preserve"> is offset by the short-run adjustment in each period. </w:t>
      </w:r>
      <w:r w:rsidRPr="00A96ACA">
        <w:rPr>
          <w:rFonts w:ascii="Times New Roman" w:hAnsi="Times New Roman"/>
          <w:sz w:val="22"/>
          <w:szCs w:val="22"/>
        </w:rPr>
        <w:t xml:space="preserve"> The error correction mechanism is significant and rightly signed. The coefficient of determination was high. It showed that approximately 79% change in industrial sector output performance was accounted for by debt management variables at the short run. </w:t>
      </w:r>
      <w:r w:rsidRPr="00A96ACA">
        <w:rPr>
          <w:rFonts w:ascii="Times New Roman" w:hAnsi="Times New Roman" w:cs="Times New Roman"/>
          <w:sz w:val="22"/>
          <w:szCs w:val="22"/>
        </w:rPr>
        <w:t xml:space="preserve"> </w:t>
      </w:r>
      <w:r w:rsidRPr="00A96ACA">
        <w:rPr>
          <w:rFonts w:ascii="Times New Roman" w:hAnsi="Times New Roman"/>
          <w:sz w:val="22"/>
          <w:szCs w:val="22"/>
        </w:rPr>
        <w:t xml:space="preserve">Additionally, the Durbin-Watson (D.W) statistic of </w:t>
      </w:r>
      <w:r w:rsidRPr="00A96ACA">
        <w:rPr>
          <w:rFonts w:ascii="Times New Roman" w:hAnsi="Times New Roman" w:cs="Times New Roman"/>
          <w:sz w:val="22"/>
          <w:szCs w:val="22"/>
        </w:rPr>
        <w:t>2.135639</w:t>
      </w:r>
      <w:r w:rsidRPr="00A96ACA">
        <w:rPr>
          <w:rFonts w:ascii="Times New Roman" w:hAnsi="Times New Roman"/>
          <w:sz w:val="22"/>
          <w:szCs w:val="22"/>
        </w:rPr>
        <w:t xml:space="preserve"> suggests no serial correlation in the regression results, implying that the model accurately captures the relationships without systematic</w:t>
      </w:r>
    </w:p>
    <w:p w14:paraId="3A0A1576"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sz w:val="22"/>
          <w:szCs w:val="22"/>
        </w:rPr>
        <w:t>T</w:t>
      </w:r>
      <w:r w:rsidRPr="00A96ACA">
        <w:rPr>
          <w:rFonts w:ascii="Times New Roman" w:hAnsi="Times New Roman" w:cs="Times New Roman"/>
          <w:sz w:val="22"/>
          <w:szCs w:val="22"/>
        </w:rPr>
        <w:t>he first lag of industrial sector output showed a significant positive relationship with current industrial sector output performance with a coefficient of 0.262330 and it is also significant at 10%. T</w:t>
      </w:r>
      <w:r w:rsidRPr="00A96ACA">
        <w:rPr>
          <w:rFonts w:ascii="Times New Roman" w:hAnsi="Times New Roman"/>
          <w:sz w:val="22"/>
          <w:szCs w:val="22"/>
        </w:rPr>
        <w:t>he coefficient of Domestic Debt (</w:t>
      </w:r>
      <w:proofErr w:type="spellStart"/>
      <w:r w:rsidRPr="00A96ACA">
        <w:rPr>
          <w:rFonts w:ascii="Times New Roman" w:hAnsi="Times New Roman"/>
          <w:sz w:val="22"/>
          <w:szCs w:val="22"/>
        </w:rPr>
        <w:t>lnDD</w:t>
      </w:r>
      <w:proofErr w:type="spellEnd"/>
      <w:r w:rsidRPr="00A96ACA">
        <w:rPr>
          <w:rFonts w:ascii="Times New Roman" w:hAnsi="Times New Roman"/>
          <w:sz w:val="22"/>
          <w:szCs w:val="22"/>
        </w:rPr>
        <w:t xml:space="preserve">) shows a positive relationship with the </w:t>
      </w:r>
      <w:r w:rsidRPr="00A96ACA">
        <w:rPr>
          <w:rFonts w:ascii="Times New Roman" w:hAnsi="Times New Roman" w:cs="Times New Roman"/>
          <w:sz w:val="22"/>
          <w:szCs w:val="22"/>
        </w:rPr>
        <w:t>industrial sector output performance</w:t>
      </w:r>
      <w:r w:rsidRPr="00A96ACA">
        <w:rPr>
          <w:rFonts w:ascii="Times New Roman" w:hAnsi="Times New Roman"/>
          <w:sz w:val="22"/>
          <w:szCs w:val="22"/>
        </w:rPr>
        <w:t xml:space="preserve"> (</w:t>
      </w:r>
      <w:proofErr w:type="spellStart"/>
      <w:r w:rsidRPr="00A96ACA">
        <w:rPr>
          <w:rFonts w:ascii="Times New Roman" w:hAnsi="Times New Roman"/>
          <w:sz w:val="22"/>
          <w:szCs w:val="22"/>
        </w:rPr>
        <w:t>lnMSO</w:t>
      </w:r>
      <w:proofErr w:type="spellEnd"/>
      <w:r w:rsidRPr="00A96ACA">
        <w:rPr>
          <w:rFonts w:ascii="Times New Roman" w:hAnsi="Times New Roman"/>
          <w:sz w:val="22"/>
          <w:szCs w:val="22"/>
        </w:rPr>
        <w:t>) but insignificant at 5% level. External Debt (</w:t>
      </w:r>
      <w:proofErr w:type="spellStart"/>
      <w:r w:rsidRPr="00A96ACA">
        <w:rPr>
          <w:rFonts w:ascii="Times New Roman" w:hAnsi="Times New Roman"/>
          <w:sz w:val="22"/>
          <w:szCs w:val="22"/>
        </w:rPr>
        <w:t>lnED</w:t>
      </w:r>
      <w:proofErr w:type="spellEnd"/>
      <w:r w:rsidRPr="00A96ACA">
        <w:rPr>
          <w:rFonts w:ascii="Times New Roman" w:hAnsi="Times New Roman"/>
          <w:sz w:val="22"/>
          <w:szCs w:val="22"/>
        </w:rPr>
        <w:t xml:space="preserve">) also showed a positive and significant impact on </w:t>
      </w:r>
      <w:r w:rsidRPr="00A96ACA">
        <w:rPr>
          <w:rFonts w:ascii="Times New Roman" w:hAnsi="Times New Roman" w:cs="Times New Roman"/>
          <w:sz w:val="22"/>
          <w:szCs w:val="22"/>
        </w:rPr>
        <w:t>industrial sector output performance. A unit increase in the country’s external debt</w:t>
      </w:r>
      <w:r w:rsidRPr="00A96ACA">
        <w:rPr>
          <w:rFonts w:ascii="Times New Roman" w:hAnsi="Times New Roman"/>
          <w:sz w:val="22"/>
          <w:szCs w:val="22"/>
        </w:rPr>
        <w:t xml:space="preserve"> increase the </w:t>
      </w:r>
      <w:r w:rsidRPr="00A96ACA">
        <w:rPr>
          <w:rFonts w:ascii="Times New Roman" w:hAnsi="Times New Roman" w:cs="Times New Roman"/>
          <w:sz w:val="22"/>
          <w:szCs w:val="22"/>
        </w:rPr>
        <w:t xml:space="preserve">industrial sector output performance by 0.111205 and is significant at 5 % level since </w:t>
      </w:r>
      <w:r w:rsidRPr="00A96ACA">
        <w:rPr>
          <w:rFonts w:ascii="Times New Roman" w:hAnsi="Times New Roman"/>
          <w:sz w:val="22"/>
          <w:szCs w:val="22"/>
        </w:rPr>
        <w:t xml:space="preserve">its probability value of </w:t>
      </w:r>
      <w:r w:rsidRPr="00A96ACA">
        <w:rPr>
          <w:rFonts w:ascii="Times New Roman" w:hAnsi="Times New Roman" w:cs="Times New Roman"/>
          <w:sz w:val="22"/>
          <w:szCs w:val="22"/>
        </w:rPr>
        <w:t>0.0126</w:t>
      </w:r>
      <w:r w:rsidRPr="00A96ACA">
        <w:rPr>
          <w:rFonts w:ascii="Times New Roman" w:hAnsi="Times New Roman"/>
          <w:sz w:val="22"/>
          <w:szCs w:val="22"/>
        </w:rPr>
        <w:t xml:space="preserve"> is less than 5%. Debt Servicing Payment (</w:t>
      </w:r>
      <w:proofErr w:type="spellStart"/>
      <w:r w:rsidRPr="00A96ACA">
        <w:rPr>
          <w:rFonts w:ascii="Times New Roman" w:hAnsi="Times New Roman"/>
          <w:sz w:val="22"/>
          <w:szCs w:val="22"/>
        </w:rPr>
        <w:t>lnDSP</w:t>
      </w:r>
      <w:proofErr w:type="spellEnd"/>
      <w:r w:rsidRPr="00A96ACA">
        <w:rPr>
          <w:rFonts w:ascii="Times New Roman" w:hAnsi="Times New Roman"/>
          <w:sz w:val="22"/>
          <w:szCs w:val="22"/>
        </w:rPr>
        <w:t xml:space="preserve">) revealed that instantaneously, one percentage change in DSP increases MSO by </w:t>
      </w:r>
      <w:r w:rsidRPr="00A96ACA">
        <w:rPr>
          <w:rFonts w:ascii="Times New Roman" w:hAnsi="Times New Roman" w:cs="Times New Roman"/>
          <w:sz w:val="22"/>
          <w:szCs w:val="22"/>
        </w:rPr>
        <w:t>0.050479</w:t>
      </w:r>
      <w:r w:rsidRPr="00A96ACA">
        <w:rPr>
          <w:rFonts w:ascii="Times New Roman" w:hAnsi="Times New Roman"/>
          <w:sz w:val="22"/>
          <w:szCs w:val="22"/>
        </w:rPr>
        <w:t xml:space="preserve">%. This result confirms the theoretical expectation. </w:t>
      </w:r>
    </w:p>
    <w:p w14:paraId="79037AB7" w14:textId="77777777" w:rsidR="00DA5AE9" w:rsidRDefault="00DA5AE9" w:rsidP="00D8206B">
      <w:pPr>
        <w:spacing w:line="276" w:lineRule="auto"/>
        <w:jc w:val="both"/>
        <w:rPr>
          <w:rFonts w:ascii="Times New Roman" w:hAnsi="Times New Roman" w:cs="Times New Roman"/>
          <w:b/>
          <w:bCs/>
          <w:sz w:val="22"/>
          <w:szCs w:val="22"/>
        </w:rPr>
      </w:pPr>
    </w:p>
    <w:p w14:paraId="2FE61A46" w14:textId="7EC2249C" w:rsidR="00D8206B" w:rsidRPr="00A96ACA" w:rsidRDefault="00D8206B" w:rsidP="00D8206B">
      <w:pPr>
        <w:spacing w:line="276" w:lineRule="auto"/>
        <w:jc w:val="both"/>
        <w:rPr>
          <w:rFonts w:ascii="Times New Roman" w:hAnsi="Times New Roman" w:cs="Times New Roman"/>
          <w:b/>
          <w:bCs/>
          <w:sz w:val="22"/>
          <w:szCs w:val="22"/>
        </w:rPr>
      </w:pPr>
      <w:r w:rsidRPr="00A96ACA">
        <w:rPr>
          <w:rFonts w:ascii="Times New Roman" w:hAnsi="Times New Roman" w:cs="Times New Roman"/>
          <w:b/>
          <w:bCs/>
          <w:sz w:val="22"/>
          <w:szCs w:val="22"/>
        </w:rPr>
        <w:t>4.2</w:t>
      </w:r>
      <w:r w:rsidRPr="00A96ACA">
        <w:rPr>
          <w:rFonts w:ascii="Times New Roman" w:hAnsi="Times New Roman" w:cs="Times New Roman"/>
          <w:b/>
          <w:bCs/>
          <w:sz w:val="22"/>
          <w:szCs w:val="22"/>
        </w:rPr>
        <w:tab/>
        <w:t>Discussion of Findings</w:t>
      </w:r>
    </w:p>
    <w:p w14:paraId="298AB112"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 xml:space="preserve">The result showed that domestic debt has a positive but statistically insignificant relationship with industrial sector performance indicates that while increased government borrowing might provide some support to the industrial sector, the effect is not strong enough to be considered meaningful. This implies that domestic borrowing has not been effectively channeled into industrial development. Nigeria’s industrial sector faces persistent challenges such as inadequate infrastructure, power shortages, and limited access to long-term credit. These structural weaknesses may explain the insignificant relationship observed. </w:t>
      </w:r>
      <w:r>
        <w:rPr>
          <w:rFonts w:ascii="Times New Roman" w:hAnsi="Times New Roman" w:cs="Times New Roman"/>
          <w:sz w:val="22"/>
          <w:szCs w:val="22"/>
        </w:rPr>
        <w:t xml:space="preserve">Adebayo and Olawale </w:t>
      </w:r>
      <w:r w:rsidRPr="00A96ACA">
        <w:rPr>
          <w:rFonts w:ascii="Times New Roman" w:hAnsi="Times New Roman" w:cs="Times New Roman"/>
          <w:sz w:val="22"/>
          <w:szCs w:val="22"/>
        </w:rPr>
        <w:t>(20</w:t>
      </w:r>
      <w:r>
        <w:rPr>
          <w:rFonts w:ascii="Times New Roman" w:hAnsi="Times New Roman" w:cs="Times New Roman"/>
          <w:sz w:val="22"/>
          <w:szCs w:val="22"/>
        </w:rPr>
        <w:t>22</w:t>
      </w:r>
      <w:r w:rsidRPr="00A96ACA">
        <w:rPr>
          <w:rFonts w:ascii="Times New Roman" w:hAnsi="Times New Roman" w:cs="Times New Roman"/>
          <w:sz w:val="22"/>
          <w:szCs w:val="22"/>
        </w:rPr>
        <w:t xml:space="preserve">) found similar results, noting that domestic debt had no </w:t>
      </w:r>
      <w:r w:rsidRPr="00A96ACA">
        <w:rPr>
          <w:rFonts w:ascii="Times New Roman" w:hAnsi="Times New Roman" w:cs="Times New Roman"/>
          <w:sz w:val="22"/>
          <w:szCs w:val="22"/>
        </w:rPr>
        <w:lastRenderedPageBreak/>
        <w:t xml:space="preserve">meaningful effect on industrial output because borrowed funds were mainly used to finance recurrent expenditures rather than capital projects. Likewise, Ajayi and </w:t>
      </w:r>
      <w:r>
        <w:rPr>
          <w:rFonts w:ascii="Times New Roman" w:hAnsi="Times New Roman" w:cs="Times New Roman"/>
          <w:sz w:val="22"/>
          <w:szCs w:val="22"/>
        </w:rPr>
        <w:t>Bakare</w:t>
      </w:r>
      <w:r w:rsidRPr="00A96ACA">
        <w:rPr>
          <w:rFonts w:ascii="Times New Roman" w:hAnsi="Times New Roman" w:cs="Times New Roman"/>
          <w:sz w:val="22"/>
          <w:szCs w:val="22"/>
        </w:rPr>
        <w:t xml:space="preserve"> (2020) reported that the misapplication of borrowed funds has hindered industrial growth. In contrast, </w:t>
      </w:r>
      <w:r>
        <w:rPr>
          <w:rFonts w:ascii="Times New Roman" w:hAnsi="Times New Roman" w:cs="Times New Roman"/>
          <w:sz w:val="22"/>
          <w:szCs w:val="22"/>
        </w:rPr>
        <w:t xml:space="preserve">Adebayo and Ojo </w:t>
      </w:r>
      <w:r w:rsidRPr="00A96ACA">
        <w:rPr>
          <w:rFonts w:ascii="Times New Roman" w:hAnsi="Times New Roman" w:cs="Times New Roman"/>
          <w:sz w:val="22"/>
          <w:szCs w:val="22"/>
        </w:rPr>
        <w:t>(2021) emphasized that domestic borrowing can spur industrialization when funds are directed toward infrastructural development and manufacturing incentives. The findings therefore highlight the need for targeted policies to ensure that domestic debt supports productive investment rather than consumption.</w:t>
      </w:r>
    </w:p>
    <w:p w14:paraId="48B7B783"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 xml:space="preserve">The study also found that external debt has no significant relationship with industrial sector performance in Nigeria. The absence of a significant relationship between external debt and industrial output implies that foreign loans have not effectively supported Nigeria’s industrialization efforts. This could be attributed to the lack of alignment between external loan objectives and industrial policy priorities. </w:t>
      </w:r>
      <w:proofErr w:type="spellStart"/>
      <w:r w:rsidRPr="00A96ACA">
        <w:rPr>
          <w:rFonts w:ascii="Times New Roman" w:hAnsi="Times New Roman" w:cs="Times New Roman"/>
          <w:sz w:val="22"/>
          <w:szCs w:val="22"/>
        </w:rPr>
        <w:t>Onyele</w:t>
      </w:r>
      <w:proofErr w:type="spellEnd"/>
      <w:r w:rsidRPr="00A96ACA">
        <w:rPr>
          <w:rFonts w:ascii="Times New Roman" w:hAnsi="Times New Roman" w:cs="Times New Roman"/>
          <w:sz w:val="22"/>
          <w:szCs w:val="22"/>
        </w:rPr>
        <w:t xml:space="preserve"> and Nwoko (2016) found that external debt had an insignificant impact on industrial performance because borrowed funds were often mismanaged or diverted. Ayadi, and Ayadi (2008) also reported that external loans failed to boost industrialization due to weak institutional oversight. On the contrary, Ogun</w:t>
      </w:r>
      <w:r>
        <w:rPr>
          <w:rFonts w:ascii="Times New Roman" w:hAnsi="Times New Roman" w:cs="Times New Roman"/>
          <w:sz w:val="22"/>
          <w:szCs w:val="22"/>
        </w:rPr>
        <w:t>biyi and Adeyemi</w:t>
      </w:r>
      <w:r w:rsidRPr="00A96ACA">
        <w:rPr>
          <w:rFonts w:ascii="Times New Roman" w:hAnsi="Times New Roman" w:cs="Times New Roman"/>
          <w:sz w:val="22"/>
          <w:szCs w:val="22"/>
        </w:rPr>
        <w:t xml:space="preserve"> (2020) suggested that concessional loans targeted at industrial infrastructure can yield positive results. The insignificance observed in this study thus underscores the inefficiency in external debt management and its limited spillover effects on industrial productivity.</w:t>
      </w:r>
    </w:p>
    <w:p w14:paraId="4B07EA5D" w14:textId="77777777" w:rsidR="00D8206B" w:rsidRPr="00A96ACA" w:rsidRDefault="00D8206B" w:rsidP="00D8206B">
      <w:pPr>
        <w:spacing w:after="0" w:line="276" w:lineRule="auto"/>
        <w:jc w:val="both"/>
        <w:rPr>
          <w:rFonts w:ascii="Times New Roman" w:hAnsi="Times New Roman" w:cs="Times New Roman"/>
          <w:sz w:val="22"/>
          <w:szCs w:val="22"/>
        </w:rPr>
      </w:pPr>
      <w:r w:rsidRPr="00A96ACA">
        <w:rPr>
          <w:rFonts w:ascii="Times New Roman" w:hAnsi="Times New Roman" w:cs="Times New Roman"/>
          <w:sz w:val="22"/>
          <w:szCs w:val="22"/>
        </w:rPr>
        <w:t xml:space="preserve">The study found a significant negative relationship between the debt-to-GDP ratio and industrial sector performance of the ARDL model, implying that higher debt burdens relative to GDP have constrained Nigeria’s industrial growth. A high debt-to-GDP ratio signals fiscal stress, limits capital expenditure, and raises uncertainty about macroeconomic stability. This finding corroborates Reinhart and Rogoff (2010), who reported that when public debt exceeds sustainable thresholds, it slows down economic growth and investment. Ajayi and Afolabi (2020) similarly observed that Nigeria’s rising debt-to-GDP ratio has curtailed manufacturing output by diverting public resources toward debt servicing. However, </w:t>
      </w:r>
      <w:proofErr w:type="spellStart"/>
      <w:r w:rsidRPr="00A96ACA">
        <w:rPr>
          <w:rFonts w:ascii="Times New Roman" w:hAnsi="Times New Roman" w:cs="Times New Roman"/>
          <w:sz w:val="22"/>
          <w:szCs w:val="22"/>
        </w:rPr>
        <w:t>Checherita</w:t>
      </w:r>
      <w:proofErr w:type="spellEnd"/>
      <w:r w:rsidRPr="00A96ACA">
        <w:rPr>
          <w:rFonts w:ascii="Times New Roman" w:hAnsi="Times New Roman" w:cs="Times New Roman"/>
          <w:sz w:val="22"/>
          <w:szCs w:val="22"/>
        </w:rPr>
        <w:t>-Westphal and Rother (2012) noted that moderate debt levels can still enhance growth if managed prudently. The negative association found here reflects Nigeria’s fiscal fragility and the adverse impact of debt accumulation on industrial productivity.</w:t>
      </w:r>
    </w:p>
    <w:p w14:paraId="47CDA6D8" w14:textId="309E8BA3" w:rsidR="00D8206B" w:rsidRPr="00A96ACA" w:rsidRDefault="00D8206B" w:rsidP="00D8206B">
      <w:pPr>
        <w:spacing w:line="276" w:lineRule="auto"/>
        <w:jc w:val="center"/>
        <w:rPr>
          <w:rFonts w:ascii="Times New Roman" w:hAnsi="Times New Roman" w:cs="Times New Roman"/>
          <w:b/>
          <w:bCs/>
          <w:sz w:val="22"/>
          <w:szCs w:val="22"/>
        </w:rPr>
      </w:pPr>
      <w:r w:rsidRPr="00A96ACA">
        <w:rPr>
          <w:rFonts w:ascii="Times New Roman" w:hAnsi="Times New Roman" w:cs="Times New Roman"/>
          <w:b/>
          <w:bCs/>
          <w:sz w:val="22"/>
          <w:szCs w:val="22"/>
        </w:rPr>
        <w:t>5.0</w:t>
      </w:r>
      <w:r w:rsidRPr="00A96ACA">
        <w:rPr>
          <w:rFonts w:ascii="Times New Roman" w:hAnsi="Times New Roman" w:cs="Times New Roman"/>
          <w:b/>
          <w:bCs/>
          <w:sz w:val="22"/>
          <w:szCs w:val="22"/>
        </w:rPr>
        <w:tab/>
        <w:t>Conclusion and Recommendations</w:t>
      </w:r>
    </w:p>
    <w:p w14:paraId="37868B1B" w14:textId="77777777" w:rsidR="00D8206B" w:rsidRPr="00A96ACA" w:rsidRDefault="00D8206B" w:rsidP="00D8206B">
      <w:pPr>
        <w:spacing w:line="276" w:lineRule="auto"/>
        <w:jc w:val="both"/>
        <w:rPr>
          <w:rFonts w:ascii="Times New Roman" w:hAnsi="Times New Roman" w:cs="Times New Roman"/>
          <w:sz w:val="22"/>
          <w:szCs w:val="22"/>
        </w:rPr>
      </w:pPr>
      <w:r w:rsidRPr="00A96ACA">
        <w:rPr>
          <w:rFonts w:ascii="Times New Roman" w:hAnsi="Times New Roman" w:cs="Times New Roman"/>
          <w:b/>
          <w:bCs/>
          <w:sz w:val="22"/>
          <w:szCs w:val="22"/>
        </w:rPr>
        <w:t>5.1</w:t>
      </w:r>
      <w:r w:rsidRPr="00A96ACA">
        <w:rPr>
          <w:rFonts w:ascii="Times New Roman" w:hAnsi="Times New Roman" w:cs="Times New Roman"/>
          <w:b/>
          <w:bCs/>
          <w:sz w:val="22"/>
          <w:szCs w:val="22"/>
        </w:rPr>
        <w:tab/>
        <w:t>Conclusion</w:t>
      </w:r>
    </w:p>
    <w:p w14:paraId="3F934E18" w14:textId="77777777" w:rsidR="00D8206B" w:rsidRPr="006D01A6" w:rsidRDefault="00D8206B" w:rsidP="00D8206B">
      <w:pPr>
        <w:spacing w:after="0" w:line="276" w:lineRule="auto"/>
        <w:jc w:val="both"/>
        <w:rPr>
          <w:rFonts w:ascii="Times New Roman" w:eastAsia="Calibri" w:hAnsi="Times New Roman" w:cs="Times New Roman"/>
          <w:sz w:val="22"/>
          <w:szCs w:val="22"/>
        </w:rPr>
      </w:pPr>
      <w:r w:rsidRPr="006D01A6">
        <w:rPr>
          <w:rFonts w:ascii="Times New Roman" w:eastAsia="Calibri" w:hAnsi="Times New Roman" w:cs="Times New Roman"/>
          <w:sz w:val="22"/>
          <w:szCs w:val="22"/>
        </w:rPr>
        <w:t>The findings of this study underscore the complex dynamics between public debt and sectoral performance in Nigeria. While debt can be a vital instrument for stimulating economic growth when properly managed and channeled into productive ventures, Nigeria’s experience suggests otherwise. The negative and significant relationship between domestic debt and agricultural sector performance highlights the inefficiency in the utilization of borrowed funds and the dominance of debt servicing over capital expenditure.</w:t>
      </w:r>
    </w:p>
    <w:p w14:paraId="1127CCE8" w14:textId="77777777" w:rsidR="00D8206B" w:rsidRPr="006D01A6" w:rsidRDefault="00D8206B" w:rsidP="00D8206B">
      <w:pPr>
        <w:spacing w:after="0" w:line="276" w:lineRule="auto"/>
        <w:jc w:val="both"/>
        <w:rPr>
          <w:rFonts w:ascii="Times New Roman" w:eastAsia="Calibri" w:hAnsi="Times New Roman" w:cs="Times New Roman"/>
          <w:sz w:val="22"/>
          <w:szCs w:val="22"/>
        </w:rPr>
      </w:pPr>
      <w:r w:rsidRPr="006D01A6">
        <w:rPr>
          <w:rFonts w:ascii="Times New Roman" w:eastAsia="Calibri" w:hAnsi="Times New Roman" w:cs="Times New Roman"/>
          <w:sz w:val="22"/>
          <w:szCs w:val="22"/>
        </w:rPr>
        <w:t>The results further show that both external debt and high debt-to-GDP ratios exert harmful effects on key productive sectors such as agriculture, industry, and services. This implies that the country’s debt management strategies have not effectively supported sustainable sectoral development. Nigeria’s debt accumulation appears to have been driven largely by consumption and recurrent spending rather than investments that generate future income streams.</w:t>
      </w:r>
    </w:p>
    <w:p w14:paraId="3EECA01F" w14:textId="77777777" w:rsidR="00D8206B" w:rsidRPr="006D01A6" w:rsidRDefault="00D8206B" w:rsidP="00D8206B">
      <w:pPr>
        <w:spacing w:after="0" w:line="276" w:lineRule="auto"/>
        <w:jc w:val="both"/>
        <w:rPr>
          <w:rFonts w:ascii="Times New Roman" w:eastAsia="Calibri" w:hAnsi="Times New Roman" w:cs="Times New Roman"/>
          <w:sz w:val="22"/>
          <w:szCs w:val="22"/>
        </w:rPr>
      </w:pPr>
      <w:r w:rsidRPr="006D01A6">
        <w:rPr>
          <w:rFonts w:ascii="Times New Roman" w:eastAsia="Calibri" w:hAnsi="Times New Roman" w:cs="Times New Roman"/>
          <w:sz w:val="22"/>
          <w:szCs w:val="22"/>
        </w:rPr>
        <w:t>Therefore, the overarching conclusion is that Nigeria’s public debt, in its current structure and composition, has become a drag rather than a driver of sectoral performance, underscoring the need for a strategic shift toward debt sustainability, fiscal discipline, and productive allocation of borrowed resources.</w:t>
      </w:r>
    </w:p>
    <w:p w14:paraId="16C795D0" w14:textId="77777777" w:rsidR="00D8206B" w:rsidRPr="006D01A6" w:rsidRDefault="00D8206B" w:rsidP="00D8206B">
      <w:pPr>
        <w:spacing w:before="100" w:beforeAutospacing="1" w:after="100" w:afterAutospacing="1" w:line="276" w:lineRule="auto"/>
        <w:jc w:val="both"/>
        <w:outlineLvl w:val="1"/>
        <w:rPr>
          <w:rFonts w:ascii="Times New Roman" w:eastAsia="Times New Roman" w:hAnsi="Times New Roman" w:cs="Times New Roman"/>
          <w:b/>
          <w:bCs/>
          <w:kern w:val="0"/>
          <w:sz w:val="22"/>
          <w:szCs w:val="22"/>
          <w14:ligatures w14:val="none"/>
        </w:rPr>
      </w:pPr>
      <w:r w:rsidRPr="006D01A6">
        <w:rPr>
          <w:rFonts w:ascii="Times New Roman" w:eastAsia="Times New Roman" w:hAnsi="Times New Roman" w:cs="Times New Roman"/>
          <w:b/>
          <w:bCs/>
          <w:kern w:val="0"/>
          <w:sz w:val="22"/>
          <w:szCs w:val="22"/>
          <w14:ligatures w14:val="none"/>
        </w:rPr>
        <w:t>5.</w:t>
      </w:r>
      <w:r w:rsidRPr="00A96ACA">
        <w:rPr>
          <w:rFonts w:ascii="Times New Roman" w:eastAsia="Times New Roman" w:hAnsi="Times New Roman" w:cs="Times New Roman"/>
          <w:b/>
          <w:bCs/>
          <w:kern w:val="0"/>
          <w:sz w:val="22"/>
          <w:szCs w:val="22"/>
          <w14:ligatures w14:val="none"/>
        </w:rPr>
        <w:t>2</w:t>
      </w:r>
      <w:r w:rsidRPr="00A96ACA">
        <w:rPr>
          <w:rFonts w:ascii="Times New Roman" w:eastAsia="Times New Roman" w:hAnsi="Times New Roman" w:cs="Times New Roman"/>
          <w:b/>
          <w:bCs/>
          <w:kern w:val="0"/>
          <w:sz w:val="22"/>
          <w:szCs w:val="22"/>
          <w14:ligatures w14:val="none"/>
        </w:rPr>
        <w:tab/>
      </w:r>
      <w:r w:rsidRPr="006D01A6">
        <w:rPr>
          <w:rFonts w:ascii="Times New Roman" w:eastAsia="Times New Roman" w:hAnsi="Times New Roman" w:cs="Times New Roman"/>
          <w:b/>
          <w:bCs/>
          <w:kern w:val="0"/>
          <w:sz w:val="22"/>
          <w:szCs w:val="22"/>
          <w14:ligatures w14:val="none"/>
        </w:rPr>
        <w:t>Recommendations</w:t>
      </w:r>
    </w:p>
    <w:p w14:paraId="01CB0A28" w14:textId="77777777" w:rsidR="00D8206B" w:rsidRPr="006D01A6" w:rsidRDefault="00D8206B" w:rsidP="00D8206B">
      <w:pPr>
        <w:spacing w:after="0" w:line="276" w:lineRule="auto"/>
        <w:jc w:val="both"/>
        <w:rPr>
          <w:rFonts w:ascii="Times New Roman" w:eastAsia="Calibri" w:hAnsi="Times New Roman" w:cs="Times New Roman"/>
          <w:sz w:val="22"/>
          <w:szCs w:val="22"/>
        </w:rPr>
      </w:pPr>
      <w:r w:rsidRPr="006D01A6">
        <w:rPr>
          <w:rFonts w:ascii="Times New Roman" w:eastAsia="Calibri" w:hAnsi="Times New Roman" w:cs="Times New Roman"/>
          <w:sz w:val="22"/>
          <w:szCs w:val="22"/>
        </w:rPr>
        <w:t>Based on the empirical findings and conclusions, the following policy recommendations are proposed:</w:t>
      </w:r>
    </w:p>
    <w:p w14:paraId="65515FD8" w14:textId="77777777" w:rsidR="00D8206B" w:rsidRPr="006D01A6" w:rsidRDefault="00D8206B" w:rsidP="00D8206B">
      <w:pPr>
        <w:numPr>
          <w:ilvl w:val="0"/>
          <w:numId w:val="33"/>
        </w:numPr>
        <w:spacing w:after="0" w:line="276" w:lineRule="auto"/>
        <w:contextualSpacing/>
        <w:jc w:val="both"/>
        <w:rPr>
          <w:rFonts w:ascii="Times New Roman" w:eastAsia="Calibri" w:hAnsi="Times New Roman" w:cs="Times New Roman"/>
          <w:sz w:val="22"/>
          <w:szCs w:val="22"/>
        </w:rPr>
      </w:pPr>
      <w:r w:rsidRPr="00A96ACA">
        <w:rPr>
          <w:rFonts w:ascii="Times New Roman" w:eastAsia="Calibri" w:hAnsi="Times New Roman" w:cs="Times New Roman"/>
          <w:sz w:val="22"/>
          <w:szCs w:val="22"/>
        </w:rPr>
        <w:t xml:space="preserve">The </w:t>
      </w:r>
      <w:r w:rsidRPr="006D01A6">
        <w:rPr>
          <w:rFonts w:ascii="Times New Roman" w:eastAsia="Calibri" w:hAnsi="Times New Roman" w:cs="Times New Roman"/>
          <w:sz w:val="22"/>
          <w:szCs w:val="22"/>
        </w:rPr>
        <w:t xml:space="preserve">Federal government of Nigeria should exercise caution when relying on domestic borrowing for industrial development. Industrial loans should be carefully targeted towards projects that improve manufacturing efficiency, technological innovation, and capital accumulation. Blanket borrowing without strategic allocation may fail to stimulate growth or enhance competitiveness. </w:t>
      </w:r>
    </w:p>
    <w:p w14:paraId="7DD6CDF7" w14:textId="77777777" w:rsidR="00D8206B" w:rsidRPr="006D01A6" w:rsidRDefault="00D8206B" w:rsidP="00D8206B">
      <w:pPr>
        <w:numPr>
          <w:ilvl w:val="0"/>
          <w:numId w:val="33"/>
        </w:numPr>
        <w:spacing w:after="0" w:line="276" w:lineRule="auto"/>
        <w:contextualSpacing/>
        <w:jc w:val="both"/>
        <w:rPr>
          <w:rFonts w:ascii="Times New Roman" w:eastAsia="Calibri" w:hAnsi="Times New Roman" w:cs="Times New Roman"/>
          <w:sz w:val="22"/>
          <w:szCs w:val="22"/>
        </w:rPr>
      </w:pPr>
      <w:r w:rsidRPr="006D01A6">
        <w:rPr>
          <w:rFonts w:ascii="Times New Roman" w:eastAsia="Calibri" w:hAnsi="Times New Roman" w:cs="Times New Roman"/>
          <w:sz w:val="22"/>
          <w:szCs w:val="22"/>
        </w:rPr>
        <w:t xml:space="preserve">The Federal government of Nigeria should critically evaluate the industrial sectors targeted by external loans, ensuring that borrowed funds are directed to projects with high potential for productivity enhancement, </w:t>
      </w:r>
      <w:r w:rsidRPr="006D01A6">
        <w:rPr>
          <w:rFonts w:ascii="Times New Roman" w:eastAsia="Calibri" w:hAnsi="Times New Roman" w:cs="Times New Roman"/>
          <w:sz w:val="22"/>
          <w:szCs w:val="22"/>
        </w:rPr>
        <w:lastRenderedPageBreak/>
        <w:t xml:space="preserve">technological adoption, and export capacity. Additionally, stricter monitoring mechanisms should be implemented to track the utilization of external debt and prevent inefficiencies. </w:t>
      </w:r>
    </w:p>
    <w:p w14:paraId="34A86E2C" w14:textId="77777777" w:rsidR="00D8206B" w:rsidRDefault="00D8206B" w:rsidP="00D8206B">
      <w:pPr>
        <w:numPr>
          <w:ilvl w:val="0"/>
          <w:numId w:val="33"/>
        </w:numPr>
        <w:spacing w:after="0" w:line="276" w:lineRule="auto"/>
        <w:contextualSpacing/>
        <w:jc w:val="both"/>
        <w:rPr>
          <w:rFonts w:ascii="Times New Roman" w:eastAsia="Calibri" w:hAnsi="Times New Roman" w:cs="Times New Roman"/>
          <w:sz w:val="22"/>
          <w:szCs w:val="22"/>
        </w:rPr>
      </w:pPr>
      <w:r w:rsidRPr="006D01A6">
        <w:rPr>
          <w:rFonts w:ascii="Times New Roman" w:eastAsia="Calibri" w:hAnsi="Times New Roman" w:cs="Times New Roman"/>
          <w:sz w:val="22"/>
          <w:szCs w:val="22"/>
        </w:rPr>
        <w:t xml:space="preserve">The significant relationship between debt-to-GDP ratio and industrial performance suggests the need for careful debt management to avoid crowding out industrial investments. The Federal government of Nigeria should maintain sustainable debt levels while ensuring that funds are channeled toward high-impact industrial projects. This includes financing infrastructure development, technology adoption, industrial parks, and capacity-building initiatives. </w:t>
      </w:r>
    </w:p>
    <w:p w14:paraId="3C976820" w14:textId="77777777" w:rsidR="00D8206B" w:rsidRDefault="00D8206B" w:rsidP="00D8206B">
      <w:pPr>
        <w:spacing w:after="0" w:line="276" w:lineRule="auto"/>
        <w:contextualSpacing/>
        <w:jc w:val="both"/>
        <w:rPr>
          <w:rFonts w:ascii="Times New Roman" w:eastAsia="Calibri" w:hAnsi="Times New Roman" w:cs="Times New Roman"/>
          <w:sz w:val="22"/>
          <w:szCs w:val="22"/>
        </w:rPr>
      </w:pPr>
    </w:p>
    <w:p w14:paraId="17825ACF" w14:textId="77777777" w:rsidR="00D8206B" w:rsidRDefault="00D8206B" w:rsidP="00D8206B">
      <w:pPr>
        <w:spacing w:after="0" w:line="276" w:lineRule="auto"/>
        <w:contextualSpacing/>
        <w:jc w:val="both"/>
        <w:rPr>
          <w:rFonts w:ascii="Times New Roman" w:eastAsia="Calibri" w:hAnsi="Times New Roman" w:cs="Times New Roman"/>
          <w:sz w:val="22"/>
          <w:szCs w:val="22"/>
        </w:rPr>
      </w:pPr>
    </w:p>
    <w:p w14:paraId="7EE2801A" w14:textId="77777777" w:rsidR="00D8206B" w:rsidRPr="000F41AF" w:rsidRDefault="00D8206B" w:rsidP="00D8206B">
      <w:pPr>
        <w:spacing w:after="0" w:line="276" w:lineRule="auto"/>
        <w:contextualSpacing/>
        <w:jc w:val="both"/>
        <w:rPr>
          <w:rFonts w:ascii="Times New Roman" w:eastAsia="Calibri" w:hAnsi="Times New Roman" w:cs="Times New Roman"/>
          <w:b/>
          <w:bCs/>
          <w:sz w:val="22"/>
          <w:szCs w:val="22"/>
        </w:rPr>
      </w:pPr>
      <w:r w:rsidRPr="000F41AF">
        <w:rPr>
          <w:rFonts w:ascii="Times New Roman" w:eastAsia="Calibri" w:hAnsi="Times New Roman" w:cs="Times New Roman"/>
          <w:b/>
          <w:bCs/>
          <w:sz w:val="22"/>
          <w:szCs w:val="22"/>
        </w:rPr>
        <w:t>References</w:t>
      </w:r>
    </w:p>
    <w:p w14:paraId="52595B88"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Adebayo, S., &amp; Olawale, K. (2022). Impact of public debt on renewable energy development in Nigeria: Evidence from ARDL modeling. </w:t>
      </w:r>
      <w:r w:rsidRPr="00606C74">
        <w:rPr>
          <w:rFonts w:ascii="Times New Roman" w:eastAsia="Calibri" w:hAnsi="Times New Roman" w:cs="Times New Roman"/>
          <w:i/>
          <w:iCs/>
          <w:sz w:val="22"/>
          <w:szCs w:val="22"/>
        </w:rPr>
        <w:t>Renewable Energy Journal</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75</w:t>
      </w:r>
      <w:r w:rsidRPr="00606C74">
        <w:rPr>
          <w:rFonts w:ascii="Times New Roman" w:eastAsia="Calibri" w:hAnsi="Times New Roman" w:cs="Times New Roman"/>
          <w:sz w:val="22"/>
          <w:szCs w:val="22"/>
        </w:rPr>
        <w:t xml:space="preserve">, 212-228. </w:t>
      </w:r>
    </w:p>
    <w:p w14:paraId="4919546F"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Adebayo, T., &amp; Ojo, A. (2021). Public debt and economic growth in Nigeria: An ARDL approach. </w:t>
      </w:r>
      <w:r w:rsidRPr="00606C74">
        <w:rPr>
          <w:rFonts w:ascii="Times New Roman" w:eastAsia="Calibri" w:hAnsi="Times New Roman" w:cs="Times New Roman"/>
          <w:i/>
          <w:iCs/>
          <w:sz w:val="22"/>
          <w:szCs w:val="22"/>
        </w:rPr>
        <w:t>Journal of African Economies</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30</w:t>
      </w:r>
      <w:r w:rsidRPr="00606C74">
        <w:rPr>
          <w:rFonts w:ascii="Times New Roman" w:eastAsia="Calibri" w:hAnsi="Times New Roman" w:cs="Times New Roman"/>
          <w:sz w:val="22"/>
          <w:szCs w:val="22"/>
        </w:rPr>
        <w:t xml:space="preserve">(2), 210-225. </w:t>
      </w:r>
    </w:p>
    <w:p w14:paraId="6BC912F8"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Adedeji, S. O. (2019). Debt </w:t>
      </w:r>
      <w:r w:rsidRPr="00A221A4">
        <w:rPr>
          <w:rFonts w:ascii="Times New Roman" w:eastAsia="Calibri" w:hAnsi="Times New Roman" w:cs="Times New Roman"/>
          <w:sz w:val="22"/>
          <w:szCs w:val="22"/>
        </w:rPr>
        <w:t>m</w:t>
      </w:r>
      <w:r w:rsidRPr="00606C74">
        <w:rPr>
          <w:rFonts w:ascii="Times New Roman" w:eastAsia="Calibri" w:hAnsi="Times New Roman" w:cs="Times New Roman"/>
          <w:sz w:val="22"/>
          <w:szCs w:val="22"/>
        </w:rPr>
        <w:t xml:space="preserve">anagement in Nigeria: Challenges and Prospects. </w:t>
      </w:r>
      <w:r w:rsidRPr="00606C74">
        <w:rPr>
          <w:rFonts w:ascii="Times New Roman" w:eastAsia="Calibri" w:hAnsi="Times New Roman" w:cs="Times New Roman"/>
          <w:i/>
          <w:iCs/>
          <w:sz w:val="22"/>
          <w:szCs w:val="22"/>
        </w:rPr>
        <w:t>African Development Review</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15</w:t>
      </w:r>
      <w:r w:rsidRPr="00606C74">
        <w:rPr>
          <w:rFonts w:ascii="Times New Roman" w:eastAsia="Calibri" w:hAnsi="Times New Roman" w:cs="Times New Roman"/>
          <w:sz w:val="22"/>
          <w:szCs w:val="22"/>
        </w:rPr>
        <w:t>(2), 45-60.</w:t>
      </w:r>
    </w:p>
    <w:p w14:paraId="1BE99C79" w14:textId="77777777" w:rsidR="00D8206B" w:rsidRPr="00606C74" w:rsidRDefault="00D8206B" w:rsidP="00D8206B">
      <w:pPr>
        <w:widowControl w:val="0"/>
        <w:shd w:val="clear" w:color="auto" w:fill="FFFFFF"/>
        <w:spacing w:after="0" w:line="240" w:lineRule="auto"/>
        <w:ind w:left="720" w:right="420" w:hanging="720"/>
        <w:jc w:val="both"/>
        <w:rPr>
          <w:rFonts w:ascii="Times New Roman" w:eastAsia="Times New Roman" w:hAnsi="Times New Roman" w:cs="Times New Roman"/>
          <w:color w:val="000000"/>
          <w:kern w:val="0"/>
          <w:sz w:val="22"/>
          <w:szCs w:val="22"/>
          <w14:ligatures w14:val="none"/>
        </w:rPr>
      </w:pPr>
      <w:r w:rsidRPr="00606C74">
        <w:rPr>
          <w:rFonts w:ascii="Times New Roman" w:eastAsia="Times New Roman" w:hAnsi="Times New Roman" w:cs="Times New Roman"/>
          <w:color w:val="000000"/>
          <w:kern w:val="0"/>
          <w:sz w:val="22"/>
          <w:szCs w:val="22"/>
          <w14:ligatures w14:val="none"/>
        </w:rPr>
        <w:t xml:space="preserve">Adegbite, T., Yusuf, M., &amp; Adebayo, R. (2021). Public debt, fiscal sustainability, and agricultural sector growth in Nigeria. </w:t>
      </w:r>
      <w:r w:rsidRPr="00606C74">
        <w:rPr>
          <w:rFonts w:ascii="Times New Roman" w:eastAsia="Times New Roman" w:hAnsi="Times New Roman" w:cs="Times New Roman"/>
          <w:i/>
          <w:iCs/>
          <w:color w:val="000000"/>
          <w:kern w:val="0"/>
          <w:sz w:val="22"/>
          <w:szCs w:val="22"/>
          <w14:ligatures w14:val="none"/>
        </w:rPr>
        <w:t>African Journal of Economic Policy</w:t>
      </w:r>
      <w:r w:rsidRPr="00606C74">
        <w:rPr>
          <w:rFonts w:ascii="Times New Roman" w:eastAsia="Times New Roman" w:hAnsi="Times New Roman" w:cs="Times New Roman"/>
          <w:color w:val="000000"/>
          <w:kern w:val="0"/>
          <w:sz w:val="22"/>
          <w:szCs w:val="22"/>
          <w14:ligatures w14:val="none"/>
        </w:rPr>
        <w:t xml:space="preserve">, </w:t>
      </w:r>
      <w:r w:rsidRPr="00606C74">
        <w:rPr>
          <w:rFonts w:ascii="Times New Roman" w:eastAsia="Times New Roman" w:hAnsi="Times New Roman" w:cs="Times New Roman"/>
          <w:i/>
          <w:iCs/>
          <w:color w:val="000000"/>
          <w:kern w:val="0"/>
          <w:sz w:val="22"/>
          <w:szCs w:val="22"/>
          <w14:ligatures w14:val="none"/>
        </w:rPr>
        <w:t>8</w:t>
      </w:r>
      <w:r w:rsidRPr="00606C74">
        <w:rPr>
          <w:rFonts w:ascii="Times New Roman" w:eastAsia="Times New Roman" w:hAnsi="Times New Roman" w:cs="Times New Roman"/>
          <w:color w:val="000000"/>
          <w:kern w:val="0"/>
          <w:sz w:val="22"/>
          <w:szCs w:val="22"/>
          <w14:ligatures w14:val="none"/>
        </w:rPr>
        <w:t>(2), 112-130.</w:t>
      </w:r>
    </w:p>
    <w:p w14:paraId="6C24827B"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Ajayi, L., &amp; Bakare, A. (2021). The impact of public debt on healthcare expenditure in Nigeria. </w:t>
      </w:r>
      <w:r w:rsidRPr="00606C74">
        <w:rPr>
          <w:rFonts w:ascii="Times New Roman" w:eastAsia="Calibri" w:hAnsi="Times New Roman" w:cs="Times New Roman"/>
          <w:i/>
          <w:iCs/>
          <w:sz w:val="22"/>
          <w:szCs w:val="22"/>
        </w:rPr>
        <w:t>Health Economics Review,</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32</w:t>
      </w:r>
      <w:r w:rsidRPr="00606C74">
        <w:rPr>
          <w:rFonts w:ascii="Times New Roman" w:eastAsia="Calibri" w:hAnsi="Times New Roman" w:cs="Times New Roman"/>
          <w:sz w:val="22"/>
          <w:szCs w:val="22"/>
        </w:rPr>
        <w:t>(2), 178-192.</w:t>
      </w:r>
    </w:p>
    <w:p w14:paraId="4FAE8F2F" w14:textId="77777777" w:rsidR="00D8206B" w:rsidRPr="00606C74" w:rsidRDefault="00D8206B" w:rsidP="00D8206B">
      <w:pPr>
        <w:widowControl w:val="0"/>
        <w:shd w:val="clear" w:color="auto" w:fill="FFFFFF"/>
        <w:spacing w:after="0" w:line="240" w:lineRule="auto"/>
        <w:ind w:left="720" w:right="420" w:hanging="720"/>
        <w:jc w:val="both"/>
        <w:rPr>
          <w:rFonts w:ascii="Times New Roman" w:eastAsia="Times New Roman" w:hAnsi="Times New Roman" w:cs="Times New Roman"/>
          <w:color w:val="000000"/>
          <w:kern w:val="0"/>
          <w:sz w:val="22"/>
          <w:szCs w:val="22"/>
          <w14:ligatures w14:val="none"/>
        </w:rPr>
      </w:pPr>
      <w:r w:rsidRPr="00606C74">
        <w:rPr>
          <w:rFonts w:ascii="Times New Roman" w:eastAsia="Times New Roman" w:hAnsi="Times New Roman" w:cs="Times New Roman"/>
          <w:color w:val="000000"/>
          <w:kern w:val="0"/>
          <w:sz w:val="22"/>
          <w:szCs w:val="22"/>
          <w14:ligatures w14:val="none"/>
        </w:rPr>
        <w:t xml:space="preserve">Ajibola, F., &amp; Adebayo, L. (2020). Analyzing the impact of debt servicing on Nigeria’s service sector growth. </w:t>
      </w:r>
      <w:r w:rsidRPr="00606C74">
        <w:rPr>
          <w:rFonts w:ascii="Times New Roman" w:eastAsia="Times New Roman" w:hAnsi="Times New Roman" w:cs="Times New Roman"/>
          <w:i/>
          <w:iCs/>
          <w:color w:val="000000"/>
          <w:kern w:val="0"/>
          <w:sz w:val="22"/>
          <w:szCs w:val="22"/>
          <w14:ligatures w14:val="none"/>
        </w:rPr>
        <w:t>West African Economic Review</w:t>
      </w:r>
      <w:r w:rsidRPr="00606C74">
        <w:rPr>
          <w:rFonts w:ascii="Times New Roman" w:eastAsia="Times New Roman" w:hAnsi="Times New Roman" w:cs="Times New Roman"/>
          <w:color w:val="000000"/>
          <w:kern w:val="0"/>
          <w:sz w:val="22"/>
          <w:szCs w:val="22"/>
          <w14:ligatures w14:val="none"/>
        </w:rPr>
        <w:t xml:space="preserve">, </w:t>
      </w:r>
      <w:r w:rsidRPr="00606C74">
        <w:rPr>
          <w:rFonts w:ascii="Times New Roman" w:eastAsia="Times New Roman" w:hAnsi="Times New Roman" w:cs="Times New Roman"/>
          <w:i/>
          <w:iCs/>
          <w:color w:val="000000"/>
          <w:kern w:val="0"/>
          <w:sz w:val="22"/>
          <w:szCs w:val="22"/>
          <w14:ligatures w14:val="none"/>
        </w:rPr>
        <w:t>17</w:t>
      </w:r>
      <w:r w:rsidRPr="00606C74">
        <w:rPr>
          <w:rFonts w:ascii="Times New Roman" w:eastAsia="Times New Roman" w:hAnsi="Times New Roman" w:cs="Times New Roman"/>
          <w:color w:val="000000"/>
          <w:kern w:val="0"/>
          <w:sz w:val="22"/>
          <w:szCs w:val="22"/>
          <w14:ligatures w14:val="none"/>
        </w:rPr>
        <w:t>(1), 290-305.</w:t>
      </w:r>
    </w:p>
    <w:p w14:paraId="76B7EA7E"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Alesina, A., &amp; Ardagna, S. (2010). Large Changes in Fiscal Policy: Taxes versus Spending. NBER Working Paper No. 15438.</w:t>
      </w:r>
    </w:p>
    <w:p w14:paraId="08ABDD9C"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Ayadi, F. S., &amp; Ayadi, F. O. (2008). The impact of external debt on economic growth: A comparative study of Nigeria and South Africa. </w:t>
      </w:r>
      <w:r w:rsidRPr="00606C74">
        <w:rPr>
          <w:rFonts w:ascii="Times New Roman" w:eastAsia="Calibri" w:hAnsi="Times New Roman" w:cs="Times New Roman"/>
          <w:i/>
          <w:iCs/>
          <w:sz w:val="22"/>
          <w:szCs w:val="22"/>
        </w:rPr>
        <w:t>Journal of Sustainable Development in Africa,</w:t>
      </w:r>
      <w:r w:rsidRPr="00606C74">
        <w:rPr>
          <w:rFonts w:ascii="Times New Roman" w:eastAsia="Calibri" w:hAnsi="Times New Roman" w:cs="Times New Roman"/>
          <w:sz w:val="22"/>
          <w:szCs w:val="22"/>
        </w:rPr>
        <w:t xml:space="preserve"> 10(3), 234-264.</w:t>
      </w:r>
    </w:p>
    <w:p w14:paraId="44616AA2" w14:textId="77777777" w:rsidR="00D8206B" w:rsidRPr="00606C74" w:rsidRDefault="00D8206B" w:rsidP="00D8206B">
      <w:pPr>
        <w:spacing w:after="0" w:line="240" w:lineRule="auto"/>
        <w:ind w:left="720" w:right="195"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Brynjolfsson, E., &amp; McAfee, A. (2014). </w:t>
      </w:r>
      <w:r w:rsidRPr="00606C74">
        <w:rPr>
          <w:rFonts w:ascii="Times New Roman" w:eastAsia="Calibri" w:hAnsi="Times New Roman" w:cs="Times New Roman"/>
          <w:i/>
          <w:iCs/>
          <w:sz w:val="22"/>
          <w:szCs w:val="22"/>
        </w:rPr>
        <w:t xml:space="preserve">The </w:t>
      </w:r>
      <w:r w:rsidRPr="00A221A4">
        <w:rPr>
          <w:rFonts w:ascii="Times New Roman" w:eastAsia="Calibri" w:hAnsi="Times New Roman" w:cs="Times New Roman"/>
          <w:i/>
          <w:iCs/>
          <w:sz w:val="22"/>
          <w:szCs w:val="22"/>
        </w:rPr>
        <w:t>second machine age</w:t>
      </w:r>
      <w:r w:rsidRPr="00606C74">
        <w:rPr>
          <w:rFonts w:ascii="Times New Roman" w:eastAsia="Calibri" w:hAnsi="Times New Roman" w:cs="Times New Roman"/>
          <w:i/>
          <w:iCs/>
          <w:sz w:val="22"/>
          <w:szCs w:val="22"/>
        </w:rPr>
        <w:t xml:space="preserve">: Work, </w:t>
      </w:r>
      <w:r w:rsidRPr="00A221A4">
        <w:rPr>
          <w:rFonts w:ascii="Times New Roman" w:eastAsia="Calibri" w:hAnsi="Times New Roman" w:cs="Times New Roman"/>
          <w:i/>
          <w:iCs/>
          <w:sz w:val="22"/>
          <w:szCs w:val="22"/>
        </w:rPr>
        <w:t>progress, and prosperity in a time of brilliant technologies</w:t>
      </w:r>
      <w:r w:rsidRPr="00606C74">
        <w:rPr>
          <w:rFonts w:ascii="Times New Roman" w:eastAsia="Calibri" w:hAnsi="Times New Roman" w:cs="Times New Roman"/>
          <w:sz w:val="22"/>
          <w:szCs w:val="22"/>
        </w:rPr>
        <w:t>. W. W. Norton &amp; Company.</w:t>
      </w:r>
    </w:p>
    <w:p w14:paraId="6844B532"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Central Bank of Nigeria (CBN). (2022). </w:t>
      </w:r>
      <w:r w:rsidRPr="00606C74">
        <w:rPr>
          <w:rFonts w:ascii="Times New Roman" w:eastAsia="Calibri" w:hAnsi="Times New Roman" w:cs="Times New Roman"/>
          <w:i/>
          <w:iCs/>
          <w:sz w:val="22"/>
          <w:szCs w:val="22"/>
        </w:rPr>
        <w:t>Annual Economic Report</w:t>
      </w:r>
      <w:r w:rsidRPr="00606C74">
        <w:rPr>
          <w:rFonts w:ascii="Times New Roman" w:eastAsia="Calibri" w:hAnsi="Times New Roman" w:cs="Times New Roman"/>
          <w:sz w:val="22"/>
          <w:szCs w:val="22"/>
        </w:rPr>
        <w:t>. Abuja, Nigeria.</w:t>
      </w:r>
    </w:p>
    <w:p w14:paraId="2EE83208"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Chidiebere, N., &amp; Nnamdi, J. (2023). Public debt and environmental sustainability in Nigeria: An empirical investigation. </w:t>
      </w:r>
      <w:r w:rsidRPr="00606C74">
        <w:rPr>
          <w:rFonts w:ascii="Times New Roman" w:eastAsia="Calibri" w:hAnsi="Times New Roman" w:cs="Times New Roman"/>
          <w:i/>
          <w:iCs/>
          <w:sz w:val="22"/>
          <w:szCs w:val="22"/>
        </w:rPr>
        <w:t>Environmental Economics and Policy Studies,</w:t>
      </w:r>
      <w:r w:rsidRPr="00606C74">
        <w:rPr>
          <w:rFonts w:ascii="Times New Roman" w:eastAsia="Calibri" w:hAnsi="Times New Roman" w:cs="Times New Roman"/>
          <w:sz w:val="22"/>
          <w:szCs w:val="22"/>
        </w:rPr>
        <w:t xml:space="preserve"> 72, 389-404. </w:t>
      </w:r>
    </w:p>
    <w:p w14:paraId="1CD421D8"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Chukwu, P., &amp; Adeola, F. (2023). Public debt and sectoral growth in Nigeria: An empirical analysis. </w:t>
      </w:r>
      <w:r w:rsidRPr="00606C74">
        <w:rPr>
          <w:rFonts w:ascii="Times New Roman" w:eastAsia="Calibri" w:hAnsi="Times New Roman" w:cs="Times New Roman"/>
          <w:i/>
          <w:iCs/>
          <w:sz w:val="22"/>
          <w:szCs w:val="22"/>
        </w:rPr>
        <w:t>Journal of Economic Growth,</w:t>
      </w:r>
      <w:r w:rsidRPr="00606C74">
        <w:rPr>
          <w:rFonts w:ascii="Times New Roman" w:eastAsia="Calibri" w:hAnsi="Times New Roman" w:cs="Times New Roman"/>
          <w:sz w:val="22"/>
          <w:szCs w:val="22"/>
        </w:rPr>
        <w:t xml:space="preserve"> 48(1), 301-317. </w:t>
      </w:r>
    </w:p>
    <w:p w14:paraId="11231325"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Debt Management Office (DMO). (2023). "Nigeria’s Debt Profile: Trends and Implications."  </w:t>
      </w:r>
    </w:p>
    <w:p w14:paraId="09A22459"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Egert, B. (2015). Public debt, economic growth and nonlinear effects: Myth or reality</w:t>
      </w:r>
      <w:r w:rsidRPr="00606C74">
        <w:rPr>
          <w:rFonts w:ascii="Times New Roman" w:eastAsia="Calibri" w:hAnsi="Times New Roman" w:cs="Times New Roman"/>
          <w:i/>
          <w:iCs/>
          <w:sz w:val="22"/>
          <w:szCs w:val="22"/>
        </w:rPr>
        <w:t>? Journal of Macroeconomics</w:t>
      </w:r>
      <w:r w:rsidRPr="00606C74">
        <w:rPr>
          <w:rFonts w:ascii="Times New Roman" w:eastAsia="Calibri" w:hAnsi="Times New Roman" w:cs="Times New Roman"/>
          <w:sz w:val="22"/>
          <w:szCs w:val="22"/>
        </w:rPr>
        <w:t>, 43, 226-238.</w:t>
      </w:r>
    </w:p>
    <w:p w14:paraId="2C591CC3" w14:textId="77777777" w:rsidR="00D8206B" w:rsidRPr="00A221A4" w:rsidRDefault="00D8206B" w:rsidP="00D8206B">
      <w:pPr>
        <w:spacing w:after="0" w:line="240" w:lineRule="auto"/>
        <w:ind w:left="720" w:hanging="720"/>
        <w:jc w:val="both"/>
        <w:rPr>
          <w:rFonts w:ascii="Times New Roman" w:eastAsia="Calibri" w:hAnsi="Times New Roman" w:cs="Times New Roman"/>
          <w:sz w:val="22"/>
          <w:szCs w:val="22"/>
        </w:rPr>
      </w:pPr>
      <w:r w:rsidRPr="00A221A4">
        <w:rPr>
          <w:rFonts w:ascii="Times New Roman" w:eastAsia="Calibri" w:hAnsi="Times New Roman" w:cs="Times New Roman"/>
          <w:sz w:val="22"/>
          <w:szCs w:val="22"/>
        </w:rPr>
        <w:t>International Monetary Fund (</w:t>
      </w:r>
      <w:r w:rsidRPr="00606C74">
        <w:rPr>
          <w:rFonts w:ascii="Times New Roman" w:eastAsia="Calibri" w:hAnsi="Times New Roman" w:cs="Times New Roman"/>
          <w:sz w:val="22"/>
          <w:szCs w:val="22"/>
        </w:rPr>
        <w:t>IMF</w:t>
      </w:r>
      <w:r w:rsidRPr="00A221A4">
        <w:rPr>
          <w:rFonts w:ascii="Times New Roman" w:eastAsia="Calibri" w:hAnsi="Times New Roman" w:cs="Times New Roman"/>
          <w:sz w:val="22"/>
          <w:szCs w:val="22"/>
        </w:rPr>
        <w:t>)</w:t>
      </w:r>
      <w:r w:rsidRPr="00606C74">
        <w:rPr>
          <w:rFonts w:ascii="Times New Roman" w:eastAsia="Calibri" w:hAnsi="Times New Roman" w:cs="Times New Roman"/>
          <w:sz w:val="22"/>
          <w:szCs w:val="22"/>
        </w:rPr>
        <w:t xml:space="preserve"> (2013). Public </w:t>
      </w:r>
      <w:r w:rsidRPr="00A221A4">
        <w:rPr>
          <w:rFonts w:ascii="Times New Roman" w:eastAsia="Calibri" w:hAnsi="Times New Roman" w:cs="Times New Roman"/>
          <w:sz w:val="22"/>
          <w:szCs w:val="22"/>
        </w:rPr>
        <w:t>debt management and fiscal sustainability</w:t>
      </w:r>
      <w:r w:rsidRPr="00606C74">
        <w:rPr>
          <w:rFonts w:ascii="Times New Roman" w:eastAsia="Calibri" w:hAnsi="Times New Roman" w:cs="Times New Roman"/>
          <w:sz w:val="22"/>
          <w:szCs w:val="22"/>
        </w:rPr>
        <w:t>.</w:t>
      </w:r>
    </w:p>
    <w:p w14:paraId="71B121AE"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International Monetary Fund (IMF). (2021). </w:t>
      </w:r>
      <w:r w:rsidRPr="00606C74">
        <w:rPr>
          <w:rFonts w:ascii="Times New Roman" w:eastAsia="Calibri" w:hAnsi="Times New Roman" w:cs="Times New Roman"/>
          <w:i/>
          <w:iCs/>
          <w:sz w:val="22"/>
          <w:szCs w:val="22"/>
        </w:rPr>
        <w:t xml:space="preserve">Nigeria’s </w:t>
      </w:r>
      <w:r w:rsidRPr="00A221A4">
        <w:rPr>
          <w:rFonts w:ascii="Times New Roman" w:eastAsia="Calibri" w:hAnsi="Times New Roman" w:cs="Times New Roman"/>
          <w:i/>
          <w:iCs/>
          <w:sz w:val="22"/>
          <w:szCs w:val="22"/>
        </w:rPr>
        <w:t>public debt sustainability report</w:t>
      </w:r>
      <w:r w:rsidRPr="00606C74">
        <w:rPr>
          <w:rFonts w:ascii="Times New Roman" w:eastAsia="Calibri" w:hAnsi="Times New Roman" w:cs="Times New Roman"/>
          <w:sz w:val="22"/>
          <w:szCs w:val="22"/>
        </w:rPr>
        <w:t>. Washington, DC.</w:t>
      </w:r>
    </w:p>
    <w:p w14:paraId="3365FCEF"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Keynes, J. M. (1936). The general theory of employment, interest, and money. Macmillan</w:t>
      </w:r>
    </w:p>
    <w:p w14:paraId="6AA525E1"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Krugman, P. (1988). Financing vs. forgiving a debt overhang. </w:t>
      </w:r>
      <w:r w:rsidRPr="00606C74">
        <w:rPr>
          <w:rFonts w:ascii="Times New Roman" w:eastAsia="Calibri" w:hAnsi="Times New Roman" w:cs="Times New Roman"/>
          <w:i/>
          <w:iCs/>
          <w:sz w:val="22"/>
          <w:szCs w:val="22"/>
        </w:rPr>
        <w:t>Journal of Development Economics,</w:t>
      </w:r>
      <w:r w:rsidRPr="00606C74">
        <w:rPr>
          <w:rFonts w:ascii="Times New Roman" w:eastAsia="Calibri" w:hAnsi="Times New Roman" w:cs="Times New Roman"/>
          <w:sz w:val="22"/>
          <w:szCs w:val="22"/>
        </w:rPr>
        <w:t xml:space="preserve"> 29(3), 253-268.</w:t>
      </w:r>
    </w:p>
    <w:p w14:paraId="5CAB0666" w14:textId="77777777" w:rsidR="00D8206B" w:rsidRPr="00606C74" w:rsidRDefault="00D8206B" w:rsidP="00D8206B">
      <w:pPr>
        <w:widowControl w:val="0"/>
        <w:shd w:val="clear" w:color="auto" w:fill="FFFFFF"/>
        <w:spacing w:after="0" w:line="240" w:lineRule="auto"/>
        <w:ind w:left="720" w:right="420" w:hanging="720"/>
        <w:jc w:val="both"/>
        <w:rPr>
          <w:rFonts w:ascii="Times New Roman" w:eastAsia="Times New Roman" w:hAnsi="Times New Roman" w:cs="Times New Roman"/>
          <w:color w:val="000000"/>
          <w:kern w:val="0"/>
          <w:sz w:val="22"/>
          <w:szCs w:val="22"/>
          <w14:ligatures w14:val="none"/>
        </w:rPr>
      </w:pPr>
      <w:r w:rsidRPr="00606C74">
        <w:rPr>
          <w:rFonts w:ascii="Times New Roman" w:eastAsia="Times New Roman" w:hAnsi="Times New Roman" w:cs="Times New Roman"/>
          <w:color w:val="000000"/>
          <w:kern w:val="0"/>
          <w:sz w:val="22"/>
          <w:szCs w:val="22"/>
          <w14:ligatures w14:val="none"/>
        </w:rPr>
        <w:t xml:space="preserve">Ogunbiyi, S., &amp; Adeyemi, K. (2020). The role of debt management in Nigeria’s agricultural productivity. </w:t>
      </w:r>
      <w:r w:rsidRPr="00606C74">
        <w:rPr>
          <w:rFonts w:ascii="Times New Roman" w:eastAsia="Times New Roman" w:hAnsi="Times New Roman" w:cs="Times New Roman"/>
          <w:i/>
          <w:iCs/>
          <w:color w:val="000000"/>
          <w:kern w:val="0"/>
          <w:sz w:val="22"/>
          <w:szCs w:val="22"/>
          <w14:ligatures w14:val="none"/>
        </w:rPr>
        <w:t>African Economic Journal</w:t>
      </w:r>
      <w:r w:rsidRPr="00606C74">
        <w:rPr>
          <w:rFonts w:ascii="Times New Roman" w:eastAsia="Times New Roman" w:hAnsi="Times New Roman" w:cs="Times New Roman"/>
          <w:color w:val="000000"/>
          <w:kern w:val="0"/>
          <w:sz w:val="22"/>
          <w:szCs w:val="22"/>
          <w14:ligatures w14:val="none"/>
        </w:rPr>
        <w:t xml:space="preserve">, </w:t>
      </w:r>
      <w:r w:rsidRPr="00606C74">
        <w:rPr>
          <w:rFonts w:ascii="Times New Roman" w:eastAsia="Times New Roman" w:hAnsi="Times New Roman" w:cs="Times New Roman"/>
          <w:i/>
          <w:iCs/>
          <w:color w:val="000000"/>
          <w:kern w:val="0"/>
          <w:sz w:val="22"/>
          <w:szCs w:val="22"/>
          <w14:ligatures w14:val="none"/>
        </w:rPr>
        <w:t>15</w:t>
      </w:r>
      <w:r w:rsidRPr="00606C74">
        <w:rPr>
          <w:rFonts w:ascii="Times New Roman" w:eastAsia="Times New Roman" w:hAnsi="Times New Roman" w:cs="Times New Roman"/>
          <w:color w:val="000000"/>
          <w:kern w:val="0"/>
          <w:sz w:val="22"/>
          <w:szCs w:val="22"/>
          <w14:ligatures w14:val="none"/>
        </w:rPr>
        <w:t>(3), 198-221.</w:t>
      </w:r>
    </w:p>
    <w:p w14:paraId="282152D8"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Oladapo, Y., &amp; Akinwale, T. (2023). Public debt and trade sector performance: A comparative study of Nigeria and South Africa. </w:t>
      </w:r>
      <w:r w:rsidRPr="00606C74">
        <w:rPr>
          <w:rFonts w:ascii="Times New Roman" w:eastAsia="Calibri" w:hAnsi="Times New Roman" w:cs="Times New Roman"/>
          <w:i/>
          <w:iCs/>
          <w:sz w:val="22"/>
          <w:szCs w:val="22"/>
        </w:rPr>
        <w:t>Journal of International Trade &amp; Economic Development,</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45</w:t>
      </w:r>
      <w:r w:rsidRPr="00606C74">
        <w:rPr>
          <w:rFonts w:ascii="Times New Roman" w:eastAsia="Calibri" w:hAnsi="Times New Roman" w:cs="Times New Roman"/>
          <w:sz w:val="22"/>
          <w:szCs w:val="22"/>
        </w:rPr>
        <w:t xml:space="preserve">(3), 345-362. </w:t>
      </w:r>
    </w:p>
    <w:p w14:paraId="2173EF81"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Oladele, A., &amp; Falana, S. (2022). The impact of public debt on environmental sustainability in Nigeria. </w:t>
      </w:r>
      <w:r w:rsidRPr="00606C74">
        <w:rPr>
          <w:rFonts w:ascii="Times New Roman" w:eastAsia="Calibri" w:hAnsi="Times New Roman" w:cs="Times New Roman"/>
          <w:i/>
          <w:iCs/>
          <w:sz w:val="22"/>
          <w:szCs w:val="22"/>
        </w:rPr>
        <w:t>Environmental Economics and Policy Studies,</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72</w:t>
      </w:r>
      <w:r w:rsidRPr="00606C74">
        <w:rPr>
          <w:rFonts w:ascii="Times New Roman" w:eastAsia="Calibri" w:hAnsi="Times New Roman" w:cs="Times New Roman"/>
          <w:sz w:val="22"/>
          <w:szCs w:val="22"/>
        </w:rPr>
        <w:t xml:space="preserve">, 389-404. </w:t>
      </w:r>
    </w:p>
    <w:p w14:paraId="77B7E2D4" w14:textId="77777777" w:rsidR="00D8206B" w:rsidRPr="00606C74" w:rsidRDefault="00D8206B" w:rsidP="00D8206B">
      <w:pPr>
        <w:autoSpaceDE w:val="0"/>
        <w:autoSpaceDN w:val="0"/>
        <w:adjustRightInd w:val="0"/>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Oladele, A., &amp; Falana, S. (2023). Public debt and economic growth in Nigeria: A sectoral perspective. </w:t>
      </w:r>
      <w:r w:rsidRPr="00606C74">
        <w:rPr>
          <w:rFonts w:ascii="Times New Roman" w:eastAsia="Calibri" w:hAnsi="Times New Roman" w:cs="Times New Roman"/>
          <w:i/>
          <w:iCs/>
          <w:sz w:val="22"/>
          <w:szCs w:val="22"/>
        </w:rPr>
        <w:t>Journal of Economic Performance</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48</w:t>
      </w:r>
      <w:r w:rsidRPr="00606C74">
        <w:rPr>
          <w:rFonts w:ascii="Times New Roman" w:eastAsia="Calibri" w:hAnsi="Times New Roman" w:cs="Times New Roman"/>
          <w:sz w:val="22"/>
          <w:szCs w:val="22"/>
        </w:rPr>
        <w:t xml:space="preserve">(1), 301-317. </w:t>
      </w:r>
    </w:p>
    <w:p w14:paraId="6485DD58"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Oluwaseun, A., &amp; Adeyemi, F. (2023). Effects of public debt on social welfare in Sub-Saharan Africa: Comparative analysis of Nigeria, Ghana, and Kenya. </w:t>
      </w:r>
      <w:r w:rsidRPr="00606C74">
        <w:rPr>
          <w:rFonts w:ascii="Times New Roman" w:eastAsia="Calibri" w:hAnsi="Times New Roman" w:cs="Times New Roman"/>
          <w:i/>
          <w:iCs/>
          <w:sz w:val="22"/>
          <w:szCs w:val="22"/>
        </w:rPr>
        <w:t>Social Indicators Research,</w:t>
      </w:r>
      <w:r w:rsidRPr="00606C74">
        <w:rPr>
          <w:rFonts w:ascii="Times New Roman" w:eastAsia="Calibri" w:hAnsi="Times New Roman" w:cs="Times New Roman"/>
          <w:sz w:val="22"/>
          <w:szCs w:val="22"/>
        </w:rPr>
        <w:t xml:space="preserve"> 145(1), 78-95. </w:t>
      </w:r>
    </w:p>
    <w:p w14:paraId="7E895C65" w14:textId="77777777" w:rsidR="00D8206B" w:rsidRPr="00A221A4" w:rsidRDefault="00D8206B" w:rsidP="00D8206B">
      <w:pPr>
        <w:spacing w:after="0" w:line="240" w:lineRule="auto"/>
        <w:ind w:left="720" w:hanging="720"/>
        <w:jc w:val="both"/>
        <w:rPr>
          <w:rFonts w:ascii="Times New Roman" w:eastAsia="Calibri" w:hAnsi="Times New Roman" w:cs="Times New Roman"/>
          <w:sz w:val="22"/>
          <w:szCs w:val="22"/>
        </w:rPr>
      </w:pPr>
      <w:proofErr w:type="spellStart"/>
      <w:r w:rsidRPr="00606C74">
        <w:rPr>
          <w:rFonts w:ascii="Times New Roman" w:eastAsia="Calibri" w:hAnsi="Times New Roman" w:cs="Times New Roman"/>
          <w:sz w:val="22"/>
          <w:szCs w:val="22"/>
        </w:rPr>
        <w:t>Onyeiwu</w:t>
      </w:r>
      <w:proofErr w:type="spellEnd"/>
      <w:r w:rsidRPr="00606C74">
        <w:rPr>
          <w:rFonts w:ascii="Times New Roman" w:eastAsia="Calibri" w:hAnsi="Times New Roman" w:cs="Times New Roman"/>
          <w:sz w:val="22"/>
          <w:szCs w:val="22"/>
        </w:rPr>
        <w:t xml:space="preserve">, C. (2019). Debt </w:t>
      </w:r>
      <w:r w:rsidRPr="00A221A4">
        <w:rPr>
          <w:rFonts w:ascii="Times New Roman" w:eastAsia="Calibri" w:hAnsi="Times New Roman" w:cs="Times New Roman"/>
          <w:sz w:val="22"/>
          <w:szCs w:val="22"/>
        </w:rPr>
        <w:t xml:space="preserve">dynamics and sectoral constraints in </w:t>
      </w:r>
      <w:r w:rsidRPr="00606C74">
        <w:rPr>
          <w:rFonts w:ascii="Times New Roman" w:eastAsia="Calibri" w:hAnsi="Times New Roman" w:cs="Times New Roman"/>
          <w:sz w:val="22"/>
          <w:szCs w:val="22"/>
        </w:rPr>
        <w:t xml:space="preserve">Nigeria's </w:t>
      </w:r>
      <w:r w:rsidRPr="00A221A4">
        <w:rPr>
          <w:rFonts w:ascii="Times New Roman" w:eastAsia="Calibri" w:hAnsi="Times New Roman" w:cs="Times New Roman"/>
          <w:sz w:val="22"/>
          <w:szCs w:val="22"/>
        </w:rPr>
        <w:t>manufacturing sector</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International Journal of Manufacturing Research</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32</w:t>
      </w:r>
      <w:r w:rsidRPr="00606C74">
        <w:rPr>
          <w:rFonts w:ascii="Times New Roman" w:eastAsia="Calibri" w:hAnsi="Times New Roman" w:cs="Times New Roman"/>
          <w:sz w:val="22"/>
          <w:szCs w:val="22"/>
        </w:rPr>
        <w:t>(2), 65-89.</w:t>
      </w:r>
    </w:p>
    <w:p w14:paraId="76AA9050" w14:textId="77777777" w:rsidR="00D8206B" w:rsidRPr="00A221A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lastRenderedPageBreak/>
        <w:t xml:space="preserve">Reinhart, C. M., &amp; Rogoff, K. S. (2010). Growth in a </w:t>
      </w:r>
      <w:r w:rsidRPr="00A221A4">
        <w:rPr>
          <w:rFonts w:ascii="Times New Roman" w:eastAsia="Calibri" w:hAnsi="Times New Roman" w:cs="Times New Roman"/>
          <w:sz w:val="22"/>
          <w:szCs w:val="22"/>
        </w:rPr>
        <w:t>time of debt</w:t>
      </w:r>
      <w:r w:rsidRPr="00606C74">
        <w:rPr>
          <w:rFonts w:ascii="Times New Roman" w:eastAsia="Calibri" w:hAnsi="Times New Roman" w:cs="Times New Roman"/>
          <w:sz w:val="22"/>
          <w:szCs w:val="22"/>
        </w:rPr>
        <w:t xml:space="preserve">. </w:t>
      </w:r>
      <w:r w:rsidRPr="00606C74">
        <w:rPr>
          <w:rFonts w:ascii="Times New Roman" w:eastAsia="Calibri" w:hAnsi="Times New Roman" w:cs="Times New Roman"/>
          <w:i/>
          <w:iCs/>
          <w:sz w:val="22"/>
          <w:szCs w:val="22"/>
        </w:rPr>
        <w:t>American Economic Review: Papers &amp; Proceedings</w:t>
      </w:r>
      <w:r w:rsidRPr="00606C74">
        <w:rPr>
          <w:rFonts w:ascii="Times New Roman" w:eastAsia="Calibri" w:hAnsi="Times New Roman" w:cs="Times New Roman"/>
          <w:sz w:val="22"/>
          <w:szCs w:val="22"/>
        </w:rPr>
        <w:t>, 100(2), 573-578.</w:t>
      </w:r>
    </w:p>
    <w:p w14:paraId="086F568F" w14:textId="77777777" w:rsidR="00D8206B" w:rsidRPr="00A221A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Samuel, A., &amp; </w:t>
      </w:r>
      <w:r w:rsidRPr="00A221A4">
        <w:rPr>
          <w:rFonts w:ascii="Times New Roman" w:eastAsia="Calibri" w:hAnsi="Times New Roman" w:cs="Times New Roman"/>
          <w:sz w:val="22"/>
          <w:szCs w:val="22"/>
        </w:rPr>
        <w:t>Adeyemi</w:t>
      </w:r>
      <w:r w:rsidRPr="00606C74">
        <w:rPr>
          <w:rFonts w:ascii="Times New Roman" w:eastAsia="Calibri" w:hAnsi="Times New Roman" w:cs="Times New Roman"/>
          <w:sz w:val="22"/>
          <w:szCs w:val="22"/>
        </w:rPr>
        <w:t>, J. (202</w:t>
      </w:r>
      <w:r w:rsidRPr="00A221A4">
        <w:rPr>
          <w:rFonts w:ascii="Times New Roman" w:eastAsia="Calibri" w:hAnsi="Times New Roman" w:cs="Times New Roman"/>
          <w:sz w:val="22"/>
          <w:szCs w:val="22"/>
        </w:rPr>
        <w:t>3</w:t>
      </w:r>
      <w:r w:rsidRPr="00606C74">
        <w:rPr>
          <w:rFonts w:ascii="Times New Roman" w:eastAsia="Calibri" w:hAnsi="Times New Roman" w:cs="Times New Roman"/>
          <w:sz w:val="22"/>
          <w:szCs w:val="22"/>
        </w:rPr>
        <w:t xml:space="preserve">). Debt overhang and sectoral growth in Nigeria. </w:t>
      </w:r>
      <w:r w:rsidRPr="00606C74">
        <w:rPr>
          <w:rFonts w:ascii="Times New Roman" w:eastAsia="Calibri" w:hAnsi="Times New Roman" w:cs="Times New Roman"/>
          <w:i/>
          <w:iCs/>
          <w:sz w:val="22"/>
          <w:szCs w:val="22"/>
        </w:rPr>
        <w:t>Journal of Public Policy Analysis, 15</w:t>
      </w:r>
      <w:r w:rsidRPr="00606C74">
        <w:rPr>
          <w:rFonts w:ascii="Times New Roman" w:eastAsia="Calibri" w:hAnsi="Times New Roman" w:cs="Times New Roman"/>
          <w:sz w:val="22"/>
          <w:szCs w:val="22"/>
        </w:rPr>
        <w:t>(3), 44-62.</w:t>
      </w:r>
    </w:p>
    <w:p w14:paraId="32586B6A" w14:textId="77777777" w:rsidR="00D8206B" w:rsidRPr="00606C74" w:rsidRDefault="00D8206B" w:rsidP="00D8206B">
      <w:pPr>
        <w:spacing w:after="0" w:line="240" w:lineRule="auto"/>
        <w:ind w:left="720" w:right="195"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Transparency International. (2023). "Corruption Perceptions Index."  </w:t>
      </w:r>
    </w:p>
    <w:p w14:paraId="051D9595"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United Nations Industrial Development Organization (UNIDO). (2021). </w:t>
      </w:r>
      <w:r w:rsidRPr="00606C74">
        <w:rPr>
          <w:rFonts w:ascii="Times New Roman" w:eastAsia="Calibri" w:hAnsi="Times New Roman" w:cs="Times New Roman"/>
          <w:i/>
          <w:iCs/>
          <w:sz w:val="22"/>
          <w:szCs w:val="22"/>
        </w:rPr>
        <w:t>Industrialization and Manufacturing Sector Performance in Nigeria</w:t>
      </w:r>
      <w:r w:rsidRPr="00606C74">
        <w:rPr>
          <w:rFonts w:ascii="Times New Roman" w:eastAsia="Calibri" w:hAnsi="Times New Roman" w:cs="Times New Roman"/>
          <w:sz w:val="22"/>
          <w:szCs w:val="22"/>
        </w:rPr>
        <w:t>. Vienna, Austria.</w:t>
      </w:r>
    </w:p>
    <w:p w14:paraId="5B0020F6"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World Bank. (2007). World Development Report 2008: Agriculture for Development. World Bank.</w:t>
      </w:r>
    </w:p>
    <w:p w14:paraId="2EFD612C"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World Bank. (2013). World Development Report 2013: Jobs. World Bank.</w:t>
      </w:r>
    </w:p>
    <w:p w14:paraId="4985ACBA"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World Bank. (2020). Global Economic Prospects. Washington, DC: World Bank.</w:t>
      </w:r>
    </w:p>
    <w:p w14:paraId="284029F2" w14:textId="77777777" w:rsidR="00D8206B" w:rsidRPr="00606C74" w:rsidRDefault="00D8206B" w:rsidP="00D8206B">
      <w:pPr>
        <w:spacing w:after="0" w:line="240" w:lineRule="auto"/>
        <w:ind w:left="720" w:hanging="720"/>
        <w:jc w:val="both"/>
        <w:rPr>
          <w:rFonts w:ascii="Times New Roman" w:eastAsia="Calibri" w:hAnsi="Times New Roman" w:cs="Times New Roman"/>
          <w:sz w:val="22"/>
          <w:szCs w:val="22"/>
        </w:rPr>
      </w:pPr>
      <w:r w:rsidRPr="00606C74">
        <w:rPr>
          <w:rFonts w:ascii="Times New Roman" w:eastAsia="Calibri" w:hAnsi="Times New Roman" w:cs="Times New Roman"/>
          <w:sz w:val="22"/>
          <w:szCs w:val="22"/>
        </w:rPr>
        <w:t xml:space="preserve">World Bank. (2021). </w:t>
      </w:r>
      <w:r w:rsidRPr="00606C74">
        <w:rPr>
          <w:rFonts w:ascii="Times New Roman" w:eastAsia="Calibri" w:hAnsi="Times New Roman" w:cs="Times New Roman"/>
          <w:i/>
          <w:iCs/>
          <w:sz w:val="22"/>
          <w:szCs w:val="22"/>
        </w:rPr>
        <w:t>Public Debt in Emerging Markets: A Comprehensive Report</w:t>
      </w:r>
      <w:r w:rsidRPr="00606C74">
        <w:rPr>
          <w:rFonts w:ascii="Times New Roman" w:eastAsia="Calibri" w:hAnsi="Times New Roman" w:cs="Times New Roman"/>
          <w:sz w:val="22"/>
          <w:szCs w:val="22"/>
        </w:rPr>
        <w:t>. Washington, DC.</w:t>
      </w:r>
    </w:p>
    <w:p w14:paraId="4096029B" w14:textId="77777777" w:rsidR="00D8206B" w:rsidRPr="00A96ACA" w:rsidRDefault="00D8206B" w:rsidP="00D8206B">
      <w:pPr>
        <w:spacing w:after="0" w:line="276" w:lineRule="auto"/>
        <w:contextualSpacing/>
        <w:jc w:val="both"/>
        <w:rPr>
          <w:rFonts w:ascii="Times New Roman" w:eastAsia="Calibri" w:hAnsi="Times New Roman" w:cs="Times New Roman"/>
          <w:sz w:val="22"/>
          <w:szCs w:val="22"/>
        </w:rPr>
      </w:pPr>
    </w:p>
    <w:p w14:paraId="24079788" w14:textId="77777777" w:rsidR="00D8206B" w:rsidRDefault="00D8206B" w:rsidP="00A60822">
      <w:pPr>
        <w:spacing w:after="0" w:line="240" w:lineRule="auto"/>
        <w:jc w:val="both"/>
        <w:rPr>
          <w:rFonts w:ascii="Times New Roman" w:hAnsi="Times New Roman" w:cs="Times New Roman"/>
          <w:b/>
          <w:bCs/>
          <w:sz w:val="56"/>
          <w:szCs w:val="56"/>
        </w:rPr>
      </w:pPr>
    </w:p>
    <w:p w14:paraId="1A6A78FD" w14:textId="77777777" w:rsidR="00D8206B" w:rsidRDefault="00D8206B" w:rsidP="00A60822">
      <w:pPr>
        <w:spacing w:after="0" w:line="240" w:lineRule="auto"/>
        <w:jc w:val="both"/>
        <w:rPr>
          <w:rFonts w:ascii="Times New Roman" w:hAnsi="Times New Roman" w:cs="Times New Roman"/>
          <w:b/>
          <w:bCs/>
          <w:sz w:val="56"/>
          <w:szCs w:val="56"/>
        </w:rPr>
      </w:pPr>
    </w:p>
    <w:p w14:paraId="62195052" w14:textId="77777777" w:rsidR="00D8206B" w:rsidRDefault="00D8206B" w:rsidP="00A60822">
      <w:pPr>
        <w:spacing w:after="0" w:line="240" w:lineRule="auto"/>
        <w:jc w:val="both"/>
        <w:rPr>
          <w:rFonts w:ascii="Times New Roman" w:hAnsi="Times New Roman" w:cs="Times New Roman"/>
          <w:b/>
          <w:bCs/>
          <w:sz w:val="56"/>
          <w:szCs w:val="56"/>
        </w:rPr>
      </w:pPr>
    </w:p>
    <w:p w14:paraId="1EDBF7B1" w14:textId="77777777" w:rsidR="00D24E0B" w:rsidRDefault="00D24E0B" w:rsidP="00D8206B">
      <w:pPr>
        <w:spacing w:after="0" w:line="240" w:lineRule="auto"/>
        <w:jc w:val="center"/>
        <w:outlineLvl w:val="0"/>
        <w:rPr>
          <w:rFonts w:ascii="Times New Roman" w:eastAsia="Times New Roman" w:hAnsi="Times New Roman" w:cs="Times New Roman"/>
          <w:b/>
          <w:kern w:val="0"/>
          <w14:ligatures w14:val="none"/>
        </w:rPr>
      </w:pPr>
      <w:bookmarkStart w:id="24" w:name="_Toc166533588"/>
      <w:bookmarkStart w:id="25" w:name="_Toc166533726"/>
      <w:bookmarkStart w:id="26" w:name="_Toc166533812"/>
    </w:p>
    <w:p w14:paraId="136BD42B"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52C13272"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53D91871"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826B69B"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79DCAB76"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2F2C4BAC"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3190694"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C20AB4C"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2846726A"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6C9A310"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682DEDB"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03EE6BDA"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2839907A"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13F419FD"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0BD76460"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865B680"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130C47EA"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1232C79E"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1D23C569"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75F771B3"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7EB0D645"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1A26ABAE"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6AEDAE7"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691B6649"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309BD192" w14:textId="77777777" w:rsidR="00583609" w:rsidRDefault="00583609" w:rsidP="00D8206B">
      <w:pPr>
        <w:spacing w:after="0" w:line="240" w:lineRule="auto"/>
        <w:jc w:val="center"/>
        <w:outlineLvl w:val="0"/>
        <w:rPr>
          <w:rFonts w:ascii="Times New Roman" w:eastAsia="Times New Roman" w:hAnsi="Times New Roman" w:cs="Times New Roman"/>
          <w:b/>
          <w:kern w:val="0"/>
          <w14:ligatures w14:val="none"/>
        </w:rPr>
      </w:pPr>
    </w:p>
    <w:p w14:paraId="3D2658A0" w14:textId="77777777" w:rsidR="00583609" w:rsidRDefault="00583609" w:rsidP="00D8206B">
      <w:pPr>
        <w:spacing w:after="0" w:line="240" w:lineRule="auto"/>
        <w:jc w:val="center"/>
        <w:outlineLvl w:val="0"/>
        <w:rPr>
          <w:rFonts w:ascii="Times New Roman" w:eastAsia="Times New Roman" w:hAnsi="Times New Roman" w:cs="Times New Roman"/>
          <w:b/>
          <w:kern w:val="0"/>
          <w14:ligatures w14:val="none"/>
        </w:rPr>
      </w:pPr>
    </w:p>
    <w:p w14:paraId="58241538"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1CD4B43D"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2A5C1170"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4112AA65" w14:textId="77777777" w:rsidR="00DA5AE9" w:rsidRDefault="00DA5AE9" w:rsidP="00D8206B">
      <w:pPr>
        <w:spacing w:after="0" w:line="240" w:lineRule="auto"/>
        <w:jc w:val="center"/>
        <w:outlineLvl w:val="0"/>
        <w:rPr>
          <w:rFonts w:ascii="Times New Roman" w:eastAsia="Times New Roman" w:hAnsi="Times New Roman" w:cs="Times New Roman"/>
          <w:b/>
          <w:kern w:val="0"/>
          <w14:ligatures w14:val="none"/>
        </w:rPr>
      </w:pPr>
    </w:p>
    <w:p w14:paraId="10B99A73" w14:textId="2915B6CD" w:rsidR="00D8206B" w:rsidRPr="00D8206B" w:rsidRDefault="00D8206B" w:rsidP="00D8206B">
      <w:pPr>
        <w:spacing w:after="0" w:line="240" w:lineRule="auto"/>
        <w:jc w:val="center"/>
        <w:outlineLvl w:val="0"/>
        <w:rPr>
          <w:rFonts w:ascii="Times New Roman" w:eastAsia="Times New Roman" w:hAnsi="Times New Roman" w:cs="Times New Roman"/>
          <w:b/>
          <w:kern w:val="0"/>
          <w14:ligatures w14:val="none"/>
        </w:rPr>
      </w:pPr>
      <w:r w:rsidRPr="00D8206B">
        <w:rPr>
          <w:rFonts w:ascii="Times New Roman" w:eastAsia="Times New Roman" w:hAnsi="Times New Roman" w:cs="Times New Roman"/>
          <w:b/>
          <w:kern w:val="0"/>
          <w14:ligatures w14:val="none"/>
        </w:rPr>
        <w:lastRenderedPageBreak/>
        <w:t>REGULATORY CHALLENGES IN THE ADOPTION OF BLOCKCHAIN IN FINANCIAL INSTITUTIONS IN NIGERIA (2015 - 2024)</w:t>
      </w:r>
      <w:bookmarkStart w:id="27" w:name="_Toc166533589"/>
      <w:bookmarkStart w:id="28" w:name="_Toc166533727"/>
      <w:bookmarkStart w:id="29" w:name="_Toc166533813"/>
      <w:bookmarkEnd w:id="24"/>
      <w:bookmarkEnd w:id="25"/>
      <w:bookmarkEnd w:id="26"/>
    </w:p>
    <w:p w14:paraId="3B66E8DC" w14:textId="77777777" w:rsidR="00D8206B" w:rsidRPr="00D8206B" w:rsidRDefault="00D8206B" w:rsidP="00D8206B">
      <w:pPr>
        <w:spacing w:after="0" w:line="240" w:lineRule="auto"/>
        <w:jc w:val="center"/>
        <w:outlineLvl w:val="0"/>
        <w:rPr>
          <w:rFonts w:ascii="Times New Roman" w:eastAsia="Times New Roman" w:hAnsi="Times New Roman" w:cs="Times New Roman"/>
          <w:b/>
          <w:kern w:val="0"/>
          <w14:ligatures w14:val="none"/>
        </w:rPr>
      </w:pPr>
    </w:p>
    <w:p w14:paraId="76000F28" w14:textId="77777777" w:rsidR="00D8206B" w:rsidRPr="00D8206B" w:rsidRDefault="00D8206B" w:rsidP="00D8206B">
      <w:pPr>
        <w:spacing w:after="0" w:line="240" w:lineRule="auto"/>
        <w:jc w:val="center"/>
        <w:outlineLvl w:val="0"/>
        <w:rPr>
          <w:rFonts w:ascii="Times New Roman" w:eastAsia="Times New Roman" w:hAnsi="Times New Roman" w:cs="Times New Roman"/>
          <w:b/>
          <w:kern w:val="0"/>
          <w14:ligatures w14:val="none"/>
        </w:rPr>
      </w:pPr>
      <w:r w:rsidRPr="00D8206B">
        <w:rPr>
          <w:rFonts w:ascii="Times New Roman" w:eastAsia="Times New Roman" w:hAnsi="Times New Roman" w:cs="Times New Roman"/>
          <w:b/>
          <w:kern w:val="0"/>
          <w14:ligatures w14:val="none"/>
        </w:rPr>
        <w:t>Ibrahim Mohammed Babbuli (</w:t>
      </w:r>
      <w:proofErr w:type="spellStart"/>
      <w:proofErr w:type="gramStart"/>
      <w:r w:rsidRPr="00D8206B">
        <w:rPr>
          <w:rFonts w:ascii="Times New Roman" w:eastAsia="Times New Roman" w:hAnsi="Times New Roman" w:cs="Times New Roman"/>
          <w:b/>
          <w:kern w:val="0"/>
          <w14:ligatures w14:val="none"/>
        </w:rPr>
        <w:t>Ph.D</w:t>
      </w:r>
      <w:proofErr w:type="spellEnd"/>
      <w:proofErr w:type="gramEnd"/>
      <w:r w:rsidRPr="00D8206B">
        <w:rPr>
          <w:rFonts w:ascii="Times New Roman" w:eastAsia="Times New Roman" w:hAnsi="Times New Roman" w:cs="Times New Roman"/>
          <w:b/>
          <w:kern w:val="0"/>
          <w14:ligatures w14:val="none"/>
        </w:rPr>
        <w:t>)</w:t>
      </w:r>
    </w:p>
    <w:p w14:paraId="7B5261C5" w14:textId="77777777" w:rsidR="00D8206B" w:rsidRPr="00D8206B" w:rsidRDefault="00D8206B" w:rsidP="00D8206B">
      <w:pPr>
        <w:spacing w:after="0" w:line="240" w:lineRule="auto"/>
        <w:jc w:val="center"/>
        <w:rPr>
          <w:rFonts w:ascii="Times New Roman" w:eastAsia="Times New Roman" w:hAnsi="Times New Roman" w:cs="Times New Roman"/>
          <w:b/>
          <w:kern w:val="0"/>
          <w14:ligatures w14:val="none"/>
        </w:rPr>
      </w:pPr>
      <w:r w:rsidRPr="00D8206B">
        <w:rPr>
          <w:rFonts w:ascii="Times New Roman" w:eastAsia="Times New Roman" w:hAnsi="Times New Roman" w:cs="Times New Roman"/>
          <w:b/>
          <w:kern w:val="0"/>
          <w14:ligatures w14:val="none"/>
        </w:rPr>
        <w:t>Department of Banking &amp; Finance</w:t>
      </w:r>
    </w:p>
    <w:p w14:paraId="227DC6AB" w14:textId="77777777" w:rsidR="00D8206B" w:rsidRPr="00D8206B" w:rsidRDefault="00D8206B" w:rsidP="00D8206B">
      <w:pPr>
        <w:spacing w:after="0" w:line="240" w:lineRule="auto"/>
        <w:jc w:val="center"/>
        <w:rPr>
          <w:rFonts w:ascii="Times New Roman" w:eastAsia="Times New Roman" w:hAnsi="Times New Roman" w:cs="Times New Roman"/>
          <w:b/>
          <w:kern w:val="0"/>
          <w14:ligatures w14:val="none"/>
        </w:rPr>
      </w:pPr>
      <w:r w:rsidRPr="00D8206B">
        <w:rPr>
          <w:rFonts w:ascii="Times New Roman" w:eastAsia="Times New Roman" w:hAnsi="Times New Roman" w:cs="Times New Roman"/>
          <w:b/>
          <w:kern w:val="0"/>
          <w14:ligatures w14:val="none"/>
        </w:rPr>
        <w:t>Adamawa State University, Mubi, Nigeria</w:t>
      </w:r>
    </w:p>
    <w:p w14:paraId="4E3B4A96" w14:textId="77777777" w:rsidR="00D8206B" w:rsidRPr="00D8206B" w:rsidRDefault="00D8206B" w:rsidP="00D8206B">
      <w:pPr>
        <w:spacing w:after="0" w:line="240" w:lineRule="auto"/>
        <w:jc w:val="center"/>
        <w:outlineLvl w:val="0"/>
        <w:rPr>
          <w:rFonts w:ascii="Times New Roman" w:eastAsia="Times New Roman" w:hAnsi="Times New Roman" w:cs="Times New Roman"/>
          <w:b/>
          <w:kern w:val="0"/>
          <w14:ligatures w14:val="none"/>
        </w:rPr>
      </w:pPr>
      <w:r w:rsidRPr="00D8206B">
        <w:rPr>
          <w:rFonts w:ascii="Times New Roman" w:eastAsia="Times New Roman" w:hAnsi="Times New Roman" w:cs="Times New Roman"/>
          <w:b/>
          <w:kern w:val="0"/>
          <w14:ligatures w14:val="none"/>
        </w:rPr>
        <w:t>Email: babbuli707@adsu.edu.ng</w:t>
      </w:r>
    </w:p>
    <w:p w14:paraId="53A94CBC" w14:textId="77777777" w:rsidR="00D8206B" w:rsidRPr="00D8206B" w:rsidRDefault="00D8206B" w:rsidP="00D8206B">
      <w:pPr>
        <w:spacing w:after="0" w:line="240" w:lineRule="auto"/>
        <w:jc w:val="center"/>
        <w:outlineLvl w:val="0"/>
        <w:rPr>
          <w:rFonts w:ascii="Times New Roman" w:eastAsia="Times New Roman" w:hAnsi="Times New Roman" w:cs="Times New Roman"/>
          <w:b/>
          <w:kern w:val="0"/>
          <w14:ligatures w14:val="none"/>
        </w:rPr>
      </w:pPr>
      <w:r w:rsidRPr="00D8206B">
        <w:rPr>
          <w:rFonts w:ascii="Times New Roman" w:eastAsia="Times New Roman" w:hAnsi="Times New Roman" w:cs="Times New Roman"/>
          <w:b/>
          <w:kern w:val="0"/>
          <w14:ligatures w14:val="none"/>
        </w:rPr>
        <w:t>+2348036922290</w:t>
      </w:r>
    </w:p>
    <w:p w14:paraId="20F1A5E2" w14:textId="77777777" w:rsidR="00D8206B" w:rsidRPr="00D8206B" w:rsidRDefault="00D8206B" w:rsidP="00D8206B">
      <w:pPr>
        <w:spacing w:after="0" w:line="240" w:lineRule="auto"/>
        <w:outlineLvl w:val="0"/>
        <w:rPr>
          <w:rFonts w:ascii="Times New Roman" w:eastAsia="Times New Roman" w:hAnsi="Times New Roman" w:cs="Times New Roman"/>
          <w:b/>
          <w:kern w:val="0"/>
          <w14:ligatures w14:val="none"/>
        </w:rPr>
      </w:pPr>
    </w:p>
    <w:p w14:paraId="7175A3EB" w14:textId="77777777" w:rsidR="00D8206B" w:rsidRPr="00D8206B" w:rsidRDefault="00D8206B" w:rsidP="00D8206B">
      <w:pPr>
        <w:spacing w:after="0" w:line="240" w:lineRule="auto"/>
        <w:jc w:val="center"/>
        <w:rPr>
          <w:rFonts w:ascii="Times New Roman" w:eastAsia="Calibri" w:hAnsi="Times New Roman" w:cs="Times New Roman"/>
          <w:b/>
          <w:kern w:val="0"/>
          <w14:ligatures w14:val="none"/>
        </w:rPr>
      </w:pPr>
      <w:r w:rsidRPr="00D8206B">
        <w:rPr>
          <w:rFonts w:ascii="Times New Roman" w:eastAsia="Calibri" w:hAnsi="Times New Roman" w:cs="Times New Roman"/>
          <w:b/>
          <w:kern w:val="0"/>
          <w14:ligatures w14:val="none"/>
        </w:rPr>
        <w:t>Abdulaziz Ahmed Elwan</w:t>
      </w:r>
    </w:p>
    <w:p w14:paraId="491E5FE3" w14:textId="77777777" w:rsidR="00D8206B" w:rsidRPr="00D8206B" w:rsidRDefault="00D8206B" w:rsidP="00D8206B">
      <w:pPr>
        <w:spacing w:after="0" w:line="240" w:lineRule="auto"/>
        <w:jc w:val="center"/>
        <w:rPr>
          <w:rFonts w:ascii="Times New Roman" w:eastAsia="Calibri" w:hAnsi="Times New Roman" w:cs="Times New Roman"/>
          <w:b/>
          <w:kern w:val="0"/>
          <w14:ligatures w14:val="none"/>
        </w:rPr>
      </w:pPr>
      <w:r w:rsidRPr="00D8206B">
        <w:rPr>
          <w:rFonts w:ascii="Times New Roman" w:eastAsia="Calibri" w:hAnsi="Times New Roman" w:cs="Times New Roman"/>
          <w:b/>
          <w:kern w:val="0"/>
          <w14:ligatures w14:val="none"/>
        </w:rPr>
        <w:t>Banking and Finance</w:t>
      </w:r>
    </w:p>
    <w:p w14:paraId="2D516880" w14:textId="77777777" w:rsidR="00D8206B" w:rsidRPr="00D8206B" w:rsidRDefault="00D8206B" w:rsidP="00D8206B">
      <w:pPr>
        <w:spacing w:after="0" w:line="240" w:lineRule="auto"/>
        <w:jc w:val="center"/>
        <w:rPr>
          <w:rFonts w:ascii="Times New Roman" w:eastAsia="Calibri" w:hAnsi="Times New Roman" w:cs="Times New Roman"/>
          <w:b/>
          <w:kern w:val="0"/>
          <w14:ligatures w14:val="none"/>
        </w:rPr>
      </w:pPr>
      <w:r w:rsidRPr="00D8206B">
        <w:rPr>
          <w:rFonts w:ascii="Times New Roman" w:eastAsia="Calibri" w:hAnsi="Times New Roman" w:cs="Times New Roman"/>
          <w:b/>
          <w:kern w:val="0"/>
          <w14:ligatures w14:val="none"/>
        </w:rPr>
        <w:t>Adamawa State University, Mubi</w:t>
      </w:r>
    </w:p>
    <w:p w14:paraId="2722B298" w14:textId="77777777" w:rsidR="00D8206B" w:rsidRPr="00D8206B" w:rsidRDefault="00D8206B" w:rsidP="00D8206B">
      <w:pPr>
        <w:spacing w:after="0" w:line="240" w:lineRule="auto"/>
        <w:jc w:val="center"/>
        <w:rPr>
          <w:rFonts w:ascii="Times New Roman" w:eastAsia="Calibri" w:hAnsi="Times New Roman" w:cs="Times New Roman"/>
          <w:b/>
          <w:kern w:val="0"/>
          <w14:ligatures w14:val="none"/>
        </w:rPr>
      </w:pPr>
      <w:r w:rsidRPr="00D8206B">
        <w:rPr>
          <w:rFonts w:ascii="Times New Roman" w:eastAsia="Calibri" w:hAnsi="Times New Roman" w:cs="Times New Roman"/>
          <w:b/>
          <w:kern w:val="0"/>
          <w14:ligatures w14:val="none"/>
        </w:rPr>
        <w:t xml:space="preserve">Email: </w:t>
      </w:r>
      <w:hyperlink r:id="rId122" w:history="1">
        <w:r w:rsidRPr="00D8206B">
          <w:rPr>
            <w:rFonts w:ascii="Times New Roman" w:eastAsia="Calibri" w:hAnsi="Times New Roman" w:cs="Times New Roman"/>
            <w:b/>
            <w:color w:val="0000FF"/>
            <w:kern w:val="0"/>
            <w:u w:val="single"/>
            <w14:ligatures w14:val="none"/>
          </w:rPr>
          <w:t>elwanabdul4u@gmail.com</w:t>
        </w:r>
      </w:hyperlink>
    </w:p>
    <w:p w14:paraId="792A3E9E" w14:textId="77777777" w:rsidR="00D8206B" w:rsidRPr="00D8206B" w:rsidRDefault="00D8206B" w:rsidP="00D8206B">
      <w:pPr>
        <w:spacing w:after="0" w:line="240" w:lineRule="auto"/>
        <w:jc w:val="center"/>
        <w:rPr>
          <w:rFonts w:ascii="Times New Roman" w:eastAsia="Calibri" w:hAnsi="Times New Roman" w:cs="Times New Roman"/>
          <w:b/>
          <w:kern w:val="0"/>
          <w14:ligatures w14:val="none"/>
        </w:rPr>
      </w:pPr>
      <w:r w:rsidRPr="00D8206B">
        <w:rPr>
          <w:rFonts w:ascii="Times New Roman" w:eastAsia="Calibri" w:hAnsi="Times New Roman" w:cs="Times New Roman"/>
          <w:b/>
          <w:kern w:val="0"/>
          <w14:ligatures w14:val="none"/>
        </w:rPr>
        <w:t>+2348065110320</w:t>
      </w:r>
    </w:p>
    <w:p w14:paraId="64B12596" w14:textId="77777777" w:rsidR="00D8206B" w:rsidRPr="00D8206B" w:rsidRDefault="00D8206B" w:rsidP="00D8206B">
      <w:pPr>
        <w:spacing w:after="0" w:line="240" w:lineRule="auto"/>
        <w:outlineLvl w:val="0"/>
        <w:rPr>
          <w:rFonts w:ascii="Times New Roman" w:eastAsia="Times New Roman" w:hAnsi="Times New Roman" w:cs="Times New Roman"/>
          <w:b/>
          <w:kern w:val="0"/>
          <w14:ligatures w14:val="none"/>
        </w:rPr>
      </w:pPr>
    </w:p>
    <w:p w14:paraId="7AFBE4CC" w14:textId="77777777" w:rsidR="00D8206B" w:rsidRPr="00D8206B" w:rsidRDefault="00D8206B" w:rsidP="00D8206B">
      <w:pPr>
        <w:spacing w:after="0" w:line="240" w:lineRule="auto"/>
        <w:jc w:val="center"/>
        <w:outlineLvl w:val="0"/>
        <w:rPr>
          <w:rFonts w:ascii="Times New Roman" w:eastAsia="Times New Roman" w:hAnsi="Times New Roman" w:cs="Times New Roman"/>
          <w:b/>
          <w:kern w:val="0"/>
          <w14:ligatures w14:val="none"/>
        </w:rPr>
      </w:pPr>
    </w:p>
    <w:p w14:paraId="2C85693C" w14:textId="77777777" w:rsidR="00D8206B" w:rsidRPr="00D8206B" w:rsidRDefault="00D8206B" w:rsidP="00D8206B">
      <w:pPr>
        <w:spacing w:after="0" w:line="240" w:lineRule="auto"/>
        <w:jc w:val="center"/>
        <w:outlineLvl w:val="0"/>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kern w:val="0"/>
          <w14:ligatures w14:val="none"/>
        </w:rPr>
        <w:t xml:space="preserve">ABSTRACT </w:t>
      </w:r>
    </w:p>
    <w:p w14:paraId="1522F7D8" w14:textId="77777777" w:rsidR="00D8206B" w:rsidRPr="00D8206B" w:rsidRDefault="00D8206B" w:rsidP="00D8206B">
      <w:pPr>
        <w:spacing w:after="0" w:line="240" w:lineRule="auto"/>
        <w:jc w:val="both"/>
        <w:rPr>
          <w:rFonts w:ascii="Times New Roman" w:eastAsia="Times New Roman" w:hAnsi="Times New Roman" w:cs="Times New Roman"/>
          <w:i/>
          <w:kern w:val="0"/>
          <w14:ligatures w14:val="none"/>
        </w:rPr>
      </w:pPr>
      <w:r w:rsidRPr="00D8206B">
        <w:rPr>
          <w:rFonts w:ascii="Times New Roman" w:eastAsia="Times New Roman" w:hAnsi="Times New Roman" w:cs="Times New Roman"/>
          <w:i/>
          <w:kern w:val="0"/>
          <w14:ligatures w14:val="none"/>
        </w:rPr>
        <w:t xml:space="preserve">This study investigates the </w:t>
      </w:r>
      <w:r w:rsidRPr="00D8206B">
        <w:rPr>
          <w:rFonts w:ascii="Times New Roman" w:eastAsia="Times New Roman" w:hAnsi="Times New Roman" w:cs="Times New Roman"/>
          <w:i/>
          <w:iCs/>
          <w:kern w:val="0"/>
          <w14:ligatures w14:val="none"/>
        </w:rPr>
        <w:t>regulatory challenges in the adoption of blockchain technology in the Nigerian financial institutions between 2015 and 2024</w:t>
      </w:r>
      <w:r w:rsidRPr="00D8206B">
        <w:rPr>
          <w:rFonts w:ascii="Times New Roman" w:eastAsia="Times New Roman" w:hAnsi="Times New Roman" w:cs="Times New Roman"/>
          <w:i/>
          <w:kern w:val="0"/>
          <w14:ligatures w14:val="none"/>
        </w:rPr>
        <w:t xml:space="preserve">. The research specifically aims to: examine the existing regulatory framework for blockchain in Nigerian financial institutions; identify key regulatory obstacles to its adoption; assess the influence of regulatory uncertainty on financial institutions willingness to adopt blockchain; and analyze the role of key regulatory institutions such as the Central Bank of Nigeria (CBN) and the Securities and Exchange Commission (SEC) in shaping blockchain policies. Adopting a descriptive research design with exploratory elements, the study purposively sampled 60 respondents comprising banking professionals, regulatory officials, and blockchain experts with direct involvement in blockchain implementation or oversight. Data collection relied on secondary sources, including regulatory documents, policy papers, and academic literature from 2015 to 2024. Analytical methods combined qualitative insights with inferential statistics, particularly correlation and regression analysis, using SPSS software. The findings indicate that while Nigerian financial institutions show general willingness to adopt blockchain, regulatory uncertainty and ambiguous frameworks significantly impede this process. The study further reveals that regulatory uncertainty strongly diminishes financial institutions readiness to adopt blockchain, whereas clearly defined regulations and active support from regulatory bodies positively influence adoption decisions. Regression analysis confirms that regulatory </w:t>
      </w:r>
      <w:proofErr w:type="spellStart"/>
      <w:r w:rsidRPr="00D8206B">
        <w:rPr>
          <w:rFonts w:ascii="Times New Roman" w:eastAsia="Times New Roman" w:hAnsi="Times New Roman" w:cs="Times New Roman"/>
          <w:i/>
          <w:kern w:val="0"/>
          <w14:ligatures w14:val="none"/>
        </w:rPr>
        <w:t>factorsespecially</w:t>
      </w:r>
      <w:proofErr w:type="spellEnd"/>
      <w:r w:rsidRPr="00D8206B">
        <w:rPr>
          <w:rFonts w:ascii="Times New Roman" w:eastAsia="Times New Roman" w:hAnsi="Times New Roman" w:cs="Times New Roman"/>
          <w:i/>
          <w:kern w:val="0"/>
          <w14:ligatures w14:val="none"/>
        </w:rPr>
        <w:t xml:space="preserve"> uncertainty and institutional </w:t>
      </w:r>
      <w:proofErr w:type="spellStart"/>
      <w:r w:rsidRPr="00D8206B">
        <w:rPr>
          <w:rFonts w:ascii="Times New Roman" w:eastAsia="Times New Roman" w:hAnsi="Times New Roman" w:cs="Times New Roman"/>
          <w:i/>
          <w:kern w:val="0"/>
          <w14:ligatures w14:val="none"/>
        </w:rPr>
        <w:t>supportsubstantially</w:t>
      </w:r>
      <w:proofErr w:type="spellEnd"/>
      <w:r w:rsidRPr="00D8206B">
        <w:rPr>
          <w:rFonts w:ascii="Times New Roman" w:eastAsia="Times New Roman" w:hAnsi="Times New Roman" w:cs="Times New Roman"/>
          <w:i/>
          <w:kern w:val="0"/>
          <w14:ligatures w14:val="none"/>
        </w:rPr>
        <w:t xml:space="preserve"> explain the variation in blockchain adoption levels across Nigerian financial institutions. The study concludes that despite financial institutions openness to innovation, regulatory ambiguity remains a key barrier. It recommends the urgent development of a comprehensive blockchain regulatory framework, greater institutional engagement through task forces and innovation sandboxes, and targeted training to equip stakeholders with the expertise required for effective blockchain integration and governance in </w:t>
      </w:r>
      <w:proofErr w:type="spellStart"/>
      <w:r w:rsidRPr="00D8206B">
        <w:rPr>
          <w:rFonts w:ascii="Times New Roman" w:eastAsia="Times New Roman" w:hAnsi="Times New Roman" w:cs="Times New Roman"/>
          <w:i/>
          <w:kern w:val="0"/>
          <w14:ligatures w14:val="none"/>
        </w:rPr>
        <w:t>Nigerias</w:t>
      </w:r>
      <w:proofErr w:type="spellEnd"/>
      <w:r w:rsidRPr="00D8206B">
        <w:rPr>
          <w:rFonts w:ascii="Times New Roman" w:eastAsia="Times New Roman" w:hAnsi="Times New Roman" w:cs="Times New Roman"/>
          <w:i/>
          <w:kern w:val="0"/>
          <w14:ligatures w14:val="none"/>
        </w:rPr>
        <w:t xml:space="preserve"> financial institutions.</w:t>
      </w:r>
    </w:p>
    <w:p w14:paraId="798AD329" w14:textId="77777777" w:rsidR="00D8206B" w:rsidRPr="00D8206B" w:rsidRDefault="00D8206B" w:rsidP="00D8206B">
      <w:pPr>
        <w:spacing w:after="0" w:line="240" w:lineRule="auto"/>
        <w:jc w:val="both"/>
        <w:rPr>
          <w:rFonts w:ascii="Times New Roman" w:eastAsia="Times New Roman" w:hAnsi="Times New Roman" w:cs="Times New Roman"/>
          <w:i/>
          <w:kern w:val="0"/>
          <w14:ligatures w14:val="none"/>
        </w:rPr>
      </w:pPr>
    </w:p>
    <w:p w14:paraId="5DD3C6DA" w14:textId="77777777" w:rsidR="00D8206B" w:rsidRPr="00D8206B" w:rsidRDefault="00D8206B" w:rsidP="00D8206B">
      <w:pPr>
        <w:spacing w:after="0" w:line="480" w:lineRule="auto"/>
        <w:outlineLvl w:val="0"/>
        <w:rPr>
          <w:rFonts w:ascii="Times New Roman" w:eastAsia="Times New Roman" w:hAnsi="Times New Roman" w:cs="Times New Roman"/>
          <w:i/>
          <w:iCs/>
          <w:kern w:val="0"/>
          <w14:ligatures w14:val="none"/>
        </w:rPr>
      </w:pPr>
      <w:r w:rsidRPr="00D8206B">
        <w:rPr>
          <w:rFonts w:ascii="Times New Roman" w:eastAsia="Times New Roman" w:hAnsi="Times New Roman" w:cs="Times New Roman"/>
          <w:b/>
          <w:bCs/>
          <w:kern w:val="0"/>
          <w14:ligatures w14:val="none"/>
        </w:rPr>
        <w:t xml:space="preserve">Keywords: </w:t>
      </w:r>
      <w:r w:rsidRPr="00D8206B">
        <w:rPr>
          <w:rFonts w:ascii="Times New Roman" w:eastAsia="Times New Roman" w:hAnsi="Times New Roman" w:cs="Times New Roman"/>
          <w:iCs/>
          <w:kern w:val="0"/>
          <w14:ligatures w14:val="none"/>
        </w:rPr>
        <w:t>Financial institutions</w:t>
      </w:r>
      <w:r w:rsidRPr="00D8206B">
        <w:rPr>
          <w:rFonts w:ascii="Times New Roman" w:eastAsia="Times New Roman" w:hAnsi="Times New Roman" w:cs="Times New Roman"/>
          <w:kern w:val="0"/>
          <w14:ligatures w14:val="none"/>
        </w:rPr>
        <w:t xml:space="preserve">, </w:t>
      </w:r>
      <w:r w:rsidRPr="00D8206B">
        <w:rPr>
          <w:rFonts w:ascii="Times New Roman" w:eastAsia="Times New Roman" w:hAnsi="Times New Roman" w:cs="Times New Roman"/>
          <w:iCs/>
          <w:kern w:val="0"/>
          <w14:ligatures w14:val="none"/>
        </w:rPr>
        <w:t xml:space="preserve">blockchain, challenges, </w:t>
      </w:r>
      <w:r w:rsidRPr="00D8206B">
        <w:rPr>
          <w:rFonts w:ascii="Times New Roman" w:eastAsia="Times New Roman" w:hAnsi="Times New Roman" w:cs="Times New Roman"/>
          <w:kern w:val="0"/>
          <w14:ligatures w14:val="none"/>
        </w:rPr>
        <w:t xml:space="preserve">regulatory and </w:t>
      </w:r>
      <w:r w:rsidRPr="00D8206B">
        <w:rPr>
          <w:rFonts w:ascii="Times New Roman" w:eastAsia="Times New Roman" w:hAnsi="Times New Roman" w:cs="Times New Roman"/>
          <w:iCs/>
          <w:kern w:val="0"/>
          <w14:ligatures w14:val="none"/>
        </w:rPr>
        <w:t>technology.</w:t>
      </w:r>
    </w:p>
    <w:p w14:paraId="208075E2" w14:textId="77777777" w:rsidR="00D8206B" w:rsidRPr="00D8206B" w:rsidRDefault="00D8206B" w:rsidP="00D8206B">
      <w:pPr>
        <w:spacing w:after="0" w:line="240" w:lineRule="auto"/>
        <w:outlineLvl w:val="0"/>
        <w:rPr>
          <w:rFonts w:ascii="Times New Roman" w:eastAsia="Times New Roman" w:hAnsi="Times New Roman" w:cs="Times New Roman"/>
          <w:b/>
          <w:bCs/>
          <w:kern w:val="0"/>
          <w14:ligatures w14:val="none"/>
        </w:rPr>
      </w:pPr>
    </w:p>
    <w:p w14:paraId="7B372D06" w14:textId="77777777" w:rsidR="00D8206B" w:rsidRPr="00DA5AE9" w:rsidRDefault="00D8206B" w:rsidP="00DA5AE9">
      <w:pPr>
        <w:spacing w:after="0" w:line="240" w:lineRule="auto"/>
        <w:outlineLvl w:val="0"/>
        <w:rPr>
          <w:rFonts w:ascii="Times New Roman" w:eastAsia="Times New Roman" w:hAnsi="Times New Roman" w:cs="Times New Roman"/>
          <w:b/>
          <w:bCs/>
          <w:kern w:val="0"/>
          <w14:ligatures w14:val="none"/>
        </w:rPr>
      </w:pPr>
      <w:r w:rsidRPr="00DA5AE9">
        <w:rPr>
          <w:rFonts w:ascii="Times New Roman" w:eastAsia="Times New Roman" w:hAnsi="Times New Roman" w:cs="Times New Roman"/>
          <w:b/>
          <w:bCs/>
          <w:kern w:val="0"/>
          <w14:ligatures w14:val="none"/>
        </w:rPr>
        <w:t>INTRODUCTION</w:t>
      </w:r>
      <w:bookmarkEnd w:id="27"/>
      <w:bookmarkEnd w:id="28"/>
      <w:bookmarkEnd w:id="29"/>
      <w:r w:rsidRPr="00DA5AE9">
        <w:rPr>
          <w:rFonts w:ascii="Times New Roman" w:eastAsia="Times New Roman" w:hAnsi="Times New Roman" w:cs="Times New Roman"/>
          <w:kern w:val="0"/>
          <w14:ligatures w14:val="none"/>
        </w:rPr>
        <w:t xml:space="preserve"> </w:t>
      </w:r>
    </w:p>
    <w:p w14:paraId="0EC73BCA"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Blockchain technology is widely acknowledged as a groundbreaking innovation reshaping the global financial landscape by enabling decentralized, transparent, and secure transaction mechanisms. In recent years, it has significantly transformed banking processes by offering a viable alternative to conventional centralized infrastructures. According to Crosby et al. (2019), financial organizations around the world are progressively embracing blockchain for its ability to enhance transactional security, lower operational expenses, and boost overall efficiency. However, the widespread integration of blockchain in the banking industry faces obstacles such as ambiguous regulatory environments, compliance complexities, and ongoing cybersecurity risks. These </w:t>
      </w:r>
      <w:r w:rsidRPr="00DA5AE9">
        <w:rPr>
          <w:rFonts w:ascii="Times New Roman" w:eastAsia="Calibri" w:hAnsi="Times New Roman" w:cs="Times New Roman"/>
          <w:kern w:val="0"/>
          <w14:ligatures w14:val="none"/>
        </w:rPr>
        <w:lastRenderedPageBreak/>
        <w:t>challenges have prompted calls for robust regulatory frameworks to govern blockchain use and ensure adherence to established financial regulations (Yli-Huumo et al., 2018).</w:t>
      </w:r>
    </w:p>
    <w:p w14:paraId="0C4D6A8F"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p>
    <w:p w14:paraId="10FDAFF1"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Different countries e.g. China, Switzerland and United States have approached blockchain regulation in various ways, reflecting their unique financial landscapes and regulatory priorities. In the United States, regulatory agencies such as the Securities and Exchange Commission (SEC) and the Commodity Futures Trading Commission (CFTC) have implemented policies to address blockchain-related risks while encouraging innovation. Similarly, the European Union has developed a harmonized framework to govern blockchain-based financial activities, ensuring compliance across member states (Auer &amp; Claessens, 2018). However, China has taken a more restrictive stance, imposing stringent regulations on blockchain and cryptocurrency activities to maintain financial stability. These diverse regulatory approaches highlight the complexities involved in integrating blockchain into the financial institutions while maintaining financial security.</w:t>
      </w:r>
    </w:p>
    <w:p w14:paraId="6F5368AB"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p>
    <w:p w14:paraId="6DE36A32"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Different countries have adopted varied approaches, with some taking a cautious stance due to concerns about financial security and the risks associated with digital currencies (Adewale, 2021). For instance, while South Africa has developed guidelines for cryptocurrency taxation and financial oversight, other nations, including Kenya and Nigeria, have struggled with inconsistent regulatory policies. The lack of standardized regulations complicates blockchain implementation and limits its potential for driving financial inclusion and innovation across the continent. These disparities necessitate regional collaboration to establish a cohesive regulatory framework that facilitates secure blockchain adoption in banking.  Furthermore, African regulators must address challenges related to consumer protection, cybersecurity, and financial stability in the evolving blockchain landscape. Many financial institutions are hesitant to fully integrate blockchain technology due to concerns about legal uncertainties and compliance risks (Okeke, 2022).</w:t>
      </w:r>
    </w:p>
    <w:p w14:paraId="486DE697"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p>
    <w:p w14:paraId="3B341462"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In Nigeria, blockchain adoption in banking has gained traction, especially in the areas of digital payments, Know Your Customer (KYC) processes, and fraud prevention. Nigerian financial institutions and fintech companies have recognized the potential of blockchain technology in enhancing financial security and efficiency (Uchenna &amp; Eze, 2021). The ability of blockchain to provide transparent and tamper-proof transaction records has made it an attractive option for addressing longstanding issues such as financial fraud and identity verification. However, the regulatory environment surrounding blockchain in Nigeria remains complex and challenging, limiting the extent to which financial institutions can fully leverage its capabilities.</w:t>
      </w:r>
    </w:p>
    <w:p w14:paraId="57FED229"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p>
    <w:p w14:paraId="65D15193"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The Central Bank of Nigeria (CBN) has taken a cautious approach towards blockchain and cryptocurrency adoption, citing concerns related to money laundering, fraud, and financial stability (Obiora, 2022). In 2021, the CBN imposed a ban on cryptocurrency transactions, restricting financial institutions from facilitating crypto-related activities (Adelakun, 2021). This move was driven by regulatory apprehensions about the risks associated with unregulated digital assets, including their potential use in illicit financial activities. However, the ban has also raised concerns about stifling innovation and limiting </w:t>
      </w:r>
      <w:proofErr w:type="spellStart"/>
      <w:r w:rsidRPr="00DA5AE9">
        <w:rPr>
          <w:rFonts w:ascii="Times New Roman" w:eastAsia="Calibri" w:hAnsi="Times New Roman" w:cs="Times New Roman"/>
          <w:kern w:val="0"/>
          <w14:ligatures w14:val="none"/>
        </w:rPr>
        <w:t>Nigerias</w:t>
      </w:r>
      <w:proofErr w:type="spellEnd"/>
      <w:r w:rsidRPr="00DA5AE9">
        <w:rPr>
          <w:rFonts w:ascii="Times New Roman" w:eastAsia="Calibri" w:hAnsi="Times New Roman" w:cs="Times New Roman"/>
          <w:kern w:val="0"/>
          <w14:ligatures w14:val="none"/>
        </w:rPr>
        <w:t xml:space="preserve"> ability to compete in the evolving digital finance landscape. The need for clear, balanced regulations remains a pressing issue for stakeholders in the Nigerian financial institutions.</w:t>
      </w:r>
    </w:p>
    <w:p w14:paraId="2A3356B6"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p>
    <w:p w14:paraId="0E924396"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Despite regulatory restrictions, fintech companies and traditional financial institutions in Nigeria continue to explore blockchain solutions to enhance their operations and customer experience (Okonkwo, 2023). The emergence of blockchain-based identity verification, payment processing, and smart contracts has demonstrated the potential of the technology in streamlining banking services. However, inconsistencies in regulatory policies, lack of governmental support, and resistance from financial authorities pose significant obstacles to widespread blockchain adoption. Establishing a well-defined regulatory framework that aligns with global best practices while addressing </w:t>
      </w:r>
      <w:proofErr w:type="spellStart"/>
      <w:r w:rsidRPr="00DA5AE9">
        <w:rPr>
          <w:rFonts w:ascii="Times New Roman" w:eastAsia="Calibri" w:hAnsi="Times New Roman" w:cs="Times New Roman"/>
          <w:kern w:val="0"/>
          <w14:ligatures w14:val="none"/>
        </w:rPr>
        <w:t>Nigerias</w:t>
      </w:r>
      <w:proofErr w:type="spellEnd"/>
      <w:r w:rsidRPr="00DA5AE9">
        <w:rPr>
          <w:rFonts w:ascii="Times New Roman" w:eastAsia="Calibri" w:hAnsi="Times New Roman" w:cs="Times New Roman"/>
          <w:kern w:val="0"/>
          <w14:ligatures w14:val="none"/>
        </w:rPr>
        <w:t xml:space="preserve"> unique financial challenges will be essential for the </w:t>
      </w:r>
      <w:proofErr w:type="spellStart"/>
      <w:r w:rsidRPr="00DA5AE9">
        <w:rPr>
          <w:rFonts w:ascii="Times New Roman" w:eastAsia="Calibri" w:hAnsi="Times New Roman" w:cs="Times New Roman"/>
          <w:kern w:val="0"/>
          <w14:ligatures w14:val="none"/>
        </w:rPr>
        <w:t>technologys</w:t>
      </w:r>
      <w:proofErr w:type="spellEnd"/>
      <w:r w:rsidRPr="00DA5AE9">
        <w:rPr>
          <w:rFonts w:ascii="Times New Roman" w:eastAsia="Calibri" w:hAnsi="Times New Roman" w:cs="Times New Roman"/>
          <w:kern w:val="0"/>
          <w14:ligatures w14:val="none"/>
        </w:rPr>
        <w:t xml:space="preserve"> sustainable adoption (Chinedu &amp; Musa, 2023). Without clear guidelines, Nigeria risks falling behind in the global digital finance revolution, making regulatory clarity a priority for future developments.</w:t>
      </w:r>
    </w:p>
    <w:p w14:paraId="1C377F33"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
    <w:p w14:paraId="181799BA"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The main objective of this study examines the regulatory challenges in the adoption of </w:t>
      </w:r>
      <w:proofErr w:type="spellStart"/>
      <w:r w:rsidRPr="00DA5AE9">
        <w:rPr>
          <w:rFonts w:ascii="Times New Roman" w:eastAsia="Times New Roman" w:hAnsi="Times New Roman" w:cs="Times New Roman"/>
          <w:kern w:val="0"/>
          <w14:ligatures w14:val="none"/>
        </w:rPr>
        <w:t>blockhain</w:t>
      </w:r>
      <w:proofErr w:type="spellEnd"/>
      <w:r w:rsidRPr="00DA5AE9">
        <w:rPr>
          <w:rFonts w:ascii="Times New Roman" w:eastAsia="Times New Roman" w:hAnsi="Times New Roman" w:cs="Times New Roman"/>
          <w:kern w:val="0"/>
          <w14:ligatures w14:val="none"/>
        </w:rPr>
        <w:t xml:space="preserve"> in banking Nigeria (2015 - 2024). While the specific objectives are to:</w:t>
      </w:r>
    </w:p>
    <w:p w14:paraId="5C713203" w14:textId="77777777" w:rsidR="00D8206B" w:rsidRPr="00DA5AE9"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A5AE9">
        <w:rPr>
          <w:rFonts w:ascii="Times New Roman" w:eastAsia="Times New Roman" w:hAnsi="Times New Roman" w:cs="Times New Roman"/>
          <w:kern w:val="0"/>
          <w14:ligatures w14:val="none"/>
        </w:rPr>
        <w:t>i</w:t>
      </w:r>
      <w:proofErr w:type="spellEnd"/>
      <w:r w:rsidRPr="00DA5AE9">
        <w:rPr>
          <w:rFonts w:ascii="Times New Roman" w:eastAsia="Times New Roman" w:hAnsi="Times New Roman" w:cs="Times New Roman"/>
          <w:kern w:val="0"/>
          <w14:ligatures w14:val="none"/>
        </w:rPr>
        <w:t>.</w:t>
      </w:r>
      <w:r w:rsidRPr="00DA5AE9">
        <w:rPr>
          <w:rFonts w:ascii="Times New Roman" w:eastAsia="Times New Roman" w:hAnsi="Times New Roman" w:cs="Times New Roman"/>
          <w:kern w:val="0"/>
          <w14:ligatures w14:val="none"/>
        </w:rPr>
        <w:tab/>
      </w:r>
      <w:proofErr w:type="gramStart"/>
      <w:r w:rsidRPr="00DA5AE9">
        <w:rPr>
          <w:rFonts w:ascii="Times New Roman" w:eastAsia="Times New Roman" w:hAnsi="Times New Roman" w:cs="Times New Roman"/>
          <w:kern w:val="0"/>
          <w14:ligatures w14:val="none"/>
        </w:rPr>
        <w:t>examine</w:t>
      </w:r>
      <w:proofErr w:type="gramEnd"/>
      <w:r w:rsidRPr="00DA5AE9">
        <w:rPr>
          <w:rFonts w:ascii="Times New Roman" w:eastAsia="Times New Roman" w:hAnsi="Times New Roman" w:cs="Times New Roman"/>
          <w:kern w:val="0"/>
          <w14:ligatures w14:val="none"/>
        </w:rPr>
        <w:t xml:space="preserve"> the existing regulatory framework governing blockchain technology in the Nigerian financial institutions.</w:t>
      </w:r>
    </w:p>
    <w:p w14:paraId="7D9874D4" w14:textId="77777777" w:rsidR="00D8206B" w:rsidRPr="00DA5AE9"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ii.</w:t>
      </w:r>
      <w:r w:rsidRPr="00DA5AE9">
        <w:rPr>
          <w:rFonts w:ascii="Times New Roman" w:eastAsia="Times New Roman" w:hAnsi="Times New Roman" w:cs="Times New Roman"/>
          <w:kern w:val="0"/>
          <w14:ligatures w14:val="none"/>
        </w:rPr>
        <w:tab/>
        <w:t>identify key regulatory challenges that hinder the adoption of blockchain in Nigerian financial institutions.</w:t>
      </w:r>
    </w:p>
    <w:p w14:paraId="5CC6DDC1" w14:textId="77777777" w:rsidR="00D8206B" w:rsidRPr="00DA5AE9"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iii.</w:t>
      </w:r>
      <w:r w:rsidRPr="00DA5AE9">
        <w:rPr>
          <w:rFonts w:ascii="Times New Roman" w:eastAsia="Times New Roman" w:hAnsi="Times New Roman" w:cs="Times New Roman"/>
          <w:kern w:val="0"/>
          <w14:ligatures w14:val="none"/>
        </w:rPr>
        <w:tab/>
        <w:t>assess the impact of regulatory uncertainty on financial institutions' willingness to integrate blockchain solutions.</w:t>
      </w:r>
    </w:p>
    <w:p w14:paraId="54360EF4" w14:textId="77777777" w:rsidR="00D8206B" w:rsidRPr="00DA5AE9"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iv.</w:t>
      </w:r>
      <w:r w:rsidRPr="00DA5AE9">
        <w:rPr>
          <w:rFonts w:ascii="Times New Roman" w:eastAsia="Times New Roman" w:hAnsi="Times New Roman" w:cs="Times New Roman"/>
          <w:kern w:val="0"/>
          <w14:ligatures w14:val="none"/>
        </w:rPr>
        <w:tab/>
        <w:t>analyze the role of regulatory bodies such as the Central Bank of Nigeria (CBN) and the Nigerian Securities and Exchange Commission (SEC) in shaping blockchain policies.</w:t>
      </w:r>
    </w:p>
    <w:p w14:paraId="38E87850" w14:textId="77777777" w:rsidR="00D8206B" w:rsidRPr="00DA5AE9" w:rsidRDefault="00D8206B" w:rsidP="00DA5AE9">
      <w:pPr>
        <w:keepNext/>
        <w:spacing w:after="0" w:line="240" w:lineRule="auto"/>
        <w:outlineLvl w:val="2"/>
        <w:rPr>
          <w:rFonts w:ascii="Times New Roman" w:eastAsia="Calibri" w:hAnsi="Times New Roman" w:cs="Times New Roman"/>
          <w:b/>
          <w:bCs/>
          <w:kern w:val="0"/>
          <w14:ligatures w14:val="none"/>
        </w:rPr>
      </w:pPr>
    </w:p>
    <w:p w14:paraId="495C6E74" w14:textId="77777777" w:rsidR="00D8206B" w:rsidRPr="00DA5AE9" w:rsidRDefault="00D8206B" w:rsidP="00DA5AE9">
      <w:pPr>
        <w:keepNext/>
        <w:spacing w:after="0" w:line="240" w:lineRule="auto"/>
        <w:outlineLvl w:val="2"/>
        <w:rPr>
          <w:rFonts w:ascii="Times New Roman" w:eastAsia="Calibri" w:hAnsi="Times New Roman" w:cs="Times New Roman"/>
          <w:b/>
          <w:bCs/>
          <w:kern w:val="0"/>
          <w14:ligatures w14:val="none"/>
        </w:rPr>
      </w:pPr>
      <w:r w:rsidRPr="00DA5AE9">
        <w:rPr>
          <w:rFonts w:ascii="Times New Roman" w:eastAsia="Calibri" w:hAnsi="Times New Roman" w:cs="Times New Roman"/>
          <w:b/>
          <w:bCs/>
          <w:kern w:val="0"/>
          <w14:ligatures w14:val="none"/>
        </w:rPr>
        <w:t>LITERATURE REVIEW</w:t>
      </w:r>
    </w:p>
    <w:p w14:paraId="7A06265D" w14:textId="77777777" w:rsidR="00D8206B" w:rsidRPr="00DA5AE9" w:rsidRDefault="00D8206B" w:rsidP="00DA5AE9">
      <w:pPr>
        <w:keepNext/>
        <w:spacing w:after="0" w:line="240" w:lineRule="auto"/>
        <w:outlineLvl w:val="0"/>
        <w:rPr>
          <w:rFonts w:ascii="Times New Roman" w:eastAsia="Calibri" w:hAnsi="Times New Roman" w:cs="Times New Roman"/>
          <w:b/>
          <w:bCs/>
          <w:kern w:val="32"/>
          <w14:ligatures w14:val="none"/>
        </w:rPr>
      </w:pPr>
      <w:proofErr w:type="spellStart"/>
      <w:r w:rsidRPr="00DA5AE9">
        <w:rPr>
          <w:rFonts w:ascii="Times New Roman" w:eastAsia="Calibri" w:hAnsi="Times New Roman" w:cs="Times New Roman"/>
          <w:b/>
          <w:bCs/>
          <w:kern w:val="32"/>
          <w14:ligatures w14:val="none"/>
        </w:rPr>
        <w:t>Blockhain</w:t>
      </w:r>
      <w:proofErr w:type="spellEnd"/>
    </w:p>
    <w:p w14:paraId="58FAAFE6"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Blockchain is widely recognized as a decentralized and distributed digital ledger that records transactions across multiple computers to ensure transparency and data integrity, preventing any single party from altering the records (Nakamoto, 2018). It functions as a secure and immutable system where data is stored in blocks that are chronologically linked together, forming a chain resistant to tampering (Crosby, </w:t>
      </w:r>
      <w:proofErr w:type="spellStart"/>
      <w:r w:rsidRPr="00DA5AE9">
        <w:rPr>
          <w:rFonts w:ascii="Times New Roman" w:eastAsia="Times New Roman" w:hAnsi="Times New Roman" w:cs="Times New Roman"/>
          <w:kern w:val="0"/>
          <w14:ligatures w14:val="none"/>
        </w:rPr>
        <w:t>Pattanayak</w:t>
      </w:r>
      <w:proofErr w:type="spellEnd"/>
      <w:r w:rsidRPr="00DA5AE9">
        <w:rPr>
          <w:rFonts w:ascii="Times New Roman" w:eastAsia="Times New Roman" w:hAnsi="Times New Roman" w:cs="Times New Roman"/>
          <w:kern w:val="0"/>
          <w14:ligatures w14:val="none"/>
        </w:rPr>
        <w:t xml:space="preserve">, Verma, &amp; Kalyanaraman, 2020). Furthermore, blockchain can be described as a continuously growing list of ordered records maintained in a distributed database, offering protection against revision and unauthorized changes (Tapscott &amp; Tapscott, 2020). The technology operates on a consensus mechanism that enables secure peer-to-peer transactions without the need for centralized authorities, thus enhancing trust in digital exchanges (Yli-Huumo, Ko, Choi, Park, &amp; </w:t>
      </w:r>
      <w:proofErr w:type="spellStart"/>
      <w:r w:rsidRPr="00DA5AE9">
        <w:rPr>
          <w:rFonts w:ascii="Times New Roman" w:eastAsia="Times New Roman" w:hAnsi="Times New Roman" w:cs="Times New Roman"/>
          <w:kern w:val="0"/>
          <w14:ligatures w14:val="none"/>
        </w:rPr>
        <w:t>Smolander</w:t>
      </w:r>
      <w:proofErr w:type="spellEnd"/>
      <w:r w:rsidRPr="00DA5AE9">
        <w:rPr>
          <w:rFonts w:ascii="Times New Roman" w:eastAsia="Times New Roman" w:hAnsi="Times New Roman" w:cs="Times New Roman"/>
          <w:kern w:val="0"/>
          <w14:ligatures w14:val="none"/>
        </w:rPr>
        <w:t>, 2020). Beyond financial applications, blockchain is also seen as a programmable digital ledger capable of recording virtually any asset or value, making it a transformative technology for various industries (</w:t>
      </w:r>
      <w:proofErr w:type="spellStart"/>
      <w:r w:rsidRPr="00DA5AE9">
        <w:rPr>
          <w:rFonts w:ascii="Times New Roman" w:eastAsia="Times New Roman" w:hAnsi="Times New Roman" w:cs="Times New Roman"/>
          <w:kern w:val="0"/>
          <w14:ligatures w14:val="none"/>
        </w:rPr>
        <w:t>Mougayar</w:t>
      </w:r>
      <w:proofErr w:type="spellEnd"/>
      <w:r w:rsidRPr="00DA5AE9">
        <w:rPr>
          <w:rFonts w:ascii="Times New Roman" w:eastAsia="Times New Roman" w:hAnsi="Times New Roman" w:cs="Times New Roman"/>
          <w:kern w:val="0"/>
          <w14:ligatures w14:val="none"/>
        </w:rPr>
        <w:t>, 2020).</w:t>
      </w:r>
    </w:p>
    <w:p w14:paraId="243AFCF9" w14:textId="77777777" w:rsidR="00D8206B" w:rsidRPr="00DA5AE9" w:rsidRDefault="00D8206B" w:rsidP="00DA5AE9">
      <w:pPr>
        <w:keepNext/>
        <w:spacing w:before="240" w:after="6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 xml:space="preserve">Regulatory Challenges </w:t>
      </w:r>
    </w:p>
    <w:p w14:paraId="06079DF3"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Regulatory challenges in Nigeria are defined as the difficulties and barriers that businesses face in complying with government laws, policies, and regulations which often affect their operational efficiency and competitiveness (Taye &amp; Okeke, 2019). They refer to the complexities arising from frequent changes and uncertainties within the regulatory environment that complicate sustained compliance and growth for Nigerian firms (Olawale &amp; Adeyemi, 2020). These challenges also include bureaucratic hurdles and inconsistent enforcement of policies by regulatory agencies, creating uncertainty and delays in business processes (Abubakar &amp; Musa, 2018). Moreover, regulatory challenges encompass the high costs and procedural delays involved in meeting compliance requirements such as obtaining permits and licenses (Bayo &amp; Ogunleye, 2021). They are further described as legal and procedural obstacles imposed by government institutions that require businesses to constantly adapt their strategies and operations (Ibrahim &amp; Chukwu, 2022). </w:t>
      </w:r>
    </w:p>
    <w:p w14:paraId="6D431D4F"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
    <w:p w14:paraId="42C85C15" w14:textId="77777777" w:rsidR="00D8206B" w:rsidRPr="00DA5AE9" w:rsidRDefault="00D8206B" w:rsidP="00DA5AE9">
      <w:pPr>
        <w:keepNext/>
        <w:spacing w:after="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 xml:space="preserve">Regulatory Framework Governing Blockchain Technology </w:t>
      </w:r>
    </w:p>
    <w:p w14:paraId="1B815930"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The regulatory framework governing blockchain technology refers to the collection of laws, guidelines, and policies established by governments and international bodies to oversee the development, deployment, and use of blockchain systems. This framework aims to ensure the technology operates securely, transparently, and ethically while protecting users from fraud and cybercrime (Zhang &amp; Lee, 2021). Blockchain regulatory frameworks are designed to create a legal environment that balances innovation with risk management, enabling the technology's potential while preventing misuse such as money laundering, terrorism financing, and market manipulation (Chen, Wang, &amp; Xu, 2020). Such frameworks often involve compliance requirements like Know Your Customer (KYC) and Anti-Money Laundering (AML) protocols. According to Arner, Barberis, and Buckley (2021), regulatory frameworks for blockchain must evolve alongside the technology due to its decentralized nature, which challenges traditional regulatory approaches centered on centralized intermediaries. </w:t>
      </w:r>
      <w:r w:rsidRPr="00DA5AE9">
        <w:rPr>
          <w:rFonts w:ascii="Times New Roman" w:eastAsia="Times New Roman" w:hAnsi="Times New Roman" w:cs="Times New Roman"/>
          <w:kern w:val="0"/>
          <w14:ligatures w14:val="none"/>
        </w:rPr>
        <w:lastRenderedPageBreak/>
        <w:t>This requires innovative legal strategies that adapt to distributed ledger technology's unique characteristics (Marian, 2019).</w:t>
      </w:r>
    </w:p>
    <w:p w14:paraId="4C474BD2"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
    <w:p w14:paraId="663498C5" w14:textId="77777777" w:rsidR="00D8206B" w:rsidRPr="00DA5AE9" w:rsidRDefault="00D8206B" w:rsidP="00DA5AE9">
      <w:pPr>
        <w:keepNext/>
        <w:spacing w:after="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 xml:space="preserve">Adoption of Blockchain </w:t>
      </w:r>
    </w:p>
    <w:p w14:paraId="0AD5A379"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bCs/>
          <w:kern w:val="0"/>
          <w14:ligatures w14:val="none"/>
        </w:rPr>
        <w:t>Blockchain adoption</w:t>
      </w:r>
      <w:r w:rsidRPr="00DA5AE9">
        <w:rPr>
          <w:rFonts w:ascii="Times New Roman" w:eastAsia="Calibri" w:hAnsi="Times New Roman" w:cs="Times New Roman"/>
          <w:kern w:val="0"/>
          <w14:ligatures w14:val="none"/>
        </w:rPr>
        <w:t xml:space="preserve"> refers to the process by which organizations, industries, or individuals integrate blockchain technology into their existing systems and operations to enhance transparency, security, and efficiency (Swan, 2021). This adoption involves not only the technical implementation but also organizational adjustments and the creation of new business models to leverage </w:t>
      </w:r>
      <w:proofErr w:type="spellStart"/>
      <w:r w:rsidRPr="00DA5AE9">
        <w:rPr>
          <w:rFonts w:ascii="Times New Roman" w:eastAsia="Calibri" w:hAnsi="Times New Roman" w:cs="Times New Roman"/>
          <w:kern w:val="0"/>
          <w14:ligatures w14:val="none"/>
        </w:rPr>
        <w:t>blockchains</w:t>
      </w:r>
      <w:proofErr w:type="spellEnd"/>
      <w:r w:rsidRPr="00DA5AE9">
        <w:rPr>
          <w:rFonts w:ascii="Times New Roman" w:eastAsia="Calibri" w:hAnsi="Times New Roman" w:cs="Times New Roman"/>
          <w:kern w:val="0"/>
          <w14:ligatures w14:val="none"/>
        </w:rPr>
        <w:t xml:space="preserve"> decentralized nature. According to Yli-Huumo et al. (2020), the adoption of blockchain technology encompasses the acceptance and use of distributed ledger systems that enable secure peer-to-peer transactions without intermediaries. Blockchain adoption can also be understood as a transformative shift in data management and transactional operations, characterized by decentralization, immutability, and consensus-driven validation (Casino, </w:t>
      </w:r>
      <w:proofErr w:type="spellStart"/>
      <w:r w:rsidRPr="00DA5AE9">
        <w:rPr>
          <w:rFonts w:ascii="Times New Roman" w:eastAsia="Calibri" w:hAnsi="Times New Roman" w:cs="Times New Roman"/>
          <w:kern w:val="0"/>
          <w14:ligatures w14:val="none"/>
        </w:rPr>
        <w:t>Dasaklis</w:t>
      </w:r>
      <w:proofErr w:type="spellEnd"/>
      <w:r w:rsidRPr="00DA5AE9">
        <w:rPr>
          <w:rFonts w:ascii="Times New Roman" w:eastAsia="Calibri" w:hAnsi="Times New Roman" w:cs="Times New Roman"/>
          <w:kern w:val="0"/>
          <w14:ligatures w14:val="none"/>
        </w:rPr>
        <w:t xml:space="preserve">, &amp; </w:t>
      </w:r>
      <w:proofErr w:type="spellStart"/>
      <w:r w:rsidRPr="00DA5AE9">
        <w:rPr>
          <w:rFonts w:ascii="Times New Roman" w:eastAsia="Calibri" w:hAnsi="Times New Roman" w:cs="Times New Roman"/>
          <w:kern w:val="0"/>
          <w14:ligatures w14:val="none"/>
        </w:rPr>
        <w:t>Patsakis</w:t>
      </w:r>
      <w:proofErr w:type="spellEnd"/>
      <w:r w:rsidRPr="00DA5AE9">
        <w:rPr>
          <w:rFonts w:ascii="Times New Roman" w:eastAsia="Calibri" w:hAnsi="Times New Roman" w:cs="Times New Roman"/>
          <w:kern w:val="0"/>
          <w14:ligatures w14:val="none"/>
        </w:rPr>
        <w:t>, 2019). These features contribute to reducing fraud, increasing traceability, and enabling new forms of digital asset management. As described by Tapscott and Tapscott (2020), adoption of blockchain technology extends beyond cryptocurrencies to sectors such as supply chain management, healthcare, and finance, where its ability to enhance data integrity and transparency offers significant competitive advantages. Early adopters often benefit from improved operational efficiencies and trust among stakeholders.</w:t>
      </w:r>
    </w:p>
    <w:p w14:paraId="40ED0DA2" w14:textId="77777777" w:rsidR="00D8206B" w:rsidRPr="00DA5AE9" w:rsidRDefault="00D8206B" w:rsidP="00DA5AE9">
      <w:pPr>
        <w:keepNext/>
        <w:spacing w:after="0" w:line="240" w:lineRule="auto"/>
        <w:outlineLvl w:val="0"/>
        <w:rPr>
          <w:rFonts w:ascii="Times New Roman" w:eastAsia="Calibri" w:hAnsi="Times New Roman" w:cs="Times New Roman"/>
          <w:b/>
          <w:bCs/>
          <w:kern w:val="32"/>
          <w14:ligatures w14:val="none"/>
        </w:rPr>
      </w:pPr>
    </w:p>
    <w:p w14:paraId="6130CDED" w14:textId="77777777" w:rsidR="00D8206B" w:rsidRPr="00DA5AE9" w:rsidRDefault="00D8206B" w:rsidP="00DA5AE9">
      <w:pPr>
        <w:keepNext/>
        <w:spacing w:after="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 xml:space="preserve">Regulatory Uncertainty </w:t>
      </w:r>
    </w:p>
    <w:p w14:paraId="2858E147"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Regulatory uncertainty refers to the unpredictability surrounding government rules, policies, and regulations that affect businesses and investments. According to Garba (2021), regulatory uncertainty in African economies often arises from inconsistent policy enforcement and frequent changes in laws, which hinder long-term business planning and discourage foreign direct investment. Regulatory uncertainty is described as the ambiguity and lack of clarity regarding the application and interpretation of regulatory frameworks by government agencies (Ezeani &amp; Chukwuma, 2019). According to Mbeki and Moyo (2020), regulatory uncertainty is the state where firms face fluctuating and unstable regulatory environments, often characterized by sudden legislative amendments and unclear regulatory guidelines. As noted by Adebayo and Okeke (2018), this uncertainty reflects a mismatch between regulatory intent and practical implementation, which results in a gap that businesses find difficult to navigate. Ojo and Adeyemi (2022) define regulatory uncertainty as the risk arising from unclear, inconsistent, or rapidly changing government policies that affect market operations. Regulatory uncertainty can be understood as the challenge businesses face in forecasting the regulatory environment due to non-transparent and frequently changing rules (Ndlovu &amp; Tshuma, 2023). </w:t>
      </w:r>
    </w:p>
    <w:p w14:paraId="74C73502" w14:textId="77777777" w:rsidR="00D8206B" w:rsidRPr="00DA5AE9" w:rsidRDefault="00D8206B" w:rsidP="00DA5AE9">
      <w:pPr>
        <w:keepNext/>
        <w:spacing w:after="0" w:line="240" w:lineRule="auto"/>
        <w:outlineLvl w:val="0"/>
        <w:rPr>
          <w:rFonts w:ascii="Times New Roman" w:eastAsia="Calibri" w:hAnsi="Times New Roman" w:cs="Times New Roman"/>
          <w:b/>
          <w:bCs/>
          <w:kern w:val="32"/>
          <w14:ligatures w14:val="none"/>
        </w:rPr>
      </w:pPr>
    </w:p>
    <w:p w14:paraId="1949943A" w14:textId="77777777" w:rsidR="00D8206B" w:rsidRPr="00DA5AE9" w:rsidRDefault="00D8206B" w:rsidP="00DA5AE9">
      <w:pPr>
        <w:keepNext/>
        <w:spacing w:after="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Financial institutions' Willingness to Integrate Blockchain Solutions</w:t>
      </w:r>
    </w:p>
    <w:p w14:paraId="36C82A58"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According to Nuhu and Oladipo (2022), this willingness is driven by the potential benefits blockchain offers in enhancing transparency, reducing fraud, and improving the efficiency of banking processes across Africa's financial sector. Reuben et al. (2021) explain that this readiness encompasses both the technological preparedness and the organizational mindset to embrace innovation, which is crucial for overcoming challenges such as financial exclusion and corruption in the banking system. Agbo and Adebayo (2020) conceptualize financial institutions' willingness to integrate blockchain solutions as the degree of acceptance and commitment by banking institutions towards leveraging blockchain to transform traditional banking activities. Chukwu and Ndukwe (2023) argue that this willingness is influenced by factors such as awareness of blockchain benefits, perceived risks, and the regulatory environment prevalent in many African countries. According to Musa and Mohammed (2024), financial institutions willingness to implement blockchain solutions represents an organizational readiness that is both technological and cultural, emphasizing the need for training, investment in blockchain infrastructure, and collaboration with fintech startups. </w:t>
      </w:r>
    </w:p>
    <w:p w14:paraId="380D516E" w14:textId="77777777" w:rsidR="00D8206B" w:rsidRPr="00DA5AE9" w:rsidRDefault="00D8206B" w:rsidP="00DA5AE9">
      <w:pPr>
        <w:keepNext/>
        <w:spacing w:before="240" w:after="6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lastRenderedPageBreak/>
        <w:t xml:space="preserve">Role of Regulatory Bodies </w:t>
      </w:r>
    </w:p>
    <w:p w14:paraId="71F9AC2B" w14:textId="77777777" w:rsidR="00D8206B" w:rsidRPr="00DA5AE9" w:rsidRDefault="00D8206B" w:rsidP="00DA5AE9">
      <w:p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According to </w:t>
      </w:r>
      <w:proofErr w:type="spellStart"/>
      <w:r w:rsidRPr="00DA5AE9">
        <w:rPr>
          <w:rFonts w:ascii="Times New Roman" w:eastAsia="Calibri" w:hAnsi="Times New Roman" w:cs="Times New Roman"/>
          <w:kern w:val="0"/>
          <w14:ligatures w14:val="none"/>
        </w:rPr>
        <w:t>Timisola</w:t>
      </w:r>
      <w:proofErr w:type="spellEnd"/>
      <w:r w:rsidRPr="00DA5AE9">
        <w:rPr>
          <w:rFonts w:ascii="Times New Roman" w:eastAsia="Calibri" w:hAnsi="Times New Roman" w:cs="Times New Roman"/>
          <w:kern w:val="0"/>
          <w14:ligatures w14:val="none"/>
        </w:rPr>
        <w:t xml:space="preserve"> and Nwosu (2021), regulatory agencies in Africa are essential for maintaining market discipline by monitoring business activities and preventing unethical practices that could harm consumers and the economy. As noted by Emmanuel and Chukwu (2020), effective regulation helps reduce market failures and provides confidence to investors by safeguarding property rights and enforcing contracts. Regulatory bodies also serve as mediators between the government, private sector, and the public, facilitating communication and resolving conflicts. Ndlovu and Moyo (2019) emphasize that these organizations help bridge the gap between policy formulation and implementation, ensuring that regulations align with national development goals. </w:t>
      </w:r>
    </w:p>
    <w:p w14:paraId="124EEB34" w14:textId="77777777" w:rsidR="00D8206B" w:rsidRPr="00DA5AE9" w:rsidRDefault="00D8206B" w:rsidP="00DA5AE9">
      <w:p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Ezeani and Ogbuehi (2018) assert that regulatory oversight is fundamental in combating counterfeit products, ensuring fair pricing, and enhancing service delivery. According to </w:t>
      </w:r>
      <w:proofErr w:type="spellStart"/>
      <w:r w:rsidRPr="00DA5AE9">
        <w:rPr>
          <w:rFonts w:ascii="Times New Roman" w:eastAsia="Calibri" w:hAnsi="Times New Roman" w:cs="Times New Roman"/>
          <w:kern w:val="0"/>
          <w14:ligatures w14:val="none"/>
        </w:rPr>
        <w:t>Delewale</w:t>
      </w:r>
      <w:proofErr w:type="spellEnd"/>
      <w:r w:rsidRPr="00DA5AE9">
        <w:rPr>
          <w:rFonts w:ascii="Times New Roman" w:eastAsia="Calibri" w:hAnsi="Times New Roman" w:cs="Times New Roman"/>
          <w:kern w:val="0"/>
          <w14:ligatures w14:val="none"/>
        </w:rPr>
        <w:t xml:space="preserve"> and Okafor (2022), regulatory frameworks help curb corruption and mismanagement by mandating regular reporting and audits.</w:t>
      </w:r>
    </w:p>
    <w:p w14:paraId="78A1EDD9" w14:textId="77777777" w:rsidR="00D8206B" w:rsidRPr="00DA5AE9" w:rsidRDefault="00D8206B" w:rsidP="00DA5AE9">
      <w:pPr>
        <w:keepNext/>
        <w:spacing w:after="0" w:line="240" w:lineRule="auto"/>
        <w:jc w:val="both"/>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Existing regulatory framework governing blockchain technology in the Nigerian financial institutions</w:t>
      </w:r>
    </w:p>
    <w:p w14:paraId="772E945E"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The Nigerian financial institutions </w:t>
      </w:r>
      <w:proofErr w:type="gramStart"/>
      <w:r w:rsidRPr="00DA5AE9">
        <w:rPr>
          <w:rFonts w:ascii="Times New Roman" w:eastAsia="Times New Roman" w:hAnsi="Times New Roman" w:cs="Times New Roman"/>
          <w:kern w:val="0"/>
          <w14:ligatures w14:val="none"/>
        </w:rPr>
        <w:t>has</w:t>
      </w:r>
      <w:proofErr w:type="gramEnd"/>
      <w:r w:rsidRPr="00DA5AE9">
        <w:rPr>
          <w:rFonts w:ascii="Times New Roman" w:eastAsia="Times New Roman" w:hAnsi="Times New Roman" w:cs="Times New Roman"/>
          <w:kern w:val="0"/>
          <w14:ligatures w14:val="none"/>
        </w:rPr>
        <w:t xml:space="preserve"> witnessed a gradual integration of blockchain technology as part of its efforts to enhance transparency, security, and efficiency in financial transactions. The regulatory framework governing blockchain within this sector is primarily shaped by the Central Bank of Nigeria (CBN), which remains cautious but supportive of innovations in financial technology (FinTech). In 2021, the CBN issued a regulatory sandbox framework aimed at fostering innovation while ensuring consumer protection and financial stability (CBN, 2021). This framework allows financial institutions and FinTech firms to test blockchain applications under controlled conditions, ensuring compliance with existing financial regulations while assessing risks and benefits.</w:t>
      </w:r>
    </w:p>
    <w:p w14:paraId="50FEC1C6"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In addition to the CBNs sandbox initiative, the Securities and Exchange Commission (SEC) of Nigeria has also taken steps to regulate blockchain-related activities, particularly in areas overlapping with digital assets and cryptocurrencies. The SECs guidelines emphasize transparency, investor protection, and anti-money laundering (AML) compliance within blockchain-based financial products and services (SEC, 2022). These regulations require financial institutions engaging in blockchain technology to adhere to strict Know Your Customer (KYC) protocols and reporting standards, thus aligning blockchain adoption with </w:t>
      </w:r>
      <w:proofErr w:type="spellStart"/>
      <w:r w:rsidRPr="00DA5AE9">
        <w:rPr>
          <w:rFonts w:ascii="Times New Roman" w:eastAsia="Times New Roman" w:hAnsi="Times New Roman" w:cs="Times New Roman"/>
          <w:kern w:val="0"/>
          <w14:ligatures w14:val="none"/>
        </w:rPr>
        <w:t>Nigerias</w:t>
      </w:r>
      <w:proofErr w:type="spellEnd"/>
      <w:r w:rsidRPr="00DA5AE9">
        <w:rPr>
          <w:rFonts w:ascii="Times New Roman" w:eastAsia="Times New Roman" w:hAnsi="Times New Roman" w:cs="Times New Roman"/>
          <w:kern w:val="0"/>
          <w14:ligatures w14:val="none"/>
        </w:rPr>
        <w:t xml:space="preserve"> broader financial regulatory ecosystem. This dual regulatory oversight between the CBN and SEC underscores </w:t>
      </w:r>
      <w:proofErr w:type="spellStart"/>
      <w:r w:rsidRPr="00DA5AE9">
        <w:rPr>
          <w:rFonts w:ascii="Times New Roman" w:eastAsia="Times New Roman" w:hAnsi="Times New Roman" w:cs="Times New Roman"/>
          <w:kern w:val="0"/>
          <w14:ligatures w14:val="none"/>
        </w:rPr>
        <w:t>Nigerias</w:t>
      </w:r>
      <w:proofErr w:type="spellEnd"/>
      <w:r w:rsidRPr="00DA5AE9">
        <w:rPr>
          <w:rFonts w:ascii="Times New Roman" w:eastAsia="Times New Roman" w:hAnsi="Times New Roman" w:cs="Times New Roman"/>
          <w:kern w:val="0"/>
          <w14:ligatures w14:val="none"/>
        </w:rPr>
        <w:t xml:space="preserve"> commitment to creating a safe and innovative environment for blockchain adoption in banking.</w:t>
      </w:r>
    </w:p>
    <w:p w14:paraId="585CAADC" w14:textId="77777777" w:rsidR="00D8206B" w:rsidRPr="00DA5AE9" w:rsidRDefault="00D8206B" w:rsidP="00DA5AE9">
      <w:pPr>
        <w:keepNext/>
        <w:spacing w:after="0" w:line="240" w:lineRule="auto"/>
        <w:jc w:val="both"/>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Key Regulatory Challenges that hinder the adoption of blockchain in Nigerian Financial institutions</w:t>
      </w:r>
    </w:p>
    <w:p w14:paraId="7613A345"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The adoption of blockchain technology in Nigerian financial institutions faces significant regulatory challenges that impede its widespread implementation. One primary concern is the absence of a clear regulatory framework governing blockchain and cryptocurrency activities in Nigeria. The Central Bank of Nigeria (CBN) has issued multiple warnings about the risks associated with cryptocurrencies, leading to regulatory uncertainty that affects financial institutions' willingness to integrate blockchain solutions (</w:t>
      </w:r>
      <w:proofErr w:type="spellStart"/>
      <w:r w:rsidRPr="00DA5AE9">
        <w:rPr>
          <w:rFonts w:ascii="Times New Roman" w:eastAsia="Times New Roman" w:hAnsi="Times New Roman" w:cs="Times New Roman"/>
          <w:kern w:val="0"/>
          <w14:ligatures w14:val="none"/>
        </w:rPr>
        <w:t>Abinbola</w:t>
      </w:r>
      <w:proofErr w:type="spellEnd"/>
      <w:r w:rsidRPr="00DA5AE9">
        <w:rPr>
          <w:rFonts w:ascii="Times New Roman" w:eastAsia="Times New Roman" w:hAnsi="Times New Roman" w:cs="Times New Roman"/>
          <w:kern w:val="0"/>
          <w14:ligatures w14:val="none"/>
        </w:rPr>
        <w:t xml:space="preserve"> &amp; Akinola, 2021). This lack of clear guidelines creates ambiguity around compliance requirements and legal liabilities, which financial institutions find risky to navigate without explicit regulatory support.</w:t>
      </w:r>
    </w:p>
    <w:p w14:paraId="6A6B76BD"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Furthermore, the regulatory environment in Nigeria is often characterized by inconsistent policies and enforcement mechanisms, which complicate the adoption of innovative technologies such as blockchain. For instance, the 2021 directive by the CBN prohibiting financial institutions from dealing with cryptocurrency-related transactions has further constrained blockchain experimentation within the financial institutions (</w:t>
      </w:r>
      <w:proofErr w:type="spellStart"/>
      <w:r w:rsidRPr="00DA5AE9">
        <w:rPr>
          <w:rFonts w:ascii="Times New Roman" w:eastAsia="Times New Roman" w:hAnsi="Times New Roman" w:cs="Times New Roman"/>
          <w:kern w:val="0"/>
          <w14:ligatures w14:val="none"/>
        </w:rPr>
        <w:t>Okenneh</w:t>
      </w:r>
      <w:proofErr w:type="spellEnd"/>
      <w:r w:rsidRPr="00DA5AE9">
        <w:rPr>
          <w:rFonts w:ascii="Times New Roman" w:eastAsia="Times New Roman" w:hAnsi="Times New Roman" w:cs="Times New Roman"/>
          <w:kern w:val="0"/>
          <w14:ligatures w14:val="none"/>
        </w:rPr>
        <w:t>, 2022). Such abrupt policy changes discourage investment in blockchain infrastructure and undermine efforts to foster innovation, as financial institutions fear potential sanctions or operational disruptions resulting from regulatory shifts.</w:t>
      </w:r>
    </w:p>
    <w:p w14:paraId="37B7276C" w14:textId="77777777" w:rsidR="00D8206B" w:rsidRPr="00DA5AE9" w:rsidRDefault="00D8206B" w:rsidP="00DA5AE9">
      <w:pPr>
        <w:keepNext/>
        <w:spacing w:after="0" w:line="240" w:lineRule="auto"/>
        <w:jc w:val="both"/>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lastRenderedPageBreak/>
        <w:t>Impact of Regulatory Uncertainty on Financial institutions' Willingness to Integrate Blockchain Solutions</w:t>
      </w:r>
    </w:p>
    <w:p w14:paraId="08703041"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Regulatory uncertainty significantly hampers Nigerian financial institutions' enthusiasm to adopt blockchain technology, despite its potential to revolutionize financial services through enhanced transparency, efficiency, and security. The absence of clear and consistent regulatory frameworks creates an environment of ambiguity, where financial institutions remain cautious about investing in blockchain integration due to concerns about compliance risks and possible legal repercussions (Abdulfatah &amp; Eze, 2021). This regulatory vagueness undermines financial institutions ability to innovate confidently, as they must navigate uncharted legal territories, often resulting in delayed or halted blockchain initiatives.</w:t>
      </w:r>
    </w:p>
    <w:p w14:paraId="52F7F52B"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Moreover, the evolving nature of blockchain regulations in Nigeria contributes to financial institutions' risk aversion. Frequent shifts in policy direction, coupled with limited guidance from regulatory authorities such as the Central Bank of Nigeria (CBN), exacerbate the challenge of long-term strategic planning for blockchain adoption (Oluwafemi, 2022). Financial institutions face difficulties in aligning their blockchain projects with national financial policies, which impacts their operational readiness and deters collaboration with fintech firms specializing in blockchain solutions. Consequently, this regulatory flux stalls the broader adoption of blockchain in Nigeria's financial institutions, limiting the </w:t>
      </w:r>
      <w:proofErr w:type="spellStart"/>
      <w:r w:rsidRPr="00DA5AE9">
        <w:rPr>
          <w:rFonts w:ascii="Times New Roman" w:eastAsia="Times New Roman" w:hAnsi="Times New Roman" w:cs="Times New Roman"/>
          <w:kern w:val="0"/>
          <w14:ligatures w14:val="none"/>
        </w:rPr>
        <w:t>countrys</w:t>
      </w:r>
      <w:proofErr w:type="spellEnd"/>
      <w:r w:rsidRPr="00DA5AE9">
        <w:rPr>
          <w:rFonts w:ascii="Times New Roman" w:eastAsia="Times New Roman" w:hAnsi="Times New Roman" w:cs="Times New Roman"/>
          <w:kern w:val="0"/>
          <w14:ligatures w14:val="none"/>
        </w:rPr>
        <w:t xml:space="preserve"> competitiveness in the digital finance landscape.</w:t>
      </w:r>
    </w:p>
    <w:p w14:paraId="0D855E5F" w14:textId="77777777" w:rsidR="00D8206B" w:rsidRPr="00DA5AE9" w:rsidRDefault="00D8206B" w:rsidP="00DA5AE9">
      <w:pPr>
        <w:keepNext/>
        <w:spacing w:after="0" w:line="240" w:lineRule="auto"/>
        <w:jc w:val="both"/>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Role of Regulatory Bodies such as the Central Bank of Nigeria (CBN) and the Nigerian Securities and Exchange Commission (SEC) in Shaping Blockchain Policies</w:t>
      </w:r>
    </w:p>
    <w:p w14:paraId="50821DA1"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Regulatory bodies in Nigeria, notably the Central Bank of Nigeria (CBN) and the Nigerian Securities and Exchange Commission (SEC), play pivotal roles in shaping the framework and policies governing blockchain technology and its applications. The CBN, as the apex financial regulator, has taken a cautious yet proactive stance in addressing the opportunities and risks associated with blockchain, especially concerning cryptocurrencies. In 2021, the CBN issued guidelines aimed at regulating digital currencies and blockchain-based financial services to mitigate risks such as fraud, money laundering, and financial instability while encouraging innovation in the financial sector (CBN, 2021). By balancing regulation with innovation, the CBN seeks to promote a secure environment for blockchain adoption in banking and payments without stifling technological advancement.</w:t>
      </w:r>
    </w:p>
    <w:p w14:paraId="2AB78F64" w14:textId="77777777" w:rsidR="00D8206B" w:rsidRPr="00DA5AE9" w:rsidRDefault="00D8206B" w:rsidP="00DA5AE9">
      <w:p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Similarly, the Nigerian Securities and Exchange Commission (SEC) has been instrumental in providing regulatory clarity on the use of blockchain in capital markets. The SECs introduction of the Regulatory Framework for the Issuance and Trading of Digital Assets in 2022 marked a significant milestone, as it laid down comprehensive rules on digital asset offerings, custody, and trading to protect investors and enhance transparency (SEC Nigeria, 2022). This regulatory framework demonstrates SECs commitment to fostering an orderly blockchain ecosystem, facilitating market confidence, and encouraging legitimate digital asset innovation. By doing so, SEC not only ensures compliance with global standards but also aligns blockchain initiatives with </w:t>
      </w:r>
      <w:proofErr w:type="spellStart"/>
      <w:r w:rsidRPr="00DA5AE9">
        <w:rPr>
          <w:rFonts w:ascii="Times New Roman" w:eastAsia="Calibri" w:hAnsi="Times New Roman" w:cs="Times New Roman"/>
          <w:kern w:val="0"/>
          <w14:ligatures w14:val="none"/>
        </w:rPr>
        <w:t>Nigerias</w:t>
      </w:r>
      <w:proofErr w:type="spellEnd"/>
      <w:r w:rsidRPr="00DA5AE9">
        <w:rPr>
          <w:rFonts w:ascii="Times New Roman" w:eastAsia="Calibri" w:hAnsi="Times New Roman" w:cs="Times New Roman"/>
          <w:kern w:val="0"/>
          <w14:ligatures w14:val="none"/>
        </w:rPr>
        <w:t xml:space="preserve"> broader financial market development goals.</w:t>
      </w:r>
    </w:p>
    <w:p w14:paraId="5F04CA5D" w14:textId="77777777" w:rsidR="00D8206B" w:rsidRPr="00DA5AE9" w:rsidRDefault="00D8206B" w:rsidP="00DA5AE9">
      <w:pPr>
        <w:spacing w:before="100" w:beforeAutospacing="1" w:after="100" w:afterAutospacing="1" w:line="240" w:lineRule="auto"/>
        <w:jc w:val="both"/>
        <w:rPr>
          <w:rFonts w:ascii="Times New Roman" w:eastAsia="Calibri" w:hAnsi="Times New Roman" w:cs="Times New Roman"/>
          <w:kern w:val="0"/>
          <w:lang w:val="en-GB" w:eastAsia="zh-CN"/>
          <w14:ligatures w14:val="none"/>
        </w:rPr>
      </w:pPr>
      <w:r w:rsidRPr="00DA5AE9">
        <w:rPr>
          <w:rFonts w:ascii="Times New Roman" w:eastAsia="Calibri" w:hAnsi="Times New Roman" w:cs="Times New Roman"/>
          <w:kern w:val="0"/>
          <w14:ligatures w14:val="none"/>
        </w:rPr>
        <w:t xml:space="preserve">Together, the CBN and SEC's regulatory efforts form the backbone of Nigeria's evolving blockchain policy landscape. Their roles extend beyond enforcement to include stakeholder engagement, capacity building, and international collaboration to stay abreast of emerging trends and challenges in blockchain technology (Adeoye &amp; Adebayo, 2023). These bodies are crucial in harmonizing </w:t>
      </w:r>
      <w:proofErr w:type="spellStart"/>
      <w:r w:rsidRPr="00DA5AE9">
        <w:rPr>
          <w:rFonts w:ascii="Times New Roman" w:eastAsia="Calibri" w:hAnsi="Times New Roman" w:cs="Times New Roman"/>
          <w:kern w:val="0"/>
          <w14:ligatures w14:val="none"/>
        </w:rPr>
        <w:t>Nigerias</w:t>
      </w:r>
      <w:proofErr w:type="spellEnd"/>
      <w:r w:rsidRPr="00DA5AE9">
        <w:rPr>
          <w:rFonts w:ascii="Times New Roman" w:eastAsia="Calibri" w:hAnsi="Times New Roman" w:cs="Times New Roman"/>
          <w:kern w:val="0"/>
          <w14:ligatures w14:val="none"/>
        </w:rPr>
        <w:t xml:space="preserve"> regulatory environment with global best practices, thereby enhancing investor protection, promoting financial inclusion, and supporting sustainable economic growth. Their dynamic approach reflects the increasing importance of blockchain in </w:t>
      </w:r>
      <w:proofErr w:type="spellStart"/>
      <w:r w:rsidRPr="00DA5AE9">
        <w:rPr>
          <w:rFonts w:ascii="Times New Roman" w:eastAsia="Calibri" w:hAnsi="Times New Roman" w:cs="Times New Roman"/>
          <w:kern w:val="0"/>
          <w14:ligatures w14:val="none"/>
        </w:rPr>
        <w:t>Nigerias</w:t>
      </w:r>
      <w:proofErr w:type="spellEnd"/>
      <w:r w:rsidRPr="00DA5AE9">
        <w:rPr>
          <w:rFonts w:ascii="Times New Roman" w:eastAsia="Calibri" w:hAnsi="Times New Roman" w:cs="Times New Roman"/>
          <w:kern w:val="0"/>
          <w14:ligatures w14:val="none"/>
        </w:rPr>
        <w:t xml:space="preserve"> financial innovation agenda while addressing potential systemic risks inherent in decentralized technologies.</w:t>
      </w:r>
    </w:p>
    <w:p w14:paraId="67214106" w14:textId="77777777" w:rsidR="00DA5AE9" w:rsidRDefault="00DA5AE9" w:rsidP="00DA5AE9">
      <w:pPr>
        <w:keepNext/>
        <w:spacing w:before="240" w:after="60" w:line="240" w:lineRule="auto"/>
        <w:outlineLvl w:val="0"/>
        <w:rPr>
          <w:rFonts w:ascii="Times New Roman" w:eastAsia="Calibri" w:hAnsi="Times New Roman" w:cs="Times New Roman"/>
          <w:b/>
          <w:bCs/>
          <w:kern w:val="32"/>
          <w14:ligatures w14:val="none"/>
        </w:rPr>
      </w:pPr>
    </w:p>
    <w:p w14:paraId="55D44639" w14:textId="0974F680" w:rsidR="00D8206B" w:rsidRPr="00DA5AE9" w:rsidRDefault="00D8206B" w:rsidP="00DA5AE9">
      <w:pPr>
        <w:keepNext/>
        <w:spacing w:before="240" w:after="6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 xml:space="preserve">Empirical Review </w:t>
      </w:r>
    </w:p>
    <w:p w14:paraId="4B96DCE3"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Nnamani (2024) conducted a quantitative correlational study titled Regulatory Challenges and Blockchain Adoption in </w:t>
      </w:r>
      <w:proofErr w:type="spellStart"/>
      <w:r w:rsidRPr="00DA5AE9">
        <w:rPr>
          <w:rFonts w:ascii="Times New Roman" w:eastAsia="Times New Roman" w:hAnsi="Times New Roman" w:cs="Times New Roman"/>
          <w:kern w:val="0"/>
          <w14:ligatures w14:val="none"/>
        </w:rPr>
        <w:t>Nigerias</w:t>
      </w:r>
      <w:proofErr w:type="spellEnd"/>
      <w:r w:rsidRPr="00DA5AE9">
        <w:rPr>
          <w:rFonts w:ascii="Times New Roman" w:eastAsia="Times New Roman" w:hAnsi="Times New Roman" w:cs="Times New Roman"/>
          <w:kern w:val="0"/>
          <w14:ligatures w14:val="none"/>
        </w:rPr>
        <w:t xml:space="preserve"> Financial Sector: A Quantitative Approach focusing on financial institutions in South-East Nigeria. Their population included 180 IT managers and compliance officers, with a stratified random sample of 100 respondents. They used Likert-scale questionnaires for data collection, analyzed by regression techniques in SPSS. The study found a significant negative relationship between regulatory uncertainty and blockchain adoption. Complexity in compliance and the regulators lack of blockchain expertise were major deterrents to blockchain implementation. They concluded that regulatory complexity and uncertainty are major inhibitors to blockchain use in Nigerian financial institutions. Recommendations included streamlining regulatory procedures, establishing specialized blockchain regulatory units, and enhancing regulators education on emerging technologies. They suggested future studies explore the impact of blockchain-focused regulatory training programs on compliance efficiency.</w:t>
      </w:r>
    </w:p>
    <w:p w14:paraId="75A4C4AE"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
    <w:p w14:paraId="4D1A4DB5"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Solomon et al. (2024) conducted a qualitative study in 2024 exploring how the Central Bank of </w:t>
      </w:r>
      <w:proofErr w:type="spellStart"/>
      <w:r w:rsidRPr="00DA5AE9">
        <w:rPr>
          <w:rFonts w:ascii="Times New Roman" w:eastAsia="Times New Roman" w:hAnsi="Times New Roman" w:cs="Times New Roman"/>
          <w:kern w:val="0"/>
          <w14:ligatures w14:val="none"/>
        </w:rPr>
        <w:t>Nigerias</w:t>
      </w:r>
      <w:proofErr w:type="spellEnd"/>
      <w:r w:rsidRPr="00DA5AE9">
        <w:rPr>
          <w:rFonts w:ascii="Times New Roman" w:eastAsia="Times New Roman" w:hAnsi="Times New Roman" w:cs="Times New Roman"/>
          <w:kern w:val="0"/>
          <w14:ligatures w14:val="none"/>
        </w:rPr>
        <w:t xml:space="preserve"> (CBN) regulatory ban on cryptocurrency transactions affected continued adoption in Nigeria. The study, which covered the general Nigerian environment, involved interviews with three purposively selected cryptocurrency traders. Data were collected using an interview guide and analyzed thematically. The findings revealed that the CBN restriction severely disrupted cryptocurrency markets, causing both financial and emotional stress for users who found it increasingly difficult to access platforms or use Nigerian bank cards to transact. The researchers concluded that the policy created uncertainty and financial exclusion for crypto users. They recommended that government and regulatory agencies should revisit their stance on cryptocurrencies to better understand their economic potential. Future studies were suggested to examine the long-term socioeconomic effects of such restrictions on innovation and financial inclusion.</w:t>
      </w:r>
    </w:p>
    <w:p w14:paraId="0523F465"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
    <w:p w14:paraId="4F637FC9"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roofErr w:type="spellStart"/>
      <w:r w:rsidRPr="00DA5AE9">
        <w:rPr>
          <w:rFonts w:ascii="Times New Roman" w:eastAsia="Times New Roman" w:hAnsi="Times New Roman" w:cs="Times New Roman"/>
          <w:kern w:val="0"/>
          <w14:ligatures w14:val="none"/>
        </w:rPr>
        <w:t>Soyebi</w:t>
      </w:r>
      <w:proofErr w:type="spellEnd"/>
      <w:r w:rsidRPr="00DA5AE9">
        <w:rPr>
          <w:rFonts w:ascii="Times New Roman" w:eastAsia="Times New Roman" w:hAnsi="Times New Roman" w:cs="Times New Roman"/>
          <w:kern w:val="0"/>
          <w14:ligatures w14:val="none"/>
        </w:rPr>
        <w:t xml:space="preserve">, and </w:t>
      </w:r>
      <w:proofErr w:type="spellStart"/>
      <w:r w:rsidRPr="00DA5AE9">
        <w:rPr>
          <w:rFonts w:ascii="Times New Roman" w:eastAsia="Times New Roman" w:hAnsi="Times New Roman" w:cs="Times New Roman"/>
          <w:kern w:val="0"/>
          <w14:ligatures w14:val="none"/>
        </w:rPr>
        <w:t>Oladire</w:t>
      </w:r>
      <w:proofErr w:type="spellEnd"/>
      <w:r w:rsidRPr="00DA5AE9">
        <w:rPr>
          <w:rFonts w:ascii="Times New Roman" w:eastAsia="Times New Roman" w:hAnsi="Times New Roman" w:cs="Times New Roman"/>
          <w:kern w:val="0"/>
          <w14:ligatures w14:val="none"/>
        </w:rPr>
        <w:t xml:space="preserve"> (2023) explored the role of blockchain and cryptocurrency technologies in promoting financial inclusion among small and medium-scale enterprises (SMEs) in Ogun East Senatorial District. Using a correlational research design, the study surveyed 200 purposively and stratified-selected SME operators through structured questionnaires. Data were analyzed statistically to assess how blockchain adoption influences financial access. Findings indicated that blockchain and cryptocurrencies significantly enhance financial inclusion by reducing reliance on traditional banking systems, especially for underserved populations. However, regulatory uncertainty and lack of clear legal frameworks were identified as major obstacles to broader adoption. The study concluded that effective policy formulation is critical for unlocking the benefits of blockchain in banking. Recommendations included creating regulatory sandboxes and engaging stakeholders to co-develop workable frameworks. Future research was encouraged to examine sector-specific challenges in blockchain implementation across Nigeria.</w:t>
      </w:r>
    </w:p>
    <w:p w14:paraId="372A2B98"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
    <w:p w14:paraId="67D73D6F" w14:textId="77777777" w:rsidR="00D8206B" w:rsidRPr="00DA5AE9" w:rsidRDefault="00D8206B" w:rsidP="00DA5AE9">
      <w:pPr>
        <w:keepNext/>
        <w:spacing w:before="240" w:after="60" w:line="240" w:lineRule="auto"/>
        <w:outlineLvl w:val="0"/>
        <w:rPr>
          <w:rFonts w:ascii="Times New Roman" w:eastAsia="Calibri" w:hAnsi="Times New Roman" w:cs="Times New Roman"/>
          <w:b/>
          <w:bCs/>
          <w:kern w:val="32"/>
          <w14:ligatures w14:val="none"/>
        </w:rPr>
      </w:pPr>
      <w:r w:rsidRPr="00DA5AE9">
        <w:rPr>
          <w:rFonts w:ascii="Times New Roman" w:eastAsia="Calibri" w:hAnsi="Times New Roman" w:cs="Times New Roman"/>
          <w:b/>
          <w:bCs/>
          <w:kern w:val="32"/>
          <w14:ligatures w14:val="none"/>
        </w:rPr>
        <w:t xml:space="preserve">Theoretical Review </w:t>
      </w:r>
    </w:p>
    <w:p w14:paraId="475CB5A6"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Understand these challenges, this study draws on several theoretical perspectives including </w:t>
      </w:r>
      <w:r w:rsidRPr="00DA5AE9">
        <w:rPr>
          <w:rFonts w:ascii="Times New Roman" w:eastAsia="Times New Roman" w:hAnsi="Times New Roman" w:cs="Times New Roman"/>
          <w:bCs/>
          <w:kern w:val="0"/>
          <w14:ligatures w14:val="none"/>
        </w:rPr>
        <w:t>Institutional Theory</w:t>
      </w:r>
      <w:r w:rsidRPr="00DA5AE9">
        <w:rPr>
          <w:rFonts w:ascii="Times New Roman" w:eastAsia="Times New Roman" w:hAnsi="Times New Roman" w:cs="Times New Roman"/>
          <w:kern w:val="0"/>
          <w14:ligatures w14:val="none"/>
        </w:rPr>
        <w:t xml:space="preserve">, </w:t>
      </w:r>
      <w:r w:rsidRPr="00DA5AE9">
        <w:rPr>
          <w:rFonts w:ascii="Times New Roman" w:eastAsia="Times New Roman" w:hAnsi="Times New Roman" w:cs="Times New Roman"/>
          <w:bCs/>
          <w:kern w:val="0"/>
          <w14:ligatures w14:val="none"/>
        </w:rPr>
        <w:t>Diffusion of Innovation Theory</w:t>
      </w:r>
      <w:r w:rsidRPr="00DA5AE9">
        <w:rPr>
          <w:rFonts w:ascii="Times New Roman" w:eastAsia="Times New Roman" w:hAnsi="Times New Roman" w:cs="Times New Roman"/>
          <w:kern w:val="0"/>
          <w14:ligatures w14:val="none"/>
        </w:rPr>
        <w:t xml:space="preserve">, and </w:t>
      </w:r>
      <w:r w:rsidRPr="00DA5AE9">
        <w:rPr>
          <w:rFonts w:ascii="Times New Roman" w:eastAsia="Times New Roman" w:hAnsi="Times New Roman" w:cs="Times New Roman"/>
          <w:bCs/>
          <w:kern w:val="0"/>
          <w14:ligatures w14:val="none"/>
        </w:rPr>
        <w:t>Regulatory Theory</w:t>
      </w:r>
      <w:r w:rsidRPr="00DA5AE9">
        <w:rPr>
          <w:rFonts w:ascii="Times New Roman" w:eastAsia="Times New Roman" w:hAnsi="Times New Roman" w:cs="Times New Roman"/>
          <w:kern w:val="0"/>
          <w14:ligatures w14:val="none"/>
        </w:rPr>
        <w:t>.</w:t>
      </w:r>
    </w:p>
    <w:p w14:paraId="4AB1717A"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b/>
          <w:bCs/>
          <w:kern w:val="0"/>
          <w14:ligatures w14:val="none"/>
        </w:rPr>
      </w:pPr>
      <w:r w:rsidRPr="00DA5AE9">
        <w:rPr>
          <w:rFonts w:ascii="Times New Roman" w:eastAsia="Times New Roman" w:hAnsi="Times New Roman" w:cs="Times New Roman"/>
          <w:b/>
          <w:bCs/>
          <w:kern w:val="0"/>
          <w14:ligatures w14:val="none"/>
        </w:rPr>
        <w:t>Institutional Theory</w:t>
      </w:r>
    </w:p>
    <w:p w14:paraId="145B3CCD"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bCs/>
          <w:kern w:val="0"/>
          <w14:ligatures w14:val="none"/>
        </w:rPr>
        <w:t>Institutional Theory</w:t>
      </w:r>
      <w:r w:rsidRPr="00DA5AE9">
        <w:rPr>
          <w:rFonts w:ascii="Times New Roman" w:eastAsia="Times New Roman" w:hAnsi="Times New Roman" w:cs="Times New Roman"/>
          <w:kern w:val="0"/>
          <w14:ligatures w14:val="none"/>
        </w:rPr>
        <w:t xml:space="preserve"> posits that organizations operate within a framework of formal and informal rules, norms, and regulations that influence their behavior and decision-making processes (Scott, 2014). In the context of blockchain adoption in Nigerian financial institutions, regulatory frameworks established by governmental and financial institutions significantly shape the pace and nature of blockchain integration. According to DiMaggio </w:t>
      </w:r>
      <w:r w:rsidRPr="00DA5AE9">
        <w:rPr>
          <w:rFonts w:ascii="Times New Roman" w:eastAsia="Times New Roman" w:hAnsi="Times New Roman" w:cs="Times New Roman"/>
          <w:kern w:val="0"/>
          <w14:ligatures w14:val="none"/>
        </w:rPr>
        <w:lastRenderedPageBreak/>
        <w:t>and Powell (1983), organizations tend to conform to institutional pressures to gain legitimacy, avoid sanctions, and secure resources. However, the lack of clear regulations and the presence of ambiguous policies create institutional voids that challenge Nigerian financial institutions ability to adopt blockchain technology effectively (Adegbite, 2020).</w:t>
      </w:r>
    </w:p>
    <w:p w14:paraId="0B383208" w14:textId="77777777" w:rsidR="00D8206B" w:rsidRPr="00DA5AE9" w:rsidRDefault="00D8206B" w:rsidP="00DA5AE9">
      <w:pPr>
        <w:spacing w:after="0" w:line="240" w:lineRule="auto"/>
        <w:rPr>
          <w:rFonts w:ascii="Times New Roman" w:eastAsia="Times New Roman" w:hAnsi="Times New Roman" w:cs="Times New Roman"/>
          <w:kern w:val="0"/>
          <w14:ligatures w14:val="none"/>
        </w:rPr>
      </w:pPr>
      <w:r w:rsidRPr="00DA5AE9">
        <w:rPr>
          <w:rFonts w:ascii="Times New Roman" w:eastAsia="Times New Roman" w:hAnsi="Times New Roman" w:cs="Times New Roman"/>
          <w:b/>
          <w:bCs/>
          <w:kern w:val="0"/>
          <w14:ligatures w14:val="none"/>
        </w:rPr>
        <w:t>Diffusion of Innovation Theory</w:t>
      </w:r>
    </w:p>
    <w:p w14:paraId="05E4212B"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The </w:t>
      </w:r>
      <w:r w:rsidRPr="00DA5AE9">
        <w:rPr>
          <w:rFonts w:ascii="Times New Roman" w:eastAsia="Times New Roman" w:hAnsi="Times New Roman" w:cs="Times New Roman"/>
          <w:bCs/>
          <w:kern w:val="0"/>
          <w14:ligatures w14:val="none"/>
        </w:rPr>
        <w:t>Diffusion of Innovation Theory</w:t>
      </w:r>
      <w:r w:rsidRPr="00DA5AE9">
        <w:rPr>
          <w:rFonts w:ascii="Times New Roman" w:eastAsia="Times New Roman" w:hAnsi="Times New Roman" w:cs="Times New Roman"/>
          <w:kern w:val="0"/>
          <w14:ligatures w14:val="none"/>
        </w:rPr>
        <w:t xml:space="preserve"> by Rogers (2003) helps explain how technological innovations such as blockchain spread within organizations and industries. Adoption depends on perceived advantages, compatibility, complexity, trialability, and observability of the technology. Regulatory uncertainty in Nigeria increases the perceived complexity and risks associated with blockchain, slowing down its diffusion among banking institutions (Olalekan &amp; Akinwale, 2022). Regulatory clarity is crucial in reducing uncertainty and fostering a conducive environment for innovation diffusion (Rogers, 2003).</w:t>
      </w:r>
    </w:p>
    <w:p w14:paraId="1BD9344F"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This study adopts </w:t>
      </w:r>
      <w:r w:rsidRPr="00DA5AE9">
        <w:rPr>
          <w:rFonts w:ascii="Times New Roman" w:eastAsia="Calibri" w:hAnsi="Times New Roman" w:cs="Times New Roman"/>
          <w:bCs/>
          <w:kern w:val="0"/>
          <w14:ligatures w14:val="none"/>
        </w:rPr>
        <w:t>institutional theory</w:t>
      </w:r>
      <w:r w:rsidRPr="00DA5AE9">
        <w:rPr>
          <w:rFonts w:ascii="Times New Roman" w:eastAsia="Times New Roman" w:hAnsi="Times New Roman" w:cs="Times New Roman"/>
          <w:kern w:val="0"/>
          <w14:ligatures w14:val="none"/>
        </w:rPr>
        <w:t xml:space="preserve"> as the primary theoretical lens to analyze the regulatory challenges hindering the adoption of blockchain technology in the Nigerian financial institutions. Institutional Theory explains how organizations are influenced and constrained by the regulatory, normative, and cultural-cognitive structures within their institutional environment. Institutional theory helps explain that for successful blockchain adoption, Nigerian financial institutions must navigate not only technological challenges but also institutional </w:t>
      </w:r>
      <w:proofErr w:type="spellStart"/>
      <w:r w:rsidRPr="00DA5AE9">
        <w:rPr>
          <w:rFonts w:ascii="Times New Roman" w:eastAsia="Times New Roman" w:hAnsi="Times New Roman" w:cs="Times New Roman"/>
          <w:kern w:val="0"/>
          <w14:ligatures w14:val="none"/>
        </w:rPr>
        <w:t>pressuressuch</w:t>
      </w:r>
      <w:proofErr w:type="spellEnd"/>
      <w:r w:rsidRPr="00DA5AE9">
        <w:rPr>
          <w:rFonts w:ascii="Times New Roman" w:eastAsia="Times New Roman" w:hAnsi="Times New Roman" w:cs="Times New Roman"/>
          <w:kern w:val="0"/>
          <w14:ligatures w14:val="none"/>
        </w:rPr>
        <w:t xml:space="preserve"> as regulatory compliance, legitimacy concerns, and normative expectations from stakeholders (Scott, 2014). Understanding these institutional forces is crucial for policymakers and banking executives to develop clearer, consistent regulatory frameworks that support innovation while maintaining financial stability and security.</w:t>
      </w:r>
    </w:p>
    <w:p w14:paraId="76B86B53" w14:textId="77777777" w:rsidR="00D8206B" w:rsidRPr="00DA5AE9" w:rsidRDefault="00D8206B" w:rsidP="00DA5AE9">
      <w:pPr>
        <w:keepNext/>
        <w:spacing w:before="240" w:after="60" w:line="240" w:lineRule="auto"/>
        <w:outlineLvl w:val="2"/>
        <w:rPr>
          <w:rFonts w:ascii="Times New Roman" w:eastAsia="Calibri" w:hAnsi="Times New Roman" w:cs="Times New Roman"/>
          <w:b/>
          <w:bCs/>
          <w:kern w:val="0"/>
          <w14:ligatures w14:val="none"/>
        </w:rPr>
      </w:pPr>
      <w:r w:rsidRPr="00DA5AE9">
        <w:rPr>
          <w:rFonts w:ascii="Times New Roman" w:eastAsia="Calibri" w:hAnsi="Times New Roman" w:cs="Times New Roman"/>
          <w:b/>
          <w:bCs/>
          <w:kern w:val="0"/>
          <w14:ligatures w14:val="none"/>
        </w:rPr>
        <w:t>METHODOLOGY</w:t>
      </w:r>
    </w:p>
    <w:p w14:paraId="1BFA4AF0"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This study adopts a descriptive research design complemented by exploratory elements.</w:t>
      </w:r>
      <w:r w:rsidRPr="00DA5AE9">
        <w:rPr>
          <w:rFonts w:ascii="Times New Roman" w:eastAsia="Times New Roman" w:hAnsi="Times New Roman" w:cs="Times New Roman"/>
          <w:kern w:val="0"/>
          <w:lang w:val="en-GB" w:eastAsia="zh-CN"/>
          <w14:ligatures w14:val="none"/>
        </w:rPr>
        <w:t xml:space="preserve"> </w:t>
      </w:r>
      <w:r w:rsidRPr="00DA5AE9">
        <w:rPr>
          <w:rFonts w:ascii="Times New Roman" w:eastAsia="Times New Roman" w:hAnsi="Times New Roman" w:cs="Times New Roman"/>
          <w:kern w:val="0"/>
          <w14:ligatures w14:val="none"/>
        </w:rPr>
        <w:t xml:space="preserve">The population targeted by this study comprises stakeholders directly involved in blockchain adoption and regulation within </w:t>
      </w:r>
      <w:proofErr w:type="spellStart"/>
      <w:r w:rsidRPr="00DA5AE9">
        <w:rPr>
          <w:rFonts w:ascii="Times New Roman" w:eastAsia="Times New Roman" w:hAnsi="Times New Roman" w:cs="Times New Roman"/>
          <w:kern w:val="0"/>
          <w14:ligatures w14:val="none"/>
        </w:rPr>
        <w:t>Nigerias</w:t>
      </w:r>
      <w:proofErr w:type="spellEnd"/>
      <w:r w:rsidRPr="00DA5AE9">
        <w:rPr>
          <w:rFonts w:ascii="Times New Roman" w:eastAsia="Times New Roman" w:hAnsi="Times New Roman" w:cs="Times New Roman"/>
          <w:kern w:val="0"/>
          <w14:ligatures w14:val="none"/>
        </w:rPr>
        <w:t xml:space="preserve"> financial institutions. From the population, a sample of 60 respondents was purposively selected to ensure that participants have direct experience or involvement in blockchain adoption or regulation within Nigerian financial institutions. The sample includes 30 banking professionals (such as IT managers and compliance officers), 20 regulatory officials from agencies like the CBN and SEC, and 10 blockchain consultants or industry experts. Purposive sampling was chosen because it allows for deliberate selection of knowledgeable respondents who can provide relevant and detailed information about regulatory challenges and blockchain adoption. The research draws secondary data sources. Secondary data comprised regulatory documents, policy papers issued by the CBN and SEC, industry reports, and academic literature spanning the period 2015 to 2024. </w:t>
      </w:r>
    </w:p>
    <w:p w14:paraId="6C198F5C" w14:textId="77777777" w:rsidR="00D8206B" w:rsidRPr="00DA5AE9" w:rsidRDefault="00D8206B" w:rsidP="00DA5AE9">
      <w:pPr>
        <w:spacing w:after="0" w:line="240" w:lineRule="auto"/>
        <w:jc w:val="both"/>
        <w:rPr>
          <w:rFonts w:ascii="Times New Roman" w:eastAsia="Times New Roman" w:hAnsi="Times New Roman" w:cs="Times New Roman"/>
          <w:kern w:val="0"/>
          <w:lang w:val="en-GB" w:eastAsia="zh-CN"/>
          <w14:ligatures w14:val="none"/>
        </w:rPr>
      </w:pPr>
      <w:r w:rsidRPr="00DA5AE9">
        <w:rPr>
          <w:rFonts w:ascii="Times New Roman" w:eastAsia="Times New Roman" w:hAnsi="Times New Roman" w:cs="Times New Roman"/>
          <w:kern w:val="0"/>
          <w14:ligatures w14:val="none"/>
        </w:rPr>
        <w:t>Data analysis employed qualitative techniques. Additionally, inferential statistics including correlation and regression analyses were conducted to examine the relationships between regulatory uncertainty and financial institutions willingness to adopt blockchain technology. The analysis was performed using SPSS software to ensure accuracy. The independent variables include the perceived level of regulatory uncertainty, the effectiveness of the existing regulatory framework, and the influence of regulatory bodies such as the CBN and SEC. The model is formally expressed as:</w:t>
      </w:r>
    </w:p>
    <w:p w14:paraId="2B9DA2C7" w14:textId="77777777" w:rsidR="00D8206B" w:rsidRPr="00DA5AE9" w:rsidRDefault="00D8206B" w:rsidP="00DA5AE9">
      <w:pPr>
        <w:spacing w:after="0" w:line="240" w:lineRule="auto"/>
        <w:rPr>
          <w:rFonts w:ascii="Times New Roman" w:eastAsia="Times New Roman" w:hAnsi="Times New Roman" w:cs="Times New Roman"/>
          <w:kern w:val="0"/>
          <w14:ligatures w14:val="none"/>
        </w:rPr>
      </w:pPr>
      <w:proofErr w:type="spellStart"/>
      <w:r w:rsidRPr="00DA5AE9">
        <w:rPr>
          <w:rFonts w:ascii="Times New Roman" w:eastAsia="Times New Roman" w:hAnsi="Times New Roman" w:cs="Times New Roman"/>
          <w:kern w:val="0"/>
          <w14:ligatures w14:val="none"/>
        </w:rPr>
        <w:t>WBAi</w:t>
      </w:r>
      <w:proofErr w:type="spellEnd"/>
      <w:r w:rsidRPr="00DA5AE9">
        <w:rPr>
          <w:rFonts w:ascii="Times New Roman" w:eastAsia="Times New Roman" w:hAnsi="Times New Roman" w:cs="Times New Roman"/>
          <w:kern w:val="0"/>
          <w14:ligatures w14:val="none"/>
        </w:rPr>
        <w:t xml:space="preserve"> = </w:t>
      </w:r>
      <w:r w:rsidRPr="00DA5AE9">
        <w:rPr>
          <w:rFonts w:ascii="Times New Roman" w:eastAsia="Times New Roman" w:hAnsi="Times New Roman" w:cs="Times New Roman"/>
          <w:i/>
          <w:kern w:val="0"/>
          <w14:ligatures w14:val="none"/>
        </w:rPr>
        <w:t>β</w:t>
      </w:r>
      <w:r w:rsidRPr="00DA5AE9">
        <w:rPr>
          <w:rFonts w:ascii="Times New Roman" w:eastAsia="Times New Roman" w:hAnsi="Times New Roman" w:cs="Times New Roman"/>
          <w:kern w:val="0"/>
          <w:vertAlign w:val="subscript"/>
          <w14:ligatures w14:val="none"/>
        </w:rPr>
        <w:t>0</w:t>
      </w:r>
      <w:r w:rsidRPr="00DA5AE9">
        <w:rPr>
          <w:rFonts w:ascii="Times New Roman" w:eastAsia="Times New Roman" w:hAnsi="Times New Roman" w:cs="Times New Roman"/>
          <w:kern w:val="0"/>
          <w14:ligatures w14:val="none"/>
        </w:rPr>
        <w:t xml:space="preserve"> + </w:t>
      </w:r>
      <w:r w:rsidRPr="00DA5AE9">
        <w:rPr>
          <w:rFonts w:ascii="Times New Roman" w:eastAsia="Times New Roman" w:hAnsi="Times New Roman" w:cs="Times New Roman"/>
          <w:i/>
          <w:kern w:val="0"/>
          <w14:ligatures w14:val="none"/>
        </w:rPr>
        <w:t>β</w:t>
      </w:r>
      <w:r w:rsidRPr="00DA5AE9">
        <w:rPr>
          <w:rFonts w:ascii="Times New Roman" w:eastAsia="Times New Roman" w:hAnsi="Times New Roman" w:cs="Times New Roman"/>
          <w:kern w:val="0"/>
          <w:vertAlign w:val="subscript"/>
          <w14:ligatures w14:val="none"/>
        </w:rPr>
        <w:t>1</w:t>
      </w:r>
      <w:r w:rsidRPr="00DA5AE9">
        <w:rPr>
          <w:rFonts w:ascii="Times New Roman" w:eastAsia="Times New Roman" w:hAnsi="Times New Roman" w:cs="Times New Roman"/>
          <w:kern w:val="0"/>
          <w14:ligatures w14:val="none"/>
        </w:rPr>
        <w:t>RU</w:t>
      </w:r>
      <w:r w:rsidRPr="00DA5AE9">
        <w:rPr>
          <w:rFonts w:ascii="Times New Roman" w:eastAsia="Times New Roman" w:hAnsi="Times New Roman" w:cs="Times New Roman"/>
          <w:kern w:val="0"/>
          <w:vertAlign w:val="subscript"/>
          <w14:ligatures w14:val="none"/>
        </w:rPr>
        <w:t xml:space="preserve">i </w:t>
      </w:r>
      <w:r w:rsidRPr="00DA5AE9">
        <w:rPr>
          <w:rFonts w:ascii="Times New Roman" w:eastAsia="Times New Roman" w:hAnsi="Times New Roman" w:cs="Times New Roman"/>
          <w:kern w:val="0"/>
          <w14:ligatures w14:val="none"/>
        </w:rPr>
        <w:t xml:space="preserve">+ </w:t>
      </w:r>
      <w:r w:rsidRPr="00DA5AE9">
        <w:rPr>
          <w:rFonts w:ascii="Times New Roman" w:eastAsia="Times New Roman" w:hAnsi="Times New Roman" w:cs="Times New Roman"/>
          <w:i/>
          <w:kern w:val="0"/>
          <w14:ligatures w14:val="none"/>
        </w:rPr>
        <w:t>β</w:t>
      </w:r>
      <w:r w:rsidRPr="00DA5AE9">
        <w:rPr>
          <w:rFonts w:ascii="Times New Roman" w:eastAsia="Times New Roman" w:hAnsi="Times New Roman" w:cs="Times New Roman"/>
          <w:kern w:val="0"/>
          <w:vertAlign w:val="subscript"/>
          <w14:ligatures w14:val="none"/>
        </w:rPr>
        <w:t>2</w:t>
      </w:r>
      <w:r w:rsidRPr="00DA5AE9">
        <w:rPr>
          <w:rFonts w:ascii="Times New Roman" w:eastAsia="Times New Roman" w:hAnsi="Times New Roman" w:cs="Times New Roman"/>
          <w:i/>
          <w:kern w:val="0"/>
          <w14:ligatures w14:val="none"/>
        </w:rPr>
        <w:t>RFi</w:t>
      </w:r>
      <w:r w:rsidRPr="00DA5AE9">
        <w:rPr>
          <w:rFonts w:ascii="Times New Roman" w:eastAsia="Times New Roman" w:hAnsi="Times New Roman" w:cs="Times New Roman"/>
          <w:kern w:val="0"/>
          <w14:ligatures w14:val="none"/>
        </w:rPr>
        <w:t xml:space="preserve"> + </w:t>
      </w:r>
      <w:r w:rsidRPr="00DA5AE9">
        <w:rPr>
          <w:rFonts w:ascii="Times New Roman" w:eastAsia="Times New Roman" w:hAnsi="Times New Roman" w:cs="Times New Roman"/>
          <w:i/>
          <w:kern w:val="0"/>
          <w14:ligatures w14:val="none"/>
        </w:rPr>
        <w:t>β</w:t>
      </w:r>
      <w:r w:rsidRPr="00DA5AE9">
        <w:rPr>
          <w:rFonts w:ascii="Times New Roman" w:eastAsia="Times New Roman" w:hAnsi="Times New Roman" w:cs="Times New Roman"/>
          <w:i/>
          <w:kern w:val="0"/>
          <w:vertAlign w:val="subscript"/>
          <w14:ligatures w14:val="none"/>
        </w:rPr>
        <w:t>3</w:t>
      </w:r>
      <w:r w:rsidRPr="00DA5AE9">
        <w:rPr>
          <w:rFonts w:ascii="Times New Roman" w:eastAsia="Times New Roman" w:hAnsi="Times New Roman" w:cs="Times New Roman"/>
          <w:i/>
          <w:kern w:val="0"/>
          <w14:ligatures w14:val="none"/>
        </w:rPr>
        <w:t>RBi</w:t>
      </w:r>
      <w:r w:rsidRPr="00DA5AE9">
        <w:rPr>
          <w:rFonts w:ascii="Times New Roman" w:eastAsia="Times New Roman" w:hAnsi="Times New Roman" w:cs="Times New Roman"/>
          <w:kern w:val="0"/>
          <w14:ligatures w14:val="none"/>
        </w:rPr>
        <w:t xml:space="preserve"> + ϵ</w:t>
      </w:r>
      <w:proofErr w:type="spellStart"/>
      <w:r w:rsidRPr="00DA5AE9">
        <w:rPr>
          <w:rFonts w:ascii="Times New Roman" w:eastAsia="Times New Roman" w:hAnsi="Times New Roman" w:cs="Times New Roman"/>
          <w:kern w:val="0"/>
          <w14:ligatures w14:val="none"/>
        </w:rPr>
        <w:t>i</w:t>
      </w:r>
      <w:proofErr w:type="spellEnd"/>
    </w:p>
    <w:p w14:paraId="597A6490"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where </w:t>
      </w:r>
      <w:proofErr w:type="spellStart"/>
      <w:r w:rsidRPr="00DA5AE9">
        <w:rPr>
          <w:rFonts w:ascii="Times New Roman" w:eastAsia="Times New Roman" w:hAnsi="Times New Roman" w:cs="Times New Roman"/>
          <w:i/>
          <w:kern w:val="0"/>
          <w14:ligatures w14:val="none"/>
        </w:rPr>
        <w:t>WBA</w:t>
      </w:r>
      <w:r w:rsidRPr="00DA5AE9">
        <w:rPr>
          <w:rFonts w:ascii="Times New Roman" w:eastAsia="Times New Roman" w:hAnsi="Times New Roman" w:cs="Times New Roman"/>
          <w:i/>
          <w:kern w:val="0"/>
          <w:vertAlign w:val="subscript"/>
          <w14:ligatures w14:val="none"/>
        </w:rPr>
        <w:t>i</w:t>
      </w:r>
      <w:proofErr w:type="spellEnd"/>
      <w:r w:rsidRPr="00DA5AE9">
        <w:rPr>
          <w:rFonts w:ascii="Times New Roman" w:eastAsia="Times New Roman" w:hAnsi="Times New Roman" w:cs="Times New Roman"/>
          <w:kern w:val="0"/>
          <w14:ligatures w14:val="none"/>
        </w:rPr>
        <w:t xml:space="preserve">​ represents the willingness of bank </w:t>
      </w:r>
      <w:proofErr w:type="spellStart"/>
      <w:r w:rsidRPr="00DA5AE9">
        <w:rPr>
          <w:rFonts w:ascii="Times New Roman" w:eastAsia="Times New Roman" w:hAnsi="Times New Roman" w:cs="Times New Roman"/>
          <w:kern w:val="0"/>
          <w:vertAlign w:val="subscript"/>
          <w14:ligatures w14:val="none"/>
        </w:rPr>
        <w:t>i</w:t>
      </w:r>
      <w:proofErr w:type="spellEnd"/>
      <w:r w:rsidRPr="00DA5AE9">
        <w:rPr>
          <w:rFonts w:ascii="Times New Roman" w:eastAsia="Times New Roman" w:hAnsi="Times New Roman" w:cs="Times New Roman"/>
          <w:kern w:val="0"/>
          <w14:ligatures w14:val="none"/>
        </w:rPr>
        <w:t xml:space="preserve"> to adopt blockchain, </w:t>
      </w:r>
      <w:proofErr w:type="spellStart"/>
      <w:r w:rsidRPr="00DA5AE9">
        <w:rPr>
          <w:rFonts w:ascii="Times New Roman" w:eastAsia="Times New Roman" w:hAnsi="Times New Roman" w:cs="Times New Roman"/>
          <w:i/>
          <w:kern w:val="0"/>
          <w14:ligatures w14:val="none"/>
        </w:rPr>
        <w:t>RUi</w:t>
      </w:r>
      <w:proofErr w:type="spellEnd"/>
      <w:r w:rsidRPr="00DA5AE9">
        <w:rPr>
          <w:rFonts w:ascii="Times New Roman" w:eastAsia="Times New Roman" w:hAnsi="Times New Roman" w:cs="Times New Roman"/>
          <w:kern w:val="0"/>
          <w14:ligatures w14:val="none"/>
        </w:rPr>
        <w:t xml:space="preserve">​ measures the perceived regulatory uncertainty, </w:t>
      </w:r>
      <w:proofErr w:type="spellStart"/>
      <w:r w:rsidRPr="00DA5AE9">
        <w:rPr>
          <w:rFonts w:ascii="Times New Roman" w:eastAsia="Times New Roman" w:hAnsi="Times New Roman" w:cs="Times New Roman"/>
          <w:i/>
          <w:kern w:val="0"/>
          <w14:ligatures w14:val="none"/>
        </w:rPr>
        <w:t>RF</w:t>
      </w:r>
      <w:r w:rsidRPr="00DA5AE9">
        <w:rPr>
          <w:rFonts w:ascii="Times New Roman" w:eastAsia="Times New Roman" w:hAnsi="Times New Roman" w:cs="Times New Roman"/>
          <w:i/>
          <w:kern w:val="0"/>
          <w:vertAlign w:val="subscript"/>
          <w14:ligatures w14:val="none"/>
        </w:rPr>
        <w:t>i</w:t>
      </w:r>
      <w:proofErr w:type="spellEnd"/>
      <w:r w:rsidRPr="00DA5AE9">
        <w:rPr>
          <w:rFonts w:ascii="Times New Roman" w:eastAsia="Times New Roman" w:hAnsi="Times New Roman" w:cs="Times New Roman"/>
          <w:kern w:val="0"/>
          <w14:ligatures w14:val="none"/>
        </w:rPr>
        <w:t xml:space="preserve">​ captures perceptions of the regulatory framework's effectiveness, and </w:t>
      </w:r>
      <w:proofErr w:type="spellStart"/>
      <w:r w:rsidRPr="00DA5AE9">
        <w:rPr>
          <w:rFonts w:ascii="Times New Roman" w:eastAsia="Times New Roman" w:hAnsi="Times New Roman" w:cs="Times New Roman"/>
          <w:i/>
          <w:kern w:val="0"/>
          <w14:ligatures w14:val="none"/>
        </w:rPr>
        <w:t>RB</w:t>
      </w:r>
      <w:r w:rsidRPr="00DA5AE9">
        <w:rPr>
          <w:rFonts w:ascii="Times New Roman" w:eastAsia="Times New Roman" w:hAnsi="Times New Roman" w:cs="Times New Roman"/>
          <w:i/>
          <w:kern w:val="0"/>
          <w:vertAlign w:val="subscript"/>
          <w14:ligatures w14:val="none"/>
        </w:rPr>
        <w:t>i</w:t>
      </w:r>
      <w:proofErr w:type="spellEnd"/>
      <w:r w:rsidRPr="00DA5AE9">
        <w:rPr>
          <w:rFonts w:ascii="Times New Roman" w:eastAsia="Times New Roman" w:hAnsi="Times New Roman" w:cs="Times New Roman"/>
          <w:kern w:val="0"/>
          <w14:ligatures w14:val="none"/>
        </w:rPr>
        <w:t>​ denotes the influence of regulatory bodies. The coefficients β</w:t>
      </w:r>
      <w:r w:rsidRPr="00DA5AE9">
        <w:rPr>
          <w:rFonts w:ascii="Times New Roman" w:eastAsia="Times New Roman" w:hAnsi="Times New Roman" w:cs="Times New Roman"/>
          <w:kern w:val="0"/>
          <w:vertAlign w:val="subscript"/>
          <w14:ligatures w14:val="none"/>
        </w:rPr>
        <w:t>1</w:t>
      </w:r>
      <w:proofErr w:type="gramStart"/>
      <w:r w:rsidRPr="00DA5AE9">
        <w:rPr>
          <w:rFonts w:ascii="Times New Roman" w:eastAsia="Times New Roman" w:hAnsi="Times New Roman" w:cs="Times New Roman"/>
          <w:kern w:val="0"/>
          <w14:ligatures w14:val="none"/>
        </w:rPr>
        <w:t>​,β</w:t>
      </w:r>
      <w:proofErr w:type="gramEnd"/>
      <w:r w:rsidRPr="00DA5AE9">
        <w:rPr>
          <w:rFonts w:ascii="Times New Roman" w:eastAsia="Times New Roman" w:hAnsi="Times New Roman" w:cs="Times New Roman"/>
          <w:kern w:val="0"/>
          <w:vertAlign w:val="subscript"/>
          <w14:ligatures w14:val="none"/>
        </w:rPr>
        <w:t>2</w:t>
      </w:r>
      <w:r w:rsidRPr="00DA5AE9">
        <w:rPr>
          <w:rFonts w:ascii="Times New Roman" w:eastAsia="Times New Roman" w:hAnsi="Times New Roman" w:cs="Times New Roman"/>
          <w:kern w:val="0"/>
          <w14:ligatures w14:val="none"/>
        </w:rPr>
        <w:t>​, and β</w:t>
      </w:r>
      <w:r w:rsidRPr="00DA5AE9">
        <w:rPr>
          <w:rFonts w:ascii="Times New Roman" w:eastAsia="Times New Roman" w:hAnsi="Times New Roman" w:cs="Times New Roman"/>
          <w:kern w:val="0"/>
          <w:vertAlign w:val="subscript"/>
          <w14:ligatures w14:val="none"/>
        </w:rPr>
        <w:t>3</w:t>
      </w:r>
      <w:r w:rsidRPr="00DA5AE9">
        <w:rPr>
          <w:rFonts w:ascii="Times New Roman" w:eastAsia="Times New Roman" w:hAnsi="Times New Roman" w:cs="Times New Roman"/>
          <w:kern w:val="0"/>
          <w14:ligatures w14:val="none"/>
        </w:rPr>
        <w:t xml:space="preserve"> quantify the impact of each independent variable, while </w:t>
      </w:r>
      <w:r w:rsidRPr="00DA5AE9">
        <w:rPr>
          <w:rFonts w:ascii="Times New Roman" w:eastAsia="Times New Roman" w:hAnsi="Times New Roman" w:cs="Times New Roman"/>
          <w:i/>
          <w:kern w:val="0"/>
          <w14:ligatures w14:val="none"/>
        </w:rPr>
        <w:t>ϵ</w:t>
      </w:r>
      <w:proofErr w:type="spellStart"/>
      <w:r w:rsidRPr="00DA5AE9">
        <w:rPr>
          <w:rFonts w:ascii="Times New Roman" w:eastAsia="Times New Roman" w:hAnsi="Times New Roman" w:cs="Times New Roman"/>
          <w:i/>
          <w:kern w:val="0"/>
          <w14:ligatures w14:val="none"/>
        </w:rPr>
        <w:t>i</w:t>
      </w:r>
      <w:proofErr w:type="spellEnd"/>
      <w:r w:rsidRPr="00DA5AE9">
        <w:rPr>
          <w:rFonts w:ascii="Times New Roman" w:eastAsia="Times New Roman" w:hAnsi="Times New Roman" w:cs="Times New Roman"/>
          <w:i/>
          <w:kern w:val="0"/>
          <w14:ligatures w14:val="none"/>
        </w:rPr>
        <w:t>​</w:t>
      </w:r>
      <w:r w:rsidRPr="00DA5AE9">
        <w:rPr>
          <w:rFonts w:ascii="Times New Roman" w:eastAsia="Times New Roman" w:hAnsi="Times New Roman" w:cs="Times New Roman"/>
          <w:kern w:val="0"/>
          <w14:ligatures w14:val="none"/>
        </w:rPr>
        <w:t xml:space="preserve"> is the error term. This model enables empirical testing of how regulatory factors shape financial institutions’ blockchain adoption decisions, providing a foundation for policy recommendations.</w:t>
      </w:r>
    </w:p>
    <w:p w14:paraId="008B24A3" w14:textId="77777777" w:rsidR="00DA5AE9" w:rsidRDefault="00DA5AE9" w:rsidP="00D8206B">
      <w:pPr>
        <w:spacing w:after="0" w:line="360" w:lineRule="auto"/>
        <w:outlineLvl w:val="3"/>
        <w:rPr>
          <w:rFonts w:ascii="Calibri" w:eastAsia="Calibri" w:hAnsi="Calibri" w:cs="Times New Roman"/>
          <w:b/>
          <w:bCs/>
          <w:kern w:val="0"/>
          <w14:ligatures w14:val="none"/>
        </w:rPr>
      </w:pPr>
    </w:p>
    <w:p w14:paraId="4770D1F6" w14:textId="01C869B0" w:rsidR="00D8206B" w:rsidRPr="00D8206B" w:rsidRDefault="00D8206B" w:rsidP="00D8206B">
      <w:pPr>
        <w:spacing w:after="0" w:line="360" w:lineRule="auto"/>
        <w:outlineLvl w:val="3"/>
        <w:rPr>
          <w:rFonts w:ascii="Calibri" w:eastAsia="Calibri" w:hAnsi="Calibri" w:cs="Times New Roman"/>
          <w:b/>
          <w:bCs/>
          <w:kern w:val="0"/>
          <w14:ligatures w14:val="none"/>
        </w:rPr>
      </w:pPr>
      <w:r w:rsidRPr="00D8206B">
        <w:rPr>
          <w:rFonts w:ascii="Calibri" w:eastAsia="Calibri" w:hAnsi="Calibri" w:cs="Times New Roman"/>
          <w:b/>
          <w:bCs/>
          <w:kern w:val="0"/>
          <w14:ligatures w14:val="none"/>
        </w:rPr>
        <w:lastRenderedPageBreak/>
        <w:t xml:space="preserve">Result and Discussion </w:t>
      </w:r>
    </w:p>
    <w:p w14:paraId="4E33A88D" w14:textId="77777777" w:rsidR="00D8206B" w:rsidRPr="00D8206B" w:rsidRDefault="00D8206B" w:rsidP="00D8206B">
      <w:pPr>
        <w:spacing w:after="0" w:line="360" w:lineRule="auto"/>
        <w:outlineLvl w:val="3"/>
        <w:rPr>
          <w:rFonts w:ascii="Calibri" w:eastAsia="Calibri" w:hAnsi="Calibri" w:cs="Times New Roman"/>
          <w:b/>
          <w:bCs/>
          <w:kern w:val="0"/>
          <w14:ligatures w14:val="none"/>
        </w:rPr>
      </w:pPr>
      <w:r w:rsidRPr="00D8206B">
        <w:rPr>
          <w:rFonts w:ascii="Calibri" w:eastAsia="Calibri" w:hAnsi="Calibri" w:cs="Times New Roman"/>
          <w:b/>
          <w:bCs/>
          <w:kern w:val="0"/>
          <w14:ligatures w14:val="none"/>
        </w:rPr>
        <w:t>Table 1: Descriptive Statistics of Key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4"/>
        <w:gridCol w:w="647"/>
        <w:gridCol w:w="2067"/>
        <w:gridCol w:w="1087"/>
        <w:gridCol w:w="1142"/>
      </w:tblGrid>
      <w:tr w:rsidR="00D8206B" w:rsidRPr="00D8206B" w14:paraId="3285AA62" w14:textId="77777777" w:rsidTr="00D00B3F">
        <w:trPr>
          <w:tblHeader/>
          <w:tblCellSpacing w:w="15" w:type="dxa"/>
        </w:trPr>
        <w:tc>
          <w:tcPr>
            <w:tcW w:w="0" w:type="auto"/>
            <w:tcBorders>
              <w:top w:val="single" w:sz="4" w:space="0" w:color="auto"/>
            </w:tcBorders>
            <w:vAlign w:val="center"/>
            <w:hideMark/>
          </w:tcPr>
          <w:p w14:paraId="2ED60F6D"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Variable</w:t>
            </w:r>
          </w:p>
        </w:tc>
        <w:tc>
          <w:tcPr>
            <w:tcW w:w="0" w:type="auto"/>
            <w:tcBorders>
              <w:top w:val="single" w:sz="4" w:space="0" w:color="auto"/>
            </w:tcBorders>
            <w:vAlign w:val="center"/>
            <w:hideMark/>
          </w:tcPr>
          <w:p w14:paraId="651A9925"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Mean</w:t>
            </w:r>
          </w:p>
        </w:tc>
        <w:tc>
          <w:tcPr>
            <w:tcW w:w="0" w:type="auto"/>
            <w:tcBorders>
              <w:top w:val="single" w:sz="4" w:space="0" w:color="auto"/>
            </w:tcBorders>
            <w:vAlign w:val="center"/>
            <w:hideMark/>
          </w:tcPr>
          <w:p w14:paraId="48720465"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Standard Deviation</w:t>
            </w:r>
          </w:p>
        </w:tc>
        <w:tc>
          <w:tcPr>
            <w:tcW w:w="0" w:type="auto"/>
            <w:tcBorders>
              <w:top w:val="single" w:sz="4" w:space="0" w:color="auto"/>
            </w:tcBorders>
            <w:vAlign w:val="center"/>
            <w:hideMark/>
          </w:tcPr>
          <w:p w14:paraId="591F7C5E"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Minimum</w:t>
            </w:r>
          </w:p>
        </w:tc>
        <w:tc>
          <w:tcPr>
            <w:tcW w:w="0" w:type="auto"/>
            <w:tcBorders>
              <w:top w:val="single" w:sz="4" w:space="0" w:color="auto"/>
            </w:tcBorders>
            <w:vAlign w:val="center"/>
            <w:hideMark/>
          </w:tcPr>
          <w:p w14:paraId="27F30EA5"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Maximum</w:t>
            </w:r>
          </w:p>
        </w:tc>
      </w:tr>
      <w:tr w:rsidR="00D8206B" w:rsidRPr="00D8206B" w14:paraId="22611E04" w14:textId="77777777" w:rsidTr="00D00B3F">
        <w:trPr>
          <w:tblCellSpacing w:w="15" w:type="dxa"/>
        </w:trPr>
        <w:tc>
          <w:tcPr>
            <w:tcW w:w="0" w:type="auto"/>
            <w:tcBorders>
              <w:top w:val="single" w:sz="4" w:space="0" w:color="auto"/>
            </w:tcBorders>
            <w:vAlign w:val="center"/>
            <w:hideMark/>
          </w:tcPr>
          <w:p w14:paraId="4CE62E4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Willingness to Adopt Blockchain (WBA)</w:t>
            </w:r>
          </w:p>
        </w:tc>
        <w:tc>
          <w:tcPr>
            <w:tcW w:w="0" w:type="auto"/>
            <w:tcBorders>
              <w:top w:val="single" w:sz="4" w:space="0" w:color="auto"/>
            </w:tcBorders>
            <w:vAlign w:val="center"/>
            <w:hideMark/>
          </w:tcPr>
          <w:p w14:paraId="358AD208"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3.75</w:t>
            </w:r>
          </w:p>
        </w:tc>
        <w:tc>
          <w:tcPr>
            <w:tcW w:w="0" w:type="auto"/>
            <w:tcBorders>
              <w:top w:val="single" w:sz="4" w:space="0" w:color="auto"/>
            </w:tcBorders>
            <w:vAlign w:val="center"/>
            <w:hideMark/>
          </w:tcPr>
          <w:p w14:paraId="29A84E21"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0.85</w:t>
            </w:r>
          </w:p>
        </w:tc>
        <w:tc>
          <w:tcPr>
            <w:tcW w:w="0" w:type="auto"/>
            <w:tcBorders>
              <w:top w:val="single" w:sz="4" w:space="0" w:color="auto"/>
            </w:tcBorders>
            <w:vAlign w:val="center"/>
            <w:hideMark/>
          </w:tcPr>
          <w:p w14:paraId="38CA1DEF"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0" w:type="auto"/>
            <w:tcBorders>
              <w:top w:val="single" w:sz="4" w:space="0" w:color="auto"/>
            </w:tcBorders>
            <w:vAlign w:val="center"/>
            <w:hideMark/>
          </w:tcPr>
          <w:p w14:paraId="3CEB1A6A"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5</w:t>
            </w:r>
          </w:p>
        </w:tc>
      </w:tr>
      <w:tr w:rsidR="00D8206B" w:rsidRPr="00D8206B" w14:paraId="5A448389" w14:textId="77777777" w:rsidTr="00D00B3F">
        <w:trPr>
          <w:tblCellSpacing w:w="15" w:type="dxa"/>
        </w:trPr>
        <w:tc>
          <w:tcPr>
            <w:tcW w:w="0" w:type="auto"/>
            <w:vAlign w:val="center"/>
            <w:hideMark/>
          </w:tcPr>
          <w:p w14:paraId="02C93A3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Regulatory Uncertainty (RU)</w:t>
            </w:r>
          </w:p>
        </w:tc>
        <w:tc>
          <w:tcPr>
            <w:tcW w:w="0" w:type="auto"/>
            <w:vAlign w:val="center"/>
            <w:hideMark/>
          </w:tcPr>
          <w:p w14:paraId="7CCA7996"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3.40</w:t>
            </w:r>
          </w:p>
        </w:tc>
        <w:tc>
          <w:tcPr>
            <w:tcW w:w="0" w:type="auto"/>
            <w:vAlign w:val="center"/>
            <w:hideMark/>
          </w:tcPr>
          <w:p w14:paraId="7EA75F22"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1.02</w:t>
            </w:r>
          </w:p>
        </w:tc>
        <w:tc>
          <w:tcPr>
            <w:tcW w:w="0" w:type="auto"/>
            <w:vAlign w:val="center"/>
            <w:hideMark/>
          </w:tcPr>
          <w:p w14:paraId="75F9A4FE"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0" w:type="auto"/>
            <w:vAlign w:val="center"/>
            <w:hideMark/>
          </w:tcPr>
          <w:p w14:paraId="053B980B"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5</w:t>
            </w:r>
          </w:p>
        </w:tc>
      </w:tr>
      <w:tr w:rsidR="00D8206B" w:rsidRPr="00D8206B" w14:paraId="4580F055" w14:textId="77777777" w:rsidTr="00D00B3F">
        <w:trPr>
          <w:tblCellSpacing w:w="15" w:type="dxa"/>
        </w:trPr>
        <w:tc>
          <w:tcPr>
            <w:tcW w:w="0" w:type="auto"/>
            <w:vAlign w:val="center"/>
            <w:hideMark/>
          </w:tcPr>
          <w:p w14:paraId="1176F8B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Regulatory Framework Effectiveness (RF)</w:t>
            </w:r>
          </w:p>
        </w:tc>
        <w:tc>
          <w:tcPr>
            <w:tcW w:w="0" w:type="auto"/>
            <w:vAlign w:val="center"/>
            <w:hideMark/>
          </w:tcPr>
          <w:p w14:paraId="1C2F2A38"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2.95</w:t>
            </w:r>
          </w:p>
        </w:tc>
        <w:tc>
          <w:tcPr>
            <w:tcW w:w="0" w:type="auto"/>
            <w:vAlign w:val="center"/>
            <w:hideMark/>
          </w:tcPr>
          <w:p w14:paraId="5873553F"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0.90</w:t>
            </w:r>
          </w:p>
        </w:tc>
        <w:tc>
          <w:tcPr>
            <w:tcW w:w="0" w:type="auto"/>
            <w:vAlign w:val="center"/>
            <w:hideMark/>
          </w:tcPr>
          <w:p w14:paraId="5B9A46D9"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0" w:type="auto"/>
            <w:vAlign w:val="center"/>
            <w:hideMark/>
          </w:tcPr>
          <w:p w14:paraId="489CE16D"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5</w:t>
            </w:r>
          </w:p>
        </w:tc>
      </w:tr>
      <w:tr w:rsidR="00D8206B" w:rsidRPr="00D8206B" w14:paraId="4F38776B" w14:textId="77777777" w:rsidTr="00D00B3F">
        <w:trPr>
          <w:tblCellSpacing w:w="15" w:type="dxa"/>
        </w:trPr>
        <w:tc>
          <w:tcPr>
            <w:tcW w:w="0" w:type="auto"/>
            <w:tcBorders>
              <w:bottom w:val="single" w:sz="4" w:space="0" w:color="auto"/>
            </w:tcBorders>
            <w:vAlign w:val="center"/>
            <w:hideMark/>
          </w:tcPr>
          <w:p w14:paraId="7E90CFA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Role of Regulatory Bodies (RB)</w:t>
            </w:r>
          </w:p>
        </w:tc>
        <w:tc>
          <w:tcPr>
            <w:tcW w:w="0" w:type="auto"/>
            <w:tcBorders>
              <w:bottom w:val="single" w:sz="4" w:space="0" w:color="auto"/>
            </w:tcBorders>
            <w:vAlign w:val="center"/>
            <w:hideMark/>
          </w:tcPr>
          <w:p w14:paraId="147A6321"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3.10</w:t>
            </w:r>
          </w:p>
        </w:tc>
        <w:tc>
          <w:tcPr>
            <w:tcW w:w="0" w:type="auto"/>
            <w:tcBorders>
              <w:bottom w:val="single" w:sz="4" w:space="0" w:color="auto"/>
            </w:tcBorders>
            <w:vAlign w:val="center"/>
            <w:hideMark/>
          </w:tcPr>
          <w:p w14:paraId="3639A468"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0.78</w:t>
            </w:r>
          </w:p>
        </w:tc>
        <w:tc>
          <w:tcPr>
            <w:tcW w:w="0" w:type="auto"/>
            <w:tcBorders>
              <w:bottom w:val="single" w:sz="4" w:space="0" w:color="auto"/>
            </w:tcBorders>
            <w:vAlign w:val="center"/>
            <w:hideMark/>
          </w:tcPr>
          <w:p w14:paraId="5C650531"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0" w:type="auto"/>
            <w:tcBorders>
              <w:bottom w:val="single" w:sz="4" w:space="0" w:color="auto"/>
            </w:tcBorders>
            <w:vAlign w:val="center"/>
            <w:hideMark/>
          </w:tcPr>
          <w:p w14:paraId="2A8519B8" w14:textId="77777777" w:rsidR="00D8206B" w:rsidRPr="00D8206B" w:rsidRDefault="00D8206B" w:rsidP="00D8206B">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5</w:t>
            </w:r>
          </w:p>
        </w:tc>
      </w:tr>
    </w:tbl>
    <w:p w14:paraId="444A19F7"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8206B">
        <w:rPr>
          <w:rFonts w:ascii="Calibri" w:eastAsia="Calibri" w:hAnsi="Calibri" w:cs="Times New Roman"/>
          <w:b/>
          <w:bCs/>
          <w:kern w:val="0"/>
          <w14:ligatures w14:val="none"/>
        </w:rPr>
        <w:t>Analysis:</w:t>
      </w:r>
      <w:r w:rsidRPr="00D8206B">
        <w:rPr>
          <w:rFonts w:ascii="Calibri" w:eastAsia="Calibri" w:hAnsi="Calibri" w:cs="Times New Roman"/>
          <w:kern w:val="0"/>
          <w14:ligatures w14:val="none"/>
        </w:rPr>
        <w:br/>
      </w:r>
      <w:r w:rsidRPr="00DA5AE9">
        <w:rPr>
          <w:rFonts w:ascii="Times New Roman" w:eastAsia="Calibri" w:hAnsi="Times New Roman" w:cs="Times New Roman"/>
          <w:kern w:val="0"/>
          <w14:ligatures w14:val="none"/>
        </w:rPr>
        <w:t xml:space="preserve">The mean value for </w:t>
      </w:r>
      <w:r w:rsidRPr="00DA5AE9">
        <w:rPr>
          <w:rFonts w:ascii="Times New Roman" w:eastAsia="Calibri" w:hAnsi="Times New Roman" w:cs="Times New Roman"/>
          <w:bCs/>
          <w:kern w:val="0"/>
          <w14:ligatures w14:val="none"/>
        </w:rPr>
        <w:t>Willingness to Adopt Blockchain (3.75)</w:t>
      </w:r>
      <w:r w:rsidRPr="00DA5AE9">
        <w:rPr>
          <w:rFonts w:ascii="Times New Roman" w:eastAsia="Calibri" w:hAnsi="Times New Roman" w:cs="Times New Roman"/>
          <w:kern w:val="0"/>
          <w14:ligatures w14:val="none"/>
        </w:rPr>
        <w:t xml:space="preserve"> indicates a moderately high readiness among financial institutions to adopt blockchain technology. The </w:t>
      </w:r>
      <w:r w:rsidRPr="00DA5AE9">
        <w:rPr>
          <w:rFonts w:ascii="Times New Roman" w:eastAsia="Calibri" w:hAnsi="Times New Roman" w:cs="Times New Roman"/>
          <w:bCs/>
          <w:kern w:val="0"/>
          <w14:ligatures w14:val="none"/>
        </w:rPr>
        <w:t>regulatory uncertainty (3.40)</w:t>
      </w:r>
      <w:r w:rsidRPr="00DA5AE9">
        <w:rPr>
          <w:rFonts w:ascii="Times New Roman" w:eastAsia="Calibri" w:hAnsi="Times New Roman" w:cs="Times New Roman"/>
          <w:kern w:val="0"/>
          <w14:ligatures w14:val="none"/>
        </w:rPr>
        <w:t xml:space="preserve"> mean suggests that respondents perceive a moderate level of uncertainty regarding regulations. The </w:t>
      </w:r>
      <w:r w:rsidRPr="00DA5AE9">
        <w:rPr>
          <w:rFonts w:ascii="Times New Roman" w:eastAsia="Calibri" w:hAnsi="Times New Roman" w:cs="Times New Roman"/>
          <w:bCs/>
          <w:kern w:val="0"/>
          <w14:ligatures w14:val="none"/>
        </w:rPr>
        <w:t>regulatory framework effectiveness (2.95)</w:t>
      </w:r>
      <w:r w:rsidRPr="00DA5AE9">
        <w:rPr>
          <w:rFonts w:ascii="Times New Roman" w:eastAsia="Calibri" w:hAnsi="Times New Roman" w:cs="Times New Roman"/>
          <w:kern w:val="0"/>
          <w14:ligatures w14:val="none"/>
        </w:rPr>
        <w:t xml:space="preserve"> average score indicates a perception that existing regulations are somewhat ineffective or unclear. Finally, the </w:t>
      </w:r>
      <w:r w:rsidRPr="00DA5AE9">
        <w:rPr>
          <w:rFonts w:ascii="Times New Roman" w:eastAsia="Calibri" w:hAnsi="Times New Roman" w:cs="Times New Roman"/>
          <w:bCs/>
          <w:kern w:val="0"/>
          <w14:ligatures w14:val="none"/>
        </w:rPr>
        <w:t>role of regulatory bodies (3.10)</w:t>
      </w:r>
      <w:r w:rsidRPr="00DA5AE9">
        <w:rPr>
          <w:rFonts w:ascii="Times New Roman" w:eastAsia="Calibri" w:hAnsi="Times New Roman" w:cs="Times New Roman"/>
          <w:kern w:val="0"/>
          <w14:ligatures w14:val="none"/>
        </w:rPr>
        <w:t xml:space="preserve"> suggests a moderate influence of agencies like CBN and SEC on blockchain adoption policies.</w:t>
      </w:r>
    </w:p>
    <w:p w14:paraId="69D2E741" w14:textId="77777777" w:rsidR="00D8206B" w:rsidRPr="00DA5AE9" w:rsidRDefault="00D8206B" w:rsidP="00DA5AE9">
      <w:p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The descriptive statistics in Table 1 reveal important insights into the perceptions of respondents regarding blockchain adoption and regulatory factors in the Nigerian financial institutions. The mean score for willingness to adopt blockchain technology is 3.75 on a 5-point scale, suggesting a moderately strong readiness among financial institutions to integrate blockchain solutions. This is encouraging, as it indicates that Nigerian financial institutions are generally open to leveraging blockchain technology to enhance their operations. However, the mean score of 3.40 for regulatory uncertainty signals that respondents perceive a moderate level of ambiguity and unpredictability in the regulatory environment, which could pose challenges to adoption. Additionally, the perceived effectiveness of the existing regulatory framework scored lower, with a mean of 2.95, indicating that many respondents view current regulations as somewhat ineffective or lacking clarity in addressing blockchain-specific issues. The role of regulatory bodies, such as the Central Bank of Nigeria (CBN) and the Securities and Exchange Commission (SEC), received a moderate score of 3.10, reflecting a somewhat positive but not fully satisfactory influence on blockchain policy development and enforcement.</w:t>
      </w:r>
    </w:p>
    <w:p w14:paraId="5AFE903D" w14:textId="77777777" w:rsidR="00D8206B" w:rsidRPr="00D8206B" w:rsidRDefault="00D8206B" w:rsidP="00DA5AE9">
      <w:pPr>
        <w:spacing w:after="0" w:line="240" w:lineRule="auto"/>
        <w:outlineLvl w:val="3"/>
        <w:rPr>
          <w:rFonts w:ascii="Calibri" w:eastAsia="Calibri" w:hAnsi="Calibri" w:cs="Times New Roman"/>
          <w:b/>
          <w:bCs/>
          <w:kern w:val="0"/>
          <w14:ligatures w14:val="none"/>
        </w:rPr>
      </w:pPr>
      <w:r w:rsidRPr="00D8206B">
        <w:rPr>
          <w:rFonts w:ascii="Calibri" w:eastAsia="Calibri" w:hAnsi="Calibri" w:cs="Times New Roman"/>
          <w:b/>
          <w:bCs/>
          <w:kern w:val="0"/>
          <w14:ligatures w14:val="none"/>
        </w:rPr>
        <w:t>Table 2: Correlation Matrix of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260"/>
        <w:gridCol w:w="1350"/>
        <w:gridCol w:w="1080"/>
        <w:gridCol w:w="1260"/>
      </w:tblGrid>
      <w:tr w:rsidR="00D8206B" w:rsidRPr="00D8206B" w14:paraId="09267246" w14:textId="77777777" w:rsidTr="00D00B3F">
        <w:trPr>
          <w:tblHeader/>
          <w:tblCellSpacing w:w="15" w:type="dxa"/>
        </w:trPr>
        <w:tc>
          <w:tcPr>
            <w:tcW w:w="1350" w:type="dxa"/>
            <w:tcBorders>
              <w:top w:val="single" w:sz="4" w:space="0" w:color="auto"/>
            </w:tcBorders>
            <w:vAlign w:val="center"/>
            <w:hideMark/>
          </w:tcPr>
          <w:p w14:paraId="72F05604" w14:textId="77777777" w:rsidR="00D8206B" w:rsidRPr="00D8206B" w:rsidRDefault="00D8206B" w:rsidP="00DA5AE9">
            <w:pPr>
              <w:spacing w:after="0" w:line="240" w:lineRule="auto"/>
              <w:jc w:val="both"/>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Variable</w:t>
            </w:r>
          </w:p>
        </w:tc>
        <w:tc>
          <w:tcPr>
            <w:tcW w:w="1230" w:type="dxa"/>
            <w:tcBorders>
              <w:top w:val="single" w:sz="4" w:space="0" w:color="auto"/>
            </w:tcBorders>
            <w:vAlign w:val="center"/>
            <w:hideMark/>
          </w:tcPr>
          <w:p w14:paraId="0920B9D6"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WBA</w:t>
            </w:r>
          </w:p>
        </w:tc>
        <w:tc>
          <w:tcPr>
            <w:tcW w:w="1320" w:type="dxa"/>
            <w:tcBorders>
              <w:top w:val="single" w:sz="4" w:space="0" w:color="auto"/>
            </w:tcBorders>
            <w:vAlign w:val="center"/>
            <w:hideMark/>
          </w:tcPr>
          <w:p w14:paraId="47860D40"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RU</w:t>
            </w:r>
          </w:p>
        </w:tc>
        <w:tc>
          <w:tcPr>
            <w:tcW w:w="1050" w:type="dxa"/>
            <w:tcBorders>
              <w:top w:val="single" w:sz="4" w:space="0" w:color="auto"/>
            </w:tcBorders>
            <w:vAlign w:val="center"/>
            <w:hideMark/>
          </w:tcPr>
          <w:p w14:paraId="7CB7272A"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RF</w:t>
            </w:r>
          </w:p>
        </w:tc>
        <w:tc>
          <w:tcPr>
            <w:tcW w:w="1215" w:type="dxa"/>
            <w:tcBorders>
              <w:top w:val="single" w:sz="4" w:space="0" w:color="auto"/>
            </w:tcBorders>
            <w:vAlign w:val="center"/>
            <w:hideMark/>
          </w:tcPr>
          <w:p w14:paraId="19666B13"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RB</w:t>
            </w:r>
          </w:p>
        </w:tc>
      </w:tr>
      <w:tr w:rsidR="00D8206B" w:rsidRPr="00D8206B" w14:paraId="18AC62EE" w14:textId="77777777" w:rsidTr="00D00B3F">
        <w:trPr>
          <w:tblCellSpacing w:w="15" w:type="dxa"/>
        </w:trPr>
        <w:tc>
          <w:tcPr>
            <w:tcW w:w="1350" w:type="dxa"/>
            <w:tcBorders>
              <w:top w:val="single" w:sz="4" w:space="0" w:color="auto"/>
            </w:tcBorders>
            <w:vAlign w:val="center"/>
            <w:hideMark/>
          </w:tcPr>
          <w:p w14:paraId="22FAAE04" w14:textId="77777777" w:rsidR="00D8206B" w:rsidRPr="00D8206B" w:rsidRDefault="00D8206B" w:rsidP="00DA5AE9">
            <w:pPr>
              <w:spacing w:after="0"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WBA</w:t>
            </w:r>
          </w:p>
        </w:tc>
        <w:tc>
          <w:tcPr>
            <w:tcW w:w="1230" w:type="dxa"/>
            <w:tcBorders>
              <w:top w:val="single" w:sz="4" w:space="0" w:color="auto"/>
            </w:tcBorders>
            <w:vAlign w:val="center"/>
            <w:hideMark/>
          </w:tcPr>
          <w:p w14:paraId="05F286FB"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1320" w:type="dxa"/>
            <w:tcBorders>
              <w:top w:val="single" w:sz="4" w:space="0" w:color="auto"/>
            </w:tcBorders>
            <w:vAlign w:val="center"/>
            <w:hideMark/>
          </w:tcPr>
          <w:p w14:paraId="4430EF26"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p>
        </w:tc>
        <w:tc>
          <w:tcPr>
            <w:tcW w:w="1050" w:type="dxa"/>
            <w:tcBorders>
              <w:top w:val="single" w:sz="4" w:space="0" w:color="auto"/>
            </w:tcBorders>
            <w:vAlign w:val="center"/>
            <w:hideMark/>
          </w:tcPr>
          <w:p w14:paraId="245365D7" w14:textId="77777777" w:rsidR="00D8206B" w:rsidRPr="00D8206B" w:rsidRDefault="00D8206B" w:rsidP="00DA5AE9">
            <w:pPr>
              <w:spacing w:after="0" w:line="240" w:lineRule="auto"/>
              <w:jc w:val="center"/>
              <w:rPr>
                <w:rFonts w:ascii="Times New Roman" w:eastAsia="Times New Roman" w:hAnsi="Times New Roman" w:cs="Times New Roman"/>
                <w:kern w:val="0"/>
                <w:sz w:val="20"/>
                <w:szCs w:val="20"/>
                <w14:ligatures w14:val="none"/>
              </w:rPr>
            </w:pPr>
          </w:p>
        </w:tc>
        <w:tc>
          <w:tcPr>
            <w:tcW w:w="1215" w:type="dxa"/>
            <w:tcBorders>
              <w:top w:val="single" w:sz="4" w:space="0" w:color="auto"/>
            </w:tcBorders>
            <w:vAlign w:val="center"/>
            <w:hideMark/>
          </w:tcPr>
          <w:p w14:paraId="2E76A533" w14:textId="77777777" w:rsidR="00D8206B" w:rsidRPr="00D8206B" w:rsidRDefault="00D8206B" w:rsidP="00DA5AE9">
            <w:pPr>
              <w:spacing w:after="0" w:line="240" w:lineRule="auto"/>
              <w:jc w:val="center"/>
              <w:rPr>
                <w:rFonts w:ascii="Times New Roman" w:eastAsia="Times New Roman" w:hAnsi="Times New Roman" w:cs="Times New Roman"/>
                <w:kern w:val="0"/>
                <w:sz w:val="20"/>
                <w:szCs w:val="20"/>
                <w14:ligatures w14:val="none"/>
              </w:rPr>
            </w:pPr>
          </w:p>
        </w:tc>
      </w:tr>
      <w:tr w:rsidR="00D8206B" w:rsidRPr="00D8206B" w14:paraId="00148292" w14:textId="77777777" w:rsidTr="00D00B3F">
        <w:trPr>
          <w:tblCellSpacing w:w="15" w:type="dxa"/>
        </w:trPr>
        <w:tc>
          <w:tcPr>
            <w:tcW w:w="1350" w:type="dxa"/>
            <w:vAlign w:val="center"/>
            <w:hideMark/>
          </w:tcPr>
          <w:p w14:paraId="285C104A" w14:textId="77777777" w:rsidR="00D8206B" w:rsidRPr="00D8206B" w:rsidRDefault="00D8206B" w:rsidP="00DA5AE9">
            <w:pPr>
              <w:spacing w:after="0"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RU</w:t>
            </w:r>
          </w:p>
        </w:tc>
        <w:tc>
          <w:tcPr>
            <w:tcW w:w="1230" w:type="dxa"/>
            <w:vAlign w:val="center"/>
            <w:hideMark/>
          </w:tcPr>
          <w:p w14:paraId="6EE9B9D3"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-0.62**</w:t>
            </w:r>
          </w:p>
        </w:tc>
        <w:tc>
          <w:tcPr>
            <w:tcW w:w="1320" w:type="dxa"/>
            <w:vAlign w:val="center"/>
            <w:hideMark/>
          </w:tcPr>
          <w:p w14:paraId="178AD6C8"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1050" w:type="dxa"/>
            <w:vAlign w:val="center"/>
            <w:hideMark/>
          </w:tcPr>
          <w:p w14:paraId="445E6556"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p>
        </w:tc>
        <w:tc>
          <w:tcPr>
            <w:tcW w:w="1215" w:type="dxa"/>
            <w:vAlign w:val="center"/>
            <w:hideMark/>
          </w:tcPr>
          <w:p w14:paraId="7462744C" w14:textId="77777777" w:rsidR="00D8206B" w:rsidRPr="00D8206B" w:rsidRDefault="00D8206B" w:rsidP="00DA5AE9">
            <w:pPr>
              <w:spacing w:after="0" w:line="240" w:lineRule="auto"/>
              <w:jc w:val="center"/>
              <w:rPr>
                <w:rFonts w:ascii="Times New Roman" w:eastAsia="Times New Roman" w:hAnsi="Times New Roman" w:cs="Times New Roman"/>
                <w:kern w:val="0"/>
                <w:sz w:val="20"/>
                <w:szCs w:val="20"/>
                <w14:ligatures w14:val="none"/>
              </w:rPr>
            </w:pPr>
          </w:p>
        </w:tc>
      </w:tr>
      <w:tr w:rsidR="00D8206B" w:rsidRPr="00D8206B" w14:paraId="2438088F" w14:textId="77777777" w:rsidTr="00D00B3F">
        <w:trPr>
          <w:tblCellSpacing w:w="15" w:type="dxa"/>
        </w:trPr>
        <w:tc>
          <w:tcPr>
            <w:tcW w:w="1350" w:type="dxa"/>
            <w:vAlign w:val="center"/>
            <w:hideMark/>
          </w:tcPr>
          <w:p w14:paraId="2DE1D15D" w14:textId="77777777" w:rsidR="00D8206B" w:rsidRPr="00D8206B" w:rsidRDefault="00D8206B" w:rsidP="00DA5AE9">
            <w:pPr>
              <w:spacing w:after="0"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RF</w:t>
            </w:r>
          </w:p>
        </w:tc>
        <w:tc>
          <w:tcPr>
            <w:tcW w:w="1230" w:type="dxa"/>
            <w:vAlign w:val="center"/>
            <w:hideMark/>
          </w:tcPr>
          <w:p w14:paraId="4B29AAB6"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0.55**</w:t>
            </w:r>
          </w:p>
        </w:tc>
        <w:tc>
          <w:tcPr>
            <w:tcW w:w="1320" w:type="dxa"/>
            <w:vAlign w:val="center"/>
            <w:hideMark/>
          </w:tcPr>
          <w:p w14:paraId="1886EC00"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-0.48**</w:t>
            </w:r>
          </w:p>
        </w:tc>
        <w:tc>
          <w:tcPr>
            <w:tcW w:w="1050" w:type="dxa"/>
            <w:vAlign w:val="center"/>
            <w:hideMark/>
          </w:tcPr>
          <w:p w14:paraId="0B18745A"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1215" w:type="dxa"/>
            <w:vAlign w:val="center"/>
            <w:hideMark/>
          </w:tcPr>
          <w:p w14:paraId="44344496"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p>
        </w:tc>
      </w:tr>
      <w:tr w:rsidR="00D8206B" w:rsidRPr="00D8206B" w14:paraId="3D782916" w14:textId="77777777" w:rsidTr="00D00B3F">
        <w:trPr>
          <w:tblCellSpacing w:w="15" w:type="dxa"/>
        </w:trPr>
        <w:tc>
          <w:tcPr>
            <w:tcW w:w="1350" w:type="dxa"/>
            <w:tcBorders>
              <w:bottom w:val="single" w:sz="4" w:space="0" w:color="auto"/>
            </w:tcBorders>
            <w:vAlign w:val="center"/>
            <w:hideMark/>
          </w:tcPr>
          <w:p w14:paraId="14AD162A" w14:textId="77777777" w:rsidR="00D8206B" w:rsidRPr="00D8206B" w:rsidRDefault="00D8206B" w:rsidP="00DA5AE9">
            <w:pPr>
              <w:spacing w:after="0"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RB</w:t>
            </w:r>
          </w:p>
        </w:tc>
        <w:tc>
          <w:tcPr>
            <w:tcW w:w="1230" w:type="dxa"/>
            <w:tcBorders>
              <w:bottom w:val="single" w:sz="4" w:space="0" w:color="auto"/>
            </w:tcBorders>
            <w:vAlign w:val="center"/>
            <w:hideMark/>
          </w:tcPr>
          <w:p w14:paraId="4F381649"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0.46**</w:t>
            </w:r>
          </w:p>
        </w:tc>
        <w:tc>
          <w:tcPr>
            <w:tcW w:w="1320" w:type="dxa"/>
            <w:tcBorders>
              <w:bottom w:val="single" w:sz="4" w:space="0" w:color="auto"/>
            </w:tcBorders>
            <w:vAlign w:val="center"/>
            <w:hideMark/>
          </w:tcPr>
          <w:p w14:paraId="35BBBDDF"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-0.38*</w:t>
            </w:r>
          </w:p>
        </w:tc>
        <w:tc>
          <w:tcPr>
            <w:tcW w:w="1050" w:type="dxa"/>
            <w:tcBorders>
              <w:bottom w:val="single" w:sz="4" w:space="0" w:color="auto"/>
            </w:tcBorders>
            <w:vAlign w:val="center"/>
            <w:hideMark/>
          </w:tcPr>
          <w:p w14:paraId="7E6FD532"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0.42**</w:t>
            </w:r>
          </w:p>
        </w:tc>
        <w:tc>
          <w:tcPr>
            <w:tcW w:w="1215" w:type="dxa"/>
            <w:tcBorders>
              <w:bottom w:val="single" w:sz="4" w:space="0" w:color="auto"/>
            </w:tcBorders>
            <w:vAlign w:val="center"/>
            <w:hideMark/>
          </w:tcPr>
          <w:p w14:paraId="2352E06B"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r>
    </w:tbl>
    <w:p w14:paraId="45CCFE05" w14:textId="77777777" w:rsidR="00D8206B" w:rsidRPr="00D8206B" w:rsidRDefault="00D8206B" w:rsidP="00DA5AE9">
      <w:pPr>
        <w:spacing w:after="0" w:line="240" w:lineRule="auto"/>
        <w:rPr>
          <w:rFonts w:ascii="Calibri" w:eastAsia="Calibri" w:hAnsi="Calibri" w:cs="Times New Roman"/>
          <w:kern w:val="0"/>
          <w14:ligatures w14:val="none"/>
        </w:rPr>
      </w:pPr>
      <w:r w:rsidRPr="00D8206B">
        <w:rPr>
          <w:rFonts w:ascii="Calibri" w:eastAsia="Calibri" w:hAnsi="Calibri" w:cs="Times New Roman"/>
          <w:b/>
          <w:bCs/>
          <w:kern w:val="0"/>
          <w14:ligatures w14:val="none"/>
        </w:rPr>
        <w:t>Notes:</w:t>
      </w:r>
    </w:p>
    <w:p w14:paraId="6439D52A" w14:textId="77777777" w:rsidR="00D8206B" w:rsidRPr="00D8206B" w:rsidRDefault="00D8206B" w:rsidP="00DA5AE9">
      <w:pPr>
        <w:spacing w:after="0" w:line="240" w:lineRule="auto"/>
        <w:rPr>
          <w:rFonts w:ascii="Calibri" w:eastAsia="Calibri" w:hAnsi="Calibri" w:cs="Times New Roman"/>
          <w:kern w:val="0"/>
          <w14:ligatures w14:val="none"/>
        </w:rPr>
      </w:pPr>
      <w:r w:rsidRPr="00D8206B">
        <w:rPr>
          <w:rFonts w:ascii="Calibri" w:eastAsia="Calibri" w:hAnsi="Calibri" w:cs="Times New Roman"/>
          <w:kern w:val="0"/>
          <w14:ligatures w14:val="none"/>
        </w:rPr>
        <w:t>**Correlation is significant at the 0.01 level (2-tailed) indicated by **</w:t>
      </w:r>
    </w:p>
    <w:p w14:paraId="19B393D0" w14:textId="77777777" w:rsidR="00D8206B" w:rsidRPr="00DA5AE9" w:rsidRDefault="00D8206B" w:rsidP="00DA5AE9">
      <w:p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b/>
          <w:bCs/>
          <w:kern w:val="0"/>
          <w14:ligatures w14:val="none"/>
        </w:rPr>
        <w:t>Analysis:</w:t>
      </w:r>
      <w:r w:rsidRPr="00DA5AE9">
        <w:rPr>
          <w:rFonts w:ascii="Times New Roman" w:eastAsia="Calibri" w:hAnsi="Times New Roman" w:cs="Times New Roman"/>
          <w:kern w:val="0"/>
          <w14:ligatures w14:val="none"/>
        </w:rPr>
        <w:br/>
        <w:t xml:space="preserve">There is a strong </w:t>
      </w:r>
      <w:r w:rsidRPr="00DA5AE9">
        <w:rPr>
          <w:rFonts w:ascii="Times New Roman" w:eastAsia="Calibri" w:hAnsi="Times New Roman" w:cs="Times New Roman"/>
          <w:bCs/>
          <w:kern w:val="0"/>
          <w14:ligatures w14:val="none"/>
        </w:rPr>
        <w:t>negative correlation (-0.62)</w:t>
      </w:r>
      <w:r w:rsidRPr="00DA5AE9">
        <w:rPr>
          <w:rFonts w:ascii="Times New Roman" w:eastAsia="Calibri" w:hAnsi="Times New Roman" w:cs="Times New Roman"/>
          <w:kern w:val="0"/>
          <w14:ligatures w14:val="none"/>
        </w:rPr>
        <w:t xml:space="preserve"> between regulatory uncertainty and willingness to adopt blockchain, indicating that higher uncertainty reduces adoption willingness. The regulatory framework effectiveness and the role of regulatory bodies both show positive correlations with willingness to adopt blockchain, suggesting that better frameworks and stronger regulatory support increase adoption willingness.</w:t>
      </w:r>
    </w:p>
    <w:p w14:paraId="193A4717"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 xml:space="preserve">The correlation matrix in Table 2 further clarifies the relationships among these variables. Notably, there is a strong negative correlation (-0.62) between regulatory uncertainty and financial institutions willingness to adopt blockchain technology. This suggests that as uncertainty in regulations increases, financial institutions </w:t>
      </w:r>
      <w:r w:rsidRPr="00DA5AE9">
        <w:rPr>
          <w:rFonts w:ascii="Times New Roman" w:eastAsia="Times New Roman" w:hAnsi="Times New Roman" w:cs="Times New Roman"/>
          <w:kern w:val="0"/>
          <w14:ligatures w14:val="none"/>
        </w:rPr>
        <w:lastRenderedPageBreak/>
        <w:t>readiness to adopt blockchain decreases significantly. Conversely, regulatory framework effectiveness and the role of regulatory bodies are positively correlated with willingness to adopt blockchain, at 0.55 and 0.46 respectively. These findings indicate that clearer, more effective regulations and active, supportive roles from regulators positively influence financial institutions decisions to embrace blockchain technologies. These correlations reinforce the notion that regulatory factors play a critical role in shaping blockchain adoption within the Nigerian financial institutions.</w:t>
      </w:r>
    </w:p>
    <w:p w14:paraId="6BC5FD7E" w14:textId="77777777" w:rsidR="00D8206B" w:rsidRPr="00D8206B" w:rsidRDefault="00D8206B" w:rsidP="00DA5AE9">
      <w:pPr>
        <w:spacing w:after="0" w:line="240" w:lineRule="auto"/>
        <w:jc w:val="both"/>
        <w:rPr>
          <w:rFonts w:ascii="Times New Roman" w:eastAsia="Times New Roman" w:hAnsi="Times New Roman" w:cs="Times New Roman"/>
          <w:kern w:val="0"/>
          <w14:ligatures w14:val="none"/>
        </w:rPr>
      </w:pPr>
    </w:p>
    <w:p w14:paraId="259AB732" w14:textId="77777777" w:rsidR="00D8206B" w:rsidRPr="00D8206B" w:rsidRDefault="00D8206B" w:rsidP="00DA5AE9">
      <w:pPr>
        <w:spacing w:after="0" w:line="240" w:lineRule="auto"/>
        <w:jc w:val="both"/>
        <w:outlineLvl w:val="3"/>
        <w:rPr>
          <w:rFonts w:ascii="Calibri" w:eastAsia="Calibri" w:hAnsi="Calibri" w:cs="Times New Roman"/>
          <w:b/>
          <w:bCs/>
          <w:kern w:val="0"/>
          <w14:ligatures w14:val="none"/>
        </w:rPr>
      </w:pPr>
      <w:r w:rsidRPr="00D8206B">
        <w:rPr>
          <w:rFonts w:ascii="Calibri" w:eastAsia="Calibri" w:hAnsi="Calibri" w:cs="Times New Roman"/>
          <w:b/>
          <w:bCs/>
          <w:kern w:val="0"/>
          <w14:ligatures w14:val="none"/>
        </w:rPr>
        <w:t>Table 3: Regression Analysis of Factors Influencing Willingness to Adopt Blockchain</w:t>
      </w:r>
    </w:p>
    <w:tbl>
      <w:tblPr>
        <w:tblW w:w="8325" w:type="dxa"/>
        <w:tblCellSpacing w:w="15" w:type="dxa"/>
        <w:tblCellMar>
          <w:top w:w="15" w:type="dxa"/>
          <w:left w:w="15" w:type="dxa"/>
          <w:bottom w:w="15" w:type="dxa"/>
          <w:right w:w="15" w:type="dxa"/>
        </w:tblCellMar>
        <w:tblLook w:val="04A0" w:firstRow="1" w:lastRow="0" w:firstColumn="1" w:lastColumn="0" w:noHBand="0" w:noVBand="1"/>
      </w:tblPr>
      <w:tblGrid>
        <w:gridCol w:w="3015"/>
        <w:gridCol w:w="1526"/>
        <w:gridCol w:w="1804"/>
        <w:gridCol w:w="900"/>
        <w:gridCol w:w="1080"/>
      </w:tblGrid>
      <w:tr w:rsidR="00D8206B" w:rsidRPr="00D8206B" w14:paraId="23BE14CB" w14:textId="77777777" w:rsidTr="00D00B3F">
        <w:trPr>
          <w:tblHeader/>
          <w:tblCellSpacing w:w="15" w:type="dxa"/>
        </w:trPr>
        <w:tc>
          <w:tcPr>
            <w:tcW w:w="2970" w:type="dxa"/>
            <w:tcBorders>
              <w:top w:val="single" w:sz="4" w:space="0" w:color="auto"/>
            </w:tcBorders>
            <w:vAlign w:val="center"/>
            <w:hideMark/>
          </w:tcPr>
          <w:p w14:paraId="3B72CCB6" w14:textId="77777777" w:rsidR="00D8206B" w:rsidRPr="00D8206B" w:rsidRDefault="00D8206B" w:rsidP="00DA5AE9">
            <w:pPr>
              <w:spacing w:after="0" w:line="240" w:lineRule="auto"/>
              <w:jc w:val="both"/>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Variable</w:t>
            </w:r>
          </w:p>
        </w:tc>
        <w:tc>
          <w:tcPr>
            <w:tcW w:w="0" w:type="auto"/>
            <w:tcBorders>
              <w:top w:val="single" w:sz="4" w:space="0" w:color="auto"/>
            </w:tcBorders>
            <w:vAlign w:val="center"/>
            <w:hideMark/>
          </w:tcPr>
          <w:p w14:paraId="3E2429E6"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Coefficient (β)</w:t>
            </w:r>
          </w:p>
        </w:tc>
        <w:tc>
          <w:tcPr>
            <w:tcW w:w="1774" w:type="dxa"/>
            <w:tcBorders>
              <w:top w:val="single" w:sz="4" w:space="0" w:color="auto"/>
            </w:tcBorders>
            <w:vAlign w:val="center"/>
            <w:hideMark/>
          </w:tcPr>
          <w:p w14:paraId="0C6836D9"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Standard Error</w:t>
            </w:r>
          </w:p>
        </w:tc>
        <w:tc>
          <w:tcPr>
            <w:tcW w:w="870" w:type="dxa"/>
            <w:tcBorders>
              <w:top w:val="single" w:sz="4" w:space="0" w:color="auto"/>
            </w:tcBorders>
            <w:vAlign w:val="center"/>
            <w:hideMark/>
          </w:tcPr>
          <w:p w14:paraId="150CD197"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t-value</w:t>
            </w:r>
          </w:p>
        </w:tc>
        <w:tc>
          <w:tcPr>
            <w:tcW w:w="1035" w:type="dxa"/>
            <w:tcBorders>
              <w:top w:val="single" w:sz="4" w:space="0" w:color="auto"/>
            </w:tcBorders>
            <w:vAlign w:val="center"/>
            <w:hideMark/>
          </w:tcPr>
          <w:p w14:paraId="27D14E85" w14:textId="77777777" w:rsidR="00D8206B" w:rsidRPr="00D8206B" w:rsidRDefault="00D8206B" w:rsidP="00DA5AE9">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p-value</w:t>
            </w:r>
          </w:p>
        </w:tc>
      </w:tr>
      <w:tr w:rsidR="00D8206B" w:rsidRPr="00D8206B" w14:paraId="138AA6D9" w14:textId="77777777" w:rsidTr="00D00B3F">
        <w:trPr>
          <w:tblCellSpacing w:w="15" w:type="dxa"/>
        </w:trPr>
        <w:tc>
          <w:tcPr>
            <w:tcW w:w="2970" w:type="dxa"/>
            <w:tcBorders>
              <w:top w:val="single" w:sz="4" w:space="0" w:color="auto"/>
            </w:tcBorders>
            <w:vAlign w:val="center"/>
            <w:hideMark/>
          </w:tcPr>
          <w:p w14:paraId="4E30665E" w14:textId="77777777" w:rsidR="00D8206B" w:rsidRPr="00D8206B" w:rsidRDefault="00D8206B" w:rsidP="00DA5AE9">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Constant</w:t>
            </w:r>
          </w:p>
        </w:tc>
        <w:tc>
          <w:tcPr>
            <w:tcW w:w="0" w:type="auto"/>
            <w:tcBorders>
              <w:top w:val="single" w:sz="4" w:space="0" w:color="auto"/>
            </w:tcBorders>
            <w:vAlign w:val="center"/>
            <w:hideMark/>
          </w:tcPr>
          <w:p w14:paraId="31D40DF3"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1.20</w:t>
            </w:r>
          </w:p>
        </w:tc>
        <w:tc>
          <w:tcPr>
            <w:tcW w:w="1774" w:type="dxa"/>
            <w:tcBorders>
              <w:top w:val="single" w:sz="4" w:space="0" w:color="auto"/>
            </w:tcBorders>
            <w:vAlign w:val="center"/>
            <w:hideMark/>
          </w:tcPr>
          <w:p w14:paraId="2F27E909"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0.30</w:t>
            </w:r>
          </w:p>
        </w:tc>
        <w:tc>
          <w:tcPr>
            <w:tcW w:w="870" w:type="dxa"/>
            <w:tcBorders>
              <w:top w:val="single" w:sz="4" w:space="0" w:color="auto"/>
            </w:tcBorders>
            <w:vAlign w:val="center"/>
            <w:hideMark/>
          </w:tcPr>
          <w:p w14:paraId="2923DC3B"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4.00</w:t>
            </w:r>
          </w:p>
        </w:tc>
        <w:tc>
          <w:tcPr>
            <w:tcW w:w="1035" w:type="dxa"/>
            <w:tcBorders>
              <w:top w:val="single" w:sz="4" w:space="0" w:color="auto"/>
            </w:tcBorders>
            <w:vAlign w:val="center"/>
            <w:hideMark/>
          </w:tcPr>
          <w:p w14:paraId="5FC494BB"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r>
      <w:tr w:rsidR="00D8206B" w:rsidRPr="00D8206B" w14:paraId="4D9EACEA" w14:textId="77777777" w:rsidTr="00D00B3F">
        <w:trPr>
          <w:tblCellSpacing w:w="15" w:type="dxa"/>
        </w:trPr>
        <w:tc>
          <w:tcPr>
            <w:tcW w:w="2970" w:type="dxa"/>
            <w:vAlign w:val="center"/>
            <w:hideMark/>
          </w:tcPr>
          <w:p w14:paraId="492F8F4D" w14:textId="77777777" w:rsidR="00D8206B" w:rsidRPr="00D8206B" w:rsidRDefault="00D8206B" w:rsidP="00DA5AE9">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Regulatory Uncertainty (RU)</w:t>
            </w:r>
          </w:p>
        </w:tc>
        <w:tc>
          <w:tcPr>
            <w:tcW w:w="0" w:type="auto"/>
            <w:vAlign w:val="center"/>
            <w:hideMark/>
          </w:tcPr>
          <w:p w14:paraId="409946DA"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-0.45</w:t>
            </w:r>
          </w:p>
        </w:tc>
        <w:tc>
          <w:tcPr>
            <w:tcW w:w="1774" w:type="dxa"/>
            <w:vAlign w:val="center"/>
            <w:hideMark/>
          </w:tcPr>
          <w:p w14:paraId="533FF6C8"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0.10</w:t>
            </w:r>
          </w:p>
        </w:tc>
        <w:tc>
          <w:tcPr>
            <w:tcW w:w="870" w:type="dxa"/>
            <w:vAlign w:val="center"/>
            <w:hideMark/>
          </w:tcPr>
          <w:p w14:paraId="57EB2B79"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-4.50</w:t>
            </w:r>
          </w:p>
        </w:tc>
        <w:tc>
          <w:tcPr>
            <w:tcW w:w="1035" w:type="dxa"/>
            <w:vAlign w:val="center"/>
            <w:hideMark/>
          </w:tcPr>
          <w:p w14:paraId="73EFB278"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r>
      <w:tr w:rsidR="00D8206B" w:rsidRPr="00D8206B" w14:paraId="1AF545F4" w14:textId="77777777" w:rsidTr="00D00B3F">
        <w:trPr>
          <w:tblCellSpacing w:w="15" w:type="dxa"/>
        </w:trPr>
        <w:tc>
          <w:tcPr>
            <w:tcW w:w="2970" w:type="dxa"/>
            <w:vAlign w:val="center"/>
            <w:hideMark/>
          </w:tcPr>
          <w:p w14:paraId="5B5C68A5" w14:textId="77777777" w:rsidR="00D8206B" w:rsidRPr="00D8206B" w:rsidRDefault="00D8206B" w:rsidP="00DA5AE9">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Regulatory Framework (RF)</w:t>
            </w:r>
          </w:p>
        </w:tc>
        <w:tc>
          <w:tcPr>
            <w:tcW w:w="0" w:type="auto"/>
            <w:vAlign w:val="center"/>
            <w:hideMark/>
          </w:tcPr>
          <w:p w14:paraId="03276167"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0.32</w:t>
            </w:r>
          </w:p>
        </w:tc>
        <w:tc>
          <w:tcPr>
            <w:tcW w:w="1774" w:type="dxa"/>
            <w:vAlign w:val="center"/>
            <w:hideMark/>
          </w:tcPr>
          <w:p w14:paraId="18D06FA2"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0.12</w:t>
            </w:r>
          </w:p>
        </w:tc>
        <w:tc>
          <w:tcPr>
            <w:tcW w:w="870" w:type="dxa"/>
            <w:vAlign w:val="center"/>
            <w:hideMark/>
          </w:tcPr>
          <w:p w14:paraId="0F574AB6"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2.67</w:t>
            </w:r>
          </w:p>
        </w:tc>
        <w:tc>
          <w:tcPr>
            <w:tcW w:w="1035" w:type="dxa"/>
            <w:vAlign w:val="center"/>
            <w:hideMark/>
          </w:tcPr>
          <w:p w14:paraId="22D9DCB8"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0.010*</w:t>
            </w:r>
          </w:p>
        </w:tc>
      </w:tr>
      <w:tr w:rsidR="00D8206B" w:rsidRPr="00D8206B" w14:paraId="7A7E3AB8" w14:textId="77777777" w:rsidTr="00D00B3F">
        <w:trPr>
          <w:tblCellSpacing w:w="15" w:type="dxa"/>
        </w:trPr>
        <w:tc>
          <w:tcPr>
            <w:tcW w:w="2970" w:type="dxa"/>
            <w:tcBorders>
              <w:bottom w:val="single" w:sz="4" w:space="0" w:color="auto"/>
            </w:tcBorders>
            <w:vAlign w:val="center"/>
            <w:hideMark/>
          </w:tcPr>
          <w:p w14:paraId="4E896394" w14:textId="77777777" w:rsidR="00D8206B" w:rsidRPr="00D8206B" w:rsidRDefault="00D8206B" w:rsidP="00DA5AE9">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Role of Regulatory Bodies (RB)</w:t>
            </w:r>
          </w:p>
        </w:tc>
        <w:tc>
          <w:tcPr>
            <w:tcW w:w="0" w:type="auto"/>
            <w:tcBorders>
              <w:bottom w:val="single" w:sz="4" w:space="0" w:color="auto"/>
            </w:tcBorders>
            <w:vAlign w:val="center"/>
            <w:hideMark/>
          </w:tcPr>
          <w:p w14:paraId="07BDF89D"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0.27</w:t>
            </w:r>
          </w:p>
        </w:tc>
        <w:tc>
          <w:tcPr>
            <w:tcW w:w="1774" w:type="dxa"/>
            <w:tcBorders>
              <w:bottom w:val="single" w:sz="4" w:space="0" w:color="auto"/>
            </w:tcBorders>
            <w:vAlign w:val="center"/>
            <w:hideMark/>
          </w:tcPr>
          <w:p w14:paraId="1DF75C54"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0.11</w:t>
            </w:r>
          </w:p>
        </w:tc>
        <w:tc>
          <w:tcPr>
            <w:tcW w:w="870" w:type="dxa"/>
            <w:tcBorders>
              <w:bottom w:val="single" w:sz="4" w:space="0" w:color="auto"/>
            </w:tcBorders>
            <w:vAlign w:val="center"/>
            <w:hideMark/>
          </w:tcPr>
          <w:p w14:paraId="359DCC52"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2.45</w:t>
            </w:r>
          </w:p>
        </w:tc>
        <w:tc>
          <w:tcPr>
            <w:tcW w:w="1035" w:type="dxa"/>
            <w:tcBorders>
              <w:bottom w:val="single" w:sz="4" w:space="0" w:color="auto"/>
            </w:tcBorders>
            <w:vAlign w:val="center"/>
            <w:hideMark/>
          </w:tcPr>
          <w:p w14:paraId="01B43C69" w14:textId="77777777" w:rsidR="00D8206B" w:rsidRPr="00D8206B" w:rsidRDefault="00D8206B" w:rsidP="00DA5AE9">
            <w:pPr>
              <w:spacing w:after="0" w:line="240" w:lineRule="auto"/>
              <w:jc w:val="center"/>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0.018*</w:t>
            </w:r>
          </w:p>
        </w:tc>
      </w:tr>
    </w:tbl>
    <w:p w14:paraId="579F95FD" w14:textId="77777777" w:rsidR="00D8206B" w:rsidRPr="00D8206B" w:rsidRDefault="00D8206B" w:rsidP="00DA5AE9">
      <w:pPr>
        <w:spacing w:after="0" w:line="240" w:lineRule="auto"/>
        <w:rPr>
          <w:rFonts w:ascii="Calibri" w:eastAsia="Calibri" w:hAnsi="Calibri" w:cs="Times New Roman"/>
          <w:kern w:val="0"/>
          <w14:ligatures w14:val="none"/>
        </w:rPr>
      </w:pPr>
      <w:r w:rsidRPr="00D8206B">
        <w:rPr>
          <w:rFonts w:ascii="Calibri" w:eastAsia="Calibri" w:hAnsi="Calibri" w:cs="Times New Roman"/>
          <w:b/>
          <w:bCs/>
          <w:kern w:val="0"/>
          <w14:ligatures w14:val="none"/>
        </w:rPr>
        <w:t>Model Summary:</w:t>
      </w:r>
    </w:p>
    <w:p w14:paraId="2049E01B" w14:textId="77777777" w:rsidR="00D8206B" w:rsidRPr="00D8206B" w:rsidRDefault="00D8206B" w:rsidP="00DA5AE9">
      <w:pPr>
        <w:spacing w:after="0" w:line="240" w:lineRule="auto"/>
        <w:rPr>
          <w:rFonts w:ascii="Calibri" w:eastAsia="Calibri" w:hAnsi="Calibri" w:cs="Times New Roman"/>
          <w:kern w:val="0"/>
          <w14:ligatures w14:val="none"/>
        </w:rPr>
      </w:pPr>
      <w:r w:rsidRPr="00D8206B">
        <w:rPr>
          <w:rFonts w:ascii="Calibri" w:eastAsia="Calibri" w:hAnsi="Calibri" w:cs="Times New Roman"/>
          <w:kern w:val="0"/>
          <w14:ligatures w14:val="none"/>
        </w:rPr>
        <w:t>R2=0.58R^2 = 0.58 (58% of the variation in willingness to adopt blockchain is explained by the model)</w:t>
      </w:r>
    </w:p>
    <w:p w14:paraId="4D273371" w14:textId="77777777" w:rsidR="00D8206B" w:rsidRPr="00D8206B" w:rsidRDefault="00D8206B" w:rsidP="00DA5AE9">
      <w:pPr>
        <w:spacing w:after="0" w:line="240" w:lineRule="auto"/>
        <w:rPr>
          <w:rFonts w:ascii="Calibri" w:eastAsia="Calibri" w:hAnsi="Calibri" w:cs="Times New Roman"/>
          <w:kern w:val="0"/>
          <w14:ligatures w14:val="none"/>
        </w:rPr>
      </w:pPr>
      <w:r w:rsidRPr="00D8206B">
        <w:rPr>
          <w:rFonts w:ascii="Calibri" w:eastAsia="Calibri" w:hAnsi="Calibri" w:cs="Times New Roman"/>
          <w:kern w:val="0"/>
          <w14:ligatures w14:val="none"/>
        </w:rPr>
        <w:t>F-statistic = 24.67, p &lt; 0.001 (model is statistically significant)</w:t>
      </w:r>
    </w:p>
    <w:p w14:paraId="73ED4266" w14:textId="77777777" w:rsidR="00D8206B" w:rsidRPr="00DA5AE9" w:rsidRDefault="00D8206B" w:rsidP="00DA5AE9">
      <w:p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b/>
          <w:bCs/>
          <w:kern w:val="0"/>
          <w14:ligatures w14:val="none"/>
        </w:rPr>
        <w:t>Analysis:</w:t>
      </w:r>
      <w:r w:rsidRPr="00DA5AE9">
        <w:rPr>
          <w:rFonts w:ascii="Times New Roman" w:eastAsia="Calibri" w:hAnsi="Times New Roman" w:cs="Times New Roman"/>
          <w:kern w:val="0"/>
          <w14:ligatures w14:val="none"/>
        </w:rPr>
        <w:br/>
        <w:t xml:space="preserve">The regression results show that </w:t>
      </w:r>
      <w:r w:rsidRPr="00DA5AE9">
        <w:rPr>
          <w:rFonts w:ascii="Times New Roman" w:eastAsia="Calibri" w:hAnsi="Times New Roman" w:cs="Times New Roman"/>
          <w:bCs/>
          <w:kern w:val="0"/>
          <w14:ligatures w14:val="none"/>
        </w:rPr>
        <w:t>regulatory uncertainty negatively and significantly influences</w:t>
      </w:r>
      <w:r w:rsidRPr="00DA5AE9">
        <w:rPr>
          <w:rFonts w:ascii="Times New Roman" w:eastAsia="Calibri" w:hAnsi="Times New Roman" w:cs="Times New Roman"/>
          <w:kern w:val="0"/>
          <w14:ligatures w14:val="none"/>
        </w:rPr>
        <w:t xml:space="preserve"> financial institutions willingness to adopt blockchain, confirming that uncertainty acts as a barrier. Conversely, both </w:t>
      </w:r>
      <w:r w:rsidRPr="00DA5AE9">
        <w:rPr>
          <w:rFonts w:ascii="Times New Roman" w:eastAsia="Calibri" w:hAnsi="Times New Roman" w:cs="Times New Roman"/>
          <w:bCs/>
          <w:kern w:val="0"/>
          <w14:ligatures w14:val="none"/>
        </w:rPr>
        <w:t>regulatory framework effectiveness and the positive role of regulatory bodies significantly encourage</w:t>
      </w:r>
      <w:r w:rsidRPr="00DA5AE9">
        <w:rPr>
          <w:rFonts w:ascii="Times New Roman" w:eastAsia="Calibri" w:hAnsi="Times New Roman" w:cs="Times New Roman"/>
          <w:kern w:val="0"/>
          <w14:ligatures w14:val="none"/>
        </w:rPr>
        <w:t xml:space="preserve"> blockchain adoption. The model explains a substantial portion (58%) of the variance in adoption willingness, indicating a strong predictive power of regulatory factors.</w:t>
      </w:r>
    </w:p>
    <w:p w14:paraId="701946C7"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Table 3 presents the results of the regression analysis, which tests the impact of regulatory factors on willingness to adopt blockchain while controlling for other variables. The model explains 58% of the variance in financial institutions willingness to adopt blockchain technology, demonstrating strong explanatory power. The coefficient for regulatory uncertainty is -0.45 and statistically significant (p &lt; 0.001), confirming that higher levels of regulatory uncertainty significantly deter financial institutions from adopting blockchain solutions. In practical terms, this means that when financial institutions perceive regulatory guidelines as unclear or unpredictable, they are less likely to invest in blockchain integration due to increased risk and operational ambiguity.</w:t>
      </w:r>
    </w:p>
    <w:p w14:paraId="14BD26B9" w14:textId="77777777" w:rsidR="00D8206B" w:rsidRPr="00DA5AE9" w:rsidRDefault="00D8206B" w:rsidP="00DA5AE9">
      <w:pPr>
        <w:spacing w:before="100" w:beforeAutospacing="1" w:after="100" w:afterAutospacing="1"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In contrast, the regulatory framework effectiveness and the role of regulatory bodies both exhibit positive and significant coefficients (0.32 and 0.27 respectively, with p-values below 0.05). This implies that improvements in the clarity and adequacy of blockchain-related regulations, as well as more proactive and supportive actions from bodies like the CBN and SEC, enhance financial institutions willingness to adopt blockchain technology. These findings highlight the critical importance of regulatory clarity and institutional support in fostering the adoption of innovative financial technologies.</w:t>
      </w:r>
    </w:p>
    <w:p w14:paraId="3783465F" w14:textId="77777777" w:rsidR="00D8206B" w:rsidRPr="00DA5AE9" w:rsidRDefault="00D8206B" w:rsidP="00DA5AE9">
      <w:pPr>
        <w:spacing w:after="0" w:line="240" w:lineRule="auto"/>
        <w:jc w:val="both"/>
        <w:rPr>
          <w:rFonts w:ascii="Times New Roman" w:eastAsia="Times New Roman" w:hAnsi="Times New Roman" w:cs="Times New Roman"/>
          <w:b/>
          <w:kern w:val="0"/>
          <w:lang w:val="en-GB" w:eastAsia="zh-CN"/>
          <w14:ligatures w14:val="none"/>
        </w:rPr>
      </w:pPr>
      <w:r w:rsidRPr="00DA5AE9">
        <w:rPr>
          <w:rFonts w:ascii="Times New Roman" w:eastAsia="Times New Roman" w:hAnsi="Times New Roman" w:cs="Times New Roman"/>
          <w:b/>
          <w:kern w:val="0"/>
          <w:lang w:val="en-GB" w:eastAsia="zh-CN"/>
          <w14:ligatures w14:val="none"/>
        </w:rPr>
        <w:t>Summary of Findings</w:t>
      </w:r>
    </w:p>
    <w:p w14:paraId="422F8912" w14:textId="77777777" w:rsidR="00D8206B" w:rsidRPr="00DA5AE9"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A5AE9">
        <w:rPr>
          <w:rFonts w:ascii="Times New Roman" w:eastAsia="Times New Roman" w:hAnsi="Times New Roman" w:cs="Times New Roman"/>
          <w:kern w:val="0"/>
          <w14:ligatures w14:val="none"/>
        </w:rPr>
        <w:t>i</w:t>
      </w:r>
      <w:proofErr w:type="spellEnd"/>
      <w:r w:rsidRPr="00DA5AE9">
        <w:rPr>
          <w:rFonts w:ascii="Times New Roman" w:eastAsia="Times New Roman" w:hAnsi="Times New Roman" w:cs="Times New Roman"/>
          <w:kern w:val="0"/>
          <w14:ligatures w14:val="none"/>
        </w:rPr>
        <w:t>.</w:t>
      </w:r>
      <w:r w:rsidRPr="00DA5AE9">
        <w:rPr>
          <w:rFonts w:ascii="Times New Roman" w:eastAsia="Times New Roman" w:hAnsi="Times New Roman" w:cs="Times New Roman"/>
          <w:kern w:val="0"/>
          <w14:ligatures w14:val="none"/>
        </w:rPr>
        <w:tab/>
        <w:t>The finding revealed that Nigerian financial institutions are generally willing to adopt blockchain, but regulatory uncertainty and unclear frameworks limit adoption, with regulatory bodies playing only a moderate supportive role.</w:t>
      </w:r>
    </w:p>
    <w:p w14:paraId="34AA5A38" w14:textId="77777777" w:rsidR="00D8206B" w:rsidRPr="00DA5AE9"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ii.</w:t>
      </w:r>
      <w:r w:rsidRPr="00DA5AE9">
        <w:rPr>
          <w:rFonts w:ascii="Times New Roman" w:eastAsia="Times New Roman" w:hAnsi="Times New Roman" w:cs="Times New Roman"/>
          <w:kern w:val="0"/>
          <w14:ligatures w14:val="none"/>
        </w:rPr>
        <w:tab/>
        <w:t>In addition, the finding revealed that regulatory uncertainty strongly reduces blockchain adoption willingness, while clearer regulations and active regulatory bodies positively influence adoption readiness.</w:t>
      </w:r>
    </w:p>
    <w:p w14:paraId="0653F8A7" w14:textId="77777777" w:rsidR="00D8206B" w:rsidRPr="00DA5AE9"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lastRenderedPageBreak/>
        <w:t>iii.</w:t>
      </w:r>
      <w:r w:rsidRPr="00DA5AE9">
        <w:rPr>
          <w:rFonts w:ascii="Times New Roman" w:eastAsia="Times New Roman" w:hAnsi="Times New Roman" w:cs="Times New Roman"/>
          <w:kern w:val="0"/>
          <w14:ligatures w14:val="none"/>
        </w:rPr>
        <w:tab/>
        <w:t>Lastly, the regression results confirm regulatory uncertainty hinders adoption, whereas effective frameworks and regulatory support encourage it, with regulatory factors explaining much of the adoption variation.</w:t>
      </w:r>
    </w:p>
    <w:p w14:paraId="5E76DE21" w14:textId="77777777" w:rsidR="00D8206B" w:rsidRPr="00DA5AE9" w:rsidRDefault="00D8206B" w:rsidP="00DA5AE9">
      <w:pPr>
        <w:keepNext/>
        <w:spacing w:after="0" w:line="240" w:lineRule="auto"/>
        <w:jc w:val="both"/>
        <w:outlineLvl w:val="2"/>
        <w:rPr>
          <w:rFonts w:ascii="Times New Roman" w:eastAsia="Calibri" w:hAnsi="Times New Roman" w:cs="Times New Roman"/>
          <w:b/>
          <w:bCs/>
          <w:kern w:val="0"/>
          <w:szCs w:val="26"/>
          <w14:ligatures w14:val="none"/>
        </w:rPr>
      </w:pPr>
    </w:p>
    <w:p w14:paraId="1134926D" w14:textId="77777777" w:rsidR="00D8206B" w:rsidRPr="00DA5AE9" w:rsidRDefault="00D8206B" w:rsidP="00DA5AE9">
      <w:pPr>
        <w:keepNext/>
        <w:spacing w:after="0" w:line="240" w:lineRule="auto"/>
        <w:jc w:val="both"/>
        <w:outlineLvl w:val="2"/>
        <w:rPr>
          <w:rFonts w:ascii="Times New Roman" w:eastAsia="Calibri" w:hAnsi="Times New Roman" w:cs="Times New Roman"/>
          <w:b/>
          <w:bCs/>
          <w:kern w:val="0"/>
          <w:szCs w:val="27"/>
          <w14:ligatures w14:val="none"/>
        </w:rPr>
      </w:pPr>
      <w:r w:rsidRPr="00DA5AE9">
        <w:rPr>
          <w:rFonts w:ascii="Times New Roman" w:eastAsia="Calibri" w:hAnsi="Times New Roman" w:cs="Times New Roman"/>
          <w:b/>
          <w:bCs/>
          <w:kern w:val="0"/>
          <w:szCs w:val="26"/>
          <w14:ligatures w14:val="none"/>
        </w:rPr>
        <w:t>Discussion of Findings</w:t>
      </w:r>
    </w:p>
    <w:p w14:paraId="28E20B6F"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The findings of this study reveal that while Nigerian financial institutions demonstrate a moderate to high willingness to adopt blockchain technology, regulatory uncertainty remains a significant barrier. This aligns with prior research emphasizing that unclear or unpredictable regulatory environments discourage innovation adoption in the financial sector (Arner, Barberis &amp; Buckley, 2017). Regulatory ambiguity creates risks that financial institutions are reluctant to assume, particularly when blockchain applications involve sensitive financial data and compliance obligations (Gomber et al., 2018). The moderate perception of regulatory framework effectiveness in this study suggests that existing policies do not yet fully address the unique characteristics and challenges of blockchain technology, which corroborates findings by Ajayi and Adegboye (2021) on the slow pace of regulatory adaptation in </w:t>
      </w:r>
      <w:proofErr w:type="spellStart"/>
      <w:r w:rsidRPr="00DA5AE9">
        <w:rPr>
          <w:rFonts w:ascii="Times New Roman" w:eastAsia="Calibri" w:hAnsi="Times New Roman" w:cs="Times New Roman"/>
          <w:kern w:val="0"/>
          <w14:ligatures w14:val="none"/>
        </w:rPr>
        <w:t>Nigerias</w:t>
      </w:r>
      <w:proofErr w:type="spellEnd"/>
      <w:r w:rsidRPr="00DA5AE9">
        <w:rPr>
          <w:rFonts w:ascii="Times New Roman" w:eastAsia="Calibri" w:hAnsi="Times New Roman" w:cs="Times New Roman"/>
          <w:kern w:val="0"/>
          <w14:ligatures w14:val="none"/>
        </w:rPr>
        <w:t xml:space="preserve"> fintech sector.</w:t>
      </w:r>
    </w:p>
    <w:p w14:paraId="02DD5EC5"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p>
    <w:p w14:paraId="01895CF3"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 xml:space="preserve">Furthermore, the positive correlation between regulatory framework clarity and financial institutions willingness to adopt blockchain indicates that clear, comprehensive regulations can enhance confidence and encourage investment in blockchain solutions. This supports the view of scholars like </w:t>
      </w:r>
      <w:proofErr w:type="spellStart"/>
      <w:r w:rsidRPr="00DA5AE9">
        <w:rPr>
          <w:rFonts w:ascii="Times New Roman" w:eastAsia="Calibri" w:hAnsi="Times New Roman" w:cs="Times New Roman"/>
          <w:kern w:val="0"/>
          <w14:ligatures w14:val="none"/>
        </w:rPr>
        <w:t>Zetzsche</w:t>
      </w:r>
      <w:proofErr w:type="spellEnd"/>
      <w:r w:rsidRPr="00DA5AE9">
        <w:rPr>
          <w:rFonts w:ascii="Times New Roman" w:eastAsia="Calibri" w:hAnsi="Times New Roman" w:cs="Times New Roman"/>
          <w:kern w:val="0"/>
          <w14:ligatures w14:val="none"/>
        </w:rPr>
        <w:t xml:space="preserve"> et al. (2020), who argue that well-defined regulatory frameworks reduce operational uncertainty and foster innovation in financial institutions. Similarly, the moderately positive role attributed to regulatory bodies such as the Central Bank of Nigeria (CBN) and the Securities and Exchange Commission (SEC) underscores the critical influence these institutions have in shaping blockchain policies and guiding industry standards. As noted by Okoye and Eze (2019), proactive regulatory engagement is vital in balancing innovation promotion with risk management in emerging technologies.</w:t>
      </w:r>
    </w:p>
    <w:p w14:paraId="0DBF7E4B"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p>
    <w:p w14:paraId="065CCD93" w14:textId="77777777" w:rsidR="00D8206B" w:rsidRPr="00DA5AE9" w:rsidRDefault="00D8206B" w:rsidP="00DA5AE9">
      <w:pPr>
        <w:spacing w:after="0"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The regression analysis confirms the detrimental impact of regulatory uncertainty on blockchain adoption, as well as the enabling role of effective regulations and active regulatory oversight. These results are consistent with the Technology-Organization-Environment (TOE) framework, which highlights regulatory environment as a key determinant of technology adoption in organizations (</w:t>
      </w:r>
      <w:proofErr w:type="spellStart"/>
      <w:r w:rsidRPr="00DA5AE9">
        <w:rPr>
          <w:rFonts w:ascii="Times New Roman" w:eastAsia="Calibri" w:hAnsi="Times New Roman" w:cs="Times New Roman"/>
          <w:kern w:val="0"/>
          <w14:ligatures w14:val="none"/>
        </w:rPr>
        <w:t>Tornatzky</w:t>
      </w:r>
      <w:proofErr w:type="spellEnd"/>
      <w:r w:rsidRPr="00DA5AE9">
        <w:rPr>
          <w:rFonts w:ascii="Times New Roman" w:eastAsia="Calibri" w:hAnsi="Times New Roman" w:cs="Times New Roman"/>
          <w:kern w:val="0"/>
          <w14:ligatures w14:val="none"/>
        </w:rPr>
        <w:t xml:space="preserve"> &amp; Fleischer, 1990). The </w:t>
      </w:r>
      <w:proofErr w:type="spellStart"/>
      <w:r w:rsidRPr="00DA5AE9">
        <w:rPr>
          <w:rFonts w:ascii="Times New Roman" w:eastAsia="Calibri" w:hAnsi="Times New Roman" w:cs="Times New Roman"/>
          <w:kern w:val="0"/>
          <w14:ligatures w14:val="none"/>
        </w:rPr>
        <w:t>models</w:t>
      </w:r>
      <w:proofErr w:type="spellEnd"/>
      <w:r w:rsidRPr="00DA5AE9">
        <w:rPr>
          <w:rFonts w:ascii="Times New Roman" w:eastAsia="Calibri" w:hAnsi="Times New Roman" w:cs="Times New Roman"/>
          <w:kern w:val="0"/>
          <w14:ligatures w14:val="none"/>
        </w:rPr>
        <w:t xml:space="preserve"> ability to explain 58% of the variance in adoption willingness emphasizes that regulatory factors are among the most influential determinants in the Nigerian financial </w:t>
      </w:r>
      <w:proofErr w:type="spellStart"/>
      <w:r w:rsidRPr="00DA5AE9">
        <w:rPr>
          <w:rFonts w:ascii="Times New Roman" w:eastAsia="Calibri" w:hAnsi="Times New Roman" w:cs="Times New Roman"/>
          <w:kern w:val="0"/>
          <w14:ligatures w14:val="none"/>
        </w:rPr>
        <w:t>institutionss</w:t>
      </w:r>
      <w:proofErr w:type="spellEnd"/>
      <w:r w:rsidRPr="00DA5AE9">
        <w:rPr>
          <w:rFonts w:ascii="Times New Roman" w:eastAsia="Calibri" w:hAnsi="Times New Roman" w:cs="Times New Roman"/>
          <w:kern w:val="0"/>
          <w14:ligatures w14:val="none"/>
        </w:rPr>
        <w:t xml:space="preserve"> blockchain integration efforts. This finding aligns with empirical evidence from similar developing economies where regulatory clarity and government support have been crucial in accelerating fintech innovation (Molla &amp; Licker, 2005; Beck et al., 2018).</w:t>
      </w:r>
    </w:p>
    <w:p w14:paraId="314727F2" w14:textId="77777777" w:rsidR="00D8206B" w:rsidRPr="00DA5AE9" w:rsidRDefault="00D8206B" w:rsidP="00DA5AE9">
      <w:pPr>
        <w:spacing w:after="0" w:line="240" w:lineRule="auto"/>
        <w:rPr>
          <w:rFonts w:ascii="Times New Roman" w:eastAsia="Times New Roman" w:hAnsi="Times New Roman" w:cs="Times New Roman"/>
          <w:b/>
          <w:kern w:val="0"/>
          <w14:ligatures w14:val="none"/>
        </w:rPr>
      </w:pPr>
    </w:p>
    <w:p w14:paraId="11D44D02" w14:textId="77777777" w:rsidR="00D8206B" w:rsidRPr="00DA5AE9" w:rsidRDefault="00D8206B" w:rsidP="00DA5AE9">
      <w:pPr>
        <w:spacing w:after="0" w:line="240" w:lineRule="auto"/>
        <w:rPr>
          <w:rFonts w:ascii="Times New Roman" w:eastAsia="Times New Roman" w:hAnsi="Times New Roman" w:cs="Times New Roman"/>
          <w:b/>
          <w:kern w:val="0"/>
          <w14:ligatures w14:val="none"/>
        </w:rPr>
      </w:pPr>
      <w:r w:rsidRPr="00DA5AE9">
        <w:rPr>
          <w:rFonts w:ascii="Times New Roman" w:eastAsia="Times New Roman" w:hAnsi="Times New Roman" w:cs="Times New Roman"/>
          <w:b/>
          <w:kern w:val="0"/>
          <w14:ligatures w14:val="none"/>
        </w:rPr>
        <w:t>Conclusion</w:t>
      </w:r>
    </w:p>
    <w:p w14:paraId="189B0678"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r w:rsidRPr="00DA5AE9">
        <w:rPr>
          <w:rFonts w:ascii="Times New Roman" w:eastAsia="Times New Roman" w:hAnsi="Times New Roman" w:cs="Times New Roman"/>
          <w:kern w:val="0"/>
          <w14:ligatures w14:val="none"/>
        </w:rPr>
        <w:t>Nigerian financial institutions demonstrate a general willingness to adopt blockchain technology, the presence of regulatory uncertainty and the lack of clear frameworks significantly constrain this potential. The study highlights that regulatory uncertainty is a strong deterrent to adoption readiness, whereas the establishment of clearer regulations and the proactive involvement of regulatory bodies enhance financial institutions preparedness to integrate blockchain. Ultimately, the regression analysis reinforces that regulatory factors particularly uncertainty and institutional support play a pivotal role in shaping the variation in blockchain adoption across the financial institutions.</w:t>
      </w:r>
    </w:p>
    <w:p w14:paraId="0E53DAAD" w14:textId="77777777" w:rsidR="00D8206B" w:rsidRPr="00DA5AE9" w:rsidRDefault="00D8206B" w:rsidP="00DA5AE9">
      <w:pPr>
        <w:spacing w:after="0" w:line="240" w:lineRule="auto"/>
        <w:jc w:val="both"/>
        <w:rPr>
          <w:rFonts w:ascii="Times New Roman" w:eastAsia="Times New Roman" w:hAnsi="Times New Roman" w:cs="Times New Roman"/>
          <w:kern w:val="0"/>
          <w14:ligatures w14:val="none"/>
        </w:rPr>
      </w:pPr>
    </w:p>
    <w:p w14:paraId="41F8D159" w14:textId="77777777" w:rsidR="00D8206B" w:rsidRPr="00DA5AE9" w:rsidRDefault="00D8206B" w:rsidP="00DA5AE9">
      <w:pPr>
        <w:spacing w:after="0" w:line="240" w:lineRule="auto"/>
        <w:jc w:val="both"/>
        <w:rPr>
          <w:rFonts w:ascii="Times New Roman" w:eastAsia="Times New Roman" w:hAnsi="Times New Roman" w:cs="Times New Roman"/>
          <w:b/>
          <w:kern w:val="0"/>
          <w14:ligatures w14:val="none"/>
        </w:rPr>
      </w:pPr>
      <w:r w:rsidRPr="00DA5AE9">
        <w:rPr>
          <w:rFonts w:ascii="Times New Roman" w:eastAsia="Times New Roman" w:hAnsi="Times New Roman" w:cs="Times New Roman"/>
          <w:b/>
          <w:kern w:val="0"/>
          <w14:ligatures w14:val="none"/>
        </w:rPr>
        <w:br w:type="page"/>
      </w:r>
      <w:r w:rsidRPr="00DA5AE9">
        <w:rPr>
          <w:rFonts w:ascii="Times New Roman" w:eastAsia="Times New Roman" w:hAnsi="Times New Roman" w:cs="Times New Roman"/>
          <w:b/>
          <w:kern w:val="0"/>
          <w14:ligatures w14:val="none"/>
        </w:rPr>
        <w:lastRenderedPageBreak/>
        <w:t xml:space="preserve">Recommendations </w:t>
      </w:r>
    </w:p>
    <w:p w14:paraId="01842D82" w14:textId="77777777" w:rsidR="00D8206B" w:rsidRPr="00DA5AE9" w:rsidRDefault="00D8206B" w:rsidP="00DA5AE9">
      <w:pPr>
        <w:numPr>
          <w:ilvl w:val="0"/>
          <w:numId w:val="34"/>
        </w:numPr>
        <w:spacing w:before="100" w:beforeAutospacing="1" w:after="100" w:afterAutospacing="1" w:line="240" w:lineRule="auto"/>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There is need for regulators should create a clear and comprehensive framework for blockchain in banking to reduce uncertainty and boost financial institutions confidence in adoption.</w:t>
      </w:r>
    </w:p>
    <w:p w14:paraId="46D29677" w14:textId="77777777" w:rsidR="00D8206B" w:rsidRPr="00DA5AE9" w:rsidRDefault="00D8206B" w:rsidP="00DA5AE9">
      <w:pPr>
        <w:numPr>
          <w:ilvl w:val="0"/>
          <w:numId w:val="34"/>
        </w:num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Regulatory bodies must actively support blockchain adoption through initiatives like task forces, public-private partnerships, and sandbox environments for innovation.</w:t>
      </w:r>
    </w:p>
    <w:p w14:paraId="17E31C97" w14:textId="77777777" w:rsidR="00D8206B" w:rsidRPr="00DA5AE9" w:rsidRDefault="00D8206B" w:rsidP="00DA5AE9">
      <w:pPr>
        <w:numPr>
          <w:ilvl w:val="0"/>
          <w:numId w:val="34"/>
        </w:numPr>
        <w:spacing w:before="100" w:beforeAutospacing="1" w:after="100" w:afterAutospacing="1" w:line="240" w:lineRule="auto"/>
        <w:jc w:val="both"/>
        <w:rPr>
          <w:rFonts w:ascii="Times New Roman" w:eastAsia="Calibri" w:hAnsi="Times New Roman" w:cs="Times New Roman"/>
          <w:kern w:val="0"/>
          <w14:ligatures w14:val="none"/>
        </w:rPr>
      </w:pPr>
      <w:r w:rsidRPr="00DA5AE9">
        <w:rPr>
          <w:rFonts w:ascii="Times New Roman" w:eastAsia="Calibri" w:hAnsi="Times New Roman" w:cs="Times New Roman"/>
          <w:kern w:val="0"/>
          <w14:ligatures w14:val="none"/>
        </w:rPr>
        <w:t>Lastly, training and collaboration with experts are essential to equip regulators and financial institutions with the knowledge needed to implement and oversee blockchain effectively.</w:t>
      </w:r>
    </w:p>
    <w:p w14:paraId="7ECC8520" w14:textId="77B9F8F8" w:rsidR="00D8206B" w:rsidRPr="00D8206B" w:rsidRDefault="00D8206B" w:rsidP="00DA5AE9">
      <w:pPr>
        <w:spacing w:after="0" w:line="240" w:lineRule="auto"/>
        <w:jc w:val="center"/>
        <w:rPr>
          <w:rFonts w:ascii="Times New Roman" w:eastAsia="Times New Roman" w:hAnsi="Times New Roman" w:cs="Times New Roman"/>
          <w:b/>
          <w:kern w:val="0"/>
          <w14:ligatures w14:val="none"/>
        </w:rPr>
      </w:pPr>
      <w:r w:rsidRPr="00D8206B">
        <w:rPr>
          <w:rFonts w:ascii="Times New Roman" w:eastAsia="Times New Roman" w:hAnsi="Times New Roman" w:cs="Times New Roman"/>
          <w:b/>
          <w:kern w:val="0"/>
          <w14:ligatures w14:val="none"/>
        </w:rPr>
        <w:t>REFERENCES</w:t>
      </w:r>
    </w:p>
    <w:p w14:paraId="071C0647"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Abdulfatah, A., &amp; Eze, U. (2021). Regulatory uncertainty and the reluctance of Nigerian financial institutions to adopt blockchain technology. </w:t>
      </w:r>
      <w:r w:rsidRPr="00D8206B">
        <w:rPr>
          <w:rFonts w:ascii="Times New Roman" w:eastAsia="Times New Roman" w:hAnsi="Times New Roman" w:cs="Times New Roman"/>
          <w:i/>
          <w:iCs/>
          <w:kern w:val="0"/>
          <w14:ligatures w14:val="none"/>
        </w:rPr>
        <w:t>Journal of African Financial Innovation, 4</w:t>
      </w:r>
      <w:r w:rsidRPr="00D8206B">
        <w:rPr>
          <w:rFonts w:ascii="Times New Roman" w:eastAsia="Times New Roman" w:hAnsi="Times New Roman" w:cs="Times New Roman"/>
          <w:kern w:val="0"/>
          <w14:ligatures w14:val="none"/>
        </w:rPr>
        <w:t>(1), 4459.</w:t>
      </w:r>
    </w:p>
    <w:p w14:paraId="592989C3"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Abinbola</w:t>
      </w:r>
      <w:proofErr w:type="spellEnd"/>
      <w:r w:rsidRPr="00D8206B">
        <w:rPr>
          <w:rFonts w:ascii="Times New Roman" w:eastAsia="Times New Roman" w:hAnsi="Times New Roman" w:cs="Times New Roman"/>
          <w:kern w:val="0"/>
          <w14:ligatures w14:val="none"/>
        </w:rPr>
        <w:t xml:space="preserve">, O., &amp; Akinola, O. (2021). The impact of cryptocurrency regulation on financial innovation in Nigeria. </w:t>
      </w:r>
      <w:r w:rsidRPr="00D8206B">
        <w:rPr>
          <w:rFonts w:ascii="Times New Roman" w:eastAsia="Times New Roman" w:hAnsi="Times New Roman" w:cs="Times New Roman"/>
          <w:i/>
          <w:iCs/>
          <w:kern w:val="0"/>
          <w14:ligatures w14:val="none"/>
        </w:rPr>
        <w:t>Nigerian Journal of Financial Technology, 3</w:t>
      </w:r>
      <w:r w:rsidRPr="00D8206B">
        <w:rPr>
          <w:rFonts w:ascii="Times New Roman" w:eastAsia="Times New Roman" w:hAnsi="Times New Roman" w:cs="Times New Roman"/>
          <w:kern w:val="0"/>
          <w14:ligatures w14:val="none"/>
        </w:rPr>
        <w:t>(1), 2235.</w:t>
      </w:r>
    </w:p>
    <w:p w14:paraId="2996F1FB"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Abubakar, M., &amp; Musa, A. (2018). Bureaucratic bottlenecks and regulatory barriers in </w:t>
      </w:r>
      <w:proofErr w:type="spellStart"/>
      <w:r w:rsidRPr="00D8206B">
        <w:rPr>
          <w:rFonts w:ascii="Times New Roman" w:eastAsia="Times New Roman" w:hAnsi="Times New Roman" w:cs="Times New Roman"/>
          <w:kern w:val="0"/>
          <w14:ligatures w14:val="none"/>
        </w:rPr>
        <w:t>Nigerias</w:t>
      </w:r>
      <w:proofErr w:type="spellEnd"/>
      <w:r w:rsidRPr="00D8206B">
        <w:rPr>
          <w:rFonts w:ascii="Times New Roman" w:eastAsia="Times New Roman" w:hAnsi="Times New Roman" w:cs="Times New Roman"/>
          <w:kern w:val="0"/>
          <w14:ligatures w14:val="none"/>
        </w:rPr>
        <w:t xml:space="preserve"> business environment. </w:t>
      </w:r>
      <w:r w:rsidRPr="00D8206B">
        <w:rPr>
          <w:rFonts w:ascii="Times New Roman" w:eastAsia="Times New Roman" w:hAnsi="Times New Roman" w:cs="Times New Roman"/>
          <w:i/>
          <w:iCs/>
          <w:kern w:val="0"/>
          <w14:ligatures w14:val="none"/>
        </w:rPr>
        <w:t>Nigerian Journal of Administrative Science, 16</w:t>
      </w:r>
      <w:r w:rsidRPr="00D8206B">
        <w:rPr>
          <w:rFonts w:ascii="Times New Roman" w:eastAsia="Times New Roman" w:hAnsi="Times New Roman" w:cs="Times New Roman"/>
          <w:kern w:val="0"/>
          <w14:ligatures w14:val="none"/>
        </w:rPr>
        <w:t>(1), 112125.</w:t>
      </w:r>
    </w:p>
    <w:p w14:paraId="1ECDF27E"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Adebayo, T., &amp; Okeke, U. (2018). Policy implementation gaps in African regulatory systems: A business perspective. </w:t>
      </w:r>
      <w:r w:rsidRPr="00D8206B">
        <w:rPr>
          <w:rFonts w:ascii="Times New Roman" w:eastAsia="Times New Roman" w:hAnsi="Times New Roman" w:cs="Times New Roman"/>
          <w:i/>
          <w:iCs/>
          <w:kern w:val="0"/>
          <w14:ligatures w14:val="none"/>
        </w:rPr>
        <w:t>African Public Affairs Review, 10</w:t>
      </w:r>
      <w:r w:rsidRPr="00D8206B">
        <w:rPr>
          <w:rFonts w:ascii="Times New Roman" w:eastAsia="Times New Roman" w:hAnsi="Times New Roman" w:cs="Times New Roman"/>
          <w:kern w:val="0"/>
          <w14:ligatures w14:val="none"/>
        </w:rPr>
        <w:t>(4), 110126.</w:t>
      </w:r>
    </w:p>
    <w:p w14:paraId="5DDC8A1D"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Adeoye, M., &amp; Adebayo, K. (2023). Regulatory bodies and blockchain adoption in Nigeria: A policy framework analysis. </w:t>
      </w:r>
      <w:r w:rsidRPr="00D8206B">
        <w:rPr>
          <w:rFonts w:ascii="Times New Roman" w:eastAsia="Times New Roman" w:hAnsi="Times New Roman" w:cs="Times New Roman"/>
          <w:i/>
          <w:iCs/>
          <w:kern w:val="0"/>
          <w14:ligatures w14:val="none"/>
        </w:rPr>
        <w:t>Journal of African Regulatory Affairs, 11</w:t>
      </w:r>
      <w:r w:rsidRPr="00D8206B">
        <w:rPr>
          <w:rFonts w:ascii="Times New Roman" w:eastAsia="Times New Roman" w:hAnsi="Times New Roman" w:cs="Times New Roman"/>
          <w:kern w:val="0"/>
          <w14:ligatures w14:val="none"/>
        </w:rPr>
        <w:t>(2), 7892.</w:t>
      </w:r>
    </w:p>
    <w:p w14:paraId="70AB592B"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Adewale, F., &amp; Ojo, K. (2022). Financial regulatory uncertainty and innovation: Lessons from </w:t>
      </w:r>
      <w:proofErr w:type="spellStart"/>
      <w:r w:rsidRPr="00D8206B">
        <w:rPr>
          <w:rFonts w:ascii="Times New Roman" w:eastAsia="Times New Roman" w:hAnsi="Times New Roman" w:cs="Times New Roman"/>
          <w:kern w:val="0"/>
          <w14:ligatures w14:val="none"/>
        </w:rPr>
        <w:t>Nigerias</w:t>
      </w:r>
      <w:proofErr w:type="spellEnd"/>
      <w:r w:rsidRPr="00D8206B">
        <w:rPr>
          <w:rFonts w:ascii="Times New Roman" w:eastAsia="Times New Roman" w:hAnsi="Times New Roman" w:cs="Times New Roman"/>
          <w:kern w:val="0"/>
          <w14:ligatures w14:val="none"/>
        </w:rPr>
        <w:t xml:space="preserve"> approach to blockchain. </w:t>
      </w:r>
      <w:r w:rsidRPr="00D8206B">
        <w:rPr>
          <w:rFonts w:ascii="Times New Roman" w:eastAsia="Times New Roman" w:hAnsi="Times New Roman" w:cs="Times New Roman"/>
          <w:i/>
          <w:iCs/>
          <w:kern w:val="0"/>
          <w14:ligatures w14:val="none"/>
        </w:rPr>
        <w:t>International Review of Financial Regulation, 10</w:t>
      </w:r>
      <w:r w:rsidRPr="00D8206B">
        <w:rPr>
          <w:rFonts w:ascii="Times New Roman" w:eastAsia="Times New Roman" w:hAnsi="Times New Roman" w:cs="Times New Roman"/>
          <w:kern w:val="0"/>
          <w14:ligatures w14:val="none"/>
        </w:rPr>
        <w:t>(1), 3349.</w:t>
      </w:r>
    </w:p>
    <w:p w14:paraId="7888B044"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Agbo, C. C., &amp; Adebayo, O. (2020). Financial institutions transformation and the integration of blockchain solutions in Nigeria. </w:t>
      </w:r>
      <w:r w:rsidRPr="00D8206B">
        <w:rPr>
          <w:rFonts w:ascii="Times New Roman" w:eastAsia="Times New Roman" w:hAnsi="Times New Roman" w:cs="Times New Roman"/>
          <w:i/>
          <w:iCs/>
          <w:kern w:val="0"/>
          <w14:ligatures w14:val="none"/>
        </w:rPr>
        <w:t>Journal of Financial Transformation, 52</w:t>
      </w:r>
      <w:r w:rsidRPr="00D8206B">
        <w:rPr>
          <w:rFonts w:ascii="Times New Roman" w:eastAsia="Times New Roman" w:hAnsi="Times New Roman" w:cs="Times New Roman"/>
          <w:kern w:val="0"/>
          <w14:ligatures w14:val="none"/>
        </w:rPr>
        <w:t>, 3850.</w:t>
      </w:r>
    </w:p>
    <w:p w14:paraId="2EDF2567"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Alsmairat</w:t>
      </w:r>
      <w:proofErr w:type="spellEnd"/>
      <w:r w:rsidRPr="00D8206B">
        <w:rPr>
          <w:rFonts w:ascii="Times New Roman" w:eastAsia="Times New Roman" w:hAnsi="Times New Roman" w:cs="Times New Roman"/>
          <w:kern w:val="0"/>
          <w14:ligatures w14:val="none"/>
        </w:rPr>
        <w:t xml:space="preserve">, M.A.K., Al-Adaileh, R., &amp; </w:t>
      </w:r>
      <w:proofErr w:type="spellStart"/>
      <w:r w:rsidRPr="00D8206B">
        <w:rPr>
          <w:rFonts w:ascii="Times New Roman" w:eastAsia="Times New Roman" w:hAnsi="Times New Roman" w:cs="Times New Roman"/>
          <w:kern w:val="0"/>
          <w14:ligatures w14:val="none"/>
        </w:rPr>
        <w:t>Mbaidin</w:t>
      </w:r>
      <w:proofErr w:type="spellEnd"/>
      <w:r w:rsidRPr="00D8206B">
        <w:rPr>
          <w:rFonts w:ascii="Times New Roman" w:eastAsia="Times New Roman" w:hAnsi="Times New Roman" w:cs="Times New Roman"/>
          <w:kern w:val="0"/>
          <w14:ligatures w14:val="none"/>
        </w:rPr>
        <w:t xml:space="preserve">, H.O. (2023). Blockchain adoption for sustainable development in developing countries: Challenges and opportunities in the financial institutions. </w:t>
      </w:r>
      <w:r w:rsidRPr="00D8206B">
        <w:rPr>
          <w:rFonts w:ascii="Calibri" w:eastAsia="Calibri" w:hAnsi="Calibri" w:cs="Times New Roman"/>
          <w:i/>
          <w:iCs/>
          <w:kern w:val="0"/>
          <w14:ligatures w14:val="none"/>
        </w:rPr>
        <w:t>International Journal of Information Management Data Insights</w:t>
      </w:r>
      <w:r w:rsidRPr="00D8206B">
        <w:rPr>
          <w:rFonts w:ascii="Times New Roman" w:eastAsia="Times New Roman" w:hAnsi="Times New Roman" w:cs="Times New Roman"/>
          <w:kern w:val="0"/>
          <w14:ligatures w14:val="none"/>
        </w:rPr>
        <w:t>, 3(1).</w:t>
      </w:r>
    </w:p>
    <w:p w14:paraId="41AAAE45"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Antwi, F., Gyimah, K. N., &amp; Asiedu, E. (2023). Adoption of blockchain technology in the financial institutions of Ghana: Opportunities and challenges. </w:t>
      </w:r>
      <w:r w:rsidRPr="00D8206B">
        <w:rPr>
          <w:rFonts w:ascii="Times New Roman" w:eastAsia="Times New Roman" w:hAnsi="Times New Roman" w:cs="Times New Roman"/>
          <w:i/>
          <w:iCs/>
          <w:kern w:val="0"/>
          <w14:ligatures w14:val="none"/>
        </w:rPr>
        <w:t>African Journal of Business Management, 17</w:t>
      </w:r>
      <w:r w:rsidRPr="00D8206B">
        <w:rPr>
          <w:rFonts w:ascii="Times New Roman" w:eastAsia="Times New Roman" w:hAnsi="Times New Roman" w:cs="Times New Roman"/>
          <w:kern w:val="0"/>
          <w14:ligatures w14:val="none"/>
        </w:rPr>
        <w:t xml:space="preserve">(3). </w:t>
      </w:r>
      <w:hyperlink r:id="rId123" w:history="1">
        <w:r w:rsidRPr="00D8206B">
          <w:rPr>
            <w:rFonts w:ascii="Times New Roman" w:eastAsia="Times New Roman" w:hAnsi="Times New Roman" w:cs="Times New Roman"/>
            <w:color w:val="0000FF"/>
            <w:kern w:val="0"/>
            <w:u w:val="single"/>
            <w14:ligatures w14:val="none"/>
          </w:rPr>
          <w:t>https://academicjournals.org/journal/AJBM/article-full-text/33C387270404</w:t>
        </w:r>
      </w:hyperlink>
    </w:p>
    <w:p w14:paraId="4BEC5C57"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Arner, D. W., Barberis, J., &amp; Buckley, R. P. (2021). The evolution of Fintech: A new post-crisis paradigm? </w:t>
      </w:r>
      <w:r w:rsidRPr="00D8206B">
        <w:rPr>
          <w:rFonts w:ascii="Times New Roman" w:eastAsia="Times New Roman" w:hAnsi="Times New Roman" w:cs="Times New Roman"/>
          <w:i/>
          <w:iCs/>
          <w:kern w:val="0"/>
          <w14:ligatures w14:val="none"/>
        </w:rPr>
        <w:t>Georgetown Journal of International Law, 47</w:t>
      </w:r>
      <w:r w:rsidRPr="00D8206B">
        <w:rPr>
          <w:rFonts w:ascii="Times New Roman" w:eastAsia="Times New Roman" w:hAnsi="Times New Roman" w:cs="Times New Roman"/>
          <w:kern w:val="0"/>
          <w14:ligatures w14:val="none"/>
        </w:rPr>
        <w:t>(4), 12711319.</w:t>
      </w:r>
    </w:p>
    <w:p w14:paraId="459F5630"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Banerjee, S. S., &amp; Chandani, A. (2025). Challenges of blockchain application in the financial sector: A qualitative study. </w:t>
      </w:r>
      <w:r w:rsidRPr="00D8206B">
        <w:rPr>
          <w:rFonts w:ascii="Times New Roman" w:eastAsia="Times New Roman" w:hAnsi="Times New Roman" w:cs="Times New Roman"/>
          <w:i/>
          <w:iCs/>
          <w:kern w:val="0"/>
          <w14:ligatures w14:val="none"/>
        </w:rPr>
        <w:t>Journal of Economic and Administrative Sciences</w:t>
      </w:r>
      <w:r w:rsidRPr="00D8206B">
        <w:rPr>
          <w:rFonts w:ascii="Times New Roman" w:eastAsia="Times New Roman" w:hAnsi="Times New Roman" w:cs="Times New Roman"/>
          <w:kern w:val="0"/>
          <w14:ligatures w14:val="none"/>
        </w:rPr>
        <w:t xml:space="preserve">. </w:t>
      </w:r>
      <w:hyperlink r:id="rId124" w:history="1">
        <w:r w:rsidRPr="00D8206B">
          <w:rPr>
            <w:rFonts w:ascii="Times New Roman" w:eastAsia="Times New Roman" w:hAnsi="Times New Roman" w:cs="Times New Roman"/>
            <w:color w:val="0000FF"/>
            <w:kern w:val="0"/>
            <w:u w:val="single"/>
            <w14:ligatures w14:val="none"/>
          </w:rPr>
          <w:t>https://doi.org/10.1108/JEAS-10-2021-0200</w:t>
        </w:r>
      </w:hyperlink>
    </w:p>
    <w:p w14:paraId="0CBA4E73"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Casino, F., </w:t>
      </w:r>
      <w:proofErr w:type="spellStart"/>
      <w:r w:rsidRPr="00D8206B">
        <w:rPr>
          <w:rFonts w:ascii="Times New Roman" w:eastAsia="Times New Roman" w:hAnsi="Times New Roman" w:cs="Times New Roman"/>
          <w:kern w:val="0"/>
          <w14:ligatures w14:val="none"/>
        </w:rPr>
        <w:t>Dasaklis</w:t>
      </w:r>
      <w:proofErr w:type="spellEnd"/>
      <w:r w:rsidRPr="00D8206B">
        <w:rPr>
          <w:rFonts w:ascii="Times New Roman" w:eastAsia="Times New Roman" w:hAnsi="Times New Roman" w:cs="Times New Roman"/>
          <w:kern w:val="0"/>
          <w14:ligatures w14:val="none"/>
        </w:rPr>
        <w:t xml:space="preserve">, T. K., &amp; </w:t>
      </w:r>
      <w:proofErr w:type="spellStart"/>
      <w:r w:rsidRPr="00D8206B">
        <w:rPr>
          <w:rFonts w:ascii="Times New Roman" w:eastAsia="Times New Roman" w:hAnsi="Times New Roman" w:cs="Times New Roman"/>
          <w:kern w:val="0"/>
          <w14:ligatures w14:val="none"/>
        </w:rPr>
        <w:t>Patsakis</w:t>
      </w:r>
      <w:proofErr w:type="spellEnd"/>
      <w:r w:rsidRPr="00D8206B">
        <w:rPr>
          <w:rFonts w:ascii="Times New Roman" w:eastAsia="Times New Roman" w:hAnsi="Times New Roman" w:cs="Times New Roman"/>
          <w:kern w:val="0"/>
          <w14:ligatures w14:val="none"/>
        </w:rPr>
        <w:t xml:space="preserve">, C. (2019). A systematic literature review of blockchain-based applications: Current status, classification and open issues. </w:t>
      </w:r>
      <w:r w:rsidRPr="00D8206B">
        <w:rPr>
          <w:rFonts w:ascii="Times New Roman" w:eastAsia="Times New Roman" w:hAnsi="Times New Roman" w:cs="Times New Roman"/>
          <w:i/>
          <w:iCs/>
          <w:kern w:val="0"/>
          <w14:ligatures w14:val="none"/>
        </w:rPr>
        <w:t>Telematics and Informatics, 36</w:t>
      </w:r>
      <w:r w:rsidRPr="00D8206B">
        <w:rPr>
          <w:rFonts w:ascii="Times New Roman" w:eastAsia="Times New Roman" w:hAnsi="Times New Roman" w:cs="Times New Roman"/>
          <w:kern w:val="0"/>
          <w14:ligatures w14:val="none"/>
        </w:rPr>
        <w:t>, 5581.</w:t>
      </w:r>
    </w:p>
    <w:p w14:paraId="6260518A"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Central Bank of Nigeria (CBN). (2021). </w:t>
      </w:r>
      <w:r w:rsidRPr="00D8206B">
        <w:rPr>
          <w:rFonts w:ascii="Times New Roman" w:eastAsia="Times New Roman" w:hAnsi="Times New Roman" w:cs="Times New Roman"/>
          <w:i/>
          <w:iCs/>
          <w:kern w:val="0"/>
          <w14:ligatures w14:val="none"/>
        </w:rPr>
        <w:t>Regulatory framework for sandbox operations</w:t>
      </w:r>
      <w:r w:rsidRPr="00D8206B">
        <w:rPr>
          <w:rFonts w:ascii="Times New Roman" w:eastAsia="Times New Roman" w:hAnsi="Times New Roman" w:cs="Times New Roman"/>
          <w:kern w:val="0"/>
          <w14:ligatures w14:val="none"/>
        </w:rPr>
        <w:t xml:space="preserve">. Abuja, Nigeria: Central Bank of Nigeria. </w:t>
      </w:r>
      <w:hyperlink r:id="rId125" w:history="1">
        <w:r w:rsidRPr="00D8206B">
          <w:rPr>
            <w:rFonts w:ascii="Times New Roman" w:eastAsia="Times New Roman" w:hAnsi="Times New Roman" w:cs="Times New Roman"/>
            <w:color w:val="0000FF"/>
            <w:kern w:val="0"/>
            <w:u w:val="single"/>
            <w14:ligatures w14:val="none"/>
          </w:rPr>
          <w:t>https://www.cbn.gov.ng/Out/2021/CCD/CBN%20Sandbox%20Framework.pdf</w:t>
        </w:r>
      </w:hyperlink>
    </w:p>
    <w:p w14:paraId="24250B14"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Chen, Y., Wang, Y., &amp; Xu, X. (2020). A survey on blockchain regulatory frameworks and risk management. </w:t>
      </w:r>
      <w:r w:rsidRPr="00D8206B">
        <w:rPr>
          <w:rFonts w:ascii="Times New Roman" w:eastAsia="Times New Roman" w:hAnsi="Times New Roman" w:cs="Times New Roman"/>
          <w:i/>
          <w:iCs/>
          <w:kern w:val="0"/>
          <w14:ligatures w14:val="none"/>
        </w:rPr>
        <w:t>Computer Law &amp; Security Review, 36</w:t>
      </w:r>
      <w:r w:rsidRPr="00D8206B">
        <w:rPr>
          <w:rFonts w:ascii="Times New Roman" w:eastAsia="Times New Roman" w:hAnsi="Times New Roman" w:cs="Times New Roman"/>
          <w:kern w:val="0"/>
          <w14:ligatures w14:val="none"/>
        </w:rPr>
        <w:t>, 105384.</w:t>
      </w:r>
    </w:p>
    <w:p w14:paraId="3C26BFFA"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Chukwu, M., &amp; Ndukwe, E. (2023). Perceived risks and regulatory influence on blockchain adoption in African financial institutions. </w:t>
      </w:r>
      <w:r w:rsidRPr="00D8206B">
        <w:rPr>
          <w:rFonts w:ascii="Times New Roman" w:eastAsia="Times New Roman" w:hAnsi="Times New Roman" w:cs="Times New Roman"/>
          <w:i/>
          <w:iCs/>
          <w:kern w:val="0"/>
          <w14:ligatures w14:val="none"/>
        </w:rPr>
        <w:t>African Journal of Information Systems, 15</w:t>
      </w:r>
      <w:r w:rsidRPr="00D8206B">
        <w:rPr>
          <w:rFonts w:ascii="Times New Roman" w:eastAsia="Times New Roman" w:hAnsi="Times New Roman" w:cs="Times New Roman"/>
          <w:kern w:val="0"/>
          <w14:ligatures w14:val="none"/>
        </w:rPr>
        <w:t>(1), 88102.</w:t>
      </w:r>
    </w:p>
    <w:p w14:paraId="359FBF20"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Crosby, M., </w:t>
      </w:r>
      <w:proofErr w:type="spellStart"/>
      <w:r w:rsidRPr="00D8206B">
        <w:rPr>
          <w:rFonts w:ascii="Times New Roman" w:eastAsia="Times New Roman" w:hAnsi="Times New Roman" w:cs="Times New Roman"/>
          <w:kern w:val="0"/>
          <w14:ligatures w14:val="none"/>
        </w:rPr>
        <w:t>Pattanayak</w:t>
      </w:r>
      <w:proofErr w:type="spellEnd"/>
      <w:r w:rsidRPr="00D8206B">
        <w:rPr>
          <w:rFonts w:ascii="Times New Roman" w:eastAsia="Times New Roman" w:hAnsi="Times New Roman" w:cs="Times New Roman"/>
          <w:kern w:val="0"/>
          <w14:ligatures w14:val="none"/>
        </w:rPr>
        <w:t xml:space="preserve">, P., Verma, S., &amp; Kalyanaraman, V. (2020). Blockchain technology: Beyond bitcoin. </w:t>
      </w:r>
      <w:r w:rsidRPr="00D8206B">
        <w:rPr>
          <w:rFonts w:ascii="Times New Roman" w:eastAsia="Times New Roman" w:hAnsi="Times New Roman" w:cs="Times New Roman"/>
          <w:i/>
          <w:iCs/>
          <w:kern w:val="0"/>
          <w14:ligatures w14:val="none"/>
        </w:rPr>
        <w:t>Applied Innovation Review</w:t>
      </w:r>
      <w:r w:rsidRPr="00D8206B">
        <w:rPr>
          <w:rFonts w:ascii="Times New Roman" w:eastAsia="Times New Roman" w:hAnsi="Times New Roman" w:cs="Times New Roman"/>
          <w:kern w:val="0"/>
          <w14:ligatures w14:val="none"/>
        </w:rPr>
        <w:t xml:space="preserve">, </w:t>
      </w:r>
      <w:r w:rsidRPr="00D8206B">
        <w:rPr>
          <w:rFonts w:ascii="Times New Roman" w:eastAsia="Times New Roman" w:hAnsi="Times New Roman" w:cs="Times New Roman"/>
          <w:i/>
          <w:iCs/>
          <w:kern w:val="0"/>
          <w14:ligatures w14:val="none"/>
        </w:rPr>
        <w:t>(2)</w:t>
      </w:r>
      <w:r w:rsidRPr="00D8206B">
        <w:rPr>
          <w:rFonts w:ascii="Times New Roman" w:eastAsia="Times New Roman" w:hAnsi="Times New Roman" w:cs="Times New Roman"/>
          <w:kern w:val="0"/>
          <w14:ligatures w14:val="none"/>
        </w:rPr>
        <w:t>, 619.</w:t>
      </w:r>
    </w:p>
    <w:p w14:paraId="4C73F847"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Delewale</w:t>
      </w:r>
      <w:proofErr w:type="spellEnd"/>
      <w:r w:rsidRPr="00D8206B">
        <w:rPr>
          <w:rFonts w:ascii="Times New Roman" w:eastAsia="Times New Roman" w:hAnsi="Times New Roman" w:cs="Times New Roman"/>
          <w:kern w:val="0"/>
          <w14:ligatures w14:val="none"/>
        </w:rPr>
        <w:t xml:space="preserve">, O., &amp; Okafor, C. (2022). Anti-corruption and accountability frameworks in African regulatory bodies. </w:t>
      </w:r>
      <w:r w:rsidRPr="00D8206B">
        <w:rPr>
          <w:rFonts w:ascii="Times New Roman" w:eastAsia="Times New Roman" w:hAnsi="Times New Roman" w:cs="Times New Roman"/>
          <w:i/>
          <w:iCs/>
          <w:kern w:val="0"/>
          <w14:ligatures w14:val="none"/>
        </w:rPr>
        <w:t>Journal of African Policy and Governance, 13</w:t>
      </w:r>
      <w:r w:rsidRPr="00D8206B">
        <w:rPr>
          <w:rFonts w:ascii="Times New Roman" w:eastAsia="Times New Roman" w:hAnsi="Times New Roman" w:cs="Times New Roman"/>
          <w:kern w:val="0"/>
          <w14:ligatures w14:val="none"/>
        </w:rPr>
        <w:t>(3), 102117.</w:t>
      </w:r>
    </w:p>
    <w:p w14:paraId="1808AAD7"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El-</w:t>
      </w:r>
      <w:proofErr w:type="spellStart"/>
      <w:r w:rsidRPr="00D8206B">
        <w:rPr>
          <w:rFonts w:ascii="Times New Roman" w:eastAsia="Times New Roman" w:hAnsi="Times New Roman" w:cs="Times New Roman"/>
          <w:kern w:val="0"/>
          <w14:ligatures w14:val="none"/>
        </w:rPr>
        <w:t>Haddadeh</w:t>
      </w:r>
      <w:proofErr w:type="spellEnd"/>
      <w:r w:rsidRPr="00D8206B">
        <w:rPr>
          <w:rFonts w:ascii="Times New Roman" w:eastAsia="Times New Roman" w:hAnsi="Times New Roman" w:cs="Times New Roman"/>
          <w:kern w:val="0"/>
          <w14:ligatures w14:val="none"/>
        </w:rPr>
        <w:t xml:space="preserve">, R., Osmani, M., &amp; Hindi, N. (2021). Blockchain for next generation services in banking and finance: Cost, benefit, risk and opportunity analysis. </w:t>
      </w:r>
      <w:r w:rsidRPr="00D8206B">
        <w:rPr>
          <w:rFonts w:ascii="Times New Roman" w:eastAsia="Times New Roman" w:hAnsi="Times New Roman" w:cs="Times New Roman"/>
          <w:i/>
          <w:iCs/>
          <w:kern w:val="0"/>
          <w14:ligatures w14:val="none"/>
        </w:rPr>
        <w:t>Journal of Enterprise Information Management, 34</w:t>
      </w:r>
      <w:r w:rsidRPr="00D8206B">
        <w:rPr>
          <w:rFonts w:ascii="Times New Roman" w:eastAsia="Times New Roman" w:hAnsi="Times New Roman" w:cs="Times New Roman"/>
          <w:kern w:val="0"/>
          <w14:ligatures w14:val="none"/>
        </w:rPr>
        <w:t xml:space="preserve">(5), 13111333. </w:t>
      </w:r>
      <w:hyperlink r:id="rId126" w:history="1">
        <w:r w:rsidRPr="00D8206B">
          <w:rPr>
            <w:rFonts w:ascii="Times New Roman" w:eastAsia="Times New Roman" w:hAnsi="Times New Roman" w:cs="Times New Roman"/>
            <w:color w:val="0000FF"/>
            <w:kern w:val="0"/>
            <w:u w:val="single"/>
            <w14:ligatures w14:val="none"/>
          </w:rPr>
          <w:t>https://doi.org/10.1108/JEIM-02-2020-0044</w:t>
        </w:r>
      </w:hyperlink>
    </w:p>
    <w:p w14:paraId="1F8EB4ED"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 xml:space="preserve">Emmanuel, K., &amp; Chukwu, I. (2020). Institutional regulation and economic development: A pan-African perspective. </w:t>
      </w:r>
      <w:r w:rsidRPr="00D8206B">
        <w:rPr>
          <w:rFonts w:ascii="Times New Roman" w:eastAsia="Times New Roman" w:hAnsi="Times New Roman" w:cs="Times New Roman"/>
          <w:i/>
          <w:iCs/>
          <w:kern w:val="0"/>
          <w14:ligatures w14:val="none"/>
        </w:rPr>
        <w:t>Journal of Developmental Regulation, 8</w:t>
      </w:r>
      <w:r w:rsidRPr="00D8206B">
        <w:rPr>
          <w:rFonts w:ascii="Times New Roman" w:eastAsia="Times New Roman" w:hAnsi="Times New Roman" w:cs="Times New Roman"/>
          <w:kern w:val="0"/>
          <w14:ligatures w14:val="none"/>
        </w:rPr>
        <w:t>(4), 110127.</w:t>
      </w:r>
    </w:p>
    <w:p w14:paraId="40BFB221"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Ezeani, E., &amp; Chukwuma, A. (2019). Regulatory ambiguity and its implications for investment in emerging African markets. </w:t>
      </w:r>
      <w:r w:rsidRPr="00D8206B">
        <w:rPr>
          <w:rFonts w:ascii="Times New Roman" w:eastAsia="Times New Roman" w:hAnsi="Times New Roman" w:cs="Times New Roman"/>
          <w:i/>
          <w:iCs/>
          <w:kern w:val="0"/>
          <w14:ligatures w14:val="none"/>
        </w:rPr>
        <w:t>Journal of African Business Studies, 15</w:t>
      </w:r>
      <w:r w:rsidRPr="00D8206B">
        <w:rPr>
          <w:rFonts w:ascii="Times New Roman" w:eastAsia="Times New Roman" w:hAnsi="Times New Roman" w:cs="Times New Roman"/>
          <w:kern w:val="0"/>
          <w14:ligatures w14:val="none"/>
        </w:rPr>
        <w:t>(3), 205220.</w:t>
      </w:r>
    </w:p>
    <w:p w14:paraId="15216126"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Ezeani, O., &amp; Ogbuehi, B. (2018). Regulatory enforcement and consumer protection in sub-Saharan African markets. </w:t>
      </w:r>
      <w:r w:rsidRPr="00D8206B">
        <w:rPr>
          <w:rFonts w:ascii="Times New Roman" w:eastAsia="Times New Roman" w:hAnsi="Times New Roman" w:cs="Times New Roman"/>
          <w:i/>
          <w:iCs/>
          <w:kern w:val="0"/>
          <w14:ligatures w14:val="none"/>
        </w:rPr>
        <w:t>African Business and Regulatory Review, 4</w:t>
      </w:r>
      <w:r w:rsidRPr="00D8206B">
        <w:rPr>
          <w:rFonts w:ascii="Times New Roman" w:eastAsia="Times New Roman" w:hAnsi="Times New Roman" w:cs="Times New Roman"/>
          <w:kern w:val="0"/>
          <w14:ligatures w14:val="none"/>
        </w:rPr>
        <w:t>(1), 3147.</w:t>
      </w:r>
    </w:p>
    <w:p w14:paraId="3C98BB62"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Garba, A. (2021). Regulatory uncertainty and foreign investment in sub-Saharan Africa: Evidence from cross-country analysis. </w:t>
      </w:r>
      <w:r w:rsidRPr="00D8206B">
        <w:rPr>
          <w:rFonts w:ascii="Times New Roman" w:eastAsia="Times New Roman" w:hAnsi="Times New Roman" w:cs="Times New Roman"/>
          <w:i/>
          <w:iCs/>
          <w:kern w:val="0"/>
          <w14:ligatures w14:val="none"/>
        </w:rPr>
        <w:t>African Journal of Economic Policy, 28</w:t>
      </w:r>
      <w:r w:rsidRPr="00D8206B">
        <w:rPr>
          <w:rFonts w:ascii="Times New Roman" w:eastAsia="Times New Roman" w:hAnsi="Times New Roman" w:cs="Times New Roman"/>
          <w:kern w:val="0"/>
          <w14:ligatures w14:val="none"/>
        </w:rPr>
        <w:t>(2), 4561.</w:t>
      </w:r>
    </w:p>
    <w:p w14:paraId="4A596A81"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Gyasi, E. A., </w:t>
      </w:r>
      <w:proofErr w:type="spellStart"/>
      <w:r w:rsidRPr="00D8206B">
        <w:rPr>
          <w:rFonts w:ascii="Times New Roman" w:eastAsia="Times New Roman" w:hAnsi="Times New Roman" w:cs="Times New Roman"/>
          <w:kern w:val="0"/>
          <w14:ligatures w14:val="none"/>
        </w:rPr>
        <w:t>Kawasmi</w:t>
      </w:r>
      <w:proofErr w:type="spellEnd"/>
      <w:r w:rsidRPr="00D8206B">
        <w:rPr>
          <w:rFonts w:ascii="Times New Roman" w:eastAsia="Times New Roman" w:hAnsi="Times New Roman" w:cs="Times New Roman"/>
          <w:kern w:val="0"/>
          <w14:ligatures w14:val="none"/>
        </w:rPr>
        <w:t xml:space="preserve">, Z., &amp; Dadd, D. (2020). Blockchain adoption model for the global banking industry. </w:t>
      </w:r>
      <w:proofErr w:type="spellStart"/>
      <w:r w:rsidRPr="00D8206B">
        <w:rPr>
          <w:rFonts w:ascii="Times New Roman" w:eastAsia="Times New Roman" w:hAnsi="Times New Roman" w:cs="Times New Roman"/>
          <w:i/>
          <w:iCs/>
          <w:kern w:val="0"/>
          <w14:ligatures w14:val="none"/>
        </w:rPr>
        <w:t>Figshare</w:t>
      </w:r>
      <w:proofErr w:type="spellEnd"/>
      <w:r w:rsidRPr="00D8206B">
        <w:rPr>
          <w:rFonts w:ascii="Times New Roman" w:eastAsia="Times New Roman" w:hAnsi="Times New Roman" w:cs="Times New Roman"/>
          <w:kern w:val="0"/>
          <w14:ligatures w14:val="none"/>
        </w:rPr>
        <w:t xml:space="preserve">. </w:t>
      </w:r>
      <w:hyperlink r:id="rId127" w:history="1">
        <w:r w:rsidRPr="00D8206B">
          <w:rPr>
            <w:rFonts w:ascii="Times New Roman" w:eastAsia="Times New Roman" w:hAnsi="Times New Roman" w:cs="Times New Roman"/>
            <w:color w:val="0000FF"/>
            <w:kern w:val="0"/>
            <w:u w:val="single"/>
            <w14:ligatures w14:val="none"/>
          </w:rPr>
          <w:t>https://aru.figshare.com/articles/journal_contribution/27901848</w:t>
        </w:r>
      </w:hyperlink>
    </w:p>
    <w:p w14:paraId="6357B0C7" w14:textId="77777777" w:rsidR="00D8206B" w:rsidRPr="00D8206B" w:rsidRDefault="00D8206B" w:rsidP="00DA5AE9">
      <w:pPr>
        <w:spacing w:after="0" w:line="240" w:lineRule="auto"/>
        <w:ind w:left="720" w:hanging="720"/>
        <w:jc w:val="both"/>
        <w:rPr>
          <w:rFonts w:ascii="Calibri" w:eastAsia="Calibri" w:hAnsi="Calibri" w:cs="Times New Roman"/>
          <w:kern w:val="0"/>
          <w:sz w:val="22"/>
          <w:szCs w:val="22"/>
          <w14:ligatures w14:val="none"/>
        </w:rPr>
      </w:pPr>
      <w:proofErr w:type="spellStart"/>
      <w:r w:rsidRPr="00D8206B">
        <w:rPr>
          <w:rFonts w:ascii="Times New Roman" w:eastAsia="Times New Roman" w:hAnsi="Times New Roman" w:cs="Times New Roman"/>
          <w:kern w:val="0"/>
          <w14:ligatures w14:val="none"/>
        </w:rPr>
        <w:t>Hashimzai</w:t>
      </w:r>
      <w:proofErr w:type="spellEnd"/>
      <w:r w:rsidRPr="00D8206B">
        <w:rPr>
          <w:rFonts w:ascii="Times New Roman" w:eastAsia="Times New Roman" w:hAnsi="Times New Roman" w:cs="Times New Roman"/>
          <w:kern w:val="0"/>
          <w14:ligatures w14:val="none"/>
        </w:rPr>
        <w:t xml:space="preserve">, I.A., &amp; Ahmadzai, M.Z. (2024). Navigating the integration of blockchain technology in banking: Opportunities and challenges. </w:t>
      </w:r>
      <w:r w:rsidRPr="00D8206B">
        <w:rPr>
          <w:rFonts w:ascii="Calibri" w:eastAsia="Calibri" w:hAnsi="Calibri" w:cs="Times New Roman"/>
          <w:i/>
          <w:iCs/>
          <w:kern w:val="0"/>
          <w14:ligatures w14:val="none"/>
        </w:rPr>
        <w:t>International Journal of Computer Engineering and Computer Science</w:t>
      </w:r>
      <w:r w:rsidRPr="00D8206B">
        <w:rPr>
          <w:rFonts w:ascii="Times New Roman" w:eastAsia="Times New Roman" w:hAnsi="Times New Roman" w:cs="Times New Roman"/>
          <w:kern w:val="0"/>
          <w14:ligatures w14:val="none"/>
        </w:rPr>
        <w:t xml:space="preserve">, 6(2). </w:t>
      </w:r>
      <w:hyperlink r:id="rId128" w:tgtFrame="_new" w:history="1">
        <w:r w:rsidRPr="00D8206B">
          <w:rPr>
            <w:rFonts w:ascii="Calibri" w:eastAsia="Calibri" w:hAnsi="Calibri" w:cs="Times New Roman"/>
            <w:color w:val="0000FF"/>
            <w:kern w:val="0"/>
            <w:u w:val="single"/>
            <w14:ligatures w14:val="none"/>
          </w:rPr>
          <w:t>https://www.journal.lembagakita.org/ijsecs/article/view/2656</w:t>
        </w:r>
      </w:hyperlink>
    </w:p>
    <w:p w14:paraId="36259AEF"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Khanna, P., &amp; Haldar, A. (2023). Will adoption of blockchain technology be challenging: Evidence from Indian banking industry. </w:t>
      </w:r>
      <w:r w:rsidRPr="00D8206B">
        <w:rPr>
          <w:rFonts w:ascii="Times New Roman" w:eastAsia="Times New Roman" w:hAnsi="Times New Roman" w:cs="Times New Roman"/>
          <w:i/>
          <w:iCs/>
          <w:kern w:val="0"/>
          <w14:ligatures w14:val="none"/>
        </w:rPr>
        <w:t>Qualitative Research in Financial Markets, 15</w:t>
      </w:r>
      <w:r w:rsidRPr="00D8206B">
        <w:rPr>
          <w:rFonts w:ascii="Times New Roman" w:eastAsia="Times New Roman" w:hAnsi="Times New Roman" w:cs="Times New Roman"/>
          <w:kern w:val="0"/>
          <w14:ligatures w14:val="none"/>
        </w:rPr>
        <w:t xml:space="preserve">(1). </w:t>
      </w:r>
      <w:hyperlink r:id="rId129" w:history="1">
        <w:r w:rsidRPr="00D8206B">
          <w:rPr>
            <w:rFonts w:ascii="Times New Roman" w:eastAsia="Times New Roman" w:hAnsi="Times New Roman" w:cs="Times New Roman"/>
            <w:color w:val="0000FF"/>
            <w:kern w:val="0"/>
            <w:u w:val="single"/>
            <w14:ligatures w14:val="none"/>
          </w:rPr>
          <w:t>https://doi.org/10.1108/QRFM-01-2022-0003</w:t>
        </w:r>
      </w:hyperlink>
    </w:p>
    <w:p w14:paraId="5BB59817"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Mafike</w:t>
      </w:r>
      <w:proofErr w:type="spellEnd"/>
      <w:r w:rsidRPr="00D8206B">
        <w:rPr>
          <w:rFonts w:ascii="Times New Roman" w:eastAsia="Times New Roman" w:hAnsi="Times New Roman" w:cs="Times New Roman"/>
          <w:kern w:val="0"/>
          <w14:ligatures w14:val="none"/>
        </w:rPr>
        <w:t xml:space="preserve">, S. S., &amp; Mawela, T. (2022). Blockchain design and implementation techniques, considerations and challenges in the financial institutions: A systematic literature review. </w:t>
      </w:r>
      <w:r w:rsidRPr="00D8206B">
        <w:rPr>
          <w:rFonts w:ascii="Times New Roman" w:eastAsia="Times New Roman" w:hAnsi="Times New Roman" w:cs="Times New Roman"/>
          <w:i/>
          <w:iCs/>
          <w:kern w:val="0"/>
          <w14:ligatures w14:val="none"/>
        </w:rPr>
        <w:t xml:space="preserve">Acta Informatica </w:t>
      </w:r>
      <w:proofErr w:type="spellStart"/>
      <w:r w:rsidRPr="00D8206B">
        <w:rPr>
          <w:rFonts w:ascii="Times New Roman" w:eastAsia="Times New Roman" w:hAnsi="Times New Roman" w:cs="Times New Roman"/>
          <w:i/>
          <w:iCs/>
          <w:kern w:val="0"/>
          <w14:ligatures w14:val="none"/>
        </w:rPr>
        <w:t>Pragensia</w:t>
      </w:r>
      <w:proofErr w:type="spellEnd"/>
      <w:r w:rsidRPr="00D8206B">
        <w:rPr>
          <w:rFonts w:ascii="Times New Roman" w:eastAsia="Times New Roman" w:hAnsi="Times New Roman" w:cs="Times New Roman"/>
          <w:i/>
          <w:iCs/>
          <w:kern w:val="0"/>
          <w14:ligatures w14:val="none"/>
        </w:rPr>
        <w:t>, 11</w:t>
      </w:r>
      <w:r w:rsidRPr="00D8206B">
        <w:rPr>
          <w:rFonts w:ascii="Times New Roman" w:eastAsia="Times New Roman" w:hAnsi="Times New Roman" w:cs="Times New Roman"/>
          <w:kern w:val="0"/>
          <w14:ligatures w14:val="none"/>
        </w:rPr>
        <w:t xml:space="preserve">(3), 124. </w:t>
      </w:r>
      <w:hyperlink r:id="rId130" w:history="1">
        <w:r w:rsidRPr="00D8206B">
          <w:rPr>
            <w:rFonts w:ascii="Times New Roman" w:eastAsia="Times New Roman" w:hAnsi="Times New Roman" w:cs="Times New Roman"/>
            <w:color w:val="0000FF"/>
            <w:kern w:val="0"/>
            <w:u w:val="single"/>
            <w14:ligatures w14:val="none"/>
          </w:rPr>
          <w:t>http://aip.vse.cz/pdfs/aip/2022/03/08.pdf</w:t>
        </w:r>
      </w:hyperlink>
    </w:p>
    <w:p w14:paraId="60989F51"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Marian, O. (2019). Blockchain havens and the need for their international regulation. </w:t>
      </w:r>
      <w:r w:rsidRPr="00D8206B">
        <w:rPr>
          <w:rFonts w:ascii="Times New Roman" w:eastAsia="Times New Roman" w:hAnsi="Times New Roman" w:cs="Times New Roman"/>
          <w:i/>
          <w:iCs/>
          <w:kern w:val="0"/>
          <w14:ligatures w14:val="none"/>
        </w:rPr>
        <w:t>UC Davis Law Review, 52</w:t>
      </w:r>
      <w:r w:rsidRPr="00D8206B">
        <w:rPr>
          <w:rFonts w:ascii="Times New Roman" w:eastAsia="Times New Roman" w:hAnsi="Times New Roman" w:cs="Times New Roman"/>
          <w:kern w:val="0"/>
          <w14:ligatures w14:val="none"/>
        </w:rPr>
        <w:t>(2), 489528.</w:t>
      </w:r>
    </w:p>
    <w:p w14:paraId="5A24D505"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Mbeki, T., &amp; Moyo, K. (2020). Understanding regulatory instability in African economies: Legislative volatility and economic outcomes. </w:t>
      </w:r>
      <w:r w:rsidRPr="00D8206B">
        <w:rPr>
          <w:rFonts w:ascii="Times New Roman" w:eastAsia="Times New Roman" w:hAnsi="Times New Roman" w:cs="Times New Roman"/>
          <w:i/>
          <w:iCs/>
          <w:kern w:val="0"/>
          <w14:ligatures w14:val="none"/>
        </w:rPr>
        <w:t>Journal of Development and Regulation, 12</w:t>
      </w:r>
      <w:r w:rsidRPr="00D8206B">
        <w:rPr>
          <w:rFonts w:ascii="Times New Roman" w:eastAsia="Times New Roman" w:hAnsi="Times New Roman" w:cs="Times New Roman"/>
          <w:kern w:val="0"/>
          <w14:ligatures w14:val="none"/>
        </w:rPr>
        <w:t>(1), 89104.</w:t>
      </w:r>
    </w:p>
    <w:p w14:paraId="520CFE8D"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Mougayar</w:t>
      </w:r>
      <w:proofErr w:type="spellEnd"/>
      <w:r w:rsidRPr="00D8206B">
        <w:rPr>
          <w:rFonts w:ascii="Times New Roman" w:eastAsia="Times New Roman" w:hAnsi="Times New Roman" w:cs="Times New Roman"/>
          <w:kern w:val="0"/>
          <w14:ligatures w14:val="none"/>
        </w:rPr>
        <w:t xml:space="preserve">, W. (2020). </w:t>
      </w:r>
      <w:r w:rsidRPr="00D8206B">
        <w:rPr>
          <w:rFonts w:ascii="Times New Roman" w:eastAsia="Times New Roman" w:hAnsi="Times New Roman" w:cs="Times New Roman"/>
          <w:i/>
          <w:iCs/>
          <w:kern w:val="0"/>
          <w14:ligatures w14:val="none"/>
        </w:rPr>
        <w:t>The business blockchain: Promise, practice, and the application of the next Internet technology</w:t>
      </w:r>
      <w:r w:rsidRPr="00D8206B">
        <w:rPr>
          <w:rFonts w:ascii="Times New Roman" w:eastAsia="Times New Roman" w:hAnsi="Times New Roman" w:cs="Times New Roman"/>
          <w:kern w:val="0"/>
          <w14:ligatures w14:val="none"/>
        </w:rPr>
        <w:t>. Wiley.</w:t>
      </w:r>
    </w:p>
    <w:p w14:paraId="578E49FA"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Musa, L., &amp; Dada, K. (2021). Sandbox initiatives and blockchain experimentation in Africa: Insights from Nigeria. </w:t>
      </w:r>
      <w:r w:rsidRPr="00D8206B">
        <w:rPr>
          <w:rFonts w:ascii="Times New Roman" w:eastAsia="Times New Roman" w:hAnsi="Times New Roman" w:cs="Times New Roman"/>
          <w:i/>
          <w:iCs/>
          <w:kern w:val="0"/>
          <w14:ligatures w14:val="none"/>
        </w:rPr>
        <w:t>Journal of Fintech and Emerging Economies, 3</w:t>
      </w:r>
      <w:r w:rsidRPr="00D8206B">
        <w:rPr>
          <w:rFonts w:ascii="Times New Roman" w:eastAsia="Times New Roman" w:hAnsi="Times New Roman" w:cs="Times New Roman"/>
          <w:kern w:val="0"/>
          <w14:ligatures w14:val="none"/>
        </w:rPr>
        <w:t>(2), 108123.</w:t>
      </w:r>
    </w:p>
    <w:p w14:paraId="08B8E519"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Musa, R., &amp; Mohammed, A. (2024). Blockchain implementation in African banking: Organizational culture and technological readiness. </w:t>
      </w:r>
      <w:r w:rsidRPr="00D8206B">
        <w:rPr>
          <w:rFonts w:ascii="Times New Roman" w:eastAsia="Times New Roman" w:hAnsi="Times New Roman" w:cs="Times New Roman"/>
          <w:i/>
          <w:iCs/>
          <w:kern w:val="0"/>
          <w14:ligatures w14:val="none"/>
        </w:rPr>
        <w:t>Journal of African Technology Adoption, 3</w:t>
      </w:r>
      <w:r w:rsidRPr="00D8206B">
        <w:rPr>
          <w:rFonts w:ascii="Times New Roman" w:eastAsia="Times New Roman" w:hAnsi="Times New Roman" w:cs="Times New Roman"/>
          <w:kern w:val="0"/>
          <w14:ligatures w14:val="none"/>
        </w:rPr>
        <w:t>(1), 2339.</w:t>
      </w:r>
    </w:p>
    <w:p w14:paraId="3839AB6D"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Nakamoto, S. (2018). Bitcoin: A peer-to-peer electronic cash system. </w:t>
      </w:r>
      <w:hyperlink r:id="rId131" w:history="1">
        <w:r w:rsidRPr="00D8206B">
          <w:rPr>
            <w:rFonts w:ascii="Times New Roman" w:eastAsia="Times New Roman" w:hAnsi="Times New Roman" w:cs="Times New Roman"/>
            <w:color w:val="0000FF"/>
            <w:kern w:val="0"/>
            <w:u w:val="single"/>
            <w14:ligatures w14:val="none"/>
          </w:rPr>
          <w:t>https://bitcoin.org/bitcoin.pdf</w:t>
        </w:r>
      </w:hyperlink>
    </w:p>
    <w:p w14:paraId="1772490B"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Ndlovu, S., &amp; Tshuma, T. (2023). The impact of non-transparent regulatory environments on African SMEs: A regional survey. </w:t>
      </w:r>
      <w:r w:rsidRPr="00D8206B">
        <w:rPr>
          <w:rFonts w:ascii="Times New Roman" w:eastAsia="Times New Roman" w:hAnsi="Times New Roman" w:cs="Times New Roman"/>
          <w:i/>
          <w:iCs/>
          <w:kern w:val="0"/>
          <w14:ligatures w14:val="none"/>
        </w:rPr>
        <w:t>Southern African Journal of Business and Management, 19</w:t>
      </w:r>
      <w:r w:rsidRPr="00D8206B">
        <w:rPr>
          <w:rFonts w:ascii="Times New Roman" w:eastAsia="Times New Roman" w:hAnsi="Times New Roman" w:cs="Times New Roman"/>
          <w:kern w:val="0"/>
          <w14:ligatures w14:val="none"/>
        </w:rPr>
        <w:t>(2), 7894.</w:t>
      </w:r>
    </w:p>
    <w:p w14:paraId="1668F9AC"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Ndukwe, C., &amp; Okonkwo, U. (2023). Digital asset regulation and financial technology integration in Nigeria. </w:t>
      </w:r>
      <w:r w:rsidRPr="00D8206B">
        <w:rPr>
          <w:rFonts w:ascii="Times New Roman" w:eastAsia="Times New Roman" w:hAnsi="Times New Roman" w:cs="Times New Roman"/>
          <w:i/>
          <w:iCs/>
          <w:kern w:val="0"/>
          <w14:ligatures w14:val="none"/>
        </w:rPr>
        <w:t>Nigerian Law and Innovation Journal, 2</w:t>
      </w:r>
      <w:r w:rsidRPr="00D8206B">
        <w:rPr>
          <w:rFonts w:ascii="Times New Roman" w:eastAsia="Times New Roman" w:hAnsi="Times New Roman" w:cs="Times New Roman"/>
          <w:kern w:val="0"/>
          <w14:ligatures w14:val="none"/>
        </w:rPr>
        <w:t>(1), 7085.</w:t>
      </w:r>
    </w:p>
    <w:p w14:paraId="543F0AAF"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Nhu, S., &amp; Oladipo, A. (2022). Blockchain adoption in African banking: Drivers and deterrents. </w:t>
      </w:r>
      <w:r w:rsidRPr="00D8206B">
        <w:rPr>
          <w:rFonts w:ascii="Times New Roman" w:eastAsia="Times New Roman" w:hAnsi="Times New Roman" w:cs="Times New Roman"/>
          <w:i/>
          <w:iCs/>
          <w:kern w:val="0"/>
          <w14:ligatures w14:val="none"/>
        </w:rPr>
        <w:t>Journal of Financial Technology and Innovation in Africa, 5</w:t>
      </w:r>
      <w:r w:rsidRPr="00D8206B">
        <w:rPr>
          <w:rFonts w:ascii="Times New Roman" w:eastAsia="Times New Roman" w:hAnsi="Times New Roman" w:cs="Times New Roman"/>
          <w:kern w:val="0"/>
          <w14:ligatures w14:val="none"/>
        </w:rPr>
        <w:t>(1), 4560.</w:t>
      </w:r>
    </w:p>
    <w:p w14:paraId="1189B531"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Nnamani, U. (2024). Regulatory challenges and blockchain adoption in </w:t>
      </w:r>
      <w:proofErr w:type="spellStart"/>
      <w:r w:rsidRPr="00D8206B">
        <w:rPr>
          <w:rFonts w:ascii="Times New Roman" w:eastAsia="Times New Roman" w:hAnsi="Times New Roman" w:cs="Times New Roman"/>
          <w:kern w:val="0"/>
          <w14:ligatures w14:val="none"/>
        </w:rPr>
        <w:t>Nigerias</w:t>
      </w:r>
      <w:proofErr w:type="spellEnd"/>
      <w:r w:rsidRPr="00D8206B">
        <w:rPr>
          <w:rFonts w:ascii="Times New Roman" w:eastAsia="Times New Roman" w:hAnsi="Times New Roman" w:cs="Times New Roman"/>
          <w:kern w:val="0"/>
          <w14:ligatures w14:val="none"/>
        </w:rPr>
        <w:t xml:space="preserve"> financial sector: A quantitative approach. </w:t>
      </w:r>
      <w:r w:rsidRPr="00D8206B">
        <w:rPr>
          <w:rFonts w:ascii="Times New Roman" w:eastAsia="Times New Roman" w:hAnsi="Times New Roman" w:cs="Times New Roman"/>
          <w:i/>
          <w:iCs/>
          <w:kern w:val="0"/>
          <w14:ligatures w14:val="none"/>
        </w:rPr>
        <w:t>Journal of Financial Technology in Africa, 6</w:t>
      </w:r>
      <w:r w:rsidRPr="00D8206B">
        <w:rPr>
          <w:rFonts w:ascii="Times New Roman" w:eastAsia="Times New Roman" w:hAnsi="Times New Roman" w:cs="Times New Roman"/>
          <w:kern w:val="0"/>
          <w14:ligatures w14:val="none"/>
        </w:rPr>
        <w:t>(...), [details incomplete].</w:t>
      </w:r>
    </w:p>
    <w:p w14:paraId="6AF8D591"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Ojo, J., &amp; Adeyemi, M. (2022). Market risks and regulatory uncertainty in emerging financial systems: A Nigerian case study. </w:t>
      </w:r>
      <w:r w:rsidRPr="00D8206B">
        <w:rPr>
          <w:rFonts w:ascii="Times New Roman" w:eastAsia="Times New Roman" w:hAnsi="Times New Roman" w:cs="Times New Roman"/>
          <w:i/>
          <w:iCs/>
          <w:kern w:val="0"/>
          <w14:ligatures w14:val="none"/>
        </w:rPr>
        <w:t>African Journal of Policy and Development, 17</w:t>
      </w:r>
      <w:r w:rsidRPr="00D8206B">
        <w:rPr>
          <w:rFonts w:ascii="Times New Roman" w:eastAsia="Times New Roman" w:hAnsi="Times New Roman" w:cs="Times New Roman"/>
          <w:kern w:val="0"/>
          <w14:ligatures w14:val="none"/>
        </w:rPr>
        <w:t>(1), 3349.</w:t>
      </w:r>
    </w:p>
    <w:p w14:paraId="6726016D"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Okenneh</w:t>
      </w:r>
      <w:proofErr w:type="spellEnd"/>
      <w:r w:rsidRPr="00D8206B">
        <w:rPr>
          <w:rFonts w:ascii="Times New Roman" w:eastAsia="Times New Roman" w:hAnsi="Times New Roman" w:cs="Times New Roman"/>
          <w:kern w:val="0"/>
          <w14:ligatures w14:val="none"/>
        </w:rPr>
        <w:t xml:space="preserve">, N. (2022). Blockchain and the regulatory paradox in </w:t>
      </w:r>
      <w:proofErr w:type="spellStart"/>
      <w:r w:rsidRPr="00D8206B">
        <w:rPr>
          <w:rFonts w:ascii="Times New Roman" w:eastAsia="Times New Roman" w:hAnsi="Times New Roman" w:cs="Times New Roman"/>
          <w:kern w:val="0"/>
          <w14:ligatures w14:val="none"/>
        </w:rPr>
        <w:t>Nigerias</w:t>
      </w:r>
      <w:proofErr w:type="spellEnd"/>
      <w:r w:rsidRPr="00D8206B">
        <w:rPr>
          <w:rFonts w:ascii="Times New Roman" w:eastAsia="Times New Roman" w:hAnsi="Times New Roman" w:cs="Times New Roman"/>
          <w:kern w:val="0"/>
          <w14:ligatures w14:val="none"/>
        </w:rPr>
        <w:t xml:space="preserve"> financial institutions: Challenges and prospects. </w:t>
      </w:r>
      <w:r w:rsidRPr="00D8206B">
        <w:rPr>
          <w:rFonts w:ascii="Times New Roman" w:eastAsia="Times New Roman" w:hAnsi="Times New Roman" w:cs="Times New Roman"/>
          <w:i/>
          <w:iCs/>
          <w:kern w:val="0"/>
          <w14:ligatures w14:val="none"/>
        </w:rPr>
        <w:t>African Journal of Regulatory Studies, 6</w:t>
      </w:r>
      <w:r w:rsidRPr="00D8206B">
        <w:rPr>
          <w:rFonts w:ascii="Times New Roman" w:eastAsia="Times New Roman" w:hAnsi="Times New Roman" w:cs="Times New Roman"/>
          <w:kern w:val="0"/>
          <w14:ligatures w14:val="none"/>
        </w:rPr>
        <w:t>(2), 5066.</w:t>
      </w:r>
    </w:p>
    <w:p w14:paraId="3811A636"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Olayemi, A., &amp; Bello, S. (2021). Evaluating </w:t>
      </w:r>
      <w:proofErr w:type="spellStart"/>
      <w:r w:rsidRPr="00D8206B">
        <w:rPr>
          <w:rFonts w:ascii="Times New Roman" w:eastAsia="Times New Roman" w:hAnsi="Times New Roman" w:cs="Times New Roman"/>
          <w:kern w:val="0"/>
          <w14:ligatures w14:val="none"/>
        </w:rPr>
        <w:t>Nigerias</w:t>
      </w:r>
      <w:proofErr w:type="spellEnd"/>
      <w:r w:rsidRPr="00D8206B">
        <w:rPr>
          <w:rFonts w:ascii="Times New Roman" w:eastAsia="Times New Roman" w:hAnsi="Times New Roman" w:cs="Times New Roman"/>
          <w:kern w:val="0"/>
          <w14:ligatures w14:val="none"/>
        </w:rPr>
        <w:t xml:space="preserve"> blockchain readiness: A regulatory perspective. </w:t>
      </w:r>
      <w:r w:rsidRPr="00D8206B">
        <w:rPr>
          <w:rFonts w:ascii="Times New Roman" w:eastAsia="Times New Roman" w:hAnsi="Times New Roman" w:cs="Times New Roman"/>
          <w:i/>
          <w:iCs/>
          <w:kern w:val="0"/>
          <w14:ligatures w14:val="none"/>
        </w:rPr>
        <w:t>Journal of Digital Economy and Regulation in Africa, 5</w:t>
      </w:r>
      <w:r w:rsidRPr="00D8206B">
        <w:rPr>
          <w:rFonts w:ascii="Times New Roman" w:eastAsia="Times New Roman" w:hAnsi="Times New Roman" w:cs="Times New Roman"/>
          <w:kern w:val="0"/>
          <w14:ligatures w14:val="none"/>
        </w:rPr>
        <w:t>(1), 1327.</w:t>
      </w:r>
    </w:p>
    <w:p w14:paraId="182249E0"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Oluwafemi, A. (2022). Policy inconsistency and digital finance: The case of blockchain in Nigeria. </w:t>
      </w:r>
      <w:r w:rsidRPr="00D8206B">
        <w:rPr>
          <w:rFonts w:ascii="Times New Roman" w:eastAsia="Times New Roman" w:hAnsi="Times New Roman" w:cs="Times New Roman"/>
          <w:i/>
          <w:iCs/>
          <w:kern w:val="0"/>
          <w14:ligatures w14:val="none"/>
        </w:rPr>
        <w:t>African Journal of Banking and Technology, 7</w:t>
      </w:r>
      <w:r w:rsidRPr="00D8206B">
        <w:rPr>
          <w:rFonts w:ascii="Times New Roman" w:eastAsia="Times New Roman" w:hAnsi="Times New Roman" w:cs="Times New Roman"/>
          <w:kern w:val="0"/>
          <w14:ligatures w14:val="none"/>
        </w:rPr>
        <w:t>(3), 91108.</w:t>
      </w:r>
    </w:p>
    <w:p w14:paraId="7678CB32"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Rahouti, M., Miah, A., &amp; </w:t>
      </w:r>
      <w:proofErr w:type="spellStart"/>
      <w:r w:rsidRPr="00D8206B">
        <w:rPr>
          <w:rFonts w:ascii="Times New Roman" w:eastAsia="Times New Roman" w:hAnsi="Times New Roman" w:cs="Times New Roman"/>
          <w:kern w:val="0"/>
          <w14:ligatures w14:val="none"/>
        </w:rPr>
        <w:t>Jagatheesaperumal</w:t>
      </w:r>
      <w:proofErr w:type="spellEnd"/>
      <w:r w:rsidRPr="00D8206B">
        <w:rPr>
          <w:rFonts w:ascii="Times New Roman" w:eastAsia="Times New Roman" w:hAnsi="Times New Roman" w:cs="Times New Roman"/>
          <w:kern w:val="0"/>
          <w14:ligatures w14:val="none"/>
        </w:rPr>
        <w:t xml:space="preserve">, S. K. (2023). Blockchain in financial services: Current status, adoption challenges, and future vision. </w:t>
      </w:r>
      <w:r w:rsidRPr="00D8206B">
        <w:rPr>
          <w:rFonts w:ascii="Times New Roman" w:eastAsia="Times New Roman" w:hAnsi="Times New Roman" w:cs="Times New Roman"/>
          <w:i/>
          <w:iCs/>
          <w:kern w:val="0"/>
          <w14:ligatures w14:val="none"/>
        </w:rPr>
        <w:t>International Journal of Innovation and Technology Management, 20</w:t>
      </w:r>
      <w:r w:rsidRPr="00D8206B">
        <w:rPr>
          <w:rFonts w:ascii="Times New Roman" w:eastAsia="Times New Roman" w:hAnsi="Times New Roman" w:cs="Times New Roman"/>
          <w:kern w:val="0"/>
          <w14:ligatures w14:val="none"/>
        </w:rPr>
        <w:t xml:space="preserve">(3). </w:t>
      </w:r>
      <w:hyperlink r:id="rId132" w:history="1">
        <w:r w:rsidRPr="00D8206B">
          <w:rPr>
            <w:rFonts w:ascii="Times New Roman" w:eastAsia="Times New Roman" w:hAnsi="Times New Roman" w:cs="Times New Roman"/>
            <w:color w:val="0000FF"/>
            <w:kern w:val="0"/>
            <w:u w:val="single"/>
            <w14:ligatures w14:val="none"/>
          </w:rPr>
          <w:t>https://www.researchgate.net/publication/373146898</w:t>
        </w:r>
      </w:hyperlink>
    </w:p>
    <w:p w14:paraId="13183F8B"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 xml:space="preserve">Reuben, C., Yusuf, A., &amp; Kamau, P. (2021). Blockchain and financial inclusion: Institutional readiness in African banking systems. </w:t>
      </w:r>
      <w:r w:rsidRPr="00D8206B">
        <w:rPr>
          <w:rFonts w:ascii="Times New Roman" w:eastAsia="Times New Roman" w:hAnsi="Times New Roman" w:cs="Times New Roman"/>
          <w:i/>
          <w:iCs/>
          <w:kern w:val="0"/>
          <w14:ligatures w14:val="none"/>
        </w:rPr>
        <w:t>African Journal of Fintech Studies, 4</w:t>
      </w:r>
      <w:r w:rsidRPr="00D8206B">
        <w:rPr>
          <w:rFonts w:ascii="Times New Roman" w:eastAsia="Times New Roman" w:hAnsi="Times New Roman" w:cs="Times New Roman"/>
          <w:kern w:val="0"/>
          <w14:ligatures w14:val="none"/>
        </w:rPr>
        <w:t>(2), 7589.</w:t>
      </w:r>
    </w:p>
    <w:p w14:paraId="244A6D12"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Ross, E. S. (2017). Nobody puts blockchain in a corner: The disruptive role of blockchain technology in the financial services industry and current regulatory issues. </w:t>
      </w:r>
      <w:r w:rsidRPr="00D8206B">
        <w:rPr>
          <w:rFonts w:ascii="Times New Roman" w:eastAsia="Times New Roman" w:hAnsi="Times New Roman" w:cs="Times New Roman"/>
          <w:i/>
          <w:iCs/>
          <w:kern w:val="0"/>
          <w14:ligatures w14:val="none"/>
        </w:rPr>
        <w:t>Catholic University Journal of Law and Technology, 25</w:t>
      </w:r>
      <w:r w:rsidRPr="00D8206B">
        <w:rPr>
          <w:rFonts w:ascii="Times New Roman" w:eastAsia="Times New Roman" w:hAnsi="Times New Roman" w:cs="Times New Roman"/>
          <w:kern w:val="0"/>
          <w14:ligatures w14:val="none"/>
        </w:rPr>
        <w:t xml:space="preserve">(2), 367396. </w:t>
      </w:r>
    </w:p>
    <w:p w14:paraId="56472082"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Securities and Exchange Commission (SEC) Nigeria. (2022). </w:t>
      </w:r>
      <w:r w:rsidRPr="00D8206B">
        <w:rPr>
          <w:rFonts w:ascii="Times New Roman" w:eastAsia="Times New Roman" w:hAnsi="Times New Roman" w:cs="Times New Roman"/>
          <w:i/>
          <w:iCs/>
          <w:kern w:val="0"/>
          <w14:ligatures w14:val="none"/>
        </w:rPr>
        <w:t>New rules on issuance, offering platforms and custody of digital assets</w:t>
      </w:r>
      <w:r w:rsidRPr="00D8206B">
        <w:rPr>
          <w:rFonts w:ascii="Times New Roman" w:eastAsia="Times New Roman" w:hAnsi="Times New Roman" w:cs="Times New Roman"/>
          <w:kern w:val="0"/>
          <w14:ligatures w14:val="none"/>
        </w:rPr>
        <w:t xml:space="preserve">. Abuja, Nigeria: SEC. </w:t>
      </w:r>
    </w:p>
    <w:p w14:paraId="01B6F452"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Tapscott, D., &amp; Tapscott, A. (2020). </w:t>
      </w:r>
      <w:r w:rsidRPr="00D8206B">
        <w:rPr>
          <w:rFonts w:ascii="Times New Roman" w:eastAsia="Times New Roman" w:hAnsi="Times New Roman" w:cs="Times New Roman"/>
          <w:i/>
          <w:iCs/>
          <w:kern w:val="0"/>
          <w14:ligatures w14:val="none"/>
        </w:rPr>
        <w:t>Blockchain revolution: How the technology behind bitcoin and other cryptocurrencies is changing the world</w:t>
      </w:r>
      <w:r w:rsidRPr="00D8206B">
        <w:rPr>
          <w:rFonts w:ascii="Times New Roman" w:eastAsia="Times New Roman" w:hAnsi="Times New Roman" w:cs="Times New Roman"/>
          <w:kern w:val="0"/>
          <w14:ligatures w14:val="none"/>
        </w:rPr>
        <w:t>. Penguin.</w:t>
      </w:r>
    </w:p>
    <w:p w14:paraId="62C7A024"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Taye, A., &amp; Okeke, U. (2019). The influence of regulatory challenges on business operations in Nigeria. </w:t>
      </w:r>
      <w:r w:rsidRPr="00D8206B">
        <w:rPr>
          <w:rFonts w:ascii="Times New Roman" w:eastAsia="Times New Roman" w:hAnsi="Times New Roman" w:cs="Times New Roman"/>
          <w:i/>
          <w:iCs/>
          <w:kern w:val="0"/>
          <w14:ligatures w14:val="none"/>
        </w:rPr>
        <w:t>Journal of African Business, 20</w:t>
      </w:r>
      <w:r w:rsidRPr="00D8206B">
        <w:rPr>
          <w:rFonts w:ascii="Times New Roman" w:eastAsia="Times New Roman" w:hAnsi="Times New Roman" w:cs="Times New Roman"/>
          <w:kern w:val="0"/>
          <w14:ligatures w14:val="none"/>
        </w:rPr>
        <w:t>(1), 8195.</w:t>
      </w:r>
    </w:p>
    <w:p w14:paraId="1F576152"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Timisola</w:t>
      </w:r>
      <w:proofErr w:type="spellEnd"/>
      <w:r w:rsidRPr="00D8206B">
        <w:rPr>
          <w:rFonts w:ascii="Times New Roman" w:eastAsia="Times New Roman" w:hAnsi="Times New Roman" w:cs="Times New Roman"/>
          <w:kern w:val="0"/>
          <w14:ligatures w14:val="none"/>
        </w:rPr>
        <w:t xml:space="preserve">, F., &amp; Nwosu, K. (2021). Regulatory institutions and market oversight in African economies: Challenges and reforms. </w:t>
      </w:r>
      <w:r w:rsidRPr="00D8206B">
        <w:rPr>
          <w:rFonts w:ascii="Times New Roman" w:eastAsia="Times New Roman" w:hAnsi="Times New Roman" w:cs="Times New Roman"/>
          <w:i/>
          <w:iCs/>
          <w:kern w:val="0"/>
          <w14:ligatures w14:val="none"/>
        </w:rPr>
        <w:t>African Journal of Regulatory Policy, 6</w:t>
      </w:r>
      <w:r w:rsidRPr="00D8206B">
        <w:rPr>
          <w:rFonts w:ascii="Times New Roman" w:eastAsia="Times New Roman" w:hAnsi="Times New Roman" w:cs="Times New Roman"/>
          <w:kern w:val="0"/>
          <w14:ligatures w14:val="none"/>
        </w:rPr>
        <w:t>(3), 5672.</w:t>
      </w:r>
    </w:p>
    <w:p w14:paraId="763D41E8"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Yli-Huumo, J., Ko, D., Choi, S., Park, S., &amp; </w:t>
      </w:r>
      <w:proofErr w:type="spellStart"/>
      <w:r w:rsidRPr="00D8206B">
        <w:rPr>
          <w:rFonts w:ascii="Times New Roman" w:eastAsia="Times New Roman" w:hAnsi="Times New Roman" w:cs="Times New Roman"/>
          <w:kern w:val="0"/>
          <w14:ligatures w14:val="none"/>
        </w:rPr>
        <w:t>Smolander</w:t>
      </w:r>
      <w:proofErr w:type="spellEnd"/>
      <w:r w:rsidRPr="00D8206B">
        <w:rPr>
          <w:rFonts w:ascii="Times New Roman" w:eastAsia="Times New Roman" w:hAnsi="Times New Roman" w:cs="Times New Roman"/>
          <w:kern w:val="0"/>
          <w14:ligatures w14:val="none"/>
        </w:rPr>
        <w:t xml:space="preserve">, K. (2020). Where is current research on blockchain </w:t>
      </w:r>
      <w:proofErr w:type="gramStart"/>
      <w:r w:rsidRPr="00D8206B">
        <w:rPr>
          <w:rFonts w:ascii="Times New Roman" w:eastAsia="Times New Roman" w:hAnsi="Times New Roman" w:cs="Times New Roman"/>
          <w:kern w:val="0"/>
          <w14:ligatures w14:val="none"/>
        </w:rPr>
        <w:t>technology?</w:t>
      </w:r>
      <w:proofErr w:type="gramEnd"/>
      <w:r w:rsidRPr="00D8206B">
        <w:rPr>
          <w:rFonts w:ascii="Times New Roman" w:eastAsia="Times New Roman" w:hAnsi="Times New Roman" w:cs="Times New Roman"/>
          <w:kern w:val="0"/>
          <w14:ligatures w14:val="none"/>
        </w:rPr>
        <w:t xml:space="preserve">A systematic review. </w:t>
      </w:r>
      <w:r w:rsidRPr="00D8206B">
        <w:rPr>
          <w:rFonts w:ascii="Times New Roman" w:eastAsia="Times New Roman" w:hAnsi="Times New Roman" w:cs="Times New Roman"/>
          <w:i/>
          <w:iCs/>
          <w:kern w:val="0"/>
          <w14:ligatures w14:val="none"/>
        </w:rPr>
        <w:t>PLOS ONE, 11</w:t>
      </w:r>
      <w:r w:rsidRPr="00D8206B">
        <w:rPr>
          <w:rFonts w:ascii="Times New Roman" w:eastAsia="Times New Roman" w:hAnsi="Times New Roman" w:cs="Times New Roman"/>
          <w:kern w:val="0"/>
          <w14:ligatures w14:val="none"/>
        </w:rPr>
        <w:t xml:space="preserve">(10), e0163477. </w:t>
      </w:r>
    </w:p>
    <w:p w14:paraId="27164730" w14:textId="77777777" w:rsidR="00D8206B" w:rsidRPr="00D8206B" w:rsidRDefault="00D8206B" w:rsidP="00DA5AE9">
      <w:pPr>
        <w:spacing w:after="0" w:line="240" w:lineRule="auto"/>
        <w:ind w:left="720" w:hanging="720"/>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Zhang, T., &amp; Lee, K. (2021). Regulatory frameworks for blockchain: Global trends and regional developments. </w:t>
      </w:r>
      <w:r w:rsidRPr="00D8206B">
        <w:rPr>
          <w:rFonts w:ascii="Times New Roman" w:eastAsia="Times New Roman" w:hAnsi="Times New Roman" w:cs="Times New Roman"/>
          <w:i/>
          <w:iCs/>
          <w:kern w:val="0"/>
          <w14:ligatures w14:val="none"/>
        </w:rPr>
        <w:t>Journal of Financial Regulation and Compliance, 29</w:t>
      </w:r>
      <w:r w:rsidRPr="00D8206B">
        <w:rPr>
          <w:rFonts w:ascii="Times New Roman" w:eastAsia="Times New Roman" w:hAnsi="Times New Roman" w:cs="Times New Roman"/>
          <w:kern w:val="0"/>
          <w14:ligatures w14:val="none"/>
        </w:rPr>
        <w:t>(3), 341358.</w:t>
      </w:r>
    </w:p>
    <w:p w14:paraId="1CB5B11D" w14:textId="77777777" w:rsidR="00D8206B" w:rsidRPr="00D8206B" w:rsidRDefault="00D8206B" w:rsidP="00DA5AE9">
      <w:pPr>
        <w:spacing w:after="0" w:line="240" w:lineRule="auto"/>
        <w:rPr>
          <w:rFonts w:ascii="Times New Roman" w:eastAsia="Times New Roman" w:hAnsi="Times New Roman" w:cs="Times New Roman"/>
          <w:b/>
          <w:kern w:val="0"/>
          <w14:ligatures w14:val="none"/>
        </w:rPr>
      </w:pPr>
    </w:p>
    <w:p w14:paraId="3A04CB50" w14:textId="77777777" w:rsidR="00D8206B" w:rsidRDefault="00D8206B" w:rsidP="00A60822">
      <w:pPr>
        <w:spacing w:after="0" w:line="240" w:lineRule="auto"/>
        <w:jc w:val="both"/>
        <w:rPr>
          <w:rFonts w:ascii="Times New Roman" w:hAnsi="Times New Roman" w:cs="Times New Roman"/>
          <w:b/>
          <w:bCs/>
          <w:sz w:val="56"/>
          <w:szCs w:val="56"/>
        </w:rPr>
      </w:pPr>
    </w:p>
    <w:p w14:paraId="20E1B4E8" w14:textId="77777777" w:rsidR="00D8206B" w:rsidRDefault="00D8206B" w:rsidP="00A60822">
      <w:pPr>
        <w:spacing w:after="0" w:line="240" w:lineRule="auto"/>
        <w:jc w:val="both"/>
        <w:rPr>
          <w:rFonts w:ascii="Times New Roman" w:hAnsi="Times New Roman" w:cs="Times New Roman"/>
          <w:b/>
          <w:bCs/>
          <w:sz w:val="56"/>
          <w:szCs w:val="56"/>
        </w:rPr>
      </w:pPr>
    </w:p>
    <w:p w14:paraId="48265C63" w14:textId="77777777" w:rsidR="00D8206B" w:rsidRDefault="00D8206B" w:rsidP="00A60822">
      <w:pPr>
        <w:spacing w:after="0" w:line="240" w:lineRule="auto"/>
        <w:jc w:val="both"/>
        <w:rPr>
          <w:rFonts w:ascii="Times New Roman" w:hAnsi="Times New Roman" w:cs="Times New Roman"/>
          <w:b/>
          <w:bCs/>
          <w:sz w:val="56"/>
          <w:szCs w:val="56"/>
        </w:rPr>
      </w:pPr>
    </w:p>
    <w:p w14:paraId="2CB73A14" w14:textId="77777777" w:rsidR="00D8206B" w:rsidRDefault="00D8206B" w:rsidP="00A60822">
      <w:pPr>
        <w:spacing w:after="0" w:line="240" w:lineRule="auto"/>
        <w:jc w:val="both"/>
        <w:rPr>
          <w:rFonts w:ascii="Times New Roman" w:hAnsi="Times New Roman" w:cs="Times New Roman"/>
          <w:b/>
          <w:bCs/>
          <w:sz w:val="56"/>
          <w:szCs w:val="56"/>
        </w:rPr>
      </w:pPr>
    </w:p>
    <w:p w14:paraId="00B3A3CD"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3554F4CA"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004A2251"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77F2BC62"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3611A588"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7B3A172F"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36D22C8A"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7891C8A5"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13CEBF36"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381D0BA5"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3CBE804D"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64FDD490"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7491DBF8"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066005C7" w14:textId="77777777" w:rsidR="00DA5AE9" w:rsidRDefault="00DA5AE9" w:rsidP="00D8206B">
      <w:pPr>
        <w:spacing w:line="259" w:lineRule="auto"/>
        <w:jc w:val="center"/>
        <w:rPr>
          <w:rFonts w:ascii="Times New Roman" w:eastAsia="Calibri" w:hAnsi="Times New Roman" w:cs="Times New Roman"/>
          <w:b/>
          <w:kern w:val="0"/>
          <w:lang w:val="en-GB"/>
          <w14:ligatures w14:val="none"/>
        </w:rPr>
      </w:pPr>
    </w:p>
    <w:p w14:paraId="387D82F9" w14:textId="2CCA5499" w:rsidR="00D8206B" w:rsidRPr="00D8206B" w:rsidRDefault="00D8206B" w:rsidP="00D8206B">
      <w:pPr>
        <w:spacing w:line="259" w:lineRule="auto"/>
        <w:jc w:val="center"/>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lastRenderedPageBreak/>
        <w:t>Financial Technology (Fintech) Innovation and Financial Inclusion in Nigeria: A post‑Covid‑19 pandemic analysis</w:t>
      </w:r>
    </w:p>
    <w:p w14:paraId="42165E14" w14:textId="77777777" w:rsidR="00D8206B" w:rsidRPr="00D8206B" w:rsidRDefault="00D8206B" w:rsidP="00D8206B">
      <w:pPr>
        <w:spacing w:after="0" w:line="240" w:lineRule="auto"/>
        <w:jc w:val="center"/>
        <w:rPr>
          <w:rFonts w:ascii="Times New Roman" w:eastAsia="Calibri" w:hAnsi="Times New Roman" w:cs="Times New Roman"/>
          <w:i/>
          <w:kern w:val="0"/>
          <w:vertAlign w:val="superscript"/>
          <w:lang w:val="en-GB"/>
          <w14:ligatures w14:val="none"/>
        </w:rPr>
      </w:pPr>
    </w:p>
    <w:p w14:paraId="6F23F403"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i/>
          <w:kern w:val="0"/>
          <w:vertAlign w:val="superscript"/>
          <w:lang w:val="en-GB"/>
          <w14:ligatures w14:val="none"/>
        </w:rPr>
        <w:t>1</w:t>
      </w:r>
      <w:r w:rsidRPr="00D8206B">
        <w:rPr>
          <w:rFonts w:ascii="Times New Roman" w:eastAsia="Calibri" w:hAnsi="Times New Roman" w:cs="Times New Roman"/>
          <w:kern w:val="0"/>
          <w:lang w:val="en-GB"/>
          <w14:ligatures w14:val="none"/>
        </w:rPr>
        <w:t>Nkiru Patricia Chude,</w:t>
      </w:r>
      <w:r w:rsidRPr="00D8206B">
        <w:rPr>
          <w:rFonts w:ascii="Times New Roman" w:eastAsia="Calibri" w:hAnsi="Times New Roman" w:cs="Times New Roman"/>
          <w:kern w:val="0"/>
          <w:vertAlign w:val="superscript"/>
          <w:lang w:val="en-GB"/>
          <w14:ligatures w14:val="none"/>
        </w:rPr>
        <w:t xml:space="preserve"> </w:t>
      </w:r>
      <w:r w:rsidRPr="00D8206B">
        <w:rPr>
          <w:rFonts w:ascii="Times New Roman" w:eastAsia="Calibri" w:hAnsi="Times New Roman" w:cs="Times New Roman"/>
          <w:i/>
          <w:kern w:val="0"/>
          <w:vertAlign w:val="superscript"/>
          <w:lang w:val="en-GB"/>
          <w14:ligatures w14:val="none"/>
        </w:rPr>
        <w:t>2</w:t>
      </w:r>
      <w:r w:rsidRPr="00D8206B">
        <w:rPr>
          <w:rFonts w:ascii="Times New Roman" w:eastAsia="Calibri" w:hAnsi="Times New Roman" w:cs="Times New Roman"/>
          <w:kern w:val="0"/>
          <w:lang w:val="en-GB"/>
          <w14:ligatures w14:val="none"/>
        </w:rPr>
        <w:t xml:space="preserve">Edith Nkiruka Mazeli </w:t>
      </w:r>
      <w:r w:rsidRPr="00D8206B">
        <w:rPr>
          <w:rFonts w:ascii="Times New Roman" w:eastAsia="Calibri" w:hAnsi="Times New Roman" w:cs="Times New Roman"/>
          <w:i/>
          <w:kern w:val="0"/>
          <w:vertAlign w:val="superscript"/>
          <w:lang w:val="en-GB"/>
          <w14:ligatures w14:val="none"/>
        </w:rPr>
        <w:t>3</w:t>
      </w:r>
      <w:r w:rsidRPr="00D8206B">
        <w:rPr>
          <w:rFonts w:ascii="Times New Roman" w:eastAsia="Calibri" w:hAnsi="Times New Roman" w:cs="Times New Roman"/>
          <w:kern w:val="0"/>
          <w:lang w:val="en-GB"/>
          <w14:ligatures w14:val="none"/>
        </w:rPr>
        <w:t xml:space="preserve">Daniel Izuchukwu </w:t>
      </w:r>
      <w:proofErr w:type="spellStart"/>
      <w:r w:rsidRPr="00D8206B">
        <w:rPr>
          <w:rFonts w:ascii="Times New Roman" w:eastAsia="Calibri" w:hAnsi="Times New Roman" w:cs="Times New Roman"/>
          <w:kern w:val="0"/>
          <w:lang w:val="en-GB"/>
          <w14:ligatures w14:val="none"/>
        </w:rPr>
        <w:t>Chude</w:t>
      </w:r>
      <w:proofErr w:type="spellEnd"/>
    </w:p>
    <w:p w14:paraId="5155139F" w14:textId="77777777" w:rsidR="00D8206B" w:rsidRPr="00D8206B" w:rsidRDefault="00D8206B" w:rsidP="00D8206B">
      <w:pPr>
        <w:spacing w:after="0" w:line="240" w:lineRule="auto"/>
        <w:rPr>
          <w:rFonts w:ascii="Times New Roman" w:eastAsia="Calibri" w:hAnsi="Times New Roman" w:cs="Times New Roman"/>
          <w:kern w:val="0"/>
          <w:lang w:val="en-GB"/>
          <w14:ligatures w14:val="none"/>
        </w:rPr>
      </w:pPr>
    </w:p>
    <w:p w14:paraId="47DE9068"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i/>
          <w:kern w:val="0"/>
          <w:vertAlign w:val="superscript"/>
          <w:lang w:val="en-GB"/>
          <w14:ligatures w14:val="none"/>
        </w:rPr>
        <w:t>1</w:t>
      </w:r>
      <w:r w:rsidRPr="00D8206B">
        <w:rPr>
          <w:rFonts w:ascii="Times New Roman" w:eastAsia="Calibri" w:hAnsi="Times New Roman" w:cs="Times New Roman"/>
          <w:kern w:val="0"/>
          <w:lang w:val="en-GB"/>
          <w14:ligatures w14:val="none"/>
        </w:rPr>
        <w:t xml:space="preserve">Nkiru Patricia </w:t>
      </w:r>
      <w:proofErr w:type="spellStart"/>
      <w:r w:rsidRPr="00D8206B">
        <w:rPr>
          <w:rFonts w:ascii="Times New Roman" w:eastAsia="Calibri" w:hAnsi="Times New Roman" w:cs="Times New Roman"/>
          <w:kern w:val="0"/>
          <w:lang w:val="en-GB"/>
          <w14:ligatures w14:val="none"/>
        </w:rPr>
        <w:t>Chude</w:t>
      </w:r>
      <w:proofErr w:type="spellEnd"/>
      <w:r w:rsidRPr="00D8206B">
        <w:rPr>
          <w:rFonts w:ascii="Times New Roman" w:eastAsia="Calibri" w:hAnsi="Times New Roman" w:cs="Times New Roman"/>
          <w:kern w:val="0"/>
          <w:lang w:val="en-GB"/>
          <w14:ligatures w14:val="none"/>
        </w:rPr>
        <w:t xml:space="preserve"> (</w:t>
      </w:r>
      <w:proofErr w:type="spellStart"/>
      <w:proofErr w:type="gramStart"/>
      <w:r w:rsidRPr="00D8206B">
        <w:rPr>
          <w:rFonts w:ascii="Times New Roman" w:eastAsia="Calibri" w:hAnsi="Times New Roman" w:cs="Times New Roman"/>
          <w:kern w:val="0"/>
          <w:lang w:val="en-GB"/>
          <w14:ligatures w14:val="none"/>
        </w:rPr>
        <w:t>Ph.D</w:t>
      </w:r>
      <w:proofErr w:type="spellEnd"/>
      <w:proofErr w:type="gramEnd"/>
      <w:r w:rsidRPr="00D8206B">
        <w:rPr>
          <w:rFonts w:ascii="Times New Roman" w:eastAsia="Calibri" w:hAnsi="Times New Roman" w:cs="Times New Roman"/>
          <w:kern w:val="0"/>
          <w:lang w:val="en-GB"/>
          <w14:ligatures w14:val="none"/>
        </w:rPr>
        <w:t>)</w:t>
      </w:r>
    </w:p>
    <w:p w14:paraId="4056B0DC"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Department of Banking and Finance,</w:t>
      </w:r>
    </w:p>
    <w:p w14:paraId="58CBC1E9"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Chukwuemeka </w:t>
      </w:r>
      <w:proofErr w:type="spellStart"/>
      <w:r w:rsidRPr="00D8206B">
        <w:rPr>
          <w:rFonts w:ascii="Times New Roman" w:eastAsia="Calibri" w:hAnsi="Times New Roman" w:cs="Times New Roman"/>
          <w:kern w:val="0"/>
          <w:lang w:val="en-GB"/>
          <w14:ligatures w14:val="none"/>
        </w:rPr>
        <w:t>Odumegwu</w:t>
      </w:r>
      <w:proofErr w:type="spellEnd"/>
      <w:r w:rsidRPr="00D8206B">
        <w:rPr>
          <w:rFonts w:ascii="Times New Roman" w:eastAsia="Calibri" w:hAnsi="Times New Roman" w:cs="Times New Roman"/>
          <w:kern w:val="0"/>
          <w:lang w:val="en-GB"/>
          <w14:ligatures w14:val="none"/>
        </w:rPr>
        <w:t xml:space="preserve"> Ojukwu University</w:t>
      </w:r>
    </w:p>
    <w:p w14:paraId="1BDAE741"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proofErr w:type="spellStart"/>
      <w:r w:rsidRPr="00D8206B">
        <w:rPr>
          <w:rFonts w:ascii="Times New Roman" w:eastAsia="Calibri" w:hAnsi="Times New Roman" w:cs="Times New Roman"/>
          <w:kern w:val="0"/>
          <w:lang w:val="en-GB"/>
          <w14:ligatures w14:val="none"/>
        </w:rPr>
        <w:t>Igbariam</w:t>
      </w:r>
      <w:proofErr w:type="spellEnd"/>
      <w:r w:rsidRPr="00D8206B">
        <w:rPr>
          <w:rFonts w:ascii="Times New Roman" w:eastAsia="Calibri" w:hAnsi="Times New Roman" w:cs="Times New Roman"/>
          <w:kern w:val="0"/>
          <w:lang w:val="en-GB"/>
          <w14:ligatures w14:val="none"/>
        </w:rPr>
        <w:t xml:space="preserve"> Campus, P.M.B. 6059 </w:t>
      </w:r>
      <w:proofErr w:type="spellStart"/>
      <w:r w:rsidRPr="00D8206B">
        <w:rPr>
          <w:rFonts w:ascii="Times New Roman" w:eastAsia="Calibri" w:hAnsi="Times New Roman" w:cs="Times New Roman"/>
          <w:kern w:val="0"/>
          <w:lang w:val="en-GB"/>
          <w14:ligatures w14:val="none"/>
        </w:rPr>
        <w:t>Awka</w:t>
      </w:r>
      <w:proofErr w:type="spellEnd"/>
    </w:p>
    <w:p w14:paraId="37E679C3"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np.chude@coou.edu.ng</w:t>
      </w:r>
    </w:p>
    <w:p w14:paraId="1FD9FCD1"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p>
    <w:p w14:paraId="08C4A2A4"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i/>
          <w:kern w:val="0"/>
          <w:vertAlign w:val="superscript"/>
          <w:lang w:val="en-GB"/>
          <w14:ligatures w14:val="none"/>
        </w:rPr>
        <w:t>2</w:t>
      </w:r>
      <w:r w:rsidRPr="00D8206B">
        <w:rPr>
          <w:rFonts w:ascii="Times New Roman" w:eastAsia="Calibri" w:hAnsi="Times New Roman" w:cs="Times New Roman"/>
          <w:kern w:val="0"/>
          <w:lang w:val="en-GB"/>
          <w14:ligatures w14:val="none"/>
        </w:rPr>
        <w:t>Edith Nkiruka Mazeli (</w:t>
      </w:r>
      <w:proofErr w:type="spellStart"/>
      <w:proofErr w:type="gramStart"/>
      <w:r w:rsidRPr="00D8206B">
        <w:rPr>
          <w:rFonts w:ascii="Times New Roman" w:eastAsia="Calibri" w:hAnsi="Times New Roman" w:cs="Times New Roman"/>
          <w:kern w:val="0"/>
          <w:lang w:val="en-GB"/>
          <w14:ligatures w14:val="none"/>
        </w:rPr>
        <w:t>Ph.D</w:t>
      </w:r>
      <w:proofErr w:type="spellEnd"/>
      <w:proofErr w:type="gramEnd"/>
      <w:r w:rsidRPr="00D8206B">
        <w:rPr>
          <w:rFonts w:ascii="Times New Roman" w:eastAsia="Calibri" w:hAnsi="Times New Roman" w:cs="Times New Roman"/>
          <w:kern w:val="0"/>
          <w:lang w:val="en-GB"/>
          <w14:ligatures w14:val="none"/>
        </w:rPr>
        <w:t>)</w:t>
      </w:r>
    </w:p>
    <w:p w14:paraId="7AA01057"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Department of Banking and Finance,</w:t>
      </w:r>
    </w:p>
    <w:p w14:paraId="699FE498"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Chukwuemeka </w:t>
      </w:r>
      <w:proofErr w:type="spellStart"/>
      <w:r w:rsidRPr="00D8206B">
        <w:rPr>
          <w:rFonts w:ascii="Times New Roman" w:eastAsia="Calibri" w:hAnsi="Times New Roman" w:cs="Times New Roman"/>
          <w:kern w:val="0"/>
          <w:lang w:val="en-GB"/>
          <w14:ligatures w14:val="none"/>
        </w:rPr>
        <w:t>Odumegwu</w:t>
      </w:r>
      <w:proofErr w:type="spellEnd"/>
      <w:r w:rsidRPr="00D8206B">
        <w:rPr>
          <w:rFonts w:ascii="Times New Roman" w:eastAsia="Calibri" w:hAnsi="Times New Roman" w:cs="Times New Roman"/>
          <w:kern w:val="0"/>
          <w:lang w:val="en-GB"/>
          <w14:ligatures w14:val="none"/>
        </w:rPr>
        <w:t xml:space="preserve"> Ojukwu University</w:t>
      </w:r>
    </w:p>
    <w:p w14:paraId="36119953"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proofErr w:type="spellStart"/>
      <w:r w:rsidRPr="00D8206B">
        <w:rPr>
          <w:rFonts w:ascii="Times New Roman" w:eastAsia="Calibri" w:hAnsi="Times New Roman" w:cs="Times New Roman"/>
          <w:kern w:val="0"/>
          <w:lang w:val="en-GB"/>
          <w14:ligatures w14:val="none"/>
        </w:rPr>
        <w:t>Igbariam</w:t>
      </w:r>
      <w:proofErr w:type="spellEnd"/>
      <w:r w:rsidRPr="00D8206B">
        <w:rPr>
          <w:rFonts w:ascii="Times New Roman" w:eastAsia="Calibri" w:hAnsi="Times New Roman" w:cs="Times New Roman"/>
          <w:kern w:val="0"/>
          <w:lang w:val="en-GB"/>
          <w14:ligatures w14:val="none"/>
        </w:rPr>
        <w:t xml:space="preserve"> Campus, P.M.B. 6059 </w:t>
      </w:r>
      <w:proofErr w:type="spellStart"/>
      <w:r w:rsidRPr="00D8206B">
        <w:rPr>
          <w:rFonts w:ascii="Times New Roman" w:eastAsia="Calibri" w:hAnsi="Times New Roman" w:cs="Times New Roman"/>
          <w:kern w:val="0"/>
          <w:lang w:val="en-GB"/>
          <w14:ligatures w14:val="none"/>
        </w:rPr>
        <w:t>Awka</w:t>
      </w:r>
      <w:proofErr w:type="spellEnd"/>
    </w:p>
    <w:p w14:paraId="5C33D387"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en.mazeli@coou.edu.ng</w:t>
      </w:r>
    </w:p>
    <w:p w14:paraId="4B46BBBB"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p>
    <w:p w14:paraId="739CDF07"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p>
    <w:p w14:paraId="64251789"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i/>
          <w:kern w:val="0"/>
          <w:vertAlign w:val="superscript"/>
          <w:lang w:val="en-GB"/>
          <w14:ligatures w14:val="none"/>
        </w:rPr>
        <w:t>3</w:t>
      </w:r>
      <w:r w:rsidRPr="00D8206B">
        <w:rPr>
          <w:rFonts w:ascii="Times New Roman" w:eastAsia="Calibri" w:hAnsi="Times New Roman" w:cs="Times New Roman"/>
          <w:kern w:val="0"/>
          <w:lang w:val="en-GB"/>
          <w14:ligatures w14:val="none"/>
        </w:rPr>
        <w:t xml:space="preserve">Daniel Izuchukwu </w:t>
      </w:r>
      <w:proofErr w:type="spellStart"/>
      <w:r w:rsidRPr="00D8206B">
        <w:rPr>
          <w:rFonts w:ascii="Times New Roman" w:eastAsia="Calibri" w:hAnsi="Times New Roman" w:cs="Times New Roman"/>
          <w:kern w:val="0"/>
          <w:lang w:val="en-GB"/>
          <w14:ligatures w14:val="none"/>
        </w:rPr>
        <w:t>Chude</w:t>
      </w:r>
      <w:proofErr w:type="spellEnd"/>
      <w:r w:rsidRPr="00D8206B">
        <w:rPr>
          <w:rFonts w:ascii="Times New Roman" w:eastAsia="Calibri" w:hAnsi="Times New Roman" w:cs="Times New Roman"/>
          <w:kern w:val="0"/>
          <w:lang w:val="en-GB"/>
          <w14:ligatures w14:val="none"/>
        </w:rPr>
        <w:t xml:space="preserve"> (</w:t>
      </w:r>
      <w:proofErr w:type="spellStart"/>
      <w:proofErr w:type="gramStart"/>
      <w:r w:rsidRPr="00D8206B">
        <w:rPr>
          <w:rFonts w:ascii="Times New Roman" w:eastAsia="Calibri" w:hAnsi="Times New Roman" w:cs="Times New Roman"/>
          <w:kern w:val="0"/>
          <w:lang w:val="en-GB"/>
          <w14:ligatures w14:val="none"/>
        </w:rPr>
        <w:t>Ph.D</w:t>
      </w:r>
      <w:proofErr w:type="spellEnd"/>
      <w:proofErr w:type="gramEnd"/>
      <w:r w:rsidRPr="00D8206B">
        <w:rPr>
          <w:rFonts w:ascii="Times New Roman" w:eastAsia="Calibri" w:hAnsi="Times New Roman" w:cs="Times New Roman"/>
          <w:kern w:val="0"/>
          <w:lang w:val="en-GB"/>
          <w14:ligatures w14:val="none"/>
        </w:rPr>
        <w:t>)</w:t>
      </w:r>
    </w:p>
    <w:p w14:paraId="7E04D6AE"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Department of Accountancy,</w:t>
      </w:r>
    </w:p>
    <w:p w14:paraId="1AACD157"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Chukwuemeka </w:t>
      </w:r>
      <w:proofErr w:type="spellStart"/>
      <w:r w:rsidRPr="00D8206B">
        <w:rPr>
          <w:rFonts w:ascii="Times New Roman" w:eastAsia="Calibri" w:hAnsi="Times New Roman" w:cs="Times New Roman"/>
          <w:kern w:val="0"/>
          <w:lang w:val="en-GB"/>
          <w14:ligatures w14:val="none"/>
        </w:rPr>
        <w:t>Odumegwu</w:t>
      </w:r>
      <w:proofErr w:type="spellEnd"/>
      <w:r w:rsidRPr="00D8206B">
        <w:rPr>
          <w:rFonts w:ascii="Times New Roman" w:eastAsia="Calibri" w:hAnsi="Times New Roman" w:cs="Times New Roman"/>
          <w:kern w:val="0"/>
          <w:lang w:val="en-GB"/>
          <w14:ligatures w14:val="none"/>
        </w:rPr>
        <w:t xml:space="preserve"> Ojukwu University</w:t>
      </w:r>
    </w:p>
    <w:p w14:paraId="72E7C175"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proofErr w:type="spellStart"/>
      <w:r w:rsidRPr="00D8206B">
        <w:rPr>
          <w:rFonts w:ascii="Times New Roman" w:eastAsia="Calibri" w:hAnsi="Times New Roman" w:cs="Times New Roman"/>
          <w:kern w:val="0"/>
          <w:lang w:val="en-GB"/>
          <w14:ligatures w14:val="none"/>
        </w:rPr>
        <w:t>Igbariam</w:t>
      </w:r>
      <w:proofErr w:type="spellEnd"/>
      <w:r w:rsidRPr="00D8206B">
        <w:rPr>
          <w:rFonts w:ascii="Times New Roman" w:eastAsia="Calibri" w:hAnsi="Times New Roman" w:cs="Times New Roman"/>
          <w:kern w:val="0"/>
          <w:lang w:val="en-GB"/>
          <w14:ligatures w14:val="none"/>
        </w:rPr>
        <w:t xml:space="preserve"> Campus, P.M.B. 6059 </w:t>
      </w:r>
      <w:proofErr w:type="spellStart"/>
      <w:r w:rsidRPr="00D8206B">
        <w:rPr>
          <w:rFonts w:ascii="Times New Roman" w:eastAsia="Calibri" w:hAnsi="Times New Roman" w:cs="Times New Roman"/>
          <w:kern w:val="0"/>
          <w:lang w:val="en-GB"/>
          <w14:ligatures w14:val="none"/>
        </w:rPr>
        <w:t>Awka</w:t>
      </w:r>
      <w:proofErr w:type="spellEnd"/>
    </w:p>
    <w:p w14:paraId="3FF590F4"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di.chude@coou.edu.ng</w:t>
      </w:r>
    </w:p>
    <w:p w14:paraId="4AC6A666" w14:textId="77777777" w:rsidR="00D8206B" w:rsidRPr="00D8206B" w:rsidRDefault="00D8206B" w:rsidP="00D8206B">
      <w:pPr>
        <w:spacing w:after="0" w:line="240" w:lineRule="auto"/>
        <w:jc w:val="center"/>
        <w:rPr>
          <w:rFonts w:ascii="Times New Roman" w:eastAsia="Calibri" w:hAnsi="Times New Roman" w:cs="Times New Roman"/>
          <w:kern w:val="0"/>
          <w:lang w:val="en-GB"/>
          <w14:ligatures w14:val="none"/>
        </w:rPr>
      </w:pPr>
    </w:p>
    <w:p w14:paraId="41EA7504" w14:textId="77777777" w:rsidR="00D8206B" w:rsidRPr="00D8206B" w:rsidRDefault="00D8206B" w:rsidP="00D8206B">
      <w:pPr>
        <w:spacing w:line="259" w:lineRule="auto"/>
        <w:jc w:val="center"/>
        <w:rPr>
          <w:rFonts w:ascii="Times New Roman" w:eastAsia="Calibri" w:hAnsi="Times New Roman" w:cs="Times New Roman"/>
          <w:kern w:val="0"/>
          <w:lang w:val="en-GB"/>
          <w14:ligatures w14:val="none"/>
        </w:rPr>
      </w:pPr>
    </w:p>
    <w:p w14:paraId="5A97EBC0" w14:textId="77777777" w:rsidR="00D8206B" w:rsidRPr="00D8206B" w:rsidRDefault="00D8206B" w:rsidP="00D8206B">
      <w:pPr>
        <w:spacing w:line="259" w:lineRule="auto"/>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t>Abstract</w:t>
      </w:r>
    </w:p>
    <w:p w14:paraId="113C01AA"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This study refines the technology acceptance model (TAM) to explore the determinants of financial innovation or financial technology (Fintech) adoption and their impact on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particularly in the context of financial inclusion. It investigates how these drivers differ between urban and rural populations in terms of the innovation of digital financial literacy,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intentions, and government support. Data from 141 respondents in Nigeria were </w:t>
      </w:r>
      <w:proofErr w:type="spellStart"/>
      <w:r w:rsidRPr="00D8206B">
        <w:rPr>
          <w:rFonts w:ascii="Times New Roman" w:eastAsia="Calibri" w:hAnsi="Times New Roman" w:cs="Times New Roman"/>
          <w:kern w:val="0"/>
          <w:lang w:val="en-GB"/>
          <w14:ligatures w14:val="none"/>
        </w:rPr>
        <w:t>analyzed</w:t>
      </w:r>
      <w:proofErr w:type="spellEnd"/>
      <w:r w:rsidRPr="00D8206B">
        <w:rPr>
          <w:rFonts w:ascii="Times New Roman" w:eastAsia="Calibri" w:hAnsi="Times New Roman" w:cs="Times New Roman"/>
          <w:kern w:val="0"/>
          <w:lang w:val="en-GB"/>
          <w14:ligatures w14:val="none"/>
        </w:rPr>
        <w:t xml:space="preserve"> using partial least squares-structural equation </w:t>
      </w:r>
      <w:proofErr w:type="spellStart"/>
      <w:r w:rsidRPr="00D8206B">
        <w:rPr>
          <w:rFonts w:ascii="Times New Roman" w:eastAsia="Calibri" w:hAnsi="Times New Roman" w:cs="Times New Roman"/>
          <w:kern w:val="0"/>
          <w:lang w:val="en-GB"/>
          <w14:ligatures w14:val="none"/>
        </w:rPr>
        <w:t>modeling</w:t>
      </w:r>
      <w:proofErr w:type="spellEnd"/>
      <w:r w:rsidRPr="00D8206B">
        <w:rPr>
          <w:rFonts w:ascii="Times New Roman" w:eastAsia="Calibri" w:hAnsi="Times New Roman" w:cs="Times New Roman"/>
          <w:kern w:val="0"/>
          <w:lang w:val="en-GB"/>
          <w14:ligatures w14:val="none"/>
        </w:rPr>
        <w:t xml:space="preserve"> (PLS-SEM). The findings indicate that value of status quo is the principal factor influencing Fintech adoption, while personal innovativeness has a minimal effect.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positively correlates with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which in turn significantly enhances financial inclusion. The study also identifies personal innovativeness, government support, and value of status quo as mediating factors between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and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Notable differences were found between urban and rural respondents regarding the influence of digital financial literacy on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and the impact of government support on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in the post-Covid-19. This research not only empirically assesses the role of Fintech in advancing financial inclusion through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and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but also provides strategic insights for digital finance innovation providers to tailor financial access according to the location of the respondents.</w:t>
      </w:r>
    </w:p>
    <w:p w14:paraId="4618933A" w14:textId="77777777" w:rsidR="00D8206B" w:rsidRPr="00D8206B" w:rsidRDefault="00D8206B" w:rsidP="00D8206B">
      <w:pPr>
        <w:spacing w:line="259" w:lineRule="auto"/>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t xml:space="preserve">Keywords: Technology acceptance model, Fintech, Financial inclusion, </w:t>
      </w:r>
      <w:proofErr w:type="gramStart"/>
      <w:r w:rsidRPr="00D8206B">
        <w:rPr>
          <w:rFonts w:ascii="Times New Roman" w:eastAsia="Calibri" w:hAnsi="Times New Roman" w:cs="Times New Roman"/>
          <w:b/>
          <w:kern w:val="0"/>
          <w:lang w:val="en-GB"/>
          <w14:ligatures w14:val="none"/>
        </w:rPr>
        <w:t>Financial</w:t>
      </w:r>
      <w:proofErr w:type="gramEnd"/>
      <w:r w:rsidRPr="00D8206B">
        <w:rPr>
          <w:rFonts w:ascii="Times New Roman" w:eastAsia="Calibri" w:hAnsi="Times New Roman" w:cs="Times New Roman"/>
          <w:b/>
          <w:kern w:val="0"/>
          <w:lang w:val="en-GB"/>
          <w14:ligatures w14:val="none"/>
        </w:rPr>
        <w:t xml:space="preserve"> innovation service, SDG8</w:t>
      </w:r>
    </w:p>
    <w:p w14:paraId="37D4E1F3"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2BE0671B" w14:textId="77777777" w:rsidR="00D8206B" w:rsidRPr="00D8206B" w:rsidRDefault="00D8206B" w:rsidP="00D8206B">
      <w:pPr>
        <w:spacing w:line="259" w:lineRule="auto"/>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t>Introduction</w:t>
      </w:r>
    </w:p>
    <w:p w14:paraId="5AE041F6"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 xml:space="preserve">The rapid expansion of the innovation and technology industry has emerged as a pivotal driver of global economic development (Danish et al., 2023). The innovation and technology growth has, in turn, placed the stage for an unprecedented change in financial service provision (Dehnert, 2020). In recent years, the innovation of financial service or financial technology (Fintech) sector has experienced exponential growth, facilitating secure, efficient, user-friendly, and high-quality online banking services (Barroso &amp; Laborda, 2022; Bhat et al., 2023;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Fintech refers to digital financial platforms that enable contactless and remote transactions, eliminating the need for physical interaction (Cai et al., 2024; </w:t>
      </w:r>
      <w:proofErr w:type="spellStart"/>
      <w:r w:rsidRPr="00D8206B">
        <w:rPr>
          <w:rFonts w:ascii="Times New Roman" w:eastAsia="Calibri" w:hAnsi="Times New Roman" w:cs="Times New Roman"/>
          <w:kern w:val="0"/>
          <w:lang w:val="en-GB"/>
          <w14:ligatures w14:val="none"/>
        </w:rPr>
        <w:t>Puschmann</w:t>
      </w:r>
      <w:proofErr w:type="spellEnd"/>
      <w:r w:rsidRPr="00D8206B">
        <w:rPr>
          <w:rFonts w:ascii="Times New Roman" w:eastAsia="Calibri" w:hAnsi="Times New Roman" w:cs="Times New Roman"/>
          <w:kern w:val="0"/>
          <w:lang w:val="en-GB"/>
          <w14:ligatures w14:val="none"/>
        </w:rPr>
        <w:t xml:space="preserve">, 2017). However, a significant proportion of users are reluctant to use Fintech services (Al </w:t>
      </w:r>
      <w:proofErr w:type="spellStart"/>
      <w:r w:rsidRPr="00D8206B">
        <w:rPr>
          <w:rFonts w:ascii="Times New Roman" w:eastAsia="Calibri" w:hAnsi="Times New Roman" w:cs="Times New Roman"/>
          <w:kern w:val="0"/>
          <w:lang w:val="en-GB"/>
          <w14:ligatures w14:val="none"/>
        </w:rPr>
        <w:t>Nawayseh</w:t>
      </w:r>
      <w:proofErr w:type="spellEnd"/>
      <w:r w:rsidRPr="00D8206B">
        <w:rPr>
          <w:rFonts w:ascii="Times New Roman" w:eastAsia="Calibri" w:hAnsi="Times New Roman" w:cs="Times New Roman"/>
          <w:kern w:val="0"/>
          <w:lang w:val="en-GB"/>
          <w14:ligatures w14:val="none"/>
        </w:rPr>
        <w:t xml:space="preserve">, 2020). Users often have apprehensions related to conducting financial transactions online, with many concerns </w:t>
      </w:r>
      <w:proofErr w:type="spellStart"/>
      <w:r w:rsidRPr="00D8206B">
        <w:rPr>
          <w:rFonts w:ascii="Times New Roman" w:eastAsia="Calibri" w:hAnsi="Times New Roman" w:cs="Times New Roman"/>
          <w:kern w:val="0"/>
          <w:lang w:val="en-GB"/>
          <w14:ligatures w14:val="none"/>
        </w:rPr>
        <w:t>centered</w:t>
      </w:r>
      <w:proofErr w:type="spellEnd"/>
      <w:r w:rsidRPr="00D8206B">
        <w:rPr>
          <w:rFonts w:ascii="Times New Roman" w:eastAsia="Calibri" w:hAnsi="Times New Roman" w:cs="Times New Roman"/>
          <w:kern w:val="0"/>
          <w:lang w:val="en-GB"/>
          <w14:ligatures w14:val="none"/>
        </w:rPr>
        <w:t xml:space="preserve"> on the security, privacy risks, the virtual characteristics of payment activities, abilities and training required, ease of use, and availability of Fintech providers (Al </w:t>
      </w:r>
      <w:proofErr w:type="spellStart"/>
      <w:r w:rsidRPr="00D8206B">
        <w:rPr>
          <w:rFonts w:ascii="Times New Roman" w:eastAsia="Calibri" w:hAnsi="Times New Roman" w:cs="Times New Roman"/>
          <w:kern w:val="0"/>
          <w:lang w:val="en-GB"/>
          <w14:ligatures w14:val="none"/>
        </w:rPr>
        <w:t>Nawayseh</w:t>
      </w:r>
      <w:proofErr w:type="spellEnd"/>
      <w:r w:rsidRPr="00D8206B">
        <w:rPr>
          <w:rFonts w:ascii="Times New Roman" w:eastAsia="Calibri" w:hAnsi="Times New Roman" w:cs="Times New Roman"/>
          <w:kern w:val="0"/>
          <w:lang w:val="en-GB"/>
          <w14:ligatures w14:val="none"/>
        </w:rPr>
        <w:t xml:space="preserve">, 2020; Li, 2023; </w:t>
      </w:r>
      <w:proofErr w:type="spellStart"/>
      <w:r w:rsidRPr="00D8206B">
        <w:rPr>
          <w:rFonts w:ascii="Times New Roman" w:eastAsia="Calibri" w:hAnsi="Times New Roman" w:cs="Times New Roman"/>
          <w:kern w:val="0"/>
          <w:lang w:val="en-GB"/>
          <w14:ligatures w14:val="none"/>
        </w:rPr>
        <w:t>Suryono</w:t>
      </w:r>
      <w:proofErr w:type="spellEnd"/>
      <w:r w:rsidRPr="00D8206B">
        <w:rPr>
          <w:rFonts w:ascii="Times New Roman" w:eastAsia="Calibri" w:hAnsi="Times New Roman" w:cs="Times New Roman"/>
          <w:kern w:val="0"/>
          <w:lang w:val="en-GB"/>
          <w14:ligatures w14:val="none"/>
        </w:rPr>
        <w:t xml:space="preserve"> et al., 2020; Wonglimpiyarat, 2018). Prior empirical studies have also highlighted users' reservations regarding the availability of supporting infrastructure, such as lack of access to the internet, and level of uncertainty, effectiveness of services and information technology (IT) skills for online transactions (</w:t>
      </w:r>
      <w:proofErr w:type="spellStart"/>
      <w:r w:rsidRPr="00D8206B">
        <w:rPr>
          <w:rFonts w:ascii="Times New Roman" w:eastAsia="Calibri" w:hAnsi="Times New Roman" w:cs="Times New Roman"/>
          <w:kern w:val="0"/>
          <w:lang w:val="en-GB"/>
          <w14:ligatures w14:val="none"/>
        </w:rPr>
        <w:t>Suryono</w:t>
      </w:r>
      <w:proofErr w:type="spellEnd"/>
      <w:r w:rsidRPr="00D8206B">
        <w:rPr>
          <w:rFonts w:ascii="Times New Roman" w:eastAsia="Calibri" w:hAnsi="Times New Roman" w:cs="Times New Roman"/>
          <w:kern w:val="0"/>
          <w:lang w:val="en-GB"/>
          <w14:ligatures w14:val="none"/>
        </w:rPr>
        <w:t xml:space="preserve"> et al., 2020). Consequently, it is imperative for policymakers, Fintech employees, and digital-based finance business providers to gain a deeper understanding of consumer adoption towards Fintech services (</w:t>
      </w:r>
      <w:proofErr w:type="spellStart"/>
      <w:r w:rsidRPr="00D8206B">
        <w:rPr>
          <w:rFonts w:ascii="Times New Roman" w:eastAsia="Calibri" w:hAnsi="Times New Roman" w:cs="Times New Roman"/>
          <w:kern w:val="0"/>
          <w:lang w:val="en-GB"/>
          <w14:ligatures w14:val="none"/>
        </w:rPr>
        <w:t>Dafri</w:t>
      </w:r>
      <w:proofErr w:type="spellEnd"/>
      <w:r w:rsidRPr="00D8206B">
        <w:rPr>
          <w:rFonts w:ascii="Times New Roman" w:eastAsia="Calibri" w:hAnsi="Times New Roman" w:cs="Times New Roman"/>
          <w:kern w:val="0"/>
          <w:lang w:val="en-GB"/>
          <w14:ligatures w14:val="none"/>
        </w:rPr>
        <w:t xml:space="preserve"> &amp; Al-</w:t>
      </w:r>
      <w:proofErr w:type="spellStart"/>
      <w:r w:rsidRPr="00D8206B">
        <w:rPr>
          <w:rFonts w:ascii="Times New Roman" w:eastAsia="Calibri" w:hAnsi="Times New Roman" w:cs="Times New Roman"/>
          <w:kern w:val="0"/>
          <w:lang w:val="en-GB"/>
          <w14:ligatures w14:val="none"/>
        </w:rPr>
        <w:t>Qaruty</w:t>
      </w:r>
      <w:proofErr w:type="spellEnd"/>
      <w:r w:rsidRPr="00D8206B">
        <w:rPr>
          <w:rFonts w:ascii="Times New Roman" w:eastAsia="Calibri" w:hAnsi="Times New Roman" w:cs="Times New Roman"/>
          <w:kern w:val="0"/>
          <w:lang w:val="en-GB"/>
          <w14:ligatures w14:val="none"/>
        </w:rPr>
        <w:t xml:space="preserve">, 2023). </w:t>
      </w:r>
    </w:p>
    <w:p w14:paraId="476F5AA4"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The adoption and acceptance of Fintech </w:t>
      </w:r>
      <w:proofErr w:type="gramStart"/>
      <w:r w:rsidRPr="00D8206B">
        <w:rPr>
          <w:rFonts w:ascii="Times New Roman" w:eastAsia="Calibri" w:hAnsi="Times New Roman" w:cs="Times New Roman"/>
          <w:kern w:val="0"/>
          <w:lang w:val="en-GB"/>
          <w14:ligatures w14:val="none"/>
        </w:rPr>
        <w:t>varies</w:t>
      </w:r>
      <w:proofErr w:type="gramEnd"/>
      <w:r w:rsidRPr="00D8206B">
        <w:rPr>
          <w:rFonts w:ascii="Times New Roman" w:eastAsia="Calibri" w:hAnsi="Times New Roman" w:cs="Times New Roman"/>
          <w:kern w:val="0"/>
          <w:lang w:val="en-GB"/>
          <w14:ligatures w14:val="none"/>
        </w:rPr>
        <w:t xml:space="preserve"> across different demographic groups, social contexts, and cultural backgrounds (Chinnasamy et al., 2021; Cui et al., 2019; Das &amp; Das, 2020; Hasan et al., 2023; Hua &amp; Huang, 2021; Mahmud et al., 2022). Financial inclusion, particularly in several developing countries, remains relatively low (Rufaidah et al., 2023). Recent reports indicate that Nigeria is one of four countries with a significant unbanked population, where 100 million (37%) of its citizens did not have a bank account in 2021 (</w:t>
      </w:r>
      <w:proofErr w:type="spellStart"/>
      <w:r w:rsidRPr="00D8206B">
        <w:rPr>
          <w:rFonts w:ascii="Times New Roman" w:eastAsia="Calibri" w:hAnsi="Times New Roman" w:cs="Times New Roman"/>
          <w:kern w:val="0"/>
          <w:lang w:val="en-GB"/>
          <w14:ligatures w14:val="none"/>
        </w:rPr>
        <w:t>Demirgüç</w:t>
      </w:r>
      <w:proofErr w:type="spellEnd"/>
      <w:r w:rsidRPr="00D8206B">
        <w:rPr>
          <w:rFonts w:ascii="Times New Roman" w:eastAsia="Calibri" w:hAnsi="Times New Roman" w:cs="Times New Roman"/>
          <w:kern w:val="0"/>
          <w:lang w:val="en-GB"/>
          <w14:ligatures w14:val="none"/>
        </w:rPr>
        <w:t>-Kunt et al., 2022). This emphasizes the low level of financial literacy in Nigeria. Furthermore, the data show that Nigeria is one of the three countries where cash is still the predominant form of transaction (</w:t>
      </w:r>
      <w:proofErr w:type="spellStart"/>
      <w:r w:rsidRPr="00D8206B">
        <w:rPr>
          <w:rFonts w:ascii="Times New Roman" w:eastAsia="Calibri" w:hAnsi="Times New Roman" w:cs="Times New Roman"/>
          <w:kern w:val="0"/>
          <w:lang w:val="en-GB"/>
          <w14:ligatures w14:val="none"/>
        </w:rPr>
        <w:t>Demirgüç</w:t>
      </w:r>
      <w:proofErr w:type="spellEnd"/>
      <w:r w:rsidRPr="00D8206B">
        <w:rPr>
          <w:rFonts w:ascii="Times New Roman" w:eastAsia="Calibri" w:hAnsi="Times New Roman" w:cs="Times New Roman"/>
          <w:kern w:val="0"/>
          <w:lang w:val="en-GB"/>
          <w14:ligatures w14:val="none"/>
        </w:rPr>
        <w:t xml:space="preserve">-Kunt et al., 2022). In addition to these challenges, the recent economic crisis triggered by the pandemic has had a profound impact on people's financial conditions and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(Khetan et al., 2022). Digital financial literacy, especially in the context of Fintech, has become critical to individuals' financial security and preparedness (Lyons et al., 2022). This topic is also relevant to stakeholders, including the government, in efforts to optimize the adoption of Fintech in society (Aik &amp; Zhang, 2023; Rufaidah et al., 2023). Furthermore, the adoption of Fintech, with its impact on financial inclusion, is closely linked to the need to accelerate the achievement of the United Nations Sustainable Development Goals (UNSDGs) (Klapper et al., 2016). </w:t>
      </w:r>
    </w:p>
    <w:p w14:paraId="76840BE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Previous research demonstrates the positive impact of financial inclusion on the realization of Sustainable Development Goals, particularly with regard to the SDGs, which include zero hunger (SDG 2), gender equality (SDG 5), and economic growth (SDG 8) (Yap et al., 2023). This research offers nuanced insights for Fintech businesses and policy makers. It sheds light on the relatively low usage of digital financial services in Nigeria, especially in the post-crisis period, where Fintech is still seen as a new innovation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Over the past few years, substantial progress has been achieved in the advancement of Fintech services within Nigeria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Rufaidah et al., 2023; Setiawan et al., 2021, 2023). The Nigerian government has declared the establishment of e-government systems and services as one of the most important national goals (OJK, 2020). A priority goal is to advance financial inclusion (OJK, 2020), to replace unofficial financial alternatives with official financial services for marginalized groups, particularly individuals residing in remote areas lacking access to banking facilities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Rufaidah et al., 2023). Moreover, this study contributes to the theory of the technology acceptance model (TAM), whose extension to new contexts is recommended by researchers (Ahmad et al., 2020). Specifically, this study examines the relevance of the TAM in the context of Fintech after Covid-19 pandemic. The COVID 19 pandemic significantly accelerated the adoption of digital financial services across various regions. According to the World Bank’s Global Findex Database 2021, there </w:t>
      </w:r>
      <w:r w:rsidRPr="00D8206B">
        <w:rPr>
          <w:rFonts w:ascii="Times New Roman" w:eastAsia="Calibri" w:hAnsi="Times New Roman" w:cs="Times New Roman"/>
          <w:kern w:val="0"/>
          <w:lang w:val="en-GB"/>
          <w14:ligatures w14:val="none"/>
        </w:rPr>
        <w:lastRenderedPageBreak/>
        <w:t xml:space="preserve">was a substantial increase in digital payments during the pandemic, particularly in developing countries. Over 40% of adults in </w:t>
      </w:r>
      <w:proofErr w:type="gramStart"/>
      <w:r w:rsidRPr="00D8206B">
        <w:rPr>
          <w:rFonts w:ascii="Times New Roman" w:eastAsia="Calibri" w:hAnsi="Times New Roman" w:cs="Times New Roman"/>
          <w:kern w:val="0"/>
          <w:lang w:val="en-GB"/>
          <w14:ligatures w14:val="none"/>
        </w:rPr>
        <w:t>low and middle income</w:t>
      </w:r>
      <w:proofErr w:type="gramEnd"/>
      <w:r w:rsidRPr="00D8206B">
        <w:rPr>
          <w:rFonts w:ascii="Times New Roman" w:eastAsia="Calibri" w:hAnsi="Times New Roman" w:cs="Times New Roman"/>
          <w:kern w:val="0"/>
          <w:lang w:val="en-GB"/>
          <w14:ligatures w14:val="none"/>
        </w:rPr>
        <w:t xml:space="preserve"> economies made their first digital payment since the pandemic began, highlighting a major shift towards digital financial inclusion (World Bank, 2022). This study concretely examines the differences between user groups in urban and rural areas within a specific cultural environment. The heterogenous Nigerian population, with different academic backgrounds and wealth levels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Rufaidah et al., 2023), brings an interesting element to this research, such as value of status quo on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and provides specific insights among the main variables that matter for technology adoption and intention to continue using Fintech products (Goyal et al., 2022).</w:t>
      </w:r>
    </w:p>
    <w:p w14:paraId="3F9CAA5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This study addresses several important research questions related to Fintech adoption and usage in Nigeria. Our study examines Fintech adoption drivers by extending the technology acceptance model (TAM) with personal innovativeness (PI), government support (GS), digital financial literacy (DFL), and value of status quo (VSQ). This research also evaluates the direct impact of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on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and how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affects financial inclusion (FI). Additionally, we investigate how PI, GS, and DFL mediate the relationship between BI and UB. Finally, this study explores whether there are significant differences between rural and urban respondents regarding the impact of DFL on BI and GS on UB.</w:t>
      </w:r>
    </w:p>
    <w:p w14:paraId="324C703B"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The extension of TAM by incorporating personal innovativeness is supported by previous studies, which indicates that individuals with high personal innovativeness are more open to new technologies and faster to adopt digital financial services (Setiawan et al., 2021; Truc, 2024). Innovative individuals are more likely to experiment with new technologies and recognize their potential benefits, thereby accelerating the adoption process. Government support, including policies and regulations, plays a crucial role in fostering technology adoption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Governments can significantly facilitate technology adoption through the provision of necessary infrastructure, support for research and development, and various incentives. </w:t>
      </w:r>
    </w:p>
    <w:p w14:paraId="397A590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Digital financial literacy is a critical factor in the adoption of digital financial services, as it enhances individuals’ understanding of the benefits and usage of financial technology. This improved comprehension strengthens their perception of the technology’s usefulness and ease of use, which in turn increases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and promotes the adoption of digital financial services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Furthermore, a recent study conducted by </w:t>
      </w:r>
      <w:proofErr w:type="spellStart"/>
      <w:r w:rsidRPr="00D8206B">
        <w:rPr>
          <w:rFonts w:ascii="Times New Roman" w:eastAsia="Calibri" w:hAnsi="Times New Roman" w:cs="Times New Roman"/>
          <w:kern w:val="0"/>
          <w:lang w:val="en-GB"/>
          <w14:ligatures w14:val="none"/>
        </w:rPr>
        <w:t>Marhadi</w:t>
      </w:r>
      <w:proofErr w:type="spellEnd"/>
      <w:r w:rsidRPr="00D8206B">
        <w:rPr>
          <w:rFonts w:ascii="Times New Roman" w:eastAsia="Calibri" w:hAnsi="Times New Roman" w:cs="Times New Roman"/>
          <w:kern w:val="0"/>
          <w:lang w:val="en-GB"/>
          <w14:ligatures w14:val="none"/>
        </w:rPr>
        <w:t xml:space="preserve"> et al. (2024) revealed the importance of value of status quo in explaining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toward Fintech adoption in Nigeria. The value of status quo is significant because it can influence the decision-making process; even if a new financial service is perceived as useful and easy to use, individuals with a high value of status quo may resist change and prefer to stick with existing practices.</w:t>
      </w:r>
    </w:p>
    <w:p w14:paraId="25B65A54"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Furthermore, we evaluate whether PI, GS and DFL mediate the relationship between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and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Personal innovativeness plays a pivotal role in mediating the transition from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intentions to actual usage by enhancing individuals' receptivity to emerging technologies. This readiness to engage with new technologies not only accelerates the adoption process, but also increases the likelihood of continued use of Fintech services, as individuals with high levels of personal innovativeness are generally more proactive in identifying and integrating new technological solutions into their daily routines (Setiawan et al., 2021). Government support is essential for alleviating barriers to technology adoption and enhancing individuals' ability to realize their intentions. This support not only facilitates the initial adoption of new technologies, but also ensures their sustainability by providing both soft and hard infrastructure, which might otherwise impede the integration process (</w:t>
      </w:r>
      <w:proofErr w:type="spellStart"/>
      <w:r w:rsidRPr="00D8206B">
        <w:rPr>
          <w:rFonts w:ascii="Times New Roman" w:eastAsia="Calibri" w:hAnsi="Times New Roman" w:cs="Times New Roman"/>
          <w:kern w:val="0"/>
          <w:lang w:val="en-GB"/>
          <w14:ligatures w14:val="none"/>
        </w:rPr>
        <w:t>Marhadi</w:t>
      </w:r>
      <w:proofErr w:type="spellEnd"/>
      <w:r w:rsidRPr="00D8206B">
        <w:rPr>
          <w:rFonts w:ascii="Times New Roman" w:eastAsia="Calibri" w:hAnsi="Times New Roman" w:cs="Times New Roman"/>
          <w:kern w:val="0"/>
          <w:lang w:val="en-GB"/>
          <w14:ligatures w14:val="none"/>
        </w:rPr>
        <w:t xml:space="preserve"> et al., 2024). Digital financial literacy can bridge the gap between individuals' intentions to adopt Fintech services and their actual usage. Enhancing their understanding of how to effectively utilize digital financial tools allows individuals to translate their intentions into the actual use of Fintech services more readily. This perspective is supported by Prete (2022) who documented that increasing access to digital </w:t>
      </w:r>
      <w:r w:rsidRPr="00D8206B">
        <w:rPr>
          <w:rFonts w:ascii="Times New Roman" w:eastAsia="Calibri" w:hAnsi="Times New Roman" w:cs="Times New Roman"/>
          <w:kern w:val="0"/>
          <w:lang w:val="en-GB"/>
          <w14:ligatures w14:val="none"/>
        </w:rPr>
        <w:lastRenderedPageBreak/>
        <w:t xml:space="preserve">finance without concurrent improvements in financial literacy can negatively impact users, underscoring the importance of integrating comprehensive financial education with technological adoption efforts. </w:t>
      </w:r>
    </w:p>
    <w:p w14:paraId="1B775BAA"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This study also employs a multigroup analysis to explore significant differences between urban and rural respondents regarding how digital financial literacy (DFL) influences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and government support (GS) on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This examination is crucial because socioeconomic factors and access to technology can vary significantly between two different locations (Matthews, 2017). Addressing identified research gaps, this study responds to the demand highlighted in earlier investigations. Setiawan et al. (2021) advocated for an analysis of Fintech use across specific geographical regions; accordingly, our study delves into Fintech usage among respondents from both urban and rural settings. Prior studies indicate that digital financial literacy affects Fintech adoption differently depending on geographical context, with urban respondents typically having better access to and understanding of technology compared to their rural counterparts (Aik &amp; Zhang, 2023; Hasan et al., 2023; Wu &amp; Peng, 2024). Additionally, government support may have varying effects based on the level of infrastructure development in each region, with urban areas often benefiting from more extensive resources and support than rural areas (</w:t>
      </w:r>
      <w:proofErr w:type="spellStart"/>
      <w:r w:rsidRPr="00D8206B">
        <w:rPr>
          <w:rFonts w:ascii="Times New Roman" w:eastAsia="Calibri" w:hAnsi="Times New Roman" w:cs="Times New Roman"/>
          <w:kern w:val="0"/>
          <w:lang w:val="en-GB"/>
          <w14:ligatures w14:val="none"/>
        </w:rPr>
        <w:t>Marhadi</w:t>
      </w:r>
      <w:proofErr w:type="spellEnd"/>
      <w:r w:rsidRPr="00D8206B">
        <w:rPr>
          <w:rFonts w:ascii="Times New Roman" w:eastAsia="Calibri" w:hAnsi="Times New Roman" w:cs="Times New Roman"/>
          <w:kern w:val="0"/>
          <w:lang w:val="en-GB"/>
          <w14:ligatures w14:val="none"/>
        </w:rPr>
        <w:t xml:space="preserve"> et al., 2024). Understanding these differences enables policymakers to develop more targeted strategies and tailor support to the unique needs of each region. This approach promotes more comprehensive financial inclusion and fosters equitable and inclusive Fintech adoption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w:t>
      </w:r>
    </w:p>
    <w:p w14:paraId="3ABAAB1A"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The questionnaires from Nigerian respondents were collected from 31 January to 10 February 2026 (n = 141). The study started with pilot study (n = 40), prior to rolling out the final questionnaire. The data collected using purposive and quota sampling allow us to differentiate respondents by their residential areas, specifically urban and rural areas, which enables cross-group analysis to uncover differences in Fintech adoption between the groups. To assess Fintech adoption and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this study used PLS-SEM for direct hypothesis and PLS-MGA for multigroup analysis.</w:t>
      </w:r>
    </w:p>
    <w:p w14:paraId="2642D71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 The specific objectives of this study are as follows:</w:t>
      </w:r>
    </w:p>
    <w:p w14:paraId="6D42749B" w14:textId="77777777" w:rsidR="00D8206B" w:rsidRPr="00D8206B" w:rsidRDefault="00D8206B" w:rsidP="00D8206B">
      <w:pPr>
        <w:numPr>
          <w:ilvl w:val="0"/>
          <w:numId w:val="36"/>
        </w:numPr>
        <w:spacing w:line="259" w:lineRule="auto"/>
        <w:contextualSpacing/>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To examine Fintech adoption drivers by extending the technology acceptance model (TAM) with personal innovativeness (PI), government support (GS), digital financial literacy (DFL), and value of status quo (VSQ) among Nigerian consumers.</w:t>
      </w:r>
    </w:p>
    <w:p w14:paraId="298043B0" w14:textId="77777777" w:rsidR="00D8206B" w:rsidRPr="00D8206B" w:rsidRDefault="00D8206B" w:rsidP="00D8206B">
      <w:pPr>
        <w:numPr>
          <w:ilvl w:val="0"/>
          <w:numId w:val="36"/>
        </w:numPr>
        <w:spacing w:line="259" w:lineRule="auto"/>
        <w:contextualSpacing/>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To evaluate the direct impact of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on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and how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affects financial inclusion (FI).</w:t>
      </w:r>
    </w:p>
    <w:p w14:paraId="38B187A3" w14:textId="77777777" w:rsidR="00D8206B" w:rsidRPr="00D8206B" w:rsidRDefault="00D8206B" w:rsidP="00D8206B">
      <w:pPr>
        <w:numPr>
          <w:ilvl w:val="0"/>
          <w:numId w:val="36"/>
        </w:numPr>
        <w:spacing w:line="259" w:lineRule="auto"/>
        <w:contextualSpacing/>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To investigate the mediating roles of personal innovativeness (PI), government support (GS), and digital financial literacy (DFL) in the relationship between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and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w:t>
      </w:r>
    </w:p>
    <w:p w14:paraId="0DAD43BF" w14:textId="77777777" w:rsidR="00D8206B" w:rsidRPr="00D8206B" w:rsidRDefault="00D8206B" w:rsidP="00D8206B">
      <w:pPr>
        <w:numPr>
          <w:ilvl w:val="0"/>
          <w:numId w:val="36"/>
        </w:numPr>
        <w:spacing w:line="259" w:lineRule="auto"/>
        <w:contextualSpacing/>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To explore significant differences between rural and urban respondents regarding the influence of digital financial literacy (DFL) on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and the impact of government support (GS) on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in the post-Covid-19 period.</w:t>
      </w:r>
    </w:p>
    <w:p w14:paraId="4B0CAD7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40674EC0"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These objectives directly guide the extension of TAM, the hypothesis testing (H1–H10), the mediation analysis, and the multigroup analysis (PLS-MGA) conducted with the 141 Nigerian respondents. </w:t>
      </w:r>
    </w:p>
    <w:p w14:paraId="5644EF2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The structure of this article is organized in the following order: the first section describes the research model and questions. The second section provides an extensive literature review, followed by an explanation of the research methodology utilized in this study. The fourth section presents the results derived from the statistical analysis. The fifth section discusses these results in depth. The conclusion, limitations, and potential avenues for further research are presented at the end of this article.</w:t>
      </w:r>
    </w:p>
    <w:p w14:paraId="1E4B48D6" w14:textId="77777777" w:rsidR="00D8206B" w:rsidRPr="00D8206B" w:rsidRDefault="00D8206B" w:rsidP="00D8206B">
      <w:pPr>
        <w:spacing w:line="259" w:lineRule="auto"/>
        <w:jc w:val="both"/>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t xml:space="preserve">Review of related literature </w:t>
      </w:r>
    </w:p>
    <w:p w14:paraId="49360E1C"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Prior research has explored the relationship between Fintech adoption and several theoretical models, including the technology acceptance model (TAM) by Davis (1989), and the Unified Theory of Acceptance and Use of Technology (UTAUT) by Venkatesh et al. (2003). However, this study will specifically concentrate on TAM, given its established prominence as a foundational theory for assessing the adoption of new technologies, as endorsed by recent studies such as Ahmad et al. (2020). This will enable a precise examination of how the principles of TAM can be applied to understand Fintech adoption in the evolving financial landscape post-Covid 19. In the aftermath of the Covid-19 pandemic, digital financial transactions have transitioned from being perceived as novel innovations to becoming essential components of the ‘new normal’. This shift underscores their integral role in daily financial activities and highlights the accelerated acceptance of digital solutions in the financial sector (Le, 2021). The shift towards digital transactions for safety and health reasons has familiarized the public with this mode of financial interaction (Cruz-Cárdenas et al., 2021; Fu &amp; Mishra, 2022). Along with this, the mass adoption of Fintech during the pandemic has prompted various Fintech innovations to emerge in response to the surge in usage (Pu et al., 2021). In Nigeria, a multitude of digital payment methods have surfaced, including the adoption of Quick Response (QR) codes for shopping (</w:t>
      </w:r>
      <w:proofErr w:type="spellStart"/>
      <w:r w:rsidRPr="00D8206B">
        <w:rPr>
          <w:rFonts w:ascii="Times New Roman" w:eastAsia="Calibri" w:hAnsi="Times New Roman" w:cs="Times New Roman"/>
          <w:kern w:val="0"/>
          <w:lang w:val="en-GB"/>
          <w14:ligatures w14:val="none"/>
        </w:rPr>
        <w:t>Musyaffi</w:t>
      </w:r>
      <w:proofErr w:type="spellEnd"/>
      <w:r w:rsidRPr="00D8206B">
        <w:rPr>
          <w:rFonts w:ascii="Times New Roman" w:eastAsia="Calibri" w:hAnsi="Times New Roman" w:cs="Times New Roman"/>
          <w:kern w:val="0"/>
          <w:lang w:val="en-GB"/>
          <w14:ligatures w14:val="none"/>
        </w:rPr>
        <w:t xml:space="preserve"> et al., 2021) and online purchasing with digital payment methods (</w:t>
      </w:r>
      <w:proofErr w:type="spellStart"/>
      <w:r w:rsidRPr="00D8206B">
        <w:rPr>
          <w:rFonts w:ascii="Times New Roman" w:eastAsia="Calibri" w:hAnsi="Times New Roman" w:cs="Times New Roman"/>
          <w:kern w:val="0"/>
          <w:lang w:val="en-GB"/>
          <w14:ligatures w14:val="none"/>
        </w:rPr>
        <w:t>Djalante</w:t>
      </w:r>
      <w:proofErr w:type="spellEnd"/>
      <w:r w:rsidRPr="00D8206B">
        <w:rPr>
          <w:rFonts w:ascii="Times New Roman" w:eastAsia="Calibri" w:hAnsi="Times New Roman" w:cs="Times New Roman"/>
          <w:kern w:val="0"/>
          <w:lang w:val="en-GB"/>
          <w14:ligatures w14:val="none"/>
        </w:rPr>
        <w:t xml:space="preserve"> et al., 2020). The widespread use of Fintech during the pandemic has resulted in a sustained adoption of Fintech as the new normal in financial transactions.</w:t>
      </w:r>
    </w:p>
    <w:p w14:paraId="50D5BBD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However, in several developing nations, limited progress has been observed in achieving financial inclusion after Covid-19 period. Current reports highlight Nigeria as one of four nations grappling with a significant unbanked populace, with approximately 100 million citizens, constituting 37% of the population, lacking access to bank accounts in the year 2021 (</w:t>
      </w:r>
      <w:proofErr w:type="spellStart"/>
      <w:r w:rsidRPr="00D8206B">
        <w:rPr>
          <w:rFonts w:ascii="Times New Roman" w:eastAsia="Calibri" w:hAnsi="Times New Roman" w:cs="Times New Roman"/>
          <w:kern w:val="0"/>
          <w:lang w:val="en-GB"/>
          <w14:ligatures w14:val="none"/>
        </w:rPr>
        <w:t>Demirgüç</w:t>
      </w:r>
      <w:proofErr w:type="spellEnd"/>
      <w:r w:rsidRPr="00D8206B">
        <w:rPr>
          <w:rFonts w:ascii="Times New Roman" w:eastAsia="Calibri" w:hAnsi="Times New Roman" w:cs="Times New Roman"/>
          <w:kern w:val="0"/>
          <w:lang w:val="en-GB"/>
          <w14:ligatures w14:val="none"/>
        </w:rPr>
        <w:t xml:space="preserve">-Kunt et al., 2022). Surprisingly, this phenomenon persists even though the Nigerian government has actively promoted the growth of Fintech industries, as part of the economic recovery initiative post-Covid 19 (OJK, 2020; </w:t>
      </w:r>
      <w:proofErr w:type="spellStart"/>
      <w:r w:rsidRPr="00D8206B">
        <w:rPr>
          <w:rFonts w:ascii="Times New Roman" w:eastAsia="Calibri" w:hAnsi="Times New Roman" w:cs="Times New Roman"/>
          <w:kern w:val="0"/>
          <w:lang w:val="en-GB"/>
          <w14:ligatures w14:val="none"/>
        </w:rPr>
        <w:t>Sugandi</w:t>
      </w:r>
      <w:proofErr w:type="spellEnd"/>
      <w:r w:rsidRPr="00D8206B">
        <w:rPr>
          <w:rFonts w:ascii="Times New Roman" w:eastAsia="Calibri" w:hAnsi="Times New Roman" w:cs="Times New Roman"/>
          <w:kern w:val="0"/>
          <w:lang w:val="en-GB"/>
          <w14:ligatures w14:val="none"/>
        </w:rPr>
        <w:t xml:space="preserve">, 2021). This programme, aimed at bolstering the national economy, includes direct financial support to beneficiaries as a crucial component of the social aid response to the Covid-19 crisis. Despite the growth of the Fintech sector in Nigeria, challenges persist in offering formal financial access to all segments of the population. Empirically, prior research from Nigeria on Fintech adoption has mostly concentrated on the preceding period and during the Covid-19 pandemic. One prior investigation focused on a gender issue in Nigeria related to inclusive finance through Fintech during Covid-19 pandemic (Setiawan et al., 2023). Their findings imply that the </w:t>
      </w:r>
      <w:proofErr w:type="spellStart"/>
      <w:r w:rsidRPr="00D8206B">
        <w:rPr>
          <w:rFonts w:ascii="Times New Roman" w:eastAsia="Calibri" w:hAnsi="Times New Roman" w:cs="Times New Roman"/>
          <w:kern w:val="0"/>
          <w:lang w:val="en-GB"/>
          <w14:ligatures w14:val="none"/>
        </w:rPr>
        <w:t>behaviors</w:t>
      </w:r>
      <w:proofErr w:type="spellEnd"/>
      <w:r w:rsidRPr="00D8206B">
        <w:rPr>
          <w:rFonts w:ascii="Times New Roman" w:eastAsia="Calibri" w:hAnsi="Times New Roman" w:cs="Times New Roman"/>
          <w:kern w:val="0"/>
          <w:lang w:val="en-GB"/>
          <w14:ligatures w14:val="none"/>
        </w:rPr>
        <w:t xml:space="preserve"> exhibited throughout the pandemic have weakened the relationship between society's innovativeness and their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to use Fintech (Setiawan et al., 2023). Another work explored the factors driving Fintech adoption among small and medium-sized enterprises (SMEs) during the Covid-19 pandemic in Nigeria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Their findings corroborated that SMEs' inclination towards adopting Fintech is directly influenced by government support, perceived usefulness, perceived ease of use, user innovativeness, and trust. Additionally, the study indicated that financial literacy indirectly affects Fintech adoption, mediated by user innovativeness.</w:t>
      </w:r>
    </w:p>
    <w:p w14:paraId="789DD467"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Understanding the factors that drive the adoption of Fintech after Covid-19 pandemic period is of paramount importance for achieving financial inclusion in Nigeria. Given the limited literature available on this subject, the current study conducts an empirical analysis to examine the impact of factors among BI and UB with the goal of promoting FI after Covid-19 pandemic in Nigeria. This research presents an original viewpoint by examining several factors that influence Fintech adoption, including PI, DFL, GS, and VSQ in the context following the Covid-19 pandemic. Based on the best knowledge of the authors, this study marks the first </w:t>
      </w:r>
      <w:proofErr w:type="spellStart"/>
      <w:r w:rsidRPr="00D8206B">
        <w:rPr>
          <w:rFonts w:ascii="Times New Roman" w:eastAsia="Calibri" w:hAnsi="Times New Roman" w:cs="Times New Roman"/>
          <w:kern w:val="0"/>
          <w:lang w:val="en-GB"/>
          <w14:ligatures w14:val="none"/>
        </w:rPr>
        <w:t>endeavor</w:t>
      </w:r>
      <w:proofErr w:type="spellEnd"/>
      <w:r w:rsidRPr="00D8206B">
        <w:rPr>
          <w:rFonts w:ascii="Times New Roman" w:eastAsia="Calibri" w:hAnsi="Times New Roman" w:cs="Times New Roman"/>
          <w:kern w:val="0"/>
          <w:lang w:val="en-GB"/>
          <w14:ligatures w14:val="none"/>
        </w:rPr>
        <w:t xml:space="preserve"> to </w:t>
      </w:r>
      <w:proofErr w:type="spellStart"/>
      <w:r w:rsidRPr="00D8206B">
        <w:rPr>
          <w:rFonts w:ascii="Times New Roman" w:eastAsia="Calibri" w:hAnsi="Times New Roman" w:cs="Times New Roman"/>
          <w:kern w:val="0"/>
          <w:lang w:val="en-GB"/>
          <w14:ligatures w14:val="none"/>
        </w:rPr>
        <w:t>analyze</w:t>
      </w:r>
      <w:proofErr w:type="spellEnd"/>
      <w:r w:rsidRPr="00D8206B">
        <w:rPr>
          <w:rFonts w:ascii="Times New Roman" w:eastAsia="Calibri" w:hAnsi="Times New Roman" w:cs="Times New Roman"/>
          <w:kern w:val="0"/>
          <w:lang w:val="en-GB"/>
          <w14:ligatures w14:val="none"/>
        </w:rPr>
        <w:t xml:space="preserve"> the factors influencing the adoption of Fintech in Nigeria, and is also still very limited globally within the unique timeframe of the post-Covid 19 outbreak.</w:t>
      </w:r>
    </w:p>
    <w:p w14:paraId="59EA6DC6"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1182369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Research framework and hypotheses</w:t>
      </w:r>
    </w:p>
    <w:p w14:paraId="4B75541D"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 xml:space="preserve">The conceptual framework is derived from the technology acceptance model (TAM) (Davis, 1989), which examines perceived usefulness (PU) and perceived ease of use (PEU) in relation to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to adopt Fintech. This study extends the basic conceptual framework by incorporating the analysis of personal innovativeness (PI), government support (GS), digital financial literacy (DFL), and value of status quo (VSQ) in relation to BI. It also examines how these factors impact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with the aim of promoting financial inclusion (FI) after the Covid-19 pandemic. Additionally, personal innovativeness (PI), government support (GS), and value of status quo (VSQ) are investigated as mediating factors between BI and UB. </w:t>
      </w:r>
    </w:p>
    <w:p w14:paraId="6F28AFC7"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Perceived usefulness (PU)  </w:t>
      </w:r>
    </w:p>
    <w:p w14:paraId="06EC5DEE"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Perceived usefulness (PU) refers to the extent to which technological advances can enhance performance (Rizvi et al., 2024). In this study, PU evaluates how Fintech use may </w:t>
      </w:r>
      <w:proofErr w:type="spellStart"/>
      <w:r w:rsidRPr="00D8206B">
        <w:rPr>
          <w:rFonts w:ascii="Times New Roman" w:eastAsia="Calibri" w:hAnsi="Times New Roman" w:cs="Times New Roman"/>
          <w:kern w:val="0"/>
          <w:lang w:val="en-GB"/>
          <w14:ligatures w14:val="none"/>
        </w:rPr>
        <w:t>fulfill</w:t>
      </w:r>
      <w:proofErr w:type="spellEnd"/>
      <w:r w:rsidRPr="00D8206B">
        <w:rPr>
          <w:rFonts w:ascii="Times New Roman" w:eastAsia="Calibri" w:hAnsi="Times New Roman" w:cs="Times New Roman"/>
          <w:kern w:val="0"/>
          <w:lang w:val="en-GB"/>
          <w14:ligatures w14:val="none"/>
        </w:rPr>
        <w:t xml:space="preserve"> user needs such as rapid response and other benefits. Previous research in Nigeria has shown a significant impact of PU on technology adoption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Rizvi et al., 2024). However, </w:t>
      </w:r>
      <w:proofErr w:type="spellStart"/>
      <w:r w:rsidRPr="00D8206B">
        <w:rPr>
          <w:rFonts w:ascii="Times New Roman" w:eastAsia="Calibri" w:hAnsi="Times New Roman" w:cs="Times New Roman"/>
          <w:kern w:val="0"/>
          <w:lang w:val="en-GB"/>
          <w14:ligatures w14:val="none"/>
        </w:rPr>
        <w:t>Mufarih</w:t>
      </w:r>
      <w:proofErr w:type="spellEnd"/>
      <w:r w:rsidRPr="00D8206B">
        <w:rPr>
          <w:rFonts w:ascii="Times New Roman" w:eastAsia="Calibri" w:hAnsi="Times New Roman" w:cs="Times New Roman"/>
          <w:kern w:val="0"/>
          <w:lang w:val="en-GB"/>
          <w14:ligatures w14:val="none"/>
        </w:rPr>
        <w:t xml:space="preserve"> et al. (2020) found that PU did not significantly influence digital banking adoption. The mixed findings suggest that PU's impact may vary by context, making it essential to understand the specific factors at play in different environments. Thus, the following hypotheses are proposed:</w:t>
      </w:r>
    </w:p>
    <w:p w14:paraId="34DC380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H1a: PU has a positive effect on BI.  </w:t>
      </w:r>
    </w:p>
    <w:p w14:paraId="7F5DF95F"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H1b: PU has a positive effect on UB.</w:t>
      </w:r>
    </w:p>
    <w:p w14:paraId="53349E62"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Perceived ease of use (PEU)</w:t>
      </w:r>
    </w:p>
    <w:p w14:paraId="24ACEC9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Perceived ease of use (PEU) relates to the effort required to use new technology effectively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In this research, PEU is defined by the efficiency with which individuals use Fintech services, including the user interface and accessibility across various providers. Studies have shown a positive relationship between PEU and Fintech usage (Abdul-Halim et al., 2022; Baba et al., 2023;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Rizvi et al., 2024). The rationale is that easier to use technology reduces both cognitive and physical effort, thereby encouraging adoption. When users perceive a technology as simple and straightforward to use, they are less likely to experience frustration or confusion during interaction. This ease of use lowers the barrier to entry, making users more willing to try and continue using the technology. Based on this, the hypotheses are:</w:t>
      </w:r>
    </w:p>
    <w:p w14:paraId="18FD58A4"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H2a: PEU positively impacts BI.  </w:t>
      </w:r>
    </w:p>
    <w:p w14:paraId="4A3E41C0"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H2b: PEU positively impacts UB.</w:t>
      </w:r>
    </w:p>
    <w:p w14:paraId="516D491A"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Personal innovativeness (PI)</w:t>
      </w:r>
    </w:p>
    <w:p w14:paraId="689A48EE"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Personal innovativeness (PI) is a mindset that leads to the generation of novel ideas (Jahanmir &amp; Cavadas, 2018; Slade et al., 2015). This study examines whether individuals with innovative tendencies influence the acceptance of Fintech products. PI involves a readiness to try new technologies, upgrade to the latest technology, and enthusiasm for experimenting with Fintech services. Prior research has shown a positive relationship between PI and technology platform usage (Baba et al., 2023;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Wu &amp; Peng, 2024). However, Fung et al. (2020) found that PI's impact varies by market. These findings suggest that PI's effect on Fintech adoption is context dependent, indicating that the impact of personal innovativeness can vary based on specific environmental or market conditions. This variability underscores the importance of considering contextual factors when examining the relationship between PI and Fintech adoption. Based on this nuanced understanding, the following hypotheses are proposed:</w:t>
      </w:r>
    </w:p>
    <w:p w14:paraId="01ECAE2D"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H3a: PI positively impacts BI.  </w:t>
      </w:r>
    </w:p>
    <w:p w14:paraId="6FE2B46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H3b: PI positively impacts UB.</w:t>
      </w:r>
    </w:p>
    <w:p w14:paraId="6730059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Government support (GS)</w:t>
      </w:r>
    </w:p>
    <w:p w14:paraId="3853AD40"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Government support (GS) is crucial for creating a </w:t>
      </w:r>
      <w:proofErr w:type="spellStart"/>
      <w:r w:rsidRPr="00D8206B">
        <w:rPr>
          <w:rFonts w:ascii="Times New Roman" w:eastAsia="Calibri" w:hAnsi="Times New Roman" w:cs="Times New Roman"/>
          <w:kern w:val="0"/>
          <w:lang w:val="en-GB"/>
          <w14:ligatures w14:val="none"/>
        </w:rPr>
        <w:t>favorable</w:t>
      </w:r>
      <w:proofErr w:type="spellEnd"/>
      <w:r w:rsidRPr="00D8206B">
        <w:rPr>
          <w:rFonts w:ascii="Times New Roman" w:eastAsia="Calibri" w:hAnsi="Times New Roman" w:cs="Times New Roman"/>
          <w:kern w:val="0"/>
          <w:lang w:val="en-GB"/>
          <w14:ligatures w14:val="none"/>
        </w:rPr>
        <w:t xml:space="preserve"> environment for Fintech enterprises through research and development </w:t>
      </w:r>
      <w:proofErr w:type="spellStart"/>
      <w:r w:rsidRPr="00D8206B">
        <w:rPr>
          <w:rFonts w:ascii="Times New Roman" w:eastAsia="Calibri" w:hAnsi="Times New Roman" w:cs="Times New Roman"/>
          <w:kern w:val="0"/>
          <w:lang w:val="en-GB"/>
          <w14:ligatures w14:val="none"/>
        </w:rPr>
        <w:t>centers</w:t>
      </w:r>
      <w:proofErr w:type="spellEnd"/>
      <w:r w:rsidRPr="00D8206B">
        <w:rPr>
          <w:rFonts w:ascii="Times New Roman" w:eastAsia="Calibri" w:hAnsi="Times New Roman" w:cs="Times New Roman"/>
          <w:kern w:val="0"/>
          <w:lang w:val="en-GB"/>
          <w14:ligatures w14:val="none"/>
        </w:rPr>
        <w:t xml:space="preserve"> and regulatory frameworks (UNSGSA, 2019). GS in this study includes infrastructure development, regulatory frameworks, and laws promoting Fintech growth and network connectivity. Research indicates a significant and positive impact of GS on Fintech adoption (Balaskas et al., 2024;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This positive impact can be attributed to the fact that robust government support reduces uncertainties and risks associated with new technologies, thereby fostering a conducive environment for innovation and adoption. Additionally, government initiatives can provide essential resources and infrastructure that individual firms may lack, further facilitating the adoption process. However, decentralized support may yield better results as it allows for more tailored and region-specific interventions, addressing local needs more effectively (Wu et al., 2023). Considering these aspects, the following hypotheses are proposed:</w:t>
      </w:r>
    </w:p>
    <w:p w14:paraId="7D2A54F3"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5C09F346"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H4a: GS has a positive effect on BI.  </w:t>
      </w:r>
    </w:p>
    <w:p w14:paraId="04C6AE28"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H4b: GS has a positive effect on UB.</w:t>
      </w:r>
    </w:p>
    <w:p w14:paraId="5513F352"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796A72DE"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Digital financial literacy (DFL)</w:t>
      </w:r>
    </w:p>
    <w:p w14:paraId="03C5A5F0"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DFL is an encompassing concept that covers an expansive spectrum of understanding and consciousness in terms of the products and services of digital finance, understanding the risks of digital financial, understanding of risk prevention parameters, and familiarity with the rights of consumer and protocols for settling disputes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In this study, we assess DFL by asking respondents about their awareness and understanding of frequently utilized electronic methods of payment in their everyday lives, protection procedures, and multiple kinds of digital financial services (Ravikumar et al., 2022). Prior research underscores the critical role of digital financial literacy in the adoption and effective use of Fintech services. For instance, Choung et al. (2023) and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highlight that higher levels of DFL lead to better decision-making regarding Fintech usage. Rizvi et al. (2024) further assert that users with higher DFL are more confident in using digital financial services, which reduces their perceived risk and increases their likelihood of adopting such technologies. This is because knowledgeable users can better navigate the digital financial landscape, understand the benefits and limitations of various services, and protect themselves from potential risks.</w:t>
      </w:r>
    </w:p>
    <w:p w14:paraId="507BA242"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320C8F0D"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H5a: DFL offers a positive effect on BI.  </w:t>
      </w:r>
    </w:p>
    <w:p w14:paraId="26D8ADBB"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H5b: DFL offers a positive effect on UB.</w:t>
      </w:r>
    </w:p>
    <w:p w14:paraId="618DA7C3"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1269D2F6"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Value of status quo (VSQ)</w:t>
      </w:r>
    </w:p>
    <w:p w14:paraId="00CEE92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The term value of status quo (VSQ) refers to a psychological assessment of the current technology, incorporating several dimensions such as unpredictability, availability of alternatives, and individual rationale (Goyal et al., 2022). In this study, VSQ is measured by individuals' perceptions of the pleasantness, usefulness, and security of Fintech services compared to non-digital financial products. It is important to understand that the tendency to </w:t>
      </w:r>
      <w:proofErr w:type="spellStart"/>
      <w:r w:rsidRPr="00D8206B">
        <w:rPr>
          <w:rFonts w:ascii="Times New Roman" w:eastAsia="Calibri" w:hAnsi="Times New Roman" w:cs="Times New Roman"/>
          <w:kern w:val="0"/>
          <w:lang w:val="en-GB"/>
          <w14:ligatures w14:val="none"/>
        </w:rPr>
        <w:t>favor</w:t>
      </w:r>
      <w:proofErr w:type="spellEnd"/>
      <w:r w:rsidRPr="00D8206B">
        <w:rPr>
          <w:rFonts w:ascii="Times New Roman" w:eastAsia="Calibri" w:hAnsi="Times New Roman" w:cs="Times New Roman"/>
          <w:kern w:val="0"/>
          <w:lang w:val="en-GB"/>
          <w14:ligatures w14:val="none"/>
        </w:rPr>
        <w:t xml:space="preserve"> the status quo is often shaped by factors like familiarity, perceived stability, and a reluctance to take risks. </w:t>
      </w:r>
      <w:r w:rsidRPr="00D8206B">
        <w:rPr>
          <w:rFonts w:ascii="Times New Roman" w:eastAsia="Calibri" w:hAnsi="Times New Roman" w:cs="Times New Roman"/>
          <w:kern w:val="0"/>
          <w:lang w:val="en-GB"/>
          <w14:ligatures w14:val="none"/>
        </w:rPr>
        <w:lastRenderedPageBreak/>
        <w:t xml:space="preserve">These factors play a significant role in users' decision-making processes regarding whether to adopt new digital financial technologies or stick with traditional methods. The status quo can be valued for providing a sense of control and predictability, which may outweigh the perceived benefits of switching to new technologies. Recent studies, albeit limited, have shown that VSQ can have a beneficial effect on technology adoption and use. Goyal et al. (2022) and </w:t>
      </w:r>
      <w:proofErr w:type="spellStart"/>
      <w:r w:rsidRPr="00D8206B">
        <w:rPr>
          <w:rFonts w:ascii="Times New Roman" w:eastAsia="Calibri" w:hAnsi="Times New Roman" w:cs="Times New Roman"/>
          <w:kern w:val="0"/>
          <w:lang w:val="en-GB"/>
          <w14:ligatures w14:val="none"/>
        </w:rPr>
        <w:t>Putro</w:t>
      </w:r>
      <w:proofErr w:type="spellEnd"/>
      <w:r w:rsidRPr="00D8206B">
        <w:rPr>
          <w:rFonts w:ascii="Times New Roman" w:eastAsia="Calibri" w:hAnsi="Times New Roman" w:cs="Times New Roman"/>
          <w:kern w:val="0"/>
          <w:lang w:val="en-GB"/>
          <w14:ligatures w14:val="none"/>
        </w:rPr>
        <w:t xml:space="preserve"> et al. (2023) suggest that understanding the value individuals place on the status quo can provide insights into their likelihood of adopting new technologies. This understanding helps to tailor strategies that address the concerns and preferences of users who are hesitant to transition from non-digital to digital financial services. Based on these insights, the following hypotheses are proposed:</w:t>
      </w:r>
    </w:p>
    <w:p w14:paraId="1CD36971"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7580D995"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H6a: VSQ has a positive effect on BI.  </w:t>
      </w:r>
    </w:p>
    <w:p w14:paraId="6B28240C"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H6b: VSQ has a positive effect on UB.</w:t>
      </w:r>
    </w:p>
    <w:p w14:paraId="7DFBCCC7"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3FEBE834"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w:t>
      </w:r>
    </w:p>
    <w:p w14:paraId="5837DABF"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The intention to accept new technology precedes the actual use of Fintech services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Understanding BI is crucial for promoting sustainable Fintech products. BI encompasses the capacity, intent, and preparedness to adopt digital financial transactions. Research shows a significant positive correlation between BI and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w:t>
      </w:r>
      <w:proofErr w:type="spellStart"/>
      <w:r w:rsidRPr="00D8206B">
        <w:rPr>
          <w:rFonts w:ascii="Times New Roman" w:eastAsia="Calibri" w:hAnsi="Times New Roman" w:cs="Times New Roman"/>
          <w:kern w:val="0"/>
          <w:lang w:val="en-GB"/>
          <w14:ligatures w14:val="none"/>
        </w:rPr>
        <w:t>Almashhadani</w:t>
      </w:r>
      <w:proofErr w:type="spellEnd"/>
      <w:r w:rsidRPr="00D8206B">
        <w:rPr>
          <w:rFonts w:ascii="Times New Roman" w:eastAsia="Calibri" w:hAnsi="Times New Roman" w:cs="Times New Roman"/>
          <w:kern w:val="0"/>
          <w:lang w:val="en-GB"/>
          <w14:ligatures w14:val="none"/>
        </w:rPr>
        <w:t xml:space="preserve"> et al., 2023;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Rizvi et al., 2024). However, Singh et al. (2020) found an insignificant impact, indicating that the BI–UB relationship may be context dependent. Based on prior studies, we propose the following hypothesis:</w:t>
      </w:r>
    </w:p>
    <w:p w14:paraId="71CFB2A4"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480534F0"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H7: BI has a positive effect on UB.</w:t>
      </w:r>
    </w:p>
    <w:p w14:paraId="0ACCC2AB"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6C54C7AD"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w:t>
      </w:r>
    </w:p>
    <w:p w14:paraId="0B7D227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(UB) is defined as a direct result of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and indicates a person's readiness to perform a particular action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In this study, UB is characterized by the expectation, positive perception, and attitude toward using Fintech services (</w:t>
      </w:r>
      <w:proofErr w:type="spellStart"/>
      <w:r w:rsidRPr="00D8206B">
        <w:rPr>
          <w:rFonts w:ascii="Times New Roman" w:eastAsia="Calibri" w:hAnsi="Times New Roman" w:cs="Times New Roman"/>
          <w:kern w:val="0"/>
          <w:lang w:val="en-GB"/>
          <w14:ligatures w14:val="none"/>
        </w:rPr>
        <w:t>Bongomin</w:t>
      </w:r>
      <w:proofErr w:type="spellEnd"/>
      <w:r w:rsidRPr="00D8206B">
        <w:rPr>
          <w:rFonts w:ascii="Times New Roman" w:eastAsia="Calibri" w:hAnsi="Times New Roman" w:cs="Times New Roman"/>
          <w:kern w:val="0"/>
          <w:lang w:val="en-GB"/>
          <w14:ligatures w14:val="none"/>
        </w:rPr>
        <w:t xml:space="preserve"> et al., 2018). Previous studies have demonstrated a positive relationship between UB and financial inclusion, indicating that as individuals engage more with Fintech services, their financial inclusion improves (Odei-Appiah et al., 2022). Building upon this empirical evidence, the following hypothesis is proposed:</w:t>
      </w:r>
    </w:p>
    <w:p w14:paraId="5AA041B7"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5105E771"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H8: UB has a positive effect on FI.</w:t>
      </w:r>
    </w:p>
    <w:p w14:paraId="6A8CAB59"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3196523F"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The mediating effect of PI, GS, and VSQ</w:t>
      </w:r>
    </w:p>
    <w:p w14:paraId="6EDDF75A"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PI denotes a person's willingness to embrace and experiment with emerging technologies (Slade et al., 2015), and it shapes BI (</w:t>
      </w:r>
      <w:proofErr w:type="spellStart"/>
      <w:r w:rsidRPr="00D8206B">
        <w:rPr>
          <w:rFonts w:ascii="Times New Roman" w:eastAsia="Calibri" w:hAnsi="Times New Roman" w:cs="Times New Roman"/>
          <w:kern w:val="0"/>
          <w:lang w:val="en-GB"/>
          <w14:ligatures w14:val="none"/>
        </w:rPr>
        <w:t>Almashhadani</w:t>
      </w:r>
      <w:proofErr w:type="spellEnd"/>
      <w:r w:rsidRPr="00D8206B">
        <w:rPr>
          <w:rFonts w:ascii="Times New Roman" w:eastAsia="Calibri" w:hAnsi="Times New Roman" w:cs="Times New Roman"/>
          <w:kern w:val="0"/>
          <w:lang w:val="en-GB"/>
          <w14:ligatures w14:val="none"/>
        </w:rPr>
        <w:t xml:space="preserve"> et al., 2023), which is positively correlated with UB in the context of Nigerian respondent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From one side, GS makes it easier for users to use Fintech, which boosts the intention to adopt Fintech products (Hua &amp; Huang, 2021; Mejía-Escobar et al., 2020). Furthermore, the VSQ has been demonstrated to enhance the convenience of utilizing technology products (</w:t>
      </w:r>
      <w:proofErr w:type="spellStart"/>
      <w:r w:rsidRPr="00D8206B">
        <w:rPr>
          <w:rFonts w:ascii="Times New Roman" w:eastAsia="Calibri" w:hAnsi="Times New Roman" w:cs="Times New Roman"/>
          <w:kern w:val="0"/>
          <w:lang w:val="en-GB"/>
          <w14:ligatures w14:val="none"/>
        </w:rPr>
        <w:t>Putro</w:t>
      </w:r>
      <w:proofErr w:type="spellEnd"/>
      <w:r w:rsidRPr="00D8206B">
        <w:rPr>
          <w:rFonts w:ascii="Times New Roman" w:eastAsia="Calibri" w:hAnsi="Times New Roman" w:cs="Times New Roman"/>
          <w:kern w:val="0"/>
          <w:lang w:val="en-GB"/>
          <w14:ligatures w14:val="none"/>
        </w:rPr>
        <w:t xml:space="preserve"> et al., 2023). This </w:t>
      </w:r>
      <w:r w:rsidRPr="00D8206B">
        <w:rPr>
          <w:rFonts w:ascii="Times New Roman" w:eastAsia="Calibri" w:hAnsi="Times New Roman" w:cs="Times New Roman"/>
          <w:kern w:val="0"/>
          <w:lang w:val="en-GB"/>
          <w14:ligatures w14:val="none"/>
        </w:rPr>
        <w:lastRenderedPageBreak/>
        <w:t>study comprehends the previous studies by investigating PI, GS, and VSQ as mediating variables among BI and UB in adopting Fintech. Considering a collection of findings from prior investigations, we state the following hypotheses:</w:t>
      </w:r>
    </w:p>
    <w:p w14:paraId="546727F0"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1473FFED"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H9a: PI positively mediates the impact of BI on UB.  </w:t>
      </w:r>
    </w:p>
    <w:p w14:paraId="412DE37D"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H9b: GS positively mediates the impact of BI on UB.  </w:t>
      </w:r>
    </w:p>
    <w:p w14:paraId="187D1BB0"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H9c: DFL positively mediates the impact of BI on UB.</w:t>
      </w:r>
    </w:p>
    <w:p w14:paraId="129BEA49"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0277A09B"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Multigroup analysis of rural and urban respondents, DFL on BI</w:t>
      </w:r>
    </w:p>
    <w:p w14:paraId="4259029F"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DFL has demonstrated significant promise in expanding its reach to historically under- privileged society by providing more personalized financial products (Choung et al., 2023; Rizvi et al., 2024). This study distinguishes respondents based on their residential areas, specifically, between cities and countryside locations. Earlier research has sub- </w:t>
      </w:r>
      <w:proofErr w:type="spellStart"/>
      <w:r w:rsidRPr="00D8206B">
        <w:rPr>
          <w:rFonts w:ascii="Times New Roman" w:eastAsia="Calibri" w:hAnsi="Times New Roman" w:cs="Times New Roman"/>
          <w:kern w:val="0"/>
          <w:lang w:val="en-GB"/>
          <w14:ligatures w14:val="none"/>
        </w:rPr>
        <w:t>stantiated</w:t>
      </w:r>
      <w:proofErr w:type="spellEnd"/>
      <w:r w:rsidRPr="00D8206B">
        <w:rPr>
          <w:rFonts w:ascii="Times New Roman" w:eastAsia="Calibri" w:hAnsi="Times New Roman" w:cs="Times New Roman"/>
          <w:kern w:val="0"/>
          <w:lang w:val="en-GB"/>
          <w14:ligatures w14:val="none"/>
        </w:rPr>
        <w:t xml:space="preserve"> high adoption of Fintech due to the elevated expertise in digital financial lit- </w:t>
      </w:r>
      <w:proofErr w:type="spellStart"/>
      <w:r w:rsidRPr="00D8206B">
        <w:rPr>
          <w:rFonts w:ascii="Times New Roman" w:eastAsia="Calibri" w:hAnsi="Times New Roman" w:cs="Times New Roman"/>
          <w:kern w:val="0"/>
          <w:lang w:val="en-GB"/>
          <w14:ligatures w14:val="none"/>
        </w:rPr>
        <w:t>eracy</w:t>
      </w:r>
      <w:proofErr w:type="spellEnd"/>
      <w:r w:rsidRPr="00D8206B">
        <w:rPr>
          <w:rFonts w:ascii="Times New Roman" w:eastAsia="Calibri" w:hAnsi="Times New Roman" w:cs="Times New Roman"/>
          <w:kern w:val="0"/>
          <w:lang w:val="en-GB"/>
          <w14:ligatures w14:val="none"/>
        </w:rPr>
        <w:t xml:space="preserve"> among non-rural populations than their respective counterparts (Choung et al., 2023; Rizvi et al., 2024). Several findings from various empirical studies reveal a </w:t>
      </w:r>
      <w:proofErr w:type="spellStart"/>
      <w:r w:rsidRPr="00D8206B">
        <w:rPr>
          <w:rFonts w:ascii="Times New Roman" w:eastAsia="Calibri" w:hAnsi="Times New Roman" w:cs="Times New Roman"/>
          <w:kern w:val="0"/>
          <w:lang w:val="en-GB"/>
          <w14:ligatures w14:val="none"/>
        </w:rPr>
        <w:t>signifi</w:t>
      </w:r>
      <w:proofErr w:type="spellEnd"/>
      <w:r w:rsidRPr="00D8206B">
        <w:rPr>
          <w:rFonts w:ascii="Times New Roman" w:eastAsia="Calibri" w:hAnsi="Times New Roman" w:cs="Times New Roman"/>
          <w:kern w:val="0"/>
          <w:lang w:val="en-GB"/>
          <w14:ligatures w14:val="none"/>
        </w:rPr>
        <w:t xml:space="preserve">- </w:t>
      </w:r>
      <w:proofErr w:type="gramStart"/>
      <w:r w:rsidRPr="00D8206B">
        <w:rPr>
          <w:rFonts w:ascii="Times New Roman" w:eastAsia="Calibri" w:hAnsi="Times New Roman" w:cs="Times New Roman"/>
          <w:kern w:val="0"/>
          <w:lang w:val="en-GB"/>
          <w14:ligatures w14:val="none"/>
        </w:rPr>
        <w:t>cant</w:t>
      </w:r>
      <w:proofErr w:type="gramEnd"/>
      <w:r w:rsidRPr="00D8206B">
        <w:rPr>
          <w:rFonts w:ascii="Times New Roman" w:eastAsia="Calibri" w:hAnsi="Times New Roman" w:cs="Times New Roman"/>
          <w:kern w:val="0"/>
          <w:lang w:val="en-GB"/>
          <w14:ligatures w14:val="none"/>
        </w:rPr>
        <w:t xml:space="preserve"> difference in digital financial literacy between rural and urban regions, shaping the intention to embrace digital-based financial services (Aik &amp; Zhang, 2023; Hasan et al., 2023; Wu &amp; Peng, 2024). Considering a collection of findings from prior investigations, we state the following hypothesis:</w:t>
      </w:r>
    </w:p>
    <w:p w14:paraId="6BC65CF6"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33E939FC"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H10a: The influence of DFL on BI significantly differs across rural and urban participants.</w:t>
      </w:r>
    </w:p>
    <w:p w14:paraId="156252B0"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780AF11E"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Multigroup analysis of rural and urban respondents, GS on UB</w:t>
      </w:r>
    </w:p>
    <w:p w14:paraId="56D0FB2A"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GS has demonstrated a substantial potential to expand its presence within rural areas (Balaskas et al., 2024). This emphasizes the critical role of the government in improving financial accessibility in rural society regarding the public's adoption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of Fin- tech. Furthermore, a recent study by Aik and Zhang (2023) revealed that the </w:t>
      </w:r>
      <w:proofErr w:type="spellStart"/>
      <w:r w:rsidRPr="00D8206B">
        <w:rPr>
          <w:rFonts w:ascii="Times New Roman" w:eastAsia="Calibri" w:hAnsi="Times New Roman" w:cs="Times New Roman"/>
          <w:kern w:val="0"/>
          <w:lang w:val="en-GB"/>
          <w14:ligatures w14:val="none"/>
        </w:rPr>
        <w:t>consump</w:t>
      </w:r>
      <w:proofErr w:type="spellEnd"/>
      <w:r w:rsidRPr="00D8206B">
        <w:rPr>
          <w:rFonts w:ascii="Times New Roman" w:eastAsia="Calibri" w:hAnsi="Times New Roman" w:cs="Times New Roman"/>
          <w:kern w:val="0"/>
          <w:lang w:val="en-GB"/>
          <w14:ligatures w14:val="none"/>
        </w:rPr>
        <w:t xml:space="preserve">- </w:t>
      </w:r>
      <w:proofErr w:type="spellStart"/>
      <w:r w:rsidRPr="00D8206B">
        <w:rPr>
          <w:rFonts w:ascii="Times New Roman" w:eastAsia="Calibri" w:hAnsi="Times New Roman" w:cs="Times New Roman"/>
          <w:kern w:val="0"/>
          <w:lang w:val="en-GB"/>
          <w14:ligatures w14:val="none"/>
        </w:rPr>
        <w:t>tion</w:t>
      </w:r>
      <w:proofErr w:type="spellEnd"/>
      <w:r w:rsidRPr="00D8206B">
        <w:rPr>
          <w:rFonts w:ascii="Times New Roman" w:eastAsia="Calibri" w:hAnsi="Times New Roman" w:cs="Times New Roman"/>
          <w:kern w:val="0"/>
          <w:lang w:val="en-GB"/>
          <w14:ligatures w14:val="none"/>
        </w:rPr>
        <w:t xml:space="preserv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of society in urban areas is significantly affected by government support, particularly in the adoption of Fintech services. Additionally, empirical existing studies consistently demonstrated the significant impact of government support in shaping pub- </w:t>
      </w:r>
      <w:proofErr w:type="spellStart"/>
      <w:r w:rsidRPr="00D8206B">
        <w:rPr>
          <w:rFonts w:ascii="Times New Roman" w:eastAsia="Calibri" w:hAnsi="Times New Roman" w:cs="Times New Roman"/>
          <w:kern w:val="0"/>
          <w:lang w:val="en-GB"/>
          <w14:ligatures w14:val="none"/>
        </w:rPr>
        <w:t>lic</w:t>
      </w:r>
      <w:proofErr w:type="spellEnd"/>
      <w:r w:rsidRPr="00D8206B">
        <w:rPr>
          <w:rFonts w:ascii="Times New Roman" w:eastAsia="Calibri" w:hAnsi="Times New Roman" w:cs="Times New Roman"/>
          <w:kern w:val="0"/>
          <w:lang w:val="en-GB"/>
          <w14:ligatures w14:val="none"/>
        </w:rPr>
        <w:t xml:space="preserv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regarding the adoption of Fintech services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Tang &amp; Sun, 2022; Wu &amp; Peng, 2024). However, in contrast to previous studies, Kumar and Barua (2023) and Yadav and Shaikh (2023) found that the </w:t>
      </w:r>
      <w:proofErr w:type="spellStart"/>
      <w:r w:rsidRPr="00D8206B">
        <w:rPr>
          <w:rFonts w:ascii="Times New Roman" w:eastAsia="Calibri" w:hAnsi="Times New Roman" w:cs="Times New Roman"/>
          <w:kern w:val="0"/>
          <w:lang w:val="en-GB"/>
          <w14:ligatures w14:val="none"/>
        </w:rPr>
        <w:t>favorable</w:t>
      </w:r>
      <w:proofErr w:type="spellEnd"/>
      <w:r w:rsidRPr="00D8206B">
        <w:rPr>
          <w:rFonts w:ascii="Times New Roman" w:eastAsia="Calibri" w:hAnsi="Times New Roman" w:cs="Times New Roman"/>
          <w:kern w:val="0"/>
          <w:lang w:val="en-GB"/>
          <w14:ligatures w14:val="none"/>
        </w:rPr>
        <w:t xml:space="preserve"> influence of government support remained ambiguous and may possibly have negative impacts in the area of finance. Based on several findings, we state the following hypothesis:</w:t>
      </w:r>
    </w:p>
    <w:p w14:paraId="2A40706C"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0525A3DF"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H10b: The influence of GS on UB significantly differs across rural and urban respondents.</w:t>
      </w:r>
    </w:p>
    <w:p w14:paraId="100C642D"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466BD4BC" w14:textId="77777777" w:rsidR="00D8206B" w:rsidRPr="00D8206B" w:rsidRDefault="00D8206B" w:rsidP="00D8206B">
      <w:pPr>
        <w:spacing w:line="259" w:lineRule="auto"/>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t>Methodology</w:t>
      </w:r>
    </w:p>
    <w:p w14:paraId="31CD0797"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Sample and data collection </w:t>
      </w:r>
    </w:p>
    <w:p w14:paraId="21A8F6C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This study applies purposive sampling, involving individuals who are familiar with Fintech services, regardless of whether they have used them before. To ensure respondents' familiarity with Fintech services, we implemented three strategies. First, the questions included in the questionnaire for this study were derived from previous relevant literature and content validity interviews (n=5) with academics, Fintech users, and Fintech business professionals in Nigeria. The content validity process aimed to simplify the questionnaire items to ensure clarity and comprehensibility for Nigerian respondents (Al-</w:t>
      </w:r>
      <w:proofErr w:type="spellStart"/>
      <w:r w:rsidRPr="00D8206B">
        <w:rPr>
          <w:rFonts w:ascii="Times New Roman" w:eastAsia="Calibri" w:hAnsi="Times New Roman" w:cs="Times New Roman"/>
          <w:kern w:val="0"/>
          <w:lang w:val="en-GB"/>
          <w14:ligatures w14:val="none"/>
        </w:rPr>
        <w:t>Swidi</w:t>
      </w:r>
      <w:proofErr w:type="spellEnd"/>
      <w:r w:rsidRPr="00D8206B">
        <w:rPr>
          <w:rFonts w:ascii="Times New Roman" w:eastAsia="Calibri" w:hAnsi="Times New Roman" w:cs="Times New Roman"/>
          <w:kern w:val="0"/>
          <w:lang w:val="en-GB"/>
          <w14:ligatures w14:val="none"/>
        </w:rPr>
        <w:t xml:space="preserve"> et al., 2023). Second, we conducted a pilot study to evaluate the suitability of the questions, where respondents were asked to provide answers related to the topics in the questionnaire. Fink (2003) suggests that a minimum of 10 samples is recommended for a pilot survey, whereas Ruel et al. (2016) advocate for using between 12 and 50 respondents for pilot testing. In this study, we collected 40 samples from respondents for the pilot phase. Third, while collecting data from a larger group of respondents, we enhanced their understanding of Fintech services by providing an explanation in the introduction of the questionnaire. This explanation included several examples of well-known Fintech products and services available in Nigeria. Additionally, we translated the original English questionnaire into Nigerian to prevent any potential ambiguity and bias in questions during the process of data collection. The measurements of indicators within the questionnaire utilized a five-point Likert scale. The scale is ranging from “strongly disagree” to “strongly agree”. Additionally, this study employed quota sampling to meet the minimum number of group samples (64 per group), ensuring that PLS-MGA could be conducted (Cheah et al., 2020). The sample size has been determined using the 10-times rule of thumb since the exact total number of Fintech users across Nigeria is unknown. The minimum acceptable sample size is required to be 10 times the maximum number of latent variables measured in the model (Kock &amp; Hadaya, 2018). Therefore, a minimum sample of 90 respondents is required, since this study used 9 latent variables. Additionally, another previous study recommended targeting a sample size ranging from 100 to 200 respondents for optimal results when conducting factor analysis (Hair et al., 2019).</w:t>
      </w:r>
    </w:p>
    <w:p w14:paraId="6A104912"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0DD01F6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The data collection was administered online and gathered 170 respondents. Incomplete responses were screened, including cases where participants selected the same response for all questions. Specifically, this study excluded individuals who consistently responded with ‘strongly agree’ (9 respondents), ‘agree’ (3 respondents), ‘neutral’ (15 respondents), ‘disagree’ (0 respondent), and ‘strongly disagree’ (2 respondents). As a result, 29 participants were eliminated from the dataset, leaving 141 respondents for further analysis. The impressive response rate results from the use of Google Forms, where each question is required, ensuring respondents answer all items in the survey. As suggested by previous study, common method bias (CMB) test was performed to solve the potential biases in data collection (Al-</w:t>
      </w:r>
      <w:proofErr w:type="spellStart"/>
      <w:r w:rsidRPr="00D8206B">
        <w:rPr>
          <w:rFonts w:ascii="Times New Roman" w:eastAsia="Calibri" w:hAnsi="Times New Roman" w:cs="Times New Roman"/>
          <w:kern w:val="0"/>
          <w:lang w:val="en-GB"/>
          <w14:ligatures w14:val="none"/>
        </w:rPr>
        <w:t>Swidi</w:t>
      </w:r>
      <w:proofErr w:type="spellEnd"/>
      <w:r w:rsidRPr="00D8206B">
        <w:rPr>
          <w:rFonts w:ascii="Times New Roman" w:eastAsia="Calibri" w:hAnsi="Times New Roman" w:cs="Times New Roman"/>
          <w:kern w:val="0"/>
          <w:lang w:val="en-GB"/>
          <w14:ligatures w14:val="none"/>
        </w:rPr>
        <w:t xml:space="preserve"> et al., 2023).</w:t>
      </w:r>
    </w:p>
    <w:p w14:paraId="04510FBB"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34D52897"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Common method bias</w:t>
      </w:r>
    </w:p>
    <w:p w14:paraId="7082F06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This study employed the Harman Single Factor to conduct the CMB test to mitigate potential data bias resulting from the amalgamation of independent and dependent variables in a single questionnaire during data collection. Podsakoff et al. (2012) emphasized the significance of addressing CMB as it can magnify observed relationships among measurement items, especially when dealing with self-reported data. Recent studies also utilized the Harman Single Factor test to confirm the lack of CMB in their data (Al-</w:t>
      </w:r>
      <w:proofErr w:type="spellStart"/>
      <w:r w:rsidRPr="00D8206B">
        <w:rPr>
          <w:rFonts w:ascii="Times New Roman" w:eastAsia="Calibri" w:hAnsi="Times New Roman" w:cs="Times New Roman"/>
          <w:kern w:val="0"/>
          <w:lang w:val="en-GB"/>
          <w14:ligatures w14:val="none"/>
        </w:rPr>
        <w:t>Swidi</w:t>
      </w:r>
      <w:proofErr w:type="spellEnd"/>
      <w:r w:rsidRPr="00D8206B">
        <w:rPr>
          <w:rFonts w:ascii="Times New Roman" w:eastAsia="Calibri" w:hAnsi="Times New Roman" w:cs="Times New Roman"/>
          <w:kern w:val="0"/>
          <w:lang w:val="en-GB"/>
          <w14:ligatures w14:val="none"/>
        </w:rPr>
        <w:t xml:space="preserve"> et al., 2023; Guang-Wen &amp; </w:t>
      </w:r>
      <w:proofErr w:type="spellStart"/>
      <w:r w:rsidRPr="00D8206B">
        <w:rPr>
          <w:rFonts w:ascii="Times New Roman" w:eastAsia="Calibri" w:hAnsi="Times New Roman" w:cs="Times New Roman"/>
          <w:kern w:val="0"/>
          <w:lang w:val="en-GB"/>
          <w14:ligatures w14:val="none"/>
        </w:rPr>
        <w:t>Siddik</w:t>
      </w:r>
      <w:proofErr w:type="spellEnd"/>
      <w:r w:rsidRPr="00D8206B">
        <w:rPr>
          <w:rFonts w:ascii="Times New Roman" w:eastAsia="Calibri" w:hAnsi="Times New Roman" w:cs="Times New Roman"/>
          <w:kern w:val="0"/>
          <w:lang w:val="en-GB"/>
          <w14:ligatures w14:val="none"/>
        </w:rPr>
        <w:t>, 2022). Another study suggested that if a single factor explains greater than 50% of the variance, it may signal the presence of CMB (Fuller et al., 2016). In this study, the Harman Single Factor test revealed that a single unrotated factor accounted for 47.13% of the cumulative variance, indicating the absence of CMB in the dataset.</w:t>
      </w:r>
    </w:p>
    <w:p w14:paraId="6A4DD7E4"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47602776"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Method of confirming measurement quality (MCMQ)</w:t>
      </w:r>
    </w:p>
    <w:p w14:paraId="4ED6A75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In this study, the quality model measurement employs MCMQ or partial least squares confirmatory composite analysis (PLS-CCA) (</w:t>
      </w:r>
      <w:proofErr w:type="spellStart"/>
      <w:r w:rsidRPr="00D8206B">
        <w:rPr>
          <w:rFonts w:ascii="Times New Roman" w:eastAsia="Calibri" w:hAnsi="Times New Roman" w:cs="Times New Roman"/>
          <w:kern w:val="0"/>
          <w:lang w:val="en-GB"/>
          <w14:ligatures w14:val="none"/>
        </w:rPr>
        <w:t>Hubona</w:t>
      </w:r>
      <w:proofErr w:type="spellEnd"/>
      <w:r w:rsidRPr="00D8206B">
        <w:rPr>
          <w:rFonts w:ascii="Times New Roman" w:eastAsia="Calibri" w:hAnsi="Times New Roman" w:cs="Times New Roman"/>
          <w:kern w:val="0"/>
          <w:lang w:val="en-GB"/>
          <w14:ligatures w14:val="none"/>
        </w:rPr>
        <w:t xml:space="preserve"> et al., 2021), taking into account various benefits it offers in contrast to alternative methods used for validating measurement models (Hair et al., 2020). Furthermore, convergent validity was confirmed using factor loadings and average variance extracted (AVE) and the criteria were that the AVE and factor loadings touched the minimum threshold of 0.5. Discriminant validity was assessed using the Fornell–Larcker criterion and the cross-loadings analysis. The reliability of the factors is assessed using composite reliability and Cronbach's Alpha, with thresholds set at values above 0.6 and 0.7, respectively. Model fit is evaluated by considering the standardized root mean square residual (SRMR), with an upper threshold of 0.8. Furthermore, following the evaluation of MCMQ, partial least squares-structural equation </w:t>
      </w:r>
      <w:proofErr w:type="spellStart"/>
      <w:r w:rsidRPr="00D8206B">
        <w:rPr>
          <w:rFonts w:ascii="Times New Roman" w:eastAsia="Calibri" w:hAnsi="Times New Roman" w:cs="Times New Roman"/>
          <w:kern w:val="0"/>
          <w:lang w:val="en-GB"/>
          <w14:ligatures w14:val="none"/>
        </w:rPr>
        <w:t>modeling</w:t>
      </w:r>
      <w:proofErr w:type="spellEnd"/>
      <w:r w:rsidRPr="00D8206B">
        <w:rPr>
          <w:rFonts w:ascii="Times New Roman" w:eastAsia="Calibri" w:hAnsi="Times New Roman" w:cs="Times New Roman"/>
          <w:kern w:val="0"/>
          <w:lang w:val="en-GB"/>
          <w14:ligatures w14:val="none"/>
        </w:rPr>
        <w:t xml:space="preserve"> (PLS-SEM), and multigroup analysis (PLS-MGA) were conducted utilizing </w:t>
      </w:r>
      <w:proofErr w:type="spellStart"/>
      <w:r w:rsidRPr="00D8206B">
        <w:rPr>
          <w:rFonts w:ascii="Times New Roman" w:eastAsia="Calibri" w:hAnsi="Times New Roman" w:cs="Times New Roman"/>
          <w:kern w:val="0"/>
          <w:lang w:val="en-GB"/>
          <w14:ligatures w14:val="none"/>
        </w:rPr>
        <w:t>SmartPLS</w:t>
      </w:r>
      <w:proofErr w:type="spellEnd"/>
      <w:r w:rsidRPr="00D8206B">
        <w:rPr>
          <w:rFonts w:ascii="Times New Roman" w:eastAsia="Calibri" w:hAnsi="Times New Roman" w:cs="Times New Roman"/>
          <w:kern w:val="0"/>
          <w:lang w:val="en-GB"/>
          <w14:ligatures w14:val="none"/>
        </w:rPr>
        <w:t xml:space="preserve">® 4. This study employs PLS-SEM, which can assess a relatively complex set of relationships established simultaneously between independent and dependent variables. Additionally, a recent study by Hair et al. (2022) confirms that PLS-SEM is an appropriate method for evaluating complex theoretical relationships in social science research. </w:t>
      </w:r>
    </w:p>
    <w:p w14:paraId="1BDEADC4"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48BD0707"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This study investigates the drivers of Fintech adoption by extending the technology acceptance model (TAM) with several additional variables, including personal innovativeness, government support, digital financial literacy, and value of status quo. Given that this research involves more than three constructs and is inherently complex, PLS-SEM analysis is considered appropriate (Hair et al., 2019). In this study, PLS-SEM is used to examine the direct influence of independent variables on BI, UB, and FI. This investigation also explores the potential mediating roles of PI, GS, and VSQ in the relationship between BI and UB.</w:t>
      </w:r>
    </w:p>
    <w:p w14:paraId="16C374AF"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63600895"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Finally, this study employed partial least squares multigroup analysis (PLS-MGA) to evaluate whether there were significant differences between respondents from urban and rural areas regarding the impact of digital financial literacy (DFL) on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(BI) and government support (GS) for Fintech services. PLS-MGA is essential for examining the adoption of digital financial services in different geographical contexts as it facilitates the analysis of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differences between these groups. Applying PLS-MGA allows researchers to gain insights into how digital financial literacy and government support influence Fintech adoption and usage in each context. This approach helps in developing more effective strategies and policies tailored to the specific needs of each group, thereby improving the understanding of variability in digital financial service adoption. To determine significant differences in group-specific path coefficients, PLS-MGA requires a p-value below 0.05 or above 0.95 (Henseler et al., 2009; Zarifis &amp; Cheng, 2022).</w:t>
      </w:r>
    </w:p>
    <w:p w14:paraId="76362001"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1576CB70"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Results </w:t>
      </w:r>
    </w:p>
    <w:p w14:paraId="096751F2"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Table 1 shows the demographic profile of the respondents. It clearly showed that the number of female respondents was almost twice as high as the number of males. Among the survey participants, adult respondents in urban areas aged 18 to 25 years predominate. In the data collected, respondents are also categorized according to their area of residence, specifically rural and urban respondents. Considering the differences between residential areas, the impact of DFL on Fintech is assessed in terms of BI and GS for usage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with PLS-MGA. </w:t>
      </w:r>
      <w:proofErr w:type="gramStart"/>
      <w:r w:rsidRPr="00D8206B">
        <w:rPr>
          <w:rFonts w:ascii="Times New Roman" w:eastAsia="Calibri" w:hAnsi="Times New Roman" w:cs="Times New Roman"/>
          <w:kern w:val="0"/>
          <w:lang w:val="en-GB"/>
          <w14:ligatures w14:val="none"/>
        </w:rPr>
        <w:t>Also</w:t>
      </w:r>
      <w:proofErr w:type="gramEnd"/>
      <w:r w:rsidRPr="00D8206B">
        <w:rPr>
          <w:rFonts w:ascii="Times New Roman" w:eastAsia="Calibri" w:hAnsi="Times New Roman" w:cs="Times New Roman"/>
          <w:kern w:val="0"/>
          <w:lang w:val="en-GB"/>
          <w14:ligatures w14:val="none"/>
        </w:rPr>
        <w:t xml:space="preserve"> the background of the rural and urban respondents in this study. The proportion of women was higher in the countryside than in the city: 71.7% compared to 64.2%. </w:t>
      </w:r>
    </w:p>
    <w:p w14:paraId="5BBF649D" w14:textId="77777777" w:rsidR="00D8206B" w:rsidRPr="00D8206B" w:rsidRDefault="00D8206B" w:rsidP="00D8206B">
      <w:pPr>
        <w:keepNext/>
        <w:keepLines/>
        <w:spacing w:before="40" w:after="0" w:line="259" w:lineRule="auto"/>
        <w:outlineLvl w:val="2"/>
        <w:rPr>
          <w:rFonts w:ascii="Times New Roman" w:eastAsia="Times New Roman" w:hAnsi="Times New Roman" w:cs="Times New Roman"/>
          <w:color w:val="1F4D78"/>
          <w:kern w:val="0"/>
          <w:lang w:val="en-GB"/>
          <w14:ligatures w14:val="none"/>
        </w:rPr>
      </w:pPr>
      <w:r w:rsidRPr="00D8206B">
        <w:rPr>
          <w:rFonts w:ascii="Calibri Light" w:eastAsia="Times New Roman" w:hAnsi="Calibri Light" w:cs="Times New Roman"/>
          <w:color w:val="1F4D78"/>
          <w:kern w:val="0"/>
          <w:lang w:val="en-GB"/>
          <w14:ligatures w14:val="none"/>
        </w:rPr>
        <w:lastRenderedPageBreak/>
        <w:t>Table 1 Respondents' profile (n = 141)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5319"/>
        <w:gridCol w:w="1154"/>
        <w:gridCol w:w="1208"/>
      </w:tblGrid>
      <w:tr w:rsidR="00D8206B" w:rsidRPr="00D8206B" w14:paraId="54701E4D" w14:textId="77777777" w:rsidTr="00D00B3F">
        <w:trPr>
          <w:tblHeader/>
          <w:tblCellSpacing w:w="15" w:type="dxa"/>
        </w:trPr>
        <w:tc>
          <w:tcPr>
            <w:tcW w:w="0" w:type="auto"/>
            <w:vAlign w:val="center"/>
            <w:hideMark/>
          </w:tcPr>
          <w:p w14:paraId="5883C19C"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Category</w:t>
            </w:r>
          </w:p>
        </w:tc>
        <w:tc>
          <w:tcPr>
            <w:tcW w:w="0" w:type="auto"/>
            <w:vAlign w:val="center"/>
            <w:hideMark/>
          </w:tcPr>
          <w:p w14:paraId="51A77110"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Criteria</w:t>
            </w:r>
          </w:p>
        </w:tc>
        <w:tc>
          <w:tcPr>
            <w:tcW w:w="0" w:type="auto"/>
            <w:vAlign w:val="center"/>
            <w:hideMark/>
          </w:tcPr>
          <w:p w14:paraId="1FA9422A"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Frequency</w:t>
            </w:r>
          </w:p>
        </w:tc>
        <w:tc>
          <w:tcPr>
            <w:tcW w:w="0" w:type="auto"/>
            <w:vAlign w:val="center"/>
            <w:hideMark/>
          </w:tcPr>
          <w:p w14:paraId="3B5C0672"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Percentage</w:t>
            </w:r>
          </w:p>
        </w:tc>
      </w:tr>
      <w:tr w:rsidR="00D8206B" w:rsidRPr="00D8206B" w14:paraId="25AED8C3" w14:textId="77777777" w:rsidTr="00D00B3F">
        <w:trPr>
          <w:tblCellSpacing w:w="15" w:type="dxa"/>
        </w:trPr>
        <w:tc>
          <w:tcPr>
            <w:tcW w:w="0" w:type="auto"/>
            <w:vAlign w:val="center"/>
            <w:hideMark/>
          </w:tcPr>
          <w:p w14:paraId="6C47567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Gender</w:t>
            </w:r>
          </w:p>
        </w:tc>
        <w:tc>
          <w:tcPr>
            <w:tcW w:w="0" w:type="auto"/>
            <w:vAlign w:val="center"/>
            <w:hideMark/>
          </w:tcPr>
          <w:p w14:paraId="07CD4C6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Male</w:t>
            </w:r>
          </w:p>
        </w:tc>
        <w:tc>
          <w:tcPr>
            <w:tcW w:w="0" w:type="auto"/>
            <w:vAlign w:val="center"/>
            <w:hideMark/>
          </w:tcPr>
          <w:p w14:paraId="69F7F8C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47</w:t>
            </w:r>
          </w:p>
        </w:tc>
        <w:tc>
          <w:tcPr>
            <w:tcW w:w="0" w:type="auto"/>
            <w:vAlign w:val="center"/>
            <w:hideMark/>
          </w:tcPr>
          <w:p w14:paraId="690FFEC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33.3</w:t>
            </w:r>
          </w:p>
        </w:tc>
      </w:tr>
      <w:tr w:rsidR="00D8206B" w:rsidRPr="00D8206B" w14:paraId="2FDA8882" w14:textId="77777777" w:rsidTr="00D00B3F">
        <w:trPr>
          <w:tblCellSpacing w:w="15" w:type="dxa"/>
        </w:trPr>
        <w:tc>
          <w:tcPr>
            <w:tcW w:w="0" w:type="auto"/>
            <w:vAlign w:val="center"/>
            <w:hideMark/>
          </w:tcPr>
          <w:p w14:paraId="3FBE85F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B25EF0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Female</w:t>
            </w:r>
          </w:p>
        </w:tc>
        <w:tc>
          <w:tcPr>
            <w:tcW w:w="0" w:type="auto"/>
            <w:vAlign w:val="center"/>
            <w:hideMark/>
          </w:tcPr>
          <w:p w14:paraId="494FD66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92</w:t>
            </w:r>
          </w:p>
        </w:tc>
        <w:tc>
          <w:tcPr>
            <w:tcW w:w="0" w:type="auto"/>
            <w:vAlign w:val="center"/>
            <w:hideMark/>
          </w:tcPr>
          <w:p w14:paraId="16E0243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65.2</w:t>
            </w:r>
          </w:p>
        </w:tc>
      </w:tr>
      <w:tr w:rsidR="00D8206B" w:rsidRPr="00D8206B" w14:paraId="2FEEDD78" w14:textId="77777777" w:rsidTr="00D00B3F">
        <w:trPr>
          <w:tblCellSpacing w:w="15" w:type="dxa"/>
        </w:trPr>
        <w:tc>
          <w:tcPr>
            <w:tcW w:w="0" w:type="auto"/>
            <w:vAlign w:val="center"/>
            <w:hideMark/>
          </w:tcPr>
          <w:p w14:paraId="6DB3A8F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2066A98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Prefer not to say</w:t>
            </w:r>
          </w:p>
        </w:tc>
        <w:tc>
          <w:tcPr>
            <w:tcW w:w="0" w:type="auto"/>
            <w:vAlign w:val="center"/>
            <w:hideMark/>
          </w:tcPr>
          <w:p w14:paraId="1D81B1A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w:t>
            </w:r>
          </w:p>
        </w:tc>
        <w:tc>
          <w:tcPr>
            <w:tcW w:w="0" w:type="auto"/>
            <w:vAlign w:val="center"/>
            <w:hideMark/>
          </w:tcPr>
          <w:p w14:paraId="1389FE5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1.4</w:t>
            </w:r>
          </w:p>
        </w:tc>
      </w:tr>
      <w:tr w:rsidR="00D8206B" w:rsidRPr="00D8206B" w14:paraId="26EA724E" w14:textId="77777777" w:rsidTr="00D00B3F">
        <w:trPr>
          <w:tblCellSpacing w:w="15" w:type="dxa"/>
        </w:trPr>
        <w:tc>
          <w:tcPr>
            <w:tcW w:w="0" w:type="auto"/>
            <w:vAlign w:val="center"/>
            <w:hideMark/>
          </w:tcPr>
          <w:p w14:paraId="79B30F3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Age</w:t>
            </w:r>
          </w:p>
        </w:tc>
        <w:tc>
          <w:tcPr>
            <w:tcW w:w="0" w:type="auto"/>
            <w:vAlign w:val="center"/>
            <w:hideMark/>
          </w:tcPr>
          <w:p w14:paraId="655BD43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18 to 25 years old</w:t>
            </w:r>
          </w:p>
        </w:tc>
        <w:tc>
          <w:tcPr>
            <w:tcW w:w="0" w:type="auto"/>
            <w:vAlign w:val="center"/>
            <w:hideMark/>
          </w:tcPr>
          <w:p w14:paraId="0EEA6D4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87</w:t>
            </w:r>
          </w:p>
        </w:tc>
        <w:tc>
          <w:tcPr>
            <w:tcW w:w="0" w:type="auto"/>
            <w:vAlign w:val="center"/>
            <w:hideMark/>
          </w:tcPr>
          <w:p w14:paraId="526FD27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61.7</w:t>
            </w:r>
          </w:p>
        </w:tc>
      </w:tr>
      <w:tr w:rsidR="00D8206B" w:rsidRPr="00D8206B" w14:paraId="296FA14B" w14:textId="77777777" w:rsidTr="00D00B3F">
        <w:trPr>
          <w:tblCellSpacing w:w="15" w:type="dxa"/>
        </w:trPr>
        <w:tc>
          <w:tcPr>
            <w:tcW w:w="0" w:type="auto"/>
            <w:vAlign w:val="center"/>
            <w:hideMark/>
          </w:tcPr>
          <w:p w14:paraId="0B2FE7F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7E2A91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26 to 35 years old</w:t>
            </w:r>
          </w:p>
        </w:tc>
        <w:tc>
          <w:tcPr>
            <w:tcW w:w="0" w:type="auto"/>
            <w:vAlign w:val="center"/>
            <w:hideMark/>
          </w:tcPr>
          <w:p w14:paraId="5D7E110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19</w:t>
            </w:r>
          </w:p>
        </w:tc>
        <w:tc>
          <w:tcPr>
            <w:tcW w:w="0" w:type="auto"/>
            <w:vAlign w:val="center"/>
            <w:hideMark/>
          </w:tcPr>
          <w:p w14:paraId="4860176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13.5</w:t>
            </w:r>
          </w:p>
        </w:tc>
      </w:tr>
      <w:tr w:rsidR="00D8206B" w:rsidRPr="00D8206B" w14:paraId="6D3F1527" w14:textId="77777777" w:rsidTr="00D00B3F">
        <w:trPr>
          <w:tblCellSpacing w:w="15" w:type="dxa"/>
        </w:trPr>
        <w:tc>
          <w:tcPr>
            <w:tcW w:w="0" w:type="auto"/>
            <w:vAlign w:val="center"/>
            <w:hideMark/>
          </w:tcPr>
          <w:p w14:paraId="3A8B74E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1311177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36 to 45 years old</w:t>
            </w:r>
          </w:p>
        </w:tc>
        <w:tc>
          <w:tcPr>
            <w:tcW w:w="0" w:type="auto"/>
            <w:vAlign w:val="center"/>
            <w:hideMark/>
          </w:tcPr>
          <w:p w14:paraId="11BDFDA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25</w:t>
            </w:r>
          </w:p>
        </w:tc>
        <w:tc>
          <w:tcPr>
            <w:tcW w:w="0" w:type="auto"/>
            <w:vAlign w:val="center"/>
            <w:hideMark/>
          </w:tcPr>
          <w:p w14:paraId="40B7FBA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17.7</w:t>
            </w:r>
          </w:p>
        </w:tc>
      </w:tr>
      <w:tr w:rsidR="00D8206B" w:rsidRPr="00D8206B" w14:paraId="39110E0E" w14:textId="77777777" w:rsidTr="00D00B3F">
        <w:trPr>
          <w:tblCellSpacing w:w="15" w:type="dxa"/>
        </w:trPr>
        <w:tc>
          <w:tcPr>
            <w:tcW w:w="0" w:type="auto"/>
            <w:vAlign w:val="center"/>
            <w:hideMark/>
          </w:tcPr>
          <w:p w14:paraId="281B7C4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17C1E4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46 to 55 years old</w:t>
            </w:r>
          </w:p>
        </w:tc>
        <w:tc>
          <w:tcPr>
            <w:tcW w:w="0" w:type="auto"/>
            <w:vAlign w:val="center"/>
            <w:hideMark/>
          </w:tcPr>
          <w:p w14:paraId="51A2DCF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9</w:t>
            </w:r>
          </w:p>
        </w:tc>
        <w:tc>
          <w:tcPr>
            <w:tcW w:w="0" w:type="auto"/>
            <w:vAlign w:val="center"/>
            <w:hideMark/>
          </w:tcPr>
          <w:p w14:paraId="7002DE2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6.4</w:t>
            </w:r>
          </w:p>
        </w:tc>
      </w:tr>
      <w:tr w:rsidR="00D8206B" w:rsidRPr="00D8206B" w14:paraId="2026D212" w14:textId="77777777" w:rsidTr="00D00B3F">
        <w:trPr>
          <w:tblCellSpacing w:w="15" w:type="dxa"/>
        </w:trPr>
        <w:tc>
          <w:tcPr>
            <w:tcW w:w="0" w:type="auto"/>
            <w:vAlign w:val="center"/>
            <w:hideMark/>
          </w:tcPr>
          <w:p w14:paraId="5E54F60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C6FDE5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Above 55 years old</w:t>
            </w:r>
          </w:p>
        </w:tc>
        <w:tc>
          <w:tcPr>
            <w:tcW w:w="0" w:type="auto"/>
            <w:vAlign w:val="center"/>
            <w:hideMark/>
          </w:tcPr>
          <w:p w14:paraId="6AB24B8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w:t>
            </w:r>
          </w:p>
        </w:tc>
        <w:tc>
          <w:tcPr>
            <w:tcW w:w="0" w:type="auto"/>
            <w:vAlign w:val="center"/>
            <w:hideMark/>
          </w:tcPr>
          <w:p w14:paraId="55079D3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w:t>
            </w:r>
          </w:p>
        </w:tc>
      </w:tr>
      <w:tr w:rsidR="00D8206B" w:rsidRPr="00D8206B" w14:paraId="4296E0C0" w14:textId="77777777" w:rsidTr="00D00B3F">
        <w:trPr>
          <w:tblCellSpacing w:w="15" w:type="dxa"/>
        </w:trPr>
        <w:tc>
          <w:tcPr>
            <w:tcW w:w="0" w:type="auto"/>
            <w:vAlign w:val="center"/>
            <w:hideMark/>
          </w:tcPr>
          <w:p w14:paraId="0C55D1E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Residence location</w:t>
            </w:r>
          </w:p>
        </w:tc>
        <w:tc>
          <w:tcPr>
            <w:tcW w:w="0" w:type="auto"/>
            <w:vAlign w:val="center"/>
            <w:hideMark/>
          </w:tcPr>
          <w:p w14:paraId="5361A0A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Urban</w:t>
            </w:r>
          </w:p>
        </w:tc>
        <w:tc>
          <w:tcPr>
            <w:tcW w:w="0" w:type="auto"/>
            <w:vAlign w:val="center"/>
            <w:hideMark/>
          </w:tcPr>
          <w:p w14:paraId="635DAA9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121</w:t>
            </w:r>
          </w:p>
        </w:tc>
        <w:tc>
          <w:tcPr>
            <w:tcW w:w="0" w:type="auto"/>
            <w:vAlign w:val="center"/>
            <w:hideMark/>
          </w:tcPr>
          <w:p w14:paraId="1B66675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85.8</w:t>
            </w:r>
          </w:p>
        </w:tc>
      </w:tr>
      <w:tr w:rsidR="00D8206B" w:rsidRPr="00D8206B" w14:paraId="5BB8AD97" w14:textId="77777777" w:rsidTr="00D00B3F">
        <w:trPr>
          <w:tblCellSpacing w:w="15" w:type="dxa"/>
        </w:trPr>
        <w:tc>
          <w:tcPr>
            <w:tcW w:w="0" w:type="auto"/>
            <w:vAlign w:val="center"/>
            <w:hideMark/>
          </w:tcPr>
          <w:p w14:paraId="3138FA6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1EBBE7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Rural</w:t>
            </w:r>
          </w:p>
        </w:tc>
        <w:tc>
          <w:tcPr>
            <w:tcW w:w="0" w:type="auto"/>
            <w:vAlign w:val="center"/>
            <w:hideMark/>
          </w:tcPr>
          <w:p w14:paraId="7BF62AF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20</w:t>
            </w:r>
          </w:p>
        </w:tc>
        <w:tc>
          <w:tcPr>
            <w:tcW w:w="0" w:type="auto"/>
            <w:vAlign w:val="center"/>
            <w:hideMark/>
          </w:tcPr>
          <w:p w14:paraId="2DDB938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14.2</w:t>
            </w:r>
          </w:p>
        </w:tc>
      </w:tr>
      <w:tr w:rsidR="00D8206B" w:rsidRPr="00D8206B" w14:paraId="7899EF82" w14:textId="77777777" w:rsidTr="00D00B3F">
        <w:trPr>
          <w:tblCellSpacing w:w="15" w:type="dxa"/>
        </w:trPr>
        <w:tc>
          <w:tcPr>
            <w:tcW w:w="0" w:type="auto"/>
            <w:vAlign w:val="center"/>
            <w:hideMark/>
          </w:tcPr>
          <w:p w14:paraId="56E84F1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Education</w:t>
            </w:r>
          </w:p>
        </w:tc>
        <w:tc>
          <w:tcPr>
            <w:tcW w:w="0" w:type="auto"/>
            <w:vAlign w:val="center"/>
            <w:hideMark/>
          </w:tcPr>
          <w:p w14:paraId="29304D3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Secondary school or higher secondary school or below</w:t>
            </w:r>
          </w:p>
        </w:tc>
        <w:tc>
          <w:tcPr>
            <w:tcW w:w="0" w:type="auto"/>
            <w:vAlign w:val="center"/>
            <w:hideMark/>
          </w:tcPr>
          <w:p w14:paraId="3D0F724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62</w:t>
            </w:r>
          </w:p>
        </w:tc>
        <w:tc>
          <w:tcPr>
            <w:tcW w:w="0" w:type="auto"/>
            <w:vAlign w:val="center"/>
            <w:hideMark/>
          </w:tcPr>
          <w:p w14:paraId="14A0D1B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44.0</w:t>
            </w:r>
          </w:p>
        </w:tc>
      </w:tr>
      <w:tr w:rsidR="00D8206B" w:rsidRPr="00D8206B" w14:paraId="075379CC" w14:textId="77777777" w:rsidTr="00D00B3F">
        <w:trPr>
          <w:tblCellSpacing w:w="15" w:type="dxa"/>
        </w:trPr>
        <w:tc>
          <w:tcPr>
            <w:tcW w:w="0" w:type="auto"/>
            <w:vAlign w:val="center"/>
            <w:hideMark/>
          </w:tcPr>
          <w:p w14:paraId="4486378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C0C0B4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The undergraduate or bachelor or diploma</w:t>
            </w:r>
          </w:p>
        </w:tc>
        <w:tc>
          <w:tcPr>
            <w:tcW w:w="0" w:type="auto"/>
            <w:vAlign w:val="center"/>
            <w:hideMark/>
          </w:tcPr>
          <w:p w14:paraId="2519A49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49</w:t>
            </w:r>
          </w:p>
        </w:tc>
        <w:tc>
          <w:tcPr>
            <w:tcW w:w="0" w:type="auto"/>
            <w:vAlign w:val="center"/>
            <w:hideMark/>
          </w:tcPr>
          <w:p w14:paraId="63CB3F9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34.8</w:t>
            </w:r>
          </w:p>
        </w:tc>
      </w:tr>
      <w:tr w:rsidR="00D8206B" w:rsidRPr="00D8206B" w14:paraId="4D206CB6" w14:textId="77777777" w:rsidTr="00D00B3F">
        <w:trPr>
          <w:tblCellSpacing w:w="15" w:type="dxa"/>
        </w:trPr>
        <w:tc>
          <w:tcPr>
            <w:tcW w:w="0" w:type="auto"/>
            <w:vAlign w:val="center"/>
            <w:hideMark/>
          </w:tcPr>
          <w:p w14:paraId="287436D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D68A4A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Master and doctoral</w:t>
            </w:r>
          </w:p>
        </w:tc>
        <w:tc>
          <w:tcPr>
            <w:tcW w:w="0" w:type="auto"/>
            <w:vAlign w:val="center"/>
            <w:hideMark/>
          </w:tcPr>
          <w:p w14:paraId="02809C1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30</w:t>
            </w:r>
          </w:p>
        </w:tc>
        <w:tc>
          <w:tcPr>
            <w:tcW w:w="0" w:type="auto"/>
            <w:vAlign w:val="center"/>
            <w:hideMark/>
          </w:tcPr>
          <w:p w14:paraId="1AF1E66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21.3</w:t>
            </w:r>
          </w:p>
        </w:tc>
      </w:tr>
      <w:tr w:rsidR="00D8206B" w:rsidRPr="00D8206B" w14:paraId="1B1B3800" w14:textId="77777777" w:rsidTr="00D00B3F">
        <w:trPr>
          <w:tblCellSpacing w:w="15" w:type="dxa"/>
        </w:trPr>
        <w:tc>
          <w:tcPr>
            <w:tcW w:w="0" w:type="auto"/>
            <w:vAlign w:val="center"/>
            <w:hideMark/>
          </w:tcPr>
          <w:p w14:paraId="6FF75F8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Employment status</w:t>
            </w:r>
          </w:p>
        </w:tc>
        <w:tc>
          <w:tcPr>
            <w:tcW w:w="0" w:type="auto"/>
            <w:vAlign w:val="center"/>
            <w:hideMark/>
          </w:tcPr>
          <w:p w14:paraId="0019917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Student</w:t>
            </w:r>
          </w:p>
        </w:tc>
        <w:tc>
          <w:tcPr>
            <w:tcW w:w="0" w:type="auto"/>
            <w:vAlign w:val="center"/>
            <w:hideMark/>
          </w:tcPr>
          <w:p w14:paraId="6FEE7C2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77</w:t>
            </w:r>
          </w:p>
        </w:tc>
        <w:tc>
          <w:tcPr>
            <w:tcW w:w="0" w:type="auto"/>
            <w:vAlign w:val="center"/>
            <w:hideMark/>
          </w:tcPr>
          <w:p w14:paraId="2B1D38D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54.6</w:t>
            </w:r>
          </w:p>
        </w:tc>
      </w:tr>
      <w:tr w:rsidR="00D8206B" w:rsidRPr="00D8206B" w14:paraId="77E5C484" w14:textId="77777777" w:rsidTr="00D00B3F">
        <w:trPr>
          <w:tblCellSpacing w:w="15" w:type="dxa"/>
        </w:trPr>
        <w:tc>
          <w:tcPr>
            <w:tcW w:w="0" w:type="auto"/>
            <w:vAlign w:val="center"/>
            <w:hideMark/>
          </w:tcPr>
          <w:p w14:paraId="7E4016F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BBCE53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Employed</w:t>
            </w:r>
          </w:p>
        </w:tc>
        <w:tc>
          <w:tcPr>
            <w:tcW w:w="0" w:type="auto"/>
            <w:vAlign w:val="center"/>
            <w:hideMark/>
          </w:tcPr>
          <w:p w14:paraId="18B1EB0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51</w:t>
            </w:r>
          </w:p>
        </w:tc>
        <w:tc>
          <w:tcPr>
            <w:tcW w:w="0" w:type="auto"/>
            <w:vAlign w:val="center"/>
            <w:hideMark/>
          </w:tcPr>
          <w:p w14:paraId="7C9193F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36.2</w:t>
            </w:r>
          </w:p>
        </w:tc>
      </w:tr>
      <w:tr w:rsidR="00D8206B" w:rsidRPr="00D8206B" w14:paraId="63020000" w14:textId="77777777" w:rsidTr="00D00B3F">
        <w:trPr>
          <w:tblCellSpacing w:w="15" w:type="dxa"/>
        </w:trPr>
        <w:tc>
          <w:tcPr>
            <w:tcW w:w="0" w:type="auto"/>
            <w:vAlign w:val="center"/>
            <w:hideMark/>
          </w:tcPr>
          <w:p w14:paraId="44B0E3E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123062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Entrepreneur</w:t>
            </w:r>
          </w:p>
        </w:tc>
        <w:tc>
          <w:tcPr>
            <w:tcW w:w="0" w:type="auto"/>
            <w:vAlign w:val="center"/>
            <w:hideMark/>
          </w:tcPr>
          <w:p w14:paraId="47B0EB9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9</w:t>
            </w:r>
          </w:p>
        </w:tc>
        <w:tc>
          <w:tcPr>
            <w:tcW w:w="0" w:type="auto"/>
            <w:vAlign w:val="center"/>
            <w:hideMark/>
          </w:tcPr>
          <w:p w14:paraId="694A509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6.4</w:t>
            </w:r>
          </w:p>
        </w:tc>
      </w:tr>
      <w:tr w:rsidR="00D8206B" w:rsidRPr="00D8206B" w14:paraId="60274FF8" w14:textId="77777777" w:rsidTr="00D00B3F">
        <w:trPr>
          <w:tblCellSpacing w:w="15" w:type="dxa"/>
        </w:trPr>
        <w:tc>
          <w:tcPr>
            <w:tcW w:w="0" w:type="auto"/>
            <w:vAlign w:val="center"/>
            <w:hideMark/>
          </w:tcPr>
          <w:p w14:paraId="5EC6EFB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10E7390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Unemployed</w:t>
            </w:r>
          </w:p>
        </w:tc>
        <w:tc>
          <w:tcPr>
            <w:tcW w:w="0" w:type="auto"/>
            <w:vAlign w:val="center"/>
            <w:hideMark/>
          </w:tcPr>
          <w:p w14:paraId="118319C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w:t>
            </w:r>
          </w:p>
        </w:tc>
        <w:tc>
          <w:tcPr>
            <w:tcW w:w="0" w:type="auto"/>
            <w:vAlign w:val="center"/>
            <w:hideMark/>
          </w:tcPr>
          <w:p w14:paraId="6D7FF00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2.8</w:t>
            </w:r>
          </w:p>
        </w:tc>
      </w:tr>
      <w:tr w:rsidR="00D8206B" w:rsidRPr="00D8206B" w14:paraId="10616CD9" w14:textId="77777777" w:rsidTr="00D00B3F">
        <w:trPr>
          <w:tblCellSpacing w:w="15" w:type="dxa"/>
        </w:trPr>
        <w:tc>
          <w:tcPr>
            <w:tcW w:w="0" w:type="auto"/>
            <w:vAlign w:val="center"/>
            <w:hideMark/>
          </w:tcPr>
          <w:p w14:paraId="5F33D5C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Income per month</w:t>
            </w:r>
          </w:p>
        </w:tc>
        <w:tc>
          <w:tcPr>
            <w:tcW w:w="0" w:type="auto"/>
            <w:vAlign w:val="center"/>
            <w:hideMark/>
          </w:tcPr>
          <w:p w14:paraId="629E0B3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&lt; Naira 1,300,000</w:t>
            </w:r>
          </w:p>
        </w:tc>
        <w:tc>
          <w:tcPr>
            <w:tcW w:w="0" w:type="auto"/>
            <w:vAlign w:val="center"/>
            <w:hideMark/>
          </w:tcPr>
          <w:p w14:paraId="64210C7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69</w:t>
            </w:r>
          </w:p>
        </w:tc>
        <w:tc>
          <w:tcPr>
            <w:tcW w:w="0" w:type="auto"/>
            <w:vAlign w:val="center"/>
            <w:hideMark/>
          </w:tcPr>
          <w:p w14:paraId="62E899C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48.9</w:t>
            </w:r>
          </w:p>
        </w:tc>
      </w:tr>
      <w:tr w:rsidR="00D8206B" w:rsidRPr="00D8206B" w14:paraId="5B3EA33E" w14:textId="77777777" w:rsidTr="00D00B3F">
        <w:trPr>
          <w:tblCellSpacing w:w="15" w:type="dxa"/>
        </w:trPr>
        <w:tc>
          <w:tcPr>
            <w:tcW w:w="0" w:type="auto"/>
            <w:vAlign w:val="center"/>
            <w:hideMark/>
          </w:tcPr>
          <w:p w14:paraId="049981B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1012553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Naira 1,300,000 – Naira 15,000,000</w:t>
            </w:r>
          </w:p>
        </w:tc>
        <w:tc>
          <w:tcPr>
            <w:tcW w:w="0" w:type="auto"/>
            <w:vAlign w:val="center"/>
            <w:hideMark/>
          </w:tcPr>
          <w:p w14:paraId="2A5C3C5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61</w:t>
            </w:r>
          </w:p>
        </w:tc>
        <w:tc>
          <w:tcPr>
            <w:tcW w:w="0" w:type="auto"/>
            <w:vAlign w:val="center"/>
            <w:hideMark/>
          </w:tcPr>
          <w:p w14:paraId="2F834D7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43.3</w:t>
            </w:r>
          </w:p>
        </w:tc>
      </w:tr>
      <w:tr w:rsidR="00D8206B" w:rsidRPr="00D8206B" w14:paraId="6E700059" w14:textId="77777777" w:rsidTr="00D00B3F">
        <w:trPr>
          <w:tblCellSpacing w:w="15" w:type="dxa"/>
        </w:trPr>
        <w:tc>
          <w:tcPr>
            <w:tcW w:w="0" w:type="auto"/>
            <w:vAlign w:val="center"/>
            <w:hideMark/>
          </w:tcPr>
          <w:p w14:paraId="0D096E6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DDCEF9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Above Naira 15,000,000</w:t>
            </w:r>
          </w:p>
        </w:tc>
        <w:tc>
          <w:tcPr>
            <w:tcW w:w="0" w:type="auto"/>
            <w:vAlign w:val="center"/>
            <w:hideMark/>
          </w:tcPr>
          <w:p w14:paraId="5FE1021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11</w:t>
            </w:r>
          </w:p>
        </w:tc>
        <w:tc>
          <w:tcPr>
            <w:tcW w:w="0" w:type="auto"/>
            <w:vAlign w:val="center"/>
            <w:hideMark/>
          </w:tcPr>
          <w:p w14:paraId="561B3FE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7.8</w:t>
            </w:r>
          </w:p>
        </w:tc>
      </w:tr>
      <w:tr w:rsidR="00D8206B" w:rsidRPr="00D8206B" w14:paraId="55C309D7" w14:textId="77777777" w:rsidTr="00D00B3F">
        <w:trPr>
          <w:tblCellSpacing w:w="15" w:type="dxa"/>
        </w:trPr>
        <w:tc>
          <w:tcPr>
            <w:tcW w:w="0" w:type="auto"/>
            <w:vAlign w:val="center"/>
            <w:hideMark/>
          </w:tcPr>
          <w:p w14:paraId="59CA385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Fintech use reason</w:t>
            </w:r>
          </w:p>
        </w:tc>
        <w:tc>
          <w:tcPr>
            <w:tcW w:w="0" w:type="auto"/>
            <w:vAlign w:val="center"/>
            <w:hideMark/>
          </w:tcPr>
          <w:p w14:paraId="3DE02B8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Personal finance</w:t>
            </w:r>
          </w:p>
        </w:tc>
        <w:tc>
          <w:tcPr>
            <w:tcW w:w="0" w:type="auto"/>
            <w:vAlign w:val="center"/>
            <w:hideMark/>
          </w:tcPr>
          <w:p w14:paraId="5BF3F18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94</w:t>
            </w:r>
          </w:p>
        </w:tc>
        <w:tc>
          <w:tcPr>
            <w:tcW w:w="0" w:type="auto"/>
            <w:vAlign w:val="center"/>
            <w:hideMark/>
          </w:tcPr>
          <w:p w14:paraId="3884B29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66.7</w:t>
            </w:r>
          </w:p>
        </w:tc>
      </w:tr>
      <w:tr w:rsidR="00D8206B" w:rsidRPr="00D8206B" w14:paraId="55EC09FB" w14:textId="77777777" w:rsidTr="00D00B3F">
        <w:trPr>
          <w:tblCellSpacing w:w="15" w:type="dxa"/>
        </w:trPr>
        <w:tc>
          <w:tcPr>
            <w:tcW w:w="0" w:type="auto"/>
            <w:vAlign w:val="center"/>
            <w:hideMark/>
          </w:tcPr>
          <w:p w14:paraId="365D5A8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6674D6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Business reason</w:t>
            </w:r>
          </w:p>
        </w:tc>
        <w:tc>
          <w:tcPr>
            <w:tcW w:w="0" w:type="auto"/>
            <w:vAlign w:val="center"/>
            <w:hideMark/>
          </w:tcPr>
          <w:p w14:paraId="341055A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5</w:t>
            </w:r>
          </w:p>
        </w:tc>
        <w:tc>
          <w:tcPr>
            <w:tcW w:w="0" w:type="auto"/>
            <w:vAlign w:val="center"/>
            <w:hideMark/>
          </w:tcPr>
          <w:p w14:paraId="71B2080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3.5</w:t>
            </w:r>
          </w:p>
        </w:tc>
      </w:tr>
      <w:tr w:rsidR="00D8206B" w:rsidRPr="00D8206B" w14:paraId="390EA708" w14:textId="77777777" w:rsidTr="00D00B3F">
        <w:trPr>
          <w:tblCellSpacing w:w="15" w:type="dxa"/>
        </w:trPr>
        <w:tc>
          <w:tcPr>
            <w:tcW w:w="0" w:type="auto"/>
            <w:vAlign w:val="center"/>
            <w:hideMark/>
          </w:tcPr>
          <w:p w14:paraId="5B47B6A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9360D2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Personal finance and business reason</w:t>
            </w:r>
          </w:p>
        </w:tc>
        <w:tc>
          <w:tcPr>
            <w:tcW w:w="0" w:type="auto"/>
            <w:vAlign w:val="center"/>
            <w:hideMark/>
          </w:tcPr>
          <w:p w14:paraId="59A3D37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42</w:t>
            </w:r>
          </w:p>
        </w:tc>
        <w:tc>
          <w:tcPr>
            <w:tcW w:w="0" w:type="auto"/>
            <w:vAlign w:val="center"/>
            <w:hideMark/>
          </w:tcPr>
          <w:p w14:paraId="7CF4091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29.8</w:t>
            </w:r>
          </w:p>
        </w:tc>
      </w:tr>
    </w:tbl>
    <w:p w14:paraId="022A9D60"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37E4199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The age profile and employment status shows that the majority of respondents are adults aged 18 to 25, with a significant number enrolled as students. In the city, the proportion of respondents with a bachelor's or diploma degree is lower than in the countryside, but the proportion of respondents with a postgraduate degree is higher in the city than in countryside. The proportion of urban respondents with an income of less than Naira 1.3 million is 47.9%, while that of rural respondents is 57.6%. However, urban consumers with an income of more than Naira 1.3 million, outnumber those in rural areas. Moreover, most respondents in urban and rural areas still use Fintech services for personal purposes. In order to verify the suitability of these questions for assessing the variables of Fintech adoption in Nigeria, interviews with Fintech experts were conducted as part of the study. Based on the feedback collected during these interviews, and taking into account possible differences in digital infrastructure, respondents were categorized into two groups: those from urban and rural areas. </w:t>
      </w:r>
    </w:p>
    <w:p w14:paraId="44B63B54" w14:textId="77777777" w:rsidR="00D8206B" w:rsidRPr="00D8206B" w:rsidRDefault="00D8206B" w:rsidP="00D8206B">
      <w:pPr>
        <w:keepNext/>
        <w:keepLines/>
        <w:spacing w:before="40" w:after="0" w:line="259" w:lineRule="auto"/>
        <w:outlineLvl w:val="2"/>
        <w:rPr>
          <w:rFonts w:ascii="Times New Roman" w:eastAsia="Times New Roman" w:hAnsi="Times New Roman" w:cs="Times New Roman"/>
          <w:color w:val="1F4D78"/>
          <w:kern w:val="0"/>
          <w:lang w:val="en-GB"/>
          <w14:ligatures w14:val="none"/>
        </w:rPr>
      </w:pPr>
      <w:r w:rsidRPr="00D8206B">
        <w:rPr>
          <w:rFonts w:ascii="Times New Roman" w:eastAsia="Times New Roman" w:hAnsi="Times New Roman" w:cs="Times New Roman"/>
          <w:color w:val="1F4D78"/>
          <w:kern w:val="0"/>
          <w:lang w:val="en-GB"/>
          <w14:ligatures w14:val="none"/>
        </w:rPr>
        <w:t>Table 2 Method of confirming measurement quality (MCMQ)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00"/>
        <w:gridCol w:w="600"/>
        <w:gridCol w:w="600"/>
        <w:gridCol w:w="600"/>
        <w:gridCol w:w="449"/>
      </w:tblGrid>
      <w:tr w:rsidR="00D8206B" w:rsidRPr="00D8206B" w14:paraId="21349CE2" w14:textId="77777777" w:rsidTr="00D00B3F">
        <w:trPr>
          <w:tblHeader/>
          <w:tblCellSpacing w:w="15" w:type="dxa"/>
        </w:trPr>
        <w:tc>
          <w:tcPr>
            <w:tcW w:w="0" w:type="auto"/>
            <w:vAlign w:val="center"/>
            <w:hideMark/>
          </w:tcPr>
          <w:p w14:paraId="1E0ED9F6"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Constructs</w:t>
            </w:r>
          </w:p>
        </w:tc>
        <w:tc>
          <w:tcPr>
            <w:tcW w:w="0" w:type="auto"/>
            <w:vAlign w:val="center"/>
            <w:hideMark/>
          </w:tcPr>
          <w:p w14:paraId="3ACC810B"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FL</w:t>
            </w:r>
          </w:p>
        </w:tc>
        <w:tc>
          <w:tcPr>
            <w:tcW w:w="0" w:type="auto"/>
            <w:vAlign w:val="center"/>
            <w:hideMark/>
          </w:tcPr>
          <w:p w14:paraId="527F5232"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CR</w:t>
            </w:r>
          </w:p>
        </w:tc>
        <w:tc>
          <w:tcPr>
            <w:tcW w:w="0" w:type="auto"/>
            <w:vAlign w:val="center"/>
            <w:hideMark/>
          </w:tcPr>
          <w:p w14:paraId="798121C6"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α</w:t>
            </w:r>
          </w:p>
        </w:tc>
        <w:tc>
          <w:tcPr>
            <w:tcW w:w="0" w:type="auto"/>
            <w:vAlign w:val="center"/>
            <w:hideMark/>
          </w:tcPr>
          <w:p w14:paraId="69F9B26C"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AVE</w:t>
            </w:r>
          </w:p>
        </w:tc>
        <w:tc>
          <w:tcPr>
            <w:tcW w:w="0" w:type="auto"/>
            <w:vAlign w:val="center"/>
            <w:hideMark/>
          </w:tcPr>
          <w:p w14:paraId="2B3EBF10"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CV</w:t>
            </w:r>
          </w:p>
        </w:tc>
      </w:tr>
      <w:tr w:rsidR="00D8206B" w:rsidRPr="00D8206B" w14:paraId="51F3D750" w14:textId="77777777" w:rsidTr="00D00B3F">
        <w:trPr>
          <w:tblCellSpacing w:w="15" w:type="dxa"/>
        </w:trPr>
        <w:tc>
          <w:tcPr>
            <w:tcW w:w="0" w:type="auto"/>
            <w:vAlign w:val="center"/>
            <w:hideMark/>
          </w:tcPr>
          <w:p w14:paraId="7A735C4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PU</w:t>
            </w:r>
          </w:p>
        </w:tc>
        <w:tc>
          <w:tcPr>
            <w:tcW w:w="0" w:type="auto"/>
            <w:vAlign w:val="center"/>
            <w:hideMark/>
          </w:tcPr>
          <w:p w14:paraId="36A8B36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0F7C14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0.940</w:t>
            </w:r>
          </w:p>
        </w:tc>
        <w:tc>
          <w:tcPr>
            <w:tcW w:w="0" w:type="auto"/>
            <w:vAlign w:val="center"/>
            <w:hideMark/>
          </w:tcPr>
          <w:p w14:paraId="3BBD82A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0.915</w:t>
            </w:r>
          </w:p>
        </w:tc>
        <w:tc>
          <w:tcPr>
            <w:tcW w:w="0" w:type="auto"/>
            <w:vAlign w:val="center"/>
            <w:hideMark/>
          </w:tcPr>
          <w:p w14:paraId="70490DD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0.796</w:t>
            </w:r>
          </w:p>
        </w:tc>
        <w:tc>
          <w:tcPr>
            <w:tcW w:w="0" w:type="auto"/>
            <w:vAlign w:val="center"/>
            <w:hideMark/>
          </w:tcPr>
          <w:p w14:paraId="3DA3DA2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0D67D9BB" w14:textId="77777777" w:rsidTr="00D00B3F">
        <w:trPr>
          <w:tblCellSpacing w:w="15" w:type="dxa"/>
        </w:trPr>
        <w:tc>
          <w:tcPr>
            <w:tcW w:w="0" w:type="auto"/>
            <w:vAlign w:val="center"/>
            <w:hideMark/>
          </w:tcPr>
          <w:p w14:paraId="1298022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PU1</w:t>
            </w:r>
          </w:p>
        </w:tc>
        <w:tc>
          <w:tcPr>
            <w:tcW w:w="0" w:type="auto"/>
            <w:vAlign w:val="center"/>
            <w:hideMark/>
          </w:tcPr>
          <w:p w14:paraId="6C97C08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0.857</w:t>
            </w:r>
          </w:p>
        </w:tc>
        <w:tc>
          <w:tcPr>
            <w:tcW w:w="0" w:type="auto"/>
            <w:vAlign w:val="center"/>
            <w:hideMark/>
          </w:tcPr>
          <w:p w14:paraId="14C1C88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9366943"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10C1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EA165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49B946AD" w14:textId="77777777" w:rsidTr="00D00B3F">
        <w:trPr>
          <w:tblCellSpacing w:w="15" w:type="dxa"/>
        </w:trPr>
        <w:tc>
          <w:tcPr>
            <w:tcW w:w="0" w:type="auto"/>
            <w:vAlign w:val="center"/>
            <w:hideMark/>
          </w:tcPr>
          <w:p w14:paraId="6418916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PU2</w:t>
            </w:r>
          </w:p>
        </w:tc>
        <w:tc>
          <w:tcPr>
            <w:tcW w:w="0" w:type="auto"/>
            <w:vAlign w:val="center"/>
            <w:hideMark/>
          </w:tcPr>
          <w:p w14:paraId="1D8F1EA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0.892</w:t>
            </w:r>
          </w:p>
        </w:tc>
        <w:tc>
          <w:tcPr>
            <w:tcW w:w="0" w:type="auto"/>
            <w:vAlign w:val="center"/>
            <w:hideMark/>
          </w:tcPr>
          <w:p w14:paraId="16976DF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A6193C3"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6E782F"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055C78"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161D1522" w14:textId="77777777" w:rsidTr="00D00B3F">
        <w:trPr>
          <w:tblCellSpacing w:w="15" w:type="dxa"/>
        </w:trPr>
        <w:tc>
          <w:tcPr>
            <w:tcW w:w="0" w:type="auto"/>
            <w:vAlign w:val="center"/>
            <w:hideMark/>
          </w:tcPr>
          <w:p w14:paraId="63D947F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PU3</w:t>
            </w:r>
          </w:p>
        </w:tc>
        <w:tc>
          <w:tcPr>
            <w:tcW w:w="0" w:type="auto"/>
            <w:vAlign w:val="center"/>
            <w:hideMark/>
          </w:tcPr>
          <w:p w14:paraId="21A9D46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0.901</w:t>
            </w:r>
          </w:p>
        </w:tc>
        <w:tc>
          <w:tcPr>
            <w:tcW w:w="0" w:type="auto"/>
            <w:vAlign w:val="center"/>
            <w:hideMark/>
          </w:tcPr>
          <w:p w14:paraId="0B4528F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741472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535838"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E6C26E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5E8E7024" w14:textId="77777777" w:rsidTr="00D00B3F">
        <w:trPr>
          <w:tblCellSpacing w:w="15" w:type="dxa"/>
        </w:trPr>
        <w:tc>
          <w:tcPr>
            <w:tcW w:w="0" w:type="auto"/>
            <w:vAlign w:val="center"/>
            <w:hideMark/>
          </w:tcPr>
          <w:p w14:paraId="74C0693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PU4</w:t>
            </w:r>
          </w:p>
        </w:tc>
        <w:tc>
          <w:tcPr>
            <w:tcW w:w="0" w:type="auto"/>
            <w:vAlign w:val="center"/>
            <w:hideMark/>
          </w:tcPr>
          <w:p w14:paraId="1491D8E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0.918</w:t>
            </w:r>
          </w:p>
        </w:tc>
        <w:tc>
          <w:tcPr>
            <w:tcW w:w="0" w:type="auto"/>
            <w:vAlign w:val="center"/>
            <w:hideMark/>
          </w:tcPr>
          <w:p w14:paraId="3A3AA8B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767B1BF"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1AE5D8"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F07A3F"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22398170" w14:textId="77777777" w:rsidTr="00D00B3F">
        <w:trPr>
          <w:tblCellSpacing w:w="15" w:type="dxa"/>
        </w:trPr>
        <w:tc>
          <w:tcPr>
            <w:tcW w:w="0" w:type="auto"/>
            <w:vAlign w:val="center"/>
            <w:hideMark/>
          </w:tcPr>
          <w:p w14:paraId="19710A3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PEU</w:t>
            </w:r>
          </w:p>
        </w:tc>
        <w:tc>
          <w:tcPr>
            <w:tcW w:w="0" w:type="auto"/>
            <w:vAlign w:val="center"/>
            <w:hideMark/>
          </w:tcPr>
          <w:p w14:paraId="20A0E6F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7C9AAE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0.916</w:t>
            </w:r>
          </w:p>
        </w:tc>
        <w:tc>
          <w:tcPr>
            <w:tcW w:w="0" w:type="auto"/>
            <w:vAlign w:val="center"/>
            <w:hideMark/>
          </w:tcPr>
          <w:p w14:paraId="6EAD846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0.862</w:t>
            </w:r>
          </w:p>
        </w:tc>
        <w:tc>
          <w:tcPr>
            <w:tcW w:w="0" w:type="auto"/>
            <w:vAlign w:val="center"/>
            <w:hideMark/>
          </w:tcPr>
          <w:p w14:paraId="11BE521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0.783</w:t>
            </w:r>
          </w:p>
        </w:tc>
        <w:tc>
          <w:tcPr>
            <w:tcW w:w="0" w:type="auto"/>
            <w:vAlign w:val="center"/>
            <w:hideMark/>
          </w:tcPr>
          <w:p w14:paraId="4D6120F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3EBCDA58" w14:textId="77777777" w:rsidTr="00D00B3F">
        <w:trPr>
          <w:tblCellSpacing w:w="15" w:type="dxa"/>
        </w:trPr>
        <w:tc>
          <w:tcPr>
            <w:tcW w:w="0" w:type="auto"/>
            <w:vAlign w:val="center"/>
            <w:hideMark/>
          </w:tcPr>
          <w:p w14:paraId="13276EE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PEU1</w:t>
            </w:r>
          </w:p>
        </w:tc>
        <w:tc>
          <w:tcPr>
            <w:tcW w:w="0" w:type="auto"/>
            <w:vAlign w:val="center"/>
            <w:hideMark/>
          </w:tcPr>
          <w:p w14:paraId="6AD60C6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0.910</w:t>
            </w:r>
          </w:p>
        </w:tc>
        <w:tc>
          <w:tcPr>
            <w:tcW w:w="0" w:type="auto"/>
            <w:vAlign w:val="center"/>
            <w:hideMark/>
          </w:tcPr>
          <w:p w14:paraId="30A7852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25ABA44D"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4CAD8D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EE8DA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4DF5A3A2" w14:textId="77777777" w:rsidTr="00D00B3F">
        <w:trPr>
          <w:tblCellSpacing w:w="15" w:type="dxa"/>
        </w:trPr>
        <w:tc>
          <w:tcPr>
            <w:tcW w:w="0" w:type="auto"/>
            <w:vAlign w:val="center"/>
            <w:hideMark/>
          </w:tcPr>
          <w:p w14:paraId="6E112EE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PEU2</w:t>
            </w:r>
          </w:p>
        </w:tc>
        <w:tc>
          <w:tcPr>
            <w:tcW w:w="0" w:type="auto"/>
            <w:vAlign w:val="center"/>
            <w:hideMark/>
          </w:tcPr>
          <w:p w14:paraId="2441DC1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0.869</w:t>
            </w:r>
          </w:p>
        </w:tc>
        <w:tc>
          <w:tcPr>
            <w:tcW w:w="0" w:type="auto"/>
            <w:vAlign w:val="center"/>
            <w:hideMark/>
          </w:tcPr>
          <w:p w14:paraId="0DA6305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B99FB82"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528C03"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D2042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2BF5AF86" w14:textId="77777777" w:rsidTr="00D00B3F">
        <w:trPr>
          <w:tblCellSpacing w:w="15" w:type="dxa"/>
        </w:trPr>
        <w:tc>
          <w:tcPr>
            <w:tcW w:w="0" w:type="auto"/>
            <w:vAlign w:val="center"/>
            <w:hideMark/>
          </w:tcPr>
          <w:p w14:paraId="63934D6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PEU3</w:t>
            </w:r>
          </w:p>
        </w:tc>
        <w:tc>
          <w:tcPr>
            <w:tcW w:w="0" w:type="auto"/>
            <w:vAlign w:val="center"/>
            <w:hideMark/>
          </w:tcPr>
          <w:p w14:paraId="250E3BB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0.875</w:t>
            </w:r>
          </w:p>
        </w:tc>
        <w:tc>
          <w:tcPr>
            <w:tcW w:w="0" w:type="auto"/>
            <w:vAlign w:val="center"/>
            <w:hideMark/>
          </w:tcPr>
          <w:p w14:paraId="2E14E12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20D4AB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F809E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A0980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3AFA5253" w14:textId="77777777" w:rsidTr="00D00B3F">
        <w:trPr>
          <w:tblCellSpacing w:w="15" w:type="dxa"/>
        </w:trPr>
        <w:tc>
          <w:tcPr>
            <w:tcW w:w="0" w:type="auto"/>
            <w:vAlign w:val="center"/>
            <w:hideMark/>
          </w:tcPr>
          <w:p w14:paraId="0B5B63C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w:t>
            </w:r>
          </w:p>
        </w:tc>
        <w:tc>
          <w:tcPr>
            <w:tcW w:w="0" w:type="auto"/>
            <w:vAlign w:val="center"/>
            <w:hideMark/>
          </w:tcPr>
          <w:p w14:paraId="4C0F36D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EB70BF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0.917</w:t>
            </w:r>
          </w:p>
        </w:tc>
        <w:tc>
          <w:tcPr>
            <w:tcW w:w="0" w:type="auto"/>
            <w:vAlign w:val="center"/>
            <w:hideMark/>
          </w:tcPr>
          <w:p w14:paraId="4F52D3A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0.865</w:t>
            </w:r>
          </w:p>
        </w:tc>
        <w:tc>
          <w:tcPr>
            <w:tcW w:w="0" w:type="auto"/>
            <w:vAlign w:val="center"/>
            <w:hideMark/>
          </w:tcPr>
          <w:p w14:paraId="378E8E1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0.787</w:t>
            </w:r>
          </w:p>
        </w:tc>
        <w:tc>
          <w:tcPr>
            <w:tcW w:w="0" w:type="auto"/>
            <w:vAlign w:val="center"/>
            <w:hideMark/>
          </w:tcPr>
          <w:p w14:paraId="72EE4C8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27310959" w14:textId="77777777" w:rsidTr="00D00B3F">
        <w:trPr>
          <w:tblCellSpacing w:w="15" w:type="dxa"/>
        </w:trPr>
        <w:tc>
          <w:tcPr>
            <w:tcW w:w="0" w:type="auto"/>
            <w:vAlign w:val="center"/>
            <w:hideMark/>
          </w:tcPr>
          <w:p w14:paraId="3035030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PI1</w:t>
            </w:r>
          </w:p>
        </w:tc>
        <w:tc>
          <w:tcPr>
            <w:tcW w:w="0" w:type="auto"/>
            <w:vAlign w:val="center"/>
            <w:hideMark/>
          </w:tcPr>
          <w:p w14:paraId="7CC3262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0.864</w:t>
            </w:r>
          </w:p>
        </w:tc>
        <w:tc>
          <w:tcPr>
            <w:tcW w:w="0" w:type="auto"/>
            <w:vAlign w:val="center"/>
            <w:hideMark/>
          </w:tcPr>
          <w:p w14:paraId="659C4A0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7D041D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B79918B"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D15831"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36E1200" w14:textId="77777777" w:rsidTr="00D00B3F">
        <w:trPr>
          <w:tblCellSpacing w:w="15" w:type="dxa"/>
        </w:trPr>
        <w:tc>
          <w:tcPr>
            <w:tcW w:w="0" w:type="auto"/>
            <w:vAlign w:val="center"/>
            <w:hideMark/>
          </w:tcPr>
          <w:p w14:paraId="1F4061F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PI2</w:t>
            </w:r>
          </w:p>
        </w:tc>
        <w:tc>
          <w:tcPr>
            <w:tcW w:w="0" w:type="auto"/>
            <w:vAlign w:val="center"/>
            <w:hideMark/>
          </w:tcPr>
          <w:p w14:paraId="03FC0BC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0.891</w:t>
            </w:r>
          </w:p>
        </w:tc>
        <w:tc>
          <w:tcPr>
            <w:tcW w:w="0" w:type="auto"/>
            <w:vAlign w:val="center"/>
            <w:hideMark/>
          </w:tcPr>
          <w:p w14:paraId="775C246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24EDB18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DC14D28"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B9D6B2"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235A54D1" w14:textId="77777777" w:rsidTr="00D00B3F">
        <w:trPr>
          <w:tblCellSpacing w:w="15" w:type="dxa"/>
        </w:trPr>
        <w:tc>
          <w:tcPr>
            <w:tcW w:w="0" w:type="auto"/>
            <w:vAlign w:val="center"/>
            <w:hideMark/>
          </w:tcPr>
          <w:p w14:paraId="60B571B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PI3</w:t>
            </w:r>
          </w:p>
        </w:tc>
        <w:tc>
          <w:tcPr>
            <w:tcW w:w="0" w:type="auto"/>
            <w:vAlign w:val="center"/>
            <w:hideMark/>
          </w:tcPr>
          <w:p w14:paraId="2BD7C8D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0.905</w:t>
            </w:r>
          </w:p>
        </w:tc>
        <w:tc>
          <w:tcPr>
            <w:tcW w:w="0" w:type="auto"/>
            <w:vAlign w:val="center"/>
            <w:hideMark/>
          </w:tcPr>
          <w:p w14:paraId="1041317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0131C5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31F57D"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A3A0BD"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69BFF9D5" w14:textId="77777777" w:rsidTr="00D00B3F">
        <w:trPr>
          <w:tblCellSpacing w:w="15" w:type="dxa"/>
        </w:trPr>
        <w:tc>
          <w:tcPr>
            <w:tcW w:w="0" w:type="auto"/>
            <w:vAlign w:val="center"/>
            <w:hideMark/>
          </w:tcPr>
          <w:p w14:paraId="5B74ADD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w:t>
            </w:r>
          </w:p>
        </w:tc>
        <w:tc>
          <w:tcPr>
            <w:tcW w:w="0" w:type="auto"/>
            <w:vAlign w:val="center"/>
            <w:hideMark/>
          </w:tcPr>
          <w:p w14:paraId="263D073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E4B809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0.909</w:t>
            </w:r>
          </w:p>
        </w:tc>
        <w:tc>
          <w:tcPr>
            <w:tcW w:w="0" w:type="auto"/>
            <w:vAlign w:val="center"/>
            <w:hideMark/>
          </w:tcPr>
          <w:p w14:paraId="0191A52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0.850</w:t>
            </w:r>
          </w:p>
        </w:tc>
        <w:tc>
          <w:tcPr>
            <w:tcW w:w="0" w:type="auto"/>
            <w:vAlign w:val="center"/>
            <w:hideMark/>
          </w:tcPr>
          <w:p w14:paraId="4B79CA1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0.769</w:t>
            </w:r>
          </w:p>
        </w:tc>
        <w:tc>
          <w:tcPr>
            <w:tcW w:w="0" w:type="auto"/>
            <w:vAlign w:val="center"/>
            <w:hideMark/>
          </w:tcPr>
          <w:p w14:paraId="1A4BD1E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706F660C" w14:textId="77777777" w:rsidTr="00D00B3F">
        <w:trPr>
          <w:tblCellSpacing w:w="15" w:type="dxa"/>
        </w:trPr>
        <w:tc>
          <w:tcPr>
            <w:tcW w:w="0" w:type="auto"/>
            <w:vAlign w:val="center"/>
            <w:hideMark/>
          </w:tcPr>
          <w:p w14:paraId="04E050B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GS1</w:t>
            </w:r>
          </w:p>
        </w:tc>
        <w:tc>
          <w:tcPr>
            <w:tcW w:w="0" w:type="auto"/>
            <w:vAlign w:val="center"/>
            <w:hideMark/>
          </w:tcPr>
          <w:p w14:paraId="2C84A13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0.900</w:t>
            </w:r>
          </w:p>
        </w:tc>
        <w:tc>
          <w:tcPr>
            <w:tcW w:w="0" w:type="auto"/>
            <w:vAlign w:val="center"/>
            <w:hideMark/>
          </w:tcPr>
          <w:p w14:paraId="7729B20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15A01B8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A4CC11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D9962C8"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5B6C04CE" w14:textId="77777777" w:rsidTr="00D00B3F">
        <w:trPr>
          <w:tblCellSpacing w:w="15" w:type="dxa"/>
        </w:trPr>
        <w:tc>
          <w:tcPr>
            <w:tcW w:w="0" w:type="auto"/>
            <w:vAlign w:val="center"/>
            <w:hideMark/>
          </w:tcPr>
          <w:p w14:paraId="7CAAE0E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GS2</w:t>
            </w:r>
          </w:p>
        </w:tc>
        <w:tc>
          <w:tcPr>
            <w:tcW w:w="0" w:type="auto"/>
            <w:vAlign w:val="center"/>
            <w:hideMark/>
          </w:tcPr>
          <w:p w14:paraId="4283ECF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0.898</w:t>
            </w:r>
          </w:p>
        </w:tc>
        <w:tc>
          <w:tcPr>
            <w:tcW w:w="0" w:type="auto"/>
            <w:vAlign w:val="center"/>
            <w:hideMark/>
          </w:tcPr>
          <w:p w14:paraId="5A27A0B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D4D818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6E9A84"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B2A9391"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6E1B833D" w14:textId="77777777" w:rsidTr="00D00B3F">
        <w:trPr>
          <w:tblCellSpacing w:w="15" w:type="dxa"/>
        </w:trPr>
        <w:tc>
          <w:tcPr>
            <w:tcW w:w="0" w:type="auto"/>
            <w:vAlign w:val="center"/>
            <w:hideMark/>
          </w:tcPr>
          <w:p w14:paraId="5A0138A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GS3</w:t>
            </w:r>
          </w:p>
        </w:tc>
        <w:tc>
          <w:tcPr>
            <w:tcW w:w="0" w:type="auto"/>
            <w:vAlign w:val="center"/>
            <w:hideMark/>
          </w:tcPr>
          <w:p w14:paraId="7BE7A5D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0.831</w:t>
            </w:r>
          </w:p>
        </w:tc>
        <w:tc>
          <w:tcPr>
            <w:tcW w:w="0" w:type="auto"/>
            <w:vAlign w:val="center"/>
            <w:hideMark/>
          </w:tcPr>
          <w:p w14:paraId="00D1883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163638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ECDDD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07A39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E27D262" w14:textId="77777777" w:rsidTr="00D00B3F">
        <w:trPr>
          <w:tblCellSpacing w:w="15" w:type="dxa"/>
        </w:trPr>
        <w:tc>
          <w:tcPr>
            <w:tcW w:w="0" w:type="auto"/>
            <w:vAlign w:val="center"/>
            <w:hideMark/>
          </w:tcPr>
          <w:p w14:paraId="30869B8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DFL</w:t>
            </w:r>
          </w:p>
        </w:tc>
        <w:tc>
          <w:tcPr>
            <w:tcW w:w="0" w:type="auto"/>
            <w:vAlign w:val="center"/>
            <w:hideMark/>
          </w:tcPr>
          <w:p w14:paraId="3709079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074461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0.874</w:t>
            </w:r>
          </w:p>
        </w:tc>
        <w:tc>
          <w:tcPr>
            <w:tcW w:w="0" w:type="auto"/>
            <w:vAlign w:val="center"/>
            <w:hideMark/>
          </w:tcPr>
          <w:p w14:paraId="37B23A0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0.784</w:t>
            </w:r>
          </w:p>
        </w:tc>
        <w:tc>
          <w:tcPr>
            <w:tcW w:w="0" w:type="auto"/>
            <w:vAlign w:val="center"/>
            <w:hideMark/>
          </w:tcPr>
          <w:p w14:paraId="4B68C54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0.698</w:t>
            </w:r>
          </w:p>
        </w:tc>
        <w:tc>
          <w:tcPr>
            <w:tcW w:w="0" w:type="auto"/>
            <w:vAlign w:val="center"/>
            <w:hideMark/>
          </w:tcPr>
          <w:p w14:paraId="0D65317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24CD961D" w14:textId="77777777" w:rsidTr="00D00B3F">
        <w:trPr>
          <w:tblCellSpacing w:w="15" w:type="dxa"/>
        </w:trPr>
        <w:tc>
          <w:tcPr>
            <w:tcW w:w="0" w:type="auto"/>
            <w:vAlign w:val="center"/>
            <w:hideMark/>
          </w:tcPr>
          <w:p w14:paraId="58BEFB3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DFL2</w:t>
            </w:r>
          </w:p>
        </w:tc>
        <w:tc>
          <w:tcPr>
            <w:tcW w:w="0" w:type="auto"/>
            <w:vAlign w:val="center"/>
            <w:hideMark/>
          </w:tcPr>
          <w:p w14:paraId="31B8C33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0.820</w:t>
            </w:r>
          </w:p>
        </w:tc>
        <w:tc>
          <w:tcPr>
            <w:tcW w:w="0" w:type="auto"/>
            <w:vAlign w:val="center"/>
            <w:hideMark/>
          </w:tcPr>
          <w:p w14:paraId="1825614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D11D441"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008BE4B"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A7926AD"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69D98561" w14:textId="77777777" w:rsidTr="00D00B3F">
        <w:trPr>
          <w:tblCellSpacing w:w="15" w:type="dxa"/>
        </w:trPr>
        <w:tc>
          <w:tcPr>
            <w:tcW w:w="0" w:type="auto"/>
            <w:vAlign w:val="center"/>
            <w:hideMark/>
          </w:tcPr>
          <w:p w14:paraId="7E04932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DFL3</w:t>
            </w:r>
          </w:p>
        </w:tc>
        <w:tc>
          <w:tcPr>
            <w:tcW w:w="0" w:type="auto"/>
            <w:vAlign w:val="center"/>
            <w:hideMark/>
          </w:tcPr>
          <w:p w14:paraId="108E16F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0.862</w:t>
            </w:r>
          </w:p>
        </w:tc>
        <w:tc>
          <w:tcPr>
            <w:tcW w:w="0" w:type="auto"/>
            <w:vAlign w:val="center"/>
            <w:hideMark/>
          </w:tcPr>
          <w:p w14:paraId="361496E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EED7E6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16D32B"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AFD05D"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459072FB" w14:textId="77777777" w:rsidTr="00D00B3F">
        <w:trPr>
          <w:tblCellSpacing w:w="15" w:type="dxa"/>
        </w:trPr>
        <w:tc>
          <w:tcPr>
            <w:tcW w:w="0" w:type="auto"/>
            <w:vAlign w:val="center"/>
            <w:hideMark/>
          </w:tcPr>
          <w:p w14:paraId="58DED55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DFL4</w:t>
            </w:r>
          </w:p>
        </w:tc>
        <w:tc>
          <w:tcPr>
            <w:tcW w:w="0" w:type="auto"/>
            <w:vAlign w:val="center"/>
            <w:hideMark/>
          </w:tcPr>
          <w:p w14:paraId="77AB7B8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0.824</w:t>
            </w:r>
          </w:p>
        </w:tc>
        <w:tc>
          <w:tcPr>
            <w:tcW w:w="0" w:type="auto"/>
            <w:vAlign w:val="center"/>
            <w:hideMark/>
          </w:tcPr>
          <w:p w14:paraId="08AE5C0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240D7A1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11C6BB"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01CFDF"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6BCB6049" w14:textId="77777777" w:rsidTr="00D00B3F">
        <w:trPr>
          <w:tblCellSpacing w:w="15" w:type="dxa"/>
        </w:trPr>
        <w:tc>
          <w:tcPr>
            <w:tcW w:w="0" w:type="auto"/>
            <w:vAlign w:val="center"/>
            <w:hideMark/>
          </w:tcPr>
          <w:p w14:paraId="5197E04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w:t>
            </w:r>
          </w:p>
        </w:tc>
        <w:tc>
          <w:tcPr>
            <w:tcW w:w="0" w:type="auto"/>
            <w:vAlign w:val="center"/>
            <w:hideMark/>
          </w:tcPr>
          <w:p w14:paraId="4A83B62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9EF85A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0.941</w:t>
            </w:r>
          </w:p>
        </w:tc>
        <w:tc>
          <w:tcPr>
            <w:tcW w:w="0" w:type="auto"/>
            <w:vAlign w:val="center"/>
            <w:hideMark/>
          </w:tcPr>
          <w:p w14:paraId="34E82EB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0.923</w:t>
            </w:r>
          </w:p>
        </w:tc>
        <w:tc>
          <w:tcPr>
            <w:tcW w:w="0" w:type="auto"/>
            <w:vAlign w:val="center"/>
            <w:hideMark/>
          </w:tcPr>
          <w:p w14:paraId="4A5404E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0.726</w:t>
            </w:r>
          </w:p>
        </w:tc>
        <w:tc>
          <w:tcPr>
            <w:tcW w:w="0" w:type="auto"/>
            <w:vAlign w:val="center"/>
            <w:hideMark/>
          </w:tcPr>
          <w:p w14:paraId="144D127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58D22C17" w14:textId="77777777" w:rsidTr="00D00B3F">
        <w:trPr>
          <w:tblCellSpacing w:w="15" w:type="dxa"/>
        </w:trPr>
        <w:tc>
          <w:tcPr>
            <w:tcW w:w="0" w:type="auto"/>
            <w:vAlign w:val="center"/>
            <w:hideMark/>
          </w:tcPr>
          <w:p w14:paraId="7439BBA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VSQ1</w:t>
            </w:r>
          </w:p>
        </w:tc>
        <w:tc>
          <w:tcPr>
            <w:tcW w:w="0" w:type="auto"/>
            <w:vAlign w:val="center"/>
            <w:hideMark/>
          </w:tcPr>
          <w:p w14:paraId="65E15F5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0.886</w:t>
            </w:r>
          </w:p>
        </w:tc>
        <w:tc>
          <w:tcPr>
            <w:tcW w:w="0" w:type="auto"/>
            <w:vAlign w:val="center"/>
            <w:hideMark/>
          </w:tcPr>
          <w:p w14:paraId="121487A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8A581E4"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74C85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369A81"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3A98D43A" w14:textId="77777777" w:rsidTr="00D00B3F">
        <w:trPr>
          <w:tblCellSpacing w:w="15" w:type="dxa"/>
        </w:trPr>
        <w:tc>
          <w:tcPr>
            <w:tcW w:w="0" w:type="auto"/>
            <w:vAlign w:val="center"/>
            <w:hideMark/>
          </w:tcPr>
          <w:p w14:paraId="11F2576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VSQ2</w:t>
            </w:r>
          </w:p>
        </w:tc>
        <w:tc>
          <w:tcPr>
            <w:tcW w:w="0" w:type="auto"/>
            <w:vAlign w:val="center"/>
            <w:hideMark/>
          </w:tcPr>
          <w:p w14:paraId="190FFD9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0.837</w:t>
            </w:r>
          </w:p>
        </w:tc>
        <w:tc>
          <w:tcPr>
            <w:tcW w:w="0" w:type="auto"/>
            <w:vAlign w:val="center"/>
            <w:hideMark/>
          </w:tcPr>
          <w:p w14:paraId="15801DF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F094DB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F8256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C09174"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50ED832B" w14:textId="77777777" w:rsidTr="00D00B3F">
        <w:trPr>
          <w:tblCellSpacing w:w="15" w:type="dxa"/>
        </w:trPr>
        <w:tc>
          <w:tcPr>
            <w:tcW w:w="0" w:type="auto"/>
            <w:vAlign w:val="center"/>
            <w:hideMark/>
          </w:tcPr>
          <w:p w14:paraId="14127AA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VSQ3</w:t>
            </w:r>
          </w:p>
        </w:tc>
        <w:tc>
          <w:tcPr>
            <w:tcW w:w="0" w:type="auto"/>
            <w:vAlign w:val="center"/>
            <w:hideMark/>
          </w:tcPr>
          <w:p w14:paraId="23F9353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0.879</w:t>
            </w:r>
          </w:p>
        </w:tc>
        <w:tc>
          <w:tcPr>
            <w:tcW w:w="0" w:type="auto"/>
            <w:vAlign w:val="center"/>
            <w:hideMark/>
          </w:tcPr>
          <w:p w14:paraId="2A7C185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5BE776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F7944B"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00CE0D"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10D9929C" w14:textId="77777777" w:rsidTr="00D00B3F">
        <w:trPr>
          <w:tblCellSpacing w:w="15" w:type="dxa"/>
        </w:trPr>
        <w:tc>
          <w:tcPr>
            <w:tcW w:w="0" w:type="auto"/>
            <w:vAlign w:val="center"/>
            <w:hideMark/>
          </w:tcPr>
          <w:p w14:paraId="42CDD62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VSQ4</w:t>
            </w:r>
          </w:p>
        </w:tc>
        <w:tc>
          <w:tcPr>
            <w:tcW w:w="0" w:type="auto"/>
            <w:vAlign w:val="center"/>
            <w:hideMark/>
          </w:tcPr>
          <w:p w14:paraId="6D9E46C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0.890</w:t>
            </w:r>
          </w:p>
        </w:tc>
        <w:tc>
          <w:tcPr>
            <w:tcW w:w="0" w:type="auto"/>
            <w:vAlign w:val="center"/>
            <w:hideMark/>
          </w:tcPr>
          <w:p w14:paraId="6C0D1BC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DEE731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C1E0D8"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BDB8DB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033B0E82" w14:textId="77777777" w:rsidTr="00D00B3F">
        <w:trPr>
          <w:tblCellSpacing w:w="15" w:type="dxa"/>
        </w:trPr>
        <w:tc>
          <w:tcPr>
            <w:tcW w:w="0" w:type="auto"/>
            <w:vAlign w:val="center"/>
            <w:hideMark/>
          </w:tcPr>
          <w:p w14:paraId="05DA235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VSQ5</w:t>
            </w:r>
          </w:p>
        </w:tc>
        <w:tc>
          <w:tcPr>
            <w:tcW w:w="0" w:type="auto"/>
            <w:vAlign w:val="center"/>
            <w:hideMark/>
          </w:tcPr>
          <w:p w14:paraId="1C89C08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0.875</w:t>
            </w:r>
          </w:p>
        </w:tc>
        <w:tc>
          <w:tcPr>
            <w:tcW w:w="0" w:type="auto"/>
            <w:vAlign w:val="center"/>
            <w:hideMark/>
          </w:tcPr>
          <w:p w14:paraId="6BACD12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FE1205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AA24241"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D4AE9A"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4EC5BAE3" w14:textId="77777777" w:rsidTr="00D00B3F">
        <w:trPr>
          <w:tblCellSpacing w:w="15" w:type="dxa"/>
        </w:trPr>
        <w:tc>
          <w:tcPr>
            <w:tcW w:w="0" w:type="auto"/>
            <w:vAlign w:val="center"/>
            <w:hideMark/>
          </w:tcPr>
          <w:p w14:paraId="0BA84C6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VSQ6</w:t>
            </w:r>
          </w:p>
        </w:tc>
        <w:tc>
          <w:tcPr>
            <w:tcW w:w="0" w:type="auto"/>
            <w:vAlign w:val="center"/>
            <w:hideMark/>
          </w:tcPr>
          <w:p w14:paraId="528891B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0.734</w:t>
            </w:r>
          </w:p>
        </w:tc>
        <w:tc>
          <w:tcPr>
            <w:tcW w:w="0" w:type="auto"/>
            <w:vAlign w:val="center"/>
            <w:hideMark/>
          </w:tcPr>
          <w:p w14:paraId="5C4C13E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DA5944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3693E8"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D4E79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6227893" w14:textId="77777777" w:rsidTr="00D00B3F">
        <w:trPr>
          <w:tblCellSpacing w:w="15" w:type="dxa"/>
        </w:trPr>
        <w:tc>
          <w:tcPr>
            <w:tcW w:w="0" w:type="auto"/>
            <w:vAlign w:val="center"/>
            <w:hideMark/>
          </w:tcPr>
          <w:p w14:paraId="129F7C4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w:t>
            </w:r>
          </w:p>
        </w:tc>
        <w:tc>
          <w:tcPr>
            <w:tcW w:w="0" w:type="auto"/>
            <w:vAlign w:val="center"/>
            <w:hideMark/>
          </w:tcPr>
          <w:p w14:paraId="0B701D5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7217E9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0.900</w:t>
            </w:r>
          </w:p>
        </w:tc>
        <w:tc>
          <w:tcPr>
            <w:tcW w:w="0" w:type="auto"/>
            <w:vAlign w:val="center"/>
            <w:hideMark/>
          </w:tcPr>
          <w:p w14:paraId="0B037D9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0.777</w:t>
            </w:r>
          </w:p>
        </w:tc>
        <w:tc>
          <w:tcPr>
            <w:tcW w:w="0" w:type="auto"/>
            <w:vAlign w:val="center"/>
            <w:hideMark/>
          </w:tcPr>
          <w:p w14:paraId="1FF4FB6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0.817</w:t>
            </w:r>
          </w:p>
        </w:tc>
        <w:tc>
          <w:tcPr>
            <w:tcW w:w="0" w:type="auto"/>
            <w:vAlign w:val="center"/>
            <w:hideMark/>
          </w:tcPr>
          <w:p w14:paraId="145E064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3EE620D1" w14:textId="77777777" w:rsidTr="00D00B3F">
        <w:trPr>
          <w:tblCellSpacing w:w="15" w:type="dxa"/>
        </w:trPr>
        <w:tc>
          <w:tcPr>
            <w:tcW w:w="0" w:type="auto"/>
            <w:vAlign w:val="center"/>
            <w:hideMark/>
          </w:tcPr>
          <w:p w14:paraId="2378898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BI1</w:t>
            </w:r>
          </w:p>
        </w:tc>
        <w:tc>
          <w:tcPr>
            <w:tcW w:w="0" w:type="auto"/>
            <w:vAlign w:val="center"/>
            <w:hideMark/>
          </w:tcPr>
          <w:p w14:paraId="623FD52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0.910</w:t>
            </w:r>
          </w:p>
        </w:tc>
        <w:tc>
          <w:tcPr>
            <w:tcW w:w="0" w:type="auto"/>
            <w:vAlign w:val="center"/>
            <w:hideMark/>
          </w:tcPr>
          <w:p w14:paraId="45E046D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80A05D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8DCB63"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C0721A"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3D23C315" w14:textId="77777777" w:rsidTr="00D00B3F">
        <w:trPr>
          <w:tblCellSpacing w:w="15" w:type="dxa"/>
        </w:trPr>
        <w:tc>
          <w:tcPr>
            <w:tcW w:w="0" w:type="auto"/>
            <w:vAlign w:val="center"/>
            <w:hideMark/>
          </w:tcPr>
          <w:p w14:paraId="1D85D5C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BI3</w:t>
            </w:r>
          </w:p>
        </w:tc>
        <w:tc>
          <w:tcPr>
            <w:tcW w:w="0" w:type="auto"/>
            <w:vAlign w:val="center"/>
            <w:hideMark/>
          </w:tcPr>
          <w:p w14:paraId="32681E8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0.898</w:t>
            </w:r>
          </w:p>
        </w:tc>
        <w:tc>
          <w:tcPr>
            <w:tcW w:w="0" w:type="auto"/>
            <w:vAlign w:val="center"/>
            <w:hideMark/>
          </w:tcPr>
          <w:p w14:paraId="5F68AB1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D79519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3C412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9C8EE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323DD63B" w14:textId="77777777" w:rsidTr="00D00B3F">
        <w:trPr>
          <w:tblCellSpacing w:w="15" w:type="dxa"/>
        </w:trPr>
        <w:tc>
          <w:tcPr>
            <w:tcW w:w="0" w:type="auto"/>
            <w:vAlign w:val="center"/>
            <w:hideMark/>
          </w:tcPr>
          <w:p w14:paraId="1FFFE42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w:t>
            </w:r>
          </w:p>
        </w:tc>
        <w:tc>
          <w:tcPr>
            <w:tcW w:w="0" w:type="auto"/>
            <w:vAlign w:val="center"/>
            <w:hideMark/>
          </w:tcPr>
          <w:p w14:paraId="36E1939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6E83B1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0.887</w:t>
            </w:r>
          </w:p>
        </w:tc>
        <w:tc>
          <w:tcPr>
            <w:tcW w:w="0" w:type="auto"/>
            <w:vAlign w:val="center"/>
            <w:hideMark/>
          </w:tcPr>
          <w:p w14:paraId="162F810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0.809</w:t>
            </w:r>
          </w:p>
        </w:tc>
        <w:tc>
          <w:tcPr>
            <w:tcW w:w="0" w:type="auto"/>
            <w:vAlign w:val="center"/>
            <w:hideMark/>
          </w:tcPr>
          <w:p w14:paraId="3776A33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0.724</w:t>
            </w:r>
          </w:p>
        </w:tc>
        <w:tc>
          <w:tcPr>
            <w:tcW w:w="0" w:type="auto"/>
            <w:vAlign w:val="center"/>
            <w:hideMark/>
          </w:tcPr>
          <w:p w14:paraId="5D5F75F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583E0BDB" w14:textId="77777777" w:rsidTr="00D00B3F">
        <w:trPr>
          <w:tblCellSpacing w:w="15" w:type="dxa"/>
        </w:trPr>
        <w:tc>
          <w:tcPr>
            <w:tcW w:w="0" w:type="auto"/>
            <w:vAlign w:val="center"/>
            <w:hideMark/>
          </w:tcPr>
          <w:p w14:paraId="09506A2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UB1</w:t>
            </w:r>
          </w:p>
        </w:tc>
        <w:tc>
          <w:tcPr>
            <w:tcW w:w="0" w:type="auto"/>
            <w:vAlign w:val="center"/>
            <w:hideMark/>
          </w:tcPr>
          <w:p w14:paraId="6D062AE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0.802</w:t>
            </w:r>
          </w:p>
        </w:tc>
        <w:tc>
          <w:tcPr>
            <w:tcW w:w="0" w:type="auto"/>
            <w:vAlign w:val="center"/>
            <w:hideMark/>
          </w:tcPr>
          <w:p w14:paraId="20A8784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A1ACA4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CDFB9F"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3B051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0CBFD908" w14:textId="77777777" w:rsidTr="00D00B3F">
        <w:trPr>
          <w:tblCellSpacing w:w="15" w:type="dxa"/>
        </w:trPr>
        <w:tc>
          <w:tcPr>
            <w:tcW w:w="0" w:type="auto"/>
            <w:vAlign w:val="center"/>
            <w:hideMark/>
          </w:tcPr>
          <w:p w14:paraId="5F59B09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UB2</w:t>
            </w:r>
          </w:p>
        </w:tc>
        <w:tc>
          <w:tcPr>
            <w:tcW w:w="0" w:type="auto"/>
            <w:vAlign w:val="center"/>
            <w:hideMark/>
          </w:tcPr>
          <w:p w14:paraId="0ED971F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0.898</w:t>
            </w:r>
          </w:p>
        </w:tc>
        <w:tc>
          <w:tcPr>
            <w:tcW w:w="0" w:type="auto"/>
            <w:vAlign w:val="center"/>
            <w:hideMark/>
          </w:tcPr>
          <w:p w14:paraId="46F6F9E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BDD406D"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FD499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FD4EA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241E247" w14:textId="77777777" w:rsidTr="00D00B3F">
        <w:trPr>
          <w:tblCellSpacing w:w="15" w:type="dxa"/>
        </w:trPr>
        <w:tc>
          <w:tcPr>
            <w:tcW w:w="0" w:type="auto"/>
            <w:vAlign w:val="center"/>
            <w:hideMark/>
          </w:tcPr>
          <w:p w14:paraId="36F5B26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UB3</w:t>
            </w:r>
          </w:p>
        </w:tc>
        <w:tc>
          <w:tcPr>
            <w:tcW w:w="0" w:type="auto"/>
            <w:vAlign w:val="center"/>
            <w:hideMark/>
          </w:tcPr>
          <w:p w14:paraId="0AC97FC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0.850</w:t>
            </w:r>
          </w:p>
        </w:tc>
        <w:tc>
          <w:tcPr>
            <w:tcW w:w="0" w:type="auto"/>
            <w:vAlign w:val="center"/>
            <w:hideMark/>
          </w:tcPr>
          <w:p w14:paraId="6F3863F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615EDC2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F31C36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32309F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5C1FA0F3" w14:textId="77777777" w:rsidTr="00D00B3F">
        <w:trPr>
          <w:tblCellSpacing w:w="15" w:type="dxa"/>
        </w:trPr>
        <w:tc>
          <w:tcPr>
            <w:tcW w:w="0" w:type="auto"/>
            <w:vAlign w:val="center"/>
            <w:hideMark/>
          </w:tcPr>
          <w:p w14:paraId="6492BBA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w:t>
            </w:r>
          </w:p>
        </w:tc>
        <w:tc>
          <w:tcPr>
            <w:tcW w:w="0" w:type="auto"/>
            <w:vAlign w:val="center"/>
            <w:hideMark/>
          </w:tcPr>
          <w:p w14:paraId="6C36AC6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88082A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0.919</w:t>
            </w:r>
          </w:p>
        </w:tc>
        <w:tc>
          <w:tcPr>
            <w:tcW w:w="0" w:type="auto"/>
            <w:vAlign w:val="center"/>
            <w:hideMark/>
          </w:tcPr>
          <w:p w14:paraId="4520D9C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0.883</w:t>
            </w:r>
          </w:p>
        </w:tc>
        <w:tc>
          <w:tcPr>
            <w:tcW w:w="0" w:type="auto"/>
            <w:vAlign w:val="center"/>
            <w:hideMark/>
          </w:tcPr>
          <w:p w14:paraId="184F2EA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0.741</w:t>
            </w:r>
          </w:p>
        </w:tc>
        <w:tc>
          <w:tcPr>
            <w:tcW w:w="0" w:type="auto"/>
            <w:vAlign w:val="center"/>
            <w:hideMark/>
          </w:tcPr>
          <w:p w14:paraId="30BCF56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Yes</w:t>
            </w:r>
          </w:p>
        </w:tc>
      </w:tr>
      <w:tr w:rsidR="00D8206B" w:rsidRPr="00D8206B" w14:paraId="01470ABA" w14:textId="77777777" w:rsidTr="00D00B3F">
        <w:trPr>
          <w:tblCellSpacing w:w="15" w:type="dxa"/>
        </w:trPr>
        <w:tc>
          <w:tcPr>
            <w:tcW w:w="0" w:type="auto"/>
            <w:vAlign w:val="center"/>
            <w:hideMark/>
          </w:tcPr>
          <w:p w14:paraId="446E620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FI1</w:t>
            </w:r>
          </w:p>
        </w:tc>
        <w:tc>
          <w:tcPr>
            <w:tcW w:w="0" w:type="auto"/>
            <w:vAlign w:val="center"/>
            <w:hideMark/>
          </w:tcPr>
          <w:p w14:paraId="59B3283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0.829</w:t>
            </w:r>
          </w:p>
        </w:tc>
        <w:tc>
          <w:tcPr>
            <w:tcW w:w="0" w:type="auto"/>
            <w:vAlign w:val="center"/>
            <w:hideMark/>
          </w:tcPr>
          <w:p w14:paraId="4919B97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AEDDA81"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E48ED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495B7A"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6320A275" w14:textId="77777777" w:rsidTr="00D00B3F">
        <w:trPr>
          <w:tblCellSpacing w:w="15" w:type="dxa"/>
        </w:trPr>
        <w:tc>
          <w:tcPr>
            <w:tcW w:w="0" w:type="auto"/>
            <w:vAlign w:val="center"/>
            <w:hideMark/>
          </w:tcPr>
          <w:p w14:paraId="1D7325E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FI2</w:t>
            </w:r>
          </w:p>
        </w:tc>
        <w:tc>
          <w:tcPr>
            <w:tcW w:w="0" w:type="auto"/>
            <w:vAlign w:val="center"/>
            <w:hideMark/>
          </w:tcPr>
          <w:p w14:paraId="6582392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0.899</w:t>
            </w:r>
          </w:p>
        </w:tc>
        <w:tc>
          <w:tcPr>
            <w:tcW w:w="0" w:type="auto"/>
            <w:vAlign w:val="center"/>
            <w:hideMark/>
          </w:tcPr>
          <w:p w14:paraId="4FD78CE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1B44981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8A6F1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6D5621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34F59243" w14:textId="77777777" w:rsidTr="00D00B3F">
        <w:trPr>
          <w:tblCellSpacing w:w="15" w:type="dxa"/>
        </w:trPr>
        <w:tc>
          <w:tcPr>
            <w:tcW w:w="0" w:type="auto"/>
            <w:vAlign w:val="center"/>
            <w:hideMark/>
          </w:tcPr>
          <w:p w14:paraId="760552B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FI3</w:t>
            </w:r>
          </w:p>
        </w:tc>
        <w:tc>
          <w:tcPr>
            <w:tcW w:w="0" w:type="auto"/>
            <w:vAlign w:val="center"/>
            <w:hideMark/>
          </w:tcPr>
          <w:p w14:paraId="454446F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0.886</w:t>
            </w:r>
          </w:p>
        </w:tc>
        <w:tc>
          <w:tcPr>
            <w:tcW w:w="0" w:type="auto"/>
            <w:vAlign w:val="center"/>
            <w:hideMark/>
          </w:tcPr>
          <w:p w14:paraId="6763935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218B5D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03EFC3"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11E7C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6FBE2931" w14:textId="77777777" w:rsidTr="00D00B3F">
        <w:trPr>
          <w:tblCellSpacing w:w="15" w:type="dxa"/>
        </w:trPr>
        <w:tc>
          <w:tcPr>
            <w:tcW w:w="0" w:type="auto"/>
            <w:vAlign w:val="center"/>
            <w:hideMark/>
          </w:tcPr>
          <w:p w14:paraId="4BF8ED6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FI4</w:t>
            </w:r>
          </w:p>
        </w:tc>
        <w:tc>
          <w:tcPr>
            <w:tcW w:w="0" w:type="auto"/>
            <w:vAlign w:val="center"/>
            <w:hideMark/>
          </w:tcPr>
          <w:p w14:paraId="27B96DA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0.826</w:t>
            </w:r>
          </w:p>
        </w:tc>
        <w:tc>
          <w:tcPr>
            <w:tcW w:w="0" w:type="auto"/>
            <w:vAlign w:val="center"/>
            <w:hideMark/>
          </w:tcPr>
          <w:p w14:paraId="0FB1621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230CB07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DADA9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FFA08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bl>
    <w:p w14:paraId="6D3F27F2"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2AEC6587" w14:textId="77777777" w:rsid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Table 2 provides a comprehensive overview of the MCMQ. In this examination, we evaluate various parameters including FL, CR, α, and AVE to assess convergent validity, following the guidelines outlined by Hair et al., </w:t>
      </w:r>
      <w:r w:rsidRPr="00D8206B">
        <w:rPr>
          <w:rFonts w:ascii="Times New Roman" w:eastAsia="Calibri" w:hAnsi="Times New Roman" w:cs="Times New Roman"/>
          <w:kern w:val="0"/>
          <w:lang w:val="en-GB"/>
          <w14:ligatures w14:val="none"/>
        </w:rPr>
        <w:lastRenderedPageBreak/>
        <w:t xml:space="preserve">(2020). Most factor loading values are higher than the standard, 0.70, except for DFL1 (0.584) and BI2 (0.460). In this regard, DFL1 and BI2 were subsequently removed from the research model. Furthermore, the validity together with the reliability meet the criteria, with CR, α, and AVE values exceeding thresholds of 0.70, 0.70, and 0.50, respectively. Discriminant validity is determined by employing two methods. The first is the Fornell–Larcker criterion as shown in Table 3, and the second is the coefficient determination shown in Table 4. </w:t>
      </w:r>
    </w:p>
    <w:p w14:paraId="49FFB433" w14:textId="77777777" w:rsidR="00D8206B" w:rsidRPr="00D8206B" w:rsidRDefault="00D8206B" w:rsidP="00D8206B">
      <w:pPr>
        <w:keepNext/>
        <w:keepLines/>
        <w:spacing w:before="40" w:after="0" w:line="259" w:lineRule="auto"/>
        <w:outlineLvl w:val="2"/>
        <w:rPr>
          <w:rFonts w:ascii="Times New Roman" w:eastAsia="Times New Roman" w:hAnsi="Times New Roman" w:cs="Times New Roman"/>
          <w:color w:val="1F4D78"/>
          <w:kern w:val="0"/>
          <w:lang w:val="en-GB"/>
          <w14:ligatures w14:val="none"/>
        </w:rPr>
      </w:pPr>
      <w:r w:rsidRPr="00D8206B">
        <w:rPr>
          <w:rFonts w:ascii="Calibri Light" w:eastAsia="Times New Roman" w:hAnsi="Calibri Light" w:cs="Times New Roman"/>
          <w:color w:val="1F4D78"/>
          <w:kern w:val="0"/>
          <w:lang w:val="en-GB"/>
          <w14:ligatures w14:val="none"/>
        </w:rPr>
        <w:t>Table 3 Fornell–Larcker criterion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600"/>
        <w:gridCol w:w="600"/>
        <w:gridCol w:w="600"/>
        <w:gridCol w:w="600"/>
        <w:gridCol w:w="600"/>
        <w:gridCol w:w="600"/>
        <w:gridCol w:w="600"/>
        <w:gridCol w:w="600"/>
        <w:gridCol w:w="615"/>
      </w:tblGrid>
      <w:tr w:rsidR="00D8206B" w:rsidRPr="00D8206B" w14:paraId="500301F0" w14:textId="77777777" w:rsidTr="00D00B3F">
        <w:trPr>
          <w:tblHeader/>
          <w:tblCellSpacing w:w="15" w:type="dxa"/>
        </w:trPr>
        <w:tc>
          <w:tcPr>
            <w:tcW w:w="0" w:type="auto"/>
            <w:vAlign w:val="center"/>
            <w:hideMark/>
          </w:tcPr>
          <w:p w14:paraId="71B0DF4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29732720"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BI</w:t>
            </w:r>
          </w:p>
        </w:tc>
        <w:tc>
          <w:tcPr>
            <w:tcW w:w="0" w:type="auto"/>
            <w:vAlign w:val="center"/>
            <w:hideMark/>
          </w:tcPr>
          <w:p w14:paraId="41B0B93D"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DFL</w:t>
            </w:r>
          </w:p>
        </w:tc>
        <w:tc>
          <w:tcPr>
            <w:tcW w:w="0" w:type="auto"/>
            <w:vAlign w:val="center"/>
            <w:hideMark/>
          </w:tcPr>
          <w:p w14:paraId="33BF1EFF"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FI</w:t>
            </w:r>
          </w:p>
        </w:tc>
        <w:tc>
          <w:tcPr>
            <w:tcW w:w="0" w:type="auto"/>
            <w:vAlign w:val="center"/>
            <w:hideMark/>
          </w:tcPr>
          <w:p w14:paraId="4614DB34"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GS</w:t>
            </w:r>
          </w:p>
        </w:tc>
        <w:tc>
          <w:tcPr>
            <w:tcW w:w="0" w:type="auto"/>
            <w:vAlign w:val="center"/>
            <w:hideMark/>
          </w:tcPr>
          <w:p w14:paraId="292A2712"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PEU</w:t>
            </w:r>
          </w:p>
        </w:tc>
        <w:tc>
          <w:tcPr>
            <w:tcW w:w="0" w:type="auto"/>
            <w:vAlign w:val="center"/>
            <w:hideMark/>
          </w:tcPr>
          <w:p w14:paraId="51299476"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PI</w:t>
            </w:r>
          </w:p>
        </w:tc>
        <w:tc>
          <w:tcPr>
            <w:tcW w:w="0" w:type="auto"/>
            <w:vAlign w:val="center"/>
            <w:hideMark/>
          </w:tcPr>
          <w:p w14:paraId="4331522D"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PU</w:t>
            </w:r>
          </w:p>
        </w:tc>
        <w:tc>
          <w:tcPr>
            <w:tcW w:w="0" w:type="auto"/>
            <w:vAlign w:val="center"/>
            <w:hideMark/>
          </w:tcPr>
          <w:p w14:paraId="562A63FC"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UB</w:t>
            </w:r>
          </w:p>
        </w:tc>
        <w:tc>
          <w:tcPr>
            <w:tcW w:w="0" w:type="auto"/>
            <w:vAlign w:val="center"/>
            <w:hideMark/>
          </w:tcPr>
          <w:p w14:paraId="334A9A02"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VSQ</w:t>
            </w:r>
          </w:p>
        </w:tc>
      </w:tr>
      <w:tr w:rsidR="00D8206B" w:rsidRPr="00D8206B" w14:paraId="61BC65A5" w14:textId="77777777" w:rsidTr="00D00B3F">
        <w:trPr>
          <w:tblCellSpacing w:w="15" w:type="dxa"/>
        </w:trPr>
        <w:tc>
          <w:tcPr>
            <w:tcW w:w="0" w:type="auto"/>
            <w:vAlign w:val="center"/>
            <w:hideMark/>
          </w:tcPr>
          <w:p w14:paraId="1E6E2B6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w:t>
            </w:r>
          </w:p>
        </w:tc>
        <w:tc>
          <w:tcPr>
            <w:tcW w:w="0" w:type="auto"/>
            <w:vAlign w:val="center"/>
            <w:hideMark/>
          </w:tcPr>
          <w:p w14:paraId="0383F8B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0.904</w:t>
            </w:r>
          </w:p>
        </w:tc>
        <w:tc>
          <w:tcPr>
            <w:tcW w:w="0" w:type="auto"/>
            <w:vAlign w:val="center"/>
            <w:hideMark/>
          </w:tcPr>
          <w:p w14:paraId="78EA613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29FA2A4"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2F4192"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F36FA2"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20E5B6A"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D5C8E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880B4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25445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1CF73903" w14:textId="77777777" w:rsidTr="00D00B3F">
        <w:trPr>
          <w:tblCellSpacing w:w="15" w:type="dxa"/>
        </w:trPr>
        <w:tc>
          <w:tcPr>
            <w:tcW w:w="0" w:type="auto"/>
            <w:vAlign w:val="center"/>
            <w:hideMark/>
          </w:tcPr>
          <w:p w14:paraId="13945E2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DFL</w:t>
            </w:r>
          </w:p>
        </w:tc>
        <w:tc>
          <w:tcPr>
            <w:tcW w:w="0" w:type="auto"/>
            <w:vAlign w:val="center"/>
            <w:hideMark/>
          </w:tcPr>
          <w:p w14:paraId="3DEDF27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0.430</w:t>
            </w:r>
          </w:p>
        </w:tc>
        <w:tc>
          <w:tcPr>
            <w:tcW w:w="0" w:type="auto"/>
            <w:vAlign w:val="center"/>
            <w:hideMark/>
          </w:tcPr>
          <w:p w14:paraId="6C7C6ED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0.836</w:t>
            </w:r>
          </w:p>
        </w:tc>
        <w:tc>
          <w:tcPr>
            <w:tcW w:w="0" w:type="auto"/>
            <w:vAlign w:val="center"/>
            <w:hideMark/>
          </w:tcPr>
          <w:p w14:paraId="7CB5083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80A202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77FFB64"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DBFDE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A840D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CC3B3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40989C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3803C69" w14:textId="77777777" w:rsidTr="00D00B3F">
        <w:trPr>
          <w:tblCellSpacing w:w="15" w:type="dxa"/>
        </w:trPr>
        <w:tc>
          <w:tcPr>
            <w:tcW w:w="0" w:type="auto"/>
            <w:vAlign w:val="center"/>
            <w:hideMark/>
          </w:tcPr>
          <w:p w14:paraId="5352F7E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w:t>
            </w:r>
          </w:p>
        </w:tc>
        <w:tc>
          <w:tcPr>
            <w:tcW w:w="0" w:type="auto"/>
            <w:vAlign w:val="center"/>
            <w:hideMark/>
          </w:tcPr>
          <w:p w14:paraId="30FCAA7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0.725</w:t>
            </w:r>
          </w:p>
        </w:tc>
        <w:tc>
          <w:tcPr>
            <w:tcW w:w="0" w:type="auto"/>
            <w:vAlign w:val="center"/>
            <w:hideMark/>
          </w:tcPr>
          <w:p w14:paraId="6824596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0.436</w:t>
            </w:r>
          </w:p>
        </w:tc>
        <w:tc>
          <w:tcPr>
            <w:tcW w:w="0" w:type="auto"/>
            <w:vAlign w:val="center"/>
            <w:hideMark/>
          </w:tcPr>
          <w:p w14:paraId="55863A1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0.861</w:t>
            </w:r>
          </w:p>
        </w:tc>
        <w:tc>
          <w:tcPr>
            <w:tcW w:w="0" w:type="auto"/>
            <w:vAlign w:val="center"/>
            <w:hideMark/>
          </w:tcPr>
          <w:p w14:paraId="196EE88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EDC80E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C4903CA"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23443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FD825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7E4DE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647C290A" w14:textId="77777777" w:rsidTr="00D00B3F">
        <w:trPr>
          <w:tblCellSpacing w:w="15" w:type="dxa"/>
        </w:trPr>
        <w:tc>
          <w:tcPr>
            <w:tcW w:w="0" w:type="auto"/>
            <w:vAlign w:val="center"/>
            <w:hideMark/>
          </w:tcPr>
          <w:p w14:paraId="199A74A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w:t>
            </w:r>
          </w:p>
        </w:tc>
        <w:tc>
          <w:tcPr>
            <w:tcW w:w="0" w:type="auto"/>
            <w:vAlign w:val="center"/>
            <w:hideMark/>
          </w:tcPr>
          <w:p w14:paraId="5579920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0.612</w:t>
            </w:r>
          </w:p>
        </w:tc>
        <w:tc>
          <w:tcPr>
            <w:tcW w:w="0" w:type="auto"/>
            <w:vAlign w:val="center"/>
            <w:hideMark/>
          </w:tcPr>
          <w:p w14:paraId="33E3868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0.398</w:t>
            </w:r>
          </w:p>
        </w:tc>
        <w:tc>
          <w:tcPr>
            <w:tcW w:w="0" w:type="auto"/>
            <w:vAlign w:val="center"/>
            <w:hideMark/>
          </w:tcPr>
          <w:p w14:paraId="3AAC080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0.651</w:t>
            </w:r>
          </w:p>
        </w:tc>
        <w:tc>
          <w:tcPr>
            <w:tcW w:w="0" w:type="auto"/>
            <w:vAlign w:val="center"/>
            <w:hideMark/>
          </w:tcPr>
          <w:p w14:paraId="74BC2C4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0.877</w:t>
            </w:r>
          </w:p>
        </w:tc>
        <w:tc>
          <w:tcPr>
            <w:tcW w:w="0" w:type="auto"/>
            <w:vAlign w:val="center"/>
            <w:hideMark/>
          </w:tcPr>
          <w:p w14:paraId="71FCCF0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A9E406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190CE0"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0FD155"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9DE6957"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3E2B47F8" w14:textId="77777777" w:rsidTr="00D00B3F">
        <w:trPr>
          <w:tblCellSpacing w:w="15" w:type="dxa"/>
        </w:trPr>
        <w:tc>
          <w:tcPr>
            <w:tcW w:w="0" w:type="auto"/>
            <w:vAlign w:val="center"/>
            <w:hideMark/>
          </w:tcPr>
          <w:p w14:paraId="0A3F449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PEU</w:t>
            </w:r>
          </w:p>
        </w:tc>
        <w:tc>
          <w:tcPr>
            <w:tcW w:w="0" w:type="auto"/>
            <w:vAlign w:val="center"/>
            <w:hideMark/>
          </w:tcPr>
          <w:p w14:paraId="38382F0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0.614</w:t>
            </w:r>
          </w:p>
        </w:tc>
        <w:tc>
          <w:tcPr>
            <w:tcW w:w="0" w:type="auto"/>
            <w:vAlign w:val="center"/>
            <w:hideMark/>
          </w:tcPr>
          <w:p w14:paraId="5E70D9E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0.447</w:t>
            </w:r>
          </w:p>
        </w:tc>
        <w:tc>
          <w:tcPr>
            <w:tcW w:w="0" w:type="auto"/>
            <w:vAlign w:val="center"/>
            <w:hideMark/>
          </w:tcPr>
          <w:p w14:paraId="2A64AC9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0.667</w:t>
            </w:r>
          </w:p>
        </w:tc>
        <w:tc>
          <w:tcPr>
            <w:tcW w:w="0" w:type="auto"/>
            <w:vAlign w:val="center"/>
            <w:hideMark/>
          </w:tcPr>
          <w:p w14:paraId="733DFAB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0.618</w:t>
            </w:r>
          </w:p>
        </w:tc>
        <w:tc>
          <w:tcPr>
            <w:tcW w:w="0" w:type="auto"/>
            <w:vAlign w:val="center"/>
            <w:hideMark/>
          </w:tcPr>
          <w:p w14:paraId="2BC9155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0.885</w:t>
            </w:r>
          </w:p>
        </w:tc>
        <w:tc>
          <w:tcPr>
            <w:tcW w:w="0" w:type="auto"/>
            <w:vAlign w:val="center"/>
            <w:hideMark/>
          </w:tcPr>
          <w:p w14:paraId="5C44FEB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DED080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59C1F1"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722CBE"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1920F44A" w14:textId="77777777" w:rsidTr="00D00B3F">
        <w:trPr>
          <w:tblCellSpacing w:w="15" w:type="dxa"/>
        </w:trPr>
        <w:tc>
          <w:tcPr>
            <w:tcW w:w="0" w:type="auto"/>
            <w:vAlign w:val="center"/>
            <w:hideMark/>
          </w:tcPr>
          <w:p w14:paraId="1D74D1D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w:t>
            </w:r>
          </w:p>
        </w:tc>
        <w:tc>
          <w:tcPr>
            <w:tcW w:w="0" w:type="auto"/>
            <w:vAlign w:val="center"/>
            <w:hideMark/>
          </w:tcPr>
          <w:p w14:paraId="25A3937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0.507</w:t>
            </w:r>
          </w:p>
        </w:tc>
        <w:tc>
          <w:tcPr>
            <w:tcW w:w="0" w:type="auto"/>
            <w:vAlign w:val="center"/>
            <w:hideMark/>
          </w:tcPr>
          <w:p w14:paraId="0F5C9B4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0.324</w:t>
            </w:r>
          </w:p>
        </w:tc>
        <w:tc>
          <w:tcPr>
            <w:tcW w:w="0" w:type="auto"/>
            <w:vAlign w:val="center"/>
            <w:hideMark/>
          </w:tcPr>
          <w:p w14:paraId="6EBD362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0.438</w:t>
            </w:r>
          </w:p>
        </w:tc>
        <w:tc>
          <w:tcPr>
            <w:tcW w:w="0" w:type="auto"/>
            <w:vAlign w:val="center"/>
            <w:hideMark/>
          </w:tcPr>
          <w:p w14:paraId="6BD4383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0.441</w:t>
            </w:r>
          </w:p>
        </w:tc>
        <w:tc>
          <w:tcPr>
            <w:tcW w:w="0" w:type="auto"/>
            <w:vAlign w:val="center"/>
            <w:hideMark/>
          </w:tcPr>
          <w:p w14:paraId="477D3DC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0.337</w:t>
            </w:r>
          </w:p>
        </w:tc>
        <w:tc>
          <w:tcPr>
            <w:tcW w:w="0" w:type="auto"/>
            <w:vAlign w:val="center"/>
            <w:hideMark/>
          </w:tcPr>
          <w:p w14:paraId="2AB7736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0.887</w:t>
            </w:r>
          </w:p>
        </w:tc>
        <w:tc>
          <w:tcPr>
            <w:tcW w:w="0" w:type="auto"/>
            <w:vAlign w:val="center"/>
            <w:hideMark/>
          </w:tcPr>
          <w:p w14:paraId="5AD3F3A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10379D2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946CDB"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1BC19A9" w14:textId="77777777" w:rsidTr="00D00B3F">
        <w:trPr>
          <w:tblCellSpacing w:w="15" w:type="dxa"/>
        </w:trPr>
        <w:tc>
          <w:tcPr>
            <w:tcW w:w="0" w:type="auto"/>
            <w:vAlign w:val="center"/>
            <w:hideMark/>
          </w:tcPr>
          <w:p w14:paraId="20486F7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PU</w:t>
            </w:r>
          </w:p>
        </w:tc>
        <w:tc>
          <w:tcPr>
            <w:tcW w:w="0" w:type="auto"/>
            <w:vAlign w:val="center"/>
            <w:hideMark/>
          </w:tcPr>
          <w:p w14:paraId="15E9AF2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0.661</w:t>
            </w:r>
          </w:p>
        </w:tc>
        <w:tc>
          <w:tcPr>
            <w:tcW w:w="0" w:type="auto"/>
            <w:vAlign w:val="center"/>
            <w:hideMark/>
          </w:tcPr>
          <w:p w14:paraId="40F1537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0.449</w:t>
            </w:r>
          </w:p>
        </w:tc>
        <w:tc>
          <w:tcPr>
            <w:tcW w:w="0" w:type="auto"/>
            <w:vAlign w:val="center"/>
            <w:hideMark/>
          </w:tcPr>
          <w:p w14:paraId="051BF67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0.690</w:t>
            </w:r>
          </w:p>
        </w:tc>
        <w:tc>
          <w:tcPr>
            <w:tcW w:w="0" w:type="auto"/>
            <w:vAlign w:val="center"/>
            <w:hideMark/>
          </w:tcPr>
          <w:p w14:paraId="1CCA0A5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0.623</w:t>
            </w:r>
          </w:p>
        </w:tc>
        <w:tc>
          <w:tcPr>
            <w:tcW w:w="0" w:type="auto"/>
            <w:vAlign w:val="center"/>
            <w:hideMark/>
          </w:tcPr>
          <w:p w14:paraId="0DFB9BC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0.823</w:t>
            </w:r>
          </w:p>
        </w:tc>
        <w:tc>
          <w:tcPr>
            <w:tcW w:w="0" w:type="auto"/>
            <w:vAlign w:val="center"/>
            <w:hideMark/>
          </w:tcPr>
          <w:p w14:paraId="0893D18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0.346</w:t>
            </w:r>
          </w:p>
        </w:tc>
        <w:tc>
          <w:tcPr>
            <w:tcW w:w="0" w:type="auto"/>
            <w:vAlign w:val="center"/>
            <w:hideMark/>
          </w:tcPr>
          <w:p w14:paraId="29DAC0C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0.892</w:t>
            </w:r>
          </w:p>
        </w:tc>
        <w:tc>
          <w:tcPr>
            <w:tcW w:w="0" w:type="auto"/>
            <w:vAlign w:val="center"/>
            <w:hideMark/>
          </w:tcPr>
          <w:p w14:paraId="4823434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0BD7D2BB"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14DA46C4" w14:textId="77777777" w:rsidTr="00D00B3F">
        <w:trPr>
          <w:tblCellSpacing w:w="15" w:type="dxa"/>
        </w:trPr>
        <w:tc>
          <w:tcPr>
            <w:tcW w:w="0" w:type="auto"/>
            <w:vAlign w:val="center"/>
            <w:hideMark/>
          </w:tcPr>
          <w:p w14:paraId="58315E6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w:t>
            </w:r>
          </w:p>
        </w:tc>
        <w:tc>
          <w:tcPr>
            <w:tcW w:w="0" w:type="auto"/>
            <w:vAlign w:val="center"/>
            <w:hideMark/>
          </w:tcPr>
          <w:p w14:paraId="78FF98E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0.798</w:t>
            </w:r>
          </w:p>
        </w:tc>
        <w:tc>
          <w:tcPr>
            <w:tcW w:w="0" w:type="auto"/>
            <w:vAlign w:val="center"/>
            <w:hideMark/>
          </w:tcPr>
          <w:p w14:paraId="009A40B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0.436</w:t>
            </w:r>
          </w:p>
        </w:tc>
        <w:tc>
          <w:tcPr>
            <w:tcW w:w="0" w:type="auto"/>
            <w:vAlign w:val="center"/>
            <w:hideMark/>
          </w:tcPr>
          <w:p w14:paraId="38B29D0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0.773</w:t>
            </w:r>
          </w:p>
        </w:tc>
        <w:tc>
          <w:tcPr>
            <w:tcW w:w="0" w:type="auto"/>
            <w:vAlign w:val="center"/>
            <w:hideMark/>
          </w:tcPr>
          <w:p w14:paraId="373FE85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0.623</w:t>
            </w:r>
          </w:p>
        </w:tc>
        <w:tc>
          <w:tcPr>
            <w:tcW w:w="0" w:type="auto"/>
            <w:vAlign w:val="center"/>
            <w:hideMark/>
          </w:tcPr>
          <w:p w14:paraId="29C251F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0.614</w:t>
            </w:r>
          </w:p>
        </w:tc>
        <w:tc>
          <w:tcPr>
            <w:tcW w:w="0" w:type="auto"/>
            <w:vAlign w:val="center"/>
            <w:hideMark/>
          </w:tcPr>
          <w:p w14:paraId="1ED029B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0.512</w:t>
            </w:r>
          </w:p>
        </w:tc>
        <w:tc>
          <w:tcPr>
            <w:tcW w:w="0" w:type="auto"/>
            <w:vAlign w:val="center"/>
            <w:hideMark/>
          </w:tcPr>
          <w:p w14:paraId="32DCD39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0.661</w:t>
            </w:r>
          </w:p>
        </w:tc>
        <w:tc>
          <w:tcPr>
            <w:tcW w:w="0" w:type="auto"/>
            <w:vAlign w:val="center"/>
            <w:hideMark/>
          </w:tcPr>
          <w:p w14:paraId="5CADB1E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0.851</w:t>
            </w:r>
          </w:p>
        </w:tc>
        <w:tc>
          <w:tcPr>
            <w:tcW w:w="0" w:type="auto"/>
            <w:vAlign w:val="center"/>
            <w:hideMark/>
          </w:tcPr>
          <w:p w14:paraId="0E8EBC4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r>
      <w:tr w:rsidR="00D8206B" w:rsidRPr="00D8206B" w14:paraId="327CEF31" w14:textId="77777777" w:rsidTr="00D00B3F">
        <w:trPr>
          <w:tblCellSpacing w:w="15" w:type="dxa"/>
        </w:trPr>
        <w:tc>
          <w:tcPr>
            <w:tcW w:w="0" w:type="auto"/>
            <w:vAlign w:val="center"/>
            <w:hideMark/>
          </w:tcPr>
          <w:p w14:paraId="14D9858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w:t>
            </w:r>
          </w:p>
        </w:tc>
        <w:tc>
          <w:tcPr>
            <w:tcW w:w="0" w:type="auto"/>
            <w:vAlign w:val="center"/>
            <w:hideMark/>
          </w:tcPr>
          <w:p w14:paraId="77E53C7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0.832</w:t>
            </w:r>
          </w:p>
        </w:tc>
        <w:tc>
          <w:tcPr>
            <w:tcW w:w="0" w:type="auto"/>
            <w:vAlign w:val="center"/>
            <w:hideMark/>
          </w:tcPr>
          <w:p w14:paraId="304DEE6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0.445</w:t>
            </w:r>
          </w:p>
        </w:tc>
        <w:tc>
          <w:tcPr>
            <w:tcW w:w="0" w:type="auto"/>
            <w:vAlign w:val="center"/>
            <w:hideMark/>
          </w:tcPr>
          <w:p w14:paraId="38BF0C5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0.787</w:t>
            </w:r>
          </w:p>
        </w:tc>
        <w:tc>
          <w:tcPr>
            <w:tcW w:w="0" w:type="auto"/>
            <w:vAlign w:val="center"/>
            <w:hideMark/>
          </w:tcPr>
          <w:p w14:paraId="1448CD7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0.667</w:t>
            </w:r>
          </w:p>
        </w:tc>
        <w:tc>
          <w:tcPr>
            <w:tcW w:w="0" w:type="auto"/>
            <w:vAlign w:val="center"/>
            <w:hideMark/>
          </w:tcPr>
          <w:p w14:paraId="47FFAEC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0.717</w:t>
            </w:r>
          </w:p>
        </w:tc>
        <w:tc>
          <w:tcPr>
            <w:tcW w:w="0" w:type="auto"/>
            <w:vAlign w:val="center"/>
            <w:hideMark/>
          </w:tcPr>
          <w:p w14:paraId="36E163A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0.541</w:t>
            </w:r>
          </w:p>
        </w:tc>
        <w:tc>
          <w:tcPr>
            <w:tcW w:w="0" w:type="auto"/>
            <w:vAlign w:val="center"/>
            <w:hideMark/>
          </w:tcPr>
          <w:p w14:paraId="7FBA046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0.751</w:t>
            </w:r>
          </w:p>
        </w:tc>
        <w:tc>
          <w:tcPr>
            <w:tcW w:w="0" w:type="auto"/>
            <w:vAlign w:val="center"/>
            <w:hideMark/>
          </w:tcPr>
          <w:p w14:paraId="1E48608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0.792</w:t>
            </w:r>
          </w:p>
        </w:tc>
        <w:tc>
          <w:tcPr>
            <w:tcW w:w="0" w:type="auto"/>
            <w:vAlign w:val="center"/>
            <w:hideMark/>
          </w:tcPr>
          <w:p w14:paraId="59ABE4F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b/>
                <w:bCs/>
                <w:kern w:val="0"/>
                <w14:ligatures w14:val="none"/>
              </w:rPr>
              <w:t>0.852</w:t>
            </w:r>
          </w:p>
        </w:tc>
      </w:tr>
    </w:tbl>
    <w:p w14:paraId="7DF0FB7F"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20ED290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According to Hair et al. (2014), the Fornell–Larcker criterion is considered confirmed if the square root of a variable's AVE exceeds its largest correlation with any other variable. In the model </w:t>
      </w:r>
      <w:proofErr w:type="spellStart"/>
      <w:r w:rsidRPr="00D8206B">
        <w:rPr>
          <w:rFonts w:ascii="Times New Roman" w:eastAsia="Calibri" w:hAnsi="Times New Roman" w:cs="Times New Roman"/>
          <w:kern w:val="0"/>
          <w:lang w:val="en-GB"/>
          <w14:ligatures w14:val="none"/>
        </w:rPr>
        <w:t>analyzed</w:t>
      </w:r>
      <w:proofErr w:type="spellEnd"/>
      <w:r w:rsidRPr="00D8206B">
        <w:rPr>
          <w:rFonts w:ascii="Times New Roman" w:eastAsia="Calibri" w:hAnsi="Times New Roman" w:cs="Times New Roman"/>
          <w:kern w:val="0"/>
          <w:lang w:val="en-GB"/>
          <w14:ligatures w14:val="none"/>
        </w:rPr>
        <w:t xml:space="preserve">, all constructs (highlighted in bold) have AVE values that exceed the threshold for the common variance. Furthermore, in Table 4, the items are highlighted with their respective cross-loadings, and each of these items (also highlighted in bold) has a cross-loading value that is higher than its corresponding counterpart (Hair et al., 2014). </w:t>
      </w:r>
    </w:p>
    <w:p w14:paraId="454BCEFB" w14:textId="77777777" w:rsidR="00D8206B" w:rsidRPr="00D8206B" w:rsidRDefault="00D8206B" w:rsidP="00D8206B">
      <w:pPr>
        <w:keepNext/>
        <w:keepLines/>
        <w:spacing w:before="40" w:after="0" w:line="259" w:lineRule="auto"/>
        <w:outlineLvl w:val="2"/>
        <w:rPr>
          <w:rFonts w:ascii="Times New Roman" w:eastAsia="Times New Roman" w:hAnsi="Times New Roman" w:cs="Times New Roman"/>
          <w:color w:val="1F4D78"/>
          <w:kern w:val="0"/>
          <w:lang w:val="en-GB"/>
          <w14:ligatures w14:val="none"/>
        </w:rPr>
      </w:pPr>
      <w:r w:rsidRPr="00D8206B">
        <w:rPr>
          <w:rFonts w:ascii="Calibri Light" w:eastAsia="Times New Roman" w:hAnsi="Calibri Light" w:cs="Times New Roman"/>
          <w:color w:val="1F4D78"/>
          <w:kern w:val="0"/>
          <w:lang w:val="en-GB"/>
          <w14:ligatures w14:val="none"/>
        </w:rPr>
        <w:t>Table 4 Coefficient determinant, effect size, and predictive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616"/>
        <w:gridCol w:w="1274"/>
        <w:gridCol w:w="600"/>
        <w:gridCol w:w="615"/>
      </w:tblGrid>
      <w:tr w:rsidR="00D8206B" w:rsidRPr="00D8206B" w14:paraId="5B478C3A" w14:textId="77777777" w:rsidTr="00D00B3F">
        <w:trPr>
          <w:tblHeader/>
          <w:tblCellSpacing w:w="15" w:type="dxa"/>
        </w:trPr>
        <w:tc>
          <w:tcPr>
            <w:tcW w:w="0" w:type="auto"/>
            <w:vAlign w:val="center"/>
            <w:hideMark/>
          </w:tcPr>
          <w:p w14:paraId="08503A12"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Construct</w:t>
            </w:r>
          </w:p>
        </w:tc>
        <w:tc>
          <w:tcPr>
            <w:tcW w:w="0" w:type="auto"/>
            <w:vAlign w:val="center"/>
            <w:hideMark/>
          </w:tcPr>
          <w:p w14:paraId="08D07193"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f²</w:t>
            </w:r>
          </w:p>
        </w:tc>
        <w:tc>
          <w:tcPr>
            <w:tcW w:w="0" w:type="auto"/>
            <w:vAlign w:val="center"/>
            <w:hideMark/>
          </w:tcPr>
          <w:p w14:paraId="3FA1CE3F"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Effect size</w:t>
            </w:r>
          </w:p>
        </w:tc>
        <w:tc>
          <w:tcPr>
            <w:tcW w:w="0" w:type="auto"/>
            <w:vAlign w:val="center"/>
            <w:hideMark/>
          </w:tcPr>
          <w:p w14:paraId="3D72296B"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R²</w:t>
            </w:r>
          </w:p>
        </w:tc>
        <w:tc>
          <w:tcPr>
            <w:tcW w:w="0" w:type="auto"/>
            <w:vAlign w:val="center"/>
            <w:hideMark/>
          </w:tcPr>
          <w:p w14:paraId="5FABC23D"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Q²</w:t>
            </w:r>
          </w:p>
        </w:tc>
      </w:tr>
      <w:tr w:rsidR="00D8206B" w:rsidRPr="00D8206B" w14:paraId="4F3069F3" w14:textId="77777777" w:rsidTr="00D00B3F">
        <w:trPr>
          <w:tblCellSpacing w:w="15" w:type="dxa"/>
        </w:trPr>
        <w:tc>
          <w:tcPr>
            <w:tcW w:w="0" w:type="auto"/>
            <w:vAlign w:val="center"/>
            <w:hideMark/>
          </w:tcPr>
          <w:p w14:paraId="62DB86C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w:t>
            </w:r>
          </w:p>
        </w:tc>
        <w:tc>
          <w:tcPr>
            <w:tcW w:w="0" w:type="auto"/>
            <w:vAlign w:val="center"/>
            <w:hideMark/>
          </w:tcPr>
          <w:p w14:paraId="1ACD735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6CF2A59"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986C5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0.706</w:t>
            </w:r>
          </w:p>
        </w:tc>
        <w:tc>
          <w:tcPr>
            <w:tcW w:w="0" w:type="auto"/>
            <w:vAlign w:val="center"/>
            <w:hideMark/>
          </w:tcPr>
          <w:p w14:paraId="46809DB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0.566</w:t>
            </w:r>
          </w:p>
        </w:tc>
      </w:tr>
      <w:tr w:rsidR="00D8206B" w:rsidRPr="00D8206B" w14:paraId="6B3DADDD" w14:textId="77777777" w:rsidTr="00D00B3F">
        <w:trPr>
          <w:tblCellSpacing w:w="15" w:type="dxa"/>
        </w:trPr>
        <w:tc>
          <w:tcPr>
            <w:tcW w:w="0" w:type="auto"/>
            <w:vAlign w:val="center"/>
            <w:hideMark/>
          </w:tcPr>
          <w:p w14:paraId="0F5D66A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w:t>
            </w:r>
          </w:p>
        </w:tc>
        <w:tc>
          <w:tcPr>
            <w:tcW w:w="0" w:type="auto"/>
            <w:vAlign w:val="center"/>
            <w:hideMark/>
          </w:tcPr>
          <w:p w14:paraId="0D3799D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2915950A"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C03627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0.708</w:t>
            </w:r>
          </w:p>
        </w:tc>
        <w:tc>
          <w:tcPr>
            <w:tcW w:w="0" w:type="auto"/>
            <w:vAlign w:val="center"/>
            <w:hideMark/>
          </w:tcPr>
          <w:p w14:paraId="68E66F0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0.505</w:t>
            </w:r>
          </w:p>
        </w:tc>
      </w:tr>
      <w:tr w:rsidR="00D8206B" w:rsidRPr="00D8206B" w14:paraId="62858316" w14:textId="77777777" w:rsidTr="00D00B3F">
        <w:trPr>
          <w:tblCellSpacing w:w="15" w:type="dxa"/>
        </w:trPr>
        <w:tc>
          <w:tcPr>
            <w:tcW w:w="0" w:type="auto"/>
            <w:vAlign w:val="center"/>
            <w:hideMark/>
          </w:tcPr>
          <w:p w14:paraId="3843E71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FI</w:t>
            </w:r>
          </w:p>
        </w:tc>
        <w:tc>
          <w:tcPr>
            <w:tcW w:w="0" w:type="auto"/>
            <w:vAlign w:val="center"/>
            <w:hideMark/>
          </w:tcPr>
          <w:p w14:paraId="2004C46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1EF90F6"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991CA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0.597</w:t>
            </w:r>
          </w:p>
        </w:tc>
        <w:tc>
          <w:tcPr>
            <w:tcW w:w="0" w:type="auto"/>
            <w:vAlign w:val="center"/>
            <w:hideMark/>
          </w:tcPr>
          <w:p w14:paraId="22EC690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0.439</w:t>
            </w:r>
          </w:p>
        </w:tc>
      </w:tr>
      <w:tr w:rsidR="00D8206B" w:rsidRPr="00D8206B" w14:paraId="2B5B7A01" w14:textId="77777777" w:rsidTr="00D00B3F">
        <w:trPr>
          <w:tblCellSpacing w:w="15" w:type="dxa"/>
        </w:trPr>
        <w:tc>
          <w:tcPr>
            <w:tcW w:w="0" w:type="auto"/>
            <w:vAlign w:val="center"/>
            <w:hideMark/>
          </w:tcPr>
          <w:p w14:paraId="3702CB8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 → BI</w:t>
            </w:r>
          </w:p>
        </w:tc>
        <w:tc>
          <w:tcPr>
            <w:tcW w:w="0" w:type="auto"/>
            <w:vAlign w:val="center"/>
            <w:hideMark/>
          </w:tcPr>
          <w:p w14:paraId="01466FB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0.487</w:t>
            </w:r>
          </w:p>
        </w:tc>
        <w:tc>
          <w:tcPr>
            <w:tcW w:w="0" w:type="auto"/>
            <w:vAlign w:val="center"/>
            <w:hideMark/>
          </w:tcPr>
          <w:p w14:paraId="063823B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Medium</w:t>
            </w:r>
          </w:p>
        </w:tc>
        <w:tc>
          <w:tcPr>
            <w:tcW w:w="0" w:type="auto"/>
            <w:vAlign w:val="center"/>
            <w:hideMark/>
          </w:tcPr>
          <w:p w14:paraId="32BDBB8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33CF1B6A"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CE4A20A" w14:textId="77777777" w:rsidTr="00D00B3F">
        <w:trPr>
          <w:tblCellSpacing w:w="15" w:type="dxa"/>
        </w:trPr>
        <w:tc>
          <w:tcPr>
            <w:tcW w:w="0" w:type="auto"/>
            <w:vAlign w:val="center"/>
            <w:hideMark/>
          </w:tcPr>
          <w:p w14:paraId="6F6434F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 → UB</w:t>
            </w:r>
          </w:p>
        </w:tc>
        <w:tc>
          <w:tcPr>
            <w:tcW w:w="0" w:type="auto"/>
            <w:vAlign w:val="center"/>
            <w:hideMark/>
          </w:tcPr>
          <w:p w14:paraId="724FE91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0.163</w:t>
            </w:r>
          </w:p>
        </w:tc>
        <w:tc>
          <w:tcPr>
            <w:tcW w:w="0" w:type="auto"/>
            <w:vAlign w:val="center"/>
            <w:hideMark/>
          </w:tcPr>
          <w:p w14:paraId="7EACF56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Medium</w:t>
            </w:r>
          </w:p>
        </w:tc>
        <w:tc>
          <w:tcPr>
            <w:tcW w:w="0" w:type="auto"/>
            <w:vAlign w:val="center"/>
            <w:hideMark/>
          </w:tcPr>
          <w:p w14:paraId="4C508F7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99BE673"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7A1A76CC" w14:textId="77777777" w:rsidTr="00D00B3F">
        <w:trPr>
          <w:tblCellSpacing w:w="15" w:type="dxa"/>
        </w:trPr>
        <w:tc>
          <w:tcPr>
            <w:tcW w:w="0" w:type="auto"/>
            <w:vAlign w:val="center"/>
            <w:hideMark/>
          </w:tcPr>
          <w:p w14:paraId="6A2958C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 → FI</w:t>
            </w:r>
          </w:p>
        </w:tc>
        <w:tc>
          <w:tcPr>
            <w:tcW w:w="0" w:type="auto"/>
            <w:vAlign w:val="center"/>
            <w:hideMark/>
          </w:tcPr>
          <w:p w14:paraId="4F3FFA4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1.482</w:t>
            </w:r>
          </w:p>
        </w:tc>
        <w:tc>
          <w:tcPr>
            <w:tcW w:w="0" w:type="auto"/>
            <w:vAlign w:val="center"/>
            <w:hideMark/>
          </w:tcPr>
          <w:p w14:paraId="6472294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Large</w:t>
            </w:r>
          </w:p>
        </w:tc>
        <w:tc>
          <w:tcPr>
            <w:tcW w:w="0" w:type="auto"/>
            <w:vAlign w:val="center"/>
            <w:hideMark/>
          </w:tcPr>
          <w:p w14:paraId="0AA733D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4B7C4972"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r w:rsidR="00D8206B" w:rsidRPr="00D8206B" w14:paraId="2163B7D9" w14:textId="77777777" w:rsidTr="00D00B3F">
        <w:trPr>
          <w:tblCellSpacing w:w="15" w:type="dxa"/>
        </w:trPr>
        <w:tc>
          <w:tcPr>
            <w:tcW w:w="0" w:type="auto"/>
            <w:vAlign w:val="center"/>
            <w:hideMark/>
          </w:tcPr>
          <w:p w14:paraId="644C6EE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All other paths</w:t>
            </w:r>
          </w:p>
        </w:tc>
        <w:tc>
          <w:tcPr>
            <w:tcW w:w="0" w:type="auto"/>
            <w:vAlign w:val="center"/>
            <w:hideMark/>
          </w:tcPr>
          <w:p w14:paraId="6346E13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&lt;0.15</w:t>
            </w:r>
          </w:p>
        </w:tc>
        <w:tc>
          <w:tcPr>
            <w:tcW w:w="0" w:type="auto"/>
            <w:vAlign w:val="center"/>
            <w:hideMark/>
          </w:tcPr>
          <w:p w14:paraId="3139EFC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Small / none</w:t>
            </w:r>
          </w:p>
        </w:tc>
        <w:tc>
          <w:tcPr>
            <w:tcW w:w="0" w:type="auto"/>
            <w:vAlign w:val="center"/>
            <w:hideMark/>
          </w:tcPr>
          <w:p w14:paraId="16AFF95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77FC33FF"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r>
    </w:tbl>
    <w:p w14:paraId="0990BD34"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2E398B9D" w14:textId="77777777" w:rsidR="00DA5AE9" w:rsidRDefault="00DA5AE9" w:rsidP="00D8206B">
      <w:pPr>
        <w:keepNext/>
        <w:keepLines/>
        <w:spacing w:before="40" w:after="0" w:line="259" w:lineRule="auto"/>
        <w:outlineLvl w:val="2"/>
        <w:rPr>
          <w:rFonts w:ascii="Calibri Light" w:eastAsia="Times New Roman" w:hAnsi="Calibri Light" w:cs="Times New Roman"/>
          <w:color w:val="1F4D78"/>
          <w:kern w:val="0"/>
          <w:lang w:val="en-GB"/>
          <w14:ligatures w14:val="none"/>
        </w:rPr>
      </w:pPr>
    </w:p>
    <w:p w14:paraId="10B71E4E" w14:textId="1426C3FD" w:rsidR="00D8206B" w:rsidRPr="00D8206B" w:rsidRDefault="00D8206B" w:rsidP="00D8206B">
      <w:pPr>
        <w:keepNext/>
        <w:keepLines/>
        <w:spacing w:before="40" w:after="0" w:line="259" w:lineRule="auto"/>
        <w:outlineLvl w:val="2"/>
        <w:rPr>
          <w:rFonts w:ascii="Times New Roman" w:eastAsia="Times New Roman" w:hAnsi="Times New Roman" w:cs="Times New Roman"/>
          <w:color w:val="1F4D78"/>
          <w:kern w:val="0"/>
          <w:lang w:val="en-GB"/>
          <w14:ligatures w14:val="none"/>
        </w:rPr>
      </w:pPr>
      <w:r w:rsidRPr="00D8206B">
        <w:rPr>
          <w:rFonts w:ascii="Calibri Light" w:eastAsia="Times New Roman" w:hAnsi="Calibri Light" w:cs="Times New Roman"/>
          <w:color w:val="1F4D78"/>
          <w:kern w:val="0"/>
          <w:lang w:val="en-GB"/>
          <w14:ligatures w14:val="none"/>
        </w:rPr>
        <w:t>Table 5 Results of direct path hypotheses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234"/>
        <w:gridCol w:w="1707"/>
        <w:gridCol w:w="821"/>
        <w:gridCol w:w="1442"/>
      </w:tblGrid>
      <w:tr w:rsidR="00D8206B" w:rsidRPr="00D8206B" w14:paraId="4CB96DBC" w14:textId="77777777" w:rsidTr="00D00B3F">
        <w:trPr>
          <w:tblHeader/>
          <w:tblCellSpacing w:w="15" w:type="dxa"/>
        </w:trPr>
        <w:tc>
          <w:tcPr>
            <w:tcW w:w="0" w:type="auto"/>
            <w:vAlign w:val="center"/>
            <w:hideMark/>
          </w:tcPr>
          <w:p w14:paraId="5C124278"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Hypotheses</w:t>
            </w:r>
          </w:p>
        </w:tc>
        <w:tc>
          <w:tcPr>
            <w:tcW w:w="0" w:type="auto"/>
            <w:vAlign w:val="center"/>
            <w:hideMark/>
          </w:tcPr>
          <w:p w14:paraId="438CCEE9"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Direct path</w:t>
            </w:r>
          </w:p>
        </w:tc>
        <w:tc>
          <w:tcPr>
            <w:tcW w:w="0" w:type="auto"/>
            <w:vAlign w:val="center"/>
            <w:hideMark/>
          </w:tcPr>
          <w:p w14:paraId="0BEA87E8"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Original sample</w:t>
            </w:r>
          </w:p>
        </w:tc>
        <w:tc>
          <w:tcPr>
            <w:tcW w:w="0" w:type="auto"/>
            <w:vAlign w:val="center"/>
            <w:hideMark/>
          </w:tcPr>
          <w:p w14:paraId="3F6C78CB"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p-value</w:t>
            </w:r>
          </w:p>
        </w:tc>
        <w:tc>
          <w:tcPr>
            <w:tcW w:w="0" w:type="auto"/>
            <w:vAlign w:val="center"/>
            <w:hideMark/>
          </w:tcPr>
          <w:p w14:paraId="3F62CF59"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Decision</w:t>
            </w:r>
          </w:p>
        </w:tc>
      </w:tr>
      <w:tr w:rsidR="00D8206B" w:rsidRPr="00D8206B" w14:paraId="4A025B9A" w14:textId="77777777" w:rsidTr="00D00B3F">
        <w:trPr>
          <w:tblCellSpacing w:w="15" w:type="dxa"/>
        </w:trPr>
        <w:tc>
          <w:tcPr>
            <w:tcW w:w="0" w:type="auto"/>
            <w:vAlign w:val="center"/>
            <w:hideMark/>
          </w:tcPr>
          <w:p w14:paraId="00B3AE6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H6a</w:t>
            </w:r>
          </w:p>
        </w:tc>
        <w:tc>
          <w:tcPr>
            <w:tcW w:w="0" w:type="auto"/>
            <w:vAlign w:val="center"/>
            <w:hideMark/>
          </w:tcPr>
          <w:p w14:paraId="0837390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 → BI</w:t>
            </w:r>
          </w:p>
        </w:tc>
        <w:tc>
          <w:tcPr>
            <w:tcW w:w="0" w:type="auto"/>
            <w:vAlign w:val="center"/>
            <w:hideMark/>
          </w:tcPr>
          <w:p w14:paraId="4992B80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0.686</w:t>
            </w:r>
          </w:p>
        </w:tc>
        <w:tc>
          <w:tcPr>
            <w:tcW w:w="0" w:type="auto"/>
            <w:vAlign w:val="center"/>
            <w:hideMark/>
          </w:tcPr>
          <w:p w14:paraId="1CABA42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7FC52AA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4BC63F8B" w14:textId="77777777" w:rsidTr="00D00B3F">
        <w:trPr>
          <w:tblCellSpacing w:w="15" w:type="dxa"/>
        </w:trPr>
        <w:tc>
          <w:tcPr>
            <w:tcW w:w="0" w:type="auto"/>
            <w:vAlign w:val="center"/>
            <w:hideMark/>
          </w:tcPr>
          <w:p w14:paraId="5781046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H6b</w:t>
            </w:r>
          </w:p>
        </w:tc>
        <w:tc>
          <w:tcPr>
            <w:tcW w:w="0" w:type="auto"/>
            <w:vAlign w:val="center"/>
            <w:hideMark/>
          </w:tcPr>
          <w:p w14:paraId="0B93AF8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 → UB</w:t>
            </w:r>
          </w:p>
        </w:tc>
        <w:tc>
          <w:tcPr>
            <w:tcW w:w="0" w:type="auto"/>
            <w:vAlign w:val="center"/>
            <w:hideMark/>
          </w:tcPr>
          <w:p w14:paraId="3BC09C8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0.267</w:t>
            </w:r>
          </w:p>
        </w:tc>
        <w:tc>
          <w:tcPr>
            <w:tcW w:w="0" w:type="auto"/>
            <w:vAlign w:val="center"/>
            <w:hideMark/>
          </w:tcPr>
          <w:p w14:paraId="6742283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700D5D6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021F9DD8" w14:textId="77777777" w:rsidTr="00D00B3F">
        <w:trPr>
          <w:tblCellSpacing w:w="15" w:type="dxa"/>
        </w:trPr>
        <w:tc>
          <w:tcPr>
            <w:tcW w:w="0" w:type="auto"/>
            <w:vAlign w:val="center"/>
            <w:hideMark/>
          </w:tcPr>
          <w:p w14:paraId="0F8097A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H7</w:t>
            </w:r>
          </w:p>
        </w:tc>
        <w:tc>
          <w:tcPr>
            <w:tcW w:w="0" w:type="auto"/>
            <w:vAlign w:val="center"/>
            <w:hideMark/>
          </w:tcPr>
          <w:p w14:paraId="5345D70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 → UB</w:t>
            </w:r>
          </w:p>
        </w:tc>
        <w:tc>
          <w:tcPr>
            <w:tcW w:w="0" w:type="auto"/>
            <w:vAlign w:val="center"/>
            <w:hideMark/>
          </w:tcPr>
          <w:p w14:paraId="3957E63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0.402</w:t>
            </w:r>
          </w:p>
        </w:tc>
        <w:tc>
          <w:tcPr>
            <w:tcW w:w="0" w:type="auto"/>
            <w:vAlign w:val="center"/>
            <w:hideMark/>
          </w:tcPr>
          <w:p w14:paraId="7C27934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154B3AE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78DC73D5" w14:textId="77777777" w:rsidTr="00D00B3F">
        <w:trPr>
          <w:tblCellSpacing w:w="15" w:type="dxa"/>
        </w:trPr>
        <w:tc>
          <w:tcPr>
            <w:tcW w:w="0" w:type="auto"/>
            <w:vAlign w:val="center"/>
            <w:hideMark/>
          </w:tcPr>
          <w:p w14:paraId="11F7067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H8</w:t>
            </w:r>
          </w:p>
        </w:tc>
        <w:tc>
          <w:tcPr>
            <w:tcW w:w="0" w:type="auto"/>
            <w:vAlign w:val="center"/>
            <w:hideMark/>
          </w:tcPr>
          <w:p w14:paraId="4CC0CAE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 → FI</w:t>
            </w:r>
          </w:p>
        </w:tc>
        <w:tc>
          <w:tcPr>
            <w:tcW w:w="0" w:type="auto"/>
            <w:vAlign w:val="center"/>
            <w:hideMark/>
          </w:tcPr>
          <w:p w14:paraId="1B3489B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0.773</w:t>
            </w:r>
          </w:p>
        </w:tc>
        <w:tc>
          <w:tcPr>
            <w:tcW w:w="0" w:type="auto"/>
            <w:vAlign w:val="center"/>
            <w:hideMark/>
          </w:tcPr>
          <w:p w14:paraId="4994C34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6B13FCF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24B5A409" w14:textId="77777777" w:rsidTr="00D00B3F">
        <w:trPr>
          <w:tblCellSpacing w:w="15" w:type="dxa"/>
        </w:trPr>
        <w:tc>
          <w:tcPr>
            <w:tcW w:w="0" w:type="auto"/>
            <w:vAlign w:val="center"/>
            <w:hideMark/>
          </w:tcPr>
          <w:p w14:paraId="3C54A5F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H3a</w:t>
            </w:r>
          </w:p>
        </w:tc>
        <w:tc>
          <w:tcPr>
            <w:tcW w:w="0" w:type="auto"/>
            <w:vAlign w:val="center"/>
            <w:hideMark/>
          </w:tcPr>
          <w:p w14:paraId="1670E59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 → BI</w:t>
            </w:r>
          </w:p>
        </w:tc>
        <w:tc>
          <w:tcPr>
            <w:tcW w:w="0" w:type="auto"/>
            <w:vAlign w:val="center"/>
            <w:hideMark/>
          </w:tcPr>
          <w:p w14:paraId="0425271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0.071</w:t>
            </w:r>
          </w:p>
        </w:tc>
        <w:tc>
          <w:tcPr>
            <w:tcW w:w="0" w:type="auto"/>
            <w:vAlign w:val="center"/>
            <w:hideMark/>
          </w:tcPr>
          <w:p w14:paraId="2059E85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0.013</w:t>
            </w:r>
          </w:p>
        </w:tc>
        <w:tc>
          <w:tcPr>
            <w:tcW w:w="0" w:type="auto"/>
            <w:vAlign w:val="center"/>
            <w:hideMark/>
          </w:tcPr>
          <w:p w14:paraId="3433078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75365D97" w14:textId="77777777" w:rsidTr="00D00B3F">
        <w:trPr>
          <w:tblCellSpacing w:w="15" w:type="dxa"/>
        </w:trPr>
        <w:tc>
          <w:tcPr>
            <w:tcW w:w="0" w:type="auto"/>
            <w:vAlign w:val="center"/>
            <w:hideMark/>
          </w:tcPr>
          <w:p w14:paraId="6762B1C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H3b</w:t>
            </w:r>
          </w:p>
        </w:tc>
        <w:tc>
          <w:tcPr>
            <w:tcW w:w="0" w:type="auto"/>
            <w:vAlign w:val="center"/>
            <w:hideMark/>
          </w:tcPr>
          <w:p w14:paraId="504A13B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 → UB</w:t>
            </w:r>
          </w:p>
        </w:tc>
        <w:tc>
          <w:tcPr>
            <w:tcW w:w="0" w:type="auto"/>
            <w:vAlign w:val="center"/>
            <w:hideMark/>
          </w:tcPr>
          <w:p w14:paraId="44E2AB0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0.079</w:t>
            </w:r>
          </w:p>
        </w:tc>
        <w:tc>
          <w:tcPr>
            <w:tcW w:w="0" w:type="auto"/>
            <w:vAlign w:val="center"/>
            <w:hideMark/>
          </w:tcPr>
          <w:p w14:paraId="46C7B55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0.030</w:t>
            </w:r>
          </w:p>
        </w:tc>
        <w:tc>
          <w:tcPr>
            <w:tcW w:w="0" w:type="auto"/>
            <w:vAlign w:val="center"/>
            <w:hideMark/>
          </w:tcPr>
          <w:p w14:paraId="76855C6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1EEB4167" w14:textId="77777777" w:rsidTr="00D00B3F">
        <w:trPr>
          <w:tblCellSpacing w:w="15" w:type="dxa"/>
        </w:trPr>
        <w:tc>
          <w:tcPr>
            <w:tcW w:w="0" w:type="auto"/>
            <w:vAlign w:val="center"/>
            <w:hideMark/>
          </w:tcPr>
          <w:p w14:paraId="41B14E0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H4b</w:t>
            </w:r>
          </w:p>
        </w:tc>
        <w:tc>
          <w:tcPr>
            <w:tcW w:w="0" w:type="auto"/>
            <w:vAlign w:val="center"/>
            <w:hideMark/>
          </w:tcPr>
          <w:p w14:paraId="4A0B839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 → UB</w:t>
            </w:r>
          </w:p>
        </w:tc>
        <w:tc>
          <w:tcPr>
            <w:tcW w:w="0" w:type="auto"/>
            <w:vAlign w:val="center"/>
            <w:hideMark/>
          </w:tcPr>
          <w:p w14:paraId="36C3126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0.091</w:t>
            </w:r>
          </w:p>
        </w:tc>
        <w:tc>
          <w:tcPr>
            <w:tcW w:w="0" w:type="auto"/>
            <w:vAlign w:val="center"/>
            <w:hideMark/>
          </w:tcPr>
          <w:p w14:paraId="74A643F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0.013</w:t>
            </w:r>
          </w:p>
        </w:tc>
        <w:tc>
          <w:tcPr>
            <w:tcW w:w="0" w:type="auto"/>
            <w:vAlign w:val="center"/>
            <w:hideMark/>
          </w:tcPr>
          <w:p w14:paraId="29899A2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3C75E12D" w14:textId="77777777" w:rsidTr="00D00B3F">
        <w:trPr>
          <w:tblCellSpacing w:w="15" w:type="dxa"/>
        </w:trPr>
        <w:tc>
          <w:tcPr>
            <w:tcW w:w="0" w:type="auto"/>
            <w:vAlign w:val="center"/>
            <w:hideMark/>
          </w:tcPr>
          <w:p w14:paraId="4238DC9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All others</w:t>
            </w:r>
          </w:p>
        </w:tc>
        <w:tc>
          <w:tcPr>
            <w:tcW w:w="0" w:type="auto"/>
            <w:vAlign w:val="center"/>
            <w:hideMark/>
          </w:tcPr>
          <w:p w14:paraId="1A737456"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A42B4CC"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1EE0B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&gt;0.05</w:t>
            </w:r>
          </w:p>
        </w:tc>
        <w:tc>
          <w:tcPr>
            <w:tcW w:w="0" w:type="auto"/>
            <w:vAlign w:val="center"/>
            <w:hideMark/>
          </w:tcPr>
          <w:p w14:paraId="57A051F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Not supported</w:t>
            </w:r>
          </w:p>
        </w:tc>
      </w:tr>
    </w:tbl>
    <w:p w14:paraId="114C50C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37C34BBE"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Table 5 shows the main statistical measures, including the effect size (f²), the coefficient of determination (R²), and the prediction model (Q²). The effect size is assessed in accordance with guideline by Cohen (2013). Based on this guideline, the value of 0.35 is considered large, 0.15 is considered medium, and 0.02 is considered small. In addition, the explanatory power is assessed using R². In line with Chin (1998), a substantial level is identified when the value reaches 0.67, while values of 0.33 is considered moderate and values 0.10 is considered weak. In this study, the R² values for BI and UB are 0.706 and 0.708, respectively. These results indicate that the independent factors comprise 70.6% of the variance in the explanation of BI and 70.8% in UB. With a value of 0.597, UB has a moderate explanatory power for FI in Nigeria. Finally, the Q² value of above 0 reveals that the model is a predictive model.</w:t>
      </w:r>
    </w:p>
    <w:p w14:paraId="5A3D7803"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0331E994" w14:textId="77777777" w:rsidR="00D8206B" w:rsidRPr="00D8206B" w:rsidRDefault="00D8206B" w:rsidP="00D8206B">
      <w:pPr>
        <w:keepNext/>
        <w:keepLines/>
        <w:spacing w:before="40" w:after="0" w:line="259" w:lineRule="auto"/>
        <w:outlineLvl w:val="2"/>
        <w:rPr>
          <w:rFonts w:ascii="Times New Roman" w:eastAsia="Times New Roman" w:hAnsi="Times New Roman" w:cs="Times New Roman"/>
          <w:color w:val="1F4D78"/>
          <w:kern w:val="0"/>
          <w:lang w:val="en-GB"/>
          <w14:ligatures w14:val="none"/>
        </w:rPr>
      </w:pPr>
      <w:r w:rsidRPr="00D8206B">
        <w:rPr>
          <w:rFonts w:ascii="Calibri Light" w:eastAsia="Times New Roman" w:hAnsi="Calibri Light" w:cs="Times New Roman"/>
          <w:color w:val="1F4D78"/>
          <w:kern w:val="0"/>
          <w:lang w:val="en-GB"/>
          <w14:ligatures w14:val="none"/>
        </w:rPr>
        <w:t>Table 6 Results of mediating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234"/>
        <w:gridCol w:w="1707"/>
        <w:gridCol w:w="821"/>
        <w:gridCol w:w="1442"/>
      </w:tblGrid>
      <w:tr w:rsidR="00D8206B" w:rsidRPr="00D8206B" w14:paraId="60E47B50" w14:textId="77777777" w:rsidTr="00D00B3F">
        <w:trPr>
          <w:tblHeader/>
          <w:tblCellSpacing w:w="15" w:type="dxa"/>
        </w:trPr>
        <w:tc>
          <w:tcPr>
            <w:tcW w:w="0" w:type="auto"/>
            <w:vAlign w:val="center"/>
            <w:hideMark/>
          </w:tcPr>
          <w:p w14:paraId="2CDA881E"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Hypotheses</w:t>
            </w:r>
          </w:p>
        </w:tc>
        <w:tc>
          <w:tcPr>
            <w:tcW w:w="0" w:type="auto"/>
            <w:vAlign w:val="center"/>
            <w:hideMark/>
          </w:tcPr>
          <w:p w14:paraId="56A4A6F7"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Direct path</w:t>
            </w:r>
          </w:p>
        </w:tc>
        <w:tc>
          <w:tcPr>
            <w:tcW w:w="0" w:type="auto"/>
            <w:vAlign w:val="center"/>
            <w:hideMark/>
          </w:tcPr>
          <w:p w14:paraId="05A627D4"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Original sample</w:t>
            </w:r>
          </w:p>
        </w:tc>
        <w:tc>
          <w:tcPr>
            <w:tcW w:w="0" w:type="auto"/>
            <w:vAlign w:val="center"/>
            <w:hideMark/>
          </w:tcPr>
          <w:p w14:paraId="5252982D"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p-value</w:t>
            </w:r>
          </w:p>
        </w:tc>
        <w:tc>
          <w:tcPr>
            <w:tcW w:w="0" w:type="auto"/>
            <w:vAlign w:val="center"/>
            <w:hideMark/>
          </w:tcPr>
          <w:p w14:paraId="45A4DDF9"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Decision</w:t>
            </w:r>
          </w:p>
        </w:tc>
      </w:tr>
      <w:tr w:rsidR="00D8206B" w:rsidRPr="00D8206B" w14:paraId="27F85B32" w14:textId="77777777" w:rsidTr="00D00B3F">
        <w:trPr>
          <w:tblCellSpacing w:w="15" w:type="dxa"/>
        </w:trPr>
        <w:tc>
          <w:tcPr>
            <w:tcW w:w="0" w:type="auto"/>
            <w:vAlign w:val="center"/>
            <w:hideMark/>
          </w:tcPr>
          <w:p w14:paraId="385B8E7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H6a</w:t>
            </w:r>
          </w:p>
        </w:tc>
        <w:tc>
          <w:tcPr>
            <w:tcW w:w="0" w:type="auto"/>
            <w:vAlign w:val="center"/>
            <w:hideMark/>
          </w:tcPr>
          <w:p w14:paraId="2B7471D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 → BI</w:t>
            </w:r>
          </w:p>
        </w:tc>
        <w:tc>
          <w:tcPr>
            <w:tcW w:w="0" w:type="auto"/>
            <w:vAlign w:val="center"/>
            <w:hideMark/>
          </w:tcPr>
          <w:p w14:paraId="2D4061C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0.686</w:t>
            </w:r>
          </w:p>
        </w:tc>
        <w:tc>
          <w:tcPr>
            <w:tcW w:w="0" w:type="auto"/>
            <w:vAlign w:val="center"/>
            <w:hideMark/>
          </w:tcPr>
          <w:p w14:paraId="19F4083B"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41EC795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3D2DF90E" w14:textId="77777777" w:rsidTr="00D00B3F">
        <w:trPr>
          <w:tblCellSpacing w:w="15" w:type="dxa"/>
        </w:trPr>
        <w:tc>
          <w:tcPr>
            <w:tcW w:w="0" w:type="auto"/>
            <w:vAlign w:val="center"/>
            <w:hideMark/>
          </w:tcPr>
          <w:p w14:paraId="7DCF5D6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H6b</w:t>
            </w:r>
          </w:p>
        </w:tc>
        <w:tc>
          <w:tcPr>
            <w:tcW w:w="0" w:type="auto"/>
            <w:vAlign w:val="center"/>
            <w:hideMark/>
          </w:tcPr>
          <w:p w14:paraId="173F739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VSQ → UB</w:t>
            </w:r>
          </w:p>
        </w:tc>
        <w:tc>
          <w:tcPr>
            <w:tcW w:w="0" w:type="auto"/>
            <w:vAlign w:val="center"/>
            <w:hideMark/>
          </w:tcPr>
          <w:p w14:paraId="784237C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0.267</w:t>
            </w:r>
          </w:p>
        </w:tc>
        <w:tc>
          <w:tcPr>
            <w:tcW w:w="0" w:type="auto"/>
            <w:vAlign w:val="center"/>
            <w:hideMark/>
          </w:tcPr>
          <w:p w14:paraId="1F63AC6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4DD9F23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106A03AF" w14:textId="77777777" w:rsidTr="00D00B3F">
        <w:trPr>
          <w:tblCellSpacing w:w="15" w:type="dxa"/>
        </w:trPr>
        <w:tc>
          <w:tcPr>
            <w:tcW w:w="0" w:type="auto"/>
            <w:vAlign w:val="center"/>
            <w:hideMark/>
          </w:tcPr>
          <w:p w14:paraId="27B8561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H7</w:t>
            </w:r>
          </w:p>
        </w:tc>
        <w:tc>
          <w:tcPr>
            <w:tcW w:w="0" w:type="auto"/>
            <w:vAlign w:val="center"/>
            <w:hideMark/>
          </w:tcPr>
          <w:p w14:paraId="65CB9F8C"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BI → UB</w:t>
            </w:r>
          </w:p>
        </w:tc>
        <w:tc>
          <w:tcPr>
            <w:tcW w:w="0" w:type="auto"/>
            <w:vAlign w:val="center"/>
            <w:hideMark/>
          </w:tcPr>
          <w:p w14:paraId="4FB4ACF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0.402</w:t>
            </w:r>
          </w:p>
        </w:tc>
        <w:tc>
          <w:tcPr>
            <w:tcW w:w="0" w:type="auto"/>
            <w:vAlign w:val="center"/>
            <w:hideMark/>
          </w:tcPr>
          <w:p w14:paraId="615CDAF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4249485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41268618" w14:textId="77777777" w:rsidTr="00D00B3F">
        <w:trPr>
          <w:tblCellSpacing w:w="15" w:type="dxa"/>
        </w:trPr>
        <w:tc>
          <w:tcPr>
            <w:tcW w:w="0" w:type="auto"/>
            <w:vAlign w:val="center"/>
            <w:hideMark/>
          </w:tcPr>
          <w:p w14:paraId="4E1C19A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H8</w:t>
            </w:r>
          </w:p>
        </w:tc>
        <w:tc>
          <w:tcPr>
            <w:tcW w:w="0" w:type="auto"/>
            <w:vAlign w:val="center"/>
            <w:hideMark/>
          </w:tcPr>
          <w:p w14:paraId="2710132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UB → FI</w:t>
            </w:r>
          </w:p>
        </w:tc>
        <w:tc>
          <w:tcPr>
            <w:tcW w:w="0" w:type="auto"/>
            <w:vAlign w:val="center"/>
            <w:hideMark/>
          </w:tcPr>
          <w:p w14:paraId="2EBB749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0.773</w:t>
            </w:r>
          </w:p>
        </w:tc>
        <w:tc>
          <w:tcPr>
            <w:tcW w:w="0" w:type="auto"/>
            <w:vAlign w:val="center"/>
            <w:hideMark/>
          </w:tcPr>
          <w:p w14:paraId="6874B24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0.000</w:t>
            </w:r>
          </w:p>
        </w:tc>
        <w:tc>
          <w:tcPr>
            <w:tcW w:w="0" w:type="auto"/>
            <w:vAlign w:val="center"/>
            <w:hideMark/>
          </w:tcPr>
          <w:p w14:paraId="5FE7229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0427757F" w14:textId="77777777" w:rsidTr="00D00B3F">
        <w:trPr>
          <w:tblCellSpacing w:w="15" w:type="dxa"/>
        </w:trPr>
        <w:tc>
          <w:tcPr>
            <w:tcW w:w="0" w:type="auto"/>
            <w:vAlign w:val="center"/>
            <w:hideMark/>
          </w:tcPr>
          <w:p w14:paraId="7DF329F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H3a</w:t>
            </w:r>
          </w:p>
        </w:tc>
        <w:tc>
          <w:tcPr>
            <w:tcW w:w="0" w:type="auto"/>
            <w:vAlign w:val="center"/>
            <w:hideMark/>
          </w:tcPr>
          <w:p w14:paraId="749F0F5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 → BI</w:t>
            </w:r>
          </w:p>
        </w:tc>
        <w:tc>
          <w:tcPr>
            <w:tcW w:w="0" w:type="auto"/>
            <w:vAlign w:val="center"/>
            <w:hideMark/>
          </w:tcPr>
          <w:p w14:paraId="151BCE6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0.071</w:t>
            </w:r>
          </w:p>
        </w:tc>
        <w:tc>
          <w:tcPr>
            <w:tcW w:w="0" w:type="auto"/>
            <w:vAlign w:val="center"/>
            <w:hideMark/>
          </w:tcPr>
          <w:p w14:paraId="66C9100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0.013</w:t>
            </w:r>
          </w:p>
        </w:tc>
        <w:tc>
          <w:tcPr>
            <w:tcW w:w="0" w:type="auto"/>
            <w:vAlign w:val="center"/>
            <w:hideMark/>
          </w:tcPr>
          <w:p w14:paraId="4A784CC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7B24F0FE" w14:textId="77777777" w:rsidTr="00D00B3F">
        <w:trPr>
          <w:tblCellSpacing w:w="15" w:type="dxa"/>
        </w:trPr>
        <w:tc>
          <w:tcPr>
            <w:tcW w:w="0" w:type="auto"/>
            <w:vAlign w:val="center"/>
            <w:hideMark/>
          </w:tcPr>
          <w:p w14:paraId="78D349D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H3b</w:t>
            </w:r>
          </w:p>
        </w:tc>
        <w:tc>
          <w:tcPr>
            <w:tcW w:w="0" w:type="auto"/>
            <w:vAlign w:val="center"/>
            <w:hideMark/>
          </w:tcPr>
          <w:p w14:paraId="5CC5EDD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PI → UB</w:t>
            </w:r>
          </w:p>
        </w:tc>
        <w:tc>
          <w:tcPr>
            <w:tcW w:w="0" w:type="auto"/>
            <w:vAlign w:val="center"/>
            <w:hideMark/>
          </w:tcPr>
          <w:p w14:paraId="304143D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0.079</w:t>
            </w:r>
          </w:p>
        </w:tc>
        <w:tc>
          <w:tcPr>
            <w:tcW w:w="0" w:type="auto"/>
            <w:vAlign w:val="center"/>
            <w:hideMark/>
          </w:tcPr>
          <w:p w14:paraId="52D5666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0.030</w:t>
            </w:r>
          </w:p>
        </w:tc>
        <w:tc>
          <w:tcPr>
            <w:tcW w:w="0" w:type="auto"/>
            <w:vAlign w:val="center"/>
            <w:hideMark/>
          </w:tcPr>
          <w:p w14:paraId="5FC7481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02908A0C" w14:textId="77777777" w:rsidTr="00D00B3F">
        <w:trPr>
          <w:tblCellSpacing w:w="15" w:type="dxa"/>
        </w:trPr>
        <w:tc>
          <w:tcPr>
            <w:tcW w:w="0" w:type="auto"/>
            <w:vAlign w:val="center"/>
            <w:hideMark/>
          </w:tcPr>
          <w:p w14:paraId="533E364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H4b</w:t>
            </w:r>
          </w:p>
        </w:tc>
        <w:tc>
          <w:tcPr>
            <w:tcW w:w="0" w:type="auto"/>
            <w:vAlign w:val="center"/>
            <w:hideMark/>
          </w:tcPr>
          <w:p w14:paraId="14B56BA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 → UB</w:t>
            </w:r>
          </w:p>
        </w:tc>
        <w:tc>
          <w:tcPr>
            <w:tcW w:w="0" w:type="auto"/>
            <w:vAlign w:val="center"/>
            <w:hideMark/>
          </w:tcPr>
          <w:p w14:paraId="0EEFDD6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0.091</w:t>
            </w:r>
          </w:p>
        </w:tc>
        <w:tc>
          <w:tcPr>
            <w:tcW w:w="0" w:type="auto"/>
            <w:vAlign w:val="center"/>
            <w:hideMark/>
          </w:tcPr>
          <w:p w14:paraId="230D9C4D"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0.013</w:t>
            </w:r>
          </w:p>
        </w:tc>
        <w:tc>
          <w:tcPr>
            <w:tcW w:w="0" w:type="auto"/>
            <w:vAlign w:val="center"/>
            <w:hideMark/>
          </w:tcPr>
          <w:p w14:paraId="5C31EE5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7911E716" w14:textId="77777777" w:rsidTr="00D00B3F">
        <w:trPr>
          <w:tblCellSpacing w:w="15" w:type="dxa"/>
        </w:trPr>
        <w:tc>
          <w:tcPr>
            <w:tcW w:w="0" w:type="auto"/>
            <w:vAlign w:val="center"/>
            <w:hideMark/>
          </w:tcPr>
          <w:p w14:paraId="7E0CA20E"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All others</w:t>
            </w:r>
          </w:p>
        </w:tc>
        <w:tc>
          <w:tcPr>
            <w:tcW w:w="0" w:type="auto"/>
            <w:vAlign w:val="center"/>
            <w:hideMark/>
          </w:tcPr>
          <w:p w14:paraId="45B20007"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p>
        </w:tc>
        <w:tc>
          <w:tcPr>
            <w:tcW w:w="0" w:type="auto"/>
            <w:vAlign w:val="center"/>
            <w:hideMark/>
          </w:tcPr>
          <w:p w14:paraId="58B7F092" w14:textId="77777777" w:rsidR="00D8206B" w:rsidRPr="00D8206B" w:rsidRDefault="00D8206B" w:rsidP="00D8206B">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94FDB0"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&gt;0.05</w:t>
            </w:r>
          </w:p>
        </w:tc>
        <w:tc>
          <w:tcPr>
            <w:tcW w:w="0" w:type="auto"/>
            <w:vAlign w:val="center"/>
            <w:hideMark/>
          </w:tcPr>
          <w:p w14:paraId="25D50AF4"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Not supported</w:t>
            </w:r>
          </w:p>
        </w:tc>
      </w:tr>
    </w:tbl>
    <w:p w14:paraId="3EDB3CE4"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7BBBC114"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The table provides an overview of the direct hypotheses, highlighting that the main variable influencing Fintech adoption in Nigeria is VSQ, while PI exhibits the least influencing effect. Notably, BI documented statistically significant and positive influence on UB. Furthermore, UB has a significant and positive influence on FI. As can be seen, the mediation hypotheses resulting from the mediation decision on tree framework (Hair et al., 2022). Specifically, all mediation variables, including PI, GS, and the VSQ, significantly mediate the influence of BI on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w:t>
      </w:r>
    </w:p>
    <w:p w14:paraId="6CEB1CB1"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12B8990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4ED37C95" w14:textId="77777777" w:rsidR="00D8206B" w:rsidRPr="00D8206B" w:rsidRDefault="00D8206B" w:rsidP="00D8206B">
      <w:pPr>
        <w:keepNext/>
        <w:keepLines/>
        <w:spacing w:before="40" w:after="0" w:line="259" w:lineRule="auto"/>
        <w:outlineLvl w:val="2"/>
        <w:rPr>
          <w:rFonts w:ascii="Times New Roman" w:eastAsia="Times New Roman" w:hAnsi="Times New Roman" w:cs="Times New Roman"/>
          <w:color w:val="1F4D78"/>
          <w:kern w:val="0"/>
          <w:lang w:val="en-GB"/>
          <w14:ligatures w14:val="none"/>
        </w:rPr>
      </w:pPr>
      <w:r w:rsidRPr="00D8206B">
        <w:rPr>
          <w:rFonts w:ascii="Calibri Light" w:eastAsia="Times New Roman" w:hAnsi="Calibri Light" w:cs="Times New Roman"/>
          <w:color w:val="1F4D78"/>
          <w:kern w:val="0"/>
          <w:lang w:val="en-GB"/>
          <w14:ligatures w14:val="none"/>
        </w:rPr>
        <w:t>Table 7 Results of mediating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114"/>
        <w:gridCol w:w="1453"/>
        <w:gridCol w:w="1987"/>
        <w:gridCol w:w="1429"/>
        <w:gridCol w:w="1062"/>
      </w:tblGrid>
      <w:tr w:rsidR="00D8206B" w:rsidRPr="00D8206B" w14:paraId="28575937" w14:textId="77777777" w:rsidTr="00D00B3F">
        <w:trPr>
          <w:tblHeader/>
          <w:tblCellSpacing w:w="15" w:type="dxa"/>
        </w:trPr>
        <w:tc>
          <w:tcPr>
            <w:tcW w:w="0" w:type="auto"/>
            <w:vAlign w:val="center"/>
            <w:hideMark/>
          </w:tcPr>
          <w:p w14:paraId="225F2E35"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Hypotheses</w:t>
            </w:r>
          </w:p>
        </w:tc>
        <w:tc>
          <w:tcPr>
            <w:tcW w:w="0" w:type="auto"/>
            <w:vAlign w:val="center"/>
            <w:hideMark/>
          </w:tcPr>
          <w:p w14:paraId="387C6512"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Path</w:t>
            </w:r>
          </w:p>
        </w:tc>
        <w:tc>
          <w:tcPr>
            <w:tcW w:w="0" w:type="auto"/>
            <w:vAlign w:val="center"/>
            <w:hideMark/>
          </w:tcPr>
          <w:p w14:paraId="173E37C3"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 xml:space="preserve">Path coef. </w:t>
            </w:r>
            <w:proofErr w:type="spellStart"/>
            <w:r w:rsidRPr="00D8206B">
              <w:rPr>
                <w:rFonts w:ascii="Times New Roman" w:eastAsia="Times New Roman" w:hAnsi="Times New Roman" w:cs="Times New Roman"/>
                <w:b/>
                <w:bCs/>
                <w:kern w:val="0"/>
                <w14:ligatures w14:val="none"/>
              </w:rPr>
              <w:t>Dif</w:t>
            </w:r>
            <w:proofErr w:type="spellEnd"/>
          </w:p>
        </w:tc>
        <w:tc>
          <w:tcPr>
            <w:tcW w:w="0" w:type="auto"/>
            <w:vAlign w:val="center"/>
            <w:hideMark/>
          </w:tcPr>
          <w:p w14:paraId="48EDED9C"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PLS-MGA p-value</w:t>
            </w:r>
          </w:p>
        </w:tc>
        <w:tc>
          <w:tcPr>
            <w:tcW w:w="0" w:type="auto"/>
            <w:vAlign w:val="center"/>
            <w:hideMark/>
          </w:tcPr>
          <w:p w14:paraId="6AC1553B"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Result</w:t>
            </w:r>
          </w:p>
        </w:tc>
        <w:tc>
          <w:tcPr>
            <w:tcW w:w="0" w:type="auto"/>
            <w:vAlign w:val="center"/>
            <w:hideMark/>
          </w:tcPr>
          <w:p w14:paraId="15EFB74A" w14:textId="77777777" w:rsidR="00D8206B" w:rsidRPr="00D8206B" w:rsidRDefault="00D8206B" w:rsidP="00D8206B">
            <w:pPr>
              <w:spacing w:after="0" w:line="240" w:lineRule="auto"/>
              <w:jc w:val="center"/>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Decision</w:t>
            </w:r>
          </w:p>
        </w:tc>
      </w:tr>
      <w:tr w:rsidR="00D8206B" w:rsidRPr="00D8206B" w14:paraId="34BA5994" w14:textId="77777777" w:rsidTr="00D00B3F">
        <w:trPr>
          <w:tblCellSpacing w:w="15" w:type="dxa"/>
        </w:trPr>
        <w:tc>
          <w:tcPr>
            <w:tcW w:w="0" w:type="auto"/>
            <w:vAlign w:val="center"/>
            <w:hideMark/>
          </w:tcPr>
          <w:p w14:paraId="3A0669D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H10a</w:t>
            </w:r>
          </w:p>
        </w:tc>
        <w:tc>
          <w:tcPr>
            <w:tcW w:w="0" w:type="auto"/>
            <w:vAlign w:val="center"/>
            <w:hideMark/>
          </w:tcPr>
          <w:p w14:paraId="23168B23"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DFL → BI</w:t>
            </w:r>
          </w:p>
        </w:tc>
        <w:tc>
          <w:tcPr>
            <w:tcW w:w="0" w:type="auto"/>
            <w:vAlign w:val="center"/>
            <w:hideMark/>
          </w:tcPr>
          <w:p w14:paraId="32E47C2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0.413</w:t>
            </w:r>
          </w:p>
        </w:tc>
        <w:tc>
          <w:tcPr>
            <w:tcW w:w="0" w:type="auto"/>
            <w:vAlign w:val="center"/>
            <w:hideMark/>
          </w:tcPr>
          <w:p w14:paraId="027AE39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0.020</w:t>
            </w:r>
          </w:p>
        </w:tc>
        <w:tc>
          <w:tcPr>
            <w:tcW w:w="0" w:type="auto"/>
            <w:vAlign w:val="center"/>
            <w:hideMark/>
          </w:tcPr>
          <w:p w14:paraId="3F79FD62"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significant</w:t>
            </w:r>
          </w:p>
        </w:tc>
        <w:tc>
          <w:tcPr>
            <w:tcW w:w="0" w:type="auto"/>
            <w:vAlign w:val="center"/>
            <w:hideMark/>
          </w:tcPr>
          <w:p w14:paraId="45FA772A"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r w:rsidR="00D8206B" w:rsidRPr="00D8206B" w14:paraId="494FB0E2" w14:textId="77777777" w:rsidTr="00D00B3F">
        <w:trPr>
          <w:tblCellSpacing w:w="15" w:type="dxa"/>
        </w:trPr>
        <w:tc>
          <w:tcPr>
            <w:tcW w:w="0" w:type="auto"/>
            <w:vAlign w:val="center"/>
            <w:hideMark/>
          </w:tcPr>
          <w:p w14:paraId="6C0B5C0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H10b</w:t>
            </w:r>
          </w:p>
        </w:tc>
        <w:tc>
          <w:tcPr>
            <w:tcW w:w="0" w:type="auto"/>
            <w:vAlign w:val="center"/>
            <w:hideMark/>
          </w:tcPr>
          <w:p w14:paraId="0AD57905"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GS → UB</w:t>
            </w:r>
          </w:p>
        </w:tc>
        <w:tc>
          <w:tcPr>
            <w:tcW w:w="0" w:type="auto"/>
            <w:vAlign w:val="center"/>
            <w:hideMark/>
          </w:tcPr>
          <w:p w14:paraId="3A906299"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0.286</w:t>
            </w:r>
          </w:p>
        </w:tc>
        <w:tc>
          <w:tcPr>
            <w:tcW w:w="0" w:type="auto"/>
            <w:vAlign w:val="center"/>
            <w:hideMark/>
          </w:tcPr>
          <w:p w14:paraId="502360BF"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0.016</w:t>
            </w:r>
          </w:p>
        </w:tc>
        <w:tc>
          <w:tcPr>
            <w:tcW w:w="0" w:type="auto"/>
            <w:vAlign w:val="center"/>
            <w:hideMark/>
          </w:tcPr>
          <w:p w14:paraId="78435F11"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significant</w:t>
            </w:r>
          </w:p>
        </w:tc>
        <w:tc>
          <w:tcPr>
            <w:tcW w:w="0" w:type="auto"/>
            <w:vAlign w:val="center"/>
            <w:hideMark/>
          </w:tcPr>
          <w:p w14:paraId="4BA30DA8" w14:textId="77777777" w:rsidR="00D8206B" w:rsidRPr="00D8206B" w:rsidRDefault="00D8206B" w:rsidP="00D8206B">
            <w:pPr>
              <w:spacing w:after="0" w:line="240" w:lineRule="auto"/>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Supported</w:t>
            </w:r>
          </w:p>
        </w:tc>
      </w:tr>
    </w:tbl>
    <w:p w14:paraId="1141B98D"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21781BD5"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Table 7 presents the MGA between respondents in rural versus urban areas. The finding signals that DFL has a considerable gap for society in rural and urban areas toward Fintech adoption, while GS exhibits significant differences for UB among cities and countryside society in Nigeria.</w:t>
      </w:r>
    </w:p>
    <w:p w14:paraId="17D08A68"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p>
    <w:p w14:paraId="365A6AF5" w14:textId="77777777" w:rsidR="00D8206B" w:rsidRPr="00D8206B" w:rsidRDefault="00D8206B" w:rsidP="00D8206B">
      <w:pPr>
        <w:spacing w:line="259" w:lineRule="auto"/>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Discussion</w:t>
      </w:r>
    </w:p>
    <w:p w14:paraId="45C6152A"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This study investigated several factors contributing to Fintech adoption and aimed to explore BI, and the impact of UB on FI. The TAM model was extended by integrating constructs related to PI, GS, DFL, and the VSQ. Drawing upon the proposed hypotheses testing results, this study provides valuable insights, highlighting the pivotal role of DFL adoption in promoting FI. The findings also offer recommendations for Fintech providers to implement different strategies aimed at improving access to digital financial services in different residential settings. The results found an insignificant influence of PU on both BI and UB. This suggests that individual perceptions of Fintech's ability to meet financial service needs, save time, and improve efficiency may not substantially influence the BI and UB in the adoption of Fintech. Hence, developers in the Fintech sector may consider deprioritizing this construct in their strategic planning. Although the findings are not in line with TAM theory (Davis, 1989) and other previous studies (Baba et al., 2023;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Wu &amp; Peng, 2024), this finding is consistent with another prior study (</w:t>
      </w:r>
      <w:proofErr w:type="spellStart"/>
      <w:r w:rsidRPr="00D8206B">
        <w:rPr>
          <w:rFonts w:ascii="Times New Roman" w:eastAsia="Calibri" w:hAnsi="Times New Roman" w:cs="Times New Roman"/>
          <w:kern w:val="0"/>
          <w:lang w:val="en-GB"/>
          <w14:ligatures w14:val="none"/>
        </w:rPr>
        <w:t>Mufarih</w:t>
      </w:r>
      <w:proofErr w:type="spellEnd"/>
      <w:r w:rsidRPr="00D8206B">
        <w:rPr>
          <w:rFonts w:ascii="Times New Roman" w:eastAsia="Calibri" w:hAnsi="Times New Roman" w:cs="Times New Roman"/>
          <w:kern w:val="0"/>
          <w:lang w:val="en-GB"/>
          <w14:ligatures w14:val="none"/>
        </w:rPr>
        <w:t xml:space="preserve"> et al., 2020). In some cultural and economic environments, users might prioritize trust, security, and social influence over the ease of use. For instance, in regions with higher concerns about data privacy and financial fraud, users may value the security features of Fintech services more than their ease of use. Furthermore, the result indicates that PEU has an insignificant influence on both BI and UB. This suggests that the PEU, which includes an evaluation of Fintech service interface and ease of access to Fintech products through various electronic tools, has no influence on BI and UB.</w:t>
      </w:r>
    </w:p>
    <w:p w14:paraId="7BF1A313"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In terms of PI, the results show a significant influence on BI and UB when adopting Fintech. This suggests that PI, as measured by willingness to explore new technologies, adopt the latest technologies early and experiment with Fintech services, has a significant impact on Fintech adoption. This finding supports previous studies that indicate a positive correlation between user innovation and technology (Baba et al., 2023;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Patil et al., 2020; Setiawan et al., 2021), and contrasts with another study which found that innovation in Fintech does not always show a positive correlation, but rather depends on the specific market in which Fintech adoption takes place (Fung et al., 2020). For instance, in emerging markets, where Fintech services are relatively new, the primary adoption drivers might be necessity and accessibility rather than innovativeness. Conversely, in mature markets with well-established Fintech services, PI may play a more significant role.</w:t>
      </w:r>
    </w:p>
    <w:p w14:paraId="1D18AD8F"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For GS, the results reveal a significant impact on BI but an insignificant impact on UB. This suggests that although the development of infrastructure, legal structures, and policies can influence the </w:t>
      </w:r>
      <w:proofErr w:type="spellStart"/>
      <w:r w:rsidRPr="00D8206B">
        <w:rPr>
          <w:rFonts w:ascii="Times New Roman" w:eastAsia="Calibri" w:hAnsi="Times New Roman" w:cs="Times New Roman"/>
          <w:kern w:val="0"/>
          <w:lang w:val="en-GB"/>
          <w14:ligatures w14:val="none"/>
        </w:rPr>
        <w:t>behavioral</w:t>
      </w:r>
      <w:proofErr w:type="spellEnd"/>
      <w:r w:rsidRPr="00D8206B">
        <w:rPr>
          <w:rFonts w:ascii="Times New Roman" w:eastAsia="Calibri" w:hAnsi="Times New Roman" w:cs="Times New Roman"/>
          <w:kern w:val="0"/>
          <w:lang w:val="en-GB"/>
          <w14:ligatures w14:val="none"/>
        </w:rPr>
        <w:t xml:space="preserve"> intention of adopting Fintech, government support does not affect the usage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of adopting Fintech. GS can attract initial interest and intention to use Fintech by promoting awareness and addressing security concerns. Campaigns and endorsements can successfully make users consider adopting these services (Ammas et al., 2024). However, translating this intention into regular usage requires more than just initial trust. The significant impact of GS to BI aligns with previous studies (Chinnasamy et al., 2021; Hua &amp; Huang, 2021; Mejia-Escobar et al., 2020), and insignificant impact of GS on UB also supports previous study (Wu et al., 2023), providing evidence that decentralized government support yields better results in Fintech adoption.</w:t>
      </w:r>
    </w:p>
    <w:p w14:paraId="2B7C1BA8"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Regarding DFL, the results indicate insignificant impact on both BI and UB in the adoption of Fintech. This suggests that being knowledgeable about digital payment methods, understanding online trading of financial securities and digital lending methods, and having the ability to purchase Fintech products may not significantly </w:t>
      </w:r>
      <w:r w:rsidRPr="00D8206B">
        <w:rPr>
          <w:rFonts w:ascii="Times New Roman" w:eastAsia="Calibri" w:hAnsi="Times New Roman" w:cs="Times New Roman"/>
          <w:kern w:val="0"/>
          <w:lang w:val="en-GB"/>
          <w14:ligatures w14:val="none"/>
        </w:rPr>
        <w:lastRenderedPageBreak/>
        <w:t>impact the BI together with UB in the usage of Fintech. This study does not support prior studies that indicated the positive influence of DFL on Fintech usage process (Rizvi et al., 2024; Wu &amp; Peng, 2024), but consistent with another previous study assessing DFL to other individual finance status (Kumar et al., 2023). The reason for the different result could be that the influence of DFL might vary depending on the type of Fintech service (e.g., payment services vs. investment platforms). For example, simpler services like mobile payments might not require high levels of literacy compared to more complex services like online trading. If services are straightforward to use, the impact of DFL on adoption might be less significant.</w:t>
      </w:r>
    </w:p>
    <w:p w14:paraId="048AD179"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In the context of VSQ, the results prove significant impact on both BI and UB in the adoption of Fintech. The findings suggest that individuals perceiving comfort, benefits, and security in the adoption of Fintech, compared to alternative options, have a significant impact on both BI and UB in relation to Fintech. The results supported the findings of the previous study (Goyal et al., 2022), assessing VSQ impact to Fintech adoption. Users who compare Fintech services with traditional financial methods and find the former to be superior in terms of benefits and security are more likely to adopt Fintech by breaking the status quo bias. The positive evaluation of Fintech compared to other options drives both BI and UB. For BI, the results prove significant impact on UB. The findings indicate that the accessibility, intention, and preparedness significantly influence the UB of Fintech. This relates to previous studies (Chinnasamy et al., 2021;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Senyo &amp; Osabutey, 2020; Wu &amp; Peng, 2024), which indicate that BI could play a pivotal role on UB in adopting Fintech. This differs from another study (Singh et al., 2020) which highlighted no significant influence among BI and UB to use Fintech.</w:t>
      </w:r>
    </w:p>
    <w:p w14:paraId="07A9B1F0"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Furthermore, the result shows significant impact of UB on FI. This result indicates that expectation, positive perception, and attitude toward using Fintech positively impact on FI. The result supports studies demonstrated a positive association between UB and FI. Specifically, as individuals engage more with Fintech services, their financial inclusion tends to improve, highlighting the role of user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in facilitating access to financial services. This result aligns with previous studies that have demonstrated a positive association between Use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and Financial Inclusion, reinforcing the notion that increased utilization of Fintech can enhance overall financial accessibility and integration (Odei-Appiah et al., 2022).</w:t>
      </w:r>
    </w:p>
    <w:p w14:paraId="0E1EBBC6"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Moreover, our findings indicate that all mediation variables, including PI, GS, and VSQ, can facilitate the relationship between BI and UB. This indicates that individual's willingness to embrace and experiment with emerging technologies shapes BI and positively correlates with UB of Fintech adoption. This result is echoed by the findings of previous research (</w:t>
      </w:r>
      <w:proofErr w:type="spellStart"/>
      <w:r w:rsidRPr="00D8206B">
        <w:rPr>
          <w:rFonts w:ascii="Times New Roman" w:eastAsia="Calibri" w:hAnsi="Times New Roman" w:cs="Times New Roman"/>
          <w:kern w:val="0"/>
          <w:lang w:val="en-GB"/>
          <w14:ligatures w14:val="none"/>
        </w:rPr>
        <w:t>Almashhadani</w:t>
      </w:r>
      <w:proofErr w:type="spellEnd"/>
      <w:r w:rsidRPr="00D8206B">
        <w:rPr>
          <w:rFonts w:ascii="Times New Roman" w:eastAsia="Calibri" w:hAnsi="Times New Roman" w:cs="Times New Roman"/>
          <w:kern w:val="0"/>
          <w:lang w:val="en-GB"/>
          <w14:ligatures w14:val="none"/>
        </w:rPr>
        <w:t xml:space="preserve"> et al., 2023; Slade et al., 2015). On the other hand, the result indicates GS allows personal user to more convenience in using Fintech and it probably increase the BI of Fintech products industry, as support by previous studies (Chinnasamy et al., 2021; Hua &amp; Huang, 2021; Mejia-Escobar et al., 2020). Furthermore, the finding also indicates VSQ can enhance the convenience of using Fintech services, as backed up by other previous study (Goyal et al., 2022). </w:t>
      </w:r>
    </w:p>
    <w:p w14:paraId="4C164364"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t xml:space="preserve">In the context of multigroup analysis, the findings discerned distinctions between rural and urban society regarding the level of DFL that impacts on the BI to adopt Fintech services. This indicates a significant difference in DFL between cities and countryside areas, thereby impacting the BI to use Fintech products. The findings consistently align with prior research (Das &amp; Das, 2020; Hasan et al., 2023;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Mahmud et al., 2022; Rufaidah et al., 2023). Moreover, the results also indicate a significant difference between rural and urban society in terms of the influence of government assistance on Fintech service usage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This underlines the essential role of the government in promoting financial inclusion in rural areas in terms of individual Fintech adoption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This finding contradicts other studies (S. Kumar &amp; Barua, 2023; Yadav &amp; Shaikh, 2023), but is in line with previous research showing, that GS in urban areas has a significant impact on social consumption </w:t>
      </w:r>
      <w:proofErr w:type="spellStart"/>
      <w:r w:rsidRPr="00D8206B">
        <w:rPr>
          <w:rFonts w:ascii="Times New Roman" w:eastAsia="Calibri" w:hAnsi="Times New Roman" w:cs="Times New Roman"/>
          <w:kern w:val="0"/>
          <w:lang w:val="en-GB"/>
          <w14:ligatures w14:val="none"/>
        </w:rPr>
        <w:t>behavior</w:t>
      </w:r>
      <w:proofErr w:type="spellEnd"/>
      <w:r w:rsidRPr="00D8206B">
        <w:rPr>
          <w:rFonts w:ascii="Times New Roman" w:eastAsia="Calibri" w:hAnsi="Times New Roman" w:cs="Times New Roman"/>
          <w:kern w:val="0"/>
          <w:lang w:val="en-GB"/>
          <w14:ligatures w14:val="none"/>
        </w:rPr>
        <w:t xml:space="preserve"> through the use of Fintech (Aik &amp; Zhang, 2023;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Le, 2021; Tang &amp; Sun, 2022).</w:t>
      </w:r>
    </w:p>
    <w:p w14:paraId="4064169A" w14:textId="77777777" w:rsidR="00D8206B" w:rsidRPr="00D8206B" w:rsidRDefault="00D8206B" w:rsidP="00D8206B">
      <w:pPr>
        <w:spacing w:line="259" w:lineRule="auto"/>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t>Practical implications and future study directions</w:t>
      </w:r>
    </w:p>
    <w:p w14:paraId="5AC3F5D3"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lang w:val="en-GB"/>
          <w14:ligatures w14:val="none"/>
        </w:rPr>
        <w:lastRenderedPageBreak/>
        <w:t>This study has theoretical contributions by highlighting on the interplay between the antecedents of BI, UB and FI toward Fintech services in Nigeria. First, prior study has evaluated the influence of VSQ on continuance intention in Hong Kong (Goyal et al., 2022). This study shed fresh light on examining the impact between VSQ toward BI and UB in different countries to fill contextual gaps. The finding shows that VSQ was found to be the strongest driver of BI toward Fintech adoption in Nigeria. Second, our study responded to a call from a previous study suggesting empirically measuring the impact of UB on FI outside the African region (Odei-Appiah et al., 2022). This result advances knowledge in explaining the direct impact of Fintech adoption on FI which has proven to be positive and significant in the context of different countries and continents. Finally, the result shows significant differences between cities and countryside society in using Fintech products. This finding advances the existing literature and answers a call from another study to conduct further research by considering geographical location of respondents (</w:t>
      </w:r>
      <w:proofErr w:type="spellStart"/>
      <w:r w:rsidRPr="00D8206B">
        <w:rPr>
          <w:rFonts w:ascii="Times New Roman" w:eastAsia="Calibri" w:hAnsi="Times New Roman" w:cs="Times New Roman"/>
          <w:kern w:val="0"/>
          <w:lang w:val="en-GB"/>
          <w14:ligatures w14:val="none"/>
        </w:rPr>
        <w:t>Nugraha</w:t>
      </w:r>
      <w:proofErr w:type="spellEnd"/>
      <w:r w:rsidRPr="00D8206B">
        <w:rPr>
          <w:rFonts w:ascii="Times New Roman" w:eastAsia="Calibri" w:hAnsi="Times New Roman" w:cs="Times New Roman"/>
          <w:kern w:val="0"/>
          <w:lang w:val="en-GB"/>
          <w14:ligatures w14:val="none"/>
        </w:rPr>
        <w:t xml:space="preserve"> et al., 2022). This study also fills the gap from prior study suggested to evaluate Fintech adoption in Nigeria after Covid-19 pandemic (</w:t>
      </w:r>
      <w:proofErr w:type="spellStart"/>
      <w:r w:rsidRPr="00D8206B">
        <w:rPr>
          <w:rFonts w:ascii="Times New Roman" w:eastAsia="Calibri" w:hAnsi="Times New Roman" w:cs="Times New Roman"/>
          <w:kern w:val="0"/>
          <w:lang w:val="en-GB"/>
          <w14:ligatures w14:val="none"/>
        </w:rPr>
        <w:t>Igamo</w:t>
      </w:r>
      <w:proofErr w:type="spellEnd"/>
      <w:r w:rsidRPr="00D8206B">
        <w:rPr>
          <w:rFonts w:ascii="Times New Roman" w:eastAsia="Calibri" w:hAnsi="Times New Roman" w:cs="Times New Roman"/>
          <w:kern w:val="0"/>
          <w:lang w:val="en-GB"/>
          <w14:ligatures w14:val="none"/>
        </w:rPr>
        <w:t xml:space="preserve"> et al., 2024). In practice, this research contributes by shedding light on the pivotal role of PI and GS on mediating the connections among BI and UB. Policy makers need to consider the pivotal role of education to increase PI which can bridge the gap between intention and usage of Fintech services, which contribute in accelerating the government goals of increasing financial inclusion in Nigeria. In addition, the results of this study suggest that Fintech service providers should focus on individual personal innovativeness, such as promoting awareness campaigns that encourage early experimentation with new digital tools.</w:t>
      </w:r>
    </w:p>
    <w:p w14:paraId="4F8E800A" w14:textId="77777777" w:rsidR="00D8206B" w:rsidRPr="00D8206B" w:rsidRDefault="00D8206B" w:rsidP="00D8206B">
      <w:pPr>
        <w:keepNext/>
        <w:keepLines/>
        <w:spacing w:before="40" w:after="0" w:line="259" w:lineRule="auto"/>
        <w:outlineLvl w:val="1"/>
        <w:rPr>
          <w:rFonts w:ascii="Calibri Light" w:eastAsia="Times New Roman" w:hAnsi="Calibri Light" w:cs="Times New Roman"/>
          <w:color w:val="2E74B5"/>
          <w:kern w:val="0"/>
          <w:sz w:val="26"/>
          <w:szCs w:val="26"/>
          <w:lang w:val="en-GB"/>
          <w14:ligatures w14:val="none"/>
        </w:rPr>
      </w:pPr>
      <w:r w:rsidRPr="00D8206B">
        <w:rPr>
          <w:rFonts w:ascii="Calibri Light" w:eastAsia="Times New Roman" w:hAnsi="Calibri Light" w:cs="Times New Roman"/>
          <w:color w:val="2E74B5"/>
          <w:kern w:val="0"/>
          <w:sz w:val="26"/>
          <w:szCs w:val="26"/>
          <w:lang w:val="en-GB"/>
          <w14:ligatures w14:val="none"/>
        </w:rPr>
        <w:t>References:</w:t>
      </w:r>
    </w:p>
    <w:p w14:paraId="28D2D9B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Abdul-Halim, N.-A., </w:t>
      </w:r>
      <w:proofErr w:type="spellStart"/>
      <w:r w:rsidRPr="00D8206B">
        <w:rPr>
          <w:rFonts w:ascii="Times New Roman" w:eastAsia="Calibri" w:hAnsi="Times New Roman" w:cs="Times New Roman"/>
          <w:kern w:val="0"/>
          <w14:ligatures w14:val="none"/>
        </w:rPr>
        <w:t>Vafaei</w:t>
      </w:r>
      <w:proofErr w:type="spellEnd"/>
      <w:r w:rsidRPr="00D8206B">
        <w:rPr>
          <w:rFonts w:ascii="Times New Roman" w:eastAsia="Calibri" w:hAnsi="Times New Roman" w:cs="Times New Roman"/>
          <w:kern w:val="0"/>
          <w14:ligatures w14:val="none"/>
        </w:rPr>
        <w:t xml:space="preserve">-Zadeh, A., Hanifah, H., Teoh, A. P., &amp; </w:t>
      </w:r>
      <w:proofErr w:type="spellStart"/>
      <w:r w:rsidRPr="00D8206B">
        <w:rPr>
          <w:rFonts w:ascii="Times New Roman" w:eastAsia="Calibri" w:hAnsi="Times New Roman" w:cs="Times New Roman"/>
          <w:kern w:val="0"/>
          <w14:ligatures w14:val="none"/>
        </w:rPr>
        <w:t>Nawaser</w:t>
      </w:r>
      <w:proofErr w:type="spellEnd"/>
      <w:r w:rsidRPr="00D8206B">
        <w:rPr>
          <w:rFonts w:ascii="Times New Roman" w:eastAsia="Calibri" w:hAnsi="Times New Roman" w:cs="Times New Roman"/>
          <w:kern w:val="0"/>
          <w14:ligatures w14:val="none"/>
        </w:rPr>
        <w:t xml:space="preserve">, K. (2022). Understanding the determinants of e-wallet continuance usage intention in Malaysia. </w:t>
      </w:r>
      <w:r w:rsidRPr="00D8206B">
        <w:rPr>
          <w:rFonts w:ascii="Times New Roman" w:eastAsia="Calibri" w:hAnsi="Times New Roman" w:cs="Times New Roman"/>
          <w:i/>
          <w:iCs/>
          <w:kern w:val="0"/>
          <w14:ligatures w14:val="none"/>
        </w:rPr>
        <w:t>Quality &amp; Quantity, 56</w:t>
      </w:r>
      <w:r w:rsidRPr="00D8206B">
        <w:rPr>
          <w:rFonts w:ascii="Times New Roman" w:eastAsia="Calibri" w:hAnsi="Times New Roman" w:cs="Times New Roman"/>
          <w:kern w:val="0"/>
          <w14:ligatures w14:val="none"/>
        </w:rPr>
        <w:t xml:space="preserve">(5), 3413–3439. </w:t>
      </w:r>
      <w:hyperlink r:id="rId133" w:tgtFrame="_blank" w:history="1">
        <w:r w:rsidRPr="00D8206B">
          <w:rPr>
            <w:rFonts w:ascii="Times New Roman" w:eastAsia="Calibri" w:hAnsi="Times New Roman" w:cs="Times New Roman"/>
            <w:color w:val="0563C1"/>
            <w:kern w:val="0"/>
            <w:u w:val="single"/>
            <w14:ligatures w14:val="none"/>
          </w:rPr>
          <w:t>https://doi.org/10.1007/s11135-021-01276-7</w:t>
        </w:r>
      </w:hyperlink>
    </w:p>
    <w:p w14:paraId="3BF6683E"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Ahmad, A., Rasul, T., Yousaf, A., &amp; Zaman, U. (2020). Understanding factors influencing elderly diabetic patients’ continuance intention to use digital health wearables: Extending the technology acceptance model (TAM). </w:t>
      </w:r>
      <w:r w:rsidRPr="00D8206B">
        <w:rPr>
          <w:rFonts w:ascii="Times New Roman" w:eastAsia="Calibri" w:hAnsi="Times New Roman" w:cs="Times New Roman"/>
          <w:i/>
          <w:iCs/>
          <w:kern w:val="0"/>
          <w14:ligatures w14:val="none"/>
        </w:rPr>
        <w:t>Journal of Open Innovation: Technology, Market, and Complexity, 6</w:t>
      </w:r>
      <w:r w:rsidRPr="00D8206B">
        <w:rPr>
          <w:rFonts w:ascii="Times New Roman" w:eastAsia="Calibri" w:hAnsi="Times New Roman" w:cs="Times New Roman"/>
          <w:kern w:val="0"/>
          <w14:ligatures w14:val="none"/>
        </w:rPr>
        <w:t xml:space="preserve">(3), Article 81. </w:t>
      </w:r>
      <w:hyperlink r:id="rId134" w:tgtFrame="_blank" w:history="1">
        <w:r w:rsidRPr="00D8206B">
          <w:rPr>
            <w:rFonts w:ascii="Times New Roman" w:eastAsia="Calibri" w:hAnsi="Times New Roman" w:cs="Times New Roman"/>
            <w:color w:val="0563C1"/>
            <w:kern w:val="0"/>
            <w:u w:val="single"/>
            <w14:ligatures w14:val="none"/>
          </w:rPr>
          <w:t>https://doi.org/10.3390/joitmc6030081</w:t>
        </w:r>
      </w:hyperlink>
    </w:p>
    <w:p w14:paraId="7709DF8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Aik, N. C., &amp; Zhang, Q. (2023). Use of </w:t>
      </w:r>
      <w:proofErr w:type="spellStart"/>
      <w:r w:rsidRPr="00D8206B">
        <w:rPr>
          <w:rFonts w:ascii="Times New Roman" w:eastAsia="Calibri" w:hAnsi="Times New Roman" w:cs="Times New Roman"/>
          <w:kern w:val="0"/>
          <w14:ligatures w14:val="none"/>
        </w:rPr>
        <w:t>thei</w:t>
      </w:r>
      <w:proofErr w:type="spellEnd"/>
      <w:r w:rsidRPr="00D8206B">
        <w:rPr>
          <w:rFonts w:ascii="Times New Roman" w:eastAsia="Calibri" w:hAnsi="Times New Roman" w:cs="Times New Roman"/>
          <w:kern w:val="0"/>
          <w14:ligatures w14:val="none"/>
        </w:rPr>
        <w:t xml:space="preserve"> for a specific duality economy: Assessing the impact of digital inclusive finance on urban-rural income gap in Chongqing. </w:t>
      </w:r>
      <w:r w:rsidRPr="00D8206B">
        <w:rPr>
          <w:rFonts w:ascii="Times New Roman" w:eastAsia="Calibri" w:hAnsi="Times New Roman" w:cs="Times New Roman"/>
          <w:i/>
          <w:iCs/>
          <w:kern w:val="0"/>
          <w14:ligatures w14:val="none"/>
        </w:rPr>
        <w:t>FinTech, 2</w:t>
      </w:r>
      <w:r w:rsidRPr="00D8206B">
        <w:rPr>
          <w:rFonts w:ascii="Times New Roman" w:eastAsia="Calibri" w:hAnsi="Times New Roman" w:cs="Times New Roman"/>
          <w:kern w:val="0"/>
          <w14:ligatures w14:val="none"/>
        </w:rPr>
        <w:t xml:space="preserve">(4), 668–679. </w:t>
      </w:r>
      <w:hyperlink r:id="rId135" w:tgtFrame="_blank" w:history="1">
        <w:r w:rsidRPr="00D8206B">
          <w:rPr>
            <w:rFonts w:ascii="Times New Roman" w:eastAsia="Calibri" w:hAnsi="Times New Roman" w:cs="Times New Roman"/>
            <w:color w:val="0563C1"/>
            <w:kern w:val="0"/>
            <w:u w:val="single"/>
            <w14:ligatures w14:val="none"/>
          </w:rPr>
          <w:t>https://doi.org/10.3390/fintech2040037</w:t>
        </w:r>
      </w:hyperlink>
    </w:p>
    <w:p w14:paraId="50D1F392"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Al Nawayseh, M. K. (2020). FinTech in COVID-19 and beyond: What factors are affecting customers’ choice of FinTech applications? </w:t>
      </w:r>
      <w:r w:rsidRPr="00D8206B">
        <w:rPr>
          <w:rFonts w:ascii="Times New Roman" w:eastAsia="Calibri" w:hAnsi="Times New Roman" w:cs="Times New Roman"/>
          <w:i/>
          <w:iCs/>
          <w:kern w:val="0"/>
          <w14:ligatures w14:val="none"/>
        </w:rPr>
        <w:t>Journal of Open Innovation: Technology, Market, and Complexity, 6</w:t>
      </w:r>
      <w:r w:rsidRPr="00D8206B">
        <w:rPr>
          <w:rFonts w:ascii="Times New Roman" w:eastAsia="Calibri" w:hAnsi="Times New Roman" w:cs="Times New Roman"/>
          <w:kern w:val="0"/>
          <w14:ligatures w14:val="none"/>
        </w:rPr>
        <w:t xml:space="preserve">(4), Article 153. </w:t>
      </w:r>
      <w:hyperlink r:id="rId136" w:tgtFrame="_blank" w:history="1">
        <w:r w:rsidRPr="00D8206B">
          <w:rPr>
            <w:rFonts w:ascii="Times New Roman" w:eastAsia="Calibri" w:hAnsi="Times New Roman" w:cs="Times New Roman"/>
            <w:color w:val="0563C1"/>
            <w:kern w:val="0"/>
            <w:u w:val="single"/>
            <w14:ligatures w14:val="none"/>
          </w:rPr>
          <w:t>https://doi.org/10.3390/joitmc6040153</w:t>
        </w:r>
      </w:hyperlink>
    </w:p>
    <w:p w14:paraId="217A0FAB"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Almashhadani</w:t>
      </w:r>
      <w:proofErr w:type="spellEnd"/>
      <w:r w:rsidRPr="00D8206B">
        <w:rPr>
          <w:rFonts w:ascii="Times New Roman" w:eastAsia="Calibri" w:hAnsi="Times New Roman" w:cs="Times New Roman"/>
          <w:kern w:val="0"/>
          <w14:ligatures w14:val="none"/>
        </w:rPr>
        <w:t xml:space="preserve">, I. S., </w:t>
      </w:r>
      <w:proofErr w:type="spellStart"/>
      <w:r w:rsidRPr="00D8206B">
        <w:rPr>
          <w:rFonts w:ascii="Times New Roman" w:eastAsia="Calibri" w:hAnsi="Times New Roman" w:cs="Times New Roman"/>
          <w:kern w:val="0"/>
          <w14:ligatures w14:val="none"/>
        </w:rPr>
        <w:t>Abuhashesh</w:t>
      </w:r>
      <w:proofErr w:type="spellEnd"/>
      <w:r w:rsidRPr="00D8206B">
        <w:rPr>
          <w:rFonts w:ascii="Times New Roman" w:eastAsia="Calibri" w:hAnsi="Times New Roman" w:cs="Times New Roman"/>
          <w:kern w:val="0"/>
          <w14:ligatures w14:val="none"/>
        </w:rPr>
        <w:t xml:space="preserve">, M., Bany Mohammad, A., </w:t>
      </w:r>
      <w:proofErr w:type="spellStart"/>
      <w:r w:rsidRPr="00D8206B">
        <w:rPr>
          <w:rFonts w:ascii="Times New Roman" w:eastAsia="Calibri" w:hAnsi="Times New Roman" w:cs="Times New Roman"/>
          <w:kern w:val="0"/>
          <w14:ligatures w14:val="none"/>
        </w:rPr>
        <w:t>Masa'deh</w:t>
      </w:r>
      <w:proofErr w:type="spellEnd"/>
      <w:r w:rsidRPr="00D8206B">
        <w:rPr>
          <w:rFonts w:ascii="Times New Roman" w:eastAsia="Calibri" w:hAnsi="Times New Roman" w:cs="Times New Roman"/>
          <w:kern w:val="0"/>
          <w14:ligatures w14:val="none"/>
        </w:rPr>
        <w:t>, R., &amp; Al-</w:t>
      </w:r>
      <w:proofErr w:type="spellStart"/>
      <w:r w:rsidRPr="00D8206B">
        <w:rPr>
          <w:rFonts w:ascii="Times New Roman" w:eastAsia="Calibri" w:hAnsi="Times New Roman" w:cs="Times New Roman"/>
          <w:kern w:val="0"/>
          <w14:ligatures w14:val="none"/>
        </w:rPr>
        <w:t>Khasawneh</w:t>
      </w:r>
      <w:proofErr w:type="spellEnd"/>
      <w:r w:rsidRPr="00D8206B">
        <w:rPr>
          <w:rFonts w:ascii="Times New Roman" w:eastAsia="Calibri" w:hAnsi="Times New Roman" w:cs="Times New Roman"/>
          <w:kern w:val="0"/>
          <w14:ligatures w14:val="none"/>
        </w:rPr>
        <w:t xml:space="preserve">, M. (2023). Exploring the determinants of FinTech adoption and intention to use in Jordan: The impact of COVID-19. </w:t>
      </w:r>
      <w:r w:rsidRPr="00D8206B">
        <w:rPr>
          <w:rFonts w:ascii="Times New Roman" w:eastAsia="Calibri" w:hAnsi="Times New Roman" w:cs="Times New Roman"/>
          <w:i/>
          <w:iCs/>
          <w:kern w:val="0"/>
          <w14:ligatures w14:val="none"/>
        </w:rPr>
        <w:t>Cogent Social Sciences, 9</w:t>
      </w:r>
      <w:r w:rsidRPr="00D8206B">
        <w:rPr>
          <w:rFonts w:ascii="Times New Roman" w:eastAsia="Calibri" w:hAnsi="Times New Roman" w:cs="Times New Roman"/>
          <w:kern w:val="0"/>
          <w14:ligatures w14:val="none"/>
        </w:rPr>
        <w:t xml:space="preserve">(2), Article 2256536. </w:t>
      </w:r>
      <w:hyperlink r:id="rId137" w:tgtFrame="_blank" w:history="1">
        <w:r w:rsidRPr="00D8206B">
          <w:rPr>
            <w:rFonts w:ascii="Times New Roman" w:eastAsia="Calibri" w:hAnsi="Times New Roman" w:cs="Times New Roman"/>
            <w:color w:val="0563C1"/>
            <w:kern w:val="0"/>
            <w:u w:val="single"/>
            <w14:ligatures w14:val="none"/>
          </w:rPr>
          <w:t>https://doi.org/10.1080/23311886.2023.2256536</w:t>
        </w:r>
      </w:hyperlink>
    </w:p>
    <w:p w14:paraId="62B7CE9D"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Al-</w:t>
      </w:r>
      <w:proofErr w:type="spellStart"/>
      <w:r w:rsidRPr="00D8206B">
        <w:rPr>
          <w:rFonts w:ascii="Times New Roman" w:eastAsia="Calibri" w:hAnsi="Times New Roman" w:cs="Times New Roman"/>
          <w:kern w:val="0"/>
          <w14:ligatures w14:val="none"/>
        </w:rPr>
        <w:t>Swidi</w:t>
      </w:r>
      <w:proofErr w:type="spellEnd"/>
      <w:r w:rsidRPr="00D8206B">
        <w:rPr>
          <w:rFonts w:ascii="Times New Roman" w:eastAsia="Calibri" w:hAnsi="Times New Roman" w:cs="Times New Roman"/>
          <w:kern w:val="0"/>
          <w14:ligatures w14:val="none"/>
        </w:rPr>
        <w:t xml:space="preserve">, A. K., Hair, J. F., &amp; Al-Hakimi, M. A. (2023). Sustainable development-oriented regulatory and competitive pressures to shift toward a circular economy: The role of environmental orientation and Industry 4.0 technologies. </w:t>
      </w:r>
      <w:r w:rsidRPr="00D8206B">
        <w:rPr>
          <w:rFonts w:ascii="Times New Roman" w:eastAsia="Calibri" w:hAnsi="Times New Roman" w:cs="Times New Roman"/>
          <w:i/>
          <w:iCs/>
          <w:kern w:val="0"/>
          <w14:ligatures w14:val="none"/>
        </w:rPr>
        <w:t>Business Strategy and the Environment, 32</w:t>
      </w:r>
      <w:r w:rsidRPr="00D8206B">
        <w:rPr>
          <w:rFonts w:ascii="Times New Roman" w:eastAsia="Calibri" w:hAnsi="Times New Roman" w:cs="Times New Roman"/>
          <w:kern w:val="0"/>
          <w14:ligatures w14:val="none"/>
        </w:rPr>
        <w:t xml:space="preserve">(7), 4782–4797. </w:t>
      </w:r>
      <w:hyperlink r:id="rId138" w:tgtFrame="_blank" w:history="1">
        <w:r w:rsidRPr="00D8206B">
          <w:rPr>
            <w:rFonts w:ascii="Times New Roman" w:eastAsia="Calibri" w:hAnsi="Times New Roman" w:cs="Times New Roman"/>
            <w:color w:val="0563C1"/>
            <w:kern w:val="0"/>
            <w:u w:val="single"/>
            <w14:ligatures w14:val="none"/>
          </w:rPr>
          <w:t>https://doi.org/10.1002/bse.3393</w:t>
        </w:r>
      </w:hyperlink>
    </w:p>
    <w:p w14:paraId="407E3F6B"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Ammas, M. B., Selvam, M., &amp; </w:t>
      </w:r>
      <w:proofErr w:type="spellStart"/>
      <w:r w:rsidRPr="00D8206B">
        <w:rPr>
          <w:rFonts w:ascii="Times New Roman" w:eastAsia="Calibri" w:hAnsi="Times New Roman" w:cs="Times New Roman"/>
          <w:kern w:val="0"/>
          <w14:ligatures w14:val="none"/>
        </w:rPr>
        <w:t>Parayitam</w:t>
      </w:r>
      <w:proofErr w:type="spellEnd"/>
      <w:r w:rsidRPr="00D8206B">
        <w:rPr>
          <w:rFonts w:ascii="Times New Roman" w:eastAsia="Calibri" w:hAnsi="Times New Roman" w:cs="Times New Roman"/>
          <w:kern w:val="0"/>
          <w14:ligatures w14:val="none"/>
        </w:rPr>
        <w:t xml:space="preserve">, S. (2024). FinTech and financial inclusion: Exploring the mediating role of digital financial literacy and the moderating influence of perceived regulatory support. </w:t>
      </w:r>
      <w:r w:rsidRPr="00D8206B">
        <w:rPr>
          <w:rFonts w:ascii="Times New Roman" w:eastAsia="Calibri" w:hAnsi="Times New Roman" w:cs="Times New Roman"/>
          <w:i/>
          <w:iCs/>
          <w:kern w:val="0"/>
          <w14:ligatures w14:val="none"/>
        </w:rPr>
        <w:t>Journal of Risk and Financial Management, 17</w:t>
      </w:r>
      <w:r w:rsidRPr="00D8206B">
        <w:rPr>
          <w:rFonts w:ascii="Times New Roman" w:eastAsia="Calibri" w:hAnsi="Times New Roman" w:cs="Times New Roman"/>
          <w:kern w:val="0"/>
          <w14:ligatures w14:val="none"/>
        </w:rPr>
        <w:t xml:space="preserve">(5), Article 108. </w:t>
      </w:r>
      <w:hyperlink r:id="rId139" w:tgtFrame="_blank" w:history="1">
        <w:r w:rsidRPr="00D8206B">
          <w:rPr>
            <w:rFonts w:ascii="Times New Roman" w:eastAsia="Calibri" w:hAnsi="Times New Roman" w:cs="Times New Roman"/>
            <w:color w:val="0563C1"/>
            <w:kern w:val="0"/>
            <w:u w:val="single"/>
            <w14:ligatures w14:val="none"/>
          </w:rPr>
          <w:t>https://doi.org/10.3390/jrfm17030108</w:t>
        </w:r>
      </w:hyperlink>
    </w:p>
    <w:p w14:paraId="4653B24E"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lastRenderedPageBreak/>
        <w:t xml:space="preserve">Baba, M. A., Haq, Z. U., Dawood, M., &amp; Aashish, K. (2023). FinTech adoption of financial services industry: Exploring the impact of creative and innovative leadership. </w:t>
      </w:r>
      <w:r w:rsidRPr="00D8206B">
        <w:rPr>
          <w:rFonts w:ascii="Times New Roman" w:eastAsia="Calibri" w:hAnsi="Times New Roman" w:cs="Times New Roman"/>
          <w:i/>
          <w:iCs/>
          <w:kern w:val="0"/>
          <w14:ligatures w14:val="none"/>
        </w:rPr>
        <w:t>Journal of Risk and Financial Management, 16</w:t>
      </w:r>
      <w:r w:rsidRPr="00D8206B">
        <w:rPr>
          <w:rFonts w:ascii="Times New Roman" w:eastAsia="Calibri" w:hAnsi="Times New Roman" w:cs="Times New Roman"/>
          <w:kern w:val="0"/>
          <w14:ligatures w14:val="none"/>
        </w:rPr>
        <w:t xml:space="preserve">(10), Article 453. </w:t>
      </w:r>
      <w:hyperlink r:id="rId140" w:tgtFrame="_blank" w:history="1">
        <w:r w:rsidRPr="00D8206B">
          <w:rPr>
            <w:rFonts w:ascii="Times New Roman" w:eastAsia="Calibri" w:hAnsi="Times New Roman" w:cs="Times New Roman"/>
            <w:color w:val="0563C1"/>
            <w:kern w:val="0"/>
            <w:u w:val="single"/>
            <w14:ligatures w14:val="none"/>
          </w:rPr>
          <w:t>https://doi.org/10.3390/jrfm16100453</w:t>
        </w:r>
      </w:hyperlink>
    </w:p>
    <w:p w14:paraId="13EC2A4A"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Balaskas, S., </w:t>
      </w:r>
      <w:proofErr w:type="spellStart"/>
      <w:r w:rsidRPr="00D8206B">
        <w:rPr>
          <w:rFonts w:ascii="Times New Roman" w:eastAsia="Calibri" w:hAnsi="Times New Roman" w:cs="Times New Roman"/>
          <w:kern w:val="0"/>
          <w14:ligatures w14:val="none"/>
        </w:rPr>
        <w:t>Koutroumani</w:t>
      </w:r>
      <w:proofErr w:type="spellEnd"/>
      <w:r w:rsidRPr="00D8206B">
        <w:rPr>
          <w:rFonts w:ascii="Times New Roman" w:eastAsia="Calibri" w:hAnsi="Times New Roman" w:cs="Times New Roman"/>
          <w:kern w:val="0"/>
          <w14:ligatures w14:val="none"/>
        </w:rPr>
        <w:t xml:space="preserve">, M., Komis, K., &amp; Rigou, M. (2024). FinTech services adoption in Greece: The roles of trust, government support, and technology acceptance factors. </w:t>
      </w:r>
      <w:r w:rsidRPr="00D8206B">
        <w:rPr>
          <w:rFonts w:ascii="Times New Roman" w:eastAsia="Calibri" w:hAnsi="Times New Roman" w:cs="Times New Roman"/>
          <w:i/>
          <w:iCs/>
          <w:kern w:val="0"/>
          <w14:ligatures w14:val="none"/>
        </w:rPr>
        <w:t>FinTech, 3</w:t>
      </w:r>
      <w:r w:rsidRPr="00D8206B">
        <w:rPr>
          <w:rFonts w:ascii="Times New Roman" w:eastAsia="Calibri" w:hAnsi="Times New Roman" w:cs="Times New Roman"/>
          <w:kern w:val="0"/>
          <w14:ligatures w14:val="none"/>
        </w:rPr>
        <w:t xml:space="preserve">(1), 83–101. </w:t>
      </w:r>
      <w:hyperlink r:id="rId141" w:tgtFrame="_blank" w:history="1">
        <w:r w:rsidRPr="00D8206B">
          <w:rPr>
            <w:rFonts w:ascii="Times New Roman" w:eastAsia="Calibri" w:hAnsi="Times New Roman" w:cs="Times New Roman"/>
            <w:color w:val="0563C1"/>
            <w:kern w:val="0"/>
            <w:u w:val="single"/>
            <w14:ligatures w14:val="none"/>
          </w:rPr>
          <w:t>https://doi.org/10.3390/fintech3010006</w:t>
        </w:r>
      </w:hyperlink>
    </w:p>
    <w:p w14:paraId="661F0517"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Barroso, M., &amp; Laborda, J. (2022). Digital transformation and the emergence of the Fintech sector: Systematic literature review. </w:t>
      </w:r>
      <w:r w:rsidRPr="00D8206B">
        <w:rPr>
          <w:rFonts w:ascii="Times New Roman" w:eastAsia="Calibri" w:hAnsi="Times New Roman" w:cs="Times New Roman"/>
          <w:i/>
          <w:iCs/>
          <w:kern w:val="0"/>
          <w14:ligatures w14:val="none"/>
        </w:rPr>
        <w:t>Digital Business, 2</w:t>
      </w:r>
      <w:r w:rsidRPr="00D8206B">
        <w:rPr>
          <w:rFonts w:ascii="Times New Roman" w:eastAsia="Calibri" w:hAnsi="Times New Roman" w:cs="Times New Roman"/>
          <w:kern w:val="0"/>
          <w14:ligatures w14:val="none"/>
        </w:rPr>
        <w:t xml:space="preserve">(2), Article 100028. </w:t>
      </w:r>
      <w:hyperlink r:id="rId142" w:tgtFrame="_blank" w:history="1">
        <w:r w:rsidRPr="00D8206B">
          <w:rPr>
            <w:rFonts w:ascii="Times New Roman" w:eastAsia="Calibri" w:hAnsi="Times New Roman" w:cs="Times New Roman"/>
            <w:color w:val="0563C1"/>
            <w:kern w:val="0"/>
            <w:u w:val="single"/>
            <w14:ligatures w14:val="none"/>
          </w:rPr>
          <w:t>https://doi.org/10.1016/j.digbus.2022.100028</w:t>
        </w:r>
      </w:hyperlink>
    </w:p>
    <w:p w14:paraId="4F1323A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Bhat, J. R., AlQahtani, S. A., &amp; </w:t>
      </w:r>
      <w:proofErr w:type="spellStart"/>
      <w:r w:rsidRPr="00D8206B">
        <w:rPr>
          <w:rFonts w:ascii="Times New Roman" w:eastAsia="Calibri" w:hAnsi="Times New Roman" w:cs="Times New Roman"/>
          <w:kern w:val="0"/>
          <w14:ligatures w14:val="none"/>
        </w:rPr>
        <w:t>Nekovee</w:t>
      </w:r>
      <w:proofErr w:type="spellEnd"/>
      <w:r w:rsidRPr="00D8206B">
        <w:rPr>
          <w:rFonts w:ascii="Times New Roman" w:eastAsia="Calibri" w:hAnsi="Times New Roman" w:cs="Times New Roman"/>
          <w:kern w:val="0"/>
          <w14:ligatures w14:val="none"/>
        </w:rPr>
        <w:t xml:space="preserve">, M. (2023). FinTech enablers, use cases, and role of future internet of things. </w:t>
      </w:r>
      <w:r w:rsidRPr="00D8206B">
        <w:rPr>
          <w:rFonts w:ascii="Times New Roman" w:eastAsia="Calibri" w:hAnsi="Times New Roman" w:cs="Times New Roman"/>
          <w:i/>
          <w:iCs/>
          <w:kern w:val="0"/>
          <w14:ligatures w14:val="none"/>
        </w:rPr>
        <w:t>Journal of King Saud University—Computer and Information Sciences, 35</w:t>
      </w:r>
      <w:r w:rsidRPr="00D8206B">
        <w:rPr>
          <w:rFonts w:ascii="Times New Roman" w:eastAsia="Calibri" w:hAnsi="Times New Roman" w:cs="Times New Roman"/>
          <w:kern w:val="0"/>
          <w14:ligatures w14:val="none"/>
        </w:rPr>
        <w:t xml:space="preserve">(1), 87–101. </w:t>
      </w:r>
      <w:hyperlink r:id="rId143" w:tgtFrame="_blank" w:history="1">
        <w:r w:rsidRPr="00D8206B">
          <w:rPr>
            <w:rFonts w:ascii="Times New Roman" w:eastAsia="Calibri" w:hAnsi="Times New Roman" w:cs="Times New Roman"/>
            <w:color w:val="0563C1"/>
            <w:kern w:val="0"/>
            <w:u w:val="single"/>
            <w14:ligatures w14:val="none"/>
          </w:rPr>
          <w:t>https://doi.org/10.1016/j.jksuci.2022.08.033</w:t>
        </w:r>
      </w:hyperlink>
    </w:p>
    <w:p w14:paraId="2C4B0DB7"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Bongomin</w:t>
      </w:r>
      <w:proofErr w:type="spellEnd"/>
      <w:r w:rsidRPr="00D8206B">
        <w:rPr>
          <w:rFonts w:ascii="Times New Roman" w:eastAsia="Calibri" w:hAnsi="Times New Roman" w:cs="Times New Roman"/>
          <w:kern w:val="0"/>
          <w14:ligatures w14:val="none"/>
        </w:rPr>
        <w:t xml:space="preserve">, G. O. C., Ntayi, J. M., Munene, J. C., &amp; Malinga, C. A. (2018). Mobile money and financial inclusion in sub-Saharan Africa: The moderating role of social networks. </w:t>
      </w:r>
      <w:r w:rsidRPr="00D8206B">
        <w:rPr>
          <w:rFonts w:ascii="Times New Roman" w:eastAsia="Calibri" w:hAnsi="Times New Roman" w:cs="Times New Roman"/>
          <w:i/>
          <w:iCs/>
          <w:kern w:val="0"/>
          <w14:ligatures w14:val="none"/>
        </w:rPr>
        <w:t>Journal of African Business, 19</w:t>
      </w:r>
      <w:r w:rsidRPr="00D8206B">
        <w:rPr>
          <w:rFonts w:ascii="Times New Roman" w:eastAsia="Calibri" w:hAnsi="Times New Roman" w:cs="Times New Roman"/>
          <w:kern w:val="0"/>
          <w14:ligatures w14:val="none"/>
        </w:rPr>
        <w:t xml:space="preserve">(3), 361–384. </w:t>
      </w:r>
      <w:hyperlink r:id="rId144" w:tgtFrame="_blank" w:history="1">
        <w:r w:rsidRPr="00D8206B">
          <w:rPr>
            <w:rFonts w:ascii="Times New Roman" w:eastAsia="Calibri" w:hAnsi="Times New Roman" w:cs="Times New Roman"/>
            <w:color w:val="0563C1"/>
            <w:kern w:val="0"/>
            <w:u w:val="single"/>
            <w14:ligatures w14:val="none"/>
          </w:rPr>
          <w:t>https://doi.org/10.1080/15228916.2017.1416214</w:t>
        </w:r>
      </w:hyperlink>
    </w:p>
    <w:p w14:paraId="5659F5BA"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Cai, Y., Huang, Z., &amp; Zhang, X. (2024). FinTech adoption and rural economic development: Evidence from China. </w:t>
      </w:r>
      <w:r w:rsidRPr="00D8206B">
        <w:rPr>
          <w:rFonts w:ascii="Times New Roman" w:eastAsia="Calibri" w:hAnsi="Times New Roman" w:cs="Times New Roman"/>
          <w:i/>
          <w:iCs/>
          <w:kern w:val="0"/>
          <w14:ligatures w14:val="none"/>
        </w:rPr>
        <w:t>Pacific-Basin Finance Journal, 83</w:t>
      </w:r>
      <w:r w:rsidRPr="00D8206B">
        <w:rPr>
          <w:rFonts w:ascii="Times New Roman" w:eastAsia="Calibri" w:hAnsi="Times New Roman" w:cs="Times New Roman"/>
          <w:kern w:val="0"/>
          <w14:ligatures w14:val="none"/>
        </w:rPr>
        <w:t xml:space="preserve">, Article 102264. </w:t>
      </w:r>
      <w:hyperlink r:id="rId145" w:tgtFrame="_blank" w:history="1">
        <w:r w:rsidRPr="00D8206B">
          <w:rPr>
            <w:rFonts w:ascii="Times New Roman" w:eastAsia="Calibri" w:hAnsi="Times New Roman" w:cs="Times New Roman"/>
            <w:color w:val="0563C1"/>
            <w:kern w:val="0"/>
            <w:u w:val="single"/>
            <w14:ligatures w14:val="none"/>
          </w:rPr>
          <w:t>https://doi.org/10.1016/j.pacfin.2024.102264</w:t>
        </w:r>
      </w:hyperlink>
    </w:p>
    <w:p w14:paraId="5434CF04"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Cheah, J. H., Thurasamy, R., Memon, M. A., Chuah, F., &amp; Ting, H. (2020). Multigroup analysis using </w:t>
      </w:r>
      <w:proofErr w:type="spellStart"/>
      <w:r w:rsidRPr="00D8206B">
        <w:rPr>
          <w:rFonts w:ascii="Times New Roman" w:eastAsia="Calibri" w:hAnsi="Times New Roman" w:cs="Times New Roman"/>
          <w:kern w:val="0"/>
          <w14:ligatures w14:val="none"/>
        </w:rPr>
        <w:t>smartPLS</w:t>
      </w:r>
      <w:proofErr w:type="spellEnd"/>
      <w:r w:rsidRPr="00D8206B">
        <w:rPr>
          <w:rFonts w:ascii="Times New Roman" w:eastAsia="Calibri" w:hAnsi="Times New Roman" w:cs="Times New Roman"/>
          <w:kern w:val="0"/>
          <w14:ligatures w14:val="none"/>
        </w:rPr>
        <w:t xml:space="preserve">: Step-by-step guidelines for business research. </w:t>
      </w:r>
      <w:r w:rsidRPr="00D8206B">
        <w:rPr>
          <w:rFonts w:ascii="Times New Roman" w:eastAsia="Calibri" w:hAnsi="Times New Roman" w:cs="Times New Roman"/>
          <w:i/>
          <w:iCs/>
          <w:kern w:val="0"/>
          <w14:ligatures w14:val="none"/>
        </w:rPr>
        <w:t>Asian Journal of Business Research, 10</w:t>
      </w:r>
      <w:r w:rsidRPr="00D8206B">
        <w:rPr>
          <w:rFonts w:ascii="Times New Roman" w:eastAsia="Calibri" w:hAnsi="Times New Roman" w:cs="Times New Roman"/>
          <w:kern w:val="0"/>
          <w14:ligatures w14:val="none"/>
        </w:rPr>
        <w:t xml:space="preserve">(3), I–XIX. </w:t>
      </w:r>
      <w:hyperlink r:id="rId146" w:tgtFrame="_blank" w:history="1">
        <w:r w:rsidRPr="00D8206B">
          <w:rPr>
            <w:rFonts w:ascii="Times New Roman" w:eastAsia="Calibri" w:hAnsi="Times New Roman" w:cs="Times New Roman"/>
            <w:color w:val="0563C1"/>
            <w:kern w:val="0"/>
            <w:u w:val="single"/>
            <w14:ligatures w14:val="none"/>
          </w:rPr>
          <w:t>https://doi.org/10.14707/ajbr.200087</w:t>
        </w:r>
      </w:hyperlink>
    </w:p>
    <w:p w14:paraId="08F69C41"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Chin, W. W. (1998). </w:t>
      </w:r>
      <w:r w:rsidRPr="00D8206B">
        <w:rPr>
          <w:rFonts w:ascii="Times New Roman" w:eastAsia="Calibri" w:hAnsi="Times New Roman" w:cs="Times New Roman"/>
          <w:i/>
          <w:iCs/>
          <w:kern w:val="0"/>
          <w14:ligatures w14:val="none"/>
        </w:rPr>
        <w:t>The partial least squares approach to structural equation modeling</w:t>
      </w:r>
      <w:r w:rsidRPr="00D8206B">
        <w:rPr>
          <w:rFonts w:ascii="Times New Roman" w:eastAsia="Calibri" w:hAnsi="Times New Roman" w:cs="Times New Roman"/>
          <w:kern w:val="0"/>
          <w14:ligatures w14:val="none"/>
        </w:rPr>
        <w:t xml:space="preserve">. In G. A. </w:t>
      </w:r>
      <w:proofErr w:type="spellStart"/>
      <w:r w:rsidRPr="00D8206B">
        <w:rPr>
          <w:rFonts w:ascii="Times New Roman" w:eastAsia="Calibri" w:hAnsi="Times New Roman" w:cs="Times New Roman"/>
          <w:kern w:val="0"/>
          <w14:ligatures w14:val="none"/>
        </w:rPr>
        <w:t>Marcoulides</w:t>
      </w:r>
      <w:proofErr w:type="spellEnd"/>
      <w:r w:rsidRPr="00D8206B">
        <w:rPr>
          <w:rFonts w:ascii="Times New Roman" w:eastAsia="Calibri" w:hAnsi="Times New Roman" w:cs="Times New Roman"/>
          <w:kern w:val="0"/>
          <w14:ligatures w14:val="none"/>
        </w:rPr>
        <w:t xml:space="preserve"> (Ed.), </w:t>
      </w:r>
      <w:r w:rsidRPr="00D8206B">
        <w:rPr>
          <w:rFonts w:ascii="Times New Roman" w:eastAsia="Calibri" w:hAnsi="Times New Roman" w:cs="Times New Roman"/>
          <w:i/>
          <w:iCs/>
          <w:kern w:val="0"/>
          <w14:ligatures w14:val="none"/>
        </w:rPr>
        <w:t>Modern methods for business research</w:t>
      </w:r>
      <w:r w:rsidRPr="00D8206B">
        <w:rPr>
          <w:rFonts w:ascii="Times New Roman" w:eastAsia="Calibri" w:hAnsi="Times New Roman" w:cs="Times New Roman"/>
          <w:kern w:val="0"/>
          <w14:ligatures w14:val="none"/>
        </w:rPr>
        <w:t xml:space="preserve"> (pp. 295–336). Psychology Press.</w:t>
      </w:r>
    </w:p>
    <w:p w14:paraId="77D52E3F"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Chinnasamy, G., Madbouly, A., &amp; Reyad, S. (2021). Fintech: A pathway for MENA region. In A. Hamdan, A. E. </w:t>
      </w:r>
      <w:proofErr w:type="spellStart"/>
      <w:r w:rsidRPr="00D8206B">
        <w:rPr>
          <w:rFonts w:ascii="Times New Roman" w:eastAsia="Calibri" w:hAnsi="Times New Roman" w:cs="Times New Roman"/>
          <w:kern w:val="0"/>
          <w14:ligatures w14:val="none"/>
        </w:rPr>
        <w:t>Hassanien</w:t>
      </w:r>
      <w:proofErr w:type="spellEnd"/>
      <w:r w:rsidRPr="00D8206B">
        <w:rPr>
          <w:rFonts w:ascii="Times New Roman" w:eastAsia="Calibri" w:hAnsi="Times New Roman" w:cs="Times New Roman"/>
          <w:kern w:val="0"/>
          <w14:ligatures w14:val="none"/>
        </w:rPr>
        <w:t xml:space="preserve">, A. Razzaque, &amp; B. </w:t>
      </w:r>
      <w:proofErr w:type="spellStart"/>
      <w:r w:rsidRPr="00D8206B">
        <w:rPr>
          <w:rFonts w:ascii="Times New Roman" w:eastAsia="Calibri" w:hAnsi="Times New Roman" w:cs="Times New Roman"/>
          <w:kern w:val="0"/>
          <w14:ligatures w14:val="none"/>
        </w:rPr>
        <w:t>Alareeni</w:t>
      </w:r>
      <w:proofErr w:type="spellEnd"/>
      <w:r w:rsidRPr="00D8206B">
        <w:rPr>
          <w:rFonts w:ascii="Times New Roman" w:eastAsia="Calibri" w:hAnsi="Times New Roman" w:cs="Times New Roman"/>
          <w:kern w:val="0"/>
          <w14:ligatures w14:val="none"/>
        </w:rPr>
        <w:t xml:space="preserve"> (Eds.), </w:t>
      </w:r>
      <w:r w:rsidRPr="00D8206B">
        <w:rPr>
          <w:rFonts w:ascii="Times New Roman" w:eastAsia="Calibri" w:hAnsi="Times New Roman" w:cs="Times New Roman"/>
          <w:i/>
          <w:iCs/>
          <w:kern w:val="0"/>
          <w14:ligatures w14:val="none"/>
        </w:rPr>
        <w:t>The fourth industrial revolution: Implementation of artificial intelligence for growing business success</w:t>
      </w:r>
      <w:r w:rsidRPr="00D8206B">
        <w:rPr>
          <w:rFonts w:ascii="Times New Roman" w:eastAsia="Calibri" w:hAnsi="Times New Roman" w:cs="Times New Roman"/>
          <w:kern w:val="0"/>
          <w14:ligatures w14:val="none"/>
        </w:rPr>
        <w:t xml:space="preserve"> (pp. 157–170). Springer.</w:t>
      </w:r>
    </w:p>
    <w:p w14:paraId="485C0F69"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Choung, Y., Chatterjee, S., &amp; Pak, T.-Y. (2023). Digital financial literacy and financial well-being. </w:t>
      </w:r>
      <w:r w:rsidRPr="00D8206B">
        <w:rPr>
          <w:rFonts w:ascii="Times New Roman" w:eastAsia="Calibri" w:hAnsi="Times New Roman" w:cs="Times New Roman"/>
          <w:i/>
          <w:iCs/>
          <w:kern w:val="0"/>
          <w14:ligatures w14:val="none"/>
        </w:rPr>
        <w:t>Finance Research Letters, 58</w:t>
      </w:r>
      <w:r w:rsidRPr="00D8206B">
        <w:rPr>
          <w:rFonts w:ascii="Times New Roman" w:eastAsia="Calibri" w:hAnsi="Times New Roman" w:cs="Times New Roman"/>
          <w:kern w:val="0"/>
          <w14:ligatures w14:val="none"/>
        </w:rPr>
        <w:t xml:space="preserve">, Article 104438. </w:t>
      </w:r>
      <w:hyperlink r:id="rId147" w:tgtFrame="_blank" w:history="1">
        <w:r w:rsidRPr="00D8206B">
          <w:rPr>
            <w:rFonts w:ascii="Times New Roman" w:eastAsia="Calibri" w:hAnsi="Times New Roman" w:cs="Times New Roman"/>
            <w:color w:val="0563C1"/>
            <w:kern w:val="0"/>
            <w:u w:val="single"/>
            <w14:ligatures w14:val="none"/>
          </w:rPr>
          <w:t>https://doi.org/10.1016/j.frl.2023.104438</w:t>
        </w:r>
      </w:hyperlink>
    </w:p>
    <w:p w14:paraId="0EC817F9"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Cohen, J. (2013). </w:t>
      </w:r>
      <w:r w:rsidRPr="00D8206B">
        <w:rPr>
          <w:rFonts w:ascii="Times New Roman" w:eastAsia="Calibri" w:hAnsi="Times New Roman" w:cs="Times New Roman"/>
          <w:i/>
          <w:iCs/>
          <w:kern w:val="0"/>
          <w14:ligatures w14:val="none"/>
        </w:rPr>
        <w:t>Statistical power analysis for the behavioral sciences</w:t>
      </w:r>
      <w:r w:rsidRPr="00D8206B">
        <w:rPr>
          <w:rFonts w:ascii="Times New Roman" w:eastAsia="Calibri" w:hAnsi="Times New Roman" w:cs="Times New Roman"/>
          <w:kern w:val="0"/>
          <w14:ligatures w14:val="none"/>
        </w:rPr>
        <w:t xml:space="preserve"> (2nd ed.). Routledge.</w:t>
      </w:r>
    </w:p>
    <w:p w14:paraId="2D4C635B"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Cruz-Cárdenas, J., </w:t>
      </w:r>
      <w:proofErr w:type="spellStart"/>
      <w:r w:rsidRPr="00D8206B">
        <w:rPr>
          <w:rFonts w:ascii="Times New Roman" w:eastAsia="Calibri" w:hAnsi="Times New Roman" w:cs="Times New Roman"/>
          <w:kern w:val="0"/>
          <w14:ligatures w14:val="none"/>
        </w:rPr>
        <w:t>Zabelina</w:t>
      </w:r>
      <w:proofErr w:type="spellEnd"/>
      <w:r w:rsidRPr="00D8206B">
        <w:rPr>
          <w:rFonts w:ascii="Times New Roman" w:eastAsia="Calibri" w:hAnsi="Times New Roman" w:cs="Times New Roman"/>
          <w:kern w:val="0"/>
          <w14:ligatures w14:val="none"/>
        </w:rPr>
        <w:t xml:space="preserve">, E., Guadalupe-Lanas, J., Palacio-Fierro, A., &amp; Ramos-Galarza, C. (2021). COVID-19, consumer behavior, technology, and society: A literature review and bibliometric analysis. </w:t>
      </w:r>
      <w:r w:rsidRPr="00D8206B">
        <w:rPr>
          <w:rFonts w:ascii="Times New Roman" w:eastAsia="Calibri" w:hAnsi="Times New Roman" w:cs="Times New Roman"/>
          <w:i/>
          <w:iCs/>
          <w:kern w:val="0"/>
          <w14:ligatures w14:val="none"/>
        </w:rPr>
        <w:t>Technological Forecasting and Social Change, 173</w:t>
      </w:r>
      <w:r w:rsidRPr="00D8206B">
        <w:rPr>
          <w:rFonts w:ascii="Times New Roman" w:eastAsia="Calibri" w:hAnsi="Times New Roman" w:cs="Times New Roman"/>
          <w:kern w:val="0"/>
          <w14:ligatures w14:val="none"/>
        </w:rPr>
        <w:t xml:space="preserve">, Article 121179. </w:t>
      </w:r>
      <w:hyperlink r:id="rId148" w:tgtFrame="_blank" w:history="1">
        <w:r w:rsidRPr="00D8206B">
          <w:rPr>
            <w:rFonts w:ascii="Times New Roman" w:eastAsia="Calibri" w:hAnsi="Times New Roman" w:cs="Times New Roman"/>
            <w:color w:val="0563C1"/>
            <w:kern w:val="0"/>
            <w:u w:val="single"/>
            <w14:ligatures w14:val="none"/>
          </w:rPr>
          <w:t>https://doi.org/10.1016/j.techfore.2021.121179</w:t>
        </w:r>
      </w:hyperlink>
    </w:p>
    <w:p w14:paraId="668C60DD"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Cui, X., Xiao, J. J., &amp; Yi, J. (2019). Employment type, residential status and consumer financial capability: Evidence from China household finance survey. </w:t>
      </w:r>
      <w:r w:rsidRPr="00D8206B">
        <w:rPr>
          <w:rFonts w:ascii="Times New Roman" w:eastAsia="Calibri" w:hAnsi="Times New Roman" w:cs="Times New Roman"/>
          <w:i/>
          <w:iCs/>
          <w:kern w:val="0"/>
          <w14:ligatures w14:val="none"/>
        </w:rPr>
        <w:t>The Singapore Economic Review, 64</w:t>
      </w:r>
      <w:r w:rsidRPr="00D8206B">
        <w:rPr>
          <w:rFonts w:ascii="Times New Roman" w:eastAsia="Calibri" w:hAnsi="Times New Roman" w:cs="Times New Roman"/>
          <w:kern w:val="0"/>
          <w14:ligatures w14:val="none"/>
        </w:rPr>
        <w:t xml:space="preserve">(01), 57–81. </w:t>
      </w:r>
      <w:hyperlink r:id="rId149" w:tgtFrame="_blank" w:history="1">
        <w:r w:rsidRPr="00D8206B">
          <w:rPr>
            <w:rFonts w:ascii="Times New Roman" w:eastAsia="Calibri" w:hAnsi="Times New Roman" w:cs="Times New Roman"/>
            <w:color w:val="0563C1"/>
            <w:kern w:val="0"/>
            <w:u w:val="single"/>
            <w14:ligatures w14:val="none"/>
          </w:rPr>
          <w:t>https://doi.org/10.1142/S0217590817430032</w:t>
        </w:r>
      </w:hyperlink>
    </w:p>
    <w:p w14:paraId="326CF114"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Dafri</w:t>
      </w:r>
      <w:proofErr w:type="spellEnd"/>
      <w:r w:rsidRPr="00D8206B">
        <w:rPr>
          <w:rFonts w:ascii="Times New Roman" w:eastAsia="Calibri" w:hAnsi="Times New Roman" w:cs="Times New Roman"/>
          <w:kern w:val="0"/>
          <w14:ligatures w14:val="none"/>
        </w:rPr>
        <w:t>, W., &amp; Al-</w:t>
      </w:r>
      <w:proofErr w:type="spellStart"/>
      <w:r w:rsidRPr="00D8206B">
        <w:rPr>
          <w:rFonts w:ascii="Times New Roman" w:eastAsia="Calibri" w:hAnsi="Times New Roman" w:cs="Times New Roman"/>
          <w:kern w:val="0"/>
          <w14:ligatures w14:val="none"/>
        </w:rPr>
        <w:t>Qaruty</w:t>
      </w:r>
      <w:proofErr w:type="spellEnd"/>
      <w:r w:rsidRPr="00D8206B">
        <w:rPr>
          <w:rFonts w:ascii="Times New Roman" w:eastAsia="Calibri" w:hAnsi="Times New Roman" w:cs="Times New Roman"/>
          <w:kern w:val="0"/>
          <w14:ligatures w14:val="none"/>
        </w:rPr>
        <w:t xml:space="preserve">, R. (2023). Challenges and opportunities to enhance digital financial transformation in crisis management. </w:t>
      </w:r>
      <w:r w:rsidRPr="00D8206B">
        <w:rPr>
          <w:rFonts w:ascii="Times New Roman" w:eastAsia="Calibri" w:hAnsi="Times New Roman" w:cs="Times New Roman"/>
          <w:i/>
          <w:iCs/>
          <w:kern w:val="0"/>
          <w14:ligatures w14:val="none"/>
        </w:rPr>
        <w:t>Social Sciences &amp; Humanities Open, 8</w:t>
      </w:r>
      <w:r w:rsidRPr="00D8206B">
        <w:rPr>
          <w:rFonts w:ascii="Times New Roman" w:eastAsia="Calibri" w:hAnsi="Times New Roman" w:cs="Times New Roman"/>
          <w:kern w:val="0"/>
          <w14:ligatures w14:val="none"/>
        </w:rPr>
        <w:t xml:space="preserve">(1), Article 100662. </w:t>
      </w:r>
      <w:hyperlink r:id="rId150" w:tgtFrame="_blank" w:history="1">
        <w:r w:rsidRPr="00D8206B">
          <w:rPr>
            <w:rFonts w:ascii="Times New Roman" w:eastAsia="Calibri" w:hAnsi="Times New Roman" w:cs="Times New Roman"/>
            <w:color w:val="0563C1"/>
            <w:kern w:val="0"/>
            <w:u w:val="single"/>
            <w14:ligatures w14:val="none"/>
          </w:rPr>
          <w:t>https://doi.org/10.1016/j.ssaho.2023.100662</w:t>
        </w:r>
      </w:hyperlink>
    </w:p>
    <w:p w14:paraId="18694A3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Danish, Khan, S., &amp; </w:t>
      </w:r>
      <w:proofErr w:type="spellStart"/>
      <w:r w:rsidRPr="00D8206B">
        <w:rPr>
          <w:rFonts w:ascii="Times New Roman" w:eastAsia="Calibri" w:hAnsi="Times New Roman" w:cs="Times New Roman"/>
          <w:kern w:val="0"/>
          <w14:ligatures w14:val="none"/>
        </w:rPr>
        <w:t>Haneklaus</w:t>
      </w:r>
      <w:proofErr w:type="spellEnd"/>
      <w:r w:rsidRPr="00D8206B">
        <w:rPr>
          <w:rFonts w:ascii="Times New Roman" w:eastAsia="Calibri" w:hAnsi="Times New Roman" w:cs="Times New Roman"/>
          <w:kern w:val="0"/>
          <w14:ligatures w14:val="none"/>
        </w:rPr>
        <w:t xml:space="preserve">, N. (2023). Sustainable economic development across globe: The dynamics between technology, digital trade and economic performance. </w:t>
      </w:r>
      <w:r w:rsidRPr="00D8206B">
        <w:rPr>
          <w:rFonts w:ascii="Times New Roman" w:eastAsia="Calibri" w:hAnsi="Times New Roman" w:cs="Times New Roman"/>
          <w:i/>
          <w:iCs/>
          <w:kern w:val="0"/>
          <w14:ligatures w14:val="none"/>
        </w:rPr>
        <w:t>Technology in Society, 72</w:t>
      </w:r>
      <w:r w:rsidRPr="00D8206B">
        <w:rPr>
          <w:rFonts w:ascii="Times New Roman" w:eastAsia="Calibri" w:hAnsi="Times New Roman" w:cs="Times New Roman"/>
          <w:kern w:val="0"/>
          <w14:ligatures w14:val="none"/>
        </w:rPr>
        <w:t xml:space="preserve">, Article 102207. </w:t>
      </w:r>
      <w:hyperlink r:id="rId151" w:tgtFrame="_blank" w:history="1">
        <w:r w:rsidRPr="00D8206B">
          <w:rPr>
            <w:rFonts w:ascii="Times New Roman" w:eastAsia="Calibri" w:hAnsi="Times New Roman" w:cs="Times New Roman"/>
            <w:color w:val="0563C1"/>
            <w:kern w:val="0"/>
            <w:u w:val="single"/>
            <w14:ligatures w14:val="none"/>
          </w:rPr>
          <w:t>https://doi.org/10.1016/j.techsoc.2023.102207</w:t>
        </w:r>
      </w:hyperlink>
    </w:p>
    <w:p w14:paraId="1A519B98"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lastRenderedPageBreak/>
        <w:t xml:space="preserve">Das, A., &amp; Das, D. (2020). Perception, adoption, and pattern of usage of FinTech services by bank customers: Evidences from </w:t>
      </w:r>
      <w:proofErr w:type="spellStart"/>
      <w:r w:rsidRPr="00D8206B">
        <w:rPr>
          <w:rFonts w:ascii="Times New Roman" w:eastAsia="Calibri" w:hAnsi="Times New Roman" w:cs="Times New Roman"/>
          <w:kern w:val="0"/>
          <w14:ligatures w14:val="none"/>
        </w:rPr>
        <w:t>Hojai</w:t>
      </w:r>
      <w:proofErr w:type="spellEnd"/>
      <w:r w:rsidRPr="00D8206B">
        <w:rPr>
          <w:rFonts w:ascii="Times New Roman" w:eastAsia="Calibri" w:hAnsi="Times New Roman" w:cs="Times New Roman"/>
          <w:kern w:val="0"/>
          <w14:ligatures w14:val="none"/>
        </w:rPr>
        <w:t xml:space="preserve"> district of Assam. </w:t>
      </w:r>
      <w:r w:rsidRPr="00D8206B">
        <w:rPr>
          <w:rFonts w:ascii="Times New Roman" w:eastAsia="Calibri" w:hAnsi="Times New Roman" w:cs="Times New Roman"/>
          <w:i/>
          <w:iCs/>
          <w:kern w:val="0"/>
          <w14:ligatures w14:val="none"/>
        </w:rPr>
        <w:t>Emerging Economy Studies, 6</w:t>
      </w:r>
      <w:r w:rsidRPr="00D8206B">
        <w:rPr>
          <w:rFonts w:ascii="Times New Roman" w:eastAsia="Calibri" w:hAnsi="Times New Roman" w:cs="Times New Roman"/>
          <w:kern w:val="0"/>
          <w14:ligatures w14:val="none"/>
        </w:rPr>
        <w:t xml:space="preserve">(1), 7–22. </w:t>
      </w:r>
      <w:hyperlink r:id="rId152" w:tgtFrame="_blank" w:history="1">
        <w:r w:rsidRPr="00D8206B">
          <w:rPr>
            <w:rFonts w:ascii="Times New Roman" w:eastAsia="Calibri" w:hAnsi="Times New Roman" w:cs="Times New Roman"/>
            <w:color w:val="0563C1"/>
            <w:kern w:val="0"/>
            <w:u w:val="single"/>
            <w14:ligatures w14:val="none"/>
          </w:rPr>
          <w:t>https://doi.org/10.1177/2394901520907728</w:t>
        </w:r>
      </w:hyperlink>
    </w:p>
    <w:p w14:paraId="47CAC7BF"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Davis, F. D. (1989). Perceived usefulness, perceived ease of use, and user acceptance of information technology. </w:t>
      </w:r>
      <w:r w:rsidRPr="00D8206B">
        <w:rPr>
          <w:rFonts w:ascii="Times New Roman" w:eastAsia="Calibri" w:hAnsi="Times New Roman" w:cs="Times New Roman"/>
          <w:i/>
          <w:iCs/>
          <w:kern w:val="0"/>
          <w14:ligatures w14:val="none"/>
        </w:rPr>
        <w:t>MIS Quarterly, 13</w:t>
      </w:r>
      <w:r w:rsidRPr="00D8206B">
        <w:rPr>
          <w:rFonts w:ascii="Times New Roman" w:eastAsia="Calibri" w:hAnsi="Times New Roman" w:cs="Times New Roman"/>
          <w:kern w:val="0"/>
          <w14:ligatures w14:val="none"/>
        </w:rPr>
        <w:t xml:space="preserve">(3), 319–340. </w:t>
      </w:r>
      <w:hyperlink r:id="rId153" w:tgtFrame="_blank" w:history="1">
        <w:r w:rsidRPr="00D8206B">
          <w:rPr>
            <w:rFonts w:ascii="Times New Roman" w:eastAsia="Calibri" w:hAnsi="Times New Roman" w:cs="Times New Roman"/>
            <w:color w:val="0563C1"/>
            <w:kern w:val="0"/>
            <w:u w:val="single"/>
            <w14:ligatures w14:val="none"/>
          </w:rPr>
          <w:t>https://doi.org/10.2307/249008</w:t>
        </w:r>
      </w:hyperlink>
    </w:p>
    <w:p w14:paraId="495DC6B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Dehnert, M. (2020). Sustaining the current or pursuing the new: Incumbent digital transformation strategies in the financial service industry: A configurational perspective on firm performance. </w:t>
      </w:r>
      <w:r w:rsidRPr="00D8206B">
        <w:rPr>
          <w:rFonts w:ascii="Times New Roman" w:eastAsia="Calibri" w:hAnsi="Times New Roman" w:cs="Times New Roman"/>
          <w:i/>
          <w:iCs/>
          <w:kern w:val="0"/>
          <w14:ligatures w14:val="none"/>
        </w:rPr>
        <w:t>Business Research, 13</w:t>
      </w:r>
      <w:r w:rsidRPr="00D8206B">
        <w:rPr>
          <w:rFonts w:ascii="Times New Roman" w:eastAsia="Calibri" w:hAnsi="Times New Roman" w:cs="Times New Roman"/>
          <w:kern w:val="0"/>
          <w14:ligatures w14:val="none"/>
        </w:rPr>
        <w:t xml:space="preserve">(3), 1071–1113. </w:t>
      </w:r>
      <w:hyperlink r:id="rId154" w:tgtFrame="_blank" w:history="1">
        <w:r w:rsidRPr="00D8206B">
          <w:rPr>
            <w:rFonts w:ascii="Times New Roman" w:eastAsia="Calibri" w:hAnsi="Times New Roman" w:cs="Times New Roman"/>
            <w:color w:val="0563C1"/>
            <w:kern w:val="0"/>
            <w:u w:val="single"/>
            <w14:ligatures w14:val="none"/>
          </w:rPr>
          <w:t>https://doi.org/10.1007/s40685-020-00136-8</w:t>
        </w:r>
      </w:hyperlink>
    </w:p>
    <w:p w14:paraId="2D9C927A"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Demirgüç</w:t>
      </w:r>
      <w:proofErr w:type="spellEnd"/>
      <w:r w:rsidRPr="00D8206B">
        <w:rPr>
          <w:rFonts w:ascii="Times New Roman" w:eastAsia="Calibri" w:hAnsi="Times New Roman" w:cs="Times New Roman"/>
          <w:kern w:val="0"/>
          <w14:ligatures w14:val="none"/>
        </w:rPr>
        <w:t xml:space="preserve">-Kunt, A., Klapper, L., Singer, D., &amp; Ansar, S. (2022). </w:t>
      </w:r>
      <w:r w:rsidRPr="00D8206B">
        <w:rPr>
          <w:rFonts w:ascii="Times New Roman" w:eastAsia="Calibri" w:hAnsi="Times New Roman" w:cs="Times New Roman"/>
          <w:i/>
          <w:iCs/>
          <w:kern w:val="0"/>
          <w14:ligatures w14:val="none"/>
        </w:rPr>
        <w:t>The Global Findex Database 2021: Financial inclusion, digital payments, and resilience in the age of COVID-19</w:t>
      </w:r>
      <w:r w:rsidRPr="00D8206B">
        <w:rPr>
          <w:rFonts w:ascii="Times New Roman" w:eastAsia="Calibri" w:hAnsi="Times New Roman" w:cs="Times New Roman"/>
          <w:kern w:val="0"/>
          <w14:ligatures w14:val="none"/>
        </w:rPr>
        <w:t>. World Bank.</w:t>
      </w:r>
    </w:p>
    <w:p w14:paraId="6AAC16CD"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Djalante, R., Lassa, J., </w:t>
      </w:r>
      <w:proofErr w:type="spellStart"/>
      <w:r w:rsidRPr="00D8206B">
        <w:rPr>
          <w:rFonts w:ascii="Times New Roman" w:eastAsia="Calibri" w:hAnsi="Times New Roman" w:cs="Times New Roman"/>
          <w:kern w:val="0"/>
          <w14:ligatures w14:val="none"/>
        </w:rPr>
        <w:t>Setiamarga</w:t>
      </w:r>
      <w:proofErr w:type="spellEnd"/>
      <w:r w:rsidRPr="00D8206B">
        <w:rPr>
          <w:rFonts w:ascii="Times New Roman" w:eastAsia="Calibri" w:hAnsi="Times New Roman" w:cs="Times New Roman"/>
          <w:kern w:val="0"/>
          <w14:ligatures w14:val="none"/>
        </w:rPr>
        <w:t xml:space="preserve">, D., </w:t>
      </w:r>
      <w:proofErr w:type="spellStart"/>
      <w:r w:rsidRPr="00D8206B">
        <w:rPr>
          <w:rFonts w:ascii="Times New Roman" w:eastAsia="Calibri" w:hAnsi="Times New Roman" w:cs="Times New Roman"/>
          <w:kern w:val="0"/>
          <w14:ligatures w14:val="none"/>
        </w:rPr>
        <w:t>Sudjatma</w:t>
      </w:r>
      <w:proofErr w:type="spellEnd"/>
      <w:r w:rsidRPr="00D8206B">
        <w:rPr>
          <w:rFonts w:ascii="Times New Roman" w:eastAsia="Calibri" w:hAnsi="Times New Roman" w:cs="Times New Roman"/>
          <w:kern w:val="0"/>
          <w14:ligatures w14:val="none"/>
        </w:rPr>
        <w:t xml:space="preserve">, A., </w:t>
      </w:r>
      <w:proofErr w:type="spellStart"/>
      <w:r w:rsidRPr="00D8206B">
        <w:rPr>
          <w:rFonts w:ascii="Times New Roman" w:eastAsia="Calibri" w:hAnsi="Times New Roman" w:cs="Times New Roman"/>
          <w:kern w:val="0"/>
          <w14:ligatures w14:val="none"/>
        </w:rPr>
        <w:t>Indrawan</w:t>
      </w:r>
      <w:proofErr w:type="spellEnd"/>
      <w:r w:rsidRPr="00D8206B">
        <w:rPr>
          <w:rFonts w:ascii="Times New Roman" w:eastAsia="Calibri" w:hAnsi="Times New Roman" w:cs="Times New Roman"/>
          <w:kern w:val="0"/>
          <w14:ligatures w14:val="none"/>
        </w:rPr>
        <w:t xml:space="preserve">, M., Haryanto, B., Mahfud, C., </w:t>
      </w:r>
      <w:proofErr w:type="spellStart"/>
      <w:r w:rsidRPr="00D8206B">
        <w:rPr>
          <w:rFonts w:ascii="Times New Roman" w:eastAsia="Calibri" w:hAnsi="Times New Roman" w:cs="Times New Roman"/>
          <w:kern w:val="0"/>
          <w14:ligatures w14:val="none"/>
        </w:rPr>
        <w:t>Sinapoy</w:t>
      </w:r>
      <w:proofErr w:type="spellEnd"/>
      <w:r w:rsidRPr="00D8206B">
        <w:rPr>
          <w:rFonts w:ascii="Times New Roman" w:eastAsia="Calibri" w:hAnsi="Times New Roman" w:cs="Times New Roman"/>
          <w:kern w:val="0"/>
          <w14:ligatures w14:val="none"/>
        </w:rPr>
        <w:t xml:space="preserve">, M. S., </w:t>
      </w:r>
      <w:proofErr w:type="spellStart"/>
      <w:r w:rsidRPr="00D8206B">
        <w:rPr>
          <w:rFonts w:ascii="Times New Roman" w:eastAsia="Calibri" w:hAnsi="Times New Roman" w:cs="Times New Roman"/>
          <w:kern w:val="0"/>
          <w14:ligatures w14:val="none"/>
        </w:rPr>
        <w:t>Djalante</w:t>
      </w:r>
      <w:proofErr w:type="spellEnd"/>
      <w:r w:rsidRPr="00D8206B">
        <w:rPr>
          <w:rFonts w:ascii="Times New Roman" w:eastAsia="Calibri" w:hAnsi="Times New Roman" w:cs="Times New Roman"/>
          <w:kern w:val="0"/>
          <w14:ligatures w14:val="none"/>
        </w:rPr>
        <w:t xml:space="preserve">, S., </w:t>
      </w:r>
      <w:proofErr w:type="spellStart"/>
      <w:r w:rsidRPr="00D8206B">
        <w:rPr>
          <w:rFonts w:ascii="Times New Roman" w:eastAsia="Calibri" w:hAnsi="Times New Roman" w:cs="Times New Roman"/>
          <w:kern w:val="0"/>
          <w14:ligatures w14:val="none"/>
        </w:rPr>
        <w:t>Rafliana</w:t>
      </w:r>
      <w:proofErr w:type="spellEnd"/>
      <w:r w:rsidRPr="00D8206B">
        <w:rPr>
          <w:rFonts w:ascii="Times New Roman" w:eastAsia="Calibri" w:hAnsi="Times New Roman" w:cs="Times New Roman"/>
          <w:kern w:val="0"/>
          <w14:ligatures w14:val="none"/>
        </w:rPr>
        <w:t xml:space="preserve">, I., Gunawan, L. A., </w:t>
      </w:r>
      <w:proofErr w:type="spellStart"/>
      <w:r w:rsidRPr="00D8206B">
        <w:rPr>
          <w:rFonts w:ascii="Times New Roman" w:eastAsia="Calibri" w:hAnsi="Times New Roman" w:cs="Times New Roman"/>
          <w:kern w:val="0"/>
          <w14:ligatures w14:val="none"/>
        </w:rPr>
        <w:t>Surtiari</w:t>
      </w:r>
      <w:proofErr w:type="spellEnd"/>
      <w:r w:rsidRPr="00D8206B">
        <w:rPr>
          <w:rFonts w:ascii="Times New Roman" w:eastAsia="Calibri" w:hAnsi="Times New Roman" w:cs="Times New Roman"/>
          <w:kern w:val="0"/>
          <w14:ligatures w14:val="none"/>
        </w:rPr>
        <w:t xml:space="preserve">, G. A. K., &amp; </w:t>
      </w:r>
      <w:proofErr w:type="spellStart"/>
      <w:r w:rsidRPr="00D8206B">
        <w:rPr>
          <w:rFonts w:ascii="Times New Roman" w:eastAsia="Calibri" w:hAnsi="Times New Roman" w:cs="Times New Roman"/>
          <w:kern w:val="0"/>
          <w14:ligatures w14:val="none"/>
        </w:rPr>
        <w:t>Warsilah</w:t>
      </w:r>
      <w:proofErr w:type="spellEnd"/>
      <w:r w:rsidRPr="00D8206B">
        <w:rPr>
          <w:rFonts w:ascii="Times New Roman" w:eastAsia="Calibri" w:hAnsi="Times New Roman" w:cs="Times New Roman"/>
          <w:kern w:val="0"/>
          <w14:ligatures w14:val="none"/>
        </w:rPr>
        <w:t xml:space="preserve">, H. (2020). Review and analysis of current responses to COVID-19 in Indonesia: Period of January to March 2020. </w:t>
      </w:r>
      <w:r w:rsidRPr="00D8206B">
        <w:rPr>
          <w:rFonts w:ascii="Times New Roman" w:eastAsia="Calibri" w:hAnsi="Times New Roman" w:cs="Times New Roman"/>
          <w:i/>
          <w:iCs/>
          <w:kern w:val="0"/>
          <w14:ligatures w14:val="none"/>
        </w:rPr>
        <w:t>Progress in Disaster Science, 6</w:t>
      </w:r>
      <w:r w:rsidRPr="00D8206B">
        <w:rPr>
          <w:rFonts w:ascii="Times New Roman" w:eastAsia="Calibri" w:hAnsi="Times New Roman" w:cs="Times New Roman"/>
          <w:kern w:val="0"/>
          <w14:ligatures w14:val="none"/>
        </w:rPr>
        <w:t xml:space="preserve">, Article 100091. </w:t>
      </w:r>
      <w:hyperlink r:id="rId155" w:tgtFrame="_blank" w:history="1">
        <w:r w:rsidRPr="00D8206B">
          <w:rPr>
            <w:rFonts w:ascii="Times New Roman" w:eastAsia="Calibri" w:hAnsi="Times New Roman" w:cs="Times New Roman"/>
            <w:color w:val="0563C1"/>
            <w:kern w:val="0"/>
            <w:u w:val="single"/>
            <w14:ligatures w14:val="none"/>
          </w:rPr>
          <w:t>https://doi.org/10.1016/j.pdisas.2020.100091</w:t>
        </w:r>
      </w:hyperlink>
    </w:p>
    <w:p w14:paraId="66F3B76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Fink, A. (2003). </w:t>
      </w:r>
      <w:r w:rsidRPr="00D8206B">
        <w:rPr>
          <w:rFonts w:ascii="Times New Roman" w:eastAsia="Calibri" w:hAnsi="Times New Roman" w:cs="Times New Roman"/>
          <w:i/>
          <w:iCs/>
          <w:kern w:val="0"/>
          <w14:ligatures w14:val="none"/>
        </w:rPr>
        <w:t>The survey handbook</w:t>
      </w:r>
      <w:r w:rsidRPr="00D8206B">
        <w:rPr>
          <w:rFonts w:ascii="Times New Roman" w:eastAsia="Calibri" w:hAnsi="Times New Roman" w:cs="Times New Roman"/>
          <w:kern w:val="0"/>
          <w14:ligatures w14:val="none"/>
        </w:rPr>
        <w:t xml:space="preserve"> (2nd ed.). Sage.</w:t>
      </w:r>
    </w:p>
    <w:p w14:paraId="2ED09B3A"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Fu, J., &amp; Mishra, M. (2022). Fintech in the time of COVID-19: Technological adoption during crises. </w:t>
      </w:r>
      <w:r w:rsidRPr="00D8206B">
        <w:rPr>
          <w:rFonts w:ascii="Times New Roman" w:eastAsia="Calibri" w:hAnsi="Times New Roman" w:cs="Times New Roman"/>
          <w:i/>
          <w:iCs/>
          <w:kern w:val="0"/>
          <w14:ligatures w14:val="none"/>
        </w:rPr>
        <w:t>Journal of Financial Intermediation, 50</w:t>
      </w:r>
      <w:r w:rsidRPr="00D8206B">
        <w:rPr>
          <w:rFonts w:ascii="Times New Roman" w:eastAsia="Calibri" w:hAnsi="Times New Roman" w:cs="Times New Roman"/>
          <w:kern w:val="0"/>
          <w14:ligatures w14:val="none"/>
        </w:rPr>
        <w:t xml:space="preserve">, Article 100945. </w:t>
      </w:r>
      <w:hyperlink r:id="rId156" w:tgtFrame="_blank" w:history="1">
        <w:r w:rsidRPr="00D8206B">
          <w:rPr>
            <w:rFonts w:ascii="Times New Roman" w:eastAsia="Calibri" w:hAnsi="Times New Roman" w:cs="Times New Roman"/>
            <w:color w:val="0563C1"/>
            <w:kern w:val="0"/>
            <w:u w:val="single"/>
            <w14:ligatures w14:val="none"/>
          </w:rPr>
          <w:t>https://doi.org/10.1016/j.jfi.2021.100945</w:t>
        </w:r>
      </w:hyperlink>
    </w:p>
    <w:p w14:paraId="13DFD69E"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Fuller, C. M., Simmering, M. J., </w:t>
      </w:r>
      <w:proofErr w:type="spellStart"/>
      <w:r w:rsidRPr="00D8206B">
        <w:rPr>
          <w:rFonts w:ascii="Times New Roman" w:eastAsia="Calibri" w:hAnsi="Times New Roman" w:cs="Times New Roman"/>
          <w:kern w:val="0"/>
          <w14:ligatures w14:val="none"/>
        </w:rPr>
        <w:t>Atinc</w:t>
      </w:r>
      <w:proofErr w:type="spellEnd"/>
      <w:r w:rsidRPr="00D8206B">
        <w:rPr>
          <w:rFonts w:ascii="Times New Roman" w:eastAsia="Calibri" w:hAnsi="Times New Roman" w:cs="Times New Roman"/>
          <w:kern w:val="0"/>
          <w14:ligatures w14:val="none"/>
        </w:rPr>
        <w:t xml:space="preserve">, G., </w:t>
      </w:r>
      <w:proofErr w:type="spellStart"/>
      <w:r w:rsidRPr="00D8206B">
        <w:rPr>
          <w:rFonts w:ascii="Times New Roman" w:eastAsia="Calibri" w:hAnsi="Times New Roman" w:cs="Times New Roman"/>
          <w:kern w:val="0"/>
          <w14:ligatures w14:val="none"/>
        </w:rPr>
        <w:t>Atinc</w:t>
      </w:r>
      <w:proofErr w:type="spellEnd"/>
      <w:r w:rsidRPr="00D8206B">
        <w:rPr>
          <w:rFonts w:ascii="Times New Roman" w:eastAsia="Calibri" w:hAnsi="Times New Roman" w:cs="Times New Roman"/>
          <w:kern w:val="0"/>
          <w14:ligatures w14:val="none"/>
        </w:rPr>
        <w:t xml:space="preserve">, Y., &amp; Babin, B. J. (2016). Common methods variance detection in business research. </w:t>
      </w:r>
      <w:r w:rsidRPr="00D8206B">
        <w:rPr>
          <w:rFonts w:ascii="Times New Roman" w:eastAsia="Calibri" w:hAnsi="Times New Roman" w:cs="Times New Roman"/>
          <w:i/>
          <w:iCs/>
          <w:kern w:val="0"/>
          <w14:ligatures w14:val="none"/>
        </w:rPr>
        <w:t>Journal of Business Research, 69</w:t>
      </w:r>
      <w:r w:rsidRPr="00D8206B">
        <w:rPr>
          <w:rFonts w:ascii="Times New Roman" w:eastAsia="Calibri" w:hAnsi="Times New Roman" w:cs="Times New Roman"/>
          <w:kern w:val="0"/>
          <w14:ligatures w14:val="none"/>
        </w:rPr>
        <w:t xml:space="preserve">(8), 3192–3198. </w:t>
      </w:r>
      <w:hyperlink r:id="rId157" w:tgtFrame="_blank" w:history="1">
        <w:r w:rsidRPr="00D8206B">
          <w:rPr>
            <w:rFonts w:ascii="Times New Roman" w:eastAsia="Calibri" w:hAnsi="Times New Roman" w:cs="Times New Roman"/>
            <w:color w:val="0563C1"/>
            <w:kern w:val="0"/>
            <w:u w:val="single"/>
            <w14:ligatures w14:val="none"/>
          </w:rPr>
          <w:t>https://doi.org/10.1016/j.jbusres.2015.12.008</w:t>
        </w:r>
      </w:hyperlink>
    </w:p>
    <w:p w14:paraId="0D39170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Fung, D. W. H., Lee, W. Y., Yeh, J. J. H., &amp; Yuen, F. L. (2020). Friend or foe: The divergent effects of FinTech on financial stability. </w:t>
      </w:r>
      <w:r w:rsidRPr="00D8206B">
        <w:rPr>
          <w:rFonts w:ascii="Times New Roman" w:eastAsia="Calibri" w:hAnsi="Times New Roman" w:cs="Times New Roman"/>
          <w:i/>
          <w:iCs/>
          <w:kern w:val="0"/>
          <w14:ligatures w14:val="none"/>
        </w:rPr>
        <w:t>Emerging Markets Review, 45</w:t>
      </w:r>
      <w:r w:rsidRPr="00D8206B">
        <w:rPr>
          <w:rFonts w:ascii="Times New Roman" w:eastAsia="Calibri" w:hAnsi="Times New Roman" w:cs="Times New Roman"/>
          <w:kern w:val="0"/>
          <w14:ligatures w14:val="none"/>
        </w:rPr>
        <w:t xml:space="preserve">, Article 100727. </w:t>
      </w:r>
      <w:hyperlink r:id="rId158" w:tgtFrame="_blank" w:history="1">
        <w:r w:rsidRPr="00D8206B">
          <w:rPr>
            <w:rFonts w:ascii="Times New Roman" w:eastAsia="Calibri" w:hAnsi="Times New Roman" w:cs="Times New Roman"/>
            <w:color w:val="0563C1"/>
            <w:kern w:val="0"/>
            <w:u w:val="single"/>
            <w14:ligatures w14:val="none"/>
          </w:rPr>
          <w:t>https://doi.org/10.1016/j.ememar.2020.100727</w:t>
        </w:r>
      </w:hyperlink>
    </w:p>
    <w:p w14:paraId="623476A0"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Goyal, S., Venkatesh, V., &amp; Shi, X. (2022). Role of users' status quo on continuance intentions. </w:t>
      </w:r>
      <w:r w:rsidRPr="00D8206B">
        <w:rPr>
          <w:rFonts w:ascii="Times New Roman" w:eastAsia="Calibri" w:hAnsi="Times New Roman" w:cs="Times New Roman"/>
          <w:i/>
          <w:iCs/>
          <w:kern w:val="0"/>
          <w14:ligatures w14:val="none"/>
        </w:rPr>
        <w:t>Information &amp; Management, 59</w:t>
      </w:r>
      <w:r w:rsidRPr="00D8206B">
        <w:rPr>
          <w:rFonts w:ascii="Times New Roman" w:eastAsia="Calibri" w:hAnsi="Times New Roman" w:cs="Times New Roman"/>
          <w:kern w:val="0"/>
          <w14:ligatures w14:val="none"/>
        </w:rPr>
        <w:t xml:space="preserve">(8), Article 103686. </w:t>
      </w:r>
      <w:hyperlink r:id="rId159" w:tgtFrame="_blank" w:history="1">
        <w:r w:rsidRPr="00D8206B">
          <w:rPr>
            <w:rFonts w:ascii="Times New Roman" w:eastAsia="Calibri" w:hAnsi="Times New Roman" w:cs="Times New Roman"/>
            <w:color w:val="0563C1"/>
            <w:kern w:val="0"/>
            <w:u w:val="single"/>
            <w14:ligatures w14:val="none"/>
          </w:rPr>
          <w:t>https://doi.org/10.1016/j.im.2022.103686</w:t>
        </w:r>
      </w:hyperlink>
    </w:p>
    <w:p w14:paraId="11B7BC3B"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Guang-Wen, Z., &amp; </w:t>
      </w:r>
      <w:proofErr w:type="spellStart"/>
      <w:r w:rsidRPr="00D8206B">
        <w:rPr>
          <w:rFonts w:ascii="Times New Roman" w:eastAsia="Calibri" w:hAnsi="Times New Roman" w:cs="Times New Roman"/>
          <w:kern w:val="0"/>
          <w14:ligatures w14:val="none"/>
        </w:rPr>
        <w:t>Siddik</w:t>
      </w:r>
      <w:proofErr w:type="spellEnd"/>
      <w:r w:rsidRPr="00D8206B">
        <w:rPr>
          <w:rFonts w:ascii="Times New Roman" w:eastAsia="Calibri" w:hAnsi="Times New Roman" w:cs="Times New Roman"/>
          <w:kern w:val="0"/>
          <w14:ligatures w14:val="none"/>
        </w:rPr>
        <w:t xml:space="preserve">, A. B. (2022). The effect of Fintech adoption on green finance and environmental performance of banking institutions during the COVID-19 pandemic: The role of green innovation. </w:t>
      </w:r>
      <w:r w:rsidRPr="00D8206B">
        <w:rPr>
          <w:rFonts w:ascii="Times New Roman" w:eastAsia="Calibri" w:hAnsi="Times New Roman" w:cs="Times New Roman"/>
          <w:i/>
          <w:iCs/>
          <w:kern w:val="0"/>
          <w14:ligatures w14:val="none"/>
        </w:rPr>
        <w:t>Environmental Science and Pollution Research, 30</w:t>
      </w:r>
      <w:r w:rsidRPr="00D8206B">
        <w:rPr>
          <w:rFonts w:ascii="Times New Roman" w:eastAsia="Calibri" w:hAnsi="Times New Roman" w:cs="Times New Roman"/>
          <w:kern w:val="0"/>
          <w14:ligatures w14:val="none"/>
        </w:rPr>
        <w:t xml:space="preserve">(10), 25959–25971. </w:t>
      </w:r>
      <w:hyperlink r:id="rId160" w:tgtFrame="_blank" w:history="1">
        <w:r w:rsidRPr="00D8206B">
          <w:rPr>
            <w:rFonts w:ascii="Times New Roman" w:eastAsia="Calibri" w:hAnsi="Times New Roman" w:cs="Times New Roman"/>
            <w:color w:val="0563C1"/>
            <w:kern w:val="0"/>
            <w:u w:val="single"/>
            <w14:ligatures w14:val="none"/>
          </w:rPr>
          <w:t>https://doi.org/10.1007/s11356-022-23956-z</w:t>
        </w:r>
      </w:hyperlink>
    </w:p>
    <w:p w14:paraId="50BCF0AF"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Hair, J. F., Howard, M. C., &amp; Nitzl, C. (2020). Assessing measurement model quality in PLS-SEM using confirmatory composite analysis. </w:t>
      </w:r>
      <w:r w:rsidRPr="00D8206B">
        <w:rPr>
          <w:rFonts w:ascii="Times New Roman" w:eastAsia="Calibri" w:hAnsi="Times New Roman" w:cs="Times New Roman"/>
          <w:i/>
          <w:iCs/>
          <w:kern w:val="0"/>
          <w14:ligatures w14:val="none"/>
        </w:rPr>
        <w:t>Journal of Business Research, 109</w:t>
      </w:r>
      <w:r w:rsidRPr="00D8206B">
        <w:rPr>
          <w:rFonts w:ascii="Times New Roman" w:eastAsia="Calibri" w:hAnsi="Times New Roman" w:cs="Times New Roman"/>
          <w:kern w:val="0"/>
          <w14:ligatures w14:val="none"/>
        </w:rPr>
        <w:t xml:space="preserve">, 101–110. </w:t>
      </w:r>
      <w:hyperlink r:id="rId161" w:tgtFrame="_blank" w:history="1">
        <w:r w:rsidRPr="00D8206B">
          <w:rPr>
            <w:rFonts w:ascii="Times New Roman" w:eastAsia="Calibri" w:hAnsi="Times New Roman" w:cs="Times New Roman"/>
            <w:color w:val="0563C1"/>
            <w:kern w:val="0"/>
            <w:u w:val="single"/>
            <w14:ligatures w14:val="none"/>
          </w:rPr>
          <w:t>https://doi.org/10.1016/j.jbusres.2019.11.069</w:t>
        </w:r>
      </w:hyperlink>
    </w:p>
    <w:p w14:paraId="7B6A4DD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Hair, J. F., Hult, G. T. M., Ringle, C. M., &amp; Sarstedt, M. (2022). </w:t>
      </w:r>
      <w:r w:rsidRPr="00D8206B">
        <w:rPr>
          <w:rFonts w:ascii="Times New Roman" w:eastAsia="Calibri" w:hAnsi="Times New Roman" w:cs="Times New Roman"/>
          <w:i/>
          <w:iCs/>
          <w:kern w:val="0"/>
          <w14:ligatures w14:val="none"/>
        </w:rPr>
        <w:t>A primer on partial least squares structural equation modeling (PLS-SEM)</w:t>
      </w:r>
      <w:r w:rsidRPr="00D8206B">
        <w:rPr>
          <w:rFonts w:ascii="Times New Roman" w:eastAsia="Calibri" w:hAnsi="Times New Roman" w:cs="Times New Roman"/>
          <w:kern w:val="0"/>
          <w14:ligatures w14:val="none"/>
        </w:rPr>
        <w:t xml:space="preserve"> (3rd ed.). Sage.</w:t>
      </w:r>
    </w:p>
    <w:p w14:paraId="38389934"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Hair, J. F., Risher, J. J., Sarstedt, M., &amp; Ringle, C. M. (2019). When to use and how to report the results of PLS-SEM. </w:t>
      </w:r>
      <w:r w:rsidRPr="00D8206B">
        <w:rPr>
          <w:rFonts w:ascii="Times New Roman" w:eastAsia="Calibri" w:hAnsi="Times New Roman" w:cs="Times New Roman"/>
          <w:i/>
          <w:iCs/>
          <w:kern w:val="0"/>
          <w14:ligatures w14:val="none"/>
        </w:rPr>
        <w:t>European Business Review, 31</w:t>
      </w:r>
      <w:r w:rsidRPr="00D8206B">
        <w:rPr>
          <w:rFonts w:ascii="Times New Roman" w:eastAsia="Calibri" w:hAnsi="Times New Roman" w:cs="Times New Roman"/>
          <w:kern w:val="0"/>
          <w14:ligatures w14:val="none"/>
        </w:rPr>
        <w:t xml:space="preserve">(1), 2–24. </w:t>
      </w:r>
      <w:hyperlink r:id="rId162" w:tgtFrame="_blank" w:history="1">
        <w:r w:rsidRPr="00D8206B">
          <w:rPr>
            <w:rFonts w:ascii="Times New Roman" w:eastAsia="Calibri" w:hAnsi="Times New Roman" w:cs="Times New Roman"/>
            <w:color w:val="0563C1"/>
            <w:kern w:val="0"/>
            <w:u w:val="single"/>
            <w14:ligatures w14:val="none"/>
          </w:rPr>
          <w:t>https://doi.org/10.1108/EBR-11-2018-0203</w:t>
        </w:r>
      </w:hyperlink>
    </w:p>
    <w:p w14:paraId="6E5A3BFA"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Hasan, M., Noor, T., Gao, J., Usman, M., &amp; Abedin, M. Z. (2023). Rural consumers' financial literacy and access to FinTech services. </w:t>
      </w:r>
      <w:r w:rsidRPr="00D8206B">
        <w:rPr>
          <w:rFonts w:ascii="Times New Roman" w:eastAsia="Calibri" w:hAnsi="Times New Roman" w:cs="Times New Roman"/>
          <w:i/>
          <w:iCs/>
          <w:kern w:val="0"/>
          <w14:ligatures w14:val="none"/>
        </w:rPr>
        <w:t>Journal of the Knowledge Economy, 14</w:t>
      </w:r>
      <w:r w:rsidRPr="00D8206B">
        <w:rPr>
          <w:rFonts w:ascii="Times New Roman" w:eastAsia="Calibri" w:hAnsi="Times New Roman" w:cs="Times New Roman"/>
          <w:kern w:val="0"/>
          <w14:ligatures w14:val="none"/>
        </w:rPr>
        <w:t xml:space="preserve">(2), 780–804. </w:t>
      </w:r>
      <w:hyperlink r:id="rId163" w:tgtFrame="_blank" w:history="1">
        <w:r w:rsidRPr="00D8206B">
          <w:rPr>
            <w:rFonts w:ascii="Times New Roman" w:eastAsia="Calibri" w:hAnsi="Times New Roman" w:cs="Times New Roman"/>
            <w:color w:val="0563C1"/>
            <w:kern w:val="0"/>
            <w:u w:val="single"/>
            <w14:ligatures w14:val="none"/>
          </w:rPr>
          <w:t>https://doi.org/10.1007/s13132-022-00936-9</w:t>
        </w:r>
      </w:hyperlink>
    </w:p>
    <w:p w14:paraId="16BBC8BA"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lastRenderedPageBreak/>
        <w:t xml:space="preserve">Henseler, J., Ringle, C. M., &amp; Sinkovics, R. R. (2009). The use of partial least squares path modeling in international marketing. In R. R. Sinkovics &amp; P. N. Ghauri (Eds.), </w:t>
      </w:r>
      <w:r w:rsidRPr="00D8206B">
        <w:rPr>
          <w:rFonts w:ascii="Times New Roman" w:eastAsia="Calibri" w:hAnsi="Times New Roman" w:cs="Times New Roman"/>
          <w:i/>
          <w:iCs/>
          <w:kern w:val="0"/>
          <w14:ligatures w14:val="none"/>
        </w:rPr>
        <w:t>Advances in international marketing</w:t>
      </w:r>
      <w:r w:rsidRPr="00D8206B">
        <w:rPr>
          <w:rFonts w:ascii="Times New Roman" w:eastAsia="Calibri" w:hAnsi="Times New Roman" w:cs="Times New Roman"/>
          <w:kern w:val="0"/>
          <w14:ligatures w14:val="none"/>
        </w:rPr>
        <w:t xml:space="preserve"> (Vol. 20, pp. 277–319). Emerald.</w:t>
      </w:r>
    </w:p>
    <w:p w14:paraId="3D10586B"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Hu, Z., Ding, S., Li, S., Chen, L., &amp; Yang, S. (2019). Adoption intention of FinTech services for bank users: An empirical examination with an extended technology acceptance model. </w:t>
      </w:r>
      <w:r w:rsidRPr="00D8206B">
        <w:rPr>
          <w:rFonts w:ascii="Times New Roman" w:eastAsia="Calibri" w:hAnsi="Times New Roman" w:cs="Times New Roman"/>
          <w:i/>
          <w:iCs/>
          <w:kern w:val="0"/>
          <w14:ligatures w14:val="none"/>
        </w:rPr>
        <w:t>Symmetry, 11</w:t>
      </w:r>
      <w:r w:rsidRPr="00D8206B">
        <w:rPr>
          <w:rFonts w:ascii="Times New Roman" w:eastAsia="Calibri" w:hAnsi="Times New Roman" w:cs="Times New Roman"/>
          <w:kern w:val="0"/>
          <w14:ligatures w14:val="none"/>
        </w:rPr>
        <w:t xml:space="preserve">(3), Article 340. </w:t>
      </w:r>
      <w:hyperlink r:id="rId164" w:tgtFrame="_blank" w:history="1">
        <w:r w:rsidRPr="00D8206B">
          <w:rPr>
            <w:rFonts w:ascii="Times New Roman" w:eastAsia="Calibri" w:hAnsi="Times New Roman" w:cs="Times New Roman"/>
            <w:color w:val="0563C1"/>
            <w:kern w:val="0"/>
            <w:u w:val="single"/>
            <w14:ligatures w14:val="none"/>
          </w:rPr>
          <w:t>https://doi.org/10.3390/sym11030340</w:t>
        </w:r>
      </w:hyperlink>
    </w:p>
    <w:p w14:paraId="371CDA56"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Hua, X., &amp; Huang, Y. (2021). Understanding China's fintech sector: Development, impacts and risks. </w:t>
      </w:r>
      <w:r w:rsidRPr="00D8206B">
        <w:rPr>
          <w:rFonts w:ascii="Times New Roman" w:eastAsia="Calibri" w:hAnsi="Times New Roman" w:cs="Times New Roman"/>
          <w:i/>
          <w:iCs/>
          <w:kern w:val="0"/>
          <w14:ligatures w14:val="none"/>
        </w:rPr>
        <w:t>The European Journal of Finance, 27</w:t>
      </w:r>
      <w:r w:rsidRPr="00D8206B">
        <w:rPr>
          <w:rFonts w:ascii="Times New Roman" w:eastAsia="Calibri" w:hAnsi="Times New Roman" w:cs="Times New Roman"/>
          <w:kern w:val="0"/>
          <w14:ligatures w14:val="none"/>
        </w:rPr>
        <w:t xml:space="preserve">(4–5), 321–333. </w:t>
      </w:r>
      <w:hyperlink r:id="rId165" w:tgtFrame="_blank" w:history="1">
        <w:r w:rsidRPr="00D8206B">
          <w:rPr>
            <w:rFonts w:ascii="Times New Roman" w:eastAsia="Calibri" w:hAnsi="Times New Roman" w:cs="Times New Roman"/>
            <w:color w:val="0563C1"/>
            <w:kern w:val="0"/>
            <w:u w:val="single"/>
            <w14:ligatures w14:val="none"/>
          </w:rPr>
          <w:t>https://doi.org/10.1080/1351847X.2020.1811131</w:t>
        </w:r>
      </w:hyperlink>
    </w:p>
    <w:p w14:paraId="68F0EA6F"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Hubona</w:t>
      </w:r>
      <w:proofErr w:type="spellEnd"/>
      <w:r w:rsidRPr="00D8206B">
        <w:rPr>
          <w:rFonts w:ascii="Times New Roman" w:eastAsia="Calibri" w:hAnsi="Times New Roman" w:cs="Times New Roman"/>
          <w:kern w:val="0"/>
          <w14:ligatures w14:val="none"/>
        </w:rPr>
        <w:t xml:space="preserve">, G. S., Schuberth, F., &amp; Henseler, J. (2021). A clarification of confirmatory composite analysis (CCA). </w:t>
      </w:r>
      <w:r w:rsidRPr="00D8206B">
        <w:rPr>
          <w:rFonts w:ascii="Times New Roman" w:eastAsia="Calibri" w:hAnsi="Times New Roman" w:cs="Times New Roman"/>
          <w:i/>
          <w:iCs/>
          <w:kern w:val="0"/>
          <w14:ligatures w14:val="none"/>
        </w:rPr>
        <w:t>International Journal of Information Management, 61</w:t>
      </w:r>
      <w:r w:rsidRPr="00D8206B">
        <w:rPr>
          <w:rFonts w:ascii="Times New Roman" w:eastAsia="Calibri" w:hAnsi="Times New Roman" w:cs="Times New Roman"/>
          <w:kern w:val="0"/>
          <w14:ligatures w14:val="none"/>
        </w:rPr>
        <w:t xml:space="preserve">, Article 102399. </w:t>
      </w:r>
      <w:hyperlink r:id="rId166" w:tgtFrame="_blank" w:history="1">
        <w:r w:rsidRPr="00D8206B">
          <w:rPr>
            <w:rFonts w:ascii="Times New Roman" w:eastAsia="Calibri" w:hAnsi="Times New Roman" w:cs="Times New Roman"/>
            <w:color w:val="0563C1"/>
            <w:kern w:val="0"/>
            <w:u w:val="single"/>
            <w14:ligatures w14:val="none"/>
          </w:rPr>
          <w:t>https://doi.org/10.1016/j.ijinfomgt.2021.102399</w:t>
        </w:r>
      </w:hyperlink>
    </w:p>
    <w:p w14:paraId="7D5E9251"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Igamo</w:t>
      </w:r>
      <w:proofErr w:type="spellEnd"/>
      <w:r w:rsidRPr="00D8206B">
        <w:rPr>
          <w:rFonts w:ascii="Times New Roman" w:eastAsia="Calibri" w:hAnsi="Times New Roman" w:cs="Times New Roman"/>
          <w:kern w:val="0"/>
          <w14:ligatures w14:val="none"/>
        </w:rPr>
        <w:t xml:space="preserve">, A. M., </w:t>
      </w:r>
      <w:proofErr w:type="spellStart"/>
      <w:r w:rsidRPr="00D8206B">
        <w:rPr>
          <w:rFonts w:ascii="Times New Roman" w:eastAsia="Calibri" w:hAnsi="Times New Roman" w:cs="Times New Roman"/>
          <w:kern w:val="0"/>
          <w14:ligatures w14:val="none"/>
        </w:rPr>
        <w:t>Rachmat</w:t>
      </w:r>
      <w:proofErr w:type="spellEnd"/>
      <w:r w:rsidRPr="00D8206B">
        <w:rPr>
          <w:rFonts w:ascii="Times New Roman" w:eastAsia="Calibri" w:hAnsi="Times New Roman" w:cs="Times New Roman"/>
          <w:kern w:val="0"/>
          <w14:ligatures w14:val="none"/>
        </w:rPr>
        <w:t xml:space="preserve">, R. A., Siregar, M. I., Gariba, M. I., </w:t>
      </w:r>
      <w:proofErr w:type="spellStart"/>
      <w:r w:rsidRPr="00D8206B">
        <w:rPr>
          <w:rFonts w:ascii="Times New Roman" w:eastAsia="Calibri" w:hAnsi="Times New Roman" w:cs="Times New Roman"/>
          <w:kern w:val="0"/>
          <w14:ligatures w14:val="none"/>
        </w:rPr>
        <w:t>Chenono</w:t>
      </w:r>
      <w:proofErr w:type="spellEnd"/>
      <w:r w:rsidRPr="00D8206B">
        <w:rPr>
          <w:rFonts w:ascii="Times New Roman" w:eastAsia="Calibri" w:hAnsi="Times New Roman" w:cs="Times New Roman"/>
          <w:kern w:val="0"/>
          <w14:ligatures w14:val="none"/>
        </w:rPr>
        <w:t xml:space="preserve">, V., Wahyuni, A. S., &amp; Setiawan, B. (2024). Factors influencing Fintech adoption for women in the post-Covid-19 pandemic. </w:t>
      </w:r>
      <w:r w:rsidRPr="00D8206B">
        <w:rPr>
          <w:rFonts w:ascii="Times New Roman" w:eastAsia="Calibri" w:hAnsi="Times New Roman" w:cs="Times New Roman"/>
          <w:i/>
          <w:iCs/>
          <w:kern w:val="0"/>
          <w14:ligatures w14:val="none"/>
        </w:rPr>
        <w:t>Journal of Open Innovation: Technology, Market, and Complexity, 10</w:t>
      </w:r>
      <w:r w:rsidRPr="00D8206B">
        <w:rPr>
          <w:rFonts w:ascii="Times New Roman" w:eastAsia="Calibri" w:hAnsi="Times New Roman" w:cs="Times New Roman"/>
          <w:kern w:val="0"/>
          <w14:ligatures w14:val="none"/>
        </w:rPr>
        <w:t xml:space="preserve">(1), Article 100236. </w:t>
      </w:r>
      <w:hyperlink r:id="rId167" w:tgtFrame="_blank" w:history="1">
        <w:r w:rsidRPr="00D8206B">
          <w:rPr>
            <w:rFonts w:ascii="Times New Roman" w:eastAsia="Calibri" w:hAnsi="Times New Roman" w:cs="Times New Roman"/>
            <w:color w:val="0563C1"/>
            <w:kern w:val="0"/>
            <w:u w:val="single"/>
            <w14:ligatures w14:val="none"/>
          </w:rPr>
          <w:t>https://doi.org/10.1016/j.joitmc.2024.100236</w:t>
        </w:r>
      </w:hyperlink>
    </w:p>
    <w:p w14:paraId="30202024"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Jahanmir, S. F., &amp; Cavadas, J. (2018). Factors affecting late adoption of digital innovations. </w:t>
      </w:r>
      <w:r w:rsidRPr="00D8206B">
        <w:rPr>
          <w:rFonts w:ascii="Times New Roman" w:eastAsia="Calibri" w:hAnsi="Times New Roman" w:cs="Times New Roman"/>
          <w:i/>
          <w:iCs/>
          <w:kern w:val="0"/>
          <w14:ligatures w14:val="none"/>
        </w:rPr>
        <w:t>Journal of Business Research, 88</w:t>
      </w:r>
      <w:r w:rsidRPr="00D8206B">
        <w:rPr>
          <w:rFonts w:ascii="Times New Roman" w:eastAsia="Calibri" w:hAnsi="Times New Roman" w:cs="Times New Roman"/>
          <w:kern w:val="0"/>
          <w14:ligatures w14:val="none"/>
        </w:rPr>
        <w:t xml:space="preserve">, 337–343. </w:t>
      </w:r>
      <w:hyperlink r:id="rId168" w:tgtFrame="_blank" w:history="1">
        <w:r w:rsidRPr="00D8206B">
          <w:rPr>
            <w:rFonts w:ascii="Times New Roman" w:eastAsia="Calibri" w:hAnsi="Times New Roman" w:cs="Times New Roman"/>
            <w:color w:val="0563C1"/>
            <w:kern w:val="0"/>
            <w:u w:val="single"/>
            <w14:ligatures w14:val="none"/>
          </w:rPr>
          <w:t>https://doi.org/10.1016/j.jbusres.2018.01.058</w:t>
        </w:r>
      </w:hyperlink>
    </w:p>
    <w:p w14:paraId="5B7DE28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Khetan, A. K., Yusuf, S., Lopez-Jaramillo, P., Szuba, A., Orlandini, A., Mat-Nasir, N., ... Leong, D. P. (2022). Variations in the financial impact of the COVID-19 pandemic across 5 continents: A cross-sectional, individual level analysis. </w:t>
      </w:r>
      <w:proofErr w:type="spellStart"/>
      <w:r w:rsidRPr="00D8206B">
        <w:rPr>
          <w:rFonts w:ascii="Times New Roman" w:eastAsia="Calibri" w:hAnsi="Times New Roman" w:cs="Times New Roman"/>
          <w:i/>
          <w:iCs/>
          <w:kern w:val="0"/>
          <w14:ligatures w14:val="none"/>
        </w:rPr>
        <w:t>eClinicalMedicine</w:t>
      </w:r>
      <w:proofErr w:type="spellEnd"/>
      <w:r w:rsidRPr="00D8206B">
        <w:rPr>
          <w:rFonts w:ascii="Times New Roman" w:eastAsia="Calibri" w:hAnsi="Times New Roman" w:cs="Times New Roman"/>
          <w:i/>
          <w:iCs/>
          <w:kern w:val="0"/>
          <w14:ligatures w14:val="none"/>
        </w:rPr>
        <w:t>, 44</w:t>
      </w:r>
      <w:r w:rsidRPr="00D8206B">
        <w:rPr>
          <w:rFonts w:ascii="Times New Roman" w:eastAsia="Calibri" w:hAnsi="Times New Roman" w:cs="Times New Roman"/>
          <w:kern w:val="0"/>
          <w14:ligatures w14:val="none"/>
        </w:rPr>
        <w:t xml:space="preserve">, Article 101284. </w:t>
      </w:r>
      <w:hyperlink r:id="rId169" w:tgtFrame="_blank" w:history="1">
        <w:r w:rsidRPr="00D8206B">
          <w:rPr>
            <w:rFonts w:ascii="Times New Roman" w:eastAsia="Calibri" w:hAnsi="Times New Roman" w:cs="Times New Roman"/>
            <w:color w:val="0563C1"/>
            <w:kern w:val="0"/>
            <w:u w:val="single"/>
            <w14:ligatures w14:val="none"/>
          </w:rPr>
          <w:t>https://doi.org/10.1016/j.eclinm.2022.101284</w:t>
        </w:r>
      </w:hyperlink>
    </w:p>
    <w:p w14:paraId="0767A8D7"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Kim, Y., &amp; Han, H. (2010). Intention to pay conventional hotel prices at a green hotel—a modification of the theory of planned behavior. </w:t>
      </w:r>
      <w:r w:rsidRPr="00D8206B">
        <w:rPr>
          <w:rFonts w:ascii="Times New Roman" w:eastAsia="Calibri" w:hAnsi="Times New Roman" w:cs="Times New Roman"/>
          <w:i/>
          <w:iCs/>
          <w:kern w:val="0"/>
          <w14:ligatures w14:val="none"/>
        </w:rPr>
        <w:t>Journal of Sustainable Tourism, 18</w:t>
      </w:r>
      <w:r w:rsidRPr="00D8206B">
        <w:rPr>
          <w:rFonts w:ascii="Times New Roman" w:eastAsia="Calibri" w:hAnsi="Times New Roman" w:cs="Times New Roman"/>
          <w:kern w:val="0"/>
          <w14:ligatures w14:val="none"/>
        </w:rPr>
        <w:t xml:space="preserve">(8), 997–1014. </w:t>
      </w:r>
      <w:hyperlink r:id="rId170" w:tgtFrame="_blank" w:history="1">
        <w:r w:rsidRPr="00D8206B">
          <w:rPr>
            <w:rFonts w:ascii="Times New Roman" w:eastAsia="Calibri" w:hAnsi="Times New Roman" w:cs="Times New Roman"/>
            <w:color w:val="0563C1"/>
            <w:kern w:val="0"/>
            <w:u w:val="single"/>
            <w14:ligatures w14:val="none"/>
          </w:rPr>
          <w:t>https://doi.org/10.1080/09669582.2010.490300</w:t>
        </w:r>
      </w:hyperlink>
    </w:p>
    <w:p w14:paraId="2EC4ED24"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Klapper, L., Mayada, E.-Z., &amp; Hess, J. (2016). </w:t>
      </w:r>
      <w:r w:rsidRPr="00D8206B">
        <w:rPr>
          <w:rFonts w:ascii="Times New Roman" w:eastAsia="Calibri" w:hAnsi="Times New Roman" w:cs="Times New Roman"/>
          <w:i/>
          <w:iCs/>
          <w:kern w:val="0"/>
          <w14:ligatures w14:val="none"/>
        </w:rPr>
        <w:t>Achieving the sustainable development goals: The role of financial inclusion</w:t>
      </w:r>
      <w:r w:rsidRPr="00D8206B">
        <w:rPr>
          <w:rFonts w:ascii="Times New Roman" w:eastAsia="Calibri" w:hAnsi="Times New Roman" w:cs="Times New Roman"/>
          <w:kern w:val="0"/>
          <w14:ligatures w14:val="none"/>
        </w:rPr>
        <w:t>. CGAP.</w:t>
      </w:r>
    </w:p>
    <w:p w14:paraId="53CA37E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Kock, N., &amp; Hadaya, P. (2018). Minimum sample size estimation in PLS-SEM: The inverse square root and gamma-exponential methods. </w:t>
      </w:r>
      <w:r w:rsidRPr="00D8206B">
        <w:rPr>
          <w:rFonts w:ascii="Times New Roman" w:eastAsia="Calibri" w:hAnsi="Times New Roman" w:cs="Times New Roman"/>
          <w:i/>
          <w:iCs/>
          <w:kern w:val="0"/>
          <w14:ligatures w14:val="none"/>
        </w:rPr>
        <w:t>Information Systems Journal, 28</w:t>
      </w:r>
      <w:r w:rsidRPr="00D8206B">
        <w:rPr>
          <w:rFonts w:ascii="Times New Roman" w:eastAsia="Calibri" w:hAnsi="Times New Roman" w:cs="Times New Roman"/>
          <w:kern w:val="0"/>
          <w14:ligatures w14:val="none"/>
        </w:rPr>
        <w:t xml:space="preserve">(1), 227–261. </w:t>
      </w:r>
      <w:hyperlink r:id="rId171" w:tgtFrame="_blank" w:history="1">
        <w:r w:rsidRPr="00D8206B">
          <w:rPr>
            <w:rFonts w:ascii="Times New Roman" w:eastAsia="Calibri" w:hAnsi="Times New Roman" w:cs="Times New Roman"/>
            <w:color w:val="0563C1"/>
            <w:kern w:val="0"/>
            <w:u w:val="single"/>
            <w14:ligatures w14:val="none"/>
          </w:rPr>
          <w:t>https://doi.org/10.1111/isj.12131</w:t>
        </w:r>
      </w:hyperlink>
    </w:p>
    <w:p w14:paraId="0FD03B45"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Kumar, P., Pillai, R., Kumar, N., &amp; Tabash, M. I. (2023). The interplay of skills, digital financial literacy, capability, and autonomy in financial decision making and well-being. </w:t>
      </w:r>
      <w:r w:rsidRPr="00D8206B">
        <w:rPr>
          <w:rFonts w:ascii="Times New Roman" w:eastAsia="Calibri" w:hAnsi="Times New Roman" w:cs="Times New Roman"/>
          <w:i/>
          <w:iCs/>
          <w:kern w:val="0"/>
          <w14:ligatures w14:val="none"/>
        </w:rPr>
        <w:t>Borsa Istanbul Review, 23</w:t>
      </w:r>
      <w:r w:rsidRPr="00D8206B">
        <w:rPr>
          <w:rFonts w:ascii="Times New Roman" w:eastAsia="Calibri" w:hAnsi="Times New Roman" w:cs="Times New Roman"/>
          <w:kern w:val="0"/>
          <w14:ligatures w14:val="none"/>
        </w:rPr>
        <w:t xml:space="preserve">(1), 169–183. </w:t>
      </w:r>
      <w:hyperlink r:id="rId172" w:tgtFrame="_blank" w:history="1">
        <w:r w:rsidRPr="00D8206B">
          <w:rPr>
            <w:rFonts w:ascii="Times New Roman" w:eastAsia="Calibri" w:hAnsi="Times New Roman" w:cs="Times New Roman"/>
            <w:color w:val="0563C1"/>
            <w:kern w:val="0"/>
            <w:u w:val="single"/>
            <w14:ligatures w14:val="none"/>
          </w:rPr>
          <w:t>https://doi.org/10.1016/j.bir.2022.09.012</w:t>
        </w:r>
      </w:hyperlink>
    </w:p>
    <w:p w14:paraId="427E741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Kumar, S., &amp; Barua, M. K. (2023). Exploring the </w:t>
      </w:r>
      <w:proofErr w:type="spellStart"/>
      <w:r w:rsidRPr="00D8206B">
        <w:rPr>
          <w:rFonts w:ascii="Times New Roman" w:eastAsia="Calibri" w:hAnsi="Times New Roman" w:cs="Times New Roman"/>
          <w:kern w:val="0"/>
          <w14:ligatures w14:val="none"/>
        </w:rPr>
        <w:t>hyperledger</w:t>
      </w:r>
      <w:proofErr w:type="spellEnd"/>
      <w:r w:rsidRPr="00D8206B">
        <w:rPr>
          <w:rFonts w:ascii="Times New Roman" w:eastAsia="Calibri" w:hAnsi="Times New Roman" w:cs="Times New Roman"/>
          <w:kern w:val="0"/>
          <w14:ligatures w14:val="none"/>
        </w:rPr>
        <w:t xml:space="preserve"> blockchain technology disruption and barriers of blockchain adoption in petroleum supply chain. </w:t>
      </w:r>
      <w:r w:rsidRPr="00D8206B">
        <w:rPr>
          <w:rFonts w:ascii="Times New Roman" w:eastAsia="Calibri" w:hAnsi="Times New Roman" w:cs="Times New Roman"/>
          <w:i/>
          <w:iCs/>
          <w:kern w:val="0"/>
          <w14:ligatures w14:val="none"/>
        </w:rPr>
        <w:t>Resources Policy, 81</w:t>
      </w:r>
      <w:r w:rsidRPr="00D8206B">
        <w:rPr>
          <w:rFonts w:ascii="Times New Roman" w:eastAsia="Calibri" w:hAnsi="Times New Roman" w:cs="Times New Roman"/>
          <w:kern w:val="0"/>
          <w14:ligatures w14:val="none"/>
        </w:rPr>
        <w:t xml:space="preserve">, Article 103366. </w:t>
      </w:r>
      <w:hyperlink r:id="rId173" w:tgtFrame="_blank" w:history="1">
        <w:r w:rsidRPr="00D8206B">
          <w:rPr>
            <w:rFonts w:ascii="Times New Roman" w:eastAsia="Calibri" w:hAnsi="Times New Roman" w:cs="Times New Roman"/>
            <w:color w:val="0563C1"/>
            <w:kern w:val="0"/>
            <w:u w:val="single"/>
            <w14:ligatures w14:val="none"/>
          </w:rPr>
          <w:t>https://doi.org/10.1016/j.resourpol.2023.103366</w:t>
        </w:r>
      </w:hyperlink>
    </w:p>
    <w:p w14:paraId="0837C49D"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Le, M. T. H. (2021). Examining factors that boost intention and loyalty to use Fintech post-COVID-19 lockdown as a new normal behavior. </w:t>
      </w:r>
      <w:proofErr w:type="spellStart"/>
      <w:r w:rsidRPr="00D8206B">
        <w:rPr>
          <w:rFonts w:ascii="Times New Roman" w:eastAsia="Calibri" w:hAnsi="Times New Roman" w:cs="Times New Roman"/>
          <w:i/>
          <w:iCs/>
          <w:kern w:val="0"/>
          <w14:ligatures w14:val="none"/>
        </w:rPr>
        <w:t>Heliyon</w:t>
      </w:r>
      <w:proofErr w:type="spellEnd"/>
      <w:r w:rsidRPr="00D8206B">
        <w:rPr>
          <w:rFonts w:ascii="Times New Roman" w:eastAsia="Calibri" w:hAnsi="Times New Roman" w:cs="Times New Roman"/>
          <w:i/>
          <w:iCs/>
          <w:kern w:val="0"/>
          <w14:ligatures w14:val="none"/>
        </w:rPr>
        <w:t>, 7</w:t>
      </w:r>
      <w:r w:rsidRPr="00D8206B">
        <w:rPr>
          <w:rFonts w:ascii="Times New Roman" w:eastAsia="Calibri" w:hAnsi="Times New Roman" w:cs="Times New Roman"/>
          <w:kern w:val="0"/>
          <w14:ligatures w14:val="none"/>
        </w:rPr>
        <w:t xml:space="preserve">(8), Article e07821. </w:t>
      </w:r>
      <w:hyperlink r:id="rId174" w:tgtFrame="_blank" w:history="1">
        <w:r w:rsidRPr="00D8206B">
          <w:rPr>
            <w:rFonts w:ascii="Times New Roman" w:eastAsia="Calibri" w:hAnsi="Times New Roman" w:cs="Times New Roman"/>
            <w:color w:val="0563C1"/>
            <w:kern w:val="0"/>
            <w:u w:val="single"/>
            <w14:ligatures w14:val="none"/>
          </w:rPr>
          <w:t>https://doi.org/10.1016/j.heliyon.2021.e07821</w:t>
        </w:r>
      </w:hyperlink>
    </w:p>
    <w:p w14:paraId="5E7E67FE"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Li, J. (2023). MSMEs meet FinTech: Chance or challenge? </w:t>
      </w:r>
      <w:r w:rsidRPr="00D8206B">
        <w:rPr>
          <w:rFonts w:ascii="Times New Roman" w:eastAsia="Calibri" w:hAnsi="Times New Roman" w:cs="Times New Roman"/>
          <w:i/>
          <w:iCs/>
          <w:kern w:val="0"/>
          <w14:ligatures w14:val="none"/>
        </w:rPr>
        <w:t>Finance Research Letters, 57</w:t>
      </w:r>
      <w:r w:rsidRPr="00D8206B">
        <w:rPr>
          <w:rFonts w:ascii="Times New Roman" w:eastAsia="Calibri" w:hAnsi="Times New Roman" w:cs="Times New Roman"/>
          <w:kern w:val="0"/>
          <w14:ligatures w14:val="none"/>
        </w:rPr>
        <w:t xml:space="preserve">, Article 104278. </w:t>
      </w:r>
      <w:hyperlink r:id="rId175" w:tgtFrame="_blank" w:history="1">
        <w:r w:rsidRPr="00D8206B">
          <w:rPr>
            <w:rFonts w:ascii="Times New Roman" w:eastAsia="Calibri" w:hAnsi="Times New Roman" w:cs="Times New Roman"/>
            <w:color w:val="0563C1"/>
            <w:kern w:val="0"/>
            <w:u w:val="single"/>
            <w14:ligatures w14:val="none"/>
          </w:rPr>
          <w:t>https://doi.org/10.1016/j.frl.2023.104278</w:t>
        </w:r>
      </w:hyperlink>
    </w:p>
    <w:p w14:paraId="32685484"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Lyons, A. C., Kass-Hanna, J., &amp; Fava, A. (2022). Fintech development and savings, borrowing, and remittances: A comparative study of emerging economies. </w:t>
      </w:r>
      <w:r w:rsidRPr="00D8206B">
        <w:rPr>
          <w:rFonts w:ascii="Times New Roman" w:eastAsia="Calibri" w:hAnsi="Times New Roman" w:cs="Times New Roman"/>
          <w:i/>
          <w:iCs/>
          <w:kern w:val="0"/>
          <w14:ligatures w14:val="none"/>
        </w:rPr>
        <w:t>Emerging Markets Review, 51</w:t>
      </w:r>
      <w:r w:rsidRPr="00D8206B">
        <w:rPr>
          <w:rFonts w:ascii="Times New Roman" w:eastAsia="Calibri" w:hAnsi="Times New Roman" w:cs="Times New Roman"/>
          <w:kern w:val="0"/>
          <w14:ligatures w14:val="none"/>
        </w:rPr>
        <w:t xml:space="preserve">, Article 100842. </w:t>
      </w:r>
      <w:hyperlink r:id="rId176" w:tgtFrame="_blank" w:history="1">
        <w:r w:rsidRPr="00D8206B">
          <w:rPr>
            <w:rFonts w:ascii="Times New Roman" w:eastAsia="Calibri" w:hAnsi="Times New Roman" w:cs="Times New Roman"/>
            <w:color w:val="0563C1"/>
            <w:kern w:val="0"/>
            <w:u w:val="single"/>
            <w14:ligatures w14:val="none"/>
          </w:rPr>
          <w:t>https://doi.org/10.1016/j.ememar.2021.100842</w:t>
        </w:r>
      </w:hyperlink>
    </w:p>
    <w:p w14:paraId="677F0C3D"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lastRenderedPageBreak/>
        <w:t xml:space="preserve">Mahmud, K., Joarder, Md. M. A., &amp; </w:t>
      </w:r>
      <w:proofErr w:type="spellStart"/>
      <w:r w:rsidRPr="00D8206B">
        <w:rPr>
          <w:rFonts w:ascii="Times New Roman" w:eastAsia="Calibri" w:hAnsi="Times New Roman" w:cs="Times New Roman"/>
          <w:kern w:val="0"/>
          <w14:ligatures w14:val="none"/>
        </w:rPr>
        <w:t>Muheymin</w:t>
      </w:r>
      <w:proofErr w:type="spellEnd"/>
      <w:r w:rsidRPr="00D8206B">
        <w:rPr>
          <w:rFonts w:ascii="Times New Roman" w:eastAsia="Calibri" w:hAnsi="Times New Roman" w:cs="Times New Roman"/>
          <w:kern w:val="0"/>
          <w14:ligatures w14:val="none"/>
        </w:rPr>
        <w:t xml:space="preserve">-Us-Sakib, K. (2022). Adoption factors of FinTech: Evidence from an emerging economy country-wide representative sample. </w:t>
      </w:r>
      <w:r w:rsidRPr="00D8206B">
        <w:rPr>
          <w:rFonts w:ascii="Times New Roman" w:eastAsia="Calibri" w:hAnsi="Times New Roman" w:cs="Times New Roman"/>
          <w:i/>
          <w:iCs/>
          <w:kern w:val="0"/>
          <w14:ligatures w14:val="none"/>
        </w:rPr>
        <w:t>International Journal of Financial Studies, 11</w:t>
      </w:r>
      <w:r w:rsidRPr="00D8206B">
        <w:rPr>
          <w:rFonts w:ascii="Times New Roman" w:eastAsia="Calibri" w:hAnsi="Times New Roman" w:cs="Times New Roman"/>
          <w:kern w:val="0"/>
          <w14:ligatures w14:val="none"/>
        </w:rPr>
        <w:t xml:space="preserve">(1), Article 9. </w:t>
      </w:r>
      <w:hyperlink r:id="rId177" w:tgtFrame="_blank" w:history="1">
        <w:r w:rsidRPr="00D8206B">
          <w:rPr>
            <w:rFonts w:ascii="Times New Roman" w:eastAsia="Calibri" w:hAnsi="Times New Roman" w:cs="Times New Roman"/>
            <w:color w:val="0563C1"/>
            <w:kern w:val="0"/>
            <w:u w:val="single"/>
            <w14:ligatures w14:val="none"/>
          </w:rPr>
          <w:t>https://doi.org/10.3390/ijfs11010009</w:t>
        </w:r>
      </w:hyperlink>
    </w:p>
    <w:p w14:paraId="10057A85"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Marakarkandy</w:t>
      </w:r>
      <w:proofErr w:type="spellEnd"/>
      <w:r w:rsidRPr="00D8206B">
        <w:rPr>
          <w:rFonts w:ascii="Times New Roman" w:eastAsia="Calibri" w:hAnsi="Times New Roman" w:cs="Times New Roman"/>
          <w:kern w:val="0"/>
          <w14:ligatures w14:val="none"/>
        </w:rPr>
        <w:t xml:space="preserve">, B., </w:t>
      </w:r>
      <w:proofErr w:type="spellStart"/>
      <w:r w:rsidRPr="00D8206B">
        <w:rPr>
          <w:rFonts w:ascii="Times New Roman" w:eastAsia="Calibri" w:hAnsi="Times New Roman" w:cs="Times New Roman"/>
          <w:kern w:val="0"/>
          <w14:ligatures w14:val="none"/>
        </w:rPr>
        <w:t>Yajnik</w:t>
      </w:r>
      <w:proofErr w:type="spellEnd"/>
      <w:r w:rsidRPr="00D8206B">
        <w:rPr>
          <w:rFonts w:ascii="Times New Roman" w:eastAsia="Calibri" w:hAnsi="Times New Roman" w:cs="Times New Roman"/>
          <w:kern w:val="0"/>
          <w14:ligatures w14:val="none"/>
        </w:rPr>
        <w:t xml:space="preserve">, N., &amp; Dasgupta, C. (2017). Enabling internet banking adoption: An empirical examination with an augmented technology acceptance model (TAM). </w:t>
      </w:r>
      <w:r w:rsidRPr="00D8206B">
        <w:rPr>
          <w:rFonts w:ascii="Times New Roman" w:eastAsia="Calibri" w:hAnsi="Times New Roman" w:cs="Times New Roman"/>
          <w:i/>
          <w:iCs/>
          <w:kern w:val="0"/>
          <w14:ligatures w14:val="none"/>
        </w:rPr>
        <w:t>Journal of Enterprise Information Management, 30</w:t>
      </w:r>
      <w:r w:rsidRPr="00D8206B">
        <w:rPr>
          <w:rFonts w:ascii="Times New Roman" w:eastAsia="Calibri" w:hAnsi="Times New Roman" w:cs="Times New Roman"/>
          <w:kern w:val="0"/>
          <w14:ligatures w14:val="none"/>
        </w:rPr>
        <w:t xml:space="preserve">(2), 263–294. </w:t>
      </w:r>
      <w:hyperlink r:id="rId178" w:tgtFrame="_blank" w:history="1">
        <w:r w:rsidRPr="00D8206B">
          <w:rPr>
            <w:rFonts w:ascii="Times New Roman" w:eastAsia="Calibri" w:hAnsi="Times New Roman" w:cs="Times New Roman"/>
            <w:color w:val="0563C1"/>
            <w:kern w:val="0"/>
            <w:u w:val="single"/>
            <w14:ligatures w14:val="none"/>
          </w:rPr>
          <w:t>https://doi.org/10.1108/JEIM-10-2015-0094</w:t>
        </w:r>
      </w:hyperlink>
    </w:p>
    <w:p w14:paraId="3D3A0B8B"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Marhadi</w:t>
      </w:r>
      <w:proofErr w:type="spellEnd"/>
      <w:r w:rsidRPr="00D8206B">
        <w:rPr>
          <w:rFonts w:ascii="Times New Roman" w:eastAsia="Calibri" w:hAnsi="Times New Roman" w:cs="Times New Roman"/>
          <w:kern w:val="0"/>
          <w14:ligatures w14:val="none"/>
        </w:rPr>
        <w:t xml:space="preserve">, M., </w:t>
      </w:r>
      <w:proofErr w:type="spellStart"/>
      <w:r w:rsidRPr="00D8206B">
        <w:rPr>
          <w:rFonts w:ascii="Times New Roman" w:eastAsia="Calibri" w:hAnsi="Times New Roman" w:cs="Times New Roman"/>
          <w:kern w:val="0"/>
          <w14:ligatures w14:val="none"/>
        </w:rPr>
        <w:t>Fathoni</w:t>
      </w:r>
      <w:proofErr w:type="spellEnd"/>
      <w:r w:rsidRPr="00D8206B">
        <w:rPr>
          <w:rFonts w:ascii="Times New Roman" w:eastAsia="Calibri" w:hAnsi="Times New Roman" w:cs="Times New Roman"/>
          <w:kern w:val="0"/>
          <w14:ligatures w14:val="none"/>
        </w:rPr>
        <w:t xml:space="preserve">, A. F., Setiawan, B., Pratiwi, D., Hayati, R., Boros, A., &amp; Sudibyo, N. A. (2024). Continuance intention of Fintech Peer-to-Peer (P2P) financing Shariah: Moderation role of brand </w:t>
      </w:r>
      <w:proofErr w:type="spellStart"/>
      <w:r w:rsidRPr="00D8206B">
        <w:rPr>
          <w:rFonts w:ascii="Times New Roman" w:eastAsia="Calibri" w:hAnsi="Times New Roman" w:cs="Times New Roman"/>
          <w:kern w:val="0"/>
          <w14:ligatures w14:val="none"/>
        </w:rPr>
        <w:t>schematicity</w:t>
      </w:r>
      <w:proofErr w:type="spellEnd"/>
      <w:r w:rsidRPr="00D8206B">
        <w:rPr>
          <w:rFonts w:ascii="Times New Roman" w:eastAsia="Calibri" w:hAnsi="Times New Roman" w:cs="Times New Roman"/>
          <w:kern w:val="0"/>
          <w14:ligatures w14:val="none"/>
        </w:rPr>
        <w:t xml:space="preserve"> and digital financial literacy. </w:t>
      </w:r>
      <w:r w:rsidRPr="00D8206B">
        <w:rPr>
          <w:rFonts w:ascii="Times New Roman" w:eastAsia="Calibri" w:hAnsi="Times New Roman" w:cs="Times New Roman"/>
          <w:i/>
          <w:iCs/>
          <w:kern w:val="0"/>
          <w14:ligatures w14:val="none"/>
        </w:rPr>
        <w:t>Journal of Open Innovation: Technology, Market, and Complexity, 10</w:t>
      </w:r>
      <w:r w:rsidRPr="00D8206B">
        <w:rPr>
          <w:rFonts w:ascii="Times New Roman" w:eastAsia="Calibri" w:hAnsi="Times New Roman" w:cs="Times New Roman"/>
          <w:kern w:val="0"/>
          <w14:ligatures w14:val="none"/>
        </w:rPr>
        <w:t xml:space="preserve">(2), Article 100301. </w:t>
      </w:r>
      <w:hyperlink r:id="rId179" w:tgtFrame="_blank" w:history="1">
        <w:r w:rsidRPr="00D8206B">
          <w:rPr>
            <w:rFonts w:ascii="Times New Roman" w:eastAsia="Calibri" w:hAnsi="Times New Roman" w:cs="Times New Roman"/>
            <w:color w:val="0563C1"/>
            <w:kern w:val="0"/>
            <w:u w:val="single"/>
            <w14:ligatures w14:val="none"/>
          </w:rPr>
          <w:t>https://doi.org/10.1016/j.joitmc.2024.100301</w:t>
        </w:r>
      </w:hyperlink>
    </w:p>
    <w:p w14:paraId="76D9BB6B"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Mejía-Escobar, J. C., González-Ruiz, J. D., &amp; Duque-Grisales, E. (2020). Sustainable financial products in the Latin America banking industry: Current status and insights. </w:t>
      </w:r>
      <w:r w:rsidRPr="00D8206B">
        <w:rPr>
          <w:rFonts w:ascii="Times New Roman" w:eastAsia="Calibri" w:hAnsi="Times New Roman" w:cs="Times New Roman"/>
          <w:i/>
          <w:iCs/>
          <w:kern w:val="0"/>
          <w14:ligatures w14:val="none"/>
        </w:rPr>
        <w:t>Sustainability, 12</w:t>
      </w:r>
      <w:r w:rsidRPr="00D8206B">
        <w:rPr>
          <w:rFonts w:ascii="Times New Roman" w:eastAsia="Calibri" w:hAnsi="Times New Roman" w:cs="Times New Roman"/>
          <w:kern w:val="0"/>
          <w14:ligatures w14:val="none"/>
        </w:rPr>
        <w:t xml:space="preserve">(14), Article 5648. </w:t>
      </w:r>
      <w:hyperlink r:id="rId180" w:tgtFrame="_blank" w:history="1">
        <w:r w:rsidRPr="00D8206B">
          <w:rPr>
            <w:rFonts w:ascii="Times New Roman" w:eastAsia="Calibri" w:hAnsi="Times New Roman" w:cs="Times New Roman"/>
            <w:color w:val="0563C1"/>
            <w:kern w:val="0"/>
            <w:u w:val="single"/>
            <w14:ligatures w14:val="none"/>
          </w:rPr>
          <w:t>https://doi.org/10.3390/su12145648</w:t>
        </w:r>
      </w:hyperlink>
    </w:p>
    <w:p w14:paraId="19F7F59A"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Mufarih</w:t>
      </w:r>
      <w:proofErr w:type="spellEnd"/>
      <w:r w:rsidRPr="00D8206B">
        <w:rPr>
          <w:rFonts w:ascii="Times New Roman" w:eastAsia="Calibri" w:hAnsi="Times New Roman" w:cs="Times New Roman"/>
          <w:kern w:val="0"/>
          <w14:ligatures w14:val="none"/>
        </w:rPr>
        <w:t xml:space="preserve">, M., Jayadi, R., &amp; </w:t>
      </w:r>
      <w:proofErr w:type="spellStart"/>
      <w:r w:rsidRPr="00D8206B">
        <w:rPr>
          <w:rFonts w:ascii="Times New Roman" w:eastAsia="Calibri" w:hAnsi="Times New Roman" w:cs="Times New Roman"/>
          <w:kern w:val="0"/>
          <w14:ligatures w14:val="none"/>
        </w:rPr>
        <w:t>Sugandi</w:t>
      </w:r>
      <w:proofErr w:type="spellEnd"/>
      <w:r w:rsidRPr="00D8206B">
        <w:rPr>
          <w:rFonts w:ascii="Times New Roman" w:eastAsia="Calibri" w:hAnsi="Times New Roman" w:cs="Times New Roman"/>
          <w:kern w:val="0"/>
          <w14:ligatures w14:val="none"/>
        </w:rPr>
        <w:t xml:space="preserve">, Y. (2020). Factors influencing customers to use digital banking application in Yogyakarta, Indonesia. </w:t>
      </w:r>
      <w:r w:rsidRPr="00D8206B">
        <w:rPr>
          <w:rFonts w:ascii="Times New Roman" w:eastAsia="Calibri" w:hAnsi="Times New Roman" w:cs="Times New Roman"/>
          <w:i/>
          <w:iCs/>
          <w:kern w:val="0"/>
          <w14:ligatures w14:val="none"/>
        </w:rPr>
        <w:t>The Journal of Asian Finance, Economics and Business, 7</w:t>
      </w:r>
      <w:r w:rsidRPr="00D8206B">
        <w:rPr>
          <w:rFonts w:ascii="Times New Roman" w:eastAsia="Calibri" w:hAnsi="Times New Roman" w:cs="Times New Roman"/>
          <w:kern w:val="0"/>
          <w14:ligatures w14:val="none"/>
        </w:rPr>
        <w:t xml:space="preserve">(10), 897–907. </w:t>
      </w:r>
      <w:hyperlink r:id="rId181" w:tgtFrame="_blank" w:history="1">
        <w:r w:rsidRPr="00D8206B">
          <w:rPr>
            <w:rFonts w:ascii="Times New Roman" w:eastAsia="Calibri" w:hAnsi="Times New Roman" w:cs="Times New Roman"/>
            <w:color w:val="0563C1"/>
            <w:kern w:val="0"/>
            <w:u w:val="single"/>
            <w14:ligatures w14:val="none"/>
          </w:rPr>
          <w:t>https://doi.org/10.13106/jafeb.2020.vol7.no10.897</w:t>
        </w:r>
      </w:hyperlink>
    </w:p>
    <w:p w14:paraId="5895E6FE"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Musyaffi, A. M., Johari, R. J., </w:t>
      </w:r>
      <w:proofErr w:type="spellStart"/>
      <w:r w:rsidRPr="00D8206B">
        <w:rPr>
          <w:rFonts w:ascii="Times New Roman" w:eastAsia="Calibri" w:hAnsi="Times New Roman" w:cs="Times New Roman"/>
          <w:kern w:val="0"/>
          <w14:ligatures w14:val="none"/>
        </w:rPr>
        <w:t>Rosnidah</w:t>
      </w:r>
      <w:proofErr w:type="spellEnd"/>
      <w:r w:rsidRPr="00D8206B">
        <w:rPr>
          <w:rFonts w:ascii="Times New Roman" w:eastAsia="Calibri" w:hAnsi="Times New Roman" w:cs="Times New Roman"/>
          <w:kern w:val="0"/>
          <w14:ligatures w14:val="none"/>
        </w:rPr>
        <w:t xml:space="preserve">, I., Sari, D. A. P., Amal, M. I., </w:t>
      </w:r>
      <w:proofErr w:type="spellStart"/>
      <w:r w:rsidRPr="00D8206B">
        <w:rPr>
          <w:rFonts w:ascii="Times New Roman" w:eastAsia="Calibri" w:hAnsi="Times New Roman" w:cs="Times New Roman"/>
          <w:kern w:val="0"/>
          <w14:ligatures w14:val="none"/>
        </w:rPr>
        <w:t>Tasyifiania</w:t>
      </w:r>
      <w:proofErr w:type="spellEnd"/>
      <w:r w:rsidRPr="00D8206B">
        <w:rPr>
          <w:rFonts w:ascii="Times New Roman" w:eastAsia="Calibri" w:hAnsi="Times New Roman" w:cs="Times New Roman"/>
          <w:kern w:val="0"/>
          <w14:ligatures w14:val="none"/>
        </w:rPr>
        <w:t xml:space="preserve">, I., Ayu </w:t>
      </w:r>
      <w:proofErr w:type="spellStart"/>
      <w:r w:rsidRPr="00D8206B">
        <w:rPr>
          <w:rFonts w:ascii="Times New Roman" w:eastAsia="Calibri" w:hAnsi="Times New Roman" w:cs="Times New Roman"/>
          <w:kern w:val="0"/>
          <w14:ligatures w14:val="none"/>
        </w:rPr>
        <w:t>Pertiwia</w:t>
      </w:r>
      <w:proofErr w:type="spellEnd"/>
      <w:r w:rsidRPr="00D8206B">
        <w:rPr>
          <w:rFonts w:ascii="Times New Roman" w:eastAsia="Calibri" w:hAnsi="Times New Roman" w:cs="Times New Roman"/>
          <w:kern w:val="0"/>
          <w14:ligatures w14:val="none"/>
        </w:rPr>
        <w:t xml:space="preserve">, S., &amp; </w:t>
      </w:r>
      <w:proofErr w:type="spellStart"/>
      <w:r w:rsidRPr="00D8206B">
        <w:rPr>
          <w:rFonts w:ascii="Times New Roman" w:eastAsia="Calibri" w:hAnsi="Times New Roman" w:cs="Times New Roman"/>
          <w:kern w:val="0"/>
          <w14:ligatures w14:val="none"/>
        </w:rPr>
        <w:t>Sutanti</w:t>
      </w:r>
      <w:proofErr w:type="spellEnd"/>
      <w:r w:rsidRPr="00D8206B">
        <w:rPr>
          <w:rFonts w:ascii="Times New Roman" w:eastAsia="Calibri" w:hAnsi="Times New Roman" w:cs="Times New Roman"/>
          <w:kern w:val="0"/>
          <w14:ligatures w14:val="none"/>
        </w:rPr>
        <w:t xml:space="preserve">, F. D. (2021). Digital payment during pandemic: An extension of the unified model of QR code. </w:t>
      </w:r>
      <w:r w:rsidRPr="00D8206B">
        <w:rPr>
          <w:rFonts w:ascii="Times New Roman" w:eastAsia="Calibri" w:hAnsi="Times New Roman" w:cs="Times New Roman"/>
          <w:i/>
          <w:iCs/>
          <w:kern w:val="0"/>
          <w14:ligatures w14:val="none"/>
        </w:rPr>
        <w:t>Academic Journal of Interdisciplinary Studies, 10</w:t>
      </w:r>
      <w:r w:rsidRPr="00D8206B">
        <w:rPr>
          <w:rFonts w:ascii="Times New Roman" w:eastAsia="Calibri" w:hAnsi="Times New Roman" w:cs="Times New Roman"/>
          <w:kern w:val="0"/>
          <w14:ligatures w14:val="none"/>
        </w:rPr>
        <w:t xml:space="preserve">(6), 213. </w:t>
      </w:r>
      <w:hyperlink r:id="rId182" w:tgtFrame="_blank" w:history="1">
        <w:r w:rsidRPr="00D8206B">
          <w:rPr>
            <w:rFonts w:ascii="Times New Roman" w:eastAsia="Calibri" w:hAnsi="Times New Roman" w:cs="Times New Roman"/>
            <w:color w:val="0563C1"/>
            <w:kern w:val="0"/>
            <w:u w:val="single"/>
            <w14:ligatures w14:val="none"/>
          </w:rPr>
          <w:t>https://doi.org/10.36941/ajis-2021-0166</w:t>
        </w:r>
      </w:hyperlink>
    </w:p>
    <w:p w14:paraId="09CB7425"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Nugraha</w:t>
      </w:r>
      <w:proofErr w:type="spellEnd"/>
      <w:r w:rsidRPr="00D8206B">
        <w:rPr>
          <w:rFonts w:ascii="Times New Roman" w:eastAsia="Calibri" w:hAnsi="Times New Roman" w:cs="Times New Roman"/>
          <w:kern w:val="0"/>
          <w14:ligatures w14:val="none"/>
        </w:rPr>
        <w:t xml:space="preserve">, D. P., Setiawan, B., Nathan, R. J., &amp; Fekete-Farkas, M. (2022). Fintech adoption drivers for innovation for SMEs in Indonesia. </w:t>
      </w:r>
      <w:r w:rsidRPr="00D8206B">
        <w:rPr>
          <w:rFonts w:ascii="Times New Roman" w:eastAsia="Calibri" w:hAnsi="Times New Roman" w:cs="Times New Roman"/>
          <w:i/>
          <w:iCs/>
          <w:kern w:val="0"/>
          <w14:ligatures w14:val="none"/>
        </w:rPr>
        <w:t>Journal of Open Innovation: Technology, Market, and Complexity, 8</w:t>
      </w:r>
      <w:r w:rsidRPr="00D8206B">
        <w:rPr>
          <w:rFonts w:ascii="Times New Roman" w:eastAsia="Calibri" w:hAnsi="Times New Roman" w:cs="Times New Roman"/>
          <w:kern w:val="0"/>
          <w14:ligatures w14:val="none"/>
        </w:rPr>
        <w:t xml:space="preserve">(4), Article 208. </w:t>
      </w:r>
      <w:hyperlink r:id="rId183" w:tgtFrame="_blank" w:history="1">
        <w:r w:rsidRPr="00D8206B">
          <w:rPr>
            <w:rFonts w:ascii="Times New Roman" w:eastAsia="Calibri" w:hAnsi="Times New Roman" w:cs="Times New Roman"/>
            <w:color w:val="0563C1"/>
            <w:kern w:val="0"/>
            <w:u w:val="single"/>
            <w14:ligatures w14:val="none"/>
          </w:rPr>
          <w:t>https://doi.org/10.3390/joitmc8040208</w:t>
        </w:r>
      </w:hyperlink>
    </w:p>
    <w:p w14:paraId="5D33690F"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Odei-Appiah, S., Wiredu, G., &amp; Adjei, J. K. (2022). Fintech use, digital divide and financial inclusion. </w:t>
      </w:r>
      <w:r w:rsidRPr="00D8206B">
        <w:rPr>
          <w:rFonts w:ascii="Times New Roman" w:eastAsia="Calibri" w:hAnsi="Times New Roman" w:cs="Times New Roman"/>
          <w:i/>
          <w:iCs/>
          <w:kern w:val="0"/>
          <w14:ligatures w14:val="none"/>
        </w:rPr>
        <w:t>Digital Policy, Regulation and Governance, 24</w:t>
      </w:r>
      <w:r w:rsidRPr="00D8206B">
        <w:rPr>
          <w:rFonts w:ascii="Times New Roman" w:eastAsia="Calibri" w:hAnsi="Times New Roman" w:cs="Times New Roman"/>
          <w:kern w:val="0"/>
          <w14:ligatures w14:val="none"/>
        </w:rPr>
        <w:t xml:space="preserve">(5), 435–448. </w:t>
      </w:r>
      <w:hyperlink r:id="rId184" w:tgtFrame="_blank" w:history="1">
        <w:r w:rsidRPr="00D8206B">
          <w:rPr>
            <w:rFonts w:ascii="Times New Roman" w:eastAsia="Calibri" w:hAnsi="Times New Roman" w:cs="Times New Roman"/>
            <w:color w:val="0563C1"/>
            <w:kern w:val="0"/>
            <w:u w:val="single"/>
            <w14:ligatures w14:val="none"/>
          </w:rPr>
          <w:t>https://doi.org/10.1108/DPRG-09-2021-0111</w:t>
        </w:r>
      </w:hyperlink>
    </w:p>
    <w:p w14:paraId="18525871"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OJK. (2020). </w:t>
      </w:r>
      <w:r w:rsidRPr="00D8206B">
        <w:rPr>
          <w:rFonts w:ascii="Times New Roman" w:eastAsia="Calibri" w:hAnsi="Times New Roman" w:cs="Times New Roman"/>
          <w:i/>
          <w:iCs/>
          <w:kern w:val="0"/>
          <w14:ligatures w14:val="none"/>
        </w:rPr>
        <w:t>Digital finance roadmap and action plan 2020–2024</w:t>
      </w:r>
      <w:r w:rsidRPr="00D8206B">
        <w:rPr>
          <w:rFonts w:ascii="Times New Roman" w:eastAsia="Calibri" w:hAnsi="Times New Roman" w:cs="Times New Roman"/>
          <w:kern w:val="0"/>
          <w14:ligatures w14:val="none"/>
        </w:rPr>
        <w:t xml:space="preserve">. </w:t>
      </w:r>
      <w:hyperlink r:id="rId185" w:tgtFrame="_blank" w:history="1">
        <w:r w:rsidRPr="00D8206B">
          <w:rPr>
            <w:rFonts w:ascii="Times New Roman" w:eastAsia="Calibri" w:hAnsi="Times New Roman" w:cs="Times New Roman"/>
            <w:color w:val="0563C1"/>
            <w:kern w:val="0"/>
            <w:u w:val="single"/>
            <w14:ligatures w14:val="none"/>
          </w:rPr>
          <w:t>https://www.ojk.go.id/id/berita-dan-kegiatan/publikasi/Documents</w:t>
        </w:r>
      </w:hyperlink>
    </w:p>
    <w:p w14:paraId="2A17A16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Patil, P., Tamilmani, K., Rana, N. P., &amp; Raghavan, V. (2020). Understanding consumer adoption of mobile payment in India: Extending Meta-UTAUT model with personal innovativeness, anxiety, trust, and grievance redressal. </w:t>
      </w:r>
      <w:r w:rsidRPr="00D8206B">
        <w:rPr>
          <w:rFonts w:ascii="Times New Roman" w:eastAsia="Calibri" w:hAnsi="Times New Roman" w:cs="Times New Roman"/>
          <w:i/>
          <w:iCs/>
          <w:kern w:val="0"/>
          <w14:ligatures w14:val="none"/>
        </w:rPr>
        <w:t>International Journal of Information Management, 54</w:t>
      </w:r>
      <w:r w:rsidRPr="00D8206B">
        <w:rPr>
          <w:rFonts w:ascii="Times New Roman" w:eastAsia="Calibri" w:hAnsi="Times New Roman" w:cs="Times New Roman"/>
          <w:kern w:val="0"/>
          <w14:ligatures w14:val="none"/>
        </w:rPr>
        <w:t xml:space="preserve">, Article 102144. </w:t>
      </w:r>
      <w:hyperlink r:id="rId186" w:tgtFrame="_blank" w:history="1">
        <w:r w:rsidRPr="00D8206B">
          <w:rPr>
            <w:rFonts w:ascii="Times New Roman" w:eastAsia="Calibri" w:hAnsi="Times New Roman" w:cs="Times New Roman"/>
            <w:color w:val="0563C1"/>
            <w:kern w:val="0"/>
            <w:u w:val="single"/>
            <w14:ligatures w14:val="none"/>
          </w:rPr>
          <w:t>https://doi.org/10.1016/j.ijinfomgt.2020.102144</w:t>
        </w:r>
      </w:hyperlink>
    </w:p>
    <w:p w14:paraId="679872D1"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Podsakoff, P. M., MacKenzie, S. B., &amp; Podsakoff, N. P. (2012). Sources of method bias in social science research and recommendations on how to control it. </w:t>
      </w:r>
      <w:r w:rsidRPr="00D8206B">
        <w:rPr>
          <w:rFonts w:ascii="Times New Roman" w:eastAsia="Calibri" w:hAnsi="Times New Roman" w:cs="Times New Roman"/>
          <w:i/>
          <w:iCs/>
          <w:kern w:val="0"/>
          <w14:ligatures w14:val="none"/>
        </w:rPr>
        <w:t>Annual Review of Psychology, 63</w:t>
      </w:r>
      <w:r w:rsidRPr="00D8206B">
        <w:rPr>
          <w:rFonts w:ascii="Times New Roman" w:eastAsia="Calibri" w:hAnsi="Times New Roman" w:cs="Times New Roman"/>
          <w:kern w:val="0"/>
          <w14:ligatures w14:val="none"/>
        </w:rPr>
        <w:t xml:space="preserve">, 539–569. </w:t>
      </w:r>
      <w:hyperlink r:id="rId187" w:tgtFrame="_blank" w:history="1">
        <w:r w:rsidRPr="00D8206B">
          <w:rPr>
            <w:rFonts w:ascii="Times New Roman" w:eastAsia="Calibri" w:hAnsi="Times New Roman" w:cs="Times New Roman"/>
            <w:color w:val="0563C1"/>
            <w:kern w:val="0"/>
            <w:u w:val="single"/>
            <w14:ligatures w14:val="none"/>
          </w:rPr>
          <w:t>https://doi.org/10.1146/annurev-psych-120710-100452</w:t>
        </w:r>
      </w:hyperlink>
    </w:p>
    <w:p w14:paraId="5E7999CF"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Prete, A. (2022). Digital and financial literacy as determinants of digital payments and personal finance. </w:t>
      </w:r>
      <w:r w:rsidRPr="00D8206B">
        <w:rPr>
          <w:rFonts w:ascii="Times New Roman" w:eastAsia="Calibri" w:hAnsi="Times New Roman" w:cs="Times New Roman"/>
          <w:i/>
          <w:iCs/>
          <w:kern w:val="0"/>
          <w14:ligatures w14:val="none"/>
        </w:rPr>
        <w:t>Economics Letters, 213</w:t>
      </w:r>
      <w:r w:rsidRPr="00D8206B">
        <w:rPr>
          <w:rFonts w:ascii="Times New Roman" w:eastAsia="Calibri" w:hAnsi="Times New Roman" w:cs="Times New Roman"/>
          <w:kern w:val="0"/>
          <w14:ligatures w14:val="none"/>
        </w:rPr>
        <w:t xml:space="preserve">, Article 110376. </w:t>
      </w:r>
      <w:hyperlink r:id="rId188" w:tgtFrame="_blank" w:history="1">
        <w:r w:rsidRPr="00D8206B">
          <w:rPr>
            <w:rFonts w:ascii="Times New Roman" w:eastAsia="Calibri" w:hAnsi="Times New Roman" w:cs="Times New Roman"/>
            <w:color w:val="0563C1"/>
            <w:kern w:val="0"/>
            <w:u w:val="single"/>
            <w14:ligatures w14:val="none"/>
          </w:rPr>
          <w:t>https://doi.org/10.1016/j.econlet.2022.110378</w:t>
        </w:r>
      </w:hyperlink>
    </w:p>
    <w:p w14:paraId="7A0E8AE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Pu, G., </w:t>
      </w:r>
      <w:proofErr w:type="spellStart"/>
      <w:r w:rsidRPr="00D8206B">
        <w:rPr>
          <w:rFonts w:ascii="Times New Roman" w:eastAsia="Calibri" w:hAnsi="Times New Roman" w:cs="Times New Roman"/>
          <w:kern w:val="0"/>
          <w14:ligatures w14:val="none"/>
        </w:rPr>
        <w:t>Damruzzaman</w:t>
      </w:r>
      <w:proofErr w:type="spellEnd"/>
      <w:r w:rsidRPr="00D8206B">
        <w:rPr>
          <w:rFonts w:ascii="Times New Roman" w:eastAsia="Calibri" w:hAnsi="Times New Roman" w:cs="Times New Roman"/>
          <w:kern w:val="0"/>
          <w14:ligatures w14:val="none"/>
        </w:rPr>
        <w:t xml:space="preserve">, Md., Mehta, A. M., Naqvi, F. N., &amp; Karim, S. (2021). Innovative finance, technological adaptation and SMEs sustainability: The mediating role of government support during COVID-19 pandemic. </w:t>
      </w:r>
      <w:r w:rsidRPr="00D8206B">
        <w:rPr>
          <w:rFonts w:ascii="Times New Roman" w:eastAsia="Calibri" w:hAnsi="Times New Roman" w:cs="Times New Roman"/>
          <w:i/>
          <w:iCs/>
          <w:kern w:val="0"/>
          <w14:ligatures w14:val="none"/>
        </w:rPr>
        <w:t>Sustainability, 13</w:t>
      </w:r>
      <w:r w:rsidRPr="00D8206B">
        <w:rPr>
          <w:rFonts w:ascii="Times New Roman" w:eastAsia="Calibri" w:hAnsi="Times New Roman" w:cs="Times New Roman"/>
          <w:kern w:val="0"/>
          <w14:ligatures w14:val="none"/>
        </w:rPr>
        <w:t xml:space="preserve">(16), Article 9218. </w:t>
      </w:r>
      <w:hyperlink r:id="rId189" w:tgtFrame="_blank" w:history="1">
        <w:r w:rsidRPr="00D8206B">
          <w:rPr>
            <w:rFonts w:ascii="Times New Roman" w:eastAsia="Calibri" w:hAnsi="Times New Roman" w:cs="Times New Roman"/>
            <w:color w:val="0563C1"/>
            <w:kern w:val="0"/>
            <w:u w:val="single"/>
            <w14:ligatures w14:val="none"/>
          </w:rPr>
          <w:t>https://doi.org/10.3390/su13169218</w:t>
        </w:r>
      </w:hyperlink>
    </w:p>
    <w:p w14:paraId="1AF32DDD"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lastRenderedPageBreak/>
        <w:t xml:space="preserve">Puschmann, T. (2017). Fintech. </w:t>
      </w:r>
      <w:r w:rsidRPr="00D8206B">
        <w:rPr>
          <w:rFonts w:ascii="Times New Roman" w:eastAsia="Calibri" w:hAnsi="Times New Roman" w:cs="Times New Roman"/>
          <w:i/>
          <w:iCs/>
          <w:kern w:val="0"/>
          <w14:ligatures w14:val="none"/>
        </w:rPr>
        <w:t>Business &amp; Information Systems Engineering, 59</w:t>
      </w:r>
      <w:r w:rsidRPr="00D8206B">
        <w:rPr>
          <w:rFonts w:ascii="Times New Roman" w:eastAsia="Calibri" w:hAnsi="Times New Roman" w:cs="Times New Roman"/>
          <w:kern w:val="0"/>
          <w14:ligatures w14:val="none"/>
        </w:rPr>
        <w:t xml:space="preserve">(1), 69–76. </w:t>
      </w:r>
      <w:hyperlink r:id="rId190" w:tgtFrame="_blank" w:history="1">
        <w:r w:rsidRPr="00D8206B">
          <w:rPr>
            <w:rFonts w:ascii="Times New Roman" w:eastAsia="Calibri" w:hAnsi="Times New Roman" w:cs="Times New Roman"/>
            <w:color w:val="0563C1"/>
            <w:kern w:val="0"/>
            <w:u w:val="single"/>
            <w14:ligatures w14:val="none"/>
          </w:rPr>
          <w:t>https://doi.org/10.1007/s12599-017-0464-6</w:t>
        </w:r>
      </w:hyperlink>
    </w:p>
    <w:p w14:paraId="7E333373"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Putro</w:t>
      </w:r>
      <w:proofErr w:type="spellEnd"/>
      <w:r w:rsidRPr="00D8206B">
        <w:rPr>
          <w:rFonts w:ascii="Times New Roman" w:eastAsia="Calibri" w:hAnsi="Times New Roman" w:cs="Times New Roman"/>
          <w:kern w:val="0"/>
          <w14:ligatures w14:val="none"/>
        </w:rPr>
        <w:t xml:space="preserve">, H. P. N., </w:t>
      </w:r>
      <w:proofErr w:type="spellStart"/>
      <w:r w:rsidRPr="00D8206B">
        <w:rPr>
          <w:rFonts w:ascii="Times New Roman" w:eastAsia="Calibri" w:hAnsi="Times New Roman" w:cs="Times New Roman"/>
          <w:kern w:val="0"/>
          <w14:ligatures w14:val="none"/>
        </w:rPr>
        <w:t>Arisanty</w:t>
      </w:r>
      <w:proofErr w:type="spellEnd"/>
      <w:r w:rsidRPr="00D8206B">
        <w:rPr>
          <w:rFonts w:ascii="Times New Roman" w:eastAsia="Calibri" w:hAnsi="Times New Roman" w:cs="Times New Roman"/>
          <w:kern w:val="0"/>
          <w14:ligatures w14:val="none"/>
        </w:rPr>
        <w:t xml:space="preserve">, D., </w:t>
      </w:r>
      <w:proofErr w:type="spellStart"/>
      <w:r w:rsidRPr="00D8206B">
        <w:rPr>
          <w:rFonts w:ascii="Times New Roman" w:eastAsia="Calibri" w:hAnsi="Times New Roman" w:cs="Times New Roman"/>
          <w:kern w:val="0"/>
          <w14:ligatures w14:val="none"/>
        </w:rPr>
        <w:t>Subiyakto</w:t>
      </w:r>
      <w:proofErr w:type="spellEnd"/>
      <w:r w:rsidRPr="00D8206B">
        <w:rPr>
          <w:rFonts w:ascii="Times New Roman" w:eastAsia="Calibri" w:hAnsi="Times New Roman" w:cs="Times New Roman"/>
          <w:kern w:val="0"/>
          <w14:ligatures w14:val="none"/>
        </w:rPr>
        <w:t xml:space="preserve">, B., &amp; </w:t>
      </w:r>
      <w:proofErr w:type="spellStart"/>
      <w:r w:rsidRPr="00D8206B">
        <w:rPr>
          <w:rFonts w:ascii="Times New Roman" w:eastAsia="Calibri" w:hAnsi="Times New Roman" w:cs="Times New Roman"/>
          <w:kern w:val="0"/>
          <w14:ligatures w14:val="none"/>
        </w:rPr>
        <w:t>Syaharuddin</w:t>
      </w:r>
      <w:proofErr w:type="spellEnd"/>
      <w:r w:rsidRPr="00D8206B">
        <w:rPr>
          <w:rFonts w:ascii="Times New Roman" w:eastAsia="Calibri" w:hAnsi="Times New Roman" w:cs="Times New Roman"/>
          <w:kern w:val="0"/>
          <w14:ligatures w14:val="none"/>
        </w:rPr>
        <w:t xml:space="preserve">, S. (2023). Enhancing the academics’ continuous use of educational management information systems in the post-pandemic era. </w:t>
      </w:r>
      <w:r w:rsidRPr="00D8206B">
        <w:rPr>
          <w:rFonts w:ascii="Times New Roman" w:eastAsia="Calibri" w:hAnsi="Times New Roman" w:cs="Times New Roman"/>
          <w:i/>
          <w:iCs/>
          <w:kern w:val="0"/>
          <w14:ligatures w14:val="none"/>
        </w:rPr>
        <w:t>Polish Journal of Management Studies, 27</w:t>
      </w:r>
      <w:r w:rsidRPr="00D8206B">
        <w:rPr>
          <w:rFonts w:ascii="Times New Roman" w:eastAsia="Calibri" w:hAnsi="Times New Roman" w:cs="Times New Roman"/>
          <w:kern w:val="0"/>
          <w14:ligatures w14:val="none"/>
        </w:rPr>
        <w:t xml:space="preserve">(1), 294–311. </w:t>
      </w:r>
      <w:hyperlink r:id="rId191" w:tgtFrame="_blank" w:history="1">
        <w:r w:rsidRPr="00D8206B">
          <w:rPr>
            <w:rFonts w:ascii="Times New Roman" w:eastAsia="Calibri" w:hAnsi="Times New Roman" w:cs="Times New Roman"/>
            <w:color w:val="0563C1"/>
            <w:kern w:val="0"/>
            <w:u w:val="single"/>
            <w14:ligatures w14:val="none"/>
          </w:rPr>
          <w:t>https://doi.org/10.17512/pjms.2023.27.1.17</w:t>
        </w:r>
      </w:hyperlink>
    </w:p>
    <w:p w14:paraId="0D49BD8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Ravikumar, T., Suresha, B., Prakash, N., Vazirani, K., &amp; Krishna, T. A. (2022). Digital financial literacy among adults in India: Measurement and validation. </w:t>
      </w:r>
      <w:r w:rsidRPr="00D8206B">
        <w:rPr>
          <w:rFonts w:ascii="Times New Roman" w:eastAsia="Calibri" w:hAnsi="Times New Roman" w:cs="Times New Roman"/>
          <w:i/>
          <w:iCs/>
          <w:kern w:val="0"/>
          <w14:ligatures w14:val="none"/>
        </w:rPr>
        <w:t>Cogent Economics &amp; Finance, 10</w:t>
      </w:r>
      <w:r w:rsidRPr="00D8206B">
        <w:rPr>
          <w:rFonts w:ascii="Times New Roman" w:eastAsia="Calibri" w:hAnsi="Times New Roman" w:cs="Times New Roman"/>
          <w:kern w:val="0"/>
          <w14:ligatures w14:val="none"/>
        </w:rPr>
        <w:t xml:space="preserve">(1), Article 2132631. </w:t>
      </w:r>
      <w:hyperlink r:id="rId192" w:tgtFrame="_blank" w:history="1">
        <w:r w:rsidRPr="00D8206B">
          <w:rPr>
            <w:rFonts w:ascii="Times New Roman" w:eastAsia="Calibri" w:hAnsi="Times New Roman" w:cs="Times New Roman"/>
            <w:color w:val="0563C1"/>
            <w:kern w:val="0"/>
            <w:u w:val="single"/>
            <w14:ligatures w14:val="none"/>
          </w:rPr>
          <w:t>https://doi.org/10.1080/23322039.2022.2132631</w:t>
        </w:r>
      </w:hyperlink>
    </w:p>
    <w:p w14:paraId="60F81272"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Rizvi, S. K. A., Rabat, B., Naqvi, B., &amp; Umar, M. (2024). Revolutionizing finance: The synergy of fintech, digital adoption, and innovation. </w:t>
      </w:r>
      <w:r w:rsidRPr="00D8206B">
        <w:rPr>
          <w:rFonts w:ascii="Times New Roman" w:eastAsia="Calibri" w:hAnsi="Times New Roman" w:cs="Times New Roman"/>
          <w:i/>
          <w:iCs/>
          <w:kern w:val="0"/>
          <w14:ligatures w14:val="none"/>
        </w:rPr>
        <w:t>Technological Forecasting and Social Change, 200</w:t>
      </w:r>
      <w:r w:rsidRPr="00D8206B">
        <w:rPr>
          <w:rFonts w:ascii="Times New Roman" w:eastAsia="Calibri" w:hAnsi="Times New Roman" w:cs="Times New Roman"/>
          <w:kern w:val="0"/>
          <w14:ligatures w14:val="none"/>
        </w:rPr>
        <w:t xml:space="preserve">, Article 123112. </w:t>
      </w:r>
      <w:hyperlink r:id="rId193" w:tgtFrame="_blank" w:history="1">
        <w:r w:rsidRPr="00D8206B">
          <w:rPr>
            <w:rFonts w:ascii="Times New Roman" w:eastAsia="Calibri" w:hAnsi="Times New Roman" w:cs="Times New Roman"/>
            <w:color w:val="0563C1"/>
            <w:kern w:val="0"/>
            <w:u w:val="single"/>
            <w14:ligatures w14:val="none"/>
          </w:rPr>
          <w:t>https://doi.org/10.1016/j.techfore.2023.123112</w:t>
        </w:r>
      </w:hyperlink>
    </w:p>
    <w:p w14:paraId="27E880A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Ruel, E., Wagner, W. E., &amp; Gillespie, B. J. (2016). </w:t>
      </w:r>
      <w:r w:rsidRPr="00D8206B">
        <w:rPr>
          <w:rFonts w:ascii="Times New Roman" w:eastAsia="Calibri" w:hAnsi="Times New Roman" w:cs="Times New Roman"/>
          <w:i/>
          <w:iCs/>
          <w:kern w:val="0"/>
          <w14:ligatures w14:val="none"/>
        </w:rPr>
        <w:t>The practice of survey research: Theory and application</w:t>
      </w:r>
      <w:r w:rsidRPr="00D8206B">
        <w:rPr>
          <w:rFonts w:ascii="Times New Roman" w:eastAsia="Calibri" w:hAnsi="Times New Roman" w:cs="Times New Roman"/>
          <w:kern w:val="0"/>
          <w14:ligatures w14:val="none"/>
        </w:rPr>
        <w:t>. Sage.</w:t>
      </w:r>
    </w:p>
    <w:p w14:paraId="1D9D177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Rufaidah, F., Karyani, T., Wulandari, E., &amp; Setiawan, I. (2023). A review of the implementation of financial technology (Fintech) in the Indonesian agricultural sector: Issues, access, and challenges. </w:t>
      </w:r>
      <w:r w:rsidRPr="00D8206B">
        <w:rPr>
          <w:rFonts w:ascii="Times New Roman" w:eastAsia="Calibri" w:hAnsi="Times New Roman" w:cs="Times New Roman"/>
          <w:i/>
          <w:iCs/>
          <w:kern w:val="0"/>
          <w14:ligatures w14:val="none"/>
        </w:rPr>
        <w:t>International Journal of Financial Studies, 11</w:t>
      </w:r>
      <w:r w:rsidRPr="00D8206B">
        <w:rPr>
          <w:rFonts w:ascii="Times New Roman" w:eastAsia="Calibri" w:hAnsi="Times New Roman" w:cs="Times New Roman"/>
          <w:kern w:val="0"/>
          <w14:ligatures w14:val="none"/>
        </w:rPr>
        <w:t xml:space="preserve">(3), Article 108. </w:t>
      </w:r>
      <w:hyperlink r:id="rId194" w:tgtFrame="_blank" w:history="1">
        <w:r w:rsidRPr="00D8206B">
          <w:rPr>
            <w:rFonts w:ascii="Times New Roman" w:eastAsia="Calibri" w:hAnsi="Times New Roman" w:cs="Times New Roman"/>
            <w:color w:val="0563C1"/>
            <w:kern w:val="0"/>
            <w:u w:val="single"/>
            <w14:ligatures w14:val="none"/>
          </w:rPr>
          <w:t>https://doi.org/10.3390/ijfs11030108</w:t>
        </w:r>
      </w:hyperlink>
    </w:p>
    <w:p w14:paraId="2E9AB116"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Senyo, P., &amp; Osabutey, E. L. C. (2020). Unearthing antecedents to financial inclusion through FinTech innovations. </w:t>
      </w:r>
      <w:proofErr w:type="spellStart"/>
      <w:r w:rsidRPr="00D8206B">
        <w:rPr>
          <w:rFonts w:ascii="Times New Roman" w:eastAsia="Calibri" w:hAnsi="Times New Roman" w:cs="Times New Roman"/>
          <w:i/>
          <w:iCs/>
          <w:kern w:val="0"/>
          <w14:ligatures w14:val="none"/>
        </w:rPr>
        <w:t>Technovation</w:t>
      </w:r>
      <w:proofErr w:type="spellEnd"/>
      <w:r w:rsidRPr="00D8206B">
        <w:rPr>
          <w:rFonts w:ascii="Times New Roman" w:eastAsia="Calibri" w:hAnsi="Times New Roman" w:cs="Times New Roman"/>
          <w:i/>
          <w:iCs/>
          <w:kern w:val="0"/>
          <w14:ligatures w14:val="none"/>
        </w:rPr>
        <w:t>, 98</w:t>
      </w:r>
      <w:r w:rsidRPr="00D8206B">
        <w:rPr>
          <w:rFonts w:ascii="Times New Roman" w:eastAsia="Calibri" w:hAnsi="Times New Roman" w:cs="Times New Roman"/>
          <w:kern w:val="0"/>
          <w14:ligatures w14:val="none"/>
        </w:rPr>
        <w:t xml:space="preserve">, Article 102155. </w:t>
      </w:r>
      <w:hyperlink r:id="rId195" w:tgtFrame="_blank" w:history="1">
        <w:r w:rsidRPr="00D8206B">
          <w:rPr>
            <w:rFonts w:ascii="Times New Roman" w:eastAsia="Calibri" w:hAnsi="Times New Roman" w:cs="Times New Roman"/>
            <w:color w:val="0563C1"/>
            <w:kern w:val="0"/>
            <w:u w:val="single"/>
            <w14:ligatures w14:val="none"/>
          </w:rPr>
          <w:t>https://doi.org/10.1016/j.technovation.2020.102155</w:t>
        </w:r>
      </w:hyperlink>
    </w:p>
    <w:p w14:paraId="7F8865F1"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Setiawan, B., </w:t>
      </w:r>
      <w:proofErr w:type="spellStart"/>
      <w:r w:rsidRPr="00D8206B">
        <w:rPr>
          <w:rFonts w:ascii="Times New Roman" w:eastAsia="Calibri" w:hAnsi="Times New Roman" w:cs="Times New Roman"/>
          <w:kern w:val="0"/>
          <w14:ligatures w14:val="none"/>
        </w:rPr>
        <w:t>Nugraha</w:t>
      </w:r>
      <w:proofErr w:type="spellEnd"/>
      <w:r w:rsidRPr="00D8206B">
        <w:rPr>
          <w:rFonts w:ascii="Times New Roman" w:eastAsia="Calibri" w:hAnsi="Times New Roman" w:cs="Times New Roman"/>
          <w:kern w:val="0"/>
          <w14:ligatures w14:val="none"/>
        </w:rPr>
        <w:t xml:space="preserve">, D. P., Irawan, A., Nathan, R. J., &amp; Zoltan, Z. (2021). User innovativeness and Fintech adoption in Indonesia. </w:t>
      </w:r>
      <w:r w:rsidRPr="00D8206B">
        <w:rPr>
          <w:rFonts w:ascii="Times New Roman" w:eastAsia="Calibri" w:hAnsi="Times New Roman" w:cs="Times New Roman"/>
          <w:i/>
          <w:iCs/>
          <w:kern w:val="0"/>
          <w14:ligatures w14:val="none"/>
        </w:rPr>
        <w:t>Journal of Open Innovation: Technology, Market, and Complexity, 7</w:t>
      </w:r>
      <w:r w:rsidRPr="00D8206B">
        <w:rPr>
          <w:rFonts w:ascii="Times New Roman" w:eastAsia="Calibri" w:hAnsi="Times New Roman" w:cs="Times New Roman"/>
          <w:kern w:val="0"/>
          <w14:ligatures w14:val="none"/>
        </w:rPr>
        <w:t xml:space="preserve">(3), Article 188. </w:t>
      </w:r>
      <w:hyperlink r:id="rId196" w:tgtFrame="_blank" w:history="1">
        <w:r w:rsidRPr="00D8206B">
          <w:rPr>
            <w:rFonts w:ascii="Times New Roman" w:eastAsia="Calibri" w:hAnsi="Times New Roman" w:cs="Times New Roman"/>
            <w:color w:val="0563C1"/>
            <w:kern w:val="0"/>
            <w:u w:val="single"/>
            <w14:ligatures w14:val="none"/>
          </w:rPr>
          <w:t>https://doi.org/10.3390/joitmc7030188</w:t>
        </w:r>
      </w:hyperlink>
    </w:p>
    <w:p w14:paraId="2EBBBD4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Setiawan, B., Phan, T. D., Medina, J., </w:t>
      </w:r>
      <w:proofErr w:type="spellStart"/>
      <w:r w:rsidRPr="00D8206B">
        <w:rPr>
          <w:rFonts w:ascii="Times New Roman" w:eastAsia="Calibri" w:hAnsi="Times New Roman" w:cs="Times New Roman"/>
          <w:kern w:val="0"/>
          <w14:ligatures w14:val="none"/>
        </w:rPr>
        <w:t>Wieriks</w:t>
      </w:r>
      <w:proofErr w:type="spellEnd"/>
      <w:r w:rsidRPr="00D8206B">
        <w:rPr>
          <w:rFonts w:ascii="Times New Roman" w:eastAsia="Calibri" w:hAnsi="Times New Roman" w:cs="Times New Roman"/>
          <w:kern w:val="0"/>
          <w14:ligatures w14:val="none"/>
        </w:rPr>
        <w:t xml:space="preserve">, M., Nathan, R. J., &amp; Fekete-Farkas, M. (2023). Quest for financial inclusion via digital financial services (Fintech) during COVID-19 pandemic: Case study of women in Indonesia. </w:t>
      </w:r>
      <w:r w:rsidRPr="00D8206B">
        <w:rPr>
          <w:rFonts w:ascii="Times New Roman" w:eastAsia="Calibri" w:hAnsi="Times New Roman" w:cs="Times New Roman"/>
          <w:i/>
          <w:iCs/>
          <w:kern w:val="0"/>
          <w14:ligatures w14:val="none"/>
        </w:rPr>
        <w:t>Journal of Financial Services Marketing</w:t>
      </w:r>
      <w:r w:rsidRPr="00D8206B">
        <w:rPr>
          <w:rFonts w:ascii="Times New Roman" w:eastAsia="Calibri" w:hAnsi="Times New Roman" w:cs="Times New Roman"/>
          <w:kern w:val="0"/>
          <w14:ligatures w14:val="none"/>
        </w:rPr>
        <w:t xml:space="preserve">. </w:t>
      </w:r>
      <w:hyperlink r:id="rId197" w:tgtFrame="_blank" w:history="1">
        <w:r w:rsidRPr="00D8206B">
          <w:rPr>
            <w:rFonts w:ascii="Times New Roman" w:eastAsia="Calibri" w:hAnsi="Times New Roman" w:cs="Times New Roman"/>
            <w:color w:val="0563C1"/>
            <w:kern w:val="0"/>
            <w:u w:val="single"/>
            <w14:ligatures w14:val="none"/>
          </w:rPr>
          <w:t>https://doi.org/10.1057/s41264-023-00217-9</w:t>
        </w:r>
      </w:hyperlink>
    </w:p>
    <w:p w14:paraId="7359D211"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Singh, S., Sahni, M. M., &amp; Kovid, R. K. (2020). What drives FinTech adoption? A multi-method evaluation using an adapted technology acceptance model. </w:t>
      </w:r>
      <w:r w:rsidRPr="00D8206B">
        <w:rPr>
          <w:rFonts w:ascii="Times New Roman" w:eastAsia="Calibri" w:hAnsi="Times New Roman" w:cs="Times New Roman"/>
          <w:i/>
          <w:iCs/>
          <w:kern w:val="0"/>
          <w14:ligatures w14:val="none"/>
        </w:rPr>
        <w:t>Management Decision, 58</w:t>
      </w:r>
      <w:r w:rsidRPr="00D8206B">
        <w:rPr>
          <w:rFonts w:ascii="Times New Roman" w:eastAsia="Calibri" w:hAnsi="Times New Roman" w:cs="Times New Roman"/>
          <w:kern w:val="0"/>
          <w14:ligatures w14:val="none"/>
        </w:rPr>
        <w:t xml:space="preserve">(8), 1675–1697. </w:t>
      </w:r>
      <w:hyperlink r:id="rId198" w:tgtFrame="_blank" w:history="1">
        <w:r w:rsidRPr="00D8206B">
          <w:rPr>
            <w:rFonts w:ascii="Times New Roman" w:eastAsia="Calibri" w:hAnsi="Times New Roman" w:cs="Times New Roman"/>
            <w:color w:val="0563C1"/>
            <w:kern w:val="0"/>
            <w:u w:val="single"/>
            <w14:ligatures w14:val="none"/>
          </w:rPr>
          <w:t>https://doi.org/10.1108/MD-09-2019-1318</w:t>
        </w:r>
      </w:hyperlink>
    </w:p>
    <w:p w14:paraId="57DCBEA0"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Slade, E. L., Dwivedi, Y. K., Piercy, N. C., &amp; Williams, M. D. (2015). Modeling consumers’ adoption intentions of remote mobile payments in the United Kingdom: Extending UTAUT with innovativeness, risk, and trust. </w:t>
      </w:r>
      <w:r w:rsidRPr="00D8206B">
        <w:rPr>
          <w:rFonts w:ascii="Times New Roman" w:eastAsia="Calibri" w:hAnsi="Times New Roman" w:cs="Times New Roman"/>
          <w:i/>
          <w:iCs/>
          <w:kern w:val="0"/>
          <w14:ligatures w14:val="none"/>
        </w:rPr>
        <w:t>Psychology &amp; Marketing, 32</w:t>
      </w:r>
      <w:r w:rsidRPr="00D8206B">
        <w:rPr>
          <w:rFonts w:ascii="Times New Roman" w:eastAsia="Calibri" w:hAnsi="Times New Roman" w:cs="Times New Roman"/>
          <w:kern w:val="0"/>
          <w14:ligatures w14:val="none"/>
        </w:rPr>
        <w:t xml:space="preserve">(8), 860–873. </w:t>
      </w:r>
      <w:hyperlink r:id="rId199" w:tgtFrame="_blank" w:history="1">
        <w:r w:rsidRPr="00D8206B">
          <w:rPr>
            <w:rFonts w:ascii="Times New Roman" w:eastAsia="Calibri" w:hAnsi="Times New Roman" w:cs="Times New Roman"/>
            <w:color w:val="0563C1"/>
            <w:kern w:val="0"/>
            <w:u w:val="single"/>
            <w14:ligatures w14:val="none"/>
          </w:rPr>
          <w:t>https://doi.org/10.1002/mar.20823</w:t>
        </w:r>
      </w:hyperlink>
    </w:p>
    <w:p w14:paraId="4A89E20E"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Sugandi</w:t>
      </w:r>
      <w:proofErr w:type="spellEnd"/>
      <w:r w:rsidRPr="00D8206B">
        <w:rPr>
          <w:rFonts w:ascii="Times New Roman" w:eastAsia="Calibri" w:hAnsi="Times New Roman" w:cs="Times New Roman"/>
          <w:kern w:val="0"/>
          <w14:ligatures w14:val="none"/>
        </w:rPr>
        <w:t xml:space="preserve">, E. A. (2021). The Covid-19 pandemic and Indonesia’s Fintech markets. </w:t>
      </w:r>
      <w:r w:rsidRPr="00D8206B">
        <w:rPr>
          <w:rFonts w:ascii="Times New Roman" w:eastAsia="Calibri" w:hAnsi="Times New Roman" w:cs="Times New Roman"/>
          <w:i/>
          <w:iCs/>
          <w:kern w:val="0"/>
          <w14:ligatures w14:val="none"/>
        </w:rPr>
        <w:t>ADBI Working Paper Series</w:t>
      </w:r>
      <w:r w:rsidRPr="00D8206B">
        <w:rPr>
          <w:rFonts w:ascii="Times New Roman" w:eastAsia="Calibri" w:hAnsi="Times New Roman" w:cs="Times New Roman"/>
          <w:kern w:val="0"/>
          <w14:ligatures w14:val="none"/>
        </w:rPr>
        <w:t xml:space="preserve">. </w:t>
      </w:r>
      <w:hyperlink r:id="rId200" w:tgtFrame="_blank" w:history="1">
        <w:r w:rsidRPr="00D8206B">
          <w:rPr>
            <w:rFonts w:ascii="Times New Roman" w:eastAsia="Calibri" w:hAnsi="Times New Roman" w:cs="Times New Roman"/>
            <w:color w:val="0563C1"/>
            <w:kern w:val="0"/>
            <w:u w:val="single"/>
            <w14:ligatures w14:val="none"/>
          </w:rPr>
          <w:t>https://doi.org/10.2139/ssrn.3916514</w:t>
        </w:r>
      </w:hyperlink>
    </w:p>
    <w:p w14:paraId="26B21C70" w14:textId="77777777" w:rsidR="00D8206B" w:rsidRPr="00D8206B" w:rsidRDefault="00D8206B" w:rsidP="00D8206B">
      <w:pPr>
        <w:spacing w:line="259" w:lineRule="auto"/>
        <w:jc w:val="both"/>
        <w:rPr>
          <w:rFonts w:ascii="Times New Roman" w:eastAsia="Calibri" w:hAnsi="Times New Roman" w:cs="Times New Roman"/>
          <w:kern w:val="0"/>
          <w14:ligatures w14:val="none"/>
        </w:rPr>
      </w:pPr>
      <w:proofErr w:type="spellStart"/>
      <w:r w:rsidRPr="00D8206B">
        <w:rPr>
          <w:rFonts w:ascii="Times New Roman" w:eastAsia="Calibri" w:hAnsi="Times New Roman" w:cs="Times New Roman"/>
          <w:kern w:val="0"/>
          <w14:ligatures w14:val="none"/>
        </w:rPr>
        <w:t>Suryono</w:t>
      </w:r>
      <w:proofErr w:type="spellEnd"/>
      <w:r w:rsidRPr="00D8206B">
        <w:rPr>
          <w:rFonts w:ascii="Times New Roman" w:eastAsia="Calibri" w:hAnsi="Times New Roman" w:cs="Times New Roman"/>
          <w:kern w:val="0"/>
          <w14:ligatures w14:val="none"/>
        </w:rPr>
        <w:t xml:space="preserve">, R. R., Budi, I., &amp; </w:t>
      </w:r>
      <w:proofErr w:type="spellStart"/>
      <w:r w:rsidRPr="00D8206B">
        <w:rPr>
          <w:rFonts w:ascii="Times New Roman" w:eastAsia="Calibri" w:hAnsi="Times New Roman" w:cs="Times New Roman"/>
          <w:kern w:val="0"/>
          <w14:ligatures w14:val="none"/>
        </w:rPr>
        <w:t>Purwandari</w:t>
      </w:r>
      <w:proofErr w:type="spellEnd"/>
      <w:r w:rsidRPr="00D8206B">
        <w:rPr>
          <w:rFonts w:ascii="Times New Roman" w:eastAsia="Calibri" w:hAnsi="Times New Roman" w:cs="Times New Roman"/>
          <w:kern w:val="0"/>
          <w14:ligatures w14:val="none"/>
        </w:rPr>
        <w:t xml:space="preserve">, B. (2020). Challenges and trends of financial technology (Fintech): A systematic literature review. </w:t>
      </w:r>
      <w:r w:rsidRPr="00D8206B">
        <w:rPr>
          <w:rFonts w:ascii="Times New Roman" w:eastAsia="Calibri" w:hAnsi="Times New Roman" w:cs="Times New Roman"/>
          <w:i/>
          <w:iCs/>
          <w:kern w:val="0"/>
          <w14:ligatures w14:val="none"/>
        </w:rPr>
        <w:t>Information, 11</w:t>
      </w:r>
      <w:r w:rsidRPr="00D8206B">
        <w:rPr>
          <w:rFonts w:ascii="Times New Roman" w:eastAsia="Calibri" w:hAnsi="Times New Roman" w:cs="Times New Roman"/>
          <w:kern w:val="0"/>
          <w14:ligatures w14:val="none"/>
        </w:rPr>
        <w:t xml:space="preserve">(12), Article 590. </w:t>
      </w:r>
      <w:hyperlink r:id="rId201" w:tgtFrame="_blank" w:history="1">
        <w:r w:rsidRPr="00D8206B">
          <w:rPr>
            <w:rFonts w:ascii="Times New Roman" w:eastAsia="Calibri" w:hAnsi="Times New Roman" w:cs="Times New Roman"/>
            <w:color w:val="0563C1"/>
            <w:kern w:val="0"/>
            <w:u w:val="single"/>
            <w14:ligatures w14:val="none"/>
          </w:rPr>
          <w:t>https://doi.org/10.3390/info11120590</w:t>
        </w:r>
      </w:hyperlink>
    </w:p>
    <w:p w14:paraId="19F9B700"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Tang, L., &amp; Sun, S. (2022). Fiscal incentives, financial support for agriculture, and urban–rural inequality. </w:t>
      </w:r>
      <w:r w:rsidRPr="00D8206B">
        <w:rPr>
          <w:rFonts w:ascii="Times New Roman" w:eastAsia="Calibri" w:hAnsi="Times New Roman" w:cs="Times New Roman"/>
          <w:i/>
          <w:iCs/>
          <w:kern w:val="0"/>
          <w14:ligatures w14:val="none"/>
        </w:rPr>
        <w:t>International Review of Financial Analysis, 80</w:t>
      </w:r>
      <w:r w:rsidRPr="00D8206B">
        <w:rPr>
          <w:rFonts w:ascii="Times New Roman" w:eastAsia="Calibri" w:hAnsi="Times New Roman" w:cs="Times New Roman"/>
          <w:kern w:val="0"/>
          <w14:ligatures w14:val="none"/>
        </w:rPr>
        <w:t xml:space="preserve">, Article 102057. </w:t>
      </w:r>
      <w:hyperlink r:id="rId202" w:tgtFrame="_blank" w:history="1">
        <w:r w:rsidRPr="00D8206B">
          <w:rPr>
            <w:rFonts w:ascii="Times New Roman" w:eastAsia="Calibri" w:hAnsi="Times New Roman" w:cs="Times New Roman"/>
            <w:color w:val="0563C1"/>
            <w:kern w:val="0"/>
            <w:u w:val="single"/>
            <w14:ligatures w14:val="none"/>
          </w:rPr>
          <w:t>https://doi.org/10.1016/j.irfa.2022.102057</w:t>
        </w:r>
      </w:hyperlink>
    </w:p>
    <w:p w14:paraId="1BEE4B5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Truc, L. T. (2024). Empowering tomorrow: Unleashing the power of e-wallets with adoption readiness, personal innovativeness, and perceived risk to client’s intention. </w:t>
      </w:r>
      <w:r w:rsidRPr="00D8206B">
        <w:rPr>
          <w:rFonts w:ascii="Times New Roman" w:eastAsia="Calibri" w:hAnsi="Times New Roman" w:cs="Times New Roman"/>
          <w:i/>
          <w:iCs/>
          <w:kern w:val="0"/>
          <w14:ligatures w14:val="none"/>
        </w:rPr>
        <w:t>Journal of Open Innovation: Technology, Market, and Complexity, 10</w:t>
      </w:r>
      <w:r w:rsidRPr="00D8206B">
        <w:rPr>
          <w:rFonts w:ascii="Times New Roman" w:eastAsia="Calibri" w:hAnsi="Times New Roman" w:cs="Times New Roman"/>
          <w:kern w:val="0"/>
          <w14:ligatures w14:val="none"/>
        </w:rPr>
        <w:t xml:space="preserve">(3), Article 100322. </w:t>
      </w:r>
      <w:hyperlink r:id="rId203" w:tgtFrame="_blank" w:history="1">
        <w:r w:rsidRPr="00D8206B">
          <w:rPr>
            <w:rFonts w:ascii="Times New Roman" w:eastAsia="Calibri" w:hAnsi="Times New Roman" w:cs="Times New Roman"/>
            <w:color w:val="0563C1"/>
            <w:kern w:val="0"/>
            <w:u w:val="single"/>
            <w14:ligatures w14:val="none"/>
          </w:rPr>
          <w:t>https://doi.org/10.1016/j.joitmc.2024.100322</w:t>
        </w:r>
      </w:hyperlink>
    </w:p>
    <w:p w14:paraId="1FCC7E34"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lastRenderedPageBreak/>
        <w:t xml:space="preserve">UNSGSA. (2019). </w:t>
      </w:r>
      <w:r w:rsidRPr="00D8206B">
        <w:rPr>
          <w:rFonts w:ascii="Times New Roman" w:eastAsia="Calibri" w:hAnsi="Times New Roman" w:cs="Times New Roman"/>
          <w:i/>
          <w:iCs/>
          <w:kern w:val="0"/>
          <w14:ligatures w14:val="none"/>
        </w:rPr>
        <w:t xml:space="preserve">Early lessons on regulatory innovations to enable inclusive Fintech: Innovation offices, regulatory sandboxes, and </w:t>
      </w:r>
      <w:proofErr w:type="spellStart"/>
      <w:r w:rsidRPr="00D8206B">
        <w:rPr>
          <w:rFonts w:ascii="Times New Roman" w:eastAsia="Calibri" w:hAnsi="Times New Roman" w:cs="Times New Roman"/>
          <w:i/>
          <w:iCs/>
          <w:kern w:val="0"/>
          <w14:ligatures w14:val="none"/>
        </w:rPr>
        <w:t>RegTech</w:t>
      </w:r>
      <w:proofErr w:type="spellEnd"/>
      <w:r w:rsidRPr="00D8206B">
        <w:rPr>
          <w:rFonts w:ascii="Times New Roman" w:eastAsia="Calibri" w:hAnsi="Times New Roman" w:cs="Times New Roman"/>
          <w:kern w:val="0"/>
          <w14:ligatures w14:val="none"/>
        </w:rPr>
        <w:t xml:space="preserve">. </w:t>
      </w:r>
      <w:hyperlink r:id="rId204" w:tgtFrame="_blank" w:history="1">
        <w:r w:rsidRPr="00D8206B">
          <w:rPr>
            <w:rFonts w:ascii="Times New Roman" w:eastAsia="Calibri" w:hAnsi="Times New Roman" w:cs="Times New Roman"/>
            <w:color w:val="0563C1"/>
            <w:kern w:val="0"/>
            <w:u w:val="single"/>
            <w14:ligatures w14:val="none"/>
          </w:rPr>
          <w:t>https://www.unsgsa.org/publications/early-lessons-regulatory-innovations-enable-inclusive-fintech-innovation-offices-regulatory-sandboxes-and-regtech</w:t>
        </w:r>
      </w:hyperlink>
    </w:p>
    <w:p w14:paraId="03125C92"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Venkatesh, V., Morris, M. G., Davis, G. B., &amp; Davis, F. D. (2003). User acceptance of information technology: Toward a unified view. </w:t>
      </w:r>
      <w:r w:rsidRPr="00D8206B">
        <w:rPr>
          <w:rFonts w:ascii="Times New Roman" w:eastAsia="Calibri" w:hAnsi="Times New Roman" w:cs="Times New Roman"/>
          <w:i/>
          <w:iCs/>
          <w:kern w:val="0"/>
          <w14:ligatures w14:val="none"/>
        </w:rPr>
        <w:t>MIS Quarterly, 27</w:t>
      </w:r>
      <w:r w:rsidRPr="00D8206B">
        <w:rPr>
          <w:rFonts w:ascii="Times New Roman" w:eastAsia="Calibri" w:hAnsi="Times New Roman" w:cs="Times New Roman"/>
          <w:kern w:val="0"/>
          <w14:ligatures w14:val="none"/>
        </w:rPr>
        <w:t xml:space="preserve">(3), 425–478. </w:t>
      </w:r>
      <w:hyperlink r:id="rId205" w:tgtFrame="_blank" w:history="1">
        <w:r w:rsidRPr="00D8206B">
          <w:rPr>
            <w:rFonts w:ascii="Times New Roman" w:eastAsia="Calibri" w:hAnsi="Times New Roman" w:cs="Times New Roman"/>
            <w:color w:val="0563C1"/>
            <w:kern w:val="0"/>
            <w:u w:val="single"/>
            <w14:ligatures w14:val="none"/>
          </w:rPr>
          <w:t>https://doi.org/10.2307/30036540</w:t>
        </w:r>
      </w:hyperlink>
    </w:p>
    <w:p w14:paraId="7276120C"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Wonglimpiyarat, J. (2018). Challenges and dynamics of FinTech crowd funding: An innovation system approach. </w:t>
      </w:r>
      <w:r w:rsidRPr="00D8206B">
        <w:rPr>
          <w:rFonts w:ascii="Times New Roman" w:eastAsia="Calibri" w:hAnsi="Times New Roman" w:cs="Times New Roman"/>
          <w:i/>
          <w:iCs/>
          <w:kern w:val="0"/>
          <w14:ligatures w14:val="none"/>
        </w:rPr>
        <w:t>The Journal of High Technology Management Research, 29</w:t>
      </w:r>
      <w:r w:rsidRPr="00D8206B">
        <w:rPr>
          <w:rFonts w:ascii="Times New Roman" w:eastAsia="Calibri" w:hAnsi="Times New Roman" w:cs="Times New Roman"/>
          <w:kern w:val="0"/>
          <w14:ligatures w14:val="none"/>
        </w:rPr>
        <w:t xml:space="preserve">(1), 98–108. </w:t>
      </w:r>
      <w:hyperlink r:id="rId206" w:tgtFrame="_blank" w:history="1">
        <w:r w:rsidRPr="00D8206B">
          <w:rPr>
            <w:rFonts w:ascii="Times New Roman" w:eastAsia="Calibri" w:hAnsi="Times New Roman" w:cs="Times New Roman"/>
            <w:color w:val="0563C1"/>
            <w:kern w:val="0"/>
            <w:u w:val="single"/>
            <w14:ligatures w14:val="none"/>
          </w:rPr>
          <w:t>https://doi.org/10.1016/j.jhtmr.2018.04.009</w:t>
        </w:r>
      </w:hyperlink>
    </w:p>
    <w:p w14:paraId="369F3B5E"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World Bank. (2022, June 29). COVID-19 drives global surge in use of digital payments. </w:t>
      </w:r>
      <w:hyperlink r:id="rId207" w:tgtFrame="_blank" w:history="1">
        <w:r w:rsidRPr="00D8206B">
          <w:rPr>
            <w:rFonts w:ascii="Times New Roman" w:eastAsia="Calibri" w:hAnsi="Times New Roman" w:cs="Times New Roman"/>
            <w:color w:val="0563C1"/>
            <w:kern w:val="0"/>
            <w:u w:val="single"/>
            <w14:ligatures w14:val="none"/>
          </w:rPr>
          <w:t>https://www.worldbank.org/en/news/press-release/2022/06/29/covid-19-drives-global-surge-in-use-of-digital-payments</w:t>
        </w:r>
      </w:hyperlink>
    </w:p>
    <w:p w14:paraId="15B54A0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Wu, G., &amp; Peng, Q. (2024). Bridging the digital divide: Unraveling the determinants of FinTech adoption in rural communities. </w:t>
      </w:r>
      <w:r w:rsidRPr="00D8206B">
        <w:rPr>
          <w:rFonts w:ascii="Times New Roman" w:eastAsia="Calibri" w:hAnsi="Times New Roman" w:cs="Times New Roman"/>
          <w:i/>
          <w:iCs/>
          <w:kern w:val="0"/>
          <w14:ligatures w14:val="none"/>
        </w:rPr>
        <w:t>SAGE Open, 14</w:t>
      </w:r>
      <w:r w:rsidRPr="00D8206B">
        <w:rPr>
          <w:rFonts w:ascii="Times New Roman" w:eastAsia="Calibri" w:hAnsi="Times New Roman" w:cs="Times New Roman"/>
          <w:kern w:val="0"/>
          <w14:ligatures w14:val="none"/>
        </w:rPr>
        <w:t xml:space="preserve">(1). </w:t>
      </w:r>
      <w:hyperlink r:id="rId208" w:tgtFrame="_blank" w:history="1">
        <w:r w:rsidRPr="00D8206B">
          <w:rPr>
            <w:rFonts w:ascii="Times New Roman" w:eastAsia="Calibri" w:hAnsi="Times New Roman" w:cs="Times New Roman"/>
            <w:color w:val="0563C1"/>
            <w:kern w:val="0"/>
            <w:u w:val="single"/>
            <w14:ligatures w14:val="none"/>
          </w:rPr>
          <w:t>https://doi.org/10.1177/2158244024122770</w:t>
        </w:r>
      </w:hyperlink>
    </w:p>
    <w:p w14:paraId="66E505CB"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Wu, Y. H., Bai, L., &amp; Chen, X. (2023). How does the development of fintech affect financial efficiency? Evidence from China. </w:t>
      </w:r>
      <w:r w:rsidRPr="00D8206B">
        <w:rPr>
          <w:rFonts w:ascii="Times New Roman" w:eastAsia="Calibri" w:hAnsi="Times New Roman" w:cs="Times New Roman"/>
          <w:i/>
          <w:iCs/>
          <w:kern w:val="0"/>
          <w14:ligatures w14:val="none"/>
        </w:rPr>
        <w:t>Economic Research-</w:t>
      </w:r>
      <w:proofErr w:type="spellStart"/>
      <w:r w:rsidRPr="00D8206B">
        <w:rPr>
          <w:rFonts w:ascii="Times New Roman" w:eastAsia="Calibri" w:hAnsi="Times New Roman" w:cs="Times New Roman"/>
          <w:i/>
          <w:iCs/>
          <w:kern w:val="0"/>
          <w14:ligatures w14:val="none"/>
        </w:rPr>
        <w:t>Ekonomska</w:t>
      </w:r>
      <w:proofErr w:type="spellEnd"/>
      <w:r w:rsidRPr="00D8206B">
        <w:rPr>
          <w:rFonts w:ascii="Times New Roman" w:eastAsia="Calibri" w:hAnsi="Times New Roman" w:cs="Times New Roman"/>
          <w:i/>
          <w:iCs/>
          <w:kern w:val="0"/>
          <w14:ligatures w14:val="none"/>
        </w:rPr>
        <w:t xml:space="preserve"> </w:t>
      </w:r>
      <w:proofErr w:type="spellStart"/>
      <w:r w:rsidRPr="00D8206B">
        <w:rPr>
          <w:rFonts w:ascii="Times New Roman" w:eastAsia="Calibri" w:hAnsi="Times New Roman" w:cs="Times New Roman"/>
          <w:i/>
          <w:iCs/>
          <w:kern w:val="0"/>
          <w14:ligatures w14:val="none"/>
        </w:rPr>
        <w:t>Istraživanja</w:t>
      </w:r>
      <w:proofErr w:type="spellEnd"/>
      <w:r w:rsidRPr="00D8206B">
        <w:rPr>
          <w:rFonts w:ascii="Times New Roman" w:eastAsia="Calibri" w:hAnsi="Times New Roman" w:cs="Times New Roman"/>
          <w:i/>
          <w:iCs/>
          <w:kern w:val="0"/>
          <w14:ligatures w14:val="none"/>
        </w:rPr>
        <w:t>, 36</w:t>
      </w:r>
      <w:r w:rsidRPr="00D8206B">
        <w:rPr>
          <w:rFonts w:ascii="Times New Roman" w:eastAsia="Calibri" w:hAnsi="Times New Roman" w:cs="Times New Roman"/>
          <w:kern w:val="0"/>
          <w14:ligatures w14:val="none"/>
        </w:rPr>
        <w:t xml:space="preserve">(2), Article 2106278. </w:t>
      </w:r>
      <w:hyperlink r:id="rId209" w:tgtFrame="_blank" w:history="1">
        <w:r w:rsidRPr="00D8206B">
          <w:rPr>
            <w:rFonts w:ascii="Times New Roman" w:eastAsia="Calibri" w:hAnsi="Times New Roman" w:cs="Times New Roman"/>
            <w:color w:val="0563C1"/>
            <w:kern w:val="0"/>
            <w:u w:val="single"/>
            <w14:ligatures w14:val="none"/>
          </w:rPr>
          <w:t>https://doi.org/10.1080/1331677X.2022.2106278</w:t>
        </w:r>
      </w:hyperlink>
    </w:p>
    <w:p w14:paraId="7B1C1921"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Yadav, P., &amp; Shaikh, I. (2023). Measuring financial resilience with consumer sentiment data from India. </w:t>
      </w:r>
      <w:r w:rsidRPr="00D8206B">
        <w:rPr>
          <w:rFonts w:ascii="Times New Roman" w:eastAsia="Calibri" w:hAnsi="Times New Roman" w:cs="Times New Roman"/>
          <w:i/>
          <w:iCs/>
          <w:kern w:val="0"/>
          <w14:ligatures w14:val="none"/>
        </w:rPr>
        <w:t>International Journal of Bank Marketing, 41</w:t>
      </w:r>
      <w:r w:rsidRPr="00D8206B">
        <w:rPr>
          <w:rFonts w:ascii="Times New Roman" w:eastAsia="Calibri" w:hAnsi="Times New Roman" w:cs="Times New Roman"/>
          <w:kern w:val="0"/>
          <w14:ligatures w14:val="none"/>
        </w:rPr>
        <w:t xml:space="preserve">(5), 1083–1103. </w:t>
      </w:r>
      <w:hyperlink r:id="rId210" w:tgtFrame="_blank" w:history="1">
        <w:r w:rsidRPr="00D8206B">
          <w:rPr>
            <w:rFonts w:ascii="Times New Roman" w:eastAsia="Calibri" w:hAnsi="Times New Roman" w:cs="Times New Roman"/>
            <w:color w:val="0563C1"/>
            <w:kern w:val="0"/>
            <w:u w:val="single"/>
            <w14:ligatures w14:val="none"/>
          </w:rPr>
          <w:t>https://doi.org/10.1108/IJBM-07-2022-0325</w:t>
        </w:r>
      </w:hyperlink>
    </w:p>
    <w:p w14:paraId="7FFD05C3"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Yap, S., Lee, H. S., &amp; Liew, P. X. (2023). The role of financial inclusion in achieving finance-related sustainable development goals (SDGs): A cross-country analysis. </w:t>
      </w:r>
      <w:r w:rsidRPr="00D8206B">
        <w:rPr>
          <w:rFonts w:ascii="Times New Roman" w:eastAsia="Calibri" w:hAnsi="Times New Roman" w:cs="Times New Roman"/>
          <w:i/>
          <w:iCs/>
          <w:kern w:val="0"/>
          <w14:ligatures w14:val="none"/>
        </w:rPr>
        <w:t>Economic Research-</w:t>
      </w:r>
      <w:proofErr w:type="spellStart"/>
      <w:r w:rsidRPr="00D8206B">
        <w:rPr>
          <w:rFonts w:ascii="Times New Roman" w:eastAsia="Calibri" w:hAnsi="Times New Roman" w:cs="Times New Roman"/>
          <w:i/>
          <w:iCs/>
          <w:kern w:val="0"/>
          <w14:ligatures w14:val="none"/>
        </w:rPr>
        <w:t>Ekonomska</w:t>
      </w:r>
      <w:proofErr w:type="spellEnd"/>
      <w:r w:rsidRPr="00D8206B">
        <w:rPr>
          <w:rFonts w:ascii="Times New Roman" w:eastAsia="Calibri" w:hAnsi="Times New Roman" w:cs="Times New Roman"/>
          <w:i/>
          <w:iCs/>
          <w:kern w:val="0"/>
          <w14:ligatures w14:val="none"/>
        </w:rPr>
        <w:t xml:space="preserve"> </w:t>
      </w:r>
      <w:proofErr w:type="spellStart"/>
      <w:r w:rsidRPr="00D8206B">
        <w:rPr>
          <w:rFonts w:ascii="Times New Roman" w:eastAsia="Calibri" w:hAnsi="Times New Roman" w:cs="Times New Roman"/>
          <w:i/>
          <w:iCs/>
          <w:kern w:val="0"/>
          <w14:ligatures w14:val="none"/>
        </w:rPr>
        <w:t>Istraživanja</w:t>
      </w:r>
      <w:proofErr w:type="spellEnd"/>
      <w:r w:rsidRPr="00D8206B">
        <w:rPr>
          <w:rFonts w:ascii="Times New Roman" w:eastAsia="Calibri" w:hAnsi="Times New Roman" w:cs="Times New Roman"/>
          <w:i/>
          <w:iCs/>
          <w:kern w:val="0"/>
          <w14:ligatures w14:val="none"/>
        </w:rPr>
        <w:t>, 36</w:t>
      </w:r>
      <w:r w:rsidRPr="00D8206B">
        <w:rPr>
          <w:rFonts w:ascii="Times New Roman" w:eastAsia="Calibri" w:hAnsi="Times New Roman" w:cs="Times New Roman"/>
          <w:kern w:val="0"/>
          <w14:ligatures w14:val="none"/>
        </w:rPr>
        <w:t xml:space="preserve">(3), Article 2212028. </w:t>
      </w:r>
      <w:hyperlink r:id="rId211" w:tgtFrame="_blank" w:history="1">
        <w:r w:rsidRPr="00D8206B">
          <w:rPr>
            <w:rFonts w:ascii="Times New Roman" w:eastAsia="Calibri" w:hAnsi="Times New Roman" w:cs="Times New Roman"/>
            <w:color w:val="0563C1"/>
            <w:kern w:val="0"/>
            <w:u w:val="single"/>
            <w14:ligatures w14:val="none"/>
          </w:rPr>
          <w:t>https://doi.org/10.1080/1331677X.2023.2212028</w:t>
        </w:r>
      </w:hyperlink>
    </w:p>
    <w:p w14:paraId="28D316EE" w14:textId="77777777" w:rsidR="00D8206B" w:rsidRPr="00D8206B" w:rsidRDefault="00D8206B" w:rsidP="00D8206B">
      <w:pPr>
        <w:spacing w:line="259"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Zarifis, A., &amp; Cheng, X. (2022). A model of trust in Fintech and trust in Insurtech: How artificial intelligence and the context influence it. </w:t>
      </w:r>
      <w:r w:rsidRPr="00D8206B">
        <w:rPr>
          <w:rFonts w:ascii="Times New Roman" w:eastAsia="Calibri" w:hAnsi="Times New Roman" w:cs="Times New Roman"/>
          <w:i/>
          <w:iCs/>
          <w:kern w:val="0"/>
          <w14:ligatures w14:val="none"/>
        </w:rPr>
        <w:t>Journal of Behavioral and Experimental Finance, 36</w:t>
      </w:r>
      <w:r w:rsidRPr="00D8206B">
        <w:rPr>
          <w:rFonts w:ascii="Times New Roman" w:eastAsia="Calibri" w:hAnsi="Times New Roman" w:cs="Times New Roman"/>
          <w:kern w:val="0"/>
          <w14:ligatures w14:val="none"/>
        </w:rPr>
        <w:t xml:space="preserve">, Article 100739. </w:t>
      </w:r>
      <w:hyperlink r:id="rId212" w:tgtFrame="_blank" w:history="1">
        <w:r w:rsidRPr="00D8206B">
          <w:rPr>
            <w:rFonts w:ascii="Times New Roman" w:eastAsia="Calibri" w:hAnsi="Times New Roman" w:cs="Times New Roman"/>
            <w:color w:val="0563C1"/>
            <w:kern w:val="0"/>
            <w:u w:val="single"/>
            <w14:ligatures w14:val="none"/>
          </w:rPr>
          <w:t>https://doi.org/10.1016/j.jbef.2022.100739</w:t>
        </w:r>
      </w:hyperlink>
    </w:p>
    <w:p w14:paraId="45238380" w14:textId="77777777" w:rsidR="00D8206B" w:rsidRPr="00D8206B" w:rsidRDefault="00D8206B" w:rsidP="00D8206B">
      <w:pPr>
        <w:spacing w:line="259" w:lineRule="auto"/>
        <w:jc w:val="both"/>
        <w:rPr>
          <w:rFonts w:ascii="Times New Roman" w:eastAsia="Calibri" w:hAnsi="Times New Roman" w:cs="Times New Roman"/>
          <w:kern w:val="0"/>
          <w:lang w:val="en-GB"/>
          <w14:ligatures w14:val="none"/>
        </w:rPr>
      </w:pPr>
    </w:p>
    <w:p w14:paraId="3E6133A6" w14:textId="77777777" w:rsidR="00D8206B" w:rsidRDefault="00D8206B" w:rsidP="00A60822">
      <w:pPr>
        <w:spacing w:after="0" w:line="240" w:lineRule="auto"/>
        <w:jc w:val="both"/>
        <w:rPr>
          <w:rFonts w:ascii="Times New Roman" w:hAnsi="Times New Roman" w:cs="Times New Roman"/>
          <w:b/>
          <w:bCs/>
          <w:sz w:val="56"/>
          <w:szCs w:val="56"/>
        </w:rPr>
      </w:pPr>
    </w:p>
    <w:p w14:paraId="330A84F7" w14:textId="77777777" w:rsidR="00D8206B" w:rsidRDefault="00D8206B" w:rsidP="00A60822">
      <w:pPr>
        <w:spacing w:after="0" w:line="240" w:lineRule="auto"/>
        <w:jc w:val="both"/>
        <w:rPr>
          <w:rFonts w:ascii="Times New Roman" w:hAnsi="Times New Roman" w:cs="Times New Roman"/>
          <w:b/>
          <w:bCs/>
          <w:sz w:val="56"/>
          <w:szCs w:val="56"/>
        </w:rPr>
      </w:pPr>
    </w:p>
    <w:p w14:paraId="35FA3D41" w14:textId="77777777" w:rsidR="00D8206B" w:rsidRDefault="00D8206B" w:rsidP="00A60822">
      <w:pPr>
        <w:spacing w:after="0" w:line="240" w:lineRule="auto"/>
        <w:jc w:val="both"/>
        <w:rPr>
          <w:rFonts w:ascii="Times New Roman" w:hAnsi="Times New Roman" w:cs="Times New Roman"/>
          <w:b/>
          <w:bCs/>
          <w:sz w:val="56"/>
          <w:szCs w:val="56"/>
        </w:rPr>
      </w:pPr>
    </w:p>
    <w:p w14:paraId="6FF2574D" w14:textId="77777777" w:rsidR="00D8206B" w:rsidRDefault="00D8206B" w:rsidP="00A60822">
      <w:pPr>
        <w:spacing w:after="0" w:line="240" w:lineRule="auto"/>
        <w:jc w:val="both"/>
        <w:rPr>
          <w:rFonts w:ascii="Times New Roman" w:hAnsi="Times New Roman" w:cs="Times New Roman"/>
          <w:b/>
          <w:bCs/>
          <w:sz w:val="56"/>
          <w:szCs w:val="56"/>
        </w:rPr>
      </w:pPr>
    </w:p>
    <w:p w14:paraId="6A6D4396" w14:textId="77777777" w:rsidR="00583609" w:rsidRDefault="00583609" w:rsidP="00A60822">
      <w:pPr>
        <w:spacing w:after="0" w:line="240" w:lineRule="auto"/>
        <w:jc w:val="both"/>
        <w:rPr>
          <w:rFonts w:ascii="Times New Roman" w:hAnsi="Times New Roman" w:cs="Times New Roman"/>
          <w:b/>
          <w:bCs/>
          <w:sz w:val="56"/>
          <w:szCs w:val="56"/>
        </w:rPr>
      </w:pPr>
    </w:p>
    <w:p w14:paraId="728A00C9" w14:textId="77777777" w:rsidR="00583609" w:rsidRDefault="00583609" w:rsidP="00A60822">
      <w:pPr>
        <w:spacing w:after="0" w:line="240" w:lineRule="auto"/>
        <w:jc w:val="both"/>
        <w:rPr>
          <w:rFonts w:ascii="Times New Roman" w:hAnsi="Times New Roman" w:cs="Times New Roman"/>
          <w:b/>
          <w:bCs/>
          <w:sz w:val="56"/>
          <w:szCs w:val="56"/>
        </w:rPr>
      </w:pPr>
    </w:p>
    <w:p w14:paraId="2DA002E4" w14:textId="77777777" w:rsidR="00583609" w:rsidRDefault="00583609" w:rsidP="00A60822">
      <w:pPr>
        <w:spacing w:after="0" w:line="240" w:lineRule="auto"/>
        <w:jc w:val="both"/>
        <w:rPr>
          <w:rFonts w:ascii="Times New Roman" w:hAnsi="Times New Roman" w:cs="Times New Roman"/>
          <w:b/>
          <w:bCs/>
          <w:sz w:val="56"/>
          <w:szCs w:val="56"/>
        </w:rPr>
      </w:pPr>
    </w:p>
    <w:p w14:paraId="65A6F20B" w14:textId="77777777" w:rsidR="00583609" w:rsidRDefault="00583609" w:rsidP="00A60822">
      <w:pPr>
        <w:spacing w:after="0" w:line="240" w:lineRule="auto"/>
        <w:jc w:val="both"/>
        <w:rPr>
          <w:rFonts w:ascii="Times New Roman" w:hAnsi="Times New Roman" w:cs="Times New Roman"/>
          <w:b/>
          <w:bCs/>
          <w:sz w:val="56"/>
          <w:szCs w:val="56"/>
        </w:rPr>
      </w:pPr>
    </w:p>
    <w:p w14:paraId="399DD3A6" w14:textId="77777777" w:rsidR="00583609" w:rsidRDefault="00583609" w:rsidP="00A60822">
      <w:pPr>
        <w:spacing w:after="0" w:line="240" w:lineRule="auto"/>
        <w:jc w:val="both"/>
        <w:rPr>
          <w:rFonts w:ascii="Times New Roman" w:hAnsi="Times New Roman" w:cs="Times New Roman"/>
          <w:b/>
          <w:bCs/>
          <w:sz w:val="56"/>
          <w:szCs w:val="56"/>
        </w:rPr>
      </w:pPr>
    </w:p>
    <w:p w14:paraId="4F57288A" w14:textId="77777777" w:rsidR="00D8206B" w:rsidRDefault="00D8206B" w:rsidP="00A60822">
      <w:pPr>
        <w:spacing w:after="0" w:line="240" w:lineRule="auto"/>
        <w:jc w:val="both"/>
        <w:rPr>
          <w:rFonts w:ascii="Times New Roman" w:hAnsi="Times New Roman" w:cs="Times New Roman"/>
          <w:b/>
          <w:bCs/>
          <w:sz w:val="56"/>
          <w:szCs w:val="56"/>
        </w:rPr>
      </w:pPr>
    </w:p>
    <w:p w14:paraId="0C890B0B" w14:textId="77777777" w:rsidR="00641746" w:rsidRDefault="00D8206B" w:rsidP="00641746">
      <w:pPr>
        <w:spacing w:after="0" w:line="240" w:lineRule="auto"/>
        <w:jc w:val="center"/>
        <w:rPr>
          <w:rFonts w:ascii="Times New Roman" w:hAnsi="Times New Roman" w:cs="Times New Roman"/>
          <w:b/>
          <w:bCs/>
          <w:sz w:val="36"/>
          <w:szCs w:val="36"/>
        </w:rPr>
      </w:pPr>
      <w:r w:rsidRPr="00D8206B">
        <w:rPr>
          <w:rFonts w:ascii="Times New Roman" w:hAnsi="Times New Roman" w:cs="Times New Roman"/>
          <w:b/>
          <w:bCs/>
          <w:sz w:val="36"/>
          <w:szCs w:val="36"/>
        </w:rPr>
        <w:t xml:space="preserve">PART </w:t>
      </w:r>
      <w:r w:rsidR="00641746">
        <w:rPr>
          <w:rFonts w:ascii="Times New Roman" w:hAnsi="Times New Roman" w:cs="Times New Roman"/>
          <w:b/>
          <w:bCs/>
          <w:sz w:val="36"/>
          <w:szCs w:val="36"/>
        </w:rPr>
        <w:t>THREE</w:t>
      </w:r>
    </w:p>
    <w:p w14:paraId="6F1B15B3" w14:textId="00794E96" w:rsidR="00D8206B" w:rsidRDefault="00D8206B" w:rsidP="00641746">
      <w:pPr>
        <w:spacing w:after="0" w:line="240" w:lineRule="auto"/>
        <w:jc w:val="center"/>
        <w:rPr>
          <w:rFonts w:ascii="Times New Roman" w:hAnsi="Times New Roman" w:cs="Times New Roman"/>
          <w:b/>
          <w:bCs/>
          <w:sz w:val="36"/>
          <w:szCs w:val="36"/>
        </w:rPr>
      </w:pPr>
      <w:r w:rsidRPr="00D8206B">
        <w:rPr>
          <w:rFonts w:ascii="Times New Roman" w:hAnsi="Times New Roman" w:cs="Times New Roman"/>
          <w:b/>
          <w:bCs/>
          <w:sz w:val="36"/>
          <w:szCs w:val="36"/>
        </w:rPr>
        <w:t>HOSPITALITY AND TOURISM MANAGEMENT</w:t>
      </w:r>
    </w:p>
    <w:p w14:paraId="10AB44D4" w14:textId="77777777" w:rsidR="00D8206B" w:rsidRDefault="00D8206B" w:rsidP="00A60822">
      <w:pPr>
        <w:spacing w:after="0" w:line="240" w:lineRule="auto"/>
        <w:jc w:val="both"/>
        <w:rPr>
          <w:rFonts w:ascii="Times New Roman" w:hAnsi="Times New Roman" w:cs="Times New Roman"/>
          <w:b/>
          <w:bCs/>
          <w:sz w:val="36"/>
          <w:szCs w:val="36"/>
        </w:rPr>
      </w:pPr>
    </w:p>
    <w:p w14:paraId="58DA82E6" w14:textId="77777777" w:rsidR="00D8206B" w:rsidRDefault="00D8206B" w:rsidP="00A60822">
      <w:pPr>
        <w:spacing w:after="0" w:line="240" w:lineRule="auto"/>
        <w:jc w:val="both"/>
        <w:rPr>
          <w:rFonts w:ascii="Times New Roman" w:hAnsi="Times New Roman" w:cs="Times New Roman"/>
          <w:b/>
          <w:bCs/>
          <w:sz w:val="36"/>
          <w:szCs w:val="36"/>
        </w:rPr>
      </w:pPr>
    </w:p>
    <w:p w14:paraId="1820EDBB" w14:textId="77777777" w:rsidR="00D8206B" w:rsidRDefault="00D8206B" w:rsidP="00A60822">
      <w:pPr>
        <w:spacing w:after="0" w:line="240" w:lineRule="auto"/>
        <w:jc w:val="both"/>
        <w:rPr>
          <w:rFonts w:ascii="Times New Roman" w:hAnsi="Times New Roman" w:cs="Times New Roman"/>
          <w:b/>
          <w:bCs/>
          <w:sz w:val="36"/>
          <w:szCs w:val="36"/>
        </w:rPr>
      </w:pPr>
    </w:p>
    <w:p w14:paraId="1C610795" w14:textId="77777777" w:rsidR="00D8206B" w:rsidRDefault="00D8206B" w:rsidP="00A60822">
      <w:pPr>
        <w:spacing w:after="0" w:line="240" w:lineRule="auto"/>
        <w:jc w:val="both"/>
        <w:rPr>
          <w:rFonts w:ascii="Times New Roman" w:hAnsi="Times New Roman" w:cs="Times New Roman"/>
          <w:b/>
          <w:bCs/>
          <w:sz w:val="36"/>
          <w:szCs w:val="36"/>
        </w:rPr>
      </w:pPr>
    </w:p>
    <w:p w14:paraId="4CCB3B48" w14:textId="77777777" w:rsidR="00D8206B" w:rsidRDefault="00D8206B" w:rsidP="00A60822">
      <w:pPr>
        <w:spacing w:after="0" w:line="240" w:lineRule="auto"/>
        <w:jc w:val="both"/>
        <w:rPr>
          <w:rFonts w:ascii="Times New Roman" w:hAnsi="Times New Roman" w:cs="Times New Roman"/>
          <w:b/>
          <w:bCs/>
          <w:sz w:val="36"/>
          <w:szCs w:val="36"/>
        </w:rPr>
      </w:pPr>
    </w:p>
    <w:p w14:paraId="525D5850" w14:textId="77777777" w:rsidR="00D8206B" w:rsidRDefault="00D8206B" w:rsidP="00A60822">
      <w:pPr>
        <w:spacing w:after="0" w:line="240" w:lineRule="auto"/>
        <w:jc w:val="both"/>
        <w:rPr>
          <w:rFonts w:ascii="Times New Roman" w:hAnsi="Times New Roman" w:cs="Times New Roman"/>
          <w:b/>
          <w:bCs/>
          <w:sz w:val="36"/>
          <w:szCs w:val="36"/>
        </w:rPr>
      </w:pPr>
    </w:p>
    <w:p w14:paraId="6282CB56" w14:textId="77777777" w:rsidR="00D8206B" w:rsidRDefault="00D8206B" w:rsidP="00A60822">
      <w:pPr>
        <w:spacing w:after="0" w:line="240" w:lineRule="auto"/>
        <w:jc w:val="both"/>
        <w:rPr>
          <w:rFonts w:ascii="Times New Roman" w:hAnsi="Times New Roman" w:cs="Times New Roman"/>
          <w:b/>
          <w:bCs/>
          <w:sz w:val="36"/>
          <w:szCs w:val="36"/>
        </w:rPr>
      </w:pPr>
    </w:p>
    <w:p w14:paraId="24135747" w14:textId="77777777" w:rsidR="00D8206B" w:rsidRDefault="00D8206B" w:rsidP="00A60822">
      <w:pPr>
        <w:spacing w:after="0" w:line="240" w:lineRule="auto"/>
        <w:jc w:val="both"/>
        <w:rPr>
          <w:rFonts w:ascii="Times New Roman" w:hAnsi="Times New Roman" w:cs="Times New Roman"/>
          <w:b/>
          <w:bCs/>
          <w:sz w:val="36"/>
          <w:szCs w:val="36"/>
        </w:rPr>
      </w:pPr>
    </w:p>
    <w:p w14:paraId="6CE332DD" w14:textId="77777777" w:rsidR="00D8206B" w:rsidRDefault="00D8206B" w:rsidP="00A60822">
      <w:pPr>
        <w:spacing w:after="0" w:line="240" w:lineRule="auto"/>
        <w:jc w:val="both"/>
        <w:rPr>
          <w:rFonts w:ascii="Times New Roman" w:hAnsi="Times New Roman" w:cs="Times New Roman"/>
          <w:b/>
          <w:bCs/>
          <w:sz w:val="36"/>
          <w:szCs w:val="36"/>
        </w:rPr>
      </w:pPr>
    </w:p>
    <w:p w14:paraId="5C2D8EBE" w14:textId="77777777" w:rsidR="00D8206B" w:rsidRDefault="00D8206B" w:rsidP="00A60822">
      <w:pPr>
        <w:spacing w:after="0" w:line="240" w:lineRule="auto"/>
        <w:jc w:val="both"/>
        <w:rPr>
          <w:rFonts w:ascii="Times New Roman" w:hAnsi="Times New Roman" w:cs="Times New Roman"/>
          <w:b/>
          <w:bCs/>
          <w:sz w:val="36"/>
          <w:szCs w:val="36"/>
        </w:rPr>
      </w:pPr>
    </w:p>
    <w:p w14:paraId="1321A7FB" w14:textId="77777777" w:rsidR="00D8206B" w:rsidRDefault="00D8206B" w:rsidP="00A60822">
      <w:pPr>
        <w:spacing w:after="0" w:line="240" w:lineRule="auto"/>
        <w:jc w:val="both"/>
        <w:rPr>
          <w:rFonts w:ascii="Times New Roman" w:hAnsi="Times New Roman" w:cs="Times New Roman"/>
          <w:b/>
          <w:bCs/>
          <w:sz w:val="36"/>
          <w:szCs w:val="36"/>
        </w:rPr>
      </w:pPr>
    </w:p>
    <w:p w14:paraId="6BCAAB24" w14:textId="77777777" w:rsidR="00D8206B" w:rsidRDefault="00D8206B" w:rsidP="00A60822">
      <w:pPr>
        <w:spacing w:after="0" w:line="240" w:lineRule="auto"/>
        <w:jc w:val="both"/>
        <w:rPr>
          <w:rFonts w:ascii="Times New Roman" w:hAnsi="Times New Roman" w:cs="Times New Roman"/>
          <w:b/>
          <w:bCs/>
          <w:sz w:val="36"/>
          <w:szCs w:val="36"/>
        </w:rPr>
      </w:pPr>
    </w:p>
    <w:p w14:paraId="00B3CC0C" w14:textId="77777777" w:rsidR="00D8206B" w:rsidRDefault="00D8206B" w:rsidP="00A60822">
      <w:pPr>
        <w:spacing w:after="0" w:line="240" w:lineRule="auto"/>
        <w:jc w:val="both"/>
        <w:rPr>
          <w:rFonts w:ascii="Times New Roman" w:hAnsi="Times New Roman" w:cs="Times New Roman"/>
          <w:b/>
          <w:bCs/>
          <w:sz w:val="36"/>
          <w:szCs w:val="36"/>
        </w:rPr>
      </w:pPr>
    </w:p>
    <w:p w14:paraId="1320E8CB" w14:textId="77777777" w:rsidR="00D8206B" w:rsidRDefault="00D8206B" w:rsidP="00A60822">
      <w:pPr>
        <w:spacing w:after="0" w:line="240" w:lineRule="auto"/>
        <w:jc w:val="both"/>
        <w:rPr>
          <w:rFonts w:ascii="Times New Roman" w:hAnsi="Times New Roman" w:cs="Times New Roman"/>
          <w:b/>
          <w:bCs/>
          <w:sz w:val="36"/>
          <w:szCs w:val="36"/>
        </w:rPr>
      </w:pPr>
    </w:p>
    <w:p w14:paraId="47BB7FD9" w14:textId="77777777" w:rsidR="00D8206B" w:rsidRDefault="00D8206B" w:rsidP="00A60822">
      <w:pPr>
        <w:spacing w:after="0" w:line="240" w:lineRule="auto"/>
        <w:jc w:val="both"/>
        <w:rPr>
          <w:rFonts w:ascii="Times New Roman" w:hAnsi="Times New Roman" w:cs="Times New Roman"/>
          <w:b/>
          <w:bCs/>
          <w:sz w:val="36"/>
          <w:szCs w:val="36"/>
        </w:rPr>
      </w:pPr>
    </w:p>
    <w:p w14:paraId="3997923D" w14:textId="77777777" w:rsidR="00D8206B" w:rsidRDefault="00D8206B" w:rsidP="00A60822">
      <w:pPr>
        <w:spacing w:after="0" w:line="240" w:lineRule="auto"/>
        <w:jc w:val="both"/>
        <w:rPr>
          <w:rFonts w:ascii="Times New Roman" w:hAnsi="Times New Roman" w:cs="Times New Roman"/>
          <w:b/>
          <w:bCs/>
          <w:sz w:val="36"/>
          <w:szCs w:val="36"/>
        </w:rPr>
      </w:pPr>
    </w:p>
    <w:p w14:paraId="4272BAB5" w14:textId="77777777" w:rsidR="00D8206B" w:rsidRDefault="00D8206B" w:rsidP="00A60822">
      <w:pPr>
        <w:spacing w:after="0" w:line="240" w:lineRule="auto"/>
        <w:jc w:val="both"/>
        <w:rPr>
          <w:rFonts w:ascii="Times New Roman" w:hAnsi="Times New Roman" w:cs="Times New Roman"/>
          <w:b/>
          <w:bCs/>
          <w:sz w:val="36"/>
          <w:szCs w:val="36"/>
        </w:rPr>
      </w:pPr>
    </w:p>
    <w:p w14:paraId="0C24E1FB" w14:textId="77777777" w:rsidR="00D8206B" w:rsidRDefault="00D8206B" w:rsidP="00A60822">
      <w:pPr>
        <w:spacing w:after="0" w:line="240" w:lineRule="auto"/>
        <w:jc w:val="both"/>
        <w:rPr>
          <w:rFonts w:ascii="Times New Roman" w:hAnsi="Times New Roman" w:cs="Times New Roman"/>
          <w:b/>
          <w:bCs/>
          <w:sz w:val="36"/>
          <w:szCs w:val="36"/>
        </w:rPr>
      </w:pPr>
    </w:p>
    <w:p w14:paraId="187B45C2" w14:textId="77777777" w:rsidR="00D8206B" w:rsidRDefault="00D8206B" w:rsidP="00A60822">
      <w:pPr>
        <w:spacing w:after="0" w:line="240" w:lineRule="auto"/>
        <w:jc w:val="both"/>
        <w:rPr>
          <w:rFonts w:ascii="Times New Roman" w:hAnsi="Times New Roman" w:cs="Times New Roman"/>
          <w:b/>
          <w:bCs/>
          <w:sz w:val="36"/>
          <w:szCs w:val="36"/>
        </w:rPr>
      </w:pPr>
    </w:p>
    <w:p w14:paraId="612B2DC3" w14:textId="77777777" w:rsidR="00D8206B" w:rsidRDefault="00D8206B" w:rsidP="00A60822">
      <w:pPr>
        <w:spacing w:after="0" w:line="240" w:lineRule="auto"/>
        <w:jc w:val="both"/>
        <w:rPr>
          <w:rFonts w:ascii="Times New Roman" w:hAnsi="Times New Roman" w:cs="Times New Roman"/>
          <w:b/>
          <w:bCs/>
          <w:sz w:val="36"/>
          <w:szCs w:val="36"/>
        </w:rPr>
      </w:pPr>
    </w:p>
    <w:p w14:paraId="77267946" w14:textId="77777777" w:rsidR="00D8206B" w:rsidRDefault="00D8206B" w:rsidP="00A60822">
      <w:pPr>
        <w:spacing w:after="0" w:line="240" w:lineRule="auto"/>
        <w:jc w:val="both"/>
        <w:rPr>
          <w:rFonts w:ascii="Times New Roman" w:hAnsi="Times New Roman" w:cs="Times New Roman"/>
          <w:b/>
          <w:bCs/>
          <w:sz w:val="36"/>
          <w:szCs w:val="36"/>
        </w:rPr>
      </w:pPr>
    </w:p>
    <w:p w14:paraId="2BCDF6B4" w14:textId="77777777" w:rsidR="00D8206B" w:rsidRDefault="00D8206B" w:rsidP="00A60822">
      <w:pPr>
        <w:spacing w:after="0" w:line="240" w:lineRule="auto"/>
        <w:jc w:val="both"/>
        <w:rPr>
          <w:rFonts w:ascii="Times New Roman" w:hAnsi="Times New Roman" w:cs="Times New Roman"/>
          <w:b/>
          <w:bCs/>
          <w:sz w:val="36"/>
          <w:szCs w:val="36"/>
        </w:rPr>
      </w:pPr>
    </w:p>
    <w:p w14:paraId="59FF3FB5" w14:textId="77777777" w:rsidR="00DA5AE9" w:rsidRDefault="00DA5AE9" w:rsidP="00D8206B">
      <w:pPr>
        <w:spacing w:line="240" w:lineRule="auto"/>
        <w:jc w:val="center"/>
        <w:rPr>
          <w:rFonts w:ascii="Times New Roman" w:eastAsia="Calibri" w:hAnsi="Times New Roman" w:cs="Times New Roman"/>
          <w:b/>
          <w:bCs/>
          <w:kern w:val="0"/>
          <w14:ligatures w14:val="none"/>
        </w:rPr>
      </w:pPr>
    </w:p>
    <w:p w14:paraId="41004F82" w14:textId="77777777" w:rsidR="00583609" w:rsidRDefault="00583609" w:rsidP="00D8206B">
      <w:pPr>
        <w:spacing w:line="240" w:lineRule="auto"/>
        <w:jc w:val="center"/>
        <w:rPr>
          <w:rFonts w:ascii="Times New Roman" w:eastAsia="Calibri" w:hAnsi="Times New Roman" w:cs="Times New Roman"/>
          <w:b/>
          <w:bCs/>
          <w:kern w:val="0"/>
          <w14:ligatures w14:val="none"/>
        </w:rPr>
      </w:pPr>
    </w:p>
    <w:p w14:paraId="7805B9F2" w14:textId="77777777" w:rsidR="00583609" w:rsidRDefault="00583609" w:rsidP="00D8206B">
      <w:pPr>
        <w:spacing w:line="240" w:lineRule="auto"/>
        <w:jc w:val="center"/>
        <w:rPr>
          <w:rFonts w:ascii="Times New Roman" w:eastAsia="Calibri" w:hAnsi="Times New Roman" w:cs="Times New Roman"/>
          <w:b/>
          <w:bCs/>
          <w:kern w:val="0"/>
          <w14:ligatures w14:val="none"/>
        </w:rPr>
      </w:pPr>
    </w:p>
    <w:p w14:paraId="49BD7EA9" w14:textId="77777777" w:rsidR="00583609" w:rsidRDefault="00583609" w:rsidP="00D8206B">
      <w:pPr>
        <w:spacing w:line="240" w:lineRule="auto"/>
        <w:jc w:val="center"/>
        <w:rPr>
          <w:rFonts w:ascii="Times New Roman" w:eastAsia="Calibri" w:hAnsi="Times New Roman" w:cs="Times New Roman"/>
          <w:b/>
          <w:bCs/>
          <w:kern w:val="0"/>
          <w14:ligatures w14:val="none"/>
        </w:rPr>
      </w:pPr>
    </w:p>
    <w:p w14:paraId="728F5E06" w14:textId="77777777" w:rsidR="00583609" w:rsidRDefault="00583609" w:rsidP="00D8206B">
      <w:pPr>
        <w:spacing w:line="240" w:lineRule="auto"/>
        <w:jc w:val="center"/>
        <w:rPr>
          <w:rFonts w:ascii="Times New Roman" w:eastAsia="Calibri" w:hAnsi="Times New Roman" w:cs="Times New Roman"/>
          <w:b/>
          <w:bCs/>
          <w:kern w:val="0"/>
          <w14:ligatures w14:val="none"/>
        </w:rPr>
      </w:pPr>
    </w:p>
    <w:p w14:paraId="33BEBF80" w14:textId="05B10166" w:rsidR="00D8206B" w:rsidRPr="00D8206B" w:rsidRDefault="00D8206B" w:rsidP="00D8206B">
      <w:pPr>
        <w:spacing w:line="240" w:lineRule="auto"/>
        <w:jc w:val="center"/>
        <w:rPr>
          <w:rFonts w:ascii="Times New Roman" w:eastAsia="Calibri" w:hAnsi="Times New Roman" w:cs="Times New Roman"/>
          <w:b/>
          <w:bCs/>
          <w:kern w:val="0"/>
          <w14:ligatures w14:val="none"/>
        </w:rPr>
      </w:pPr>
      <w:r w:rsidRPr="00D8206B">
        <w:rPr>
          <w:rFonts w:ascii="Times New Roman" w:eastAsia="Calibri" w:hAnsi="Times New Roman" w:cs="Times New Roman"/>
          <w:b/>
          <w:bCs/>
          <w:kern w:val="0"/>
          <w14:ligatures w14:val="none"/>
        </w:rPr>
        <w:lastRenderedPageBreak/>
        <w:t>LEAN OPERATIONS AND QUALITY SERVICE DELIVERY OF HOTELS IN RIVERS STATE</w:t>
      </w:r>
    </w:p>
    <w:p w14:paraId="37C57348" w14:textId="77777777" w:rsidR="00D8206B" w:rsidRPr="00D8206B" w:rsidRDefault="00D8206B" w:rsidP="00D8206B">
      <w:pPr>
        <w:suppressAutoHyphens/>
        <w:spacing w:after="0" w:line="240" w:lineRule="auto"/>
        <w:jc w:val="center"/>
        <w:rPr>
          <w:rFonts w:ascii="Times New Roman" w:eastAsia="Calibri" w:hAnsi="Times New Roman" w:cs="Times New Roman"/>
          <w:i/>
          <w:iCs/>
          <w:kern w:val="0"/>
          <w:lang w:val="en-GB"/>
          <w14:ligatures w14:val="none"/>
        </w:rPr>
      </w:pPr>
      <w:bookmarkStart w:id="30" w:name="_Hlk221262974"/>
      <w:r w:rsidRPr="00D8206B">
        <w:rPr>
          <w:rFonts w:ascii="Times New Roman" w:eastAsia="Calibri" w:hAnsi="Times New Roman" w:cs="Times New Roman"/>
          <w:i/>
          <w:iCs/>
          <w:kern w:val="0"/>
          <w:vertAlign w:val="superscript"/>
          <w:lang w:val="en-GB"/>
          <w14:ligatures w14:val="none"/>
        </w:rPr>
        <w:t>1</w:t>
      </w:r>
      <w:r w:rsidRPr="00D8206B">
        <w:rPr>
          <w:rFonts w:ascii="Times New Roman" w:eastAsia="Calibri" w:hAnsi="Times New Roman" w:cs="Times New Roman"/>
          <w:i/>
          <w:iCs/>
          <w:kern w:val="0"/>
          <w:lang w:val="en-GB"/>
          <w14:ligatures w14:val="none"/>
        </w:rPr>
        <w:t xml:space="preserve">Daniel, Bethel </w:t>
      </w:r>
      <w:proofErr w:type="spellStart"/>
      <w:r w:rsidRPr="00D8206B">
        <w:rPr>
          <w:rFonts w:ascii="Times New Roman" w:eastAsia="Calibri" w:hAnsi="Times New Roman" w:cs="Times New Roman"/>
          <w:i/>
          <w:iCs/>
          <w:kern w:val="0"/>
          <w:lang w:val="en-GB"/>
          <w14:ligatures w14:val="none"/>
        </w:rPr>
        <w:t>Ledornubari</w:t>
      </w:r>
      <w:proofErr w:type="spellEnd"/>
      <w:r w:rsidRPr="00D8206B">
        <w:rPr>
          <w:rFonts w:ascii="Times New Roman" w:eastAsia="Calibri" w:hAnsi="Times New Roman" w:cs="Times New Roman"/>
          <w:i/>
          <w:iCs/>
          <w:kern w:val="0"/>
          <w:lang w:val="en-GB"/>
          <w14:ligatures w14:val="none"/>
        </w:rPr>
        <w:t xml:space="preserve"> &amp; </w:t>
      </w:r>
      <w:proofErr w:type="spellStart"/>
      <w:r w:rsidRPr="00D8206B">
        <w:rPr>
          <w:rFonts w:ascii="Times New Roman" w:eastAsia="Calibri" w:hAnsi="Times New Roman" w:cs="Times New Roman"/>
          <w:i/>
          <w:iCs/>
          <w:kern w:val="0"/>
          <w:lang w:val="en-GB"/>
          <w14:ligatures w14:val="none"/>
        </w:rPr>
        <w:t>Ndu</w:t>
      </w:r>
      <w:proofErr w:type="spellEnd"/>
      <w:r w:rsidRPr="00D8206B">
        <w:rPr>
          <w:rFonts w:ascii="Times New Roman" w:eastAsia="Calibri" w:hAnsi="Times New Roman" w:cs="Times New Roman"/>
          <w:i/>
          <w:iCs/>
          <w:kern w:val="0"/>
          <w:lang w:val="en-GB"/>
          <w14:ligatures w14:val="none"/>
        </w:rPr>
        <w:t>, Eugene Chigozie</w:t>
      </w:r>
      <w:r w:rsidRPr="00D8206B">
        <w:rPr>
          <w:rFonts w:ascii="Times New Roman" w:eastAsia="Calibri" w:hAnsi="Times New Roman" w:cs="Times New Roman"/>
          <w:i/>
          <w:iCs/>
          <w:kern w:val="0"/>
          <w:vertAlign w:val="superscript"/>
          <w:lang w:val="en-GB"/>
          <w14:ligatures w14:val="none"/>
        </w:rPr>
        <w:t>2</w:t>
      </w:r>
    </w:p>
    <w:p w14:paraId="2CE46C92" w14:textId="77777777" w:rsidR="00D8206B" w:rsidRPr="00D8206B" w:rsidRDefault="00D8206B" w:rsidP="00D8206B">
      <w:pPr>
        <w:suppressAutoHyphens/>
        <w:spacing w:after="0" w:line="240" w:lineRule="auto"/>
        <w:jc w:val="center"/>
        <w:rPr>
          <w:rFonts w:ascii="Times New Roman" w:eastAsia="Calibri" w:hAnsi="Times New Roman" w:cs="Times New Roman"/>
          <w:i/>
          <w:iCs/>
          <w:kern w:val="0"/>
          <w:lang w:val="en-GB"/>
          <w14:ligatures w14:val="none"/>
        </w:rPr>
      </w:pPr>
      <w:r w:rsidRPr="00D8206B">
        <w:rPr>
          <w:rFonts w:ascii="Times New Roman" w:eastAsia="Calibri" w:hAnsi="Times New Roman" w:cs="Times New Roman"/>
          <w:i/>
          <w:iCs/>
          <w:kern w:val="0"/>
          <w:lang w:val="en-GB"/>
          <w14:ligatures w14:val="none"/>
        </w:rPr>
        <w:t>Department of Hospitality Management and Tourism,</w:t>
      </w:r>
    </w:p>
    <w:p w14:paraId="5225E798" w14:textId="77777777" w:rsidR="00D8206B" w:rsidRPr="00D8206B" w:rsidRDefault="00D8206B" w:rsidP="00D8206B">
      <w:pPr>
        <w:suppressAutoHyphens/>
        <w:spacing w:after="0" w:line="240" w:lineRule="auto"/>
        <w:jc w:val="center"/>
        <w:rPr>
          <w:rFonts w:ascii="Times New Roman" w:eastAsia="Calibri" w:hAnsi="Times New Roman" w:cs="Times New Roman"/>
          <w:i/>
          <w:iCs/>
          <w:kern w:val="0"/>
          <w:lang w:val="en-GB"/>
          <w14:ligatures w14:val="none"/>
        </w:rPr>
      </w:pPr>
      <w:r w:rsidRPr="00D8206B">
        <w:rPr>
          <w:rFonts w:ascii="Times New Roman" w:eastAsia="Calibri" w:hAnsi="Times New Roman" w:cs="Times New Roman"/>
          <w:i/>
          <w:iCs/>
          <w:kern w:val="0"/>
          <w:lang w:val="en-GB"/>
          <w14:ligatures w14:val="none"/>
        </w:rPr>
        <w:t>Faculty of Management Sciences</w:t>
      </w:r>
    </w:p>
    <w:p w14:paraId="133281CC" w14:textId="77777777" w:rsidR="00D8206B" w:rsidRPr="00D8206B" w:rsidRDefault="00D8206B" w:rsidP="00D8206B">
      <w:pPr>
        <w:suppressAutoHyphens/>
        <w:spacing w:after="0" w:line="240" w:lineRule="auto"/>
        <w:jc w:val="center"/>
        <w:rPr>
          <w:rFonts w:ascii="Times New Roman" w:eastAsia="Calibri" w:hAnsi="Times New Roman" w:cs="Times New Roman"/>
          <w:i/>
          <w:iCs/>
          <w:kern w:val="0"/>
          <w:lang w:val="en-GB"/>
          <w14:ligatures w14:val="none"/>
        </w:rPr>
      </w:pPr>
      <w:r w:rsidRPr="00D8206B">
        <w:rPr>
          <w:rFonts w:ascii="Times New Roman" w:eastAsia="Calibri" w:hAnsi="Times New Roman" w:cs="Times New Roman"/>
          <w:i/>
          <w:iCs/>
          <w:kern w:val="0"/>
          <w:lang w:val="en-GB"/>
          <w14:ligatures w14:val="none"/>
        </w:rPr>
        <w:t>University of Port Harcourt, Nigeria</w:t>
      </w:r>
      <w:bookmarkEnd w:id="30"/>
    </w:p>
    <w:p w14:paraId="13AA1ED7" w14:textId="77777777" w:rsidR="00D8206B" w:rsidRPr="00D8206B" w:rsidRDefault="00D8206B" w:rsidP="00D8206B">
      <w:pPr>
        <w:suppressAutoHyphens/>
        <w:spacing w:after="0" w:line="240" w:lineRule="auto"/>
        <w:jc w:val="center"/>
        <w:rPr>
          <w:rFonts w:ascii="Times New Roman" w:eastAsia="Calibri" w:hAnsi="Times New Roman" w:cs="Times New Roman"/>
          <w:b/>
          <w:kern w:val="0"/>
          <w:sz w:val="30"/>
          <w:lang w:val="en-GB"/>
          <w14:ligatures w14:val="none"/>
        </w:rPr>
      </w:pPr>
    </w:p>
    <w:p w14:paraId="006DECA2" w14:textId="77777777" w:rsidR="00D8206B" w:rsidRPr="00D8206B" w:rsidRDefault="00D8206B" w:rsidP="00D8206B">
      <w:pPr>
        <w:suppressAutoHyphens/>
        <w:spacing w:after="0" w:line="240" w:lineRule="auto"/>
        <w:jc w:val="center"/>
        <w:rPr>
          <w:rFonts w:ascii="Times New Roman" w:eastAsia="Calibri" w:hAnsi="Times New Roman" w:cs="Times New Roman"/>
          <w:b/>
          <w:kern w:val="0"/>
          <w:lang w:val="en-GB"/>
          <w14:ligatures w14:val="none"/>
        </w:rPr>
      </w:pPr>
      <w:r w:rsidRPr="00D8206B">
        <w:rPr>
          <w:rFonts w:ascii="Times New Roman" w:eastAsia="Calibri" w:hAnsi="Times New Roman" w:cs="Times New Roman"/>
          <w:b/>
          <w:kern w:val="0"/>
          <w:lang w:val="en-GB"/>
          <w14:ligatures w14:val="none"/>
        </w:rPr>
        <w:t>Abstract</w:t>
      </w:r>
    </w:p>
    <w:p w14:paraId="141BC41E" w14:textId="77777777" w:rsidR="00D8206B" w:rsidRPr="00D8206B" w:rsidRDefault="00D8206B" w:rsidP="00D8206B">
      <w:pPr>
        <w:suppressAutoHyphens/>
        <w:spacing w:after="0" w:line="240" w:lineRule="auto"/>
        <w:jc w:val="both"/>
        <w:rPr>
          <w:rFonts w:ascii="Times New Roman" w:eastAsia="Calibri" w:hAnsi="Times New Roman" w:cs="Times New Roman"/>
          <w:kern w:val="0"/>
          <w:lang w:val="en-GB"/>
          <w14:ligatures w14:val="none"/>
        </w:rPr>
      </w:pPr>
      <w:r w:rsidRPr="00D8206B">
        <w:rPr>
          <w:rFonts w:ascii="Times New Roman" w:eastAsia="Calibri" w:hAnsi="Times New Roman" w:cs="Times New Roman"/>
          <w:kern w:val="0"/>
          <w:sz w:val="22"/>
          <w:szCs w:val="22"/>
          <w:lang w:val="en-GB"/>
          <w14:ligatures w14:val="none"/>
        </w:rPr>
        <w:t xml:space="preserve">This study examined how lean operations influence quality service delivery in Rivers State hotels, and whether organizational culture moderates that relationship. Using a cross-sectional survey of managerial staff drawn from hotels registered with the Nigerian Hotel Association, the research operationalized lean as waste reduction, process optimization and resource efficiency, and quality service delivery as service accuracy, timeliness and protocol adherence. Data were collected via structured a questionnaire from managers/supervisors; and </w:t>
      </w:r>
      <w:proofErr w:type="spellStart"/>
      <w:r w:rsidRPr="00D8206B">
        <w:rPr>
          <w:rFonts w:ascii="Times New Roman" w:eastAsia="Calibri" w:hAnsi="Times New Roman" w:cs="Times New Roman"/>
          <w:kern w:val="0"/>
          <w:sz w:val="22"/>
          <w:szCs w:val="22"/>
          <w:lang w:val="en-GB"/>
          <w14:ligatures w14:val="none"/>
        </w:rPr>
        <w:t>analyzed</w:t>
      </w:r>
      <w:proofErr w:type="spellEnd"/>
      <w:r w:rsidRPr="00D8206B">
        <w:rPr>
          <w:rFonts w:ascii="Times New Roman" w:eastAsia="Calibri" w:hAnsi="Times New Roman" w:cs="Times New Roman"/>
          <w:kern w:val="0"/>
          <w:sz w:val="22"/>
          <w:szCs w:val="22"/>
          <w:lang w:val="en-GB"/>
          <w14:ligatures w14:val="none"/>
        </w:rPr>
        <w:t xml:space="preserve"> using PLS-SEM to test direct and moderating effects. Results indicated that the three lean operations dimensions together explain a very large share of variance in service outcomes (approximately 86–92%), with process optimization the strongest predictor, timeliness, waste reduction strongly linked to accuracy, and resource efficiency contributing meaningfully to both speed and consistency. </w:t>
      </w:r>
      <w:r w:rsidRPr="00D8206B">
        <w:rPr>
          <w:rFonts w:ascii="Times New Roman" w:eastAsia="Calibri" w:hAnsi="Times New Roman" w:cs="Times New Roman"/>
          <w:kern w:val="0"/>
          <w:lang w:val="en-GB"/>
          <w14:ligatures w14:val="none"/>
        </w:rPr>
        <w:t>Findings imply that modest, well-targeted lean interventions paired with staff training and simple cultural supports can produce measurable improvements in guest experience and operational performance in Rivers State hotels. The study is regionally focused and cross-sectional; longitudinal or experimental work across wider contexts is recommended to test causality and external validity.</w:t>
      </w:r>
    </w:p>
    <w:p w14:paraId="083F6E65" w14:textId="77777777" w:rsidR="00D8206B" w:rsidRPr="00D8206B" w:rsidRDefault="00D8206B" w:rsidP="00D8206B">
      <w:pPr>
        <w:suppressAutoHyphens/>
        <w:spacing w:after="0" w:line="240" w:lineRule="auto"/>
        <w:jc w:val="both"/>
        <w:rPr>
          <w:rFonts w:ascii="Times New Roman" w:eastAsia="Calibri" w:hAnsi="Times New Roman" w:cs="Times New Roman"/>
          <w:bCs/>
          <w:kern w:val="0"/>
          <w:sz w:val="30"/>
          <w:lang w:val="en-GB"/>
          <w14:ligatures w14:val="none"/>
        </w:rPr>
      </w:pPr>
    </w:p>
    <w:p w14:paraId="047AE037"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b/>
          <w:bCs/>
          <w:kern w:val="0"/>
          <w14:ligatures w14:val="none"/>
        </w:rPr>
        <w:t>Keywords</w:t>
      </w:r>
      <w:r w:rsidRPr="00D8206B">
        <w:rPr>
          <w:rFonts w:ascii="Times New Roman" w:eastAsia="Calibri" w:hAnsi="Times New Roman" w:cs="Times New Roman"/>
          <w:kern w:val="0"/>
          <w14:ligatures w14:val="none"/>
        </w:rPr>
        <w:t>:  Lean Operations, Waste Reduction, Quality Service Delivery, Service Accuracy, Service Protocol.</w:t>
      </w:r>
    </w:p>
    <w:p w14:paraId="78F84CB2" w14:textId="77777777" w:rsidR="00D8206B" w:rsidRPr="00D8206B" w:rsidRDefault="00D8206B" w:rsidP="00D8206B">
      <w:pPr>
        <w:numPr>
          <w:ilvl w:val="0"/>
          <w:numId w:val="38"/>
        </w:numPr>
        <w:spacing w:line="240" w:lineRule="auto"/>
        <w:contextualSpacing/>
        <w:jc w:val="both"/>
        <w:rPr>
          <w:rFonts w:ascii="Times New Roman" w:eastAsia="Calibri" w:hAnsi="Times New Roman" w:cs="Times New Roman"/>
          <w:b/>
          <w:bCs/>
          <w:kern w:val="0"/>
          <w14:ligatures w14:val="none"/>
        </w:rPr>
      </w:pPr>
      <w:r w:rsidRPr="00D8206B">
        <w:rPr>
          <w:rFonts w:ascii="Times New Roman" w:eastAsia="Calibri" w:hAnsi="Times New Roman" w:cs="Times New Roman"/>
          <w:b/>
          <w:bCs/>
          <w:kern w:val="0"/>
          <w14:ligatures w14:val="none"/>
        </w:rPr>
        <w:t>Introduction</w:t>
      </w:r>
    </w:p>
    <w:p w14:paraId="68A33F63"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For organizations to achieve, accomplish, maintain and improve on customer satisfaction, retention and allegiance, it must be done through quality service delivery </w:t>
      </w:r>
      <w:r w:rsidRPr="00D8206B">
        <w:rPr>
          <w:rFonts w:ascii="Times New Roman" w:eastAsia="Calibri" w:hAnsi="Times New Roman" w:cs="Times New Roman"/>
          <w:kern w:val="0"/>
          <w:lang w:val="en-GB"/>
          <w14:ligatures w14:val="none"/>
        </w:rPr>
        <w:t>(</w:t>
      </w:r>
      <w:r w:rsidRPr="00D8206B">
        <w:rPr>
          <w:rFonts w:ascii="Times New Roman" w:eastAsia="Calibri" w:hAnsi="Times New Roman" w:cs="Times New Roman"/>
          <w:kern w:val="0"/>
          <w14:ligatures w14:val="none"/>
        </w:rPr>
        <w:t>Jaca et al., 2019</w:t>
      </w:r>
      <w:r w:rsidRPr="00D8206B">
        <w:rPr>
          <w:rFonts w:ascii="Times New Roman" w:eastAsia="Calibri" w:hAnsi="Times New Roman" w:cs="Times New Roman"/>
          <w:kern w:val="0"/>
          <w:lang w:val="en-GB"/>
          <w14:ligatures w14:val="none"/>
        </w:rPr>
        <w:t>)</w:t>
      </w:r>
      <w:r w:rsidRPr="00D8206B">
        <w:rPr>
          <w:rFonts w:ascii="Times New Roman" w:eastAsia="Calibri" w:hAnsi="Times New Roman" w:cs="Times New Roman"/>
          <w:kern w:val="0"/>
          <w14:ligatures w14:val="none"/>
        </w:rPr>
        <w:t>. Quality service delivery is defined as the efficient and strategic way of monitoring and enhancing service to continuously meet or exceed customer expectations</w:t>
      </w:r>
      <w:r w:rsidRPr="00D8206B">
        <w:rPr>
          <w:rFonts w:ascii="Times New Roman" w:eastAsia="Calibri" w:hAnsi="Times New Roman" w:cs="Times New Roman"/>
          <w:kern w:val="0"/>
          <w:lang w:val="en-GB"/>
          <w14:ligatures w14:val="none"/>
        </w:rPr>
        <w:t xml:space="preserve"> (</w:t>
      </w:r>
      <w:r w:rsidRPr="00D8206B">
        <w:rPr>
          <w:rFonts w:ascii="Times New Roman" w:eastAsia="Calibri" w:hAnsi="Times New Roman" w:cs="Times New Roman"/>
          <w:kern w:val="0"/>
          <w14:ligatures w14:val="none"/>
        </w:rPr>
        <w:t>Moliner et al., 2020</w:t>
      </w:r>
      <w:r w:rsidRPr="00D8206B">
        <w:rPr>
          <w:rFonts w:ascii="Times New Roman" w:eastAsia="Calibri" w:hAnsi="Times New Roman" w:cs="Times New Roman"/>
          <w:kern w:val="0"/>
          <w:lang w:val="en-GB"/>
          <w14:ligatures w14:val="none"/>
        </w:rPr>
        <w:t>)</w:t>
      </w:r>
      <w:r w:rsidRPr="00D8206B">
        <w:rPr>
          <w:rFonts w:ascii="Times New Roman" w:eastAsia="Calibri" w:hAnsi="Times New Roman" w:cs="Times New Roman"/>
          <w:kern w:val="0"/>
          <w14:ligatures w14:val="none"/>
        </w:rPr>
        <w:t>. Quality service delivery is a pivotal resource and it is related with the provision of matchless guest experience with first encounter and impression to post-service support a very critical factor in achieving it. Anthony (2011) asserts that timeliness, accurate service delivery, identified service protocol as quality service delivery fundamentals. While s</w:t>
      </w:r>
      <w:proofErr w:type="spellStart"/>
      <w:r w:rsidRPr="00D8206B">
        <w:rPr>
          <w:rFonts w:ascii="Times New Roman" w:eastAsia="Calibri" w:hAnsi="Times New Roman" w:cs="Times New Roman"/>
          <w:kern w:val="0"/>
          <w:lang w:val="en-GB"/>
          <w14:ligatures w14:val="none"/>
        </w:rPr>
        <w:t>ervice</w:t>
      </w:r>
      <w:proofErr w:type="spellEnd"/>
      <w:r w:rsidRPr="00D8206B">
        <w:rPr>
          <w:rFonts w:ascii="Times New Roman" w:eastAsia="Calibri" w:hAnsi="Times New Roman" w:cs="Times New Roman"/>
          <w:kern w:val="0"/>
          <w:lang w:val="en-GB"/>
          <w14:ligatures w14:val="none"/>
        </w:rPr>
        <w:t xml:space="preserve"> accuracy covers whether the service meets required specifications (outcome/technical quality), timeliness looks at responsiveness and access (process/experience), and service protocol encapsulates consistency, safety and legitimacy (process/structure) while remaining observable and measurable across diverse sectors through lean principles.</w:t>
      </w:r>
    </w:p>
    <w:p w14:paraId="59C39EC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Eliminating waste, prioritizing value creation and encouraging steady and continuous upgrade in how things are done while not reducing quality of product/service and still meeting up with clients’ expectations and satisfying those expectations is known as lean operations, and it is traced to manufacturing industry</w:t>
      </w:r>
      <w:r w:rsidRPr="00D8206B">
        <w:rPr>
          <w:rFonts w:ascii="Times New Roman" w:eastAsia="SimSun" w:hAnsi="Times New Roman" w:cs="Times New Roman"/>
          <w:kern w:val="0"/>
          <w:lang w:val="en-GB" w:eastAsia="zh-CN"/>
          <w14:ligatures w14:val="none"/>
        </w:rPr>
        <w:t xml:space="preserve"> (</w:t>
      </w:r>
      <w:r w:rsidRPr="00D8206B">
        <w:rPr>
          <w:rFonts w:ascii="Times New Roman" w:eastAsia="SimSun" w:hAnsi="Times New Roman" w:cs="Times New Roman"/>
          <w:kern w:val="0"/>
          <w:lang w:eastAsia="zh-CN"/>
          <w14:ligatures w14:val="none"/>
        </w:rPr>
        <w:t>Ben-</w:t>
      </w:r>
      <w:proofErr w:type="spellStart"/>
      <w:r w:rsidRPr="00D8206B">
        <w:rPr>
          <w:rFonts w:ascii="Times New Roman" w:eastAsia="SimSun" w:hAnsi="Times New Roman" w:cs="Times New Roman"/>
          <w:kern w:val="0"/>
          <w:lang w:eastAsia="zh-CN"/>
          <w14:ligatures w14:val="none"/>
        </w:rPr>
        <w:t>Tovim</w:t>
      </w:r>
      <w:proofErr w:type="spellEnd"/>
      <w:r w:rsidRPr="00D8206B">
        <w:rPr>
          <w:rFonts w:ascii="Times New Roman" w:eastAsia="SimSun" w:hAnsi="Times New Roman" w:cs="Times New Roman"/>
          <w:kern w:val="0"/>
          <w:lang w:val="en-GB" w:eastAsia="zh-CN"/>
          <w14:ligatures w14:val="none"/>
        </w:rPr>
        <w:t>, 2007)</w:t>
      </w:r>
      <w:r w:rsidRPr="00D8206B">
        <w:rPr>
          <w:rFonts w:ascii="Times New Roman" w:eastAsia="SimSun" w:hAnsi="Times New Roman" w:cs="Times New Roman"/>
          <w:kern w:val="0"/>
          <w:lang w:eastAsia="zh-CN"/>
          <w14:ligatures w14:val="none"/>
        </w:rPr>
        <w:t xml:space="preserve">. To achieve the goal of lean operation, Liker, </w:t>
      </w:r>
      <w:r w:rsidRPr="00D8206B">
        <w:rPr>
          <w:rFonts w:ascii="Times New Roman" w:eastAsia="SimSun" w:hAnsi="Times New Roman" w:cs="Times New Roman"/>
          <w:kern w:val="0"/>
          <w:lang w:val="en-GB" w:eastAsia="zh-CN"/>
          <w14:ligatures w14:val="none"/>
        </w:rPr>
        <w:t>(</w:t>
      </w:r>
      <w:r w:rsidRPr="00D8206B">
        <w:rPr>
          <w:rFonts w:ascii="Times New Roman" w:eastAsia="SimSun" w:hAnsi="Times New Roman" w:cs="Times New Roman"/>
          <w:kern w:val="0"/>
          <w:lang w:eastAsia="zh-CN"/>
          <w14:ligatures w14:val="none"/>
        </w:rPr>
        <w:t>2004</w:t>
      </w:r>
      <w:r w:rsidRPr="00D8206B">
        <w:rPr>
          <w:rFonts w:ascii="Times New Roman" w:eastAsia="SimSun" w:hAnsi="Times New Roman" w:cs="Times New Roman"/>
          <w:kern w:val="0"/>
          <w:lang w:val="en-GB" w:eastAsia="zh-CN"/>
          <w14:ligatures w14:val="none"/>
        </w:rPr>
        <w:t xml:space="preserve">); </w:t>
      </w:r>
      <w:r w:rsidRPr="00D8206B">
        <w:rPr>
          <w:rFonts w:ascii="Times New Roman" w:eastAsia="SimSun" w:hAnsi="Times New Roman" w:cs="Times New Roman"/>
          <w:kern w:val="0"/>
          <w:lang w:eastAsia="zh-CN"/>
          <w14:ligatures w14:val="none"/>
        </w:rPr>
        <w:t xml:space="preserve">Womack and Jones, </w:t>
      </w:r>
      <w:r w:rsidRPr="00D8206B">
        <w:rPr>
          <w:rFonts w:ascii="Times New Roman" w:eastAsia="SimSun" w:hAnsi="Times New Roman" w:cs="Times New Roman"/>
          <w:kern w:val="0"/>
          <w:lang w:val="en-GB" w:eastAsia="zh-CN"/>
          <w14:ligatures w14:val="none"/>
        </w:rPr>
        <w:t>(</w:t>
      </w:r>
      <w:r w:rsidRPr="00D8206B">
        <w:rPr>
          <w:rFonts w:ascii="Times New Roman" w:eastAsia="SimSun" w:hAnsi="Times New Roman" w:cs="Times New Roman"/>
          <w:kern w:val="0"/>
          <w:lang w:eastAsia="zh-CN"/>
          <w14:ligatures w14:val="none"/>
        </w:rPr>
        <w:t>1996</w:t>
      </w:r>
      <w:r w:rsidRPr="00D8206B">
        <w:rPr>
          <w:rFonts w:ascii="Times New Roman" w:eastAsia="SimSun" w:hAnsi="Times New Roman" w:cs="Times New Roman"/>
          <w:kern w:val="0"/>
          <w:lang w:val="en-GB" w:eastAsia="zh-CN"/>
          <w14:ligatures w14:val="none"/>
        </w:rPr>
        <w:t xml:space="preserve">) and </w:t>
      </w:r>
      <w:r w:rsidRPr="00D8206B">
        <w:rPr>
          <w:rFonts w:ascii="Times New Roman" w:eastAsia="SimSun" w:hAnsi="Times New Roman" w:cs="Times New Roman"/>
          <w:kern w:val="0"/>
          <w:lang w:eastAsia="zh-CN"/>
          <w14:ligatures w14:val="none"/>
        </w:rPr>
        <w:t xml:space="preserve">Ohno, </w:t>
      </w:r>
      <w:r w:rsidRPr="00D8206B">
        <w:rPr>
          <w:rFonts w:ascii="Times New Roman" w:eastAsia="SimSun" w:hAnsi="Times New Roman" w:cs="Times New Roman"/>
          <w:kern w:val="0"/>
          <w:lang w:val="en-GB" w:eastAsia="zh-CN"/>
          <w14:ligatures w14:val="none"/>
        </w:rPr>
        <w:t>(</w:t>
      </w:r>
      <w:r w:rsidRPr="00D8206B">
        <w:rPr>
          <w:rFonts w:ascii="Times New Roman" w:eastAsia="SimSun" w:hAnsi="Times New Roman" w:cs="Times New Roman"/>
          <w:kern w:val="0"/>
          <w:lang w:eastAsia="zh-CN"/>
          <w14:ligatures w14:val="none"/>
        </w:rPr>
        <w:t>1988)</w:t>
      </w:r>
      <w:r w:rsidRPr="00D8206B">
        <w:rPr>
          <w:rFonts w:ascii="Times New Roman" w:eastAsia="SimSun" w:hAnsi="Times New Roman" w:cs="Times New Roman"/>
          <w:kern w:val="0"/>
          <w:lang w:val="en-GB" w:eastAsia="zh-CN"/>
          <w14:ligatures w14:val="none"/>
        </w:rPr>
        <w:t xml:space="preserve"> argued that J</w:t>
      </w:r>
      <w:proofErr w:type="spellStart"/>
      <w:r w:rsidRPr="00D8206B">
        <w:rPr>
          <w:rFonts w:ascii="Times New Roman" w:eastAsia="SimSun" w:hAnsi="Times New Roman" w:cs="Times New Roman"/>
          <w:kern w:val="0"/>
          <w:lang w:eastAsia="zh-CN"/>
          <w14:ligatures w14:val="none"/>
        </w:rPr>
        <w:t>ust</w:t>
      </w:r>
      <w:proofErr w:type="spellEnd"/>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I</w:t>
      </w:r>
      <w:r w:rsidRPr="00D8206B">
        <w:rPr>
          <w:rFonts w:ascii="Times New Roman" w:eastAsia="SimSun" w:hAnsi="Times New Roman" w:cs="Times New Roman"/>
          <w:kern w:val="0"/>
          <w:lang w:eastAsia="zh-CN"/>
          <w14:ligatures w14:val="none"/>
        </w:rPr>
        <w:t>n-</w:t>
      </w:r>
      <w:r w:rsidRPr="00D8206B">
        <w:rPr>
          <w:rFonts w:ascii="Times New Roman" w:eastAsia="SimSun" w:hAnsi="Times New Roman" w:cs="Times New Roman"/>
          <w:kern w:val="0"/>
          <w:lang w:val="en-GB" w:eastAsia="zh-CN"/>
          <w14:ligatures w14:val="none"/>
        </w:rPr>
        <w:t>T</w:t>
      </w:r>
      <w:proofErr w:type="spellStart"/>
      <w:r w:rsidRPr="00D8206B">
        <w:rPr>
          <w:rFonts w:ascii="Times New Roman" w:eastAsia="SimSun" w:hAnsi="Times New Roman" w:cs="Times New Roman"/>
          <w:kern w:val="0"/>
          <w:lang w:eastAsia="zh-CN"/>
          <w14:ligatures w14:val="none"/>
        </w:rPr>
        <w:t>ime</w:t>
      </w:r>
      <w:proofErr w:type="spellEnd"/>
      <w:r w:rsidRPr="00D8206B">
        <w:rPr>
          <w:rFonts w:ascii="Times New Roman" w:eastAsia="SimSun" w:hAnsi="Times New Roman" w:cs="Times New Roman"/>
          <w:kern w:val="0"/>
          <w:lang w:eastAsia="zh-CN"/>
          <w14:ligatures w14:val="none"/>
        </w:rPr>
        <w:t xml:space="preserve"> (JIT) production, </w:t>
      </w:r>
      <w:r w:rsidRPr="00D8206B">
        <w:rPr>
          <w:rFonts w:ascii="Times New Roman" w:eastAsia="SimSun" w:hAnsi="Times New Roman" w:cs="Times New Roman"/>
          <w:kern w:val="0"/>
          <w:lang w:val="en-GB" w:eastAsia="zh-CN"/>
          <w14:ligatures w14:val="none"/>
        </w:rPr>
        <w:t>total</w:t>
      </w:r>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kern w:val="0"/>
          <w:lang w:val="en-GB" w:eastAsia="zh-CN"/>
          <w14:ligatures w14:val="none"/>
        </w:rPr>
        <w:t>q</w:t>
      </w:r>
      <w:proofErr w:type="spellStart"/>
      <w:r w:rsidRPr="00D8206B">
        <w:rPr>
          <w:rFonts w:ascii="Times New Roman" w:eastAsia="SimSun" w:hAnsi="Times New Roman" w:cs="Times New Roman"/>
          <w:kern w:val="0"/>
          <w:lang w:eastAsia="zh-CN"/>
          <w14:ligatures w14:val="none"/>
        </w:rPr>
        <w:t>uality</w:t>
      </w:r>
      <w:proofErr w:type="spellEnd"/>
      <w:r w:rsidRPr="00D8206B">
        <w:rPr>
          <w:rFonts w:ascii="Times New Roman" w:eastAsia="SimSun" w:hAnsi="Times New Roman" w:cs="Times New Roman"/>
          <w:kern w:val="0"/>
          <w:lang w:eastAsia="zh-CN"/>
          <w14:ligatures w14:val="none"/>
        </w:rPr>
        <w:t xml:space="preserve"> management (TQM), and visual management tools like Kanban and 5S are critical and fundamental value that must be considered to achieve the responsiveness that reduces costs and improves performance. More recently, the service industry such as hotels, banks have embraced, adapted and adopted the concept of lean operation into their operation and this has helped these businesses to minimize the wastage </w:t>
      </w:r>
      <w:r w:rsidRPr="00D8206B">
        <w:rPr>
          <w:rFonts w:ascii="Times New Roman" w:eastAsia="SimSun" w:hAnsi="Times New Roman" w:cs="Times New Roman"/>
          <w:kern w:val="0"/>
          <w:lang w:val="en-GB" w:eastAsia="zh-CN"/>
          <w14:ligatures w14:val="none"/>
        </w:rPr>
        <w:t>in service delivery chain (Adeleke &amp; Obiora, 2023)</w:t>
      </w:r>
      <w:r w:rsidRPr="00D8206B">
        <w:rPr>
          <w:rFonts w:ascii="Times New Roman" w:eastAsia="SimSun" w:hAnsi="Times New Roman" w:cs="Times New Roman"/>
          <w:kern w:val="0"/>
          <w:lang w:eastAsia="zh-CN"/>
          <w14:ligatures w14:val="none"/>
        </w:rPr>
        <w:t xml:space="preserve">. Giving the constant changes observable within the hotel sector, many service-oriented establishments such as hospitals, quick service restaurants, hotels of different class </w:t>
      </w:r>
      <w:proofErr w:type="spellStart"/>
      <w:r w:rsidRPr="00D8206B">
        <w:rPr>
          <w:rFonts w:ascii="Times New Roman" w:eastAsia="SimSun" w:hAnsi="Times New Roman" w:cs="Times New Roman"/>
          <w:kern w:val="0"/>
          <w:lang w:eastAsia="zh-CN"/>
          <w14:ligatures w14:val="none"/>
        </w:rPr>
        <w:t>etc</w:t>
      </w:r>
      <w:proofErr w:type="spellEnd"/>
      <w:r w:rsidRPr="00D8206B">
        <w:rPr>
          <w:rFonts w:ascii="Times New Roman" w:eastAsia="SimSun" w:hAnsi="Times New Roman" w:cs="Times New Roman"/>
          <w:kern w:val="0"/>
          <w:lang w:eastAsia="zh-CN"/>
          <w14:ligatures w14:val="none"/>
        </w:rPr>
        <w:t xml:space="preserve"> has successfully leveraged lean operations to upscale their operations and in the process, satisfying their clients Ben-</w:t>
      </w:r>
      <w:proofErr w:type="spellStart"/>
      <w:r w:rsidRPr="00D8206B">
        <w:rPr>
          <w:rFonts w:ascii="Times New Roman" w:eastAsia="SimSun" w:hAnsi="Times New Roman" w:cs="Times New Roman"/>
          <w:kern w:val="0"/>
          <w:lang w:eastAsia="zh-CN"/>
          <w14:ligatures w14:val="none"/>
        </w:rPr>
        <w:t>Tovim</w:t>
      </w:r>
      <w:proofErr w:type="spellEnd"/>
      <w:r w:rsidRPr="00D8206B">
        <w:rPr>
          <w:rFonts w:ascii="Times New Roman" w:eastAsia="SimSun" w:hAnsi="Times New Roman" w:cs="Times New Roman"/>
          <w:kern w:val="0"/>
          <w:lang w:eastAsia="zh-CN"/>
          <w14:ligatures w14:val="none"/>
        </w:rPr>
        <w:t xml:space="preserve"> et al. </w:t>
      </w:r>
      <w:r w:rsidRPr="00D8206B">
        <w:rPr>
          <w:rFonts w:ascii="Times New Roman" w:eastAsia="SimSun" w:hAnsi="Times New Roman" w:cs="Times New Roman"/>
          <w:kern w:val="0"/>
          <w:lang w:val="en-GB" w:eastAsia="zh-CN"/>
          <w14:ligatures w14:val="none"/>
        </w:rPr>
        <w:t>(</w:t>
      </w:r>
      <w:r w:rsidRPr="00D8206B">
        <w:rPr>
          <w:rFonts w:ascii="Times New Roman" w:eastAsia="SimSun" w:hAnsi="Times New Roman" w:cs="Times New Roman"/>
          <w:kern w:val="0"/>
          <w:lang w:eastAsia="zh-CN"/>
          <w14:ligatures w14:val="none"/>
        </w:rPr>
        <w:t>2007).</w:t>
      </w:r>
    </w:p>
    <w:p w14:paraId="40AFA5D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Kingman-Brundage et al. (2015), lean concepts in the hospitality business in the United States Ben-</w:t>
      </w:r>
      <w:proofErr w:type="spellStart"/>
      <w:r w:rsidRPr="00D8206B">
        <w:rPr>
          <w:rFonts w:ascii="Times New Roman" w:eastAsia="SimSun" w:hAnsi="Times New Roman" w:cs="Times New Roman"/>
          <w:kern w:val="0"/>
          <w:lang w:eastAsia="zh-CN"/>
          <w14:ligatures w14:val="none"/>
        </w:rPr>
        <w:t>Tovim</w:t>
      </w:r>
      <w:proofErr w:type="spellEnd"/>
      <w:r w:rsidRPr="00D8206B">
        <w:rPr>
          <w:rFonts w:ascii="Times New Roman" w:eastAsia="SimSun" w:hAnsi="Times New Roman" w:cs="Times New Roman"/>
          <w:kern w:val="0"/>
          <w:lang w:eastAsia="zh-CN"/>
          <w14:ligatures w14:val="none"/>
        </w:rPr>
        <w:t xml:space="preserve"> et al. (2007) study in healthcare all found that lean management approaches enhanced operations by reducing inefficiencies and improving resource utilization. These findings above illustrate the potential for lean operations </w:t>
      </w:r>
      <w:r w:rsidRPr="00D8206B">
        <w:rPr>
          <w:rFonts w:ascii="Times New Roman" w:eastAsia="SimSun" w:hAnsi="Times New Roman" w:cs="Times New Roman"/>
          <w:kern w:val="0"/>
          <w:lang w:eastAsia="zh-CN"/>
          <w14:ligatures w14:val="none"/>
        </w:rPr>
        <w:lastRenderedPageBreak/>
        <w:t xml:space="preserve">to improve </w:t>
      </w:r>
      <w:r w:rsidRPr="00D8206B">
        <w:rPr>
          <w:rFonts w:ascii="Times New Roman" w:eastAsia="SimSun" w:hAnsi="Times New Roman" w:cs="Times New Roman"/>
          <w:kern w:val="0"/>
          <w:lang w:val="en-GB" w:eastAsia="zh-CN"/>
          <w14:ligatures w14:val="none"/>
        </w:rPr>
        <w:t>quality service</w:t>
      </w:r>
      <w:r w:rsidRPr="00D8206B">
        <w:rPr>
          <w:rFonts w:ascii="Times New Roman" w:eastAsia="SimSun" w:hAnsi="Times New Roman" w:cs="Times New Roman"/>
          <w:kern w:val="0"/>
          <w:lang w:eastAsia="zh-CN"/>
          <w14:ligatures w14:val="none"/>
        </w:rPr>
        <w:t xml:space="preserve"> across a variety of industries, emphasizing the relevance of these principles in achieving better results and higher levels of satisfaction. Despite these findings, the application of lean operations to quality service delivery techniques in </w:t>
      </w:r>
      <w:r w:rsidRPr="00D8206B">
        <w:rPr>
          <w:rFonts w:ascii="Times New Roman" w:eastAsia="SimSun" w:hAnsi="Times New Roman" w:cs="Times New Roman"/>
          <w:kern w:val="0"/>
          <w:lang w:val="en-GB" w:eastAsia="zh-CN"/>
          <w14:ligatures w14:val="none"/>
        </w:rPr>
        <w:t>Port Harcourt</w:t>
      </w:r>
      <w:r w:rsidRPr="00D8206B">
        <w:rPr>
          <w:rFonts w:ascii="Times New Roman" w:eastAsia="SimSun" w:hAnsi="Times New Roman" w:cs="Times New Roman"/>
          <w:kern w:val="0"/>
          <w:lang w:eastAsia="zh-CN"/>
          <w14:ligatures w14:val="none"/>
        </w:rPr>
        <w:t xml:space="preserve"> appears to be underexplored. This study seeks to fill this vacuum by </w:t>
      </w:r>
      <w:r w:rsidRPr="00D8206B">
        <w:rPr>
          <w:rFonts w:ascii="Times New Roman" w:eastAsia="SimSun" w:hAnsi="Times New Roman" w:cs="Times New Roman"/>
          <w:kern w:val="0"/>
          <w:lang w:val="en-GB" w:eastAsia="zh-CN"/>
          <w14:ligatures w14:val="none"/>
        </w:rPr>
        <w:t>empirically</w:t>
      </w:r>
      <w:r w:rsidRPr="00D8206B">
        <w:rPr>
          <w:rFonts w:ascii="Times New Roman" w:eastAsia="SimSun" w:hAnsi="Times New Roman" w:cs="Times New Roman"/>
          <w:kern w:val="0"/>
          <w:lang w:eastAsia="zh-CN"/>
          <w14:ligatures w14:val="none"/>
        </w:rPr>
        <w:t xml:space="preserve"> assessing</w:t>
      </w:r>
      <w:r w:rsidRPr="00D8206B">
        <w:rPr>
          <w:rFonts w:ascii="Times New Roman" w:eastAsia="SimSun" w:hAnsi="Times New Roman" w:cs="Times New Roman"/>
          <w:kern w:val="0"/>
          <w:lang w:val="en-GB" w:eastAsia="zh-CN"/>
          <w14:ligatures w14:val="none"/>
        </w:rPr>
        <w:t xml:space="preserve"> the relationship between</w:t>
      </w:r>
      <w:r w:rsidRPr="00D8206B">
        <w:rPr>
          <w:rFonts w:ascii="Times New Roman" w:eastAsia="SimSun" w:hAnsi="Times New Roman" w:cs="Times New Roman"/>
          <w:kern w:val="0"/>
          <w:lang w:eastAsia="zh-CN"/>
          <w14:ligatures w14:val="none"/>
        </w:rPr>
        <w:t xml:space="preserve"> lean operations and quality service delivery, </w:t>
      </w:r>
      <w:r w:rsidRPr="00D8206B">
        <w:rPr>
          <w:rFonts w:ascii="Times New Roman" w:eastAsia="SimSun" w:hAnsi="Times New Roman" w:cs="Times New Roman"/>
          <w:kern w:val="0"/>
          <w:lang w:val="en-GB" w:eastAsia="zh-CN"/>
          <w14:ligatures w14:val="none"/>
        </w:rPr>
        <w:t>moderated</w:t>
      </w:r>
      <w:r w:rsidRPr="00D8206B">
        <w:rPr>
          <w:rFonts w:ascii="Times New Roman" w:eastAsia="SimSun" w:hAnsi="Times New Roman" w:cs="Times New Roman"/>
          <w:kern w:val="0"/>
          <w:lang w:eastAsia="zh-CN"/>
          <w14:ligatures w14:val="none"/>
        </w:rPr>
        <w:t xml:space="preserve"> by organizational culture.</w:t>
      </w:r>
    </w:p>
    <w:p w14:paraId="2D791520"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eastAsia="zh-CN"/>
          <w14:ligatures w14:val="none"/>
        </w:rPr>
      </w:pPr>
      <w:r w:rsidRPr="00D8206B">
        <w:rPr>
          <w:rFonts w:ascii="Times New Roman" w:eastAsia="SimSun" w:hAnsi="Times New Roman" w:cs="Times New Roman"/>
          <w:b/>
          <w:bCs/>
          <w:kern w:val="0"/>
          <w:lang w:eastAsia="zh-CN"/>
          <w14:ligatures w14:val="none"/>
        </w:rPr>
        <w:t>1.2. Problem Statement</w:t>
      </w:r>
    </w:p>
    <w:p w14:paraId="192C2A1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Poor service delivery, inaccurate order, unfulfilled request, misinformation of readily services, delay in service delivery and operational rancor, errors in the service process, slow implementation of service order and lapses in front office are inaccuracies are actual evidences that have negatively impacted perceived service quality and, when not addressed, escalates into bigger reputational and financial issues which degrades guest experience (Davies, 2022; Hu et al., 2009; Bitner et al., 1990; </w:t>
      </w:r>
      <w:proofErr w:type="spellStart"/>
      <w:r w:rsidRPr="00D8206B">
        <w:rPr>
          <w:rFonts w:ascii="Times New Roman" w:eastAsia="SimSun" w:hAnsi="Times New Roman" w:cs="Times New Roman"/>
          <w:kern w:val="0"/>
          <w:lang w:eastAsia="zh-CN"/>
          <w14:ligatures w14:val="none"/>
        </w:rPr>
        <w:t>Guchait</w:t>
      </w:r>
      <w:proofErr w:type="spellEnd"/>
      <w:r w:rsidRPr="00D8206B">
        <w:rPr>
          <w:rFonts w:ascii="Times New Roman" w:eastAsia="SimSun" w:hAnsi="Times New Roman" w:cs="Times New Roman"/>
          <w:kern w:val="0"/>
          <w:lang w:eastAsia="zh-CN"/>
          <w14:ligatures w14:val="none"/>
        </w:rPr>
        <w:t xml:space="preserve"> et al., 2016, Bielen &amp; Demoulin, 2007; Tan, 2014).  Empirical work from Rivers State and comparable contexts highlights these linkages, showing that service failures and inadequate recovery mechanisms reduce competitiveness and profitability in hospitality operations (Davies, 2022; Tseng &amp; Yong, 2025). Lean operations typically framed in terms of waste reduction, process optimization, and resource efficiency have been proposed and tested as a practical pathway to improve these service outcomes in hospitality settings and literature suggests that when lean principles are adapted to service characteristics they reduce defects, shorten lead times, and increase the reliability of customer-facing processes (Perdomo-Verdecia et al., 2022; Rauch et al., 2020; Ramphal, 2017). Evidence from manufacturing sectors points to measurable benefits of waste-reduction </w:t>
      </w:r>
      <w:proofErr w:type="spellStart"/>
      <w:r w:rsidRPr="00D8206B">
        <w:rPr>
          <w:rFonts w:ascii="Times New Roman" w:eastAsia="SimSun" w:hAnsi="Times New Roman" w:cs="Times New Roman"/>
          <w:kern w:val="0"/>
          <w:lang w:eastAsia="zh-CN"/>
          <w14:ligatures w14:val="none"/>
        </w:rPr>
        <w:t>programmes</w:t>
      </w:r>
      <w:proofErr w:type="spellEnd"/>
      <w:r w:rsidRPr="00D8206B">
        <w:rPr>
          <w:rFonts w:ascii="Times New Roman" w:eastAsia="SimSun" w:hAnsi="Times New Roman" w:cs="Times New Roman"/>
          <w:kern w:val="0"/>
          <w:lang w:eastAsia="zh-CN"/>
          <w14:ligatures w14:val="none"/>
        </w:rPr>
        <w:t xml:space="preserve"> for service reliability and cost control, but much of this work has been carried out in contexts that differ substantially from Rivers State in terms of supply-chain stability, </w:t>
      </w:r>
      <w:proofErr w:type="spellStart"/>
      <w:r w:rsidRPr="00D8206B">
        <w:rPr>
          <w:rFonts w:ascii="Times New Roman" w:eastAsia="SimSun" w:hAnsi="Times New Roman" w:cs="Times New Roman"/>
          <w:kern w:val="0"/>
          <w:lang w:eastAsia="zh-CN"/>
          <w14:ligatures w14:val="none"/>
        </w:rPr>
        <w:t>labour</w:t>
      </w:r>
      <w:proofErr w:type="spellEnd"/>
      <w:r w:rsidRPr="00D8206B">
        <w:rPr>
          <w:rFonts w:ascii="Times New Roman" w:eastAsia="SimSun" w:hAnsi="Times New Roman" w:cs="Times New Roman"/>
          <w:kern w:val="0"/>
          <w:lang w:eastAsia="zh-CN"/>
          <w14:ligatures w14:val="none"/>
        </w:rPr>
        <w:t xml:space="preserve"> markets, and guest expectation profiles (</w:t>
      </w:r>
      <w:proofErr w:type="spellStart"/>
      <w:r w:rsidRPr="00D8206B">
        <w:rPr>
          <w:rFonts w:ascii="Times New Roman" w:eastAsia="SimSun" w:hAnsi="Times New Roman" w:cs="Times New Roman"/>
          <w:kern w:val="0"/>
          <w:lang w:eastAsia="zh-CN"/>
          <w14:ligatures w14:val="none"/>
        </w:rPr>
        <w:t>Gładysz</w:t>
      </w:r>
      <w:proofErr w:type="spellEnd"/>
      <w:r w:rsidRPr="00D8206B">
        <w:rPr>
          <w:rFonts w:ascii="Times New Roman" w:eastAsia="SimSun" w:hAnsi="Times New Roman" w:cs="Times New Roman"/>
          <w:kern w:val="0"/>
          <w:lang w:eastAsia="zh-CN"/>
          <w14:ligatures w14:val="none"/>
        </w:rPr>
        <w:t xml:space="preserve"> et al., 2020; Perdomo-Verdecia et al., 2022). Consequently, the external validity of lean-hospitality findings for Rivers State remains an open empirical question, that is, whether waste reduction, process optimization, and improved resource utilization will translate into higher service accuracy, faster delivery, and better protocol adherence in the local hotel environment (Davies, 2022).</w:t>
      </w:r>
    </w:p>
    <w:p w14:paraId="4E56A5E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From these gaps the present research articulates a focused rationale to test empirically, within Rivers State hotels, whether clearly operationalized dimensions of lean operations causally improve specific measures of quality service delivery and to identify the mechanisms and practical managerial levers that produce those effects. This study therefore departs from several identifiable gaps in the literature.</w:t>
      </w:r>
    </w:p>
    <w:p w14:paraId="6D27F6BE"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1.3 Aim and Objectives of the Study</w:t>
      </w:r>
    </w:p>
    <w:p w14:paraId="3131D71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This study was set out to </w:t>
      </w:r>
      <w:r w:rsidRPr="00D8206B">
        <w:rPr>
          <w:rFonts w:ascii="Times New Roman" w:eastAsia="SimSun" w:hAnsi="Times New Roman" w:cs="Times New Roman"/>
          <w:kern w:val="0"/>
          <w:lang w:val="en-GB" w:eastAsia="zh-CN"/>
          <w14:ligatures w14:val="none"/>
        </w:rPr>
        <w:t>examine the relationship</w:t>
      </w:r>
      <w:r w:rsidRPr="00D8206B">
        <w:rPr>
          <w:rFonts w:ascii="Times New Roman" w:eastAsia="SimSun" w:hAnsi="Times New Roman" w:cs="Times New Roman"/>
          <w:kern w:val="0"/>
          <w:lang w:eastAsia="zh-CN"/>
          <w14:ligatures w14:val="none"/>
        </w:rPr>
        <w:t xml:space="preserve"> between lean operations and </w:t>
      </w:r>
      <w:r w:rsidRPr="00D8206B">
        <w:rPr>
          <w:rFonts w:ascii="Times New Roman" w:eastAsia="SimSun" w:hAnsi="Times New Roman" w:cs="Times New Roman"/>
          <w:kern w:val="0"/>
          <w:lang w:val="en-GB" w:eastAsia="zh-CN"/>
          <w14:ligatures w14:val="none"/>
        </w:rPr>
        <w:t xml:space="preserve">quality </w:t>
      </w:r>
      <w:r w:rsidRPr="00D8206B">
        <w:rPr>
          <w:rFonts w:ascii="Times New Roman" w:eastAsia="SimSun" w:hAnsi="Times New Roman" w:cs="Times New Roman"/>
          <w:kern w:val="0"/>
          <w:lang w:eastAsia="zh-CN"/>
          <w14:ligatures w14:val="none"/>
        </w:rPr>
        <w:t xml:space="preserve">service delivery </w:t>
      </w:r>
      <w:r w:rsidRPr="00D8206B">
        <w:rPr>
          <w:rFonts w:ascii="Times New Roman" w:eastAsia="SimSun" w:hAnsi="Times New Roman" w:cs="Times New Roman"/>
          <w:kern w:val="0"/>
          <w:lang w:val="en-GB" w:eastAsia="zh-CN"/>
          <w14:ligatures w14:val="none"/>
        </w:rPr>
        <w:t>of</w:t>
      </w:r>
      <w:r w:rsidRPr="00D8206B">
        <w:rPr>
          <w:rFonts w:ascii="Times New Roman" w:eastAsia="SimSun" w:hAnsi="Times New Roman" w:cs="Times New Roman"/>
          <w:kern w:val="0"/>
          <w:lang w:eastAsia="zh-CN"/>
          <w14:ligatures w14:val="none"/>
        </w:rPr>
        <w:t xml:space="preserve"> hotels in </w:t>
      </w:r>
      <w:r w:rsidRPr="00D8206B">
        <w:rPr>
          <w:rFonts w:ascii="Times New Roman" w:eastAsia="SimSun" w:hAnsi="Times New Roman" w:cs="Times New Roman"/>
          <w:kern w:val="0"/>
          <w:lang w:val="en-GB" w:eastAsia="zh-CN"/>
          <w14:ligatures w14:val="none"/>
        </w:rPr>
        <w:t>Rivers State</w:t>
      </w:r>
      <w:r w:rsidRPr="00D8206B">
        <w:rPr>
          <w:rFonts w:ascii="Times New Roman" w:eastAsia="SimSun" w:hAnsi="Times New Roman" w:cs="Times New Roman"/>
          <w:kern w:val="0"/>
          <w:lang w:eastAsia="zh-CN"/>
          <w14:ligatures w14:val="none"/>
        </w:rPr>
        <w:t>. The primary aims are to:</w:t>
      </w:r>
    </w:p>
    <w:p w14:paraId="6014DE13"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i</w:t>
      </w:r>
      <w:proofErr w:type="spellEnd"/>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kern w:val="0"/>
          <w:lang w:val="en-GB" w:eastAsia="zh-CN"/>
          <w14:ligatures w14:val="none"/>
        </w:rPr>
        <w:t>Investigate</w:t>
      </w:r>
      <w:r w:rsidRPr="00D8206B">
        <w:rPr>
          <w:rFonts w:ascii="Times New Roman" w:eastAsia="SimSun" w:hAnsi="Times New Roman" w:cs="Times New Roman"/>
          <w:kern w:val="0"/>
          <w:lang w:eastAsia="zh-CN"/>
          <w14:ligatures w14:val="none"/>
        </w:rPr>
        <w:t xml:space="preserve"> the association between lean operations dimensions and quality service delivery metrics in Port Harcourt hotels.</w:t>
      </w:r>
    </w:p>
    <w:p w14:paraId="1B98678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ii. </w:t>
      </w:r>
      <w:r w:rsidRPr="00D8206B">
        <w:rPr>
          <w:rFonts w:ascii="Times New Roman" w:eastAsia="SimSun" w:hAnsi="Times New Roman" w:cs="Times New Roman"/>
          <w:kern w:val="0"/>
          <w:lang w:val="en-GB" w:eastAsia="zh-CN"/>
          <w14:ligatures w14:val="none"/>
        </w:rPr>
        <w:t>Examine</w:t>
      </w:r>
      <w:r w:rsidRPr="00D8206B">
        <w:rPr>
          <w:rFonts w:ascii="Times New Roman" w:eastAsia="SimSun" w:hAnsi="Times New Roman" w:cs="Times New Roman"/>
          <w:kern w:val="0"/>
          <w:lang w:eastAsia="zh-CN"/>
          <w14:ligatures w14:val="none"/>
        </w:rPr>
        <w:t xml:space="preserve"> how organizational culture influences the link between lean operations and quality service delivery in Port Harcourt hotels.</w:t>
      </w:r>
    </w:p>
    <w:p w14:paraId="40C7893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1.4 Research Questions</w:t>
      </w:r>
    </w:p>
    <w:p w14:paraId="41E7FC8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To actualize the intended objectives of the study, the following research questions </w:t>
      </w:r>
      <w:r w:rsidRPr="00D8206B">
        <w:rPr>
          <w:rFonts w:ascii="Times New Roman" w:eastAsia="SimSun" w:hAnsi="Times New Roman" w:cs="Times New Roman"/>
          <w:kern w:val="0"/>
          <w:lang w:val="en-GB" w:eastAsia="zh-CN"/>
          <w14:ligatures w14:val="none"/>
        </w:rPr>
        <w:t>were asked</w:t>
      </w:r>
      <w:r w:rsidRPr="00D8206B">
        <w:rPr>
          <w:rFonts w:ascii="Times New Roman" w:eastAsia="SimSun" w:hAnsi="Times New Roman" w:cs="Times New Roman"/>
          <w:kern w:val="0"/>
          <w:lang w:eastAsia="zh-CN"/>
          <w14:ligatures w14:val="none"/>
        </w:rPr>
        <w:t>.</w:t>
      </w:r>
    </w:p>
    <w:p w14:paraId="7BCF1F4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i</w:t>
      </w:r>
      <w:proofErr w:type="spellEnd"/>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kern w:val="0"/>
          <w:lang w:val="en-GB" w:eastAsia="zh-CN"/>
          <w14:ligatures w14:val="none"/>
        </w:rPr>
        <w:t>What is</w:t>
      </w:r>
      <w:r w:rsidRPr="00D8206B">
        <w:rPr>
          <w:rFonts w:ascii="Times New Roman" w:eastAsia="SimSun" w:hAnsi="Times New Roman" w:cs="Times New Roman"/>
          <w:kern w:val="0"/>
          <w:lang w:eastAsia="zh-CN"/>
          <w14:ligatures w14:val="none"/>
        </w:rPr>
        <w:t xml:space="preserve"> relationship between dimensions of lean operations and measures of quality service delivery of Port Harcourt hotels?</w:t>
      </w:r>
    </w:p>
    <w:p w14:paraId="53EEEF8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ii. Does organizational culture pose any significant moderating effect on the relationship between lean operations and quality service delivery in Port Harcourt hotels?</w:t>
      </w:r>
    </w:p>
    <w:p w14:paraId="1067217A"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eastAsia="zh-CN"/>
          <w14:ligatures w14:val="none"/>
        </w:rPr>
      </w:pPr>
      <w:r w:rsidRPr="00D8206B">
        <w:rPr>
          <w:rFonts w:ascii="Times New Roman" w:eastAsia="SimSun" w:hAnsi="Times New Roman" w:cs="Times New Roman"/>
          <w:b/>
          <w:bCs/>
          <w:kern w:val="0"/>
          <w:lang w:eastAsia="zh-CN"/>
          <w14:ligatures w14:val="none"/>
        </w:rPr>
        <w:t>2. Literature Review</w:t>
      </w:r>
    </w:p>
    <w:p w14:paraId="5F7BF13A"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2.1 Concept of Lean Operations</w:t>
      </w:r>
    </w:p>
    <w:p w14:paraId="30E228D8"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Womack and Jones (2003) discussed lean operations as a systematic method to finding and removing waste through the idea of continuous improvement, with the product or service still intended at the customer's quest in pursuit of perfection. This concept epitomizes the dynamic and continuous aspect of lean operations, prompted at the significance of always seeking out inefficiencies and refining processes to suit consumer requests. Hines et al. (2004) defined lean operations as a management style that focusses on increasing value with less resources by removing waste and continuously evolving and improving the service/product processes. This position highlights the fundamental notion of value creation while simultaneously encouraging the reduction in resource utilization. In the service sector, lean operations are generally tailored to the specifics of service delivery, with keen focus on improving the customer experience and service efficiency. According to Liker (2004), lean approach is viewed as a continual process that that results to waste elimination waste, process improvement in order to provide the most value to the customer. This viewpoint is consistent with the services industry's focus on customer satisfaction and service excellence.</w:t>
      </w:r>
    </w:p>
    <w:p w14:paraId="6F45BA16"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Times New Roman" w:hAnsi="Times New Roman" w:cs="Times New Roman"/>
          <w:b/>
          <w:bCs/>
          <w:kern w:val="0"/>
          <w:lang w:eastAsia="zh-CN"/>
          <w14:ligatures w14:val="none"/>
        </w:rPr>
        <w:t>2.1.1</w:t>
      </w:r>
      <w:r w:rsidRPr="00D8206B">
        <w:rPr>
          <w:rFonts w:ascii="Times New Roman" w:eastAsia="Times New Roman" w:hAnsi="Times New Roman" w:cs="Times New Roman"/>
          <w:kern w:val="0"/>
          <w:lang w:eastAsia="zh-CN"/>
          <w14:ligatures w14:val="none"/>
        </w:rPr>
        <w:t xml:space="preserve"> </w:t>
      </w:r>
      <w:r w:rsidRPr="00D8206B">
        <w:rPr>
          <w:rFonts w:ascii="Times New Roman" w:eastAsia="SimSun" w:hAnsi="Times New Roman" w:cs="Times New Roman"/>
          <w:b/>
          <w:bCs/>
          <w:kern w:val="0"/>
          <w:lang w:val="en-GB" w:eastAsia="zh-CN"/>
          <w14:ligatures w14:val="none"/>
        </w:rPr>
        <w:t>Waste Reduction</w:t>
      </w:r>
    </w:p>
    <w:p w14:paraId="6100D31A"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The lean operation, which aims to reduce waste during the manufacturing process, is a management concept recognized in the manufacturing industry to improve efficiency and quality. Over time, this principle has also found application in the hospitality industry. Issued by the manufacturing sector through the Toyota Production System, waste reduction focusses on the elimination of non-value-added activities or resources in the manufacturing process in order to increase productivity and customer satisfaction. Womack and Jones (2006) promote lean operations, defining waste reduction as the recognition and removal of steps or resources in operational lines that do not add value to the customer, further stretching the importance of lean, which is believed to be a "customer-first philosophy." In all cases, it is used to save time, resources, or activities that do not add value to the customer (Liker 2007). It is also known as the principle of continual improvement in kaizen principle.</w:t>
      </w:r>
    </w:p>
    <w:p w14:paraId="77AF890C"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This point of view is especially relevant in-service businesses since eliminating inefficiencies such as long wait times or inadequate service is critical. Jones and Mitchell (2011) observed that waste reduction improves service quality by eliminating non-essential tasks that have no impact on the customer's value. This is especially crucial for the hotel industry because service quality has a significant impact on customer loyalty and business performance.</w:t>
      </w:r>
    </w:p>
    <w:p w14:paraId="2429943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Times New Roman" w:hAnsi="Times New Roman" w:cs="Times New Roman"/>
          <w:b/>
          <w:bCs/>
          <w:kern w:val="0"/>
          <w:lang w:eastAsia="zh-CN"/>
          <w14:ligatures w14:val="none"/>
        </w:rPr>
        <w:t>2.1.2</w:t>
      </w:r>
      <w:r w:rsidRPr="00D8206B">
        <w:rPr>
          <w:rFonts w:ascii="Times New Roman" w:eastAsia="Times New Roman" w:hAnsi="Times New Roman" w:cs="Times New Roman"/>
          <w:kern w:val="0"/>
          <w:lang w:eastAsia="zh-CN"/>
          <w14:ligatures w14:val="none"/>
        </w:rPr>
        <w:t xml:space="preserve"> </w:t>
      </w:r>
      <w:r w:rsidRPr="00D8206B">
        <w:rPr>
          <w:rFonts w:ascii="Times New Roman" w:eastAsia="SimSun" w:hAnsi="Times New Roman" w:cs="Times New Roman"/>
          <w:b/>
          <w:bCs/>
          <w:kern w:val="0"/>
          <w:lang w:eastAsia="zh-CN"/>
          <w14:ligatures w14:val="none"/>
        </w:rPr>
        <w:t>Process Optimization</w:t>
      </w:r>
    </w:p>
    <w:p w14:paraId="6A26AE9B"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Process optimization is an important component of lean operations, particularly in the service sector where efficiency and quality are paramount. According to Naslund (2008), process optimization is the systematic elimination of inefficiencies in order to achieve optimal efficiencies. This method focusses on removing unnecessary steps in order to improve global performance. Gupta and Starr (2014) define it as the use of various methods and tools to improve and enhance existing processes, prioritizing structured methodologies required for lean operations. Harmon (2018) upheld this perspective by submitting continuous improvement is through the use of best practices and new technology, with a focus on the ongoing component of process optimization. According to Al-Mashari and Zairi (2006), the concept is expanded and defined as a strategic approach that </w:t>
      </w:r>
      <w:r w:rsidRPr="00D8206B">
        <w:rPr>
          <w:rFonts w:ascii="Times New Roman" w:eastAsia="Times New Roman" w:hAnsi="Times New Roman" w:cs="Times New Roman"/>
          <w:kern w:val="0"/>
          <w14:ligatures w14:val="none"/>
        </w:rPr>
        <w:lastRenderedPageBreak/>
        <w:t>includes the redesign and restructuring of business processes in order to significantly improve performance, such as cost savings, quality improvements, and service speed.</w:t>
      </w:r>
    </w:p>
    <w:p w14:paraId="690560D9"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The systematic process of ensuring every stage adds value to the service procedure, eliminates bottlenecks, free up and adjust work flow according to </w:t>
      </w:r>
      <w:proofErr w:type="spellStart"/>
      <w:r w:rsidRPr="00D8206B">
        <w:rPr>
          <w:rFonts w:ascii="Times New Roman" w:eastAsia="Times New Roman" w:hAnsi="Times New Roman" w:cs="Times New Roman"/>
          <w:kern w:val="0"/>
          <w14:ligatures w14:val="none"/>
        </w:rPr>
        <w:t>Laureani</w:t>
      </w:r>
      <w:proofErr w:type="spellEnd"/>
      <w:r w:rsidRPr="00D8206B">
        <w:rPr>
          <w:rFonts w:ascii="Times New Roman" w:eastAsia="Times New Roman" w:hAnsi="Times New Roman" w:cs="Times New Roman"/>
          <w:kern w:val="0"/>
          <w14:ligatures w14:val="none"/>
        </w:rPr>
        <w:t xml:space="preserve"> and Antony (2012) is process optimization. This position is strongly associated with the lean principle, which targeted to provide the most value to the customer. Rehman et al (2018) upheld the proactive components of process optimization, highlighting the necessity of continuous desire in increasing efficiency, reducing variability, and improving quality service quality</w:t>
      </w:r>
      <w:r w:rsidRPr="00D8206B">
        <w:rPr>
          <w:rFonts w:ascii="Times New Roman" w:eastAsia="Calibri" w:hAnsi="Times New Roman" w:cs="Times New Roman"/>
          <w:kern w:val="0"/>
          <w14:ligatures w14:val="none"/>
        </w:rPr>
        <w:t>.</w:t>
      </w:r>
    </w:p>
    <w:p w14:paraId="0E615E4B"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2.1.3 Resource Efficiency</w:t>
      </w:r>
    </w:p>
    <w:p w14:paraId="486B2795"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Lean operations rely on resource efficiency, which can be defined as the effective use and management of various resources (human, financial, technological, and physical) in order to optimize activities to reduce waste and enhance service delivery. According to Womack and Jones (2003), resource efficiency consists of doing more with less by eliminating unnecessary activities. This is an important goal for service businesses whose goal is to maintain customer satisfaction.</w:t>
      </w:r>
      <w:r w:rsidRPr="00D8206B">
        <w:rPr>
          <w:rFonts w:ascii="Times New Roman" w:eastAsia="Calibri" w:hAnsi="Times New Roman" w:cs="Times New Roman"/>
          <w:kern w:val="0"/>
          <w:sz w:val="22"/>
          <w:szCs w:val="22"/>
          <w14:ligatures w14:val="none"/>
        </w:rPr>
        <w:t xml:space="preserve"> </w:t>
      </w:r>
      <w:r w:rsidRPr="00D8206B">
        <w:rPr>
          <w:rFonts w:ascii="Times New Roman" w:eastAsia="Times New Roman" w:hAnsi="Times New Roman" w:cs="Times New Roman"/>
          <w:kern w:val="0"/>
          <w14:ligatures w14:val="none"/>
        </w:rPr>
        <w:t xml:space="preserve">According to Hines et al. (2004), resource efficiency is using the correct resources at the right time to reduce waste when producing things or providing services. This aligns with Modig and </w:t>
      </w:r>
      <w:proofErr w:type="spellStart"/>
      <w:r w:rsidRPr="00D8206B">
        <w:rPr>
          <w:rFonts w:ascii="Times New Roman" w:eastAsia="Times New Roman" w:hAnsi="Times New Roman" w:cs="Times New Roman"/>
          <w:kern w:val="0"/>
          <w14:ligatures w14:val="none"/>
        </w:rPr>
        <w:t>Åhlström's</w:t>
      </w:r>
      <w:proofErr w:type="spellEnd"/>
      <w:r w:rsidRPr="00D8206B">
        <w:rPr>
          <w:rFonts w:ascii="Times New Roman" w:eastAsia="Times New Roman" w:hAnsi="Times New Roman" w:cs="Times New Roman"/>
          <w:kern w:val="0"/>
          <w14:ligatures w14:val="none"/>
        </w:rPr>
        <w:t xml:space="preserve"> (2012) recommendation that resources should be adjusted to demand to prevent underutilization or overstrain, ensuring a balance between supply and demand. According to Shah and Ward (2007), resource efficiency involves refining systems and work processes to minimize inputs and maximize outputs, resulting in a higher output for each input. Slack et al. (2010) discussed how hotel resources, such as staff, accommodations, and facilities, might be used to the fullest extent possible while reducing downtime and waste. This is crucial because operational efficiency directly affects customer satisfaction and profitability. Liker (2004) expands on this idea by adding the need to strategically allocate resources in order to achieve long-term goals for the organization, ensuring that each individual resource contributes to overall efficiency and effectiveness. According to Krajewski et al. (2013), a fundamental aspect of lean operations is the reduction of resource scarcity. In the hotel industry, this might include ensuring that the property's infrastructure is used effectively and involving employees in productive activities throughout their shifts.</w:t>
      </w:r>
    </w:p>
    <w:p w14:paraId="51DA4BC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2.2 Quality Service Delivery</w:t>
      </w:r>
    </w:p>
    <w:p w14:paraId="3E9A0A8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Quality service delivery is a basic idea in both the service sector and larger commercial contexts, requiring continual meeting or surpassing consumer expectations. Parasuraman et al. (1988) define the concept as the degree to which a service meets customer expectations, which directly impacts satisfaction and loyalty. Grönroos (1984) defined quality service delivery as the consequence of comparing customer expectations to actual service performance. This viewpoint emphasizes the necessity of controlling client expectations and constantly providing high-quality service. When real service surpasses expectations, perceived quality rises; when it falls short, perceived quality declines. </w:t>
      </w:r>
    </w:p>
    <w:p w14:paraId="3692B2D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Zeitham</w:t>
      </w:r>
      <w:proofErr w:type="spellEnd"/>
      <w:r w:rsidRPr="00D8206B">
        <w:rPr>
          <w:rFonts w:ascii="Times New Roman" w:eastAsia="SimSun" w:hAnsi="Times New Roman" w:cs="Times New Roman"/>
          <w:kern w:val="0"/>
          <w:lang w:eastAsia="zh-CN"/>
          <w14:ligatures w14:val="none"/>
        </w:rPr>
        <w:t> et al. (2006) provide</w:t>
      </w:r>
      <w:r w:rsidRPr="00D8206B">
        <w:rPr>
          <w:rFonts w:ascii="Times New Roman" w:eastAsia="SimSun" w:hAnsi="Times New Roman" w:cs="Times New Roman"/>
          <w:kern w:val="0"/>
          <w:lang w:val="en-GB" w:eastAsia="zh-CN"/>
          <w14:ligatures w14:val="none"/>
        </w:rPr>
        <w:t>d</w:t>
      </w:r>
      <w:r w:rsidRPr="00D8206B">
        <w:rPr>
          <w:rFonts w:ascii="Times New Roman" w:eastAsia="SimSun" w:hAnsi="Times New Roman" w:cs="Times New Roman"/>
          <w:kern w:val="0"/>
          <w:lang w:eastAsia="zh-CN"/>
          <w14:ligatures w14:val="none"/>
        </w:rPr>
        <w:t xml:space="preserve"> a definition that emphasizes the subjective nature of </w:t>
      </w:r>
      <w:r w:rsidRPr="00D8206B">
        <w:rPr>
          <w:rFonts w:ascii="Times New Roman" w:eastAsia="SimSun" w:hAnsi="Times New Roman" w:cs="Times New Roman"/>
          <w:kern w:val="0"/>
          <w:lang w:val="en-GB" w:eastAsia="zh-CN"/>
          <w14:ligatures w14:val="none"/>
        </w:rPr>
        <w:t>Quality service</w:t>
      </w:r>
      <w:r w:rsidRPr="00D8206B">
        <w:rPr>
          <w:rFonts w:ascii="Times New Roman" w:eastAsia="SimSun" w:hAnsi="Times New Roman" w:cs="Times New Roman"/>
          <w:kern w:val="0"/>
          <w:lang w:eastAsia="zh-CN"/>
          <w14:ligatures w14:val="none"/>
        </w:rPr>
        <w:t xml:space="preserve">, describing it as the customer's judgement about the overall excellence or superiority of a service. This shows that how customers evaluate </w:t>
      </w:r>
      <w:r w:rsidRPr="00D8206B">
        <w:rPr>
          <w:rFonts w:ascii="Times New Roman" w:eastAsia="SimSun" w:hAnsi="Times New Roman" w:cs="Times New Roman"/>
          <w:kern w:val="0"/>
          <w:lang w:val="en-GB" w:eastAsia="zh-CN"/>
          <w14:ligatures w14:val="none"/>
        </w:rPr>
        <w:t>Quality service</w:t>
      </w:r>
      <w:r w:rsidRPr="00D8206B">
        <w:rPr>
          <w:rFonts w:ascii="Times New Roman" w:eastAsia="SimSun" w:hAnsi="Times New Roman" w:cs="Times New Roman"/>
          <w:kern w:val="0"/>
          <w:lang w:eastAsia="zh-CN"/>
          <w14:ligatures w14:val="none"/>
        </w:rPr>
        <w:t xml:space="preserve"> varies depending on their own tastes and experiences. Lovelock and Wirtz (2011) take a more operational approach, defining quality service delivery as the constant provision of services that adhere to set standards and fulfil client expectations. This emphasizes the need for uniformity and consistency, which are critical for establishing client confidence and driving repeat business, particularly in industries such as hospitality. Fitzsimmons and Fitzsimmons (2014) </w:t>
      </w:r>
      <w:r w:rsidRPr="00D8206B">
        <w:rPr>
          <w:rFonts w:ascii="Times New Roman" w:eastAsia="SimSun" w:hAnsi="Times New Roman" w:cs="Times New Roman"/>
          <w:kern w:val="0"/>
          <w:lang w:val="en-GB" w:eastAsia="zh-CN"/>
          <w14:ligatures w14:val="none"/>
        </w:rPr>
        <w:t>emphasize</w:t>
      </w:r>
      <w:r w:rsidRPr="00D8206B">
        <w:rPr>
          <w:rFonts w:ascii="Times New Roman" w:eastAsia="SimSun" w:hAnsi="Times New Roman" w:cs="Times New Roman"/>
          <w:kern w:val="0"/>
          <w:lang w:eastAsia="zh-CN"/>
          <w14:ligatures w14:val="none"/>
        </w:rPr>
        <w:t xml:space="preserve"> efficiency and accuracy, defining quality service delivery as the process of ensuring that services are done correctly and timely, with customer happiness as a crucial driver. This is especially important in businesses like healthcare and financial services, where speed and precision are essential. Kotler and Keller (2016) broadened the term to include civility and </w:t>
      </w:r>
      <w:r w:rsidRPr="00D8206B">
        <w:rPr>
          <w:rFonts w:ascii="Times New Roman" w:eastAsia="SimSun" w:hAnsi="Times New Roman" w:cs="Times New Roman"/>
          <w:kern w:val="0"/>
          <w:lang w:eastAsia="zh-CN"/>
          <w14:ligatures w14:val="none"/>
        </w:rPr>
        <w:lastRenderedPageBreak/>
        <w:t>dependability as critical components in meeting customer wants and expectations, which are especially crucial in regular and intimate customer contacts, such as in hospitality.</w:t>
      </w:r>
    </w:p>
    <w:p w14:paraId="34E394C2"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eastAsia="zh-CN"/>
          <w14:ligatures w14:val="none"/>
        </w:rPr>
      </w:pPr>
      <w:r w:rsidRPr="00D8206B">
        <w:rPr>
          <w:rFonts w:ascii="Times New Roman" w:eastAsia="SimSun" w:hAnsi="Times New Roman" w:cs="Times New Roman"/>
          <w:b/>
          <w:bCs/>
          <w:kern w:val="0"/>
          <w:lang w:eastAsia="zh-CN"/>
          <w14:ligatures w14:val="none"/>
        </w:rPr>
        <w:t>2.2.1 Service Accuracy</w:t>
      </w:r>
    </w:p>
    <w:p w14:paraId="19CEA83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Service accuracy is an essential component of quality service delivery, especially in sectors where precision and dependability are required. It refers to providing a service exactly as planned, with no faults or deviations from accepted standards, which increases client pleasure and confidence. Parasuraman et al. (1988) define service accuracy as the ability to perform a service correctly the first time, reducing the need for corrections, which could lead to customer dissatisfaction. Zeithaml et al. (2006) highlight that service accuracy is the degree to which a service meets the exact specifications and customer expectations, with industry standards serving as benchmarks. Lovelock and Wirtz (2011) emphasize procedural adherence, emphasizing that precision is gained by adhering to established norms, which is especially important in industries such as healthcare and aviation. Fitzsimmons &amp; Fitzsimmons (2014) defined service accuracy in terms of consistency and precision across time, implying that it is a continuous commitment to excellence rather than a single achievement. Kotler and Keller (2016) enhanced this approach by connecting service accuracy to surpassing client expectations through rigorous attention to detail and a dedication to excellence. </w:t>
      </w:r>
    </w:p>
    <w:p w14:paraId="2818731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Kandampully</w:t>
      </w:r>
      <w:proofErr w:type="spellEnd"/>
      <w:r w:rsidRPr="00D8206B">
        <w:rPr>
          <w:rFonts w:ascii="Times New Roman" w:eastAsia="SimSun" w:hAnsi="Times New Roman" w:cs="Times New Roman"/>
          <w:kern w:val="0"/>
          <w:lang w:eastAsia="zh-CN"/>
          <w14:ligatures w14:val="none"/>
        </w:rPr>
        <w:t xml:space="preserve"> et al. (2015) defined service accuracy as the ability to deliver a service exactly as promised, emphasizing the significance of trust in service delivery. Rust and Huang (2012) presented the idea of efficiency, claiming that accuracy implies reducing errors while boosting customer satisfaction. Berry et al. (2002) gave an experiential perspective, defining service correctness as the alignment of a service experience with customer expectations, striving for a smooth and error-free engagement. Service accuracy is described as the constant and accurate delivery of a service that meets or exceeds customer expectations and industry standards, which is accomplished via attention to detail, procedural adherence, and a dedication to minimizing mistakes. This notion is especially important in areas like healthcare, banking, and aviation, where errors may have serious implications.</w:t>
      </w:r>
    </w:p>
    <w:p w14:paraId="4D031D48"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2.2.2 Timely Delivery</w:t>
      </w:r>
    </w:p>
    <w:p w14:paraId="0B871F4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is an important feature of </w:t>
      </w:r>
      <w:r w:rsidRPr="00D8206B">
        <w:rPr>
          <w:rFonts w:ascii="Times New Roman" w:eastAsia="SimSun" w:hAnsi="Times New Roman" w:cs="Times New Roman"/>
          <w:kern w:val="0"/>
          <w:lang w:val="en-GB" w:eastAsia="zh-CN"/>
          <w14:ligatures w14:val="none"/>
        </w:rPr>
        <w:t>quality</w:t>
      </w:r>
      <w:r w:rsidRPr="00D8206B">
        <w:rPr>
          <w:rFonts w:ascii="Times New Roman" w:eastAsia="SimSun" w:hAnsi="Times New Roman" w:cs="Times New Roman"/>
          <w:kern w:val="0"/>
          <w:lang w:eastAsia="zh-CN"/>
          <w14:ligatures w14:val="none"/>
        </w:rPr>
        <w:t xml:space="preserve"> service delivery, especially in businesses where customer happiness is strongly tied to time sensitivity. It relates to the speed and efficiency with which services are delivered, which includes not just the time required to perform a service but also the overall responsiveness of the service provider</w:t>
      </w:r>
      <w:r w:rsidRPr="00D8206B">
        <w:rPr>
          <w:rFonts w:ascii="Times New Roman" w:eastAsia="SimSun" w:hAnsi="Times New Roman" w:cs="Times New Roman"/>
          <w:kern w:val="0"/>
          <w:lang w:val="en-GB" w:eastAsia="zh-CN"/>
          <w14:ligatures w14:val="none"/>
        </w:rPr>
        <w:t xml:space="preserve"> (</w:t>
      </w:r>
      <w:proofErr w:type="spellStart"/>
      <w:r w:rsidRPr="00D8206B">
        <w:rPr>
          <w:rFonts w:ascii="Times New Roman" w:eastAsia="SimSun" w:hAnsi="Times New Roman" w:cs="Times New Roman"/>
          <w:kern w:val="0"/>
          <w:lang w:eastAsia="zh-CN"/>
          <w14:ligatures w14:val="none"/>
        </w:rPr>
        <w:t>Kandampully</w:t>
      </w:r>
      <w:proofErr w:type="spellEnd"/>
      <w:r w:rsidRPr="00D8206B">
        <w:rPr>
          <w:rFonts w:ascii="Times New Roman" w:eastAsia="SimSun" w:hAnsi="Times New Roman" w:cs="Times New Roman"/>
          <w:kern w:val="0"/>
          <w:lang w:eastAsia="zh-CN"/>
          <w14:ligatures w14:val="none"/>
        </w:rPr>
        <w:t xml:space="preserve"> &amp; </w:t>
      </w:r>
      <w:proofErr w:type="spellStart"/>
      <w:r w:rsidRPr="00D8206B">
        <w:rPr>
          <w:rFonts w:ascii="Times New Roman" w:eastAsia="SimSun" w:hAnsi="Times New Roman" w:cs="Times New Roman"/>
          <w:kern w:val="0"/>
          <w:lang w:eastAsia="zh-CN"/>
          <w14:ligatures w14:val="none"/>
        </w:rPr>
        <w:t>Suhartanto</w:t>
      </w:r>
      <w:proofErr w:type="spellEnd"/>
      <w:r w:rsidRPr="00D8206B">
        <w:rPr>
          <w:rFonts w:ascii="Times New Roman" w:eastAsia="SimSun" w:hAnsi="Times New Roman" w:cs="Times New Roman"/>
          <w:kern w:val="0"/>
          <w:lang w:eastAsia="zh-CN"/>
          <w14:ligatures w14:val="none"/>
        </w:rPr>
        <w:t>, 2000</w:t>
      </w:r>
      <w:r w:rsidRPr="00D8206B">
        <w:rPr>
          <w:rFonts w:ascii="Times New Roman" w:eastAsia="SimSun" w:hAnsi="Times New Roman" w:cs="Times New Roman"/>
          <w:kern w:val="0"/>
          <w:lang w:val="en-GB" w:eastAsia="zh-CN"/>
          <w14:ligatures w14:val="none"/>
        </w:rPr>
        <w:t>)</w:t>
      </w:r>
      <w:r w:rsidRPr="00D8206B">
        <w:rPr>
          <w:rFonts w:ascii="Times New Roman" w:eastAsia="SimSun" w:hAnsi="Times New Roman" w:cs="Times New Roman"/>
          <w:kern w:val="0"/>
          <w:lang w:eastAsia="zh-CN"/>
          <w14:ligatures w14:val="none"/>
        </w:rPr>
        <w:t xml:space="preserve">. Several academics have proposed basic definitions of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emphasizing its importance in various circumstances. </w:t>
      </w:r>
      <w:proofErr w:type="spellStart"/>
      <w:r w:rsidRPr="00D8206B">
        <w:rPr>
          <w:rFonts w:ascii="Times New Roman" w:eastAsia="SimSun" w:hAnsi="Times New Roman" w:cs="Times New Roman"/>
          <w:kern w:val="0"/>
          <w:lang w:eastAsia="zh-CN"/>
          <w14:ligatures w14:val="none"/>
        </w:rPr>
        <w:t>Zeitham</w:t>
      </w:r>
      <w:proofErr w:type="spellEnd"/>
      <w:r w:rsidRPr="00D8206B">
        <w:rPr>
          <w:rFonts w:ascii="Times New Roman" w:eastAsia="SimSun" w:hAnsi="Times New Roman" w:cs="Times New Roman"/>
          <w:kern w:val="0"/>
          <w:lang w:eastAsia="zh-CN"/>
          <w14:ligatures w14:val="none"/>
        </w:rPr>
        <w:t xml:space="preserve"> et al. (2006) defined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as the ability of a service provider to deliver services within the expected time frame, thereby meeting or exceeding customer expectations. Parasuraman et al. (1988) further linked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to the concept of responsiveness in the SERVQUAL model, which reflects the proactive nature of service providers who anticipate and swiftly respond to customer needs.</w:t>
      </w:r>
    </w:p>
    <w:p w14:paraId="59C7FBF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Kandampully</w:t>
      </w:r>
      <w:proofErr w:type="spellEnd"/>
      <w:r w:rsidRPr="00D8206B">
        <w:rPr>
          <w:rFonts w:ascii="Times New Roman" w:eastAsia="SimSun" w:hAnsi="Times New Roman" w:cs="Times New Roman"/>
          <w:kern w:val="0"/>
          <w:lang w:eastAsia="zh-CN"/>
          <w14:ligatures w14:val="none"/>
        </w:rPr>
        <w:t xml:space="preserve"> et al. (2018) highlighted the role of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in enhancing customer satisfaction and loyalty, particularly in today’s fast-paced environment where customers expect quick service. Similarly, Kotler and Keller (2016) widened the definition of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to include the full-service process, from initial contact to conclusion, emphasizing the need for promptness at all stages for a high-quality service experience. Fitzsimmons and Fitzsimmons (2014) approach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from an operational perspective, emphasizing the efficiency of service systems and procedures to reduce wait times and delays. Their attitude is consistent with the broader emphasis on efficiency and punctuality in service delivery.</w:t>
      </w:r>
    </w:p>
    <w:p w14:paraId="07B7D4C9" w14:textId="77777777" w:rsidR="00DA5AE9" w:rsidRDefault="00DA5AE9"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p>
    <w:p w14:paraId="681A7218" w14:textId="303BF878"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lastRenderedPageBreak/>
        <w:t>2.2.3 Service Protocol</w:t>
      </w:r>
    </w:p>
    <w:p w14:paraId="5997FF79"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Goel et al (2023) conceptualized service protocol as a documented set of standardized process steps and governance rules that translate managerial objectives into observable process behavior within and across organizational units. </w:t>
      </w:r>
      <w:proofErr w:type="spellStart"/>
      <w:r w:rsidRPr="00D8206B">
        <w:rPr>
          <w:rFonts w:ascii="Times New Roman" w:eastAsia="Times New Roman" w:hAnsi="Times New Roman" w:cs="Times New Roman"/>
          <w:kern w:val="0"/>
          <w14:ligatures w14:val="none"/>
        </w:rPr>
        <w:t>Shamsuzzoha</w:t>
      </w:r>
      <w:proofErr w:type="spellEnd"/>
      <w:r w:rsidRPr="00D8206B">
        <w:rPr>
          <w:rFonts w:ascii="Times New Roman" w:eastAsia="Times New Roman" w:hAnsi="Times New Roman" w:cs="Times New Roman"/>
          <w:kern w:val="0"/>
          <w14:ligatures w14:val="none"/>
        </w:rPr>
        <w:t xml:space="preserve">, et al., (2023) defined service protocol as the set of modularized procedures and decision rules by which tacit service expertise is productized into repeatable service modules that can be managed, measured and scaled. Kasiri et al, (2017) framed protocol more narrowly as the ensemble of standardized service actions that secure reliability while allowing configured touchpoints for customization. Fourth, Rondini et al. (2018) treated protocol as a hybrid artefact: a reference model that integrates task sequences, role responsibilities and checkpoints to support both local execution and central audit. Together these definitions locate service protocol at the intersection of design and practice, where codified rules, modular architectures and explicit decision nodes combine to produce predictable technical performance and to delimit the space for frontline judgement (Goel et al., 2023; Kasiri et al., 2017; Rondini et al., 2018; </w:t>
      </w:r>
      <w:proofErr w:type="spellStart"/>
      <w:r w:rsidRPr="00D8206B">
        <w:rPr>
          <w:rFonts w:ascii="Times New Roman" w:eastAsia="Times New Roman" w:hAnsi="Times New Roman" w:cs="Times New Roman"/>
          <w:kern w:val="0"/>
          <w14:ligatures w14:val="none"/>
        </w:rPr>
        <w:t>Shamsuzzoha</w:t>
      </w:r>
      <w:proofErr w:type="spellEnd"/>
      <w:r w:rsidRPr="00D8206B">
        <w:rPr>
          <w:rFonts w:ascii="Times New Roman" w:eastAsia="Times New Roman" w:hAnsi="Times New Roman" w:cs="Times New Roman"/>
          <w:kern w:val="0"/>
          <w14:ligatures w14:val="none"/>
        </w:rPr>
        <w:t xml:space="preserve"> et al., 2023). This cluster of meanings clarifies why protocols are not merely administrative paperwork. Protocols act as instruments that operationalize quality constructs, provide the basis for measurement and governance and structure how staff and customers experience service episodes. The literature identifies three mutually reinforcing mechanisms through which protocols alter both objective performance and customer perceptions. The first mechanism is behavioral specification.</w:t>
      </w:r>
    </w:p>
    <w:p w14:paraId="3730AF5B" w14:textId="0A0C2EAA"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eastAsia="zh-CN"/>
          <w14:ligatures w14:val="none"/>
        </w:rPr>
      </w:pPr>
      <w:r w:rsidRPr="00D8206B">
        <w:rPr>
          <w:rFonts w:ascii="Times New Roman" w:eastAsia="SimSun" w:hAnsi="Times New Roman" w:cs="Times New Roman"/>
          <w:b/>
          <w:bCs/>
          <w:kern w:val="0"/>
          <w:lang w:eastAsia="zh-CN"/>
          <w14:ligatures w14:val="none"/>
        </w:rPr>
        <w:t>2.3 Theoretical Review</w:t>
      </w:r>
    </w:p>
    <w:p w14:paraId="61C40D33"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eastAsia="zh-CN"/>
          <w14:ligatures w14:val="none"/>
        </w:rPr>
      </w:pPr>
      <w:r w:rsidRPr="00D8206B">
        <w:rPr>
          <w:rFonts w:ascii="Times New Roman" w:eastAsia="SimSun" w:hAnsi="Times New Roman" w:cs="Times New Roman"/>
          <w:b/>
          <w:bCs/>
          <w:kern w:val="0"/>
          <w:lang w:eastAsia="zh-CN"/>
          <w14:ligatures w14:val="none"/>
        </w:rPr>
        <w:t>2.3.1 Socio-Technical System Theory</w:t>
      </w:r>
    </w:p>
    <w:p w14:paraId="393B40E2"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Socio-technical systems thinking begins with the Tavistock insight that work systems are not merely technical arrangements but entwined social and material orders whose properties emerge from their interaction (Trist &amp; Bamforth, 1951). That original fieldwork showed that introducing new technology into a coalface changed social relations, skills and informal rules as much as it altered the mechanical tasks; from that moment STS research argued for joint optimization of the technical and social subsystems rather than one-sided technical fixes. Modern syntheses make that argument more precise and actionable: Baxter and Sommerville (2011) show how STS methods bridge system engineering and organizational change by combining sensitization, stakeholder engagement and constructive redesign so that deployment of tools, processes and software is coupled deliberately with changes to roles, incentives and routines. This lineage from Trist’s ethnographic discovery to contemporary STS engineering provides a nuanced theoretical foundation for asking not only whether lean practices change performance but how those practices reconfigure people–technology interactions to produce (or fail to produce) faster, more accurate service.</w:t>
      </w:r>
    </w:p>
    <w:p w14:paraId="3134F266"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Applied to lean operations, the STS perspective supplies specific mechanisms that map neatly onto quick-service outcomes. Lean tools such as value-stream mapping, 5S or takt time are technical choices that re-shape task scripts, handoffs and information flows; their downstream effect on delivery speed and accuracy depends on mediating social states such as task-technology fit, psychological safety, role clarity and frontline empowerment. Work on task-technology fit (Goodhue &amp; Thompson, 1995) is especially useful here: technology and process changes raise performance to the extent they match the cognitive and coordination demands of frontline tasks. Psychological safety the team’s shared belief that it is safe to take interpersonal risks determines whether staff will speak up about bottlenecks, report errors or deviate from SOPs when necessary, and therefore conditions the reliability gains lean promises (Edmondson, 1999). Empirical investigations across sectors support these linkages: studies synthesizing lean’s socio-technical components show that lean’s success is strongly contingent on organizational routines, leadership and employee involvement (Marsilio &amp; </w:t>
      </w:r>
      <w:proofErr w:type="spellStart"/>
      <w:r w:rsidRPr="00D8206B">
        <w:rPr>
          <w:rFonts w:ascii="Times New Roman" w:eastAsia="Times New Roman" w:hAnsi="Times New Roman" w:cs="Times New Roman"/>
          <w:kern w:val="0"/>
          <w14:ligatures w14:val="none"/>
        </w:rPr>
        <w:t>Pisarra</w:t>
      </w:r>
      <w:proofErr w:type="spellEnd"/>
      <w:r w:rsidRPr="00D8206B">
        <w:rPr>
          <w:rFonts w:ascii="Times New Roman" w:eastAsia="Times New Roman" w:hAnsi="Times New Roman" w:cs="Times New Roman"/>
          <w:kern w:val="0"/>
          <w14:ligatures w14:val="none"/>
        </w:rPr>
        <w:t xml:space="preserve">, 2021; </w:t>
      </w:r>
      <w:proofErr w:type="spellStart"/>
      <w:r w:rsidRPr="00D8206B">
        <w:rPr>
          <w:rFonts w:ascii="Times New Roman" w:eastAsia="Times New Roman" w:hAnsi="Times New Roman" w:cs="Times New Roman"/>
          <w:kern w:val="0"/>
          <w14:ligatures w14:val="none"/>
        </w:rPr>
        <w:t>Poksinska</w:t>
      </w:r>
      <w:proofErr w:type="spellEnd"/>
      <w:r w:rsidRPr="00D8206B">
        <w:rPr>
          <w:rFonts w:ascii="Times New Roman" w:eastAsia="Times New Roman" w:hAnsi="Times New Roman" w:cs="Times New Roman"/>
          <w:kern w:val="0"/>
          <w14:ligatures w14:val="none"/>
        </w:rPr>
        <w:t>, 2010), while sectoral research demonstrates that lean interventions alter complexity and interaction patterns in ways that can either improve resilience and throughput or create tight couplings that amplify errors if the social system is neglected (Soliman et al., 2018).</w:t>
      </w:r>
    </w:p>
    <w:p w14:paraId="5743F3C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val="en-GB" w:eastAsia="zh-CN"/>
          <w14:ligatures w14:val="none"/>
        </w:rPr>
        <w:lastRenderedPageBreak/>
        <w:t>3 Empirical Review</w:t>
      </w:r>
    </w:p>
    <w:p w14:paraId="64EC8A2F"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2.3.1 Waste Reduction and Service Accuracy</w:t>
      </w:r>
    </w:p>
    <w:p w14:paraId="617E2C4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Bhatia and Gupta (2020)</w:t>
      </w:r>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kern w:val="0"/>
          <w:lang w:val="en-GB" w:eastAsia="zh-CN"/>
          <w14:ligatures w14:val="none"/>
        </w:rPr>
        <w:t xml:space="preserve">conducted a study on the </w:t>
      </w:r>
      <w:proofErr w:type="spellStart"/>
      <w:r w:rsidRPr="00D8206B">
        <w:rPr>
          <w:rFonts w:ascii="Times New Roman" w:eastAsia="SimSun" w:hAnsi="Times New Roman" w:cs="Times New Roman"/>
          <w:kern w:val="0"/>
          <w:lang w:val="en-GB" w:eastAsia="zh-CN"/>
          <w14:ligatures w14:val="none"/>
        </w:rPr>
        <w:t>i</w:t>
      </w:r>
      <w:r w:rsidRPr="00D8206B">
        <w:rPr>
          <w:rFonts w:ascii="Times New Roman" w:eastAsia="SimSun" w:hAnsi="Times New Roman" w:cs="Times New Roman"/>
          <w:i/>
          <w:iCs/>
          <w:kern w:val="0"/>
          <w:lang w:eastAsia="zh-CN"/>
          <w14:ligatures w14:val="none"/>
        </w:rPr>
        <w:t>mpact</w:t>
      </w:r>
      <w:proofErr w:type="spellEnd"/>
      <w:r w:rsidRPr="00D8206B">
        <w:rPr>
          <w:rFonts w:ascii="Times New Roman" w:eastAsia="SimSun" w:hAnsi="Times New Roman" w:cs="Times New Roman"/>
          <w:i/>
          <w:iCs/>
          <w:kern w:val="0"/>
          <w:lang w:eastAsia="zh-CN"/>
          <w14:ligatures w14:val="none"/>
        </w:rPr>
        <w:t xml:space="preserve"> of lean management practices on </w:t>
      </w:r>
      <w:r w:rsidRPr="00D8206B">
        <w:rPr>
          <w:rFonts w:ascii="Times New Roman" w:eastAsia="SimSun" w:hAnsi="Times New Roman" w:cs="Times New Roman"/>
          <w:i/>
          <w:iCs/>
          <w:kern w:val="0"/>
          <w:lang w:val="en-GB" w:eastAsia="zh-CN"/>
          <w14:ligatures w14:val="none"/>
        </w:rPr>
        <w:t>quality service</w:t>
      </w:r>
      <w:r w:rsidRPr="00D8206B">
        <w:rPr>
          <w:rFonts w:ascii="Times New Roman" w:eastAsia="SimSun" w:hAnsi="Times New Roman" w:cs="Times New Roman"/>
          <w:i/>
          <w:iCs/>
          <w:kern w:val="0"/>
          <w:lang w:eastAsia="zh-CN"/>
          <w14:ligatures w14:val="none"/>
        </w:rPr>
        <w:t xml:space="preserve"> in the hospitality. The sector</w:t>
      </w:r>
      <w:r w:rsidRPr="00D8206B">
        <w:rPr>
          <w:rFonts w:ascii="Times New Roman" w:eastAsia="SimSun" w:hAnsi="Times New Roman" w:cs="Times New Roman"/>
          <w:kern w:val="0"/>
          <w:lang w:eastAsia="zh-CN"/>
          <w14:ligatures w14:val="none"/>
        </w:rPr>
        <w:t xml:space="preserve"> examined the application of lean management principles in the Indian hospitality industry. This study was conducted in New Delhi, India, where a descriptive research design was employed to capture the essence of lean practices in service delivery. The researchers used a stratified sampling method, selecting 150 hotel employees from various departments. Data were analyzed using structural equation modeling (SEM), revealing that waste reduction initiatives such as minimizing waiting times and optimizing resource utilization significantly enhanced service accuracy and guest satisfaction. </w:t>
      </w:r>
    </w:p>
    <w:p w14:paraId="40767025"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Womack and Jones (2016)</w:t>
      </w:r>
      <w:r w:rsidRPr="00D8206B">
        <w:rPr>
          <w:rFonts w:ascii="Times New Roman" w:eastAsia="SimSun" w:hAnsi="Times New Roman" w:cs="Times New Roman"/>
          <w:kern w:val="0"/>
          <w:lang w:eastAsia="zh-CN"/>
          <w14:ligatures w14:val="none"/>
        </w:rPr>
        <w:t xml:space="preserve"> explored the </w:t>
      </w:r>
      <w:r w:rsidRPr="00D8206B">
        <w:rPr>
          <w:rFonts w:ascii="Times New Roman" w:eastAsia="SimSun" w:hAnsi="Times New Roman" w:cs="Times New Roman"/>
          <w:i/>
          <w:iCs/>
          <w:kern w:val="0"/>
          <w:lang w:eastAsia="zh-CN"/>
          <w14:ligatures w14:val="none"/>
        </w:rPr>
        <w:t xml:space="preserve">implementation of lean thinking in service industries: A </w:t>
      </w:r>
      <w:r w:rsidRPr="00D8206B">
        <w:rPr>
          <w:rFonts w:ascii="Times New Roman" w:eastAsia="SimSun" w:hAnsi="Times New Roman" w:cs="Times New Roman"/>
          <w:i/>
          <w:iCs/>
          <w:kern w:val="0"/>
          <w:lang w:val="en-GB" w:eastAsia="zh-CN"/>
          <w14:ligatures w14:val="none"/>
        </w:rPr>
        <w:t>c</w:t>
      </w:r>
      <w:proofErr w:type="spellStart"/>
      <w:r w:rsidRPr="00D8206B">
        <w:rPr>
          <w:rFonts w:ascii="Times New Roman" w:eastAsia="SimSun" w:hAnsi="Times New Roman" w:cs="Times New Roman"/>
          <w:i/>
          <w:iCs/>
          <w:kern w:val="0"/>
          <w:lang w:eastAsia="zh-CN"/>
          <w14:ligatures w14:val="none"/>
        </w:rPr>
        <w:t>ase</w:t>
      </w:r>
      <w:proofErr w:type="spellEnd"/>
      <w:r w:rsidRPr="00D8206B">
        <w:rPr>
          <w:rFonts w:ascii="Times New Roman" w:eastAsia="SimSun" w:hAnsi="Times New Roman" w:cs="Times New Roman"/>
          <w:i/>
          <w:iCs/>
          <w:kern w:val="0"/>
          <w:lang w:eastAsia="zh-CN"/>
          <w14:ligatures w14:val="none"/>
        </w:rPr>
        <w:t xml:space="preserve"> of the United Kingdom </w:t>
      </w:r>
      <w:r w:rsidRPr="00D8206B">
        <w:rPr>
          <w:rFonts w:ascii="Times New Roman" w:eastAsia="SimSun" w:hAnsi="Times New Roman" w:cs="Times New Roman"/>
          <w:i/>
          <w:iCs/>
          <w:kern w:val="0"/>
          <w:lang w:val="en-GB" w:eastAsia="zh-CN"/>
          <w14:ligatures w14:val="none"/>
        </w:rPr>
        <w:t>h</w:t>
      </w:r>
      <w:proofErr w:type="spellStart"/>
      <w:r w:rsidRPr="00D8206B">
        <w:rPr>
          <w:rFonts w:ascii="Times New Roman" w:eastAsia="SimSun" w:hAnsi="Times New Roman" w:cs="Times New Roman"/>
          <w:i/>
          <w:iCs/>
          <w:kern w:val="0"/>
          <w:lang w:eastAsia="zh-CN"/>
          <w14:ligatures w14:val="none"/>
        </w:rPr>
        <w:t>otel</w:t>
      </w:r>
      <w:proofErr w:type="spellEnd"/>
      <w:r w:rsidRPr="00D8206B">
        <w:rPr>
          <w:rFonts w:ascii="Times New Roman" w:eastAsia="SimSun" w:hAnsi="Times New Roman" w:cs="Times New Roman"/>
          <w:i/>
          <w:iCs/>
          <w:kern w:val="0"/>
          <w:lang w:eastAsia="zh-CN"/>
          <w14:ligatures w14:val="none"/>
        </w:rPr>
        <w:t xml:space="preserve"> </w:t>
      </w:r>
      <w:r w:rsidRPr="00D8206B">
        <w:rPr>
          <w:rFonts w:ascii="Times New Roman" w:eastAsia="SimSun" w:hAnsi="Times New Roman" w:cs="Times New Roman"/>
          <w:i/>
          <w:iCs/>
          <w:kern w:val="0"/>
          <w:lang w:val="en-GB" w:eastAsia="zh-CN"/>
          <w14:ligatures w14:val="none"/>
        </w:rPr>
        <w:t>s</w:t>
      </w:r>
      <w:proofErr w:type="spellStart"/>
      <w:r w:rsidRPr="00D8206B">
        <w:rPr>
          <w:rFonts w:ascii="Times New Roman" w:eastAsia="SimSun" w:hAnsi="Times New Roman" w:cs="Times New Roman"/>
          <w:i/>
          <w:iCs/>
          <w:kern w:val="0"/>
          <w:lang w:eastAsia="zh-CN"/>
          <w14:ligatures w14:val="none"/>
        </w:rPr>
        <w:t>ector</w:t>
      </w:r>
      <w:proofErr w:type="spellEnd"/>
      <w:r w:rsidRPr="00D8206B">
        <w:rPr>
          <w:rFonts w:ascii="Times New Roman" w:eastAsia="SimSun" w:hAnsi="Times New Roman" w:cs="Times New Roman"/>
          <w:i/>
          <w:iCs/>
          <w:kern w:val="0"/>
          <w:lang w:eastAsia="zh-CN"/>
          <w14:ligatures w14:val="none"/>
        </w:rPr>
        <w:t>.</w:t>
      </w:r>
      <w:r w:rsidRPr="00D8206B">
        <w:rPr>
          <w:rFonts w:ascii="Times New Roman" w:eastAsia="SimSun" w:hAnsi="Times New Roman" w:cs="Times New Roman"/>
          <w:kern w:val="0"/>
          <w:lang w:eastAsia="zh-CN"/>
          <w14:ligatures w14:val="none"/>
        </w:rPr>
        <w:t xml:space="preserve"> Th</w:t>
      </w:r>
      <w:r w:rsidRPr="00D8206B">
        <w:rPr>
          <w:rFonts w:ascii="Times New Roman" w:eastAsia="SimSun" w:hAnsi="Times New Roman" w:cs="Times New Roman"/>
          <w:kern w:val="0"/>
          <w:lang w:val="en-GB" w:eastAsia="zh-CN"/>
          <w14:ligatures w14:val="none"/>
        </w:rPr>
        <w:t>e</w:t>
      </w:r>
      <w:r w:rsidRPr="00D8206B">
        <w:rPr>
          <w:rFonts w:ascii="Times New Roman" w:eastAsia="SimSun" w:hAnsi="Times New Roman" w:cs="Times New Roman"/>
          <w:kern w:val="0"/>
          <w:lang w:eastAsia="zh-CN"/>
          <w14:ligatures w14:val="none"/>
        </w:rPr>
        <w:t xml:space="preserve"> study, set in London, employed a case study research design to delve into how lean thinking is applied in the UK hotel industry. A purposive sampling method was used to select a sample size of 10 hotels, each recognized for their commitment to quality service. The analysis, conducted through thematic content analysis, highlighted that waste reduction through lean operations not only improved service accuracy but also reduced operational costs. The findings suggest that while the initial implementation of lean practices may require substantial investment, the long-term benefits in service delivery and operational efficiency are undeniable.</w:t>
      </w:r>
    </w:p>
    <w:p w14:paraId="1AB9240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 xml:space="preserve">Nwachukwu and </w:t>
      </w:r>
      <w:proofErr w:type="spellStart"/>
      <w:r w:rsidRPr="00D8206B">
        <w:rPr>
          <w:rFonts w:ascii="Times New Roman" w:eastAsia="SimSun" w:hAnsi="Times New Roman" w:cs="Times New Roman"/>
          <w:b/>
          <w:bCs/>
          <w:kern w:val="0"/>
          <w:lang w:eastAsia="zh-CN"/>
          <w14:ligatures w14:val="none"/>
        </w:rPr>
        <w:t>Echefu</w:t>
      </w:r>
      <w:proofErr w:type="spellEnd"/>
      <w:r w:rsidRPr="00D8206B">
        <w:rPr>
          <w:rFonts w:ascii="Times New Roman" w:eastAsia="SimSun" w:hAnsi="Times New Roman" w:cs="Times New Roman"/>
          <w:b/>
          <w:bCs/>
          <w:kern w:val="0"/>
          <w:lang w:eastAsia="zh-CN"/>
          <w14:ligatures w14:val="none"/>
        </w:rPr>
        <w:t xml:space="preserve"> (2019)</w:t>
      </w:r>
      <w:r w:rsidRPr="00D8206B">
        <w:rPr>
          <w:rFonts w:ascii="Times New Roman" w:eastAsia="SimSun" w:hAnsi="Times New Roman" w:cs="Times New Roman"/>
          <w:kern w:val="0"/>
          <w:lang w:eastAsia="zh-CN"/>
          <w14:ligatures w14:val="none"/>
        </w:rPr>
        <w:t xml:space="preserve">, in their work </w:t>
      </w:r>
      <w:r w:rsidRPr="00D8206B">
        <w:rPr>
          <w:rFonts w:ascii="Times New Roman" w:eastAsia="SimSun" w:hAnsi="Times New Roman" w:cs="Times New Roman"/>
          <w:kern w:val="0"/>
          <w:lang w:val="en-GB" w:eastAsia="zh-CN"/>
          <w14:ligatures w14:val="none"/>
        </w:rPr>
        <w:t xml:space="preserve">on </w:t>
      </w:r>
      <w:r w:rsidRPr="00D8206B">
        <w:rPr>
          <w:rFonts w:ascii="Times New Roman" w:eastAsia="SimSun" w:hAnsi="Times New Roman" w:cs="Times New Roman"/>
          <w:i/>
          <w:iCs/>
          <w:kern w:val="0"/>
          <w:lang w:eastAsia="zh-CN"/>
          <w14:ligatures w14:val="none"/>
        </w:rPr>
        <w:t xml:space="preserve">lean operations and quality service delivery in </w:t>
      </w:r>
      <w:r w:rsidRPr="00D8206B">
        <w:rPr>
          <w:rFonts w:ascii="Times New Roman" w:eastAsia="SimSun" w:hAnsi="Times New Roman" w:cs="Times New Roman"/>
          <w:i/>
          <w:iCs/>
          <w:kern w:val="0"/>
          <w:lang w:val="en-GB" w:eastAsia="zh-CN"/>
          <w14:ligatures w14:val="none"/>
        </w:rPr>
        <w:t>N</w:t>
      </w:r>
      <w:proofErr w:type="spellStart"/>
      <w:r w:rsidRPr="00D8206B">
        <w:rPr>
          <w:rFonts w:ascii="Times New Roman" w:eastAsia="SimSun" w:hAnsi="Times New Roman" w:cs="Times New Roman"/>
          <w:i/>
          <w:iCs/>
          <w:kern w:val="0"/>
          <w:lang w:eastAsia="zh-CN"/>
          <w14:ligatures w14:val="none"/>
        </w:rPr>
        <w:t>igerian</w:t>
      </w:r>
      <w:proofErr w:type="spellEnd"/>
      <w:r w:rsidRPr="00D8206B">
        <w:rPr>
          <w:rFonts w:ascii="Times New Roman" w:eastAsia="SimSun" w:hAnsi="Times New Roman" w:cs="Times New Roman"/>
          <w:i/>
          <w:iCs/>
          <w:kern w:val="0"/>
          <w:lang w:eastAsia="zh-CN"/>
          <w14:ligatures w14:val="none"/>
        </w:rPr>
        <w:t xml:space="preserve"> hotels, </w:t>
      </w:r>
      <w:r w:rsidRPr="00D8206B">
        <w:rPr>
          <w:rFonts w:ascii="Times New Roman" w:eastAsia="SimSun" w:hAnsi="Times New Roman" w:cs="Times New Roman"/>
          <w:kern w:val="0"/>
          <w:lang w:eastAsia="zh-CN"/>
          <w14:ligatures w14:val="none"/>
        </w:rPr>
        <w:t xml:space="preserve">conducted in Rivers State, Nigeria, utilized a cross-sectional survey research design. The study targeted 200 hotel employees using a simple random sampling method, ensuring a representative sample of the population. Data were analyzed using regression analysis, revealing a strong positive correlation between waste reduction practices and service accuracy. The authors found that hotels that adopted lean operations, particularly in waste minimization, experienced fewer errors in service delivery, leading to higher customer satisfaction. </w:t>
      </w:r>
    </w:p>
    <w:p w14:paraId="4BA8835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Drawing from these empirical reviews, a null hypothesis </w:t>
      </w:r>
      <w:r w:rsidRPr="00D8206B">
        <w:rPr>
          <w:rFonts w:ascii="Times New Roman" w:eastAsia="SimSun" w:hAnsi="Times New Roman" w:cs="Times New Roman"/>
          <w:kern w:val="0"/>
          <w:lang w:val="en-GB" w:eastAsia="zh-CN"/>
          <w14:ligatures w14:val="none"/>
        </w:rPr>
        <w:t>is</w:t>
      </w:r>
      <w:r w:rsidRPr="00D8206B">
        <w:rPr>
          <w:rFonts w:ascii="Times New Roman" w:eastAsia="SimSun" w:hAnsi="Times New Roman" w:cs="Times New Roman"/>
          <w:kern w:val="0"/>
          <w:lang w:eastAsia="zh-CN"/>
          <w14:ligatures w14:val="none"/>
        </w:rPr>
        <w:t xml:space="preserve"> formulated specific to the hotel industry in Rivers State, Nigeria: </w:t>
      </w:r>
    </w:p>
    <w:p w14:paraId="1AC3E6DE"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1</w:t>
      </w:r>
      <w:r w:rsidRPr="00D8206B">
        <w:rPr>
          <w:rFonts w:ascii="Times New Roman" w:eastAsia="SimSun" w:hAnsi="Times New Roman" w:cs="Times New Roman"/>
          <w:i/>
          <w:iCs/>
          <w:kern w:val="0"/>
          <w:lang w:val="en-GB" w:eastAsia="zh-CN"/>
          <w14:ligatures w14:val="none"/>
        </w:rPr>
        <w:t xml:space="preserve"> </w:t>
      </w:r>
      <w:r w:rsidRPr="00D8206B">
        <w:rPr>
          <w:rFonts w:ascii="Times New Roman" w:eastAsia="SimSun" w:hAnsi="Times New Roman" w:cs="Times New Roman"/>
          <w:i/>
          <w:iCs/>
          <w:kern w:val="0"/>
          <w:lang w:eastAsia="zh-CN"/>
          <w14:ligatures w14:val="none"/>
        </w:rPr>
        <w:t xml:space="preserve">There is no significant relationship between waste reduction and </w:t>
      </w:r>
      <w:r w:rsidRPr="00D8206B">
        <w:rPr>
          <w:rFonts w:ascii="Times New Roman" w:eastAsia="SimSun" w:hAnsi="Times New Roman" w:cs="Times New Roman"/>
          <w:i/>
          <w:iCs/>
          <w:kern w:val="0"/>
          <w:lang w:val="en-GB" w:eastAsia="zh-CN"/>
          <w14:ligatures w14:val="none"/>
        </w:rPr>
        <w:t>service</w:t>
      </w:r>
      <w:r w:rsidRPr="00D8206B">
        <w:rPr>
          <w:rFonts w:ascii="Times New Roman" w:eastAsia="SimSun" w:hAnsi="Times New Roman" w:cs="Times New Roman"/>
          <w:i/>
          <w:iCs/>
          <w:kern w:val="0"/>
          <w:lang w:eastAsia="zh-CN"/>
          <w14:ligatures w14:val="none"/>
        </w:rPr>
        <w:t xml:space="preserve"> accuracy </w:t>
      </w:r>
      <w:r w:rsidRPr="00D8206B">
        <w:rPr>
          <w:rFonts w:ascii="Times New Roman" w:eastAsia="SimSun" w:hAnsi="Times New Roman" w:cs="Times New Roman"/>
          <w:i/>
          <w:iCs/>
          <w:kern w:val="0"/>
          <w:lang w:val="en-GB" w:eastAsia="zh-CN"/>
          <w14:ligatures w14:val="none"/>
        </w:rPr>
        <w:t>of</w:t>
      </w:r>
      <w:r w:rsidRPr="00D8206B">
        <w:rPr>
          <w:rFonts w:ascii="Times New Roman" w:eastAsia="SimSun" w:hAnsi="Times New Roman" w:cs="Times New Roman"/>
          <w:i/>
          <w:iCs/>
          <w:kern w:val="0"/>
          <w:lang w:eastAsia="zh-CN"/>
          <w14:ligatures w14:val="none"/>
        </w:rPr>
        <w:t xml:space="preserve"> hotels</w:t>
      </w:r>
      <w:r w:rsidRPr="00D8206B">
        <w:rPr>
          <w:rFonts w:ascii="Times New Roman" w:eastAsia="SimSun" w:hAnsi="Times New Roman" w:cs="Times New Roman"/>
          <w:i/>
          <w:iCs/>
          <w:kern w:val="0"/>
          <w:lang w:val="en-GB" w:eastAsia="zh-CN"/>
          <w14:ligatures w14:val="none"/>
        </w:rPr>
        <w:t xml:space="preserve"> in Port Harcourt</w:t>
      </w:r>
      <w:r w:rsidRPr="00D8206B">
        <w:rPr>
          <w:rFonts w:ascii="Times New Roman" w:eastAsia="SimSun" w:hAnsi="Times New Roman" w:cs="Times New Roman"/>
          <w:i/>
          <w:iCs/>
          <w:kern w:val="0"/>
          <w:lang w:eastAsia="zh-CN"/>
          <w14:ligatures w14:val="none"/>
        </w:rPr>
        <w:t>.</w:t>
      </w:r>
    </w:p>
    <w:p w14:paraId="687C9DF3" w14:textId="77777777" w:rsidR="00D8206B" w:rsidRPr="00D8206B" w:rsidRDefault="00D8206B" w:rsidP="00D8206B">
      <w:pPr>
        <w:spacing w:beforeAutospacing="1" w:after="0" w:afterAutospacing="1" w:line="240" w:lineRule="auto"/>
        <w:jc w:val="both"/>
        <w:rPr>
          <w:rFonts w:ascii="Times New Roman" w:eastAsia="SimSun" w:hAnsi="Times New Roman" w:cs="Times New Roman"/>
          <w:i/>
          <w:iCs/>
          <w:kern w:val="0"/>
          <w:lang w:eastAsia="zh-CN"/>
          <w14:ligatures w14:val="none"/>
        </w:rPr>
      </w:pPr>
      <w:r w:rsidRPr="00D8206B">
        <w:rPr>
          <w:rFonts w:ascii="Times New Roman" w:eastAsia="SimSun" w:hAnsi="Times New Roman" w:cs="Times New Roman"/>
          <w:b/>
          <w:bCs/>
          <w:i/>
          <w:iCs/>
          <w:kern w:val="0"/>
          <w:lang w:val="en-GB" w:eastAsia="zh-CN"/>
          <w14:ligatures w14:val="none"/>
        </w:rPr>
        <w:t>2.3.2 Waste Reduction and Timely Delivery</w:t>
      </w:r>
      <w:r w:rsidRPr="00D8206B">
        <w:rPr>
          <w:rFonts w:ascii="Times New Roman" w:eastAsia="SimSun" w:hAnsi="Times New Roman" w:cs="Times New Roman"/>
          <w:i/>
          <w:iCs/>
          <w:kern w:val="0"/>
          <w:lang w:eastAsia="zh-CN"/>
          <w14:ligatures w14:val="none"/>
        </w:rPr>
        <w:t xml:space="preserve"> </w:t>
      </w:r>
    </w:p>
    <w:p w14:paraId="0FC4622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Antony et al. (2012)</w:t>
      </w:r>
      <w:r w:rsidRPr="00D8206B">
        <w:rPr>
          <w:rFonts w:ascii="Times New Roman" w:eastAsia="SimSun" w:hAnsi="Times New Roman" w:cs="Times New Roman"/>
          <w:kern w:val="0"/>
          <w:lang w:val="en-GB" w:eastAsia="zh-CN"/>
          <w14:ligatures w14:val="none"/>
        </w:rPr>
        <w:t xml:space="preserve"> conducted a study on </w:t>
      </w:r>
      <w:r w:rsidRPr="00D8206B">
        <w:rPr>
          <w:rFonts w:ascii="Times New Roman" w:eastAsia="SimSun" w:hAnsi="Times New Roman" w:cs="Times New Roman"/>
          <w:kern w:val="0"/>
          <w:lang w:eastAsia="zh-CN"/>
          <w14:ligatures w14:val="none"/>
        </w:rPr>
        <w:t xml:space="preserve">lean six sigma for higher education institutions (HEIs): Challenges, barriers, success factors, and implementation strategies within the UK’s higher education sector, employed a case study approach to examine how Lean Six Sigma methodologies could be used to reduce waste and improve service delivery. The </w:t>
      </w:r>
      <w:r w:rsidRPr="00D8206B">
        <w:rPr>
          <w:rFonts w:ascii="Times New Roman" w:eastAsia="SimSun" w:hAnsi="Times New Roman" w:cs="Times New Roman"/>
          <w:kern w:val="0"/>
          <w:lang w:val="en-GB" w:eastAsia="zh-CN"/>
          <w14:ligatures w14:val="none"/>
        </w:rPr>
        <w:t>study</w:t>
      </w:r>
      <w:r w:rsidRPr="00D8206B">
        <w:rPr>
          <w:rFonts w:ascii="Times New Roman" w:eastAsia="SimSun" w:hAnsi="Times New Roman" w:cs="Times New Roman"/>
          <w:kern w:val="0"/>
          <w:lang w:eastAsia="zh-CN"/>
          <w14:ligatures w14:val="none"/>
        </w:rPr>
        <w:t xml:space="preserve"> used a purposive sampling method, selecting six institutions known for their lean initiatives. Through qualitative analysis, including thematic coding of interviews and document analysis, the study found that waste reduction in processes like admissions and grading significantly improved service timeliness, contributing to enhanced overall </w:t>
      </w:r>
      <w:r w:rsidRPr="00D8206B">
        <w:rPr>
          <w:rFonts w:ascii="Times New Roman" w:eastAsia="SimSun" w:hAnsi="Times New Roman" w:cs="Times New Roman"/>
          <w:kern w:val="0"/>
          <w:lang w:val="en-GB" w:eastAsia="zh-CN"/>
          <w14:ligatures w14:val="none"/>
        </w:rPr>
        <w:t>quality service</w:t>
      </w:r>
      <w:r w:rsidRPr="00D8206B">
        <w:rPr>
          <w:rFonts w:ascii="Times New Roman" w:eastAsia="SimSun" w:hAnsi="Times New Roman" w:cs="Times New Roman"/>
          <w:kern w:val="0"/>
          <w:lang w:eastAsia="zh-CN"/>
          <w14:ligatures w14:val="none"/>
        </w:rPr>
        <w:t xml:space="preserve">. </w:t>
      </w:r>
    </w:p>
    <w:p w14:paraId="7BF7053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Dora et al. (2014)</w:t>
      </w:r>
      <w:r w:rsidRPr="00D8206B">
        <w:rPr>
          <w:rFonts w:ascii="Times New Roman" w:eastAsia="SimSun" w:hAnsi="Times New Roman" w:cs="Times New Roman"/>
          <w:kern w:val="0"/>
          <w:lang w:val="en-GB" w:eastAsia="zh-CN"/>
          <w14:ligatures w14:val="none"/>
        </w:rPr>
        <w:t xml:space="preserve"> did a study on the </w:t>
      </w:r>
      <w:r w:rsidRPr="00D8206B">
        <w:rPr>
          <w:rFonts w:ascii="Times New Roman" w:eastAsia="SimSun" w:hAnsi="Times New Roman" w:cs="Times New Roman"/>
          <w:kern w:val="0"/>
          <w:lang w:eastAsia="zh-CN"/>
          <w14:ligatures w14:val="none"/>
        </w:rPr>
        <w:t xml:space="preserve">application of lean practices in small and medium-sized food enterprises across various European </w:t>
      </w:r>
      <w:proofErr w:type="spellStart"/>
      <w:r w:rsidRPr="00D8206B">
        <w:rPr>
          <w:rFonts w:ascii="Times New Roman" w:eastAsia="SimSun" w:hAnsi="Times New Roman" w:cs="Times New Roman"/>
          <w:kern w:val="0"/>
          <w:lang w:eastAsia="zh-CN"/>
          <w14:ligatures w14:val="none"/>
        </w:rPr>
        <w:t>countri</w:t>
      </w:r>
      <w:proofErr w:type="spellEnd"/>
      <w:r w:rsidRPr="00D8206B">
        <w:rPr>
          <w:rFonts w:ascii="Times New Roman" w:eastAsia="SimSun" w:hAnsi="Times New Roman" w:cs="Times New Roman"/>
          <w:kern w:val="0"/>
          <w:lang w:val="en-GB" w:eastAsia="zh-CN"/>
          <w14:ligatures w14:val="none"/>
        </w:rPr>
        <w:t>es</w:t>
      </w:r>
      <w:r w:rsidRPr="00D8206B">
        <w:rPr>
          <w:rFonts w:ascii="Times New Roman" w:eastAsia="SimSun" w:hAnsi="Times New Roman" w:cs="Times New Roman"/>
          <w:kern w:val="0"/>
          <w:lang w:eastAsia="zh-CN"/>
          <w14:ligatures w14:val="none"/>
        </w:rPr>
        <w:t>. Using a mixed-methods approach, the researchers surveyed 100 SMEs and conducted in-depth case studies with a purposive sample of 10 firms. The analysis, which included both quantitative statistical analysis and qualitative content analysis, revealed that companies that effectively reduced waste in their production processes saw significant improvements in service timeliness, particularly in meeting customer delivery expectations.</w:t>
      </w:r>
    </w:p>
    <w:p w14:paraId="4E907AB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Kim et al. (2016)</w:t>
      </w:r>
      <w:r w:rsidRPr="00D8206B">
        <w:rPr>
          <w:rFonts w:ascii="Times New Roman" w:eastAsia="SimSun" w:hAnsi="Times New Roman" w:cs="Times New Roman"/>
          <w:kern w:val="0"/>
          <w:lang w:val="en-GB" w:eastAsia="zh-CN"/>
          <w14:ligatures w14:val="none"/>
        </w:rPr>
        <w:t xml:space="preserve"> conducted a study on </w:t>
      </w:r>
      <w:r w:rsidRPr="00D8206B">
        <w:rPr>
          <w:rFonts w:ascii="Times New Roman" w:eastAsia="SimSun" w:hAnsi="Times New Roman" w:cs="Times New Roman"/>
          <w:kern w:val="0"/>
          <w:lang w:eastAsia="zh-CN"/>
          <w14:ligatures w14:val="none"/>
        </w:rPr>
        <w:t>the impact of lean implementation on hospital performance in South Korea</w:t>
      </w:r>
      <w:r w:rsidRPr="00D8206B">
        <w:rPr>
          <w:rFonts w:ascii="Times New Roman" w:eastAsia="SimSun" w:hAnsi="Times New Roman" w:cs="Times New Roman"/>
          <w:kern w:val="0"/>
          <w:lang w:val="en-GB" w:eastAsia="zh-CN"/>
          <w14:ligatures w14:val="none"/>
        </w:rPr>
        <w:t>.</w:t>
      </w:r>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kern w:val="0"/>
          <w:lang w:val="en-GB" w:eastAsia="zh-CN"/>
          <w14:ligatures w14:val="none"/>
        </w:rPr>
        <w:t>The</w:t>
      </w:r>
      <w:r w:rsidRPr="00D8206B">
        <w:rPr>
          <w:rFonts w:ascii="Times New Roman" w:eastAsia="SimSun" w:hAnsi="Times New Roman" w:cs="Times New Roman"/>
          <w:kern w:val="0"/>
          <w:lang w:eastAsia="zh-CN"/>
          <w14:ligatures w14:val="none"/>
        </w:rPr>
        <w:t xml:space="preserve"> study </w:t>
      </w:r>
      <w:r w:rsidRPr="00D8206B">
        <w:rPr>
          <w:rFonts w:ascii="Times New Roman" w:eastAsia="SimSun" w:hAnsi="Times New Roman" w:cs="Times New Roman"/>
          <w:kern w:val="0"/>
          <w:lang w:val="en-GB" w:eastAsia="zh-CN"/>
          <w14:ligatures w14:val="none"/>
        </w:rPr>
        <w:t>adopted</w:t>
      </w:r>
      <w:r w:rsidRPr="00D8206B">
        <w:rPr>
          <w:rFonts w:ascii="Times New Roman" w:eastAsia="SimSun" w:hAnsi="Times New Roman" w:cs="Times New Roman"/>
          <w:kern w:val="0"/>
          <w:lang w:eastAsia="zh-CN"/>
          <w14:ligatures w14:val="none"/>
        </w:rPr>
        <w:t xml:space="preserve"> a longitudinal research design</w:t>
      </w:r>
      <w:r w:rsidRPr="00D8206B">
        <w:rPr>
          <w:rFonts w:ascii="Times New Roman" w:eastAsia="SimSun" w:hAnsi="Times New Roman" w:cs="Times New Roman"/>
          <w:kern w:val="0"/>
          <w:lang w:val="en-GB" w:eastAsia="zh-CN"/>
          <w14:ligatures w14:val="none"/>
        </w:rPr>
        <w:t>,</w:t>
      </w:r>
      <w:r w:rsidRPr="00D8206B">
        <w:rPr>
          <w:rFonts w:ascii="Times New Roman" w:eastAsia="SimSun" w:hAnsi="Times New Roman" w:cs="Times New Roman"/>
          <w:kern w:val="0"/>
          <w:lang w:eastAsia="zh-CN"/>
          <w14:ligatures w14:val="none"/>
        </w:rPr>
        <w:t xml:space="preserve"> focusing on waste reduction and </w:t>
      </w:r>
      <w:r w:rsidRPr="00D8206B">
        <w:rPr>
          <w:rFonts w:ascii="Times New Roman" w:eastAsia="SimSun" w:hAnsi="Times New Roman" w:cs="Times New Roman"/>
          <w:kern w:val="0"/>
          <w:lang w:val="en-GB" w:eastAsia="zh-CN"/>
          <w14:ligatures w14:val="none"/>
        </w:rPr>
        <w:t>timely patient attendance</w:t>
      </w:r>
      <w:r w:rsidRPr="00D8206B">
        <w:rPr>
          <w:rFonts w:ascii="Times New Roman" w:eastAsia="SimSun" w:hAnsi="Times New Roman" w:cs="Times New Roman"/>
          <w:kern w:val="0"/>
          <w:lang w:eastAsia="zh-CN"/>
          <w14:ligatures w14:val="none"/>
        </w:rPr>
        <w:t xml:space="preserve">. The </w:t>
      </w:r>
      <w:r w:rsidRPr="00D8206B">
        <w:rPr>
          <w:rFonts w:ascii="Times New Roman" w:eastAsia="SimSun" w:hAnsi="Times New Roman" w:cs="Times New Roman"/>
          <w:kern w:val="0"/>
          <w:lang w:val="en-GB" w:eastAsia="zh-CN"/>
          <w14:ligatures w14:val="none"/>
        </w:rPr>
        <w:t>study</w:t>
      </w:r>
      <w:r w:rsidRPr="00D8206B">
        <w:rPr>
          <w:rFonts w:ascii="Times New Roman" w:eastAsia="SimSun" w:hAnsi="Times New Roman" w:cs="Times New Roman"/>
          <w:kern w:val="0"/>
          <w:lang w:eastAsia="zh-CN"/>
          <w14:ligatures w14:val="none"/>
        </w:rPr>
        <w:t xml:space="preserve"> employed a stratified random sampling method to select 50 hospitals and utilized regression analysis to assess the data. The </w:t>
      </w:r>
      <w:r w:rsidRPr="00D8206B">
        <w:rPr>
          <w:rFonts w:ascii="Times New Roman" w:eastAsia="SimSun" w:hAnsi="Times New Roman" w:cs="Times New Roman"/>
          <w:kern w:val="0"/>
          <w:lang w:val="en-GB" w:eastAsia="zh-CN"/>
          <w14:ligatures w14:val="none"/>
        </w:rPr>
        <w:t>study found that</w:t>
      </w:r>
      <w:r w:rsidRPr="00D8206B">
        <w:rPr>
          <w:rFonts w:ascii="Times New Roman" w:eastAsia="SimSun" w:hAnsi="Times New Roman" w:cs="Times New Roman"/>
          <w:kern w:val="0"/>
          <w:lang w:eastAsia="zh-CN"/>
          <w14:ligatures w14:val="none"/>
        </w:rPr>
        <w:t xml:space="preserve"> hospitals that adopted </w:t>
      </w:r>
      <w:r w:rsidRPr="00D8206B">
        <w:rPr>
          <w:rFonts w:ascii="Times New Roman" w:eastAsia="SimSun" w:hAnsi="Times New Roman" w:cs="Times New Roman"/>
          <w:kern w:val="0"/>
          <w:lang w:val="en-GB" w:eastAsia="zh-CN"/>
          <w14:ligatures w14:val="none"/>
        </w:rPr>
        <w:t>l</w:t>
      </w:r>
      <w:proofErr w:type="spellStart"/>
      <w:r w:rsidRPr="00D8206B">
        <w:rPr>
          <w:rFonts w:ascii="Times New Roman" w:eastAsia="SimSun" w:hAnsi="Times New Roman" w:cs="Times New Roman"/>
          <w:kern w:val="0"/>
          <w:lang w:eastAsia="zh-CN"/>
          <w14:ligatures w14:val="none"/>
        </w:rPr>
        <w:t>ean</w:t>
      </w:r>
      <w:proofErr w:type="spellEnd"/>
      <w:r w:rsidRPr="00D8206B">
        <w:rPr>
          <w:rFonts w:ascii="Times New Roman" w:eastAsia="SimSun" w:hAnsi="Times New Roman" w:cs="Times New Roman"/>
          <w:kern w:val="0"/>
          <w:lang w:eastAsia="zh-CN"/>
          <w14:ligatures w14:val="none"/>
        </w:rPr>
        <w:t xml:space="preserve"> practices not only reduced operational waste but also significantly improved patient throughput times, thereby enhancing </w:t>
      </w:r>
      <w:r w:rsidRPr="00D8206B">
        <w:rPr>
          <w:rFonts w:ascii="Times New Roman" w:eastAsia="SimSun" w:hAnsi="Times New Roman" w:cs="Times New Roman"/>
          <w:kern w:val="0"/>
          <w:lang w:val="en-GB" w:eastAsia="zh-CN"/>
          <w14:ligatures w14:val="none"/>
        </w:rPr>
        <w:t>quality service</w:t>
      </w:r>
      <w:r w:rsidRPr="00D8206B">
        <w:rPr>
          <w:rFonts w:ascii="Times New Roman" w:eastAsia="SimSun" w:hAnsi="Times New Roman" w:cs="Times New Roman"/>
          <w:kern w:val="0"/>
          <w:lang w:eastAsia="zh-CN"/>
          <w14:ligatures w14:val="none"/>
        </w:rPr>
        <w:t xml:space="preserve">. </w:t>
      </w:r>
    </w:p>
    <w:p w14:paraId="17C0365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Based on the empirical evidence from these studies, the following null hypothesis is proposed for the hotel industry in Rivers State, Nigeria:</w:t>
      </w:r>
    </w:p>
    <w:p w14:paraId="43F07C9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2</w:t>
      </w:r>
      <w:r w:rsidRPr="00D8206B">
        <w:rPr>
          <w:rFonts w:ascii="Times New Roman" w:eastAsia="SimSun" w:hAnsi="Times New Roman" w:cs="Times New Roman"/>
          <w:b/>
          <w:bCs/>
          <w:kern w:val="0"/>
          <w:lang w:eastAsia="zh-CN"/>
          <w14:ligatures w14:val="none"/>
        </w:rPr>
        <w:t>:</w:t>
      </w:r>
      <w:r w:rsidRPr="00D8206B">
        <w:rPr>
          <w:rFonts w:ascii="Times New Roman" w:eastAsia="SimSun" w:hAnsi="Times New Roman" w:cs="Times New Roman"/>
          <w:kern w:val="0"/>
          <w:lang w:eastAsia="zh-CN"/>
          <w14:ligatures w14:val="none"/>
        </w:rPr>
        <w:t xml:space="preserve"> There is no significant relationship between waste reduction practices and the timeliness of quality service delivery in the hotel industry in Rivers State, Nigeria.</w:t>
      </w:r>
    </w:p>
    <w:p w14:paraId="7BE9A64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val="en-GB" w:eastAsia="zh-CN"/>
          <w14:ligatures w14:val="none"/>
        </w:rPr>
      </w:pPr>
      <w:r w:rsidRPr="00D8206B">
        <w:rPr>
          <w:rFonts w:ascii="Times New Roman" w:eastAsia="SimSun" w:hAnsi="Times New Roman" w:cs="Times New Roman"/>
          <w:b/>
          <w:bCs/>
          <w:kern w:val="0"/>
          <w:lang w:val="en-GB" w:eastAsia="zh-CN"/>
          <w14:ligatures w14:val="none"/>
        </w:rPr>
        <w:t>2.3.3 Waste Reduction and Service Protocol</w:t>
      </w:r>
    </w:p>
    <w:p w14:paraId="4D9C7BF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Goldstein et al, (2008) tested whether changing the wording of an in-room towel card (a simple service protocol) could reduce laundering (a direct form of waste). In two field experiments at a commercial hotel the authors compared the standard environmental appeal card to descriptive-norm messages (e.g., “75% of guests reuse their towels”) and provincial norms (e.g., “guests in this room). The industry studied was commercial lodging (hotel); the setting was a U.S. hotel. The research design was two unobtrusive field experiments in situ, with room attendants recording towel placement as behavioral outcome; the sampling method was naturalistic sampling of hotel guests over the experiment windows (see the paper for detailed counts and assignment procedures). Analysis relied on experimental comparisons (chi-square tests and comparisons across conditions); findings showed that descriptive-norm appeals produced higher towel-reuse rates than the standard environmental appeal and that a provincial (immediate-context) norm often had the strongest effect, demonstrating that a tiny change to a service protocol (the message content of a guest card) reliably reduced laundering and related waste. </w:t>
      </w:r>
    </w:p>
    <w:p w14:paraId="074D410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Blenkharn’s</w:t>
      </w:r>
      <w:proofErr w:type="spellEnd"/>
      <w:r w:rsidRPr="00D8206B">
        <w:rPr>
          <w:rFonts w:ascii="Times New Roman" w:eastAsia="SimSun" w:hAnsi="Times New Roman" w:cs="Times New Roman"/>
          <w:kern w:val="0"/>
          <w:lang w:eastAsia="zh-CN"/>
          <w14:ligatures w14:val="none"/>
        </w:rPr>
        <w:t xml:space="preserve"> audits of clinical waste practice (2006, 2007) illustrate how formal clinical service protocols (waste-handling standards, storage and cart placement rules) are tied directly to waste containment and risk. The study audited clinical-waste handling in UK hospitals and reported systematic weaknesses poor cart security, inadequate storage segregation and examples of mixing streams that increase the volume of material requiring hazardous disposal and thus raise both waste and risk. The study was an observational audit across multiple hospitals (observational site audit design; purposive sampling of hospitals and wards), and analysis was descriptive with checklists and compliance tabulation; findings pointed to persistent implementation gaps despite existing codes of practice. </w:t>
      </w:r>
    </w:p>
    <w:p w14:paraId="39C3574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Bdour</w:t>
      </w:r>
      <w:proofErr w:type="spellEnd"/>
      <w:r w:rsidRPr="00D8206B">
        <w:rPr>
          <w:rFonts w:ascii="Times New Roman" w:eastAsia="SimSun" w:hAnsi="Times New Roman" w:cs="Times New Roman"/>
          <w:kern w:val="0"/>
          <w:lang w:eastAsia="zh-CN"/>
          <w14:ligatures w14:val="none"/>
        </w:rPr>
        <w:t xml:space="preserve"> et al. (2007) and Coker et al. (2009) provide corroborating cross-national evidence: facility-level surveys in Jordan (</w:t>
      </w:r>
      <w:proofErr w:type="spellStart"/>
      <w:r w:rsidRPr="00D8206B">
        <w:rPr>
          <w:rFonts w:ascii="Times New Roman" w:eastAsia="SimSun" w:hAnsi="Times New Roman" w:cs="Times New Roman"/>
          <w:kern w:val="0"/>
          <w:lang w:eastAsia="zh-CN"/>
          <w14:ligatures w14:val="none"/>
        </w:rPr>
        <w:t>Bdour</w:t>
      </w:r>
      <w:proofErr w:type="spellEnd"/>
      <w:r w:rsidRPr="00D8206B">
        <w:rPr>
          <w:rFonts w:ascii="Times New Roman" w:eastAsia="SimSun" w:hAnsi="Times New Roman" w:cs="Times New Roman"/>
          <w:kern w:val="0"/>
          <w:lang w:eastAsia="zh-CN"/>
          <w14:ligatures w14:val="none"/>
        </w:rPr>
        <w:t xml:space="preserve"> et al., 2007) and in Ibadan, Nigeria (Coker et al., 2009) used structured inventories and observational checklists and demonstrated that lack of segregation protocols and poor adherence led to mixing of kitchen, infectious and general wastes raising the volume and complexity of wastes needing costly treatment. Taken together these empirical audits show that rigorous, enforced service protocols for segregation and handling are a necessary condition for genuine waste reduction in healthcare and that mere existence of a rule is insufficient without implementation and staff training. </w:t>
      </w:r>
    </w:p>
    <w:p w14:paraId="15F8BE3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Based on these empirical reviews, a null hypothesis for the hotel industry in Rivers State, Nigeria, can be formulated as follows:</w:t>
      </w:r>
    </w:p>
    <w:p w14:paraId="02A672B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3</w:t>
      </w:r>
      <w:r w:rsidRPr="00D8206B">
        <w:rPr>
          <w:rFonts w:ascii="Times New Roman" w:eastAsia="SimSun" w:hAnsi="Times New Roman" w:cs="Times New Roman"/>
          <w:kern w:val="0"/>
          <w:lang w:eastAsia="zh-CN"/>
          <w14:ligatures w14:val="none"/>
        </w:rPr>
        <w:t xml:space="preserve"> There is no significant relationship between process waste reduction and service protocol in the hotel industry in Rivers State, Nigeria.</w:t>
      </w:r>
    </w:p>
    <w:p w14:paraId="468BA06F"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2.3.4 Process Optimization and Service Accuracy</w:t>
      </w:r>
    </w:p>
    <w:p w14:paraId="7596A6E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b/>
          <w:bCs/>
          <w:kern w:val="0"/>
          <w:lang w:eastAsia="zh-CN"/>
          <w14:ligatures w14:val="none"/>
        </w:rPr>
        <w:lastRenderedPageBreak/>
        <w:t>Alsmadi</w:t>
      </w:r>
      <w:proofErr w:type="spellEnd"/>
      <w:r w:rsidRPr="00D8206B">
        <w:rPr>
          <w:rFonts w:ascii="Times New Roman" w:eastAsia="SimSun" w:hAnsi="Times New Roman" w:cs="Times New Roman"/>
          <w:b/>
          <w:bCs/>
          <w:kern w:val="0"/>
          <w:lang w:val="en-GB" w:eastAsia="zh-CN"/>
          <w14:ligatures w14:val="none"/>
        </w:rPr>
        <w:t xml:space="preserve"> et al</w:t>
      </w:r>
      <w:r w:rsidRPr="00D8206B">
        <w:rPr>
          <w:rFonts w:ascii="Times New Roman" w:eastAsia="SimSun" w:hAnsi="Times New Roman" w:cs="Times New Roman"/>
          <w:b/>
          <w:bCs/>
          <w:kern w:val="0"/>
          <w:lang w:eastAsia="zh-CN"/>
          <w14:ligatures w14:val="none"/>
        </w:rPr>
        <w:t xml:space="preserve"> (2020)</w:t>
      </w:r>
      <w:r w:rsidRPr="00D8206B">
        <w:rPr>
          <w:rFonts w:ascii="Times New Roman" w:eastAsia="SimSun" w:hAnsi="Times New Roman" w:cs="Times New Roman"/>
          <w:b/>
          <w:bCs/>
          <w:kern w:val="0"/>
          <w:lang w:val="en-GB" w:eastAsia="zh-CN"/>
          <w14:ligatures w14:val="none"/>
        </w:rPr>
        <w:t xml:space="preserve"> </w:t>
      </w:r>
      <w:r w:rsidRPr="00D8206B">
        <w:rPr>
          <w:rFonts w:ascii="Times New Roman" w:eastAsia="SimSun" w:hAnsi="Times New Roman" w:cs="Times New Roman"/>
          <w:kern w:val="0"/>
          <w:lang w:val="en-GB" w:eastAsia="zh-CN"/>
          <w14:ligatures w14:val="none"/>
        </w:rPr>
        <w:t xml:space="preserve">on </w:t>
      </w:r>
      <w:r w:rsidRPr="00D8206B">
        <w:rPr>
          <w:rFonts w:ascii="Times New Roman" w:eastAsia="SimSun" w:hAnsi="Times New Roman" w:cs="Times New Roman"/>
          <w:i/>
          <w:iCs/>
          <w:kern w:val="0"/>
          <w:lang w:eastAsia="zh-CN"/>
          <w14:ligatures w14:val="none"/>
        </w:rPr>
        <w:t>lean six sigma implementation in the hospitality industry; evidence from the United Arab Emirates</w:t>
      </w:r>
      <w:r w:rsidRPr="00D8206B">
        <w:rPr>
          <w:rFonts w:ascii="Times New Roman" w:eastAsia="SimSun" w:hAnsi="Times New Roman" w:cs="Times New Roman"/>
          <w:kern w:val="0"/>
          <w:lang w:eastAsia="zh-CN"/>
          <w14:ligatures w14:val="none"/>
        </w:rPr>
        <w:t xml:space="preserve"> focused on the hospitality industry in the UAE. The study utilized a quantitative research design, with data collected through a survey of 150 hotels in Dubai. The sampling method was stratified random sampling, ensuring representation across different hotel categories. The authors employed Structural Equation Modeling (SEM) for data analysis, revealing that Lean Six Sigma significantly improves process optimization and service accuracy in hotels. The findings highlighted that hotel adopting Lean Six Sigma practices experienced a marked improvement in service accuracy, leading to higher customer satisfaction and operational efficiency.</w:t>
      </w:r>
    </w:p>
    <w:p w14:paraId="2F8CED7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Seth</w:t>
      </w:r>
      <w:r w:rsidRPr="00D8206B">
        <w:rPr>
          <w:rFonts w:ascii="Times New Roman" w:eastAsia="SimSun" w:hAnsi="Times New Roman" w:cs="Times New Roman"/>
          <w:b/>
          <w:bCs/>
          <w:kern w:val="0"/>
          <w:lang w:val="en-GB" w:eastAsia="zh-CN"/>
          <w14:ligatures w14:val="none"/>
        </w:rPr>
        <w:t xml:space="preserve"> et al</w:t>
      </w:r>
      <w:r w:rsidRPr="00D8206B">
        <w:rPr>
          <w:rFonts w:ascii="Times New Roman" w:eastAsia="SimSun" w:hAnsi="Times New Roman" w:cs="Times New Roman"/>
          <w:b/>
          <w:bCs/>
          <w:kern w:val="0"/>
          <w:lang w:eastAsia="zh-CN"/>
          <w14:ligatures w14:val="none"/>
        </w:rPr>
        <w:t xml:space="preserve"> (2005)</w:t>
      </w:r>
      <w:r w:rsidRPr="00D8206B">
        <w:rPr>
          <w:rFonts w:ascii="Times New Roman" w:eastAsia="SimSun" w:hAnsi="Times New Roman" w:cs="Times New Roman"/>
          <w:kern w:val="0"/>
          <w:lang w:eastAsia="zh-CN"/>
          <w14:ligatures w14:val="none"/>
        </w:rPr>
        <w:t xml:space="preserve"> examined the impact of total quality management (TQM) on service accuracy in the Indian banking sector. The study was conducted across 20 banks in India, with a sample size of 500 employees selected through purposive sampling. The authors used regression analysis to assess the relationship between TQM practices and service accuracy. The results indicated a positive correlation, suggesting that banks implementing TQM strategies reported higher levels of service accuracy, which in turn led to improved customer satisfaction and loyalty.</w:t>
      </w:r>
    </w:p>
    <w:p w14:paraId="4C7DCA83"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b/>
          <w:bCs/>
          <w:kern w:val="0"/>
          <w:lang w:eastAsia="zh-CN"/>
          <w14:ligatures w14:val="none"/>
        </w:rPr>
        <w:t xml:space="preserve">Ahmad and </w:t>
      </w:r>
      <w:proofErr w:type="spellStart"/>
      <w:r w:rsidRPr="00D8206B">
        <w:rPr>
          <w:rFonts w:ascii="Times New Roman" w:eastAsia="SimSun" w:hAnsi="Times New Roman" w:cs="Times New Roman"/>
          <w:b/>
          <w:bCs/>
          <w:kern w:val="0"/>
          <w:lang w:eastAsia="zh-CN"/>
          <w14:ligatures w14:val="none"/>
        </w:rPr>
        <w:t>Zakuan</w:t>
      </w:r>
      <w:proofErr w:type="spellEnd"/>
      <w:r w:rsidRPr="00D8206B">
        <w:rPr>
          <w:rFonts w:ascii="Times New Roman" w:eastAsia="SimSun" w:hAnsi="Times New Roman" w:cs="Times New Roman"/>
          <w:b/>
          <w:bCs/>
          <w:kern w:val="0"/>
          <w:lang w:eastAsia="zh-CN"/>
          <w14:ligatures w14:val="none"/>
        </w:rPr>
        <w:t xml:space="preserve"> (2016)</w:t>
      </w:r>
      <w:r w:rsidRPr="00D8206B">
        <w:rPr>
          <w:rFonts w:ascii="Times New Roman" w:eastAsia="SimSun" w:hAnsi="Times New Roman" w:cs="Times New Roman"/>
          <w:kern w:val="0"/>
          <w:lang w:eastAsia="zh-CN"/>
          <w14:ligatures w14:val="none"/>
        </w:rPr>
        <w:t xml:space="preserve"> explored the relationship between </w:t>
      </w:r>
      <w:r w:rsidRPr="00D8206B">
        <w:rPr>
          <w:rFonts w:ascii="Times New Roman" w:eastAsia="SimSun" w:hAnsi="Times New Roman" w:cs="Times New Roman"/>
          <w:kern w:val="0"/>
          <w:lang w:val="en-GB" w:eastAsia="zh-CN"/>
          <w14:ligatures w14:val="none"/>
        </w:rPr>
        <w:t>l</w:t>
      </w:r>
      <w:proofErr w:type="spellStart"/>
      <w:r w:rsidRPr="00D8206B">
        <w:rPr>
          <w:rFonts w:ascii="Times New Roman" w:eastAsia="SimSun" w:hAnsi="Times New Roman" w:cs="Times New Roman"/>
          <w:kern w:val="0"/>
          <w:lang w:eastAsia="zh-CN"/>
          <w14:ligatures w14:val="none"/>
        </w:rPr>
        <w:t>ean</w:t>
      </w:r>
      <w:proofErr w:type="spellEnd"/>
      <w:r w:rsidRPr="00D8206B">
        <w:rPr>
          <w:rFonts w:ascii="Times New Roman" w:eastAsia="SimSun" w:hAnsi="Times New Roman" w:cs="Times New Roman"/>
          <w:kern w:val="0"/>
          <w:lang w:eastAsia="zh-CN"/>
          <w14:ligatures w14:val="none"/>
        </w:rPr>
        <w:t xml:space="preserve"> management practices and </w:t>
      </w:r>
      <w:r w:rsidRPr="00D8206B">
        <w:rPr>
          <w:rFonts w:ascii="Times New Roman" w:eastAsia="SimSun" w:hAnsi="Times New Roman" w:cs="Times New Roman"/>
          <w:kern w:val="0"/>
          <w:lang w:val="en-GB" w:eastAsia="zh-CN"/>
          <w14:ligatures w14:val="none"/>
        </w:rPr>
        <w:t>Quality service</w:t>
      </w:r>
      <w:r w:rsidRPr="00D8206B">
        <w:rPr>
          <w:rFonts w:ascii="Times New Roman" w:eastAsia="SimSun" w:hAnsi="Times New Roman" w:cs="Times New Roman"/>
          <w:kern w:val="0"/>
          <w:lang w:eastAsia="zh-CN"/>
          <w14:ligatures w14:val="none"/>
        </w:rPr>
        <w:t xml:space="preserve"> in the manufacturing sector in Malaysia. Th</w:t>
      </w:r>
      <w:r w:rsidRPr="00D8206B">
        <w:rPr>
          <w:rFonts w:ascii="Times New Roman" w:eastAsia="SimSun" w:hAnsi="Times New Roman" w:cs="Times New Roman"/>
          <w:kern w:val="0"/>
          <w:lang w:val="en-GB" w:eastAsia="zh-CN"/>
          <w14:ligatures w14:val="none"/>
        </w:rPr>
        <w:t>e</w:t>
      </w:r>
      <w:r w:rsidRPr="00D8206B">
        <w:rPr>
          <w:rFonts w:ascii="Times New Roman" w:eastAsia="SimSun" w:hAnsi="Times New Roman" w:cs="Times New Roman"/>
          <w:kern w:val="0"/>
          <w:lang w:eastAsia="zh-CN"/>
          <w14:ligatures w14:val="none"/>
        </w:rPr>
        <w:t xml:space="preserve"> study used a mixed-method approach, incorporating both surveys and interviews. The sampling method was convenience sampling, with a sample size of 200 respondents from various automotive companies. Data were analyzed using both quantitative (factor analysis) and qualitative methods (thematic analysis). The findings suggested that Lean manufacturing practices significantly enhance </w:t>
      </w:r>
      <w:r w:rsidRPr="00D8206B">
        <w:rPr>
          <w:rFonts w:ascii="Times New Roman" w:eastAsia="SimSun" w:hAnsi="Times New Roman" w:cs="Times New Roman"/>
          <w:kern w:val="0"/>
          <w:lang w:val="en-GB" w:eastAsia="zh-CN"/>
          <w14:ligatures w14:val="none"/>
        </w:rPr>
        <w:t>Quality service</w:t>
      </w:r>
      <w:r w:rsidRPr="00D8206B">
        <w:rPr>
          <w:rFonts w:ascii="Times New Roman" w:eastAsia="SimSun" w:hAnsi="Times New Roman" w:cs="Times New Roman"/>
          <w:kern w:val="0"/>
          <w:lang w:eastAsia="zh-CN"/>
          <w14:ligatures w14:val="none"/>
        </w:rPr>
        <w:t xml:space="preserve">, specifically in terms of accuracy and reliability, thus reinforcing the importance of </w:t>
      </w:r>
      <w:r w:rsidRPr="00D8206B">
        <w:rPr>
          <w:rFonts w:ascii="Times New Roman" w:eastAsia="SimSun" w:hAnsi="Times New Roman" w:cs="Times New Roman"/>
          <w:kern w:val="0"/>
          <w:lang w:val="en-GB" w:eastAsia="zh-CN"/>
          <w14:ligatures w14:val="none"/>
        </w:rPr>
        <w:t>l</w:t>
      </w:r>
      <w:proofErr w:type="spellStart"/>
      <w:r w:rsidRPr="00D8206B">
        <w:rPr>
          <w:rFonts w:ascii="Times New Roman" w:eastAsia="SimSun" w:hAnsi="Times New Roman" w:cs="Times New Roman"/>
          <w:kern w:val="0"/>
          <w:lang w:eastAsia="zh-CN"/>
          <w14:ligatures w14:val="none"/>
        </w:rPr>
        <w:t>ean</w:t>
      </w:r>
      <w:proofErr w:type="spellEnd"/>
      <w:r w:rsidRPr="00D8206B">
        <w:rPr>
          <w:rFonts w:ascii="Times New Roman" w:eastAsia="SimSun" w:hAnsi="Times New Roman" w:cs="Times New Roman"/>
          <w:kern w:val="0"/>
          <w:lang w:eastAsia="zh-CN"/>
          <w14:ligatures w14:val="none"/>
        </w:rPr>
        <w:t xml:space="preserve"> practices in optimizing processes and improving service outcomes.</w:t>
      </w:r>
    </w:p>
    <w:p w14:paraId="10CEE1D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val="en-GB" w:eastAsia="zh-CN"/>
          <w14:ligatures w14:val="none"/>
        </w:rPr>
      </w:pPr>
      <w:r w:rsidRPr="00D8206B">
        <w:rPr>
          <w:rFonts w:ascii="Times New Roman" w:eastAsia="SimSun" w:hAnsi="Times New Roman" w:cs="Times New Roman"/>
          <w:kern w:val="0"/>
          <w:lang w:eastAsia="zh-CN"/>
          <w14:ligatures w14:val="none"/>
        </w:rPr>
        <w:t>Based on the empirical evidence from these studies, the following null hypothesis is proposed for further research in the hotel industry in Rivers State, Nigeria</w:t>
      </w:r>
      <w:r w:rsidRPr="00D8206B">
        <w:rPr>
          <w:rFonts w:ascii="Times New Roman" w:eastAsia="SimSun" w:hAnsi="Times New Roman" w:cs="Times New Roman"/>
          <w:kern w:val="0"/>
          <w:lang w:val="en-GB" w:eastAsia="zh-CN"/>
          <w14:ligatures w14:val="none"/>
        </w:rPr>
        <w:t>:</w:t>
      </w:r>
    </w:p>
    <w:p w14:paraId="6BBB2F00"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4</w:t>
      </w:r>
      <w:r w:rsidRPr="00D8206B">
        <w:rPr>
          <w:rFonts w:ascii="Times New Roman" w:eastAsia="SimSun" w:hAnsi="Times New Roman" w:cs="Times New Roman"/>
          <w:kern w:val="0"/>
          <w:lang w:eastAsia="zh-CN"/>
          <w14:ligatures w14:val="none"/>
        </w:rPr>
        <w:t xml:space="preserve"> There is no significant relationship between process optimization and service accuracy in the hotel industry in Rivers State, Nigeria.</w:t>
      </w:r>
    </w:p>
    <w:p w14:paraId="070705CB"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2.3.5 Process Optimization and Timely delivery</w:t>
      </w:r>
    </w:p>
    <w:p w14:paraId="3375FAB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Smith and Brown (2018) conducted a study</w:t>
      </w:r>
      <w:r w:rsidRPr="00D8206B">
        <w:rPr>
          <w:rFonts w:ascii="Times New Roman" w:eastAsia="SimSun" w:hAnsi="Times New Roman" w:cs="Times New Roman"/>
          <w:kern w:val="0"/>
          <w:lang w:val="en-GB" w:eastAsia="zh-CN"/>
          <w14:ligatures w14:val="none"/>
        </w:rPr>
        <w:t xml:space="preserve"> on </w:t>
      </w:r>
      <w:r w:rsidRPr="00D8206B">
        <w:rPr>
          <w:rFonts w:ascii="Times New Roman" w:eastAsia="SimSun" w:hAnsi="Times New Roman" w:cs="Times New Roman"/>
          <w:kern w:val="0"/>
          <w:lang w:eastAsia="zh-CN"/>
          <w14:ligatures w14:val="none"/>
        </w:rPr>
        <w:t xml:space="preserve">"process optimization in the retail sector: impacts on service efficiency," which focused on the retail industry in the United States. Their research employed a case study design with a sample size of 150 stores across different states. They used both qualitative and quantitative methods for data analysis, including interviews and operational performance metrics. The study found that process optimization through technology integration, such as inventory management systems, led to notable improvements in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and customer satisfaction </w:t>
      </w:r>
    </w:p>
    <w:p w14:paraId="501FFA4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Johnson et al. (2019) </w:t>
      </w:r>
      <w:r w:rsidRPr="00D8206B">
        <w:rPr>
          <w:rFonts w:ascii="Times New Roman" w:eastAsia="SimSun" w:hAnsi="Times New Roman" w:cs="Times New Roman"/>
          <w:kern w:val="0"/>
          <w:lang w:val="en-GB" w:eastAsia="zh-CN"/>
          <w14:ligatures w14:val="none"/>
        </w:rPr>
        <w:t xml:space="preserve">on </w:t>
      </w:r>
      <w:r w:rsidRPr="00D8206B">
        <w:rPr>
          <w:rFonts w:ascii="Times New Roman" w:eastAsia="SimSun" w:hAnsi="Times New Roman" w:cs="Times New Roman"/>
          <w:kern w:val="0"/>
          <w:lang w:eastAsia="zh-CN"/>
          <w14:ligatures w14:val="none"/>
        </w:rPr>
        <w:t xml:space="preserve">lean process optimization and patient wait times: A Hospital case study" examined the impact of Lean methodologies on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in hospitals in Canada. Utilizing a mixed-methods approach, the researchers conducted surveys and analyzed hospital records, with a sample size of 10 hospitals. Their findings indicated that Lean process improvements significantly reduced patient wait times and improved overall service delivery efficiency.</w:t>
      </w:r>
    </w:p>
    <w:p w14:paraId="75D1275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Zhao and Liu (2015) in their study on manufacturing process optimization: Effects on </w:t>
      </w:r>
      <w:r w:rsidRPr="00D8206B">
        <w:rPr>
          <w:rFonts w:ascii="Times New Roman" w:eastAsia="SimSun" w:hAnsi="Times New Roman" w:cs="Times New Roman"/>
          <w:kern w:val="0"/>
          <w:lang w:val="en-GB" w:eastAsia="zh-CN"/>
          <w14:ligatures w14:val="none"/>
        </w:rPr>
        <w:t>d</w:t>
      </w:r>
      <w:proofErr w:type="spellStart"/>
      <w:r w:rsidRPr="00D8206B">
        <w:rPr>
          <w:rFonts w:ascii="Times New Roman" w:eastAsia="SimSun" w:hAnsi="Times New Roman" w:cs="Times New Roman"/>
          <w:kern w:val="0"/>
          <w:lang w:eastAsia="zh-CN"/>
          <w14:ligatures w14:val="none"/>
        </w:rPr>
        <w:t>elivery</w:t>
      </w:r>
      <w:proofErr w:type="spellEnd"/>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kern w:val="0"/>
          <w:lang w:val="en-GB" w:eastAsia="zh-CN"/>
          <w14:ligatures w14:val="none"/>
        </w:rPr>
        <w:t>t</w:t>
      </w:r>
      <w:proofErr w:type="spellStart"/>
      <w:r w:rsidRPr="00D8206B">
        <w:rPr>
          <w:rFonts w:ascii="Times New Roman" w:eastAsia="SimSun" w:hAnsi="Times New Roman" w:cs="Times New Roman"/>
          <w:kern w:val="0"/>
          <w:lang w:eastAsia="zh-CN"/>
          <w14:ligatures w14:val="none"/>
        </w:rPr>
        <w:t>imeliness</w:t>
      </w:r>
      <w:proofErr w:type="spellEnd"/>
      <w:r w:rsidRPr="00D8206B">
        <w:rPr>
          <w:rFonts w:ascii="Times New Roman" w:eastAsia="SimSun" w:hAnsi="Times New Roman" w:cs="Times New Roman"/>
          <w:kern w:val="0"/>
          <w:lang w:eastAsia="zh-CN"/>
          <w14:ligatures w14:val="none"/>
        </w:rPr>
        <w:t>, which investigated the manufacturing sector in China. This study used a quasi-experimental design with a sample of 20 manufacturing firms. The researchers applied statistical analysis to production data and observed that process optimization techniques, such as Just-in-Time (JIT) and Total Quality Management (TQM), positively influenced delivery timeliness and customer satisfaction.</w:t>
      </w:r>
    </w:p>
    <w:p w14:paraId="73DE511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Based on the empirical evidence gathered, a potential null hypothesis for further investigation could be:</w:t>
      </w:r>
    </w:p>
    <w:p w14:paraId="32DA23E5"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 xml:space="preserve">5 </w:t>
      </w:r>
      <w:r w:rsidRPr="00D8206B">
        <w:rPr>
          <w:rFonts w:ascii="Times New Roman" w:eastAsia="SimSun" w:hAnsi="Times New Roman" w:cs="Times New Roman"/>
          <w:kern w:val="0"/>
          <w:lang w:eastAsia="zh-CN"/>
          <w14:ligatures w14:val="none"/>
        </w:rPr>
        <w:t xml:space="preserve">Process optimization does not significantly impact </w:t>
      </w:r>
      <w:r w:rsidRPr="00D8206B">
        <w:rPr>
          <w:rFonts w:ascii="Times New Roman" w:eastAsia="SimSun" w:hAnsi="Times New Roman" w:cs="Times New Roman"/>
          <w:kern w:val="0"/>
          <w:lang w:val="en-GB" w:eastAsia="zh-CN"/>
          <w14:ligatures w14:val="none"/>
        </w:rPr>
        <w:t>timely delivery</w:t>
      </w:r>
      <w:r w:rsidRPr="00D8206B">
        <w:rPr>
          <w:rFonts w:ascii="Times New Roman" w:eastAsia="SimSun" w:hAnsi="Times New Roman" w:cs="Times New Roman"/>
          <w:kern w:val="0"/>
          <w:lang w:eastAsia="zh-CN"/>
          <w14:ligatures w14:val="none"/>
        </w:rPr>
        <w:t xml:space="preserve"> in the hotel industry in Rivers State, Nigeria.</w:t>
      </w:r>
    </w:p>
    <w:p w14:paraId="759FCCBF"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2.3.6 Process Optimization and Service Protocol</w:t>
      </w:r>
    </w:p>
    <w:p w14:paraId="0E7EC34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King, Ben-</w:t>
      </w:r>
      <w:proofErr w:type="spellStart"/>
      <w:r w:rsidRPr="00D8206B">
        <w:rPr>
          <w:rFonts w:ascii="Times New Roman" w:eastAsia="SimSun" w:hAnsi="Times New Roman" w:cs="Times New Roman"/>
          <w:kern w:val="0"/>
          <w:lang w:eastAsia="zh-CN"/>
          <w14:ligatures w14:val="none"/>
        </w:rPr>
        <w:t>Tovim</w:t>
      </w:r>
      <w:proofErr w:type="spellEnd"/>
      <w:r w:rsidRPr="00D8206B">
        <w:rPr>
          <w:rFonts w:ascii="Times New Roman" w:eastAsia="SimSun" w:hAnsi="Times New Roman" w:cs="Times New Roman"/>
          <w:kern w:val="0"/>
          <w:lang w:eastAsia="zh-CN"/>
          <w14:ligatures w14:val="none"/>
        </w:rPr>
        <w:t xml:space="preserve"> and Bassham’s early work (mid-2000s) reported hospital redesign projects that explicitly tied formalized service protocols to improved patient flow. Their redesigns (emergency and outpatient workflows) used Lean-inspired mapping and a mix of scripted patient-flow protocols and staff role changes; design was applied intervention (case study) in hospital emergency/outpatient departments, sampling via purposive selection of units undergoing redesign, and analysis used before-after operational metrics (waiting times, throughput) and staff interviews. Results consistently showed that introducing standardized service protocols (clear triage scripts, rapid initial assessment rules, defined escalation pathways) improved flow and reduced waiting times because procedural clarity removed ambiguity and delays. Ben-Tovim’s Flinders Medical Centre redesign (Australia) and King’s Australian emergency redesign were influential early empirical demonstrations of the protocol lead to process-optimization link (see the cited program evaluations and subsequent reviews by Holden and others). </w:t>
      </w:r>
    </w:p>
    <w:p w14:paraId="3017745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Ben-</w:t>
      </w:r>
      <w:proofErr w:type="spellStart"/>
      <w:r w:rsidRPr="00D8206B">
        <w:rPr>
          <w:rFonts w:ascii="Times New Roman" w:eastAsia="SimSun" w:hAnsi="Times New Roman" w:cs="Times New Roman"/>
          <w:kern w:val="0"/>
          <w:lang w:eastAsia="zh-CN"/>
          <w14:ligatures w14:val="none"/>
        </w:rPr>
        <w:t>Tovim</w:t>
      </w:r>
      <w:proofErr w:type="spellEnd"/>
      <w:r w:rsidRPr="00D8206B">
        <w:rPr>
          <w:rFonts w:ascii="Times New Roman" w:eastAsia="SimSun" w:hAnsi="Times New Roman" w:cs="Times New Roman"/>
          <w:kern w:val="0"/>
          <w:lang w:eastAsia="zh-CN"/>
          <w14:ligatures w14:val="none"/>
        </w:rPr>
        <w:t xml:space="preserve"> et al.’s Flinders Medical Centre redesign (2008) provides an empirical example of system redesign where service protocols (new patient-stream rules, standardized order sets, team roles) were central. The industry was hospital acute care (Australia); the study used an applied redesign (action research / intervention) methodology with quantitative before-after performance measurement (length-of-stay, throughput) and qualitative staff feedback; sampling targeted the units undergoing redesign. Methods of analysis included time-series comparisons, descriptive statistics and thematic analysis of interview data. Findings showed substantive reductions in delays and a reallocation of staff effort toward value-adding tasks i.e., precise service protocols were essential to sustain the process improvements. </w:t>
      </w:r>
      <w:proofErr w:type="spellStart"/>
      <w:r w:rsidRPr="00D8206B">
        <w:rPr>
          <w:rFonts w:ascii="Times New Roman" w:eastAsia="SimSun" w:hAnsi="Times New Roman" w:cs="Times New Roman"/>
          <w:kern w:val="0"/>
          <w:lang w:eastAsia="zh-CN"/>
          <w14:ligatures w14:val="none"/>
        </w:rPr>
        <w:t>Mazzocato</w:t>
      </w:r>
      <w:proofErr w:type="spellEnd"/>
      <w:r w:rsidRPr="00D8206B">
        <w:rPr>
          <w:rFonts w:ascii="Times New Roman" w:eastAsia="SimSun" w:hAnsi="Times New Roman" w:cs="Times New Roman"/>
          <w:kern w:val="0"/>
          <w:lang w:eastAsia="zh-CN"/>
          <w14:ligatures w14:val="none"/>
        </w:rPr>
        <w:t xml:space="preserve"> (2012) and Vermeulen (2014) later provided rigorous mixed-methods and quasi-experimental evidence that protocolized lean changes reduce lead times in emergency care when organizational conditions (leadership, training) support them.</w:t>
      </w:r>
    </w:p>
    <w:p w14:paraId="0ED7ABE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Based on the empirical evidence gathered, a potential null hypothesis for further investigation could be: "</w:t>
      </w:r>
    </w:p>
    <w:p w14:paraId="02EAF63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 xml:space="preserve">6 </w:t>
      </w:r>
      <w:r w:rsidRPr="00D8206B">
        <w:rPr>
          <w:rFonts w:ascii="Times New Roman" w:eastAsia="SimSun" w:hAnsi="Times New Roman" w:cs="Times New Roman"/>
          <w:kern w:val="0"/>
          <w:lang w:eastAsia="zh-CN"/>
          <w14:ligatures w14:val="none"/>
        </w:rPr>
        <w:t xml:space="preserve">Process optimization does not significantly impact </w:t>
      </w:r>
      <w:r w:rsidRPr="00D8206B">
        <w:rPr>
          <w:rFonts w:ascii="Times New Roman" w:eastAsia="SimSun" w:hAnsi="Times New Roman" w:cs="Times New Roman"/>
          <w:kern w:val="0"/>
          <w:lang w:val="en-GB" w:eastAsia="zh-CN"/>
          <w14:ligatures w14:val="none"/>
        </w:rPr>
        <w:t>service protocol</w:t>
      </w:r>
      <w:r w:rsidRPr="00D8206B">
        <w:rPr>
          <w:rFonts w:ascii="Times New Roman" w:eastAsia="SimSun" w:hAnsi="Times New Roman" w:cs="Times New Roman"/>
          <w:kern w:val="0"/>
          <w:lang w:eastAsia="zh-CN"/>
          <w14:ligatures w14:val="none"/>
        </w:rPr>
        <w:t xml:space="preserve"> in the hotel industry in Rivers State, Nigeria</w:t>
      </w:r>
    </w:p>
    <w:p w14:paraId="0AF47D64"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2.3.7 Resource Efficiency and Service Accuracy</w:t>
      </w:r>
    </w:p>
    <w:p w14:paraId="607B1DE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Smith and Johnson (2019), </w:t>
      </w:r>
      <w:r w:rsidRPr="00D8206B">
        <w:rPr>
          <w:rFonts w:ascii="Times New Roman" w:eastAsia="SimSun" w:hAnsi="Times New Roman" w:cs="Times New Roman"/>
          <w:kern w:val="0"/>
          <w:lang w:val="en-GB" w:eastAsia="zh-CN"/>
          <w14:ligatures w14:val="none"/>
        </w:rPr>
        <w:t>examined</w:t>
      </w:r>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i/>
          <w:iCs/>
          <w:kern w:val="0"/>
          <w:lang w:eastAsia="zh-CN"/>
          <w14:ligatures w14:val="none"/>
        </w:rPr>
        <w:t>resource allocation in the healthcare sector: Impacts on service delivery,</w:t>
      </w:r>
      <w:r w:rsidRPr="00D8206B">
        <w:rPr>
          <w:rFonts w:ascii="Times New Roman" w:eastAsia="SimSun" w:hAnsi="Times New Roman" w:cs="Times New Roman"/>
          <w:kern w:val="0"/>
          <w:lang w:eastAsia="zh-CN"/>
          <w14:ligatures w14:val="none"/>
        </w:rPr>
        <w:t xml:space="preserve"> examines the healthcare industry in the United States. The researchers employed a quantitative research design using a cross-sectional survey. A stratified random sampling method was used to select 500 healthcare facilities across various states. The data were analyzed using multiple regression analysis, revealing a significant positive relationship between resource efficiency and the accuracy of service delivery.</w:t>
      </w:r>
    </w:p>
    <w:p w14:paraId="6E36F6B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Wang and Liu (2020) </w:t>
      </w:r>
      <w:r w:rsidRPr="00D8206B">
        <w:rPr>
          <w:rFonts w:ascii="Times New Roman" w:eastAsia="SimSun" w:hAnsi="Times New Roman" w:cs="Times New Roman"/>
          <w:i/>
          <w:iCs/>
          <w:kern w:val="0"/>
          <w:lang w:eastAsia="zh-CN"/>
          <w14:ligatures w14:val="none"/>
        </w:rPr>
        <w:t>resource efficiency and operational performance in the manufacturing industry: Evidence from China,</w:t>
      </w:r>
      <w:r w:rsidRPr="00D8206B">
        <w:rPr>
          <w:rFonts w:ascii="Times New Roman" w:eastAsia="SimSun" w:hAnsi="Times New Roman" w:cs="Times New Roman"/>
          <w:kern w:val="0"/>
          <w:lang w:eastAsia="zh-CN"/>
          <w14:ligatures w14:val="none"/>
        </w:rPr>
        <w:t xml:space="preserve"> focused on the manufacturing sector. This study was conducted across several provinces in China, employing a longitudinal research design. The researchers used purposive sampling to select 200 manufacturing firms that had undergone significant operational changes in the past decade. Structural equation modeling was utilized to analyze the data, and the findings indicated that firms that improved their resource efficiency experienced a marked improvement in service delivery accuracy, particularly in order fulfillment and product quality.</w:t>
      </w:r>
    </w:p>
    <w:p w14:paraId="4DA3597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Müller and Schmidt (2021) </w:t>
      </w:r>
      <w:r w:rsidRPr="00D8206B">
        <w:rPr>
          <w:rFonts w:ascii="Times New Roman" w:eastAsia="SimSun" w:hAnsi="Times New Roman" w:cs="Times New Roman"/>
          <w:kern w:val="0"/>
          <w:lang w:val="en-GB" w:eastAsia="zh-CN"/>
          <w14:ligatures w14:val="none"/>
        </w:rPr>
        <w:t>examined</w:t>
      </w:r>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i/>
          <w:iCs/>
          <w:kern w:val="0"/>
          <w:lang w:eastAsia="zh-CN"/>
          <w14:ligatures w14:val="none"/>
        </w:rPr>
        <w:t xml:space="preserve">impact of resource utilization on </w:t>
      </w:r>
      <w:r w:rsidRPr="00D8206B">
        <w:rPr>
          <w:rFonts w:ascii="Times New Roman" w:eastAsia="SimSun" w:hAnsi="Times New Roman" w:cs="Times New Roman"/>
          <w:i/>
          <w:iCs/>
          <w:kern w:val="0"/>
          <w:lang w:val="en-GB" w:eastAsia="zh-CN"/>
          <w14:ligatures w14:val="none"/>
        </w:rPr>
        <w:t>quality service</w:t>
      </w:r>
      <w:r w:rsidRPr="00D8206B">
        <w:rPr>
          <w:rFonts w:ascii="Times New Roman" w:eastAsia="SimSun" w:hAnsi="Times New Roman" w:cs="Times New Roman"/>
          <w:i/>
          <w:iCs/>
          <w:kern w:val="0"/>
          <w:lang w:eastAsia="zh-CN"/>
          <w14:ligatures w14:val="none"/>
        </w:rPr>
        <w:t xml:space="preserve"> in European telecommunications</w:t>
      </w:r>
      <w:r w:rsidRPr="00D8206B">
        <w:rPr>
          <w:rFonts w:ascii="Times New Roman" w:eastAsia="SimSun" w:hAnsi="Times New Roman" w:cs="Times New Roman"/>
          <w:kern w:val="0"/>
          <w:lang w:eastAsia="zh-CN"/>
          <w14:ligatures w14:val="none"/>
        </w:rPr>
        <w:t xml:space="preserve"> explored the relationship between resource efficiency and service delivery in Germany. This study adopted a mixed-methods approach, combining qualitative interviews with quantitative surveys. Using a convenience sampling method, 300 employees from various telecommunications companies were surveyed. The data were analyzed using thematic analysis and regression modeling. The findings suggested that efficient resource utilization was closely associated with increased service delivery accuracy, particularly in customer service operations, reducing the rate of service errors and improving overall customer satisfaction.</w:t>
      </w:r>
    </w:p>
    <w:p w14:paraId="0EAC10A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Based on the reviewed studies, it can be observed that resource efficiency consistently influences service delivery accuracy across various industries and regions. The findings underscore the importance of efficient resource management as a critical factor in enhancing the precision and reliability of services provided.</w:t>
      </w:r>
    </w:p>
    <w:p w14:paraId="7A07E27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val="en-GB"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7</w:t>
      </w:r>
      <w:r w:rsidRPr="00D8206B">
        <w:rPr>
          <w:rFonts w:ascii="Times New Roman" w:eastAsia="SimSun" w:hAnsi="Times New Roman" w:cs="Times New Roman"/>
          <w:kern w:val="0"/>
          <w:lang w:eastAsia="zh-CN"/>
          <w14:ligatures w14:val="none"/>
        </w:rPr>
        <w:t xml:space="preserve"> There is no significant relationship between resource efficiency and service delivery accuracy in </w:t>
      </w:r>
      <w:r w:rsidRPr="00D8206B">
        <w:rPr>
          <w:rFonts w:ascii="Times New Roman" w:eastAsia="SimSun" w:hAnsi="Times New Roman" w:cs="Times New Roman"/>
          <w:kern w:val="0"/>
          <w:lang w:val="en-GB" w:eastAsia="zh-CN"/>
          <w14:ligatures w14:val="none"/>
        </w:rPr>
        <w:t>Rivers State Hotel</w:t>
      </w:r>
    </w:p>
    <w:p w14:paraId="1B8886A4"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2.3.8 Resource Efficiency and Timely Delivery</w:t>
      </w:r>
    </w:p>
    <w:p w14:paraId="5FA2021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Okoro and Amadi (2020), </w:t>
      </w:r>
      <w:r w:rsidRPr="00D8206B">
        <w:rPr>
          <w:rFonts w:ascii="Times New Roman" w:eastAsia="SimSun" w:hAnsi="Times New Roman" w:cs="Times New Roman"/>
          <w:kern w:val="0"/>
          <w:lang w:val="en-GB" w:eastAsia="zh-CN"/>
          <w14:ligatures w14:val="none"/>
        </w:rPr>
        <w:t>examined</w:t>
      </w:r>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i/>
          <w:iCs/>
          <w:kern w:val="0"/>
          <w:lang w:eastAsia="zh-CN"/>
          <w14:ligatures w14:val="none"/>
        </w:rPr>
        <w:t xml:space="preserve">resource management practices and service delivery in the hospitality industry: A case study of hotels in </w:t>
      </w:r>
      <w:r w:rsidRPr="00D8206B">
        <w:rPr>
          <w:rFonts w:ascii="Times New Roman" w:eastAsia="SimSun" w:hAnsi="Times New Roman" w:cs="Times New Roman"/>
          <w:i/>
          <w:iCs/>
          <w:kern w:val="0"/>
          <w:lang w:val="en-GB" w:eastAsia="zh-CN"/>
          <w14:ligatures w14:val="none"/>
        </w:rPr>
        <w:t>R</w:t>
      </w:r>
      <w:proofErr w:type="spellStart"/>
      <w:r w:rsidRPr="00D8206B">
        <w:rPr>
          <w:rFonts w:ascii="Times New Roman" w:eastAsia="SimSun" w:hAnsi="Times New Roman" w:cs="Times New Roman"/>
          <w:i/>
          <w:iCs/>
          <w:kern w:val="0"/>
          <w:lang w:eastAsia="zh-CN"/>
          <w14:ligatures w14:val="none"/>
        </w:rPr>
        <w:t>ivers</w:t>
      </w:r>
      <w:proofErr w:type="spellEnd"/>
      <w:r w:rsidRPr="00D8206B">
        <w:rPr>
          <w:rFonts w:ascii="Times New Roman" w:eastAsia="SimSun" w:hAnsi="Times New Roman" w:cs="Times New Roman"/>
          <w:i/>
          <w:iCs/>
          <w:kern w:val="0"/>
          <w:lang w:eastAsia="zh-CN"/>
          <w14:ligatures w14:val="none"/>
        </w:rPr>
        <w:t xml:space="preserve"> </w:t>
      </w:r>
      <w:r w:rsidRPr="00D8206B">
        <w:rPr>
          <w:rFonts w:ascii="Times New Roman" w:eastAsia="SimSun" w:hAnsi="Times New Roman" w:cs="Times New Roman"/>
          <w:i/>
          <w:iCs/>
          <w:kern w:val="0"/>
          <w:lang w:val="en-GB" w:eastAsia="zh-CN"/>
          <w14:ligatures w14:val="none"/>
        </w:rPr>
        <w:t>S</w:t>
      </w:r>
      <w:proofErr w:type="spellStart"/>
      <w:r w:rsidRPr="00D8206B">
        <w:rPr>
          <w:rFonts w:ascii="Times New Roman" w:eastAsia="SimSun" w:hAnsi="Times New Roman" w:cs="Times New Roman"/>
          <w:i/>
          <w:iCs/>
          <w:kern w:val="0"/>
          <w:lang w:eastAsia="zh-CN"/>
          <w14:ligatures w14:val="none"/>
        </w:rPr>
        <w:t>tate</w:t>
      </w:r>
      <w:proofErr w:type="spellEnd"/>
      <w:r w:rsidRPr="00D8206B">
        <w:rPr>
          <w:rFonts w:ascii="Times New Roman" w:eastAsia="SimSun" w:hAnsi="Times New Roman" w:cs="Times New Roman"/>
          <w:i/>
          <w:iCs/>
          <w:kern w:val="0"/>
          <w:lang w:eastAsia="zh-CN"/>
          <w14:ligatures w14:val="none"/>
        </w:rPr>
        <w:t>,</w:t>
      </w:r>
      <w:r w:rsidRPr="00D8206B">
        <w:rPr>
          <w:rFonts w:ascii="Times New Roman" w:eastAsia="SimSun" w:hAnsi="Times New Roman" w:cs="Times New Roman"/>
          <w:kern w:val="0"/>
          <w:lang w:eastAsia="zh-CN"/>
          <w14:ligatures w14:val="none"/>
        </w:rPr>
        <w:t xml:space="preserve"> focused on the hotel industry in Rivers State, Nigeria. The authors adopted a quantitative research design, utilizing a survey method to collect data from 30 hotels within the region. A total of 150 staff members were sampled using a simple random sampling technique. Data were analyzed using Pearson correlation and multiple regression analysis. The findings revealed a positive correlation between resource efficiency particularly in the use of human and material resources and service delivery promptness.</w:t>
      </w:r>
    </w:p>
    <w:p w14:paraId="6537154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Eze and Nwankwo (2019) </w:t>
      </w:r>
      <w:r w:rsidRPr="00D8206B">
        <w:rPr>
          <w:rFonts w:ascii="Times New Roman" w:eastAsia="SimSun" w:hAnsi="Times New Roman" w:cs="Times New Roman"/>
          <w:kern w:val="0"/>
          <w:lang w:val="en-GB" w:eastAsia="zh-CN"/>
          <w14:ligatures w14:val="none"/>
        </w:rPr>
        <w:t>examined</w:t>
      </w:r>
      <w:r w:rsidRPr="00D8206B">
        <w:rPr>
          <w:rFonts w:ascii="Times New Roman" w:eastAsia="SimSun" w:hAnsi="Times New Roman" w:cs="Times New Roman"/>
          <w:kern w:val="0"/>
          <w:lang w:eastAsia="zh-CN"/>
          <w14:ligatures w14:val="none"/>
        </w:rPr>
        <w:t xml:space="preserve"> </w:t>
      </w:r>
      <w:r w:rsidRPr="00D8206B">
        <w:rPr>
          <w:rFonts w:ascii="Times New Roman" w:eastAsia="SimSun" w:hAnsi="Times New Roman" w:cs="Times New Roman"/>
          <w:i/>
          <w:iCs/>
          <w:kern w:val="0"/>
          <w:lang w:eastAsia="zh-CN"/>
          <w14:ligatures w14:val="none"/>
        </w:rPr>
        <w:t>impact of resource utilization on service delivery in the Nigerian Hospitality Sector</w:t>
      </w:r>
      <w:r w:rsidRPr="00D8206B">
        <w:rPr>
          <w:rFonts w:ascii="Times New Roman" w:eastAsia="SimSun" w:hAnsi="Times New Roman" w:cs="Times New Roman"/>
          <w:kern w:val="0"/>
          <w:lang w:eastAsia="zh-CN"/>
          <w14:ligatures w14:val="none"/>
        </w:rPr>
        <w:t xml:space="preserve"> explored the relationship between resource efficiency and service delivery promptness in hotels across the South-South region of Nigeria, including Rivers State. The study employed a mixed-methods research design, combining both qualitative interviews and quantitative surveys. A purposive sampling technique was used to select 20 hotels, with 200 respondents participating in the study. Data were analyzed using thematic analysis for the qualitative data and structural equation modeling (SEM) for the quantitative data. The results showed that efficient resource utilization significantly improved service delivery promptness, particularly in areas such as room service and check-in/check-out processes. </w:t>
      </w:r>
    </w:p>
    <w:p w14:paraId="0D3743D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Chukwu and </w:t>
      </w:r>
      <w:proofErr w:type="spellStart"/>
      <w:r w:rsidRPr="00D8206B">
        <w:rPr>
          <w:rFonts w:ascii="Times New Roman" w:eastAsia="SimSun" w:hAnsi="Times New Roman" w:cs="Times New Roman"/>
          <w:kern w:val="0"/>
          <w:lang w:eastAsia="zh-CN"/>
          <w14:ligatures w14:val="none"/>
        </w:rPr>
        <w:t>Ogbuagu</w:t>
      </w:r>
      <w:proofErr w:type="spellEnd"/>
      <w:r w:rsidRPr="00D8206B">
        <w:rPr>
          <w:rFonts w:ascii="Times New Roman" w:eastAsia="SimSun" w:hAnsi="Times New Roman" w:cs="Times New Roman"/>
          <w:kern w:val="0"/>
          <w:lang w:eastAsia="zh-CN"/>
          <w14:ligatures w14:val="none"/>
        </w:rPr>
        <w:t xml:space="preserve"> (2021) examined the effects of resource efficiency on operational performance in the hospitality industry. </w:t>
      </w:r>
      <w:r w:rsidRPr="00D8206B">
        <w:rPr>
          <w:rFonts w:ascii="Times New Roman" w:eastAsia="SimSun" w:hAnsi="Times New Roman" w:cs="Times New Roman"/>
          <w:i/>
          <w:iCs/>
          <w:kern w:val="0"/>
          <w:lang w:eastAsia="zh-CN"/>
          <w14:ligatures w14:val="none"/>
        </w:rPr>
        <w:t>A Study of the hospitality industry in Port Harcourt</w:t>
      </w:r>
      <w:r w:rsidRPr="00D8206B">
        <w:rPr>
          <w:rFonts w:ascii="Times New Roman" w:eastAsia="SimSun" w:hAnsi="Times New Roman" w:cs="Times New Roman"/>
          <w:kern w:val="0"/>
          <w:lang w:eastAsia="zh-CN"/>
          <w14:ligatures w14:val="none"/>
        </w:rPr>
        <w:t xml:space="preserve"> was centered on hotels in Port Harcourt, Rivers State. The study used a cross-sectional research design with data collected from 25 hotels through a structured questionnaire. The sample size consisted of 125 hotel employees selected through stratified random sampling. Data analysis was conducted using multiple regression analysis. The findings indicated that resource efficiency, particularly in energy management and staff allocation, had a significant impact on the promptness of service delivery.</w:t>
      </w:r>
    </w:p>
    <w:p w14:paraId="1C32782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Drawing from these studies, it is evident that resource efficiency plays a crucial role in enhancing service delivery promptness in the hotel industry in Rivers State. Efficient management of resources such as staff, energy, and materials not only improve operational performance but also ensures that services are delivered promptly, thereby increasing customer satisfaction.</w:t>
      </w:r>
    </w:p>
    <w:p w14:paraId="57386355"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8</w:t>
      </w:r>
      <w:r w:rsidRPr="00D8206B">
        <w:rPr>
          <w:rFonts w:ascii="Times New Roman" w:eastAsia="SimSun" w:hAnsi="Times New Roman" w:cs="Times New Roman"/>
          <w:kern w:val="0"/>
          <w:lang w:eastAsia="zh-CN"/>
          <w14:ligatures w14:val="none"/>
        </w:rPr>
        <w:t xml:space="preserve"> There is no significant relationship between resource efficiency and service delivery promptness in the hotel industry in Rivers State.</w:t>
      </w:r>
    </w:p>
    <w:p w14:paraId="294794B0" w14:textId="77777777" w:rsidR="00D8206B" w:rsidRPr="00D8206B" w:rsidRDefault="00D8206B" w:rsidP="00D8206B">
      <w:pPr>
        <w:spacing w:beforeAutospacing="1" w:after="0" w:afterAutospacing="1" w:line="240" w:lineRule="auto"/>
        <w:jc w:val="both"/>
        <w:rPr>
          <w:rFonts w:ascii="Times New Roman" w:eastAsia="SimSun" w:hAnsi="Times New Roman" w:cs="Times New Roman"/>
          <w:b/>
          <w:bCs/>
          <w:kern w:val="0"/>
          <w:lang w:val="en-GB" w:eastAsia="zh-CN"/>
          <w14:ligatures w14:val="none"/>
        </w:rPr>
      </w:pPr>
      <w:r w:rsidRPr="00D8206B">
        <w:rPr>
          <w:rFonts w:ascii="Times New Roman" w:eastAsia="SimSun" w:hAnsi="Times New Roman" w:cs="Times New Roman"/>
          <w:b/>
          <w:bCs/>
          <w:kern w:val="0"/>
          <w:lang w:val="en-GB" w:eastAsia="zh-CN"/>
          <w14:ligatures w14:val="none"/>
        </w:rPr>
        <w:t>2.3.9 Resource Efficiency and Service Protocol</w:t>
      </w:r>
    </w:p>
    <w:p w14:paraId="3A1FF17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lastRenderedPageBreak/>
        <w:t>Bohdanowicz</w:t>
      </w:r>
      <w:proofErr w:type="spellEnd"/>
      <w:r w:rsidRPr="00D8206B">
        <w:rPr>
          <w:rFonts w:ascii="Times New Roman" w:eastAsia="SimSun" w:hAnsi="Times New Roman" w:cs="Times New Roman"/>
          <w:kern w:val="0"/>
          <w:lang w:eastAsia="zh-CN"/>
          <w14:ligatures w14:val="none"/>
        </w:rPr>
        <w:t xml:space="preserve"> (2006) surveyed hotels in Sweden and Poland to examined how environmental initiatives many codified as service protocols (towel/linen reuse, energy-saving room procedures, laundry schedules) relate to measured resource use. The industry was hotels (hospitality) in Sweden and Poland; the study design was cross-sectional survey with convenience and purposive sampling of properties, plus benchmarking of resource indicators where possible. Analysis used descriptive and comparative statistics; findings showed that hotels that had formalized service protocols for guest-facing behaviors (e.g., linen reuse programs with explicit in-room instructions) and internal operational protocols (energy-saving housekeeping routines) reported lower water and energy per room and better environmental performance metrics</w:t>
      </w:r>
    </w:p>
    <w:p w14:paraId="7680222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Erdogan and Baris (2007) surveyed hotels in Ankara to document environmental protection programs and conservation practices; their cross-sectional survey (hospitality industry, Turkey) used stratified sampling across hotel classes and applied statistical comparison between adopters and non-adopters of protocols. Analysis included frequency tabulation and tests of association; results showed that hotels with formal in-room guest protocols (linen-reuse cards, key-card power cutoffs) and codified housekeeping protocols achieved measurable reductions in resource consumption indicators and were more likely to report cost savings. These findings echo broader hospitality research showing that resource-savings protocols when enforced and supported by monitoring translate into measurable efficiency improvements; Chan’s work (2008) adds that knowledge/skill and resource constraints are frequent obstacles to protocol adoption.</w:t>
      </w:r>
    </w:p>
    <w:p w14:paraId="2CABE30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Based on the insights gathered from these empirical studies, a tailored null hypothesis for the hotel industry in Rivers State is proposed</w:t>
      </w:r>
      <w:r w:rsidRPr="00D8206B">
        <w:rPr>
          <w:rFonts w:ascii="Times New Roman" w:eastAsia="SimSun" w:hAnsi="Times New Roman" w:cs="Times New Roman"/>
          <w:kern w:val="0"/>
          <w:lang w:val="en-GB" w:eastAsia="zh-CN"/>
          <w14:ligatures w14:val="none"/>
        </w:rPr>
        <w:t xml:space="preserve"> as</w:t>
      </w:r>
      <w:r w:rsidRPr="00D8206B">
        <w:rPr>
          <w:rFonts w:ascii="Times New Roman" w:eastAsia="SimSun" w:hAnsi="Times New Roman" w:cs="Times New Roman"/>
          <w:kern w:val="0"/>
          <w:lang w:eastAsia="zh-CN"/>
          <w14:ligatures w14:val="none"/>
        </w:rPr>
        <w:t>:</w:t>
      </w:r>
    </w:p>
    <w:p w14:paraId="5932474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val="en-GB" w:eastAsia="zh-CN"/>
          <w14:ligatures w14:val="none"/>
        </w:rPr>
      </w:pPr>
      <w:r w:rsidRPr="00D8206B">
        <w:rPr>
          <w:rFonts w:ascii="Times New Roman" w:eastAsia="SimSun" w:hAnsi="Times New Roman" w:cs="Times New Roman"/>
          <w:i/>
          <w:iCs/>
          <w:kern w:val="0"/>
          <w:lang w:eastAsia="zh-CN"/>
          <w14:ligatures w14:val="none"/>
        </w:rPr>
        <w:t>H</w:t>
      </w:r>
      <w:r w:rsidRPr="00D8206B">
        <w:rPr>
          <w:rFonts w:ascii="Times New Roman" w:eastAsia="SimSun" w:hAnsi="Times New Roman" w:cs="Times New Roman"/>
          <w:kern w:val="0"/>
          <w:vertAlign w:val="subscript"/>
          <w:lang w:eastAsia="zh-CN"/>
          <w14:ligatures w14:val="none"/>
        </w:rPr>
        <w:t>0</w:t>
      </w:r>
      <w:r w:rsidRPr="00D8206B">
        <w:rPr>
          <w:rFonts w:ascii="Times New Roman" w:eastAsia="SimSun" w:hAnsi="Times New Roman" w:cs="Times New Roman"/>
          <w:kern w:val="0"/>
          <w:lang w:eastAsia="zh-CN"/>
          <w14:ligatures w14:val="none"/>
        </w:rPr>
        <w:t>:</w:t>
      </w:r>
      <w:r w:rsidRPr="00D8206B">
        <w:rPr>
          <w:rFonts w:ascii="Times New Roman" w:eastAsia="SimSun" w:hAnsi="Times New Roman" w:cs="Times New Roman"/>
          <w:kern w:val="0"/>
          <w:lang w:val="en-GB" w:eastAsia="zh-CN"/>
          <w14:ligatures w14:val="none"/>
        </w:rPr>
        <w:t>9</w:t>
      </w:r>
      <w:r w:rsidRPr="00D8206B">
        <w:rPr>
          <w:rFonts w:ascii="Times New Roman" w:eastAsia="SimSun" w:hAnsi="Times New Roman" w:cs="Times New Roman"/>
          <w:kern w:val="0"/>
          <w:lang w:eastAsia="zh-CN"/>
          <w14:ligatures w14:val="none"/>
        </w:rPr>
        <w:t xml:space="preserve"> There is no significant relationship between resource efficiency and service protocol in the hotel industry in Rivers State.</w:t>
      </w:r>
    </w:p>
    <w:p w14:paraId="78E67684"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4. Methodology</w:t>
      </w:r>
    </w:p>
    <w:p w14:paraId="3C5D9778"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The study used a cross-sectional survey with a structured, self-administered questionnaire to capture a snapshot of how lean operations relate to quality service delivery. The target population was all hotels in Rivers State listed by the Nigerian Hotel Association (NHA) 290 registered hotels with the NHA register treated as the authoritative sampling frame. Using Taro Yamane’s formula, the researcher arrived at a sample of ≈31 hotels, and questionnaires were distributed equally across those participating hotels. Sampling &amp; data collection: A purposive, quota-based selection was applied (systematic pick at 10-item intervals from the NHA list) to select hotels and then up to eleven managerial respondents per hotel (e.g., GM, F&amp;B manager, front-desk supervisor, HR, housekeeping, head chef) to ensure information-rich responses from staff directly responsible for service procedures. Inclusion required managers to have at least 6–12 months in post; replacements of non-participants were by equivalent role to maintain balance. The questionnaire had four sections (demographics; lean operations; quality service delivery; organizational culture), used a 4-point Likert scale, and items for constructs (waste reduction, process optimization, resource efficiency; service accuracy, timely delivery, customer satisfaction) were adapted from established sources. Instrument quality &amp; analysis: Content and face validity were assured through literature review and supervisor review, with convergent/discriminant checks planned via PLS-SEM. Reliability was assessed with Cronbach’s alpha (0.70 threshold), and data screening (missing values, outliers, normality, multicollinearity) precedes analysis. The study employs Partial Least Squares Structural Equation Modeling (</w:t>
      </w:r>
      <w:proofErr w:type="spellStart"/>
      <w:r w:rsidRPr="00D8206B">
        <w:rPr>
          <w:rFonts w:ascii="Times New Roman" w:eastAsia="Times New Roman" w:hAnsi="Times New Roman" w:cs="Times New Roman"/>
          <w:kern w:val="0"/>
          <w14:ligatures w14:val="none"/>
        </w:rPr>
        <w:t>SmartPLS</w:t>
      </w:r>
      <w:proofErr w:type="spellEnd"/>
      <w:r w:rsidRPr="00D8206B">
        <w:rPr>
          <w:rFonts w:ascii="Times New Roman" w:eastAsia="Times New Roman" w:hAnsi="Times New Roman" w:cs="Times New Roman"/>
          <w:kern w:val="0"/>
          <w14:ligatures w14:val="none"/>
        </w:rPr>
        <w:t>) for measurement and structural model assessment to estimate relationships without strict distributional assumptions and to support prediction and causal-interpretation goals.</w:t>
      </w:r>
    </w:p>
    <w:p w14:paraId="6D88B7A0"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b/>
          <w:bCs/>
          <w:kern w:val="0"/>
          <w14:ligatures w14:val="none"/>
        </w:rPr>
      </w:pPr>
      <w:r w:rsidRPr="00D8206B">
        <w:rPr>
          <w:rFonts w:ascii="Times New Roman" w:eastAsia="Times New Roman" w:hAnsi="Times New Roman" w:cs="Times New Roman"/>
          <w:b/>
          <w:bCs/>
          <w:kern w:val="0"/>
          <w14:ligatures w14:val="none"/>
        </w:rPr>
        <w:t>5. Results and Findings</w:t>
      </w:r>
    </w:p>
    <w:p w14:paraId="30F95795" w14:textId="77777777" w:rsidR="00D8206B" w:rsidRPr="00D8206B" w:rsidRDefault="00D8206B" w:rsidP="00D8206B">
      <w:pPr>
        <w:spacing w:line="240" w:lineRule="auto"/>
        <w:jc w:val="both"/>
        <w:rPr>
          <w:rFonts w:ascii="Times New Roman" w:eastAsia="Calibri" w:hAnsi="Times New Roman" w:cs="Times New Roman"/>
          <w:kern w:val="0"/>
          <w:sz w:val="22"/>
          <w:szCs w:val="22"/>
          <w14:ligatures w14:val="none"/>
        </w:rPr>
      </w:pPr>
      <w:r w:rsidRPr="00D8206B">
        <w:rPr>
          <w:rFonts w:ascii="Times New Roman" w:eastAsia="0" w:hAnsi="Times New Roman" w:cs="Times New Roman"/>
          <w:b/>
          <w:bCs/>
          <w:color w:val="2B3942"/>
          <w14:ligatures w14:val="none"/>
        </w:rPr>
        <w:t xml:space="preserve">Table 1. This Table Shows the Convergent Validity of the Instrument. </w:t>
      </w:r>
    </w:p>
    <w:tbl>
      <w:tblPr>
        <w:tblW w:w="9570" w:type="dxa"/>
        <w:tblInd w:w="-113" w:type="dxa"/>
        <w:tblLayout w:type="fixed"/>
        <w:tblLook w:val="04A0" w:firstRow="1" w:lastRow="0" w:firstColumn="1" w:lastColumn="0" w:noHBand="0" w:noVBand="1"/>
      </w:tblPr>
      <w:tblGrid>
        <w:gridCol w:w="851"/>
        <w:gridCol w:w="4950"/>
        <w:gridCol w:w="900"/>
        <w:gridCol w:w="720"/>
        <w:gridCol w:w="630"/>
        <w:gridCol w:w="630"/>
        <w:gridCol w:w="889"/>
      </w:tblGrid>
      <w:tr w:rsidR="00D8206B" w:rsidRPr="00D8206B" w14:paraId="6875D440" w14:textId="77777777" w:rsidTr="00D00B3F">
        <w:tc>
          <w:tcPr>
            <w:tcW w:w="851" w:type="dxa"/>
            <w:tcBorders>
              <w:top w:val="single" w:sz="4" w:space="0" w:color="000000"/>
              <w:left w:val="single" w:sz="4" w:space="0" w:color="000000"/>
              <w:bottom w:val="single" w:sz="4" w:space="0" w:color="000000"/>
              <w:right w:val="single" w:sz="4" w:space="0" w:color="000000"/>
            </w:tcBorders>
          </w:tcPr>
          <w:p w14:paraId="68A1BCAD"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proofErr w:type="spellStart"/>
            <w:r w:rsidRPr="00D8206B">
              <w:rPr>
                <w:rFonts w:ascii="Times New Roman" w:eastAsia="Times New Roman" w:hAnsi="Times New Roman" w:cs="Times New Roman"/>
                <w:b/>
                <w:bCs/>
                <w:color w:val="000000"/>
                <w:kern w:val="0"/>
                <w:sz w:val="18"/>
                <w:szCs w:val="18"/>
                <w14:ligatures w14:val="none"/>
              </w:rPr>
              <w:t>Constru</w:t>
            </w:r>
            <w:proofErr w:type="spellEnd"/>
          </w:p>
        </w:tc>
        <w:tc>
          <w:tcPr>
            <w:tcW w:w="4950" w:type="dxa"/>
            <w:tcBorders>
              <w:top w:val="single" w:sz="4" w:space="0" w:color="000000"/>
              <w:left w:val="single" w:sz="4" w:space="0" w:color="000000"/>
              <w:bottom w:val="single" w:sz="4" w:space="0" w:color="000000"/>
              <w:right w:val="single" w:sz="4" w:space="0" w:color="000000"/>
            </w:tcBorders>
          </w:tcPr>
          <w:p w14:paraId="1FD038FA"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t>Items</w:t>
            </w:r>
          </w:p>
        </w:tc>
        <w:tc>
          <w:tcPr>
            <w:tcW w:w="900" w:type="dxa"/>
            <w:tcBorders>
              <w:top w:val="single" w:sz="4" w:space="0" w:color="000000"/>
              <w:left w:val="single" w:sz="4" w:space="0" w:color="000000"/>
              <w:bottom w:val="single" w:sz="4" w:space="0" w:color="000000"/>
            </w:tcBorders>
          </w:tcPr>
          <w:p w14:paraId="12269987"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t>Loading</w:t>
            </w:r>
          </w:p>
        </w:tc>
        <w:tc>
          <w:tcPr>
            <w:tcW w:w="720" w:type="dxa"/>
            <w:tcBorders>
              <w:top w:val="single" w:sz="4" w:space="0" w:color="000000"/>
              <w:left w:val="single" w:sz="4" w:space="0" w:color="000000"/>
              <w:bottom w:val="single" w:sz="4" w:space="0" w:color="000000"/>
              <w:right w:val="single" w:sz="4" w:space="0" w:color="000000"/>
            </w:tcBorders>
          </w:tcPr>
          <w:p w14:paraId="6DDC8730"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t>Alpha</w:t>
            </w:r>
          </w:p>
        </w:tc>
        <w:tc>
          <w:tcPr>
            <w:tcW w:w="630" w:type="dxa"/>
            <w:tcBorders>
              <w:top w:val="single" w:sz="4" w:space="0" w:color="000000"/>
              <w:left w:val="single" w:sz="4" w:space="0" w:color="000000"/>
              <w:bottom w:val="single" w:sz="4" w:space="0" w:color="000000"/>
              <w:right w:val="single" w:sz="4" w:space="0" w:color="000000"/>
            </w:tcBorders>
          </w:tcPr>
          <w:p w14:paraId="403B30A7"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t>CR</w:t>
            </w:r>
          </w:p>
        </w:tc>
        <w:tc>
          <w:tcPr>
            <w:tcW w:w="630" w:type="dxa"/>
            <w:tcBorders>
              <w:top w:val="single" w:sz="4" w:space="0" w:color="000000"/>
              <w:left w:val="single" w:sz="4" w:space="0" w:color="000000"/>
              <w:bottom w:val="single" w:sz="4" w:space="0" w:color="000000"/>
              <w:right w:val="single" w:sz="4" w:space="0" w:color="000000"/>
            </w:tcBorders>
          </w:tcPr>
          <w:p w14:paraId="39C64605"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t>AVE</w:t>
            </w:r>
          </w:p>
        </w:tc>
        <w:tc>
          <w:tcPr>
            <w:tcW w:w="889" w:type="dxa"/>
            <w:tcBorders>
              <w:top w:val="single" w:sz="4" w:space="0" w:color="000000"/>
              <w:left w:val="single" w:sz="4" w:space="0" w:color="000000"/>
              <w:bottom w:val="single" w:sz="4" w:space="0" w:color="000000"/>
              <w:right w:val="single" w:sz="4" w:space="0" w:color="000000"/>
            </w:tcBorders>
          </w:tcPr>
          <w:p w14:paraId="0678EF02"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t xml:space="preserve">Roots of </w:t>
            </w:r>
            <w:r w:rsidRPr="00D8206B">
              <w:rPr>
                <w:rFonts w:ascii="Times New Roman" w:eastAsia="Times New Roman" w:hAnsi="Times New Roman" w:cs="Times New Roman"/>
                <w:b/>
                <w:bCs/>
                <w:color w:val="000000"/>
                <w:kern w:val="0"/>
                <w:sz w:val="18"/>
                <w:szCs w:val="18"/>
                <w14:ligatures w14:val="none"/>
              </w:rPr>
              <w:lastRenderedPageBreak/>
              <w:t>AVEs</w:t>
            </w:r>
          </w:p>
        </w:tc>
      </w:tr>
      <w:tr w:rsidR="00D8206B" w:rsidRPr="00D8206B" w14:paraId="25C2B809" w14:textId="77777777" w:rsidTr="00D00B3F">
        <w:tc>
          <w:tcPr>
            <w:tcW w:w="851" w:type="dxa"/>
            <w:tcBorders>
              <w:top w:val="single" w:sz="4" w:space="0" w:color="000000"/>
              <w:left w:val="single" w:sz="4" w:space="0" w:color="000000"/>
              <w:bottom w:val="single" w:sz="4" w:space="0" w:color="000000"/>
              <w:right w:val="single" w:sz="4" w:space="0" w:color="000000"/>
            </w:tcBorders>
          </w:tcPr>
          <w:p w14:paraId="0B5C81C1"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lastRenderedPageBreak/>
              <w:t>WR</w:t>
            </w:r>
          </w:p>
        </w:tc>
        <w:tc>
          <w:tcPr>
            <w:tcW w:w="4950" w:type="dxa"/>
            <w:tcBorders>
              <w:top w:val="single" w:sz="4" w:space="0" w:color="000000"/>
              <w:left w:val="single" w:sz="4" w:space="0" w:color="000000"/>
              <w:bottom w:val="single" w:sz="4" w:space="0" w:color="000000"/>
              <w:right w:val="single" w:sz="4" w:space="0" w:color="000000"/>
            </w:tcBorders>
          </w:tcPr>
          <w:p w14:paraId="76EA8F2B"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Our hotel regularly identifies and eliminates non-value-adding activities in service delivery.</w:t>
            </w:r>
          </w:p>
        </w:tc>
        <w:tc>
          <w:tcPr>
            <w:tcW w:w="900" w:type="dxa"/>
            <w:tcBorders>
              <w:top w:val="single" w:sz="4" w:space="0" w:color="000000"/>
              <w:left w:val="single" w:sz="4" w:space="0" w:color="000000"/>
              <w:bottom w:val="single" w:sz="4" w:space="0" w:color="000000"/>
            </w:tcBorders>
          </w:tcPr>
          <w:p w14:paraId="1F835E75"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.865</w:t>
            </w:r>
          </w:p>
        </w:tc>
        <w:tc>
          <w:tcPr>
            <w:tcW w:w="720" w:type="dxa"/>
            <w:tcBorders>
              <w:top w:val="single" w:sz="4" w:space="0" w:color="000000"/>
              <w:left w:val="single" w:sz="4" w:space="0" w:color="000000"/>
              <w:bottom w:val="single" w:sz="4" w:space="0" w:color="000000"/>
              <w:right w:val="single" w:sz="4" w:space="0" w:color="000000"/>
            </w:tcBorders>
          </w:tcPr>
          <w:p w14:paraId="0DCB6F78"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912</w:t>
            </w:r>
          </w:p>
        </w:tc>
        <w:tc>
          <w:tcPr>
            <w:tcW w:w="630" w:type="dxa"/>
            <w:tcBorders>
              <w:top w:val="single" w:sz="4" w:space="0" w:color="000000"/>
              <w:left w:val="single" w:sz="4" w:space="0" w:color="000000"/>
              <w:bottom w:val="single" w:sz="4" w:space="0" w:color="000000"/>
              <w:right w:val="single" w:sz="4" w:space="0" w:color="000000"/>
            </w:tcBorders>
          </w:tcPr>
          <w:p w14:paraId="50801493"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0.934</w:t>
            </w:r>
          </w:p>
        </w:tc>
        <w:tc>
          <w:tcPr>
            <w:tcW w:w="630" w:type="dxa"/>
            <w:tcBorders>
              <w:top w:val="single" w:sz="4" w:space="0" w:color="000000"/>
              <w:left w:val="single" w:sz="4" w:space="0" w:color="000000"/>
              <w:bottom w:val="single" w:sz="4" w:space="0" w:color="000000"/>
              <w:right w:val="single" w:sz="4" w:space="0" w:color="000000"/>
            </w:tcBorders>
          </w:tcPr>
          <w:p w14:paraId="5CA23E44"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0.739</w:t>
            </w:r>
          </w:p>
        </w:tc>
        <w:tc>
          <w:tcPr>
            <w:tcW w:w="889" w:type="dxa"/>
            <w:tcBorders>
              <w:top w:val="single" w:sz="4" w:space="0" w:color="000000"/>
              <w:left w:val="single" w:sz="4" w:space="0" w:color="000000"/>
              <w:bottom w:val="single" w:sz="4" w:space="0" w:color="000000"/>
              <w:right w:val="single" w:sz="4" w:space="0" w:color="000000"/>
            </w:tcBorders>
          </w:tcPr>
          <w:p w14:paraId="573BA200"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0.860</w:t>
            </w:r>
          </w:p>
        </w:tc>
      </w:tr>
      <w:tr w:rsidR="00D8206B" w:rsidRPr="00D8206B" w14:paraId="584F6B30" w14:textId="77777777" w:rsidTr="00D00B3F">
        <w:tc>
          <w:tcPr>
            <w:tcW w:w="851" w:type="dxa"/>
            <w:tcBorders>
              <w:top w:val="single" w:sz="4" w:space="0" w:color="000000"/>
              <w:left w:val="single" w:sz="4" w:space="0" w:color="000000"/>
              <w:bottom w:val="single" w:sz="4" w:space="0" w:color="000000"/>
              <w:right w:val="single" w:sz="4" w:space="0" w:color="000000"/>
            </w:tcBorders>
          </w:tcPr>
          <w:p w14:paraId="3A1B098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3A49A58F"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We minimize errors in guest services by streamlining processes.</w:t>
            </w:r>
          </w:p>
        </w:tc>
        <w:tc>
          <w:tcPr>
            <w:tcW w:w="900" w:type="dxa"/>
            <w:tcBorders>
              <w:top w:val="single" w:sz="4" w:space="0" w:color="000000"/>
              <w:left w:val="single" w:sz="4" w:space="0" w:color="000000"/>
              <w:bottom w:val="single" w:sz="4" w:space="0" w:color="000000"/>
            </w:tcBorders>
          </w:tcPr>
          <w:p w14:paraId="36614228"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.853</w:t>
            </w:r>
          </w:p>
        </w:tc>
        <w:tc>
          <w:tcPr>
            <w:tcW w:w="720" w:type="dxa"/>
            <w:tcBorders>
              <w:top w:val="single" w:sz="4" w:space="0" w:color="000000"/>
              <w:left w:val="single" w:sz="4" w:space="0" w:color="000000"/>
              <w:bottom w:val="single" w:sz="4" w:space="0" w:color="000000"/>
              <w:right w:val="single" w:sz="4" w:space="0" w:color="000000"/>
            </w:tcBorders>
          </w:tcPr>
          <w:p w14:paraId="4C33BEE3"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782EF9CE"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D3250E4"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4E561AD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0E38F8F9" w14:textId="77777777" w:rsidTr="00D00B3F">
        <w:tc>
          <w:tcPr>
            <w:tcW w:w="851" w:type="dxa"/>
            <w:tcBorders>
              <w:top w:val="single" w:sz="4" w:space="0" w:color="000000"/>
              <w:left w:val="single" w:sz="4" w:space="0" w:color="000000"/>
              <w:bottom w:val="single" w:sz="4" w:space="0" w:color="000000"/>
              <w:right w:val="single" w:sz="4" w:space="0" w:color="000000"/>
            </w:tcBorders>
          </w:tcPr>
          <w:p w14:paraId="79CFF12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3963EB91"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Reducing waste has improved the accuracy of our service delivery.</w:t>
            </w:r>
          </w:p>
        </w:tc>
        <w:tc>
          <w:tcPr>
            <w:tcW w:w="900" w:type="dxa"/>
            <w:tcBorders>
              <w:top w:val="single" w:sz="4" w:space="0" w:color="000000"/>
              <w:left w:val="single" w:sz="4" w:space="0" w:color="000000"/>
              <w:bottom w:val="single" w:sz="4" w:space="0" w:color="000000"/>
            </w:tcBorders>
          </w:tcPr>
          <w:p w14:paraId="4950F7B6"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.880</w:t>
            </w:r>
          </w:p>
        </w:tc>
        <w:tc>
          <w:tcPr>
            <w:tcW w:w="720" w:type="dxa"/>
            <w:tcBorders>
              <w:top w:val="single" w:sz="4" w:space="0" w:color="000000"/>
              <w:left w:val="single" w:sz="4" w:space="0" w:color="000000"/>
              <w:bottom w:val="single" w:sz="4" w:space="0" w:color="000000"/>
              <w:right w:val="single" w:sz="4" w:space="0" w:color="000000"/>
            </w:tcBorders>
          </w:tcPr>
          <w:p w14:paraId="423BD96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0D0F5D65"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217EA88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13145621"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2D42DA3E" w14:textId="77777777" w:rsidTr="00D00B3F">
        <w:tc>
          <w:tcPr>
            <w:tcW w:w="851" w:type="dxa"/>
            <w:tcBorders>
              <w:left w:val="single" w:sz="4" w:space="0" w:color="000000"/>
              <w:bottom w:val="single" w:sz="4" w:space="0" w:color="000000"/>
              <w:right w:val="single" w:sz="4" w:space="0" w:color="000000"/>
            </w:tcBorders>
          </w:tcPr>
          <w:p w14:paraId="3AB418C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4950" w:type="dxa"/>
            <w:tcBorders>
              <w:left w:val="single" w:sz="4" w:space="0" w:color="000000"/>
              <w:bottom w:val="single" w:sz="4" w:space="0" w:color="000000"/>
              <w:right w:val="single" w:sz="4" w:space="0" w:color="000000"/>
            </w:tcBorders>
          </w:tcPr>
          <w:p w14:paraId="2A27B6EE"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We actively reduce waiting time for guests through process improvements.</w:t>
            </w:r>
          </w:p>
        </w:tc>
        <w:tc>
          <w:tcPr>
            <w:tcW w:w="900" w:type="dxa"/>
            <w:tcBorders>
              <w:left w:val="single" w:sz="4" w:space="0" w:color="000000"/>
              <w:bottom w:val="single" w:sz="4" w:space="0" w:color="000000"/>
            </w:tcBorders>
          </w:tcPr>
          <w:p w14:paraId="50A18F1E"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.831</w:t>
            </w:r>
          </w:p>
        </w:tc>
        <w:tc>
          <w:tcPr>
            <w:tcW w:w="720" w:type="dxa"/>
            <w:tcBorders>
              <w:left w:val="single" w:sz="4" w:space="0" w:color="000000"/>
              <w:bottom w:val="single" w:sz="4" w:space="0" w:color="000000"/>
              <w:right w:val="single" w:sz="4" w:space="0" w:color="000000"/>
            </w:tcBorders>
          </w:tcPr>
          <w:p w14:paraId="60FC56C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4B98F05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45485B3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left w:val="single" w:sz="4" w:space="0" w:color="000000"/>
              <w:bottom w:val="single" w:sz="4" w:space="0" w:color="000000"/>
              <w:right w:val="single" w:sz="4" w:space="0" w:color="000000"/>
            </w:tcBorders>
          </w:tcPr>
          <w:p w14:paraId="03DF6C1A"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27FC00CA" w14:textId="77777777" w:rsidTr="00D00B3F">
        <w:tc>
          <w:tcPr>
            <w:tcW w:w="851" w:type="dxa"/>
            <w:tcBorders>
              <w:top w:val="single" w:sz="4" w:space="0" w:color="000000"/>
              <w:left w:val="single" w:sz="4" w:space="0" w:color="000000"/>
              <w:bottom w:val="single" w:sz="4" w:space="0" w:color="000000"/>
              <w:right w:val="single" w:sz="4" w:space="0" w:color="000000"/>
            </w:tcBorders>
          </w:tcPr>
          <w:p w14:paraId="78BB4A3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441B5468"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18"/>
                <w:szCs w:val="18"/>
                <w14:ligatures w14:val="none"/>
              </w:rPr>
            </w:pPr>
            <w:r w:rsidRPr="00D8206B">
              <w:rPr>
                <w:rFonts w:ascii="Times New Roman" w:eastAsia="Calibri" w:hAnsi="Times New Roman" w:cs="Times New Roman"/>
                <w:kern w:val="0"/>
                <w:sz w:val="22"/>
                <w:szCs w:val="22"/>
                <w14:ligatures w14:val="none"/>
              </w:rPr>
              <w:t>Waste reduction measures have lowered operational costs without affecting service quality.</w:t>
            </w:r>
          </w:p>
        </w:tc>
        <w:tc>
          <w:tcPr>
            <w:tcW w:w="900" w:type="dxa"/>
            <w:tcBorders>
              <w:top w:val="single" w:sz="4" w:space="0" w:color="000000"/>
              <w:left w:val="single" w:sz="4" w:space="0" w:color="000000"/>
              <w:bottom w:val="single" w:sz="4" w:space="0" w:color="000000"/>
            </w:tcBorders>
          </w:tcPr>
          <w:p w14:paraId="6782029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r w:rsidRPr="00D8206B">
              <w:rPr>
                <w:rFonts w:ascii="Times New Roman" w:eastAsia="Times New Roman" w:hAnsi="Times New Roman" w:cs="Times New Roman"/>
                <w:color w:val="000000"/>
                <w:kern w:val="0"/>
                <w:sz w:val="18"/>
                <w:szCs w:val="18"/>
                <w14:ligatures w14:val="none"/>
              </w:rPr>
              <w:t>.849</w:t>
            </w:r>
          </w:p>
        </w:tc>
        <w:tc>
          <w:tcPr>
            <w:tcW w:w="720" w:type="dxa"/>
            <w:tcBorders>
              <w:top w:val="single" w:sz="4" w:space="0" w:color="000000"/>
              <w:left w:val="single" w:sz="4" w:space="0" w:color="000000"/>
              <w:bottom w:val="single" w:sz="4" w:space="0" w:color="000000"/>
              <w:right w:val="single" w:sz="4" w:space="0" w:color="000000"/>
            </w:tcBorders>
          </w:tcPr>
          <w:p w14:paraId="01AAD293"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115CF1D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5B6DE43"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4379854F"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002D323D" w14:textId="77777777" w:rsidTr="00D00B3F">
        <w:tc>
          <w:tcPr>
            <w:tcW w:w="851" w:type="dxa"/>
            <w:tcBorders>
              <w:top w:val="single" w:sz="4" w:space="0" w:color="000000"/>
              <w:left w:val="single" w:sz="4" w:space="0" w:color="000000"/>
              <w:bottom w:val="single" w:sz="4" w:space="0" w:color="000000"/>
              <w:right w:val="single" w:sz="4" w:space="0" w:color="000000"/>
            </w:tcBorders>
          </w:tcPr>
          <w:p w14:paraId="09B71E1A"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
                <w:bCs/>
                <w:kern w:val="0"/>
                <w:sz w:val="18"/>
                <w:szCs w:val="18"/>
                <w14:ligatures w14:val="none"/>
              </w:rPr>
              <w:t>PO</w:t>
            </w:r>
          </w:p>
        </w:tc>
        <w:tc>
          <w:tcPr>
            <w:tcW w:w="4950" w:type="dxa"/>
            <w:tcBorders>
              <w:top w:val="single" w:sz="4" w:space="0" w:color="000000"/>
              <w:left w:val="single" w:sz="4" w:space="0" w:color="000000"/>
              <w:bottom w:val="single" w:sz="4" w:space="0" w:color="000000"/>
              <w:right w:val="single" w:sz="4" w:space="0" w:color="000000"/>
            </w:tcBorders>
          </w:tcPr>
          <w:p w14:paraId="510A8151"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Optimized processes have reduced service delays.</w:t>
            </w:r>
          </w:p>
        </w:tc>
        <w:tc>
          <w:tcPr>
            <w:tcW w:w="900" w:type="dxa"/>
            <w:tcBorders>
              <w:top w:val="single" w:sz="4" w:space="0" w:color="000000"/>
              <w:left w:val="single" w:sz="4" w:space="0" w:color="000000"/>
              <w:bottom w:val="single" w:sz="4" w:space="0" w:color="000000"/>
            </w:tcBorders>
          </w:tcPr>
          <w:p w14:paraId="1B0FF145"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.868</w:t>
            </w:r>
          </w:p>
        </w:tc>
        <w:tc>
          <w:tcPr>
            <w:tcW w:w="720" w:type="dxa"/>
            <w:tcBorders>
              <w:top w:val="single" w:sz="4" w:space="0" w:color="000000"/>
              <w:left w:val="single" w:sz="4" w:space="0" w:color="000000"/>
              <w:bottom w:val="single" w:sz="4" w:space="0" w:color="000000"/>
              <w:right w:val="single" w:sz="4" w:space="0" w:color="000000"/>
            </w:tcBorders>
          </w:tcPr>
          <w:p w14:paraId="4DA7ACAC"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903</w:t>
            </w:r>
          </w:p>
        </w:tc>
        <w:tc>
          <w:tcPr>
            <w:tcW w:w="630" w:type="dxa"/>
            <w:tcBorders>
              <w:top w:val="single" w:sz="4" w:space="0" w:color="000000"/>
              <w:left w:val="single" w:sz="4" w:space="0" w:color="000000"/>
              <w:bottom w:val="single" w:sz="4" w:space="0" w:color="000000"/>
              <w:right w:val="single" w:sz="4" w:space="0" w:color="000000"/>
            </w:tcBorders>
          </w:tcPr>
          <w:p w14:paraId="34981CB3"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.928</w:t>
            </w:r>
          </w:p>
        </w:tc>
        <w:tc>
          <w:tcPr>
            <w:tcW w:w="630" w:type="dxa"/>
            <w:tcBorders>
              <w:top w:val="single" w:sz="4" w:space="0" w:color="000000"/>
              <w:left w:val="single" w:sz="4" w:space="0" w:color="000000"/>
              <w:bottom w:val="single" w:sz="4" w:space="0" w:color="000000"/>
              <w:right w:val="single" w:sz="4" w:space="0" w:color="000000"/>
            </w:tcBorders>
          </w:tcPr>
          <w:p w14:paraId="4A91CD2D"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.765</w:t>
            </w:r>
          </w:p>
        </w:tc>
        <w:tc>
          <w:tcPr>
            <w:tcW w:w="889" w:type="dxa"/>
            <w:tcBorders>
              <w:top w:val="single" w:sz="4" w:space="0" w:color="000000"/>
              <w:left w:val="single" w:sz="4" w:space="0" w:color="000000"/>
              <w:bottom w:val="single" w:sz="4" w:space="0" w:color="000000"/>
              <w:right w:val="single" w:sz="4" w:space="0" w:color="000000"/>
            </w:tcBorders>
          </w:tcPr>
          <w:p w14:paraId="5679227E"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0.875</w:t>
            </w:r>
          </w:p>
        </w:tc>
      </w:tr>
      <w:tr w:rsidR="00D8206B" w:rsidRPr="00D8206B" w14:paraId="3BC6EFC6" w14:textId="77777777" w:rsidTr="00D00B3F">
        <w:tc>
          <w:tcPr>
            <w:tcW w:w="851" w:type="dxa"/>
            <w:tcBorders>
              <w:top w:val="single" w:sz="4" w:space="0" w:color="000000"/>
              <w:left w:val="single" w:sz="4" w:space="0" w:color="000000"/>
              <w:bottom w:val="single" w:sz="4" w:space="0" w:color="000000"/>
              <w:right w:val="single" w:sz="4" w:space="0" w:color="000000"/>
            </w:tcBorders>
          </w:tcPr>
          <w:p w14:paraId="60ED084E"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00647062"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Technology is used to streamline service delivery processes.</w:t>
            </w:r>
          </w:p>
        </w:tc>
        <w:tc>
          <w:tcPr>
            <w:tcW w:w="900" w:type="dxa"/>
            <w:tcBorders>
              <w:top w:val="single" w:sz="4" w:space="0" w:color="000000"/>
              <w:left w:val="single" w:sz="4" w:space="0" w:color="000000"/>
              <w:bottom w:val="single" w:sz="4" w:space="0" w:color="000000"/>
            </w:tcBorders>
          </w:tcPr>
          <w:p w14:paraId="28380B83"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.907</w:t>
            </w:r>
          </w:p>
        </w:tc>
        <w:tc>
          <w:tcPr>
            <w:tcW w:w="720" w:type="dxa"/>
            <w:tcBorders>
              <w:top w:val="single" w:sz="4" w:space="0" w:color="000000"/>
              <w:left w:val="single" w:sz="4" w:space="0" w:color="000000"/>
              <w:bottom w:val="single" w:sz="4" w:space="0" w:color="000000"/>
              <w:right w:val="single" w:sz="4" w:space="0" w:color="000000"/>
            </w:tcBorders>
          </w:tcPr>
          <w:p w14:paraId="091E6501"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6E159301"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4CB57DAE"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69A360D6"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0AE9157C" w14:textId="77777777" w:rsidTr="00D00B3F">
        <w:tc>
          <w:tcPr>
            <w:tcW w:w="851" w:type="dxa"/>
            <w:tcBorders>
              <w:top w:val="single" w:sz="4" w:space="0" w:color="000000"/>
              <w:left w:val="single" w:sz="4" w:space="0" w:color="000000"/>
              <w:bottom w:val="single" w:sz="4" w:space="0" w:color="000000"/>
              <w:right w:val="single" w:sz="4" w:space="0" w:color="000000"/>
            </w:tcBorders>
          </w:tcPr>
          <w:p w14:paraId="59E94656"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653C2F0D"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Improved processes have enhanced consistency in service quality.</w:t>
            </w:r>
          </w:p>
        </w:tc>
        <w:tc>
          <w:tcPr>
            <w:tcW w:w="900" w:type="dxa"/>
            <w:tcBorders>
              <w:top w:val="single" w:sz="4" w:space="0" w:color="000000"/>
              <w:left w:val="single" w:sz="4" w:space="0" w:color="000000"/>
              <w:bottom w:val="single" w:sz="4" w:space="0" w:color="000000"/>
            </w:tcBorders>
          </w:tcPr>
          <w:p w14:paraId="50E5EF72"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.768</w:t>
            </w:r>
          </w:p>
        </w:tc>
        <w:tc>
          <w:tcPr>
            <w:tcW w:w="720" w:type="dxa"/>
            <w:tcBorders>
              <w:top w:val="single" w:sz="4" w:space="0" w:color="000000"/>
              <w:left w:val="single" w:sz="4" w:space="0" w:color="000000"/>
              <w:bottom w:val="single" w:sz="4" w:space="0" w:color="000000"/>
              <w:right w:val="single" w:sz="4" w:space="0" w:color="000000"/>
            </w:tcBorders>
          </w:tcPr>
          <w:p w14:paraId="201FCD9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7F1E15C1"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40358466"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60251D7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24989BB3" w14:textId="77777777" w:rsidTr="00D00B3F">
        <w:tc>
          <w:tcPr>
            <w:tcW w:w="851" w:type="dxa"/>
            <w:tcBorders>
              <w:top w:val="single" w:sz="4" w:space="0" w:color="000000"/>
              <w:left w:val="single" w:sz="4" w:space="0" w:color="000000"/>
              <w:bottom w:val="single" w:sz="4" w:space="0" w:color="000000"/>
              <w:right w:val="single" w:sz="4" w:space="0" w:color="000000"/>
            </w:tcBorders>
          </w:tcPr>
          <w:p w14:paraId="2AE9FE0E"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6DC427EA"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Process optimization has led to faster guest check-in/check-out times.</w:t>
            </w:r>
          </w:p>
        </w:tc>
        <w:tc>
          <w:tcPr>
            <w:tcW w:w="900" w:type="dxa"/>
            <w:tcBorders>
              <w:top w:val="single" w:sz="4" w:space="0" w:color="000000"/>
              <w:left w:val="single" w:sz="4" w:space="0" w:color="000000"/>
              <w:bottom w:val="single" w:sz="4" w:space="0" w:color="000000"/>
            </w:tcBorders>
          </w:tcPr>
          <w:p w14:paraId="193C2B21"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.946</w:t>
            </w:r>
          </w:p>
        </w:tc>
        <w:tc>
          <w:tcPr>
            <w:tcW w:w="720" w:type="dxa"/>
            <w:tcBorders>
              <w:top w:val="single" w:sz="4" w:space="0" w:color="000000"/>
              <w:left w:val="single" w:sz="4" w:space="0" w:color="000000"/>
              <w:bottom w:val="single" w:sz="4" w:space="0" w:color="000000"/>
              <w:right w:val="single" w:sz="4" w:space="0" w:color="000000"/>
            </w:tcBorders>
          </w:tcPr>
          <w:p w14:paraId="344F52DA"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622A421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0A359451"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4487B0D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770F06A2" w14:textId="77777777" w:rsidTr="00D00B3F">
        <w:tc>
          <w:tcPr>
            <w:tcW w:w="851" w:type="dxa"/>
            <w:tcBorders>
              <w:left w:val="single" w:sz="4" w:space="0" w:color="000000"/>
              <w:bottom w:val="single" w:sz="4" w:space="0" w:color="000000"/>
              <w:right w:val="single" w:sz="4" w:space="0" w:color="000000"/>
            </w:tcBorders>
          </w:tcPr>
          <w:p w14:paraId="0D99E936"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
                <w:bCs/>
                <w:kern w:val="0"/>
                <w:sz w:val="18"/>
                <w:szCs w:val="18"/>
                <w14:ligatures w14:val="none"/>
              </w:rPr>
              <w:t>RE</w:t>
            </w:r>
          </w:p>
        </w:tc>
        <w:tc>
          <w:tcPr>
            <w:tcW w:w="4950" w:type="dxa"/>
            <w:tcBorders>
              <w:left w:val="single" w:sz="4" w:space="0" w:color="000000"/>
              <w:bottom w:val="single" w:sz="4" w:space="0" w:color="000000"/>
              <w:right w:val="single" w:sz="4" w:space="0" w:color="000000"/>
            </w:tcBorders>
          </w:tcPr>
          <w:p w14:paraId="64948585"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bookmarkStart w:id="31" w:name="_GoBack_Copy_1_Copy_2"/>
            <w:bookmarkEnd w:id="31"/>
            <w:r w:rsidRPr="00D8206B">
              <w:rPr>
                <w:rFonts w:ascii="Times New Roman" w:eastAsia="Calibri" w:hAnsi="Times New Roman" w:cs="Times New Roman"/>
                <w:kern w:val="0"/>
                <w:sz w:val="22"/>
                <w:szCs w:val="22"/>
                <w14:ligatures w14:val="none"/>
              </w:rPr>
              <w:t>Staff scheduling is designed to minimize idle time.</w:t>
            </w:r>
          </w:p>
        </w:tc>
        <w:tc>
          <w:tcPr>
            <w:tcW w:w="900" w:type="dxa"/>
            <w:tcBorders>
              <w:left w:val="single" w:sz="4" w:space="0" w:color="000000"/>
              <w:bottom w:val="single" w:sz="4" w:space="0" w:color="000000"/>
            </w:tcBorders>
          </w:tcPr>
          <w:p w14:paraId="30D33568"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.946</w:t>
            </w:r>
          </w:p>
        </w:tc>
        <w:tc>
          <w:tcPr>
            <w:tcW w:w="720" w:type="dxa"/>
            <w:tcBorders>
              <w:left w:val="single" w:sz="4" w:space="0" w:color="000000"/>
              <w:bottom w:val="single" w:sz="4" w:space="0" w:color="000000"/>
              <w:right w:val="single" w:sz="4" w:space="0" w:color="000000"/>
            </w:tcBorders>
          </w:tcPr>
          <w:p w14:paraId="31B49473"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909</w:t>
            </w:r>
          </w:p>
        </w:tc>
        <w:tc>
          <w:tcPr>
            <w:tcW w:w="630" w:type="dxa"/>
            <w:tcBorders>
              <w:left w:val="single" w:sz="4" w:space="0" w:color="000000"/>
              <w:bottom w:val="single" w:sz="4" w:space="0" w:color="000000"/>
              <w:right w:val="single" w:sz="4" w:space="0" w:color="000000"/>
            </w:tcBorders>
          </w:tcPr>
          <w:p w14:paraId="77AFC60F"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.943</w:t>
            </w:r>
          </w:p>
        </w:tc>
        <w:tc>
          <w:tcPr>
            <w:tcW w:w="630" w:type="dxa"/>
            <w:tcBorders>
              <w:left w:val="single" w:sz="4" w:space="0" w:color="000000"/>
              <w:bottom w:val="single" w:sz="4" w:space="0" w:color="000000"/>
              <w:right w:val="single" w:sz="4" w:space="0" w:color="000000"/>
            </w:tcBorders>
          </w:tcPr>
          <w:p w14:paraId="2D4E15D3"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.848</w:t>
            </w:r>
          </w:p>
        </w:tc>
        <w:tc>
          <w:tcPr>
            <w:tcW w:w="889" w:type="dxa"/>
            <w:tcBorders>
              <w:left w:val="single" w:sz="4" w:space="0" w:color="000000"/>
              <w:bottom w:val="single" w:sz="4" w:space="0" w:color="000000"/>
              <w:right w:val="single" w:sz="4" w:space="0" w:color="000000"/>
            </w:tcBorders>
          </w:tcPr>
          <w:p w14:paraId="27A81A8B"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0.920</w:t>
            </w:r>
          </w:p>
        </w:tc>
      </w:tr>
      <w:tr w:rsidR="00D8206B" w:rsidRPr="00D8206B" w14:paraId="10598603" w14:textId="77777777" w:rsidTr="00D00B3F">
        <w:tc>
          <w:tcPr>
            <w:tcW w:w="851" w:type="dxa"/>
            <w:tcBorders>
              <w:left w:val="single" w:sz="4" w:space="0" w:color="000000"/>
              <w:bottom w:val="single" w:sz="4" w:space="0" w:color="000000"/>
              <w:right w:val="single" w:sz="4" w:space="0" w:color="000000"/>
            </w:tcBorders>
          </w:tcPr>
          <w:p w14:paraId="167E6147"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left w:val="single" w:sz="4" w:space="0" w:color="000000"/>
              <w:bottom w:val="single" w:sz="4" w:space="0" w:color="000000"/>
              <w:right w:val="single" w:sz="4" w:space="0" w:color="000000"/>
            </w:tcBorders>
          </w:tcPr>
          <w:p w14:paraId="09668DFA"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Material resources are utilized efficiently to avoid waste.</w:t>
            </w:r>
          </w:p>
        </w:tc>
        <w:tc>
          <w:tcPr>
            <w:tcW w:w="900" w:type="dxa"/>
            <w:tcBorders>
              <w:left w:val="single" w:sz="4" w:space="0" w:color="000000"/>
              <w:bottom w:val="single" w:sz="4" w:space="0" w:color="000000"/>
            </w:tcBorders>
          </w:tcPr>
          <w:p w14:paraId="3E61779A"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.857</w:t>
            </w:r>
          </w:p>
        </w:tc>
        <w:tc>
          <w:tcPr>
            <w:tcW w:w="720" w:type="dxa"/>
            <w:tcBorders>
              <w:left w:val="single" w:sz="4" w:space="0" w:color="000000"/>
              <w:bottom w:val="single" w:sz="4" w:space="0" w:color="000000"/>
              <w:right w:val="single" w:sz="4" w:space="0" w:color="000000"/>
            </w:tcBorders>
          </w:tcPr>
          <w:p w14:paraId="3C36293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04D8B7E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0914730A"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left w:val="single" w:sz="4" w:space="0" w:color="000000"/>
              <w:bottom w:val="single" w:sz="4" w:space="0" w:color="000000"/>
              <w:right w:val="single" w:sz="4" w:space="0" w:color="000000"/>
            </w:tcBorders>
          </w:tcPr>
          <w:p w14:paraId="708DF0BD"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48E2E9D8" w14:textId="77777777" w:rsidTr="00D00B3F">
        <w:tc>
          <w:tcPr>
            <w:tcW w:w="851" w:type="dxa"/>
            <w:tcBorders>
              <w:left w:val="single" w:sz="4" w:space="0" w:color="000000"/>
              <w:bottom w:val="single" w:sz="4" w:space="0" w:color="000000"/>
              <w:right w:val="single" w:sz="4" w:space="0" w:color="000000"/>
            </w:tcBorders>
          </w:tcPr>
          <w:p w14:paraId="5576E49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left w:val="single" w:sz="4" w:space="0" w:color="000000"/>
              <w:bottom w:val="single" w:sz="4" w:space="0" w:color="000000"/>
              <w:right w:val="single" w:sz="4" w:space="0" w:color="000000"/>
            </w:tcBorders>
          </w:tcPr>
          <w:p w14:paraId="4D2CB4AC"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Resource efficiency has improved service delivery promptness.</w:t>
            </w:r>
          </w:p>
        </w:tc>
        <w:tc>
          <w:tcPr>
            <w:tcW w:w="900" w:type="dxa"/>
            <w:tcBorders>
              <w:left w:val="single" w:sz="4" w:space="0" w:color="000000"/>
              <w:bottom w:val="single" w:sz="4" w:space="0" w:color="000000"/>
            </w:tcBorders>
          </w:tcPr>
          <w:p w14:paraId="471C0453"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.895</w:t>
            </w:r>
          </w:p>
        </w:tc>
        <w:tc>
          <w:tcPr>
            <w:tcW w:w="720" w:type="dxa"/>
            <w:tcBorders>
              <w:left w:val="single" w:sz="4" w:space="0" w:color="000000"/>
              <w:bottom w:val="single" w:sz="4" w:space="0" w:color="000000"/>
              <w:right w:val="single" w:sz="4" w:space="0" w:color="000000"/>
            </w:tcBorders>
          </w:tcPr>
          <w:p w14:paraId="18DEB5D4"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32F2390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1183293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left w:val="single" w:sz="4" w:space="0" w:color="000000"/>
              <w:bottom w:val="single" w:sz="4" w:space="0" w:color="000000"/>
              <w:right w:val="single" w:sz="4" w:space="0" w:color="000000"/>
            </w:tcBorders>
          </w:tcPr>
          <w:p w14:paraId="6FD13B75"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37F9F865" w14:textId="77777777" w:rsidTr="00D00B3F">
        <w:tc>
          <w:tcPr>
            <w:tcW w:w="851" w:type="dxa"/>
            <w:tcBorders>
              <w:left w:val="single" w:sz="4" w:space="0" w:color="000000"/>
              <w:bottom w:val="single" w:sz="4" w:space="0" w:color="000000"/>
              <w:right w:val="single" w:sz="4" w:space="0" w:color="000000"/>
            </w:tcBorders>
          </w:tcPr>
          <w:p w14:paraId="4431E48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left w:val="single" w:sz="4" w:space="0" w:color="000000"/>
              <w:bottom w:val="single" w:sz="4" w:space="0" w:color="000000"/>
              <w:right w:val="single" w:sz="4" w:space="0" w:color="000000"/>
            </w:tcBorders>
          </w:tcPr>
          <w:p w14:paraId="4917E4F5"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Equipment and facilities are maintained to maximize performance.</w:t>
            </w:r>
          </w:p>
        </w:tc>
        <w:tc>
          <w:tcPr>
            <w:tcW w:w="900" w:type="dxa"/>
            <w:tcBorders>
              <w:left w:val="single" w:sz="4" w:space="0" w:color="000000"/>
              <w:bottom w:val="single" w:sz="4" w:space="0" w:color="000000"/>
            </w:tcBorders>
          </w:tcPr>
          <w:p w14:paraId="34B75868"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956</w:t>
            </w:r>
          </w:p>
        </w:tc>
        <w:tc>
          <w:tcPr>
            <w:tcW w:w="720" w:type="dxa"/>
            <w:tcBorders>
              <w:left w:val="single" w:sz="4" w:space="0" w:color="000000"/>
              <w:bottom w:val="single" w:sz="4" w:space="0" w:color="000000"/>
              <w:right w:val="single" w:sz="4" w:space="0" w:color="000000"/>
            </w:tcBorders>
          </w:tcPr>
          <w:p w14:paraId="78C7599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12C5889F"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3F16F23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left w:val="single" w:sz="4" w:space="0" w:color="000000"/>
              <w:bottom w:val="single" w:sz="4" w:space="0" w:color="000000"/>
              <w:right w:val="single" w:sz="4" w:space="0" w:color="000000"/>
            </w:tcBorders>
          </w:tcPr>
          <w:p w14:paraId="6E57C3A8"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1B08876F" w14:textId="77777777" w:rsidTr="00D00B3F">
        <w:tc>
          <w:tcPr>
            <w:tcW w:w="851" w:type="dxa"/>
            <w:tcBorders>
              <w:top w:val="single" w:sz="4" w:space="0" w:color="000000"/>
              <w:left w:val="single" w:sz="4" w:space="0" w:color="000000"/>
              <w:bottom w:val="single" w:sz="4" w:space="0" w:color="000000"/>
              <w:right w:val="single" w:sz="4" w:space="0" w:color="000000"/>
            </w:tcBorders>
          </w:tcPr>
          <w:p w14:paraId="0BBB17FB"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
                <w:bCs/>
                <w:kern w:val="0"/>
                <w:sz w:val="18"/>
                <w:szCs w:val="18"/>
                <w14:ligatures w14:val="none"/>
              </w:rPr>
              <w:t>SA</w:t>
            </w:r>
          </w:p>
        </w:tc>
        <w:tc>
          <w:tcPr>
            <w:tcW w:w="4950" w:type="dxa"/>
            <w:tcBorders>
              <w:top w:val="single" w:sz="4" w:space="0" w:color="000000"/>
              <w:left w:val="single" w:sz="4" w:space="0" w:color="000000"/>
              <w:bottom w:val="single" w:sz="4" w:space="0" w:color="000000"/>
              <w:right w:val="single" w:sz="4" w:space="0" w:color="000000"/>
            </w:tcBorders>
          </w:tcPr>
          <w:p w14:paraId="2393B122"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Our hotel delivers services exactly as promised.</w:t>
            </w:r>
          </w:p>
        </w:tc>
        <w:tc>
          <w:tcPr>
            <w:tcW w:w="900" w:type="dxa"/>
            <w:tcBorders>
              <w:top w:val="single" w:sz="4" w:space="0" w:color="000000"/>
              <w:left w:val="single" w:sz="4" w:space="0" w:color="000000"/>
              <w:bottom w:val="single" w:sz="4" w:space="0" w:color="000000"/>
            </w:tcBorders>
          </w:tcPr>
          <w:p w14:paraId="73FF1A9F"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.884</w:t>
            </w:r>
          </w:p>
        </w:tc>
        <w:tc>
          <w:tcPr>
            <w:tcW w:w="720" w:type="dxa"/>
            <w:tcBorders>
              <w:top w:val="single" w:sz="4" w:space="0" w:color="000000"/>
              <w:left w:val="single" w:sz="4" w:space="0" w:color="000000"/>
              <w:bottom w:val="single" w:sz="4" w:space="0" w:color="000000"/>
              <w:right w:val="single" w:sz="4" w:space="0" w:color="000000"/>
            </w:tcBorders>
          </w:tcPr>
          <w:p w14:paraId="1CAD4B96"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951</w:t>
            </w:r>
          </w:p>
        </w:tc>
        <w:tc>
          <w:tcPr>
            <w:tcW w:w="630" w:type="dxa"/>
            <w:tcBorders>
              <w:top w:val="single" w:sz="4" w:space="0" w:color="000000"/>
              <w:left w:val="single" w:sz="4" w:space="0" w:color="000000"/>
              <w:bottom w:val="single" w:sz="4" w:space="0" w:color="000000"/>
              <w:right w:val="single" w:sz="4" w:space="0" w:color="000000"/>
            </w:tcBorders>
          </w:tcPr>
          <w:p w14:paraId="3F397CDA"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.963</w:t>
            </w:r>
          </w:p>
        </w:tc>
        <w:tc>
          <w:tcPr>
            <w:tcW w:w="630" w:type="dxa"/>
            <w:tcBorders>
              <w:top w:val="single" w:sz="4" w:space="0" w:color="000000"/>
              <w:left w:val="single" w:sz="4" w:space="0" w:color="000000"/>
              <w:bottom w:val="single" w:sz="4" w:space="0" w:color="000000"/>
              <w:right w:val="single" w:sz="4" w:space="0" w:color="000000"/>
            </w:tcBorders>
          </w:tcPr>
          <w:p w14:paraId="1B779C5A"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.838</w:t>
            </w:r>
          </w:p>
        </w:tc>
        <w:tc>
          <w:tcPr>
            <w:tcW w:w="889" w:type="dxa"/>
            <w:tcBorders>
              <w:top w:val="single" w:sz="4" w:space="0" w:color="000000"/>
              <w:left w:val="single" w:sz="4" w:space="0" w:color="000000"/>
              <w:bottom w:val="single" w:sz="4" w:space="0" w:color="000000"/>
              <w:right w:val="single" w:sz="4" w:space="0" w:color="000000"/>
            </w:tcBorders>
          </w:tcPr>
          <w:p w14:paraId="56B5E469"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0.915</w:t>
            </w:r>
          </w:p>
        </w:tc>
      </w:tr>
      <w:tr w:rsidR="00D8206B" w:rsidRPr="00D8206B" w14:paraId="4AFAD288" w14:textId="77777777" w:rsidTr="00D00B3F">
        <w:tc>
          <w:tcPr>
            <w:tcW w:w="851" w:type="dxa"/>
            <w:tcBorders>
              <w:top w:val="single" w:sz="4" w:space="0" w:color="000000"/>
              <w:left w:val="single" w:sz="4" w:space="0" w:color="000000"/>
              <w:bottom w:val="single" w:sz="4" w:space="0" w:color="000000"/>
              <w:right w:val="single" w:sz="4" w:space="0" w:color="000000"/>
            </w:tcBorders>
          </w:tcPr>
          <w:p w14:paraId="31406765"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0ECB5EC4"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Guests receive correct orders or services the first time.</w:t>
            </w:r>
          </w:p>
        </w:tc>
        <w:tc>
          <w:tcPr>
            <w:tcW w:w="900" w:type="dxa"/>
            <w:tcBorders>
              <w:top w:val="single" w:sz="4" w:space="0" w:color="000000"/>
              <w:left w:val="single" w:sz="4" w:space="0" w:color="000000"/>
              <w:bottom w:val="single" w:sz="4" w:space="0" w:color="000000"/>
            </w:tcBorders>
          </w:tcPr>
          <w:p w14:paraId="2AFF4D36"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.905</w:t>
            </w:r>
          </w:p>
        </w:tc>
        <w:tc>
          <w:tcPr>
            <w:tcW w:w="720" w:type="dxa"/>
            <w:tcBorders>
              <w:top w:val="single" w:sz="4" w:space="0" w:color="000000"/>
              <w:left w:val="single" w:sz="4" w:space="0" w:color="000000"/>
              <w:bottom w:val="single" w:sz="4" w:space="0" w:color="000000"/>
              <w:right w:val="single" w:sz="4" w:space="0" w:color="000000"/>
            </w:tcBorders>
          </w:tcPr>
          <w:p w14:paraId="1F41D973"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C3FD98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78891E8E"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3F6619D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6D5B0FA5" w14:textId="77777777" w:rsidTr="00D00B3F">
        <w:tc>
          <w:tcPr>
            <w:tcW w:w="851" w:type="dxa"/>
            <w:tcBorders>
              <w:top w:val="single" w:sz="4" w:space="0" w:color="000000"/>
              <w:left w:val="single" w:sz="4" w:space="0" w:color="000000"/>
              <w:bottom w:val="single" w:sz="4" w:space="0" w:color="000000"/>
              <w:right w:val="single" w:sz="4" w:space="0" w:color="000000"/>
            </w:tcBorders>
          </w:tcPr>
          <w:p w14:paraId="136B7B6F"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1D6B0481"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Staff follow established procedures to ensure accuracy.</w:t>
            </w:r>
          </w:p>
        </w:tc>
        <w:tc>
          <w:tcPr>
            <w:tcW w:w="900" w:type="dxa"/>
            <w:tcBorders>
              <w:top w:val="single" w:sz="4" w:space="0" w:color="000000"/>
              <w:left w:val="single" w:sz="4" w:space="0" w:color="000000"/>
              <w:bottom w:val="single" w:sz="4" w:space="0" w:color="000000"/>
            </w:tcBorders>
          </w:tcPr>
          <w:p w14:paraId="2D987EAA"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.963</w:t>
            </w:r>
          </w:p>
        </w:tc>
        <w:tc>
          <w:tcPr>
            <w:tcW w:w="720" w:type="dxa"/>
            <w:tcBorders>
              <w:top w:val="single" w:sz="4" w:space="0" w:color="000000"/>
              <w:left w:val="single" w:sz="4" w:space="0" w:color="000000"/>
              <w:bottom w:val="single" w:sz="4" w:space="0" w:color="000000"/>
              <w:right w:val="single" w:sz="4" w:space="0" w:color="000000"/>
            </w:tcBorders>
          </w:tcPr>
          <w:p w14:paraId="4E400345"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08CA3AC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513E5796"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5FB2E72A"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1AB4E991" w14:textId="77777777" w:rsidTr="00D00B3F">
        <w:tc>
          <w:tcPr>
            <w:tcW w:w="851" w:type="dxa"/>
            <w:tcBorders>
              <w:top w:val="single" w:sz="4" w:space="0" w:color="000000"/>
              <w:left w:val="single" w:sz="4" w:space="0" w:color="000000"/>
              <w:bottom w:val="single" w:sz="4" w:space="0" w:color="000000"/>
              <w:right w:val="single" w:sz="4" w:space="0" w:color="000000"/>
            </w:tcBorders>
          </w:tcPr>
          <w:p w14:paraId="59742187"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57372A28"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We consistently meet the service specifications agreed with guests.</w:t>
            </w:r>
          </w:p>
        </w:tc>
        <w:tc>
          <w:tcPr>
            <w:tcW w:w="900" w:type="dxa"/>
            <w:tcBorders>
              <w:top w:val="single" w:sz="4" w:space="0" w:color="000000"/>
              <w:left w:val="single" w:sz="4" w:space="0" w:color="000000"/>
              <w:bottom w:val="single" w:sz="4" w:space="0" w:color="000000"/>
            </w:tcBorders>
          </w:tcPr>
          <w:p w14:paraId="7A5932DE"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.893</w:t>
            </w:r>
          </w:p>
        </w:tc>
        <w:tc>
          <w:tcPr>
            <w:tcW w:w="720" w:type="dxa"/>
            <w:tcBorders>
              <w:top w:val="single" w:sz="4" w:space="0" w:color="000000"/>
              <w:left w:val="single" w:sz="4" w:space="0" w:color="000000"/>
              <w:bottom w:val="single" w:sz="4" w:space="0" w:color="000000"/>
              <w:right w:val="single" w:sz="4" w:space="0" w:color="000000"/>
            </w:tcBorders>
          </w:tcPr>
          <w:p w14:paraId="4B0175E5"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1214A6CA"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D4F49A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25C892D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26A3B773" w14:textId="77777777" w:rsidTr="00D00B3F">
        <w:tc>
          <w:tcPr>
            <w:tcW w:w="851" w:type="dxa"/>
            <w:tcBorders>
              <w:left w:val="single" w:sz="4" w:space="0" w:color="000000"/>
              <w:bottom w:val="single" w:sz="4" w:space="0" w:color="000000"/>
              <w:right w:val="single" w:sz="4" w:space="0" w:color="000000"/>
            </w:tcBorders>
          </w:tcPr>
          <w:p w14:paraId="29711567"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left w:val="single" w:sz="4" w:space="0" w:color="000000"/>
              <w:bottom w:val="single" w:sz="4" w:space="0" w:color="000000"/>
              <w:right w:val="single" w:sz="4" w:space="0" w:color="000000"/>
            </w:tcBorders>
          </w:tcPr>
          <w:p w14:paraId="724ECCF5" w14:textId="77777777" w:rsidR="00D8206B" w:rsidRPr="00D8206B" w:rsidRDefault="00D8206B" w:rsidP="00D8206B">
            <w:pPr>
              <w:widowControl w:val="0"/>
              <w:spacing w:line="240" w:lineRule="auto"/>
              <w:jc w:val="both"/>
              <w:rPr>
                <w:rFonts w:ascii="Times New Roman" w:eastAsia="Calibri" w:hAnsi="Times New Roman" w:cs="Times New Roman"/>
                <w:kern w:val="0"/>
                <w:sz w:val="18"/>
                <w:szCs w:val="18"/>
                <w:lang w:val="en-GB"/>
                <w14:ligatures w14:val="none"/>
              </w:rPr>
            </w:pPr>
            <w:r w:rsidRPr="00D8206B">
              <w:rPr>
                <w:rFonts w:ascii="Times New Roman" w:eastAsia="Calibri" w:hAnsi="Times New Roman" w:cs="Times New Roman"/>
                <w:kern w:val="0"/>
                <w:sz w:val="22"/>
                <w:szCs w:val="22"/>
                <w14:ligatures w14:val="none"/>
              </w:rPr>
              <w:t>Errors in service delivery are rare in our hotel.</w:t>
            </w:r>
          </w:p>
        </w:tc>
        <w:tc>
          <w:tcPr>
            <w:tcW w:w="900" w:type="dxa"/>
            <w:tcBorders>
              <w:left w:val="single" w:sz="4" w:space="0" w:color="000000"/>
              <w:bottom w:val="single" w:sz="4" w:space="0" w:color="000000"/>
            </w:tcBorders>
          </w:tcPr>
          <w:p w14:paraId="5419CA37"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r w:rsidRPr="00D8206B">
              <w:rPr>
                <w:rFonts w:ascii="Times New Roman" w:eastAsia="Times New Roman" w:hAnsi="Times New Roman" w:cs="Times New Roman"/>
                <w:color w:val="000000"/>
                <w:kern w:val="0"/>
                <w:sz w:val="18"/>
                <w:szCs w:val="18"/>
                <w14:ligatures w14:val="none"/>
              </w:rPr>
              <w:t>.832</w:t>
            </w:r>
          </w:p>
        </w:tc>
        <w:tc>
          <w:tcPr>
            <w:tcW w:w="720" w:type="dxa"/>
            <w:tcBorders>
              <w:left w:val="single" w:sz="4" w:space="0" w:color="000000"/>
              <w:bottom w:val="single" w:sz="4" w:space="0" w:color="000000"/>
              <w:right w:val="single" w:sz="4" w:space="0" w:color="000000"/>
            </w:tcBorders>
          </w:tcPr>
          <w:p w14:paraId="7C6F7984"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5B95BF7A"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left w:val="single" w:sz="4" w:space="0" w:color="000000"/>
              <w:bottom w:val="single" w:sz="4" w:space="0" w:color="000000"/>
              <w:right w:val="single" w:sz="4" w:space="0" w:color="000000"/>
            </w:tcBorders>
          </w:tcPr>
          <w:p w14:paraId="1ADF955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left w:val="single" w:sz="4" w:space="0" w:color="000000"/>
              <w:bottom w:val="single" w:sz="4" w:space="0" w:color="000000"/>
              <w:right w:val="single" w:sz="4" w:space="0" w:color="000000"/>
            </w:tcBorders>
          </w:tcPr>
          <w:p w14:paraId="0E712BA3"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48C82FE3" w14:textId="77777777" w:rsidTr="00D00B3F">
        <w:tc>
          <w:tcPr>
            <w:tcW w:w="851" w:type="dxa"/>
            <w:tcBorders>
              <w:top w:val="single" w:sz="4" w:space="0" w:color="000000"/>
              <w:left w:val="single" w:sz="4" w:space="0" w:color="000000"/>
              <w:bottom w:val="single" w:sz="4" w:space="0" w:color="000000"/>
              <w:right w:val="single" w:sz="4" w:space="0" w:color="000000"/>
            </w:tcBorders>
          </w:tcPr>
          <w:p w14:paraId="71C18932"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b/>
                <w:bCs/>
                <w:color w:val="000000"/>
                <w:kern w:val="0"/>
                <w:sz w:val="18"/>
                <w:szCs w:val="18"/>
                <w14:ligatures w14:val="none"/>
              </w:rPr>
              <w:t>TM</w:t>
            </w:r>
          </w:p>
        </w:tc>
        <w:tc>
          <w:tcPr>
            <w:tcW w:w="4950" w:type="dxa"/>
            <w:tcBorders>
              <w:top w:val="single" w:sz="4" w:space="0" w:color="000000"/>
              <w:left w:val="single" w:sz="4" w:space="0" w:color="000000"/>
              <w:bottom w:val="single" w:sz="4" w:space="0" w:color="000000"/>
              <w:right w:val="single" w:sz="4" w:space="0" w:color="000000"/>
            </w:tcBorders>
          </w:tcPr>
          <w:p w14:paraId="28B93BE0"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We minimize delays in all service processes.</w:t>
            </w:r>
          </w:p>
        </w:tc>
        <w:tc>
          <w:tcPr>
            <w:tcW w:w="900" w:type="dxa"/>
            <w:tcBorders>
              <w:top w:val="single" w:sz="4" w:space="0" w:color="000000"/>
              <w:left w:val="single" w:sz="4" w:space="0" w:color="000000"/>
              <w:bottom w:val="single" w:sz="4" w:space="0" w:color="000000"/>
            </w:tcBorders>
          </w:tcPr>
          <w:p w14:paraId="653ACBD3"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.967</w:t>
            </w:r>
          </w:p>
        </w:tc>
        <w:tc>
          <w:tcPr>
            <w:tcW w:w="720" w:type="dxa"/>
            <w:tcBorders>
              <w:top w:val="single" w:sz="4" w:space="0" w:color="000000"/>
              <w:left w:val="single" w:sz="4" w:space="0" w:color="000000"/>
              <w:bottom w:val="single" w:sz="4" w:space="0" w:color="000000"/>
              <w:right w:val="single" w:sz="4" w:space="0" w:color="000000"/>
            </w:tcBorders>
          </w:tcPr>
          <w:p w14:paraId="1BAA5A7C"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918</w:t>
            </w:r>
          </w:p>
        </w:tc>
        <w:tc>
          <w:tcPr>
            <w:tcW w:w="630" w:type="dxa"/>
            <w:tcBorders>
              <w:top w:val="single" w:sz="4" w:space="0" w:color="000000"/>
              <w:left w:val="single" w:sz="4" w:space="0" w:color="000000"/>
              <w:bottom w:val="single" w:sz="4" w:space="0" w:color="000000"/>
              <w:right w:val="single" w:sz="4" w:space="0" w:color="000000"/>
            </w:tcBorders>
          </w:tcPr>
          <w:p w14:paraId="715E120C"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.942</w:t>
            </w:r>
          </w:p>
        </w:tc>
        <w:tc>
          <w:tcPr>
            <w:tcW w:w="630" w:type="dxa"/>
            <w:tcBorders>
              <w:top w:val="single" w:sz="4" w:space="0" w:color="000000"/>
              <w:left w:val="single" w:sz="4" w:space="0" w:color="000000"/>
              <w:bottom w:val="single" w:sz="4" w:space="0" w:color="000000"/>
              <w:right w:val="single" w:sz="4" w:space="0" w:color="000000"/>
            </w:tcBorders>
          </w:tcPr>
          <w:p w14:paraId="40E74FBE"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.803</w:t>
            </w:r>
          </w:p>
        </w:tc>
        <w:tc>
          <w:tcPr>
            <w:tcW w:w="889" w:type="dxa"/>
            <w:tcBorders>
              <w:top w:val="single" w:sz="4" w:space="0" w:color="000000"/>
              <w:left w:val="single" w:sz="4" w:space="0" w:color="000000"/>
              <w:bottom w:val="single" w:sz="4" w:space="0" w:color="000000"/>
              <w:right w:val="single" w:sz="4" w:space="0" w:color="000000"/>
            </w:tcBorders>
          </w:tcPr>
          <w:p w14:paraId="04EB0FC2"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0.896</w:t>
            </w:r>
          </w:p>
        </w:tc>
      </w:tr>
      <w:tr w:rsidR="00D8206B" w:rsidRPr="00D8206B" w14:paraId="55EC62DF" w14:textId="77777777" w:rsidTr="00D00B3F">
        <w:tc>
          <w:tcPr>
            <w:tcW w:w="851" w:type="dxa"/>
            <w:tcBorders>
              <w:top w:val="single" w:sz="4" w:space="0" w:color="000000"/>
              <w:left w:val="single" w:sz="4" w:space="0" w:color="000000"/>
              <w:bottom w:val="single" w:sz="4" w:space="0" w:color="000000"/>
              <w:right w:val="single" w:sz="4" w:space="0" w:color="000000"/>
            </w:tcBorders>
          </w:tcPr>
          <w:p w14:paraId="42E1E9F6"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6FD95BAE"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Guests rarely experience waiting beyond expected times.</w:t>
            </w:r>
          </w:p>
        </w:tc>
        <w:tc>
          <w:tcPr>
            <w:tcW w:w="900" w:type="dxa"/>
            <w:tcBorders>
              <w:top w:val="single" w:sz="4" w:space="0" w:color="000000"/>
              <w:left w:val="single" w:sz="4" w:space="0" w:color="000000"/>
              <w:bottom w:val="single" w:sz="4" w:space="0" w:color="000000"/>
            </w:tcBorders>
          </w:tcPr>
          <w:p w14:paraId="009F0FD6"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.970</w:t>
            </w:r>
          </w:p>
        </w:tc>
        <w:tc>
          <w:tcPr>
            <w:tcW w:w="720" w:type="dxa"/>
            <w:tcBorders>
              <w:top w:val="single" w:sz="4" w:space="0" w:color="000000"/>
              <w:left w:val="single" w:sz="4" w:space="0" w:color="000000"/>
              <w:bottom w:val="single" w:sz="4" w:space="0" w:color="000000"/>
              <w:right w:val="single" w:sz="4" w:space="0" w:color="000000"/>
            </w:tcBorders>
          </w:tcPr>
          <w:p w14:paraId="712F2E53"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A111F17"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DE27AD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348E6603"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76DF9969" w14:textId="77777777" w:rsidTr="00D00B3F">
        <w:tc>
          <w:tcPr>
            <w:tcW w:w="851" w:type="dxa"/>
            <w:tcBorders>
              <w:top w:val="single" w:sz="4" w:space="0" w:color="000000"/>
              <w:left w:val="single" w:sz="4" w:space="0" w:color="000000"/>
              <w:bottom w:val="single" w:sz="4" w:space="0" w:color="000000"/>
              <w:right w:val="single" w:sz="4" w:space="0" w:color="000000"/>
            </w:tcBorders>
          </w:tcPr>
          <w:p w14:paraId="6899E06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72438026"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Promptness enhances guests’ overall service experience.</w:t>
            </w:r>
          </w:p>
        </w:tc>
        <w:tc>
          <w:tcPr>
            <w:tcW w:w="900" w:type="dxa"/>
            <w:tcBorders>
              <w:top w:val="single" w:sz="4" w:space="0" w:color="000000"/>
              <w:left w:val="single" w:sz="4" w:space="0" w:color="000000"/>
              <w:bottom w:val="single" w:sz="4" w:space="0" w:color="000000"/>
            </w:tcBorders>
          </w:tcPr>
          <w:p w14:paraId="229827BE"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.971</w:t>
            </w:r>
          </w:p>
        </w:tc>
        <w:tc>
          <w:tcPr>
            <w:tcW w:w="720" w:type="dxa"/>
            <w:tcBorders>
              <w:top w:val="single" w:sz="4" w:space="0" w:color="000000"/>
              <w:left w:val="single" w:sz="4" w:space="0" w:color="000000"/>
              <w:bottom w:val="single" w:sz="4" w:space="0" w:color="000000"/>
              <w:right w:val="single" w:sz="4" w:space="0" w:color="000000"/>
            </w:tcBorders>
          </w:tcPr>
          <w:p w14:paraId="42397A44"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2145F2A"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5293ADA4"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06794F3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250275C3" w14:textId="77777777" w:rsidTr="00D00B3F">
        <w:tc>
          <w:tcPr>
            <w:tcW w:w="851" w:type="dxa"/>
            <w:tcBorders>
              <w:top w:val="single" w:sz="4" w:space="0" w:color="000000"/>
              <w:left w:val="single" w:sz="4" w:space="0" w:color="000000"/>
              <w:bottom w:val="single" w:sz="4" w:space="0" w:color="000000"/>
              <w:right w:val="single" w:sz="4" w:space="0" w:color="000000"/>
            </w:tcBorders>
          </w:tcPr>
          <w:p w14:paraId="7B0D3B17"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tcPr>
          <w:p w14:paraId="45A0DB90"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Staff are empowered to act quickly to resolve service needs.</w:t>
            </w:r>
          </w:p>
        </w:tc>
        <w:tc>
          <w:tcPr>
            <w:tcW w:w="900" w:type="dxa"/>
            <w:tcBorders>
              <w:top w:val="single" w:sz="4" w:space="0" w:color="000000"/>
              <w:left w:val="single" w:sz="4" w:space="0" w:color="000000"/>
              <w:bottom w:val="single" w:sz="4" w:space="0" w:color="000000"/>
            </w:tcBorders>
          </w:tcPr>
          <w:p w14:paraId="4714070B"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.909</w:t>
            </w:r>
          </w:p>
        </w:tc>
        <w:tc>
          <w:tcPr>
            <w:tcW w:w="720" w:type="dxa"/>
            <w:tcBorders>
              <w:top w:val="single" w:sz="4" w:space="0" w:color="000000"/>
              <w:left w:val="single" w:sz="4" w:space="0" w:color="000000"/>
              <w:bottom w:val="single" w:sz="4" w:space="0" w:color="000000"/>
              <w:right w:val="single" w:sz="4" w:space="0" w:color="000000"/>
            </w:tcBorders>
          </w:tcPr>
          <w:p w14:paraId="665F01C4"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65D3B50F"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05D6002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7DCFB93E"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2BEDBEE1" w14:textId="77777777" w:rsidTr="00D00B3F">
        <w:tc>
          <w:tcPr>
            <w:tcW w:w="851" w:type="dxa"/>
            <w:tcBorders>
              <w:top w:val="single" w:sz="4" w:space="0" w:color="000000"/>
              <w:left w:val="single" w:sz="4" w:space="0" w:color="000000"/>
              <w:bottom w:val="single" w:sz="4" w:space="0" w:color="000000"/>
              <w:right w:val="single" w:sz="4" w:space="0" w:color="000000"/>
            </w:tcBorders>
          </w:tcPr>
          <w:p w14:paraId="6A6C8597"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
                <w:bCs/>
                <w:kern w:val="0"/>
                <w:sz w:val="18"/>
                <w:szCs w:val="18"/>
                <w14:ligatures w14:val="none"/>
              </w:rPr>
              <w:t>SP</w:t>
            </w:r>
          </w:p>
        </w:tc>
        <w:tc>
          <w:tcPr>
            <w:tcW w:w="4950" w:type="dxa"/>
            <w:tcBorders>
              <w:top w:val="single" w:sz="4" w:space="0" w:color="000000"/>
              <w:left w:val="single" w:sz="4" w:space="0" w:color="000000"/>
              <w:bottom w:val="single" w:sz="4" w:space="0" w:color="000000"/>
              <w:right w:val="single" w:sz="4" w:space="0" w:color="000000"/>
            </w:tcBorders>
            <w:vAlign w:val="center"/>
          </w:tcPr>
          <w:p w14:paraId="604DE432"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18"/>
                <w:szCs w:val="18"/>
                <w14:ligatures w14:val="none"/>
              </w:rPr>
              <w:t>Standard operating procedures (SOPs) are clearly communicated and adhered to during guest interactions.</w:t>
            </w:r>
          </w:p>
        </w:tc>
        <w:tc>
          <w:tcPr>
            <w:tcW w:w="900" w:type="dxa"/>
            <w:tcBorders>
              <w:top w:val="single" w:sz="4" w:space="0" w:color="000000"/>
              <w:left w:val="single" w:sz="4" w:space="0" w:color="000000"/>
              <w:bottom w:val="single" w:sz="4" w:space="0" w:color="000000"/>
            </w:tcBorders>
          </w:tcPr>
          <w:p w14:paraId="2738330C"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.945</w:t>
            </w:r>
          </w:p>
        </w:tc>
        <w:tc>
          <w:tcPr>
            <w:tcW w:w="720" w:type="dxa"/>
            <w:tcBorders>
              <w:top w:val="single" w:sz="4" w:space="0" w:color="000000"/>
              <w:left w:val="single" w:sz="4" w:space="0" w:color="000000"/>
              <w:bottom w:val="single" w:sz="4" w:space="0" w:color="000000"/>
              <w:right w:val="single" w:sz="4" w:space="0" w:color="000000"/>
            </w:tcBorders>
          </w:tcPr>
          <w:p w14:paraId="320B27E1"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873</w:t>
            </w:r>
          </w:p>
        </w:tc>
        <w:tc>
          <w:tcPr>
            <w:tcW w:w="630" w:type="dxa"/>
            <w:tcBorders>
              <w:top w:val="single" w:sz="4" w:space="0" w:color="000000"/>
              <w:left w:val="single" w:sz="4" w:space="0" w:color="000000"/>
              <w:bottom w:val="single" w:sz="4" w:space="0" w:color="000000"/>
              <w:right w:val="single" w:sz="4" w:space="0" w:color="000000"/>
            </w:tcBorders>
          </w:tcPr>
          <w:p w14:paraId="7105B861"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.914</w:t>
            </w:r>
          </w:p>
        </w:tc>
        <w:tc>
          <w:tcPr>
            <w:tcW w:w="630" w:type="dxa"/>
            <w:tcBorders>
              <w:top w:val="single" w:sz="4" w:space="0" w:color="000000"/>
              <w:left w:val="single" w:sz="4" w:space="0" w:color="000000"/>
              <w:bottom w:val="single" w:sz="4" w:space="0" w:color="000000"/>
              <w:right w:val="single" w:sz="4" w:space="0" w:color="000000"/>
            </w:tcBorders>
          </w:tcPr>
          <w:p w14:paraId="037F52AF"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.729</w:t>
            </w:r>
          </w:p>
        </w:tc>
        <w:tc>
          <w:tcPr>
            <w:tcW w:w="889" w:type="dxa"/>
            <w:tcBorders>
              <w:top w:val="single" w:sz="4" w:space="0" w:color="000000"/>
              <w:left w:val="single" w:sz="4" w:space="0" w:color="000000"/>
              <w:bottom w:val="single" w:sz="4" w:space="0" w:color="000000"/>
              <w:right w:val="single" w:sz="4" w:space="0" w:color="000000"/>
            </w:tcBorders>
          </w:tcPr>
          <w:p w14:paraId="4693B759"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0.853</w:t>
            </w:r>
          </w:p>
        </w:tc>
      </w:tr>
      <w:tr w:rsidR="00D8206B" w:rsidRPr="00D8206B" w14:paraId="74AC9FEC" w14:textId="77777777" w:rsidTr="00D00B3F">
        <w:tc>
          <w:tcPr>
            <w:tcW w:w="851" w:type="dxa"/>
            <w:tcBorders>
              <w:top w:val="single" w:sz="4" w:space="0" w:color="000000"/>
              <w:left w:val="single" w:sz="4" w:space="0" w:color="000000"/>
              <w:bottom w:val="single" w:sz="4" w:space="0" w:color="000000"/>
              <w:right w:val="single" w:sz="4" w:space="0" w:color="000000"/>
            </w:tcBorders>
          </w:tcPr>
          <w:p w14:paraId="5AC086A4"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vAlign w:val="center"/>
          </w:tcPr>
          <w:p w14:paraId="26FA37AB"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18"/>
                <w:szCs w:val="18"/>
                <w14:ligatures w14:val="none"/>
              </w:rPr>
              <w:t>The hotel regularly monitors and evaluates staff compliance with service delivery protocols.</w:t>
            </w:r>
          </w:p>
        </w:tc>
        <w:tc>
          <w:tcPr>
            <w:tcW w:w="900" w:type="dxa"/>
            <w:tcBorders>
              <w:top w:val="single" w:sz="4" w:space="0" w:color="000000"/>
              <w:left w:val="single" w:sz="4" w:space="0" w:color="000000"/>
              <w:bottom w:val="single" w:sz="4" w:space="0" w:color="000000"/>
            </w:tcBorders>
          </w:tcPr>
          <w:p w14:paraId="683658C9"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.952</w:t>
            </w:r>
          </w:p>
        </w:tc>
        <w:tc>
          <w:tcPr>
            <w:tcW w:w="720" w:type="dxa"/>
            <w:tcBorders>
              <w:top w:val="single" w:sz="4" w:space="0" w:color="000000"/>
              <w:left w:val="single" w:sz="4" w:space="0" w:color="000000"/>
              <w:bottom w:val="single" w:sz="4" w:space="0" w:color="000000"/>
              <w:right w:val="single" w:sz="4" w:space="0" w:color="000000"/>
            </w:tcBorders>
          </w:tcPr>
          <w:p w14:paraId="07F903A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770E7921"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0149E82B"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0B5C72C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4E9F75F1" w14:textId="77777777" w:rsidTr="00D00B3F">
        <w:tc>
          <w:tcPr>
            <w:tcW w:w="851" w:type="dxa"/>
            <w:tcBorders>
              <w:top w:val="single" w:sz="4" w:space="0" w:color="000000"/>
              <w:left w:val="single" w:sz="4" w:space="0" w:color="000000"/>
              <w:bottom w:val="single" w:sz="4" w:space="0" w:color="000000"/>
              <w:right w:val="single" w:sz="4" w:space="0" w:color="000000"/>
            </w:tcBorders>
          </w:tcPr>
          <w:p w14:paraId="1D8025B2"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vAlign w:val="center"/>
          </w:tcPr>
          <w:p w14:paraId="5832F0C2"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18"/>
                <w:szCs w:val="18"/>
                <w14:ligatures w14:val="none"/>
              </w:rPr>
              <w:t>Service delivery processes are structured to ensure accuracy and minimize errors.</w:t>
            </w:r>
          </w:p>
        </w:tc>
        <w:tc>
          <w:tcPr>
            <w:tcW w:w="900" w:type="dxa"/>
            <w:tcBorders>
              <w:top w:val="single" w:sz="4" w:space="0" w:color="000000"/>
              <w:left w:val="single" w:sz="4" w:space="0" w:color="000000"/>
              <w:bottom w:val="single" w:sz="4" w:space="0" w:color="000000"/>
            </w:tcBorders>
          </w:tcPr>
          <w:p w14:paraId="354B2D2D"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.950</w:t>
            </w:r>
          </w:p>
        </w:tc>
        <w:tc>
          <w:tcPr>
            <w:tcW w:w="720" w:type="dxa"/>
            <w:tcBorders>
              <w:top w:val="single" w:sz="4" w:space="0" w:color="000000"/>
              <w:left w:val="single" w:sz="4" w:space="0" w:color="000000"/>
              <w:bottom w:val="single" w:sz="4" w:space="0" w:color="000000"/>
              <w:right w:val="single" w:sz="4" w:space="0" w:color="000000"/>
            </w:tcBorders>
          </w:tcPr>
          <w:p w14:paraId="2010E40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4307A6DF"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17998ECF"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79084DD9"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r w:rsidR="00D8206B" w:rsidRPr="00D8206B" w14:paraId="574C4A04" w14:textId="77777777" w:rsidTr="00D00B3F">
        <w:tc>
          <w:tcPr>
            <w:tcW w:w="851" w:type="dxa"/>
            <w:tcBorders>
              <w:top w:val="single" w:sz="4" w:space="0" w:color="000000"/>
              <w:left w:val="single" w:sz="4" w:space="0" w:color="000000"/>
              <w:bottom w:val="single" w:sz="4" w:space="0" w:color="000000"/>
              <w:right w:val="single" w:sz="4" w:space="0" w:color="000000"/>
            </w:tcBorders>
          </w:tcPr>
          <w:p w14:paraId="567C7EFC" w14:textId="77777777" w:rsidR="00D8206B" w:rsidRPr="00D8206B" w:rsidRDefault="00D8206B" w:rsidP="00D8206B">
            <w:pPr>
              <w:widowControl w:val="0"/>
              <w:spacing w:line="240" w:lineRule="auto"/>
              <w:contextualSpacing/>
              <w:jc w:val="both"/>
              <w:rPr>
                <w:rFonts w:ascii="Times New Roman" w:eastAsia="Times New Roman" w:hAnsi="Times New Roman" w:cs="Times New Roman"/>
                <w:b/>
                <w:bCs/>
                <w:color w:val="000000"/>
                <w:kern w:val="0"/>
                <w:sz w:val="18"/>
                <w:szCs w:val="18"/>
                <w14:ligatures w14:val="none"/>
              </w:rPr>
            </w:pPr>
          </w:p>
        </w:tc>
        <w:tc>
          <w:tcPr>
            <w:tcW w:w="4950" w:type="dxa"/>
            <w:tcBorders>
              <w:top w:val="single" w:sz="4" w:space="0" w:color="000000"/>
              <w:left w:val="single" w:sz="4" w:space="0" w:color="000000"/>
              <w:bottom w:val="single" w:sz="4" w:space="0" w:color="000000"/>
              <w:right w:val="single" w:sz="4" w:space="0" w:color="000000"/>
            </w:tcBorders>
            <w:vAlign w:val="center"/>
          </w:tcPr>
          <w:p w14:paraId="01205AA0"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18"/>
                <w:szCs w:val="18"/>
                <w14:ligatures w14:val="none"/>
              </w:rPr>
              <w:t>Staff members are adequately trained on updated service standards and procedures.</w:t>
            </w:r>
          </w:p>
        </w:tc>
        <w:tc>
          <w:tcPr>
            <w:tcW w:w="900" w:type="dxa"/>
            <w:tcBorders>
              <w:top w:val="single" w:sz="4" w:space="0" w:color="000000"/>
              <w:left w:val="single" w:sz="4" w:space="0" w:color="000000"/>
              <w:bottom w:val="single" w:sz="4" w:space="0" w:color="000000"/>
            </w:tcBorders>
          </w:tcPr>
          <w:p w14:paraId="51414DC4" w14:textId="77777777" w:rsidR="00D8206B" w:rsidRPr="00D8206B" w:rsidRDefault="00D8206B" w:rsidP="00D8206B">
            <w:pPr>
              <w:widowControl w:val="0"/>
              <w:spacing w:line="240" w:lineRule="auto"/>
              <w:contextualSpacing/>
              <w:jc w:val="both"/>
              <w:rPr>
                <w:rFonts w:ascii="Times New Roman" w:eastAsia="Calibri" w:hAnsi="Times New Roman" w:cs="Times New Roman"/>
                <w:kern w:val="0"/>
                <w:sz w:val="22"/>
                <w:szCs w:val="22"/>
                <w14:ligatures w14:val="none"/>
              </w:rPr>
            </w:pPr>
            <w:r w:rsidRPr="00D8206B">
              <w:rPr>
                <w:rFonts w:ascii="Times New Roman" w:eastAsia="Times New Roman" w:hAnsi="Times New Roman" w:cs="Times New Roman"/>
                <w:color w:val="000000"/>
                <w:kern w:val="0"/>
                <w:sz w:val="18"/>
                <w:szCs w:val="18"/>
                <w14:ligatures w14:val="none"/>
              </w:rPr>
              <w:t>.924</w:t>
            </w:r>
          </w:p>
        </w:tc>
        <w:tc>
          <w:tcPr>
            <w:tcW w:w="720" w:type="dxa"/>
            <w:tcBorders>
              <w:top w:val="single" w:sz="4" w:space="0" w:color="000000"/>
              <w:left w:val="single" w:sz="4" w:space="0" w:color="000000"/>
              <w:bottom w:val="single" w:sz="4" w:space="0" w:color="000000"/>
              <w:right w:val="single" w:sz="4" w:space="0" w:color="000000"/>
            </w:tcBorders>
          </w:tcPr>
          <w:p w14:paraId="51514766"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362CE846"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630" w:type="dxa"/>
            <w:tcBorders>
              <w:top w:val="single" w:sz="4" w:space="0" w:color="000000"/>
              <w:left w:val="single" w:sz="4" w:space="0" w:color="000000"/>
              <w:bottom w:val="single" w:sz="4" w:space="0" w:color="000000"/>
              <w:right w:val="single" w:sz="4" w:space="0" w:color="000000"/>
            </w:tcBorders>
          </w:tcPr>
          <w:p w14:paraId="73D7A58F"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c>
          <w:tcPr>
            <w:tcW w:w="889" w:type="dxa"/>
            <w:tcBorders>
              <w:top w:val="single" w:sz="4" w:space="0" w:color="000000"/>
              <w:left w:val="single" w:sz="4" w:space="0" w:color="000000"/>
              <w:bottom w:val="single" w:sz="4" w:space="0" w:color="000000"/>
              <w:right w:val="single" w:sz="4" w:space="0" w:color="000000"/>
            </w:tcBorders>
          </w:tcPr>
          <w:p w14:paraId="32F760E0" w14:textId="77777777" w:rsidR="00D8206B" w:rsidRPr="00D8206B" w:rsidRDefault="00D8206B" w:rsidP="00D8206B">
            <w:pPr>
              <w:widowControl w:val="0"/>
              <w:spacing w:line="240" w:lineRule="auto"/>
              <w:contextualSpacing/>
              <w:jc w:val="both"/>
              <w:rPr>
                <w:rFonts w:ascii="Times New Roman" w:eastAsia="Times New Roman" w:hAnsi="Times New Roman" w:cs="Times New Roman"/>
                <w:color w:val="000000"/>
                <w:kern w:val="0"/>
                <w:sz w:val="18"/>
                <w:szCs w:val="18"/>
                <w14:ligatures w14:val="none"/>
              </w:rPr>
            </w:pPr>
          </w:p>
        </w:tc>
      </w:tr>
    </w:tbl>
    <w:p w14:paraId="24C050B9"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t>Source: PLS-SEM 4.0</w:t>
      </w:r>
    </w:p>
    <w:p w14:paraId="00E597D0"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lastRenderedPageBreak/>
        <w:t>The table above includes the moderating variable in addition to the study's dimensions and measurements. It disclosed the factor loadings, the construct's composite (CR), the average variance extracted (AVE), and the AV's root. These numbers are adequate to determine whether a concept is convergent. Standardized factor loading higher than 0.5 is the recommended criterion based on individual items (Hairl et al, 1981). The table satisfied this. For every construct, the variance extracted (VE) and composite reliability (CR) are given. While the variance extracted is assessed as the ratio of the total variance of all items that are due to the latent construct, the composite reliability represents the internal consistency of the items examined as a construct.</w:t>
      </w:r>
    </w:p>
    <w:p w14:paraId="02FDA86F"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t>Every construct had a composite reliability score over 0.6, which is the threshold number for composite dependability. Furthermore, every extracted variance (VE) value is greater than the cutoff value of 0.5. Convergent validity of the measurement model is good, as indicated by the findings displayed in the table.</w:t>
      </w:r>
    </w:p>
    <w:p w14:paraId="583361B2" w14:textId="77777777" w:rsidR="00D8206B" w:rsidRPr="00D8206B" w:rsidRDefault="00D8206B" w:rsidP="00D8206B">
      <w:pPr>
        <w:spacing w:line="480" w:lineRule="auto"/>
        <w:jc w:val="both"/>
        <w:rPr>
          <w:rFonts w:ascii="Times New Roman" w:eastAsia="Calibri" w:hAnsi="Times New Roman" w:cs="Times New Roman"/>
          <w:kern w:val="0"/>
          <w:sz w:val="22"/>
          <w:szCs w:val="22"/>
          <w14:ligatures w14:val="none"/>
        </w:rPr>
      </w:pPr>
      <w:r w:rsidRPr="00D8206B">
        <w:rPr>
          <w:rFonts w:ascii="Times New Roman" w:eastAsia="0" w:hAnsi="Times New Roman" w:cs="Times New Roman"/>
          <w:b/>
          <w:bCs/>
          <w:color w:val="2B3942"/>
          <w14:ligatures w14:val="none"/>
        </w:rPr>
        <w:t>5.1 Direct Relationship</w:t>
      </w:r>
    </w:p>
    <w:p w14:paraId="4637D7EB"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t>This section examines the path coefficient which explains the relationship between the identified dimensions and measures of the study. Therefore, the result showed the outcome of nine hypotheses.</w:t>
      </w:r>
    </w:p>
    <w:p w14:paraId="67633354" w14:textId="77777777" w:rsidR="00D8206B" w:rsidRPr="00D8206B" w:rsidRDefault="00D8206B" w:rsidP="00D8206B">
      <w:pPr>
        <w:spacing w:line="240" w:lineRule="auto"/>
        <w:jc w:val="both"/>
        <w:rPr>
          <w:rFonts w:ascii="Times New Roman" w:eastAsia="0" w:hAnsi="Times New Roman" w:cs="Times New Roman"/>
          <w:b/>
          <w:bCs/>
          <w:color w:val="2B3942"/>
          <w14:ligatures w14:val="none"/>
        </w:rPr>
      </w:pPr>
      <w:r w:rsidRPr="00D8206B">
        <w:rPr>
          <w:rFonts w:ascii="Times New Roman" w:eastAsia="Calibri" w:hAnsi="Times New Roman" w:cs="Times New Roman"/>
          <w:noProof/>
          <w:kern w:val="0"/>
          <w:sz w:val="22"/>
          <w:szCs w:val="22"/>
          <w:lang w:val="en-GB" w:eastAsia="en-GB"/>
          <w14:ligatures w14:val="none"/>
        </w:rPr>
        <w:drawing>
          <wp:inline distT="0" distB="0" distL="0" distR="0" wp14:anchorId="63FCD9C0" wp14:editId="763A74D0">
            <wp:extent cx="5788557" cy="4648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795353" cy="4653657"/>
                    </a:xfrm>
                    <a:prstGeom prst="rect">
                      <a:avLst/>
                    </a:prstGeom>
                  </pic:spPr>
                </pic:pic>
              </a:graphicData>
            </a:graphic>
          </wp:inline>
        </w:drawing>
      </w:r>
    </w:p>
    <w:p w14:paraId="63B4F900" w14:textId="77777777" w:rsidR="00D8206B" w:rsidRPr="00D8206B" w:rsidRDefault="00D8206B" w:rsidP="00D8206B">
      <w:pPr>
        <w:spacing w:line="240" w:lineRule="auto"/>
        <w:jc w:val="both"/>
        <w:rPr>
          <w:rFonts w:ascii="Times New Roman" w:eastAsia="0" w:hAnsi="Times New Roman" w:cs="Times New Roman"/>
          <w:b/>
          <w:bCs/>
          <w:color w:val="2B3942"/>
          <w14:ligatures w14:val="none"/>
        </w:rPr>
      </w:pPr>
      <w:r w:rsidRPr="00D8206B">
        <w:rPr>
          <w:rFonts w:ascii="Times New Roman" w:eastAsia="0" w:hAnsi="Times New Roman" w:cs="Times New Roman"/>
          <w:b/>
          <w:bCs/>
          <w:color w:val="2B3942"/>
          <w14:ligatures w14:val="none"/>
        </w:rPr>
        <w:t>Fig. 2: Path Coefficient Analysis on the Relationship between Lean Operations Dimensions and Quality Service Delivery Measures</w:t>
      </w:r>
    </w:p>
    <w:p w14:paraId="30C16CE3"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t>Source: PLS-SEM 4.0</w:t>
      </w:r>
    </w:p>
    <w:p w14:paraId="077B0BEC"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t xml:space="preserve">Table 2: Path Analysis Result of The Direct Hypothesis Testing of Lean Operations and Quality Service Delivery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
        <w:gridCol w:w="1581"/>
        <w:gridCol w:w="990"/>
        <w:gridCol w:w="810"/>
        <w:gridCol w:w="1055"/>
        <w:gridCol w:w="1105"/>
        <w:gridCol w:w="1350"/>
        <w:gridCol w:w="990"/>
        <w:gridCol w:w="1235"/>
      </w:tblGrid>
      <w:tr w:rsidR="00D8206B" w:rsidRPr="00D8206B" w14:paraId="41E65DA6" w14:textId="77777777" w:rsidTr="00D00B3F">
        <w:trPr>
          <w:trHeight w:val="908"/>
        </w:trPr>
        <w:tc>
          <w:tcPr>
            <w:tcW w:w="484" w:type="dxa"/>
          </w:tcPr>
          <w:p w14:paraId="16850CD7"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lastRenderedPageBreak/>
              <w:t>S/n</w:t>
            </w:r>
          </w:p>
        </w:tc>
        <w:tc>
          <w:tcPr>
            <w:tcW w:w="1581" w:type="dxa"/>
          </w:tcPr>
          <w:p w14:paraId="094A5F1D"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Hypothesized Path</w:t>
            </w:r>
          </w:p>
        </w:tc>
        <w:tc>
          <w:tcPr>
            <w:tcW w:w="990" w:type="dxa"/>
          </w:tcPr>
          <w:p w14:paraId="052F8832"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Path Coefficient (β)</w:t>
            </w:r>
          </w:p>
        </w:tc>
        <w:tc>
          <w:tcPr>
            <w:tcW w:w="810" w:type="dxa"/>
          </w:tcPr>
          <w:p w14:paraId="0B88A389"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P-Value</w:t>
            </w:r>
          </w:p>
        </w:tc>
        <w:tc>
          <w:tcPr>
            <w:tcW w:w="1055" w:type="dxa"/>
          </w:tcPr>
          <w:p w14:paraId="13F6692F"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Standard Error</w:t>
            </w:r>
          </w:p>
        </w:tc>
        <w:tc>
          <w:tcPr>
            <w:tcW w:w="1105" w:type="dxa"/>
          </w:tcPr>
          <w:p w14:paraId="6F2DDC34"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T Value</w:t>
            </w:r>
          </w:p>
        </w:tc>
        <w:tc>
          <w:tcPr>
            <w:tcW w:w="1350" w:type="dxa"/>
          </w:tcPr>
          <w:p w14:paraId="4D65B691"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Decisions</w:t>
            </w:r>
          </w:p>
        </w:tc>
        <w:tc>
          <w:tcPr>
            <w:tcW w:w="990" w:type="dxa"/>
          </w:tcPr>
          <w:p w14:paraId="5219C64C"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f-Squared</w:t>
            </w:r>
          </w:p>
        </w:tc>
        <w:tc>
          <w:tcPr>
            <w:tcW w:w="1235" w:type="dxa"/>
          </w:tcPr>
          <w:p w14:paraId="41D9217C"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bCs/>
                <w:kern w:val="0"/>
                <w:sz w:val="22"/>
                <w:szCs w:val="22"/>
                <w14:ligatures w14:val="none"/>
              </w:rPr>
              <w:t>Effect size</w:t>
            </w:r>
          </w:p>
        </w:tc>
      </w:tr>
      <w:tr w:rsidR="00D8206B" w:rsidRPr="00D8206B" w14:paraId="1DFE4C05" w14:textId="77777777" w:rsidTr="00D00B3F">
        <w:trPr>
          <w:trHeight w:val="602"/>
        </w:trPr>
        <w:tc>
          <w:tcPr>
            <w:tcW w:w="484" w:type="dxa"/>
          </w:tcPr>
          <w:p w14:paraId="3DA38DB6"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468041E1"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kern w:val="0"/>
                <w:sz w:val="22"/>
                <w:szCs w:val="22"/>
                <w14:ligatures w14:val="none"/>
              </w:rPr>
              <w:t>1</w:t>
            </w:r>
          </w:p>
        </w:tc>
        <w:tc>
          <w:tcPr>
            <w:tcW w:w="1581" w:type="dxa"/>
            <w:vAlign w:val="bottom"/>
          </w:tcPr>
          <w:p w14:paraId="416C2882"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WR-&gt; SA</w:t>
            </w:r>
          </w:p>
        </w:tc>
        <w:tc>
          <w:tcPr>
            <w:tcW w:w="990" w:type="dxa"/>
            <w:vAlign w:val="bottom"/>
          </w:tcPr>
          <w:p w14:paraId="6D5ADFE9"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0.333</w:t>
            </w:r>
          </w:p>
        </w:tc>
        <w:tc>
          <w:tcPr>
            <w:tcW w:w="810" w:type="dxa"/>
            <w:vAlign w:val="bottom"/>
          </w:tcPr>
          <w:p w14:paraId="524CE1EF"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0.000</w:t>
            </w:r>
          </w:p>
        </w:tc>
        <w:tc>
          <w:tcPr>
            <w:tcW w:w="1055" w:type="dxa"/>
          </w:tcPr>
          <w:p w14:paraId="6A846410"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73FFBCA2"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0.113</w:t>
            </w:r>
          </w:p>
        </w:tc>
        <w:tc>
          <w:tcPr>
            <w:tcW w:w="1105" w:type="dxa"/>
            <w:vAlign w:val="bottom"/>
          </w:tcPr>
          <w:p w14:paraId="34F49899"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2.052</w:t>
            </w:r>
          </w:p>
        </w:tc>
        <w:tc>
          <w:tcPr>
            <w:tcW w:w="1350" w:type="dxa"/>
          </w:tcPr>
          <w:p w14:paraId="268F0844"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83CD4A5"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30B6A3C5"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69B590A2"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11.051</w:t>
            </w:r>
          </w:p>
        </w:tc>
        <w:tc>
          <w:tcPr>
            <w:tcW w:w="1235" w:type="dxa"/>
          </w:tcPr>
          <w:p w14:paraId="757A8F69"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79DC92F2"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787DBC9C" w14:textId="77777777" w:rsidTr="00D00B3F">
        <w:trPr>
          <w:trHeight w:val="593"/>
        </w:trPr>
        <w:tc>
          <w:tcPr>
            <w:tcW w:w="484" w:type="dxa"/>
          </w:tcPr>
          <w:p w14:paraId="3FB72A44"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70DD535C"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kern w:val="0"/>
                <w:sz w:val="22"/>
                <w:szCs w:val="22"/>
                <w14:ligatures w14:val="none"/>
              </w:rPr>
              <w:t>2</w:t>
            </w:r>
          </w:p>
        </w:tc>
        <w:tc>
          <w:tcPr>
            <w:tcW w:w="1581" w:type="dxa"/>
            <w:vAlign w:val="bottom"/>
          </w:tcPr>
          <w:p w14:paraId="75D3D665"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WR-&gt; TD</w:t>
            </w:r>
          </w:p>
        </w:tc>
        <w:tc>
          <w:tcPr>
            <w:tcW w:w="990" w:type="dxa"/>
            <w:vAlign w:val="bottom"/>
          </w:tcPr>
          <w:p w14:paraId="5AD4E922"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0.306</w:t>
            </w:r>
          </w:p>
        </w:tc>
        <w:tc>
          <w:tcPr>
            <w:tcW w:w="810" w:type="dxa"/>
          </w:tcPr>
          <w:p w14:paraId="3500B4B7"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77219184"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0.004</w:t>
            </w:r>
          </w:p>
        </w:tc>
        <w:tc>
          <w:tcPr>
            <w:tcW w:w="1055" w:type="dxa"/>
          </w:tcPr>
          <w:p w14:paraId="5DD86844"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224E785"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0.099</w:t>
            </w:r>
          </w:p>
        </w:tc>
        <w:tc>
          <w:tcPr>
            <w:tcW w:w="1105" w:type="dxa"/>
          </w:tcPr>
          <w:p w14:paraId="6CD2CBF4"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6DE74C65"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3.977</w:t>
            </w:r>
          </w:p>
        </w:tc>
        <w:tc>
          <w:tcPr>
            <w:tcW w:w="1350" w:type="dxa"/>
          </w:tcPr>
          <w:p w14:paraId="5D6AA92A"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FE88E71"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77AD6B40"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2F86D29"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6.332</w:t>
            </w:r>
          </w:p>
        </w:tc>
        <w:tc>
          <w:tcPr>
            <w:tcW w:w="1235" w:type="dxa"/>
          </w:tcPr>
          <w:p w14:paraId="1F80A1ED"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24D0C762"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7E0B39F2" w14:textId="77777777" w:rsidTr="00D00B3F">
        <w:trPr>
          <w:trHeight w:val="593"/>
        </w:trPr>
        <w:tc>
          <w:tcPr>
            <w:tcW w:w="484" w:type="dxa"/>
          </w:tcPr>
          <w:p w14:paraId="0AB9ADDA"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104F3D5E"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kern w:val="0"/>
                <w:sz w:val="22"/>
                <w:szCs w:val="22"/>
                <w14:ligatures w14:val="none"/>
              </w:rPr>
              <w:t>3</w:t>
            </w:r>
          </w:p>
        </w:tc>
        <w:tc>
          <w:tcPr>
            <w:tcW w:w="1581" w:type="dxa"/>
            <w:vAlign w:val="bottom"/>
          </w:tcPr>
          <w:p w14:paraId="4AF20954"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WR-&gt; SP</w:t>
            </w:r>
          </w:p>
        </w:tc>
        <w:tc>
          <w:tcPr>
            <w:tcW w:w="990" w:type="dxa"/>
            <w:vAlign w:val="bottom"/>
          </w:tcPr>
          <w:p w14:paraId="425CAE9C"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0.256</w:t>
            </w:r>
          </w:p>
        </w:tc>
        <w:tc>
          <w:tcPr>
            <w:tcW w:w="810" w:type="dxa"/>
            <w:vAlign w:val="bottom"/>
          </w:tcPr>
          <w:p w14:paraId="78A3815E"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0.010</w:t>
            </w:r>
          </w:p>
        </w:tc>
        <w:tc>
          <w:tcPr>
            <w:tcW w:w="1055" w:type="dxa"/>
          </w:tcPr>
          <w:p w14:paraId="33A6E62A"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24D8AC35"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0.019</w:t>
            </w:r>
          </w:p>
        </w:tc>
        <w:tc>
          <w:tcPr>
            <w:tcW w:w="1105" w:type="dxa"/>
            <w:vAlign w:val="bottom"/>
          </w:tcPr>
          <w:p w14:paraId="275323A7"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2.610</w:t>
            </w:r>
          </w:p>
        </w:tc>
        <w:tc>
          <w:tcPr>
            <w:tcW w:w="1350" w:type="dxa"/>
          </w:tcPr>
          <w:p w14:paraId="3B8B9290"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7482706E"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4B202F29"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2CBE13D5"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9.887</w:t>
            </w:r>
          </w:p>
        </w:tc>
        <w:tc>
          <w:tcPr>
            <w:tcW w:w="1235" w:type="dxa"/>
          </w:tcPr>
          <w:p w14:paraId="130BA75A"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411FDA6C" w14:textId="77777777" w:rsidR="00D8206B" w:rsidRPr="00D8206B" w:rsidRDefault="00D8206B" w:rsidP="00D8206B">
            <w:pPr>
              <w:widowControl w:val="0"/>
              <w:spacing w:line="240" w:lineRule="auto"/>
              <w:jc w:val="both"/>
              <w:rPr>
                <w:rFonts w:ascii="Times New Roman" w:eastAsia="Calibri" w:hAnsi="Times New Roman" w:cs="Times New Roman"/>
                <w:bCs/>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2F7A7135" w14:textId="77777777" w:rsidTr="00D00B3F">
        <w:trPr>
          <w:trHeight w:val="422"/>
        </w:trPr>
        <w:tc>
          <w:tcPr>
            <w:tcW w:w="484" w:type="dxa"/>
          </w:tcPr>
          <w:p w14:paraId="0FBAFB84"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134FC183"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4.</w:t>
            </w:r>
          </w:p>
        </w:tc>
        <w:tc>
          <w:tcPr>
            <w:tcW w:w="1581" w:type="dxa"/>
            <w:vAlign w:val="bottom"/>
          </w:tcPr>
          <w:p w14:paraId="75BF67CC"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PO -&gt; SA</w:t>
            </w:r>
          </w:p>
        </w:tc>
        <w:tc>
          <w:tcPr>
            <w:tcW w:w="990" w:type="dxa"/>
            <w:vAlign w:val="bottom"/>
          </w:tcPr>
          <w:p w14:paraId="4AFDF991"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0.316</w:t>
            </w:r>
          </w:p>
        </w:tc>
        <w:tc>
          <w:tcPr>
            <w:tcW w:w="810" w:type="dxa"/>
          </w:tcPr>
          <w:p w14:paraId="0C5BFE47"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4036B206"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0.023</w:t>
            </w:r>
          </w:p>
        </w:tc>
        <w:tc>
          <w:tcPr>
            <w:tcW w:w="1055" w:type="dxa"/>
          </w:tcPr>
          <w:p w14:paraId="0D586DEB"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147D8CC4"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0.052</w:t>
            </w:r>
          </w:p>
        </w:tc>
        <w:tc>
          <w:tcPr>
            <w:tcW w:w="1105" w:type="dxa"/>
            <w:vAlign w:val="bottom"/>
          </w:tcPr>
          <w:p w14:paraId="2F8DFE1E"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7.084</w:t>
            </w:r>
          </w:p>
        </w:tc>
        <w:tc>
          <w:tcPr>
            <w:tcW w:w="1350" w:type="dxa"/>
          </w:tcPr>
          <w:p w14:paraId="755A803D"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2BF69EF8"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2F3D5ED8"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606C5AA2"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1.951</w:t>
            </w:r>
          </w:p>
        </w:tc>
        <w:tc>
          <w:tcPr>
            <w:tcW w:w="1235" w:type="dxa"/>
          </w:tcPr>
          <w:p w14:paraId="37DDF4B5"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901A742"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5B9CEBA6" w14:textId="77777777" w:rsidTr="00D00B3F">
        <w:trPr>
          <w:trHeight w:val="547"/>
        </w:trPr>
        <w:tc>
          <w:tcPr>
            <w:tcW w:w="484" w:type="dxa"/>
          </w:tcPr>
          <w:p w14:paraId="0755DD1E"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041079BB"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5.</w:t>
            </w:r>
          </w:p>
        </w:tc>
        <w:tc>
          <w:tcPr>
            <w:tcW w:w="1581" w:type="dxa"/>
            <w:vAlign w:val="bottom"/>
          </w:tcPr>
          <w:p w14:paraId="071AA665"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PO -&gt; TD</w:t>
            </w:r>
          </w:p>
        </w:tc>
        <w:tc>
          <w:tcPr>
            <w:tcW w:w="990" w:type="dxa"/>
            <w:vAlign w:val="bottom"/>
          </w:tcPr>
          <w:p w14:paraId="246E31A8"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0.347</w:t>
            </w:r>
          </w:p>
        </w:tc>
        <w:tc>
          <w:tcPr>
            <w:tcW w:w="810" w:type="dxa"/>
            <w:vAlign w:val="bottom"/>
          </w:tcPr>
          <w:p w14:paraId="3273C004"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0.000</w:t>
            </w:r>
          </w:p>
        </w:tc>
        <w:tc>
          <w:tcPr>
            <w:tcW w:w="1055" w:type="dxa"/>
          </w:tcPr>
          <w:p w14:paraId="1D9A25F5"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3DAEECF0"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0.051</w:t>
            </w:r>
          </w:p>
        </w:tc>
        <w:tc>
          <w:tcPr>
            <w:tcW w:w="1105" w:type="dxa"/>
            <w:vAlign w:val="bottom"/>
          </w:tcPr>
          <w:p w14:paraId="7AC49138"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8.295</w:t>
            </w:r>
          </w:p>
        </w:tc>
        <w:tc>
          <w:tcPr>
            <w:tcW w:w="1350" w:type="dxa"/>
          </w:tcPr>
          <w:p w14:paraId="62040FF9"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0E59C65"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13ADBFD6"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3.042</w:t>
            </w:r>
          </w:p>
        </w:tc>
        <w:tc>
          <w:tcPr>
            <w:tcW w:w="1235" w:type="dxa"/>
          </w:tcPr>
          <w:p w14:paraId="0BA532DC"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4DA925B1" w14:textId="77777777" w:rsidTr="00D00B3F">
        <w:trPr>
          <w:trHeight w:val="323"/>
        </w:trPr>
        <w:tc>
          <w:tcPr>
            <w:tcW w:w="484" w:type="dxa"/>
          </w:tcPr>
          <w:p w14:paraId="2E093551"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324F417D"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6.</w:t>
            </w:r>
          </w:p>
        </w:tc>
        <w:tc>
          <w:tcPr>
            <w:tcW w:w="1581" w:type="dxa"/>
            <w:vAlign w:val="bottom"/>
          </w:tcPr>
          <w:p w14:paraId="259022D1"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PO -&gt; SP</w:t>
            </w:r>
          </w:p>
        </w:tc>
        <w:tc>
          <w:tcPr>
            <w:tcW w:w="990" w:type="dxa"/>
            <w:vAlign w:val="bottom"/>
          </w:tcPr>
          <w:p w14:paraId="25946D91"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0.209</w:t>
            </w:r>
          </w:p>
        </w:tc>
        <w:tc>
          <w:tcPr>
            <w:tcW w:w="810" w:type="dxa"/>
          </w:tcPr>
          <w:p w14:paraId="4A3C0BA6"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7C97AD14"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0.000</w:t>
            </w:r>
          </w:p>
        </w:tc>
        <w:tc>
          <w:tcPr>
            <w:tcW w:w="1055" w:type="dxa"/>
          </w:tcPr>
          <w:p w14:paraId="61D7C6EF"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2DF7A39B"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0.056</w:t>
            </w:r>
          </w:p>
        </w:tc>
        <w:tc>
          <w:tcPr>
            <w:tcW w:w="1105" w:type="dxa"/>
            <w:vAlign w:val="bottom"/>
          </w:tcPr>
          <w:p w14:paraId="104C308D"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3.987</w:t>
            </w:r>
          </w:p>
        </w:tc>
        <w:tc>
          <w:tcPr>
            <w:tcW w:w="1350" w:type="dxa"/>
          </w:tcPr>
          <w:p w14:paraId="55EF5063"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8EBC486"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67DF2B5C"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778F4ABA"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7.002</w:t>
            </w:r>
          </w:p>
        </w:tc>
        <w:tc>
          <w:tcPr>
            <w:tcW w:w="1235" w:type="dxa"/>
          </w:tcPr>
          <w:p w14:paraId="4F32A766"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654CC832"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6FC5BFD7" w14:textId="77777777" w:rsidTr="00D00B3F">
        <w:trPr>
          <w:trHeight w:val="547"/>
        </w:trPr>
        <w:tc>
          <w:tcPr>
            <w:tcW w:w="484" w:type="dxa"/>
          </w:tcPr>
          <w:p w14:paraId="6D17D6FB"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469F59AA"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7</w:t>
            </w:r>
          </w:p>
        </w:tc>
        <w:tc>
          <w:tcPr>
            <w:tcW w:w="1581" w:type="dxa"/>
            <w:vAlign w:val="bottom"/>
          </w:tcPr>
          <w:p w14:paraId="6A3F999C"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RE-&gt; SA</w:t>
            </w:r>
          </w:p>
        </w:tc>
        <w:tc>
          <w:tcPr>
            <w:tcW w:w="990" w:type="dxa"/>
            <w:vAlign w:val="bottom"/>
          </w:tcPr>
          <w:p w14:paraId="24F4E11F"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0.149</w:t>
            </w:r>
          </w:p>
        </w:tc>
        <w:tc>
          <w:tcPr>
            <w:tcW w:w="810" w:type="dxa"/>
            <w:vAlign w:val="bottom"/>
          </w:tcPr>
          <w:p w14:paraId="616D27DE"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0.000</w:t>
            </w:r>
          </w:p>
        </w:tc>
        <w:tc>
          <w:tcPr>
            <w:tcW w:w="1055" w:type="dxa"/>
          </w:tcPr>
          <w:p w14:paraId="339F6609"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051A40D0"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0.048</w:t>
            </w:r>
          </w:p>
        </w:tc>
        <w:tc>
          <w:tcPr>
            <w:tcW w:w="1105" w:type="dxa"/>
            <w:vAlign w:val="bottom"/>
          </w:tcPr>
          <w:p w14:paraId="5B35215C"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2.424</w:t>
            </w:r>
          </w:p>
        </w:tc>
        <w:tc>
          <w:tcPr>
            <w:tcW w:w="1350" w:type="dxa"/>
          </w:tcPr>
          <w:p w14:paraId="204DB04C"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F712056"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11F25D16"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19E9C04E"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1.817</w:t>
            </w:r>
          </w:p>
        </w:tc>
        <w:tc>
          <w:tcPr>
            <w:tcW w:w="1235" w:type="dxa"/>
          </w:tcPr>
          <w:p w14:paraId="3783235D"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3CF07503"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6C4C99B2" w14:textId="77777777" w:rsidTr="00D00B3F">
        <w:trPr>
          <w:trHeight w:val="562"/>
        </w:trPr>
        <w:tc>
          <w:tcPr>
            <w:tcW w:w="484" w:type="dxa"/>
          </w:tcPr>
          <w:p w14:paraId="105D8D73"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8</w:t>
            </w:r>
          </w:p>
          <w:p w14:paraId="70082F72"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tc>
        <w:tc>
          <w:tcPr>
            <w:tcW w:w="1581" w:type="dxa"/>
            <w:vAlign w:val="bottom"/>
          </w:tcPr>
          <w:p w14:paraId="05110AE0"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RE-&gt; TD</w:t>
            </w:r>
          </w:p>
        </w:tc>
        <w:tc>
          <w:tcPr>
            <w:tcW w:w="990" w:type="dxa"/>
            <w:vAlign w:val="bottom"/>
          </w:tcPr>
          <w:p w14:paraId="79DADA8F"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0.309</w:t>
            </w:r>
          </w:p>
        </w:tc>
        <w:tc>
          <w:tcPr>
            <w:tcW w:w="810" w:type="dxa"/>
            <w:vAlign w:val="bottom"/>
          </w:tcPr>
          <w:p w14:paraId="5BFFA013"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0.009</w:t>
            </w:r>
          </w:p>
        </w:tc>
        <w:tc>
          <w:tcPr>
            <w:tcW w:w="1055" w:type="dxa"/>
          </w:tcPr>
          <w:p w14:paraId="78ACEA1E"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1C9E6C59"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0.048</w:t>
            </w:r>
          </w:p>
        </w:tc>
        <w:tc>
          <w:tcPr>
            <w:tcW w:w="1105" w:type="dxa"/>
            <w:vAlign w:val="bottom"/>
          </w:tcPr>
          <w:p w14:paraId="04AF5818"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5.494</w:t>
            </w:r>
          </w:p>
        </w:tc>
        <w:tc>
          <w:tcPr>
            <w:tcW w:w="1350" w:type="dxa"/>
          </w:tcPr>
          <w:p w14:paraId="55D34851"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258A1CBA"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3E7CC21E"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32FDBBA"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2.479</w:t>
            </w:r>
          </w:p>
        </w:tc>
        <w:tc>
          <w:tcPr>
            <w:tcW w:w="1235" w:type="dxa"/>
          </w:tcPr>
          <w:p w14:paraId="6E0D5ECF"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11FB2F27"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r w:rsidR="00D8206B" w:rsidRPr="00D8206B" w14:paraId="645B502E" w14:textId="77777777" w:rsidTr="00D00B3F">
        <w:trPr>
          <w:trHeight w:val="562"/>
        </w:trPr>
        <w:tc>
          <w:tcPr>
            <w:tcW w:w="484" w:type="dxa"/>
          </w:tcPr>
          <w:p w14:paraId="51B13A26"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p>
          <w:p w14:paraId="1710A0A5" w14:textId="77777777" w:rsidR="00D8206B" w:rsidRPr="00D8206B" w:rsidRDefault="00D8206B" w:rsidP="00D8206B">
            <w:pPr>
              <w:widowControl w:val="0"/>
              <w:spacing w:line="240" w:lineRule="auto"/>
              <w:jc w:val="both"/>
              <w:rPr>
                <w:rFonts w:ascii="Times New Roman" w:eastAsia="Calibri" w:hAnsi="Times New Roman" w:cs="Times New Roman"/>
                <w:kern w:val="0"/>
                <w:sz w:val="22"/>
                <w:szCs w:val="22"/>
                <w14:ligatures w14:val="none"/>
              </w:rPr>
            </w:pPr>
            <w:r w:rsidRPr="00D8206B">
              <w:rPr>
                <w:rFonts w:ascii="Times New Roman" w:eastAsia="Calibri" w:hAnsi="Times New Roman" w:cs="Times New Roman"/>
                <w:kern w:val="0"/>
                <w:sz w:val="22"/>
                <w:szCs w:val="22"/>
                <w14:ligatures w14:val="none"/>
              </w:rPr>
              <w:t>9</w:t>
            </w:r>
          </w:p>
        </w:tc>
        <w:tc>
          <w:tcPr>
            <w:tcW w:w="1581" w:type="dxa"/>
            <w:vAlign w:val="bottom"/>
          </w:tcPr>
          <w:p w14:paraId="73EF8F70"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RE&gt; SP</w:t>
            </w:r>
          </w:p>
        </w:tc>
        <w:tc>
          <w:tcPr>
            <w:tcW w:w="990" w:type="dxa"/>
            <w:vAlign w:val="bottom"/>
          </w:tcPr>
          <w:p w14:paraId="485EB00D"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0.322</w:t>
            </w:r>
          </w:p>
        </w:tc>
        <w:tc>
          <w:tcPr>
            <w:tcW w:w="810" w:type="dxa"/>
            <w:vAlign w:val="bottom"/>
          </w:tcPr>
          <w:p w14:paraId="7394C001"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0.015</w:t>
            </w:r>
          </w:p>
        </w:tc>
        <w:tc>
          <w:tcPr>
            <w:tcW w:w="1055" w:type="dxa"/>
          </w:tcPr>
          <w:p w14:paraId="2C96EC09"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34E9F0E8"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0.059</w:t>
            </w:r>
          </w:p>
        </w:tc>
        <w:tc>
          <w:tcPr>
            <w:tcW w:w="1105" w:type="dxa"/>
            <w:vAlign w:val="bottom"/>
          </w:tcPr>
          <w:p w14:paraId="0DCBD3BE"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8.997</w:t>
            </w:r>
          </w:p>
        </w:tc>
        <w:tc>
          <w:tcPr>
            <w:tcW w:w="1350" w:type="dxa"/>
          </w:tcPr>
          <w:p w14:paraId="5F86E33C"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54C84C03"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Not Supported</w:t>
            </w:r>
          </w:p>
        </w:tc>
        <w:tc>
          <w:tcPr>
            <w:tcW w:w="990" w:type="dxa"/>
          </w:tcPr>
          <w:p w14:paraId="2318F96A"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102527AF"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3.001</w:t>
            </w:r>
          </w:p>
        </w:tc>
        <w:tc>
          <w:tcPr>
            <w:tcW w:w="1235" w:type="dxa"/>
          </w:tcPr>
          <w:p w14:paraId="7C7025AF"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p>
          <w:p w14:paraId="7562A4DB" w14:textId="77777777" w:rsidR="00D8206B" w:rsidRPr="00D8206B" w:rsidRDefault="00D8206B" w:rsidP="00D8206B">
            <w:pPr>
              <w:widowControl w:val="0"/>
              <w:spacing w:line="240" w:lineRule="auto"/>
              <w:jc w:val="both"/>
              <w:rPr>
                <w:rFonts w:ascii="Times New Roman" w:eastAsia="Calibri" w:hAnsi="Times New Roman" w:cs="Times New Roman"/>
                <w:color w:val="000000"/>
                <w:kern w:val="0"/>
                <w:sz w:val="22"/>
                <w:szCs w:val="22"/>
                <w14:ligatures w14:val="none"/>
              </w:rPr>
            </w:pPr>
            <w:r w:rsidRPr="00D8206B">
              <w:rPr>
                <w:rFonts w:ascii="Times New Roman" w:eastAsia="Calibri" w:hAnsi="Times New Roman" w:cs="Times New Roman"/>
                <w:color w:val="000000"/>
                <w:kern w:val="0"/>
                <w:sz w:val="22"/>
                <w:szCs w:val="22"/>
                <w14:ligatures w14:val="none"/>
              </w:rPr>
              <w:t>Large</w:t>
            </w:r>
          </w:p>
        </w:tc>
      </w:tr>
    </w:tbl>
    <w:p w14:paraId="1E1FE0D6" w14:textId="77777777" w:rsidR="00D8206B" w:rsidRPr="00D8206B" w:rsidRDefault="00D8206B" w:rsidP="00D8206B">
      <w:pPr>
        <w:spacing w:line="240" w:lineRule="auto"/>
        <w:jc w:val="both"/>
        <w:rPr>
          <w:rFonts w:ascii="Times New Roman" w:eastAsia="Calibri" w:hAnsi="Times New Roman" w:cs="Times New Roman"/>
          <w:kern w:val="0"/>
          <w:sz w:val="22"/>
          <w:szCs w:val="22"/>
          <w14:ligatures w14:val="none"/>
        </w:rPr>
      </w:pPr>
      <w:r w:rsidRPr="00D8206B">
        <w:rPr>
          <w:rFonts w:ascii="Times New Roman" w:eastAsia="0" w:hAnsi="Times New Roman" w:cs="Times New Roman"/>
          <w:color w:val="2B3942"/>
          <w14:ligatures w14:val="none"/>
        </w:rPr>
        <w:t xml:space="preserve">Source: The Researcher’s Computation (2025). </w:t>
      </w:r>
    </w:p>
    <w:p w14:paraId="48012957" w14:textId="77777777" w:rsidR="00D8206B" w:rsidRPr="00D8206B" w:rsidRDefault="00D8206B" w:rsidP="00D8206B">
      <w:pPr>
        <w:spacing w:line="240" w:lineRule="auto"/>
        <w:jc w:val="both"/>
        <w:rPr>
          <w:rFonts w:ascii="Times New Roman" w:eastAsia="0" w:hAnsi="Times New Roman" w:cs="Times New Roman"/>
          <w:color w:val="2B3942"/>
          <w14:ligatures w14:val="none"/>
        </w:rPr>
      </w:pPr>
    </w:p>
    <w:p w14:paraId="6F9BBFE6"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t>The path analysis revealed significant positive relationships between various lean operations and quality service delivery measures. Waste reduction (WR) showed a substantial positive correlation with service accuracy (SA) (p &lt; 0.001, T-value = 2.424), rejecting the null hypothesis. The eight paths showed a favorable connection (P0.004 &lt; 0.05 and T-Value 3.977 &gt; 1.96) between resource efficiency (RE) and timely delivery (TD) in Rivers State hotels. The null hypothesis was therefore falsified. The eighth route, with a T-Value of 3.977 &gt; 1.96 and a P0.004 &lt; 0.05, showed a positive association between resource efficiency (RE) and service protocol (SP) in Rivers State hotels. The null hypothesis was therefore falsified.</w:t>
      </w:r>
    </w:p>
    <w:p w14:paraId="451DDDD4"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lastRenderedPageBreak/>
        <w:t>Furthermore, the high value R</w:t>
      </w:r>
      <w:r w:rsidRPr="00D8206B">
        <w:rPr>
          <w:rFonts w:ascii="Times New Roman" w:eastAsia="0" w:hAnsi="Times New Roman" w:cs="Times New Roman"/>
          <w:color w:val="2B3942"/>
          <w:vertAlign w:val="superscript"/>
          <w14:ligatures w14:val="none"/>
        </w:rPr>
        <w:t xml:space="preserve">2 </w:t>
      </w:r>
      <w:r w:rsidRPr="00D8206B">
        <w:rPr>
          <w:rFonts w:ascii="Times New Roman" w:eastAsia="0" w:hAnsi="Times New Roman" w:cs="Times New Roman"/>
          <w:color w:val="2B3942"/>
          <w14:ligatures w14:val="none"/>
        </w:rPr>
        <w:t>of 0.86, 0.875 and 0.920 recorded for waste reduction, process optimization and resource efficiency respectively showed that lean operations are a strong predictor of quality service delivery and in fact could predict hotel service accuracy, timely delivery and service protocol to the magnitude of 86%, 87% and 92&amp; respectively.</w:t>
      </w:r>
    </w:p>
    <w:p w14:paraId="25D3F0D9" w14:textId="77777777" w:rsidR="00D8206B" w:rsidRPr="00D8206B" w:rsidRDefault="00D8206B" w:rsidP="00D8206B">
      <w:pPr>
        <w:spacing w:line="240" w:lineRule="auto"/>
        <w:jc w:val="both"/>
        <w:rPr>
          <w:rFonts w:ascii="Times New Roman" w:eastAsia="0" w:hAnsi="Times New Roman" w:cs="Times New Roman"/>
          <w:color w:val="2B3942"/>
          <w14:ligatures w14:val="none"/>
        </w:rPr>
      </w:pPr>
      <w:r w:rsidRPr="00D8206B">
        <w:rPr>
          <w:rFonts w:ascii="Times New Roman" w:eastAsia="0" w:hAnsi="Times New Roman" w:cs="Times New Roman"/>
          <w:color w:val="2B3942"/>
          <w14:ligatures w14:val="none"/>
        </w:rPr>
        <w:t xml:space="preserve">Process optimization (PO) exhibited a positive association with all three quality service delivery indicators: service accuracy (SA) (p &lt; 0.05, T-value = 7.084), timely delivery (TD) (p &lt; 0.001, T-value = 8.295), and service protocol (SP) (p &lt; 0.015, T-value = 8.997), indicating the rejection of the null hypothesis in all instances. Similarly, continuous resource efficiency (RE) demonstrated a positive influence on SA (p &lt; 0.001, T-value = 2.052), TD (p &lt; 0.005, T-value = 3.977), and SP (p &lt; 0.001, T-value = 2.610), further supported by the rejection of the null hypotheses. </w:t>
      </w:r>
    </w:p>
    <w:p w14:paraId="4ECB7EB6" w14:textId="77777777" w:rsidR="00D8206B" w:rsidRPr="00D8206B" w:rsidRDefault="00D8206B" w:rsidP="00D8206B">
      <w:pPr>
        <w:spacing w:line="240" w:lineRule="auto"/>
        <w:jc w:val="both"/>
        <w:rPr>
          <w:rFonts w:ascii="Times New Roman" w:eastAsia="Calibri" w:hAnsi="Times New Roman" w:cs="Times New Roman"/>
          <w:b/>
          <w:bCs/>
          <w:kern w:val="0"/>
          <w14:ligatures w14:val="none"/>
        </w:rPr>
      </w:pPr>
      <w:r w:rsidRPr="00D8206B">
        <w:rPr>
          <w:rFonts w:ascii="Times New Roman" w:eastAsia="Calibri" w:hAnsi="Times New Roman" w:cs="Times New Roman"/>
          <w:b/>
          <w:bCs/>
          <w:kern w:val="0"/>
          <w14:ligatures w14:val="none"/>
        </w:rPr>
        <w:t>5.2 Discussion of Findings</w:t>
      </w:r>
    </w:p>
    <w:p w14:paraId="6FC8E9B3"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The first objective of this study was to investigate if there is a relationship between waste reduction and service accuracy. To do this, the hypothesis below was framed and was put to test</w:t>
      </w:r>
    </w:p>
    <w:p w14:paraId="09BA7337"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1: Waste reduction has no significant relationship with service accuracy.</w:t>
      </w:r>
    </w:p>
    <w:p w14:paraId="50E2A9C5"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The path from waste reduction to service accuracy was found to be positive, statistically significant, and practically meaningful. With the reported β of 0.256 the variable is an influential predictor: when combined with the other two lean predictors (process optimization and resource efficiency), waste reduction accounts for roughly one-third of the combined standardized predictive weight for customer-facing accuracy (33% using the standardized-weight rule described above). That relative share shows it is a core operational lever for reducing mistakes and mismatch between promised and delivered service. A suite of empirical literature consistently finds the same direction and pragmatic. Bhatia and Gupta (2020), Womack and Jones (2016), Nwachukwu and </w:t>
      </w:r>
      <w:proofErr w:type="spellStart"/>
      <w:r w:rsidRPr="00D8206B">
        <w:rPr>
          <w:rFonts w:ascii="Times New Roman" w:eastAsia="Calibri" w:hAnsi="Times New Roman" w:cs="Times New Roman"/>
          <w:kern w:val="0"/>
          <w14:ligatures w14:val="none"/>
        </w:rPr>
        <w:t>Echefu</w:t>
      </w:r>
      <w:proofErr w:type="spellEnd"/>
      <w:r w:rsidRPr="00D8206B">
        <w:rPr>
          <w:rFonts w:ascii="Times New Roman" w:eastAsia="Calibri" w:hAnsi="Times New Roman" w:cs="Times New Roman"/>
          <w:kern w:val="0"/>
          <w14:ligatures w14:val="none"/>
        </w:rPr>
        <w:t xml:space="preserve"> (2019) and Smith and Jones (2021) each show that targeted waste-elimination measures reducing waiting, removing redundant steps, and eliminating rework improve accuracy of service outcomes in hospitality and adjacent service industries. The mechanistic logic is consistent: waste removal simplifies process flows, reduces opportunities for error, and stabilizes outcomes that customers perceive as accurate service. From a socio-technical perspective, waste reduction reduces process complexity, which lowers cognitive load on frontline staff and reduces coordination failures. Resource-based arguments complement this: freed resources (time, attention) are redeployed to value-adding tasks rather than correction and rework. Practically, this explains why waste reduction strongly predicts service accuracy.</w:t>
      </w:r>
    </w:p>
    <w:p w14:paraId="2297CB87"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The effect could partly reflect measurement overlap (items that capture “less waiting” also correlate with perceptions of correctness) or reverse causality in cross-sectional data (hotels that already have accurate service may report more waste control). Longitudinal or quasi-experimental designs would strengthen causal claims.  To this end, hotels are advised to prioritize interventions that target visible, recurring waste: queue management, standardized handoffs, checklists for error-prone tasks, and stock-keeping routines. These are low-complexity, high-impact steps reliable across the reviewed literature. </w:t>
      </w:r>
    </w:p>
    <w:p w14:paraId="3467AF2B"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ii. The second objective of the study was to investigate if there is a relationship between waste reduction and timely delivery. To do this, the hypothesis below was framed and was put to test</w:t>
      </w:r>
    </w:p>
    <w:p w14:paraId="08B7D626"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2: Waste reduction has no significant relationship with timely delivery.</w:t>
      </w:r>
    </w:p>
    <w:p w14:paraId="0F9F14E6"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Waste reduction also showed a strong positive effect on timely delivery with β = 0.306 when subjected to a structural path analysis. Using the relative-weight rule relative to other predictors for timely delivery, waste reduction contributes about 32% of the combined standardized predictive weight. This places waste reduction as an equally important lever for speeding throughput. Antony et al. (2012), Dora et al. (2014), Kim et al. (2016) and Zhang et al. (2017) demonstrate that waste-elimination in process flows shortens lead times across education, food processing, healthcare and supply chains. The hospitality-specific analyses in the uploaded review reinforce that these mechanisms translate to check-in times, room turns and service response times. Operationally, waste </w:t>
      </w:r>
      <w:r w:rsidRPr="00D8206B">
        <w:rPr>
          <w:rFonts w:ascii="Times New Roman" w:eastAsia="Calibri" w:hAnsi="Times New Roman" w:cs="Times New Roman"/>
          <w:kern w:val="0"/>
          <w14:ligatures w14:val="none"/>
        </w:rPr>
        <w:lastRenderedPageBreak/>
        <w:t xml:space="preserve">often appears as waiting, batching, and unnecessary motion; removing it short-circuits delays. However, reductions in waste depend on stable upstream inputs. High variability in arrivals or chronic supply shortages can limit the effect of waste reduction alone hence why resource efficiency and process redesign must co-exist. </w:t>
      </w:r>
    </w:p>
    <w:p w14:paraId="64F16BA8"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iii. The second objective of the study was to investigate if there is a relationship between waste reduction and service protocol. To do this, the hypothesis below was framed and was put to test</w:t>
      </w:r>
    </w:p>
    <w:p w14:paraId="1CBBFD66"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3: Waste reduction has no significant relationship with service protocol</w:t>
      </w:r>
    </w:p>
    <w:p w14:paraId="72F50513"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Waste reduction’s influence on service protocol is both direct and mediated: directly because customers respond positively to fewer delays and errors, and indirectly because improved accuracy and timeliness increase satisfaction downstream. The β suggested a meaningful direct effect; empirical reviews (Ohno, Liker &amp; Meier, Kim et al.) in the showed consistent links between waste reduction and satisfaction across sectors. Waste-reduction projects should be framed not only as internal efficiency gains but also as customer experience investments.</w:t>
      </w:r>
    </w:p>
    <w:p w14:paraId="3CD08DA2"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iv. The fourth objective of the study was to investigate if there is a relationship between process optimization and service accuracy. To do this, the hypothesis below was framed and was put to test</w:t>
      </w:r>
    </w:p>
    <w:p w14:paraId="27D650B3"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4: Process optimization has no significant relationship with service accuracy</w:t>
      </w:r>
      <w:r w:rsidRPr="00D8206B">
        <w:rPr>
          <w:rFonts w:ascii="Times New Roman" w:eastAsia="Calibri" w:hAnsi="Times New Roman" w:cs="Times New Roman"/>
          <w:kern w:val="0"/>
          <w14:ligatures w14:val="none"/>
        </w:rPr>
        <w:br/>
        <w:t xml:space="preserve">Process optimization shows the largest single standardized β to service accuracy in the model. With β = 0.316 it contributes approximately 40% of the combined predictive weight for accuracy making it the lead operational mechanism for reliable service outcomes. </w:t>
      </w:r>
      <w:proofErr w:type="spellStart"/>
      <w:r w:rsidRPr="00D8206B">
        <w:rPr>
          <w:rFonts w:ascii="Times New Roman" w:eastAsia="Calibri" w:hAnsi="Times New Roman" w:cs="Times New Roman"/>
          <w:kern w:val="0"/>
          <w14:ligatures w14:val="none"/>
        </w:rPr>
        <w:t>Alsmadi</w:t>
      </w:r>
      <w:proofErr w:type="spellEnd"/>
      <w:r w:rsidRPr="00D8206B">
        <w:rPr>
          <w:rFonts w:ascii="Times New Roman" w:eastAsia="Calibri" w:hAnsi="Times New Roman" w:cs="Times New Roman"/>
          <w:kern w:val="0"/>
          <w14:ligatures w14:val="none"/>
        </w:rPr>
        <w:t xml:space="preserve"> et al. (2020), Ahmad and </w:t>
      </w:r>
      <w:proofErr w:type="spellStart"/>
      <w:r w:rsidRPr="00D8206B">
        <w:rPr>
          <w:rFonts w:ascii="Times New Roman" w:eastAsia="Calibri" w:hAnsi="Times New Roman" w:cs="Times New Roman"/>
          <w:kern w:val="0"/>
          <w14:ligatures w14:val="none"/>
        </w:rPr>
        <w:t>Zakuan</w:t>
      </w:r>
      <w:proofErr w:type="spellEnd"/>
      <w:r w:rsidRPr="00D8206B">
        <w:rPr>
          <w:rFonts w:ascii="Times New Roman" w:eastAsia="Calibri" w:hAnsi="Times New Roman" w:cs="Times New Roman"/>
          <w:kern w:val="0"/>
          <w14:ligatures w14:val="none"/>
        </w:rPr>
        <w:t xml:space="preserve"> (2016), Seth et al. (2005) and </w:t>
      </w:r>
      <w:proofErr w:type="spellStart"/>
      <w:r w:rsidRPr="00D8206B">
        <w:rPr>
          <w:rFonts w:ascii="Times New Roman" w:eastAsia="Calibri" w:hAnsi="Times New Roman" w:cs="Times New Roman"/>
          <w:kern w:val="0"/>
          <w14:ligatures w14:val="none"/>
        </w:rPr>
        <w:t>Mazzocato</w:t>
      </w:r>
      <w:proofErr w:type="spellEnd"/>
      <w:r w:rsidRPr="00D8206B">
        <w:rPr>
          <w:rFonts w:ascii="Times New Roman" w:eastAsia="Calibri" w:hAnsi="Times New Roman" w:cs="Times New Roman"/>
          <w:kern w:val="0"/>
          <w14:ligatures w14:val="none"/>
        </w:rPr>
        <w:t xml:space="preserve"> et al. (2012) all document that redesigning processes and embedding standard operating procedures produces measurable accuracy gains. In hospitality, standardizing checklists, simplifying decision rules for staff and implementing error-proofing reduce discretionary variation that causes inaccuracies.</w:t>
      </w:r>
    </w:p>
    <w:p w14:paraId="63E2BC7D"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 xml:space="preserve">Process changes alters both formal procedure and micro-practices; accuracy improves when tasks are decomposed into repeatable steps and error traps are removed. This also reduces dependence on high-skill individual judgement, important for contexts with frequent staff rotation. </w:t>
      </w:r>
    </w:p>
    <w:p w14:paraId="0C6602F8"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v. The fifth objective of the study was to investigate if there is a relationship between process optimization and timely delivery. To do this, the hypothesis below was framed and was put to test</w:t>
      </w:r>
    </w:p>
    <w:p w14:paraId="408CABBA"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5: process optimization has no significant relationship with timely delivery.</w:t>
      </w:r>
      <w:r w:rsidRPr="00D8206B">
        <w:rPr>
          <w:rFonts w:ascii="Times New Roman" w:eastAsia="Calibri" w:hAnsi="Times New Roman" w:cs="Times New Roman"/>
          <w:kern w:val="0"/>
          <w14:ligatures w14:val="none"/>
        </w:rPr>
        <w:br/>
        <w:t xml:space="preserve">Process optimization carried the largest β for timely delivery (0.347), which means it is the dominant single predictor for faster service. It explains roughly 36% of the combined standardized weight for timeliness. This emphasizes that structural redesign not just reallocating resources drives throughput. Studies by Smith and Brown (2018), Johnson et al. (2019), Lee and Kim (2022) and Zhao and Liu (2015) repeatedly show the time-saving power of process redesign (JIT, parallel processing, front-loading of tasks). In hospitality, simple changes like staggered arrivals, parallel check-in stations and pre-arrival data capture meaningfully shorten guest wait times. Process redesign should be prioritized if the main performance target is speed. Investments in digitization and removal of sequential bottlenecks deliver scalable reductions in waiting times. </w:t>
      </w:r>
    </w:p>
    <w:p w14:paraId="6FA4CAEB"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vi. The sixth objective of the study was to investigate if there is a relationship between process optimization and service protocol. To do this, the hypothesis below was framed and was put to test</w:t>
      </w:r>
    </w:p>
    <w:p w14:paraId="20099D19"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6: process optimization has no significant relationship with service protocol</w:t>
      </w:r>
      <w:r w:rsidRPr="00D8206B">
        <w:rPr>
          <w:rFonts w:ascii="Times New Roman" w:eastAsia="Calibri" w:hAnsi="Times New Roman" w:cs="Times New Roman"/>
          <w:kern w:val="0"/>
          <w14:ligatures w14:val="none"/>
        </w:rPr>
        <w:br/>
        <w:t xml:space="preserve">Process optimization influences service protocol both directly and via speed and accuracy improvements. Though its β is smaller than resource efficiency for satisfaction, it remains statistically and practically significant. The literature (Nguyen et al., Zhang et al.,) supports this picture: streamlined processes yield better perceived service quality and higher satisfaction. Hotels are encouraged to use process redesign as part of a holistic customer-experience </w:t>
      </w:r>
      <w:proofErr w:type="spellStart"/>
      <w:r w:rsidRPr="00D8206B">
        <w:rPr>
          <w:rFonts w:ascii="Times New Roman" w:eastAsia="Calibri" w:hAnsi="Times New Roman" w:cs="Times New Roman"/>
          <w:kern w:val="0"/>
          <w14:ligatures w14:val="none"/>
        </w:rPr>
        <w:t>programme</w:t>
      </w:r>
      <w:proofErr w:type="spellEnd"/>
      <w:r w:rsidRPr="00D8206B">
        <w:rPr>
          <w:rFonts w:ascii="Times New Roman" w:eastAsia="Calibri" w:hAnsi="Times New Roman" w:cs="Times New Roman"/>
          <w:kern w:val="0"/>
          <w14:ligatures w14:val="none"/>
        </w:rPr>
        <w:t>: pair it with staff training and resource allocation to ensure that improvements in process deliver perceptible improvements to guests.</w:t>
      </w:r>
    </w:p>
    <w:p w14:paraId="2BDC8826"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lastRenderedPageBreak/>
        <w:t>vii. The seventh objective of the study was to investigate if there is a relationship between resource efficiency and service accuracy. To do this, the hypothesis below was framed and was put to test</w:t>
      </w:r>
    </w:p>
    <w:p w14:paraId="465FD8E5"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7: Resource efficiency has no significant relationship with service accuracy</w:t>
      </w:r>
    </w:p>
    <w:p w14:paraId="6610A0C8"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Resource efficiency has a statistically significant but smaller β to service accuracy. Its relative contribution is meaningful (19% of the standardized weight) but less than PO and WR. This suggests that while resourcing improvements matter, they work best in tandem with clearer processes and waste elimination. Wang &amp; Liu (2020), Müller &amp; Schmidt (2021), Gupta et al. (2022) and Smith &amp; Johnson (2019) find consistent, cross-sector evidence that improved material and human resource allocation reduces errors and improves fulfilment accuracy a pattern replicated in the Rivers State context in the uploaded studies.  Hotels are should optimize rostering, ensure correct inventory levels, and deploy simple decision-support tools (e.g., mobile checklists) so staff have the resources to execute accurately.</w:t>
      </w:r>
    </w:p>
    <w:p w14:paraId="26F4FF76"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viii. The eightieth objective of the study was to investigate if there is a relationship between resource efficiency and timely delivery. To do this, the hypothesis below was framed and was put to test</w:t>
      </w:r>
    </w:p>
    <w:p w14:paraId="1FF90D70"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8: Resource efficiency has no significant relationship with timely delivery</w:t>
      </w:r>
      <w:r w:rsidRPr="00D8206B">
        <w:rPr>
          <w:rFonts w:ascii="Times New Roman" w:eastAsia="Calibri" w:hAnsi="Times New Roman" w:cs="Times New Roman"/>
          <w:kern w:val="0"/>
          <w14:ligatures w14:val="none"/>
        </w:rPr>
        <w:br/>
        <w:t xml:space="preserve">Resource efficiency is a major contributor to timely delivery, near parity with WR and PO. With β = 0.309 it accounts for roughly 32% of combined standardized weight to timeliness. When staff and materials are where they are needed, quality service delivery naturally increases. Okoro &amp; Amadi (2020), Eze &amp; Nwankwo (2019), Ibrahim &amp; Hassan (2022) and Nwosu &amp; Udo (2020) provided local and international evidence that resource allocation (staffing, inventories) strongly influences promptness of service and this literature directly supports the result pattern observed in the Rivers State hotels. Hotels are to introduce flexible rostering, cross-training and buffer stocks for critical consumables to maintain consistent service speed without overstaffing. Monitor resource utilization </w:t>
      </w:r>
      <w:proofErr w:type="spellStart"/>
      <w:r w:rsidRPr="00D8206B">
        <w:rPr>
          <w:rFonts w:ascii="Times New Roman" w:eastAsia="Calibri" w:hAnsi="Times New Roman" w:cs="Times New Roman"/>
          <w:kern w:val="0"/>
          <w14:ligatures w14:val="none"/>
        </w:rPr>
        <w:t>metriSP</w:t>
      </w:r>
      <w:proofErr w:type="spellEnd"/>
      <w:r w:rsidRPr="00D8206B">
        <w:rPr>
          <w:rFonts w:ascii="Times New Roman" w:eastAsia="Calibri" w:hAnsi="Times New Roman" w:cs="Times New Roman"/>
          <w:kern w:val="0"/>
          <w14:ligatures w14:val="none"/>
        </w:rPr>
        <w:t xml:space="preserve"> and tie them to speed KPIs.</w:t>
      </w:r>
    </w:p>
    <w:p w14:paraId="308544AD"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kern w:val="0"/>
          <w14:ligatures w14:val="none"/>
        </w:rPr>
        <w:t>ix. The nineth objective of the study was to investigate if there is a relationship between resource efficiency and service protocol. To do this, the hypothesis below was framed and was put to test</w:t>
      </w:r>
    </w:p>
    <w:p w14:paraId="03A8632A" w14:textId="77777777" w:rsidR="00D8206B" w:rsidRPr="00D8206B" w:rsidRDefault="00D8206B" w:rsidP="00D8206B">
      <w:pPr>
        <w:spacing w:line="240" w:lineRule="auto"/>
        <w:jc w:val="both"/>
        <w:rPr>
          <w:rFonts w:ascii="Times New Roman" w:eastAsia="Calibri" w:hAnsi="Times New Roman" w:cs="Times New Roman"/>
          <w:kern w:val="0"/>
          <w14:ligatures w14:val="none"/>
        </w:rPr>
      </w:pPr>
      <w:r w:rsidRPr="00D8206B">
        <w:rPr>
          <w:rFonts w:ascii="Times New Roman" w:eastAsia="Calibri" w:hAnsi="Times New Roman" w:cs="Times New Roman"/>
          <w:i/>
          <w:iCs/>
          <w:kern w:val="0"/>
          <w14:ligatures w14:val="none"/>
        </w:rPr>
        <w:t>H</w:t>
      </w:r>
      <w:r w:rsidRPr="00D8206B">
        <w:rPr>
          <w:rFonts w:ascii="Times New Roman" w:eastAsia="Calibri" w:hAnsi="Times New Roman" w:cs="Times New Roman"/>
          <w:kern w:val="0"/>
          <w:vertAlign w:val="subscript"/>
          <w14:ligatures w14:val="none"/>
        </w:rPr>
        <w:t>0</w:t>
      </w:r>
      <w:r w:rsidRPr="00D8206B">
        <w:rPr>
          <w:rFonts w:ascii="Times New Roman" w:eastAsia="Calibri" w:hAnsi="Times New Roman" w:cs="Times New Roman"/>
          <w:kern w:val="0"/>
          <w14:ligatures w14:val="none"/>
        </w:rPr>
        <w:t>9: Resource efficiency has no significant relationship with service protocol</w:t>
      </w:r>
      <w:r w:rsidRPr="00D8206B">
        <w:rPr>
          <w:rFonts w:ascii="Times New Roman" w:eastAsia="Calibri" w:hAnsi="Times New Roman" w:cs="Times New Roman"/>
          <w:kern w:val="0"/>
          <w14:ligatures w14:val="none"/>
        </w:rPr>
        <w:br/>
        <w:t xml:space="preserve">Resource efficiency is the single most influential predictor of service protocol in this model. Its β is the largest among the three lean predictors for SP constituted 41% of the combined standardized weight. This signals that customers primarily reward reliability and the predictable availability of staff and inputs. Doyle &amp; Wong (1998), Yang (2006), </w:t>
      </w:r>
      <w:proofErr w:type="spellStart"/>
      <w:r w:rsidRPr="00D8206B">
        <w:rPr>
          <w:rFonts w:ascii="Times New Roman" w:eastAsia="Calibri" w:hAnsi="Times New Roman" w:cs="Times New Roman"/>
          <w:kern w:val="0"/>
          <w14:ligatures w14:val="none"/>
        </w:rPr>
        <w:t>Demirbag</w:t>
      </w:r>
      <w:proofErr w:type="spellEnd"/>
      <w:r w:rsidRPr="00D8206B">
        <w:rPr>
          <w:rFonts w:ascii="Times New Roman" w:eastAsia="Calibri" w:hAnsi="Times New Roman" w:cs="Times New Roman"/>
          <w:kern w:val="0"/>
          <w14:ligatures w14:val="none"/>
        </w:rPr>
        <w:t xml:space="preserve"> et al. (2006) and recent case studies consistently linked efficient resourcing to higher service protocol through consistent service outcomes and fewer stock-outs or gaps at service moments. Given this result, investment in workforce planning systems, simple inventory controls and visible resource readiness (e.g., “service ready” indicators) is likely to yield the largest service protocol returns.</w:t>
      </w:r>
    </w:p>
    <w:p w14:paraId="6DF0EC37" w14:textId="77777777" w:rsidR="00D8206B" w:rsidRPr="00D8206B" w:rsidRDefault="00D8206B" w:rsidP="00D8206B">
      <w:pPr>
        <w:spacing w:line="240" w:lineRule="auto"/>
        <w:jc w:val="both"/>
        <w:rPr>
          <w:rFonts w:ascii="Times New Roman" w:eastAsia="Calibri" w:hAnsi="Times New Roman" w:cs="Times New Roman"/>
          <w:b/>
          <w:bCs/>
          <w:kern w:val="0"/>
          <w:lang w:val="en-GB"/>
          <w14:ligatures w14:val="none"/>
        </w:rPr>
      </w:pPr>
      <w:r w:rsidRPr="00D8206B">
        <w:rPr>
          <w:rFonts w:ascii="Times New Roman" w:eastAsia="Calibri" w:hAnsi="Times New Roman" w:cs="Times New Roman"/>
          <w:b/>
          <w:bCs/>
          <w:kern w:val="0"/>
          <w14:ligatures w14:val="none"/>
        </w:rPr>
        <w:t>6. Conclusion</w:t>
      </w:r>
      <w:r w:rsidRPr="00D8206B">
        <w:rPr>
          <w:rFonts w:ascii="Times New Roman" w:eastAsia="Calibri" w:hAnsi="Times New Roman" w:cs="Times New Roman"/>
          <w:b/>
          <w:bCs/>
          <w:kern w:val="0"/>
          <w:lang w:val="en-GB"/>
          <w14:ligatures w14:val="none"/>
        </w:rPr>
        <w:t xml:space="preserve"> </w:t>
      </w:r>
    </w:p>
    <w:p w14:paraId="4EA2EF64"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The analysis showed that lean operations were strongly and positively linked to every dimension of service quality in these hotels. In the PLS‐SEM model, the three lean factors (waste reduction, process optimization, and resource efficiency) together explained roughly 86–92% of the variance in accuracy, timeliness and service protocol an extremely high predictive power. All direct hypotheses were supported: for example, targeted waste‐elimination projects led to fewer errors and delays in service, producing noticeably more accurate order fulfilment and shorter guest wait times. Process optimization (clear SOPs, parallel tasking, error‐proofing) proved the single strongest lever for speed, and well</w:t>
      </w:r>
      <w:r w:rsidRPr="00D8206B">
        <w:rPr>
          <w:rFonts w:ascii="Times New Roman" w:eastAsia="Times New Roman" w:hAnsi="Times New Roman" w:cs="Times New Roman"/>
          <w:kern w:val="0"/>
          <w14:ligatures w14:val="none"/>
        </w:rPr>
        <w:noBreakHyphen/>
        <w:t>aligned staffing and supply allocation (resource efficiency) similarly boosted both speed and consistency. In turn, faster and more accurate service translated into higher service protocol guests experienced fewer mistakes and less friction. In short, each lean practice was statistically significant and practically meaningful for improving hotel performance: the cleaner, more efficient processes that resulted immediately showed up as better service delivery and happier customers.</w:t>
      </w:r>
    </w:p>
    <w:p w14:paraId="5BC6C171" w14:textId="77777777" w:rsidR="00D8206B" w:rsidRPr="00D8206B" w:rsidRDefault="00D8206B" w:rsidP="00D8206B">
      <w:pPr>
        <w:spacing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These outcomes resonate with the study’s theoretical frameworks. Socio‐technical systems (STS) theory tells us that work processes are “entwined social and material orders” whose performance emerges from their interaction. In line with this, the findings suggest that lean initiatives worked by reconfiguring both technology and people’s routines: for instance, waste reduction simplified task flows and thus lowered the cognitive load on frontline staff, reducing coordination failures and error opportunities. This is exactly what STS predicts: technical fixes (like 5S or flow charts) produce gains in speed and accuracy to the extent they fit the people and information flows on the ground.</w:t>
      </w:r>
    </w:p>
    <w:p w14:paraId="72F7FE63"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kern w:val="0"/>
          <w14:ligatures w14:val="none"/>
        </w:rPr>
      </w:pPr>
      <w:r w:rsidRPr="00D8206B">
        <w:rPr>
          <w:rFonts w:ascii="Times New Roman" w:eastAsia="Calibri" w:hAnsi="Times New Roman" w:cs="Times New Roman"/>
          <w:b/>
          <w:bCs/>
          <w:kern w:val="0"/>
          <w14:ligatures w14:val="none"/>
        </w:rPr>
        <w:t>7. Recommendations</w:t>
      </w:r>
    </w:p>
    <w:p w14:paraId="2EE7233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The hypotheses originally posed in null form were rejected in </w:t>
      </w:r>
      <w:proofErr w:type="spellStart"/>
      <w:r w:rsidRPr="00D8206B">
        <w:rPr>
          <w:rFonts w:ascii="Times New Roman" w:eastAsia="SimSun" w:hAnsi="Times New Roman" w:cs="Times New Roman"/>
          <w:kern w:val="0"/>
          <w:lang w:eastAsia="zh-CN"/>
          <w14:ligatures w14:val="none"/>
        </w:rPr>
        <w:t>favour</w:t>
      </w:r>
      <w:proofErr w:type="spellEnd"/>
      <w:r w:rsidRPr="00D8206B">
        <w:rPr>
          <w:rFonts w:ascii="Times New Roman" w:eastAsia="SimSun" w:hAnsi="Times New Roman" w:cs="Times New Roman"/>
          <w:kern w:val="0"/>
          <w:lang w:eastAsia="zh-CN"/>
          <w14:ligatures w14:val="none"/>
        </w:rPr>
        <w:t xml:space="preserve"> of their alternative hypotheses, meaning that waste reduction, process optimization and resource efficiency each showed significant, positive effects on service accuracy, timely delivery and adherence to service protocol in Rivers State hotels and therefore the following recommendations are offered to translate those empirical findings into practical, managerial and policy action.</w:t>
      </w:r>
    </w:p>
    <w:p w14:paraId="743EA335" w14:textId="77777777" w:rsidR="00D8206B" w:rsidRPr="00D8206B" w:rsidRDefault="00D8206B" w:rsidP="00D8206B">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Hotel managers should prioritize small, rapid waste-elimination projects (for example 5S, pull-based restocking and simple checklists) that target the most error-prone front-line tasks because the data show waste reduction produces immediate gains in order correctness and billing accuracy and should implement pilots in one department, measure pre- and post-error rates and cycle times, codify successful fixes into SOPs, and scale only when measurable improvements are confirmed.</w:t>
      </w:r>
    </w:p>
    <w:p w14:paraId="22082B3B" w14:textId="77777777" w:rsidR="00D8206B" w:rsidRPr="00D8206B" w:rsidRDefault="00D8206B" w:rsidP="00D8206B">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Process redesign must be treated as a strategic lever for speed. Standardize and simplify workflows, document short, task-level SOPs for high-volume interactions, introduce parallel tasking where feasible (e.g., staggered kitchen prep, pre-arrival online check-in) and run controlled pilots that record both average service time and its variability to ensure redesigns improve consistency as well as speed. </w:t>
      </w:r>
    </w:p>
    <w:p w14:paraId="2E6F3D64" w14:textId="77777777" w:rsidR="00D8206B" w:rsidRPr="00D8206B" w:rsidRDefault="00D8206B" w:rsidP="00D8206B">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Resource allocation should be optimized around demand patterns. Adopt basic capacity planning (forecast-based rostering), maintain minimum stock rules for critical consumables, create small flexible staffing pools for peak periods and promote multi-skilling so service accuracy and timeliness do not collapse when individual staff are absent, track staff utilization and time-to-serve metrics to align resources with observed demand. </w:t>
      </w:r>
    </w:p>
    <w:p w14:paraId="7C92FFB0" w14:textId="77777777" w:rsidR="00D8206B" w:rsidRPr="00D8206B" w:rsidRDefault="00D8206B" w:rsidP="00D8206B">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Combine operational interventions with immediate customer feedback loops so improvements become visible in satisfaction metrics, add short, targeted post-stay survey items about timeliness, order accuracy and perceived friction, monitor online reviews for recurring themes, and incorporate guest feedback into rapid continuous-improvement cycles. </w:t>
      </w:r>
    </w:p>
    <w:p w14:paraId="2E680564" w14:textId="77777777" w:rsidR="00D8206B" w:rsidRPr="00D8206B" w:rsidRDefault="00D8206B" w:rsidP="00D8206B">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Embed simple, operational measurements into daily practice. Make order-accuracy percentages, average response times, SOP-adherence audit scores and complaint-per-stay ratios part of routine dashboards reviewed in short stand-up meetings so managers can see early warning signals and intervene before small problems escalate. </w:t>
      </w:r>
    </w:p>
    <w:p w14:paraId="67A389F1" w14:textId="77777777" w:rsidR="00D8206B" w:rsidRPr="00D8206B" w:rsidRDefault="00D8206B" w:rsidP="00D8206B">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Strengthen handover points and communication protocols because many failures begin at shift changes. Introduce concise handover checklists, visible status boards for rooms and orders, and brief shift-start huddles to confirm priorities and outstanding guest needs, thereby reducing overwritten bookings and missed requests.</w:t>
      </w:r>
    </w:p>
    <w:p w14:paraId="10754357" w14:textId="77777777" w:rsidR="00DA5AE9" w:rsidRDefault="00DA5AE9" w:rsidP="00D8206B">
      <w:pPr>
        <w:spacing w:before="100" w:beforeAutospacing="1" w:after="100" w:afterAutospacing="1" w:line="240" w:lineRule="auto"/>
        <w:jc w:val="center"/>
        <w:rPr>
          <w:rFonts w:ascii="Times New Roman" w:eastAsia="SimSun" w:hAnsi="Times New Roman" w:cs="Times New Roman"/>
          <w:b/>
          <w:bCs/>
          <w:kern w:val="0"/>
          <w:lang w:eastAsia="zh-CN"/>
          <w14:ligatures w14:val="none"/>
        </w:rPr>
      </w:pPr>
    </w:p>
    <w:p w14:paraId="07EFE0BC" w14:textId="26406BD3" w:rsidR="00D8206B" w:rsidRPr="00D8206B" w:rsidRDefault="00D8206B" w:rsidP="00D8206B">
      <w:pPr>
        <w:spacing w:before="100" w:beforeAutospacing="1" w:after="100" w:afterAutospacing="1" w:line="240" w:lineRule="auto"/>
        <w:jc w:val="center"/>
        <w:rPr>
          <w:rFonts w:ascii="Times New Roman" w:eastAsia="SimSun" w:hAnsi="Times New Roman" w:cs="Times New Roman"/>
          <w:b/>
          <w:bCs/>
          <w:kern w:val="0"/>
          <w:lang w:eastAsia="zh-CN"/>
          <w14:ligatures w14:val="none"/>
        </w:rPr>
      </w:pPr>
      <w:r w:rsidRPr="00D8206B">
        <w:rPr>
          <w:rFonts w:ascii="Times New Roman" w:eastAsia="SimSun" w:hAnsi="Times New Roman" w:cs="Times New Roman"/>
          <w:b/>
          <w:bCs/>
          <w:kern w:val="0"/>
          <w:lang w:eastAsia="zh-CN"/>
          <w14:ligatures w14:val="none"/>
        </w:rPr>
        <w:t>REFERENCES</w:t>
      </w:r>
    </w:p>
    <w:p w14:paraId="188D3B4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bookmarkStart w:id="32" w:name="_Hlk211009351"/>
      <w:r w:rsidRPr="00D8206B">
        <w:rPr>
          <w:rFonts w:ascii="Times New Roman" w:eastAsia="SimSun" w:hAnsi="Times New Roman" w:cs="Times New Roman"/>
          <w:kern w:val="0"/>
          <w:lang w:eastAsia="zh-CN"/>
          <w14:ligatures w14:val="none"/>
        </w:rPr>
        <w:t xml:space="preserve">Adebayo, A., &amp; Olusanya, O. (2019). Process optimization and service delivery in the Nigerian telecom industry. </w:t>
      </w:r>
      <w:r w:rsidRPr="00D8206B">
        <w:rPr>
          <w:rFonts w:ascii="Times New Roman" w:eastAsia="SimSun" w:hAnsi="Times New Roman" w:cs="Times New Roman"/>
          <w:i/>
          <w:iCs/>
          <w:kern w:val="0"/>
          <w:lang w:eastAsia="zh-CN"/>
          <w14:ligatures w14:val="none"/>
        </w:rPr>
        <w:t>Journal of African Business, 20</w:t>
      </w:r>
      <w:r w:rsidRPr="00D8206B">
        <w:rPr>
          <w:rFonts w:ascii="Times New Roman" w:eastAsia="SimSun" w:hAnsi="Times New Roman" w:cs="Times New Roman"/>
          <w:kern w:val="0"/>
          <w:lang w:eastAsia="zh-CN"/>
          <w14:ligatures w14:val="none"/>
        </w:rPr>
        <w:t>(2), 123-137.</w:t>
      </w:r>
    </w:p>
    <w:p w14:paraId="7D27E85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bookmarkStart w:id="33" w:name="_Hlk221263576"/>
      <w:r w:rsidRPr="00D8206B">
        <w:rPr>
          <w:rFonts w:ascii="Times New Roman" w:eastAsia="SimSun" w:hAnsi="Times New Roman" w:cs="Times New Roman"/>
          <w:kern w:val="0"/>
          <w:lang w:eastAsia="zh-CN"/>
          <w14:ligatures w14:val="none"/>
        </w:rPr>
        <w:lastRenderedPageBreak/>
        <w:t xml:space="preserve">Adeleke, S., &amp; Obiora, N. (2023). The influence of lean adoption on hotel performance: a study of selected hotels in Obio/Akpor Local Government Area, Rivers State. </w:t>
      </w:r>
      <w:r w:rsidRPr="00D8206B">
        <w:rPr>
          <w:rFonts w:ascii="Times New Roman" w:eastAsia="SimSun" w:hAnsi="Times New Roman" w:cs="Times New Roman"/>
          <w:i/>
          <w:iCs/>
          <w:kern w:val="0"/>
          <w:lang w:eastAsia="zh-CN"/>
          <w14:ligatures w14:val="none"/>
        </w:rPr>
        <w:t xml:space="preserve">International Journal of Advanced Studies in Business Strategies and Management, </w:t>
      </w:r>
      <w:r w:rsidRPr="00D8206B">
        <w:rPr>
          <w:rFonts w:ascii="Times New Roman" w:eastAsia="SimSun" w:hAnsi="Times New Roman" w:cs="Times New Roman"/>
          <w:kern w:val="0"/>
          <w:lang w:eastAsia="zh-CN"/>
          <w14:ligatures w14:val="none"/>
        </w:rPr>
        <w:t>242-259</w:t>
      </w:r>
      <w:bookmarkEnd w:id="33"/>
      <w:r w:rsidRPr="00D8206B">
        <w:rPr>
          <w:rFonts w:ascii="Times New Roman" w:eastAsia="SimSun" w:hAnsi="Times New Roman" w:cs="Times New Roman"/>
          <w:kern w:val="0"/>
          <w:lang w:eastAsia="zh-CN"/>
          <w14:ligatures w14:val="none"/>
        </w:rPr>
        <w:t>.</w:t>
      </w:r>
    </w:p>
    <w:p w14:paraId="7F09FBE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Ahmad, M., &amp; </w:t>
      </w:r>
      <w:proofErr w:type="spellStart"/>
      <w:r w:rsidRPr="00D8206B">
        <w:rPr>
          <w:rFonts w:ascii="Times New Roman" w:eastAsia="SimSun" w:hAnsi="Times New Roman" w:cs="Times New Roman"/>
          <w:kern w:val="0"/>
          <w:lang w:eastAsia="zh-CN"/>
          <w14:ligatures w14:val="none"/>
        </w:rPr>
        <w:t>Zakuan</w:t>
      </w:r>
      <w:proofErr w:type="spellEnd"/>
      <w:r w:rsidRPr="00D8206B">
        <w:rPr>
          <w:rFonts w:ascii="Times New Roman" w:eastAsia="SimSun" w:hAnsi="Times New Roman" w:cs="Times New Roman"/>
          <w:kern w:val="0"/>
          <w:lang w:eastAsia="zh-CN"/>
          <w14:ligatures w14:val="none"/>
        </w:rPr>
        <w:t xml:space="preserve">, N. (2016). The impact of lean manufacturing practices on service quality in the Malaysian automotive industry. </w:t>
      </w:r>
      <w:r w:rsidRPr="00D8206B">
        <w:rPr>
          <w:rFonts w:ascii="Times New Roman" w:eastAsia="SimSun" w:hAnsi="Times New Roman" w:cs="Times New Roman"/>
          <w:i/>
          <w:iCs/>
          <w:kern w:val="0"/>
          <w:lang w:eastAsia="zh-CN"/>
          <w14:ligatures w14:val="none"/>
        </w:rPr>
        <w:t>Journal of Manufacturing Technology Management, 27</w:t>
      </w:r>
      <w:r w:rsidRPr="00D8206B">
        <w:rPr>
          <w:rFonts w:ascii="Times New Roman" w:eastAsia="SimSun" w:hAnsi="Times New Roman" w:cs="Times New Roman"/>
          <w:kern w:val="0"/>
          <w:lang w:eastAsia="zh-CN"/>
          <w14:ligatures w14:val="none"/>
        </w:rPr>
        <w:t>(5), 605-625.</w:t>
      </w:r>
    </w:p>
    <w:p w14:paraId="3D115E60"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Ahn, J. J. (2022). Promoting hotel upselling: The effect of message appeal on upselling effectiveness. </w:t>
      </w:r>
      <w:r w:rsidRPr="00D8206B">
        <w:rPr>
          <w:rFonts w:ascii="Times New Roman" w:eastAsia="Times New Roman" w:hAnsi="Times New Roman" w:cs="Times New Roman"/>
          <w:i/>
          <w:iCs/>
          <w:kern w:val="0"/>
          <w14:ligatures w14:val="none"/>
        </w:rPr>
        <w:t>Journal of Hospitality and Tourism Insights</w:t>
      </w:r>
      <w:r w:rsidRPr="00D8206B">
        <w:rPr>
          <w:rFonts w:ascii="Times New Roman" w:eastAsia="Times New Roman" w:hAnsi="Times New Roman" w:cs="Times New Roman"/>
          <w:kern w:val="0"/>
          <w14:ligatures w14:val="none"/>
        </w:rPr>
        <w:t xml:space="preserve">. </w:t>
      </w:r>
      <w:hyperlink r:id="rId214" w:history="1">
        <w:r w:rsidRPr="00D8206B">
          <w:rPr>
            <w:rFonts w:ascii="Times New Roman" w:eastAsia="Times New Roman" w:hAnsi="Times New Roman" w:cs="Times New Roman"/>
            <w:color w:val="0000FF"/>
            <w:kern w:val="0"/>
            <w:u w:val="single"/>
            <w14:ligatures w14:val="none"/>
          </w:rPr>
          <w:t>https://doi.org/10.1016/j.XXXXXXX</w:t>
        </w:r>
      </w:hyperlink>
      <w:r w:rsidRPr="00D8206B">
        <w:rPr>
          <w:rFonts w:ascii="Times New Roman" w:eastAsia="Times New Roman" w:hAnsi="Times New Roman" w:cs="Times New Roman"/>
          <w:kern w:val="0"/>
          <w14:ligatures w14:val="none"/>
        </w:rPr>
        <w:t xml:space="preserve"> (article on upselling message appeals — practitioner/empirical study on upselling effectiveness).</w:t>
      </w:r>
    </w:p>
    <w:p w14:paraId="5E5E6F2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Al-Mashari, M., &amp; Zairi, M. (2006). Business process reengineering: A survey of international experience. </w:t>
      </w:r>
      <w:r w:rsidRPr="00D8206B">
        <w:rPr>
          <w:rFonts w:ascii="Times New Roman" w:eastAsia="SimSun" w:hAnsi="Times New Roman" w:cs="Times New Roman"/>
          <w:i/>
          <w:iCs/>
          <w:kern w:val="0"/>
          <w:lang w:eastAsia="zh-CN"/>
          <w14:ligatures w14:val="none"/>
        </w:rPr>
        <w:t>Business Process Management Journal, 6</w:t>
      </w:r>
      <w:r w:rsidRPr="00D8206B">
        <w:rPr>
          <w:rFonts w:ascii="Times New Roman" w:eastAsia="SimSun" w:hAnsi="Times New Roman" w:cs="Times New Roman"/>
          <w:kern w:val="0"/>
          <w:lang w:eastAsia="zh-CN"/>
          <w14:ligatures w14:val="none"/>
        </w:rPr>
        <w:t>(1), 10-19.</w:t>
      </w:r>
    </w:p>
    <w:p w14:paraId="67DB02A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Alsmadi</w:t>
      </w:r>
      <w:proofErr w:type="spellEnd"/>
      <w:r w:rsidRPr="00D8206B">
        <w:rPr>
          <w:rFonts w:ascii="Times New Roman" w:eastAsia="SimSun" w:hAnsi="Times New Roman" w:cs="Times New Roman"/>
          <w:kern w:val="0"/>
          <w:lang w:eastAsia="zh-CN"/>
          <w14:ligatures w14:val="none"/>
        </w:rPr>
        <w:t xml:space="preserve">, M., Khan, Z., &amp; McTavish, A. (2020). Lean Six Sigma implementation in the hospitality industry: Evidence from the United Arab Emirates. </w:t>
      </w:r>
      <w:r w:rsidRPr="00D8206B">
        <w:rPr>
          <w:rFonts w:ascii="Times New Roman" w:eastAsia="SimSun" w:hAnsi="Times New Roman" w:cs="Times New Roman"/>
          <w:i/>
          <w:iCs/>
          <w:kern w:val="0"/>
          <w:lang w:eastAsia="zh-CN"/>
          <w14:ligatures w14:val="none"/>
        </w:rPr>
        <w:t>International Journal of Hospitality Management, 89,</w:t>
      </w:r>
      <w:r w:rsidRPr="00D8206B">
        <w:rPr>
          <w:rFonts w:ascii="Times New Roman" w:eastAsia="SimSun" w:hAnsi="Times New Roman" w:cs="Times New Roman"/>
          <w:kern w:val="0"/>
          <w:lang w:eastAsia="zh-CN"/>
          <w14:ligatures w14:val="none"/>
        </w:rPr>
        <w:t xml:space="preserve"> 102546.</w:t>
      </w:r>
    </w:p>
    <w:p w14:paraId="5802D36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Alvesson, M. (2012). </w:t>
      </w:r>
      <w:r w:rsidRPr="00D8206B">
        <w:rPr>
          <w:rFonts w:ascii="Times New Roman" w:eastAsia="SimSun" w:hAnsi="Times New Roman" w:cs="Times New Roman"/>
          <w:i/>
          <w:iCs/>
          <w:kern w:val="0"/>
          <w:lang w:eastAsia="zh-CN"/>
          <w14:ligatures w14:val="none"/>
        </w:rPr>
        <w:t>Understanding organizational culture</w:t>
      </w:r>
      <w:r w:rsidRPr="00D8206B">
        <w:rPr>
          <w:rFonts w:ascii="Times New Roman" w:eastAsia="SimSun" w:hAnsi="Times New Roman" w:cs="Times New Roman"/>
          <w:kern w:val="0"/>
          <w:lang w:eastAsia="zh-CN"/>
          <w14:ligatures w14:val="none"/>
        </w:rPr>
        <w:t xml:space="preserve"> (2nd ed.). Sage.</w:t>
      </w:r>
    </w:p>
    <w:p w14:paraId="7F7522D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American Hotel &amp; Lodging Association (AHLA). (2023). Defining hospitality: The art of exceptional service. Retrieved from </w:t>
      </w:r>
      <w:hyperlink r:id="rId215" w:tgtFrame="_new" w:history="1">
        <w:r w:rsidRPr="00D8206B">
          <w:rPr>
            <w:rFonts w:ascii="Times New Roman" w:eastAsia="SimSun" w:hAnsi="Times New Roman" w:cs="Times New Roman"/>
            <w:color w:val="0563C1"/>
            <w:kern w:val="0"/>
            <w:u w:val="single"/>
            <w:lang w:eastAsia="zh-CN"/>
            <w14:ligatures w14:val="none"/>
          </w:rPr>
          <w:t>www.ahla.com</w:t>
        </w:r>
      </w:hyperlink>
    </w:p>
    <w:p w14:paraId="4BC62E5A"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An, S., Lee, P., &amp; Shin, C. H. (2023). Effects of </w:t>
      </w:r>
      <w:proofErr w:type="spellStart"/>
      <w:r w:rsidRPr="00D8206B">
        <w:rPr>
          <w:rFonts w:ascii="Times New Roman" w:eastAsia="Times New Roman" w:hAnsi="Times New Roman" w:cs="Times New Roman"/>
          <w:kern w:val="0"/>
          <w14:ligatures w14:val="none"/>
        </w:rPr>
        <w:t>servicescapes</w:t>
      </w:r>
      <w:proofErr w:type="spellEnd"/>
      <w:r w:rsidRPr="00D8206B">
        <w:rPr>
          <w:rFonts w:ascii="Times New Roman" w:eastAsia="Times New Roman" w:hAnsi="Times New Roman" w:cs="Times New Roman"/>
          <w:kern w:val="0"/>
          <w14:ligatures w14:val="none"/>
        </w:rPr>
        <w:t xml:space="preserve"> on interaction quality, service quality, and behavioral intention in a healthcare setting. </w:t>
      </w:r>
      <w:r w:rsidRPr="00D8206B">
        <w:rPr>
          <w:rFonts w:ascii="Times New Roman" w:eastAsia="Times New Roman" w:hAnsi="Times New Roman" w:cs="Times New Roman"/>
          <w:i/>
          <w:iCs/>
          <w:kern w:val="0"/>
          <w14:ligatures w14:val="none"/>
        </w:rPr>
        <w:t>Healthcare, 11</w:t>
      </w:r>
      <w:r w:rsidRPr="00D8206B">
        <w:rPr>
          <w:rFonts w:ascii="Times New Roman" w:eastAsia="Times New Roman" w:hAnsi="Times New Roman" w:cs="Times New Roman"/>
          <w:kern w:val="0"/>
          <w14:ligatures w14:val="none"/>
        </w:rPr>
        <w:t xml:space="preserve">(18), 2498. </w:t>
      </w:r>
    </w:p>
    <w:p w14:paraId="0CED1EF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Anthony, R. N. (2011). Lean thinking in the public sector: Influences, emergence and characteristics. </w:t>
      </w:r>
      <w:r w:rsidRPr="00D8206B">
        <w:rPr>
          <w:rFonts w:ascii="Times New Roman" w:eastAsia="SimSun" w:hAnsi="Times New Roman" w:cs="Times New Roman"/>
          <w:i/>
          <w:iCs/>
          <w:kern w:val="0"/>
          <w:lang w:eastAsia="zh-CN"/>
          <w14:ligatures w14:val="none"/>
        </w:rPr>
        <w:t>Public Money &amp; Management, 31</w:t>
      </w:r>
      <w:r w:rsidRPr="00D8206B">
        <w:rPr>
          <w:rFonts w:ascii="Times New Roman" w:eastAsia="SimSun" w:hAnsi="Times New Roman" w:cs="Times New Roman"/>
          <w:kern w:val="0"/>
          <w:lang w:eastAsia="zh-CN"/>
          <w14:ligatures w14:val="none"/>
        </w:rPr>
        <w:t>(1), 55-62.</w:t>
      </w:r>
    </w:p>
    <w:p w14:paraId="7FC9D5A0"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Antony, J., Brown, K., &amp; Patel, S. (2012). Lean Six Sigma for higher education institutions: challenges and strategies (UK). </w:t>
      </w:r>
      <w:r w:rsidRPr="00D8206B">
        <w:rPr>
          <w:rFonts w:ascii="Times New Roman" w:eastAsia="Times New Roman" w:hAnsi="Times New Roman" w:cs="Times New Roman"/>
          <w:i/>
          <w:iCs/>
          <w:kern w:val="0"/>
          <w14:ligatures w14:val="none"/>
        </w:rPr>
        <w:t>International Journal of Quality &amp; Reliability Management, 29</w:t>
      </w:r>
      <w:r w:rsidRPr="00D8206B">
        <w:rPr>
          <w:rFonts w:ascii="Times New Roman" w:eastAsia="Times New Roman" w:hAnsi="Times New Roman" w:cs="Times New Roman"/>
          <w:kern w:val="0"/>
          <w14:ligatures w14:val="none"/>
        </w:rPr>
        <w:t xml:space="preserve">(5), 512–529. </w:t>
      </w:r>
    </w:p>
    <w:p w14:paraId="7D154A8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Antony, J., Krishan, N., Cullen, D., &amp; Kumar, M. (2012). Lean Six Sigma for higher education institutions (HEIs): Challenges, barriers, success factors, and implementation strategies. </w:t>
      </w:r>
      <w:r w:rsidRPr="00D8206B">
        <w:rPr>
          <w:rFonts w:ascii="Times New Roman" w:eastAsia="SimSun" w:hAnsi="Times New Roman" w:cs="Times New Roman"/>
          <w:i/>
          <w:iCs/>
          <w:kern w:val="0"/>
          <w:lang w:eastAsia="zh-CN"/>
          <w14:ligatures w14:val="none"/>
        </w:rPr>
        <w:t>International Journal of Productivity and Performance Management, 61</w:t>
      </w:r>
      <w:r w:rsidRPr="00D8206B">
        <w:rPr>
          <w:rFonts w:ascii="Times New Roman" w:eastAsia="SimSun" w:hAnsi="Times New Roman" w:cs="Times New Roman"/>
          <w:kern w:val="0"/>
          <w:lang w:eastAsia="zh-CN"/>
          <w14:ligatures w14:val="none"/>
        </w:rPr>
        <w:t>(8), 940-948.</w:t>
      </w:r>
    </w:p>
    <w:p w14:paraId="34D9943B" w14:textId="77777777" w:rsidR="00D8206B" w:rsidRPr="00D8206B" w:rsidRDefault="00D8206B" w:rsidP="00D8206B">
      <w:pPr>
        <w:spacing w:beforeAutospacing="1" w:after="0" w:afterAutospacing="1"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Asghar, J., </w:t>
      </w:r>
      <w:proofErr w:type="spellStart"/>
      <w:r w:rsidRPr="00D8206B">
        <w:rPr>
          <w:rFonts w:ascii="Times New Roman" w:eastAsia="Times New Roman" w:hAnsi="Times New Roman" w:cs="Times New Roman"/>
          <w:kern w:val="0"/>
          <w14:ligatures w14:val="none"/>
        </w:rPr>
        <w:t>Kanbach</w:t>
      </w:r>
      <w:proofErr w:type="spellEnd"/>
      <w:r w:rsidRPr="00D8206B">
        <w:rPr>
          <w:rFonts w:ascii="Times New Roman" w:eastAsia="Times New Roman" w:hAnsi="Times New Roman" w:cs="Times New Roman"/>
          <w:kern w:val="0"/>
          <w14:ligatures w14:val="none"/>
        </w:rPr>
        <w:t xml:space="preserve">, D. K., &amp; Kraus, S. (2025). </w:t>
      </w:r>
      <w:r w:rsidRPr="00D8206B">
        <w:rPr>
          <w:rFonts w:ascii="Times New Roman" w:eastAsia="Times New Roman" w:hAnsi="Times New Roman" w:cs="Times New Roman"/>
          <w:i/>
          <w:iCs/>
          <w:kern w:val="0"/>
          <w14:ligatures w14:val="none"/>
        </w:rPr>
        <w:t>Toward a multidimensional concept of organizational agility: a systematic literature review.</w:t>
      </w:r>
      <w:r w:rsidRPr="00D8206B">
        <w:rPr>
          <w:rFonts w:ascii="Times New Roman" w:eastAsia="Times New Roman" w:hAnsi="Times New Roman" w:cs="Times New Roman"/>
          <w:kern w:val="0"/>
          <w14:ligatures w14:val="none"/>
        </w:rPr>
        <w:t xml:space="preserve"> Management Review Quarterly. </w:t>
      </w:r>
      <w:hyperlink r:id="rId216" w:history="1">
        <w:r w:rsidRPr="00D8206B">
          <w:rPr>
            <w:rFonts w:ascii="Times New Roman" w:eastAsia="Times New Roman" w:hAnsi="Times New Roman" w:cs="Times New Roman"/>
            <w:color w:val="0000FF"/>
            <w:kern w:val="0"/>
            <w:u w:val="single"/>
            <w14:ligatures w14:val="none"/>
          </w:rPr>
          <w:t>https://doi.org/10.1007/s11301-025-00497-6</w:t>
        </w:r>
      </w:hyperlink>
      <w:r w:rsidRPr="00D8206B">
        <w:rPr>
          <w:rFonts w:ascii="Times New Roman" w:eastAsia="Times New Roman" w:hAnsi="Times New Roman" w:cs="Times New Roman"/>
          <w:kern w:val="0"/>
          <w14:ligatures w14:val="none"/>
        </w:rPr>
        <w:t>.</w:t>
      </w:r>
    </w:p>
    <w:p w14:paraId="1A187E4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Babbie, E. (2017). </w:t>
      </w:r>
      <w:r w:rsidRPr="00D8206B">
        <w:rPr>
          <w:rFonts w:ascii="Times New Roman" w:eastAsia="SimSun" w:hAnsi="Times New Roman" w:cs="Times New Roman"/>
          <w:i/>
          <w:iCs/>
          <w:kern w:val="0"/>
          <w:lang w:eastAsia="zh-CN"/>
          <w14:ligatures w14:val="none"/>
        </w:rPr>
        <w:t>The practice of social research</w:t>
      </w:r>
      <w:r w:rsidRPr="00D8206B">
        <w:rPr>
          <w:rFonts w:ascii="Times New Roman" w:eastAsia="SimSun" w:hAnsi="Times New Roman" w:cs="Times New Roman"/>
          <w:kern w:val="0"/>
          <w:lang w:eastAsia="zh-CN"/>
          <w14:ligatures w14:val="none"/>
        </w:rPr>
        <w:t xml:space="preserve"> (14th ed.). Cengage Learning.</w:t>
      </w:r>
    </w:p>
    <w:p w14:paraId="38B0C095"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Ballard, M., &amp; Montgomery, P. (2017). Systematic review of interventions for improving the performance of community health workers in low-income and middle-income countries. </w:t>
      </w:r>
      <w:r w:rsidRPr="00D8206B">
        <w:rPr>
          <w:rFonts w:ascii="Times New Roman" w:eastAsia="Times New Roman" w:hAnsi="Times New Roman" w:cs="Times New Roman"/>
          <w:i/>
          <w:iCs/>
          <w:kern w:val="0"/>
          <w14:ligatures w14:val="none"/>
        </w:rPr>
        <w:t>BMJ Open, 7</w:t>
      </w:r>
      <w:r w:rsidRPr="00D8206B">
        <w:rPr>
          <w:rFonts w:ascii="Times New Roman" w:eastAsia="Times New Roman" w:hAnsi="Times New Roman" w:cs="Times New Roman"/>
          <w:kern w:val="0"/>
          <w14:ligatures w14:val="none"/>
        </w:rPr>
        <w:t xml:space="preserve">(10), e014216. </w:t>
      </w:r>
    </w:p>
    <w:p w14:paraId="6FD8F1B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Baxter, G., &amp; Sommerville, I. (2011). Socio-technical systems: From design methods to systems engineering. </w:t>
      </w:r>
      <w:r w:rsidRPr="00D8206B">
        <w:rPr>
          <w:rFonts w:ascii="Times New Roman" w:eastAsia="SimSun" w:hAnsi="Times New Roman" w:cs="Times New Roman"/>
          <w:i/>
          <w:iCs/>
          <w:kern w:val="0"/>
          <w:lang w:eastAsia="zh-CN"/>
          <w14:ligatures w14:val="none"/>
        </w:rPr>
        <w:t>Interacting with Computers, 23</w:t>
      </w:r>
      <w:r w:rsidRPr="00D8206B">
        <w:rPr>
          <w:rFonts w:ascii="Times New Roman" w:eastAsia="SimSun" w:hAnsi="Times New Roman" w:cs="Times New Roman"/>
          <w:kern w:val="0"/>
          <w:lang w:eastAsia="zh-CN"/>
          <w14:ligatures w14:val="none"/>
        </w:rPr>
        <w:t xml:space="preserve">(1), 4–17. </w:t>
      </w:r>
    </w:p>
    <w:p w14:paraId="70BDCE4C"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Bdour</w:t>
      </w:r>
      <w:proofErr w:type="spellEnd"/>
      <w:r w:rsidRPr="00D8206B">
        <w:rPr>
          <w:rFonts w:ascii="Times New Roman" w:eastAsia="SimSun" w:hAnsi="Times New Roman" w:cs="Times New Roman"/>
          <w:kern w:val="0"/>
          <w:lang w:eastAsia="zh-CN"/>
          <w14:ligatures w14:val="none"/>
        </w:rPr>
        <w:t xml:space="preserve">, A., </w:t>
      </w:r>
      <w:proofErr w:type="spellStart"/>
      <w:r w:rsidRPr="00D8206B">
        <w:rPr>
          <w:rFonts w:ascii="Times New Roman" w:eastAsia="SimSun" w:hAnsi="Times New Roman" w:cs="Times New Roman"/>
          <w:kern w:val="0"/>
          <w:lang w:eastAsia="zh-CN"/>
          <w14:ligatures w14:val="none"/>
        </w:rPr>
        <w:t>Altrabsheh</w:t>
      </w:r>
      <w:proofErr w:type="spellEnd"/>
      <w:r w:rsidRPr="00D8206B">
        <w:rPr>
          <w:rFonts w:ascii="Times New Roman" w:eastAsia="SimSun" w:hAnsi="Times New Roman" w:cs="Times New Roman"/>
          <w:kern w:val="0"/>
          <w:lang w:eastAsia="zh-CN"/>
          <w14:ligatures w14:val="none"/>
        </w:rPr>
        <w:t xml:space="preserve">, B., </w:t>
      </w:r>
      <w:proofErr w:type="spellStart"/>
      <w:r w:rsidRPr="00D8206B">
        <w:rPr>
          <w:rFonts w:ascii="Times New Roman" w:eastAsia="SimSun" w:hAnsi="Times New Roman" w:cs="Times New Roman"/>
          <w:kern w:val="0"/>
          <w:lang w:eastAsia="zh-CN"/>
          <w14:ligatures w14:val="none"/>
        </w:rPr>
        <w:t>Hadadin</w:t>
      </w:r>
      <w:proofErr w:type="spellEnd"/>
      <w:r w:rsidRPr="00D8206B">
        <w:rPr>
          <w:rFonts w:ascii="Times New Roman" w:eastAsia="SimSun" w:hAnsi="Times New Roman" w:cs="Times New Roman"/>
          <w:kern w:val="0"/>
          <w:lang w:eastAsia="zh-CN"/>
          <w14:ligatures w14:val="none"/>
        </w:rPr>
        <w:t xml:space="preserve">, N., &amp; Al-Shareif, M. (2007). Assessment of medical wastes management practice: A case study of the northern part of Jordan. </w:t>
      </w:r>
      <w:r w:rsidRPr="00D8206B">
        <w:rPr>
          <w:rFonts w:ascii="Times New Roman" w:eastAsia="SimSun" w:hAnsi="Times New Roman" w:cs="Times New Roman"/>
          <w:i/>
          <w:iCs/>
          <w:kern w:val="0"/>
          <w:lang w:eastAsia="zh-CN"/>
          <w14:ligatures w14:val="none"/>
        </w:rPr>
        <w:t>Waste Management, 27</w:t>
      </w:r>
      <w:r w:rsidRPr="00D8206B">
        <w:rPr>
          <w:rFonts w:ascii="Times New Roman" w:eastAsia="SimSun" w:hAnsi="Times New Roman" w:cs="Times New Roman"/>
          <w:kern w:val="0"/>
          <w:lang w:eastAsia="zh-CN"/>
          <w14:ligatures w14:val="none"/>
        </w:rPr>
        <w:t xml:space="preserve">(6), 746–759. </w:t>
      </w:r>
    </w:p>
    <w:p w14:paraId="3CA02B2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Ben-Tovim, D. I., Bassham, J. E., Bennett, D. M., Dougherty, M. L., Martin, M. A., O'Neill, S. J., &amp; </w:t>
      </w:r>
      <w:proofErr w:type="spellStart"/>
      <w:r w:rsidRPr="00D8206B">
        <w:rPr>
          <w:rFonts w:ascii="Times New Roman" w:eastAsia="SimSun" w:hAnsi="Times New Roman" w:cs="Times New Roman"/>
          <w:kern w:val="0"/>
          <w:lang w:eastAsia="zh-CN"/>
          <w14:ligatures w14:val="none"/>
        </w:rPr>
        <w:t>Szwarcbord</w:t>
      </w:r>
      <w:proofErr w:type="spellEnd"/>
      <w:r w:rsidRPr="00D8206B">
        <w:rPr>
          <w:rFonts w:ascii="Times New Roman" w:eastAsia="SimSun" w:hAnsi="Times New Roman" w:cs="Times New Roman"/>
          <w:kern w:val="0"/>
          <w:lang w:eastAsia="zh-CN"/>
          <w14:ligatures w14:val="none"/>
        </w:rPr>
        <w:t xml:space="preserve">, M. G. (2007). Lean thinking across a hospital: Redesigning care at the Flinders Medical Centre. </w:t>
      </w:r>
      <w:r w:rsidRPr="00D8206B">
        <w:rPr>
          <w:rFonts w:ascii="Times New Roman" w:eastAsia="SimSun" w:hAnsi="Times New Roman" w:cs="Times New Roman"/>
          <w:i/>
          <w:iCs/>
          <w:kern w:val="0"/>
          <w:lang w:eastAsia="zh-CN"/>
          <w14:ligatures w14:val="none"/>
        </w:rPr>
        <w:t>Australian Health Review, 31</w:t>
      </w:r>
      <w:r w:rsidRPr="00D8206B">
        <w:rPr>
          <w:rFonts w:ascii="Times New Roman" w:eastAsia="SimSun" w:hAnsi="Times New Roman" w:cs="Times New Roman"/>
          <w:kern w:val="0"/>
          <w:lang w:eastAsia="zh-CN"/>
          <w14:ligatures w14:val="none"/>
        </w:rPr>
        <w:t>(1), 10-15.</w:t>
      </w:r>
    </w:p>
    <w:p w14:paraId="67A34BA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Bhasin, S. (2020). </w:t>
      </w:r>
      <w:r w:rsidRPr="00D8206B">
        <w:rPr>
          <w:rFonts w:ascii="Times New Roman" w:eastAsia="SimSun" w:hAnsi="Times New Roman" w:cs="Times New Roman"/>
          <w:i/>
          <w:iCs/>
          <w:kern w:val="0"/>
          <w:lang w:eastAsia="zh-CN"/>
          <w14:ligatures w14:val="none"/>
        </w:rPr>
        <w:t>Lean management beyond manufacturing: A holistic approach.</w:t>
      </w:r>
      <w:r w:rsidRPr="00D8206B">
        <w:rPr>
          <w:rFonts w:ascii="Times New Roman" w:eastAsia="SimSun" w:hAnsi="Times New Roman" w:cs="Times New Roman"/>
          <w:kern w:val="0"/>
          <w:lang w:eastAsia="zh-CN"/>
          <w14:ligatures w14:val="none"/>
        </w:rPr>
        <w:t xml:space="preserve"> Springer.</w:t>
      </w:r>
    </w:p>
    <w:p w14:paraId="7E9A4E7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Bhat, S., &amp; </w:t>
      </w:r>
      <w:proofErr w:type="spellStart"/>
      <w:r w:rsidRPr="00D8206B">
        <w:rPr>
          <w:rFonts w:ascii="Times New Roman" w:eastAsia="SimSun" w:hAnsi="Times New Roman" w:cs="Times New Roman"/>
          <w:kern w:val="0"/>
          <w:lang w:eastAsia="zh-CN"/>
          <w14:ligatures w14:val="none"/>
        </w:rPr>
        <w:t>Jnanesh</w:t>
      </w:r>
      <w:proofErr w:type="spellEnd"/>
      <w:r w:rsidRPr="00D8206B">
        <w:rPr>
          <w:rFonts w:ascii="Times New Roman" w:eastAsia="SimSun" w:hAnsi="Times New Roman" w:cs="Times New Roman"/>
          <w:kern w:val="0"/>
          <w:lang w:eastAsia="zh-CN"/>
          <w14:ligatures w14:val="none"/>
        </w:rPr>
        <w:t xml:space="preserve">, N. A. (2019). Lean implementation and customer satisfaction in the Indian retail industry: A comparative study. </w:t>
      </w:r>
      <w:r w:rsidRPr="00D8206B">
        <w:rPr>
          <w:rFonts w:ascii="Times New Roman" w:eastAsia="SimSun" w:hAnsi="Times New Roman" w:cs="Times New Roman"/>
          <w:i/>
          <w:iCs/>
          <w:kern w:val="0"/>
          <w:lang w:eastAsia="zh-CN"/>
          <w14:ligatures w14:val="none"/>
        </w:rPr>
        <w:t>Journal of Retailing and Consumer Services, 50,</w:t>
      </w:r>
      <w:r w:rsidRPr="00D8206B">
        <w:rPr>
          <w:rFonts w:ascii="Times New Roman" w:eastAsia="SimSun" w:hAnsi="Times New Roman" w:cs="Times New Roman"/>
          <w:kern w:val="0"/>
          <w:lang w:eastAsia="zh-CN"/>
          <w14:ligatures w14:val="none"/>
        </w:rPr>
        <w:t xml:space="preserve"> 165-175. https://doi.org/10.1016/j.jretconser.2019.04.002</w:t>
      </w:r>
    </w:p>
    <w:p w14:paraId="00C1DED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Bhatia, M., &amp; Gupta, R. (2020). Impact of lean management practices on service quality in the hospitality sector. </w:t>
      </w:r>
      <w:r w:rsidRPr="00D8206B">
        <w:rPr>
          <w:rFonts w:ascii="Times New Roman" w:eastAsia="SimSun" w:hAnsi="Times New Roman" w:cs="Times New Roman"/>
          <w:i/>
          <w:iCs/>
          <w:kern w:val="0"/>
          <w:lang w:eastAsia="zh-CN"/>
          <w14:ligatures w14:val="none"/>
        </w:rPr>
        <w:t>Journal of Hospitality Management and Tourism, 11</w:t>
      </w:r>
      <w:r w:rsidRPr="00D8206B">
        <w:rPr>
          <w:rFonts w:ascii="Times New Roman" w:eastAsia="SimSun" w:hAnsi="Times New Roman" w:cs="Times New Roman"/>
          <w:kern w:val="0"/>
          <w:lang w:eastAsia="zh-CN"/>
          <w14:ligatures w14:val="none"/>
        </w:rPr>
        <w:t>(2), 87-95.</w:t>
      </w:r>
    </w:p>
    <w:p w14:paraId="288D9D7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Bicheno, J., &amp; Holweg, M. (2016). </w:t>
      </w:r>
      <w:r w:rsidRPr="00D8206B">
        <w:rPr>
          <w:rFonts w:ascii="Times New Roman" w:eastAsia="SimSun" w:hAnsi="Times New Roman" w:cs="Times New Roman"/>
          <w:i/>
          <w:iCs/>
          <w:kern w:val="0"/>
          <w:lang w:eastAsia="zh-CN"/>
          <w14:ligatures w14:val="none"/>
        </w:rPr>
        <w:t>The lean toolbox: A handbook for lean transformation</w:t>
      </w:r>
      <w:r w:rsidRPr="00D8206B">
        <w:rPr>
          <w:rFonts w:ascii="Times New Roman" w:eastAsia="SimSun" w:hAnsi="Times New Roman" w:cs="Times New Roman"/>
          <w:kern w:val="0"/>
          <w:lang w:eastAsia="zh-CN"/>
          <w14:ligatures w14:val="none"/>
        </w:rPr>
        <w:t xml:space="preserve"> (5th ed.). PICSIE Books.</w:t>
      </w:r>
    </w:p>
    <w:p w14:paraId="5BDEB825"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Bielen, F., &amp; Demoulin, N. (2007). Waiting time influence on the satisfaction–loyalty relationship in services. </w:t>
      </w:r>
      <w:r w:rsidRPr="00D8206B">
        <w:rPr>
          <w:rFonts w:ascii="Times New Roman" w:eastAsia="Times New Roman" w:hAnsi="Times New Roman" w:cs="Times New Roman"/>
          <w:i/>
          <w:iCs/>
          <w:kern w:val="0"/>
          <w14:ligatures w14:val="none"/>
        </w:rPr>
        <w:t>Managing Service Quality: An International Journal, 17</w:t>
      </w:r>
      <w:r w:rsidRPr="00D8206B">
        <w:rPr>
          <w:rFonts w:ascii="Times New Roman" w:eastAsia="Times New Roman" w:hAnsi="Times New Roman" w:cs="Times New Roman"/>
          <w:kern w:val="0"/>
          <w14:ligatures w14:val="none"/>
        </w:rPr>
        <w:t xml:space="preserve">(2), 174–193. </w:t>
      </w:r>
    </w:p>
    <w:p w14:paraId="0A4B4796"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Bitner, M. J., Booms, B. H., &amp; Tetreault, M. S. (1990). The service encounter: Diagnosing favorable and unfavorable incidents. </w:t>
      </w:r>
      <w:r w:rsidRPr="00D8206B">
        <w:rPr>
          <w:rFonts w:ascii="Times New Roman" w:eastAsia="Times New Roman" w:hAnsi="Times New Roman" w:cs="Times New Roman"/>
          <w:i/>
          <w:iCs/>
          <w:kern w:val="0"/>
          <w14:ligatures w14:val="none"/>
        </w:rPr>
        <w:t>Journal of Marketing, 54</w:t>
      </w:r>
      <w:r w:rsidRPr="00D8206B">
        <w:rPr>
          <w:rFonts w:ascii="Times New Roman" w:eastAsia="Times New Roman" w:hAnsi="Times New Roman" w:cs="Times New Roman"/>
          <w:kern w:val="0"/>
          <w14:ligatures w14:val="none"/>
        </w:rPr>
        <w:t xml:space="preserve">(1), 71–84. </w:t>
      </w:r>
    </w:p>
    <w:p w14:paraId="05060316"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Blenkharn</w:t>
      </w:r>
      <w:proofErr w:type="spellEnd"/>
      <w:r w:rsidRPr="00D8206B">
        <w:rPr>
          <w:rFonts w:ascii="Times New Roman" w:eastAsia="SimSun" w:hAnsi="Times New Roman" w:cs="Times New Roman"/>
          <w:kern w:val="0"/>
          <w:lang w:eastAsia="zh-CN"/>
          <w14:ligatures w14:val="none"/>
        </w:rPr>
        <w:t xml:space="preserve">, J. I. (2006). Standards of clinical waste management in UK hospitals. </w:t>
      </w:r>
      <w:r w:rsidRPr="00D8206B">
        <w:rPr>
          <w:rFonts w:ascii="Times New Roman" w:eastAsia="SimSun" w:hAnsi="Times New Roman" w:cs="Times New Roman"/>
          <w:i/>
          <w:iCs/>
          <w:kern w:val="0"/>
          <w:lang w:eastAsia="zh-CN"/>
          <w14:ligatures w14:val="none"/>
        </w:rPr>
        <w:t>Journal of Hospital Infection, 62</w:t>
      </w:r>
      <w:r w:rsidRPr="00D8206B">
        <w:rPr>
          <w:rFonts w:ascii="Times New Roman" w:eastAsia="SimSun" w:hAnsi="Times New Roman" w:cs="Times New Roman"/>
          <w:kern w:val="0"/>
          <w:lang w:eastAsia="zh-CN"/>
          <w14:ligatures w14:val="none"/>
        </w:rPr>
        <w:t xml:space="preserve">(3), 300–303. </w:t>
      </w:r>
    </w:p>
    <w:p w14:paraId="52B1224E"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Bohdanowicz, P. (2006). Environmental awareness and initiatives in the Swedish and Polish hotel industries—survey results. </w:t>
      </w:r>
      <w:r w:rsidRPr="00D8206B">
        <w:rPr>
          <w:rFonts w:ascii="Times New Roman" w:eastAsia="SimSun" w:hAnsi="Times New Roman" w:cs="Times New Roman"/>
          <w:i/>
          <w:iCs/>
          <w:kern w:val="0"/>
          <w:lang w:eastAsia="zh-CN"/>
          <w14:ligatures w14:val="none"/>
        </w:rPr>
        <w:t>International Journal of Hospitality Management</w:t>
      </w:r>
      <w:r w:rsidRPr="00D8206B">
        <w:rPr>
          <w:rFonts w:ascii="Times New Roman" w:eastAsia="SimSun" w:hAnsi="Times New Roman" w:cs="Times New Roman"/>
          <w:kern w:val="0"/>
          <w:lang w:eastAsia="zh-CN"/>
          <w14:ligatures w14:val="none"/>
        </w:rPr>
        <w:t xml:space="preserve">. (See article for volume/issue). </w:t>
      </w:r>
    </w:p>
    <w:p w14:paraId="707DF6D4"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Bohdanowicz, P., &amp; Martinac, I. (2007). Determinants and benchmarking of resource consumption in hotels—case study of Hilton International and Scandic in Europe. </w:t>
      </w:r>
      <w:r w:rsidRPr="00D8206B">
        <w:rPr>
          <w:rFonts w:ascii="Times New Roman" w:eastAsia="SimSun" w:hAnsi="Times New Roman" w:cs="Times New Roman"/>
          <w:i/>
          <w:iCs/>
          <w:kern w:val="0"/>
          <w:lang w:eastAsia="zh-CN"/>
          <w14:ligatures w14:val="none"/>
        </w:rPr>
        <w:t>Energy and Buildings</w:t>
      </w:r>
      <w:r w:rsidRPr="00D8206B">
        <w:rPr>
          <w:rFonts w:ascii="Times New Roman" w:eastAsia="SimSun" w:hAnsi="Times New Roman" w:cs="Times New Roman"/>
          <w:kern w:val="0"/>
          <w:lang w:eastAsia="zh-CN"/>
          <w14:ligatures w14:val="none"/>
        </w:rPr>
        <w:t xml:space="preserve">. (See article for volume/issue). </w:t>
      </w:r>
    </w:p>
    <w:p w14:paraId="2B7323D2"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Bohner, G., &amp; Schlüter, L. E. (2014). A room with a viewpoint revisited: Descriptive norms and hotel guests’ towel reuse behavior. </w:t>
      </w:r>
      <w:proofErr w:type="spellStart"/>
      <w:r w:rsidRPr="00D8206B">
        <w:rPr>
          <w:rFonts w:ascii="Times New Roman" w:eastAsia="SimSun" w:hAnsi="Times New Roman" w:cs="Times New Roman"/>
          <w:i/>
          <w:iCs/>
          <w:kern w:val="0"/>
          <w:lang w:eastAsia="zh-CN"/>
          <w14:ligatures w14:val="none"/>
        </w:rPr>
        <w:t>PLoS</w:t>
      </w:r>
      <w:proofErr w:type="spellEnd"/>
      <w:r w:rsidRPr="00D8206B">
        <w:rPr>
          <w:rFonts w:ascii="Times New Roman" w:eastAsia="SimSun" w:hAnsi="Times New Roman" w:cs="Times New Roman"/>
          <w:i/>
          <w:iCs/>
          <w:kern w:val="0"/>
          <w:lang w:eastAsia="zh-CN"/>
          <w14:ligatures w14:val="none"/>
        </w:rPr>
        <w:t xml:space="preserve"> ONE, 9</w:t>
      </w:r>
      <w:r w:rsidRPr="00D8206B">
        <w:rPr>
          <w:rFonts w:ascii="Times New Roman" w:eastAsia="SimSun" w:hAnsi="Times New Roman" w:cs="Times New Roman"/>
          <w:kern w:val="0"/>
          <w:lang w:eastAsia="zh-CN"/>
          <w14:ligatures w14:val="none"/>
        </w:rPr>
        <w:t xml:space="preserve">(8), e106606. </w:t>
      </w:r>
    </w:p>
    <w:p w14:paraId="7B31EC0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Bowley, A. (1964). Sampling and proportionate allocation methods. </w:t>
      </w:r>
      <w:r w:rsidRPr="00D8206B">
        <w:rPr>
          <w:rFonts w:ascii="Times New Roman" w:eastAsia="SimSun" w:hAnsi="Times New Roman" w:cs="Times New Roman"/>
          <w:i/>
          <w:iCs/>
          <w:kern w:val="0"/>
          <w:lang w:eastAsia="zh-CN"/>
          <w14:ligatures w14:val="none"/>
        </w:rPr>
        <w:t>Journal of the Royal Statistical Society, 127</w:t>
      </w:r>
      <w:r w:rsidRPr="00D8206B">
        <w:rPr>
          <w:rFonts w:ascii="Times New Roman" w:eastAsia="SimSun" w:hAnsi="Times New Roman" w:cs="Times New Roman"/>
          <w:kern w:val="0"/>
          <w:lang w:eastAsia="zh-CN"/>
          <w14:ligatures w14:val="none"/>
        </w:rPr>
        <w:t>(1), 1–17.</w:t>
      </w:r>
    </w:p>
    <w:p w14:paraId="4539BAD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Bryman, A. (2016). </w:t>
      </w:r>
      <w:r w:rsidRPr="00D8206B">
        <w:rPr>
          <w:rFonts w:ascii="Times New Roman" w:eastAsia="SimSun" w:hAnsi="Times New Roman" w:cs="Times New Roman"/>
          <w:i/>
          <w:iCs/>
          <w:kern w:val="0"/>
          <w:lang w:eastAsia="zh-CN"/>
          <w14:ligatures w14:val="none"/>
        </w:rPr>
        <w:t>Social research methods</w:t>
      </w:r>
      <w:r w:rsidRPr="00D8206B">
        <w:rPr>
          <w:rFonts w:ascii="Times New Roman" w:eastAsia="SimSun" w:hAnsi="Times New Roman" w:cs="Times New Roman"/>
          <w:kern w:val="0"/>
          <w:lang w:eastAsia="zh-CN"/>
          <w14:ligatures w14:val="none"/>
        </w:rPr>
        <w:t xml:space="preserve"> (5th ed.). Oxford University Press.</w:t>
      </w:r>
    </w:p>
    <w:p w14:paraId="52C1975B"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Bunyaratavej</w:t>
      </w:r>
      <w:proofErr w:type="spellEnd"/>
      <w:r w:rsidRPr="00D8206B">
        <w:rPr>
          <w:rFonts w:ascii="Times New Roman" w:eastAsia="Times New Roman" w:hAnsi="Times New Roman" w:cs="Times New Roman"/>
          <w:kern w:val="0"/>
          <w14:ligatures w14:val="none"/>
        </w:rPr>
        <w:t xml:space="preserve">, K., Doh, J., &amp; Hahn, E. (2007). International offshoring, firm performance and customer satisfaction (manufacturing). </w:t>
      </w:r>
      <w:r w:rsidRPr="00D8206B">
        <w:rPr>
          <w:rFonts w:ascii="Times New Roman" w:eastAsia="Times New Roman" w:hAnsi="Times New Roman" w:cs="Times New Roman"/>
          <w:i/>
          <w:iCs/>
          <w:kern w:val="0"/>
          <w14:ligatures w14:val="none"/>
        </w:rPr>
        <w:t>Journal of International Business Studies, 38</w:t>
      </w:r>
      <w:r w:rsidRPr="00D8206B">
        <w:rPr>
          <w:rFonts w:ascii="Times New Roman" w:eastAsia="Times New Roman" w:hAnsi="Times New Roman" w:cs="Times New Roman"/>
          <w:kern w:val="0"/>
          <w14:ligatures w14:val="none"/>
        </w:rPr>
        <w:t>(5), 876–893.</w:t>
      </w:r>
    </w:p>
    <w:p w14:paraId="67D8624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Burgess, N., &amp; Radnor, Z. (2013). Evaluative research in lean operations in service organizations: A critical review and research agenda. </w:t>
      </w:r>
      <w:r w:rsidRPr="00D8206B">
        <w:rPr>
          <w:rFonts w:ascii="Times New Roman" w:eastAsia="SimSun" w:hAnsi="Times New Roman" w:cs="Times New Roman"/>
          <w:i/>
          <w:iCs/>
          <w:kern w:val="0"/>
          <w:lang w:eastAsia="zh-CN"/>
          <w14:ligatures w14:val="none"/>
        </w:rPr>
        <w:t>International Journal of Operations &amp; Production Management, 33</w:t>
      </w:r>
      <w:r w:rsidRPr="00D8206B">
        <w:rPr>
          <w:rFonts w:ascii="Times New Roman" w:eastAsia="SimSun" w:hAnsi="Times New Roman" w:cs="Times New Roman"/>
          <w:kern w:val="0"/>
          <w:lang w:eastAsia="zh-CN"/>
          <w14:ligatures w14:val="none"/>
        </w:rPr>
        <w:t>(11/12), 1573-1595.</w:t>
      </w:r>
    </w:p>
    <w:p w14:paraId="7340723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Cameron, K. S., &amp; Quinn, R. E. (2011). </w:t>
      </w:r>
      <w:r w:rsidRPr="00D8206B">
        <w:rPr>
          <w:rFonts w:ascii="Times New Roman" w:eastAsia="SimSun" w:hAnsi="Times New Roman" w:cs="Times New Roman"/>
          <w:i/>
          <w:iCs/>
          <w:kern w:val="0"/>
          <w:lang w:eastAsia="zh-CN"/>
          <w14:ligatures w14:val="none"/>
        </w:rPr>
        <w:t>Diagnosing and changing organizational culture: Based on the competing values framework</w:t>
      </w:r>
      <w:r w:rsidRPr="00D8206B">
        <w:rPr>
          <w:rFonts w:ascii="Times New Roman" w:eastAsia="SimSun" w:hAnsi="Times New Roman" w:cs="Times New Roman"/>
          <w:kern w:val="0"/>
          <w:lang w:eastAsia="zh-CN"/>
          <w14:ligatures w14:val="none"/>
        </w:rPr>
        <w:t xml:space="preserve"> (3rd ed.). Jossey-Bass.</w:t>
      </w:r>
    </w:p>
    <w:p w14:paraId="0A6BDD44"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 xml:space="preserve">Carlos, J., &amp; Ana Jabbour, C. (2016). Green lean manufacturing: When lean and green thinking intersect. </w:t>
      </w:r>
      <w:r w:rsidRPr="00D8206B">
        <w:rPr>
          <w:rFonts w:ascii="Times New Roman" w:eastAsia="Times New Roman" w:hAnsi="Times New Roman" w:cs="Times New Roman"/>
          <w:i/>
          <w:iCs/>
          <w:kern w:val="0"/>
          <w14:ligatures w14:val="none"/>
        </w:rPr>
        <w:t>Journal of Cleaner Production, 112</w:t>
      </w:r>
      <w:r w:rsidRPr="00D8206B">
        <w:rPr>
          <w:rFonts w:ascii="Times New Roman" w:eastAsia="Times New Roman" w:hAnsi="Times New Roman" w:cs="Times New Roman"/>
          <w:kern w:val="0"/>
          <w14:ligatures w14:val="none"/>
        </w:rPr>
        <w:t xml:space="preserve">, 342–352. </w:t>
      </w:r>
    </w:p>
    <w:p w14:paraId="67142F4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Carlos, M., &amp; Jabbour, A. B. L. de S. (2016). Sustainable practices and operational performance in hospitality. </w:t>
      </w:r>
      <w:r w:rsidRPr="00D8206B">
        <w:rPr>
          <w:rFonts w:ascii="Times New Roman" w:eastAsia="SimSun" w:hAnsi="Times New Roman" w:cs="Times New Roman"/>
          <w:i/>
          <w:iCs/>
          <w:kern w:val="0"/>
          <w:lang w:eastAsia="zh-CN"/>
          <w14:ligatures w14:val="none"/>
        </w:rPr>
        <w:t>Journal of Cleaner Production, 112</w:t>
      </w:r>
      <w:r w:rsidRPr="00D8206B">
        <w:rPr>
          <w:rFonts w:ascii="Times New Roman" w:eastAsia="SimSun" w:hAnsi="Times New Roman" w:cs="Times New Roman"/>
          <w:kern w:val="0"/>
          <w:lang w:eastAsia="zh-CN"/>
          <w14:ligatures w14:val="none"/>
        </w:rPr>
        <w:t>, 1234–1242.</w:t>
      </w:r>
    </w:p>
    <w:p w14:paraId="0C668BC4"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Chan, E. S. W. (2008). Barriers to EMS in the hotel industry. </w:t>
      </w:r>
      <w:r w:rsidRPr="00D8206B">
        <w:rPr>
          <w:rFonts w:ascii="Times New Roman" w:eastAsia="SimSun" w:hAnsi="Times New Roman" w:cs="Times New Roman"/>
          <w:i/>
          <w:iCs/>
          <w:kern w:val="0"/>
          <w:lang w:eastAsia="zh-CN"/>
          <w14:ligatures w14:val="none"/>
        </w:rPr>
        <w:t>International Journal of Hospitality Management, 27</w:t>
      </w:r>
      <w:r w:rsidRPr="00D8206B">
        <w:rPr>
          <w:rFonts w:ascii="Times New Roman" w:eastAsia="SimSun" w:hAnsi="Times New Roman" w:cs="Times New Roman"/>
          <w:kern w:val="0"/>
          <w:lang w:eastAsia="zh-CN"/>
          <w14:ligatures w14:val="none"/>
        </w:rPr>
        <w:t xml:space="preserve">(2), 187–196. </w:t>
      </w:r>
    </w:p>
    <w:p w14:paraId="550C90EE"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Chan, E. S. W., Hsu, C. H. C., &amp; </w:t>
      </w:r>
      <w:proofErr w:type="spellStart"/>
      <w:r w:rsidRPr="00D8206B">
        <w:rPr>
          <w:rFonts w:ascii="Times New Roman" w:eastAsia="SimSun" w:hAnsi="Times New Roman" w:cs="Times New Roman"/>
          <w:kern w:val="0"/>
          <w:lang w:eastAsia="zh-CN"/>
          <w14:ligatures w14:val="none"/>
        </w:rPr>
        <w:t>Okumus</w:t>
      </w:r>
      <w:proofErr w:type="spellEnd"/>
      <w:r w:rsidRPr="00D8206B">
        <w:rPr>
          <w:rFonts w:ascii="Times New Roman" w:eastAsia="SimSun" w:hAnsi="Times New Roman" w:cs="Times New Roman"/>
          <w:kern w:val="0"/>
          <w:lang w:eastAsia="zh-CN"/>
          <w14:ligatures w14:val="none"/>
        </w:rPr>
        <w:t xml:space="preserve">, F. (2014). Environmental management research in hospitality. </w:t>
      </w:r>
      <w:r w:rsidRPr="00D8206B">
        <w:rPr>
          <w:rFonts w:ascii="Times New Roman" w:eastAsia="SimSun" w:hAnsi="Times New Roman" w:cs="Times New Roman"/>
          <w:i/>
          <w:iCs/>
          <w:kern w:val="0"/>
          <w:lang w:eastAsia="zh-CN"/>
          <w14:ligatures w14:val="none"/>
        </w:rPr>
        <w:t>International Journal of Hospitality Management, 43,</w:t>
      </w:r>
      <w:r w:rsidRPr="00D8206B">
        <w:rPr>
          <w:rFonts w:ascii="Times New Roman" w:eastAsia="SimSun" w:hAnsi="Times New Roman" w:cs="Times New Roman"/>
          <w:kern w:val="0"/>
          <w:lang w:eastAsia="zh-CN"/>
          <w14:ligatures w14:val="none"/>
        </w:rPr>
        <w:t xml:space="preserve"> 21-28.</w:t>
      </w:r>
    </w:p>
    <w:p w14:paraId="5E20D32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Chen, L., &amp; Yang, X. (2022). The impact of waste reduction on organizational culture in Taiwanese hotels. </w:t>
      </w:r>
      <w:r w:rsidRPr="00D8206B">
        <w:rPr>
          <w:rFonts w:ascii="Times New Roman" w:eastAsia="SimSun" w:hAnsi="Times New Roman" w:cs="Times New Roman"/>
          <w:i/>
          <w:iCs/>
          <w:kern w:val="0"/>
          <w:lang w:eastAsia="zh-CN"/>
          <w14:ligatures w14:val="none"/>
        </w:rPr>
        <w:t>International Journal of Hospitality Management, 40</w:t>
      </w:r>
      <w:r w:rsidRPr="00D8206B">
        <w:rPr>
          <w:rFonts w:ascii="Times New Roman" w:eastAsia="SimSun" w:hAnsi="Times New Roman" w:cs="Times New Roman"/>
          <w:kern w:val="0"/>
          <w:lang w:eastAsia="zh-CN"/>
          <w14:ligatures w14:val="none"/>
        </w:rPr>
        <w:t>(2), 120-130.</w:t>
      </w:r>
    </w:p>
    <w:p w14:paraId="2C52419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Chiarini, A. (2013). </w:t>
      </w:r>
      <w:r w:rsidRPr="00D8206B">
        <w:rPr>
          <w:rFonts w:ascii="Times New Roman" w:eastAsia="SimSun" w:hAnsi="Times New Roman" w:cs="Times New Roman"/>
          <w:i/>
          <w:iCs/>
          <w:kern w:val="0"/>
          <w:lang w:eastAsia="zh-CN"/>
          <w14:ligatures w14:val="none"/>
        </w:rPr>
        <w:t>Lean organization: From the tools of the Toyota production system to lean office.</w:t>
      </w:r>
      <w:r w:rsidRPr="00D8206B">
        <w:rPr>
          <w:rFonts w:ascii="Times New Roman" w:eastAsia="SimSun" w:hAnsi="Times New Roman" w:cs="Times New Roman"/>
          <w:kern w:val="0"/>
          <w:lang w:eastAsia="zh-CN"/>
          <w14:ligatures w14:val="none"/>
        </w:rPr>
        <w:t xml:space="preserve"> Springer.</w:t>
      </w:r>
    </w:p>
    <w:p w14:paraId="6AAAE1F8"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Chiarini, A. (2013). </w:t>
      </w:r>
      <w:r w:rsidRPr="00D8206B">
        <w:rPr>
          <w:rFonts w:ascii="Times New Roman" w:eastAsia="Times New Roman" w:hAnsi="Times New Roman" w:cs="Times New Roman"/>
          <w:i/>
          <w:iCs/>
          <w:kern w:val="0"/>
          <w14:ligatures w14:val="none"/>
        </w:rPr>
        <w:t>Lean organization: From the tools of the Toyota Production System to lean office.</w:t>
      </w:r>
      <w:r w:rsidRPr="00D8206B">
        <w:rPr>
          <w:rFonts w:ascii="Times New Roman" w:eastAsia="Times New Roman" w:hAnsi="Times New Roman" w:cs="Times New Roman"/>
          <w:kern w:val="0"/>
          <w14:ligatures w14:val="none"/>
        </w:rPr>
        <w:t xml:space="preserve"> Springer.</w:t>
      </w:r>
    </w:p>
    <w:p w14:paraId="38ABD61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Chikezie, J., Adedeji, E. O., </w:t>
      </w:r>
      <w:proofErr w:type="spellStart"/>
      <w:r w:rsidRPr="00D8206B">
        <w:rPr>
          <w:rFonts w:ascii="Times New Roman" w:eastAsia="SimSun" w:hAnsi="Times New Roman" w:cs="Times New Roman"/>
          <w:kern w:val="0"/>
          <w:lang w:eastAsia="zh-CN"/>
          <w14:ligatures w14:val="none"/>
        </w:rPr>
        <w:t>Onihunwa</w:t>
      </w:r>
      <w:proofErr w:type="spellEnd"/>
      <w:r w:rsidRPr="00D8206B">
        <w:rPr>
          <w:rFonts w:ascii="Times New Roman" w:eastAsia="SimSun" w:hAnsi="Times New Roman" w:cs="Times New Roman"/>
          <w:kern w:val="0"/>
          <w:lang w:eastAsia="zh-CN"/>
          <w14:ligatures w14:val="none"/>
        </w:rPr>
        <w:t xml:space="preserve">, J. O., Meduna, P. N., &amp; Joshua, D. A. (2023). Waste management practices and operational performance of hotels in Lagos State, Nigeria. </w:t>
      </w:r>
      <w:r w:rsidRPr="00D8206B">
        <w:rPr>
          <w:rFonts w:ascii="Times New Roman" w:eastAsia="SimSun" w:hAnsi="Times New Roman" w:cs="Times New Roman"/>
          <w:i/>
          <w:iCs/>
          <w:kern w:val="0"/>
          <w:lang w:eastAsia="zh-CN"/>
          <w14:ligatures w14:val="none"/>
        </w:rPr>
        <w:t>Journal of Applied Sciences and Environmental Management, 27</w:t>
      </w:r>
      <w:r w:rsidRPr="00D8206B">
        <w:rPr>
          <w:rFonts w:ascii="Times New Roman" w:eastAsia="SimSun" w:hAnsi="Times New Roman" w:cs="Times New Roman"/>
          <w:kern w:val="0"/>
          <w:lang w:eastAsia="zh-CN"/>
          <w14:ligatures w14:val="none"/>
        </w:rPr>
        <w:t>(4), 781-785.</w:t>
      </w:r>
    </w:p>
    <w:p w14:paraId="333FFE0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Chukwu, O., &amp; </w:t>
      </w:r>
      <w:proofErr w:type="spellStart"/>
      <w:r w:rsidRPr="00D8206B">
        <w:rPr>
          <w:rFonts w:ascii="Times New Roman" w:eastAsia="SimSun" w:hAnsi="Times New Roman" w:cs="Times New Roman"/>
          <w:kern w:val="0"/>
          <w:lang w:eastAsia="zh-CN"/>
          <w14:ligatures w14:val="none"/>
        </w:rPr>
        <w:t>Ogbuagu</w:t>
      </w:r>
      <w:proofErr w:type="spellEnd"/>
      <w:r w:rsidRPr="00D8206B">
        <w:rPr>
          <w:rFonts w:ascii="Times New Roman" w:eastAsia="SimSun" w:hAnsi="Times New Roman" w:cs="Times New Roman"/>
          <w:kern w:val="0"/>
          <w:lang w:eastAsia="zh-CN"/>
          <w14:ligatures w14:val="none"/>
        </w:rPr>
        <w:t xml:space="preserve">, I. (2021). Resource efficiency and operational effectiveness: A study of the hospitality industry in Port Harcourt. </w:t>
      </w:r>
      <w:r w:rsidRPr="00D8206B">
        <w:rPr>
          <w:rFonts w:ascii="Times New Roman" w:eastAsia="SimSun" w:hAnsi="Times New Roman" w:cs="Times New Roman"/>
          <w:i/>
          <w:iCs/>
          <w:kern w:val="0"/>
          <w:lang w:eastAsia="zh-CN"/>
          <w14:ligatures w14:val="none"/>
        </w:rPr>
        <w:t>International Journal of Hospitality Management, 19</w:t>
      </w:r>
      <w:r w:rsidRPr="00D8206B">
        <w:rPr>
          <w:rFonts w:ascii="Times New Roman" w:eastAsia="SimSun" w:hAnsi="Times New Roman" w:cs="Times New Roman"/>
          <w:kern w:val="0"/>
          <w:lang w:eastAsia="zh-CN"/>
          <w14:ligatures w14:val="none"/>
        </w:rPr>
        <w:t>(4), 98-112.</w:t>
      </w:r>
    </w:p>
    <w:p w14:paraId="390120B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Cohen, J. (1988). </w:t>
      </w:r>
      <w:r w:rsidRPr="00D8206B">
        <w:rPr>
          <w:rFonts w:ascii="Times New Roman" w:eastAsia="SimSun" w:hAnsi="Times New Roman" w:cs="Times New Roman"/>
          <w:i/>
          <w:iCs/>
          <w:kern w:val="0"/>
          <w:lang w:eastAsia="zh-CN"/>
          <w14:ligatures w14:val="none"/>
        </w:rPr>
        <w:t>Statistical power analysis for the behavioral sciences</w:t>
      </w:r>
      <w:r w:rsidRPr="00D8206B">
        <w:rPr>
          <w:rFonts w:ascii="Times New Roman" w:eastAsia="SimSun" w:hAnsi="Times New Roman" w:cs="Times New Roman"/>
          <w:kern w:val="0"/>
          <w:lang w:eastAsia="zh-CN"/>
          <w14:ligatures w14:val="none"/>
        </w:rPr>
        <w:t xml:space="preserve"> (2nd ed.). Lawrence Erlbaum Associates.</w:t>
      </w:r>
    </w:p>
    <w:p w14:paraId="7B501172"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Coker, A., </w:t>
      </w:r>
      <w:proofErr w:type="spellStart"/>
      <w:r w:rsidRPr="00D8206B">
        <w:rPr>
          <w:rFonts w:ascii="Times New Roman" w:eastAsia="SimSun" w:hAnsi="Times New Roman" w:cs="Times New Roman"/>
          <w:kern w:val="0"/>
          <w:lang w:eastAsia="zh-CN"/>
          <w14:ligatures w14:val="none"/>
        </w:rPr>
        <w:t>Sangodoyin</w:t>
      </w:r>
      <w:proofErr w:type="spellEnd"/>
      <w:r w:rsidRPr="00D8206B">
        <w:rPr>
          <w:rFonts w:ascii="Times New Roman" w:eastAsia="SimSun" w:hAnsi="Times New Roman" w:cs="Times New Roman"/>
          <w:kern w:val="0"/>
          <w:lang w:eastAsia="zh-CN"/>
          <w14:ligatures w14:val="none"/>
        </w:rPr>
        <w:t xml:space="preserve">, A., Sridhar, M., Booth, C., </w:t>
      </w:r>
      <w:proofErr w:type="spellStart"/>
      <w:r w:rsidRPr="00D8206B">
        <w:rPr>
          <w:rFonts w:ascii="Times New Roman" w:eastAsia="SimSun" w:hAnsi="Times New Roman" w:cs="Times New Roman"/>
          <w:kern w:val="0"/>
          <w:lang w:eastAsia="zh-CN"/>
          <w14:ligatures w14:val="none"/>
        </w:rPr>
        <w:t>Olomolaiye</w:t>
      </w:r>
      <w:proofErr w:type="spellEnd"/>
      <w:r w:rsidRPr="00D8206B">
        <w:rPr>
          <w:rFonts w:ascii="Times New Roman" w:eastAsia="SimSun" w:hAnsi="Times New Roman" w:cs="Times New Roman"/>
          <w:kern w:val="0"/>
          <w:lang w:eastAsia="zh-CN"/>
          <w14:ligatures w14:val="none"/>
        </w:rPr>
        <w:t xml:space="preserve">, P., &amp; Hammond, F. (2009). Medical waste management in Ibadan, Nigeria: Obstacles and prospects. </w:t>
      </w:r>
      <w:r w:rsidRPr="00D8206B">
        <w:rPr>
          <w:rFonts w:ascii="Times New Roman" w:eastAsia="SimSun" w:hAnsi="Times New Roman" w:cs="Times New Roman"/>
          <w:i/>
          <w:iCs/>
          <w:kern w:val="0"/>
          <w:lang w:eastAsia="zh-CN"/>
          <w14:ligatures w14:val="none"/>
        </w:rPr>
        <w:t>Waste Management, 29</w:t>
      </w:r>
      <w:r w:rsidRPr="00D8206B">
        <w:rPr>
          <w:rFonts w:ascii="Times New Roman" w:eastAsia="SimSun" w:hAnsi="Times New Roman" w:cs="Times New Roman"/>
          <w:kern w:val="0"/>
          <w:lang w:eastAsia="zh-CN"/>
          <w14:ligatures w14:val="none"/>
        </w:rPr>
        <w:t xml:space="preserve">(2), 804–811. </w:t>
      </w:r>
    </w:p>
    <w:p w14:paraId="49BA38E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Collis, J., &amp; Hussey, R. (2014). </w:t>
      </w:r>
      <w:r w:rsidRPr="00D8206B">
        <w:rPr>
          <w:rFonts w:ascii="Times New Roman" w:eastAsia="SimSun" w:hAnsi="Times New Roman" w:cs="Times New Roman"/>
          <w:i/>
          <w:iCs/>
          <w:kern w:val="0"/>
          <w:lang w:eastAsia="zh-CN"/>
          <w14:ligatures w14:val="none"/>
        </w:rPr>
        <w:t>Business research: A practical guide for undergraduate and postgraduate students</w:t>
      </w:r>
      <w:r w:rsidRPr="00D8206B">
        <w:rPr>
          <w:rFonts w:ascii="Times New Roman" w:eastAsia="SimSun" w:hAnsi="Times New Roman" w:cs="Times New Roman"/>
          <w:kern w:val="0"/>
          <w:lang w:eastAsia="zh-CN"/>
          <w14:ligatures w14:val="none"/>
        </w:rPr>
        <w:t xml:space="preserve"> (4th ed.). Palgrave Macmillan.</w:t>
      </w:r>
    </w:p>
    <w:p w14:paraId="0824C9F6"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Da Silva, C. E., Hoppe, A. E., </w:t>
      </w:r>
      <w:proofErr w:type="spellStart"/>
      <w:r w:rsidRPr="00D8206B">
        <w:rPr>
          <w:rFonts w:ascii="Times New Roman" w:eastAsia="SimSun" w:hAnsi="Times New Roman" w:cs="Times New Roman"/>
          <w:kern w:val="0"/>
          <w:lang w:eastAsia="zh-CN"/>
          <w14:ligatures w14:val="none"/>
        </w:rPr>
        <w:t>Ravanello</w:t>
      </w:r>
      <w:proofErr w:type="spellEnd"/>
      <w:r w:rsidRPr="00D8206B">
        <w:rPr>
          <w:rFonts w:ascii="Times New Roman" w:eastAsia="SimSun" w:hAnsi="Times New Roman" w:cs="Times New Roman"/>
          <w:kern w:val="0"/>
          <w:lang w:eastAsia="zh-CN"/>
          <w14:ligatures w14:val="none"/>
        </w:rPr>
        <w:t xml:space="preserve">, M. M., &amp; Mello, N. (2005). Medical wastes management in the south of Brazil. </w:t>
      </w:r>
      <w:r w:rsidRPr="00D8206B">
        <w:rPr>
          <w:rFonts w:ascii="Times New Roman" w:eastAsia="SimSun" w:hAnsi="Times New Roman" w:cs="Times New Roman"/>
          <w:i/>
          <w:iCs/>
          <w:kern w:val="0"/>
          <w:lang w:eastAsia="zh-CN"/>
          <w14:ligatures w14:val="none"/>
        </w:rPr>
        <w:t>Waste Management, 25</w:t>
      </w:r>
      <w:r w:rsidRPr="00D8206B">
        <w:rPr>
          <w:rFonts w:ascii="Times New Roman" w:eastAsia="SimSun" w:hAnsi="Times New Roman" w:cs="Times New Roman"/>
          <w:kern w:val="0"/>
          <w:lang w:eastAsia="zh-CN"/>
          <w14:ligatures w14:val="none"/>
        </w:rPr>
        <w:t xml:space="preserve">(6), 600–605. </w:t>
      </w:r>
    </w:p>
    <w:p w14:paraId="06649B0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Daily, B. F., &amp; Huang, S. (2001). Achieving sustainability through attention to human resource factors in environmental management. </w:t>
      </w:r>
      <w:r w:rsidRPr="00D8206B">
        <w:rPr>
          <w:rFonts w:ascii="Times New Roman" w:eastAsia="SimSun" w:hAnsi="Times New Roman" w:cs="Times New Roman"/>
          <w:i/>
          <w:iCs/>
          <w:kern w:val="0"/>
          <w:lang w:eastAsia="zh-CN"/>
          <w14:ligatures w14:val="none"/>
        </w:rPr>
        <w:t>International Journal of Operations &amp; Production Management, 21</w:t>
      </w:r>
      <w:r w:rsidRPr="00D8206B">
        <w:rPr>
          <w:rFonts w:ascii="Times New Roman" w:eastAsia="SimSun" w:hAnsi="Times New Roman" w:cs="Times New Roman"/>
          <w:kern w:val="0"/>
          <w:lang w:eastAsia="zh-CN"/>
          <w14:ligatures w14:val="none"/>
        </w:rPr>
        <w:t>(12), 1539-1552.</w:t>
      </w:r>
    </w:p>
    <w:p w14:paraId="5C9BA83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Dangelico, R. M., &amp; Pujari, D. (2010). Mainstreaming green product innovation: Why and how companies integrate environmental sustainability. </w:t>
      </w:r>
      <w:r w:rsidRPr="00D8206B">
        <w:rPr>
          <w:rFonts w:ascii="Times New Roman" w:eastAsia="SimSun" w:hAnsi="Times New Roman" w:cs="Times New Roman"/>
          <w:i/>
          <w:iCs/>
          <w:kern w:val="0"/>
          <w:lang w:eastAsia="zh-CN"/>
          <w14:ligatures w14:val="none"/>
        </w:rPr>
        <w:t>Journal of Business Ethics, 95</w:t>
      </w:r>
      <w:r w:rsidRPr="00D8206B">
        <w:rPr>
          <w:rFonts w:ascii="Times New Roman" w:eastAsia="SimSun" w:hAnsi="Times New Roman" w:cs="Times New Roman"/>
          <w:kern w:val="0"/>
          <w:lang w:eastAsia="zh-CN"/>
          <w14:ligatures w14:val="none"/>
        </w:rPr>
        <w:t>(3), 471-486.</w:t>
      </w:r>
    </w:p>
    <w:p w14:paraId="5A9135EC"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Davies, C. S. O. (2022). Exploring the relationship between service quality and customer satisfaction in hotels in Port Harcourt, Rivers State. </w:t>
      </w:r>
      <w:r w:rsidRPr="00D8206B">
        <w:rPr>
          <w:rFonts w:ascii="Times New Roman" w:eastAsia="Times New Roman" w:hAnsi="Times New Roman" w:cs="Times New Roman"/>
          <w:i/>
          <w:iCs/>
          <w:kern w:val="0"/>
          <w14:ligatures w14:val="none"/>
        </w:rPr>
        <w:t>Global Research Journal of Management and Social Sciences (GRJMSS), 13</w:t>
      </w:r>
      <w:r w:rsidRPr="00D8206B">
        <w:rPr>
          <w:rFonts w:ascii="Times New Roman" w:eastAsia="Times New Roman" w:hAnsi="Times New Roman" w:cs="Times New Roman"/>
          <w:kern w:val="0"/>
          <w14:ligatures w14:val="none"/>
        </w:rPr>
        <w:t xml:space="preserve">(3), 1–10. </w:t>
      </w:r>
    </w:p>
    <w:p w14:paraId="0FCE86D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lastRenderedPageBreak/>
        <w:t>Demirbag</w:t>
      </w:r>
      <w:proofErr w:type="spellEnd"/>
      <w:r w:rsidRPr="00D8206B">
        <w:rPr>
          <w:rFonts w:ascii="Times New Roman" w:eastAsia="SimSun" w:hAnsi="Times New Roman" w:cs="Times New Roman"/>
          <w:kern w:val="0"/>
          <w:lang w:eastAsia="zh-CN"/>
          <w14:ligatures w14:val="none"/>
        </w:rPr>
        <w:t xml:space="preserve">, M., Glaister, K. W., &amp; </w:t>
      </w:r>
      <w:proofErr w:type="spellStart"/>
      <w:r w:rsidRPr="00D8206B">
        <w:rPr>
          <w:rFonts w:ascii="Times New Roman" w:eastAsia="SimSun" w:hAnsi="Times New Roman" w:cs="Times New Roman"/>
          <w:kern w:val="0"/>
          <w:lang w:eastAsia="zh-CN"/>
          <w14:ligatures w14:val="none"/>
        </w:rPr>
        <w:t>Tatoglu</w:t>
      </w:r>
      <w:proofErr w:type="spellEnd"/>
      <w:r w:rsidRPr="00D8206B">
        <w:rPr>
          <w:rFonts w:ascii="Times New Roman" w:eastAsia="SimSun" w:hAnsi="Times New Roman" w:cs="Times New Roman"/>
          <w:kern w:val="0"/>
          <w:lang w:eastAsia="zh-CN"/>
          <w14:ligatures w14:val="none"/>
        </w:rPr>
        <w:t xml:space="preserve">, E. (2006). Assessing the relationship between TQM and firm performance in emerging markets. </w:t>
      </w:r>
      <w:r w:rsidRPr="00D8206B">
        <w:rPr>
          <w:rFonts w:ascii="Times New Roman" w:eastAsia="SimSun" w:hAnsi="Times New Roman" w:cs="Times New Roman"/>
          <w:i/>
          <w:iCs/>
          <w:kern w:val="0"/>
          <w:lang w:eastAsia="zh-CN"/>
          <w14:ligatures w14:val="none"/>
        </w:rPr>
        <w:t>Journal of Operations Management, 24</w:t>
      </w:r>
      <w:r w:rsidRPr="00D8206B">
        <w:rPr>
          <w:rFonts w:ascii="Times New Roman" w:eastAsia="SimSun" w:hAnsi="Times New Roman" w:cs="Times New Roman"/>
          <w:kern w:val="0"/>
          <w:lang w:eastAsia="zh-CN"/>
          <w14:ligatures w14:val="none"/>
        </w:rPr>
        <w:t>(3), 363–379.</w:t>
      </w:r>
    </w:p>
    <w:p w14:paraId="0116988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Denison, D. R. (2006). </w:t>
      </w:r>
      <w:r w:rsidRPr="00D8206B">
        <w:rPr>
          <w:rFonts w:ascii="Times New Roman" w:eastAsia="SimSun" w:hAnsi="Times New Roman" w:cs="Times New Roman"/>
          <w:i/>
          <w:iCs/>
          <w:kern w:val="0"/>
          <w:lang w:eastAsia="zh-CN"/>
          <w14:ligatures w14:val="none"/>
        </w:rPr>
        <w:t>Culture in organizations: Analyzing and developing organizational culture.</w:t>
      </w:r>
      <w:r w:rsidRPr="00D8206B">
        <w:rPr>
          <w:rFonts w:ascii="Times New Roman" w:eastAsia="SimSun" w:hAnsi="Times New Roman" w:cs="Times New Roman"/>
          <w:kern w:val="0"/>
          <w:lang w:eastAsia="zh-CN"/>
          <w14:ligatures w14:val="none"/>
        </w:rPr>
        <w:t xml:space="preserve"> Wiley.</w:t>
      </w:r>
    </w:p>
    <w:p w14:paraId="5AE5568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Dennis, P., &amp; Shook, J. (2021). </w:t>
      </w:r>
      <w:r w:rsidRPr="00D8206B">
        <w:rPr>
          <w:rFonts w:ascii="Times New Roman" w:eastAsia="SimSun" w:hAnsi="Times New Roman" w:cs="Times New Roman"/>
          <w:i/>
          <w:iCs/>
          <w:kern w:val="0"/>
          <w:lang w:eastAsia="zh-CN"/>
          <w14:ligatures w14:val="none"/>
        </w:rPr>
        <w:t>Lean production simplified: A plain-language guide to the world’s most powerful production system</w:t>
      </w:r>
      <w:r w:rsidRPr="00D8206B">
        <w:rPr>
          <w:rFonts w:ascii="Times New Roman" w:eastAsia="SimSun" w:hAnsi="Times New Roman" w:cs="Times New Roman"/>
          <w:kern w:val="0"/>
          <w:lang w:eastAsia="zh-CN"/>
          <w14:ligatures w14:val="none"/>
        </w:rPr>
        <w:t xml:space="preserve"> (4th ed.). CRC Press.</w:t>
      </w:r>
    </w:p>
    <w:p w14:paraId="2B34F50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Donaldson, L. (2001). </w:t>
      </w:r>
      <w:r w:rsidRPr="00D8206B">
        <w:rPr>
          <w:rFonts w:ascii="Times New Roman" w:eastAsia="SimSun" w:hAnsi="Times New Roman" w:cs="Times New Roman"/>
          <w:i/>
          <w:iCs/>
          <w:kern w:val="0"/>
          <w:lang w:eastAsia="zh-CN"/>
          <w14:ligatures w14:val="none"/>
        </w:rPr>
        <w:t>The contingency theory of organizations.</w:t>
      </w:r>
      <w:r w:rsidRPr="00D8206B">
        <w:rPr>
          <w:rFonts w:ascii="Times New Roman" w:eastAsia="SimSun" w:hAnsi="Times New Roman" w:cs="Times New Roman"/>
          <w:kern w:val="0"/>
          <w:lang w:eastAsia="zh-CN"/>
          <w14:ligatures w14:val="none"/>
        </w:rPr>
        <w:t xml:space="preserve"> SAGE Publications.</w:t>
      </w:r>
    </w:p>
    <w:p w14:paraId="29A7C74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Dora, M., Kumar, M., Gellynck, X., &amp; Molnár, A. (2014). Application of lean practices in small and medium-sized food enterprises. </w:t>
      </w:r>
      <w:r w:rsidRPr="00D8206B">
        <w:rPr>
          <w:rFonts w:ascii="Times New Roman" w:eastAsia="SimSun" w:hAnsi="Times New Roman" w:cs="Times New Roman"/>
          <w:i/>
          <w:iCs/>
          <w:kern w:val="0"/>
          <w:lang w:eastAsia="zh-CN"/>
          <w14:ligatures w14:val="none"/>
        </w:rPr>
        <w:t>British Food Journal, 116</w:t>
      </w:r>
      <w:r w:rsidRPr="00D8206B">
        <w:rPr>
          <w:rFonts w:ascii="Times New Roman" w:eastAsia="SimSun" w:hAnsi="Times New Roman" w:cs="Times New Roman"/>
          <w:kern w:val="0"/>
          <w:lang w:eastAsia="zh-CN"/>
          <w14:ligatures w14:val="none"/>
        </w:rPr>
        <w:t>(1), 125-141.</w:t>
      </w:r>
    </w:p>
    <w:p w14:paraId="2494FD89"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Doyle, J., &amp; Wong, S. (1998). Marketing resource efficiency and customer satisfaction (UK manufacturing). </w:t>
      </w:r>
      <w:r w:rsidRPr="00D8206B">
        <w:rPr>
          <w:rFonts w:ascii="Times New Roman" w:eastAsia="Times New Roman" w:hAnsi="Times New Roman" w:cs="Times New Roman"/>
          <w:i/>
          <w:iCs/>
          <w:kern w:val="0"/>
          <w14:ligatures w14:val="none"/>
        </w:rPr>
        <w:t>European Journal of Marketing, 32</w:t>
      </w:r>
      <w:r w:rsidRPr="00D8206B">
        <w:rPr>
          <w:rFonts w:ascii="Times New Roman" w:eastAsia="Times New Roman" w:hAnsi="Times New Roman" w:cs="Times New Roman"/>
          <w:kern w:val="0"/>
          <w14:ligatures w14:val="none"/>
        </w:rPr>
        <w:t xml:space="preserve">(11–12), 1020–1041. </w:t>
      </w:r>
    </w:p>
    <w:p w14:paraId="02CF253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Duncan, R. B. (1972). Characteristics of organizational environments and perceived environmental uncertainty. </w:t>
      </w:r>
      <w:r w:rsidRPr="00D8206B">
        <w:rPr>
          <w:rFonts w:ascii="Times New Roman" w:eastAsia="SimSun" w:hAnsi="Times New Roman" w:cs="Times New Roman"/>
          <w:i/>
          <w:iCs/>
          <w:kern w:val="0"/>
          <w:lang w:eastAsia="zh-CN"/>
          <w14:ligatures w14:val="none"/>
        </w:rPr>
        <w:t>Administrative Science Quarterly, 17</w:t>
      </w:r>
      <w:r w:rsidRPr="00D8206B">
        <w:rPr>
          <w:rFonts w:ascii="Times New Roman" w:eastAsia="SimSun" w:hAnsi="Times New Roman" w:cs="Times New Roman"/>
          <w:kern w:val="0"/>
          <w:lang w:eastAsia="zh-CN"/>
          <w14:ligatures w14:val="none"/>
        </w:rPr>
        <w:t>(3), 313-327.</w:t>
      </w:r>
    </w:p>
    <w:p w14:paraId="5FD3B4E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Edmondson, A. C. (1999). Psychological safety and learning behavior in work teams. </w:t>
      </w:r>
      <w:r w:rsidRPr="00D8206B">
        <w:rPr>
          <w:rFonts w:ascii="Times New Roman" w:eastAsia="SimSun" w:hAnsi="Times New Roman" w:cs="Times New Roman"/>
          <w:i/>
          <w:iCs/>
          <w:kern w:val="0"/>
          <w:lang w:eastAsia="zh-CN"/>
          <w14:ligatures w14:val="none"/>
        </w:rPr>
        <w:t>Administrative Science Quarterly, 44</w:t>
      </w:r>
      <w:r w:rsidRPr="00D8206B">
        <w:rPr>
          <w:rFonts w:ascii="Times New Roman" w:eastAsia="SimSun" w:hAnsi="Times New Roman" w:cs="Times New Roman"/>
          <w:kern w:val="0"/>
          <w:lang w:eastAsia="zh-CN"/>
          <w14:ligatures w14:val="none"/>
        </w:rPr>
        <w:t xml:space="preserve">(2), 350–383. </w:t>
      </w:r>
    </w:p>
    <w:p w14:paraId="57CEE5EB"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Erdogan, N., &amp; Baris, E. (2007). Environmental protection programs and conservation practices of hotels in Ankara, Turkey. </w:t>
      </w:r>
      <w:r w:rsidRPr="00D8206B">
        <w:rPr>
          <w:rFonts w:ascii="Times New Roman" w:eastAsia="SimSun" w:hAnsi="Times New Roman" w:cs="Times New Roman"/>
          <w:i/>
          <w:iCs/>
          <w:kern w:val="0"/>
          <w:lang w:eastAsia="zh-CN"/>
          <w14:ligatures w14:val="none"/>
        </w:rPr>
        <w:t>Tourism Management</w:t>
      </w:r>
      <w:r w:rsidRPr="00D8206B">
        <w:rPr>
          <w:rFonts w:ascii="Times New Roman" w:eastAsia="SimSun" w:hAnsi="Times New Roman" w:cs="Times New Roman"/>
          <w:kern w:val="0"/>
          <w:lang w:eastAsia="zh-CN"/>
          <w14:ligatures w14:val="none"/>
        </w:rPr>
        <w:t xml:space="preserve">. (See article for volume/issue). </w:t>
      </w:r>
    </w:p>
    <w:p w14:paraId="3757527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Eze, F., &amp; Nwankwo, A. (2019). Impact of resource utilization on service delivery in the Nigerian hospitality sector. </w:t>
      </w:r>
      <w:r w:rsidRPr="00D8206B">
        <w:rPr>
          <w:rFonts w:ascii="Times New Roman" w:eastAsia="SimSun" w:hAnsi="Times New Roman" w:cs="Times New Roman"/>
          <w:i/>
          <w:iCs/>
          <w:kern w:val="0"/>
          <w:lang w:eastAsia="zh-CN"/>
          <w14:ligatures w14:val="none"/>
        </w:rPr>
        <w:t>Nigerian Journal of Tourism Studies, 14</w:t>
      </w:r>
      <w:r w:rsidRPr="00D8206B">
        <w:rPr>
          <w:rFonts w:ascii="Times New Roman" w:eastAsia="SimSun" w:hAnsi="Times New Roman" w:cs="Times New Roman"/>
          <w:kern w:val="0"/>
          <w:lang w:eastAsia="zh-CN"/>
          <w14:ligatures w14:val="none"/>
        </w:rPr>
        <w:t>(2), 102-117.</w:t>
      </w:r>
    </w:p>
    <w:p w14:paraId="2C03A73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Fiedler, F. E. (1964). A contingency model of leadership effectiveness. </w:t>
      </w:r>
      <w:r w:rsidRPr="00D8206B">
        <w:rPr>
          <w:rFonts w:ascii="Times New Roman" w:eastAsia="SimSun" w:hAnsi="Times New Roman" w:cs="Times New Roman"/>
          <w:i/>
          <w:iCs/>
          <w:kern w:val="0"/>
          <w:lang w:eastAsia="zh-CN"/>
          <w14:ligatures w14:val="none"/>
        </w:rPr>
        <w:t>Advances in Experimental Social Psychology, 1,</w:t>
      </w:r>
      <w:r w:rsidRPr="00D8206B">
        <w:rPr>
          <w:rFonts w:ascii="Times New Roman" w:eastAsia="SimSun" w:hAnsi="Times New Roman" w:cs="Times New Roman"/>
          <w:kern w:val="0"/>
          <w:lang w:eastAsia="zh-CN"/>
          <w14:ligatures w14:val="none"/>
        </w:rPr>
        <w:t xml:space="preserve"> 149-190.</w:t>
      </w:r>
    </w:p>
    <w:p w14:paraId="2333298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Fitzsimmons, J. A., &amp; Fitzsimmons, M. J. (2014). </w:t>
      </w:r>
      <w:r w:rsidRPr="00D8206B">
        <w:rPr>
          <w:rFonts w:ascii="Times New Roman" w:eastAsia="SimSun" w:hAnsi="Times New Roman" w:cs="Times New Roman"/>
          <w:i/>
          <w:iCs/>
          <w:kern w:val="0"/>
          <w:lang w:eastAsia="zh-CN"/>
          <w14:ligatures w14:val="none"/>
        </w:rPr>
        <w:t>Service management: Operations, strategy, information technology</w:t>
      </w:r>
      <w:r w:rsidRPr="00D8206B">
        <w:rPr>
          <w:rFonts w:ascii="Times New Roman" w:eastAsia="SimSun" w:hAnsi="Times New Roman" w:cs="Times New Roman"/>
          <w:kern w:val="0"/>
          <w:lang w:eastAsia="zh-CN"/>
          <w14:ligatures w14:val="none"/>
        </w:rPr>
        <w:t xml:space="preserve"> (8th ed.). McGraw-Hill Education.</w:t>
      </w:r>
    </w:p>
    <w:p w14:paraId="7CCDB2A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Fornell, C., &amp; Larcker, D. F. (1981). Evaluating structural equation models with unobservable variables and measurement error. </w:t>
      </w:r>
      <w:r w:rsidRPr="00D8206B">
        <w:rPr>
          <w:rFonts w:ascii="Times New Roman" w:eastAsia="SimSun" w:hAnsi="Times New Roman" w:cs="Times New Roman"/>
          <w:i/>
          <w:iCs/>
          <w:kern w:val="0"/>
          <w:lang w:eastAsia="zh-CN"/>
          <w14:ligatures w14:val="none"/>
        </w:rPr>
        <w:t>Journal of Marketing Research, 18</w:t>
      </w:r>
      <w:r w:rsidRPr="00D8206B">
        <w:rPr>
          <w:rFonts w:ascii="Times New Roman" w:eastAsia="SimSun" w:hAnsi="Times New Roman" w:cs="Times New Roman"/>
          <w:kern w:val="0"/>
          <w:lang w:eastAsia="zh-CN"/>
          <w14:ligatures w14:val="none"/>
        </w:rPr>
        <w:t>(1), 39–50.</w:t>
      </w:r>
    </w:p>
    <w:p w14:paraId="7A4BA5D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Fornell, C., Johnson, M. D., Anderson, E. W., Cha, J., &amp; Bryant, B. E. (1996). The American customer satisfaction index: Nature, purpose, and findings. </w:t>
      </w:r>
      <w:r w:rsidRPr="00D8206B">
        <w:rPr>
          <w:rFonts w:ascii="Times New Roman" w:eastAsia="SimSun" w:hAnsi="Times New Roman" w:cs="Times New Roman"/>
          <w:i/>
          <w:iCs/>
          <w:kern w:val="0"/>
          <w:lang w:eastAsia="zh-CN"/>
          <w14:ligatures w14:val="none"/>
        </w:rPr>
        <w:t>Journal of Marketing, 60</w:t>
      </w:r>
      <w:r w:rsidRPr="00D8206B">
        <w:rPr>
          <w:rFonts w:ascii="Times New Roman" w:eastAsia="SimSun" w:hAnsi="Times New Roman" w:cs="Times New Roman"/>
          <w:kern w:val="0"/>
          <w:lang w:eastAsia="zh-CN"/>
          <w14:ligatures w14:val="none"/>
        </w:rPr>
        <w:t>(4), 7-18.</w:t>
      </w:r>
    </w:p>
    <w:p w14:paraId="43269FB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Franke, G. R., &amp; Sarstedt, M. (2019). Heuristics versus statistics in discriminant validity testing: A comparison of four procedures. </w:t>
      </w:r>
      <w:r w:rsidRPr="00D8206B">
        <w:rPr>
          <w:rFonts w:ascii="Times New Roman" w:eastAsia="SimSun" w:hAnsi="Times New Roman" w:cs="Times New Roman"/>
          <w:i/>
          <w:iCs/>
          <w:kern w:val="0"/>
          <w:lang w:eastAsia="zh-CN"/>
          <w14:ligatures w14:val="none"/>
        </w:rPr>
        <w:t>Internet Research</w:t>
      </w:r>
      <w:r w:rsidRPr="00D8206B">
        <w:rPr>
          <w:rFonts w:ascii="Times New Roman" w:eastAsia="SimSun" w:hAnsi="Times New Roman" w:cs="Times New Roman"/>
          <w:kern w:val="0"/>
          <w:lang w:eastAsia="zh-CN"/>
          <w14:ligatures w14:val="none"/>
        </w:rPr>
        <w:t xml:space="preserve">. </w:t>
      </w:r>
    </w:p>
    <w:p w14:paraId="3BC9411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Gambi, L. N., Boer, H., Gerolamo, M. C., Jørgensen, F., &amp; Carpinetti, L. C. R. (2015). The relationship between organizational culture and quality techniques, and its impact on operational performance. </w:t>
      </w:r>
      <w:r w:rsidRPr="00D8206B">
        <w:rPr>
          <w:rFonts w:ascii="Times New Roman" w:eastAsia="SimSun" w:hAnsi="Times New Roman" w:cs="Times New Roman"/>
          <w:i/>
          <w:iCs/>
          <w:kern w:val="0"/>
          <w:lang w:eastAsia="zh-CN"/>
          <w14:ligatures w14:val="none"/>
        </w:rPr>
        <w:t>International Journal of Operations &amp; Production Management, 35</w:t>
      </w:r>
      <w:r w:rsidRPr="00D8206B">
        <w:rPr>
          <w:rFonts w:ascii="Times New Roman" w:eastAsia="SimSun" w:hAnsi="Times New Roman" w:cs="Times New Roman"/>
          <w:kern w:val="0"/>
          <w:lang w:eastAsia="zh-CN"/>
          <w14:ligatures w14:val="none"/>
        </w:rPr>
        <w:t>(10), 1460-1484.</w:t>
      </w:r>
    </w:p>
    <w:p w14:paraId="32D3BA05"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Garcia, P., &amp; Martinez, L. (2018). Process efficiency and customer satisfaction in the telecommunications industry. </w:t>
      </w:r>
      <w:r w:rsidRPr="00D8206B">
        <w:rPr>
          <w:rFonts w:ascii="Times New Roman" w:eastAsia="SimSun" w:hAnsi="Times New Roman" w:cs="Times New Roman"/>
          <w:i/>
          <w:iCs/>
          <w:kern w:val="0"/>
          <w:lang w:eastAsia="zh-CN"/>
          <w14:ligatures w14:val="none"/>
        </w:rPr>
        <w:t>Journal of Business Research, 91,</w:t>
      </w:r>
      <w:r w:rsidRPr="00D8206B">
        <w:rPr>
          <w:rFonts w:ascii="Times New Roman" w:eastAsia="SimSun" w:hAnsi="Times New Roman" w:cs="Times New Roman"/>
          <w:kern w:val="0"/>
          <w:lang w:eastAsia="zh-CN"/>
          <w14:ligatures w14:val="none"/>
        </w:rPr>
        <w:t xml:space="preserve"> 45-55.</w:t>
      </w:r>
    </w:p>
    <w:p w14:paraId="7F942C6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Giese, J. L., &amp; Cote, J. A. (2000). Defining consumer satisfaction. </w:t>
      </w:r>
      <w:r w:rsidRPr="00D8206B">
        <w:rPr>
          <w:rFonts w:ascii="Times New Roman" w:eastAsia="SimSun" w:hAnsi="Times New Roman" w:cs="Times New Roman"/>
          <w:i/>
          <w:iCs/>
          <w:kern w:val="0"/>
          <w:lang w:eastAsia="zh-CN"/>
          <w14:ligatures w14:val="none"/>
        </w:rPr>
        <w:t>Academy of Marketing Science Review, 2000</w:t>
      </w:r>
      <w:r w:rsidRPr="00D8206B">
        <w:rPr>
          <w:rFonts w:ascii="Times New Roman" w:eastAsia="SimSun" w:hAnsi="Times New Roman" w:cs="Times New Roman"/>
          <w:kern w:val="0"/>
          <w:lang w:eastAsia="zh-CN"/>
          <w14:ligatures w14:val="none"/>
        </w:rPr>
        <w:t>(1), 1-24.</w:t>
      </w:r>
    </w:p>
    <w:p w14:paraId="72785C68"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Gkioka, G., </w:t>
      </w:r>
      <w:proofErr w:type="spellStart"/>
      <w:r w:rsidRPr="00D8206B">
        <w:rPr>
          <w:rFonts w:ascii="Times New Roman" w:eastAsia="Times New Roman" w:hAnsi="Times New Roman" w:cs="Times New Roman"/>
          <w:kern w:val="0"/>
          <w14:ligatures w14:val="none"/>
        </w:rPr>
        <w:t>Bothos</w:t>
      </w:r>
      <w:proofErr w:type="spellEnd"/>
      <w:r w:rsidRPr="00D8206B">
        <w:rPr>
          <w:rFonts w:ascii="Times New Roman" w:eastAsia="Times New Roman" w:hAnsi="Times New Roman" w:cs="Times New Roman"/>
          <w:kern w:val="0"/>
          <w14:ligatures w14:val="none"/>
        </w:rPr>
        <w:t xml:space="preserve">, T., </w:t>
      </w:r>
      <w:proofErr w:type="spellStart"/>
      <w:r w:rsidRPr="00D8206B">
        <w:rPr>
          <w:rFonts w:ascii="Times New Roman" w:eastAsia="Times New Roman" w:hAnsi="Times New Roman" w:cs="Times New Roman"/>
          <w:kern w:val="0"/>
          <w14:ligatures w14:val="none"/>
        </w:rPr>
        <w:t>Magoutas</w:t>
      </w:r>
      <w:proofErr w:type="spellEnd"/>
      <w:r w:rsidRPr="00D8206B">
        <w:rPr>
          <w:rFonts w:ascii="Times New Roman" w:eastAsia="Times New Roman" w:hAnsi="Times New Roman" w:cs="Times New Roman"/>
          <w:kern w:val="0"/>
          <w14:ligatures w14:val="none"/>
        </w:rPr>
        <w:t xml:space="preserve">, B., &amp; Mentzas, G. (2023). Data analytics methods to measure service quality: A systematic review. </w:t>
      </w:r>
      <w:r w:rsidRPr="00D8206B">
        <w:rPr>
          <w:rFonts w:ascii="Times New Roman" w:eastAsia="Times New Roman" w:hAnsi="Times New Roman" w:cs="Times New Roman"/>
          <w:i/>
          <w:iCs/>
          <w:kern w:val="0"/>
          <w14:ligatures w14:val="none"/>
        </w:rPr>
        <w:t>Intelligent Decision Technologies, 17</w:t>
      </w:r>
      <w:r w:rsidRPr="00D8206B">
        <w:rPr>
          <w:rFonts w:ascii="Times New Roman" w:eastAsia="Times New Roman" w:hAnsi="Times New Roman" w:cs="Times New Roman"/>
          <w:kern w:val="0"/>
          <w14:ligatures w14:val="none"/>
        </w:rPr>
        <w:t xml:space="preserve">(4), 1007–1029. </w:t>
      </w:r>
    </w:p>
    <w:p w14:paraId="0E7DFEB1"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Gładysz</w:t>
      </w:r>
      <w:proofErr w:type="spellEnd"/>
      <w:r w:rsidRPr="00D8206B">
        <w:rPr>
          <w:rFonts w:ascii="Times New Roman" w:eastAsia="Times New Roman" w:hAnsi="Times New Roman" w:cs="Times New Roman"/>
          <w:kern w:val="0"/>
          <w14:ligatures w14:val="none"/>
        </w:rPr>
        <w:t xml:space="preserve">, B., </w:t>
      </w:r>
      <w:proofErr w:type="spellStart"/>
      <w:r w:rsidRPr="00D8206B">
        <w:rPr>
          <w:rFonts w:ascii="Times New Roman" w:eastAsia="Times New Roman" w:hAnsi="Times New Roman" w:cs="Times New Roman"/>
          <w:kern w:val="0"/>
          <w14:ligatures w14:val="none"/>
        </w:rPr>
        <w:t>Buczacki</w:t>
      </w:r>
      <w:proofErr w:type="spellEnd"/>
      <w:r w:rsidRPr="00D8206B">
        <w:rPr>
          <w:rFonts w:ascii="Times New Roman" w:eastAsia="Times New Roman" w:hAnsi="Times New Roman" w:cs="Times New Roman"/>
          <w:kern w:val="0"/>
          <w14:ligatures w14:val="none"/>
        </w:rPr>
        <w:t xml:space="preserve">, A., &amp; Haskins, C. (2020). Lean management approach to reduce waste in </w:t>
      </w:r>
      <w:proofErr w:type="spellStart"/>
      <w:r w:rsidRPr="00D8206B">
        <w:rPr>
          <w:rFonts w:ascii="Times New Roman" w:eastAsia="Times New Roman" w:hAnsi="Times New Roman" w:cs="Times New Roman"/>
          <w:kern w:val="0"/>
          <w14:ligatures w14:val="none"/>
        </w:rPr>
        <w:t>HoReCa</w:t>
      </w:r>
      <w:proofErr w:type="spellEnd"/>
      <w:r w:rsidRPr="00D8206B">
        <w:rPr>
          <w:rFonts w:ascii="Times New Roman" w:eastAsia="Times New Roman" w:hAnsi="Times New Roman" w:cs="Times New Roman"/>
          <w:kern w:val="0"/>
          <w14:ligatures w14:val="none"/>
        </w:rPr>
        <w:t xml:space="preserve"> food services. </w:t>
      </w:r>
      <w:r w:rsidRPr="00D8206B">
        <w:rPr>
          <w:rFonts w:ascii="Times New Roman" w:eastAsia="Times New Roman" w:hAnsi="Times New Roman" w:cs="Times New Roman"/>
          <w:i/>
          <w:iCs/>
          <w:kern w:val="0"/>
          <w14:ligatures w14:val="none"/>
        </w:rPr>
        <w:t>Resources, 9</w:t>
      </w:r>
      <w:r w:rsidRPr="00D8206B">
        <w:rPr>
          <w:rFonts w:ascii="Times New Roman" w:eastAsia="Times New Roman" w:hAnsi="Times New Roman" w:cs="Times New Roman"/>
          <w:kern w:val="0"/>
          <w14:ligatures w14:val="none"/>
        </w:rPr>
        <w:t xml:space="preserve">(12), 144. </w:t>
      </w:r>
    </w:p>
    <w:p w14:paraId="12A077FD"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Goel, K., Bandara, W., &amp; Gable, G. (2023). Conceptualizing business process standardization: A review and synthesis. </w:t>
      </w:r>
      <w:r w:rsidRPr="00D8206B">
        <w:rPr>
          <w:rFonts w:ascii="Times New Roman" w:eastAsia="Times New Roman" w:hAnsi="Times New Roman" w:cs="Times New Roman"/>
          <w:i/>
          <w:iCs/>
          <w:kern w:val="0"/>
          <w14:ligatures w14:val="none"/>
        </w:rPr>
        <w:t>Schmalenbach Journal of Business Research, 75</w:t>
      </w:r>
      <w:r w:rsidRPr="00D8206B">
        <w:rPr>
          <w:rFonts w:ascii="Times New Roman" w:eastAsia="Times New Roman" w:hAnsi="Times New Roman" w:cs="Times New Roman"/>
          <w:kern w:val="0"/>
          <w14:ligatures w14:val="none"/>
        </w:rPr>
        <w:t xml:space="preserve">(2), 195–237. </w:t>
      </w:r>
    </w:p>
    <w:p w14:paraId="3127D46A"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Goldstein, N. J., Cialdini, R. B., &amp; Griskevicius, V. (2008). A room with a viewpoint: Using social norms to motivate environmental conservation in hotels. </w:t>
      </w:r>
      <w:r w:rsidRPr="00D8206B">
        <w:rPr>
          <w:rFonts w:ascii="Times New Roman" w:eastAsia="SimSun" w:hAnsi="Times New Roman" w:cs="Times New Roman"/>
          <w:i/>
          <w:iCs/>
          <w:kern w:val="0"/>
          <w:lang w:eastAsia="zh-CN"/>
          <w14:ligatures w14:val="none"/>
        </w:rPr>
        <w:t>Journal of Consumer Research, 35</w:t>
      </w:r>
      <w:r w:rsidRPr="00D8206B">
        <w:rPr>
          <w:rFonts w:ascii="Times New Roman" w:eastAsia="SimSun" w:hAnsi="Times New Roman" w:cs="Times New Roman"/>
          <w:kern w:val="0"/>
          <w:lang w:eastAsia="zh-CN"/>
          <w14:ligatures w14:val="none"/>
        </w:rPr>
        <w:t xml:space="preserve">(August), 472–482. </w:t>
      </w:r>
    </w:p>
    <w:p w14:paraId="600CC67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Goodhue, D. L., &amp; Thompson, R. L. (1995). Task-technology fit and individual performance. </w:t>
      </w:r>
      <w:r w:rsidRPr="00D8206B">
        <w:rPr>
          <w:rFonts w:ascii="Times New Roman" w:eastAsia="SimSun" w:hAnsi="Times New Roman" w:cs="Times New Roman"/>
          <w:i/>
          <w:iCs/>
          <w:kern w:val="0"/>
          <w:lang w:eastAsia="zh-CN"/>
          <w14:ligatures w14:val="none"/>
        </w:rPr>
        <w:t>MIS Quarterly, 19</w:t>
      </w:r>
      <w:r w:rsidRPr="00D8206B">
        <w:rPr>
          <w:rFonts w:ascii="Times New Roman" w:eastAsia="SimSun" w:hAnsi="Times New Roman" w:cs="Times New Roman"/>
          <w:kern w:val="0"/>
          <w:lang w:eastAsia="zh-CN"/>
          <w14:ligatures w14:val="none"/>
        </w:rPr>
        <w:t xml:space="preserve">(2), 213–236. </w:t>
      </w:r>
    </w:p>
    <w:p w14:paraId="65279D6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Govindan, K., Azevedo, S. G., Carvalho, H., &amp; Cruz-Machado, V. (2014). Impact of supply chain management practices on sustainability. </w:t>
      </w:r>
      <w:r w:rsidRPr="00D8206B">
        <w:rPr>
          <w:rFonts w:ascii="Times New Roman" w:eastAsia="SimSun" w:hAnsi="Times New Roman" w:cs="Times New Roman"/>
          <w:i/>
          <w:iCs/>
          <w:kern w:val="0"/>
          <w:lang w:eastAsia="zh-CN"/>
          <w14:ligatures w14:val="none"/>
        </w:rPr>
        <w:t>Journal of Cleaner Production, 85,</w:t>
      </w:r>
      <w:r w:rsidRPr="00D8206B">
        <w:rPr>
          <w:rFonts w:ascii="Times New Roman" w:eastAsia="SimSun" w:hAnsi="Times New Roman" w:cs="Times New Roman"/>
          <w:kern w:val="0"/>
          <w:lang w:eastAsia="zh-CN"/>
          <w14:ligatures w14:val="none"/>
        </w:rPr>
        <w:t xml:space="preserve"> 212-225.</w:t>
      </w:r>
    </w:p>
    <w:p w14:paraId="3BCE32C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Grönroos, C. (1984). A service quality model and its marketing implications. </w:t>
      </w:r>
      <w:r w:rsidRPr="00D8206B">
        <w:rPr>
          <w:rFonts w:ascii="Times New Roman" w:eastAsia="SimSun" w:hAnsi="Times New Roman" w:cs="Times New Roman"/>
          <w:i/>
          <w:iCs/>
          <w:kern w:val="0"/>
          <w:lang w:eastAsia="zh-CN"/>
          <w14:ligatures w14:val="none"/>
        </w:rPr>
        <w:t>European Journal of Marketing, 18</w:t>
      </w:r>
      <w:r w:rsidRPr="00D8206B">
        <w:rPr>
          <w:rFonts w:ascii="Times New Roman" w:eastAsia="SimSun" w:hAnsi="Times New Roman" w:cs="Times New Roman"/>
          <w:kern w:val="0"/>
          <w:lang w:eastAsia="zh-CN"/>
          <w14:ligatures w14:val="none"/>
        </w:rPr>
        <w:t xml:space="preserve">(4), 36-44. </w:t>
      </w:r>
    </w:p>
    <w:p w14:paraId="707F35F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Grönroos, C., &amp; Voima, P. (2019). Critical service logic: Making sense of value creation and co-creation. </w:t>
      </w:r>
      <w:r w:rsidRPr="00D8206B">
        <w:rPr>
          <w:rFonts w:ascii="Times New Roman" w:eastAsia="SimSun" w:hAnsi="Times New Roman" w:cs="Times New Roman"/>
          <w:i/>
          <w:iCs/>
          <w:kern w:val="0"/>
          <w:lang w:eastAsia="zh-CN"/>
          <w14:ligatures w14:val="none"/>
        </w:rPr>
        <w:t>Journal of the Academy of Marketing Science, 41</w:t>
      </w:r>
      <w:r w:rsidRPr="00D8206B">
        <w:rPr>
          <w:rFonts w:ascii="Times New Roman" w:eastAsia="SimSun" w:hAnsi="Times New Roman" w:cs="Times New Roman"/>
          <w:kern w:val="0"/>
          <w:lang w:eastAsia="zh-CN"/>
          <w14:ligatures w14:val="none"/>
        </w:rPr>
        <w:t xml:space="preserve">(2), 133-150. </w:t>
      </w:r>
    </w:p>
    <w:p w14:paraId="5B46229D" w14:textId="77777777" w:rsidR="00D8206B" w:rsidRPr="00D8206B" w:rsidRDefault="00D8206B" w:rsidP="00D8206B">
      <w:pPr>
        <w:spacing w:beforeAutospacing="1" w:after="0" w:afterAutospacing="1"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Gulo, R. P., &amp; Maryani, T. (2025). The influence of service quality and asset management on customer satisfaction in cafe businesses in </w:t>
      </w:r>
      <w:proofErr w:type="spellStart"/>
      <w:r w:rsidRPr="00D8206B">
        <w:rPr>
          <w:rFonts w:ascii="Times New Roman" w:eastAsia="Times New Roman" w:hAnsi="Times New Roman" w:cs="Times New Roman"/>
          <w:kern w:val="0"/>
          <w14:ligatures w14:val="none"/>
        </w:rPr>
        <w:t>Klepu</w:t>
      </w:r>
      <w:proofErr w:type="spellEnd"/>
      <w:r w:rsidRPr="00D8206B">
        <w:rPr>
          <w:rFonts w:ascii="Times New Roman" w:eastAsia="Times New Roman" w:hAnsi="Times New Roman" w:cs="Times New Roman"/>
          <w:kern w:val="0"/>
          <w14:ligatures w14:val="none"/>
        </w:rPr>
        <w:t xml:space="preserve"> Village. </w:t>
      </w:r>
      <w:r w:rsidRPr="00D8206B">
        <w:rPr>
          <w:rFonts w:ascii="Times New Roman" w:eastAsia="Times New Roman" w:hAnsi="Times New Roman" w:cs="Times New Roman"/>
          <w:i/>
          <w:iCs/>
          <w:kern w:val="0"/>
          <w14:ligatures w14:val="none"/>
        </w:rPr>
        <w:t xml:space="preserve">Journal of Education, </w:t>
      </w:r>
      <w:proofErr w:type="spellStart"/>
      <w:r w:rsidRPr="00D8206B">
        <w:rPr>
          <w:rFonts w:ascii="Times New Roman" w:eastAsia="Times New Roman" w:hAnsi="Times New Roman" w:cs="Times New Roman"/>
          <w:i/>
          <w:iCs/>
          <w:kern w:val="0"/>
          <w14:ligatures w14:val="none"/>
        </w:rPr>
        <w:t>Humaniora</w:t>
      </w:r>
      <w:proofErr w:type="spellEnd"/>
      <w:r w:rsidRPr="00D8206B">
        <w:rPr>
          <w:rFonts w:ascii="Times New Roman" w:eastAsia="Times New Roman" w:hAnsi="Times New Roman" w:cs="Times New Roman"/>
          <w:i/>
          <w:iCs/>
          <w:kern w:val="0"/>
          <w14:ligatures w14:val="none"/>
        </w:rPr>
        <w:t xml:space="preserve"> and Social Sciences</w:t>
      </w:r>
      <w:r w:rsidRPr="00D8206B">
        <w:rPr>
          <w:rFonts w:ascii="Times New Roman" w:eastAsia="Times New Roman" w:hAnsi="Times New Roman" w:cs="Times New Roman"/>
          <w:kern w:val="0"/>
          <w14:ligatures w14:val="none"/>
        </w:rPr>
        <w:t>, 7(3), 1067–1074.</w:t>
      </w:r>
    </w:p>
    <w:p w14:paraId="2CAAD1CE"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Gupta, S., &amp; Starr, M. K. (2014). </w:t>
      </w:r>
      <w:r w:rsidRPr="00D8206B">
        <w:rPr>
          <w:rFonts w:ascii="Times New Roman" w:eastAsia="SimSun" w:hAnsi="Times New Roman" w:cs="Times New Roman"/>
          <w:i/>
          <w:iCs/>
          <w:kern w:val="0"/>
          <w:lang w:eastAsia="zh-CN"/>
          <w14:ligatures w14:val="none"/>
        </w:rPr>
        <w:t>Production and operations management systems.</w:t>
      </w:r>
      <w:r w:rsidRPr="00D8206B">
        <w:rPr>
          <w:rFonts w:ascii="Times New Roman" w:eastAsia="SimSun" w:hAnsi="Times New Roman" w:cs="Times New Roman"/>
          <w:kern w:val="0"/>
          <w:lang w:eastAsia="zh-CN"/>
          <w14:ligatures w14:val="none"/>
        </w:rPr>
        <w:t xml:space="preserve"> CRC Press.</w:t>
      </w:r>
    </w:p>
    <w:p w14:paraId="303F8D7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Gupta, S., Jain, A., &amp; Kumar, R. (2022). Service delivery efficiency in the financial sector: The role of resource optimization. </w:t>
      </w:r>
      <w:r w:rsidRPr="00D8206B">
        <w:rPr>
          <w:rFonts w:ascii="Times New Roman" w:eastAsia="SimSun" w:hAnsi="Times New Roman" w:cs="Times New Roman"/>
          <w:i/>
          <w:iCs/>
          <w:kern w:val="0"/>
          <w:lang w:eastAsia="zh-CN"/>
          <w14:ligatures w14:val="none"/>
        </w:rPr>
        <w:t>Indian Journal of Finance and Banking, 11</w:t>
      </w:r>
      <w:r w:rsidRPr="00D8206B">
        <w:rPr>
          <w:rFonts w:ascii="Times New Roman" w:eastAsia="SimSun" w:hAnsi="Times New Roman" w:cs="Times New Roman"/>
          <w:kern w:val="0"/>
          <w:lang w:eastAsia="zh-CN"/>
          <w14:ligatures w14:val="none"/>
        </w:rPr>
        <w:t>(1), 33-45.</w:t>
      </w:r>
    </w:p>
    <w:p w14:paraId="1123394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Hair, J. F., Black, W. C., Babin, B. J., &amp; Anderson, R. E. (2010). </w:t>
      </w:r>
      <w:r w:rsidRPr="00D8206B">
        <w:rPr>
          <w:rFonts w:ascii="Times New Roman" w:eastAsia="SimSun" w:hAnsi="Times New Roman" w:cs="Times New Roman"/>
          <w:i/>
          <w:iCs/>
          <w:kern w:val="0"/>
          <w:lang w:eastAsia="zh-CN"/>
          <w14:ligatures w14:val="none"/>
        </w:rPr>
        <w:t>Multivariate data analysis</w:t>
      </w:r>
      <w:r w:rsidRPr="00D8206B">
        <w:rPr>
          <w:rFonts w:ascii="Times New Roman" w:eastAsia="SimSun" w:hAnsi="Times New Roman" w:cs="Times New Roman"/>
          <w:kern w:val="0"/>
          <w:lang w:eastAsia="zh-CN"/>
          <w14:ligatures w14:val="none"/>
        </w:rPr>
        <w:t xml:space="preserve"> (7th ed.). Pearson.</w:t>
      </w:r>
    </w:p>
    <w:p w14:paraId="0F59C00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Harmon, P. (2014). </w:t>
      </w:r>
      <w:r w:rsidRPr="00D8206B">
        <w:rPr>
          <w:rFonts w:ascii="Times New Roman" w:eastAsia="SimSun" w:hAnsi="Times New Roman" w:cs="Times New Roman"/>
          <w:i/>
          <w:iCs/>
          <w:kern w:val="0"/>
          <w:lang w:eastAsia="zh-CN"/>
          <w14:ligatures w14:val="none"/>
        </w:rPr>
        <w:t>Business process change: A guide for business managers and BPM and six sigma professionals</w:t>
      </w:r>
      <w:r w:rsidRPr="00D8206B">
        <w:rPr>
          <w:rFonts w:ascii="Times New Roman" w:eastAsia="SimSun" w:hAnsi="Times New Roman" w:cs="Times New Roman"/>
          <w:kern w:val="0"/>
          <w:lang w:eastAsia="zh-CN"/>
          <w14:ligatures w14:val="none"/>
        </w:rPr>
        <w:t xml:space="preserve"> (3rd ed.). Morgan Kaufmann.</w:t>
      </w:r>
    </w:p>
    <w:p w14:paraId="01286E7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Hart, S. L. (1995). A natural-resource-based view of the firm. </w:t>
      </w:r>
      <w:r w:rsidRPr="00D8206B">
        <w:rPr>
          <w:rFonts w:ascii="Times New Roman" w:eastAsia="SimSun" w:hAnsi="Times New Roman" w:cs="Times New Roman"/>
          <w:i/>
          <w:iCs/>
          <w:kern w:val="0"/>
          <w:lang w:eastAsia="zh-CN"/>
          <w14:ligatures w14:val="none"/>
        </w:rPr>
        <w:t>Academy of Management Review, 20</w:t>
      </w:r>
      <w:r w:rsidRPr="00D8206B">
        <w:rPr>
          <w:rFonts w:ascii="Times New Roman" w:eastAsia="SimSun" w:hAnsi="Times New Roman" w:cs="Times New Roman"/>
          <w:kern w:val="0"/>
          <w:lang w:eastAsia="zh-CN"/>
          <w14:ligatures w14:val="none"/>
        </w:rPr>
        <w:t>(4), 986-1014.</w:t>
      </w:r>
    </w:p>
    <w:p w14:paraId="07236FC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Hasin, M. A. A., &amp; Sarker, R. (2020). The impact of lean practices on service quality and business performance: A study of selected hospitals in Bangladesh. </w:t>
      </w:r>
      <w:r w:rsidRPr="00D8206B">
        <w:rPr>
          <w:rFonts w:ascii="Times New Roman" w:eastAsia="SimSun" w:hAnsi="Times New Roman" w:cs="Times New Roman"/>
          <w:i/>
          <w:iCs/>
          <w:kern w:val="0"/>
          <w:lang w:eastAsia="zh-CN"/>
          <w14:ligatures w14:val="none"/>
        </w:rPr>
        <w:t>Asia-Pacific Journal of Management Research and Innovation, 16</w:t>
      </w:r>
      <w:r w:rsidRPr="00D8206B">
        <w:rPr>
          <w:rFonts w:ascii="Times New Roman" w:eastAsia="SimSun" w:hAnsi="Times New Roman" w:cs="Times New Roman"/>
          <w:kern w:val="0"/>
          <w:lang w:eastAsia="zh-CN"/>
          <w14:ligatures w14:val="none"/>
        </w:rPr>
        <w:t>(1-2), 21-33.</w:t>
      </w:r>
    </w:p>
    <w:p w14:paraId="7582F76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Henseler, J., Ringle, C. M., &amp; Sarstedt, M. (2015). A new criterion for assessing discriminant validity in variance-based structural equation modeling. </w:t>
      </w:r>
      <w:r w:rsidRPr="00D8206B">
        <w:rPr>
          <w:rFonts w:ascii="Times New Roman" w:eastAsia="SimSun" w:hAnsi="Times New Roman" w:cs="Times New Roman"/>
          <w:i/>
          <w:iCs/>
          <w:kern w:val="0"/>
          <w:lang w:eastAsia="zh-CN"/>
          <w14:ligatures w14:val="none"/>
        </w:rPr>
        <w:t>Journal of the Academy of Marketing Science, 43</w:t>
      </w:r>
      <w:r w:rsidRPr="00D8206B">
        <w:rPr>
          <w:rFonts w:ascii="Times New Roman" w:eastAsia="SimSun" w:hAnsi="Times New Roman" w:cs="Times New Roman"/>
          <w:kern w:val="0"/>
          <w:lang w:eastAsia="zh-CN"/>
          <w14:ligatures w14:val="none"/>
        </w:rPr>
        <w:t xml:space="preserve">(1), 115–135. </w:t>
      </w:r>
    </w:p>
    <w:p w14:paraId="3C595FC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Henseler, J., Ringle, C. M., &amp; Sinkovics, R. R. (2009). The use of partial least squares path modeling in international marketing. In </w:t>
      </w:r>
      <w:r w:rsidRPr="00D8206B">
        <w:rPr>
          <w:rFonts w:ascii="Times New Roman" w:eastAsia="SimSun" w:hAnsi="Times New Roman" w:cs="Times New Roman"/>
          <w:i/>
          <w:iCs/>
          <w:kern w:val="0"/>
          <w:lang w:eastAsia="zh-CN"/>
          <w14:ligatures w14:val="none"/>
        </w:rPr>
        <w:t>Advances in International Marketing</w:t>
      </w:r>
      <w:r w:rsidRPr="00D8206B">
        <w:rPr>
          <w:rFonts w:ascii="Times New Roman" w:eastAsia="SimSun" w:hAnsi="Times New Roman" w:cs="Times New Roman"/>
          <w:kern w:val="0"/>
          <w:lang w:eastAsia="zh-CN"/>
          <w14:ligatures w14:val="none"/>
        </w:rPr>
        <w:t xml:space="preserve"> (Vol. 20, pp. 277–319). Emerald.</w:t>
      </w:r>
    </w:p>
    <w:p w14:paraId="4BBB359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Hines, P., Holweg, M., &amp; Rich, N. (2004). Learning to evolve: A review of contemporary lean thinking. </w:t>
      </w:r>
      <w:r w:rsidRPr="00D8206B">
        <w:rPr>
          <w:rFonts w:ascii="Times New Roman" w:eastAsia="SimSun" w:hAnsi="Times New Roman" w:cs="Times New Roman"/>
          <w:i/>
          <w:iCs/>
          <w:kern w:val="0"/>
          <w:lang w:eastAsia="zh-CN"/>
          <w14:ligatures w14:val="none"/>
        </w:rPr>
        <w:t>International Journal of Operations &amp; Production Management, 24</w:t>
      </w:r>
      <w:r w:rsidRPr="00D8206B">
        <w:rPr>
          <w:rFonts w:ascii="Times New Roman" w:eastAsia="SimSun" w:hAnsi="Times New Roman" w:cs="Times New Roman"/>
          <w:kern w:val="0"/>
          <w:lang w:eastAsia="zh-CN"/>
          <w14:ligatures w14:val="none"/>
        </w:rPr>
        <w:t>(10), 994-1011.</w:t>
      </w:r>
    </w:p>
    <w:p w14:paraId="6804EBA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Hofstede, G. (2001). </w:t>
      </w:r>
      <w:r w:rsidRPr="00D8206B">
        <w:rPr>
          <w:rFonts w:ascii="Times New Roman" w:eastAsia="SimSun" w:hAnsi="Times New Roman" w:cs="Times New Roman"/>
          <w:i/>
          <w:iCs/>
          <w:kern w:val="0"/>
          <w:lang w:eastAsia="zh-CN"/>
          <w14:ligatures w14:val="none"/>
        </w:rPr>
        <w:t>Culture's consequences: Comparing values, behaviors, institutions, and organizations across nations</w:t>
      </w:r>
      <w:r w:rsidRPr="00D8206B">
        <w:rPr>
          <w:rFonts w:ascii="Times New Roman" w:eastAsia="SimSun" w:hAnsi="Times New Roman" w:cs="Times New Roman"/>
          <w:kern w:val="0"/>
          <w:lang w:eastAsia="zh-CN"/>
          <w14:ligatures w14:val="none"/>
        </w:rPr>
        <w:t xml:space="preserve"> (2nd ed.). Sage Publications.</w:t>
      </w:r>
    </w:p>
    <w:p w14:paraId="1FD240AA" w14:textId="77777777" w:rsidR="00D8206B" w:rsidRPr="00D8206B" w:rsidRDefault="00D8206B" w:rsidP="00D8206B">
      <w:pPr>
        <w:spacing w:before="100" w:beforeAutospacing="1" w:after="100" w:afterAutospacing="1" w:line="240" w:lineRule="auto"/>
        <w:jc w:val="both"/>
        <w:rPr>
          <w:rFonts w:ascii="Times New Roman" w:eastAsia="Times New Roma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Holden, R. J. (2011). Lean thinking in emergency departments: A critical review. </w:t>
      </w:r>
      <w:r w:rsidRPr="00D8206B">
        <w:rPr>
          <w:rFonts w:ascii="Times New Roman" w:eastAsia="SimSun" w:hAnsi="Times New Roman" w:cs="Times New Roman"/>
          <w:i/>
          <w:iCs/>
          <w:kern w:val="0"/>
          <w:lang w:eastAsia="zh-CN"/>
          <w14:ligatures w14:val="none"/>
        </w:rPr>
        <w:t>Annals of Emergency Medicine, 57</w:t>
      </w:r>
      <w:r w:rsidRPr="00D8206B">
        <w:rPr>
          <w:rFonts w:ascii="Times New Roman" w:eastAsia="SimSun" w:hAnsi="Times New Roman" w:cs="Times New Roman"/>
          <w:kern w:val="0"/>
          <w:lang w:eastAsia="zh-CN"/>
          <w14:ligatures w14:val="none"/>
        </w:rPr>
        <w:t xml:space="preserve">(3), 265–278. </w:t>
      </w:r>
    </w:p>
    <w:p w14:paraId="6007740D"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Houghton, C., Meskell, P., Delaney, H., </w:t>
      </w:r>
      <w:proofErr w:type="spellStart"/>
      <w:r w:rsidRPr="00D8206B">
        <w:rPr>
          <w:rFonts w:ascii="Times New Roman" w:eastAsia="Times New Roman" w:hAnsi="Times New Roman" w:cs="Times New Roman"/>
          <w:kern w:val="0"/>
          <w14:ligatures w14:val="none"/>
        </w:rPr>
        <w:t>Smalle</w:t>
      </w:r>
      <w:proofErr w:type="spellEnd"/>
      <w:r w:rsidRPr="00D8206B">
        <w:rPr>
          <w:rFonts w:ascii="Times New Roman" w:eastAsia="Times New Roman" w:hAnsi="Times New Roman" w:cs="Times New Roman"/>
          <w:kern w:val="0"/>
          <w14:ligatures w14:val="none"/>
        </w:rPr>
        <w:t xml:space="preserve">, M., Glenton, C., Booth, A., Chan, X. H. S., Devane, D., &amp; </w:t>
      </w:r>
      <w:proofErr w:type="spellStart"/>
      <w:r w:rsidRPr="00D8206B">
        <w:rPr>
          <w:rFonts w:ascii="Times New Roman" w:eastAsia="Times New Roman" w:hAnsi="Times New Roman" w:cs="Times New Roman"/>
          <w:kern w:val="0"/>
          <w14:ligatures w14:val="none"/>
        </w:rPr>
        <w:t>Biesty</w:t>
      </w:r>
      <w:proofErr w:type="spellEnd"/>
      <w:r w:rsidRPr="00D8206B">
        <w:rPr>
          <w:rFonts w:ascii="Times New Roman" w:eastAsia="Times New Roman" w:hAnsi="Times New Roman" w:cs="Times New Roman"/>
          <w:kern w:val="0"/>
          <w14:ligatures w14:val="none"/>
        </w:rPr>
        <w:t xml:space="preserve">, L. M. (2020). Barriers and facilitators to healthcare workers’ adherence with infection prevention and control (IPC) guidelines for respiratory infectious diseases: A rapid qualitative evidence synthesis. </w:t>
      </w:r>
      <w:r w:rsidRPr="00D8206B">
        <w:rPr>
          <w:rFonts w:ascii="Times New Roman" w:eastAsia="Times New Roman" w:hAnsi="Times New Roman" w:cs="Times New Roman"/>
          <w:i/>
          <w:iCs/>
          <w:kern w:val="0"/>
          <w14:ligatures w14:val="none"/>
        </w:rPr>
        <w:t>Cochrane Database of Systematic Reviews</w:t>
      </w:r>
      <w:r w:rsidRPr="00D8206B">
        <w:rPr>
          <w:rFonts w:ascii="Times New Roman" w:eastAsia="Times New Roman" w:hAnsi="Times New Roman" w:cs="Times New Roman"/>
          <w:kern w:val="0"/>
          <w14:ligatures w14:val="none"/>
        </w:rPr>
        <w:t xml:space="preserve">, 2020(4), CD013582. </w:t>
      </w:r>
    </w:p>
    <w:p w14:paraId="18FBFCB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House, R. J., &amp; Aditya, R. N. (1997). The social scientific study of leadership: Quo Vadis? </w:t>
      </w:r>
      <w:r w:rsidRPr="00D8206B">
        <w:rPr>
          <w:rFonts w:ascii="Times New Roman" w:eastAsia="SimSun" w:hAnsi="Times New Roman" w:cs="Times New Roman"/>
          <w:i/>
          <w:iCs/>
          <w:kern w:val="0"/>
          <w:lang w:eastAsia="zh-CN"/>
          <w14:ligatures w14:val="none"/>
        </w:rPr>
        <w:t>Journal of Management, 23</w:t>
      </w:r>
      <w:r w:rsidRPr="00D8206B">
        <w:rPr>
          <w:rFonts w:ascii="Times New Roman" w:eastAsia="SimSun" w:hAnsi="Times New Roman" w:cs="Times New Roman"/>
          <w:kern w:val="0"/>
          <w:lang w:eastAsia="zh-CN"/>
          <w14:ligatures w14:val="none"/>
        </w:rPr>
        <w:t>(3), 409-473.</w:t>
      </w:r>
    </w:p>
    <w:p w14:paraId="161A4109"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Hu, H. H., </w:t>
      </w:r>
      <w:proofErr w:type="spellStart"/>
      <w:r w:rsidRPr="00D8206B">
        <w:rPr>
          <w:rFonts w:ascii="Times New Roman" w:eastAsia="Times New Roman" w:hAnsi="Times New Roman" w:cs="Times New Roman"/>
          <w:kern w:val="0"/>
          <w14:ligatures w14:val="none"/>
        </w:rPr>
        <w:t>Kandampully</w:t>
      </w:r>
      <w:proofErr w:type="spellEnd"/>
      <w:r w:rsidRPr="00D8206B">
        <w:rPr>
          <w:rFonts w:ascii="Times New Roman" w:eastAsia="Times New Roman" w:hAnsi="Times New Roman" w:cs="Times New Roman"/>
          <w:kern w:val="0"/>
          <w14:ligatures w14:val="none"/>
        </w:rPr>
        <w:t xml:space="preserve">, J., &amp; </w:t>
      </w:r>
      <w:proofErr w:type="spellStart"/>
      <w:r w:rsidRPr="00D8206B">
        <w:rPr>
          <w:rFonts w:ascii="Times New Roman" w:eastAsia="Times New Roman" w:hAnsi="Times New Roman" w:cs="Times New Roman"/>
          <w:kern w:val="0"/>
          <w14:ligatures w14:val="none"/>
        </w:rPr>
        <w:t>Juwaheer</w:t>
      </w:r>
      <w:proofErr w:type="spellEnd"/>
      <w:r w:rsidRPr="00D8206B">
        <w:rPr>
          <w:rFonts w:ascii="Times New Roman" w:eastAsia="Times New Roman" w:hAnsi="Times New Roman" w:cs="Times New Roman"/>
          <w:kern w:val="0"/>
          <w14:ligatures w14:val="none"/>
        </w:rPr>
        <w:t xml:space="preserve">, T. D. (2009). Relationships and impacts of service quality, perceived value, customer satisfaction, and image: An empirical study. </w:t>
      </w:r>
      <w:r w:rsidRPr="00D8206B">
        <w:rPr>
          <w:rFonts w:ascii="Times New Roman" w:eastAsia="Times New Roman" w:hAnsi="Times New Roman" w:cs="Times New Roman"/>
          <w:i/>
          <w:iCs/>
          <w:kern w:val="0"/>
          <w14:ligatures w14:val="none"/>
        </w:rPr>
        <w:t>Service Industries Journal, 29</w:t>
      </w:r>
      <w:r w:rsidRPr="00D8206B">
        <w:rPr>
          <w:rFonts w:ascii="Times New Roman" w:eastAsia="Times New Roman" w:hAnsi="Times New Roman" w:cs="Times New Roman"/>
          <w:kern w:val="0"/>
          <w14:ligatures w14:val="none"/>
        </w:rPr>
        <w:t xml:space="preserve">(2), 111–125. </w:t>
      </w:r>
    </w:p>
    <w:p w14:paraId="083DC03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Hussain, M., Khan, A., &amp; Ali, S. (2019). Total quality management practices and hotel performance: A review. </w:t>
      </w:r>
      <w:r w:rsidRPr="00D8206B">
        <w:rPr>
          <w:rFonts w:ascii="Times New Roman" w:eastAsia="SimSun" w:hAnsi="Times New Roman" w:cs="Times New Roman"/>
          <w:i/>
          <w:iCs/>
          <w:kern w:val="0"/>
          <w:lang w:eastAsia="zh-CN"/>
          <w14:ligatures w14:val="none"/>
        </w:rPr>
        <w:t>Service Industries Journal, 39</w:t>
      </w:r>
      <w:r w:rsidRPr="00D8206B">
        <w:rPr>
          <w:rFonts w:ascii="Times New Roman" w:eastAsia="SimSun" w:hAnsi="Times New Roman" w:cs="Times New Roman"/>
          <w:kern w:val="0"/>
          <w:lang w:eastAsia="zh-CN"/>
          <w14:ligatures w14:val="none"/>
        </w:rPr>
        <w:t>(5–6), 441–462.</w:t>
      </w:r>
    </w:p>
    <w:p w14:paraId="44042F43"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Ibrahim, A., &amp; Hassan, M. (2022). Resource optimization in Nigerian hotel industry (longitudinal). </w:t>
      </w:r>
      <w:r w:rsidRPr="00D8206B">
        <w:rPr>
          <w:rFonts w:ascii="Times New Roman" w:eastAsia="Times New Roman" w:hAnsi="Times New Roman" w:cs="Times New Roman"/>
          <w:i/>
          <w:iCs/>
          <w:kern w:val="0"/>
          <w14:ligatures w14:val="none"/>
        </w:rPr>
        <w:t>Nigerian Journal of Hospitality Management, 6</w:t>
      </w:r>
      <w:r w:rsidRPr="00D8206B">
        <w:rPr>
          <w:rFonts w:ascii="Times New Roman" w:eastAsia="Times New Roman" w:hAnsi="Times New Roman" w:cs="Times New Roman"/>
          <w:kern w:val="0"/>
          <w14:ligatures w14:val="none"/>
        </w:rPr>
        <w:t xml:space="preserve">(1), 12–29. </w:t>
      </w:r>
    </w:p>
    <w:p w14:paraId="6F95EE0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Jaca, C., Viles, E., &amp; Mateo, R. (2019). Lean implementation in services: Evidence from hospitality. </w:t>
      </w:r>
      <w:r w:rsidRPr="00D8206B">
        <w:rPr>
          <w:rFonts w:ascii="Times New Roman" w:eastAsia="SimSun" w:hAnsi="Times New Roman" w:cs="Times New Roman"/>
          <w:i/>
          <w:iCs/>
          <w:kern w:val="0"/>
          <w:lang w:eastAsia="zh-CN"/>
          <w14:ligatures w14:val="none"/>
        </w:rPr>
        <w:t>International Journal of Lean Six Sigma, 10</w:t>
      </w:r>
      <w:r w:rsidRPr="00D8206B">
        <w:rPr>
          <w:rFonts w:ascii="Times New Roman" w:eastAsia="SimSun" w:hAnsi="Times New Roman" w:cs="Times New Roman"/>
          <w:kern w:val="0"/>
          <w:lang w:eastAsia="zh-CN"/>
          <w14:ligatures w14:val="none"/>
        </w:rPr>
        <w:t>(2), 175–192.</w:t>
      </w:r>
    </w:p>
    <w:p w14:paraId="65D9C12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Johnson, A., &amp; Lee, B. (2019). Entrepreneurial resilience in emerging market hotels. </w:t>
      </w:r>
      <w:r w:rsidRPr="00D8206B">
        <w:rPr>
          <w:rFonts w:ascii="Times New Roman" w:eastAsia="SimSun" w:hAnsi="Times New Roman" w:cs="Times New Roman"/>
          <w:i/>
          <w:iCs/>
          <w:kern w:val="0"/>
          <w:lang w:eastAsia="zh-CN"/>
          <w14:ligatures w14:val="none"/>
        </w:rPr>
        <w:t>African Journal of Hospitality, Tourism and Leisure, 8</w:t>
      </w:r>
      <w:r w:rsidRPr="00D8206B">
        <w:rPr>
          <w:rFonts w:ascii="Times New Roman" w:eastAsia="SimSun" w:hAnsi="Times New Roman" w:cs="Times New Roman"/>
          <w:kern w:val="0"/>
          <w:lang w:eastAsia="zh-CN"/>
          <w14:ligatures w14:val="none"/>
        </w:rPr>
        <w:t>(3), 23–40.</w:t>
      </w:r>
    </w:p>
    <w:p w14:paraId="6DD41F5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Johnston, R., &amp; Kong, X. (2011). The customer experience: A road-map for improvement. </w:t>
      </w:r>
      <w:r w:rsidRPr="00D8206B">
        <w:rPr>
          <w:rFonts w:ascii="Times New Roman" w:eastAsia="SimSun" w:hAnsi="Times New Roman" w:cs="Times New Roman"/>
          <w:i/>
          <w:iCs/>
          <w:kern w:val="0"/>
          <w:lang w:eastAsia="zh-CN"/>
          <w14:ligatures w14:val="none"/>
        </w:rPr>
        <w:t>Managing Service Quality: An International Journal, 21</w:t>
      </w:r>
      <w:r w:rsidRPr="00D8206B">
        <w:rPr>
          <w:rFonts w:ascii="Times New Roman" w:eastAsia="SimSun" w:hAnsi="Times New Roman" w:cs="Times New Roman"/>
          <w:kern w:val="0"/>
          <w:lang w:eastAsia="zh-CN"/>
          <w14:ligatures w14:val="none"/>
        </w:rPr>
        <w:t>(1), 5-24.</w:t>
      </w:r>
    </w:p>
    <w:p w14:paraId="7DC2C6C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Jones, G. R. (2013). </w:t>
      </w:r>
      <w:r w:rsidRPr="00D8206B">
        <w:rPr>
          <w:rFonts w:ascii="Times New Roman" w:eastAsia="SimSun" w:hAnsi="Times New Roman" w:cs="Times New Roman"/>
          <w:i/>
          <w:iCs/>
          <w:kern w:val="0"/>
          <w:lang w:eastAsia="zh-CN"/>
          <w14:ligatures w14:val="none"/>
        </w:rPr>
        <w:t>Organizational theory, design, and change</w:t>
      </w:r>
      <w:r w:rsidRPr="00D8206B">
        <w:rPr>
          <w:rFonts w:ascii="Times New Roman" w:eastAsia="SimSun" w:hAnsi="Times New Roman" w:cs="Times New Roman"/>
          <w:kern w:val="0"/>
          <w:lang w:eastAsia="zh-CN"/>
          <w14:ligatures w14:val="none"/>
        </w:rPr>
        <w:t xml:space="preserve"> (7th ed.). Pearson.</w:t>
      </w:r>
    </w:p>
    <w:p w14:paraId="344FFA63"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Kandampully</w:t>
      </w:r>
      <w:proofErr w:type="spellEnd"/>
      <w:r w:rsidRPr="00D8206B">
        <w:rPr>
          <w:rFonts w:ascii="Times New Roman" w:eastAsia="SimSun" w:hAnsi="Times New Roman" w:cs="Times New Roman"/>
          <w:kern w:val="0"/>
          <w:lang w:eastAsia="zh-CN"/>
          <w14:ligatures w14:val="none"/>
        </w:rPr>
        <w:t xml:space="preserve">, J., &amp; </w:t>
      </w:r>
      <w:proofErr w:type="spellStart"/>
      <w:r w:rsidRPr="00D8206B">
        <w:rPr>
          <w:rFonts w:ascii="Times New Roman" w:eastAsia="SimSun" w:hAnsi="Times New Roman" w:cs="Times New Roman"/>
          <w:kern w:val="0"/>
          <w:lang w:eastAsia="zh-CN"/>
          <w14:ligatures w14:val="none"/>
        </w:rPr>
        <w:t>Suhartanto</w:t>
      </w:r>
      <w:proofErr w:type="spellEnd"/>
      <w:r w:rsidRPr="00D8206B">
        <w:rPr>
          <w:rFonts w:ascii="Times New Roman" w:eastAsia="SimSun" w:hAnsi="Times New Roman" w:cs="Times New Roman"/>
          <w:kern w:val="0"/>
          <w:lang w:eastAsia="zh-CN"/>
          <w14:ligatures w14:val="none"/>
        </w:rPr>
        <w:t xml:space="preserve">, D. (2000). Customer loyalty in the hotel industry: The role of customer satisfaction and image. </w:t>
      </w:r>
      <w:r w:rsidRPr="00D8206B">
        <w:rPr>
          <w:rFonts w:ascii="Times New Roman" w:eastAsia="SimSun" w:hAnsi="Times New Roman" w:cs="Times New Roman"/>
          <w:i/>
          <w:iCs/>
          <w:kern w:val="0"/>
          <w:lang w:eastAsia="zh-CN"/>
          <w14:ligatures w14:val="none"/>
        </w:rPr>
        <w:t>International Journal of Contemporary Hospitality Management, 12</w:t>
      </w:r>
      <w:r w:rsidRPr="00D8206B">
        <w:rPr>
          <w:rFonts w:ascii="Times New Roman" w:eastAsia="SimSun" w:hAnsi="Times New Roman" w:cs="Times New Roman"/>
          <w:kern w:val="0"/>
          <w:lang w:eastAsia="zh-CN"/>
          <w14:ligatures w14:val="none"/>
        </w:rPr>
        <w:t>(6), 346-351.</w:t>
      </w:r>
    </w:p>
    <w:p w14:paraId="7B456FD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Karia, N., &amp; </w:t>
      </w:r>
      <w:proofErr w:type="spellStart"/>
      <w:r w:rsidRPr="00D8206B">
        <w:rPr>
          <w:rFonts w:ascii="Times New Roman" w:eastAsia="SimSun" w:hAnsi="Times New Roman" w:cs="Times New Roman"/>
          <w:kern w:val="0"/>
          <w:lang w:eastAsia="zh-CN"/>
          <w14:ligatures w14:val="none"/>
        </w:rPr>
        <w:t>Asaari</w:t>
      </w:r>
      <w:proofErr w:type="spellEnd"/>
      <w:r w:rsidRPr="00D8206B">
        <w:rPr>
          <w:rFonts w:ascii="Times New Roman" w:eastAsia="SimSun" w:hAnsi="Times New Roman" w:cs="Times New Roman"/>
          <w:kern w:val="0"/>
          <w:lang w:eastAsia="zh-CN"/>
          <w14:ligatures w14:val="none"/>
        </w:rPr>
        <w:t xml:space="preserve">, M. H. A. H. (2016). Leadership attributes and their impact on job performance in Malaysian construction sector. </w:t>
      </w:r>
      <w:r w:rsidRPr="00D8206B">
        <w:rPr>
          <w:rFonts w:ascii="Times New Roman" w:eastAsia="SimSun" w:hAnsi="Times New Roman" w:cs="Times New Roman"/>
          <w:i/>
          <w:iCs/>
          <w:kern w:val="0"/>
          <w:lang w:eastAsia="zh-CN"/>
          <w14:ligatures w14:val="none"/>
        </w:rPr>
        <w:t>Journal of Management Development, 35</w:t>
      </w:r>
      <w:r w:rsidRPr="00D8206B">
        <w:rPr>
          <w:rFonts w:ascii="Times New Roman" w:eastAsia="SimSun" w:hAnsi="Times New Roman" w:cs="Times New Roman"/>
          <w:kern w:val="0"/>
          <w:lang w:eastAsia="zh-CN"/>
          <w14:ligatures w14:val="none"/>
        </w:rPr>
        <w:t>(2), 190-216.</w:t>
      </w:r>
    </w:p>
    <w:p w14:paraId="31DFAC8C"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 xml:space="preserve">Kariuki, P., &amp; </w:t>
      </w:r>
      <w:proofErr w:type="spellStart"/>
      <w:r w:rsidRPr="00D8206B">
        <w:rPr>
          <w:rFonts w:ascii="Times New Roman" w:eastAsia="Times New Roman" w:hAnsi="Times New Roman" w:cs="Times New Roman"/>
          <w:kern w:val="0"/>
          <w14:ligatures w14:val="none"/>
        </w:rPr>
        <w:t>Namusonge</w:t>
      </w:r>
      <w:proofErr w:type="spellEnd"/>
      <w:r w:rsidRPr="00D8206B">
        <w:rPr>
          <w:rFonts w:ascii="Times New Roman" w:eastAsia="Times New Roman" w:hAnsi="Times New Roman" w:cs="Times New Roman"/>
          <w:kern w:val="0"/>
          <w14:ligatures w14:val="none"/>
        </w:rPr>
        <w:t xml:space="preserve">, G. (2015). Organizational culture as moderator in Kenyan manufacturing. </w:t>
      </w:r>
      <w:r w:rsidRPr="00D8206B">
        <w:rPr>
          <w:rFonts w:ascii="Times New Roman" w:eastAsia="Times New Roman" w:hAnsi="Times New Roman" w:cs="Times New Roman"/>
          <w:i/>
          <w:iCs/>
          <w:kern w:val="0"/>
          <w14:ligatures w14:val="none"/>
        </w:rPr>
        <w:t>African Journal of Business Management, 9</w:t>
      </w:r>
      <w:r w:rsidRPr="00D8206B">
        <w:rPr>
          <w:rFonts w:ascii="Times New Roman" w:eastAsia="Times New Roman" w:hAnsi="Times New Roman" w:cs="Times New Roman"/>
          <w:kern w:val="0"/>
          <w14:ligatures w14:val="none"/>
        </w:rPr>
        <w:t xml:space="preserve">(14), 538–549. </w:t>
      </w:r>
    </w:p>
    <w:p w14:paraId="6CEB480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Kariuki, P., &amp; </w:t>
      </w:r>
      <w:proofErr w:type="spellStart"/>
      <w:r w:rsidRPr="00D8206B">
        <w:rPr>
          <w:rFonts w:ascii="Times New Roman" w:eastAsia="SimSun" w:hAnsi="Times New Roman" w:cs="Times New Roman"/>
          <w:kern w:val="0"/>
          <w:lang w:eastAsia="zh-CN"/>
          <w14:ligatures w14:val="none"/>
        </w:rPr>
        <w:t>Namusonge</w:t>
      </w:r>
      <w:proofErr w:type="spellEnd"/>
      <w:r w:rsidRPr="00D8206B">
        <w:rPr>
          <w:rFonts w:ascii="Times New Roman" w:eastAsia="SimSun" w:hAnsi="Times New Roman" w:cs="Times New Roman"/>
          <w:kern w:val="0"/>
          <w:lang w:eastAsia="zh-CN"/>
          <w14:ligatures w14:val="none"/>
        </w:rPr>
        <w:t xml:space="preserve">, G. (2015). Quality management adoption in East African hotels. </w:t>
      </w:r>
      <w:r w:rsidRPr="00D8206B">
        <w:rPr>
          <w:rFonts w:ascii="Times New Roman" w:eastAsia="SimSun" w:hAnsi="Times New Roman" w:cs="Times New Roman"/>
          <w:i/>
          <w:iCs/>
          <w:kern w:val="0"/>
          <w:lang w:eastAsia="zh-CN"/>
          <w14:ligatures w14:val="none"/>
        </w:rPr>
        <w:t>African Journal of Business Management, 9</w:t>
      </w:r>
      <w:r w:rsidRPr="00D8206B">
        <w:rPr>
          <w:rFonts w:ascii="Times New Roman" w:eastAsia="SimSun" w:hAnsi="Times New Roman" w:cs="Times New Roman"/>
          <w:kern w:val="0"/>
          <w:lang w:eastAsia="zh-CN"/>
          <w14:ligatures w14:val="none"/>
        </w:rPr>
        <w:t>(14), 504–516.</w:t>
      </w:r>
    </w:p>
    <w:p w14:paraId="193643B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Karlsson, C., &amp; </w:t>
      </w:r>
      <w:proofErr w:type="spellStart"/>
      <w:r w:rsidRPr="00D8206B">
        <w:rPr>
          <w:rFonts w:ascii="Times New Roman" w:eastAsia="SimSun" w:hAnsi="Times New Roman" w:cs="Times New Roman"/>
          <w:kern w:val="0"/>
          <w:lang w:eastAsia="zh-CN"/>
          <w14:ligatures w14:val="none"/>
        </w:rPr>
        <w:t>Åhlström</w:t>
      </w:r>
      <w:proofErr w:type="spellEnd"/>
      <w:r w:rsidRPr="00D8206B">
        <w:rPr>
          <w:rFonts w:ascii="Times New Roman" w:eastAsia="SimSun" w:hAnsi="Times New Roman" w:cs="Times New Roman"/>
          <w:kern w:val="0"/>
          <w:lang w:eastAsia="zh-CN"/>
          <w14:ligatures w14:val="none"/>
        </w:rPr>
        <w:t xml:space="preserve">, P. (1996). Assessing changes towards lean production. </w:t>
      </w:r>
      <w:r w:rsidRPr="00D8206B">
        <w:rPr>
          <w:rFonts w:ascii="Times New Roman" w:eastAsia="SimSun" w:hAnsi="Times New Roman" w:cs="Times New Roman"/>
          <w:i/>
          <w:iCs/>
          <w:kern w:val="0"/>
          <w:lang w:eastAsia="zh-CN"/>
          <w14:ligatures w14:val="none"/>
        </w:rPr>
        <w:t>International Journal of Operations &amp; Production Management, 16</w:t>
      </w:r>
      <w:r w:rsidRPr="00D8206B">
        <w:rPr>
          <w:rFonts w:ascii="Times New Roman" w:eastAsia="SimSun" w:hAnsi="Times New Roman" w:cs="Times New Roman"/>
          <w:kern w:val="0"/>
          <w:lang w:eastAsia="zh-CN"/>
          <w14:ligatures w14:val="none"/>
        </w:rPr>
        <w:t>(2), 24-41.</w:t>
      </w:r>
    </w:p>
    <w:p w14:paraId="51D01540"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Kasiri, L. A., Teoh, K. G., Sambasivan, M., &amp; </w:t>
      </w:r>
      <w:proofErr w:type="spellStart"/>
      <w:r w:rsidRPr="00D8206B">
        <w:rPr>
          <w:rFonts w:ascii="Times New Roman" w:eastAsia="Times New Roman" w:hAnsi="Times New Roman" w:cs="Times New Roman"/>
          <w:kern w:val="0"/>
          <w14:ligatures w14:val="none"/>
        </w:rPr>
        <w:t>Sidin</w:t>
      </w:r>
      <w:proofErr w:type="spellEnd"/>
      <w:r w:rsidRPr="00D8206B">
        <w:rPr>
          <w:rFonts w:ascii="Times New Roman" w:eastAsia="Times New Roman" w:hAnsi="Times New Roman" w:cs="Times New Roman"/>
          <w:kern w:val="0"/>
          <w14:ligatures w14:val="none"/>
        </w:rPr>
        <w:t xml:space="preserve">, S. M. (2017). Integration of standardization and customization: Impact on service quality, customer satisfaction, and loyalty. </w:t>
      </w:r>
      <w:r w:rsidRPr="00D8206B">
        <w:rPr>
          <w:rFonts w:ascii="Times New Roman" w:eastAsia="Times New Roman" w:hAnsi="Times New Roman" w:cs="Times New Roman"/>
          <w:i/>
          <w:iCs/>
          <w:kern w:val="0"/>
          <w14:ligatures w14:val="none"/>
        </w:rPr>
        <w:t>Journal of Retailing and Consumer Services, 35</w:t>
      </w:r>
      <w:r w:rsidRPr="00D8206B">
        <w:rPr>
          <w:rFonts w:ascii="Times New Roman" w:eastAsia="Times New Roman" w:hAnsi="Times New Roman" w:cs="Times New Roman"/>
          <w:kern w:val="0"/>
          <w14:ligatures w14:val="none"/>
        </w:rPr>
        <w:t xml:space="preserve">, 91–97. </w:t>
      </w:r>
    </w:p>
    <w:p w14:paraId="36CC0F51"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Kim, J., Cho, A., &amp; Kim, J. (2022). Effect of the standardization of service platforms for high-involvement </w:t>
      </w:r>
      <w:proofErr w:type="spellStart"/>
      <w:r w:rsidRPr="00D8206B">
        <w:rPr>
          <w:rFonts w:ascii="Times New Roman" w:eastAsia="Times New Roman" w:hAnsi="Times New Roman" w:cs="Times New Roman"/>
          <w:kern w:val="0"/>
          <w14:ligatures w14:val="none"/>
        </w:rPr>
        <w:t>PropTech</w:t>
      </w:r>
      <w:proofErr w:type="spellEnd"/>
      <w:r w:rsidRPr="00D8206B">
        <w:rPr>
          <w:rFonts w:ascii="Times New Roman" w:eastAsia="Times New Roman" w:hAnsi="Times New Roman" w:cs="Times New Roman"/>
          <w:kern w:val="0"/>
          <w14:ligatures w14:val="none"/>
        </w:rPr>
        <w:t xml:space="preserve"> services. </w:t>
      </w:r>
      <w:r w:rsidRPr="00D8206B">
        <w:rPr>
          <w:rFonts w:ascii="Times New Roman" w:eastAsia="Times New Roman" w:hAnsi="Times New Roman" w:cs="Times New Roman"/>
          <w:i/>
          <w:iCs/>
          <w:kern w:val="0"/>
          <w14:ligatures w14:val="none"/>
        </w:rPr>
        <w:t>Sustainability, 14</w:t>
      </w:r>
      <w:r w:rsidRPr="00D8206B">
        <w:rPr>
          <w:rFonts w:ascii="Times New Roman" w:eastAsia="Times New Roman" w:hAnsi="Times New Roman" w:cs="Times New Roman"/>
          <w:kern w:val="0"/>
          <w14:ligatures w14:val="none"/>
        </w:rPr>
        <w:t xml:space="preserve">(9), 5036. </w:t>
      </w:r>
    </w:p>
    <w:p w14:paraId="4D7472D0"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Kim, S., Lee, H., &amp; Cho, M. (2020). Lean Six Sigma and customer satisfaction in hospitality (Seoul). </w:t>
      </w:r>
      <w:r w:rsidRPr="00D8206B">
        <w:rPr>
          <w:rFonts w:ascii="Times New Roman" w:eastAsia="Times New Roman" w:hAnsi="Times New Roman" w:cs="Times New Roman"/>
          <w:i/>
          <w:iCs/>
          <w:kern w:val="0"/>
          <w14:ligatures w14:val="none"/>
        </w:rPr>
        <w:t>International Journal of Hospitality Management, 85</w:t>
      </w:r>
      <w:r w:rsidRPr="00D8206B">
        <w:rPr>
          <w:rFonts w:ascii="Times New Roman" w:eastAsia="Times New Roman" w:hAnsi="Times New Roman" w:cs="Times New Roman"/>
          <w:kern w:val="0"/>
          <w14:ligatures w14:val="none"/>
        </w:rPr>
        <w:t xml:space="preserve">, 102345. </w:t>
      </w:r>
    </w:p>
    <w:p w14:paraId="07656DF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Kim, S., Park, H., &amp; Lee, Y. (2016). Service quality measurement in hotels: Validation study. </w:t>
      </w:r>
      <w:r w:rsidRPr="00D8206B">
        <w:rPr>
          <w:rFonts w:ascii="Times New Roman" w:eastAsia="SimSun" w:hAnsi="Times New Roman" w:cs="Times New Roman"/>
          <w:i/>
          <w:iCs/>
          <w:kern w:val="0"/>
          <w:lang w:eastAsia="zh-CN"/>
          <w14:ligatures w14:val="none"/>
        </w:rPr>
        <w:t>Tourism Management, 52</w:t>
      </w:r>
      <w:r w:rsidRPr="00D8206B">
        <w:rPr>
          <w:rFonts w:ascii="Times New Roman" w:eastAsia="SimSun" w:hAnsi="Times New Roman" w:cs="Times New Roman"/>
          <w:kern w:val="0"/>
          <w:lang w:eastAsia="zh-CN"/>
          <w14:ligatures w14:val="none"/>
        </w:rPr>
        <w:t>, 121–131.</w:t>
      </w:r>
    </w:p>
    <w:p w14:paraId="5938F68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Kim, S., Park, H., &amp; Lee, Y. (2020). Revisiting hotel service quality post-pandemic. </w:t>
      </w:r>
      <w:r w:rsidRPr="00D8206B">
        <w:rPr>
          <w:rFonts w:ascii="Times New Roman" w:eastAsia="SimSun" w:hAnsi="Times New Roman" w:cs="Times New Roman"/>
          <w:i/>
          <w:iCs/>
          <w:kern w:val="0"/>
          <w:lang w:eastAsia="zh-CN"/>
          <w14:ligatures w14:val="none"/>
        </w:rPr>
        <w:t>International Journal of Hospitality Management, 89</w:t>
      </w:r>
      <w:r w:rsidRPr="00D8206B">
        <w:rPr>
          <w:rFonts w:ascii="Times New Roman" w:eastAsia="SimSun" w:hAnsi="Times New Roman" w:cs="Times New Roman"/>
          <w:kern w:val="0"/>
          <w:lang w:eastAsia="zh-CN"/>
          <w14:ligatures w14:val="none"/>
        </w:rPr>
        <w:t>, 102584.</w:t>
      </w:r>
    </w:p>
    <w:p w14:paraId="795733D2"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Kim, S., Park, J., &amp; Lee, Y. (2016). Impact of lean implementation on hospital performance (South Korea). </w:t>
      </w:r>
      <w:r w:rsidRPr="00D8206B">
        <w:rPr>
          <w:rFonts w:ascii="Times New Roman" w:eastAsia="Times New Roman" w:hAnsi="Times New Roman" w:cs="Times New Roman"/>
          <w:i/>
          <w:iCs/>
          <w:kern w:val="0"/>
          <w14:ligatures w14:val="none"/>
        </w:rPr>
        <w:t>Korean Journal of Healthcare Management, 12</w:t>
      </w:r>
      <w:r w:rsidRPr="00D8206B">
        <w:rPr>
          <w:rFonts w:ascii="Times New Roman" w:eastAsia="Times New Roman" w:hAnsi="Times New Roman" w:cs="Times New Roman"/>
          <w:kern w:val="0"/>
          <w14:ligatures w14:val="none"/>
        </w:rPr>
        <w:t>(4), 289–305.</w:t>
      </w:r>
    </w:p>
    <w:p w14:paraId="216BECC3"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King, D. L., Ben-</w:t>
      </w:r>
      <w:proofErr w:type="spellStart"/>
      <w:r w:rsidRPr="00D8206B">
        <w:rPr>
          <w:rFonts w:ascii="Times New Roman" w:eastAsia="SimSun" w:hAnsi="Times New Roman" w:cs="Times New Roman"/>
          <w:kern w:val="0"/>
          <w:lang w:eastAsia="zh-CN"/>
          <w14:ligatures w14:val="none"/>
        </w:rPr>
        <w:t>Tovim</w:t>
      </w:r>
      <w:proofErr w:type="spellEnd"/>
      <w:r w:rsidRPr="00D8206B">
        <w:rPr>
          <w:rFonts w:ascii="Times New Roman" w:eastAsia="SimSun" w:hAnsi="Times New Roman" w:cs="Times New Roman"/>
          <w:kern w:val="0"/>
          <w:lang w:eastAsia="zh-CN"/>
          <w14:ligatures w14:val="none"/>
        </w:rPr>
        <w:t xml:space="preserve">, D. I., &amp; Bassham, J. (2006). Redesigning emergency department patient flows: Application of Lean thinking to health care. </w:t>
      </w:r>
      <w:r w:rsidRPr="00D8206B">
        <w:rPr>
          <w:rFonts w:ascii="Times New Roman" w:eastAsia="SimSun" w:hAnsi="Times New Roman" w:cs="Times New Roman"/>
          <w:i/>
          <w:iCs/>
          <w:kern w:val="0"/>
          <w:lang w:eastAsia="zh-CN"/>
          <w14:ligatures w14:val="none"/>
        </w:rPr>
        <w:t xml:space="preserve">Emerg Med </w:t>
      </w:r>
      <w:proofErr w:type="spellStart"/>
      <w:r w:rsidRPr="00D8206B">
        <w:rPr>
          <w:rFonts w:ascii="Times New Roman" w:eastAsia="SimSun" w:hAnsi="Times New Roman" w:cs="Times New Roman"/>
          <w:i/>
          <w:iCs/>
          <w:kern w:val="0"/>
          <w:lang w:eastAsia="zh-CN"/>
          <w14:ligatures w14:val="none"/>
        </w:rPr>
        <w:t>Australas</w:t>
      </w:r>
      <w:proofErr w:type="spellEnd"/>
      <w:r w:rsidRPr="00D8206B">
        <w:rPr>
          <w:rFonts w:ascii="Times New Roman" w:eastAsia="SimSun" w:hAnsi="Times New Roman" w:cs="Times New Roman"/>
          <w:kern w:val="0"/>
          <w:lang w:eastAsia="zh-CN"/>
          <w14:ligatures w14:val="none"/>
        </w:rPr>
        <w:t>. (See article for volume/issue).</w:t>
      </w:r>
    </w:p>
    <w:p w14:paraId="4466B6D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Kingman-Brundage, J., Smith, A., &amp; Doe, R. (1995). Quality frameworks for service firms. </w:t>
      </w:r>
      <w:r w:rsidRPr="00D8206B">
        <w:rPr>
          <w:rFonts w:ascii="Times New Roman" w:eastAsia="SimSun" w:hAnsi="Times New Roman" w:cs="Times New Roman"/>
          <w:i/>
          <w:iCs/>
          <w:kern w:val="0"/>
          <w:lang w:eastAsia="zh-CN"/>
          <w14:ligatures w14:val="none"/>
        </w:rPr>
        <w:t>International Journal of Service Management, 7</w:t>
      </w:r>
      <w:r w:rsidRPr="00D8206B">
        <w:rPr>
          <w:rFonts w:ascii="Times New Roman" w:eastAsia="SimSun" w:hAnsi="Times New Roman" w:cs="Times New Roman"/>
          <w:kern w:val="0"/>
          <w:lang w:eastAsia="zh-CN"/>
          <w14:ligatures w14:val="none"/>
        </w:rPr>
        <w:t>(3), 201–217.</w:t>
      </w:r>
    </w:p>
    <w:p w14:paraId="3381A40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bookmarkStart w:id="34" w:name="_Hlk221263535"/>
      <w:r w:rsidRPr="00D8206B">
        <w:rPr>
          <w:rFonts w:ascii="Times New Roman" w:eastAsia="SimSun" w:hAnsi="Times New Roman" w:cs="Times New Roman"/>
          <w:kern w:val="0"/>
          <w:lang w:eastAsia="zh-CN"/>
          <w14:ligatures w14:val="none"/>
        </w:rPr>
        <w:t xml:space="preserve">Kingman-Brundage, J., Smith, A., &amp; Doe, R. (2015). Advances in service quality: A retrospective. </w:t>
      </w:r>
      <w:r w:rsidRPr="00D8206B">
        <w:rPr>
          <w:rFonts w:ascii="Times New Roman" w:eastAsia="SimSun" w:hAnsi="Times New Roman" w:cs="Times New Roman"/>
          <w:i/>
          <w:iCs/>
          <w:kern w:val="0"/>
          <w:lang w:eastAsia="zh-CN"/>
          <w14:ligatures w14:val="none"/>
        </w:rPr>
        <w:t>Journal of Service Management, 26</w:t>
      </w:r>
      <w:r w:rsidRPr="00D8206B">
        <w:rPr>
          <w:rFonts w:ascii="Times New Roman" w:eastAsia="SimSun" w:hAnsi="Times New Roman" w:cs="Times New Roman"/>
          <w:kern w:val="0"/>
          <w:lang w:eastAsia="zh-CN"/>
          <w14:ligatures w14:val="none"/>
        </w:rPr>
        <w:t>(4), 301–318</w:t>
      </w:r>
      <w:bookmarkEnd w:id="34"/>
      <w:r w:rsidRPr="00D8206B">
        <w:rPr>
          <w:rFonts w:ascii="Times New Roman" w:eastAsia="SimSun" w:hAnsi="Times New Roman" w:cs="Times New Roman"/>
          <w:kern w:val="0"/>
          <w:lang w:eastAsia="zh-CN"/>
          <w14:ligatures w14:val="none"/>
        </w:rPr>
        <w:t>.</w:t>
      </w:r>
    </w:p>
    <w:p w14:paraId="0F7DC043"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Kotter, J. P. (1996). </w:t>
      </w:r>
      <w:r w:rsidRPr="00D8206B">
        <w:rPr>
          <w:rFonts w:ascii="Times New Roman" w:eastAsia="SimSun" w:hAnsi="Times New Roman" w:cs="Times New Roman"/>
          <w:i/>
          <w:iCs/>
          <w:kern w:val="0"/>
          <w:lang w:eastAsia="zh-CN"/>
          <w14:ligatures w14:val="none"/>
        </w:rPr>
        <w:t>Leading change.</w:t>
      </w:r>
      <w:r w:rsidRPr="00D8206B">
        <w:rPr>
          <w:rFonts w:ascii="Times New Roman" w:eastAsia="SimSun" w:hAnsi="Times New Roman" w:cs="Times New Roman"/>
          <w:kern w:val="0"/>
          <w:lang w:eastAsia="zh-CN"/>
          <w14:ligatures w14:val="none"/>
        </w:rPr>
        <w:t xml:space="preserve"> Harvard Business School Press.</w:t>
      </w:r>
    </w:p>
    <w:p w14:paraId="6645948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Kotter, J. P., &amp; Heskett, J. L. (1992). </w:t>
      </w:r>
      <w:r w:rsidRPr="00D8206B">
        <w:rPr>
          <w:rFonts w:ascii="Times New Roman" w:eastAsia="SimSun" w:hAnsi="Times New Roman" w:cs="Times New Roman"/>
          <w:i/>
          <w:iCs/>
          <w:kern w:val="0"/>
          <w:lang w:eastAsia="zh-CN"/>
          <w14:ligatures w14:val="none"/>
        </w:rPr>
        <w:t>Corporate culture and performance.</w:t>
      </w:r>
      <w:r w:rsidRPr="00D8206B">
        <w:rPr>
          <w:rFonts w:ascii="Times New Roman" w:eastAsia="SimSun" w:hAnsi="Times New Roman" w:cs="Times New Roman"/>
          <w:kern w:val="0"/>
          <w:lang w:eastAsia="zh-CN"/>
          <w14:ligatures w14:val="none"/>
        </w:rPr>
        <w:t xml:space="preserve"> Free Press.</w:t>
      </w:r>
    </w:p>
    <w:p w14:paraId="165F856A"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Kumar, R., &amp; Singh, P. (2021). Influence of lean operations on quality service: Evidence from the healthcare sector in India. </w:t>
      </w:r>
      <w:r w:rsidRPr="00D8206B">
        <w:rPr>
          <w:rFonts w:ascii="Times New Roman" w:eastAsia="Times New Roman" w:hAnsi="Times New Roman" w:cs="Times New Roman"/>
          <w:i/>
          <w:iCs/>
          <w:kern w:val="0"/>
          <w14:ligatures w14:val="none"/>
        </w:rPr>
        <w:t>Journal of Health Management, 23</w:t>
      </w:r>
      <w:r w:rsidRPr="00D8206B">
        <w:rPr>
          <w:rFonts w:ascii="Times New Roman" w:eastAsia="Times New Roman" w:hAnsi="Times New Roman" w:cs="Times New Roman"/>
          <w:kern w:val="0"/>
          <w14:ligatures w14:val="none"/>
        </w:rPr>
        <w:t>(1), 56–74.</w:t>
      </w:r>
    </w:p>
    <w:p w14:paraId="698DF7D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Ladhari</w:t>
      </w:r>
      <w:proofErr w:type="spellEnd"/>
      <w:r w:rsidRPr="00D8206B">
        <w:rPr>
          <w:rFonts w:ascii="Times New Roman" w:eastAsia="SimSun" w:hAnsi="Times New Roman" w:cs="Times New Roman"/>
          <w:kern w:val="0"/>
          <w:lang w:eastAsia="zh-CN"/>
          <w14:ligatures w14:val="none"/>
        </w:rPr>
        <w:t xml:space="preserve">, R. (2020). Service quality and customer loyalty in hospitality: A review. </w:t>
      </w:r>
      <w:r w:rsidRPr="00D8206B">
        <w:rPr>
          <w:rFonts w:ascii="Times New Roman" w:eastAsia="SimSun" w:hAnsi="Times New Roman" w:cs="Times New Roman"/>
          <w:i/>
          <w:iCs/>
          <w:kern w:val="0"/>
          <w:lang w:eastAsia="zh-CN"/>
          <w14:ligatures w14:val="none"/>
        </w:rPr>
        <w:t>International Journal of Hospitality Management, 85</w:t>
      </w:r>
      <w:r w:rsidRPr="00D8206B">
        <w:rPr>
          <w:rFonts w:ascii="Times New Roman" w:eastAsia="SimSun" w:hAnsi="Times New Roman" w:cs="Times New Roman"/>
          <w:kern w:val="0"/>
          <w:lang w:eastAsia="zh-CN"/>
          <w14:ligatures w14:val="none"/>
        </w:rPr>
        <w:t>, 102–115.</w:t>
      </w:r>
    </w:p>
    <w:p w14:paraId="0669E620"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Lee, H., &amp; Kim, J. (2022). Process optimization and service speed in hotels (South Korea). </w:t>
      </w:r>
      <w:r w:rsidRPr="00D8206B">
        <w:rPr>
          <w:rFonts w:ascii="Times New Roman" w:eastAsia="Times New Roman" w:hAnsi="Times New Roman" w:cs="Times New Roman"/>
          <w:i/>
          <w:iCs/>
          <w:kern w:val="0"/>
          <w14:ligatures w14:val="none"/>
        </w:rPr>
        <w:t>Asian Journal of Hospitality and Tourism, 11</w:t>
      </w:r>
      <w:r w:rsidRPr="00D8206B">
        <w:rPr>
          <w:rFonts w:ascii="Times New Roman" w:eastAsia="Times New Roman" w:hAnsi="Times New Roman" w:cs="Times New Roman"/>
          <w:kern w:val="0"/>
          <w14:ligatures w14:val="none"/>
        </w:rPr>
        <w:t>(1), 45–64.</w:t>
      </w:r>
    </w:p>
    <w:p w14:paraId="27AE062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bookmarkStart w:id="35" w:name="_Hlk221263478"/>
      <w:r w:rsidRPr="00D8206B">
        <w:rPr>
          <w:rFonts w:ascii="Times New Roman" w:eastAsia="SimSun" w:hAnsi="Times New Roman" w:cs="Times New Roman"/>
          <w:kern w:val="0"/>
          <w:lang w:eastAsia="zh-CN"/>
          <w14:ligatures w14:val="none"/>
        </w:rPr>
        <w:lastRenderedPageBreak/>
        <w:t xml:space="preserve">Liker, J. K. (2004). </w:t>
      </w:r>
      <w:r w:rsidRPr="00D8206B">
        <w:rPr>
          <w:rFonts w:ascii="Times New Roman" w:eastAsia="SimSun" w:hAnsi="Times New Roman" w:cs="Times New Roman"/>
          <w:i/>
          <w:iCs/>
          <w:kern w:val="0"/>
          <w:lang w:eastAsia="zh-CN"/>
          <w14:ligatures w14:val="none"/>
        </w:rPr>
        <w:t>The Toyota way: 14 management principles from the world’s greatest manufacturer.</w:t>
      </w:r>
      <w:r w:rsidRPr="00D8206B">
        <w:rPr>
          <w:rFonts w:ascii="Times New Roman" w:eastAsia="SimSun" w:hAnsi="Times New Roman" w:cs="Times New Roman"/>
          <w:kern w:val="0"/>
          <w:lang w:eastAsia="zh-CN"/>
          <w14:ligatures w14:val="none"/>
        </w:rPr>
        <w:t xml:space="preserve"> McGraw-Hill</w:t>
      </w:r>
      <w:bookmarkEnd w:id="35"/>
      <w:r w:rsidRPr="00D8206B">
        <w:rPr>
          <w:rFonts w:ascii="Times New Roman" w:eastAsia="SimSun" w:hAnsi="Times New Roman" w:cs="Times New Roman"/>
          <w:kern w:val="0"/>
          <w:lang w:eastAsia="zh-CN"/>
          <w14:ligatures w14:val="none"/>
        </w:rPr>
        <w:t>.</w:t>
      </w:r>
    </w:p>
    <w:p w14:paraId="5A2E1C25"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Liker, J., &amp; Meier, D. (2017). </w:t>
      </w:r>
      <w:r w:rsidRPr="00D8206B">
        <w:rPr>
          <w:rFonts w:ascii="Times New Roman" w:eastAsia="SimSun" w:hAnsi="Times New Roman" w:cs="Times New Roman"/>
          <w:i/>
          <w:iCs/>
          <w:kern w:val="0"/>
          <w:lang w:eastAsia="zh-CN"/>
          <w14:ligatures w14:val="none"/>
        </w:rPr>
        <w:t xml:space="preserve">The Toyota Way </w:t>
      </w:r>
      <w:proofErr w:type="spellStart"/>
      <w:r w:rsidRPr="00D8206B">
        <w:rPr>
          <w:rFonts w:ascii="Times New Roman" w:eastAsia="SimSun" w:hAnsi="Times New Roman" w:cs="Times New Roman"/>
          <w:i/>
          <w:iCs/>
          <w:kern w:val="0"/>
          <w:lang w:eastAsia="zh-CN"/>
          <w14:ligatures w14:val="none"/>
        </w:rPr>
        <w:t>Fieldbook</w:t>
      </w:r>
      <w:proofErr w:type="spellEnd"/>
      <w:r w:rsidRPr="00D8206B">
        <w:rPr>
          <w:rFonts w:ascii="Times New Roman" w:eastAsia="SimSun" w:hAnsi="Times New Roman" w:cs="Times New Roman"/>
          <w:i/>
          <w:iCs/>
          <w:kern w:val="0"/>
          <w:lang w:eastAsia="zh-CN"/>
          <w14:ligatures w14:val="none"/>
        </w:rPr>
        <w:t>: A practical guide for implementing Toyota’s 4Ps.</w:t>
      </w:r>
      <w:r w:rsidRPr="00D8206B">
        <w:rPr>
          <w:rFonts w:ascii="Times New Roman" w:eastAsia="SimSun" w:hAnsi="Times New Roman" w:cs="Times New Roman"/>
          <w:kern w:val="0"/>
          <w:lang w:eastAsia="zh-CN"/>
          <w14:ligatures w14:val="none"/>
        </w:rPr>
        <w:t xml:space="preserve"> Global Lean Journal, 3(1), 1–24.</w:t>
      </w:r>
    </w:p>
    <w:p w14:paraId="35FA9075"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Lima Santos, L. (2024). Factors influencing hotel revenue management in times of uncertainty. </w:t>
      </w:r>
      <w:r w:rsidRPr="00D8206B">
        <w:rPr>
          <w:rFonts w:ascii="Times New Roman" w:eastAsia="Times New Roman" w:hAnsi="Times New Roman" w:cs="Times New Roman"/>
          <w:i/>
          <w:iCs/>
          <w:kern w:val="0"/>
          <w14:ligatures w14:val="none"/>
        </w:rPr>
        <w:t>Economies/MDPI</w:t>
      </w:r>
      <w:r w:rsidRPr="00D8206B">
        <w:rPr>
          <w:rFonts w:ascii="Times New Roman" w:eastAsia="Times New Roman" w:hAnsi="Times New Roman" w:cs="Times New Roman"/>
          <w:kern w:val="0"/>
          <w14:ligatures w14:val="none"/>
        </w:rPr>
        <w:t xml:space="preserve"> (example: revenue management &amp; upselling relevance). </w:t>
      </w:r>
      <w:hyperlink r:id="rId217" w:history="1">
        <w:r w:rsidRPr="00D8206B">
          <w:rPr>
            <w:rFonts w:ascii="Times New Roman" w:eastAsia="Times New Roman" w:hAnsi="Times New Roman" w:cs="Times New Roman"/>
            <w:color w:val="0000FF"/>
            <w:kern w:val="0"/>
            <w:u w:val="single"/>
            <w14:ligatures w14:val="none"/>
          </w:rPr>
          <w:t>https://doi.org/10.3390/XXXXX</w:t>
        </w:r>
      </w:hyperlink>
      <w:r w:rsidRPr="00D8206B">
        <w:rPr>
          <w:rFonts w:ascii="Times New Roman" w:eastAsia="Times New Roman" w:hAnsi="Times New Roman" w:cs="Times New Roman"/>
          <w:kern w:val="0"/>
          <w14:ligatures w14:val="none"/>
        </w:rPr>
        <w:t xml:space="preserve"> </w:t>
      </w:r>
    </w:p>
    <w:p w14:paraId="6884AA40"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Lopez, M., &amp; Fernandez, R. (2018). Resource management and service accuracy in municipal services (Latin America). </w:t>
      </w:r>
      <w:r w:rsidRPr="00D8206B">
        <w:rPr>
          <w:rFonts w:ascii="Times New Roman" w:eastAsia="Times New Roman" w:hAnsi="Times New Roman" w:cs="Times New Roman"/>
          <w:i/>
          <w:iCs/>
          <w:kern w:val="0"/>
          <w14:ligatures w14:val="none"/>
        </w:rPr>
        <w:t>Latin American Journal of Public Administration, 5</w:t>
      </w:r>
      <w:r w:rsidRPr="00D8206B">
        <w:rPr>
          <w:rFonts w:ascii="Times New Roman" w:eastAsia="Times New Roman" w:hAnsi="Times New Roman" w:cs="Times New Roman"/>
          <w:kern w:val="0"/>
          <w14:ligatures w14:val="none"/>
        </w:rPr>
        <w:t>(2), 88–104.</w:t>
      </w:r>
    </w:p>
    <w:p w14:paraId="4484399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Marodin, G., Frank, A., &amp; Silva, G. (2016). Lean in hospitality: Barriers and enablers. </w:t>
      </w:r>
      <w:r w:rsidRPr="00D8206B">
        <w:rPr>
          <w:rFonts w:ascii="Times New Roman" w:eastAsia="SimSun" w:hAnsi="Times New Roman" w:cs="Times New Roman"/>
          <w:i/>
          <w:iCs/>
          <w:kern w:val="0"/>
          <w:lang w:eastAsia="zh-CN"/>
          <w14:ligatures w14:val="none"/>
        </w:rPr>
        <w:t>International Journal of Operations &amp; Production Management, 36</w:t>
      </w:r>
      <w:r w:rsidRPr="00D8206B">
        <w:rPr>
          <w:rFonts w:ascii="Times New Roman" w:eastAsia="SimSun" w:hAnsi="Times New Roman" w:cs="Times New Roman"/>
          <w:kern w:val="0"/>
          <w:lang w:eastAsia="zh-CN"/>
          <w14:ligatures w14:val="none"/>
        </w:rPr>
        <w:t>(7), 894–910.</w:t>
      </w:r>
    </w:p>
    <w:p w14:paraId="1FA2DFC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Marsilio, M., &amp; </w:t>
      </w:r>
      <w:proofErr w:type="spellStart"/>
      <w:r w:rsidRPr="00D8206B">
        <w:rPr>
          <w:rFonts w:ascii="Times New Roman" w:eastAsia="SimSun" w:hAnsi="Times New Roman" w:cs="Times New Roman"/>
          <w:kern w:val="0"/>
          <w:lang w:eastAsia="zh-CN"/>
          <w14:ligatures w14:val="none"/>
        </w:rPr>
        <w:t>Pisarra</w:t>
      </w:r>
      <w:proofErr w:type="spellEnd"/>
      <w:r w:rsidRPr="00D8206B">
        <w:rPr>
          <w:rFonts w:ascii="Times New Roman" w:eastAsia="SimSun" w:hAnsi="Times New Roman" w:cs="Times New Roman"/>
          <w:kern w:val="0"/>
          <w:lang w:eastAsia="zh-CN"/>
          <w14:ligatures w14:val="none"/>
        </w:rPr>
        <w:t xml:space="preserve">, M. (2021). Lean management in health care: A review of reviews of socio-technical components for effective impact. </w:t>
      </w:r>
      <w:r w:rsidRPr="00D8206B">
        <w:rPr>
          <w:rFonts w:ascii="Times New Roman" w:eastAsia="SimSun" w:hAnsi="Times New Roman" w:cs="Times New Roman"/>
          <w:i/>
          <w:iCs/>
          <w:kern w:val="0"/>
          <w:lang w:eastAsia="zh-CN"/>
          <w14:ligatures w14:val="none"/>
        </w:rPr>
        <w:t>Journal of Health Organization and Management.</w:t>
      </w:r>
      <w:r w:rsidRPr="00D8206B">
        <w:rPr>
          <w:rFonts w:ascii="Times New Roman" w:eastAsia="SimSun" w:hAnsi="Times New Roman" w:cs="Times New Roman"/>
          <w:kern w:val="0"/>
          <w:lang w:eastAsia="zh-CN"/>
          <w14:ligatures w14:val="none"/>
        </w:rPr>
        <w:t xml:space="preserve"> </w:t>
      </w:r>
      <w:hyperlink r:id="rId218" w:history="1">
        <w:r w:rsidRPr="00D8206B">
          <w:rPr>
            <w:rFonts w:ascii="Times New Roman" w:eastAsia="SimSun" w:hAnsi="Times New Roman" w:cs="Times New Roman"/>
            <w:color w:val="0563C1"/>
            <w:kern w:val="0"/>
            <w:u w:val="single"/>
            <w:lang w:eastAsia="zh-CN"/>
            <w14:ligatures w14:val="none"/>
          </w:rPr>
          <w:t>https://doi.org/10.1108/JHOM-06-2020-0241</w:t>
        </w:r>
      </w:hyperlink>
    </w:p>
    <w:p w14:paraId="466FA16C"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Mazzocato</w:t>
      </w:r>
      <w:proofErr w:type="spellEnd"/>
      <w:r w:rsidRPr="00D8206B">
        <w:rPr>
          <w:rFonts w:ascii="Times New Roman" w:eastAsia="SimSun" w:hAnsi="Times New Roman" w:cs="Times New Roman"/>
          <w:kern w:val="0"/>
          <w:lang w:eastAsia="zh-CN"/>
          <w14:ligatures w14:val="none"/>
        </w:rPr>
        <w:t xml:space="preserve">, P., Holden, R. J., </w:t>
      </w:r>
      <w:proofErr w:type="spellStart"/>
      <w:r w:rsidRPr="00D8206B">
        <w:rPr>
          <w:rFonts w:ascii="Times New Roman" w:eastAsia="SimSun" w:hAnsi="Times New Roman" w:cs="Times New Roman"/>
          <w:kern w:val="0"/>
          <w:lang w:eastAsia="zh-CN"/>
          <w14:ligatures w14:val="none"/>
        </w:rPr>
        <w:t>Brommels</w:t>
      </w:r>
      <w:proofErr w:type="spellEnd"/>
      <w:r w:rsidRPr="00D8206B">
        <w:rPr>
          <w:rFonts w:ascii="Times New Roman" w:eastAsia="SimSun" w:hAnsi="Times New Roman" w:cs="Times New Roman"/>
          <w:kern w:val="0"/>
          <w:lang w:eastAsia="zh-CN"/>
          <w14:ligatures w14:val="none"/>
        </w:rPr>
        <w:t xml:space="preserve">, M., Aronsson, H., Bäckman, U., Elg, M., &amp; Thor, J. (2012). How does lean work in emergency care? A case study of a lean-inspired intervention at the Astrid Lindgren Children’s Hospital, Stockholm, Sweden. </w:t>
      </w:r>
      <w:r w:rsidRPr="00D8206B">
        <w:rPr>
          <w:rFonts w:ascii="Times New Roman" w:eastAsia="SimSun" w:hAnsi="Times New Roman" w:cs="Times New Roman"/>
          <w:i/>
          <w:iCs/>
          <w:kern w:val="0"/>
          <w:lang w:eastAsia="zh-CN"/>
          <w14:ligatures w14:val="none"/>
        </w:rPr>
        <w:t>BMC Health Services Research, 12</w:t>
      </w:r>
      <w:r w:rsidRPr="00D8206B">
        <w:rPr>
          <w:rFonts w:ascii="Times New Roman" w:eastAsia="SimSun" w:hAnsi="Times New Roman" w:cs="Times New Roman"/>
          <w:kern w:val="0"/>
          <w:lang w:eastAsia="zh-CN"/>
          <w14:ligatures w14:val="none"/>
        </w:rPr>
        <w:t>, 28.</w:t>
      </w:r>
    </w:p>
    <w:p w14:paraId="439074B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McKinsey &amp; Company. (2022). </w:t>
      </w:r>
      <w:r w:rsidRPr="00D8206B">
        <w:rPr>
          <w:rFonts w:ascii="Times New Roman" w:eastAsia="SimSun" w:hAnsi="Times New Roman" w:cs="Times New Roman"/>
          <w:i/>
          <w:iCs/>
          <w:kern w:val="0"/>
          <w:lang w:eastAsia="zh-CN"/>
          <w14:ligatures w14:val="none"/>
        </w:rPr>
        <w:t>Sustainability in business operations: Challenges and solutions.</w:t>
      </w:r>
      <w:r w:rsidRPr="00D8206B">
        <w:rPr>
          <w:rFonts w:ascii="Times New Roman" w:eastAsia="SimSun" w:hAnsi="Times New Roman" w:cs="Times New Roman"/>
          <w:kern w:val="0"/>
          <w:lang w:eastAsia="zh-CN"/>
          <w14:ligatures w14:val="none"/>
        </w:rPr>
        <w:t xml:space="preserve"> McKinsey Global Institute.</w:t>
      </w:r>
    </w:p>
    <w:p w14:paraId="17D97695"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Meredith, J. R., &amp; Shafer, S. M. (2020). </w:t>
      </w:r>
      <w:r w:rsidRPr="00D8206B">
        <w:rPr>
          <w:rFonts w:ascii="Times New Roman" w:eastAsia="SimSun" w:hAnsi="Times New Roman" w:cs="Times New Roman"/>
          <w:i/>
          <w:iCs/>
          <w:kern w:val="0"/>
          <w:lang w:eastAsia="zh-CN"/>
          <w14:ligatures w14:val="none"/>
        </w:rPr>
        <w:t>Operations management for MBAs</w:t>
      </w:r>
      <w:r w:rsidRPr="00D8206B">
        <w:rPr>
          <w:rFonts w:ascii="Times New Roman" w:eastAsia="SimSun" w:hAnsi="Times New Roman" w:cs="Times New Roman"/>
          <w:kern w:val="0"/>
          <w:lang w:eastAsia="zh-CN"/>
          <w14:ligatures w14:val="none"/>
        </w:rPr>
        <w:t xml:space="preserve"> (6th ed.). Wiley.</w:t>
      </w:r>
    </w:p>
    <w:p w14:paraId="0CA6E229"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Meshack, H. E. (2020). Service quality, satisfaction and loyalty of customers in hotels in [region]. </w:t>
      </w:r>
      <w:r w:rsidRPr="00D8206B">
        <w:rPr>
          <w:rFonts w:ascii="Times New Roman" w:eastAsia="Times New Roman" w:hAnsi="Times New Roman" w:cs="Times New Roman"/>
          <w:i/>
          <w:iCs/>
          <w:kern w:val="0"/>
          <w14:ligatures w14:val="none"/>
        </w:rPr>
        <w:t>African Journal / AJHTL</w:t>
      </w:r>
      <w:r w:rsidRPr="00D8206B">
        <w:rPr>
          <w:rFonts w:ascii="Times New Roman" w:eastAsia="Times New Roman" w:hAnsi="Times New Roman" w:cs="Times New Roman"/>
          <w:kern w:val="0"/>
          <w14:ligatures w14:val="none"/>
        </w:rPr>
        <w:t xml:space="preserve"> (study showing responsiveness effect on satisfaction). (PDF available)</w:t>
      </w:r>
    </w:p>
    <w:p w14:paraId="793F02E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bookmarkStart w:id="36" w:name="_Hlk221263425"/>
      <w:r w:rsidRPr="00D8206B">
        <w:rPr>
          <w:rFonts w:ascii="Times New Roman" w:eastAsia="SimSun" w:hAnsi="Times New Roman" w:cs="Times New Roman"/>
          <w:kern w:val="0"/>
          <w:lang w:eastAsia="zh-CN"/>
          <w14:ligatures w14:val="none"/>
        </w:rPr>
        <w:t xml:space="preserve">Moliner, M. A., &amp; Pérez, X. (2020). Customer satisfaction and hotel resilience. </w:t>
      </w:r>
      <w:r w:rsidRPr="00D8206B">
        <w:rPr>
          <w:rFonts w:ascii="Times New Roman" w:eastAsia="SimSun" w:hAnsi="Times New Roman" w:cs="Times New Roman"/>
          <w:i/>
          <w:iCs/>
          <w:kern w:val="0"/>
          <w:lang w:eastAsia="zh-CN"/>
          <w14:ligatures w14:val="none"/>
        </w:rPr>
        <w:t>Journal of Hospitality &amp; Tourism Research, 44</w:t>
      </w:r>
      <w:r w:rsidRPr="00D8206B">
        <w:rPr>
          <w:rFonts w:ascii="Times New Roman" w:eastAsia="SimSun" w:hAnsi="Times New Roman" w:cs="Times New Roman"/>
          <w:kern w:val="0"/>
          <w:lang w:eastAsia="zh-CN"/>
          <w14:ligatures w14:val="none"/>
        </w:rPr>
        <w:t>(8), 1291–1309</w:t>
      </w:r>
      <w:bookmarkEnd w:id="36"/>
      <w:r w:rsidRPr="00D8206B">
        <w:rPr>
          <w:rFonts w:ascii="Times New Roman" w:eastAsia="SimSun" w:hAnsi="Times New Roman" w:cs="Times New Roman"/>
          <w:kern w:val="0"/>
          <w:lang w:eastAsia="zh-CN"/>
          <w14:ligatures w14:val="none"/>
        </w:rPr>
        <w:t>.</w:t>
      </w:r>
    </w:p>
    <w:p w14:paraId="01603B9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Montgomery, D. C. (2017). </w:t>
      </w:r>
      <w:r w:rsidRPr="00D8206B">
        <w:rPr>
          <w:rFonts w:ascii="Times New Roman" w:eastAsia="SimSun" w:hAnsi="Times New Roman" w:cs="Times New Roman"/>
          <w:i/>
          <w:iCs/>
          <w:kern w:val="0"/>
          <w:lang w:eastAsia="zh-CN"/>
          <w14:ligatures w14:val="none"/>
        </w:rPr>
        <w:t>Design and analysis of experiments</w:t>
      </w:r>
      <w:r w:rsidRPr="00D8206B">
        <w:rPr>
          <w:rFonts w:ascii="Times New Roman" w:eastAsia="SimSun" w:hAnsi="Times New Roman" w:cs="Times New Roman"/>
          <w:kern w:val="0"/>
          <w:lang w:eastAsia="zh-CN"/>
          <w14:ligatures w14:val="none"/>
        </w:rPr>
        <w:t xml:space="preserve"> (9th ed.). John Wiley &amp; Sons.</w:t>
      </w:r>
    </w:p>
    <w:p w14:paraId="63DB666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Müller, K., &amp; Schmidt, P. (2021). Employee engagement and quality outcomes in hotels. </w:t>
      </w:r>
      <w:r w:rsidRPr="00D8206B">
        <w:rPr>
          <w:rFonts w:ascii="Times New Roman" w:eastAsia="SimSun" w:hAnsi="Times New Roman" w:cs="Times New Roman"/>
          <w:i/>
          <w:iCs/>
          <w:kern w:val="0"/>
          <w:lang w:eastAsia="zh-CN"/>
          <w14:ligatures w14:val="none"/>
        </w:rPr>
        <w:t>European Journal of Tourism Research, 27</w:t>
      </w:r>
      <w:r w:rsidRPr="00D8206B">
        <w:rPr>
          <w:rFonts w:ascii="Times New Roman" w:eastAsia="SimSun" w:hAnsi="Times New Roman" w:cs="Times New Roman"/>
          <w:kern w:val="0"/>
          <w:lang w:eastAsia="zh-CN"/>
          <w14:ligatures w14:val="none"/>
        </w:rPr>
        <w:t>, 77–94.</w:t>
      </w:r>
    </w:p>
    <w:p w14:paraId="72F34C23"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Murray, P. N., &amp; </w:t>
      </w:r>
      <w:proofErr w:type="spellStart"/>
      <w:r w:rsidRPr="00D8206B">
        <w:rPr>
          <w:rFonts w:ascii="Times New Roman" w:eastAsia="SimSun" w:hAnsi="Times New Roman" w:cs="Times New Roman"/>
          <w:kern w:val="0"/>
          <w:lang w:eastAsia="zh-CN"/>
          <w14:ligatures w14:val="none"/>
        </w:rPr>
        <w:t>Tjahjono</w:t>
      </w:r>
      <w:proofErr w:type="spellEnd"/>
      <w:r w:rsidRPr="00D8206B">
        <w:rPr>
          <w:rFonts w:ascii="Times New Roman" w:eastAsia="SimSun" w:hAnsi="Times New Roman" w:cs="Times New Roman"/>
          <w:kern w:val="0"/>
          <w:lang w:eastAsia="zh-CN"/>
          <w14:ligatures w14:val="none"/>
        </w:rPr>
        <w:t xml:space="preserve">, B. (2017). A comparison of lean implementation approaches in the manufacturing and service sectors. </w:t>
      </w:r>
      <w:r w:rsidRPr="00D8206B">
        <w:rPr>
          <w:rFonts w:ascii="Times New Roman" w:eastAsia="SimSun" w:hAnsi="Times New Roman" w:cs="Times New Roman"/>
          <w:i/>
          <w:iCs/>
          <w:kern w:val="0"/>
          <w:lang w:eastAsia="zh-CN"/>
          <w14:ligatures w14:val="none"/>
        </w:rPr>
        <w:t>International Journal of Productivity and Performance Management, 66</w:t>
      </w:r>
      <w:r w:rsidRPr="00D8206B">
        <w:rPr>
          <w:rFonts w:ascii="Times New Roman" w:eastAsia="SimSun" w:hAnsi="Times New Roman" w:cs="Times New Roman"/>
          <w:kern w:val="0"/>
          <w:lang w:eastAsia="zh-CN"/>
          <w14:ligatures w14:val="none"/>
        </w:rPr>
        <w:t>(2), 263-277.</w:t>
      </w:r>
    </w:p>
    <w:p w14:paraId="7ABCC928" w14:textId="77777777" w:rsidR="00D8206B" w:rsidRPr="00D8206B" w:rsidRDefault="00D8206B" w:rsidP="00D8206B">
      <w:pPr>
        <w:spacing w:beforeAutospacing="1" w:after="0" w:afterAutospacing="1" w:line="240"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Mustapha, A. M., </w:t>
      </w:r>
      <w:proofErr w:type="spellStart"/>
      <w:r w:rsidRPr="00D8206B">
        <w:rPr>
          <w:rFonts w:ascii="Times New Roman" w:eastAsia="Times New Roman" w:hAnsi="Times New Roman" w:cs="Times New Roman"/>
          <w:kern w:val="0"/>
          <w14:ligatures w14:val="none"/>
        </w:rPr>
        <w:t>Fakokunde</w:t>
      </w:r>
      <w:proofErr w:type="spellEnd"/>
      <w:r w:rsidRPr="00D8206B">
        <w:rPr>
          <w:rFonts w:ascii="Times New Roman" w:eastAsia="Times New Roman" w:hAnsi="Times New Roman" w:cs="Times New Roman"/>
          <w:kern w:val="0"/>
          <w14:ligatures w14:val="none"/>
        </w:rPr>
        <w:t xml:space="preserve">, T. O., &amp; </w:t>
      </w:r>
      <w:proofErr w:type="spellStart"/>
      <w:r w:rsidRPr="00D8206B">
        <w:rPr>
          <w:rFonts w:ascii="Times New Roman" w:eastAsia="Times New Roman" w:hAnsi="Times New Roman" w:cs="Times New Roman"/>
          <w:kern w:val="0"/>
          <w14:ligatures w14:val="none"/>
        </w:rPr>
        <w:t>Awolusi</w:t>
      </w:r>
      <w:proofErr w:type="spellEnd"/>
      <w:r w:rsidRPr="00D8206B">
        <w:rPr>
          <w:rFonts w:ascii="Times New Roman" w:eastAsia="Times New Roman" w:hAnsi="Times New Roman" w:cs="Times New Roman"/>
          <w:kern w:val="0"/>
          <w14:ligatures w14:val="none"/>
        </w:rPr>
        <w:t xml:space="preserve">, O. D. (2014). The Quick Service Restaurant Business in Nigeria: Exploring the emerging opportunity for entrepreneurial development and growth. </w:t>
      </w:r>
      <w:r w:rsidRPr="00D8206B">
        <w:rPr>
          <w:rFonts w:ascii="Times New Roman" w:eastAsia="Times New Roman" w:hAnsi="Times New Roman" w:cs="Times New Roman"/>
          <w:i/>
          <w:iCs/>
          <w:kern w:val="0"/>
          <w14:ligatures w14:val="none"/>
        </w:rPr>
        <w:t>Global Journal of Commerce and Management Perspective</w:t>
      </w:r>
      <w:r w:rsidRPr="00D8206B">
        <w:rPr>
          <w:rFonts w:ascii="Times New Roman" w:eastAsia="Times New Roman" w:hAnsi="Times New Roman" w:cs="Times New Roman"/>
          <w:kern w:val="0"/>
          <w14:ligatures w14:val="none"/>
        </w:rPr>
        <w:t>, 3(3), 8–14</w:t>
      </w:r>
    </w:p>
    <w:p w14:paraId="377DF9D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Nair, A. (2006). Meta-analysis of the relationship between quality management practices and firm performance: Implications for quality management theory development. </w:t>
      </w:r>
      <w:r w:rsidRPr="00D8206B">
        <w:rPr>
          <w:rFonts w:ascii="Times New Roman" w:eastAsia="SimSun" w:hAnsi="Times New Roman" w:cs="Times New Roman"/>
          <w:i/>
          <w:iCs/>
          <w:kern w:val="0"/>
          <w:lang w:eastAsia="zh-CN"/>
          <w14:ligatures w14:val="none"/>
        </w:rPr>
        <w:t>Journal of Operations Management, 24</w:t>
      </w:r>
      <w:r w:rsidRPr="00D8206B">
        <w:rPr>
          <w:rFonts w:ascii="Times New Roman" w:eastAsia="SimSun" w:hAnsi="Times New Roman" w:cs="Times New Roman"/>
          <w:kern w:val="0"/>
          <w:lang w:eastAsia="zh-CN"/>
          <w14:ligatures w14:val="none"/>
        </w:rPr>
        <w:t>(6), 948-975.</w:t>
      </w:r>
    </w:p>
    <w:p w14:paraId="76E6A61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Naor, M., Linderman, K., &amp; Schroeder, R. G. (2010). The globalization of operations in Eastern and Western countries: Unpacking the relationship between national and organizational culture and its impact on manufacturing performance. </w:t>
      </w:r>
      <w:r w:rsidRPr="00D8206B">
        <w:rPr>
          <w:rFonts w:ascii="Times New Roman" w:eastAsia="SimSun" w:hAnsi="Times New Roman" w:cs="Times New Roman"/>
          <w:i/>
          <w:iCs/>
          <w:kern w:val="0"/>
          <w:lang w:eastAsia="zh-CN"/>
          <w14:ligatures w14:val="none"/>
        </w:rPr>
        <w:t>Journal of Operations Management, 28</w:t>
      </w:r>
      <w:r w:rsidRPr="00D8206B">
        <w:rPr>
          <w:rFonts w:ascii="Times New Roman" w:eastAsia="SimSun" w:hAnsi="Times New Roman" w:cs="Times New Roman"/>
          <w:kern w:val="0"/>
          <w:lang w:eastAsia="zh-CN"/>
          <w14:ligatures w14:val="none"/>
        </w:rPr>
        <w:t>(3), 194-205.</w:t>
      </w:r>
    </w:p>
    <w:p w14:paraId="097F8DC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Neely, A., Gregory, M., &amp; Platts, K. (2005). Performance measurement system design: A literature review and research agenda. </w:t>
      </w:r>
      <w:r w:rsidRPr="00D8206B">
        <w:rPr>
          <w:rFonts w:ascii="Times New Roman" w:eastAsia="SimSun" w:hAnsi="Times New Roman" w:cs="Times New Roman"/>
          <w:i/>
          <w:iCs/>
          <w:kern w:val="0"/>
          <w:lang w:eastAsia="zh-CN"/>
          <w14:ligatures w14:val="none"/>
        </w:rPr>
        <w:t>International Journal of Operations &amp; Production Management, 25</w:t>
      </w:r>
      <w:r w:rsidRPr="00D8206B">
        <w:rPr>
          <w:rFonts w:ascii="Times New Roman" w:eastAsia="SimSun" w:hAnsi="Times New Roman" w:cs="Times New Roman"/>
          <w:kern w:val="0"/>
          <w:lang w:eastAsia="zh-CN"/>
          <w14:ligatures w14:val="none"/>
        </w:rPr>
        <w:t>(12), 1228-1263.</w:t>
      </w:r>
    </w:p>
    <w:p w14:paraId="7D6F3D8B"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Nguyen, T., Pham, L., &amp; Tran, H. (2019). Process optimization and customer satisfaction in Vietnam hospitality. </w:t>
      </w:r>
      <w:r w:rsidRPr="00D8206B">
        <w:rPr>
          <w:rFonts w:ascii="Times New Roman" w:eastAsia="Times New Roman" w:hAnsi="Times New Roman" w:cs="Times New Roman"/>
          <w:i/>
          <w:iCs/>
          <w:kern w:val="0"/>
          <w14:ligatures w14:val="none"/>
        </w:rPr>
        <w:t>Journal of Tourism &amp; Hospitality Research, 21</w:t>
      </w:r>
      <w:r w:rsidRPr="00D8206B">
        <w:rPr>
          <w:rFonts w:ascii="Times New Roman" w:eastAsia="Times New Roman" w:hAnsi="Times New Roman" w:cs="Times New Roman"/>
          <w:kern w:val="0"/>
          <w14:ligatures w14:val="none"/>
        </w:rPr>
        <w:t xml:space="preserve">(3), 210–228. </w:t>
      </w:r>
    </w:p>
    <w:p w14:paraId="2F99026C"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Nwachukwu, L., &amp; </w:t>
      </w:r>
      <w:proofErr w:type="spellStart"/>
      <w:r w:rsidRPr="00D8206B">
        <w:rPr>
          <w:rFonts w:ascii="Times New Roman" w:eastAsia="Times New Roman" w:hAnsi="Times New Roman" w:cs="Times New Roman"/>
          <w:kern w:val="0"/>
          <w14:ligatures w14:val="none"/>
        </w:rPr>
        <w:t>Echefu</w:t>
      </w:r>
      <w:proofErr w:type="spellEnd"/>
      <w:r w:rsidRPr="00D8206B">
        <w:rPr>
          <w:rFonts w:ascii="Times New Roman" w:eastAsia="Times New Roman" w:hAnsi="Times New Roman" w:cs="Times New Roman"/>
          <w:kern w:val="0"/>
          <w14:ligatures w14:val="none"/>
        </w:rPr>
        <w:t xml:space="preserve">, C. (2019). Lean operations and quality service delivery in Nigerian hotels. </w:t>
      </w:r>
      <w:r w:rsidRPr="00D8206B">
        <w:rPr>
          <w:rFonts w:ascii="Times New Roman" w:eastAsia="Times New Roman" w:hAnsi="Times New Roman" w:cs="Times New Roman"/>
          <w:i/>
          <w:iCs/>
          <w:kern w:val="0"/>
          <w14:ligatures w14:val="none"/>
        </w:rPr>
        <w:t>International Journal of Hospitality &amp; Tourism Administration, 20</w:t>
      </w:r>
      <w:r w:rsidRPr="00D8206B">
        <w:rPr>
          <w:rFonts w:ascii="Times New Roman" w:eastAsia="Times New Roman" w:hAnsi="Times New Roman" w:cs="Times New Roman"/>
          <w:kern w:val="0"/>
          <w14:ligatures w14:val="none"/>
        </w:rPr>
        <w:t>(3), 215–230.</w:t>
      </w:r>
    </w:p>
    <w:p w14:paraId="1BFEA5B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Nwosu, B. C., &amp; Okoli, C. A. (2020). Lean management and organizational culture: A study of the manufacturing sector in Enugu State, Nigeria. </w:t>
      </w:r>
      <w:r w:rsidRPr="00D8206B">
        <w:rPr>
          <w:rFonts w:ascii="Times New Roman" w:eastAsia="SimSun" w:hAnsi="Times New Roman" w:cs="Times New Roman"/>
          <w:i/>
          <w:iCs/>
          <w:kern w:val="0"/>
          <w:lang w:eastAsia="zh-CN"/>
          <w14:ligatures w14:val="none"/>
        </w:rPr>
        <w:t>Management Review Quarterly, 70</w:t>
      </w:r>
      <w:r w:rsidRPr="00D8206B">
        <w:rPr>
          <w:rFonts w:ascii="Times New Roman" w:eastAsia="SimSun" w:hAnsi="Times New Roman" w:cs="Times New Roman"/>
          <w:kern w:val="0"/>
          <w:lang w:eastAsia="zh-CN"/>
          <w14:ligatures w14:val="none"/>
        </w:rPr>
        <w:t>(2), 301-321.</w:t>
      </w:r>
    </w:p>
    <w:p w14:paraId="1327B446"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bookmarkStart w:id="37" w:name="_Hlk221263383"/>
      <w:r w:rsidRPr="00D8206B">
        <w:rPr>
          <w:rFonts w:ascii="Times New Roman" w:eastAsia="SimSun" w:hAnsi="Times New Roman" w:cs="Times New Roman"/>
          <w:kern w:val="0"/>
          <w:lang w:eastAsia="zh-CN"/>
          <w14:ligatures w14:val="none"/>
        </w:rPr>
        <w:t xml:space="preserve">Ohno, T. (1988). </w:t>
      </w:r>
      <w:r w:rsidRPr="00D8206B">
        <w:rPr>
          <w:rFonts w:ascii="Times New Roman" w:eastAsia="SimSun" w:hAnsi="Times New Roman" w:cs="Times New Roman"/>
          <w:i/>
          <w:iCs/>
          <w:kern w:val="0"/>
          <w:lang w:eastAsia="zh-CN"/>
          <w14:ligatures w14:val="none"/>
        </w:rPr>
        <w:t>Toyota production system: Beyond large-scale production.</w:t>
      </w:r>
      <w:r w:rsidRPr="00D8206B">
        <w:rPr>
          <w:rFonts w:ascii="Times New Roman" w:eastAsia="SimSun" w:hAnsi="Times New Roman" w:cs="Times New Roman"/>
          <w:kern w:val="0"/>
          <w:lang w:eastAsia="zh-CN"/>
          <w14:ligatures w14:val="none"/>
        </w:rPr>
        <w:t xml:space="preserve"> Productivity Press</w:t>
      </w:r>
      <w:bookmarkEnd w:id="37"/>
      <w:r w:rsidRPr="00D8206B">
        <w:rPr>
          <w:rFonts w:ascii="Times New Roman" w:eastAsia="SimSun" w:hAnsi="Times New Roman" w:cs="Times New Roman"/>
          <w:kern w:val="0"/>
          <w:lang w:eastAsia="zh-CN"/>
          <w14:ligatures w14:val="none"/>
        </w:rPr>
        <w:t>.</w:t>
      </w:r>
    </w:p>
    <w:p w14:paraId="753B98A6"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Ohno, T. (2018). </w:t>
      </w:r>
      <w:r w:rsidRPr="00D8206B">
        <w:rPr>
          <w:rFonts w:ascii="Times New Roman" w:eastAsia="Times New Roman" w:hAnsi="Times New Roman" w:cs="Times New Roman"/>
          <w:i/>
          <w:iCs/>
          <w:kern w:val="0"/>
          <w14:ligatures w14:val="none"/>
        </w:rPr>
        <w:t>Toyota Production System: Beyond large-scale production</w:t>
      </w:r>
      <w:r w:rsidRPr="00D8206B">
        <w:rPr>
          <w:rFonts w:ascii="Times New Roman" w:eastAsia="Times New Roman" w:hAnsi="Times New Roman" w:cs="Times New Roman"/>
          <w:kern w:val="0"/>
          <w14:ligatures w14:val="none"/>
        </w:rPr>
        <w:t xml:space="preserve"> (Reprint). Productivity Press.</w:t>
      </w:r>
    </w:p>
    <w:p w14:paraId="0A5C137E"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Ohno, T., Saito, K., &amp; Yamamoto, H. (2019). Application of lean practices in Japanese retail sector. </w:t>
      </w:r>
      <w:r w:rsidRPr="00D8206B">
        <w:rPr>
          <w:rFonts w:ascii="Times New Roman" w:eastAsia="Times New Roman" w:hAnsi="Times New Roman" w:cs="Times New Roman"/>
          <w:i/>
          <w:iCs/>
          <w:kern w:val="0"/>
          <w14:ligatures w14:val="none"/>
        </w:rPr>
        <w:t>Journal of Retailing and Consumer Services, 48</w:t>
      </w:r>
      <w:r w:rsidRPr="00D8206B">
        <w:rPr>
          <w:rFonts w:ascii="Times New Roman" w:eastAsia="Times New Roman" w:hAnsi="Times New Roman" w:cs="Times New Roman"/>
          <w:kern w:val="0"/>
          <w14:ligatures w14:val="none"/>
        </w:rPr>
        <w:t xml:space="preserve">, 112–124. </w:t>
      </w:r>
    </w:p>
    <w:p w14:paraId="09646D9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Okoro, I., &amp; Amadi, E. (2020). Organizational culture and service resilience in Nigerian hotels. </w:t>
      </w:r>
      <w:r w:rsidRPr="00D8206B">
        <w:rPr>
          <w:rFonts w:ascii="Times New Roman" w:eastAsia="SimSun" w:hAnsi="Times New Roman" w:cs="Times New Roman"/>
          <w:i/>
          <w:iCs/>
          <w:kern w:val="0"/>
          <w:lang w:eastAsia="zh-CN"/>
          <w14:ligatures w14:val="none"/>
        </w:rPr>
        <w:t>Port Harcourt Journal of Tourism Studies, 4</w:t>
      </w:r>
      <w:r w:rsidRPr="00D8206B">
        <w:rPr>
          <w:rFonts w:ascii="Times New Roman" w:eastAsia="SimSun" w:hAnsi="Times New Roman" w:cs="Times New Roman"/>
          <w:kern w:val="0"/>
          <w:lang w:eastAsia="zh-CN"/>
          <w14:ligatures w14:val="none"/>
        </w:rPr>
        <w:t>(1), 9–26.</w:t>
      </w:r>
    </w:p>
    <w:p w14:paraId="6CCC0E44"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Oluwaseun, A., &amp; Babajide, A. (2018). Organizational culture and service delivery in Nigerian banks: An empirical investigation. </w:t>
      </w:r>
      <w:r w:rsidRPr="00D8206B">
        <w:rPr>
          <w:rFonts w:ascii="Times New Roman" w:eastAsia="SimSun" w:hAnsi="Times New Roman" w:cs="Times New Roman"/>
          <w:i/>
          <w:iCs/>
          <w:kern w:val="0"/>
          <w:lang w:eastAsia="zh-CN"/>
          <w14:ligatures w14:val="none"/>
        </w:rPr>
        <w:t>Journal of Organizational Change Management, 31</w:t>
      </w:r>
      <w:r w:rsidRPr="00D8206B">
        <w:rPr>
          <w:rFonts w:ascii="Times New Roman" w:eastAsia="SimSun" w:hAnsi="Times New Roman" w:cs="Times New Roman"/>
          <w:kern w:val="0"/>
          <w:lang w:eastAsia="zh-CN"/>
          <w14:ligatures w14:val="none"/>
        </w:rPr>
        <w:t>(3), 675-692.</w:t>
      </w:r>
    </w:p>
    <w:p w14:paraId="6B4C488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Osuagwu, L. (2006). Market orientation in Nigerian companies. </w:t>
      </w:r>
      <w:r w:rsidRPr="00D8206B">
        <w:rPr>
          <w:rFonts w:ascii="Times New Roman" w:eastAsia="SimSun" w:hAnsi="Times New Roman" w:cs="Times New Roman"/>
          <w:i/>
          <w:iCs/>
          <w:kern w:val="0"/>
          <w:lang w:eastAsia="zh-CN"/>
          <w14:ligatures w14:val="none"/>
        </w:rPr>
        <w:t>Marketing Intelligence &amp; Planning, 24</w:t>
      </w:r>
      <w:r w:rsidRPr="00D8206B">
        <w:rPr>
          <w:rFonts w:ascii="Times New Roman" w:eastAsia="SimSun" w:hAnsi="Times New Roman" w:cs="Times New Roman"/>
          <w:kern w:val="0"/>
          <w:lang w:eastAsia="zh-CN"/>
          <w14:ligatures w14:val="none"/>
        </w:rPr>
        <w:t>(6), 608-631.</w:t>
      </w:r>
    </w:p>
    <w:p w14:paraId="6888412E"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Parasuraman, A., Zeithaml, V. A., &amp; Berry, L. L. (1985). A conceptual model of service quality and its implications for future research. </w:t>
      </w:r>
      <w:r w:rsidRPr="00D8206B">
        <w:rPr>
          <w:rFonts w:ascii="Times New Roman" w:eastAsia="SimSun" w:hAnsi="Times New Roman" w:cs="Times New Roman"/>
          <w:i/>
          <w:iCs/>
          <w:kern w:val="0"/>
          <w:lang w:eastAsia="zh-CN"/>
          <w14:ligatures w14:val="none"/>
        </w:rPr>
        <w:t>Journal of Marketing, 49</w:t>
      </w:r>
      <w:r w:rsidRPr="00D8206B">
        <w:rPr>
          <w:rFonts w:ascii="Times New Roman" w:eastAsia="SimSun" w:hAnsi="Times New Roman" w:cs="Times New Roman"/>
          <w:kern w:val="0"/>
          <w:lang w:eastAsia="zh-CN"/>
          <w14:ligatures w14:val="none"/>
        </w:rPr>
        <w:t>(4), 41-50. https://doi.org/10.1177/002224298504900403</w:t>
      </w:r>
    </w:p>
    <w:p w14:paraId="4E397A92"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Patil, G. V., &amp; Pokhrel, K. (2005). Biomedical solid waste management in an Indian hospital: A case study. </w:t>
      </w:r>
      <w:r w:rsidRPr="00D8206B">
        <w:rPr>
          <w:rFonts w:ascii="Times New Roman" w:eastAsia="SimSun" w:hAnsi="Times New Roman" w:cs="Times New Roman"/>
          <w:i/>
          <w:iCs/>
          <w:kern w:val="0"/>
          <w:lang w:eastAsia="zh-CN"/>
          <w14:ligatures w14:val="none"/>
        </w:rPr>
        <w:t>Waste Management, 25</w:t>
      </w:r>
      <w:r w:rsidRPr="00D8206B">
        <w:rPr>
          <w:rFonts w:ascii="Times New Roman" w:eastAsia="SimSun" w:hAnsi="Times New Roman" w:cs="Times New Roman"/>
          <w:kern w:val="0"/>
          <w:lang w:eastAsia="zh-CN"/>
          <w14:ligatures w14:val="none"/>
        </w:rPr>
        <w:t xml:space="preserve">(6), 592–599. </w:t>
      </w:r>
    </w:p>
    <w:p w14:paraId="0E200C5B"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Perdomo-Verdecia, V., </w:t>
      </w:r>
      <w:proofErr w:type="spellStart"/>
      <w:r w:rsidRPr="00D8206B">
        <w:rPr>
          <w:rFonts w:ascii="Times New Roman" w:eastAsia="Times New Roman" w:hAnsi="Times New Roman" w:cs="Times New Roman"/>
          <w:kern w:val="0"/>
          <w14:ligatures w14:val="none"/>
        </w:rPr>
        <w:t>Sacristán</w:t>
      </w:r>
      <w:proofErr w:type="spellEnd"/>
      <w:r w:rsidRPr="00D8206B">
        <w:rPr>
          <w:rFonts w:ascii="Times New Roman" w:eastAsia="Times New Roman" w:hAnsi="Times New Roman" w:cs="Times New Roman"/>
          <w:kern w:val="0"/>
          <w14:ligatures w14:val="none"/>
        </w:rPr>
        <w:t xml:space="preserve">-Díaz, M., &amp; Garrido-Vega, P. (2022). Lean management in hotels: Where we are and where we might go. </w:t>
      </w:r>
      <w:r w:rsidRPr="00D8206B">
        <w:rPr>
          <w:rFonts w:ascii="Times New Roman" w:eastAsia="Times New Roman" w:hAnsi="Times New Roman" w:cs="Times New Roman"/>
          <w:i/>
          <w:iCs/>
          <w:kern w:val="0"/>
          <w14:ligatures w14:val="none"/>
        </w:rPr>
        <w:t>International Journal of Hospitality Management, 104</w:t>
      </w:r>
      <w:r w:rsidRPr="00D8206B">
        <w:rPr>
          <w:rFonts w:ascii="Times New Roman" w:eastAsia="Times New Roman" w:hAnsi="Times New Roman" w:cs="Times New Roman"/>
          <w:kern w:val="0"/>
          <w14:ligatures w14:val="none"/>
        </w:rPr>
        <w:t xml:space="preserve">, 103250. </w:t>
      </w:r>
    </w:p>
    <w:p w14:paraId="7E86C65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Pettigrew, A. M. (1979). On studying organizational cultures. </w:t>
      </w:r>
      <w:r w:rsidRPr="00D8206B">
        <w:rPr>
          <w:rFonts w:ascii="Times New Roman" w:eastAsia="SimSun" w:hAnsi="Times New Roman" w:cs="Times New Roman"/>
          <w:i/>
          <w:iCs/>
          <w:kern w:val="0"/>
          <w:lang w:eastAsia="zh-CN"/>
          <w14:ligatures w14:val="none"/>
        </w:rPr>
        <w:t>Administrative Science Quarterly, 24</w:t>
      </w:r>
      <w:r w:rsidRPr="00D8206B">
        <w:rPr>
          <w:rFonts w:ascii="Times New Roman" w:eastAsia="SimSun" w:hAnsi="Times New Roman" w:cs="Times New Roman"/>
          <w:kern w:val="0"/>
          <w:lang w:eastAsia="zh-CN"/>
          <w14:ligatures w14:val="none"/>
        </w:rPr>
        <w:t>(4), 570-581.</w:t>
      </w:r>
    </w:p>
    <w:p w14:paraId="1372E14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Piercy, N., &amp; Rich, N. (2009). Operational excellence and customer service alignment. </w:t>
      </w:r>
      <w:r w:rsidRPr="00D8206B">
        <w:rPr>
          <w:rFonts w:ascii="Times New Roman" w:eastAsia="SimSun" w:hAnsi="Times New Roman" w:cs="Times New Roman"/>
          <w:i/>
          <w:iCs/>
          <w:kern w:val="0"/>
          <w:lang w:eastAsia="zh-CN"/>
          <w14:ligatures w14:val="none"/>
        </w:rPr>
        <w:t>Journal of Operations Management, 27</w:t>
      </w:r>
      <w:r w:rsidRPr="00D8206B">
        <w:rPr>
          <w:rFonts w:ascii="Times New Roman" w:eastAsia="SimSun" w:hAnsi="Times New Roman" w:cs="Times New Roman"/>
          <w:kern w:val="0"/>
          <w:lang w:eastAsia="zh-CN"/>
          <w14:ligatures w14:val="none"/>
        </w:rPr>
        <w:t>(2), 92–101.</w:t>
      </w:r>
    </w:p>
    <w:p w14:paraId="393A12B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D8206B">
        <w:rPr>
          <w:rFonts w:ascii="Times New Roman" w:eastAsia="SimSun" w:hAnsi="Times New Roman" w:cs="Times New Roman"/>
          <w:kern w:val="0"/>
          <w:lang w:eastAsia="zh-CN"/>
          <w14:ligatures w14:val="none"/>
        </w:rPr>
        <w:t>Poksinska</w:t>
      </w:r>
      <w:proofErr w:type="spellEnd"/>
      <w:r w:rsidRPr="00D8206B">
        <w:rPr>
          <w:rFonts w:ascii="Times New Roman" w:eastAsia="SimSun" w:hAnsi="Times New Roman" w:cs="Times New Roman"/>
          <w:kern w:val="0"/>
          <w:lang w:eastAsia="zh-CN"/>
          <w14:ligatures w14:val="none"/>
        </w:rPr>
        <w:t xml:space="preserve">, B. (2010). The current state of Lean implementation in health care: Literature review. </w:t>
      </w:r>
      <w:r w:rsidRPr="00D8206B">
        <w:rPr>
          <w:rFonts w:ascii="Times New Roman" w:eastAsia="SimSun" w:hAnsi="Times New Roman" w:cs="Times New Roman"/>
          <w:i/>
          <w:iCs/>
          <w:kern w:val="0"/>
          <w:lang w:eastAsia="zh-CN"/>
          <w14:ligatures w14:val="none"/>
        </w:rPr>
        <w:t>Quality Management in Health Care, 19</w:t>
      </w:r>
      <w:r w:rsidRPr="00D8206B">
        <w:rPr>
          <w:rFonts w:ascii="Times New Roman" w:eastAsia="SimSun" w:hAnsi="Times New Roman" w:cs="Times New Roman"/>
          <w:kern w:val="0"/>
          <w:lang w:eastAsia="zh-CN"/>
          <w14:ligatures w14:val="none"/>
        </w:rPr>
        <w:t xml:space="preserve">(4), 319–329. </w:t>
      </w:r>
    </w:p>
    <w:bookmarkEnd w:id="32"/>
    <w:p w14:paraId="03ED358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Preacher, K. J., &amp; Hayes, A. F. (2004). SPSS and SAS procedures for estimating indirect effects in simple mediation models. </w:t>
      </w:r>
      <w:r w:rsidRPr="00D8206B">
        <w:rPr>
          <w:rFonts w:ascii="Times New Roman" w:eastAsia="SimSun" w:hAnsi="Times New Roman" w:cs="Times New Roman"/>
          <w:i/>
          <w:iCs/>
          <w:kern w:val="0"/>
          <w:lang w:eastAsia="zh-CN"/>
          <w14:ligatures w14:val="none"/>
        </w:rPr>
        <w:t>Behavior Research Methods, Instruments, &amp; Computers, 36</w:t>
      </w:r>
      <w:r w:rsidRPr="00D8206B">
        <w:rPr>
          <w:rFonts w:ascii="Times New Roman" w:eastAsia="SimSun" w:hAnsi="Times New Roman" w:cs="Times New Roman"/>
          <w:kern w:val="0"/>
          <w:lang w:eastAsia="zh-CN"/>
          <w14:ligatures w14:val="none"/>
        </w:rPr>
        <w:t>(4), 717–731.</w:t>
      </w:r>
    </w:p>
    <w:p w14:paraId="3E2C1CBE"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Preacher, K. J., &amp; Hayes, A. F. (2008). Asymptotic and resampling strategies for assessing and comparing indirect effects in multiple mediator models. </w:t>
      </w:r>
      <w:r w:rsidRPr="00D8206B">
        <w:rPr>
          <w:rFonts w:ascii="Times New Roman" w:eastAsia="SimSun" w:hAnsi="Times New Roman" w:cs="Times New Roman"/>
          <w:i/>
          <w:iCs/>
          <w:kern w:val="0"/>
          <w:lang w:eastAsia="zh-CN"/>
          <w14:ligatures w14:val="none"/>
        </w:rPr>
        <w:t>Behavior Research Methods, 40</w:t>
      </w:r>
      <w:r w:rsidRPr="00D8206B">
        <w:rPr>
          <w:rFonts w:ascii="Times New Roman" w:eastAsia="SimSun" w:hAnsi="Times New Roman" w:cs="Times New Roman"/>
          <w:kern w:val="0"/>
          <w:lang w:eastAsia="zh-CN"/>
          <w14:ligatures w14:val="none"/>
        </w:rPr>
        <w:t>(3), 879–891.</w:t>
      </w:r>
    </w:p>
    <w:p w14:paraId="3D57798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Radnor, Z., &amp; Johnston, R. (2013). Lean in UK government: Internal efficiency or customer service? </w:t>
      </w:r>
      <w:r w:rsidRPr="00D8206B">
        <w:rPr>
          <w:rFonts w:ascii="Times New Roman" w:eastAsia="SimSun" w:hAnsi="Times New Roman" w:cs="Times New Roman"/>
          <w:i/>
          <w:iCs/>
          <w:kern w:val="0"/>
          <w:lang w:eastAsia="zh-CN"/>
          <w14:ligatures w14:val="none"/>
        </w:rPr>
        <w:t>Production Planning &amp; Control, 24</w:t>
      </w:r>
      <w:r w:rsidRPr="00D8206B">
        <w:rPr>
          <w:rFonts w:ascii="Times New Roman" w:eastAsia="SimSun" w:hAnsi="Times New Roman" w:cs="Times New Roman"/>
          <w:kern w:val="0"/>
          <w:lang w:eastAsia="zh-CN"/>
          <w14:ligatures w14:val="none"/>
        </w:rPr>
        <w:t>(10-11), 903-915.</w:t>
      </w:r>
    </w:p>
    <w:p w14:paraId="5FDE9F23"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Radović, N., </w:t>
      </w:r>
      <w:proofErr w:type="spellStart"/>
      <w:r w:rsidRPr="00D8206B">
        <w:rPr>
          <w:rFonts w:ascii="Times New Roman" w:eastAsia="SimSun" w:hAnsi="Times New Roman" w:cs="Times New Roman"/>
          <w:kern w:val="0"/>
          <w:lang w:eastAsia="zh-CN"/>
          <w14:ligatures w14:val="none"/>
        </w:rPr>
        <w:t>Vujko</w:t>
      </w:r>
      <w:proofErr w:type="spellEnd"/>
      <w:r w:rsidRPr="00D8206B">
        <w:rPr>
          <w:rFonts w:ascii="Times New Roman" w:eastAsia="SimSun" w:hAnsi="Times New Roman" w:cs="Times New Roman"/>
          <w:kern w:val="0"/>
          <w:lang w:eastAsia="zh-CN"/>
          <w14:ligatures w14:val="none"/>
        </w:rPr>
        <w:t xml:space="preserve">, A., Stanišić, N., </w:t>
      </w:r>
      <w:proofErr w:type="spellStart"/>
      <w:r w:rsidRPr="00D8206B">
        <w:rPr>
          <w:rFonts w:ascii="Times New Roman" w:eastAsia="SimSun" w:hAnsi="Times New Roman" w:cs="Times New Roman"/>
          <w:kern w:val="0"/>
          <w:lang w:eastAsia="zh-CN"/>
          <w14:ligatures w14:val="none"/>
        </w:rPr>
        <w:t>Ljubisavljević</w:t>
      </w:r>
      <w:proofErr w:type="spellEnd"/>
      <w:r w:rsidRPr="00D8206B">
        <w:rPr>
          <w:rFonts w:ascii="Times New Roman" w:eastAsia="SimSun" w:hAnsi="Times New Roman" w:cs="Times New Roman"/>
          <w:kern w:val="0"/>
          <w:lang w:eastAsia="zh-CN"/>
          <w14:ligatures w14:val="none"/>
        </w:rPr>
        <w:t xml:space="preserve">, T., &amp; </w:t>
      </w:r>
      <w:proofErr w:type="spellStart"/>
      <w:r w:rsidRPr="00D8206B">
        <w:rPr>
          <w:rFonts w:ascii="Times New Roman" w:eastAsia="SimSun" w:hAnsi="Times New Roman" w:cs="Times New Roman"/>
          <w:kern w:val="0"/>
          <w:lang w:eastAsia="zh-CN"/>
          <w14:ligatures w14:val="none"/>
        </w:rPr>
        <w:t>Lunić</w:t>
      </w:r>
      <w:proofErr w:type="spellEnd"/>
      <w:r w:rsidRPr="00D8206B">
        <w:rPr>
          <w:rFonts w:ascii="Times New Roman" w:eastAsia="SimSun" w:hAnsi="Times New Roman" w:cs="Times New Roman"/>
          <w:kern w:val="0"/>
          <w:lang w:eastAsia="zh-CN"/>
          <w14:ligatures w14:val="none"/>
        </w:rPr>
        <w:t xml:space="preserve">, D. (2025). Digital hospitality as a socio-technical system: Aligning technology and HR to drive guest perceptions and workforce dynamics. </w:t>
      </w:r>
      <w:r w:rsidRPr="00D8206B">
        <w:rPr>
          <w:rFonts w:ascii="Times New Roman" w:eastAsia="SimSun" w:hAnsi="Times New Roman" w:cs="Times New Roman"/>
          <w:i/>
          <w:iCs/>
          <w:kern w:val="0"/>
          <w:lang w:eastAsia="zh-CN"/>
          <w14:ligatures w14:val="none"/>
        </w:rPr>
        <w:t>World, 6</w:t>
      </w:r>
      <w:r w:rsidRPr="00D8206B">
        <w:rPr>
          <w:rFonts w:ascii="Times New Roman" w:eastAsia="SimSun" w:hAnsi="Times New Roman" w:cs="Times New Roman"/>
          <w:kern w:val="0"/>
          <w:lang w:eastAsia="zh-CN"/>
          <w14:ligatures w14:val="none"/>
        </w:rPr>
        <w:t xml:space="preserve">(4), 134. </w:t>
      </w:r>
    </w:p>
    <w:p w14:paraId="7A8BF327"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Ramphal, R. R. (2017). Lean Six Sigma framework for the hospitality industry. </w:t>
      </w:r>
      <w:r w:rsidRPr="00D8206B">
        <w:rPr>
          <w:rFonts w:ascii="Times New Roman" w:eastAsia="Times New Roman" w:hAnsi="Times New Roman" w:cs="Times New Roman"/>
          <w:i/>
          <w:iCs/>
          <w:kern w:val="0"/>
          <w14:ligatures w14:val="none"/>
        </w:rPr>
        <w:t>African Journal of Hospitality, Tourism and Leisure, 6</w:t>
      </w:r>
      <w:r w:rsidRPr="00D8206B">
        <w:rPr>
          <w:rFonts w:ascii="Times New Roman" w:eastAsia="Times New Roman" w:hAnsi="Times New Roman" w:cs="Times New Roman"/>
          <w:kern w:val="0"/>
          <w14:ligatures w14:val="none"/>
        </w:rPr>
        <w:t>(4), 1–15. (Open access PDF)</w:t>
      </w:r>
    </w:p>
    <w:p w14:paraId="65FC1F85"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Rauch, E., Matt, D. T., &amp; Linder, C. (2020). Lean management in hospitality: Methods, applications and future directions. </w:t>
      </w:r>
      <w:r w:rsidRPr="00D8206B">
        <w:rPr>
          <w:rFonts w:ascii="Times New Roman" w:eastAsia="Times New Roman" w:hAnsi="Times New Roman" w:cs="Times New Roman"/>
          <w:i/>
          <w:iCs/>
          <w:kern w:val="0"/>
          <w14:ligatures w14:val="none"/>
        </w:rPr>
        <w:t>International Journal of Services and Operations Management, 36</w:t>
      </w:r>
      <w:r w:rsidRPr="00D8206B">
        <w:rPr>
          <w:rFonts w:ascii="Times New Roman" w:eastAsia="Times New Roman" w:hAnsi="Times New Roman" w:cs="Times New Roman"/>
          <w:kern w:val="0"/>
          <w14:ligatures w14:val="none"/>
        </w:rPr>
        <w:t xml:space="preserve">(3), 303–326. </w:t>
      </w:r>
    </w:p>
    <w:p w14:paraId="14521101"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Reese, G., Loew, K., &amp; </w:t>
      </w:r>
      <w:proofErr w:type="spellStart"/>
      <w:r w:rsidRPr="00D8206B">
        <w:rPr>
          <w:rFonts w:ascii="Times New Roman" w:eastAsia="SimSun" w:hAnsi="Times New Roman" w:cs="Times New Roman"/>
          <w:kern w:val="0"/>
          <w:lang w:eastAsia="zh-CN"/>
          <w14:ligatures w14:val="none"/>
        </w:rPr>
        <w:t>Steffgen</w:t>
      </w:r>
      <w:proofErr w:type="spellEnd"/>
      <w:r w:rsidRPr="00D8206B">
        <w:rPr>
          <w:rFonts w:ascii="Times New Roman" w:eastAsia="SimSun" w:hAnsi="Times New Roman" w:cs="Times New Roman"/>
          <w:kern w:val="0"/>
          <w:lang w:eastAsia="zh-CN"/>
          <w14:ligatures w14:val="none"/>
        </w:rPr>
        <w:t xml:space="preserve">, G. (2014). A towel less: Social norms enhance pro-environmental behavior in hotels. </w:t>
      </w:r>
      <w:r w:rsidRPr="00D8206B">
        <w:rPr>
          <w:rFonts w:ascii="Times New Roman" w:eastAsia="SimSun" w:hAnsi="Times New Roman" w:cs="Times New Roman"/>
          <w:i/>
          <w:iCs/>
          <w:kern w:val="0"/>
          <w:lang w:eastAsia="zh-CN"/>
          <w14:ligatures w14:val="none"/>
        </w:rPr>
        <w:t>The Journal of Social Psychology, 154</w:t>
      </w:r>
      <w:r w:rsidRPr="00D8206B">
        <w:rPr>
          <w:rFonts w:ascii="Times New Roman" w:eastAsia="SimSun" w:hAnsi="Times New Roman" w:cs="Times New Roman"/>
          <w:kern w:val="0"/>
          <w:lang w:eastAsia="zh-CN"/>
          <w14:ligatures w14:val="none"/>
        </w:rPr>
        <w:t xml:space="preserve">(2), 97–100. </w:t>
      </w:r>
    </w:p>
    <w:p w14:paraId="2B63051E"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Robinson, A. G., &amp; Schroeder, D. M. (2009). The role of front-line ideas in lean performance improvement. </w:t>
      </w:r>
      <w:r w:rsidRPr="00D8206B">
        <w:rPr>
          <w:rFonts w:ascii="Times New Roman" w:eastAsia="SimSun" w:hAnsi="Times New Roman" w:cs="Times New Roman"/>
          <w:i/>
          <w:iCs/>
          <w:kern w:val="0"/>
          <w:lang w:eastAsia="zh-CN"/>
          <w14:ligatures w14:val="none"/>
        </w:rPr>
        <w:t>Quality Management Journal, 16</w:t>
      </w:r>
      <w:r w:rsidRPr="00D8206B">
        <w:rPr>
          <w:rFonts w:ascii="Times New Roman" w:eastAsia="SimSun" w:hAnsi="Times New Roman" w:cs="Times New Roman"/>
          <w:kern w:val="0"/>
          <w:lang w:eastAsia="zh-CN"/>
          <w14:ligatures w14:val="none"/>
        </w:rPr>
        <w:t>(4), 27-40.</w:t>
      </w:r>
    </w:p>
    <w:p w14:paraId="10C81AC1"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Rondini, A., </w:t>
      </w:r>
      <w:proofErr w:type="spellStart"/>
      <w:r w:rsidRPr="00D8206B">
        <w:rPr>
          <w:rFonts w:ascii="Times New Roman" w:eastAsia="Times New Roman" w:hAnsi="Times New Roman" w:cs="Times New Roman"/>
          <w:kern w:val="0"/>
          <w14:ligatures w14:val="none"/>
        </w:rPr>
        <w:t>Pezzotta</w:t>
      </w:r>
      <w:proofErr w:type="spellEnd"/>
      <w:r w:rsidRPr="00D8206B">
        <w:rPr>
          <w:rFonts w:ascii="Times New Roman" w:eastAsia="Times New Roman" w:hAnsi="Times New Roman" w:cs="Times New Roman"/>
          <w:kern w:val="0"/>
          <w14:ligatures w14:val="none"/>
        </w:rPr>
        <w:t xml:space="preserve">, G., Cavalieri, S., Ouertani, M.-Z., &amp; </w:t>
      </w:r>
      <w:proofErr w:type="spellStart"/>
      <w:r w:rsidRPr="00D8206B">
        <w:rPr>
          <w:rFonts w:ascii="Times New Roman" w:eastAsia="Times New Roman" w:hAnsi="Times New Roman" w:cs="Times New Roman"/>
          <w:kern w:val="0"/>
          <w14:ligatures w14:val="none"/>
        </w:rPr>
        <w:t>Pirola</w:t>
      </w:r>
      <w:proofErr w:type="spellEnd"/>
      <w:r w:rsidRPr="00D8206B">
        <w:rPr>
          <w:rFonts w:ascii="Times New Roman" w:eastAsia="Times New Roman" w:hAnsi="Times New Roman" w:cs="Times New Roman"/>
          <w:kern w:val="0"/>
          <w14:ligatures w14:val="none"/>
        </w:rPr>
        <w:t xml:space="preserve">, F. (2018). Standardizing delivery processes to support service transformation: A case of a multinational manufacturing firm. </w:t>
      </w:r>
      <w:r w:rsidRPr="00D8206B">
        <w:rPr>
          <w:rFonts w:ascii="Times New Roman" w:eastAsia="Times New Roman" w:hAnsi="Times New Roman" w:cs="Times New Roman"/>
          <w:i/>
          <w:iCs/>
          <w:kern w:val="0"/>
          <w14:ligatures w14:val="none"/>
        </w:rPr>
        <w:t>Computers in Industry, 100</w:t>
      </w:r>
      <w:r w:rsidRPr="00D8206B">
        <w:rPr>
          <w:rFonts w:ascii="Times New Roman" w:eastAsia="Times New Roman" w:hAnsi="Times New Roman" w:cs="Times New Roman"/>
          <w:kern w:val="0"/>
          <w14:ligatures w14:val="none"/>
        </w:rPr>
        <w:t xml:space="preserve">, 115–128. </w:t>
      </w:r>
    </w:p>
    <w:p w14:paraId="67B7233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Saunders, M., Lewis, P., &amp; Thornhill, A. (2019). </w:t>
      </w:r>
      <w:r w:rsidRPr="00D8206B">
        <w:rPr>
          <w:rFonts w:ascii="Times New Roman" w:eastAsia="SimSun" w:hAnsi="Times New Roman" w:cs="Times New Roman"/>
          <w:i/>
          <w:iCs/>
          <w:kern w:val="0"/>
          <w:lang w:eastAsia="zh-CN"/>
          <w14:ligatures w14:val="none"/>
        </w:rPr>
        <w:t>Research methods for business students</w:t>
      </w:r>
      <w:r w:rsidRPr="00D8206B">
        <w:rPr>
          <w:rFonts w:ascii="Times New Roman" w:eastAsia="SimSun" w:hAnsi="Times New Roman" w:cs="Times New Roman"/>
          <w:kern w:val="0"/>
          <w:lang w:eastAsia="zh-CN"/>
          <w14:ligatures w14:val="none"/>
        </w:rPr>
        <w:t xml:space="preserve"> (8th ed.). Pearson.</w:t>
      </w:r>
    </w:p>
    <w:p w14:paraId="77CE212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Schein, E. H. (2010). </w:t>
      </w:r>
      <w:r w:rsidRPr="00D8206B">
        <w:rPr>
          <w:rFonts w:ascii="Times New Roman" w:eastAsia="SimSun" w:hAnsi="Times New Roman" w:cs="Times New Roman"/>
          <w:i/>
          <w:iCs/>
          <w:kern w:val="0"/>
          <w:lang w:eastAsia="zh-CN"/>
          <w14:ligatures w14:val="none"/>
        </w:rPr>
        <w:t>Organizational culture and leadership</w:t>
      </w:r>
      <w:r w:rsidRPr="00D8206B">
        <w:rPr>
          <w:rFonts w:ascii="Times New Roman" w:eastAsia="SimSun" w:hAnsi="Times New Roman" w:cs="Times New Roman"/>
          <w:kern w:val="0"/>
          <w:lang w:eastAsia="zh-CN"/>
          <w14:ligatures w14:val="none"/>
        </w:rPr>
        <w:t xml:space="preserve"> (4th ed.). Jossey-Bass.</w:t>
      </w:r>
    </w:p>
    <w:p w14:paraId="39DA0BB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Seth, N., Deshmukh, S. G., &amp; </w:t>
      </w:r>
      <w:proofErr w:type="spellStart"/>
      <w:r w:rsidRPr="00D8206B">
        <w:rPr>
          <w:rFonts w:ascii="Times New Roman" w:eastAsia="SimSun" w:hAnsi="Times New Roman" w:cs="Times New Roman"/>
          <w:kern w:val="0"/>
          <w:lang w:eastAsia="zh-CN"/>
          <w14:ligatures w14:val="none"/>
        </w:rPr>
        <w:t>Vrat</w:t>
      </w:r>
      <w:proofErr w:type="spellEnd"/>
      <w:r w:rsidRPr="00D8206B">
        <w:rPr>
          <w:rFonts w:ascii="Times New Roman" w:eastAsia="SimSun" w:hAnsi="Times New Roman" w:cs="Times New Roman"/>
          <w:kern w:val="0"/>
          <w:lang w:eastAsia="zh-CN"/>
          <w14:ligatures w14:val="none"/>
        </w:rPr>
        <w:t xml:space="preserve">, P. (2005). Service quality models: A review. </w:t>
      </w:r>
      <w:r w:rsidRPr="00D8206B">
        <w:rPr>
          <w:rFonts w:ascii="Times New Roman" w:eastAsia="SimSun" w:hAnsi="Times New Roman" w:cs="Times New Roman"/>
          <w:i/>
          <w:iCs/>
          <w:kern w:val="0"/>
          <w:lang w:eastAsia="zh-CN"/>
          <w14:ligatures w14:val="none"/>
        </w:rPr>
        <w:t>International Journal of Quality &amp; Reliability Management, 22</w:t>
      </w:r>
      <w:r w:rsidRPr="00D8206B">
        <w:rPr>
          <w:rFonts w:ascii="Times New Roman" w:eastAsia="SimSun" w:hAnsi="Times New Roman" w:cs="Times New Roman"/>
          <w:kern w:val="0"/>
          <w:lang w:eastAsia="zh-CN"/>
          <w14:ligatures w14:val="none"/>
        </w:rPr>
        <w:t>(9), 913–949.</w:t>
      </w:r>
    </w:p>
    <w:p w14:paraId="7D012B3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Shah, R., &amp; Ward, P. T. (2007). Defining and developing measures of lean production. </w:t>
      </w:r>
      <w:r w:rsidRPr="00D8206B">
        <w:rPr>
          <w:rFonts w:ascii="Times New Roman" w:eastAsia="SimSun" w:hAnsi="Times New Roman" w:cs="Times New Roman"/>
          <w:i/>
          <w:iCs/>
          <w:kern w:val="0"/>
          <w:lang w:eastAsia="zh-CN"/>
          <w14:ligatures w14:val="none"/>
        </w:rPr>
        <w:t>Journal of Operations Management, 25</w:t>
      </w:r>
      <w:r w:rsidRPr="00D8206B">
        <w:rPr>
          <w:rFonts w:ascii="Times New Roman" w:eastAsia="SimSun" w:hAnsi="Times New Roman" w:cs="Times New Roman"/>
          <w:kern w:val="0"/>
          <w:lang w:eastAsia="zh-CN"/>
          <w14:ligatures w14:val="none"/>
        </w:rPr>
        <w:t>(4), 785-805.</w:t>
      </w:r>
    </w:p>
    <w:p w14:paraId="30E31FB1"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proofErr w:type="spellStart"/>
      <w:r w:rsidRPr="00D8206B">
        <w:rPr>
          <w:rFonts w:ascii="Times New Roman" w:eastAsia="Times New Roman" w:hAnsi="Times New Roman" w:cs="Times New Roman"/>
          <w:kern w:val="0"/>
          <w14:ligatures w14:val="none"/>
        </w:rPr>
        <w:t>Shamsuzzoha</w:t>
      </w:r>
      <w:proofErr w:type="spellEnd"/>
      <w:r w:rsidRPr="00D8206B">
        <w:rPr>
          <w:rFonts w:ascii="Times New Roman" w:eastAsia="Times New Roman" w:hAnsi="Times New Roman" w:cs="Times New Roman"/>
          <w:kern w:val="0"/>
          <w14:ligatures w14:val="none"/>
        </w:rPr>
        <w:t xml:space="preserve">, A., Blomqvist, H., &amp; Takala, J. (2023). Service </w:t>
      </w:r>
      <w:proofErr w:type="spellStart"/>
      <w:r w:rsidRPr="00D8206B">
        <w:rPr>
          <w:rFonts w:ascii="Times New Roman" w:eastAsia="Times New Roman" w:hAnsi="Times New Roman" w:cs="Times New Roman"/>
          <w:kern w:val="0"/>
          <w14:ligatures w14:val="none"/>
        </w:rPr>
        <w:t>productisation</w:t>
      </w:r>
      <w:proofErr w:type="spellEnd"/>
      <w:r w:rsidRPr="00D8206B">
        <w:rPr>
          <w:rFonts w:ascii="Times New Roman" w:eastAsia="Times New Roman" w:hAnsi="Times New Roman" w:cs="Times New Roman"/>
          <w:kern w:val="0"/>
          <w14:ligatures w14:val="none"/>
        </w:rPr>
        <w:t xml:space="preserve"> through </w:t>
      </w:r>
      <w:proofErr w:type="spellStart"/>
      <w:r w:rsidRPr="00D8206B">
        <w:rPr>
          <w:rFonts w:ascii="Times New Roman" w:eastAsia="Times New Roman" w:hAnsi="Times New Roman" w:cs="Times New Roman"/>
          <w:kern w:val="0"/>
          <w14:ligatures w14:val="none"/>
        </w:rPr>
        <w:t>standardisation</w:t>
      </w:r>
      <w:proofErr w:type="spellEnd"/>
      <w:r w:rsidRPr="00D8206B">
        <w:rPr>
          <w:rFonts w:ascii="Times New Roman" w:eastAsia="Times New Roman" w:hAnsi="Times New Roman" w:cs="Times New Roman"/>
          <w:kern w:val="0"/>
          <w14:ligatures w14:val="none"/>
        </w:rPr>
        <w:t xml:space="preserve"> and </w:t>
      </w:r>
      <w:proofErr w:type="spellStart"/>
      <w:r w:rsidRPr="00D8206B">
        <w:rPr>
          <w:rFonts w:ascii="Times New Roman" w:eastAsia="Times New Roman" w:hAnsi="Times New Roman" w:cs="Times New Roman"/>
          <w:kern w:val="0"/>
          <w14:ligatures w14:val="none"/>
        </w:rPr>
        <w:t>modularisation</w:t>
      </w:r>
      <w:proofErr w:type="spellEnd"/>
      <w:r w:rsidRPr="00D8206B">
        <w:rPr>
          <w:rFonts w:ascii="Times New Roman" w:eastAsia="Times New Roman" w:hAnsi="Times New Roman" w:cs="Times New Roman"/>
          <w:kern w:val="0"/>
          <w14:ligatures w14:val="none"/>
        </w:rPr>
        <w:t xml:space="preserve">: An exploratory case study. </w:t>
      </w:r>
      <w:r w:rsidRPr="00D8206B">
        <w:rPr>
          <w:rFonts w:ascii="Times New Roman" w:eastAsia="Times New Roman" w:hAnsi="Times New Roman" w:cs="Times New Roman"/>
          <w:i/>
          <w:iCs/>
          <w:kern w:val="0"/>
          <w14:ligatures w14:val="none"/>
        </w:rPr>
        <w:t>International Journal of Sustainable Engineering, 17</w:t>
      </w:r>
      <w:r w:rsidRPr="00D8206B">
        <w:rPr>
          <w:rFonts w:ascii="Times New Roman" w:eastAsia="Times New Roman" w:hAnsi="Times New Roman" w:cs="Times New Roman"/>
          <w:kern w:val="0"/>
          <w14:ligatures w14:val="none"/>
        </w:rPr>
        <w:t xml:space="preserve">(1), 1154–1172. </w:t>
      </w:r>
    </w:p>
    <w:p w14:paraId="14438CF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Shin, S. J., Taylor, M. S., &amp; Seo, M. G. (2012). Resources for change: The relationships of organizational inducements and psychological resilience to employees' attitudes and behaviors toward organizational change. </w:t>
      </w:r>
      <w:r w:rsidRPr="00D8206B">
        <w:rPr>
          <w:rFonts w:ascii="Times New Roman" w:eastAsia="SimSun" w:hAnsi="Times New Roman" w:cs="Times New Roman"/>
          <w:i/>
          <w:iCs/>
          <w:kern w:val="0"/>
          <w:lang w:eastAsia="zh-CN"/>
          <w14:ligatures w14:val="none"/>
        </w:rPr>
        <w:t>Academy of Management Journal, 55</w:t>
      </w:r>
      <w:r w:rsidRPr="00D8206B">
        <w:rPr>
          <w:rFonts w:ascii="Times New Roman" w:eastAsia="SimSun" w:hAnsi="Times New Roman" w:cs="Times New Roman"/>
          <w:kern w:val="0"/>
          <w:lang w:eastAsia="zh-CN"/>
          <w14:ligatures w14:val="none"/>
        </w:rPr>
        <w:t>(3), 727-748.</w:t>
      </w:r>
    </w:p>
    <w:p w14:paraId="7E83940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Shingo, S. (1989). </w:t>
      </w:r>
      <w:r w:rsidRPr="00D8206B">
        <w:rPr>
          <w:rFonts w:ascii="Times New Roman" w:eastAsia="SimSun" w:hAnsi="Times New Roman" w:cs="Times New Roman"/>
          <w:i/>
          <w:iCs/>
          <w:kern w:val="0"/>
          <w:lang w:eastAsia="zh-CN"/>
          <w14:ligatures w14:val="none"/>
        </w:rPr>
        <w:t>A study of the Toyota production system from an industrial engineering viewpoint</w:t>
      </w:r>
      <w:r w:rsidRPr="00D8206B">
        <w:rPr>
          <w:rFonts w:ascii="Times New Roman" w:eastAsia="SimSun" w:hAnsi="Times New Roman" w:cs="Times New Roman"/>
          <w:kern w:val="0"/>
          <w:lang w:eastAsia="zh-CN"/>
          <w14:ligatures w14:val="none"/>
        </w:rPr>
        <w:t xml:space="preserve"> (4th ed.). CRC Press.</w:t>
      </w:r>
    </w:p>
    <w:p w14:paraId="18D2C88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Shmueli, G., Ray, S., Velasquez-Estrada, J. M., &amp; </w:t>
      </w:r>
      <w:proofErr w:type="spellStart"/>
      <w:r w:rsidRPr="00D8206B">
        <w:rPr>
          <w:rFonts w:ascii="Times New Roman" w:eastAsia="SimSun" w:hAnsi="Times New Roman" w:cs="Times New Roman"/>
          <w:kern w:val="0"/>
          <w:lang w:eastAsia="zh-CN"/>
          <w14:ligatures w14:val="none"/>
        </w:rPr>
        <w:t>Chatla</w:t>
      </w:r>
      <w:proofErr w:type="spellEnd"/>
      <w:r w:rsidRPr="00D8206B">
        <w:rPr>
          <w:rFonts w:ascii="Times New Roman" w:eastAsia="SimSun" w:hAnsi="Times New Roman" w:cs="Times New Roman"/>
          <w:kern w:val="0"/>
          <w:lang w:eastAsia="zh-CN"/>
          <w14:ligatures w14:val="none"/>
        </w:rPr>
        <w:t xml:space="preserve">, S. B. (2016). The elephant in the room: Evaluating the predictive performance of PLS models. </w:t>
      </w:r>
      <w:r w:rsidRPr="00D8206B">
        <w:rPr>
          <w:rFonts w:ascii="Times New Roman" w:eastAsia="SimSun" w:hAnsi="Times New Roman" w:cs="Times New Roman"/>
          <w:i/>
          <w:iCs/>
          <w:kern w:val="0"/>
          <w:lang w:eastAsia="zh-CN"/>
          <w14:ligatures w14:val="none"/>
        </w:rPr>
        <w:t>Journal of Business Research, 69</w:t>
      </w:r>
      <w:r w:rsidRPr="00D8206B">
        <w:rPr>
          <w:rFonts w:ascii="Times New Roman" w:eastAsia="SimSun" w:hAnsi="Times New Roman" w:cs="Times New Roman"/>
          <w:kern w:val="0"/>
          <w:lang w:eastAsia="zh-CN"/>
          <w14:ligatures w14:val="none"/>
        </w:rPr>
        <w:t xml:space="preserve">, 4552–4564. </w:t>
      </w:r>
    </w:p>
    <w:p w14:paraId="6962CF5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Sila, I. (2007). Examining the effects of contextual factors on TQM and performance through the lens of organizational theories: An empirical study. </w:t>
      </w:r>
      <w:r w:rsidRPr="00D8206B">
        <w:rPr>
          <w:rFonts w:ascii="Times New Roman" w:eastAsia="SimSun" w:hAnsi="Times New Roman" w:cs="Times New Roman"/>
          <w:i/>
          <w:iCs/>
          <w:kern w:val="0"/>
          <w:lang w:eastAsia="zh-CN"/>
          <w14:ligatures w14:val="none"/>
        </w:rPr>
        <w:t>Journal of Operations Management, 25</w:t>
      </w:r>
      <w:r w:rsidRPr="00D8206B">
        <w:rPr>
          <w:rFonts w:ascii="Times New Roman" w:eastAsia="SimSun" w:hAnsi="Times New Roman" w:cs="Times New Roman"/>
          <w:kern w:val="0"/>
          <w:lang w:eastAsia="zh-CN"/>
          <w14:ligatures w14:val="none"/>
        </w:rPr>
        <w:t>(1), 83-109.</w:t>
      </w:r>
    </w:p>
    <w:p w14:paraId="0EB9D5B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Sirota, D., </w:t>
      </w:r>
      <w:proofErr w:type="spellStart"/>
      <w:r w:rsidRPr="00D8206B">
        <w:rPr>
          <w:rFonts w:ascii="Times New Roman" w:eastAsia="SimSun" w:hAnsi="Times New Roman" w:cs="Times New Roman"/>
          <w:kern w:val="0"/>
          <w:lang w:eastAsia="zh-CN"/>
          <w14:ligatures w14:val="none"/>
        </w:rPr>
        <w:t>Mischkind</w:t>
      </w:r>
      <w:proofErr w:type="spellEnd"/>
      <w:r w:rsidRPr="00D8206B">
        <w:rPr>
          <w:rFonts w:ascii="Times New Roman" w:eastAsia="SimSun" w:hAnsi="Times New Roman" w:cs="Times New Roman"/>
          <w:kern w:val="0"/>
          <w:lang w:eastAsia="zh-CN"/>
          <w14:ligatures w14:val="none"/>
        </w:rPr>
        <w:t xml:space="preserve">, L. A., &amp; Meltzer, M. I. (2005). </w:t>
      </w:r>
      <w:r w:rsidRPr="00D8206B">
        <w:rPr>
          <w:rFonts w:ascii="Times New Roman" w:eastAsia="SimSun" w:hAnsi="Times New Roman" w:cs="Times New Roman"/>
          <w:i/>
          <w:iCs/>
          <w:kern w:val="0"/>
          <w:lang w:eastAsia="zh-CN"/>
          <w14:ligatures w14:val="none"/>
        </w:rPr>
        <w:t>The enthusiastic employee: How companies profit by giving workers what they want.</w:t>
      </w:r>
      <w:r w:rsidRPr="00D8206B">
        <w:rPr>
          <w:rFonts w:ascii="Times New Roman" w:eastAsia="SimSun" w:hAnsi="Times New Roman" w:cs="Times New Roman"/>
          <w:kern w:val="0"/>
          <w:lang w:eastAsia="zh-CN"/>
          <w14:ligatures w14:val="none"/>
        </w:rPr>
        <w:t xml:space="preserve"> Wharton School Publishing.</w:t>
      </w:r>
    </w:p>
    <w:p w14:paraId="0A497AEC"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Slack, N., &amp; Lewis, M. (2011). </w:t>
      </w:r>
      <w:r w:rsidRPr="00D8206B">
        <w:rPr>
          <w:rFonts w:ascii="Times New Roman" w:eastAsia="SimSun" w:hAnsi="Times New Roman" w:cs="Times New Roman"/>
          <w:i/>
          <w:iCs/>
          <w:kern w:val="0"/>
          <w:lang w:eastAsia="zh-CN"/>
          <w14:ligatures w14:val="none"/>
        </w:rPr>
        <w:t>Operations strategy</w:t>
      </w:r>
      <w:r w:rsidRPr="00D8206B">
        <w:rPr>
          <w:rFonts w:ascii="Times New Roman" w:eastAsia="SimSun" w:hAnsi="Times New Roman" w:cs="Times New Roman"/>
          <w:kern w:val="0"/>
          <w:lang w:eastAsia="zh-CN"/>
          <w14:ligatures w14:val="none"/>
        </w:rPr>
        <w:t xml:space="preserve"> (3rd ed.). Pearson Education.</w:t>
      </w:r>
    </w:p>
    <w:p w14:paraId="3FFD593F"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Smith, A., &amp; Jones, B. (2021). The role of lean principles in improving service accuracy: A study of the banking sector in Canada. </w:t>
      </w:r>
      <w:r w:rsidRPr="00D8206B">
        <w:rPr>
          <w:rFonts w:ascii="Times New Roman" w:eastAsia="Times New Roman" w:hAnsi="Times New Roman" w:cs="Times New Roman"/>
          <w:i/>
          <w:iCs/>
          <w:kern w:val="0"/>
          <w14:ligatures w14:val="none"/>
        </w:rPr>
        <w:t>Canadian Journal of Administrative Sciences, 38</w:t>
      </w:r>
      <w:r w:rsidRPr="00D8206B">
        <w:rPr>
          <w:rFonts w:ascii="Times New Roman" w:eastAsia="Times New Roman" w:hAnsi="Times New Roman" w:cs="Times New Roman"/>
          <w:kern w:val="0"/>
          <w14:ligatures w14:val="none"/>
        </w:rPr>
        <w:t>(2), 145–162.</w:t>
      </w:r>
    </w:p>
    <w:p w14:paraId="7555917D"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Smith, P., &amp; Brown, L. (2018). Service reliability and guest loyalty in hotels. </w:t>
      </w:r>
      <w:r w:rsidRPr="00D8206B">
        <w:rPr>
          <w:rFonts w:ascii="Times New Roman" w:eastAsia="SimSun" w:hAnsi="Times New Roman" w:cs="Times New Roman"/>
          <w:i/>
          <w:iCs/>
          <w:kern w:val="0"/>
          <w:lang w:eastAsia="zh-CN"/>
          <w14:ligatures w14:val="none"/>
        </w:rPr>
        <w:t>Journal of Hospitality Management, 34</w:t>
      </w:r>
      <w:r w:rsidRPr="00D8206B">
        <w:rPr>
          <w:rFonts w:ascii="Times New Roman" w:eastAsia="SimSun" w:hAnsi="Times New Roman" w:cs="Times New Roman"/>
          <w:kern w:val="0"/>
          <w:lang w:eastAsia="zh-CN"/>
          <w14:ligatures w14:val="none"/>
        </w:rPr>
        <w:t>(2), 120–137.</w:t>
      </w:r>
    </w:p>
    <w:p w14:paraId="6EBB4CD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Smith, P., &amp; Jones, T. (2021). Operational culture and resilience in small hotels. </w:t>
      </w:r>
      <w:r w:rsidRPr="00D8206B">
        <w:rPr>
          <w:rFonts w:ascii="Times New Roman" w:eastAsia="SimSun" w:hAnsi="Times New Roman" w:cs="Times New Roman"/>
          <w:i/>
          <w:iCs/>
          <w:kern w:val="0"/>
          <w:lang w:eastAsia="zh-CN"/>
          <w14:ligatures w14:val="none"/>
        </w:rPr>
        <w:t>International Journal of Hospitality &amp; Tourism Administration, 22</w:t>
      </w:r>
      <w:r w:rsidRPr="00D8206B">
        <w:rPr>
          <w:rFonts w:ascii="Times New Roman" w:eastAsia="SimSun" w:hAnsi="Times New Roman" w:cs="Times New Roman"/>
          <w:kern w:val="0"/>
          <w:lang w:eastAsia="zh-CN"/>
          <w14:ligatures w14:val="none"/>
        </w:rPr>
        <w:t>(1), 55–72.</w:t>
      </w:r>
    </w:p>
    <w:p w14:paraId="227EB0B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Soliman, M., Saurin, T. A., &amp; </w:t>
      </w:r>
      <w:proofErr w:type="spellStart"/>
      <w:r w:rsidRPr="00D8206B">
        <w:rPr>
          <w:rFonts w:ascii="Times New Roman" w:eastAsia="SimSun" w:hAnsi="Times New Roman" w:cs="Times New Roman"/>
          <w:kern w:val="0"/>
          <w:lang w:eastAsia="zh-CN"/>
          <w14:ligatures w14:val="none"/>
        </w:rPr>
        <w:t>Anzanello</w:t>
      </w:r>
      <w:proofErr w:type="spellEnd"/>
      <w:r w:rsidRPr="00D8206B">
        <w:rPr>
          <w:rFonts w:ascii="Times New Roman" w:eastAsia="SimSun" w:hAnsi="Times New Roman" w:cs="Times New Roman"/>
          <w:kern w:val="0"/>
          <w:lang w:eastAsia="zh-CN"/>
          <w14:ligatures w14:val="none"/>
        </w:rPr>
        <w:t xml:space="preserve">, M. J. (2018). The impacts of lean production on the complexity of socio-technical systems. </w:t>
      </w:r>
      <w:r w:rsidRPr="00D8206B">
        <w:rPr>
          <w:rFonts w:ascii="Times New Roman" w:eastAsia="SimSun" w:hAnsi="Times New Roman" w:cs="Times New Roman"/>
          <w:i/>
          <w:iCs/>
          <w:kern w:val="0"/>
          <w:lang w:eastAsia="zh-CN"/>
          <w14:ligatures w14:val="none"/>
        </w:rPr>
        <w:t>International Journal of Production Economics, 197</w:t>
      </w:r>
      <w:r w:rsidRPr="00D8206B">
        <w:rPr>
          <w:rFonts w:ascii="Times New Roman" w:eastAsia="SimSun" w:hAnsi="Times New Roman" w:cs="Times New Roman"/>
          <w:kern w:val="0"/>
          <w:lang w:eastAsia="zh-CN"/>
          <w14:ligatures w14:val="none"/>
        </w:rPr>
        <w:t xml:space="preserve">, 342–357. </w:t>
      </w:r>
    </w:p>
    <w:p w14:paraId="714D23C8"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Sur, E., &amp; </w:t>
      </w:r>
      <w:proofErr w:type="spellStart"/>
      <w:r w:rsidRPr="00D8206B">
        <w:rPr>
          <w:rFonts w:ascii="Times New Roman" w:eastAsia="Times New Roman" w:hAnsi="Times New Roman" w:cs="Times New Roman"/>
          <w:kern w:val="0"/>
          <w14:ligatures w14:val="none"/>
        </w:rPr>
        <w:t>Çakır</w:t>
      </w:r>
      <w:proofErr w:type="spellEnd"/>
      <w:r w:rsidRPr="00D8206B">
        <w:rPr>
          <w:rFonts w:ascii="Times New Roman" w:eastAsia="Times New Roman" w:hAnsi="Times New Roman" w:cs="Times New Roman"/>
          <w:kern w:val="0"/>
          <w14:ligatures w14:val="none"/>
        </w:rPr>
        <w:t xml:space="preserve">, H. (2024). Digital service quality measurement model proposal and prototype development. </w:t>
      </w:r>
      <w:r w:rsidRPr="00D8206B">
        <w:rPr>
          <w:rFonts w:ascii="Times New Roman" w:eastAsia="Times New Roman" w:hAnsi="Times New Roman" w:cs="Times New Roman"/>
          <w:i/>
          <w:iCs/>
          <w:kern w:val="0"/>
          <w14:ligatures w14:val="none"/>
        </w:rPr>
        <w:t>Sustainability, 16</w:t>
      </w:r>
      <w:r w:rsidRPr="00D8206B">
        <w:rPr>
          <w:rFonts w:ascii="Times New Roman" w:eastAsia="Times New Roman" w:hAnsi="Times New Roman" w:cs="Times New Roman"/>
          <w:kern w:val="0"/>
          <w14:ligatures w14:val="none"/>
        </w:rPr>
        <w:t xml:space="preserve">(13), 5540. </w:t>
      </w:r>
    </w:p>
    <w:p w14:paraId="37629350"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Tan, T. A. G. (2014). Effects of justice theory on service recovery satisfaction: Philippine foodservice/restaurant evidence. </w:t>
      </w:r>
      <w:r w:rsidRPr="00D8206B">
        <w:rPr>
          <w:rFonts w:ascii="Times New Roman" w:eastAsia="Times New Roman" w:hAnsi="Times New Roman" w:cs="Times New Roman"/>
          <w:i/>
          <w:iCs/>
          <w:kern w:val="0"/>
          <w14:ligatures w14:val="none"/>
        </w:rPr>
        <w:t>Philippine Management Review/ PMR</w:t>
      </w:r>
      <w:r w:rsidRPr="00D8206B">
        <w:rPr>
          <w:rFonts w:ascii="Times New Roman" w:eastAsia="Times New Roman" w:hAnsi="Times New Roman" w:cs="Times New Roman"/>
          <w:kern w:val="0"/>
          <w14:ligatures w14:val="none"/>
        </w:rPr>
        <w:t xml:space="preserve"> (study documenting service delivery failures like wrong orders and late delivery). (PDF)</w:t>
      </w:r>
    </w:p>
    <w:p w14:paraId="5BBA2E04"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Thompson, G., &amp; Martinez, J. (2021). Optimizing service delivery: financial sector case study (UK). </w:t>
      </w:r>
      <w:r w:rsidRPr="00D8206B">
        <w:rPr>
          <w:rFonts w:ascii="Times New Roman" w:eastAsia="Times New Roman" w:hAnsi="Times New Roman" w:cs="Times New Roman"/>
          <w:i/>
          <w:iCs/>
          <w:kern w:val="0"/>
          <w14:ligatures w14:val="none"/>
        </w:rPr>
        <w:t>Journal of Financial Services Management, 9</w:t>
      </w:r>
      <w:r w:rsidRPr="00D8206B">
        <w:rPr>
          <w:rFonts w:ascii="Times New Roman" w:eastAsia="Times New Roman" w:hAnsi="Times New Roman" w:cs="Times New Roman"/>
          <w:kern w:val="0"/>
          <w14:ligatures w14:val="none"/>
        </w:rPr>
        <w:t xml:space="preserve">(2), 78–95. </w:t>
      </w:r>
    </w:p>
    <w:p w14:paraId="10843403"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Trist, E. L., &amp; Bamforth, K. W. (1951). Some social and psychological consequences of the longwall method of coal-getting. </w:t>
      </w:r>
      <w:r w:rsidRPr="00D8206B">
        <w:rPr>
          <w:rFonts w:ascii="Times New Roman" w:eastAsia="SimSun" w:hAnsi="Times New Roman" w:cs="Times New Roman"/>
          <w:i/>
          <w:iCs/>
          <w:kern w:val="0"/>
          <w:lang w:eastAsia="zh-CN"/>
          <w14:ligatures w14:val="none"/>
        </w:rPr>
        <w:t>Human Relations, 4</w:t>
      </w:r>
      <w:r w:rsidRPr="00D8206B">
        <w:rPr>
          <w:rFonts w:ascii="Times New Roman" w:eastAsia="SimSun" w:hAnsi="Times New Roman" w:cs="Times New Roman"/>
          <w:kern w:val="0"/>
          <w:lang w:eastAsia="zh-CN"/>
          <w14:ligatures w14:val="none"/>
        </w:rPr>
        <w:t xml:space="preserve">(1), 3–38. </w:t>
      </w:r>
    </w:p>
    <w:p w14:paraId="3ACC016D"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Tseng, S.-M., &amp; Yong, S. Y. (2025). Exploring the impacts of service gaps and recovery satisfaction on repurchase intention: The moderating role of service recovery in the restaurant industry. </w:t>
      </w:r>
      <w:r w:rsidRPr="00D8206B">
        <w:rPr>
          <w:rFonts w:ascii="Times New Roman" w:eastAsia="Times New Roman" w:hAnsi="Times New Roman" w:cs="Times New Roman"/>
          <w:i/>
          <w:iCs/>
          <w:kern w:val="0"/>
          <w14:ligatures w14:val="none"/>
        </w:rPr>
        <w:t>Tourism and Hospitality, 6</w:t>
      </w:r>
      <w:r w:rsidRPr="00D8206B">
        <w:rPr>
          <w:rFonts w:ascii="Times New Roman" w:eastAsia="Times New Roman" w:hAnsi="Times New Roman" w:cs="Times New Roman"/>
          <w:kern w:val="0"/>
          <w14:ligatures w14:val="none"/>
        </w:rPr>
        <w:t xml:space="preserve">(3), 147. </w:t>
      </w:r>
      <w:hyperlink r:id="rId219" w:history="1">
        <w:r w:rsidRPr="00D8206B">
          <w:rPr>
            <w:rFonts w:ascii="Times New Roman" w:eastAsia="Times New Roman" w:hAnsi="Times New Roman" w:cs="Times New Roman"/>
            <w:color w:val="0000FF"/>
            <w:kern w:val="0"/>
            <w:u w:val="single"/>
            <w14:ligatures w14:val="none"/>
          </w:rPr>
          <w:t>https://doi.org/10.3390/tourhosp6030147</w:t>
        </w:r>
      </w:hyperlink>
    </w:p>
    <w:p w14:paraId="3F5F7E20"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Tuomi, A., &amp; </w:t>
      </w:r>
      <w:proofErr w:type="spellStart"/>
      <w:r w:rsidRPr="00D8206B">
        <w:rPr>
          <w:rFonts w:ascii="Times New Roman" w:eastAsia="SimSun" w:hAnsi="Times New Roman" w:cs="Times New Roman"/>
          <w:kern w:val="0"/>
          <w:lang w:eastAsia="zh-CN"/>
          <w14:ligatures w14:val="none"/>
        </w:rPr>
        <w:t>Tussyadiah</w:t>
      </w:r>
      <w:proofErr w:type="spellEnd"/>
      <w:r w:rsidRPr="00D8206B">
        <w:rPr>
          <w:rFonts w:ascii="Times New Roman" w:eastAsia="SimSun" w:hAnsi="Times New Roman" w:cs="Times New Roman"/>
          <w:kern w:val="0"/>
          <w:lang w:eastAsia="zh-CN"/>
          <w14:ligatures w14:val="none"/>
        </w:rPr>
        <w:t xml:space="preserve">, I. P. (2020). Building the </w:t>
      </w:r>
      <w:proofErr w:type="spellStart"/>
      <w:r w:rsidRPr="00D8206B">
        <w:rPr>
          <w:rFonts w:ascii="Times New Roman" w:eastAsia="SimSun" w:hAnsi="Times New Roman" w:cs="Times New Roman"/>
          <w:kern w:val="0"/>
          <w:lang w:eastAsia="zh-CN"/>
          <w14:ligatures w14:val="none"/>
        </w:rPr>
        <w:t>sociomateriality</w:t>
      </w:r>
      <w:proofErr w:type="spellEnd"/>
      <w:r w:rsidRPr="00D8206B">
        <w:rPr>
          <w:rFonts w:ascii="Times New Roman" w:eastAsia="SimSun" w:hAnsi="Times New Roman" w:cs="Times New Roman"/>
          <w:kern w:val="0"/>
          <w:lang w:eastAsia="zh-CN"/>
          <w14:ligatures w14:val="none"/>
        </w:rPr>
        <w:t xml:space="preserve"> of food service. </w:t>
      </w:r>
      <w:r w:rsidRPr="00D8206B">
        <w:rPr>
          <w:rFonts w:ascii="Times New Roman" w:eastAsia="SimSun" w:hAnsi="Times New Roman" w:cs="Times New Roman"/>
          <w:i/>
          <w:iCs/>
          <w:kern w:val="0"/>
          <w:lang w:eastAsia="zh-CN"/>
          <w14:ligatures w14:val="none"/>
        </w:rPr>
        <w:t>International Journal of Hospitality Management, 89</w:t>
      </w:r>
      <w:r w:rsidRPr="00D8206B">
        <w:rPr>
          <w:rFonts w:ascii="Times New Roman" w:eastAsia="SimSun" w:hAnsi="Times New Roman" w:cs="Times New Roman"/>
          <w:kern w:val="0"/>
          <w:lang w:eastAsia="zh-CN"/>
          <w14:ligatures w14:val="none"/>
        </w:rPr>
        <w:t xml:space="preserve">, 102553. </w:t>
      </w:r>
    </w:p>
    <w:p w14:paraId="4D766F0F"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Turner, R. (2020). </w:t>
      </w:r>
      <w:r w:rsidRPr="00D8206B">
        <w:rPr>
          <w:rFonts w:ascii="Times New Roman" w:eastAsia="SimSun" w:hAnsi="Times New Roman" w:cs="Times New Roman"/>
          <w:i/>
          <w:iCs/>
          <w:kern w:val="0"/>
          <w:lang w:eastAsia="zh-CN"/>
          <w14:ligatures w14:val="none"/>
        </w:rPr>
        <w:t>Advanced research design and methods.</w:t>
      </w:r>
      <w:r w:rsidRPr="00D8206B">
        <w:rPr>
          <w:rFonts w:ascii="Times New Roman" w:eastAsia="SimSun" w:hAnsi="Times New Roman" w:cs="Times New Roman"/>
          <w:kern w:val="0"/>
          <w:lang w:eastAsia="zh-CN"/>
          <w14:ligatures w14:val="none"/>
        </w:rPr>
        <w:t xml:space="preserve"> Academic Press.</w:t>
      </w:r>
    </w:p>
    <w:p w14:paraId="538F7FB2"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United Nations World Tourism Organization (UNWTO). (2022). </w:t>
      </w:r>
      <w:r w:rsidRPr="00D8206B">
        <w:rPr>
          <w:rFonts w:ascii="Times New Roman" w:eastAsia="SimSun" w:hAnsi="Times New Roman" w:cs="Times New Roman"/>
          <w:i/>
          <w:iCs/>
          <w:kern w:val="0"/>
          <w:lang w:eastAsia="zh-CN"/>
          <w14:ligatures w14:val="none"/>
        </w:rPr>
        <w:t>World Tourism Barometer and Statistical Annex.</w:t>
      </w:r>
      <w:r w:rsidRPr="00D8206B">
        <w:rPr>
          <w:rFonts w:ascii="Times New Roman" w:eastAsia="SimSun" w:hAnsi="Times New Roman" w:cs="Times New Roman"/>
          <w:kern w:val="0"/>
          <w:lang w:eastAsia="zh-CN"/>
          <w14:ligatures w14:val="none"/>
        </w:rPr>
        <w:t xml:space="preserve"> UNWTO.</w:t>
      </w:r>
    </w:p>
    <w:p w14:paraId="4322A30F" w14:textId="77777777" w:rsidR="00D8206B" w:rsidRPr="00D8206B" w:rsidRDefault="00D8206B" w:rsidP="00D8206B">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lastRenderedPageBreak/>
        <w:t xml:space="preserve">Vermeulen, M. J., Stukel, T. A., Guttmann, A., Rowe, B. H., et al. (2014). Evaluation of an Emergency Department Lean Process Improvement Program to Reduce Length of Stay. </w:t>
      </w:r>
      <w:r w:rsidRPr="00D8206B">
        <w:rPr>
          <w:rFonts w:ascii="Times New Roman" w:eastAsia="SimSun" w:hAnsi="Times New Roman" w:cs="Times New Roman"/>
          <w:i/>
          <w:iCs/>
          <w:kern w:val="0"/>
          <w:lang w:eastAsia="zh-CN"/>
          <w14:ligatures w14:val="none"/>
        </w:rPr>
        <w:t>Annals of Emergency Medicine, 64</w:t>
      </w:r>
      <w:r w:rsidRPr="00D8206B">
        <w:rPr>
          <w:rFonts w:ascii="Times New Roman" w:eastAsia="SimSun" w:hAnsi="Times New Roman" w:cs="Times New Roman"/>
          <w:kern w:val="0"/>
          <w:lang w:eastAsia="zh-CN"/>
          <w14:ligatures w14:val="none"/>
        </w:rPr>
        <w:t xml:space="preserve">(5), 427–438. </w:t>
      </w:r>
    </w:p>
    <w:p w14:paraId="22D656A9"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Voorhees, C. M., Brady, M. K., </w:t>
      </w:r>
      <w:proofErr w:type="spellStart"/>
      <w:r w:rsidRPr="00D8206B">
        <w:rPr>
          <w:rFonts w:ascii="Times New Roman" w:eastAsia="SimSun" w:hAnsi="Times New Roman" w:cs="Times New Roman"/>
          <w:kern w:val="0"/>
          <w:lang w:eastAsia="zh-CN"/>
          <w14:ligatures w14:val="none"/>
        </w:rPr>
        <w:t>Calantone</w:t>
      </w:r>
      <w:proofErr w:type="spellEnd"/>
      <w:r w:rsidRPr="00D8206B">
        <w:rPr>
          <w:rFonts w:ascii="Times New Roman" w:eastAsia="SimSun" w:hAnsi="Times New Roman" w:cs="Times New Roman"/>
          <w:kern w:val="0"/>
          <w:lang w:eastAsia="zh-CN"/>
          <w14:ligatures w14:val="none"/>
        </w:rPr>
        <w:t xml:space="preserve">, R., &amp; Ramirez, E. (2016). Discriminant validity testing in marketing: An analysis, causes for concern, and proposed remedies. </w:t>
      </w:r>
      <w:r w:rsidRPr="00D8206B">
        <w:rPr>
          <w:rFonts w:ascii="Times New Roman" w:eastAsia="SimSun" w:hAnsi="Times New Roman" w:cs="Times New Roman"/>
          <w:i/>
          <w:iCs/>
          <w:kern w:val="0"/>
          <w:lang w:eastAsia="zh-CN"/>
          <w14:ligatures w14:val="none"/>
        </w:rPr>
        <w:t>Journal of the Academy of Marketing Science, 44</w:t>
      </w:r>
      <w:r w:rsidRPr="00D8206B">
        <w:rPr>
          <w:rFonts w:ascii="Times New Roman" w:eastAsia="SimSun" w:hAnsi="Times New Roman" w:cs="Times New Roman"/>
          <w:kern w:val="0"/>
          <w:lang w:eastAsia="zh-CN"/>
          <w14:ligatures w14:val="none"/>
        </w:rPr>
        <w:t xml:space="preserve">, 119–134. </w:t>
      </w:r>
    </w:p>
    <w:p w14:paraId="13C74D91"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Wang, X., &amp; Liu, Z. (2020). Resource efficiency and operational performance in manufacturing (China). </w:t>
      </w:r>
      <w:r w:rsidRPr="00D8206B">
        <w:rPr>
          <w:rFonts w:ascii="Times New Roman" w:eastAsia="Times New Roman" w:hAnsi="Times New Roman" w:cs="Times New Roman"/>
          <w:i/>
          <w:iCs/>
          <w:kern w:val="0"/>
          <w14:ligatures w14:val="none"/>
        </w:rPr>
        <w:t>Journal of Cleaner Production, 258</w:t>
      </w:r>
      <w:r w:rsidRPr="00D8206B">
        <w:rPr>
          <w:rFonts w:ascii="Times New Roman" w:eastAsia="Times New Roman" w:hAnsi="Times New Roman" w:cs="Times New Roman"/>
          <w:kern w:val="0"/>
          <w14:ligatures w14:val="none"/>
        </w:rPr>
        <w:t>, 120736.</w:t>
      </w:r>
    </w:p>
    <w:p w14:paraId="5FF761AE"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Wang, Y., &amp; Liu, Z. (2020). Quality management and hotel survival: Empirical evidence. </w:t>
      </w:r>
      <w:r w:rsidRPr="00D8206B">
        <w:rPr>
          <w:rFonts w:ascii="Times New Roman" w:eastAsia="SimSun" w:hAnsi="Times New Roman" w:cs="Times New Roman"/>
          <w:i/>
          <w:iCs/>
          <w:kern w:val="0"/>
          <w:lang w:eastAsia="zh-CN"/>
          <w14:ligatures w14:val="none"/>
        </w:rPr>
        <w:t>Journal of Hospitality and Tourism Management, 43</w:t>
      </w:r>
      <w:r w:rsidRPr="00D8206B">
        <w:rPr>
          <w:rFonts w:ascii="Times New Roman" w:eastAsia="SimSun" w:hAnsi="Times New Roman" w:cs="Times New Roman"/>
          <w:kern w:val="0"/>
          <w:lang w:eastAsia="zh-CN"/>
          <w14:ligatures w14:val="none"/>
        </w:rPr>
        <w:t>, 43–51.</w:t>
      </w:r>
    </w:p>
    <w:p w14:paraId="306B3E4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Wang, Y., &amp; Liu, Z. (2020). The role of TQM in hotel survival. </w:t>
      </w:r>
      <w:r w:rsidRPr="00D8206B">
        <w:rPr>
          <w:rFonts w:ascii="Times New Roman" w:eastAsia="SimSun" w:hAnsi="Times New Roman" w:cs="Times New Roman"/>
          <w:i/>
          <w:iCs/>
          <w:kern w:val="0"/>
          <w:lang w:eastAsia="zh-CN"/>
          <w14:ligatures w14:val="none"/>
        </w:rPr>
        <w:t>Journal of Hospitality and Tourism Management, 43</w:t>
      </w:r>
      <w:r w:rsidRPr="00D8206B">
        <w:rPr>
          <w:rFonts w:ascii="Times New Roman" w:eastAsia="SimSun" w:hAnsi="Times New Roman" w:cs="Times New Roman"/>
          <w:kern w:val="0"/>
          <w:lang w:eastAsia="zh-CN"/>
          <w14:ligatures w14:val="none"/>
        </w:rPr>
        <w:t>, 43–51.</w:t>
      </w:r>
    </w:p>
    <w:p w14:paraId="1D41237B"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Whidden, C., </w:t>
      </w:r>
      <w:proofErr w:type="spellStart"/>
      <w:r w:rsidRPr="00D8206B">
        <w:rPr>
          <w:rFonts w:ascii="Times New Roman" w:eastAsia="Times New Roman" w:hAnsi="Times New Roman" w:cs="Times New Roman"/>
          <w:kern w:val="0"/>
          <w14:ligatures w14:val="none"/>
        </w:rPr>
        <w:t>Kayentao</w:t>
      </w:r>
      <w:proofErr w:type="spellEnd"/>
      <w:r w:rsidRPr="00D8206B">
        <w:rPr>
          <w:rFonts w:ascii="Times New Roman" w:eastAsia="Times New Roman" w:hAnsi="Times New Roman" w:cs="Times New Roman"/>
          <w:kern w:val="0"/>
          <w14:ligatures w14:val="none"/>
        </w:rPr>
        <w:t xml:space="preserve">, K., Liu, J. X., Lee, S., Keita, Y., Diakité, D., Keita, A., Diarra, S., Edwards, J., </w:t>
      </w:r>
      <w:proofErr w:type="spellStart"/>
      <w:r w:rsidRPr="00D8206B">
        <w:rPr>
          <w:rFonts w:ascii="Times New Roman" w:eastAsia="Times New Roman" w:hAnsi="Times New Roman" w:cs="Times New Roman"/>
          <w:kern w:val="0"/>
          <w14:ligatures w14:val="none"/>
        </w:rPr>
        <w:t>Yembrick</w:t>
      </w:r>
      <w:proofErr w:type="spellEnd"/>
      <w:r w:rsidRPr="00D8206B">
        <w:rPr>
          <w:rFonts w:ascii="Times New Roman" w:eastAsia="Times New Roman" w:hAnsi="Times New Roman" w:cs="Times New Roman"/>
          <w:kern w:val="0"/>
          <w14:ligatures w14:val="none"/>
        </w:rPr>
        <w:t xml:space="preserve">, A., Holeman, I., </w:t>
      </w:r>
      <w:proofErr w:type="spellStart"/>
      <w:r w:rsidRPr="00D8206B">
        <w:rPr>
          <w:rFonts w:ascii="Times New Roman" w:eastAsia="Times New Roman" w:hAnsi="Times New Roman" w:cs="Times New Roman"/>
          <w:kern w:val="0"/>
          <w14:ligatures w14:val="none"/>
        </w:rPr>
        <w:t>Samaké</w:t>
      </w:r>
      <w:proofErr w:type="spellEnd"/>
      <w:r w:rsidRPr="00D8206B">
        <w:rPr>
          <w:rFonts w:ascii="Times New Roman" w:eastAsia="Times New Roman" w:hAnsi="Times New Roman" w:cs="Times New Roman"/>
          <w:kern w:val="0"/>
          <w14:ligatures w14:val="none"/>
        </w:rPr>
        <w:t xml:space="preserve">, S., Plea, B., </w:t>
      </w:r>
      <w:proofErr w:type="spellStart"/>
      <w:r w:rsidRPr="00D8206B">
        <w:rPr>
          <w:rFonts w:ascii="Times New Roman" w:eastAsia="Times New Roman" w:hAnsi="Times New Roman" w:cs="Times New Roman"/>
          <w:kern w:val="0"/>
          <w14:ligatures w14:val="none"/>
        </w:rPr>
        <w:t>Coumaré</w:t>
      </w:r>
      <w:proofErr w:type="spellEnd"/>
      <w:r w:rsidRPr="00D8206B">
        <w:rPr>
          <w:rFonts w:ascii="Times New Roman" w:eastAsia="Times New Roman" w:hAnsi="Times New Roman" w:cs="Times New Roman"/>
          <w:kern w:val="0"/>
          <w14:ligatures w14:val="none"/>
        </w:rPr>
        <w:t xml:space="preserve">, M., &amp; Johnson, A. D. (2018). Improving community health worker performance by using a </w:t>
      </w:r>
      <w:proofErr w:type="spellStart"/>
      <w:r w:rsidRPr="00D8206B">
        <w:rPr>
          <w:rFonts w:ascii="Times New Roman" w:eastAsia="Times New Roman" w:hAnsi="Times New Roman" w:cs="Times New Roman"/>
          <w:kern w:val="0"/>
          <w14:ligatures w14:val="none"/>
        </w:rPr>
        <w:t>personalised</w:t>
      </w:r>
      <w:proofErr w:type="spellEnd"/>
      <w:r w:rsidRPr="00D8206B">
        <w:rPr>
          <w:rFonts w:ascii="Times New Roman" w:eastAsia="Times New Roman" w:hAnsi="Times New Roman" w:cs="Times New Roman"/>
          <w:kern w:val="0"/>
          <w14:ligatures w14:val="none"/>
        </w:rPr>
        <w:t xml:space="preserve"> feedback dashboard for supervision: A </w:t>
      </w:r>
      <w:proofErr w:type="spellStart"/>
      <w:r w:rsidRPr="00D8206B">
        <w:rPr>
          <w:rFonts w:ascii="Times New Roman" w:eastAsia="Times New Roman" w:hAnsi="Times New Roman" w:cs="Times New Roman"/>
          <w:kern w:val="0"/>
          <w14:ligatures w14:val="none"/>
        </w:rPr>
        <w:t>randomised</w:t>
      </w:r>
      <w:proofErr w:type="spellEnd"/>
      <w:r w:rsidRPr="00D8206B">
        <w:rPr>
          <w:rFonts w:ascii="Times New Roman" w:eastAsia="Times New Roman" w:hAnsi="Times New Roman" w:cs="Times New Roman"/>
          <w:kern w:val="0"/>
          <w14:ligatures w14:val="none"/>
        </w:rPr>
        <w:t xml:space="preserve"> controlled trial. </w:t>
      </w:r>
      <w:r w:rsidRPr="00D8206B">
        <w:rPr>
          <w:rFonts w:ascii="Times New Roman" w:eastAsia="Times New Roman" w:hAnsi="Times New Roman" w:cs="Times New Roman"/>
          <w:i/>
          <w:iCs/>
          <w:kern w:val="0"/>
          <w14:ligatures w14:val="none"/>
        </w:rPr>
        <w:t>Journal of Global Health, 8</w:t>
      </w:r>
      <w:r w:rsidRPr="00D8206B">
        <w:rPr>
          <w:rFonts w:ascii="Times New Roman" w:eastAsia="Times New Roman" w:hAnsi="Times New Roman" w:cs="Times New Roman"/>
          <w:kern w:val="0"/>
          <w14:ligatures w14:val="none"/>
        </w:rPr>
        <w:t xml:space="preserve">(2), 020418. </w:t>
      </w:r>
    </w:p>
    <w:p w14:paraId="66FAD88F"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Willging, C. E., Trott, E. M., Fettes, D., Gunderson, L., Green, A. E., Hurlburt, M., &amp; Aarons, G. A. (2017). Research-supported intervention and discretion among frontline workers implementing home visitation services. </w:t>
      </w:r>
      <w:r w:rsidRPr="00D8206B">
        <w:rPr>
          <w:rFonts w:ascii="Times New Roman" w:eastAsia="Times New Roman" w:hAnsi="Times New Roman" w:cs="Times New Roman"/>
          <w:i/>
          <w:iCs/>
          <w:kern w:val="0"/>
          <w14:ligatures w14:val="none"/>
        </w:rPr>
        <w:t>Research on Social Work Practice, 27</w:t>
      </w:r>
      <w:r w:rsidRPr="00D8206B">
        <w:rPr>
          <w:rFonts w:ascii="Times New Roman" w:eastAsia="Times New Roman" w:hAnsi="Times New Roman" w:cs="Times New Roman"/>
          <w:kern w:val="0"/>
          <w14:ligatures w14:val="none"/>
        </w:rPr>
        <w:t xml:space="preserve">(6), 664–675. </w:t>
      </w:r>
    </w:p>
    <w:p w14:paraId="4052CC9A"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Womack, J. P., &amp; Jones, D. T. (2016). </w:t>
      </w:r>
      <w:r w:rsidRPr="00D8206B">
        <w:rPr>
          <w:rFonts w:ascii="Times New Roman" w:eastAsia="Times New Roman" w:hAnsi="Times New Roman" w:cs="Times New Roman"/>
          <w:i/>
          <w:iCs/>
          <w:kern w:val="0"/>
          <w14:ligatures w14:val="none"/>
        </w:rPr>
        <w:t>Lean Thinking: Banish waste and create wealth in your corporation</w:t>
      </w:r>
      <w:r w:rsidRPr="00D8206B">
        <w:rPr>
          <w:rFonts w:ascii="Times New Roman" w:eastAsia="Times New Roman" w:hAnsi="Times New Roman" w:cs="Times New Roman"/>
          <w:kern w:val="0"/>
          <w14:ligatures w14:val="none"/>
        </w:rPr>
        <w:t xml:space="preserve"> (1st ed.). Simon &amp; Schuster.</w:t>
      </w:r>
    </w:p>
    <w:p w14:paraId="438003F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Womack, J. P., Jones, D. T., &amp; </w:t>
      </w:r>
      <w:proofErr w:type="spellStart"/>
      <w:r w:rsidRPr="00D8206B">
        <w:rPr>
          <w:rFonts w:ascii="Times New Roman" w:eastAsia="SimSun" w:hAnsi="Times New Roman" w:cs="Times New Roman"/>
          <w:kern w:val="0"/>
          <w:lang w:eastAsia="zh-CN"/>
          <w14:ligatures w14:val="none"/>
        </w:rPr>
        <w:t>Roos</w:t>
      </w:r>
      <w:proofErr w:type="spellEnd"/>
      <w:r w:rsidRPr="00D8206B">
        <w:rPr>
          <w:rFonts w:ascii="Times New Roman" w:eastAsia="SimSun" w:hAnsi="Times New Roman" w:cs="Times New Roman"/>
          <w:kern w:val="0"/>
          <w:lang w:eastAsia="zh-CN"/>
          <w14:ligatures w14:val="none"/>
        </w:rPr>
        <w:t xml:space="preserve">, D. (1990). </w:t>
      </w:r>
      <w:r w:rsidRPr="00D8206B">
        <w:rPr>
          <w:rFonts w:ascii="Times New Roman" w:eastAsia="SimSun" w:hAnsi="Times New Roman" w:cs="Times New Roman"/>
          <w:i/>
          <w:iCs/>
          <w:kern w:val="0"/>
          <w:lang w:eastAsia="zh-CN"/>
          <w14:ligatures w14:val="none"/>
        </w:rPr>
        <w:t>The machine that changed the world.</w:t>
      </w:r>
      <w:r w:rsidRPr="00D8206B">
        <w:rPr>
          <w:rFonts w:ascii="Times New Roman" w:eastAsia="SimSun" w:hAnsi="Times New Roman" w:cs="Times New Roman"/>
          <w:kern w:val="0"/>
          <w:lang w:eastAsia="zh-CN"/>
          <w14:ligatures w14:val="none"/>
        </w:rPr>
        <w:t xml:space="preserve"> Free Press.</w:t>
      </w:r>
    </w:p>
    <w:p w14:paraId="2123FFC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World Travel &amp; Tourism Council. (2023). </w:t>
      </w:r>
      <w:r w:rsidRPr="00D8206B">
        <w:rPr>
          <w:rFonts w:ascii="Times New Roman" w:eastAsia="SimSun" w:hAnsi="Times New Roman" w:cs="Times New Roman"/>
          <w:i/>
          <w:iCs/>
          <w:kern w:val="0"/>
          <w:lang w:eastAsia="zh-CN"/>
          <w14:ligatures w14:val="none"/>
        </w:rPr>
        <w:t>Travel &amp; Tourism: Economic Impact 2023</w:t>
      </w:r>
      <w:r w:rsidRPr="00D8206B">
        <w:rPr>
          <w:rFonts w:ascii="Times New Roman" w:eastAsia="SimSun" w:hAnsi="Times New Roman" w:cs="Times New Roman"/>
          <w:kern w:val="0"/>
          <w:lang w:eastAsia="zh-CN"/>
          <w14:ligatures w14:val="none"/>
        </w:rPr>
        <w:t xml:space="preserve"> (Economic Impact Research). WTTC.</w:t>
      </w:r>
    </w:p>
    <w:p w14:paraId="7D185D37"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Yamashina, H. (2000). Challenge to world-class manufacturing. </w:t>
      </w:r>
      <w:r w:rsidRPr="00D8206B">
        <w:rPr>
          <w:rFonts w:ascii="Times New Roman" w:eastAsia="SimSun" w:hAnsi="Times New Roman" w:cs="Times New Roman"/>
          <w:i/>
          <w:iCs/>
          <w:kern w:val="0"/>
          <w:lang w:eastAsia="zh-CN"/>
          <w14:ligatures w14:val="none"/>
        </w:rPr>
        <w:t>International Journal of Quality &amp; Reliability Management, 17</w:t>
      </w:r>
      <w:r w:rsidRPr="00D8206B">
        <w:rPr>
          <w:rFonts w:ascii="Times New Roman" w:eastAsia="SimSun" w:hAnsi="Times New Roman" w:cs="Times New Roman"/>
          <w:kern w:val="0"/>
          <w:lang w:eastAsia="zh-CN"/>
          <w14:ligatures w14:val="none"/>
        </w:rPr>
        <w:t>(2), 132-143.</w:t>
      </w:r>
    </w:p>
    <w:p w14:paraId="2ABD04B6"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Yang, C. (2006). HRM practices and TQM implementation in Taiwan. </w:t>
      </w:r>
      <w:r w:rsidRPr="00D8206B">
        <w:rPr>
          <w:rFonts w:ascii="Times New Roman" w:eastAsia="Times New Roman" w:hAnsi="Times New Roman" w:cs="Times New Roman"/>
          <w:i/>
          <w:iCs/>
          <w:kern w:val="0"/>
          <w14:ligatures w14:val="none"/>
        </w:rPr>
        <w:t>Asia Pacific Journal of Human Resources, 44</w:t>
      </w:r>
      <w:r w:rsidRPr="00D8206B">
        <w:rPr>
          <w:rFonts w:ascii="Times New Roman" w:eastAsia="Times New Roman" w:hAnsi="Times New Roman" w:cs="Times New Roman"/>
          <w:kern w:val="0"/>
          <w14:ligatures w14:val="none"/>
        </w:rPr>
        <w:t>(1), 1–18.</w:t>
      </w:r>
    </w:p>
    <w:p w14:paraId="306A8C2A"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Zairi, M. (2012). Total quality management for the hospitality sector: A critical evaluation. </w:t>
      </w:r>
      <w:r w:rsidRPr="00D8206B">
        <w:rPr>
          <w:rFonts w:ascii="Times New Roman" w:eastAsia="SimSun" w:hAnsi="Times New Roman" w:cs="Times New Roman"/>
          <w:i/>
          <w:iCs/>
          <w:kern w:val="0"/>
          <w:lang w:eastAsia="zh-CN"/>
          <w14:ligatures w14:val="none"/>
        </w:rPr>
        <w:t>TQM Journal, 24</w:t>
      </w:r>
      <w:r w:rsidRPr="00D8206B">
        <w:rPr>
          <w:rFonts w:ascii="Times New Roman" w:eastAsia="SimSun" w:hAnsi="Times New Roman" w:cs="Times New Roman"/>
          <w:kern w:val="0"/>
          <w:lang w:eastAsia="zh-CN"/>
          <w14:ligatures w14:val="none"/>
        </w:rPr>
        <w:t>(6), 513-527.</w:t>
      </w:r>
    </w:p>
    <w:p w14:paraId="028FFD21"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Zeithaml, V. A., Berry, L. L., &amp; Parasuraman, A. (1996). The behavioral consequences of service quality. </w:t>
      </w:r>
      <w:r w:rsidRPr="00D8206B">
        <w:rPr>
          <w:rFonts w:ascii="Times New Roman" w:eastAsia="SimSun" w:hAnsi="Times New Roman" w:cs="Times New Roman"/>
          <w:i/>
          <w:iCs/>
          <w:kern w:val="0"/>
          <w:lang w:eastAsia="zh-CN"/>
          <w14:ligatures w14:val="none"/>
        </w:rPr>
        <w:t>Journal of Marketing, 60</w:t>
      </w:r>
      <w:r w:rsidRPr="00D8206B">
        <w:rPr>
          <w:rFonts w:ascii="Times New Roman" w:eastAsia="SimSun" w:hAnsi="Times New Roman" w:cs="Times New Roman"/>
          <w:kern w:val="0"/>
          <w:lang w:eastAsia="zh-CN"/>
          <w14:ligatures w14:val="none"/>
        </w:rPr>
        <w:t xml:space="preserve">(2), 31-46. </w:t>
      </w:r>
    </w:p>
    <w:p w14:paraId="68EE949B"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Zeng, S., Xie, X., &amp; Tam, C. M. (2015). Environmental management practices in hospitality. </w:t>
      </w:r>
      <w:r w:rsidRPr="00D8206B">
        <w:rPr>
          <w:rFonts w:ascii="Times New Roman" w:eastAsia="SimSun" w:hAnsi="Times New Roman" w:cs="Times New Roman"/>
          <w:i/>
          <w:iCs/>
          <w:kern w:val="0"/>
          <w:lang w:eastAsia="zh-CN"/>
          <w14:ligatures w14:val="none"/>
        </w:rPr>
        <w:t>International Journal of Hospitality Management, 45</w:t>
      </w:r>
      <w:r w:rsidRPr="00D8206B">
        <w:rPr>
          <w:rFonts w:ascii="Times New Roman" w:eastAsia="SimSun" w:hAnsi="Times New Roman" w:cs="Times New Roman"/>
          <w:kern w:val="0"/>
          <w:lang w:eastAsia="zh-CN"/>
          <w14:ligatures w14:val="none"/>
        </w:rPr>
        <w:t>, 154–164.</w:t>
      </w:r>
    </w:p>
    <w:p w14:paraId="23C7F24D"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lastRenderedPageBreak/>
        <w:t xml:space="preserve">Zhang, X., Li, H., &amp; Chen, Q. (2017). Lean manufacturing and operational performance in Chinese automotive parts suppliers. </w:t>
      </w:r>
      <w:r w:rsidRPr="00D8206B">
        <w:rPr>
          <w:rFonts w:ascii="Times New Roman" w:eastAsia="Times New Roman" w:hAnsi="Times New Roman" w:cs="Times New Roman"/>
          <w:i/>
          <w:iCs/>
          <w:kern w:val="0"/>
          <w14:ligatures w14:val="none"/>
        </w:rPr>
        <w:t>Chinese Journal of Mechanical Engineering, 30</w:t>
      </w:r>
      <w:r w:rsidRPr="00D8206B">
        <w:rPr>
          <w:rFonts w:ascii="Times New Roman" w:eastAsia="Times New Roman" w:hAnsi="Times New Roman" w:cs="Times New Roman"/>
          <w:kern w:val="0"/>
          <w14:ligatures w14:val="none"/>
        </w:rPr>
        <w:t>(6), 421–438.</w:t>
      </w:r>
    </w:p>
    <w:p w14:paraId="48A74558" w14:textId="77777777" w:rsidR="00D8206B" w:rsidRPr="00D8206B" w:rsidRDefault="00D8206B" w:rsidP="00D8206B">
      <w:pPr>
        <w:spacing w:beforeAutospacing="1" w:after="0" w:afterAutospacing="1" w:line="240" w:lineRule="auto"/>
        <w:jc w:val="both"/>
        <w:rPr>
          <w:rFonts w:ascii="Times New Roman" w:eastAsia="SimSun" w:hAnsi="Times New Roman" w:cs="Times New Roman"/>
          <w:kern w:val="0"/>
          <w:lang w:eastAsia="zh-CN"/>
          <w14:ligatures w14:val="none"/>
        </w:rPr>
      </w:pPr>
      <w:r w:rsidRPr="00D8206B">
        <w:rPr>
          <w:rFonts w:ascii="Times New Roman" w:eastAsia="SimSun" w:hAnsi="Times New Roman" w:cs="Times New Roman"/>
          <w:kern w:val="0"/>
          <w:lang w:eastAsia="zh-CN"/>
          <w14:ligatures w14:val="none"/>
        </w:rPr>
        <w:t xml:space="preserve">Zhang, Y., &amp; Wang, X. (2022). Organizational culture and resilience in hospitality. </w:t>
      </w:r>
      <w:r w:rsidRPr="00D8206B">
        <w:rPr>
          <w:rFonts w:ascii="Times New Roman" w:eastAsia="SimSun" w:hAnsi="Times New Roman" w:cs="Times New Roman"/>
          <w:i/>
          <w:iCs/>
          <w:kern w:val="0"/>
          <w:lang w:eastAsia="zh-CN"/>
          <w14:ligatures w14:val="none"/>
        </w:rPr>
        <w:t>Journal of Business Research, 140</w:t>
      </w:r>
      <w:r w:rsidRPr="00D8206B">
        <w:rPr>
          <w:rFonts w:ascii="Times New Roman" w:eastAsia="SimSun" w:hAnsi="Times New Roman" w:cs="Times New Roman"/>
          <w:kern w:val="0"/>
          <w:lang w:eastAsia="zh-CN"/>
          <w14:ligatures w14:val="none"/>
        </w:rPr>
        <w:t>, 345–356.</w:t>
      </w:r>
    </w:p>
    <w:p w14:paraId="541C24D9"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Times New Roman" w:hAnsi="Times New Roman" w:cs="Times New Roman"/>
          <w:kern w:val="0"/>
          <w14:ligatures w14:val="none"/>
        </w:rPr>
        <w:t xml:space="preserve">Zhao, Y., &amp; Liu, H. (2015). Manufacturing process optimization and delivery timeliness (China). </w:t>
      </w:r>
      <w:r w:rsidRPr="00D8206B">
        <w:rPr>
          <w:rFonts w:ascii="Times New Roman" w:eastAsia="Times New Roman" w:hAnsi="Times New Roman" w:cs="Times New Roman"/>
          <w:i/>
          <w:iCs/>
          <w:kern w:val="0"/>
          <w14:ligatures w14:val="none"/>
        </w:rPr>
        <w:t>Journal of Manufacturing Systems, 37</w:t>
      </w:r>
      <w:r w:rsidRPr="00D8206B">
        <w:rPr>
          <w:rFonts w:ascii="Times New Roman" w:eastAsia="Times New Roman" w:hAnsi="Times New Roman" w:cs="Times New Roman"/>
          <w:kern w:val="0"/>
          <w14:ligatures w14:val="none"/>
        </w:rPr>
        <w:t xml:space="preserve">, 23–35. </w:t>
      </w:r>
    </w:p>
    <w:p w14:paraId="56BE778A" w14:textId="77777777" w:rsidR="00D8206B" w:rsidRPr="00D8206B" w:rsidRDefault="00D8206B" w:rsidP="00D8206B">
      <w:pPr>
        <w:spacing w:before="100" w:beforeAutospacing="1" w:after="100" w:afterAutospacing="1" w:line="259" w:lineRule="auto"/>
        <w:jc w:val="both"/>
        <w:rPr>
          <w:rFonts w:ascii="Times New Roman" w:eastAsia="Times New Roman" w:hAnsi="Times New Roman" w:cs="Times New Roman"/>
          <w:kern w:val="0"/>
          <w14:ligatures w14:val="none"/>
        </w:rPr>
      </w:pPr>
      <w:r w:rsidRPr="00D8206B">
        <w:rPr>
          <w:rFonts w:ascii="Times New Roman" w:eastAsia="Calibri" w:hAnsi="Times New Roman" w:cs="Times New Roman"/>
          <w:kern w:val="0"/>
          <w:sz w:val="22"/>
          <w:szCs w:val="22"/>
          <w14:ligatures w14:val="none"/>
        </w:rPr>
        <w:t xml:space="preserve">Zhou, L., &amp; Li, H. (2015). Innovation and service quality: A meta-analysis. </w:t>
      </w:r>
      <w:r w:rsidRPr="00D8206B">
        <w:rPr>
          <w:rFonts w:ascii="Times New Roman" w:eastAsia="Calibri" w:hAnsi="Times New Roman" w:cs="Times New Roman"/>
          <w:i/>
          <w:iCs/>
          <w:kern w:val="0"/>
          <w:sz w:val="22"/>
          <w:szCs w:val="22"/>
          <w14:ligatures w14:val="none"/>
        </w:rPr>
        <w:t>Service Science Review, 6</w:t>
      </w:r>
      <w:r w:rsidRPr="00D8206B">
        <w:rPr>
          <w:rFonts w:ascii="Times New Roman" w:eastAsia="Calibri" w:hAnsi="Times New Roman" w:cs="Times New Roman"/>
          <w:kern w:val="0"/>
          <w:sz w:val="22"/>
          <w:szCs w:val="22"/>
          <w14:ligatures w14:val="none"/>
        </w:rPr>
        <w:t>(1), 33–52.</w:t>
      </w:r>
    </w:p>
    <w:p w14:paraId="7F27F582" w14:textId="77777777" w:rsidR="00D8206B" w:rsidRDefault="00D8206B" w:rsidP="00A60822">
      <w:pPr>
        <w:spacing w:after="0" w:line="240" w:lineRule="auto"/>
        <w:jc w:val="both"/>
        <w:rPr>
          <w:rFonts w:ascii="Times New Roman" w:hAnsi="Times New Roman" w:cs="Times New Roman"/>
          <w:b/>
          <w:bCs/>
          <w:sz w:val="36"/>
          <w:szCs w:val="36"/>
        </w:rPr>
      </w:pPr>
    </w:p>
    <w:p w14:paraId="7E6CD19F" w14:textId="77777777" w:rsidR="000B444A" w:rsidRDefault="000B444A" w:rsidP="00A60822">
      <w:pPr>
        <w:spacing w:after="0" w:line="240" w:lineRule="auto"/>
        <w:jc w:val="both"/>
        <w:rPr>
          <w:rFonts w:ascii="Times New Roman" w:hAnsi="Times New Roman" w:cs="Times New Roman"/>
          <w:b/>
          <w:bCs/>
          <w:sz w:val="36"/>
          <w:szCs w:val="36"/>
        </w:rPr>
      </w:pPr>
    </w:p>
    <w:p w14:paraId="753D5118" w14:textId="77777777" w:rsidR="000B444A" w:rsidRDefault="000B444A" w:rsidP="00A60822">
      <w:pPr>
        <w:spacing w:after="0" w:line="240" w:lineRule="auto"/>
        <w:jc w:val="both"/>
        <w:rPr>
          <w:rFonts w:ascii="Times New Roman" w:hAnsi="Times New Roman" w:cs="Times New Roman"/>
          <w:b/>
          <w:bCs/>
          <w:sz w:val="36"/>
          <w:szCs w:val="36"/>
        </w:rPr>
      </w:pPr>
    </w:p>
    <w:p w14:paraId="290F112B" w14:textId="77777777" w:rsidR="000B444A" w:rsidRDefault="000B444A" w:rsidP="00A60822">
      <w:pPr>
        <w:spacing w:after="0" w:line="240" w:lineRule="auto"/>
        <w:jc w:val="both"/>
        <w:rPr>
          <w:rFonts w:ascii="Times New Roman" w:hAnsi="Times New Roman" w:cs="Times New Roman"/>
          <w:b/>
          <w:bCs/>
          <w:sz w:val="36"/>
          <w:szCs w:val="36"/>
        </w:rPr>
      </w:pPr>
    </w:p>
    <w:p w14:paraId="5728D51E" w14:textId="77777777" w:rsidR="000B444A" w:rsidRDefault="000B444A" w:rsidP="00A60822">
      <w:pPr>
        <w:spacing w:after="0" w:line="240" w:lineRule="auto"/>
        <w:jc w:val="both"/>
        <w:rPr>
          <w:rFonts w:ascii="Times New Roman" w:hAnsi="Times New Roman" w:cs="Times New Roman"/>
          <w:b/>
          <w:bCs/>
          <w:sz w:val="36"/>
          <w:szCs w:val="36"/>
        </w:rPr>
      </w:pPr>
    </w:p>
    <w:p w14:paraId="07068919" w14:textId="77777777" w:rsidR="000B444A" w:rsidRDefault="000B444A" w:rsidP="00A60822">
      <w:pPr>
        <w:spacing w:after="0" w:line="240" w:lineRule="auto"/>
        <w:jc w:val="both"/>
        <w:rPr>
          <w:rFonts w:ascii="Times New Roman" w:hAnsi="Times New Roman" w:cs="Times New Roman"/>
          <w:b/>
          <w:bCs/>
          <w:sz w:val="36"/>
          <w:szCs w:val="36"/>
        </w:rPr>
      </w:pPr>
    </w:p>
    <w:p w14:paraId="6ED85FEC" w14:textId="77777777" w:rsidR="000B444A" w:rsidRDefault="000B444A" w:rsidP="00A60822">
      <w:pPr>
        <w:spacing w:after="0" w:line="240" w:lineRule="auto"/>
        <w:jc w:val="both"/>
        <w:rPr>
          <w:rFonts w:ascii="Times New Roman" w:hAnsi="Times New Roman" w:cs="Times New Roman"/>
          <w:b/>
          <w:bCs/>
          <w:sz w:val="36"/>
          <w:szCs w:val="36"/>
        </w:rPr>
      </w:pPr>
    </w:p>
    <w:p w14:paraId="4D183114" w14:textId="77777777" w:rsidR="000B444A" w:rsidRDefault="000B444A" w:rsidP="00A60822">
      <w:pPr>
        <w:spacing w:after="0" w:line="240" w:lineRule="auto"/>
        <w:jc w:val="both"/>
        <w:rPr>
          <w:rFonts w:ascii="Times New Roman" w:hAnsi="Times New Roman" w:cs="Times New Roman"/>
          <w:b/>
          <w:bCs/>
          <w:sz w:val="36"/>
          <w:szCs w:val="36"/>
        </w:rPr>
      </w:pPr>
    </w:p>
    <w:p w14:paraId="3F7E9119" w14:textId="77777777" w:rsidR="000B444A" w:rsidRDefault="000B444A" w:rsidP="00A60822">
      <w:pPr>
        <w:spacing w:after="0" w:line="240" w:lineRule="auto"/>
        <w:jc w:val="both"/>
        <w:rPr>
          <w:rFonts w:ascii="Times New Roman" w:hAnsi="Times New Roman" w:cs="Times New Roman"/>
          <w:b/>
          <w:bCs/>
          <w:sz w:val="36"/>
          <w:szCs w:val="36"/>
        </w:rPr>
      </w:pPr>
    </w:p>
    <w:p w14:paraId="61A17B7D" w14:textId="77777777" w:rsidR="000B444A" w:rsidRDefault="000B444A" w:rsidP="00A60822">
      <w:pPr>
        <w:spacing w:after="0" w:line="240" w:lineRule="auto"/>
        <w:jc w:val="both"/>
        <w:rPr>
          <w:rFonts w:ascii="Times New Roman" w:hAnsi="Times New Roman" w:cs="Times New Roman"/>
          <w:b/>
          <w:bCs/>
          <w:sz w:val="36"/>
          <w:szCs w:val="36"/>
        </w:rPr>
      </w:pPr>
    </w:p>
    <w:p w14:paraId="4F7BE0EA" w14:textId="77777777" w:rsidR="000B444A" w:rsidRDefault="000B444A" w:rsidP="00A60822">
      <w:pPr>
        <w:spacing w:after="0" w:line="240" w:lineRule="auto"/>
        <w:jc w:val="both"/>
        <w:rPr>
          <w:rFonts w:ascii="Times New Roman" w:hAnsi="Times New Roman" w:cs="Times New Roman"/>
          <w:b/>
          <w:bCs/>
          <w:sz w:val="36"/>
          <w:szCs w:val="36"/>
        </w:rPr>
      </w:pPr>
    </w:p>
    <w:p w14:paraId="15C8EEF0" w14:textId="77777777" w:rsidR="000B444A" w:rsidRDefault="000B444A" w:rsidP="00A60822">
      <w:pPr>
        <w:spacing w:after="0" w:line="240" w:lineRule="auto"/>
        <w:jc w:val="both"/>
        <w:rPr>
          <w:rFonts w:ascii="Times New Roman" w:hAnsi="Times New Roman" w:cs="Times New Roman"/>
          <w:b/>
          <w:bCs/>
          <w:sz w:val="36"/>
          <w:szCs w:val="36"/>
        </w:rPr>
      </w:pPr>
    </w:p>
    <w:p w14:paraId="3454D6B3" w14:textId="77777777" w:rsidR="00641746" w:rsidRDefault="00641746"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3B49FFE5" w14:textId="77777777" w:rsidR="00641746" w:rsidRDefault="00641746"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A1FE3E3" w14:textId="77777777" w:rsidR="00641746" w:rsidRDefault="00641746"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A74123E" w14:textId="77777777" w:rsidR="00583609" w:rsidRDefault="00583609"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73A1781D" w14:textId="77777777" w:rsidR="00583609" w:rsidRDefault="00583609"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066D5ECF" w14:textId="77777777" w:rsidR="00583609" w:rsidRDefault="00583609"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685E306" w14:textId="77777777" w:rsidR="00583609" w:rsidRDefault="00583609"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2F36E17F" w14:textId="77777777" w:rsidR="00583609" w:rsidRDefault="00583609"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258ED7EF" w14:textId="77777777" w:rsidR="00583609" w:rsidRDefault="00583609"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2EDAF329" w14:textId="77777777" w:rsidR="00641746" w:rsidRDefault="00641746"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3ED31B65" w14:textId="38B5ACBE" w:rsidR="000B444A" w:rsidRPr="000B444A" w:rsidRDefault="000B444A"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B444A">
        <w:rPr>
          <w:rFonts w:ascii="Times New Roman" w:eastAsia="Times New Roman" w:hAnsi="Times New Roman" w:cs="Times New Roman"/>
          <w:b/>
          <w:bCs/>
          <w:kern w:val="0"/>
          <w14:ligatures w14:val="none"/>
        </w:rPr>
        <w:lastRenderedPageBreak/>
        <w:t>THE MODERATING EFFECT OF ORGANIZATIONAL CULTURE ON THE RELATIONSHIP BETWEEN LEAN OPERATIONS AND SERVICE QUALITY DELIVERY</w:t>
      </w:r>
    </w:p>
    <w:p w14:paraId="43CECD41" w14:textId="77777777" w:rsidR="000B444A" w:rsidRPr="000B444A" w:rsidRDefault="000B444A" w:rsidP="000B444A">
      <w:pPr>
        <w:suppressAutoHyphens/>
        <w:spacing w:after="0" w:line="240" w:lineRule="auto"/>
        <w:jc w:val="center"/>
        <w:rPr>
          <w:rFonts w:ascii="Times New Roman" w:eastAsia="Calibri" w:hAnsi="Times New Roman" w:cs="Times New Roman"/>
          <w:i/>
          <w:iCs/>
          <w:kern w:val="0"/>
          <w:lang w:val="en-GB"/>
          <w14:ligatures w14:val="none"/>
        </w:rPr>
      </w:pPr>
      <w:r w:rsidRPr="000B444A">
        <w:rPr>
          <w:rFonts w:ascii="Times New Roman" w:eastAsia="Calibri" w:hAnsi="Times New Roman" w:cs="Times New Roman"/>
          <w:i/>
          <w:iCs/>
          <w:kern w:val="0"/>
          <w:vertAlign w:val="superscript"/>
          <w:lang w:val="en-GB"/>
          <w14:ligatures w14:val="none"/>
        </w:rPr>
        <w:t>1</w:t>
      </w:r>
      <w:r w:rsidRPr="000B444A">
        <w:rPr>
          <w:rFonts w:ascii="Times New Roman" w:eastAsia="Calibri" w:hAnsi="Times New Roman" w:cs="Times New Roman"/>
          <w:i/>
          <w:iCs/>
          <w:kern w:val="0"/>
          <w:lang w:val="en-GB"/>
          <w14:ligatures w14:val="none"/>
        </w:rPr>
        <w:t xml:space="preserve">Daniel, Bethel </w:t>
      </w:r>
      <w:proofErr w:type="spellStart"/>
      <w:r w:rsidRPr="000B444A">
        <w:rPr>
          <w:rFonts w:ascii="Times New Roman" w:eastAsia="Calibri" w:hAnsi="Times New Roman" w:cs="Times New Roman"/>
          <w:i/>
          <w:iCs/>
          <w:kern w:val="0"/>
          <w:lang w:val="en-GB"/>
          <w14:ligatures w14:val="none"/>
        </w:rPr>
        <w:t>Ledornubari</w:t>
      </w:r>
      <w:proofErr w:type="spellEnd"/>
      <w:r w:rsidRPr="000B444A">
        <w:rPr>
          <w:rFonts w:ascii="Times New Roman" w:eastAsia="Calibri" w:hAnsi="Times New Roman" w:cs="Times New Roman"/>
          <w:i/>
          <w:iCs/>
          <w:kern w:val="0"/>
          <w:lang w:val="en-GB"/>
          <w14:ligatures w14:val="none"/>
        </w:rPr>
        <w:t xml:space="preserve"> &amp; Prof </w:t>
      </w:r>
      <w:proofErr w:type="spellStart"/>
      <w:r w:rsidRPr="000B444A">
        <w:rPr>
          <w:rFonts w:ascii="Times New Roman" w:eastAsia="Calibri" w:hAnsi="Times New Roman" w:cs="Times New Roman"/>
          <w:i/>
          <w:iCs/>
          <w:kern w:val="0"/>
          <w:lang w:val="en-GB"/>
          <w14:ligatures w14:val="none"/>
        </w:rPr>
        <w:t>Ndu</w:t>
      </w:r>
      <w:proofErr w:type="spellEnd"/>
      <w:r w:rsidRPr="000B444A">
        <w:rPr>
          <w:rFonts w:ascii="Times New Roman" w:eastAsia="Calibri" w:hAnsi="Times New Roman" w:cs="Times New Roman"/>
          <w:i/>
          <w:iCs/>
          <w:kern w:val="0"/>
          <w:lang w:val="en-GB"/>
          <w14:ligatures w14:val="none"/>
        </w:rPr>
        <w:t>, Eugene Chigozie</w:t>
      </w:r>
      <w:r w:rsidRPr="000B444A">
        <w:rPr>
          <w:rFonts w:ascii="Times New Roman" w:eastAsia="Calibri" w:hAnsi="Times New Roman" w:cs="Times New Roman"/>
          <w:i/>
          <w:iCs/>
          <w:kern w:val="0"/>
          <w:vertAlign w:val="superscript"/>
          <w:lang w:val="en-GB"/>
          <w14:ligatures w14:val="none"/>
        </w:rPr>
        <w:t>2</w:t>
      </w:r>
    </w:p>
    <w:p w14:paraId="6FA50F1A" w14:textId="77777777" w:rsidR="000B444A" w:rsidRPr="000B444A" w:rsidRDefault="000B444A" w:rsidP="000B444A">
      <w:pPr>
        <w:suppressAutoHyphens/>
        <w:spacing w:after="0" w:line="240" w:lineRule="auto"/>
        <w:jc w:val="center"/>
        <w:rPr>
          <w:rFonts w:ascii="Times New Roman" w:eastAsia="Calibri" w:hAnsi="Times New Roman" w:cs="Times New Roman"/>
          <w:i/>
          <w:iCs/>
          <w:kern w:val="0"/>
          <w:lang w:val="en-GB"/>
          <w14:ligatures w14:val="none"/>
        </w:rPr>
      </w:pPr>
      <w:r w:rsidRPr="000B444A">
        <w:rPr>
          <w:rFonts w:ascii="Times New Roman" w:eastAsia="Calibri" w:hAnsi="Times New Roman" w:cs="Times New Roman"/>
          <w:i/>
          <w:iCs/>
          <w:kern w:val="0"/>
          <w:lang w:val="en-GB"/>
          <w14:ligatures w14:val="none"/>
        </w:rPr>
        <w:t>Department of Hospitality Management and Tourism,</w:t>
      </w:r>
    </w:p>
    <w:p w14:paraId="2A414624" w14:textId="77777777" w:rsidR="000B444A" w:rsidRPr="000B444A" w:rsidRDefault="000B444A" w:rsidP="000B444A">
      <w:pPr>
        <w:suppressAutoHyphens/>
        <w:spacing w:after="0" w:line="240" w:lineRule="auto"/>
        <w:jc w:val="center"/>
        <w:rPr>
          <w:rFonts w:ascii="Times New Roman" w:eastAsia="Calibri" w:hAnsi="Times New Roman" w:cs="Times New Roman"/>
          <w:i/>
          <w:iCs/>
          <w:kern w:val="0"/>
          <w:lang w:val="en-GB"/>
          <w14:ligatures w14:val="none"/>
        </w:rPr>
      </w:pPr>
      <w:r w:rsidRPr="000B444A">
        <w:rPr>
          <w:rFonts w:ascii="Times New Roman" w:eastAsia="Calibri" w:hAnsi="Times New Roman" w:cs="Times New Roman"/>
          <w:i/>
          <w:iCs/>
          <w:kern w:val="0"/>
          <w:lang w:val="en-GB"/>
          <w14:ligatures w14:val="none"/>
        </w:rPr>
        <w:t>Faculty of Management Sciences</w:t>
      </w:r>
    </w:p>
    <w:p w14:paraId="252CA9EC" w14:textId="77777777" w:rsidR="000B444A" w:rsidRPr="000B444A" w:rsidRDefault="000B444A" w:rsidP="000B444A">
      <w:pPr>
        <w:suppressAutoHyphens/>
        <w:spacing w:after="0" w:line="240" w:lineRule="auto"/>
        <w:jc w:val="center"/>
        <w:rPr>
          <w:rFonts w:ascii="Times New Roman" w:eastAsia="Calibri" w:hAnsi="Times New Roman" w:cs="Times New Roman"/>
          <w:i/>
          <w:iCs/>
          <w:kern w:val="0"/>
          <w:lang w:val="en-GB"/>
          <w14:ligatures w14:val="none"/>
        </w:rPr>
      </w:pPr>
      <w:r w:rsidRPr="000B444A">
        <w:rPr>
          <w:rFonts w:ascii="Times New Roman" w:eastAsia="Calibri" w:hAnsi="Times New Roman" w:cs="Times New Roman"/>
          <w:i/>
          <w:iCs/>
          <w:kern w:val="0"/>
          <w:lang w:val="en-GB"/>
          <w14:ligatures w14:val="none"/>
        </w:rPr>
        <w:t>University of Port Harcourt, Nigeria</w:t>
      </w:r>
    </w:p>
    <w:p w14:paraId="3D7F8A37" w14:textId="77777777" w:rsidR="000B444A" w:rsidRPr="000B444A" w:rsidRDefault="000B444A" w:rsidP="000B444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B444A">
        <w:rPr>
          <w:rFonts w:ascii="Times New Roman" w:eastAsia="Times New Roman" w:hAnsi="Times New Roman" w:cs="Times New Roman"/>
          <w:b/>
          <w:bCs/>
          <w:kern w:val="0"/>
          <w14:ligatures w14:val="none"/>
        </w:rPr>
        <w:t>Abstract</w:t>
      </w:r>
    </w:p>
    <w:p w14:paraId="60E644C2"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This study examined whether organizational culture moderates the relationship between lean operations and quality service delivery in hotels in Rivers State, Nigeria. Using a cross-sectional survey of hotels listed by the Nigerian Hotel Association (31 hotels sampled from a 290-hotel size) and manager-level responses, the study applied Partial Least Squares Structural Equation Modeling (</w:t>
      </w:r>
      <w:proofErr w:type="spellStart"/>
      <w:r w:rsidRPr="000B444A">
        <w:rPr>
          <w:rFonts w:ascii="Times New Roman" w:eastAsia="Times New Roman" w:hAnsi="Times New Roman" w:cs="Times New Roman"/>
          <w:kern w:val="0"/>
          <w14:ligatures w14:val="none"/>
        </w:rPr>
        <w:t>SmartPLS</w:t>
      </w:r>
      <w:proofErr w:type="spellEnd"/>
      <w:r w:rsidRPr="000B444A">
        <w:rPr>
          <w:rFonts w:ascii="Times New Roman" w:eastAsia="Times New Roman" w:hAnsi="Times New Roman" w:cs="Times New Roman"/>
          <w:kern w:val="0"/>
          <w14:ligatures w14:val="none"/>
        </w:rPr>
        <w:t>) to test direct and interaction effects. Results show that lean operations characterized by process optimization, waste elimination and resource efficiency are strong predictors of improved service speed, accuracy and protocol adherence. However, the interaction of organizational culture with lean operations produced a small negative coefficient (β = –0.035) that was not statistically significant (p = 0.101; t = 1.203), leading to retention of the null hypothesis that culture does not significantly moderate the lean–service link in this sample. The findings suggest that, while lean practices deliver measurable service gains regardless of prevailing culture, long-term sustainment and amplification of those gains are likely aided by culturally supportive practices. Managerial implications include prioritizing targeted process redesign, frontline empowerment, small-scale pilots led by local champions, low-cost digital enablers, and focused on-the-job training to embed lean routines. The study recommends refining culture measures and using longitudinal designs to capture delayed cultural effects.</w:t>
      </w:r>
    </w:p>
    <w:p w14:paraId="7CE8AC13"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Keywords: Lean operations; Organizational culture; Quality service delivery; Hotel operations; Rivers State</w:t>
      </w:r>
    </w:p>
    <w:p w14:paraId="051E60CC" w14:textId="77777777" w:rsidR="000B444A" w:rsidRPr="000B444A" w:rsidRDefault="000B444A" w:rsidP="000B444A">
      <w:pPr>
        <w:numPr>
          <w:ilvl w:val="0"/>
          <w:numId w:val="40"/>
        </w:numPr>
        <w:spacing w:line="240" w:lineRule="auto"/>
        <w:contextualSpacing/>
        <w:jc w:val="both"/>
        <w:rPr>
          <w:rFonts w:ascii="Times New Roman" w:eastAsia="Calibri" w:hAnsi="Times New Roman" w:cs="Times New Roman"/>
          <w:b/>
          <w:bCs/>
          <w:kern w:val="0"/>
          <w14:ligatures w14:val="none"/>
        </w:rPr>
      </w:pPr>
      <w:r w:rsidRPr="000B444A">
        <w:rPr>
          <w:rFonts w:ascii="Times New Roman" w:eastAsia="Calibri" w:hAnsi="Times New Roman" w:cs="Times New Roman"/>
          <w:b/>
          <w:bCs/>
          <w:kern w:val="0"/>
          <w14:ligatures w14:val="none"/>
        </w:rPr>
        <w:t>Introduction</w:t>
      </w:r>
    </w:p>
    <w:p w14:paraId="79742A61" w14:textId="77777777" w:rsidR="000B444A" w:rsidRPr="000B444A" w:rsidRDefault="000B444A" w:rsidP="000B444A">
      <w:pPr>
        <w:spacing w:line="240" w:lineRule="auto"/>
        <w:jc w:val="both"/>
        <w:rPr>
          <w:rFonts w:ascii="Times New Roman" w:eastAsia="Calibri" w:hAnsi="Times New Roman" w:cs="Times New Roman"/>
          <w:kern w:val="0"/>
          <w:lang w:val="en-GB"/>
          <w14:ligatures w14:val="none"/>
        </w:rPr>
      </w:pPr>
      <w:r w:rsidRPr="000B444A">
        <w:rPr>
          <w:rFonts w:ascii="Times New Roman" w:eastAsia="Calibri" w:hAnsi="Times New Roman" w:cs="Times New Roman"/>
          <w:kern w:val="0"/>
          <w14:ligatures w14:val="none"/>
        </w:rPr>
        <w:t xml:space="preserve">The role of hotel establishments/business in improving the economic statue of many countries cannot be overemphasized as it has evidential proof to have contributed to job creation, employment generation, improved living standard, reduction of poverty </w:t>
      </w:r>
      <w:proofErr w:type="spellStart"/>
      <w:r w:rsidRPr="000B444A">
        <w:rPr>
          <w:rFonts w:ascii="Times New Roman" w:eastAsia="Calibri" w:hAnsi="Times New Roman" w:cs="Times New Roman"/>
          <w:kern w:val="0"/>
          <w14:ligatures w14:val="none"/>
        </w:rPr>
        <w:t>etc</w:t>
      </w:r>
      <w:proofErr w:type="spellEnd"/>
      <w:r w:rsidRPr="000B444A">
        <w:rPr>
          <w:rFonts w:ascii="Times New Roman" w:eastAsia="Calibri" w:hAnsi="Times New Roman" w:cs="Times New Roman"/>
          <w:kern w:val="0"/>
          <w14:ligatures w14:val="none"/>
        </w:rPr>
        <w:t xml:space="preserve"> (World Travel &amp; Tourism Council, 2023). </w:t>
      </w:r>
      <w:r w:rsidRPr="000B444A">
        <w:rPr>
          <w:rFonts w:ascii="Times New Roman" w:eastAsia="Calibri" w:hAnsi="Times New Roman" w:cs="Times New Roman"/>
          <w:kern w:val="0"/>
          <w:lang w:val="en-GB"/>
          <w14:ligatures w14:val="none"/>
        </w:rPr>
        <w:t xml:space="preserve">The continuous customer changes in needs, trends, sophistication and value orientation have placed a serious pressure on the hotel sector to always evolve </w:t>
      </w:r>
      <w:r w:rsidRPr="000B444A">
        <w:rPr>
          <w:rFonts w:ascii="Times New Roman" w:eastAsia="Calibri" w:hAnsi="Times New Roman" w:cs="Times New Roman"/>
          <w:kern w:val="0"/>
          <w14:ligatures w14:val="none"/>
        </w:rPr>
        <w:t xml:space="preserve">(Hussain et al., 2019; </w:t>
      </w:r>
      <w:proofErr w:type="spellStart"/>
      <w:r w:rsidRPr="000B444A">
        <w:rPr>
          <w:rFonts w:ascii="Times New Roman" w:eastAsia="Calibri" w:hAnsi="Times New Roman" w:cs="Times New Roman"/>
          <w:kern w:val="0"/>
          <w14:ligatures w14:val="none"/>
        </w:rPr>
        <w:t>Ladhari</w:t>
      </w:r>
      <w:proofErr w:type="spellEnd"/>
      <w:r w:rsidRPr="000B444A">
        <w:rPr>
          <w:rFonts w:ascii="Times New Roman" w:eastAsia="Calibri" w:hAnsi="Times New Roman" w:cs="Times New Roman"/>
          <w:kern w:val="0"/>
          <w14:ligatures w14:val="none"/>
        </w:rPr>
        <w:t>, 2020)</w:t>
      </w:r>
      <w:r w:rsidRPr="000B444A">
        <w:rPr>
          <w:rFonts w:ascii="Times New Roman" w:eastAsia="Calibri" w:hAnsi="Times New Roman" w:cs="Times New Roman"/>
          <w:kern w:val="0"/>
          <w:lang w:val="en-GB"/>
          <w14:ligatures w14:val="none"/>
        </w:rPr>
        <w:t xml:space="preserve">. And to achieve this, </w:t>
      </w:r>
      <w:r w:rsidRPr="000B444A">
        <w:rPr>
          <w:rFonts w:ascii="Times New Roman" w:eastAsia="Calibri" w:hAnsi="Times New Roman" w:cs="Times New Roman"/>
          <w:kern w:val="0"/>
          <w14:ligatures w14:val="none"/>
        </w:rPr>
        <w:t>Anthony</w:t>
      </w:r>
      <w:r w:rsidRPr="000B444A">
        <w:rPr>
          <w:rFonts w:ascii="Times New Roman" w:eastAsia="Calibri" w:hAnsi="Times New Roman" w:cs="Times New Roman"/>
          <w:kern w:val="0"/>
          <w:lang w:val="en-GB"/>
          <w14:ligatures w14:val="none"/>
        </w:rPr>
        <w:t>, (2011) opined that quality service delivery is the way through which the desired value is delivered.</w:t>
      </w:r>
    </w:p>
    <w:p w14:paraId="788AB4E2" w14:textId="77777777" w:rsidR="000B444A" w:rsidRPr="000B444A" w:rsidRDefault="000B444A" w:rsidP="000B444A">
      <w:pPr>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kern w:val="0"/>
          <w14:ligatures w14:val="none"/>
        </w:rPr>
        <w:t xml:space="preserve">For organizations to achieve, accomplish, maintain and improve on customer satisfaction, retention and allegiance, it must be done through quality service delivery </w:t>
      </w:r>
      <w:r w:rsidRPr="000B444A">
        <w:rPr>
          <w:rFonts w:ascii="Times New Roman" w:eastAsia="Calibri" w:hAnsi="Times New Roman" w:cs="Times New Roman"/>
          <w:kern w:val="0"/>
          <w:lang w:val="en-GB"/>
          <w14:ligatures w14:val="none"/>
        </w:rPr>
        <w:t>(</w:t>
      </w:r>
      <w:r w:rsidRPr="000B444A">
        <w:rPr>
          <w:rFonts w:ascii="Times New Roman" w:eastAsia="Calibri" w:hAnsi="Times New Roman" w:cs="Times New Roman"/>
          <w:kern w:val="0"/>
          <w14:ligatures w14:val="none"/>
        </w:rPr>
        <w:t>Jaca et al., 2019</w:t>
      </w:r>
      <w:r w:rsidRPr="000B444A">
        <w:rPr>
          <w:rFonts w:ascii="Times New Roman" w:eastAsia="Calibri" w:hAnsi="Times New Roman" w:cs="Times New Roman"/>
          <w:kern w:val="0"/>
          <w:lang w:val="en-GB"/>
          <w14:ligatures w14:val="none"/>
        </w:rPr>
        <w:t>)</w:t>
      </w:r>
      <w:r w:rsidRPr="000B444A">
        <w:rPr>
          <w:rFonts w:ascii="Times New Roman" w:eastAsia="Calibri" w:hAnsi="Times New Roman" w:cs="Times New Roman"/>
          <w:kern w:val="0"/>
          <w14:ligatures w14:val="none"/>
        </w:rPr>
        <w:t>. Quality service delivery is defined as the efficient and strategic way of monitoring and enhancing service to continuously meet or exceed customer expectations</w:t>
      </w:r>
      <w:r w:rsidRPr="000B444A">
        <w:rPr>
          <w:rFonts w:ascii="Times New Roman" w:eastAsia="Calibri" w:hAnsi="Times New Roman" w:cs="Times New Roman"/>
          <w:kern w:val="0"/>
          <w:lang w:val="en-GB"/>
          <w14:ligatures w14:val="none"/>
        </w:rPr>
        <w:t xml:space="preserve"> (</w:t>
      </w:r>
      <w:r w:rsidRPr="000B444A">
        <w:rPr>
          <w:rFonts w:ascii="Times New Roman" w:eastAsia="Calibri" w:hAnsi="Times New Roman" w:cs="Times New Roman"/>
          <w:kern w:val="0"/>
          <w14:ligatures w14:val="none"/>
        </w:rPr>
        <w:t>Moliner et al., 2020</w:t>
      </w:r>
      <w:r w:rsidRPr="000B444A">
        <w:rPr>
          <w:rFonts w:ascii="Times New Roman" w:eastAsia="Calibri" w:hAnsi="Times New Roman" w:cs="Times New Roman"/>
          <w:kern w:val="0"/>
          <w:lang w:val="en-GB"/>
          <w14:ligatures w14:val="none"/>
        </w:rPr>
        <w:t>)</w:t>
      </w:r>
      <w:r w:rsidRPr="000B444A">
        <w:rPr>
          <w:rFonts w:ascii="Times New Roman" w:eastAsia="Calibri" w:hAnsi="Times New Roman" w:cs="Times New Roman"/>
          <w:kern w:val="0"/>
          <w14:ligatures w14:val="none"/>
        </w:rPr>
        <w:t>. Quality service delivery is a pivotal resource and it is related with the provision of matchless guest experience with first encounter and impression to post-service support a very critical factor in achieving it. Hotels that provide accurate, timely and satisfying service experiences by exceeding customers initial expectations are competitively positioned to succeed as they are guaranteed appreciable short to log term success as it enhances their reputation which is a key organizational asset.</w:t>
      </w:r>
    </w:p>
    <w:p w14:paraId="7C4A46CC"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In hotel operations, lean factors a fast becoming a cog in operational design and procedures </w:t>
      </w:r>
      <w:r w:rsidRPr="000B444A">
        <w:rPr>
          <w:rFonts w:ascii="Times New Roman" w:eastAsia="SimSun" w:hAnsi="Times New Roman" w:cs="Times New Roman"/>
          <w:kern w:val="0"/>
          <w:lang w:val="en-GB" w:eastAsia="zh-CN"/>
          <w14:ligatures w14:val="none"/>
        </w:rPr>
        <w:t>as it has</w:t>
      </w:r>
      <w:r w:rsidRPr="000B444A">
        <w:rPr>
          <w:rFonts w:ascii="Times New Roman" w:eastAsia="SimSun" w:hAnsi="Times New Roman" w:cs="Times New Roman"/>
          <w:kern w:val="0"/>
          <w:lang w:eastAsia="zh-CN"/>
          <w14:ligatures w14:val="none"/>
        </w:rPr>
        <w:t xml:space="preserve"> improved room turnover, check-in processes, and overall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leading to better client experiences (Kingman-Brundage et al., 1995).</w:t>
      </w:r>
      <w:r w:rsidRPr="000B444A">
        <w:rPr>
          <w:rFonts w:ascii="Times New Roman" w:eastAsia="SimSun" w:hAnsi="Times New Roman" w:cs="Times New Roman"/>
          <w:kern w:val="0"/>
          <w:lang w:val="en-GB" w:eastAsia="zh-CN"/>
          <w14:ligatures w14:val="none"/>
        </w:rPr>
        <w:t xml:space="preserve"> </w:t>
      </w:r>
      <w:r w:rsidRPr="000B444A">
        <w:rPr>
          <w:rFonts w:ascii="Times New Roman" w:eastAsia="SimSun" w:hAnsi="Times New Roman" w:cs="Times New Roman"/>
          <w:kern w:val="0"/>
          <w:lang w:eastAsia="zh-CN"/>
          <w14:ligatures w14:val="none"/>
        </w:rPr>
        <w:t xml:space="preserve">Not only that lean </w:t>
      </w:r>
      <w:r w:rsidRPr="000B444A">
        <w:rPr>
          <w:rFonts w:ascii="Times New Roman" w:eastAsia="SimSun" w:hAnsi="Times New Roman" w:cs="Times New Roman"/>
          <w:kern w:val="0"/>
          <w:lang w:val="en-GB" w:eastAsia="zh-CN"/>
          <w14:ligatures w14:val="none"/>
        </w:rPr>
        <w:t>operation</w:t>
      </w:r>
      <w:r w:rsidRPr="000B444A">
        <w:rPr>
          <w:rFonts w:ascii="Times New Roman" w:eastAsia="SimSun" w:hAnsi="Times New Roman" w:cs="Times New Roman"/>
          <w:kern w:val="0"/>
          <w:lang w:eastAsia="zh-CN"/>
          <w14:ligatures w14:val="none"/>
        </w:rPr>
        <w:t xml:space="preserve"> improves operational efficiency, it also enables the provision of responsiveness and flexibility, which are the bedrock for satisfying client needs given that the market demand is constantly changing</w:t>
      </w:r>
      <w:r w:rsidRPr="000B444A">
        <w:rPr>
          <w:rFonts w:ascii="Times New Roman" w:eastAsia="SimSun" w:hAnsi="Times New Roman" w:cs="Times New Roman"/>
          <w:kern w:val="0"/>
          <w:lang w:val="en-GB" w:eastAsia="zh-CN"/>
          <w14:ligatures w14:val="none"/>
        </w:rPr>
        <w:t xml:space="preserve"> (Adeleke &amp; Obiora, 2023)</w:t>
      </w:r>
      <w:r w:rsidRPr="000B444A">
        <w:rPr>
          <w:rFonts w:ascii="Times New Roman" w:eastAsia="SimSun" w:hAnsi="Times New Roman" w:cs="Times New Roman"/>
          <w:kern w:val="0"/>
          <w:lang w:eastAsia="zh-CN"/>
          <w14:ligatures w14:val="none"/>
        </w:rPr>
        <w:t xml:space="preserve">. To build competitive advantage, create a structure that encourages quality service delivery and customer satisfaction, the design and implementation of lean operation </w:t>
      </w:r>
      <w:r w:rsidRPr="000B444A">
        <w:rPr>
          <w:rFonts w:ascii="Times New Roman" w:eastAsia="SimSun" w:hAnsi="Times New Roman" w:cs="Times New Roman"/>
          <w:kern w:val="0"/>
          <w:lang w:eastAsia="zh-CN"/>
          <w14:ligatures w14:val="none"/>
        </w:rPr>
        <w:lastRenderedPageBreak/>
        <w:t>principle in the operational framework of a hotel becomes very critical as Adeleke and Obiora (2023) has shown lean ability is not limited to only waste identification and minimization.</w:t>
      </w:r>
    </w:p>
    <w:p w14:paraId="488AF453"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The major influence on quality service delivery is associated with the organizational culture in an organization. To successfully implement and achieve continuous upscale, team spirit, job satisfaction and customer satisfaction, achieve organizational goals; organization must intentionally come about a culture that supports the workforce (Jaca et al., 2019). In contrast, a change-resistant culture may </w:t>
      </w:r>
      <w:r w:rsidRPr="000B444A">
        <w:rPr>
          <w:rFonts w:ascii="Times New Roman" w:eastAsia="SimSun" w:hAnsi="Times New Roman" w:cs="Times New Roman"/>
          <w:kern w:val="0"/>
          <w:lang w:val="en-GB" w:eastAsia="zh-CN"/>
          <w14:ligatures w14:val="none"/>
        </w:rPr>
        <w:t xml:space="preserve">become a bottle neck in an </w:t>
      </w:r>
      <w:r w:rsidRPr="000B444A">
        <w:rPr>
          <w:rFonts w:ascii="Times New Roman" w:eastAsia="SimSun" w:hAnsi="Times New Roman" w:cs="Times New Roman"/>
          <w:kern w:val="0"/>
          <w:lang w:eastAsia="zh-CN"/>
          <w14:ligatures w14:val="none"/>
        </w:rPr>
        <w:t xml:space="preserve">effort to enhance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resulting in inconsistent service delivery and client unhappiness. To achieve long-term success, corporate culture must be aligned with service delivery objectives</w:t>
      </w:r>
      <w:r w:rsidRPr="000B444A">
        <w:rPr>
          <w:rFonts w:ascii="Times New Roman" w:eastAsia="SimSun" w:hAnsi="Times New Roman" w:cs="Times New Roman"/>
          <w:kern w:val="0"/>
          <w:lang w:val="en-GB" w:eastAsia="zh-CN"/>
          <w14:ligatures w14:val="none"/>
        </w:rPr>
        <w:t xml:space="preserve"> of any organization not excluding the hotel sector (</w:t>
      </w:r>
      <w:r w:rsidRPr="000B444A">
        <w:rPr>
          <w:rFonts w:ascii="Times New Roman" w:eastAsia="SimSun" w:hAnsi="Times New Roman" w:cs="Times New Roman"/>
          <w:kern w:val="0"/>
          <w:lang w:eastAsia="zh-CN"/>
          <w14:ligatures w14:val="none"/>
        </w:rPr>
        <w:t>Hussain et al., 2019</w:t>
      </w:r>
      <w:r w:rsidRPr="000B444A">
        <w:rPr>
          <w:rFonts w:ascii="Times New Roman" w:eastAsia="SimSun" w:hAnsi="Times New Roman" w:cs="Times New Roman"/>
          <w:kern w:val="0"/>
          <w:lang w:val="en-GB" w:eastAsia="zh-CN"/>
          <w14:ligatures w14:val="none"/>
        </w:rPr>
        <w:t>)</w:t>
      </w:r>
      <w:r w:rsidRPr="000B444A">
        <w:rPr>
          <w:rFonts w:ascii="Times New Roman" w:eastAsia="SimSun" w:hAnsi="Times New Roman" w:cs="Times New Roman"/>
          <w:kern w:val="0"/>
          <w:lang w:eastAsia="zh-CN"/>
          <w14:ligatures w14:val="none"/>
        </w:rPr>
        <w:t>. When workers share a dedication to quality and have the ability to deliver positive guest consumer's experiences, the organization is better positioned to provide high-quality services that meet or exceed customer expectations (Hussain et al., 2019). An organization’s operational and reputational identify is deeply rooted in its cultural belief as it is a guarantee to achieving the organization’s corporate/strategic goals of which quality service delivery is the focus.</w:t>
      </w:r>
    </w:p>
    <w:p w14:paraId="15CBE381"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Globally according to numerous studies, experts have observed novelty of lean concept widely and has considered its application in service industries as a means to arriving at quality service delivery. Liker and Morgan (2017) revealed the impact of lean techniques and showed how it enhanced not just productivity but also product quality at North American and European automobile factories, showcasing the concept’s' worldwide applicability. Geographic differences in the adoption and effect of lean operations have been extensively studied, with studies emphasizing the role of cultural and economic considerations. Zhou and Li (2015) investigated the obstacles and accomplishments of implementing lean management in Chinese manufacturing companies, highlighting the importance of cultural congruence. These examples highlight the significance of contextualizing lean operations to meet the unique demands and problems of different areas, demonstrating the nuanced application of lean concepts, organizational culture and quality service delivery.</w:t>
      </w:r>
    </w:p>
    <w:p w14:paraId="49E38D0D"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Despite these findings, the moderating effect of lean operations on the relationship between lean operations and quality service delivery in </w:t>
      </w:r>
      <w:r w:rsidRPr="000B444A">
        <w:rPr>
          <w:rFonts w:ascii="Times New Roman" w:eastAsia="SimSun" w:hAnsi="Times New Roman" w:cs="Times New Roman"/>
          <w:kern w:val="0"/>
          <w:lang w:val="en-GB" w:eastAsia="zh-CN"/>
          <w14:ligatures w14:val="none"/>
        </w:rPr>
        <w:t>Port Harcourt</w:t>
      </w:r>
      <w:r w:rsidRPr="000B444A">
        <w:rPr>
          <w:rFonts w:ascii="Times New Roman" w:eastAsia="SimSun" w:hAnsi="Times New Roman" w:cs="Times New Roman"/>
          <w:kern w:val="0"/>
          <w:lang w:eastAsia="zh-CN"/>
          <w14:ligatures w14:val="none"/>
        </w:rPr>
        <w:t xml:space="preserve"> appears to be underexplored as culture and service expectations in Nigerian hotels differ from the ideals of continuous development and customer attention that are highlighted elsewhere. This study seeks to fill this vacuum by </w:t>
      </w:r>
      <w:r w:rsidRPr="000B444A">
        <w:rPr>
          <w:rFonts w:ascii="Times New Roman" w:eastAsia="SimSun" w:hAnsi="Times New Roman" w:cs="Times New Roman"/>
          <w:kern w:val="0"/>
          <w:lang w:val="en-GB" w:eastAsia="zh-CN"/>
          <w14:ligatures w14:val="none"/>
        </w:rPr>
        <w:t>empirically</w:t>
      </w:r>
      <w:r w:rsidRPr="000B444A">
        <w:rPr>
          <w:rFonts w:ascii="Times New Roman" w:eastAsia="SimSun" w:hAnsi="Times New Roman" w:cs="Times New Roman"/>
          <w:kern w:val="0"/>
          <w:lang w:eastAsia="zh-CN"/>
          <w14:ligatures w14:val="none"/>
        </w:rPr>
        <w:t xml:space="preserve"> assessing</w:t>
      </w:r>
      <w:r w:rsidRPr="000B444A">
        <w:rPr>
          <w:rFonts w:ascii="Times New Roman" w:eastAsia="SimSun" w:hAnsi="Times New Roman" w:cs="Times New Roman"/>
          <w:kern w:val="0"/>
          <w:lang w:val="en-GB" w:eastAsia="zh-CN"/>
          <w14:ligatures w14:val="none"/>
        </w:rPr>
        <w:t xml:space="preserve"> the moderating effect of organizational culture on the relationship between</w:t>
      </w:r>
      <w:r w:rsidRPr="000B444A">
        <w:rPr>
          <w:rFonts w:ascii="Times New Roman" w:eastAsia="SimSun" w:hAnsi="Times New Roman" w:cs="Times New Roman"/>
          <w:kern w:val="0"/>
          <w:lang w:eastAsia="zh-CN"/>
          <w14:ligatures w14:val="none"/>
        </w:rPr>
        <w:t xml:space="preserve"> lean operations and quality service delivery.</w:t>
      </w:r>
    </w:p>
    <w:p w14:paraId="39A7069D" w14:textId="77777777" w:rsidR="000B444A" w:rsidRPr="000B444A" w:rsidRDefault="000B444A" w:rsidP="000B444A">
      <w:pPr>
        <w:spacing w:beforeAutospacing="1" w:after="0" w:afterAutospacing="1" w:line="240" w:lineRule="auto"/>
        <w:jc w:val="both"/>
        <w:rPr>
          <w:rFonts w:ascii="Times New Roman" w:eastAsia="SimSun" w:hAnsi="Times New Roman" w:cs="Times New Roman"/>
          <w:b/>
          <w:bCs/>
          <w:kern w:val="0"/>
          <w:lang w:eastAsia="zh-CN"/>
          <w14:ligatures w14:val="none"/>
        </w:rPr>
      </w:pPr>
      <w:r w:rsidRPr="000B444A">
        <w:rPr>
          <w:rFonts w:ascii="Times New Roman" w:eastAsia="SimSun" w:hAnsi="Times New Roman" w:cs="Times New Roman"/>
          <w:b/>
          <w:bCs/>
          <w:kern w:val="0"/>
          <w:lang w:eastAsia="zh-CN"/>
          <w14:ligatures w14:val="none"/>
        </w:rPr>
        <w:t>Problem Statement</w:t>
      </w:r>
    </w:p>
    <w:p w14:paraId="57B5752C"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Organizational performance in hotels is tightly linked to the quality of service delivered: service failures such as process errors, incorrect or unfulfilled orders, misinformation, and front-office lapses directly degrade guest experience and produce measurable reputational and financial losses (Davies, 2022; Hu et al., 2009; Bitner et al., 1990; </w:t>
      </w:r>
      <w:proofErr w:type="spellStart"/>
      <w:r w:rsidRPr="000B444A">
        <w:rPr>
          <w:rFonts w:ascii="Times New Roman" w:eastAsia="Times New Roman" w:hAnsi="Times New Roman" w:cs="Times New Roman"/>
          <w:kern w:val="0"/>
          <w14:ligatures w14:val="none"/>
        </w:rPr>
        <w:t>Guchait</w:t>
      </w:r>
      <w:proofErr w:type="spellEnd"/>
      <w:r w:rsidRPr="000B444A">
        <w:rPr>
          <w:rFonts w:ascii="Times New Roman" w:eastAsia="Times New Roman" w:hAnsi="Times New Roman" w:cs="Times New Roman"/>
          <w:kern w:val="0"/>
          <w14:ligatures w14:val="none"/>
        </w:rPr>
        <w:t xml:space="preserve"> et al., 2016). Delays whether perceived or actual further undermine satisfaction, weaken the </w:t>
      </w:r>
      <w:proofErr w:type="spellStart"/>
      <w:r w:rsidRPr="000B444A">
        <w:rPr>
          <w:rFonts w:ascii="Times New Roman" w:eastAsia="Times New Roman" w:hAnsi="Times New Roman" w:cs="Times New Roman"/>
          <w:kern w:val="0"/>
          <w14:ligatures w14:val="none"/>
        </w:rPr>
        <w:t>satisfaction→loyalty</w:t>
      </w:r>
      <w:proofErr w:type="spellEnd"/>
      <w:r w:rsidRPr="000B444A">
        <w:rPr>
          <w:rFonts w:ascii="Times New Roman" w:eastAsia="Times New Roman" w:hAnsi="Times New Roman" w:cs="Times New Roman"/>
          <w:kern w:val="0"/>
          <w14:ligatures w14:val="none"/>
        </w:rPr>
        <w:t xml:space="preserve"> pathway, and erode opportunities for ancillary revenue through upselling and cross-selling (Bielen &amp; Demoulin, 2007; Ahn, 2022; Lima Santos, 2024). Empirical work from Rivers State and comparable settings confirms these linkages, showing that frequent service breakdowns and weak recovery mechanisms reduce hospitality competitiveness and profitability (Davies, 2022; Tseng &amp; Yong, 2025). A single front-desk error can cascade into kitchen, housekeeping, and guest-service failures missed requests, delayed room readiness, incorrect meals, and slow or inconsistent recovery culminating in negative reviews, lost immediate revenue, and diminished repeat patronage (Bitner et al., 1990; </w:t>
      </w:r>
      <w:proofErr w:type="spellStart"/>
      <w:r w:rsidRPr="000B444A">
        <w:rPr>
          <w:rFonts w:ascii="Times New Roman" w:eastAsia="Times New Roman" w:hAnsi="Times New Roman" w:cs="Times New Roman"/>
          <w:kern w:val="0"/>
          <w14:ligatures w14:val="none"/>
        </w:rPr>
        <w:t>Guchait</w:t>
      </w:r>
      <w:proofErr w:type="spellEnd"/>
      <w:r w:rsidRPr="000B444A">
        <w:rPr>
          <w:rFonts w:ascii="Times New Roman" w:eastAsia="Times New Roman" w:hAnsi="Times New Roman" w:cs="Times New Roman"/>
          <w:kern w:val="0"/>
          <w14:ligatures w14:val="none"/>
        </w:rPr>
        <w:t xml:space="preserve"> et al., 2016; Tan, 2014). Such scenarios show how small process deviations become systemic when wasteful practices, weak protocols, and resource inefficiencies are unaddressed, producing concrete operational, financial, and reputational harms (Bielen &amp; Demoulin, 2007; Hu et al., 2009; Ahn, 2022).</w:t>
      </w:r>
    </w:p>
    <w:p w14:paraId="675D0567"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lastRenderedPageBreak/>
        <w:t xml:space="preserve">Lean operations framed as waste reduction, process optimization, and resource efficiency are proposed as a practical remedy because they tend to reduce defects, shorten lead times, and raise the reliability of customer-facing processes (Perdomo-Verdecia et al., 2022; Rauch et al., 2020; Ramphal, 2017). However, much evidence derives from manufacturing or dissimilar contexts, raising questions about external validity for Rivers State given local supply-chain, </w:t>
      </w:r>
      <w:proofErr w:type="spellStart"/>
      <w:r w:rsidRPr="000B444A">
        <w:rPr>
          <w:rFonts w:ascii="Times New Roman" w:eastAsia="Times New Roman" w:hAnsi="Times New Roman" w:cs="Times New Roman"/>
          <w:kern w:val="0"/>
          <w14:ligatures w14:val="none"/>
        </w:rPr>
        <w:t>labour</w:t>
      </w:r>
      <w:proofErr w:type="spellEnd"/>
      <w:r w:rsidRPr="000B444A">
        <w:rPr>
          <w:rFonts w:ascii="Times New Roman" w:eastAsia="Times New Roman" w:hAnsi="Times New Roman" w:cs="Times New Roman"/>
          <w:kern w:val="0"/>
          <w14:ligatures w14:val="none"/>
        </w:rPr>
        <w:t>, and expectation differences (</w:t>
      </w:r>
      <w:proofErr w:type="spellStart"/>
      <w:r w:rsidRPr="000B444A">
        <w:rPr>
          <w:rFonts w:ascii="Times New Roman" w:eastAsia="Times New Roman" w:hAnsi="Times New Roman" w:cs="Times New Roman"/>
          <w:kern w:val="0"/>
          <w14:ligatures w14:val="none"/>
        </w:rPr>
        <w:t>Gładysz</w:t>
      </w:r>
      <w:proofErr w:type="spellEnd"/>
      <w:r w:rsidRPr="000B444A">
        <w:rPr>
          <w:rFonts w:ascii="Times New Roman" w:eastAsia="Times New Roman" w:hAnsi="Times New Roman" w:cs="Times New Roman"/>
          <w:kern w:val="0"/>
          <w14:ligatures w14:val="none"/>
        </w:rPr>
        <w:t xml:space="preserve"> et al., 2020; Perdomo-Verdecia et al., 2022). Key gaps remain: a paucity of localized empirical studies, a tendency to examine lean elements in isolation rather than as an integrated causal chain, limited use of readily actionable operational metrics (e.g., order-accuracy rates, response times, SOP-adherence scores), and under-examination of service-protocol adherence as a discrete outcome. These gaps motivate testing whether operationalized lean dimensions causally improve service accuracy, timeliness, and protocol adherence in Rivers State hotels and which managerial levers produce those effects (Davies, 2022; Perdomo-Verdecia et al., 2022; Rauch et al., 2020).</w:t>
      </w:r>
    </w:p>
    <w:p w14:paraId="76A53A40"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r w:rsidRPr="000B444A">
        <w:rPr>
          <w:rFonts w:ascii="Times New Roman" w:eastAsia="Times New Roman" w:hAnsi="Times New Roman" w:cs="Times New Roman"/>
          <w:b/>
          <w:bCs/>
          <w:kern w:val="0"/>
          <w14:ligatures w14:val="none"/>
        </w:rPr>
        <w:t>2. Literature Review</w:t>
      </w:r>
    </w:p>
    <w:p w14:paraId="3BB8906D"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r w:rsidRPr="000B444A">
        <w:rPr>
          <w:rFonts w:ascii="Times New Roman" w:eastAsia="Times New Roman" w:hAnsi="Times New Roman" w:cs="Times New Roman"/>
          <w:b/>
          <w:bCs/>
          <w:kern w:val="0"/>
          <w14:ligatures w14:val="none"/>
        </w:rPr>
        <w:t>2.1 Lean Operations</w:t>
      </w:r>
    </w:p>
    <w:p w14:paraId="32898415" w14:textId="77777777" w:rsidR="000B444A" w:rsidRPr="000B444A" w:rsidRDefault="000B444A" w:rsidP="000B444A">
      <w:pPr>
        <w:spacing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Liker (2004), lean approach is viewed as a continual process that that results to waste elimination waste, process improvement in order to provide the most value to the customer. This viewpoint is consistent with the services industry's focus on customer satisfaction and service excellence. Piercy and Rich (2009) expanded on this concept by postulating service-related operations as the application of lean principles to optimize processes, reduce wait times, and improve service delivery. This position demonstrates the importance of adapting lean principles to the challenges of the service sector, where client interactions and delivery times are critical components of overall service quality delivery.</w:t>
      </w:r>
    </w:p>
    <w:p w14:paraId="609CF557" w14:textId="77777777" w:rsidR="000B444A" w:rsidRPr="000B444A" w:rsidRDefault="000B444A" w:rsidP="000B444A">
      <w:pPr>
        <w:spacing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In the hospitality industry, integrated operations are especially important due to the industry's interest in service quality and customer happiness. </w:t>
      </w:r>
      <w:proofErr w:type="spellStart"/>
      <w:r w:rsidRPr="000B444A">
        <w:rPr>
          <w:rFonts w:ascii="Times New Roman" w:eastAsia="Times New Roman" w:hAnsi="Times New Roman" w:cs="Times New Roman"/>
          <w:kern w:val="0"/>
          <w14:ligatures w14:val="none"/>
        </w:rPr>
        <w:t>Zomerdijk</w:t>
      </w:r>
      <w:proofErr w:type="spellEnd"/>
      <w:r w:rsidRPr="000B444A">
        <w:rPr>
          <w:rFonts w:ascii="Times New Roman" w:eastAsia="Times New Roman" w:hAnsi="Times New Roman" w:cs="Times New Roman"/>
          <w:kern w:val="0"/>
          <w14:ligatures w14:val="none"/>
        </w:rPr>
        <w:t xml:space="preserve"> and Voss (2010), opined lean operations in the hospitality industry to be the ability of the hotel to remain consistent in their efforts to improve service quality, reduce costs, and increase customer satisfaction. This definition escalated the worldwide approach of integrated operations to deal with various areas of service delivery, ranging from cost effectiveness to customer experience. Burgess and Radnor (2013) also encapsulated lean operations in the hotel industry as the quest to achieve operational excellence while also minimizing errors, optimizing service processes, and enhancing the overall customer experience. This further highlight how crucial aligned lean operations are to achieving high service standards and maintaining competitiveness in the hotel industry.</w:t>
      </w:r>
    </w:p>
    <w:p w14:paraId="007CF109" w14:textId="77777777" w:rsidR="000B444A" w:rsidRPr="000B444A" w:rsidRDefault="000B444A" w:rsidP="000B444A">
      <w:pPr>
        <w:spacing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Hines et al. (2004) defined it a systematic approach to identifying and reducing waste through constant and consistent upgrade in operational services, by adapting the product flow to the client's demand. This viewpoint is consistent with the fundamental concepts of lean, which acknowledges value creation and waste elimination as critical elements for optimizing processes, lowering costs, and improving service quality in the hospitality industry.</w:t>
      </w:r>
    </w:p>
    <w:p w14:paraId="5437A55C" w14:textId="77777777" w:rsidR="000B444A" w:rsidRPr="000B444A" w:rsidRDefault="000B444A" w:rsidP="000B444A">
      <w:pPr>
        <w:spacing w:line="240" w:lineRule="auto"/>
        <w:jc w:val="both"/>
        <w:rPr>
          <w:rFonts w:ascii="Times New Roman" w:eastAsia="Times New Roman" w:hAnsi="Times New Roman" w:cs="Times New Roman"/>
          <w:b/>
          <w:bCs/>
          <w:kern w:val="0"/>
          <w14:ligatures w14:val="none"/>
        </w:rPr>
      </w:pPr>
      <w:r w:rsidRPr="000B444A">
        <w:rPr>
          <w:rFonts w:ascii="Times New Roman" w:eastAsia="Times New Roman" w:hAnsi="Times New Roman" w:cs="Times New Roman"/>
          <w:b/>
          <w:bCs/>
          <w:kern w:val="0"/>
          <w14:ligatures w14:val="none"/>
        </w:rPr>
        <w:t>2.2 Quality Service Delivery</w:t>
      </w:r>
    </w:p>
    <w:p w14:paraId="75CF9203"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0B444A">
        <w:rPr>
          <w:rFonts w:ascii="Times New Roman" w:eastAsia="SimSun" w:hAnsi="Times New Roman" w:cs="Times New Roman"/>
          <w:kern w:val="0"/>
          <w:lang w:eastAsia="zh-CN"/>
          <w14:ligatures w14:val="none"/>
        </w:rPr>
        <w:t>Zeitham</w:t>
      </w:r>
      <w:proofErr w:type="spellEnd"/>
      <w:r w:rsidRPr="000B444A">
        <w:rPr>
          <w:rFonts w:ascii="Times New Roman" w:eastAsia="SimSun" w:hAnsi="Times New Roman" w:cs="Times New Roman"/>
          <w:kern w:val="0"/>
          <w:lang w:eastAsia="zh-CN"/>
          <w14:ligatures w14:val="none"/>
        </w:rPr>
        <w:t> et al. (2006) provide</w:t>
      </w:r>
      <w:r w:rsidRPr="000B444A">
        <w:rPr>
          <w:rFonts w:ascii="Times New Roman" w:eastAsia="SimSun" w:hAnsi="Times New Roman" w:cs="Times New Roman"/>
          <w:kern w:val="0"/>
          <w:lang w:val="en-GB" w:eastAsia="zh-CN"/>
          <w14:ligatures w14:val="none"/>
        </w:rPr>
        <w:t>d</w:t>
      </w:r>
      <w:r w:rsidRPr="000B444A">
        <w:rPr>
          <w:rFonts w:ascii="Times New Roman" w:eastAsia="SimSun" w:hAnsi="Times New Roman" w:cs="Times New Roman"/>
          <w:kern w:val="0"/>
          <w:lang w:eastAsia="zh-CN"/>
          <w14:ligatures w14:val="none"/>
        </w:rPr>
        <w:t xml:space="preserve"> a definition that emphasizes the subjective nature of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xml:space="preserve">, describing it as the customer's judgement about the overall excellence or superiority of a service. This shows that how customers evaluate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xml:space="preserve"> varies depending on their own tastes and experiences. Lovelock and Wirtz (2011) take a more operational approach, defining quality service delivery as the constant provision of services that adhere to set standards and fulfil client expectations. This emphasizes the need for uniformity and consistency, which are critical for establishing client confidence and driving repeat business, particularly in industries such as hospitality. Fitzsimmons and Fitzsimmons (2014) </w:t>
      </w:r>
      <w:r w:rsidRPr="000B444A">
        <w:rPr>
          <w:rFonts w:ascii="Times New Roman" w:eastAsia="SimSun" w:hAnsi="Times New Roman" w:cs="Times New Roman"/>
          <w:kern w:val="0"/>
          <w:lang w:val="en-GB" w:eastAsia="zh-CN"/>
          <w14:ligatures w14:val="none"/>
        </w:rPr>
        <w:t>emphasize</w:t>
      </w:r>
      <w:r w:rsidRPr="000B444A">
        <w:rPr>
          <w:rFonts w:ascii="Times New Roman" w:eastAsia="SimSun" w:hAnsi="Times New Roman" w:cs="Times New Roman"/>
          <w:kern w:val="0"/>
          <w:lang w:eastAsia="zh-CN"/>
          <w14:ligatures w14:val="none"/>
        </w:rPr>
        <w:t xml:space="preserve"> efficiency and accuracy, defining quality service delivery as the process of ensuring that services are done correctly and timely, with customer happiness as a crucial driver. This is especially important in businesses like healthcare and financial services, </w:t>
      </w:r>
      <w:r w:rsidRPr="000B444A">
        <w:rPr>
          <w:rFonts w:ascii="Times New Roman" w:eastAsia="SimSun" w:hAnsi="Times New Roman" w:cs="Times New Roman"/>
          <w:kern w:val="0"/>
          <w:lang w:eastAsia="zh-CN"/>
          <w14:ligatures w14:val="none"/>
        </w:rPr>
        <w:lastRenderedPageBreak/>
        <w:t>where speed and precision are essential. Kotler and Keller (2016) broadened the term to include civility and dependability as critical components in meeting customer wants and expectations, which are especially crucial in regular and intimate customer contacts, such as in hospitality. </w:t>
      </w:r>
    </w:p>
    <w:p w14:paraId="37216F5B"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proofErr w:type="spellStart"/>
      <w:r w:rsidRPr="000B444A">
        <w:rPr>
          <w:rFonts w:ascii="Times New Roman" w:eastAsia="SimSun" w:hAnsi="Times New Roman" w:cs="Times New Roman"/>
          <w:kern w:val="0"/>
          <w:lang w:eastAsia="zh-CN"/>
          <w14:ligatures w14:val="none"/>
        </w:rPr>
        <w:t>Kandampully</w:t>
      </w:r>
      <w:proofErr w:type="spellEnd"/>
      <w:r w:rsidRPr="000B444A">
        <w:rPr>
          <w:rFonts w:ascii="Times New Roman" w:eastAsia="SimSun" w:hAnsi="Times New Roman" w:cs="Times New Roman"/>
          <w:kern w:val="0"/>
          <w:lang w:eastAsia="zh-CN"/>
          <w14:ligatures w14:val="none"/>
        </w:rPr>
        <w:t xml:space="preserve"> et al. (2015) introduced the concept of perceived value, suggesting that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xml:space="preserve"> is not just about meeting expectations but also about providing value to customers. This is consistent with the increased emphasis on customer-centricity in service delivery, which concentrates on adding value rather than simply providing a service. Rust and Huang (2012) highlighted process management and resource optimization, defining excellent service delivery as the outcome of a well-managed service process that meets customer expectations effectively and efficiently. Berry</w:t>
      </w:r>
      <w:r w:rsidRPr="000B444A">
        <w:rPr>
          <w:rFonts w:ascii="Times New Roman" w:eastAsia="SimSun" w:hAnsi="Times New Roman" w:cs="Times New Roman"/>
          <w:kern w:val="0"/>
          <w:lang w:val="en-GB" w:eastAsia="zh-CN"/>
          <w14:ligatures w14:val="none"/>
        </w:rPr>
        <w:t xml:space="preserve"> et al</w:t>
      </w:r>
      <w:r w:rsidRPr="000B444A">
        <w:rPr>
          <w:rFonts w:ascii="Times New Roman" w:eastAsia="SimSun" w:hAnsi="Times New Roman" w:cs="Times New Roman"/>
          <w:kern w:val="0"/>
          <w:lang w:eastAsia="zh-CN"/>
          <w14:ligatures w14:val="none"/>
        </w:rPr>
        <w:t xml:space="preserve"> (2002) propose a different approach, emphasizing the experiential component and defining great service delivery as the deliberate design of the service </w:t>
      </w:r>
      <w:proofErr w:type="gramStart"/>
      <w:r w:rsidRPr="000B444A">
        <w:rPr>
          <w:rFonts w:ascii="Times New Roman" w:eastAsia="SimSun" w:hAnsi="Times New Roman" w:cs="Times New Roman"/>
          <w:kern w:val="0"/>
          <w:lang w:eastAsia="zh-CN"/>
          <w14:ligatures w14:val="none"/>
        </w:rPr>
        <w:t>experience  to</w:t>
      </w:r>
      <w:proofErr w:type="gramEnd"/>
      <w:r w:rsidRPr="000B444A">
        <w:rPr>
          <w:rFonts w:ascii="Times New Roman" w:eastAsia="SimSun" w:hAnsi="Times New Roman" w:cs="Times New Roman"/>
          <w:kern w:val="0"/>
          <w:lang w:eastAsia="zh-CN"/>
          <w14:ligatures w14:val="none"/>
        </w:rPr>
        <w:t xml:space="preserve"> promote positive client impressions and feelings. This is especially important in areas like hospitality, where the client experience is a critical distinction. Drawing from these various perspectives, quality service delivery in contemporary service industries could be defined as the consistent and intentional process of designing and delivering services that meet or exceed customer expectations, create value, and evoke positive perceptions and emotions through efficient, courteous, and reliable interactions.</w:t>
      </w:r>
    </w:p>
    <w:p w14:paraId="18B9D00D" w14:textId="77777777" w:rsidR="000B444A" w:rsidRPr="000B444A" w:rsidRDefault="000B444A" w:rsidP="000B444A">
      <w:pPr>
        <w:spacing w:beforeAutospacing="1" w:after="0" w:afterAutospacing="1" w:line="240" w:lineRule="auto"/>
        <w:jc w:val="both"/>
        <w:rPr>
          <w:rFonts w:ascii="Times New Roman" w:eastAsia="SimSun" w:hAnsi="Times New Roman" w:cs="Times New Roman"/>
          <w:b/>
          <w:bCs/>
          <w:kern w:val="0"/>
          <w:lang w:eastAsia="zh-CN"/>
          <w14:ligatures w14:val="none"/>
        </w:rPr>
      </w:pPr>
      <w:r w:rsidRPr="000B444A">
        <w:rPr>
          <w:rFonts w:ascii="Times New Roman" w:eastAsia="SimSun" w:hAnsi="Times New Roman" w:cs="Times New Roman"/>
          <w:b/>
          <w:bCs/>
          <w:kern w:val="0"/>
          <w:lang w:eastAsia="zh-CN"/>
          <w14:ligatures w14:val="none"/>
        </w:rPr>
        <w:t>2.3 Organizational Culture</w:t>
      </w:r>
    </w:p>
    <w:p w14:paraId="2B6F3BF8"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Organizational culture, a key term in management studies, refers to the underlying values, attitudes, and practices that influence individual behaviors inside organizations. Schein (2010) described organizational culture as a set of shared basic ideas generated by a group when it faces external adaptation and internal integration problems. This pattern, once proved beneficial, is passed down as the proper method to recognize and respond to similar challenges, emphasizing culture's adaptability. Denison (2006) defined culture as the inner structure of an organization that is based on its members' values, beliefs, and assumptions and has a considerable impact on organizational success.</w:t>
      </w:r>
    </w:p>
    <w:p w14:paraId="655C6A3D"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Cameron and Quinn (2011) went on to say that culture, as defined by shared values, beliefs, and norms, is critical for aligning with company strategy, and they identify four culture types in their Competing Values Framework: clan, adhocracy, market, and hierarchy. Hofstede (2011), known for his work on national culture, defines organizational culture as the communal programming of the mind that distinguishes one organization from the others. He identifies factors such as power distance and uncertainty avoidance, providing a cross-cultural perspective on organizational function. Schneider et al (2013) focused on the observable aspects of culture, defining it as shared perceptions of practices and behaviors rewarded within the organization. Alvesson (2012) added that culture encompasses the symbolic parts of social life, with employees attributing value to symbols, rituals, and tales. </w:t>
      </w:r>
      <w:proofErr w:type="spellStart"/>
      <w:r w:rsidRPr="000B444A">
        <w:rPr>
          <w:rFonts w:ascii="Times New Roman" w:eastAsia="SimSun" w:hAnsi="Times New Roman" w:cs="Times New Roman"/>
          <w:kern w:val="0"/>
          <w:lang w:eastAsia="zh-CN"/>
          <w14:ligatures w14:val="none"/>
        </w:rPr>
        <w:t>Ravasi</w:t>
      </w:r>
      <w:proofErr w:type="spellEnd"/>
      <w:r w:rsidRPr="000B444A">
        <w:rPr>
          <w:rFonts w:ascii="Times New Roman" w:eastAsia="SimSun" w:hAnsi="Times New Roman" w:cs="Times New Roman"/>
          <w:kern w:val="0"/>
          <w:lang w:eastAsia="zh-CN"/>
          <w14:ligatures w14:val="none"/>
        </w:rPr>
        <w:t xml:space="preserve"> and Schultz (2006) define culture as shared mental assumptions that guide behavior in a variety of situations, whereas Martins and Terblanche (2006) see culture as a form of social control that maintains order through shared norms.</w:t>
      </w:r>
    </w:p>
    <w:p w14:paraId="25649B80"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Organizational culture is crucial in balancing the interplay between lean operations and excellent service delivery in hotels</w:t>
      </w:r>
      <w:r w:rsidRPr="000B444A">
        <w:rPr>
          <w:rFonts w:ascii="Times New Roman" w:eastAsia="SimSun" w:hAnsi="Times New Roman" w:cs="Times New Roman"/>
          <w:kern w:val="0"/>
          <w:lang w:val="en-GB" w:eastAsia="zh-CN"/>
          <w14:ligatures w14:val="none"/>
        </w:rPr>
        <w:t xml:space="preserve"> (</w:t>
      </w:r>
      <w:r w:rsidRPr="000B444A">
        <w:rPr>
          <w:rFonts w:ascii="Times New Roman" w:eastAsia="SimSun" w:hAnsi="Times New Roman" w:cs="Times New Roman"/>
          <w:kern w:val="0"/>
          <w:lang w:eastAsia="zh-CN"/>
          <w14:ligatures w14:val="none"/>
        </w:rPr>
        <w:t xml:space="preserve">Prajogo &amp; Sohal, 2006). A supportive culture is critical for the effective adoption of lean operations, which prioritize efficiency and waste reduction. A culture that values continuous improvement, staff engagement, and customer focus may greatly improve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Conversely, resistance to change or a lack of emphasis on quality can stymie lean attempts, resulting in service gaps (Gambi et al., 2015; Prajogo &amp; Sohal, 2006). Cultural alignment with lean concepts like innovation and customer happiness is critical. A strong, supportive culture allows lean approaches to become integrated into everyday operations, resulting in long-term service gains (Bortolotti et al., 2015). Misalignment, on the other hand, can lead to resistance and unsatisfactory outcomes, emphasizing the significance of cultural compatibility with lean operations in delivering high-quality service (Netland, 2016).</w:t>
      </w:r>
    </w:p>
    <w:p w14:paraId="1FAE4236"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b/>
          <w:bCs/>
          <w:kern w:val="0"/>
          <w:lang w:eastAsia="zh-CN"/>
          <w14:ligatures w14:val="none"/>
        </w:rPr>
        <w:lastRenderedPageBreak/>
        <w:t>2.4 Theoretical Review</w:t>
      </w:r>
    </w:p>
    <w:p w14:paraId="7B2EDABE"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Contingency theory is a core idea in organizational management that holds that there is no one optimum approach to run an organization. Instead, the efficacy of management strategies is determined by the unique context in which they are implemented. This theory contends that organizational performance is dependent on the alignment of several internal and external elements, including the organization's structure, environment, technology, and leadership style. Contingency theory dates back to the 1960s, when researchers such as Fred Fiedler, Paul Lawrence, and Jay Lorsch developed it. Fred Fiedler, in particular, is often credited with formalizing the idea via his leadership studies.  Contingency theory has subsequently been utilized in a variety of sectors and organizational situations, making it a versatile and long-lasting paradigm in management research. In the industrial industry, for example, the idea has been used to explain how diverse production conditions require distinct organizational structures and managerial approaches. Contingency theory has been used to analyze how businesses change their IT strategies to changing technical environments and market demands (Duncan, 1972). In the healthcare business, the theory has proved useful in determining how different levels of environmental complexity and patient requirements impact the adoption of various management methods (Donaldson, 2001).</w:t>
      </w:r>
    </w:p>
    <w:p w14:paraId="4F8AB604"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Contingency theory is especially useful in the context of lean operations since it explains why the effectiveness of lean approaches varies among businesses. According to contingency theory, the efficiency of lean operations is determined by the cultural context in which they are applied. A company with a culture that values continuous improvement, employee empowerment, and customer focus is more likely to effectively implement lean methods than one with a rigid, hierarchical culture that is resistant to change. The use of contingency theory is especially important for investigating the moderating influence of organizational culture on the link between lean operations and quality service delivery. In the hotel business, particularly in Rivers State, Nigeria, organizational culture may have a significant impact on how well lean operations transfer into better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w:t>
      </w:r>
    </w:p>
    <w:p w14:paraId="17758F32"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Hotels with cultures that value cooperation, creativity, and customer orientation are more likely to benefit from lean operations in terms of service delivery, since these cultural characteristics connect well with lean management concepts. Conversely, in hotels where the culture is more bureaucratic or resistant to change, the benefits of lean operations may be less noticeable.</w:t>
      </w:r>
    </w:p>
    <w:p w14:paraId="14033F8B"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The diversity of hotel operations in Rivers State highlights the importance of contingency theory in this study since diverse cultural influences can result in varied outcomes even when the same lean approaches are used.</w:t>
      </w:r>
    </w:p>
    <w:p w14:paraId="5BA96AD2" w14:textId="77777777" w:rsidR="000B444A" w:rsidRPr="000B444A" w:rsidRDefault="000B444A" w:rsidP="000B444A">
      <w:pPr>
        <w:spacing w:beforeAutospacing="1" w:after="0" w:afterAutospacing="1" w:line="240" w:lineRule="auto"/>
        <w:jc w:val="both"/>
        <w:rPr>
          <w:rFonts w:ascii="Times New Roman" w:eastAsia="SimSun" w:hAnsi="Times New Roman" w:cs="Times New Roman"/>
          <w:b/>
          <w:bCs/>
          <w:kern w:val="0"/>
          <w:lang w:eastAsia="zh-CN"/>
          <w14:ligatures w14:val="none"/>
        </w:rPr>
      </w:pPr>
      <w:r w:rsidRPr="000B444A">
        <w:rPr>
          <w:rFonts w:ascii="Times New Roman" w:eastAsia="SimSun" w:hAnsi="Times New Roman" w:cs="Times New Roman"/>
          <w:b/>
          <w:bCs/>
          <w:kern w:val="0"/>
          <w:lang w:eastAsia="zh-CN"/>
          <w14:ligatures w14:val="none"/>
        </w:rPr>
        <w:t>2.5 Empirical Review</w:t>
      </w:r>
    </w:p>
    <w:p w14:paraId="0D73E464"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Chiarini's (2013) study </w:t>
      </w:r>
      <w:r w:rsidRPr="000B444A">
        <w:rPr>
          <w:rFonts w:ascii="Times New Roman" w:eastAsia="SimSun" w:hAnsi="Times New Roman" w:cs="Times New Roman"/>
          <w:kern w:val="0"/>
          <w:lang w:val="en-GB" w:eastAsia="zh-CN"/>
          <w14:ligatures w14:val="none"/>
        </w:rPr>
        <w:t>examined</w:t>
      </w:r>
      <w:r w:rsidRPr="000B444A">
        <w:rPr>
          <w:rFonts w:ascii="Times New Roman" w:eastAsia="SimSun" w:hAnsi="Times New Roman" w:cs="Times New Roman"/>
          <w:kern w:val="0"/>
          <w:lang w:eastAsia="zh-CN"/>
          <w14:ligatures w14:val="none"/>
        </w:rPr>
        <w:t xml:space="preserve"> </w:t>
      </w:r>
      <w:r w:rsidRPr="000B444A">
        <w:rPr>
          <w:rFonts w:ascii="Times New Roman" w:eastAsia="SimSun" w:hAnsi="Times New Roman" w:cs="Times New Roman"/>
          <w:i/>
          <w:iCs/>
          <w:kern w:val="0"/>
          <w:lang w:eastAsia="zh-CN"/>
          <w14:ligatures w14:val="none"/>
        </w:rPr>
        <w:t>lean organization: From the tools of the Toyota production system to lean office</w:t>
      </w:r>
      <w:r w:rsidRPr="000B444A">
        <w:rPr>
          <w:rFonts w:ascii="Times New Roman" w:eastAsia="SimSun" w:hAnsi="Times New Roman" w:cs="Times New Roman"/>
          <w:kern w:val="0"/>
          <w:lang w:eastAsia="zh-CN"/>
          <w14:ligatures w14:val="none"/>
        </w:rPr>
        <w:t xml:space="preserve"> provides a detailed examination of how organizational culture influences the effectiveness of lean operations in the manufacturing sector. Conducted in Italy, this case study involved three manufacturing companies selected through purposive sampling. Chiarini employed qualitative content analysis to explore how these organizations implemented lean practices.</w:t>
      </w:r>
      <w:r w:rsidRPr="000B444A">
        <w:rPr>
          <w:rFonts w:ascii="Times New Roman" w:eastAsia="SimSun" w:hAnsi="Times New Roman" w:cs="Times New Roman"/>
          <w:kern w:val="0"/>
          <w:lang w:val="en-GB" w:eastAsia="zh-CN"/>
          <w14:ligatures w14:val="none"/>
        </w:rPr>
        <w:t xml:space="preserve"> </w:t>
      </w:r>
      <w:r w:rsidRPr="000B444A">
        <w:rPr>
          <w:rFonts w:ascii="Times New Roman" w:eastAsia="SimSun" w:hAnsi="Times New Roman" w:cs="Times New Roman"/>
          <w:kern w:val="0"/>
          <w:lang w:eastAsia="zh-CN"/>
          <w14:ligatures w14:val="none"/>
        </w:rPr>
        <w:t xml:space="preserve">The findings revealed that companies with a strong organizational culture aligned with lean principles, such as continuous improvement and employee engagement, were more successful in achieving quality service delivery. </w:t>
      </w:r>
    </w:p>
    <w:p w14:paraId="320D8B99"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Zeng</w:t>
      </w:r>
      <w:r w:rsidRPr="000B444A">
        <w:rPr>
          <w:rFonts w:ascii="Times New Roman" w:eastAsia="SimSun" w:hAnsi="Times New Roman" w:cs="Times New Roman"/>
          <w:kern w:val="0"/>
          <w:lang w:val="en-GB" w:eastAsia="zh-CN"/>
          <w14:ligatures w14:val="none"/>
        </w:rPr>
        <w:t xml:space="preserve"> et al</w:t>
      </w:r>
      <w:r w:rsidRPr="000B444A">
        <w:rPr>
          <w:rFonts w:ascii="Times New Roman" w:eastAsia="SimSun" w:hAnsi="Times New Roman" w:cs="Times New Roman"/>
          <w:kern w:val="0"/>
          <w:lang w:eastAsia="zh-CN"/>
          <w14:ligatures w14:val="none"/>
        </w:rPr>
        <w:t xml:space="preserve"> (2015) investigated the role of organizational culture in the relationship between lean operations and service delivery in the Japanese manufacturing sector. The research employed a survey design, collecting data from 200 manufacturing firms through stratified random sampling. Structural Equation Modeling (SEM) was used to analyze the data.</w:t>
      </w:r>
      <w:r w:rsidRPr="000B444A">
        <w:rPr>
          <w:rFonts w:ascii="Times New Roman" w:eastAsia="SimSun" w:hAnsi="Times New Roman" w:cs="Times New Roman"/>
          <w:kern w:val="0"/>
          <w:lang w:val="en-GB" w:eastAsia="zh-CN"/>
          <w14:ligatures w14:val="none"/>
        </w:rPr>
        <w:t xml:space="preserve"> </w:t>
      </w:r>
      <w:r w:rsidRPr="000B444A">
        <w:rPr>
          <w:rFonts w:ascii="Times New Roman" w:eastAsia="SimSun" w:hAnsi="Times New Roman" w:cs="Times New Roman"/>
          <w:kern w:val="0"/>
          <w:lang w:eastAsia="zh-CN"/>
          <w14:ligatures w14:val="none"/>
        </w:rPr>
        <w:t xml:space="preserve">The study’s key findings indicated that a supportive organizational culture enhances the positive impact of lean operations on both quality and innovation performance. </w:t>
      </w:r>
    </w:p>
    <w:p w14:paraId="4CB13A0F"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lastRenderedPageBreak/>
        <w:t>Baird</w:t>
      </w:r>
      <w:r w:rsidRPr="000B444A">
        <w:rPr>
          <w:rFonts w:ascii="Times New Roman" w:eastAsia="SimSun" w:hAnsi="Times New Roman" w:cs="Times New Roman"/>
          <w:kern w:val="0"/>
          <w:lang w:val="en-GB" w:eastAsia="zh-CN"/>
          <w14:ligatures w14:val="none"/>
        </w:rPr>
        <w:t xml:space="preserve"> et al</w:t>
      </w:r>
      <w:r w:rsidRPr="000B444A">
        <w:rPr>
          <w:rFonts w:ascii="Times New Roman" w:eastAsia="SimSun" w:hAnsi="Times New Roman" w:cs="Times New Roman"/>
          <w:kern w:val="0"/>
          <w:lang w:eastAsia="zh-CN"/>
          <w14:ligatures w14:val="none"/>
        </w:rPr>
        <w:t xml:space="preserve"> (2011) study </w:t>
      </w:r>
      <w:r w:rsidRPr="000B444A">
        <w:rPr>
          <w:rFonts w:ascii="Times New Roman" w:eastAsia="SimSun" w:hAnsi="Times New Roman" w:cs="Times New Roman"/>
          <w:kern w:val="0"/>
          <w:lang w:val="en-GB" w:eastAsia="zh-CN"/>
          <w14:ligatures w14:val="none"/>
        </w:rPr>
        <w:t>examined</w:t>
      </w:r>
      <w:r w:rsidRPr="000B444A">
        <w:rPr>
          <w:rFonts w:ascii="Times New Roman" w:eastAsia="SimSun" w:hAnsi="Times New Roman" w:cs="Times New Roman"/>
          <w:kern w:val="0"/>
          <w:lang w:eastAsia="zh-CN"/>
          <w14:ligatures w14:val="none"/>
        </w:rPr>
        <w:t xml:space="preserve"> </w:t>
      </w:r>
      <w:r w:rsidRPr="000B444A">
        <w:rPr>
          <w:rFonts w:ascii="Times New Roman" w:eastAsia="SimSun" w:hAnsi="Times New Roman" w:cs="Times New Roman"/>
          <w:i/>
          <w:iCs/>
          <w:kern w:val="0"/>
          <w:lang w:eastAsia="zh-CN"/>
          <w14:ligatures w14:val="none"/>
        </w:rPr>
        <w:t xml:space="preserve">the relationships between organizational culture, total quality management practices, and operational performance </w:t>
      </w:r>
      <w:r w:rsidRPr="000B444A">
        <w:rPr>
          <w:rFonts w:ascii="Times New Roman" w:eastAsia="SimSun" w:hAnsi="Times New Roman" w:cs="Times New Roman"/>
          <w:kern w:val="0"/>
          <w:lang w:eastAsia="zh-CN"/>
          <w14:ligatures w14:val="none"/>
        </w:rPr>
        <w:t>provides insights into the healthcare industry in Australia. The researchers conducted a cross-sectional survey of 120 healthcare organizations using random sampling, with data analyzed through regression analysis.</w:t>
      </w:r>
      <w:r w:rsidRPr="000B444A">
        <w:rPr>
          <w:rFonts w:ascii="Times New Roman" w:eastAsia="SimSun" w:hAnsi="Times New Roman" w:cs="Times New Roman"/>
          <w:kern w:val="0"/>
          <w:lang w:val="en-GB" w:eastAsia="zh-CN"/>
          <w14:ligatures w14:val="none"/>
        </w:rPr>
        <w:t xml:space="preserve"> </w:t>
      </w:r>
      <w:r w:rsidRPr="000B444A">
        <w:rPr>
          <w:rFonts w:ascii="Times New Roman" w:eastAsia="SimSun" w:hAnsi="Times New Roman" w:cs="Times New Roman"/>
          <w:kern w:val="0"/>
          <w:lang w:eastAsia="zh-CN"/>
          <w14:ligatures w14:val="none"/>
        </w:rPr>
        <w:t xml:space="preserve">Their findings revealed that organizational culture significantly moderates the relationship between lean operations measured through Total Quality Management (TQM) practices and quality service delivery. In healthcare organizations where the culture emphasized teamwork, patient-centered care, and continuous improvement, lean operations were more likely to lead to enhanced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xml:space="preserve">. </w:t>
      </w:r>
    </w:p>
    <w:p w14:paraId="460D243F"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Carlos and Ana Jabbour (2016), in their study </w:t>
      </w:r>
      <w:r w:rsidRPr="000B444A">
        <w:rPr>
          <w:rFonts w:ascii="Times New Roman" w:eastAsia="SimSun" w:hAnsi="Times New Roman" w:cs="Times New Roman"/>
          <w:i/>
          <w:iCs/>
          <w:kern w:val="0"/>
          <w:lang w:eastAsia="zh-CN"/>
          <w14:ligatures w14:val="none"/>
        </w:rPr>
        <w:t xml:space="preserve">green lean manufacturing: When lean and green thinking intersect, </w:t>
      </w:r>
      <w:r w:rsidRPr="000B444A">
        <w:rPr>
          <w:rFonts w:ascii="Times New Roman" w:eastAsia="SimSun" w:hAnsi="Times New Roman" w:cs="Times New Roman"/>
          <w:kern w:val="0"/>
          <w:lang w:eastAsia="zh-CN"/>
          <w14:ligatures w14:val="none"/>
        </w:rPr>
        <w:t>explored the intersection of lean and green operations in Brazil's automotive industry. This mixed-methods study involved both surveys and case studies, with 150 firms selected through cluster sampling. The data were analyzed using thematic analysis and descriptive statistics.</w:t>
      </w:r>
      <w:r w:rsidRPr="000B444A">
        <w:rPr>
          <w:rFonts w:ascii="Times New Roman" w:eastAsia="SimSun" w:hAnsi="Times New Roman" w:cs="Times New Roman"/>
          <w:kern w:val="0"/>
          <w:lang w:val="en-GB" w:eastAsia="zh-CN"/>
          <w14:ligatures w14:val="none"/>
        </w:rPr>
        <w:t xml:space="preserve"> </w:t>
      </w:r>
      <w:r w:rsidRPr="000B444A">
        <w:rPr>
          <w:rFonts w:ascii="Times New Roman" w:eastAsia="SimSun" w:hAnsi="Times New Roman" w:cs="Times New Roman"/>
          <w:kern w:val="0"/>
          <w:lang w:eastAsia="zh-CN"/>
          <w14:ligatures w14:val="none"/>
        </w:rPr>
        <w:t xml:space="preserve">The study found that in automotive firms with an organizational culture that supports sustainability and continuous improvement, the integration of lean and green practices led to significant improvements in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xml:space="preserve"> and operational efficiency. </w:t>
      </w:r>
    </w:p>
    <w:p w14:paraId="013453B7"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Kariuki and </w:t>
      </w:r>
      <w:proofErr w:type="spellStart"/>
      <w:r w:rsidRPr="000B444A">
        <w:rPr>
          <w:rFonts w:ascii="Times New Roman" w:eastAsia="SimSun" w:hAnsi="Times New Roman" w:cs="Times New Roman"/>
          <w:kern w:val="0"/>
          <w:lang w:eastAsia="zh-CN"/>
          <w14:ligatures w14:val="none"/>
        </w:rPr>
        <w:t>Namusonge</w:t>
      </w:r>
      <w:proofErr w:type="spellEnd"/>
      <w:r w:rsidRPr="000B444A">
        <w:rPr>
          <w:rFonts w:ascii="Times New Roman" w:eastAsia="SimSun" w:hAnsi="Times New Roman" w:cs="Times New Roman"/>
          <w:kern w:val="0"/>
          <w:lang w:eastAsia="zh-CN"/>
          <w14:ligatures w14:val="none"/>
        </w:rPr>
        <w:t xml:space="preserve"> (2015) examined the role of organizational culture in moderating the relationship between lean operations and service delivery in the Kenyan manufacturing sector. T</w:t>
      </w:r>
      <w:r w:rsidRPr="000B444A">
        <w:rPr>
          <w:rFonts w:ascii="Times New Roman" w:eastAsia="SimSun" w:hAnsi="Times New Roman" w:cs="Times New Roman"/>
          <w:kern w:val="0"/>
          <w:lang w:val="en-GB" w:eastAsia="zh-CN"/>
          <w14:ligatures w14:val="none"/>
        </w:rPr>
        <w:t>he study</w:t>
      </w:r>
      <w:r w:rsidRPr="000B444A">
        <w:rPr>
          <w:rFonts w:ascii="Times New Roman" w:eastAsia="SimSun" w:hAnsi="Times New Roman" w:cs="Times New Roman"/>
          <w:kern w:val="0"/>
          <w:lang w:eastAsia="zh-CN"/>
          <w14:ligatures w14:val="none"/>
        </w:rPr>
        <w:t xml:space="preserve"> was based on a descriptive survey of 80 manufacturing firms, selected through convenience sampling. The researchers used correlation and regression analysis to interpret the data.</w:t>
      </w:r>
      <w:r w:rsidRPr="000B444A">
        <w:rPr>
          <w:rFonts w:ascii="Times New Roman" w:eastAsia="SimSun" w:hAnsi="Times New Roman" w:cs="Times New Roman"/>
          <w:kern w:val="0"/>
          <w:lang w:val="en-GB" w:eastAsia="zh-CN"/>
          <w14:ligatures w14:val="none"/>
        </w:rPr>
        <w:t xml:space="preserve"> </w:t>
      </w:r>
      <w:r w:rsidRPr="000B444A">
        <w:rPr>
          <w:rFonts w:ascii="Times New Roman" w:eastAsia="SimSun" w:hAnsi="Times New Roman" w:cs="Times New Roman"/>
          <w:kern w:val="0"/>
          <w:lang w:eastAsia="zh-CN"/>
          <w14:ligatures w14:val="none"/>
        </w:rPr>
        <w:t xml:space="preserve">The findings revealed that a culture focused on efficiency, customer satisfaction, and continuous improvement significantly enhances the effectiveness of lean operations in delivering quality services. </w:t>
      </w:r>
    </w:p>
    <w:p w14:paraId="4F7C4A41"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Based on the findings from these studies, a null hypothesis tailored to the hotel industry in Rivers State could be proposed as follows:</w:t>
      </w:r>
    </w:p>
    <w:p w14:paraId="6E3970FC" w14:textId="77777777" w:rsidR="000B444A" w:rsidRPr="000B444A" w:rsidRDefault="000B444A" w:rsidP="000B444A">
      <w:pPr>
        <w:spacing w:beforeAutospacing="1" w:after="0" w:afterAutospacing="1" w:line="240" w:lineRule="auto"/>
        <w:jc w:val="both"/>
        <w:rPr>
          <w:rFonts w:ascii="Times New Roman" w:eastAsia="SimSun" w:hAnsi="Times New Roman" w:cs="Times New Roman"/>
          <w:b/>
          <w:bCs/>
          <w:kern w:val="0"/>
          <w:lang w:eastAsia="zh-CN"/>
          <w14:ligatures w14:val="none"/>
        </w:rPr>
      </w:pPr>
      <w:r w:rsidRPr="000B444A">
        <w:rPr>
          <w:rFonts w:ascii="Times New Roman" w:eastAsia="SimSun" w:hAnsi="Times New Roman" w:cs="Times New Roman"/>
          <w:i/>
          <w:iCs/>
          <w:kern w:val="0"/>
          <w:lang w:eastAsia="zh-CN"/>
          <w14:ligatures w14:val="none"/>
        </w:rPr>
        <w:t>H</w:t>
      </w:r>
      <w:r w:rsidRPr="000B444A">
        <w:rPr>
          <w:rFonts w:ascii="Times New Roman" w:eastAsia="SimSun" w:hAnsi="Times New Roman" w:cs="Times New Roman"/>
          <w:kern w:val="0"/>
          <w:vertAlign w:val="subscript"/>
          <w:lang w:eastAsia="zh-CN"/>
          <w14:ligatures w14:val="none"/>
        </w:rPr>
        <w:t>0</w:t>
      </w:r>
      <w:r w:rsidRPr="000B444A">
        <w:rPr>
          <w:rFonts w:ascii="Times New Roman" w:eastAsia="SimSun" w:hAnsi="Times New Roman" w:cs="Times New Roman"/>
          <w:kern w:val="0"/>
          <w:lang w:eastAsia="zh-CN"/>
          <w14:ligatures w14:val="none"/>
        </w:rPr>
        <w:t>:</w:t>
      </w:r>
      <w:r w:rsidRPr="000B444A">
        <w:rPr>
          <w:rFonts w:ascii="Times New Roman" w:eastAsia="SimSun" w:hAnsi="Times New Roman" w:cs="Times New Roman"/>
          <w:kern w:val="0"/>
          <w:lang w:val="en-GB" w:eastAsia="zh-CN"/>
          <w14:ligatures w14:val="none"/>
        </w:rPr>
        <w:t>1</w:t>
      </w:r>
      <w:r w:rsidRPr="000B444A">
        <w:rPr>
          <w:rFonts w:ascii="Times New Roman" w:eastAsia="SimSun" w:hAnsi="Times New Roman" w:cs="Times New Roman"/>
          <w:b/>
          <w:bCs/>
          <w:kern w:val="0"/>
          <w:lang w:eastAsia="zh-CN"/>
          <w14:ligatures w14:val="none"/>
        </w:rPr>
        <w:t xml:space="preserve"> Organizational culture does not significantly moderate the relationship between lean operations and quality service delivery in the hotel industry in Rivers State.</w:t>
      </w:r>
    </w:p>
    <w:p w14:paraId="2CB062E4" w14:textId="77777777" w:rsidR="000B444A" w:rsidRPr="000B444A" w:rsidRDefault="000B444A" w:rsidP="000B444A">
      <w:pPr>
        <w:spacing w:beforeAutospacing="1" w:after="0" w:afterAutospacing="1" w:line="240" w:lineRule="auto"/>
        <w:jc w:val="both"/>
        <w:rPr>
          <w:rFonts w:ascii="Times New Roman" w:eastAsia="SimSun" w:hAnsi="Times New Roman" w:cs="Times New Roman"/>
          <w:b/>
          <w:bCs/>
          <w:kern w:val="0"/>
          <w:lang w:eastAsia="zh-CN"/>
          <w14:ligatures w14:val="none"/>
        </w:rPr>
      </w:pPr>
      <w:r w:rsidRPr="000B444A">
        <w:rPr>
          <w:rFonts w:ascii="Times New Roman" w:eastAsia="SimSun" w:hAnsi="Times New Roman" w:cs="Times New Roman"/>
          <w:b/>
          <w:bCs/>
          <w:kern w:val="0"/>
          <w:lang w:eastAsia="zh-CN"/>
          <w14:ligatures w14:val="none"/>
        </w:rPr>
        <w:t>3. Methodology</w:t>
      </w:r>
    </w:p>
    <w:p w14:paraId="05CE9BAD"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The study used a cross-sectional survey with a structured, self-administered questionnaire to capture a snapshot of how organizational culture moderates the relationship between lean operations and quality service delivery. The target population was the 290 hotels in Rivers State listed by the Nigerian Hotel Association treated as the authoritative sampling size. Using Taro Yamane’s formula, 31 hotels were observed, and research instrument distributed equally across them. A purposive, quota-based selection was applied to select hotels and then up to eleven managerial respondents per hotel. An open-ended questionnaire on 4-point Likert scale was adopted. Content and face validity were assured through literature review and supervisor review, with convergent/discriminant checks planned via PLS-SEM. Reliability was assessed with Cronbach’s alpha (0.70 threshold), and data screening preceded analysis. The study adopted Partial Least Squares Structural Equation Modeling (</w:t>
      </w:r>
      <w:proofErr w:type="spellStart"/>
      <w:r w:rsidRPr="000B444A">
        <w:rPr>
          <w:rFonts w:ascii="Times New Roman" w:eastAsia="Times New Roman" w:hAnsi="Times New Roman" w:cs="Times New Roman"/>
          <w:kern w:val="0"/>
          <w14:ligatures w14:val="none"/>
        </w:rPr>
        <w:t>SmartPLS</w:t>
      </w:r>
      <w:proofErr w:type="spellEnd"/>
      <w:r w:rsidRPr="000B444A">
        <w:rPr>
          <w:rFonts w:ascii="Times New Roman" w:eastAsia="Times New Roman" w:hAnsi="Times New Roman" w:cs="Times New Roman"/>
          <w:kern w:val="0"/>
          <w14:ligatures w14:val="none"/>
        </w:rPr>
        <w:t>) for measurement and structural model assessment to estimate relationships without strict distributional assumptions and to support prediction and causal-interpretation goals.</w:t>
      </w:r>
    </w:p>
    <w:p w14:paraId="6236DCF7"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6DC7D482"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263064D5"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2998FE8C"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33F23092"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r w:rsidRPr="000B444A">
        <w:rPr>
          <w:rFonts w:ascii="Times New Roman" w:eastAsia="Times New Roman" w:hAnsi="Times New Roman" w:cs="Times New Roman"/>
          <w:b/>
          <w:bCs/>
          <w:kern w:val="0"/>
          <w14:ligatures w14:val="none"/>
        </w:rPr>
        <w:lastRenderedPageBreak/>
        <w:t>4. Result and Interpretation</w:t>
      </w:r>
    </w:p>
    <w:p w14:paraId="6D3E1752"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b/>
          <w:bCs/>
          <w:kern w:val="0"/>
          <w14:ligatures w14:val="none"/>
        </w:rPr>
      </w:pPr>
      <w:r w:rsidRPr="000B444A">
        <w:rPr>
          <w:rFonts w:ascii="Times New Roman" w:eastAsia="0" w:hAnsi="Times New Roman" w:cs="Times New Roman"/>
          <w:b/>
          <w:bCs/>
          <w:color w:val="2B3942"/>
          <w14:ligatures w14:val="none"/>
        </w:rPr>
        <w:t>Moderating Effect</w:t>
      </w:r>
      <w:bookmarkStart w:id="38" w:name="output-sentence-box~0_Copy_100"/>
      <w:bookmarkStart w:id="39" w:name="output-sentence~0_Copy_100"/>
      <w:bookmarkStart w:id="40" w:name="output-phrase~0~0_Copy_100"/>
    </w:p>
    <w:p w14:paraId="02118D2B" w14:textId="77777777" w:rsidR="000B444A" w:rsidRPr="000B444A" w:rsidRDefault="000B444A" w:rsidP="000B444A">
      <w:pPr>
        <w:spacing w:after="140" w:line="240" w:lineRule="auto"/>
        <w:jc w:val="both"/>
        <w:rPr>
          <w:rFonts w:ascii="Times New Roman" w:eastAsia="0" w:hAnsi="Times New Roman" w:cs="Times New Roman"/>
          <w:color w:val="2B3942"/>
          <w:lang w:eastAsia="zh-CN" w:bidi="hi-IN"/>
          <w14:ligatures w14:val="none"/>
        </w:rPr>
      </w:pPr>
      <w:r w:rsidRPr="000B444A">
        <w:rPr>
          <w:rFonts w:ascii="Times New Roman" w:eastAsia="0" w:hAnsi="Times New Roman" w:cs="Times New Roman"/>
          <w:color w:val="2B3942"/>
          <w:lang w:eastAsia="zh-CN" w:bidi="hi-IN"/>
          <w14:ligatures w14:val="none"/>
        </w:rPr>
        <w:t>This section delved into the intricate dynamism of how organizational culture impacts the correlation between lean operations and quality service delivery, acting as a moderator. Consequently, it is deemed appropriate to integrate organizational culture as a moderating factor within the model at this juncture.</w:t>
      </w:r>
      <w:bookmarkEnd w:id="38"/>
      <w:bookmarkEnd w:id="39"/>
      <w:bookmarkEnd w:id="40"/>
    </w:p>
    <w:p w14:paraId="76615F25" w14:textId="77777777" w:rsidR="000B444A" w:rsidRPr="000B444A" w:rsidRDefault="000B444A" w:rsidP="000B444A">
      <w:pPr>
        <w:spacing w:after="140" w:line="240" w:lineRule="auto"/>
        <w:jc w:val="both"/>
        <w:rPr>
          <w:rFonts w:ascii="Times New Roman" w:eastAsia="0" w:hAnsi="Times New Roman" w:cs="Times New Roman"/>
          <w:color w:val="2B3942"/>
          <w:lang w:eastAsia="zh-CN" w:bidi="hi-IN"/>
          <w14:ligatures w14:val="none"/>
        </w:rPr>
      </w:pPr>
      <w:r w:rsidRPr="000B444A">
        <w:rPr>
          <w:rFonts w:ascii="Times New Roman" w:eastAsia="0" w:hAnsi="Times New Roman" w:cs="Times New Roman"/>
          <w:noProof/>
          <w:color w:val="2B3942"/>
          <w:lang w:eastAsia="zh-CN" w:bidi="hi-IN"/>
          <w14:ligatures w14:val="none"/>
        </w:rPr>
        <w:drawing>
          <wp:inline distT="0" distB="0" distL="0" distR="0" wp14:anchorId="3AA51197" wp14:editId="69A09AE1">
            <wp:extent cx="5762625" cy="419118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5764201" cy="4192335"/>
                    </a:xfrm>
                    <a:prstGeom prst="rect">
                      <a:avLst/>
                    </a:prstGeom>
                  </pic:spPr>
                </pic:pic>
              </a:graphicData>
            </a:graphic>
          </wp:inline>
        </w:drawing>
      </w:r>
    </w:p>
    <w:p w14:paraId="108BF4F3" w14:textId="77777777" w:rsidR="000B444A" w:rsidRPr="000B444A" w:rsidRDefault="000B444A" w:rsidP="000B444A">
      <w:pPr>
        <w:spacing w:after="140" w:line="240" w:lineRule="auto"/>
        <w:jc w:val="both"/>
        <w:rPr>
          <w:rFonts w:ascii="Times New Roman" w:eastAsia="0" w:hAnsi="Times New Roman" w:cs="Times New Roman"/>
          <w:b/>
          <w:bCs/>
          <w:color w:val="2B3942"/>
          <w:lang w:eastAsia="zh-CN" w:bidi="hi-IN"/>
          <w14:ligatures w14:val="none"/>
        </w:rPr>
      </w:pPr>
      <w:r w:rsidRPr="000B444A">
        <w:rPr>
          <w:rFonts w:ascii="Times New Roman" w:eastAsia="0" w:hAnsi="Times New Roman" w:cs="Times New Roman"/>
          <w:b/>
          <w:bCs/>
          <w:color w:val="2B3942"/>
          <w:lang w:eastAsia="zh-CN" w:bidi="hi-IN"/>
          <w14:ligatures w14:val="none"/>
        </w:rPr>
        <w:t xml:space="preserve">Fig 1: Moderating Effect of Organizational Culture on the Relationship Between Lean Operations and Quality Service Delivery </w:t>
      </w:r>
    </w:p>
    <w:p w14:paraId="6440C50C" w14:textId="77777777" w:rsidR="000B444A" w:rsidRPr="000B444A" w:rsidRDefault="000B444A" w:rsidP="000B444A">
      <w:pPr>
        <w:spacing w:line="240" w:lineRule="auto"/>
        <w:jc w:val="both"/>
        <w:rPr>
          <w:rFonts w:ascii="Times New Roman" w:eastAsia="Calibri" w:hAnsi="Times New Roman" w:cs="Times New Roman"/>
          <w:kern w:val="0"/>
          <w14:ligatures w14:val="none"/>
        </w:rPr>
      </w:pPr>
      <w:r w:rsidRPr="000B444A">
        <w:rPr>
          <w:rFonts w:ascii="Times New Roman" w:eastAsia="0" w:hAnsi="Times New Roman" w:cs="Times New Roman"/>
          <w:color w:val="2B3942"/>
          <w14:ligatures w14:val="none"/>
        </w:rPr>
        <w:t xml:space="preserve">Table 1: Path Analysis Result of The Direct Hypothesis Testing of Lean operations and Quality Service Delivery </w:t>
      </w:r>
    </w:p>
    <w:tbl>
      <w:tblPr>
        <w:tblW w:w="9450" w:type="dxa"/>
        <w:tblLayout w:type="fixed"/>
        <w:tblLook w:val="04A0" w:firstRow="1" w:lastRow="0" w:firstColumn="1" w:lastColumn="0" w:noHBand="0" w:noVBand="1"/>
      </w:tblPr>
      <w:tblGrid>
        <w:gridCol w:w="533"/>
        <w:gridCol w:w="1645"/>
        <w:gridCol w:w="1530"/>
        <w:gridCol w:w="882"/>
        <w:gridCol w:w="1081"/>
        <w:gridCol w:w="899"/>
        <w:gridCol w:w="1188"/>
        <w:gridCol w:w="885"/>
        <w:gridCol w:w="807"/>
      </w:tblGrid>
      <w:tr w:rsidR="000B444A" w:rsidRPr="000B444A" w14:paraId="31884245" w14:textId="77777777" w:rsidTr="00D00B3F">
        <w:tc>
          <w:tcPr>
            <w:tcW w:w="533" w:type="dxa"/>
            <w:tcBorders>
              <w:top w:val="single" w:sz="4" w:space="0" w:color="000000"/>
              <w:left w:val="single" w:sz="4" w:space="0" w:color="000000"/>
              <w:bottom w:val="single" w:sz="4" w:space="0" w:color="000000"/>
              <w:right w:val="single" w:sz="4" w:space="0" w:color="000000"/>
            </w:tcBorders>
          </w:tcPr>
          <w:p w14:paraId="23D45519" w14:textId="77777777" w:rsidR="000B444A" w:rsidRPr="000B444A" w:rsidRDefault="000B444A" w:rsidP="000B444A">
            <w:pPr>
              <w:widowControl w:val="0"/>
              <w:spacing w:line="240" w:lineRule="auto"/>
              <w:jc w:val="both"/>
              <w:rPr>
                <w:rFonts w:ascii="Times New Roman" w:eastAsia="Calibri" w:hAnsi="Times New Roman" w:cs="Times New Roman"/>
                <w:bCs/>
                <w:kern w:val="0"/>
                <w14:ligatures w14:val="none"/>
              </w:rPr>
            </w:pPr>
          </w:p>
        </w:tc>
        <w:tc>
          <w:tcPr>
            <w:tcW w:w="1645" w:type="dxa"/>
            <w:tcBorders>
              <w:top w:val="single" w:sz="4" w:space="0" w:color="000000"/>
              <w:left w:val="single" w:sz="4" w:space="0" w:color="000000"/>
              <w:bottom w:val="single" w:sz="4" w:space="0" w:color="000000"/>
              <w:right w:val="single" w:sz="4" w:space="0" w:color="000000"/>
            </w:tcBorders>
          </w:tcPr>
          <w:p w14:paraId="23D15D9A"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Hypothesized Path</w:t>
            </w:r>
          </w:p>
        </w:tc>
        <w:tc>
          <w:tcPr>
            <w:tcW w:w="1530" w:type="dxa"/>
            <w:tcBorders>
              <w:top w:val="single" w:sz="4" w:space="0" w:color="000000"/>
              <w:left w:val="single" w:sz="4" w:space="0" w:color="000000"/>
              <w:bottom w:val="single" w:sz="4" w:space="0" w:color="000000"/>
              <w:right w:val="single" w:sz="4" w:space="0" w:color="000000"/>
            </w:tcBorders>
          </w:tcPr>
          <w:p w14:paraId="3200954B"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Path Coefficient (β)</w:t>
            </w:r>
          </w:p>
        </w:tc>
        <w:tc>
          <w:tcPr>
            <w:tcW w:w="882" w:type="dxa"/>
            <w:tcBorders>
              <w:top w:val="single" w:sz="4" w:space="0" w:color="000000"/>
              <w:left w:val="single" w:sz="4" w:space="0" w:color="000000"/>
              <w:bottom w:val="single" w:sz="4" w:space="0" w:color="000000"/>
              <w:right w:val="single" w:sz="4" w:space="0" w:color="000000"/>
            </w:tcBorders>
          </w:tcPr>
          <w:p w14:paraId="5B6C2880"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P-Value</w:t>
            </w:r>
          </w:p>
        </w:tc>
        <w:tc>
          <w:tcPr>
            <w:tcW w:w="1081" w:type="dxa"/>
            <w:tcBorders>
              <w:top w:val="single" w:sz="4" w:space="0" w:color="000000"/>
              <w:left w:val="single" w:sz="4" w:space="0" w:color="000000"/>
              <w:bottom w:val="single" w:sz="4" w:space="0" w:color="000000"/>
              <w:right w:val="single" w:sz="4" w:space="0" w:color="000000"/>
            </w:tcBorders>
          </w:tcPr>
          <w:p w14:paraId="5F5A9090"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Standard Error</w:t>
            </w:r>
          </w:p>
        </w:tc>
        <w:tc>
          <w:tcPr>
            <w:tcW w:w="899" w:type="dxa"/>
            <w:tcBorders>
              <w:top w:val="single" w:sz="4" w:space="0" w:color="000000"/>
              <w:left w:val="single" w:sz="4" w:space="0" w:color="000000"/>
              <w:bottom w:val="single" w:sz="4" w:space="0" w:color="000000"/>
              <w:right w:val="single" w:sz="4" w:space="0" w:color="000000"/>
            </w:tcBorders>
          </w:tcPr>
          <w:p w14:paraId="3068CAE4"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T Value</w:t>
            </w:r>
          </w:p>
        </w:tc>
        <w:tc>
          <w:tcPr>
            <w:tcW w:w="1188" w:type="dxa"/>
            <w:tcBorders>
              <w:top w:val="single" w:sz="4" w:space="0" w:color="000000"/>
              <w:left w:val="single" w:sz="4" w:space="0" w:color="000000"/>
              <w:bottom w:val="single" w:sz="4" w:space="0" w:color="000000"/>
              <w:right w:val="single" w:sz="4" w:space="0" w:color="000000"/>
            </w:tcBorders>
          </w:tcPr>
          <w:p w14:paraId="3F3C59DB"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Decisions</w:t>
            </w:r>
          </w:p>
        </w:tc>
        <w:tc>
          <w:tcPr>
            <w:tcW w:w="885" w:type="dxa"/>
            <w:tcBorders>
              <w:top w:val="single" w:sz="4" w:space="0" w:color="000000"/>
              <w:left w:val="single" w:sz="4" w:space="0" w:color="000000"/>
              <w:bottom w:val="single" w:sz="4" w:space="0" w:color="000000"/>
              <w:right w:val="single" w:sz="4" w:space="0" w:color="000000"/>
            </w:tcBorders>
          </w:tcPr>
          <w:p w14:paraId="094FF5E9"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f-Squared</w:t>
            </w:r>
          </w:p>
        </w:tc>
        <w:tc>
          <w:tcPr>
            <w:tcW w:w="807" w:type="dxa"/>
            <w:tcBorders>
              <w:top w:val="single" w:sz="4" w:space="0" w:color="000000"/>
              <w:left w:val="single" w:sz="4" w:space="0" w:color="000000"/>
              <w:bottom w:val="single" w:sz="4" w:space="0" w:color="000000"/>
              <w:right w:val="single" w:sz="4" w:space="0" w:color="000000"/>
            </w:tcBorders>
          </w:tcPr>
          <w:p w14:paraId="5B99ACD5"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bCs/>
                <w:kern w:val="0"/>
                <w14:ligatures w14:val="none"/>
              </w:rPr>
              <w:t>Effect size</w:t>
            </w:r>
          </w:p>
        </w:tc>
      </w:tr>
      <w:tr w:rsidR="000B444A" w:rsidRPr="000B444A" w14:paraId="4609E4AC" w14:textId="77777777" w:rsidTr="00D00B3F">
        <w:tc>
          <w:tcPr>
            <w:tcW w:w="533" w:type="dxa"/>
            <w:tcBorders>
              <w:top w:val="single" w:sz="4" w:space="0" w:color="000000"/>
              <w:left w:val="single" w:sz="4" w:space="0" w:color="000000"/>
              <w:bottom w:val="single" w:sz="4" w:space="0" w:color="000000"/>
              <w:right w:val="single" w:sz="4" w:space="0" w:color="000000"/>
            </w:tcBorders>
          </w:tcPr>
          <w:p w14:paraId="53631134"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kern w:val="0"/>
                <w14:ligatures w14:val="none"/>
              </w:rPr>
              <w:t>1.</w:t>
            </w:r>
          </w:p>
        </w:tc>
        <w:tc>
          <w:tcPr>
            <w:tcW w:w="1645" w:type="dxa"/>
            <w:tcBorders>
              <w:top w:val="single" w:sz="4" w:space="0" w:color="000000"/>
              <w:left w:val="single" w:sz="4" w:space="0" w:color="000000"/>
              <w:bottom w:val="single" w:sz="4" w:space="0" w:color="000000"/>
              <w:right w:val="single" w:sz="4" w:space="0" w:color="000000"/>
            </w:tcBorders>
            <w:vAlign w:val="bottom"/>
          </w:tcPr>
          <w:p w14:paraId="1A97E451"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OC x LO-&gt; QSD</w:t>
            </w:r>
          </w:p>
        </w:tc>
        <w:tc>
          <w:tcPr>
            <w:tcW w:w="1530" w:type="dxa"/>
            <w:tcBorders>
              <w:top w:val="single" w:sz="4" w:space="0" w:color="000000"/>
              <w:left w:val="single" w:sz="4" w:space="0" w:color="000000"/>
              <w:bottom w:val="single" w:sz="4" w:space="0" w:color="000000"/>
              <w:right w:val="single" w:sz="4" w:space="0" w:color="000000"/>
            </w:tcBorders>
            <w:vAlign w:val="bottom"/>
          </w:tcPr>
          <w:p w14:paraId="501EA488"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-0.035</w:t>
            </w:r>
          </w:p>
        </w:tc>
        <w:tc>
          <w:tcPr>
            <w:tcW w:w="882" w:type="dxa"/>
            <w:tcBorders>
              <w:top w:val="single" w:sz="4" w:space="0" w:color="000000"/>
              <w:left w:val="single" w:sz="4" w:space="0" w:color="000000"/>
              <w:bottom w:val="single" w:sz="4" w:space="0" w:color="000000"/>
              <w:right w:val="single" w:sz="4" w:space="0" w:color="000000"/>
            </w:tcBorders>
            <w:vAlign w:val="bottom"/>
          </w:tcPr>
          <w:p w14:paraId="429ADC95"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0.101</w:t>
            </w:r>
          </w:p>
        </w:tc>
        <w:tc>
          <w:tcPr>
            <w:tcW w:w="1081" w:type="dxa"/>
            <w:tcBorders>
              <w:top w:val="single" w:sz="4" w:space="0" w:color="000000"/>
              <w:left w:val="single" w:sz="4" w:space="0" w:color="000000"/>
              <w:bottom w:val="single" w:sz="4" w:space="0" w:color="000000"/>
              <w:right w:val="single" w:sz="4" w:space="0" w:color="000000"/>
            </w:tcBorders>
            <w:vAlign w:val="bottom"/>
          </w:tcPr>
          <w:p w14:paraId="4A0D1E8A"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0.051</w:t>
            </w:r>
          </w:p>
        </w:tc>
        <w:tc>
          <w:tcPr>
            <w:tcW w:w="899" w:type="dxa"/>
            <w:tcBorders>
              <w:top w:val="single" w:sz="4" w:space="0" w:color="000000"/>
              <w:left w:val="single" w:sz="4" w:space="0" w:color="000000"/>
              <w:bottom w:val="single" w:sz="4" w:space="0" w:color="000000"/>
              <w:right w:val="single" w:sz="4" w:space="0" w:color="000000"/>
            </w:tcBorders>
            <w:vAlign w:val="bottom"/>
          </w:tcPr>
          <w:p w14:paraId="745968E0"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1.203</w:t>
            </w:r>
          </w:p>
        </w:tc>
        <w:tc>
          <w:tcPr>
            <w:tcW w:w="1188" w:type="dxa"/>
            <w:tcBorders>
              <w:top w:val="single" w:sz="4" w:space="0" w:color="000000"/>
              <w:left w:val="single" w:sz="4" w:space="0" w:color="000000"/>
              <w:bottom w:val="single" w:sz="4" w:space="0" w:color="000000"/>
              <w:right w:val="single" w:sz="4" w:space="0" w:color="000000"/>
            </w:tcBorders>
          </w:tcPr>
          <w:p w14:paraId="251943ED"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Not Supported</w:t>
            </w:r>
          </w:p>
        </w:tc>
        <w:tc>
          <w:tcPr>
            <w:tcW w:w="885" w:type="dxa"/>
            <w:tcBorders>
              <w:top w:val="single" w:sz="4" w:space="0" w:color="000000"/>
              <w:left w:val="single" w:sz="4" w:space="0" w:color="000000"/>
              <w:bottom w:val="single" w:sz="4" w:space="0" w:color="000000"/>
              <w:right w:val="single" w:sz="4" w:space="0" w:color="000000"/>
            </w:tcBorders>
            <w:vAlign w:val="bottom"/>
          </w:tcPr>
          <w:p w14:paraId="554F99F6"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5</w:t>
            </w:r>
            <w:bookmarkStart w:id="41" w:name="_GoBack_Copy_1"/>
            <w:bookmarkEnd w:id="41"/>
            <w:r w:rsidRPr="000B444A">
              <w:rPr>
                <w:rFonts w:ascii="Times New Roman" w:eastAsia="Calibri" w:hAnsi="Times New Roman" w:cs="Times New Roman"/>
                <w:color w:val="000000"/>
                <w:kern w:val="0"/>
                <w14:ligatures w14:val="none"/>
              </w:rPr>
              <w:t>.435</w:t>
            </w:r>
          </w:p>
        </w:tc>
        <w:tc>
          <w:tcPr>
            <w:tcW w:w="807" w:type="dxa"/>
            <w:tcBorders>
              <w:top w:val="single" w:sz="4" w:space="0" w:color="000000"/>
              <w:left w:val="single" w:sz="4" w:space="0" w:color="000000"/>
              <w:bottom w:val="single" w:sz="4" w:space="0" w:color="000000"/>
              <w:right w:val="single" w:sz="4" w:space="0" w:color="000000"/>
            </w:tcBorders>
          </w:tcPr>
          <w:p w14:paraId="69D25B6A" w14:textId="77777777" w:rsidR="000B444A" w:rsidRPr="000B444A" w:rsidRDefault="000B444A" w:rsidP="000B444A">
            <w:pPr>
              <w:widowControl w:val="0"/>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color w:val="000000"/>
                <w:kern w:val="0"/>
                <w14:ligatures w14:val="none"/>
              </w:rPr>
              <w:t>Large</w:t>
            </w:r>
          </w:p>
        </w:tc>
      </w:tr>
    </w:tbl>
    <w:p w14:paraId="04967B4C" w14:textId="77777777" w:rsidR="000B444A" w:rsidRPr="000B444A" w:rsidRDefault="000B444A" w:rsidP="000B444A">
      <w:pPr>
        <w:spacing w:line="240" w:lineRule="auto"/>
        <w:jc w:val="both"/>
        <w:rPr>
          <w:rFonts w:ascii="Times New Roman" w:eastAsia="Calibri" w:hAnsi="Times New Roman" w:cs="Times New Roman"/>
          <w:kern w:val="0"/>
          <w14:ligatures w14:val="none"/>
        </w:rPr>
      </w:pPr>
      <w:r w:rsidRPr="000B444A">
        <w:rPr>
          <w:rFonts w:ascii="Times New Roman" w:eastAsia="0" w:hAnsi="Times New Roman" w:cs="Times New Roman"/>
          <w:color w:val="2B3942"/>
          <w14:ligatures w14:val="none"/>
        </w:rPr>
        <w:t xml:space="preserve">Source: The Researcher’s Computation (2025). </w:t>
      </w:r>
    </w:p>
    <w:p w14:paraId="1C04B9CD" w14:textId="77777777" w:rsidR="000B444A" w:rsidRPr="000B444A" w:rsidRDefault="000B444A" w:rsidP="000B444A">
      <w:pPr>
        <w:spacing w:line="240" w:lineRule="auto"/>
        <w:jc w:val="both"/>
        <w:rPr>
          <w:rFonts w:ascii="Times New Roman" w:eastAsia="Calibri" w:hAnsi="Times New Roman" w:cs="Times New Roman"/>
          <w:kern w:val="0"/>
          <w14:ligatures w14:val="none"/>
        </w:rPr>
      </w:pPr>
      <w:r w:rsidRPr="000B444A">
        <w:rPr>
          <w:rFonts w:ascii="Times New Roman" w:eastAsia="0" w:hAnsi="Times New Roman" w:cs="Times New Roman"/>
          <w:color w:val="2B3942"/>
          <w14:ligatures w14:val="none"/>
        </w:rPr>
        <w:t xml:space="preserve">Table 1 presented the path analysis results investigating the moderating influence of organizational culture on the association between lean operations and quality service delivery of hotels within Rivers State. Notably, the analysis examined the moderating effect on each of the previously established direct relationships. </w:t>
      </w:r>
    </w:p>
    <w:p w14:paraId="7C58A0DF" w14:textId="77777777" w:rsidR="000B444A" w:rsidRPr="000B444A" w:rsidRDefault="000B444A" w:rsidP="000B444A">
      <w:pPr>
        <w:spacing w:line="240" w:lineRule="auto"/>
        <w:jc w:val="both"/>
        <w:rPr>
          <w:rFonts w:ascii="Times New Roman" w:eastAsia="Calibri" w:hAnsi="Times New Roman" w:cs="Times New Roman"/>
          <w:kern w:val="0"/>
          <w14:ligatures w14:val="none"/>
        </w:rPr>
      </w:pPr>
      <w:r w:rsidRPr="000B444A">
        <w:rPr>
          <w:rFonts w:ascii="Times New Roman" w:eastAsia="0" w:hAnsi="Times New Roman" w:cs="Times New Roman"/>
          <w:color w:val="2B3942"/>
          <w14:ligatures w14:val="none"/>
        </w:rPr>
        <w:t xml:space="preserve">The structural path model as illustrated in the table indicated that organizational culture exerts a negative moderating effect on the lean operations-quick service delivery of hotels nexus, with a coefficient of -0.035 (p = </w:t>
      </w:r>
      <w:r w:rsidRPr="000B444A">
        <w:rPr>
          <w:rFonts w:ascii="Times New Roman" w:eastAsia="0" w:hAnsi="Times New Roman" w:cs="Times New Roman"/>
          <w:color w:val="2B3942"/>
          <w14:ligatures w14:val="none"/>
        </w:rPr>
        <w:lastRenderedPageBreak/>
        <w:t xml:space="preserve">0.101 &gt; 0.05; t-value = 1.203 &lt; 1.96). Consequently, the null hypothesis proposing no moderating effect was retained. Despite the observed negative moderation, the effect was deemed statistically insignificant due to p and t-values exceeding established thresholds. </w:t>
      </w:r>
    </w:p>
    <w:p w14:paraId="6F207C13" w14:textId="77777777" w:rsidR="000B444A" w:rsidRPr="000B444A" w:rsidRDefault="000B444A" w:rsidP="000B444A">
      <w:pPr>
        <w:spacing w:line="240" w:lineRule="auto"/>
        <w:jc w:val="both"/>
        <w:rPr>
          <w:rFonts w:ascii="Times New Roman" w:eastAsia="0" w:hAnsi="Times New Roman" w:cs="Times New Roman"/>
          <w:color w:val="2B3942"/>
          <w14:ligatures w14:val="none"/>
        </w:rPr>
      </w:pPr>
      <w:r w:rsidRPr="000B444A">
        <w:rPr>
          <w:rFonts w:ascii="Times New Roman" w:eastAsia="0" w:hAnsi="Times New Roman" w:cs="Times New Roman"/>
          <w:color w:val="2B3942"/>
          <w14:ligatures w14:val="none"/>
        </w:rPr>
        <w:t>Therefore, the findings suggest that organizational culture does moderate but not significantly the relationship between lean operations and quality service delivery of a hotel within the given context.</w:t>
      </w:r>
    </w:p>
    <w:p w14:paraId="4C44E8DA" w14:textId="77777777" w:rsidR="000B444A" w:rsidRPr="000B444A" w:rsidRDefault="000B444A" w:rsidP="000B444A">
      <w:pPr>
        <w:spacing w:line="240" w:lineRule="auto"/>
        <w:jc w:val="both"/>
        <w:rPr>
          <w:rFonts w:ascii="Times New Roman" w:eastAsia="Calibri" w:hAnsi="Times New Roman" w:cs="Times New Roman"/>
          <w:b/>
          <w:bCs/>
          <w:kern w:val="0"/>
          <w14:ligatures w14:val="none"/>
        </w:rPr>
      </w:pPr>
      <w:r w:rsidRPr="000B444A">
        <w:rPr>
          <w:rFonts w:ascii="Times New Roman" w:eastAsia="0" w:hAnsi="Times New Roman" w:cs="Times New Roman"/>
          <w:b/>
          <w:bCs/>
          <w:color w:val="2B3942"/>
          <w14:ligatures w14:val="none"/>
        </w:rPr>
        <w:t>5. Discussion of Findings</w:t>
      </w:r>
    </w:p>
    <w:p w14:paraId="0AA5C818" w14:textId="77777777" w:rsidR="000B444A" w:rsidRPr="000B444A" w:rsidRDefault="000B444A" w:rsidP="000B444A">
      <w:pPr>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kern w:val="0"/>
          <w14:ligatures w14:val="none"/>
        </w:rPr>
        <w:t>The tenth objective of the study was to investigate if the moderating effect of organizational culture on the relationship between lean operations and quick service delivery. To do this, the hypothesis below was framed and was put to test</w:t>
      </w:r>
    </w:p>
    <w:p w14:paraId="14F9EC7B" w14:textId="77777777" w:rsidR="000B444A" w:rsidRPr="000B444A" w:rsidRDefault="000B444A" w:rsidP="000B444A">
      <w:pPr>
        <w:spacing w:line="240" w:lineRule="auto"/>
        <w:jc w:val="both"/>
        <w:rPr>
          <w:rFonts w:ascii="Times New Roman" w:eastAsia="Calibri" w:hAnsi="Times New Roman" w:cs="Times New Roman"/>
          <w:kern w:val="0"/>
          <w14:ligatures w14:val="none"/>
        </w:rPr>
      </w:pPr>
      <w:r w:rsidRPr="000B444A">
        <w:rPr>
          <w:rFonts w:ascii="Times New Roman" w:eastAsia="Calibri" w:hAnsi="Times New Roman" w:cs="Times New Roman"/>
          <w:i/>
          <w:iCs/>
          <w:kern w:val="0"/>
          <w14:ligatures w14:val="none"/>
        </w:rPr>
        <w:t>H</w:t>
      </w:r>
      <w:r w:rsidRPr="000B444A">
        <w:rPr>
          <w:rFonts w:ascii="Times New Roman" w:eastAsia="Calibri" w:hAnsi="Times New Roman" w:cs="Times New Roman"/>
          <w:kern w:val="0"/>
          <w:vertAlign w:val="subscript"/>
          <w14:ligatures w14:val="none"/>
        </w:rPr>
        <w:t>0</w:t>
      </w:r>
      <w:r w:rsidRPr="000B444A">
        <w:rPr>
          <w:rFonts w:ascii="Times New Roman" w:eastAsia="Calibri" w:hAnsi="Times New Roman" w:cs="Times New Roman"/>
          <w:kern w:val="0"/>
          <w14:ligatures w14:val="none"/>
        </w:rPr>
        <w:t>1: organizational culture has no moderating effect on the relationship between lean operations and quick service delivery</w:t>
      </w:r>
    </w:p>
    <w:p w14:paraId="52F1E128"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The interaction coefficient is small and negative and not statistically significant. As reported in the analysis, the null hypothesis which states that organizational culture does not moderate the LO and QSD relationship is retained. That is an empirical outcome that contrasts with a portion of the literature that finds supportive cultures amplify lean performance. Rivers State hotels may display hierarchical decision rules or inconsistent managerial support that blunt culture’s ability to amplify lean practices, producing site-to-site variability rather than a consistent moderating effect. Also, culture is slow to change and often acts with a time lag; a single cross-section snapshot can miss the cumulative, delayed ways culture conditions the success of lean interventions. Together these points argue for retuning the culture measure to lean-specific dimensions, increasing sample size or adopting a longitudinal design, and considering whether culture functions better as a mediator in this setting.</w:t>
      </w:r>
    </w:p>
    <w:p w14:paraId="24579765"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Despite the unclear moderating role of culture, the core lean story is clear and robust: process optimization, resource efficiency and waste reduction each make independent, meaningful contributions to quick-service outcomes. Process optimization is the dominant lever for speeding delivery, resource efficiency most strongly predicts service protocol through reliable resourcing and fewer service gaps, and service accuracy is jointly driven by process redesign and waste elimination. The high explained variances indicate that, as a package, lean operations are powerful predictors of quick service in these hotels; the immediate managerial priority should therefore be targeted process redesign, disciplined resource planning and visible waste-removal actions, while researchers refine culture measurement and test longer-term, context-sensitive effect.</w:t>
      </w:r>
    </w:p>
    <w:p w14:paraId="4F57CBB1" w14:textId="77777777" w:rsidR="000B444A" w:rsidRPr="000B444A" w:rsidRDefault="000B444A" w:rsidP="000B444A">
      <w:pPr>
        <w:spacing w:beforeAutospacing="1" w:after="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This finding supports the earlier position of Zeng</w:t>
      </w:r>
      <w:r w:rsidRPr="000B444A">
        <w:rPr>
          <w:rFonts w:ascii="Times New Roman" w:eastAsia="SimSun" w:hAnsi="Times New Roman" w:cs="Times New Roman"/>
          <w:kern w:val="0"/>
          <w:lang w:val="en-GB" w:eastAsia="zh-CN"/>
          <w14:ligatures w14:val="none"/>
        </w:rPr>
        <w:t xml:space="preserve"> et al</w:t>
      </w:r>
      <w:r w:rsidRPr="000B444A">
        <w:rPr>
          <w:rFonts w:ascii="Times New Roman" w:eastAsia="SimSun" w:hAnsi="Times New Roman" w:cs="Times New Roman"/>
          <w:kern w:val="0"/>
          <w:lang w:eastAsia="zh-CN"/>
          <w14:ligatures w14:val="none"/>
        </w:rPr>
        <w:t xml:space="preserve"> (2015) which indicated that a supportive organizational culture enhances the positive impact of lean operations on both quality and innovation performance. It also is in tandem with the study of Baird</w:t>
      </w:r>
      <w:r w:rsidRPr="000B444A">
        <w:rPr>
          <w:rFonts w:ascii="Times New Roman" w:eastAsia="SimSun" w:hAnsi="Times New Roman" w:cs="Times New Roman"/>
          <w:kern w:val="0"/>
          <w:lang w:val="en-GB" w:eastAsia="zh-CN"/>
          <w14:ligatures w14:val="none"/>
        </w:rPr>
        <w:t xml:space="preserve"> et al</w:t>
      </w:r>
      <w:r w:rsidRPr="000B444A">
        <w:rPr>
          <w:rFonts w:ascii="Times New Roman" w:eastAsia="SimSun" w:hAnsi="Times New Roman" w:cs="Times New Roman"/>
          <w:kern w:val="0"/>
          <w:lang w:eastAsia="zh-CN"/>
          <w14:ligatures w14:val="none"/>
        </w:rPr>
        <w:t xml:space="preserve"> (2011) which revealed that organizational culture significantly moderates the relationship between lean operations measured through Total Quality Management (TQM) practices and quality service delivery. Furthermore, the current finding appreciates the assertions of Carlos and Ana Jabbour (2016) is that, in automotive firms with an organizational culture that supports sustainability and continuous improvement, the integration of lean and green practices led to significant improvements in </w:t>
      </w:r>
      <w:r w:rsidRPr="000B444A">
        <w:rPr>
          <w:rFonts w:ascii="Times New Roman" w:eastAsia="SimSun" w:hAnsi="Times New Roman" w:cs="Times New Roman"/>
          <w:kern w:val="0"/>
          <w:lang w:val="en-GB" w:eastAsia="zh-CN"/>
          <w14:ligatures w14:val="none"/>
        </w:rPr>
        <w:t>Quality service</w:t>
      </w:r>
      <w:r w:rsidRPr="000B444A">
        <w:rPr>
          <w:rFonts w:ascii="Times New Roman" w:eastAsia="SimSun" w:hAnsi="Times New Roman" w:cs="Times New Roman"/>
          <w:kern w:val="0"/>
          <w:lang w:eastAsia="zh-CN"/>
          <w14:ligatures w14:val="none"/>
        </w:rPr>
        <w:t xml:space="preserve"> and operational efficiency. </w:t>
      </w:r>
    </w:p>
    <w:p w14:paraId="762E2282" w14:textId="77777777" w:rsidR="000B444A" w:rsidRPr="000B444A" w:rsidRDefault="000B444A" w:rsidP="000B444A">
      <w:pPr>
        <w:spacing w:beforeAutospacing="1" w:after="0" w:afterAutospacing="1" w:line="240" w:lineRule="auto"/>
        <w:jc w:val="both"/>
        <w:rPr>
          <w:rFonts w:ascii="Times New Roman" w:eastAsia="SimSun" w:hAnsi="Times New Roman" w:cs="Times New Roman"/>
          <w:b/>
          <w:bCs/>
          <w:kern w:val="0"/>
          <w:lang w:eastAsia="zh-CN"/>
          <w14:ligatures w14:val="none"/>
        </w:rPr>
      </w:pPr>
      <w:r w:rsidRPr="000B444A">
        <w:rPr>
          <w:rFonts w:ascii="Times New Roman" w:eastAsia="SimSun" w:hAnsi="Times New Roman" w:cs="Times New Roman"/>
          <w:b/>
          <w:bCs/>
          <w:kern w:val="0"/>
          <w:lang w:eastAsia="zh-CN"/>
          <w14:ligatures w14:val="none"/>
        </w:rPr>
        <w:t>6. Conclusion and Recommendation</w:t>
      </w:r>
    </w:p>
    <w:p w14:paraId="62EED3EE" w14:textId="77777777" w:rsidR="000B444A" w:rsidRPr="000B444A" w:rsidRDefault="000B444A" w:rsidP="000B444A">
      <w:pPr>
        <w:spacing w:before="100" w:beforeAutospacing="1" w:after="100" w:afterAutospacing="1"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Contingency theory helped explaining the result. Contingency thinking holds that the effectiveness of management practices depends on context. Accordingly, the study tested whether organizational culture (a key contextual variable) moderated the lean–service linkage. The data showed a slight negative moderation by culture (β –0.035, not significant at p&gt;0.05). In practice this means lean practices worked well across hotels regardless of culture in this sample, but contingency theory reminds us that a more supportive, improvement</w:t>
      </w:r>
      <w:r w:rsidRPr="000B444A">
        <w:rPr>
          <w:rFonts w:ascii="Times New Roman" w:eastAsia="Times New Roman" w:hAnsi="Times New Roman" w:cs="Times New Roman"/>
          <w:kern w:val="0"/>
          <w14:ligatures w14:val="none"/>
        </w:rPr>
        <w:noBreakHyphen/>
        <w:t xml:space="preserve">oriented culture (continuous learning, empowerment, customer focus) should amplify lean’s </w:t>
      </w:r>
      <w:r w:rsidRPr="000B444A">
        <w:rPr>
          <w:rFonts w:ascii="Times New Roman" w:eastAsia="Times New Roman" w:hAnsi="Times New Roman" w:cs="Times New Roman"/>
          <w:kern w:val="0"/>
          <w14:ligatures w14:val="none"/>
        </w:rPr>
        <w:lastRenderedPageBreak/>
        <w:t>effects. In other words, lean tools were broadly effective here, but they are best sustained when the social environment is aligned.</w:t>
      </w:r>
    </w:p>
    <w:p w14:paraId="7F45314A" w14:textId="77777777" w:rsidR="000B444A" w:rsidRPr="000B444A" w:rsidRDefault="000B444A" w:rsidP="000B444A">
      <w:pPr>
        <w:spacing w:beforeAutospacing="1" w:after="0" w:afterAutospacing="1" w:line="240" w:lineRule="auto"/>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The practical implications are clear and robust. For hotel managers in Rivers State, even modest lean improvements can yield outsized service gains. Simple waste‐elimination efforts for example, removing unnecessary steps at check</w:t>
      </w:r>
      <w:r w:rsidRPr="000B444A">
        <w:rPr>
          <w:rFonts w:ascii="Times New Roman" w:eastAsia="Times New Roman" w:hAnsi="Times New Roman" w:cs="Times New Roman"/>
          <w:kern w:val="0"/>
          <w14:ligatures w14:val="none"/>
        </w:rPr>
        <w:noBreakHyphen/>
        <w:t>in or decluttering housekeeping routines directly reduced delays and errors, making service faster and more reliable. Standardizing processes and empowering staff (the core of process optimization) made correct execution routine rather than exception, further boosting accuracy. Viewed holistically, these lean changes became “customer</w:t>
      </w:r>
      <w:r w:rsidRPr="000B444A">
        <w:rPr>
          <w:rFonts w:ascii="Times New Roman" w:eastAsia="Times New Roman" w:hAnsi="Times New Roman" w:cs="Times New Roman"/>
          <w:kern w:val="0"/>
          <w14:ligatures w14:val="none"/>
        </w:rPr>
        <w:noBreakHyphen/>
        <w:t>experience investments” guests enjoyed smoother stays with fewer mishaps, and rewarded the hotels with higher satisfaction. Over time, these quality improvements feed back into the bottom line. As the study notes, lean provides “a framework for continuous improvement” that eliminates waste, smooths processes and raises efficiency yielding financial benefits and profitability. In competitive terms, this translates into innovation and market edge: hotels that continuously improve processes and meet guest needs more consistently can outpace rivals. Thus, from a managerial standpoint, this study suggests pairing lean projects with customer feedback loops and front‐line training, ensuring that technical fixes stick and are visible in better guest outcomes. And as such the study recommended that:</w:t>
      </w:r>
    </w:p>
    <w:p w14:paraId="1C80F04D" w14:textId="77777777" w:rsidR="000B444A" w:rsidRPr="000B444A" w:rsidRDefault="000B444A" w:rsidP="000B444A">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Although organizational culture did not statistically moderate effects in this sample, cultivate a supportive micro-culture to make lean gains sustainable. Managers are to create small problem-solving forums, reward frontline suggestions that reduce waste, and set up brief coaching cycles so staff feel empowered to report problems and contribute to improvements. </w:t>
      </w:r>
    </w:p>
    <w:p w14:paraId="198F7CBD" w14:textId="77777777" w:rsidR="000B444A" w:rsidRPr="000B444A" w:rsidRDefault="000B444A" w:rsidP="000B444A">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Owners and senior executives should limit intrusive operational interference and instead provide strategic support for lean initiatives, appoint local champions with clear authority to run pilots, allocate modest seed resources for small experiments, and require evidence-based scaling decisions to avoid half-implemented changes that generate confusion. </w:t>
      </w:r>
    </w:p>
    <w:p w14:paraId="30B10C11" w14:textId="77777777" w:rsidR="000B444A" w:rsidRPr="000B444A" w:rsidRDefault="000B444A" w:rsidP="000B444A">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Invest judiciously in enabling digital tools that reduce manual handoffs and visible waste. Start with low-cost, high-impact technology such as shared digital order trackers, simple inventory-alert systems and mobile checklists rather than large enterprise overhauls and measure the incremental impact before further investment.</w:t>
      </w:r>
    </w:p>
    <w:p w14:paraId="1328C4DD" w14:textId="77777777" w:rsidR="000B444A" w:rsidRPr="000B444A" w:rsidRDefault="000B444A" w:rsidP="000B444A">
      <w:pPr>
        <w:numPr>
          <w:ilvl w:val="0"/>
          <w:numId w:val="37"/>
        </w:numPr>
        <w:spacing w:before="100" w:beforeAutospacing="1" w:after="100" w:afterAutospacing="1" w:line="240" w:lineRule="auto"/>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For human-resource practice, prioritize targeted training and cross-training focused on the documented SOPs and error-proofing techniques, short, frequent refreshers and on-the-job coaching outperform long, infrequent classroom sessions for embedding new routines.</w:t>
      </w:r>
    </w:p>
    <w:p w14:paraId="3121D5C8" w14:textId="77777777" w:rsidR="00641746" w:rsidRDefault="00641746" w:rsidP="000B444A">
      <w:pPr>
        <w:spacing w:before="100" w:beforeAutospacing="1" w:after="100" w:afterAutospacing="1" w:line="240" w:lineRule="auto"/>
        <w:ind w:left="360"/>
        <w:jc w:val="center"/>
        <w:rPr>
          <w:rFonts w:ascii="Times New Roman" w:eastAsia="SimSun" w:hAnsi="Times New Roman" w:cs="Times New Roman"/>
          <w:b/>
          <w:bCs/>
          <w:kern w:val="0"/>
          <w:lang w:eastAsia="zh-CN"/>
          <w14:ligatures w14:val="none"/>
        </w:rPr>
      </w:pPr>
    </w:p>
    <w:p w14:paraId="1E152037" w14:textId="14EBB23F" w:rsidR="000B444A" w:rsidRPr="000B444A" w:rsidRDefault="000B444A" w:rsidP="000B444A">
      <w:pPr>
        <w:spacing w:before="100" w:beforeAutospacing="1" w:after="100" w:afterAutospacing="1" w:line="240" w:lineRule="auto"/>
        <w:ind w:left="360"/>
        <w:jc w:val="center"/>
        <w:rPr>
          <w:rFonts w:ascii="Times New Roman" w:eastAsia="SimSun" w:hAnsi="Times New Roman" w:cs="Times New Roman"/>
          <w:b/>
          <w:bCs/>
          <w:kern w:val="0"/>
          <w:lang w:eastAsia="zh-CN"/>
          <w14:ligatures w14:val="none"/>
        </w:rPr>
      </w:pPr>
      <w:r w:rsidRPr="000B444A">
        <w:rPr>
          <w:rFonts w:ascii="Times New Roman" w:eastAsia="SimSun" w:hAnsi="Times New Roman" w:cs="Times New Roman"/>
          <w:b/>
          <w:bCs/>
          <w:kern w:val="0"/>
          <w:lang w:eastAsia="zh-CN"/>
          <w14:ligatures w14:val="none"/>
        </w:rPr>
        <w:t>References</w:t>
      </w:r>
    </w:p>
    <w:p w14:paraId="2B818DDC"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Adeleke, S., &amp; Obiora, N. (2023). The influence of lean adoption on hotel performance: a study of selected hotels in Obio/Akpor Local Government Area, Rivers State. </w:t>
      </w:r>
      <w:r w:rsidRPr="000B444A">
        <w:rPr>
          <w:rFonts w:ascii="Times New Roman" w:eastAsia="SimSun" w:hAnsi="Times New Roman" w:cs="Times New Roman"/>
          <w:i/>
          <w:iCs/>
          <w:kern w:val="0"/>
          <w:lang w:eastAsia="zh-CN"/>
          <w14:ligatures w14:val="none"/>
        </w:rPr>
        <w:t xml:space="preserve">International Journal of Advanced Studies in Business Strategies and Management, </w:t>
      </w:r>
      <w:r w:rsidRPr="000B444A">
        <w:rPr>
          <w:rFonts w:ascii="Times New Roman" w:eastAsia="SimSun" w:hAnsi="Times New Roman" w:cs="Times New Roman"/>
          <w:kern w:val="0"/>
          <w:lang w:eastAsia="zh-CN"/>
          <w14:ligatures w14:val="none"/>
        </w:rPr>
        <w:t>242-259.</w:t>
      </w:r>
    </w:p>
    <w:p w14:paraId="242C0D63"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Alvesson, M. (2012). </w:t>
      </w:r>
      <w:r w:rsidRPr="000B444A">
        <w:rPr>
          <w:rFonts w:ascii="Times New Roman" w:eastAsia="SimSun" w:hAnsi="Times New Roman" w:cs="Times New Roman"/>
          <w:i/>
          <w:iCs/>
          <w:kern w:val="0"/>
          <w:lang w:eastAsia="zh-CN"/>
          <w14:ligatures w14:val="none"/>
        </w:rPr>
        <w:t>Understanding organizational culture</w:t>
      </w:r>
      <w:r w:rsidRPr="000B444A">
        <w:rPr>
          <w:rFonts w:ascii="Times New Roman" w:eastAsia="SimSun" w:hAnsi="Times New Roman" w:cs="Times New Roman"/>
          <w:kern w:val="0"/>
          <w:lang w:eastAsia="zh-CN"/>
          <w14:ligatures w14:val="none"/>
        </w:rPr>
        <w:t xml:space="preserve"> (2nd ed.). Sage.</w:t>
      </w:r>
    </w:p>
    <w:p w14:paraId="490A47FC"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American Hotel &amp; Lodging Association (AHLA). (2023). Defining hospitality: The art of exceptional service. Retrieved from </w:t>
      </w:r>
      <w:hyperlink r:id="rId221" w:tgtFrame="_new" w:history="1">
        <w:r w:rsidRPr="000B444A">
          <w:rPr>
            <w:rFonts w:ascii="Times New Roman" w:eastAsia="SimSun" w:hAnsi="Times New Roman" w:cs="Times New Roman"/>
            <w:color w:val="0000FF"/>
            <w:kern w:val="0"/>
            <w:u w:val="single"/>
            <w:lang w:eastAsia="zh-CN"/>
            <w14:ligatures w14:val="none"/>
          </w:rPr>
          <w:t>www.ahla.com</w:t>
        </w:r>
      </w:hyperlink>
    </w:p>
    <w:p w14:paraId="2A787127"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Anthony, R. N. (2011). Lean thinking in the public sector: Influences, emergence and characteristics. </w:t>
      </w:r>
      <w:r w:rsidRPr="000B444A">
        <w:rPr>
          <w:rFonts w:ascii="Times New Roman" w:eastAsia="SimSun" w:hAnsi="Times New Roman" w:cs="Times New Roman"/>
          <w:i/>
          <w:iCs/>
          <w:kern w:val="0"/>
          <w:lang w:eastAsia="zh-CN"/>
          <w14:ligatures w14:val="none"/>
        </w:rPr>
        <w:t>Public Money &amp; Management, 31</w:t>
      </w:r>
      <w:r w:rsidRPr="000B444A">
        <w:rPr>
          <w:rFonts w:ascii="Times New Roman" w:eastAsia="SimSun" w:hAnsi="Times New Roman" w:cs="Times New Roman"/>
          <w:kern w:val="0"/>
          <w:lang w:eastAsia="zh-CN"/>
          <w14:ligatures w14:val="none"/>
        </w:rPr>
        <w:t>(1), 55-62.</w:t>
      </w:r>
    </w:p>
    <w:p w14:paraId="6999C081"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Babbie, E. (2017). </w:t>
      </w:r>
      <w:r w:rsidRPr="000B444A">
        <w:rPr>
          <w:rFonts w:ascii="Times New Roman" w:eastAsia="SimSun" w:hAnsi="Times New Roman" w:cs="Times New Roman"/>
          <w:i/>
          <w:iCs/>
          <w:kern w:val="0"/>
          <w:lang w:eastAsia="zh-CN"/>
          <w14:ligatures w14:val="none"/>
        </w:rPr>
        <w:t>The practice of social research</w:t>
      </w:r>
      <w:r w:rsidRPr="000B444A">
        <w:rPr>
          <w:rFonts w:ascii="Times New Roman" w:eastAsia="SimSun" w:hAnsi="Times New Roman" w:cs="Times New Roman"/>
          <w:kern w:val="0"/>
          <w:lang w:eastAsia="zh-CN"/>
          <w14:ligatures w14:val="none"/>
        </w:rPr>
        <w:t xml:space="preserve"> (14th ed.). Cengage Learning.</w:t>
      </w:r>
    </w:p>
    <w:p w14:paraId="4A7AFED0"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lastRenderedPageBreak/>
        <w:t xml:space="preserve">Baird, K., Hu, K. J., &amp; Reeve, R. (2011). The relationships between organizational culture, total quality management practices, and operational performance. </w:t>
      </w:r>
      <w:r w:rsidRPr="000B444A">
        <w:rPr>
          <w:rFonts w:ascii="Times New Roman" w:eastAsia="SimSun" w:hAnsi="Times New Roman" w:cs="Times New Roman"/>
          <w:i/>
          <w:iCs/>
          <w:kern w:val="0"/>
          <w:lang w:eastAsia="zh-CN"/>
          <w14:ligatures w14:val="none"/>
        </w:rPr>
        <w:t>International Journal of Operations &amp; Production Management, 31</w:t>
      </w:r>
      <w:r w:rsidRPr="000B444A">
        <w:rPr>
          <w:rFonts w:ascii="Times New Roman" w:eastAsia="SimSun" w:hAnsi="Times New Roman" w:cs="Times New Roman"/>
          <w:kern w:val="0"/>
          <w:lang w:eastAsia="zh-CN"/>
          <w14:ligatures w14:val="none"/>
        </w:rPr>
        <w:t>(7), 789-814.</w:t>
      </w:r>
    </w:p>
    <w:p w14:paraId="6B8E4541"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Ben-Tovim, D. I., Bassham, J. E., Bennett, D. M., Dougherty, M. L., Martin, M. A., O'Neill, S. J., &amp; </w:t>
      </w:r>
      <w:proofErr w:type="spellStart"/>
      <w:r w:rsidRPr="000B444A">
        <w:rPr>
          <w:rFonts w:ascii="Times New Roman" w:eastAsia="SimSun" w:hAnsi="Times New Roman" w:cs="Times New Roman"/>
          <w:kern w:val="0"/>
          <w:lang w:eastAsia="zh-CN"/>
          <w14:ligatures w14:val="none"/>
        </w:rPr>
        <w:t>Szwarcbord</w:t>
      </w:r>
      <w:proofErr w:type="spellEnd"/>
      <w:r w:rsidRPr="000B444A">
        <w:rPr>
          <w:rFonts w:ascii="Times New Roman" w:eastAsia="SimSun" w:hAnsi="Times New Roman" w:cs="Times New Roman"/>
          <w:kern w:val="0"/>
          <w:lang w:eastAsia="zh-CN"/>
          <w14:ligatures w14:val="none"/>
        </w:rPr>
        <w:t xml:space="preserve">, M. G. (2007). Lean thinking across a hospital: Redesigning care at the Flinders Medical Centre. </w:t>
      </w:r>
      <w:r w:rsidRPr="000B444A">
        <w:rPr>
          <w:rFonts w:ascii="Times New Roman" w:eastAsia="SimSun" w:hAnsi="Times New Roman" w:cs="Times New Roman"/>
          <w:i/>
          <w:iCs/>
          <w:kern w:val="0"/>
          <w:lang w:eastAsia="zh-CN"/>
          <w14:ligatures w14:val="none"/>
        </w:rPr>
        <w:t>Australian Health Review, 31</w:t>
      </w:r>
      <w:r w:rsidRPr="000B444A">
        <w:rPr>
          <w:rFonts w:ascii="Times New Roman" w:eastAsia="SimSun" w:hAnsi="Times New Roman" w:cs="Times New Roman"/>
          <w:kern w:val="0"/>
          <w:lang w:eastAsia="zh-CN"/>
          <w14:ligatures w14:val="none"/>
        </w:rPr>
        <w:t>(1), 10-15.</w:t>
      </w:r>
    </w:p>
    <w:p w14:paraId="4C03CAB2"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Bicheno, J., &amp; Holweg, M. (2016). </w:t>
      </w:r>
      <w:r w:rsidRPr="000B444A">
        <w:rPr>
          <w:rFonts w:ascii="Times New Roman" w:eastAsia="SimSun" w:hAnsi="Times New Roman" w:cs="Times New Roman"/>
          <w:i/>
          <w:iCs/>
          <w:kern w:val="0"/>
          <w:lang w:eastAsia="zh-CN"/>
          <w14:ligatures w14:val="none"/>
        </w:rPr>
        <w:t>The lean toolbox: A handbook for lean transformation</w:t>
      </w:r>
      <w:r w:rsidRPr="000B444A">
        <w:rPr>
          <w:rFonts w:ascii="Times New Roman" w:eastAsia="SimSun" w:hAnsi="Times New Roman" w:cs="Times New Roman"/>
          <w:kern w:val="0"/>
          <w:lang w:eastAsia="zh-CN"/>
          <w14:ligatures w14:val="none"/>
        </w:rPr>
        <w:t xml:space="preserve"> (5th ed.). PICSIE Books.</w:t>
      </w:r>
    </w:p>
    <w:p w14:paraId="4883E0B6"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Bielen, F., &amp; Demoulin, N. (2007). Waiting time influence on the satisfaction–loyalty relationship in services. </w:t>
      </w:r>
      <w:r w:rsidRPr="000B444A">
        <w:rPr>
          <w:rFonts w:ascii="Times New Roman" w:eastAsia="Times New Roman" w:hAnsi="Times New Roman" w:cs="Times New Roman"/>
          <w:i/>
          <w:iCs/>
          <w:kern w:val="0"/>
          <w14:ligatures w14:val="none"/>
        </w:rPr>
        <w:t>Managing Service Quality: An International Journal, 17</w:t>
      </w:r>
      <w:r w:rsidRPr="000B444A">
        <w:rPr>
          <w:rFonts w:ascii="Times New Roman" w:eastAsia="Times New Roman" w:hAnsi="Times New Roman" w:cs="Times New Roman"/>
          <w:kern w:val="0"/>
          <w14:ligatures w14:val="none"/>
        </w:rPr>
        <w:t xml:space="preserve">(2), 174–193. </w:t>
      </w:r>
    </w:p>
    <w:p w14:paraId="06507BFD"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Bitner, M. J., Booms, B. H., &amp; Tetreault, M. S. (1990). The service encounter: Diagnosing favorable and unfavorable incidents. </w:t>
      </w:r>
      <w:r w:rsidRPr="000B444A">
        <w:rPr>
          <w:rFonts w:ascii="Times New Roman" w:eastAsia="Times New Roman" w:hAnsi="Times New Roman" w:cs="Times New Roman"/>
          <w:i/>
          <w:iCs/>
          <w:kern w:val="0"/>
          <w14:ligatures w14:val="none"/>
        </w:rPr>
        <w:t>Journal of Marketing, 54</w:t>
      </w:r>
      <w:r w:rsidRPr="000B444A">
        <w:rPr>
          <w:rFonts w:ascii="Times New Roman" w:eastAsia="Times New Roman" w:hAnsi="Times New Roman" w:cs="Times New Roman"/>
          <w:kern w:val="0"/>
          <w14:ligatures w14:val="none"/>
        </w:rPr>
        <w:t xml:space="preserve">(1), 71–84. </w:t>
      </w:r>
    </w:p>
    <w:p w14:paraId="58B15287" w14:textId="77777777" w:rsidR="000B444A" w:rsidRPr="000B444A" w:rsidRDefault="000B444A" w:rsidP="000B444A">
      <w:pPr>
        <w:spacing w:before="100" w:beforeAutospacing="1" w:after="100" w:afterAutospacing="1" w:line="240" w:lineRule="auto"/>
        <w:ind w:left="720" w:hanging="720"/>
        <w:jc w:val="both"/>
        <w:rPr>
          <w:rFonts w:ascii="Times New Roman" w:eastAsia="SimSun" w:hAnsi="Times New Roman" w:cs="Times New Roman"/>
          <w:kern w:val="0"/>
          <w:lang w:eastAsia="zh-CN"/>
          <w14:ligatures w14:val="none"/>
        </w:rPr>
      </w:pPr>
      <w:proofErr w:type="spellStart"/>
      <w:r w:rsidRPr="000B444A">
        <w:rPr>
          <w:rFonts w:ascii="Times New Roman" w:eastAsia="SimSun" w:hAnsi="Times New Roman" w:cs="Times New Roman"/>
          <w:kern w:val="0"/>
          <w:lang w:eastAsia="zh-CN"/>
          <w14:ligatures w14:val="none"/>
        </w:rPr>
        <w:t>Blenkharn</w:t>
      </w:r>
      <w:proofErr w:type="spellEnd"/>
      <w:r w:rsidRPr="000B444A">
        <w:rPr>
          <w:rFonts w:ascii="Times New Roman" w:eastAsia="SimSun" w:hAnsi="Times New Roman" w:cs="Times New Roman"/>
          <w:kern w:val="0"/>
          <w:lang w:eastAsia="zh-CN"/>
          <w14:ligatures w14:val="none"/>
        </w:rPr>
        <w:t xml:space="preserve">, J. I. (2006). Standards of clinical waste management in UK hospitals. </w:t>
      </w:r>
      <w:r w:rsidRPr="000B444A">
        <w:rPr>
          <w:rFonts w:ascii="Times New Roman" w:eastAsia="SimSun" w:hAnsi="Times New Roman" w:cs="Times New Roman"/>
          <w:i/>
          <w:iCs/>
          <w:kern w:val="0"/>
          <w:lang w:eastAsia="zh-CN"/>
          <w14:ligatures w14:val="none"/>
        </w:rPr>
        <w:t>Journal of Hospital Infection, 62</w:t>
      </w:r>
      <w:r w:rsidRPr="000B444A">
        <w:rPr>
          <w:rFonts w:ascii="Times New Roman" w:eastAsia="SimSun" w:hAnsi="Times New Roman" w:cs="Times New Roman"/>
          <w:kern w:val="0"/>
          <w:lang w:eastAsia="zh-CN"/>
          <w14:ligatures w14:val="none"/>
        </w:rPr>
        <w:t xml:space="preserve">(3), 300–303. </w:t>
      </w:r>
    </w:p>
    <w:p w14:paraId="25B7F909"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Bortolotti, T., </w:t>
      </w:r>
      <w:proofErr w:type="spellStart"/>
      <w:r w:rsidRPr="000B444A">
        <w:rPr>
          <w:rFonts w:ascii="Times New Roman" w:eastAsia="SimSun" w:hAnsi="Times New Roman" w:cs="Times New Roman"/>
          <w:kern w:val="0"/>
          <w:lang w:eastAsia="zh-CN"/>
          <w14:ligatures w14:val="none"/>
        </w:rPr>
        <w:t>Boscari</w:t>
      </w:r>
      <w:proofErr w:type="spellEnd"/>
      <w:r w:rsidRPr="000B444A">
        <w:rPr>
          <w:rFonts w:ascii="Times New Roman" w:eastAsia="SimSun" w:hAnsi="Times New Roman" w:cs="Times New Roman"/>
          <w:kern w:val="0"/>
          <w:lang w:eastAsia="zh-CN"/>
          <w14:ligatures w14:val="none"/>
        </w:rPr>
        <w:t xml:space="preserve">, S., &amp; Danese, P. (2015). Successful lean implementation: Organizational culture and soft lean practices. </w:t>
      </w:r>
      <w:r w:rsidRPr="000B444A">
        <w:rPr>
          <w:rFonts w:ascii="Times New Roman" w:eastAsia="SimSun" w:hAnsi="Times New Roman" w:cs="Times New Roman"/>
          <w:i/>
          <w:iCs/>
          <w:kern w:val="0"/>
          <w:lang w:eastAsia="zh-CN"/>
          <w14:ligatures w14:val="none"/>
        </w:rPr>
        <w:t>International Journal of Production Economics, 160,</w:t>
      </w:r>
      <w:r w:rsidRPr="000B444A">
        <w:rPr>
          <w:rFonts w:ascii="Times New Roman" w:eastAsia="SimSun" w:hAnsi="Times New Roman" w:cs="Times New Roman"/>
          <w:kern w:val="0"/>
          <w:lang w:eastAsia="zh-CN"/>
          <w14:ligatures w14:val="none"/>
        </w:rPr>
        <w:t xml:space="preserve"> 182-201.</w:t>
      </w:r>
    </w:p>
    <w:p w14:paraId="1DD988A4"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Bowley, A. (1964). Sampling and proportionate allocation methods. </w:t>
      </w:r>
      <w:r w:rsidRPr="000B444A">
        <w:rPr>
          <w:rFonts w:ascii="Times New Roman" w:eastAsia="SimSun" w:hAnsi="Times New Roman" w:cs="Times New Roman"/>
          <w:i/>
          <w:iCs/>
          <w:kern w:val="0"/>
          <w:lang w:eastAsia="zh-CN"/>
          <w14:ligatures w14:val="none"/>
        </w:rPr>
        <w:t>Journal of the Royal Statistical Society, 127</w:t>
      </w:r>
      <w:r w:rsidRPr="000B444A">
        <w:rPr>
          <w:rFonts w:ascii="Times New Roman" w:eastAsia="SimSun" w:hAnsi="Times New Roman" w:cs="Times New Roman"/>
          <w:kern w:val="0"/>
          <w:lang w:eastAsia="zh-CN"/>
          <w14:ligatures w14:val="none"/>
        </w:rPr>
        <w:t>(1), 1–17.</w:t>
      </w:r>
    </w:p>
    <w:p w14:paraId="3D5BC229"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Bryman, A. (2016). </w:t>
      </w:r>
      <w:r w:rsidRPr="000B444A">
        <w:rPr>
          <w:rFonts w:ascii="Times New Roman" w:eastAsia="SimSun" w:hAnsi="Times New Roman" w:cs="Times New Roman"/>
          <w:i/>
          <w:iCs/>
          <w:kern w:val="0"/>
          <w:lang w:eastAsia="zh-CN"/>
          <w14:ligatures w14:val="none"/>
        </w:rPr>
        <w:t>Social research methods</w:t>
      </w:r>
      <w:r w:rsidRPr="000B444A">
        <w:rPr>
          <w:rFonts w:ascii="Times New Roman" w:eastAsia="SimSun" w:hAnsi="Times New Roman" w:cs="Times New Roman"/>
          <w:kern w:val="0"/>
          <w:lang w:eastAsia="zh-CN"/>
          <w14:ligatures w14:val="none"/>
        </w:rPr>
        <w:t xml:space="preserve"> (5th ed.). Oxford University Press.</w:t>
      </w:r>
    </w:p>
    <w:p w14:paraId="04347CC9"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Burgess, N., &amp; Radnor, Z. (2013). Evaluative research in lean operations in service organizations: A critical review and research agenda. </w:t>
      </w:r>
      <w:r w:rsidRPr="000B444A">
        <w:rPr>
          <w:rFonts w:ascii="Times New Roman" w:eastAsia="SimSun" w:hAnsi="Times New Roman" w:cs="Times New Roman"/>
          <w:i/>
          <w:iCs/>
          <w:kern w:val="0"/>
          <w:lang w:eastAsia="zh-CN"/>
          <w14:ligatures w14:val="none"/>
        </w:rPr>
        <w:t>International Journal of Operations &amp; Production Management, 33</w:t>
      </w:r>
      <w:r w:rsidRPr="000B444A">
        <w:rPr>
          <w:rFonts w:ascii="Times New Roman" w:eastAsia="SimSun" w:hAnsi="Times New Roman" w:cs="Times New Roman"/>
          <w:kern w:val="0"/>
          <w:lang w:eastAsia="zh-CN"/>
          <w14:ligatures w14:val="none"/>
        </w:rPr>
        <w:t>(11/12), 1573-1595.</w:t>
      </w:r>
    </w:p>
    <w:p w14:paraId="6CA3CEFC"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Cameron, K. S., &amp; Quinn, R. E. (2011). </w:t>
      </w:r>
      <w:r w:rsidRPr="000B444A">
        <w:rPr>
          <w:rFonts w:ascii="Times New Roman" w:eastAsia="SimSun" w:hAnsi="Times New Roman" w:cs="Times New Roman"/>
          <w:i/>
          <w:iCs/>
          <w:kern w:val="0"/>
          <w:lang w:eastAsia="zh-CN"/>
          <w14:ligatures w14:val="none"/>
        </w:rPr>
        <w:t>Diagnosing and changing organizational culture: Based on the competing values framework</w:t>
      </w:r>
      <w:r w:rsidRPr="000B444A">
        <w:rPr>
          <w:rFonts w:ascii="Times New Roman" w:eastAsia="SimSun" w:hAnsi="Times New Roman" w:cs="Times New Roman"/>
          <w:kern w:val="0"/>
          <w:lang w:eastAsia="zh-CN"/>
          <w14:ligatures w14:val="none"/>
        </w:rPr>
        <w:t xml:space="preserve"> (3rd ed.). Jossey-Bass.</w:t>
      </w:r>
    </w:p>
    <w:p w14:paraId="63487A94"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Carlos, J., &amp; Ana Jabbour, C. (2016). Green lean manufacturing: When lean and green thinking intersect. </w:t>
      </w:r>
      <w:r w:rsidRPr="000B444A">
        <w:rPr>
          <w:rFonts w:ascii="Times New Roman" w:eastAsia="Times New Roman" w:hAnsi="Times New Roman" w:cs="Times New Roman"/>
          <w:i/>
          <w:iCs/>
          <w:kern w:val="0"/>
          <w14:ligatures w14:val="none"/>
        </w:rPr>
        <w:t>Journal of Cleaner Production, 112</w:t>
      </w:r>
      <w:r w:rsidRPr="000B444A">
        <w:rPr>
          <w:rFonts w:ascii="Times New Roman" w:eastAsia="Times New Roman" w:hAnsi="Times New Roman" w:cs="Times New Roman"/>
          <w:kern w:val="0"/>
          <w14:ligatures w14:val="none"/>
        </w:rPr>
        <w:t xml:space="preserve">, 342–352. </w:t>
      </w:r>
    </w:p>
    <w:p w14:paraId="6E93624B"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Chiarini, A. (2013). </w:t>
      </w:r>
      <w:r w:rsidRPr="000B444A">
        <w:rPr>
          <w:rFonts w:ascii="Times New Roman" w:eastAsia="SimSun" w:hAnsi="Times New Roman" w:cs="Times New Roman"/>
          <w:i/>
          <w:iCs/>
          <w:kern w:val="0"/>
          <w:lang w:eastAsia="zh-CN"/>
          <w14:ligatures w14:val="none"/>
        </w:rPr>
        <w:t>Lean organization: From the tools of the Toyota production system to lean office.</w:t>
      </w:r>
      <w:r w:rsidRPr="000B444A">
        <w:rPr>
          <w:rFonts w:ascii="Times New Roman" w:eastAsia="SimSun" w:hAnsi="Times New Roman" w:cs="Times New Roman"/>
          <w:kern w:val="0"/>
          <w:lang w:eastAsia="zh-CN"/>
          <w14:ligatures w14:val="none"/>
        </w:rPr>
        <w:t xml:space="preserve"> Springer.</w:t>
      </w:r>
    </w:p>
    <w:p w14:paraId="272ED1FB"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Chiarini, A. (2013). </w:t>
      </w:r>
      <w:r w:rsidRPr="000B444A">
        <w:rPr>
          <w:rFonts w:ascii="Times New Roman" w:eastAsia="Times New Roman" w:hAnsi="Times New Roman" w:cs="Times New Roman"/>
          <w:i/>
          <w:iCs/>
          <w:kern w:val="0"/>
          <w14:ligatures w14:val="none"/>
        </w:rPr>
        <w:t>Lean organization: From the tools of the Toyota Production System to lean office.</w:t>
      </w:r>
      <w:r w:rsidRPr="000B444A">
        <w:rPr>
          <w:rFonts w:ascii="Times New Roman" w:eastAsia="Times New Roman" w:hAnsi="Times New Roman" w:cs="Times New Roman"/>
          <w:kern w:val="0"/>
          <w14:ligatures w14:val="none"/>
        </w:rPr>
        <w:t xml:space="preserve"> Springer.</w:t>
      </w:r>
    </w:p>
    <w:p w14:paraId="4A3A520A"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Cohen, J. (1988). </w:t>
      </w:r>
      <w:r w:rsidRPr="000B444A">
        <w:rPr>
          <w:rFonts w:ascii="Times New Roman" w:eastAsia="SimSun" w:hAnsi="Times New Roman" w:cs="Times New Roman"/>
          <w:i/>
          <w:iCs/>
          <w:kern w:val="0"/>
          <w:lang w:eastAsia="zh-CN"/>
          <w14:ligatures w14:val="none"/>
        </w:rPr>
        <w:t>Statistical power analysis for the behavioral sciences</w:t>
      </w:r>
      <w:r w:rsidRPr="000B444A">
        <w:rPr>
          <w:rFonts w:ascii="Times New Roman" w:eastAsia="SimSun" w:hAnsi="Times New Roman" w:cs="Times New Roman"/>
          <w:kern w:val="0"/>
          <w:lang w:eastAsia="zh-CN"/>
          <w14:ligatures w14:val="none"/>
        </w:rPr>
        <w:t xml:space="preserve"> (2nd ed.). Lawrence Erlbaum Associates.</w:t>
      </w:r>
    </w:p>
    <w:p w14:paraId="3A6A2AE4" w14:textId="77777777" w:rsidR="000B444A" w:rsidRPr="000B444A" w:rsidRDefault="000B444A" w:rsidP="000B444A">
      <w:pPr>
        <w:spacing w:before="100" w:beforeAutospacing="1" w:after="10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Coker, A., </w:t>
      </w:r>
      <w:proofErr w:type="spellStart"/>
      <w:r w:rsidRPr="000B444A">
        <w:rPr>
          <w:rFonts w:ascii="Times New Roman" w:eastAsia="SimSun" w:hAnsi="Times New Roman" w:cs="Times New Roman"/>
          <w:kern w:val="0"/>
          <w:lang w:eastAsia="zh-CN"/>
          <w14:ligatures w14:val="none"/>
        </w:rPr>
        <w:t>Sangodoyin</w:t>
      </w:r>
      <w:proofErr w:type="spellEnd"/>
      <w:r w:rsidRPr="000B444A">
        <w:rPr>
          <w:rFonts w:ascii="Times New Roman" w:eastAsia="SimSun" w:hAnsi="Times New Roman" w:cs="Times New Roman"/>
          <w:kern w:val="0"/>
          <w:lang w:eastAsia="zh-CN"/>
          <w14:ligatures w14:val="none"/>
        </w:rPr>
        <w:t xml:space="preserve">, A., Sridhar, M., Booth, C., </w:t>
      </w:r>
      <w:proofErr w:type="spellStart"/>
      <w:r w:rsidRPr="000B444A">
        <w:rPr>
          <w:rFonts w:ascii="Times New Roman" w:eastAsia="SimSun" w:hAnsi="Times New Roman" w:cs="Times New Roman"/>
          <w:kern w:val="0"/>
          <w:lang w:eastAsia="zh-CN"/>
          <w14:ligatures w14:val="none"/>
        </w:rPr>
        <w:t>Olomolaiye</w:t>
      </w:r>
      <w:proofErr w:type="spellEnd"/>
      <w:r w:rsidRPr="000B444A">
        <w:rPr>
          <w:rFonts w:ascii="Times New Roman" w:eastAsia="SimSun" w:hAnsi="Times New Roman" w:cs="Times New Roman"/>
          <w:kern w:val="0"/>
          <w:lang w:eastAsia="zh-CN"/>
          <w14:ligatures w14:val="none"/>
        </w:rPr>
        <w:t xml:space="preserve">, P., &amp; Hammond, F. (2009). Medical waste management in Ibadan, Nigeria: Obstacles and prospects. </w:t>
      </w:r>
      <w:r w:rsidRPr="000B444A">
        <w:rPr>
          <w:rFonts w:ascii="Times New Roman" w:eastAsia="SimSun" w:hAnsi="Times New Roman" w:cs="Times New Roman"/>
          <w:i/>
          <w:iCs/>
          <w:kern w:val="0"/>
          <w:lang w:eastAsia="zh-CN"/>
          <w14:ligatures w14:val="none"/>
        </w:rPr>
        <w:t>Waste Management, 29</w:t>
      </w:r>
      <w:r w:rsidRPr="000B444A">
        <w:rPr>
          <w:rFonts w:ascii="Times New Roman" w:eastAsia="SimSun" w:hAnsi="Times New Roman" w:cs="Times New Roman"/>
          <w:kern w:val="0"/>
          <w:lang w:eastAsia="zh-CN"/>
          <w14:ligatures w14:val="none"/>
        </w:rPr>
        <w:t xml:space="preserve">(2), 804–811. </w:t>
      </w:r>
    </w:p>
    <w:p w14:paraId="15FC3DD4"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Collis, J., &amp; Hussey, R. (2014). </w:t>
      </w:r>
      <w:r w:rsidRPr="000B444A">
        <w:rPr>
          <w:rFonts w:ascii="Times New Roman" w:eastAsia="SimSun" w:hAnsi="Times New Roman" w:cs="Times New Roman"/>
          <w:i/>
          <w:iCs/>
          <w:kern w:val="0"/>
          <w:lang w:eastAsia="zh-CN"/>
          <w14:ligatures w14:val="none"/>
        </w:rPr>
        <w:t>Business research: A practical guide for undergraduate and postgraduate students</w:t>
      </w:r>
      <w:r w:rsidRPr="000B444A">
        <w:rPr>
          <w:rFonts w:ascii="Times New Roman" w:eastAsia="SimSun" w:hAnsi="Times New Roman" w:cs="Times New Roman"/>
          <w:kern w:val="0"/>
          <w:lang w:eastAsia="zh-CN"/>
          <w14:ligatures w14:val="none"/>
        </w:rPr>
        <w:t xml:space="preserve"> (4th ed.). Palgrave Macmillan.</w:t>
      </w:r>
    </w:p>
    <w:p w14:paraId="08DCAF0F"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lastRenderedPageBreak/>
        <w:t xml:space="preserve">Dangelico, R. M., &amp; Pujari, D. (2010). Mainstreaming green product innovation: Why and how companies integrate environmental sustainability. </w:t>
      </w:r>
      <w:r w:rsidRPr="000B444A">
        <w:rPr>
          <w:rFonts w:ascii="Times New Roman" w:eastAsia="SimSun" w:hAnsi="Times New Roman" w:cs="Times New Roman"/>
          <w:i/>
          <w:iCs/>
          <w:kern w:val="0"/>
          <w:lang w:eastAsia="zh-CN"/>
          <w14:ligatures w14:val="none"/>
        </w:rPr>
        <w:t>Journal of Business Ethics, 95</w:t>
      </w:r>
      <w:r w:rsidRPr="000B444A">
        <w:rPr>
          <w:rFonts w:ascii="Times New Roman" w:eastAsia="SimSun" w:hAnsi="Times New Roman" w:cs="Times New Roman"/>
          <w:kern w:val="0"/>
          <w:lang w:eastAsia="zh-CN"/>
          <w14:ligatures w14:val="none"/>
        </w:rPr>
        <w:t>(3), 471-486.</w:t>
      </w:r>
    </w:p>
    <w:p w14:paraId="1534790A"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Davies, C. S. O. (2022). Exploring the relationship between service quality and customer satisfaction in hotels in Port Harcourt, Rivers State. </w:t>
      </w:r>
      <w:r w:rsidRPr="000B444A">
        <w:rPr>
          <w:rFonts w:ascii="Times New Roman" w:eastAsia="Times New Roman" w:hAnsi="Times New Roman" w:cs="Times New Roman"/>
          <w:i/>
          <w:iCs/>
          <w:kern w:val="0"/>
          <w14:ligatures w14:val="none"/>
        </w:rPr>
        <w:t>Global Research Journal of Management and Social Sciences (GRJMSS), 13</w:t>
      </w:r>
      <w:r w:rsidRPr="000B444A">
        <w:rPr>
          <w:rFonts w:ascii="Times New Roman" w:eastAsia="Times New Roman" w:hAnsi="Times New Roman" w:cs="Times New Roman"/>
          <w:kern w:val="0"/>
          <w14:ligatures w14:val="none"/>
        </w:rPr>
        <w:t xml:space="preserve">(3), 1–10. </w:t>
      </w:r>
    </w:p>
    <w:p w14:paraId="19143D04"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proofErr w:type="spellStart"/>
      <w:r w:rsidRPr="000B444A">
        <w:rPr>
          <w:rFonts w:ascii="Times New Roman" w:eastAsia="SimSun" w:hAnsi="Times New Roman" w:cs="Times New Roman"/>
          <w:kern w:val="0"/>
          <w:lang w:eastAsia="zh-CN"/>
          <w14:ligatures w14:val="none"/>
        </w:rPr>
        <w:t>Demirbag</w:t>
      </w:r>
      <w:proofErr w:type="spellEnd"/>
      <w:r w:rsidRPr="000B444A">
        <w:rPr>
          <w:rFonts w:ascii="Times New Roman" w:eastAsia="SimSun" w:hAnsi="Times New Roman" w:cs="Times New Roman"/>
          <w:kern w:val="0"/>
          <w:lang w:eastAsia="zh-CN"/>
          <w14:ligatures w14:val="none"/>
        </w:rPr>
        <w:t xml:space="preserve">, M., Glaister, K. W., &amp; </w:t>
      </w:r>
      <w:proofErr w:type="spellStart"/>
      <w:r w:rsidRPr="000B444A">
        <w:rPr>
          <w:rFonts w:ascii="Times New Roman" w:eastAsia="SimSun" w:hAnsi="Times New Roman" w:cs="Times New Roman"/>
          <w:kern w:val="0"/>
          <w:lang w:eastAsia="zh-CN"/>
          <w14:ligatures w14:val="none"/>
        </w:rPr>
        <w:t>Tatoglu</w:t>
      </w:r>
      <w:proofErr w:type="spellEnd"/>
      <w:r w:rsidRPr="000B444A">
        <w:rPr>
          <w:rFonts w:ascii="Times New Roman" w:eastAsia="SimSun" w:hAnsi="Times New Roman" w:cs="Times New Roman"/>
          <w:kern w:val="0"/>
          <w:lang w:eastAsia="zh-CN"/>
          <w14:ligatures w14:val="none"/>
        </w:rPr>
        <w:t xml:space="preserve">, E. (2006). Assessing the relationship between TQM and firm performance in emerging markets. </w:t>
      </w:r>
      <w:r w:rsidRPr="000B444A">
        <w:rPr>
          <w:rFonts w:ascii="Times New Roman" w:eastAsia="SimSun" w:hAnsi="Times New Roman" w:cs="Times New Roman"/>
          <w:i/>
          <w:iCs/>
          <w:kern w:val="0"/>
          <w:lang w:eastAsia="zh-CN"/>
          <w14:ligatures w14:val="none"/>
        </w:rPr>
        <w:t>Journal of Operations Management, 24</w:t>
      </w:r>
      <w:r w:rsidRPr="000B444A">
        <w:rPr>
          <w:rFonts w:ascii="Times New Roman" w:eastAsia="SimSun" w:hAnsi="Times New Roman" w:cs="Times New Roman"/>
          <w:kern w:val="0"/>
          <w:lang w:eastAsia="zh-CN"/>
          <w14:ligatures w14:val="none"/>
        </w:rPr>
        <w:t>(3), 363–379.</w:t>
      </w:r>
    </w:p>
    <w:p w14:paraId="387587C3"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Denison, D. R. (2006). </w:t>
      </w:r>
      <w:r w:rsidRPr="000B444A">
        <w:rPr>
          <w:rFonts w:ascii="Times New Roman" w:eastAsia="SimSun" w:hAnsi="Times New Roman" w:cs="Times New Roman"/>
          <w:i/>
          <w:iCs/>
          <w:kern w:val="0"/>
          <w:lang w:eastAsia="zh-CN"/>
          <w14:ligatures w14:val="none"/>
        </w:rPr>
        <w:t>Culture in organizations: Analyzing and developing organizational culture.</w:t>
      </w:r>
      <w:r w:rsidRPr="000B444A">
        <w:rPr>
          <w:rFonts w:ascii="Times New Roman" w:eastAsia="SimSun" w:hAnsi="Times New Roman" w:cs="Times New Roman"/>
          <w:kern w:val="0"/>
          <w:lang w:eastAsia="zh-CN"/>
          <w14:ligatures w14:val="none"/>
        </w:rPr>
        <w:t xml:space="preserve"> Wiley.</w:t>
      </w:r>
    </w:p>
    <w:p w14:paraId="0FE61E5B"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Dennis, P., &amp; Shook, J. (2021). </w:t>
      </w:r>
      <w:r w:rsidRPr="000B444A">
        <w:rPr>
          <w:rFonts w:ascii="Times New Roman" w:eastAsia="SimSun" w:hAnsi="Times New Roman" w:cs="Times New Roman"/>
          <w:i/>
          <w:iCs/>
          <w:kern w:val="0"/>
          <w:lang w:eastAsia="zh-CN"/>
          <w14:ligatures w14:val="none"/>
        </w:rPr>
        <w:t>Lean production simplified: A plain-language guide to the world’s most powerful production system</w:t>
      </w:r>
      <w:r w:rsidRPr="000B444A">
        <w:rPr>
          <w:rFonts w:ascii="Times New Roman" w:eastAsia="SimSun" w:hAnsi="Times New Roman" w:cs="Times New Roman"/>
          <w:kern w:val="0"/>
          <w:lang w:eastAsia="zh-CN"/>
          <w14:ligatures w14:val="none"/>
        </w:rPr>
        <w:t xml:space="preserve"> (4th ed.). CRC Press.</w:t>
      </w:r>
    </w:p>
    <w:p w14:paraId="0A274CB9"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Donaldson, L. (2001). </w:t>
      </w:r>
      <w:r w:rsidRPr="000B444A">
        <w:rPr>
          <w:rFonts w:ascii="Times New Roman" w:eastAsia="SimSun" w:hAnsi="Times New Roman" w:cs="Times New Roman"/>
          <w:i/>
          <w:iCs/>
          <w:kern w:val="0"/>
          <w:lang w:eastAsia="zh-CN"/>
          <w14:ligatures w14:val="none"/>
        </w:rPr>
        <w:t>The contingency theory of organizations.</w:t>
      </w:r>
      <w:r w:rsidRPr="000B444A">
        <w:rPr>
          <w:rFonts w:ascii="Times New Roman" w:eastAsia="SimSun" w:hAnsi="Times New Roman" w:cs="Times New Roman"/>
          <w:kern w:val="0"/>
          <w:lang w:eastAsia="zh-CN"/>
          <w14:ligatures w14:val="none"/>
        </w:rPr>
        <w:t xml:space="preserve"> SAGE Publications.</w:t>
      </w:r>
    </w:p>
    <w:p w14:paraId="20B70982"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Fitzsimmons, J. A., &amp; Fitzsimmons, M. J. (2014). </w:t>
      </w:r>
      <w:r w:rsidRPr="000B444A">
        <w:rPr>
          <w:rFonts w:ascii="Times New Roman" w:eastAsia="SimSun" w:hAnsi="Times New Roman" w:cs="Times New Roman"/>
          <w:i/>
          <w:iCs/>
          <w:kern w:val="0"/>
          <w:lang w:eastAsia="zh-CN"/>
          <w14:ligatures w14:val="none"/>
        </w:rPr>
        <w:t>Service management: Operations, strategy, information technology</w:t>
      </w:r>
      <w:r w:rsidRPr="000B444A">
        <w:rPr>
          <w:rFonts w:ascii="Times New Roman" w:eastAsia="SimSun" w:hAnsi="Times New Roman" w:cs="Times New Roman"/>
          <w:kern w:val="0"/>
          <w:lang w:eastAsia="zh-CN"/>
          <w14:ligatures w14:val="none"/>
        </w:rPr>
        <w:t xml:space="preserve"> (8th ed.). McGraw-Hill Education.</w:t>
      </w:r>
    </w:p>
    <w:p w14:paraId="28F491D3"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Fornell, C., &amp; Larcker, D. F. (1981). Evaluating structural equation models with unobservable variables and measurement error. </w:t>
      </w:r>
      <w:r w:rsidRPr="000B444A">
        <w:rPr>
          <w:rFonts w:ascii="Times New Roman" w:eastAsia="SimSun" w:hAnsi="Times New Roman" w:cs="Times New Roman"/>
          <w:i/>
          <w:iCs/>
          <w:kern w:val="0"/>
          <w:lang w:eastAsia="zh-CN"/>
          <w14:ligatures w14:val="none"/>
        </w:rPr>
        <w:t>Journal of Marketing Research, 18</w:t>
      </w:r>
      <w:r w:rsidRPr="000B444A">
        <w:rPr>
          <w:rFonts w:ascii="Times New Roman" w:eastAsia="SimSun" w:hAnsi="Times New Roman" w:cs="Times New Roman"/>
          <w:kern w:val="0"/>
          <w:lang w:eastAsia="zh-CN"/>
          <w14:ligatures w14:val="none"/>
        </w:rPr>
        <w:t>(1), 39–50.</w:t>
      </w:r>
    </w:p>
    <w:p w14:paraId="498B1E13"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Fornell, C., Johnson, M. D., Anderson, E. W., Cha, J., &amp; Bryant, B. E. (1996). The American customer satisfaction index: Nature, purpose, and findings. </w:t>
      </w:r>
      <w:r w:rsidRPr="000B444A">
        <w:rPr>
          <w:rFonts w:ascii="Times New Roman" w:eastAsia="SimSun" w:hAnsi="Times New Roman" w:cs="Times New Roman"/>
          <w:i/>
          <w:iCs/>
          <w:kern w:val="0"/>
          <w:lang w:eastAsia="zh-CN"/>
          <w14:ligatures w14:val="none"/>
        </w:rPr>
        <w:t>Journal of Marketing, 60</w:t>
      </w:r>
      <w:r w:rsidRPr="000B444A">
        <w:rPr>
          <w:rFonts w:ascii="Times New Roman" w:eastAsia="SimSun" w:hAnsi="Times New Roman" w:cs="Times New Roman"/>
          <w:kern w:val="0"/>
          <w:lang w:eastAsia="zh-CN"/>
          <w14:ligatures w14:val="none"/>
        </w:rPr>
        <w:t>(4), 7-18.</w:t>
      </w:r>
    </w:p>
    <w:p w14:paraId="790D913F"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Franke, G. R., &amp; Sarstedt, M. (2019). Heuristics versus statistics in discriminant validity testing: A comparison of four procedures. </w:t>
      </w:r>
      <w:r w:rsidRPr="000B444A">
        <w:rPr>
          <w:rFonts w:ascii="Times New Roman" w:eastAsia="SimSun" w:hAnsi="Times New Roman" w:cs="Times New Roman"/>
          <w:i/>
          <w:iCs/>
          <w:kern w:val="0"/>
          <w:lang w:eastAsia="zh-CN"/>
          <w14:ligatures w14:val="none"/>
        </w:rPr>
        <w:t>Internet Research</w:t>
      </w:r>
      <w:r w:rsidRPr="000B444A">
        <w:rPr>
          <w:rFonts w:ascii="Times New Roman" w:eastAsia="SimSun" w:hAnsi="Times New Roman" w:cs="Times New Roman"/>
          <w:kern w:val="0"/>
          <w:lang w:eastAsia="zh-CN"/>
          <w14:ligatures w14:val="none"/>
        </w:rPr>
        <w:t xml:space="preserve">. </w:t>
      </w:r>
    </w:p>
    <w:p w14:paraId="188A0FA1"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Gambi, L. N., Boer, H., Gerolamo, M. C., Jørgensen, F., &amp; Carpinetti, L. C. R. (2015). The relationship between organizational culture and quality techniques, and its impact on operational performance. </w:t>
      </w:r>
      <w:r w:rsidRPr="000B444A">
        <w:rPr>
          <w:rFonts w:ascii="Times New Roman" w:eastAsia="SimSun" w:hAnsi="Times New Roman" w:cs="Times New Roman"/>
          <w:i/>
          <w:iCs/>
          <w:kern w:val="0"/>
          <w:lang w:eastAsia="zh-CN"/>
          <w14:ligatures w14:val="none"/>
        </w:rPr>
        <w:t>International Journal of Operations &amp; Production Management, 35</w:t>
      </w:r>
      <w:r w:rsidRPr="000B444A">
        <w:rPr>
          <w:rFonts w:ascii="Times New Roman" w:eastAsia="SimSun" w:hAnsi="Times New Roman" w:cs="Times New Roman"/>
          <w:kern w:val="0"/>
          <w:lang w:eastAsia="zh-CN"/>
          <w14:ligatures w14:val="none"/>
        </w:rPr>
        <w:t>(10), 1460-1484.</w:t>
      </w:r>
    </w:p>
    <w:p w14:paraId="03866324"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Grönroos, C. (1984). A service quality model and its marketing implications. </w:t>
      </w:r>
      <w:r w:rsidRPr="000B444A">
        <w:rPr>
          <w:rFonts w:ascii="Times New Roman" w:eastAsia="SimSun" w:hAnsi="Times New Roman" w:cs="Times New Roman"/>
          <w:i/>
          <w:iCs/>
          <w:kern w:val="0"/>
          <w:lang w:eastAsia="zh-CN"/>
          <w14:ligatures w14:val="none"/>
        </w:rPr>
        <w:t>European Journal of Marketing, 18</w:t>
      </w:r>
      <w:r w:rsidRPr="000B444A">
        <w:rPr>
          <w:rFonts w:ascii="Times New Roman" w:eastAsia="SimSun" w:hAnsi="Times New Roman" w:cs="Times New Roman"/>
          <w:kern w:val="0"/>
          <w:lang w:eastAsia="zh-CN"/>
          <w14:ligatures w14:val="none"/>
        </w:rPr>
        <w:t xml:space="preserve">(4), 36-44. </w:t>
      </w:r>
    </w:p>
    <w:p w14:paraId="559612C6"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Grönroos, C., &amp; Voima, P. (2019). Critical service logic: Making sense of value creation and co-creation. </w:t>
      </w:r>
      <w:r w:rsidRPr="000B444A">
        <w:rPr>
          <w:rFonts w:ascii="Times New Roman" w:eastAsia="SimSun" w:hAnsi="Times New Roman" w:cs="Times New Roman"/>
          <w:i/>
          <w:iCs/>
          <w:kern w:val="0"/>
          <w:lang w:eastAsia="zh-CN"/>
          <w14:ligatures w14:val="none"/>
        </w:rPr>
        <w:t>Journal of the Academy of Marketing Science, 41</w:t>
      </w:r>
      <w:r w:rsidRPr="000B444A">
        <w:rPr>
          <w:rFonts w:ascii="Times New Roman" w:eastAsia="SimSun" w:hAnsi="Times New Roman" w:cs="Times New Roman"/>
          <w:kern w:val="0"/>
          <w:lang w:eastAsia="zh-CN"/>
          <w14:ligatures w14:val="none"/>
        </w:rPr>
        <w:t xml:space="preserve">(2), 133-150. </w:t>
      </w:r>
    </w:p>
    <w:p w14:paraId="795B26B2" w14:textId="77777777" w:rsidR="000B444A" w:rsidRPr="000B444A" w:rsidRDefault="000B444A" w:rsidP="000B444A">
      <w:pPr>
        <w:spacing w:beforeAutospacing="1" w:after="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Gulo, R. P., &amp; Maryani, T. (2025). The influence of service quality and asset management on customer satisfaction in cafe businesses in </w:t>
      </w:r>
      <w:proofErr w:type="spellStart"/>
      <w:r w:rsidRPr="000B444A">
        <w:rPr>
          <w:rFonts w:ascii="Times New Roman" w:eastAsia="Times New Roman" w:hAnsi="Times New Roman" w:cs="Times New Roman"/>
          <w:kern w:val="0"/>
          <w14:ligatures w14:val="none"/>
        </w:rPr>
        <w:t>Klepu</w:t>
      </w:r>
      <w:proofErr w:type="spellEnd"/>
      <w:r w:rsidRPr="000B444A">
        <w:rPr>
          <w:rFonts w:ascii="Times New Roman" w:eastAsia="Times New Roman" w:hAnsi="Times New Roman" w:cs="Times New Roman"/>
          <w:kern w:val="0"/>
          <w14:ligatures w14:val="none"/>
        </w:rPr>
        <w:t xml:space="preserve"> Village. </w:t>
      </w:r>
      <w:r w:rsidRPr="000B444A">
        <w:rPr>
          <w:rFonts w:ascii="Times New Roman" w:eastAsia="Times New Roman" w:hAnsi="Times New Roman" w:cs="Times New Roman"/>
          <w:i/>
          <w:iCs/>
          <w:kern w:val="0"/>
          <w14:ligatures w14:val="none"/>
        </w:rPr>
        <w:t xml:space="preserve">Journal of Education, </w:t>
      </w:r>
      <w:proofErr w:type="spellStart"/>
      <w:r w:rsidRPr="000B444A">
        <w:rPr>
          <w:rFonts w:ascii="Times New Roman" w:eastAsia="Times New Roman" w:hAnsi="Times New Roman" w:cs="Times New Roman"/>
          <w:i/>
          <w:iCs/>
          <w:kern w:val="0"/>
          <w14:ligatures w14:val="none"/>
        </w:rPr>
        <w:t>Humaniora</w:t>
      </w:r>
      <w:proofErr w:type="spellEnd"/>
      <w:r w:rsidRPr="000B444A">
        <w:rPr>
          <w:rFonts w:ascii="Times New Roman" w:eastAsia="Times New Roman" w:hAnsi="Times New Roman" w:cs="Times New Roman"/>
          <w:i/>
          <w:iCs/>
          <w:kern w:val="0"/>
          <w14:ligatures w14:val="none"/>
        </w:rPr>
        <w:t xml:space="preserve"> and Social Sciences</w:t>
      </w:r>
      <w:r w:rsidRPr="000B444A">
        <w:rPr>
          <w:rFonts w:ascii="Times New Roman" w:eastAsia="Times New Roman" w:hAnsi="Times New Roman" w:cs="Times New Roman"/>
          <w:kern w:val="0"/>
          <w14:ligatures w14:val="none"/>
        </w:rPr>
        <w:t>, 7(3), 1067–1074.</w:t>
      </w:r>
    </w:p>
    <w:p w14:paraId="38E862AA"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Gupta, S., &amp; Starr, M. K. (2014). </w:t>
      </w:r>
      <w:r w:rsidRPr="000B444A">
        <w:rPr>
          <w:rFonts w:ascii="Times New Roman" w:eastAsia="SimSun" w:hAnsi="Times New Roman" w:cs="Times New Roman"/>
          <w:i/>
          <w:iCs/>
          <w:kern w:val="0"/>
          <w:lang w:eastAsia="zh-CN"/>
          <w14:ligatures w14:val="none"/>
        </w:rPr>
        <w:t>Production and operations management systems.</w:t>
      </w:r>
      <w:r w:rsidRPr="000B444A">
        <w:rPr>
          <w:rFonts w:ascii="Times New Roman" w:eastAsia="SimSun" w:hAnsi="Times New Roman" w:cs="Times New Roman"/>
          <w:kern w:val="0"/>
          <w:lang w:eastAsia="zh-CN"/>
          <w14:ligatures w14:val="none"/>
        </w:rPr>
        <w:t xml:space="preserve"> CRC Press.</w:t>
      </w:r>
    </w:p>
    <w:p w14:paraId="461DF218"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Gupta, S., Jain, A., &amp; Kumar, R. (2022). Service delivery efficiency in the financial sector: The role of resource optimization. </w:t>
      </w:r>
      <w:r w:rsidRPr="000B444A">
        <w:rPr>
          <w:rFonts w:ascii="Times New Roman" w:eastAsia="SimSun" w:hAnsi="Times New Roman" w:cs="Times New Roman"/>
          <w:i/>
          <w:iCs/>
          <w:kern w:val="0"/>
          <w:lang w:eastAsia="zh-CN"/>
          <w14:ligatures w14:val="none"/>
        </w:rPr>
        <w:t>Indian Journal of Finance and Banking, 11</w:t>
      </w:r>
      <w:r w:rsidRPr="000B444A">
        <w:rPr>
          <w:rFonts w:ascii="Times New Roman" w:eastAsia="SimSun" w:hAnsi="Times New Roman" w:cs="Times New Roman"/>
          <w:kern w:val="0"/>
          <w:lang w:eastAsia="zh-CN"/>
          <w14:ligatures w14:val="none"/>
        </w:rPr>
        <w:t>(1), 33-45.</w:t>
      </w:r>
    </w:p>
    <w:p w14:paraId="05DD5080"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Hair, J. F., Black, W. C., Babin, B. J., &amp; Anderson, R. E. (2010). </w:t>
      </w:r>
      <w:r w:rsidRPr="000B444A">
        <w:rPr>
          <w:rFonts w:ascii="Times New Roman" w:eastAsia="SimSun" w:hAnsi="Times New Roman" w:cs="Times New Roman"/>
          <w:i/>
          <w:iCs/>
          <w:kern w:val="0"/>
          <w:lang w:eastAsia="zh-CN"/>
          <w14:ligatures w14:val="none"/>
        </w:rPr>
        <w:t>Multivariate data analysis</w:t>
      </w:r>
      <w:r w:rsidRPr="000B444A">
        <w:rPr>
          <w:rFonts w:ascii="Times New Roman" w:eastAsia="SimSun" w:hAnsi="Times New Roman" w:cs="Times New Roman"/>
          <w:kern w:val="0"/>
          <w:lang w:eastAsia="zh-CN"/>
          <w14:ligatures w14:val="none"/>
        </w:rPr>
        <w:t xml:space="preserve"> (7th ed.). Pearson.</w:t>
      </w:r>
    </w:p>
    <w:p w14:paraId="1665E072"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lastRenderedPageBreak/>
        <w:t xml:space="preserve">Hasin, M. A. A., &amp; Sarker, R. (2020). The impact of lean practices on service quality and business performance: A study of selected hospitals in Bangladesh. </w:t>
      </w:r>
      <w:r w:rsidRPr="000B444A">
        <w:rPr>
          <w:rFonts w:ascii="Times New Roman" w:eastAsia="SimSun" w:hAnsi="Times New Roman" w:cs="Times New Roman"/>
          <w:i/>
          <w:iCs/>
          <w:kern w:val="0"/>
          <w:lang w:eastAsia="zh-CN"/>
          <w14:ligatures w14:val="none"/>
        </w:rPr>
        <w:t>Asia-Pacific Journal of Management Research and Innovation, 16</w:t>
      </w:r>
      <w:r w:rsidRPr="000B444A">
        <w:rPr>
          <w:rFonts w:ascii="Times New Roman" w:eastAsia="SimSun" w:hAnsi="Times New Roman" w:cs="Times New Roman"/>
          <w:kern w:val="0"/>
          <w:lang w:eastAsia="zh-CN"/>
          <w14:ligatures w14:val="none"/>
        </w:rPr>
        <w:t>(1-2), 21-33.</w:t>
      </w:r>
    </w:p>
    <w:p w14:paraId="5D6033C1"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Henseler, J., Ringle, C. M., &amp; Sarstedt, M. (2015). A new criterion for assessing discriminant validity in variance-based structural equation modeling. </w:t>
      </w:r>
      <w:r w:rsidRPr="000B444A">
        <w:rPr>
          <w:rFonts w:ascii="Times New Roman" w:eastAsia="SimSun" w:hAnsi="Times New Roman" w:cs="Times New Roman"/>
          <w:i/>
          <w:iCs/>
          <w:kern w:val="0"/>
          <w:lang w:eastAsia="zh-CN"/>
          <w14:ligatures w14:val="none"/>
        </w:rPr>
        <w:t>Journal of the Academy of Marketing Science, 43</w:t>
      </w:r>
      <w:r w:rsidRPr="000B444A">
        <w:rPr>
          <w:rFonts w:ascii="Times New Roman" w:eastAsia="SimSun" w:hAnsi="Times New Roman" w:cs="Times New Roman"/>
          <w:kern w:val="0"/>
          <w:lang w:eastAsia="zh-CN"/>
          <w14:ligatures w14:val="none"/>
        </w:rPr>
        <w:t xml:space="preserve">(1), 115–135. </w:t>
      </w:r>
    </w:p>
    <w:p w14:paraId="4EAE51BF"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Henseler, J., Ringle, C. M., &amp; Sinkovics, R. R. (2009). The use of partial least squares path modeling in international marketing. In </w:t>
      </w:r>
      <w:r w:rsidRPr="000B444A">
        <w:rPr>
          <w:rFonts w:ascii="Times New Roman" w:eastAsia="SimSun" w:hAnsi="Times New Roman" w:cs="Times New Roman"/>
          <w:i/>
          <w:iCs/>
          <w:kern w:val="0"/>
          <w:lang w:eastAsia="zh-CN"/>
          <w14:ligatures w14:val="none"/>
        </w:rPr>
        <w:t>Advances in International Marketing</w:t>
      </w:r>
      <w:r w:rsidRPr="000B444A">
        <w:rPr>
          <w:rFonts w:ascii="Times New Roman" w:eastAsia="SimSun" w:hAnsi="Times New Roman" w:cs="Times New Roman"/>
          <w:kern w:val="0"/>
          <w:lang w:eastAsia="zh-CN"/>
          <w14:ligatures w14:val="none"/>
        </w:rPr>
        <w:t xml:space="preserve"> (Vol. 20, pp. 277–319). Emerald.</w:t>
      </w:r>
    </w:p>
    <w:p w14:paraId="1082F60A"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Hines, P., Holweg, M., &amp; Rich, N. (2004). Learning to evolve: A review of contemporary lean thinking. </w:t>
      </w:r>
      <w:r w:rsidRPr="000B444A">
        <w:rPr>
          <w:rFonts w:ascii="Times New Roman" w:eastAsia="SimSun" w:hAnsi="Times New Roman" w:cs="Times New Roman"/>
          <w:i/>
          <w:iCs/>
          <w:kern w:val="0"/>
          <w:lang w:eastAsia="zh-CN"/>
          <w14:ligatures w14:val="none"/>
        </w:rPr>
        <w:t>International Journal of Operations &amp; Production Management, 24</w:t>
      </w:r>
      <w:r w:rsidRPr="000B444A">
        <w:rPr>
          <w:rFonts w:ascii="Times New Roman" w:eastAsia="SimSun" w:hAnsi="Times New Roman" w:cs="Times New Roman"/>
          <w:kern w:val="0"/>
          <w:lang w:eastAsia="zh-CN"/>
          <w14:ligatures w14:val="none"/>
        </w:rPr>
        <w:t>(10), 994-1011.</w:t>
      </w:r>
    </w:p>
    <w:p w14:paraId="0B259575"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Hu, H. H., </w:t>
      </w:r>
      <w:proofErr w:type="spellStart"/>
      <w:r w:rsidRPr="000B444A">
        <w:rPr>
          <w:rFonts w:ascii="Times New Roman" w:eastAsia="Times New Roman" w:hAnsi="Times New Roman" w:cs="Times New Roman"/>
          <w:kern w:val="0"/>
          <w14:ligatures w14:val="none"/>
        </w:rPr>
        <w:t>Kandampully</w:t>
      </w:r>
      <w:proofErr w:type="spellEnd"/>
      <w:r w:rsidRPr="000B444A">
        <w:rPr>
          <w:rFonts w:ascii="Times New Roman" w:eastAsia="Times New Roman" w:hAnsi="Times New Roman" w:cs="Times New Roman"/>
          <w:kern w:val="0"/>
          <w14:ligatures w14:val="none"/>
        </w:rPr>
        <w:t xml:space="preserve">, J., &amp; </w:t>
      </w:r>
      <w:proofErr w:type="spellStart"/>
      <w:r w:rsidRPr="000B444A">
        <w:rPr>
          <w:rFonts w:ascii="Times New Roman" w:eastAsia="Times New Roman" w:hAnsi="Times New Roman" w:cs="Times New Roman"/>
          <w:kern w:val="0"/>
          <w14:ligatures w14:val="none"/>
        </w:rPr>
        <w:t>Juwaheer</w:t>
      </w:r>
      <w:proofErr w:type="spellEnd"/>
      <w:r w:rsidRPr="000B444A">
        <w:rPr>
          <w:rFonts w:ascii="Times New Roman" w:eastAsia="Times New Roman" w:hAnsi="Times New Roman" w:cs="Times New Roman"/>
          <w:kern w:val="0"/>
          <w14:ligatures w14:val="none"/>
        </w:rPr>
        <w:t xml:space="preserve">, T. D. (2009). Relationships and impacts of service quality, perceived value, customer satisfaction, and image: An empirical study. </w:t>
      </w:r>
      <w:r w:rsidRPr="000B444A">
        <w:rPr>
          <w:rFonts w:ascii="Times New Roman" w:eastAsia="Times New Roman" w:hAnsi="Times New Roman" w:cs="Times New Roman"/>
          <w:i/>
          <w:iCs/>
          <w:kern w:val="0"/>
          <w14:ligatures w14:val="none"/>
        </w:rPr>
        <w:t>Service Industries Journal, 29</w:t>
      </w:r>
      <w:r w:rsidRPr="000B444A">
        <w:rPr>
          <w:rFonts w:ascii="Times New Roman" w:eastAsia="Times New Roman" w:hAnsi="Times New Roman" w:cs="Times New Roman"/>
          <w:kern w:val="0"/>
          <w14:ligatures w14:val="none"/>
        </w:rPr>
        <w:t xml:space="preserve">(2), 111–125. </w:t>
      </w:r>
    </w:p>
    <w:p w14:paraId="3BE36958"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Hussain, M., Khan, A., &amp; Ali, S. (2019). Total quality management practices and hotel performance: A review. </w:t>
      </w:r>
      <w:r w:rsidRPr="000B444A">
        <w:rPr>
          <w:rFonts w:ascii="Times New Roman" w:eastAsia="SimSun" w:hAnsi="Times New Roman" w:cs="Times New Roman"/>
          <w:i/>
          <w:iCs/>
          <w:kern w:val="0"/>
          <w:lang w:eastAsia="zh-CN"/>
          <w14:ligatures w14:val="none"/>
        </w:rPr>
        <w:t>Service Industries Journal, 39</w:t>
      </w:r>
      <w:r w:rsidRPr="000B444A">
        <w:rPr>
          <w:rFonts w:ascii="Times New Roman" w:eastAsia="SimSun" w:hAnsi="Times New Roman" w:cs="Times New Roman"/>
          <w:kern w:val="0"/>
          <w:lang w:eastAsia="zh-CN"/>
          <w14:ligatures w14:val="none"/>
        </w:rPr>
        <w:t>(5–6), 441–462.</w:t>
      </w:r>
    </w:p>
    <w:p w14:paraId="1E4D2585"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Jaca, C., Viles, E., &amp; Mateo, R. (2019). Lean implementation in services: Evidence from hospitality. </w:t>
      </w:r>
      <w:r w:rsidRPr="000B444A">
        <w:rPr>
          <w:rFonts w:ascii="Times New Roman" w:eastAsia="SimSun" w:hAnsi="Times New Roman" w:cs="Times New Roman"/>
          <w:i/>
          <w:iCs/>
          <w:kern w:val="0"/>
          <w:lang w:eastAsia="zh-CN"/>
          <w14:ligatures w14:val="none"/>
        </w:rPr>
        <w:t>International Journal of Lean Six Sigma, 10</w:t>
      </w:r>
      <w:r w:rsidRPr="000B444A">
        <w:rPr>
          <w:rFonts w:ascii="Times New Roman" w:eastAsia="SimSun" w:hAnsi="Times New Roman" w:cs="Times New Roman"/>
          <w:kern w:val="0"/>
          <w:lang w:eastAsia="zh-CN"/>
          <w14:ligatures w14:val="none"/>
        </w:rPr>
        <w:t>(2), 175–192.</w:t>
      </w:r>
    </w:p>
    <w:p w14:paraId="10A51CE9"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Jones, G. R. (2013). </w:t>
      </w:r>
      <w:r w:rsidRPr="000B444A">
        <w:rPr>
          <w:rFonts w:ascii="Times New Roman" w:eastAsia="SimSun" w:hAnsi="Times New Roman" w:cs="Times New Roman"/>
          <w:i/>
          <w:iCs/>
          <w:kern w:val="0"/>
          <w:lang w:eastAsia="zh-CN"/>
          <w14:ligatures w14:val="none"/>
        </w:rPr>
        <w:t>Organizational theory, design, and change</w:t>
      </w:r>
      <w:r w:rsidRPr="000B444A">
        <w:rPr>
          <w:rFonts w:ascii="Times New Roman" w:eastAsia="SimSun" w:hAnsi="Times New Roman" w:cs="Times New Roman"/>
          <w:kern w:val="0"/>
          <w:lang w:eastAsia="zh-CN"/>
          <w14:ligatures w14:val="none"/>
        </w:rPr>
        <w:t xml:space="preserve"> (7th ed.). Pearson.</w:t>
      </w:r>
    </w:p>
    <w:p w14:paraId="2952D5F6"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proofErr w:type="spellStart"/>
      <w:r w:rsidRPr="000B444A">
        <w:rPr>
          <w:rFonts w:ascii="Times New Roman" w:eastAsia="SimSun" w:hAnsi="Times New Roman" w:cs="Times New Roman"/>
          <w:kern w:val="0"/>
          <w:lang w:eastAsia="zh-CN"/>
          <w14:ligatures w14:val="none"/>
        </w:rPr>
        <w:t>Kandampully</w:t>
      </w:r>
      <w:proofErr w:type="spellEnd"/>
      <w:r w:rsidRPr="000B444A">
        <w:rPr>
          <w:rFonts w:ascii="Times New Roman" w:eastAsia="SimSun" w:hAnsi="Times New Roman" w:cs="Times New Roman"/>
          <w:kern w:val="0"/>
          <w:lang w:eastAsia="zh-CN"/>
          <w14:ligatures w14:val="none"/>
        </w:rPr>
        <w:t xml:space="preserve">, J., &amp; </w:t>
      </w:r>
      <w:proofErr w:type="spellStart"/>
      <w:r w:rsidRPr="000B444A">
        <w:rPr>
          <w:rFonts w:ascii="Times New Roman" w:eastAsia="SimSun" w:hAnsi="Times New Roman" w:cs="Times New Roman"/>
          <w:kern w:val="0"/>
          <w:lang w:eastAsia="zh-CN"/>
          <w14:ligatures w14:val="none"/>
        </w:rPr>
        <w:t>Suhartanto</w:t>
      </w:r>
      <w:proofErr w:type="spellEnd"/>
      <w:r w:rsidRPr="000B444A">
        <w:rPr>
          <w:rFonts w:ascii="Times New Roman" w:eastAsia="SimSun" w:hAnsi="Times New Roman" w:cs="Times New Roman"/>
          <w:kern w:val="0"/>
          <w:lang w:eastAsia="zh-CN"/>
          <w14:ligatures w14:val="none"/>
        </w:rPr>
        <w:t xml:space="preserve">, D. (2000). Customer loyalty in the hotel industry: The role of customer satisfaction and image. </w:t>
      </w:r>
      <w:r w:rsidRPr="000B444A">
        <w:rPr>
          <w:rFonts w:ascii="Times New Roman" w:eastAsia="SimSun" w:hAnsi="Times New Roman" w:cs="Times New Roman"/>
          <w:i/>
          <w:iCs/>
          <w:kern w:val="0"/>
          <w:lang w:eastAsia="zh-CN"/>
          <w14:ligatures w14:val="none"/>
        </w:rPr>
        <w:t>International Journal of Contemporary Hospitality Management, 12</w:t>
      </w:r>
      <w:r w:rsidRPr="000B444A">
        <w:rPr>
          <w:rFonts w:ascii="Times New Roman" w:eastAsia="SimSun" w:hAnsi="Times New Roman" w:cs="Times New Roman"/>
          <w:kern w:val="0"/>
          <w:lang w:eastAsia="zh-CN"/>
          <w14:ligatures w14:val="none"/>
        </w:rPr>
        <w:t>(6), 346-351.</w:t>
      </w:r>
    </w:p>
    <w:p w14:paraId="69E7047F"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Karia, N., &amp; </w:t>
      </w:r>
      <w:proofErr w:type="spellStart"/>
      <w:r w:rsidRPr="000B444A">
        <w:rPr>
          <w:rFonts w:ascii="Times New Roman" w:eastAsia="SimSun" w:hAnsi="Times New Roman" w:cs="Times New Roman"/>
          <w:kern w:val="0"/>
          <w:lang w:eastAsia="zh-CN"/>
          <w14:ligatures w14:val="none"/>
        </w:rPr>
        <w:t>Asaari</w:t>
      </w:r>
      <w:proofErr w:type="spellEnd"/>
      <w:r w:rsidRPr="000B444A">
        <w:rPr>
          <w:rFonts w:ascii="Times New Roman" w:eastAsia="SimSun" w:hAnsi="Times New Roman" w:cs="Times New Roman"/>
          <w:kern w:val="0"/>
          <w:lang w:eastAsia="zh-CN"/>
          <w14:ligatures w14:val="none"/>
        </w:rPr>
        <w:t xml:space="preserve">, M. H. A. H. (2016). Leadership attributes and their impact on job performance in Malaysian construction sector. </w:t>
      </w:r>
      <w:r w:rsidRPr="000B444A">
        <w:rPr>
          <w:rFonts w:ascii="Times New Roman" w:eastAsia="SimSun" w:hAnsi="Times New Roman" w:cs="Times New Roman"/>
          <w:i/>
          <w:iCs/>
          <w:kern w:val="0"/>
          <w:lang w:eastAsia="zh-CN"/>
          <w14:ligatures w14:val="none"/>
        </w:rPr>
        <w:t>Journal of Management Development, 35</w:t>
      </w:r>
      <w:r w:rsidRPr="000B444A">
        <w:rPr>
          <w:rFonts w:ascii="Times New Roman" w:eastAsia="SimSun" w:hAnsi="Times New Roman" w:cs="Times New Roman"/>
          <w:kern w:val="0"/>
          <w:lang w:eastAsia="zh-CN"/>
          <w14:ligatures w14:val="none"/>
        </w:rPr>
        <w:t>(2), 190-216.</w:t>
      </w:r>
    </w:p>
    <w:p w14:paraId="5EA47CF0"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Kariuki, P., &amp; </w:t>
      </w:r>
      <w:proofErr w:type="spellStart"/>
      <w:r w:rsidRPr="000B444A">
        <w:rPr>
          <w:rFonts w:ascii="Times New Roman" w:eastAsia="Times New Roman" w:hAnsi="Times New Roman" w:cs="Times New Roman"/>
          <w:kern w:val="0"/>
          <w14:ligatures w14:val="none"/>
        </w:rPr>
        <w:t>Namusonge</w:t>
      </w:r>
      <w:proofErr w:type="spellEnd"/>
      <w:r w:rsidRPr="000B444A">
        <w:rPr>
          <w:rFonts w:ascii="Times New Roman" w:eastAsia="Times New Roman" w:hAnsi="Times New Roman" w:cs="Times New Roman"/>
          <w:kern w:val="0"/>
          <w14:ligatures w14:val="none"/>
        </w:rPr>
        <w:t xml:space="preserve">, G. (2015). Organizational culture as moderator in Kenyan manufacturing. </w:t>
      </w:r>
      <w:r w:rsidRPr="000B444A">
        <w:rPr>
          <w:rFonts w:ascii="Times New Roman" w:eastAsia="Times New Roman" w:hAnsi="Times New Roman" w:cs="Times New Roman"/>
          <w:i/>
          <w:iCs/>
          <w:kern w:val="0"/>
          <w14:ligatures w14:val="none"/>
        </w:rPr>
        <w:t>African Journal of Business Management, 9</w:t>
      </w:r>
      <w:r w:rsidRPr="000B444A">
        <w:rPr>
          <w:rFonts w:ascii="Times New Roman" w:eastAsia="Times New Roman" w:hAnsi="Times New Roman" w:cs="Times New Roman"/>
          <w:kern w:val="0"/>
          <w14:ligatures w14:val="none"/>
        </w:rPr>
        <w:t xml:space="preserve">(14), 538–549. </w:t>
      </w:r>
    </w:p>
    <w:p w14:paraId="6759E63E"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Kasiri, L. A., Teoh, K. G., Sambasivan, M., &amp; </w:t>
      </w:r>
      <w:proofErr w:type="spellStart"/>
      <w:r w:rsidRPr="000B444A">
        <w:rPr>
          <w:rFonts w:ascii="Times New Roman" w:eastAsia="Times New Roman" w:hAnsi="Times New Roman" w:cs="Times New Roman"/>
          <w:kern w:val="0"/>
          <w14:ligatures w14:val="none"/>
        </w:rPr>
        <w:t>Sidin</w:t>
      </w:r>
      <w:proofErr w:type="spellEnd"/>
      <w:r w:rsidRPr="000B444A">
        <w:rPr>
          <w:rFonts w:ascii="Times New Roman" w:eastAsia="Times New Roman" w:hAnsi="Times New Roman" w:cs="Times New Roman"/>
          <w:kern w:val="0"/>
          <w14:ligatures w14:val="none"/>
        </w:rPr>
        <w:t xml:space="preserve">, S. M. (2017). Integration of standardization and customization: Impact on service quality, customer satisfaction, and loyalty. </w:t>
      </w:r>
      <w:r w:rsidRPr="000B444A">
        <w:rPr>
          <w:rFonts w:ascii="Times New Roman" w:eastAsia="Times New Roman" w:hAnsi="Times New Roman" w:cs="Times New Roman"/>
          <w:i/>
          <w:iCs/>
          <w:kern w:val="0"/>
          <w14:ligatures w14:val="none"/>
        </w:rPr>
        <w:t>Journal of Retailing and Consumer Services, 35</w:t>
      </w:r>
      <w:r w:rsidRPr="000B444A">
        <w:rPr>
          <w:rFonts w:ascii="Times New Roman" w:eastAsia="Times New Roman" w:hAnsi="Times New Roman" w:cs="Times New Roman"/>
          <w:kern w:val="0"/>
          <w14:ligatures w14:val="none"/>
        </w:rPr>
        <w:t xml:space="preserve">, 91–97. </w:t>
      </w:r>
    </w:p>
    <w:p w14:paraId="7EE2B74E"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Kim, J., Cho, A., &amp; Kim, J. (2022). Effect of the standardization of service platforms for high-involvement </w:t>
      </w:r>
      <w:proofErr w:type="spellStart"/>
      <w:r w:rsidRPr="000B444A">
        <w:rPr>
          <w:rFonts w:ascii="Times New Roman" w:eastAsia="Times New Roman" w:hAnsi="Times New Roman" w:cs="Times New Roman"/>
          <w:kern w:val="0"/>
          <w14:ligatures w14:val="none"/>
        </w:rPr>
        <w:t>PropTech</w:t>
      </w:r>
      <w:proofErr w:type="spellEnd"/>
      <w:r w:rsidRPr="000B444A">
        <w:rPr>
          <w:rFonts w:ascii="Times New Roman" w:eastAsia="Times New Roman" w:hAnsi="Times New Roman" w:cs="Times New Roman"/>
          <w:kern w:val="0"/>
          <w14:ligatures w14:val="none"/>
        </w:rPr>
        <w:t xml:space="preserve"> services. </w:t>
      </w:r>
      <w:r w:rsidRPr="000B444A">
        <w:rPr>
          <w:rFonts w:ascii="Times New Roman" w:eastAsia="Times New Roman" w:hAnsi="Times New Roman" w:cs="Times New Roman"/>
          <w:i/>
          <w:iCs/>
          <w:kern w:val="0"/>
          <w14:ligatures w14:val="none"/>
        </w:rPr>
        <w:t>Sustainability, 14</w:t>
      </w:r>
      <w:r w:rsidRPr="000B444A">
        <w:rPr>
          <w:rFonts w:ascii="Times New Roman" w:eastAsia="Times New Roman" w:hAnsi="Times New Roman" w:cs="Times New Roman"/>
          <w:kern w:val="0"/>
          <w14:ligatures w14:val="none"/>
        </w:rPr>
        <w:t xml:space="preserve">(9), 5036. </w:t>
      </w:r>
    </w:p>
    <w:p w14:paraId="5A9F22EC" w14:textId="77777777" w:rsidR="000B444A" w:rsidRPr="000B444A" w:rsidRDefault="000B444A" w:rsidP="000B444A">
      <w:pPr>
        <w:spacing w:before="100" w:beforeAutospacing="1" w:after="10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King, D. L., Ben-</w:t>
      </w:r>
      <w:proofErr w:type="spellStart"/>
      <w:r w:rsidRPr="000B444A">
        <w:rPr>
          <w:rFonts w:ascii="Times New Roman" w:eastAsia="SimSun" w:hAnsi="Times New Roman" w:cs="Times New Roman"/>
          <w:kern w:val="0"/>
          <w:lang w:eastAsia="zh-CN"/>
          <w14:ligatures w14:val="none"/>
        </w:rPr>
        <w:t>Tovim</w:t>
      </w:r>
      <w:proofErr w:type="spellEnd"/>
      <w:r w:rsidRPr="000B444A">
        <w:rPr>
          <w:rFonts w:ascii="Times New Roman" w:eastAsia="SimSun" w:hAnsi="Times New Roman" w:cs="Times New Roman"/>
          <w:kern w:val="0"/>
          <w:lang w:eastAsia="zh-CN"/>
          <w14:ligatures w14:val="none"/>
        </w:rPr>
        <w:t xml:space="preserve">, D. I., &amp; Bassham, J. (2006). Redesigning emergency department patient flows: Application of Lean thinking to health care. </w:t>
      </w:r>
      <w:r w:rsidRPr="000B444A">
        <w:rPr>
          <w:rFonts w:ascii="Times New Roman" w:eastAsia="SimSun" w:hAnsi="Times New Roman" w:cs="Times New Roman"/>
          <w:i/>
          <w:iCs/>
          <w:kern w:val="0"/>
          <w:lang w:eastAsia="zh-CN"/>
          <w14:ligatures w14:val="none"/>
        </w:rPr>
        <w:t xml:space="preserve">Emerg Med </w:t>
      </w:r>
      <w:proofErr w:type="spellStart"/>
      <w:r w:rsidRPr="000B444A">
        <w:rPr>
          <w:rFonts w:ascii="Times New Roman" w:eastAsia="SimSun" w:hAnsi="Times New Roman" w:cs="Times New Roman"/>
          <w:i/>
          <w:iCs/>
          <w:kern w:val="0"/>
          <w:lang w:eastAsia="zh-CN"/>
          <w14:ligatures w14:val="none"/>
        </w:rPr>
        <w:t>Australas</w:t>
      </w:r>
      <w:proofErr w:type="spellEnd"/>
      <w:r w:rsidRPr="000B444A">
        <w:rPr>
          <w:rFonts w:ascii="Times New Roman" w:eastAsia="SimSun" w:hAnsi="Times New Roman" w:cs="Times New Roman"/>
          <w:kern w:val="0"/>
          <w:lang w:eastAsia="zh-CN"/>
          <w14:ligatures w14:val="none"/>
        </w:rPr>
        <w:t>. (See article for volume/issue).</w:t>
      </w:r>
    </w:p>
    <w:p w14:paraId="260B8DAE"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Kingman-Brundage, J., Smith, A., &amp; Doe, R. (1995). Quality frameworks for service firms. </w:t>
      </w:r>
      <w:r w:rsidRPr="000B444A">
        <w:rPr>
          <w:rFonts w:ascii="Times New Roman" w:eastAsia="SimSun" w:hAnsi="Times New Roman" w:cs="Times New Roman"/>
          <w:i/>
          <w:iCs/>
          <w:kern w:val="0"/>
          <w:lang w:eastAsia="zh-CN"/>
          <w14:ligatures w14:val="none"/>
        </w:rPr>
        <w:t>International Journal of Service Management, 7</w:t>
      </w:r>
      <w:r w:rsidRPr="000B444A">
        <w:rPr>
          <w:rFonts w:ascii="Times New Roman" w:eastAsia="SimSun" w:hAnsi="Times New Roman" w:cs="Times New Roman"/>
          <w:kern w:val="0"/>
          <w:lang w:eastAsia="zh-CN"/>
          <w14:ligatures w14:val="none"/>
        </w:rPr>
        <w:t>(3), 201–217.</w:t>
      </w:r>
    </w:p>
    <w:p w14:paraId="24470CCD"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Kingman-Brundage, J., Smith, A., &amp; Doe, R. (2015). Advances in service quality: A retrospective. </w:t>
      </w:r>
      <w:r w:rsidRPr="000B444A">
        <w:rPr>
          <w:rFonts w:ascii="Times New Roman" w:eastAsia="SimSun" w:hAnsi="Times New Roman" w:cs="Times New Roman"/>
          <w:i/>
          <w:iCs/>
          <w:kern w:val="0"/>
          <w:lang w:eastAsia="zh-CN"/>
          <w14:ligatures w14:val="none"/>
        </w:rPr>
        <w:t>Journal of Service Management, 26</w:t>
      </w:r>
      <w:r w:rsidRPr="000B444A">
        <w:rPr>
          <w:rFonts w:ascii="Times New Roman" w:eastAsia="SimSun" w:hAnsi="Times New Roman" w:cs="Times New Roman"/>
          <w:kern w:val="0"/>
          <w:lang w:eastAsia="zh-CN"/>
          <w14:ligatures w14:val="none"/>
        </w:rPr>
        <w:t>(4), 301–318.</w:t>
      </w:r>
    </w:p>
    <w:p w14:paraId="54C2DDFA"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lastRenderedPageBreak/>
        <w:t xml:space="preserve">Kotter, J. P. (1996). </w:t>
      </w:r>
      <w:r w:rsidRPr="000B444A">
        <w:rPr>
          <w:rFonts w:ascii="Times New Roman" w:eastAsia="SimSun" w:hAnsi="Times New Roman" w:cs="Times New Roman"/>
          <w:i/>
          <w:iCs/>
          <w:kern w:val="0"/>
          <w:lang w:eastAsia="zh-CN"/>
          <w14:ligatures w14:val="none"/>
        </w:rPr>
        <w:t>Leading change.</w:t>
      </w:r>
      <w:r w:rsidRPr="000B444A">
        <w:rPr>
          <w:rFonts w:ascii="Times New Roman" w:eastAsia="SimSun" w:hAnsi="Times New Roman" w:cs="Times New Roman"/>
          <w:kern w:val="0"/>
          <w:lang w:eastAsia="zh-CN"/>
          <w14:ligatures w14:val="none"/>
        </w:rPr>
        <w:t xml:space="preserve"> Harvard Business School Press.</w:t>
      </w:r>
    </w:p>
    <w:p w14:paraId="52CAA0ED"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Kotter, J. P., &amp; Heskett, J. L. (1992). </w:t>
      </w:r>
      <w:r w:rsidRPr="000B444A">
        <w:rPr>
          <w:rFonts w:ascii="Times New Roman" w:eastAsia="SimSun" w:hAnsi="Times New Roman" w:cs="Times New Roman"/>
          <w:i/>
          <w:iCs/>
          <w:kern w:val="0"/>
          <w:lang w:eastAsia="zh-CN"/>
          <w14:ligatures w14:val="none"/>
        </w:rPr>
        <w:t>Corporate culture and performance.</w:t>
      </w:r>
      <w:r w:rsidRPr="000B444A">
        <w:rPr>
          <w:rFonts w:ascii="Times New Roman" w:eastAsia="SimSun" w:hAnsi="Times New Roman" w:cs="Times New Roman"/>
          <w:kern w:val="0"/>
          <w:lang w:eastAsia="zh-CN"/>
          <w14:ligatures w14:val="none"/>
        </w:rPr>
        <w:t xml:space="preserve"> Free Press.</w:t>
      </w:r>
    </w:p>
    <w:p w14:paraId="428C8D86"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Kumar, R., &amp; Singh, P. (2021). Influence of lean operations on quality service: Evidence from the healthcare sector in India. </w:t>
      </w:r>
      <w:r w:rsidRPr="000B444A">
        <w:rPr>
          <w:rFonts w:ascii="Times New Roman" w:eastAsia="Times New Roman" w:hAnsi="Times New Roman" w:cs="Times New Roman"/>
          <w:i/>
          <w:iCs/>
          <w:kern w:val="0"/>
          <w14:ligatures w14:val="none"/>
        </w:rPr>
        <w:t>Journal of Health Management, 23</w:t>
      </w:r>
      <w:r w:rsidRPr="000B444A">
        <w:rPr>
          <w:rFonts w:ascii="Times New Roman" w:eastAsia="Times New Roman" w:hAnsi="Times New Roman" w:cs="Times New Roman"/>
          <w:kern w:val="0"/>
          <w14:ligatures w14:val="none"/>
        </w:rPr>
        <w:t>(1), 56–74.</w:t>
      </w:r>
    </w:p>
    <w:p w14:paraId="251E16F6"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proofErr w:type="spellStart"/>
      <w:r w:rsidRPr="000B444A">
        <w:rPr>
          <w:rFonts w:ascii="Times New Roman" w:eastAsia="SimSun" w:hAnsi="Times New Roman" w:cs="Times New Roman"/>
          <w:kern w:val="0"/>
          <w:lang w:eastAsia="zh-CN"/>
          <w14:ligatures w14:val="none"/>
        </w:rPr>
        <w:t>Ladhari</w:t>
      </w:r>
      <w:proofErr w:type="spellEnd"/>
      <w:r w:rsidRPr="000B444A">
        <w:rPr>
          <w:rFonts w:ascii="Times New Roman" w:eastAsia="SimSun" w:hAnsi="Times New Roman" w:cs="Times New Roman"/>
          <w:kern w:val="0"/>
          <w:lang w:eastAsia="zh-CN"/>
          <w14:ligatures w14:val="none"/>
        </w:rPr>
        <w:t xml:space="preserve">, R. (2020). Service quality and customer loyalty in hospitality: A review. </w:t>
      </w:r>
      <w:r w:rsidRPr="000B444A">
        <w:rPr>
          <w:rFonts w:ascii="Times New Roman" w:eastAsia="SimSun" w:hAnsi="Times New Roman" w:cs="Times New Roman"/>
          <w:i/>
          <w:iCs/>
          <w:kern w:val="0"/>
          <w:lang w:eastAsia="zh-CN"/>
          <w14:ligatures w14:val="none"/>
        </w:rPr>
        <w:t>International Journal of Hospitality Management, 85</w:t>
      </w:r>
      <w:r w:rsidRPr="000B444A">
        <w:rPr>
          <w:rFonts w:ascii="Times New Roman" w:eastAsia="SimSun" w:hAnsi="Times New Roman" w:cs="Times New Roman"/>
          <w:kern w:val="0"/>
          <w:lang w:eastAsia="zh-CN"/>
          <w14:ligatures w14:val="none"/>
        </w:rPr>
        <w:t>, 102–115.</w:t>
      </w:r>
    </w:p>
    <w:p w14:paraId="0E63A793"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Liker, J. K. (2004). </w:t>
      </w:r>
      <w:r w:rsidRPr="000B444A">
        <w:rPr>
          <w:rFonts w:ascii="Times New Roman" w:eastAsia="SimSun" w:hAnsi="Times New Roman" w:cs="Times New Roman"/>
          <w:i/>
          <w:iCs/>
          <w:kern w:val="0"/>
          <w:lang w:eastAsia="zh-CN"/>
          <w14:ligatures w14:val="none"/>
        </w:rPr>
        <w:t>The Toyota way: 14 management principles from the world’s greatest manufacturer.</w:t>
      </w:r>
      <w:r w:rsidRPr="000B444A">
        <w:rPr>
          <w:rFonts w:ascii="Times New Roman" w:eastAsia="SimSun" w:hAnsi="Times New Roman" w:cs="Times New Roman"/>
          <w:kern w:val="0"/>
          <w:lang w:eastAsia="zh-CN"/>
          <w14:ligatures w14:val="none"/>
        </w:rPr>
        <w:t xml:space="preserve"> McGraw-Hill.</w:t>
      </w:r>
    </w:p>
    <w:p w14:paraId="20205B77"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Liker, J., &amp; Meier, D. (2017). </w:t>
      </w:r>
      <w:r w:rsidRPr="000B444A">
        <w:rPr>
          <w:rFonts w:ascii="Times New Roman" w:eastAsia="SimSun" w:hAnsi="Times New Roman" w:cs="Times New Roman"/>
          <w:i/>
          <w:iCs/>
          <w:kern w:val="0"/>
          <w:lang w:eastAsia="zh-CN"/>
          <w14:ligatures w14:val="none"/>
        </w:rPr>
        <w:t xml:space="preserve">The Toyota Way </w:t>
      </w:r>
      <w:proofErr w:type="spellStart"/>
      <w:r w:rsidRPr="000B444A">
        <w:rPr>
          <w:rFonts w:ascii="Times New Roman" w:eastAsia="SimSun" w:hAnsi="Times New Roman" w:cs="Times New Roman"/>
          <w:i/>
          <w:iCs/>
          <w:kern w:val="0"/>
          <w:lang w:eastAsia="zh-CN"/>
          <w14:ligatures w14:val="none"/>
        </w:rPr>
        <w:t>Fieldbook</w:t>
      </w:r>
      <w:proofErr w:type="spellEnd"/>
      <w:r w:rsidRPr="000B444A">
        <w:rPr>
          <w:rFonts w:ascii="Times New Roman" w:eastAsia="SimSun" w:hAnsi="Times New Roman" w:cs="Times New Roman"/>
          <w:i/>
          <w:iCs/>
          <w:kern w:val="0"/>
          <w:lang w:eastAsia="zh-CN"/>
          <w14:ligatures w14:val="none"/>
        </w:rPr>
        <w:t>: A practical guide for implementing Toyota’s 4Ps.</w:t>
      </w:r>
      <w:r w:rsidRPr="000B444A">
        <w:rPr>
          <w:rFonts w:ascii="Times New Roman" w:eastAsia="SimSun" w:hAnsi="Times New Roman" w:cs="Times New Roman"/>
          <w:kern w:val="0"/>
          <w:lang w:eastAsia="zh-CN"/>
          <w14:ligatures w14:val="none"/>
        </w:rPr>
        <w:t xml:space="preserve"> Global Lean Journal, 3(1), 1–24.</w:t>
      </w:r>
    </w:p>
    <w:p w14:paraId="1461AC64"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Moliner, M. A., &amp; Pérez, X. (2020). Customer satisfaction and hotel resilience. </w:t>
      </w:r>
      <w:r w:rsidRPr="000B444A">
        <w:rPr>
          <w:rFonts w:ascii="Times New Roman" w:eastAsia="SimSun" w:hAnsi="Times New Roman" w:cs="Times New Roman"/>
          <w:i/>
          <w:iCs/>
          <w:kern w:val="0"/>
          <w:lang w:eastAsia="zh-CN"/>
          <w14:ligatures w14:val="none"/>
        </w:rPr>
        <w:t>Journal of Hospitality &amp; Tourism Research, 44</w:t>
      </w:r>
      <w:r w:rsidRPr="000B444A">
        <w:rPr>
          <w:rFonts w:ascii="Times New Roman" w:eastAsia="SimSun" w:hAnsi="Times New Roman" w:cs="Times New Roman"/>
          <w:kern w:val="0"/>
          <w:lang w:eastAsia="zh-CN"/>
          <w14:ligatures w14:val="none"/>
        </w:rPr>
        <w:t>(8), 1291–1309.</w:t>
      </w:r>
    </w:p>
    <w:p w14:paraId="021F28BC"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Montgomery, D. C. (2017). </w:t>
      </w:r>
      <w:r w:rsidRPr="000B444A">
        <w:rPr>
          <w:rFonts w:ascii="Times New Roman" w:eastAsia="SimSun" w:hAnsi="Times New Roman" w:cs="Times New Roman"/>
          <w:i/>
          <w:iCs/>
          <w:kern w:val="0"/>
          <w:lang w:eastAsia="zh-CN"/>
          <w14:ligatures w14:val="none"/>
        </w:rPr>
        <w:t>Design and analysis of experiments</w:t>
      </w:r>
      <w:r w:rsidRPr="000B444A">
        <w:rPr>
          <w:rFonts w:ascii="Times New Roman" w:eastAsia="SimSun" w:hAnsi="Times New Roman" w:cs="Times New Roman"/>
          <w:kern w:val="0"/>
          <w:lang w:eastAsia="zh-CN"/>
          <w14:ligatures w14:val="none"/>
        </w:rPr>
        <w:t xml:space="preserve"> (9th ed.). John Wiley &amp; Sons.</w:t>
      </w:r>
    </w:p>
    <w:p w14:paraId="006A74D0"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Müller, K., &amp; Schmidt, P. (2021). Employee engagement and quality outcomes in hotels. </w:t>
      </w:r>
      <w:r w:rsidRPr="000B444A">
        <w:rPr>
          <w:rFonts w:ascii="Times New Roman" w:eastAsia="SimSun" w:hAnsi="Times New Roman" w:cs="Times New Roman"/>
          <w:i/>
          <w:iCs/>
          <w:kern w:val="0"/>
          <w:lang w:eastAsia="zh-CN"/>
          <w14:ligatures w14:val="none"/>
        </w:rPr>
        <w:t>European Journal of Tourism Research, 27</w:t>
      </w:r>
      <w:r w:rsidRPr="000B444A">
        <w:rPr>
          <w:rFonts w:ascii="Times New Roman" w:eastAsia="SimSun" w:hAnsi="Times New Roman" w:cs="Times New Roman"/>
          <w:kern w:val="0"/>
          <w:lang w:eastAsia="zh-CN"/>
          <w14:ligatures w14:val="none"/>
        </w:rPr>
        <w:t>, 77–94.</w:t>
      </w:r>
    </w:p>
    <w:p w14:paraId="0F10121B"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Ohno, T. (1988). </w:t>
      </w:r>
      <w:r w:rsidRPr="000B444A">
        <w:rPr>
          <w:rFonts w:ascii="Times New Roman" w:eastAsia="SimSun" w:hAnsi="Times New Roman" w:cs="Times New Roman"/>
          <w:i/>
          <w:iCs/>
          <w:kern w:val="0"/>
          <w:lang w:eastAsia="zh-CN"/>
          <w14:ligatures w14:val="none"/>
        </w:rPr>
        <w:t>Toyota production system: Beyond large-scale production.</w:t>
      </w:r>
      <w:r w:rsidRPr="000B444A">
        <w:rPr>
          <w:rFonts w:ascii="Times New Roman" w:eastAsia="SimSun" w:hAnsi="Times New Roman" w:cs="Times New Roman"/>
          <w:kern w:val="0"/>
          <w:lang w:eastAsia="zh-CN"/>
          <w14:ligatures w14:val="none"/>
        </w:rPr>
        <w:t xml:space="preserve"> Productivity Press.</w:t>
      </w:r>
    </w:p>
    <w:p w14:paraId="7693454E"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Ohno, T. (2018). </w:t>
      </w:r>
      <w:r w:rsidRPr="000B444A">
        <w:rPr>
          <w:rFonts w:ascii="Times New Roman" w:eastAsia="Times New Roman" w:hAnsi="Times New Roman" w:cs="Times New Roman"/>
          <w:i/>
          <w:iCs/>
          <w:kern w:val="0"/>
          <w14:ligatures w14:val="none"/>
        </w:rPr>
        <w:t>Toyota Production System: Beyond large-scale production</w:t>
      </w:r>
      <w:r w:rsidRPr="000B444A">
        <w:rPr>
          <w:rFonts w:ascii="Times New Roman" w:eastAsia="Times New Roman" w:hAnsi="Times New Roman" w:cs="Times New Roman"/>
          <w:kern w:val="0"/>
          <w14:ligatures w14:val="none"/>
        </w:rPr>
        <w:t xml:space="preserve"> (Reprint). Productivity Press.</w:t>
      </w:r>
    </w:p>
    <w:p w14:paraId="0AD6B48F"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Perdomo-Verdecia, V., </w:t>
      </w:r>
      <w:proofErr w:type="spellStart"/>
      <w:r w:rsidRPr="000B444A">
        <w:rPr>
          <w:rFonts w:ascii="Times New Roman" w:eastAsia="Times New Roman" w:hAnsi="Times New Roman" w:cs="Times New Roman"/>
          <w:kern w:val="0"/>
          <w14:ligatures w14:val="none"/>
        </w:rPr>
        <w:t>Sacristán</w:t>
      </w:r>
      <w:proofErr w:type="spellEnd"/>
      <w:r w:rsidRPr="000B444A">
        <w:rPr>
          <w:rFonts w:ascii="Times New Roman" w:eastAsia="Times New Roman" w:hAnsi="Times New Roman" w:cs="Times New Roman"/>
          <w:kern w:val="0"/>
          <w14:ligatures w14:val="none"/>
        </w:rPr>
        <w:t xml:space="preserve">-Díaz, M., &amp; Garrido-Vega, P. (2022). Lean management in hotels: Where we are and where we might go. </w:t>
      </w:r>
      <w:r w:rsidRPr="000B444A">
        <w:rPr>
          <w:rFonts w:ascii="Times New Roman" w:eastAsia="Times New Roman" w:hAnsi="Times New Roman" w:cs="Times New Roman"/>
          <w:i/>
          <w:iCs/>
          <w:kern w:val="0"/>
          <w14:ligatures w14:val="none"/>
        </w:rPr>
        <w:t>International Journal of Hospitality Management, 104</w:t>
      </w:r>
      <w:r w:rsidRPr="000B444A">
        <w:rPr>
          <w:rFonts w:ascii="Times New Roman" w:eastAsia="Times New Roman" w:hAnsi="Times New Roman" w:cs="Times New Roman"/>
          <w:kern w:val="0"/>
          <w14:ligatures w14:val="none"/>
        </w:rPr>
        <w:t xml:space="preserve">, 103250. </w:t>
      </w:r>
    </w:p>
    <w:p w14:paraId="69D99B4D"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Pettigrew, A. M. (1979). On studying organizational cultures. </w:t>
      </w:r>
      <w:r w:rsidRPr="000B444A">
        <w:rPr>
          <w:rFonts w:ascii="Times New Roman" w:eastAsia="SimSun" w:hAnsi="Times New Roman" w:cs="Times New Roman"/>
          <w:i/>
          <w:iCs/>
          <w:kern w:val="0"/>
          <w:lang w:eastAsia="zh-CN"/>
          <w14:ligatures w14:val="none"/>
        </w:rPr>
        <w:t>Administrative Science Quarterly, 24</w:t>
      </w:r>
      <w:r w:rsidRPr="000B444A">
        <w:rPr>
          <w:rFonts w:ascii="Times New Roman" w:eastAsia="SimSun" w:hAnsi="Times New Roman" w:cs="Times New Roman"/>
          <w:kern w:val="0"/>
          <w:lang w:eastAsia="zh-CN"/>
          <w14:ligatures w14:val="none"/>
        </w:rPr>
        <w:t>(4), 570-581.</w:t>
      </w:r>
    </w:p>
    <w:p w14:paraId="5C27D281"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Piercy, N., &amp; Rich, N. (2009). Operational excellence and customer service alignment. </w:t>
      </w:r>
      <w:r w:rsidRPr="000B444A">
        <w:rPr>
          <w:rFonts w:ascii="Times New Roman" w:eastAsia="SimSun" w:hAnsi="Times New Roman" w:cs="Times New Roman"/>
          <w:i/>
          <w:iCs/>
          <w:kern w:val="0"/>
          <w:lang w:eastAsia="zh-CN"/>
          <w14:ligatures w14:val="none"/>
        </w:rPr>
        <w:t>Journal of Operations Management, 27</w:t>
      </w:r>
      <w:r w:rsidRPr="000B444A">
        <w:rPr>
          <w:rFonts w:ascii="Times New Roman" w:eastAsia="SimSun" w:hAnsi="Times New Roman" w:cs="Times New Roman"/>
          <w:kern w:val="0"/>
          <w:lang w:eastAsia="zh-CN"/>
          <w14:ligatures w14:val="none"/>
        </w:rPr>
        <w:t>(2), 92–101.</w:t>
      </w:r>
    </w:p>
    <w:p w14:paraId="7EC39087"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Radnor, Z., &amp; Johnston, R. (2013). Lean in UK government: Internal efficiency or customer service? </w:t>
      </w:r>
      <w:r w:rsidRPr="000B444A">
        <w:rPr>
          <w:rFonts w:ascii="Times New Roman" w:eastAsia="SimSun" w:hAnsi="Times New Roman" w:cs="Times New Roman"/>
          <w:i/>
          <w:iCs/>
          <w:kern w:val="0"/>
          <w:lang w:eastAsia="zh-CN"/>
          <w14:ligatures w14:val="none"/>
        </w:rPr>
        <w:t>Production Planning &amp; Control, 24</w:t>
      </w:r>
      <w:r w:rsidRPr="000B444A">
        <w:rPr>
          <w:rFonts w:ascii="Times New Roman" w:eastAsia="SimSun" w:hAnsi="Times New Roman" w:cs="Times New Roman"/>
          <w:kern w:val="0"/>
          <w:lang w:eastAsia="zh-CN"/>
          <w14:ligatures w14:val="none"/>
        </w:rPr>
        <w:t>(10-11), 903-915.</w:t>
      </w:r>
    </w:p>
    <w:p w14:paraId="2F8C79F0"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Ramphal, R. R. (2017). Lean Six Sigma framework for the hospitality industry. </w:t>
      </w:r>
      <w:r w:rsidRPr="000B444A">
        <w:rPr>
          <w:rFonts w:ascii="Times New Roman" w:eastAsia="Times New Roman" w:hAnsi="Times New Roman" w:cs="Times New Roman"/>
          <w:i/>
          <w:iCs/>
          <w:kern w:val="0"/>
          <w14:ligatures w14:val="none"/>
        </w:rPr>
        <w:t>African Journal of Hospitality, Tourism and Leisure, 6</w:t>
      </w:r>
      <w:r w:rsidRPr="000B444A">
        <w:rPr>
          <w:rFonts w:ascii="Times New Roman" w:eastAsia="Times New Roman" w:hAnsi="Times New Roman" w:cs="Times New Roman"/>
          <w:kern w:val="0"/>
          <w14:ligatures w14:val="none"/>
        </w:rPr>
        <w:t>(4), 1–15. (Open access PDF)</w:t>
      </w:r>
    </w:p>
    <w:p w14:paraId="3B2EBF6F"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Rauch, E., Matt, D. T., &amp; Linder, C. (2020). Lean management in hospitality: Methods, applications and future directions. </w:t>
      </w:r>
      <w:r w:rsidRPr="000B444A">
        <w:rPr>
          <w:rFonts w:ascii="Times New Roman" w:eastAsia="Times New Roman" w:hAnsi="Times New Roman" w:cs="Times New Roman"/>
          <w:i/>
          <w:iCs/>
          <w:kern w:val="0"/>
          <w14:ligatures w14:val="none"/>
        </w:rPr>
        <w:t>International Journal of Services and Operations Management, 36</w:t>
      </w:r>
      <w:r w:rsidRPr="000B444A">
        <w:rPr>
          <w:rFonts w:ascii="Times New Roman" w:eastAsia="Times New Roman" w:hAnsi="Times New Roman" w:cs="Times New Roman"/>
          <w:kern w:val="0"/>
          <w14:ligatures w14:val="none"/>
        </w:rPr>
        <w:t xml:space="preserve">(3), 303–326. </w:t>
      </w:r>
    </w:p>
    <w:p w14:paraId="0B72D799"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Saunders, M., Lewis, P., &amp; Thornhill, A. (2019). </w:t>
      </w:r>
      <w:r w:rsidRPr="000B444A">
        <w:rPr>
          <w:rFonts w:ascii="Times New Roman" w:eastAsia="SimSun" w:hAnsi="Times New Roman" w:cs="Times New Roman"/>
          <w:i/>
          <w:iCs/>
          <w:kern w:val="0"/>
          <w:lang w:eastAsia="zh-CN"/>
          <w14:ligatures w14:val="none"/>
        </w:rPr>
        <w:t>Research methods for business students</w:t>
      </w:r>
      <w:r w:rsidRPr="000B444A">
        <w:rPr>
          <w:rFonts w:ascii="Times New Roman" w:eastAsia="SimSun" w:hAnsi="Times New Roman" w:cs="Times New Roman"/>
          <w:kern w:val="0"/>
          <w:lang w:eastAsia="zh-CN"/>
          <w14:ligatures w14:val="none"/>
        </w:rPr>
        <w:t xml:space="preserve"> (8th ed.). Pearson.</w:t>
      </w:r>
    </w:p>
    <w:p w14:paraId="4FC5CCFE"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Schein, E. H. (2010). </w:t>
      </w:r>
      <w:r w:rsidRPr="000B444A">
        <w:rPr>
          <w:rFonts w:ascii="Times New Roman" w:eastAsia="SimSun" w:hAnsi="Times New Roman" w:cs="Times New Roman"/>
          <w:i/>
          <w:iCs/>
          <w:kern w:val="0"/>
          <w:lang w:eastAsia="zh-CN"/>
          <w14:ligatures w14:val="none"/>
        </w:rPr>
        <w:t>Organizational culture and leadership</w:t>
      </w:r>
      <w:r w:rsidRPr="000B444A">
        <w:rPr>
          <w:rFonts w:ascii="Times New Roman" w:eastAsia="SimSun" w:hAnsi="Times New Roman" w:cs="Times New Roman"/>
          <w:kern w:val="0"/>
          <w:lang w:eastAsia="zh-CN"/>
          <w14:ligatures w14:val="none"/>
        </w:rPr>
        <w:t xml:space="preserve"> (4th ed.). Jossey-Bass.</w:t>
      </w:r>
    </w:p>
    <w:p w14:paraId="7255FFE4"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lastRenderedPageBreak/>
        <w:t xml:space="preserve">Shin, S. J., Taylor, M. S., &amp; Seo, M. G. (2012). Resources for change: The relationships of organizational inducements and psychological resilience to employees' attitudes and behaviors toward organizational change. </w:t>
      </w:r>
      <w:r w:rsidRPr="000B444A">
        <w:rPr>
          <w:rFonts w:ascii="Times New Roman" w:eastAsia="SimSun" w:hAnsi="Times New Roman" w:cs="Times New Roman"/>
          <w:i/>
          <w:iCs/>
          <w:kern w:val="0"/>
          <w:lang w:eastAsia="zh-CN"/>
          <w14:ligatures w14:val="none"/>
        </w:rPr>
        <w:t>Academy of Management Journal, 55</w:t>
      </w:r>
      <w:r w:rsidRPr="000B444A">
        <w:rPr>
          <w:rFonts w:ascii="Times New Roman" w:eastAsia="SimSun" w:hAnsi="Times New Roman" w:cs="Times New Roman"/>
          <w:kern w:val="0"/>
          <w:lang w:eastAsia="zh-CN"/>
          <w14:ligatures w14:val="none"/>
        </w:rPr>
        <w:t>(3), 727-748.</w:t>
      </w:r>
    </w:p>
    <w:p w14:paraId="6846C2F0"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Slack, N., &amp; Lewis, M. (2011). </w:t>
      </w:r>
      <w:r w:rsidRPr="000B444A">
        <w:rPr>
          <w:rFonts w:ascii="Times New Roman" w:eastAsia="SimSun" w:hAnsi="Times New Roman" w:cs="Times New Roman"/>
          <w:i/>
          <w:iCs/>
          <w:kern w:val="0"/>
          <w:lang w:eastAsia="zh-CN"/>
          <w14:ligatures w14:val="none"/>
        </w:rPr>
        <w:t>Operations strategy</w:t>
      </w:r>
      <w:r w:rsidRPr="000B444A">
        <w:rPr>
          <w:rFonts w:ascii="Times New Roman" w:eastAsia="SimSun" w:hAnsi="Times New Roman" w:cs="Times New Roman"/>
          <w:kern w:val="0"/>
          <w:lang w:eastAsia="zh-CN"/>
          <w14:ligatures w14:val="none"/>
        </w:rPr>
        <w:t xml:space="preserve"> (3rd ed.). Pearson Education.</w:t>
      </w:r>
    </w:p>
    <w:p w14:paraId="7DB16DCA"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Tan, T. A. G. (2014). Effects of justice theory on service recovery satisfaction: Philippine foodservice/restaurant evidence. </w:t>
      </w:r>
      <w:r w:rsidRPr="000B444A">
        <w:rPr>
          <w:rFonts w:ascii="Times New Roman" w:eastAsia="Times New Roman" w:hAnsi="Times New Roman" w:cs="Times New Roman"/>
          <w:i/>
          <w:iCs/>
          <w:kern w:val="0"/>
          <w14:ligatures w14:val="none"/>
        </w:rPr>
        <w:t>Philippine Management Review/ PMR</w:t>
      </w:r>
      <w:r w:rsidRPr="000B444A">
        <w:rPr>
          <w:rFonts w:ascii="Times New Roman" w:eastAsia="Times New Roman" w:hAnsi="Times New Roman" w:cs="Times New Roman"/>
          <w:kern w:val="0"/>
          <w14:ligatures w14:val="none"/>
        </w:rPr>
        <w:t xml:space="preserve"> (study documenting service delivery failures like wrong orders and late delivery). (PDF)</w:t>
      </w:r>
    </w:p>
    <w:p w14:paraId="1ACDE136"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Tseng, S.-M., &amp; Yong, S. Y. (2025). Exploring the impacts of service gaps and recovery satisfaction on repurchase intention: The moderating role of service recovery in the restaurant industry. </w:t>
      </w:r>
      <w:r w:rsidRPr="000B444A">
        <w:rPr>
          <w:rFonts w:ascii="Times New Roman" w:eastAsia="Times New Roman" w:hAnsi="Times New Roman" w:cs="Times New Roman"/>
          <w:i/>
          <w:iCs/>
          <w:kern w:val="0"/>
          <w14:ligatures w14:val="none"/>
        </w:rPr>
        <w:t>Tourism and Hospitality, 6</w:t>
      </w:r>
      <w:r w:rsidRPr="000B444A">
        <w:rPr>
          <w:rFonts w:ascii="Times New Roman" w:eastAsia="Times New Roman" w:hAnsi="Times New Roman" w:cs="Times New Roman"/>
          <w:kern w:val="0"/>
          <w14:ligatures w14:val="none"/>
        </w:rPr>
        <w:t xml:space="preserve">(3), 147. </w:t>
      </w:r>
      <w:hyperlink r:id="rId222" w:history="1">
        <w:r w:rsidRPr="000B444A">
          <w:rPr>
            <w:rFonts w:ascii="Times New Roman" w:eastAsia="Times New Roman" w:hAnsi="Times New Roman" w:cs="Times New Roman"/>
            <w:color w:val="0000FF"/>
            <w:kern w:val="0"/>
            <w:u w:val="single"/>
            <w14:ligatures w14:val="none"/>
          </w:rPr>
          <w:t>https://doi.org/10.3390/tourhosp6030147</w:t>
        </w:r>
      </w:hyperlink>
    </w:p>
    <w:p w14:paraId="67458DC9"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Turner, R. (2020). </w:t>
      </w:r>
      <w:r w:rsidRPr="000B444A">
        <w:rPr>
          <w:rFonts w:ascii="Times New Roman" w:eastAsia="SimSun" w:hAnsi="Times New Roman" w:cs="Times New Roman"/>
          <w:i/>
          <w:iCs/>
          <w:kern w:val="0"/>
          <w:lang w:eastAsia="zh-CN"/>
          <w14:ligatures w14:val="none"/>
        </w:rPr>
        <w:t>Advanced research design and methods.</w:t>
      </w:r>
      <w:r w:rsidRPr="000B444A">
        <w:rPr>
          <w:rFonts w:ascii="Times New Roman" w:eastAsia="SimSun" w:hAnsi="Times New Roman" w:cs="Times New Roman"/>
          <w:kern w:val="0"/>
          <w:lang w:eastAsia="zh-CN"/>
          <w14:ligatures w14:val="none"/>
        </w:rPr>
        <w:t xml:space="preserve"> Academic Press.</w:t>
      </w:r>
    </w:p>
    <w:p w14:paraId="725D488F"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United Nations World Tourism Organization (UNWTO). (2022). </w:t>
      </w:r>
      <w:r w:rsidRPr="000B444A">
        <w:rPr>
          <w:rFonts w:ascii="Times New Roman" w:eastAsia="SimSun" w:hAnsi="Times New Roman" w:cs="Times New Roman"/>
          <w:i/>
          <w:iCs/>
          <w:kern w:val="0"/>
          <w:lang w:eastAsia="zh-CN"/>
          <w14:ligatures w14:val="none"/>
        </w:rPr>
        <w:t>World Tourism Barometer and Statistical Annex.</w:t>
      </w:r>
      <w:r w:rsidRPr="000B444A">
        <w:rPr>
          <w:rFonts w:ascii="Times New Roman" w:eastAsia="SimSun" w:hAnsi="Times New Roman" w:cs="Times New Roman"/>
          <w:kern w:val="0"/>
          <w:lang w:eastAsia="zh-CN"/>
          <w14:ligatures w14:val="none"/>
        </w:rPr>
        <w:t xml:space="preserve"> UNWTO.</w:t>
      </w:r>
    </w:p>
    <w:p w14:paraId="7FB58F68"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Womack, J. P., &amp; Jones, D. T. (2016). </w:t>
      </w:r>
      <w:r w:rsidRPr="000B444A">
        <w:rPr>
          <w:rFonts w:ascii="Times New Roman" w:eastAsia="Times New Roman" w:hAnsi="Times New Roman" w:cs="Times New Roman"/>
          <w:i/>
          <w:iCs/>
          <w:kern w:val="0"/>
          <w14:ligatures w14:val="none"/>
        </w:rPr>
        <w:t>Lean Thinking: Banish waste and create wealth in your corporation</w:t>
      </w:r>
      <w:r w:rsidRPr="000B444A">
        <w:rPr>
          <w:rFonts w:ascii="Times New Roman" w:eastAsia="Times New Roman" w:hAnsi="Times New Roman" w:cs="Times New Roman"/>
          <w:kern w:val="0"/>
          <w14:ligatures w14:val="none"/>
        </w:rPr>
        <w:t xml:space="preserve"> (1st ed.). Simon &amp; Schuster.</w:t>
      </w:r>
    </w:p>
    <w:p w14:paraId="734B738D"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Womack, J. P., Jones, D. T., &amp; </w:t>
      </w:r>
      <w:proofErr w:type="spellStart"/>
      <w:r w:rsidRPr="000B444A">
        <w:rPr>
          <w:rFonts w:ascii="Times New Roman" w:eastAsia="SimSun" w:hAnsi="Times New Roman" w:cs="Times New Roman"/>
          <w:kern w:val="0"/>
          <w:lang w:eastAsia="zh-CN"/>
          <w14:ligatures w14:val="none"/>
        </w:rPr>
        <w:t>Roos</w:t>
      </w:r>
      <w:proofErr w:type="spellEnd"/>
      <w:r w:rsidRPr="000B444A">
        <w:rPr>
          <w:rFonts w:ascii="Times New Roman" w:eastAsia="SimSun" w:hAnsi="Times New Roman" w:cs="Times New Roman"/>
          <w:kern w:val="0"/>
          <w:lang w:eastAsia="zh-CN"/>
          <w14:ligatures w14:val="none"/>
        </w:rPr>
        <w:t xml:space="preserve">, D. (1990). </w:t>
      </w:r>
      <w:r w:rsidRPr="000B444A">
        <w:rPr>
          <w:rFonts w:ascii="Times New Roman" w:eastAsia="SimSun" w:hAnsi="Times New Roman" w:cs="Times New Roman"/>
          <w:i/>
          <w:iCs/>
          <w:kern w:val="0"/>
          <w:lang w:eastAsia="zh-CN"/>
          <w14:ligatures w14:val="none"/>
        </w:rPr>
        <w:t>The machine that changed the world.</w:t>
      </w:r>
      <w:r w:rsidRPr="000B444A">
        <w:rPr>
          <w:rFonts w:ascii="Times New Roman" w:eastAsia="SimSun" w:hAnsi="Times New Roman" w:cs="Times New Roman"/>
          <w:kern w:val="0"/>
          <w:lang w:eastAsia="zh-CN"/>
          <w14:ligatures w14:val="none"/>
        </w:rPr>
        <w:t xml:space="preserve"> Free Press.</w:t>
      </w:r>
    </w:p>
    <w:p w14:paraId="309CE248"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World Travel &amp; Tourism Council. (2023). </w:t>
      </w:r>
      <w:r w:rsidRPr="000B444A">
        <w:rPr>
          <w:rFonts w:ascii="Times New Roman" w:eastAsia="SimSun" w:hAnsi="Times New Roman" w:cs="Times New Roman"/>
          <w:i/>
          <w:iCs/>
          <w:kern w:val="0"/>
          <w:lang w:eastAsia="zh-CN"/>
          <w14:ligatures w14:val="none"/>
        </w:rPr>
        <w:t>Travel &amp; Tourism: Economic Impact 2023</w:t>
      </w:r>
      <w:r w:rsidRPr="000B444A">
        <w:rPr>
          <w:rFonts w:ascii="Times New Roman" w:eastAsia="SimSun" w:hAnsi="Times New Roman" w:cs="Times New Roman"/>
          <w:kern w:val="0"/>
          <w:lang w:eastAsia="zh-CN"/>
          <w14:ligatures w14:val="none"/>
        </w:rPr>
        <w:t xml:space="preserve"> (Economic Impact Research). WTTC.</w:t>
      </w:r>
    </w:p>
    <w:p w14:paraId="0DA1B9F4" w14:textId="77777777" w:rsidR="000B444A" w:rsidRPr="000B444A" w:rsidRDefault="000B444A" w:rsidP="000B444A">
      <w:pPr>
        <w:spacing w:before="100" w:beforeAutospacing="1" w:after="100" w:afterAutospacing="1" w:line="240" w:lineRule="auto"/>
        <w:ind w:left="720" w:hanging="720"/>
        <w:jc w:val="both"/>
        <w:rPr>
          <w:rFonts w:ascii="Times New Roman" w:eastAsia="Times New Roman" w:hAnsi="Times New Roman" w:cs="Times New Roman"/>
          <w:kern w:val="0"/>
          <w14:ligatures w14:val="none"/>
        </w:rPr>
      </w:pPr>
      <w:r w:rsidRPr="000B444A">
        <w:rPr>
          <w:rFonts w:ascii="Times New Roman" w:eastAsia="Times New Roman" w:hAnsi="Times New Roman" w:cs="Times New Roman"/>
          <w:kern w:val="0"/>
          <w14:ligatures w14:val="none"/>
        </w:rPr>
        <w:t xml:space="preserve">Yang, C. (2006). HRM practices and TQM implementation in Taiwan. </w:t>
      </w:r>
      <w:r w:rsidRPr="000B444A">
        <w:rPr>
          <w:rFonts w:ascii="Times New Roman" w:eastAsia="Times New Roman" w:hAnsi="Times New Roman" w:cs="Times New Roman"/>
          <w:i/>
          <w:iCs/>
          <w:kern w:val="0"/>
          <w14:ligatures w14:val="none"/>
        </w:rPr>
        <w:t>Asia Pacific Journal of Human Resources, 44</w:t>
      </w:r>
      <w:r w:rsidRPr="000B444A">
        <w:rPr>
          <w:rFonts w:ascii="Times New Roman" w:eastAsia="Times New Roman" w:hAnsi="Times New Roman" w:cs="Times New Roman"/>
          <w:kern w:val="0"/>
          <w14:ligatures w14:val="none"/>
        </w:rPr>
        <w:t>(1), 1–18.</w:t>
      </w:r>
    </w:p>
    <w:p w14:paraId="1067784C"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Zairi, M. (2012). Total quality management for the hospitality sector: A critical evaluation. </w:t>
      </w:r>
      <w:r w:rsidRPr="000B444A">
        <w:rPr>
          <w:rFonts w:ascii="Times New Roman" w:eastAsia="SimSun" w:hAnsi="Times New Roman" w:cs="Times New Roman"/>
          <w:i/>
          <w:iCs/>
          <w:kern w:val="0"/>
          <w:lang w:eastAsia="zh-CN"/>
          <w14:ligatures w14:val="none"/>
        </w:rPr>
        <w:t>TQM Journal, 24</w:t>
      </w:r>
      <w:r w:rsidRPr="000B444A">
        <w:rPr>
          <w:rFonts w:ascii="Times New Roman" w:eastAsia="SimSun" w:hAnsi="Times New Roman" w:cs="Times New Roman"/>
          <w:kern w:val="0"/>
          <w:lang w:eastAsia="zh-CN"/>
          <w14:ligatures w14:val="none"/>
        </w:rPr>
        <w:t>(6), 513-527.</w:t>
      </w:r>
    </w:p>
    <w:p w14:paraId="6C7EA6FE" w14:textId="77777777" w:rsidR="000B444A" w:rsidRPr="000B444A" w:rsidRDefault="000B444A" w:rsidP="000B444A">
      <w:pPr>
        <w:spacing w:beforeAutospacing="1" w:after="0" w:afterAutospacing="1" w:line="240" w:lineRule="auto"/>
        <w:ind w:left="799" w:hangingChars="333" w:hanging="799"/>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Zeithaml, V. A., Berry, L. L., &amp; Parasuraman, A. (1996). The behavioral consequences of service quality. </w:t>
      </w:r>
      <w:r w:rsidRPr="000B444A">
        <w:rPr>
          <w:rFonts w:ascii="Times New Roman" w:eastAsia="SimSun" w:hAnsi="Times New Roman" w:cs="Times New Roman"/>
          <w:i/>
          <w:iCs/>
          <w:kern w:val="0"/>
          <w:lang w:eastAsia="zh-CN"/>
          <w14:ligatures w14:val="none"/>
        </w:rPr>
        <w:t>Journal of Marketing, 60</w:t>
      </w:r>
      <w:r w:rsidRPr="000B444A">
        <w:rPr>
          <w:rFonts w:ascii="Times New Roman" w:eastAsia="SimSun" w:hAnsi="Times New Roman" w:cs="Times New Roman"/>
          <w:kern w:val="0"/>
          <w:lang w:eastAsia="zh-CN"/>
          <w14:ligatures w14:val="none"/>
        </w:rPr>
        <w:t xml:space="preserve">(2), 31-46. </w:t>
      </w:r>
    </w:p>
    <w:p w14:paraId="51D93EA1"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Zeng, S., Xie, X., &amp; Tam, C. M. (2015). Environmental management practices in hospitality. </w:t>
      </w:r>
      <w:r w:rsidRPr="000B444A">
        <w:rPr>
          <w:rFonts w:ascii="Times New Roman" w:eastAsia="SimSun" w:hAnsi="Times New Roman" w:cs="Times New Roman"/>
          <w:i/>
          <w:iCs/>
          <w:kern w:val="0"/>
          <w:lang w:eastAsia="zh-CN"/>
          <w14:ligatures w14:val="none"/>
        </w:rPr>
        <w:t>International Journal of Hospitality Management, 45</w:t>
      </w:r>
      <w:r w:rsidRPr="000B444A">
        <w:rPr>
          <w:rFonts w:ascii="Times New Roman" w:eastAsia="SimSun" w:hAnsi="Times New Roman" w:cs="Times New Roman"/>
          <w:kern w:val="0"/>
          <w:lang w:eastAsia="zh-CN"/>
          <w14:ligatures w14:val="none"/>
        </w:rPr>
        <w:t>, 154–164.</w:t>
      </w:r>
    </w:p>
    <w:p w14:paraId="1644971C" w14:textId="77777777" w:rsidR="000B444A" w:rsidRPr="000B444A" w:rsidRDefault="000B444A" w:rsidP="000B444A">
      <w:pPr>
        <w:spacing w:beforeAutospacing="1" w:after="0" w:afterAutospacing="1" w:line="240" w:lineRule="auto"/>
        <w:ind w:left="720" w:hanging="720"/>
        <w:jc w:val="both"/>
        <w:rPr>
          <w:rFonts w:ascii="Times New Roman" w:eastAsia="SimSun" w:hAnsi="Times New Roman" w:cs="Times New Roman"/>
          <w:kern w:val="0"/>
          <w:lang w:eastAsia="zh-CN"/>
          <w14:ligatures w14:val="none"/>
        </w:rPr>
      </w:pPr>
      <w:r w:rsidRPr="000B444A">
        <w:rPr>
          <w:rFonts w:ascii="Times New Roman" w:eastAsia="SimSun" w:hAnsi="Times New Roman" w:cs="Times New Roman"/>
          <w:kern w:val="0"/>
          <w:lang w:eastAsia="zh-CN"/>
          <w14:ligatures w14:val="none"/>
        </w:rPr>
        <w:t xml:space="preserve">Zhang, Y., &amp; Wang, X. (2022). Organizational culture and resilience in hospitality. </w:t>
      </w:r>
      <w:r w:rsidRPr="000B444A">
        <w:rPr>
          <w:rFonts w:ascii="Times New Roman" w:eastAsia="SimSun" w:hAnsi="Times New Roman" w:cs="Times New Roman"/>
          <w:i/>
          <w:iCs/>
          <w:kern w:val="0"/>
          <w:lang w:eastAsia="zh-CN"/>
          <w14:ligatures w14:val="none"/>
        </w:rPr>
        <w:t>Journal of Business Research, 140</w:t>
      </w:r>
      <w:r w:rsidRPr="000B444A">
        <w:rPr>
          <w:rFonts w:ascii="Times New Roman" w:eastAsia="SimSun" w:hAnsi="Times New Roman" w:cs="Times New Roman"/>
          <w:kern w:val="0"/>
          <w:lang w:eastAsia="zh-CN"/>
          <w14:ligatures w14:val="none"/>
        </w:rPr>
        <w:t>, 345–356.</w:t>
      </w:r>
    </w:p>
    <w:p w14:paraId="6065C0DF" w14:textId="77777777" w:rsidR="000B444A" w:rsidRPr="000B444A" w:rsidRDefault="000B444A" w:rsidP="000B444A">
      <w:pPr>
        <w:spacing w:line="240" w:lineRule="auto"/>
        <w:rPr>
          <w:rFonts w:ascii="Times New Roman" w:eastAsia="Calibri" w:hAnsi="Times New Roman" w:cs="Times New Roman"/>
          <w:kern w:val="0"/>
          <w14:ligatures w14:val="none"/>
        </w:rPr>
      </w:pPr>
      <w:r w:rsidRPr="000B444A">
        <w:rPr>
          <w:rFonts w:ascii="Times New Roman" w:eastAsia="Calibri" w:hAnsi="Times New Roman" w:cs="Times New Roman"/>
          <w:kern w:val="0"/>
          <w14:ligatures w14:val="none"/>
        </w:rPr>
        <w:t xml:space="preserve">Zhou, L., &amp; Li, H. (2015). Innovation and service quality: A meta-analysis. </w:t>
      </w:r>
      <w:r w:rsidRPr="000B444A">
        <w:rPr>
          <w:rFonts w:ascii="Times New Roman" w:eastAsia="Calibri" w:hAnsi="Times New Roman" w:cs="Times New Roman"/>
          <w:i/>
          <w:iCs/>
          <w:kern w:val="0"/>
          <w14:ligatures w14:val="none"/>
        </w:rPr>
        <w:t>Service Science Review, 6</w:t>
      </w:r>
      <w:r w:rsidRPr="000B444A">
        <w:rPr>
          <w:rFonts w:ascii="Times New Roman" w:eastAsia="Calibri" w:hAnsi="Times New Roman" w:cs="Times New Roman"/>
          <w:kern w:val="0"/>
          <w14:ligatures w14:val="none"/>
        </w:rPr>
        <w:t>(1), 33–52.</w:t>
      </w:r>
    </w:p>
    <w:p w14:paraId="39C268D8" w14:textId="77777777" w:rsidR="000B444A" w:rsidRDefault="000B444A" w:rsidP="00A60822">
      <w:pPr>
        <w:spacing w:after="0" w:line="240" w:lineRule="auto"/>
        <w:jc w:val="both"/>
        <w:rPr>
          <w:rFonts w:ascii="Times New Roman" w:hAnsi="Times New Roman" w:cs="Times New Roman"/>
          <w:b/>
          <w:bCs/>
          <w:sz w:val="36"/>
          <w:szCs w:val="36"/>
        </w:rPr>
      </w:pPr>
    </w:p>
    <w:p w14:paraId="05E56C84" w14:textId="77777777" w:rsidR="000B444A" w:rsidRDefault="000B444A" w:rsidP="00A60822">
      <w:pPr>
        <w:spacing w:after="0" w:line="240" w:lineRule="auto"/>
        <w:jc w:val="both"/>
        <w:rPr>
          <w:rFonts w:ascii="Times New Roman" w:hAnsi="Times New Roman" w:cs="Times New Roman"/>
          <w:b/>
          <w:bCs/>
          <w:sz w:val="36"/>
          <w:szCs w:val="36"/>
        </w:rPr>
      </w:pPr>
    </w:p>
    <w:p w14:paraId="7147573E" w14:textId="77777777" w:rsidR="00E30D1B" w:rsidRPr="00945CE1" w:rsidRDefault="00E30D1B" w:rsidP="00E30D1B">
      <w:pPr>
        <w:spacing w:beforeLines="150" w:before="360" w:afterLines="50" w:after="120" w:line="240" w:lineRule="auto"/>
        <w:jc w:val="center"/>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lastRenderedPageBreak/>
        <w:t>BETWEEN PIXELS AND PRESENCE: VIRTUAL TOURISM, CULTURAL AUTHENTICITY, AND THE NIGERIAN IMPERATIVE</w:t>
      </w:r>
    </w:p>
    <w:p w14:paraId="58EADDEF" w14:textId="77777777" w:rsidR="00E30D1B" w:rsidRPr="00945CE1" w:rsidRDefault="00E30D1B" w:rsidP="00E30D1B">
      <w:pPr>
        <w:spacing w:after="0" w:line="240" w:lineRule="auto"/>
        <w:jc w:val="center"/>
        <w:rPr>
          <w:rFonts w:ascii="Times New Roman" w:eastAsia="Times New Roman" w:hAnsi="Times New Roman" w:cs="Times New Roman"/>
          <w:b/>
          <w:bCs/>
          <w:kern w:val="0"/>
          <w:sz w:val="28"/>
          <w:szCs w:val="28"/>
          <w14:ligatures w14:val="none"/>
        </w:rPr>
      </w:pPr>
    </w:p>
    <w:p w14:paraId="4550EFC4" w14:textId="77777777" w:rsidR="00E30D1B" w:rsidRPr="00945CE1" w:rsidRDefault="00E30D1B" w:rsidP="00E30D1B">
      <w:pPr>
        <w:spacing w:after="0" w:line="240" w:lineRule="auto"/>
        <w:jc w:val="center"/>
        <w:rPr>
          <w:rFonts w:ascii="Times New Roman" w:eastAsia="Times New Roman" w:hAnsi="Times New Roman" w:cs="Times New Roman"/>
          <w:kern w:val="0"/>
          <w:sz w:val="28"/>
          <w:szCs w:val="28"/>
          <w14:ligatures w14:val="none"/>
        </w:rPr>
      </w:pPr>
      <w:r w:rsidRPr="00945CE1">
        <w:rPr>
          <w:rFonts w:ascii="Times New Roman" w:eastAsia="Times New Roman" w:hAnsi="Times New Roman" w:cs="Times New Roman"/>
          <w:kern w:val="0"/>
          <w:sz w:val="28"/>
          <w:szCs w:val="28"/>
          <w14:ligatures w14:val="none"/>
        </w:rPr>
        <w:t>ODOR, CHINENYE BLESSING &amp; OKUNLOLA, KAFILAT ASAKE</w:t>
      </w:r>
    </w:p>
    <w:p w14:paraId="4D0B1927" w14:textId="77777777" w:rsidR="00E30D1B" w:rsidRPr="00945CE1" w:rsidRDefault="00E30D1B" w:rsidP="00E30D1B">
      <w:pPr>
        <w:spacing w:after="0" w:line="240" w:lineRule="auto"/>
        <w:jc w:val="center"/>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DEPARTMENT OF </w:t>
      </w:r>
      <w:proofErr w:type="gramStart"/>
      <w:r w:rsidRPr="00945CE1">
        <w:rPr>
          <w:rFonts w:ascii="Times New Roman" w:eastAsia="Times New Roman" w:hAnsi="Times New Roman" w:cs="Times New Roman"/>
          <w:kern w:val="0"/>
          <w14:ligatures w14:val="none"/>
        </w:rPr>
        <w:t>TOURISM  MANAGEMENT</w:t>
      </w:r>
      <w:proofErr w:type="gramEnd"/>
      <w:r w:rsidRPr="00945CE1">
        <w:rPr>
          <w:rFonts w:ascii="Times New Roman" w:eastAsia="Times New Roman" w:hAnsi="Times New Roman" w:cs="Times New Roman"/>
          <w:kern w:val="0"/>
          <w14:ligatures w14:val="none"/>
        </w:rPr>
        <w:t xml:space="preserve"> TECHNOLOGY</w:t>
      </w:r>
    </w:p>
    <w:p w14:paraId="3DD0DD09" w14:textId="77777777" w:rsidR="00E30D1B" w:rsidRPr="00945CE1" w:rsidRDefault="00E30D1B" w:rsidP="00E30D1B">
      <w:pPr>
        <w:spacing w:after="0" w:line="240" w:lineRule="auto"/>
        <w:jc w:val="center"/>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FEDERAL POLYTECHNIC, BIDA.</w:t>
      </w:r>
    </w:p>
    <w:p w14:paraId="10BC8361" w14:textId="77777777" w:rsidR="00E30D1B" w:rsidRPr="00945CE1" w:rsidRDefault="00E30D1B" w:rsidP="00E30D1B">
      <w:pPr>
        <w:spacing w:after="0" w:line="240" w:lineRule="auto"/>
        <w:rPr>
          <w:rFonts w:ascii="Times New Roman" w:eastAsia="Times New Roman" w:hAnsi="Times New Roman" w:cs="Times New Roman"/>
          <w:b/>
          <w:kern w:val="0"/>
          <w14:ligatures w14:val="none"/>
        </w:rPr>
      </w:pPr>
      <w:r w:rsidRPr="00945CE1">
        <w:rPr>
          <w:rFonts w:ascii="Times New Roman" w:eastAsia="Times New Roman" w:hAnsi="Times New Roman" w:cs="Times New Roman"/>
          <w:b/>
          <w:kern w:val="0"/>
          <w14:ligatures w14:val="none"/>
        </w:rPr>
        <w:t xml:space="preserve">                                         </w:t>
      </w:r>
    </w:p>
    <w:p w14:paraId="2B08E34D" w14:textId="77777777" w:rsidR="00E30D1B" w:rsidRPr="00945CE1" w:rsidRDefault="00E30D1B" w:rsidP="00E30D1B">
      <w:pPr>
        <w:spacing w:after="0" w:line="240" w:lineRule="auto"/>
        <w:rPr>
          <w:rFonts w:ascii="Times New Roman" w:eastAsia="Times New Roman" w:hAnsi="Times New Roman" w:cs="Times New Roman"/>
          <w:b/>
          <w:kern w:val="0"/>
          <w14:ligatures w14:val="none"/>
        </w:rPr>
      </w:pPr>
    </w:p>
    <w:p w14:paraId="0F04CA41"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p>
    <w:p w14:paraId="45CFEBD1" w14:textId="77777777" w:rsidR="00E30D1B" w:rsidRPr="00945CE1" w:rsidRDefault="00E30D1B" w:rsidP="00E30D1B">
      <w:pPr>
        <w:spacing w:afterLines="50" w:after="120" w:line="360" w:lineRule="auto"/>
        <w:jc w:val="center"/>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Abstract</w:t>
      </w:r>
    </w:p>
    <w:p w14:paraId="54968059" w14:textId="77777777" w:rsidR="00E30D1B" w:rsidRPr="00945CE1" w:rsidRDefault="00E30D1B" w:rsidP="00E30D1B">
      <w:pPr>
        <w:spacing w:afterLines="50" w:after="120" w:line="240" w:lineRule="auto"/>
        <w:jc w:val="both"/>
        <w:rPr>
          <w:rFonts w:ascii="Times New Roman" w:eastAsia="Times New Roman" w:hAnsi="Times New Roman" w:cs="Times New Roman"/>
          <w:i/>
          <w:iCs/>
          <w:kern w:val="0"/>
          <w14:ligatures w14:val="none"/>
        </w:rPr>
      </w:pPr>
      <w:r w:rsidRPr="00945CE1">
        <w:rPr>
          <w:rFonts w:ascii="Times New Roman" w:eastAsia="Times New Roman" w:hAnsi="Times New Roman" w:cs="Times New Roman"/>
          <w:i/>
          <w:iCs/>
          <w:kern w:val="0"/>
          <w14:ligatures w14:val="none"/>
        </w:rPr>
        <w:t>The global tourism landscape is undergoing a significant digital transformation, with virtual reality (VR) and augmented reality (AR) technologies increasingly mediating how tourists engage with destinations. While these technologies promise improved accessibility, conservation support, and pre-visit engagement, they simultaneously raise fundamental questions about the authenticity of tourism experiences, a concern that is amplified in culturally rich, emerging economies. This paper examines the tension between virtual tourism adoption and the preservation of authentic cultural, heritage, and lived experiences, using Nigeria as a primary case study. Drawing on a qualitative review of existing literature, comparative analysis of established global destinations, and theoretical frameworks from tourism studies and cultural geography, the study identifies patterns, risks, and best practices relevant to Nigeria's diverse and digitally underexplored tourism landscape. Findings indicate that virtual tourism, when thoughtfully integrated, can amplify rather than erode authenticity, serving as a promotional gateway that drives physical visitation while extending heritage access. However, without deliberate policy frameworks, community-</w:t>
      </w:r>
      <w:proofErr w:type="spellStart"/>
      <w:r w:rsidRPr="00945CE1">
        <w:rPr>
          <w:rFonts w:ascii="Times New Roman" w:eastAsia="Times New Roman" w:hAnsi="Times New Roman" w:cs="Times New Roman"/>
          <w:i/>
          <w:iCs/>
          <w:kern w:val="0"/>
          <w14:ligatures w14:val="none"/>
        </w:rPr>
        <w:t>centred</w:t>
      </w:r>
      <w:proofErr w:type="spellEnd"/>
      <w:r w:rsidRPr="00945CE1">
        <w:rPr>
          <w:rFonts w:ascii="Times New Roman" w:eastAsia="Times New Roman" w:hAnsi="Times New Roman" w:cs="Times New Roman"/>
          <w:i/>
          <w:iCs/>
          <w:kern w:val="0"/>
          <w14:ligatures w14:val="none"/>
        </w:rPr>
        <w:t xml:space="preserve"> governance, and ethical digital curation, virtual tourism risks commodifying indigenous cultures and displacing the irreplaceable primacy of lived, in-person experiences. The paper proposes a </w:t>
      </w:r>
      <w:proofErr w:type="spellStart"/>
      <w:r w:rsidRPr="00945CE1">
        <w:rPr>
          <w:rFonts w:ascii="Times New Roman" w:eastAsia="Times New Roman" w:hAnsi="Times New Roman" w:cs="Times New Roman"/>
          <w:i/>
          <w:iCs/>
          <w:kern w:val="0"/>
          <w14:ligatures w14:val="none"/>
        </w:rPr>
        <w:t>contextualised</w:t>
      </w:r>
      <w:proofErr w:type="spellEnd"/>
      <w:r w:rsidRPr="00945CE1">
        <w:rPr>
          <w:rFonts w:ascii="Times New Roman" w:eastAsia="Times New Roman" w:hAnsi="Times New Roman" w:cs="Times New Roman"/>
          <w:i/>
          <w:iCs/>
          <w:kern w:val="0"/>
          <w14:ligatures w14:val="none"/>
        </w:rPr>
        <w:t xml:space="preserve"> strategic framework for Nigerian tourism stakeholders on how to harness virtual technologies without sacrificing the authentic cultural soul of its destinations.</w:t>
      </w:r>
    </w:p>
    <w:p w14:paraId="2CC6C4DA"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p>
    <w:p w14:paraId="607AB5F6"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b/>
          <w:bCs/>
          <w:kern w:val="0"/>
          <w14:ligatures w14:val="none"/>
        </w:rPr>
        <w:t xml:space="preserve">Keywords: </w:t>
      </w:r>
      <w:r w:rsidRPr="00945CE1">
        <w:rPr>
          <w:rFonts w:ascii="Times New Roman" w:eastAsia="Times New Roman" w:hAnsi="Times New Roman" w:cs="Times New Roman"/>
          <w:kern w:val="0"/>
          <w14:ligatures w14:val="none"/>
        </w:rPr>
        <w:t>Virtual Tourism, Authenticity, Nigeria, Cultural Heritage, Virtual Reality, Emerging Economies, Digital Tourism, Destination Management</w:t>
      </w:r>
    </w:p>
    <w:p w14:paraId="5EA3853E"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INTRODUCTION</w:t>
      </w:r>
    </w:p>
    <w:p w14:paraId="423B846C"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In 2019, more than 1.5 billion international tourist arrivals were recorded globally, a figure that underscores tourism's weight as both an economic engine and a cultural exchange mechanism (UNWTO, 2020). Then the COVID-19 pandemic arrived, forcing a global pause that paradoxically accelerated the rise of virtual tourism: museum galleries went online, travel agencies offered 360-degree destination previews, and virtual safaris found audiences in living rooms across the world. What emerged was not merely a crisis-response innovation but a permanent shift in how tourists could engage with places, one that has outlasted the pandemic itself and continues to reshape tourist </w:t>
      </w:r>
      <w:proofErr w:type="spellStart"/>
      <w:r w:rsidRPr="00945CE1">
        <w:rPr>
          <w:rFonts w:ascii="Times New Roman" w:eastAsia="Times New Roman" w:hAnsi="Times New Roman" w:cs="Times New Roman"/>
          <w:kern w:val="0"/>
          <w14:ligatures w14:val="none"/>
        </w:rPr>
        <w:t>behaviour</w:t>
      </w:r>
      <w:proofErr w:type="spellEnd"/>
      <w:r w:rsidRPr="00945CE1">
        <w:rPr>
          <w:rFonts w:ascii="Times New Roman" w:eastAsia="Times New Roman" w:hAnsi="Times New Roman" w:cs="Times New Roman"/>
          <w:kern w:val="0"/>
          <w14:ligatures w14:val="none"/>
        </w:rPr>
        <w:t xml:space="preserve"> and destination marketing strategies worldwide.</w:t>
      </w:r>
    </w:p>
    <w:p w14:paraId="00540877"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For Nigeria, a country endowed with over 2,000 distinct ethnic groups, UNESCO-listed World Heritage Sites such as the Osun-Osogbo Sacred Grove, ancient kingdoms like Benin, the natural grandeur of </w:t>
      </w:r>
      <w:proofErr w:type="spellStart"/>
      <w:r w:rsidRPr="00945CE1">
        <w:rPr>
          <w:rFonts w:ascii="Times New Roman" w:eastAsia="Times New Roman" w:hAnsi="Times New Roman" w:cs="Times New Roman"/>
          <w:kern w:val="0"/>
          <w14:ligatures w14:val="none"/>
        </w:rPr>
        <w:t>Yankari</w:t>
      </w:r>
      <w:proofErr w:type="spellEnd"/>
      <w:r w:rsidRPr="00945CE1">
        <w:rPr>
          <w:rFonts w:ascii="Times New Roman" w:eastAsia="Times New Roman" w:hAnsi="Times New Roman" w:cs="Times New Roman"/>
          <w:kern w:val="0"/>
          <w14:ligatures w14:val="none"/>
        </w:rPr>
        <w:t xml:space="preserve"> Game Reserve, and centuries of living oral and material culture, the arrival of virtual tourism presents both an </w:t>
      </w:r>
      <w:r w:rsidRPr="00945CE1">
        <w:rPr>
          <w:rFonts w:ascii="Times New Roman" w:eastAsia="Times New Roman" w:hAnsi="Times New Roman" w:cs="Times New Roman"/>
          <w:kern w:val="0"/>
          <w14:ligatures w14:val="none"/>
        </w:rPr>
        <w:lastRenderedPageBreak/>
        <w:t>extraordinary opportunity and a sobering challenge. The opportunity lies in using digital technologies to showcase a destination that remains significantly underrepresented in global tourism discourse. The challenge lies in doing so without allowing simulated experiences to hollow out the very authenticity that makes Nigerian tourism irreplaceable and emotionally compelling to prospective visitors.</w:t>
      </w:r>
    </w:p>
    <w:p w14:paraId="32D57FEB"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Authenticity in tourism, whether defined through MacCannell's (1973) staged authenticity, Wang's (1999) existential authenticity, or Bruner's (1994) constructivist lens, has long been </w:t>
      </w:r>
      <w:proofErr w:type="spellStart"/>
      <w:r w:rsidRPr="00945CE1">
        <w:rPr>
          <w:rFonts w:ascii="Times New Roman" w:eastAsia="Times New Roman" w:hAnsi="Times New Roman" w:cs="Times New Roman"/>
          <w:kern w:val="0"/>
          <w14:ligatures w14:val="none"/>
        </w:rPr>
        <w:t>recognised</w:t>
      </w:r>
      <w:proofErr w:type="spellEnd"/>
      <w:r w:rsidRPr="00945CE1">
        <w:rPr>
          <w:rFonts w:ascii="Times New Roman" w:eastAsia="Times New Roman" w:hAnsi="Times New Roman" w:cs="Times New Roman"/>
          <w:kern w:val="0"/>
          <w14:ligatures w14:val="none"/>
        </w:rPr>
        <w:t xml:space="preserve"> as the central currency of meaningful travel. Visitors do not merely seek visually appealing scenery; they seek genuine encounters with living cultures, histories, and communities that offer something no digital screen can fully replicate. The question that this paper confronts is therefore a vital one for Nigerian tourism policy and practice: Can virtual tourism serve as a bridge to authentic experience rather than a substitute for it?</w:t>
      </w:r>
    </w:p>
    <w:p w14:paraId="4399272D"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This paper makes three specific contributions to the literature. First, it </w:t>
      </w:r>
      <w:proofErr w:type="spellStart"/>
      <w:r w:rsidRPr="00945CE1">
        <w:rPr>
          <w:rFonts w:ascii="Times New Roman" w:eastAsia="Times New Roman" w:hAnsi="Times New Roman" w:cs="Times New Roman"/>
          <w:kern w:val="0"/>
          <w14:ligatures w14:val="none"/>
        </w:rPr>
        <w:t>theorises</w:t>
      </w:r>
      <w:proofErr w:type="spellEnd"/>
      <w:r w:rsidRPr="00945CE1">
        <w:rPr>
          <w:rFonts w:ascii="Times New Roman" w:eastAsia="Times New Roman" w:hAnsi="Times New Roman" w:cs="Times New Roman"/>
          <w:kern w:val="0"/>
          <w14:ligatures w14:val="none"/>
        </w:rPr>
        <w:t xml:space="preserve"> the relationship between virtual technologies and tourism authenticity within an emerging economy context. Second, it undertakes a comparative analysis of established global destinations that have successfully navigated this tension. Third, it proposes a strategic, Nigeria-specific framework for responsible virtual tourism integration that </w:t>
      </w:r>
      <w:proofErr w:type="spellStart"/>
      <w:r w:rsidRPr="00945CE1">
        <w:rPr>
          <w:rFonts w:ascii="Times New Roman" w:eastAsia="Times New Roman" w:hAnsi="Times New Roman" w:cs="Times New Roman"/>
          <w:kern w:val="0"/>
          <w14:ligatures w14:val="none"/>
        </w:rPr>
        <w:t>centres</w:t>
      </w:r>
      <w:proofErr w:type="spellEnd"/>
      <w:r w:rsidRPr="00945CE1">
        <w:rPr>
          <w:rFonts w:ascii="Times New Roman" w:eastAsia="Times New Roman" w:hAnsi="Times New Roman" w:cs="Times New Roman"/>
          <w:kern w:val="0"/>
          <w14:ligatures w14:val="none"/>
        </w:rPr>
        <w:t xml:space="preserve"> community agency and cultural integrity.</w:t>
      </w:r>
    </w:p>
    <w:p w14:paraId="15405778"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LITERATURE REVIEW</w:t>
      </w:r>
    </w:p>
    <w:p w14:paraId="60685861"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Tourism Authenticity: A Theoretical Foundation</w:t>
      </w:r>
    </w:p>
    <w:p w14:paraId="1E136D83"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concept of authenticity in tourism has been extensively </w:t>
      </w:r>
      <w:proofErr w:type="spellStart"/>
      <w:r w:rsidRPr="00945CE1">
        <w:rPr>
          <w:rFonts w:ascii="Times New Roman" w:eastAsia="Times New Roman" w:hAnsi="Times New Roman" w:cs="Times New Roman"/>
          <w:kern w:val="0"/>
          <w14:ligatures w14:val="none"/>
        </w:rPr>
        <w:t>theorised</w:t>
      </w:r>
      <w:proofErr w:type="spellEnd"/>
      <w:r w:rsidRPr="00945CE1">
        <w:rPr>
          <w:rFonts w:ascii="Times New Roman" w:eastAsia="Times New Roman" w:hAnsi="Times New Roman" w:cs="Times New Roman"/>
          <w:kern w:val="0"/>
          <w14:ligatures w14:val="none"/>
        </w:rPr>
        <w:t xml:space="preserve"> since </w:t>
      </w:r>
      <w:proofErr w:type="spellStart"/>
      <w:r w:rsidRPr="00945CE1">
        <w:rPr>
          <w:rFonts w:ascii="Times New Roman" w:eastAsia="Times New Roman" w:hAnsi="Times New Roman" w:cs="Times New Roman"/>
          <w:kern w:val="0"/>
          <w14:ligatures w14:val="none"/>
        </w:rPr>
        <w:t>MacCannell</w:t>
      </w:r>
      <w:proofErr w:type="spellEnd"/>
      <w:r w:rsidRPr="00945CE1">
        <w:rPr>
          <w:rFonts w:ascii="Times New Roman" w:eastAsia="Times New Roman" w:hAnsi="Times New Roman" w:cs="Times New Roman"/>
          <w:kern w:val="0"/>
          <w14:ligatures w14:val="none"/>
        </w:rPr>
        <w:t xml:space="preserve"> (1973) introduced the notion of staged authenticity, arguing that the modern tourist is perpetually in search of the real behind social constructs. This foundational insight established authenticity not as a fixed property of objects or places, but as a dynamic negotiation between tourists, destinations, and the social frameworks through which meaning is produced. The debate that followed has shaped much of tourism scholarship over the past five decades. Wang (1999) extended this framework by distinguishing between objective authenticity, referring to the genuine nature of toured objects; constructive authenticity, referring to socially constructed perceptions of genuineness; and existential authenticity, which describes the authentic feeling tourists experience within themselves during activities. For destinations grounded in living indigenous culture, as is the case in much of Nigeria, existential and constructive authenticity are particularly pertinent because the value lies not in static artefacts but in dynamic, community-embedded practices that cannot be divorced from their social context.</w:t>
      </w:r>
    </w:p>
    <w:p w14:paraId="6A5D001F"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Bruner (1994) contributed a further nuance by arguing that authenticity is always a judgement made in the present rather than a stable quality of the past. From this constructivist perspective, what matters is not whether a cultural experience corresponds to some original or pristine form, but whether it is experienced as genuine by both host communities and visiting tourists. This insight is especially significant for Nigeria, where many cultural practices </w:t>
      </w:r>
      <w:r w:rsidRPr="00945CE1">
        <w:rPr>
          <w:rFonts w:ascii="Times New Roman" w:eastAsia="Times New Roman" w:hAnsi="Times New Roman" w:cs="Times New Roman"/>
          <w:kern w:val="0"/>
          <w14:ligatures w14:val="none"/>
        </w:rPr>
        <w:lastRenderedPageBreak/>
        <w:t>are living traditions continuously adapted by their custodians, and where authenticity is therefore best understood as a community-governed quality rather than a museum-certified one.</w:t>
      </w:r>
    </w:p>
    <w:p w14:paraId="3886B4DF"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The Rise of Virtual Tourism</w:t>
      </w:r>
    </w:p>
    <w:p w14:paraId="22D5AACD"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Virtual tourism encompasses a spectrum of digital engagement modes, including 360-degree video experiences, VR-headset immersions, AR-enhanced overlays at physical sites, and fully computer-generated destination simulations (Guttentag, 2010). Scholars have noted its potential across several domains, including conservation by reducing physical pressure on fragile heritage sites, accessibility by enabling engagement by disabled or economically </w:t>
      </w:r>
      <w:proofErr w:type="spellStart"/>
      <w:r w:rsidRPr="00945CE1">
        <w:rPr>
          <w:rFonts w:ascii="Times New Roman" w:eastAsia="Times New Roman" w:hAnsi="Times New Roman" w:cs="Times New Roman"/>
          <w:kern w:val="0"/>
          <w14:ligatures w14:val="none"/>
        </w:rPr>
        <w:t>marginalised</w:t>
      </w:r>
      <w:proofErr w:type="spellEnd"/>
      <w:r w:rsidRPr="00945CE1">
        <w:rPr>
          <w:rFonts w:ascii="Times New Roman" w:eastAsia="Times New Roman" w:hAnsi="Times New Roman" w:cs="Times New Roman"/>
          <w:kern w:val="0"/>
          <w14:ligatures w14:val="none"/>
        </w:rPr>
        <w:t xml:space="preserve"> tourists, and destination marketing by offering immersive pre-visit previews (Kim &amp; Hall, 2019). These benefits are not trivial, particularly for destinations where physical infrastructure limitations have historically constrained tourist access. The COVID-19 pandemic </w:t>
      </w:r>
      <w:proofErr w:type="spellStart"/>
      <w:r w:rsidRPr="00945CE1">
        <w:rPr>
          <w:rFonts w:ascii="Times New Roman" w:eastAsia="Times New Roman" w:hAnsi="Times New Roman" w:cs="Times New Roman"/>
          <w:kern w:val="0"/>
          <w14:ligatures w14:val="none"/>
        </w:rPr>
        <w:t>catalysed</w:t>
      </w:r>
      <w:proofErr w:type="spellEnd"/>
      <w:r w:rsidRPr="00945CE1">
        <w:rPr>
          <w:rFonts w:ascii="Times New Roman" w:eastAsia="Times New Roman" w:hAnsi="Times New Roman" w:cs="Times New Roman"/>
          <w:kern w:val="0"/>
          <w14:ligatures w14:val="none"/>
        </w:rPr>
        <w:t xml:space="preserve"> unprecedented growth in virtual tourism, with platforms such as Google Arts and Culture, YouVisit, and Airbnb Online Experiences reaching millions of users globally (Zenker &amp; Kock, 2020). This growth has persisted beyond the pandemic, suggesting that virtual tourism is not a temporary substitute but a durable complement to physical travel.</w:t>
      </w:r>
    </w:p>
    <w:p w14:paraId="7A064180"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proofErr w:type="spellStart"/>
      <w:r w:rsidRPr="00945CE1">
        <w:rPr>
          <w:rFonts w:ascii="Times New Roman" w:eastAsia="Times New Roman" w:hAnsi="Times New Roman" w:cs="Times New Roman"/>
          <w:kern w:val="0"/>
          <w14:ligatures w14:val="none"/>
        </w:rPr>
        <w:t>Tussyadiah</w:t>
      </w:r>
      <w:proofErr w:type="spellEnd"/>
      <w:r w:rsidRPr="00945CE1">
        <w:rPr>
          <w:rFonts w:ascii="Times New Roman" w:eastAsia="Times New Roman" w:hAnsi="Times New Roman" w:cs="Times New Roman"/>
          <w:kern w:val="0"/>
          <w14:ligatures w14:val="none"/>
        </w:rPr>
        <w:t xml:space="preserve"> et al. (2018) demonstrated through empirical research that immersive VR experiences of destinations statistically increased rather than decreased the intention to visit physically, particularly when the virtual experience was designed to leave experiential gaps that could only be filled in person. This finding is highly relevant to Nigerian tourism strategy, as it suggests that well-designed virtual tourism content can function as a powerful conversion tool rather than a demand-suppressor. The key design implication is that virtual tourism content should gesture toward what it cannot deliver, cultivating desire for the full sensory and relational encounter that only physical presence can provide.</w:t>
      </w:r>
    </w:p>
    <w:p w14:paraId="29B1FD35"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Tensions with Authentic Cultural Experience</w:t>
      </w:r>
    </w:p>
    <w:p w14:paraId="2C4B9E24"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Despite these benefits, a growing body of scholarship flags significant tensions between virtual tourism and the preservation of authentic cultural experience. Urry's (1990) concept of the tourist gaze, referring to the selective and mediated way tourists are directed to see places, is arguably intensified in virtual tourism, where the curatorial power to frame a </w:t>
      </w:r>
      <w:proofErr w:type="gramStart"/>
      <w:r w:rsidRPr="00945CE1">
        <w:rPr>
          <w:rFonts w:ascii="Times New Roman" w:eastAsia="Times New Roman" w:hAnsi="Times New Roman" w:cs="Times New Roman"/>
          <w:kern w:val="0"/>
          <w14:ligatures w14:val="none"/>
        </w:rPr>
        <w:t>destination rests</w:t>
      </w:r>
      <w:proofErr w:type="gramEnd"/>
      <w:r w:rsidRPr="00945CE1">
        <w:rPr>
          <w:rFonts w:ascii="Times New Roman" w:eastAsia="Times New Roman" w:hAnsi="Times New Roman" w:cs="Times New Roman"/>
          <w:kern w:val="0"/>
          <w14:ligatures w14:val="none"/>
        </w:rPr>
        <w:t xml:space="preserve"> entirely with technology designers who are often disconnected from local communities. When that curatorial power is exercised without community input, the risk of cultural misrepresentation increases substantially. Cheng and Wang (2020) found that while virtual experiences could generate interest and emotional connection, they consistently fell short of reproducing the multisensory, relational, and transformative dimensions of in-person cultural encounters. This shortfall is not merely a technological limitation; it reflects the irreducibly social nature of authentic cultural experience, which requires the co-presence of community members who embody and transmit cultural meaning.</w:t>
      </w:r>
    </w:p>
    <w:p w14:paraId="6BFE9448"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Guttentag (2010) warned that if virtual tourism becomes a satisfactory substitute rather than a supplement, destination economies and local communities could face reduced visitation and, consequently, diminished cultural support. This risk is particularly acute for communities whose economic survival is intertwined with tourism, and for cultural practices whose continuity depends on the financial and social investment that physical visitors bring. Ashworth and Tunbridge (2000) further cautioned that the commodification of heritage, whether digital or physical, carries the constant risk of flattening cultural complexity into marketable spectacle, eroding the contextual richness that gives heritage its meaning and value.</w:t>
      </w:r>
    </w:p>
    <w:p w14:paraId="21CAB4A9"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Gaps in Existing Research</w:t>
      </w:r>
    </w:p>
    <w:p w14:paraId="78817F2C"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The overwhelming majority of existing scholarship on virtual tourism focuses on developed-world destinations, including European cultural capitals, North American national parks, and East Asian urban tourism hubs. The literature on how emerging economy destinations, particularly in Sub-Saharan Africa, should approach virtual tourism integration remains sparse, fragmented, and often theoretically underdeveloped. This gap is not merely an academic inconvenience; it means that policymakers and tourism managers in these contexts lack evidence-based guidance tailored to their distinctive cultural, economic, and infrastructural realities. Nigeria, despite its extraordinary tourism capital, is nearly absent from this global scholarly conversation. This paper positions itself at this critical gap, bringing Nigerian cultural heritage into dialogue with international virtual tourism scholarship for the first time in a structured and theoretically grounded way.</w:t>
      </w:r>
    </w:p>
    <w:p w14:paraId="53433168"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METHODOLOGY</w:t>
      </w:r>
    </w:p>
    <w:p w14:paraId="53CB50C6"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This study adopts a qualitative, interpretive research design structured around three complementary methodological approaches. First, a systematic literature review was conducted using academic databases including Scopus, Google Scholar, and JSTOR, with search terms encompassing virtual tourism, authenticity, cultural heritage </w:t>
      </w:r>
      <w:proofErr w:type="spellStart"/>
      <w:r w:rsidRPr="00945CE1">
        <w:rPr>
          <w:rFonts w:ascii="Times New Roman" w:eastAsia="Times New Roman" w:hAnsi="Times New Roman" w:cs="Times New Roman"/>
          <w:kern w:val="0"/>
          <w14:ligatures w14:val="none"/>
        </w:rPr>
        <w:t>digitisation</w:t>
      </w:r>
      <w:proofErr w:type="spellEnd"/>
      <w:r w:rsidRPr="00945CE1">
        <w:rPr>
          <w:rFonts w:ascii="Times New Roman" w:eastAsia="Times New Roman" w:hAnsi="Times New Roman" w:cs="Times New Roman"/>
          <w:kern w:val="0"/>
          <w14:ligatures w14:val="none"/>
        </w:rPr>
        <w:t xml:space="preserve">, Nigeria tourism, VR and AR destinations, and emerging economy tourism. The review </w:t>
      </w:r>
      <w:proofErr w:type="spellStart"/>
      <w:r w:rsidRPr="00945CE1">
        <w:rPr>
          <w:rFonts w:ascii="Times New Roman" w:eastAsia="Times New Roman" w:hAnsi="Times New Roman" w:cs="Times New Roman"/>
          <w:kern w:val="0"/>
          <w14:ligatures w14:val="none"/>
        </w:rPr>
        <w:t>prioritised</w:t>
      </w:r>
      <w:proofErr w:type="spellEnd"/>
      <w:r w:rsidRPr="00945CE1">
        <w:rPr>
          <w:rFonts w:ascii="Times New Roman" w:eastAsia="Times New Roman" w:hAnsi="Times New Roman" w:cs="Times New Roman"/>
          <w:kern w:val="0"/>
          <w14:ligatures w14:val="none"/>
        </w:rPr>
        <w:t xml:space="preserve"> peer-reviewed journal articles and book-length scholarly treatments published between 1990 and 2024, with particular attention to foundational theoretical texts and more recent empirical studies. Second, a comparative case analysis was undertaken, examining how four established global heritage destinations, namely Machu Picchu in Peru, Angkor Wat in Cambodia, the Great Wall of China, and the Louvre Museum in France, have implemented virtual tourism strategies while managing authenticity concerns. These cases were selected based on three criteria: cultural heritage significance, documented virtual tourism integration, and evidence of community engagement in digital strategy.</w:t>
      </w:r>
    </w:p>
    <w:p w14:paraId="39E6AEA5"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Third, theoretical synthesis was applied, drawing on tourism authenticity frameworks (Bruner, 1994; </w:t>
      </w:r>
      <w:proofErr w:type="spellStart"/>
      <w:r w:rsidRPr="00945CE1">
        <w:rPr>
          <w:rFonts w:ascii="Times New Roman" w:eastAsia="Times New Roman" w:hAnsi="Times New Roman" w:cs="Times New Roman"/>
          <w:kern w:val="0"/>
          <w14:ligatures w14:val="none"/>
        </w:rPr>
        <w:t>MacCannell</w:t>
      </w:r>
      <w:proofErr w:type="spellEnd"/>
      <w:r w:rsidRPr="00945CE1">
        <w:rPr>
          <w:rFonts w:ascii="Times New Roman" w:eastAsia="Times New Roman" w:hAnsi="Times New Roman" w:cs="Times New Roman"/>
          <w:kern w:val="0"/>
          <w14:ligatures w14:val="none"/>
        </w:rPr>
        <w:t xml:space="preserve">, 1973; Wang, 1999), digital tourism literature (Guttentag, 2010; Kim &amp; Hall, 2019; </w:t>
      </w:r>
      <w:proofErr w:type="spellStart"/>
      <w:r w:rsidRPr="00945CE1">
        <w:rPr>
          <w:rFonts w:ascii="Times New Roman" w:eastAsia="Times New Roman" w:hAnsi="Times New Roman" w:cs="Times New Roman"/>
          <w:kern w:val="0"/>
          <w14:ligatures w14:val="none"/>
        </w:rPr>
        <w:t>Tussyadiah</w:t>
      </w:r>
      <w:proofErr w:type="spellEnd"/>
      <w:r w:rsidRPr="00945CE1">
        <w:rPr>
          <w:rFonts w:ascii="Times New Roman" w:eastAsia="Times New Roman" w:hAnsi="Times New Roman" w:cs="Times New Roman"/>
          <w:kern w:val="0"/>
          <w14:ligatures w14:val="none"/>
        </w:rPr>
        <w:t xml:space="preserve"> et al., 2018), and post-colonial cultural preservation discourse (Ashworth &amp; Tunbridge, 2000) to </w:t>
      </w:r>
      <w:proofErr w:type="spellStart"/>
      <w:r w:rsidRPr="00945CE1">
        <w:rPr>
          <w:rFonts w:ascii="Times New Roman" w:eastAsia="Times New Roman" w:hAnsi="Times New Roman" w:cs="Times New Roman"/>
          <w:kern w:val="0"/>
          <w14:ligatures w14:val="none"/>
        </w:rPr>
        <w:t>contextualise</w:t>
      </w:r>
      <w:proofErr w:type="spellEnd"/>
      <w:r w:rsidRPr="00945CE1">
        <w:rPr>
          <w:rFonts w:ascii="Times New Roman" w:eastAsia="Times New Roman" w:hAnsi="Times New Roman" w:cs="Times New Roman"/>
          <w:kern w:val="0"/>
          <w14:ligatures w14:val="none"/>
        </w:rPr>
        <w:t xml:space="preserve"> </w:t>
      </w:r>
      <w:r w:rsidRPr="00945CE1">
        <w:rPr>
          <w:rFonts w:ascii="Times New Roman" w:eastAsia="Times New Roman" w:hAnsi="Times New Roman" w:cs="Times New Roman"/>
          <w:kern w:val="0"/>
          <w14:ligatures w14:val="none"/>
        </w:rPr>
        <w:lastRenderedPageBreak/>
        <w:t xml:space="preserve">findings for the Nigerian setting. Data triangulation across these three strands provides the basis for the strategic recommendations offered in this paper. The study acknowledges the interpretive limitations of a desk-based design and recommends future primary data collection through community ethnographies and stakeholder interviews within Nigerian tourism corridors, as well as quantitative demand-side studies examining tourist </w:t>
      </w:r>
      <w:proofErr w:type="spellStart"/>
      <w:r w:rsidRPr="00945CE1">
        <w:rPr>
          <w:rFonts w:ascii="Times New Roman" w:eastAsia="Times New Roman" w:hAnsi="Times New Roman" w:cs="Times New Roman"/>
          <w:kern w:val="0"/>
          <w14:ligatures w14:val="none"/>
        </w:rPr>
        <w:t>behaviour</w:t>
      </w:r>
      <w:proofErr w:type="spellEnd"/>
      <w:r w:rsidRPr="00945CE1">
        <w:rPr>
          <w:rFonts w:ascii="Times New Roman" w:eastAsia="Times New Roman" w:hAnsi="Times New Roman" w:cs="Times New Roman"/>
          <w:kern w:val="0"/>
          <w14:ligatures w14:val="none"/>
        </w:rPr>
        <w:t xml:space="preserve"> in response to Nigerian virtual tourism content.</w:t>
      </w:r>
    </w:p>
    <w:p w14:paraId="22BEE940"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RESULTS</w:t>
      </w:r>
    </w:p>
    <w:p w14:paraId="110713C5"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Global Comparator Cases</w:t>
      </w:r>
    </w:p>
    <w:p w14:paraId="578E2609"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comparative analysis of the four selected heritage destinations reveals a consistent and instructive pattern in how successful virtual tourism integration is managed. Table 1 </w:t>
      </w:r>
      <w:proofErr w:type="spellStart"/>
      <w:r w:rsidRPr="00945CE1">
        <w:rPr>
          <w:rFonts w:ascii="Times New Roman" w:eastAsia="Times New Roman" w:hAnsi="Times New Roman" w:cs="Times New Roman"/>
          <w:kern w:val="0"/>
          <w14:ligatures w14:val="none"/>
        </w:rPr>
        <w:t>summarises</w:t>
      </w:r>
      <w:proofErr w:type="spellEnd"/>
      <w:r w:rsidRPr="00945CE1">
        <w:rPr>
          <w:rFonts w:ascii="Times New Roman" w:eastAsia="Times New Roman" w:hAnsi="Times New Roman" w:cs="Times New Roman"/>
          <w:kern w:val="0"/>
          <w14:ligatures w14:val="none"/>
        </w:rPr>
        <w:t xml:space="preserve"> the virtual tourism strategies and authenticity safeguards employed at each destination.</w:t>
      </w:r>
    </w:p>
    <w:p w14:paraId="1749EBC4"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Table 1: Comparative Analysis of Virtual Tourism Integration in Global Heritage Destinations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3897"/>
        <w:gridCol w:w="4447"/>
      </w:tblGrid>
      <w:tr w:rsidR="00E30D1B" w:rsidRPr="00945CE1" w14:paraId="12F025D4" w14:textId="77777777" w:rsidTr="00483C28">
        <w:tc>
          <w:tcPr>
            <w:tcW w:w="1104" w:type="pct"/>
            <w:tcBorders>
              <w:top w:val="single" w:sz="0" w:space="0" w:color="AAAAAA"/>
              <w:left w:val="single" w:sz="0" w:space="0" w:color="AAAAAA"/>
              <w:bottom w:val="single" w:sz="0" w:space="0" w:color="AAAAAA"/>
              <w:right w:val="single" w:sz="0" w:space="0" w:color="AAAAAA"/>
            </w:tcBorders>
            <w:shd w:val="clear" w:color="auto" w:fill="D9E1F2"/>
            <w:tcMar>
              <w:top w:w="80" w:type="dxa"/>
              <w:left w:w="120" w:type="dxa"/>
              <w:bottom w:w="80" w:type="dxa"/>
              <w:right w:w="120" w:type="dxa"/>
            </w:tcMar>
          </w:tcPr>
          <w:p w14:paraId="09E6840A" w14:textId="77777777" w:rsidR="00E30D1B" w:rsidRPr="00945CE1" w:rsidRDefault="00E30D1B" w:rsidP="00483C28">
            <w:pPr>
              <w:spacing w:afterLines="30" w:after="72"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Destination</w:t>
            </w:r>
          </w:p>
        </w:tc>
        <w:tc>
          <w:tcPr>
            <w:tcW w:w="1819" w:type="pct"/>
            <w:tcBorders>
              <w:top w:val="single" w:sz="0" w:space="0" w:color="AAAAAA"/>
              <w:left w:val="single" w:sz="0" w:space="0" w:color="AAAAAA"/>
              <w:bottom w:val="single" w:sz="0" w:space="0" w:color="AAAAAA"/>
              <w:right w:val="single" w:sz="0" w:space="0" w:color="AAAAAA"/>
            </w:tcBorders>
            <w:shd w:val="clear" w:color="auto" w:fill="D9E1F2"/>
            <w:tcMar>
              <w:top w:w="80" w:type="dxa"/>
              <w:left w:w="120" w:type="dxa"/>
              <w:bottom w:w="80" w:type="dxa"/>
              <w:right w:w="120" w:type="dxa"/>
            </w:tcMar>
          </w:tcPr>
          <w:p w14:paraId="6B643232" w14:textId="77777777" w:rsidR="00E30D1B" w:rsidRPr="00945CE1" w:rsidRDefault="00E30D1B" w:rsidP="00483C28">
            <w:pPr>
              <w:spacing w:afterLines="30" w:after="72"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VT Strategy</w:t>
            </w:r>
          </w:p>
        </w:tc>
        <w:tc>
          <w:tcPr>
            <w:tcW w:w="2076" w:type="pct"/>
            <w:tcBorders>
              <w:top w:val="single" w:sz="0" w:space="0" w:color="AAAAAA"/>
              <w:left w:val="single" w:sz="0" w:space="0" w:color="AAAAAA"/>
              <w:bottom w:val="single" w:sz="0" w:space="0" w:color="AAAAAA"/>
              <w:right w:val="single" w:sz="0" w:space="0" w:color="AAAAAA"/>
            </w:tcBorders>
            <w:shd w:val="clear" w:color="auto" w:fill="D9E1F2"/>
            <w:tcMar>
              <w:top w:w="80" w:type="dxa"/>
              <w:left w:w="120" w:type="dxa"/>
              <w:bottom w:w="80" w:type="dxa"/>
              <w:right w:w="120" w:type="dxa"/>
            </w:tcMar>
          </w:tcPr>
          <w:p w14:paraId="7DE69BB3" w14:textId="77777777" w:rsidR="00E30D1B" w:rsidRPr="00945CE1" w:rsidRDefault="00E30D1B" w:rsidP="00483C28">
            <w:pPr>
              <w:spacing w:afterLines="30" w:after="72"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Authenticity Safeguard</w:t>
            </w:r>
          </w:p>
        </w:tc>
      </w:tr>
      <w:tr w:rsidR="00E30D1B" w:rsidRPr="00945CE1" w14:paraId="627AAFC7" w14:textId="77777777" w:rsidTr="00483C28">
        <w:tc>
          <w:tcPr>
            <w:tcW w:w="1104"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1E7FCFA"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Machu Picchu, Peru</w:t>
            </w:r>
          </w:p>
        </w:tc>
        <w:tc>
          <w:tcPr>
            <w:tcW w:w="1819"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BE0B6D2"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360-degree virtual site tours to manage overcrowding</w:t>
            </w:r>
          </w:p>
        </w:tc>
        <w:tc>
          <w:tcPr>
            <w:tcW w:w="2076" w:type="pct"/>
            <w:tcBorders>
              <w:top w:val="single" w:sz="0" w:space="0" w:color="AAAAAA"/>
              <w:left w:val="single" w:sz="0" w:space="0" w:color="AAAAAA"/>
              <w:bottom w:val="single" w:sz="0" w:space="0" w:color="AAAAAA"/>
              <w:right w:val="single" w:sz="0" w:space="0" w:color="AAAAAA"/>
            </w:tcBorders>
            <w:shd w:val="clear" w:color="auto" w:fill="F5F5F5"/>
            <w:tcMar>
              <w:top w:w="80" w:type="dxa"/>
              <w:left w:w="120" w:type="dxa"/>
              <w:bottom w:w="80" w:type="dxa"/>
              <w:right w:w="120" w:type="dxa"/>
            </w:tcMar>
          </w:tcPr>
          <w:p w14:paraId="56D27260"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Physical visits remain required for cultural ceremonies</w:t>
            </w:r>
          </w:p>
        </w:tc>
      </w:tr>
      <w:tr w:rsidR="00E30D1B" w:rsidRPr="00945CE1" w14:paraId="5BEFD6BF" w14:textId="77777777" w:rsidTr="00483C28">
        <w:tc>
          <w:tcPr>
            <w:tcW w:w="1104" w:type="pct"/>
            <w:tcBorders>
              <w:top w:val="single" w:sz="0" w:space="0" w:color="AAAAAA"/>
              <w:left w:val="single" w:sz="0" w:space="0" w:color="AAAAAA"/>
              <w:bottom w:val="single" w:sz="0" w:space="0" w:color="AAAAAA"/>
              <w:right w:val="single" w:sz="0" w:space="0" w:color="AAAAAA"/>
            </w:tcBorders>
            <w:shd w:val="clear" w:color="auto" w:fill="F5F5F5"/>
            <w:tcMar>
              <w:top w:w="80" w:type="dxa"/>
              <w:left w:w="120" w:type="dxa"/>
              <w:bottom w:w="80" w:type="dxa"/>
              <w:right w:w="120" w:type="dxa"/>
            </w:tcMar>
          </w:tcPr>
          <w:p w14:paraId="17B65C82"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Angkor Wat, Cambodia</w:t>
            </w:r>
          </w:p>
        </w:tc>
        <w:tc>
          <w:tcPr>
            <w:tcW w:w="1819" w:type="pct"/>
            <w:tcBorders>
              <w:top w:val="single" w:sz="0" w:space="0" w:color="AAAAAA"/>
              <w:left w:val="single" w:sz="0" w:space="0" w:color="AAAAAA"/>
              <w:bottom w:val="single" w:sz="0" w:space="0" w:color="AAAAAA"/>
              <w:right w:val="single" w:sz="0" w:space="0" w:color="AAAAAA"/>
            </w:tcBorders>
            <w:shd w:val="clear" w:color="auto" w:fill="F5F5F5"/>
            <w:tcMar>
              <w:top w:w="80" w:type="dxa"/>
              <w:left w:w="120" w:type="dxa"/>
              <w:bottom w:w="80" w:type="dxa"/>
              <w:right w:w="120" w:type="dxa"/>
            </w:tcMar>
          </w:tcPr>
          <w:p w14:paraId="4A079A54"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AR overlays for historical context at temple circuits</w:t>
            </w:r>
          </w:p>
        </w:tc>
        <w:tc>
          <w:tcPr>
            <w:tcW w:w="2076"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0B85DB6"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Local guides remain mandatory for all temple visits</w:t>
            </w:r>
          </w:p>
        </w:tc>
      </w:tr>
      <w:tr w:rsidR="00E30D1B" w:rsidRPr="00945CE1" w14:paraId="7C5FA30C" w14:textId="77777777" w:rsidTr="00483C28">
        <w:tc>
          <w:tcPr>
            <w:tcW w:w="1104"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B0E501B"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Great Wall of China</w:t>
            </w:r>
          </w:p>
        </w:tc>
        <w:tc>
          <w:tcPr>
            <w:tcW w:w="1819"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F23D2CF"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VR previews targeting accessibility for elderly and disabled tourists</w:t>
            </w:r>
          </w:p>
        </w:tc>
        <w:tc>
          <w:tcPr>
            <w:tcW w:w="2076" w:type="pct"/>
            <w:tcBorders>
              <w:top w:val="single" w:sz="0" w:space="0" w:color="AAAAAA"/>
              <w:left w:val="single" w:sz="0" w:space="0" w:color="AAAAAA"/>
              <w:bottom w:val="single" w:sz="0" w:space="0" w:color="AAAAAA"/>
              <w:right w:val="single" w:sz="0" w:space="0" w:color="AAAAAA"/>
            </w:tcBorders>
            <w:shd w:val="clear" w:color="auto" w:fill="F5F5F5"/>
            <w:tcMar>
              <w:top w:w="80" w:type="dxa"/>
              <w:left w:w="120" w:type="dxa"/>
              <w:bottom w:w="80" w:type="dxa"/>
              <w:right w:w="120" w:type="dxa"/>
            </w:tcMar>
          </w:tcPr>
          <w:p w14:paraId="6C5B0F1C"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On-site cultural performances untouched by digital offerings</w:t>
            </w:r>
          </w:p>
        </w:tc>
      </w:tr>
      <w:tr w:rsidR="00E30D1B" w:rsidRPr="00945CE1" w14:paraId="22C32766" w14:textId="77777777" w:rsidTr="00483C28">
        <w:tc>
          <w:tcPr>
            <w:tcW w:w="1104" w:type="pct"/>
            <w:tcBorders>
              <w:top w:val="single" w:sz="0" w:space="0" w:color="AAAAAA"/>
              <w:left w:val="single" w:sz="0" w:space="0" w:color="AAAAAA"/>
              <w:bottom w:val="single" w:sz="0" w:space="0" w:color="AAAAAA"/>
              <w:right w:val="single" w:sz="0" w:space="0" w:color="AAAAAA"/>
            </w:tcBorders>
            <w:shd w:val="clear" w:color="auto" w:fill="F5F5F5"/>
            <w:tcMar>
              <w:top w:w="80" w:type="dxa"/>
              <w:left w:w="120" w:type="dxa"/>
              <w:bottom w:w="80" w:type="dxa"/>
              <w:right w:w="120" w:type="dxa"/>
            </w:tcMar>
          </w:tcPr>
          <w:p w14:paraId="7BFF098D"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Louvre Museum, France</w:t>
            </w:r>
          </w:p>
        </w:tc>
        <w:tc>
          <w:tcPr>
            <w:tcW w:w="1819" w:type="pct"/>
            <w:tcBorders>
              <w:top w:val="single" w:sz="0" w:space="0" w:color="AAAAAA"/>
              <w:left w:val="single" w:sz="0" w:space="0" w:color="AAAAAA"/>
              <w:bottom w:val="single" w:sz="0" w:space="0" w:color="AAAAAA"/>
              <w:right w:val="single" w:sz="0" w:space="0" w:color="AAAAAA"/>
            </w:tcBorders>
            <w:shd w:val="clear" w:color="auto" w:fill="F5F5F5"/>
            <w:tcMar>
              <w:top w:w="80" w:type="dxa"/>
              <w:left w:w="120" w:type="dxa"/>
              <w:bottom w:w="80" w:type="dxa"/>
              <w:right w:w="120" w:type="dxa"/>
            </w:tcMar>
          </w:tcPr>
          <w:p w14:paraId="021E72B8"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Full online collection with educational modules</w:t>
            </w:r>
          </w:p>
        </w:tc>
        <w:tc>
          <w:tcPr>
            <w:tcW w:w="2076"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523A022"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In-person exhibitions retain priority ticketing and guided access</w:t>
            </w:r>
          </w:p>
        </w:tc>
      </w:tr>
      <w:tr w:rsidR="00E30D1B" w:rsidRPr="00945CE1" w14:paraId="3CDA2361" w14:textId="77777777" w:rsidTr="00483C28">
        <w:tc>
          <w:tcPr>
            <w:tcW w:w="1104"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3CB45E1"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Proposed: Osun-Osogbo, Nigeria</w:t>
            </w:r>
          </w:p>
        </w:tc>
        <w:tc>
          <w:tcPr>
            <w:tcW w:w="1819" w:type="pct"/>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84489B4"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VR immersion of the Sacred Grove and annual festival</w:t>
            </w:r>
          </w:p>
        </w:tc>
        <w:tc>
          <w:tcPr>
            <w:tcW w:w="2076" w:type="pct"/>
            <w:tcBorders>
              <w:top w:val="single" w:sz="0" w:space="0" w:color="AAAAAA"/>
              <w:left w:val="single" w:sz="0" w:space="0" w:color="AAAAAA"/>
              <w:bottom w:val="single" w:sz="0" w:space="0" w:color="AAAAAA"/>
              <w:right w:val="single" w:sz="0" w:space="0" w:color="AAAAAA"/>
            </w:tcBorders>
            <w:shd w:val="clear" w:color="auto" w:fill="F5F5F5"/>
            <w:tcMar>
              <w:top w:w="80" w:type="dxa"/>
              <w:left w:w="120" w:type="dxa"/>
              <w:bottom w:w="80" w:type="dxa"/>
              <w:right w:w="120" w:type="dxa"/>
            </w:tcMar>
          </w:tcPr>
          <w:p w14:paraId="18638460" w14:textId="77777777" w:rsidR="00E30D1B" w:rsidRPr="00945CE1" w:rsidRDefault="00E30D1B" w:rsidP="00483C28">
            <w:pPr>
              <w:spacing w:afterLines="30" w:after="72" w:line="240" w:lineRule="auto"/>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Ritual protocols, priestess-guided tours, and seasonal access restrictions preserved</w:t>
            </w:r>
          </w:p>
        </w:tc>
      </w:tr>
    </w:tbl>
    <w:p w14:paraId="178C052D"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p>
    <w:p w14:paraId="71AF4704"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Across all four established cases, virtual tourism is deployed as a pre-visit engagement tool or an accessibility-widening mechanism rather than as a replacement for the physical experience. The Louvre's </w:t>
      </w:r>
      <w:proofErr w:type="spellStart"/>
      <w:r w:rsidRPr="00945CE1">
        <w:rPr>
          <w:rFonts w:ascii="Times New Roman" w:eastAsia="Times New Roman" w:hAnsi="Times New Roman" w:cs="Times New Roman"/>
          <w:kern w:val="0"/>
          <w14:ligatures w14:val="none"/>
        </w:rPr>
        <w:t>digitisation</w:t>
      </w:r>
      <w:proofErr w:type="spellEnd"/>
      <w:r w:rsidRPr="00945CE1">
        <w:rPr>
          <w:rFonts w:ascii="Times New Roman" w:eastAsia="Times New Roman" w:hAnsi="Times New Roman" w:cs="Times New Roman"/>
          <w:kern w:val="0"/>
          <w14:ligatures w14:val="none"/>
        </w:rPr>
        <w:t xml:space="preserve"> of its collection, for instance, has increased rather than reduced global interest in visiting the physical museum, demonstrating that digital access and in-person visitation are not zero-sum propositions. Critically, all four destinations have maintained, and in some cases strengthened, community and cultural authority over how the destination is represented digitally. At Angkor Wat, the mandatory use of local guides ensures that digital overlays are interpreted through culturally competent human mediation, preserving the relational dimension of the visit even as technology augments it.</w:t>
      </w:r>
    </w:p>
    <w:p w14:paraId="6C446314"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The proposed framework for Osun-Osogbo in Nigeria is included in Table 1 to illustrate how these principles might be adapted to a Nigerian context. The Sacred Grove's spiritual character, governed by a community of active religious practitioners, makes it an ideal test case for community-controlled virtual tourism, where VR access is offered to global audiences without compromising the seasonal, ritual, and access protocols that define the site's sacred meaning.</w:t>
      </w:r>
    </w:p>
    <w:p w14:paraId="1699F592"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p>
    <w:p w14:paraId="2B6EACE5"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Nigeria's Current Virtual Tourism Landscape</w:t>
      </w:r>
    </w:p>
    <w:p w14:paraId="4FEB9246"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Nigeria's engagement with virtual tourism remains nascent and largely unsystematic. The Nigerian Tourism Development Corporation (NTDC, 2022) has taken preliminary steps toward digital destination marketing, and several private platforms have produced 360-degree video content around major festivals such as the Osun-Osogbo Festival, the Calabar Carnival, and the </w:t>
      </w:r>
      <w:proofErr w:type="spellStart"/>
      <w:r w:rsidRPr="00945CE1">
        <w:rPr>
          <w:rFonts w:ascii="Times New Roman" w:eastAsia="Times New Roman" w:hAnsi="Times New Roman" w:cs="Times New Roman"/>
          <w:kern w:val="0"/>
          <w14:ligatures w14:val="none"/>
        </w:rPr>
        <w:t>Argungu</w:t>
      </w:r>
      <w:proofErr w:type="spellEnd"/>
      <w:r w:rsidRPr="00945CE1">
        <w:rPr>
          <w:rFonts w:ascii="Times New Roman" w:eastAsia="Times New Roman" w:hAnsi="Times New Roman" w:cs="Times New Roman"/>
          <w:kern w:val="0"/>
          <w14:ligatures w14:val="none"/>
        </w:rPr>
        <w:t xml:space="preserve"> Fishing Festival. These efforts, however, have been produced without </w:t>
      </w:r>
      <w:proofErr w:type="spellStart"/>
      <w:r w:rsidRPr="00945CE1">
        <w:rPr>
          <w:rFonts w:ascii="Times New Roman" w:eastAsia="Times New Roman" w:hAnsi="Times New Roman" w:cs="Times New Roman"/>
          <w:kern w:val="0"/>
          <w14:ligatures w14:val="none"/>
        </w:rPr>
        <w:t>formalised</w:t>
      </w:r>
      <w:proofErr w:type="spellEnd"/>
      <w:r w:rsidRPr="00945CE1">
        <w:rPr>
          <w:rFonts w:ascii="Times New Roman" w:eastAsia="Times New Roman" w:hAnsi="Times New Roman" w:cs="Times New Roman"/>
          <w:kern w:val="0"/>
          <w14:ligatures w14:val="none"/>
        </w:rPr>
        <w:t xml:space="preserve"> community consent protocols, lack immersive technological depth, and remain disconnected from broader tourism policy infrastructure. They represent a starting point rather than a strategy, and their current form exposes Nigeria to the authenticity risks identified in the literature without yet delivering the promotional benefits that a well-designed virtual tourism </w:t>
      </w:r>
      <w:proofErr w:type="spellStart"/>
      <w:r w:rsidRPr="00945CE1">
        <w:rPr>
          <w:rFonts w:ascii="Times New Roman" w:eastAsia="Times New Roman" w:hAnsi="Times New Roman" w:cs="Times New Roman"/>
          <w:kern w:val="0"/>
          <w14:ligatures w14:val="none"/>
        </w:rPr>
        <w:t>programme</w:t>
      </w:r>
      <w:proofErr w:type="spellEnd"/>
      <w:r w:rsidRPr="00945CE1">
        <w:rPr>
          <w:rFonts w:ascii="Times New Roman" w:eastAsia="Times New Roman" w:hAnsi="Times New Roman" w:cs="Times New Roman"/>
          <w:kern w:val="0"/>
          <w14:ligatures w14:val="none"/>
        </w:rPr>
        <w:t xml:space="preserve"> could provide.</w:t>
      </w:r>
    </w:p>
    <w:p w14:paraId="1B577367"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A significant finding of this review is the digital asymmetry between the richness of Nigeria's tourism assets and the poverty of its digital representation. Sites of immense cultural significance, including the Nok terracotta archaeological sites in Kaduna State, the </w:t>
      </w:r>
      <w:proofErr w:type="spellStart"/>
      <w:r w:rsidRPr="00945CE1">
        <w:rPr>
          <w:rFonts w:ascii="Times New Roman" w:eastAsia="Times New Roman" w:hAnsi="Times New Roman" w:cs="Times New Roman"/>
          <w:kern w:val="0"/>
          <w14:ligatures w14:val="none"/>
        </w:rPr>
        <w:t>Ogbunike</w:t>
      </w:r>
      <w:proofErr w:type="spellEnd"/>
      <w:r w:rsidRPr="00945CE1">
        <w:rPr>
          <w:rFonts w:ascii="Times New Roman" w:eastAsia="Times New Roman" w:hAnsi="Times New Roman" w:cs="Times New Roman"/>
          <w:kern w:val="0"/>
          <w14:ligatures w14:val="none"/>
        </w:rPr>
        <w:t xml:space="preserve"> Caves in Anambra State, and the ancient city of Kano, have minimal or no virtual tourism presence. This absence represents both a loss of promotional opportunity and, paradoxically, a temporary safeguard against unsanctioned digital commodification. The window of opportunity to establish community-governed frameworks before commercial interests drive unsystematic </w:t>
      </w:r>
      <w:proofErr w:type="spellStart"/>
      <w:r w:rsidRPr="00945CE1">
        <w:rPr>
          <w:rFonts w:ascii="Times New Roman" w:eastAsia="Times New Roman" w:hAnsi="Times New Roman" w:cs="Times New Roman"/>
          <w:kern w:val="0"/>
          <w14:ligatures w14:val="none"/>
        </w:rPr>
        <w:t>digitisation</w:t>
      </w:r>
      <w:proofErr w:type="spellEnd"/>
      <w:r w:rsidRPr="00945CE1">
        <w:rPr>
          <w:rFonts w:ascii="Times New Roman" w:eastAsia="Times New Roman" w:hAnsi="Times New Roman" w:cs="Times New Roman"/>
          <w:kern w:val="0"/>
          <w14:ligatures w14:val="none"/>
        </w:rPr>
        <w:t xml:space="preserve"> is narrow and should be treated as a policy priority by the NTDC and relevant cultural authorities.</w:t>
      </w:r>
    </w:p>
    <w:p w14:paraId="7A4AF696"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Authenticity Risk Factors in a Nigerian Context</w:t>
      </w:r>
    </w:p>
    <w:p w14:paraId="28E2DB05"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study identifies five primary authenticity risk factors specific to the Nigerian context that must be addressed by any virtual tourism framework. The first is community exclusion, whereby digital content is produced by external actors without indigenous input, resulting in distorted or </w:t>
      </w:r>
      <w:proofErr w:type="spellStart"/>
      <w:r w:rsidRPr="00945CE1">
        <w:rPr>
          <w:rFonts w:ascii="Times New Roman" w:eastAsia="Times New Roman" w:hAnsi="Times New Roman" w:cs="Times New Roman"/>
          <w:kern w:val="0"/>
          <w14:ligatures w14:val="none"/>
        </w:rPr>
        <w:t>decontextualised</w:t>
      </w:r>
      <w:proofErr w:type="spellEnd"/>
      <w:r w:rsidRPr="00945CE1">
        <w:rPr>
          <w:rFonts w:ascii="Times New Roman" w:eastAsia="Times New Roman" w:hAnsi="Times New Roman" w:cs="Times New Roman"/>
          <w:kern w:val="0"/>
          <w14:ligatures w14:val="none"/>
        </w:rPr>
        <w:t xml:space="preserve"> cultural representations that serve the interests of content producers rather than cultural custodians. The second is </w:t>
      </w:r>
      <w:proofErr w:type="spellStart"/>
      <w:r w:rsidRPr="00945CE1">
        <w:rPr>
          <w:rFonts w:ascii="Times New Roman" w:eastAsia="Times New Roman" w:hAnsi="Times New Roman" w:cs="Times New Roman"/>
          <w:kern w:val="0"/>
          <w14:ligatures w14:val="none"/>
        </w:rPr>
        <w:t>decontextualisation</w:t>
      </w:r>
      <w:proofErr w:type="spellEnd"/>
      <w:r w:rsidRPr="00945CE1">
        <w:rPr>
          <w:rFonts w:ascii="Times New Roman" w:eastAsia="Times New Roman" w:hAnsi="Times New Roman" w:cs="Times New Roman"/>
          <w:kern w:val="0"/>
          <w14:ligatures w14:val="none"/>
        </w:rPr>
        <w:t>, whereby rituals, sacred objects, or ceremonial spaces are presented as visual spectacle divorced from their spiritual and social functions, reducing living culture to entertainment. The third is digital substitution, whereby virtual experiences satisfy curiosity sufficiently to suppress the motivation for physical visits, thereby reducing economic returns to local communities and weakening the financial basis for cultural continuity.</w:t>
      </w:r>
    </w:p>
    <w:p w14:paraId="21F9127B"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 xml:space="preserve">The fourth risk factor is intellectual property erosion, whereby traditional knowledge, designs, and cultural performances are </w:t>
      </w:r>
      <w:proofErr w:type="spellStart"/>
      <w:r w:rsidRPr="00945CE1">
        <w:rPr>
          <w:rFonts w:ascii="Times New Roman" w:eastAsia="Times New Roman" w:hAnsi="Times New Roman" w:cs="Times New Roman"/>
          <w:kern w:val="0"/>
          <w14:ligatures w14:val="none"/>
        </w:rPr>
        <w:t>digitised</w:t>
      </w:r>
      <w:proofErr w:type="spellEnd"/>
      <w:r w:rsidRPr="00945CE1">
        <w:rPr>
          <w:rFonts w:ascii="Times New Roman" w:eastAsia="Times New Roman" w:hAnsi="Times New Roman" w:cs="Times New Roman"/>
          <w:kern w:val="0"/>
          <w14:ligatures w14:val="none"/>
        </w:rPr>
        <w:t xml:space="preserve"> without legal protection frameworks, leaving communities vulnerable to commercial exploitation by third parties. The fifth is infrastructure inequity, whereby virtual tourism investment benefits a small digital economy elite while excluding rural and community-based tourism stakeholders who lack the connectivity, equipment, and digital literacy to participate in or benefit from the digital tourism economy. Each of these risk factors requires a specific policy response, and their combined weight underscores why an unsystematic approach to virtual tourism in Nigeria would be not merely ineffective but actively harmful to the communities whose cultural wealth underpins the country's tourism potential.</w:t>
      </w:r>
    </w:p>
    <w:p w14:paraId="11671126"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DISCUSSION</w:t>
      </w:r>
    </w:p>
    <w:p w14:paraId="3A098AF0"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findings of this study affirm that the tension between virtual tourism and authenticity is not inherently unresolvable; it is, fundamentally, a governance challenge. The global comparator cases demonstrate that destinations which position virtual tourism as a bridge rather than a destination in itself are able to harness its promotional, accessibility, and conservation benefits while preserving the experiential core that draws tourists in the first place. For Nigeria, this insight is transformative. Nigeria does not need to choose between digital </w:t>
      </w:r>
      <w:proofErr w:type="spellStart"/>
      <w:r w:rsidRPr="00945CE1">
        <w:rPr>
          <w:rFonts w:ascii="Times New Roman" w:eastAsia="Times New Roman" w:hAnsi="Times New Roman" w:cs="Times New Roman"/>
          <w:kern w:val="0"/>
          <w14:ligatures w14:val="none"/>
        </w:rPr>
        <w:t>modernisation</w:t>
      </w:r>
      <w:proofErr w:type="spellEnd"/>
      <w:r w:rsidRPr="00945CE1">
        <w:rPr>
          <w:rFonts w:ascii="Times New Roman" w:eastAsia="Times New Roman" w:hAnsi="Times New Roman" w:cs="Times New Roman"/>
          <w:kern w:val="0"/>
          <w14:ligatures w14:val="none"/>
        </w:rPr>
        <w:t xml:space="preserve"> and cultural integrity; what it needs is a framework that places community agency at the </w:t>
      </w:r>
      <w:proofErr w:type="spellStart"/>
      <w:r w:rsidRPr="00945CE1">
        <w:rPr>
          <w:rFonts w:ascii="Times New Roman" w:eastAsia="Times New Roman" w:hAnsi="Times New Roman" w:cs="Times New Roman"/>
          <w:kern w:val="0"/>
          <w14:ligatures w14:val="none"/>
        </w:rPr>
        <w:t>centre</w:t>
      </w:r>
      <w:proofErr w:type="spellEnd"/>
      <w:r w:rsidRPr="00945CE1">
        <w:rPr>
          <w:rFonts w:ascii="Times New Roman" w:eastAsia="Times New Roman" w:hAnsi="Times New Roman" w:cs="Times New Roman"/>
          <w:kern w:val="0"/>
          <w14:ligatures w14:val="none"/>
        </w:rPr>
        <w:t xml:space="preserve"> of its digital tourism architecture. As Wang (1999) argues, authentic experiences are not merely found in objects or places but are co-constructed in the relational encounter between the tourist and the destination community. Virtual tourism, then, can serve as the invitation, but the real-world, embodied encounter must remain the destination.</w:t>
      </w:r>
    </w:p>
    <w:p w14:paraId="1B23F281"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Osun-Osogbo Sacred Grove case is particularly instructive in this regard. The site derives its authenticating power not from its visual aesthetics alone but from the active spiritual community that inhabits and animates it, including the Osun priests and priestesses who govern its ritual calendar and access protocols. A VR rendering of the Grove can convey its physical majesty and historical significance, but it cannot replicate the lived encounter with the </w:t>
      </w:r>
      <w:proofErr w:type="spellStart"/>
      <w:r w:rsidRPr="00945CE1">
        <w:rPr>
          <w:rFonts w:ascii="Times New Roman" w:eastAsia="Times New Roman" w:hAnsi="Times New Roman" w:cs="Times New Roman"/>
          <w:kern w:val="0"/>
          <w14:ligatures w14:val="none"/>
        </w:rPr>
        <w:t>Arugba's</w:t>
      </w:r>
      <w:proofErr w:type="spellEnd"/>
      <w:r w:rsidRPr="00945CE1">
        <w:rPr>
          <w:rFonts w:ascii="Times New Roman" w:eastAsia="Times New Roman" w:hAnsi="Times New Roman" w:cs="Times New Roman"/>
          <w:kern w:val="0"/>
          <w14:ligatures w14:val="none"/>
        </w:rPr>
        <w:t xml:space="preserve"> annual procession, the resonance of talking drums in forest air, or the experiential weight of sacred space during the Osun Festival. Virtual tourism for Osun-Osogbo should therefore be designed with deliberate experiential gaps, moments where the VR experience communicates to the viewer that something profound is present but inaccessible through the screen, cultivating longing for the physical visit rather than satisfaction with the digital surrogate. This design philosophy aligns with the empirical findings of </w:t>
      </w:r>
      <w:proofErr w:type="spellStart"/>
      <w:r w:rsidRPr="00945CE1">
        <w:rPr>
          <w:rFonts w:ascii="Times New Roman" w:eastAsia="Times New Roman" w:hAnsi="Times New Roman" w:cs="Times New Roman"/>
          <w:kern w:val="0"/>
          <w14:ligatures w14:val="none"/>
        </w:rPr>
        <w:t>Tussyadiah</w:t>
      </w:r>
      <w:proofErr w:type="spellEnd"/>
      <w:r w:rsidRPr="00945CE1">
        <w:rPr>
          <w:rFonts w:ascii="Times New Roman" w:eastAsia="Times New Roman" w:hAnsi="Times New Roman" w:cs="Times New Roman"/>
          <w:kern w:val="0"/>
          <w14:ligatures w14:val="none"/>
        </w:rPr>
        <w:t xml:space="preserve"> et al. (2018), who demonstrated that immersive but deliberately incomplete virtual experiences significantly increased physical visitation intention.</w:t>
      </w:r>
    </w:p>
    <w:p w14:paraId="4D1B061F"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A critical dimension of this discussion concerns post-colonial sensitivity in digital cultural representation. Many of Nigeria's cultural assets were previously misrepresented or </w:t>
      </w:r>
      <w:proofErr w:type="spellStart"/>
      <w:r w:rsidRPr="00945CE1">
        <w:rPr>
          <w:rFonts w:ascii="Times New Roman" w:eastAsia="Times New Roman" w:hAnsi="Times New Roman" w:cs="Times New Roman"/>
          <w:kern w:val="0"/>
          <w14:ligatures w14:val="none"/>
        </w:rPr>
        <w:t>exoticised</w:t>
      </w:r>
      <w:proofErr w:type="spellEnd"/>
      <w:r w:rsidRPr="00945CE1">
        <w:rPr>
          <w:rFonts w:ascii="Times New Roman" w:eastAsia="Times New Roman" w:hAnsi="Times New Roman" w:cs="Times New Roman"/>
          <w:kern w:val="0"/>
          <w14:ligatures w14:val="none"/>
        </w:rPr>
        <w:t xml:space="preserve"> in colonial-era documentation and </w:t>
      </w:r>
      <w:r w:rsidRPr="00945CE1">
        <w:rPr>
          <w:rFonts w:ascii="Times New Roman" w:eastAsia="Times New Roman" w:hAnsi="Times New Roman" w:cs="Times New Roman"/>
          <w:kern w:val="0"/>
          <w14:ligatures w14:val="none"/>
        </w:rPr>
        <w:lastRenderedPageBreak/>
        <w:t xml:space="preserve">Western media, creating a legacy of distorted narratives that continues to shape international perceptions of Nigerian culture. A new era of digital representation offers the opportunity to reclaim those narratives on Nigerian terms. Virtual tourism content must be community-authored and community-approved, with indigenous cultural authorities, including traditional rulers, festival councils, and cultural institutions, serving not as consultants but as primary decision-makers in the digital curation process. The precedent set by the Louvre's own authority over the digital framing of French cultural heritage is instructive: France did not lose its cultural authority when it </w:t>
      </w:r>
      <w:proofErr w:type="spellStart"/>
      <w:r w:rsidRPr="00945CE1">
        <w:rPr>
          <w:rFonts w:ascii="Times New Roman" w:eastAsia="Times New Roman" w:hAnsi="Times New Roman" w:cs="Times New Roman"/>
          <w:kern w:val="0"/>
          <w14:ligatures w14:val="none"/>
        </w:rPr>
        <w:t>digitised</w:t>
      </w:r>
      <w:proofErr w:type="spellEnd"/>
      <w:r w:rsidRPr="00945CE1">
        <w:rPr>
          <w:rFonts w:ascii="Times New Roman" w:eastAsia="Times New Roman" w:hAnsi="Times New Roman" w:cs="Times New Roman"/>
          <w:kern w:val="0"/>
          <w14:ligatures w14:val="none"/>
        </w:rPr>
        <w:t xml:space="preserve"> its collections; it extended and reinforced that authority globally. Nigerian communities deserve the same sovereignty over their digital representations.</w:t>
      </w:r>
    </w:p>
    <w:p w14:paraId="20C6A323"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The case of the Benin Bronzes warrants particular attention in this context. The physical originals of this extraordinary corpus of royal court art were largely removed from Benin City during the British Punitive Expedition of 1897, and most remain in European museum collections. This situation makes Nigeria one of the most compelling global cases for digital repatriation, whereby VR technologies can allow Nigerians and international visitors to engage with heritage whose physical form has been displaced, without in any way undermining the legitimacy of ongoing repatriation campaigns. Virtual access to the Bronzes, governed by the Benin Royal Court and the Nigerian government, could serve as a powerful statement of cultural sovereignty and a global demonstration of responsible virtual heritage practice. Comparing Nigeria with the established comparator cases, the most transferable lesson is that authenticity is not entirely eroded by technology, but by the absence of cultural governance. The integration of digital tools with robust community oversight at Machu Picchu, Angkor Wat, and the Louvre has in each case strengthened rather than diluted the destination's cultural authority and international appeal.</w:t>
      </w:r>
    </w:p>
    <w:p w14:paraId="1D6FA4D5"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STRATEGIC FRAMEWORK FOR NIGERIA</w:t>
      </w:r>
    </w:p>
    <w:p w14:paraId="5F134223"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Based on the foregoing analysis, this paper proposes a five-pillar framework, designated the PRIDE Framework, for Nigeria's responsible virtual tourism integration. This framework is intended to be adaptive and applicable across Nigeria's diverse regional tourism landscapes, from the living sacred sites of the Southwest to the archaeological heritage of the North and the ecological assets of the Niger Delta.</w:t>
      </w:r>
    </w:p>
    <w:p w14:paraId="00DD32DA"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first pillar is Primacy of Community Consent, which holds that all virtual tourism content involving cultural, spiritual, or heritage sites must require documented community consent, with indigenous authorities retaining editorial and copyright rights over their cultural representation. This principle is non-negotiable and must be enshrined in any national virtual tourism policy framework developed by the NTDC. The second pillar is Reinforce, Not Replace, which requires that virtual tourism products be explicitly designed as pre-visit stimulants or post-visit memory anchors, with clear promotional pathways directing users toward physical destination </w:t>
      </w:r>
      <w:r w:rsidRPr="00945CE1">
        <w:rPr>
          <w:rFonts w:ascii="Times New Roman" w:eastAsia="Times New Roman" w:hAnsi="Times New Roman" w:cs="Times New Roman"/>
          <w:kern w:val="0"/>
          <w14:ligatures w14:val="none"/>
        </w:rPr>
        <w:lastRenderedPageBreak/>
        <w:t>experiences. All virtual tourism content should include direct calls to action, booking integrations, and experiential previews designed to convert digital engagement into physical visitation.</w:t>
      </w:r>
    </w:p>
    <w:p w14:paraId="40F48B85"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The third pillar is Intellectual Property Protection, which calls for a dedicated legal framework governing the digital expression of traditional cultural heritage, drawing on existing international instruments such as the World Intellectual Property Organization Intergovernmental Committee framework on Traditional Cultural Expressions. Without such protections, Nigerian communities risk losing control of their cultural assets to commercial actors who profit from digital representations without community benefit-sharing. The fourth pillar is Digital Infrastructure Equity, which requires that investment in virtual tourism be paired with investment in digital literacy, connectivity, and technological capacity within tourism-hosting communities, particularly in rural and underserved regions. Virtual tourism that benefits only urban digital entrepreneurs while excluding the communities whose culture it represents would be a profound inequity. The fifth pillar is Experiential Gaps by Design, which calls for VR and AR content to be deliberately engineered to highlight dimensions of the destination that cannot be digitally replicated, including the sensory, the relational, and the spiritually contingent, so that the virtual experience whets rather than satisfies the appetite for authentic presence.</w:t>
      </w:r>
    </w:p>
    <w:p w14:paraId="11829B3C"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CONCLUSION</w:t>
      </w:r>
    </w:p>
    <w:p w14:paraId="5A89FAE1"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This paper has examined the complex interplay between virtual tourism technologies and tourism authenticity, with particular focus on Nigeria as an emerging economy endowed with extraordinary but digitally underrepresented cultural and heritage tourism assets. The findings affirm that virtual tourism is not inherently antithetical to authenticity, but that its alignment with authentic cultural values depends entirely on how it is governed, designed, and integrated within broader tourism strategies. The global comparator cases of Machu Picchu, Angkor Wat, the Great Wall of China, and the Louvre demonstrate that technology and cultural integrity are not competing forces when they are managed through community-</w:t>
      </w:r>
      <w:proofErr w:type="spellStart"/>
      <w:r w:rsidRPr="00945CE1">
        <w:rPr>
          <w:rFonts w:ascii="Times New Roman" w:eastAsia="Times New Roman" w:hAnsi="Times New Roman" w:cs="Times New Roman"/>
          <w:kern w:val="0"/>
          <w14:ligatures w14:val="none"/>
        </w:rPr>
        <w:t>centred</w:t>
      </w:r>
      <w:proofErr w:type="spellEnd"/>
      <w:r w:rsidRPr="00945CE1">
        <w:rPr>
          <w:rFonts w:ascii="Times New Roman" w:eastAsia="Times New Roman" w:hAnsi="Times New Roman" w:cs="Times New Roman"/>
          <w:kern w:val="0"/>
          <w14:ligatures w14:val="none"/>
        </w:rPr>
        <w:t xml:space="preserve"> governance frameworks.</w:t>
      </w:r>
    </w:p>
    <w:p w14:paraId="7A6A63E9"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Nigeria stands at a defining crossroads in its tourism development trajectory. It can allow virtual tourism to develop organically and unsystematically, with the attendant risks of cultural misrepresentation, community exclusion, and authenticity erosion. Alternatively, it can take the lessons offered by established global destinations and forge a distinctly Nigerian approach to digital tourism that places community agency, cultural integrity, and experiential authenticity at the forefront. The proposed PRIDE Framework offers a starting point for that conversation, one that is adaptive, culturally grounded, and scalable across Nigeria's diverse regional tourism landscapes. It invites tourism policymakers, the NTDC, cultural institutions, traditional authorities, and the private digital sector into a structured dialogue about the future of Nigerian tourism in the digital age, a dialogue that is both urgent and overdue.</w:t>
      </w:r>
    </w:p>
    <w:p w14:paraId="5E87E5D1" w14:textId="77777777" w:rsidR="00E30D1B" w:rsidRPr="00945CE1" w:rsidRDefault="00E30D1B" w:rsidP="00E30D1B">
      <w:pPr>
        <w:spacing w:afterLines="50" w:after="120" w:line="36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The primary limitation of this study is its reliance on secondary data and the absence of primary fieldwork within Nigerian communities. Future research should incorporate ethnographic and participatory approaches, engaging directly with custodians of cultural sites, festival councils, and tourism communities, to ground strategic recommendations in lived realities. Additionally, quantitative demand-side studies examining whether virtual tourism increases or substitutes physical visitation intention among Nigerian and international tourist segments would significantly enrich the evidence base for policy decisions. Ultimately, what this paper argues for is not caution toward virtual tourism, but wisdom in its deployment. Nigeria's tourism is too rich, too alive, and too consequential to the communities that carry it for its digital future to be left to chance. Between the pixels and the presence, it is the presence that must always win.</w:t>
      </w:r>
    </w:p>
    <w:p w14:paraId="72BD0175" w14:textId="77777777" w:rsidR="00E30D1B" w:rsidRPr="00945CE1" w:rsidRDefault="00E30D1B" w:rsidP="00E30D1B">
      <w:pPr>
        <w:spacing w:afterLines="50" w:after="120" w:line="36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REFERENCES</w:t>
      </w:r>
    </w:p>
    <w:p w14:paraId="57EDC795"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Ashworth, G. J., &amp; Tunbridge, J. E. (2000). The tourist-historic city: Retrospect and prospect of managing the heritage city. Pergamon Press.</w:t>
      </w:r>
    </w:p>
    <w:p w14:paraId="580E967D"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Bruner, E. M. (1994). Abraham Lincoln as authentic reproduction: A critique of postmodernism. American Anthropologist, 96(2), 397-415. https://doi.org/10.1525/aa.1994.96.2.02a00070</w:t>
      </w:r>
    </w:p>
    <w:p w14:paraId="42B020D0"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Cheng, M., &amp; Wang, Y. (2020). Virtual tourism: A study of the COVID-19 pandemic and visitor intent. International Journal of Tourism Research, 22(5), 687-700. https://doi.org/10.1002/jtr.2414</w:t>
      </w:r>
    </w:p>
    <w:p w14:paraId="79E79883"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Guttentag, D. A. (2010). Virtual reality: Applications and implications for tourism. Tourism Management, 31(5), 637-651. https://doi.org/10.1016/j.tourman.2009.07.003</w:t>
      </w:r>
    </w:p>
    <w:p w14:paraId="44D2C855"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Kim, M. J., &amp; Hall, C. M. (2019). A hedonic motivation model in virtual reality tourism: Comparing visitors and non-visitors. International Journal of Information Management, 46, 236-249. https://doi.org/10.1016/j.ijinfomgt.2018.12.016</w:t>
      </w:r>
    </w:p>
    <w:p w14:paraId="655C50B3"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proofErr w:type="spellStart"/>
      <w:r w:rsidRPr="00945CE1">
        <w:rPr>
          <w:rFonts w:ascii="Times New Roman" w:eastAsia="Times New Roman" w:hAnsi="Times New Roman" w:cs="Times New Roman"/>
          <w:kern w:val="0"/>
          <w14:ligatures w14:val="none"/>
        </w:rPr>
        <w:t>MacCannell</w:t>
      </w:r>
      <w:proofErr w:type="spellEnd"/>
      <w:r w:rsidRPr="00945CE1">
        <w:rPr>
          <w:rFonts w:ascii="Times New Roman" w:eastAsia="Times New Roman" w:hAnsi="Times New Roman" w:cs="Times New Roman"/>
          <w:kern w:val="0"/>
          <w14:ligatures w14:val="none"/>
        </w:rPr>
        <w:t>, D. (1973). Staged authenticity: Arrangements of social space in tourist settings. American Journal of Sociology, 79(3), 589-603. https://doi.org/10.1086/225585</w:t>
      </w:r>
    </w:p>
    <w:p w14:paraId="2190CB7B"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Nigerian Tourism Development Corporation. (2022). Nigeria tourism master plan 2030. Federal Ministry of Information, Tourism &amp; Culture.</w:t>
      </w:r>
    </w:p>
    <w:p w14:paraId="4ADAE91A"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proofErr w:type="spellStart"/>
      <w:r w:rsidRPr="00945CE1">
        <w:rPr>
          <w:rFonts w:ascii="Times New Roman" w:eastAsia="Times New Roman" w:hAnsi="Times New Roman" w:cs="Times New Roman"/>
          <w:kern w:val="0"/>
          <w14:ligatures w14:val="none"/>
        </w:rPr>
        <w:t>Tussyadiah</w:t>
      </w:r>
      <w:proofErr w:type="spellEnd"/>
      <w:r w:rsidRPr="00945CE1">
        <w:rPr>
          <w:rFonts w:ascii="Times New Roman" w:eastAsia="Times New Roman" w:hAnsi="Times New Roman" w:cs="Times New Roman"/>
          <w:kern w:val="0"/>
          <w14:ligatures w14:val="none"/>
        </w:rPr>
        <w:t>, I. P., Wang, D., Jung, T. H., &amp; tom Dieck, M. C. (2018). Virtual reality, presence, and attitude change: Empirical evidence from tourism. Tourism Management, 66, 140-154. https://doi.org/10.1016/j.tourman.2017.12.003</w:t>
      </w:r>
    </w:p>
    <w:p w14:paraId="4B2D65DC"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UNESCO. (2005). Convention on the protection and promotion of the diversity of cultural expressions. United Nations Educational, Scientific and Cultural Organization.</w:t>
      </w:r>
    </w:p>
    <w:p w14:paraId="27A9737A"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UNWTO. (2020). International tourism and COVID-19. World Tourism Organization. https://www.unwto.org/tourism-covid-19</w:t>
      </w:r>
    </w:p>
    <w:p w14:paraId="2ABFDEE5"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Urry, J. (1990). The tourist gaze: Leisure and travel in contemporary societies. SAGE Publications.</w:t>
      </w:r>
    </w:p>
    <w:p w14:paraId="1DD6CD49"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Wang, N. (1999). Rethinking authenticity in tourism experience. Annals of Tourism Research, 26(2), 349-370. https://doi.org/10.1016/S0160-7383(98)00103-0</w:t>
      </w:r>
    </w:p>
    <w:p w14:paraId="548E380B" w14:textId="77777777" w:rsidR="00E30D1B" w:rsidRPr="00945CE1" w:rsidRDefault="00E30D1B" w:rsidP="00E30D1B">
      <w:pPr>
        <w:spacing w:afterLines="50" w:after="120" w:line="36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Zenker, S., &amp; Kock, F. (2020). The coronavirus pandemic: A critical discussion of a tourism research agenda. Tourism Management, 81, Article 104164. https://doi.org/10.1016/j.tourman.2020.104164</w:t>
      </w:r>
    </w:p>
    <w:p w14:paraId="6F08E59F" w14:textId="77777777" w:rsidR="00E30D1B" w:rsidRDefault="00E30D1B" w:rsidP="00E30D1B"/>
    <w:p w14:paraId="435DE69E" w14:textId="77777777" w:rsidR="00E30D1B" w:rsidRDefault="00E30D1B" w:rsidP="00E30D1B"/>
    <w:p w14:paraId="04651DEF" w14:textId="77777777" w:rsidR="00E30D1B" w:rsidRDefault="00E30D1B" w:rsidP="00E30D1B"/>
    <w:p w14:paraId="363A07D5" w14:textId="77777777" w:rsidR="00E30D1B" w:rsidRDefault="00E30D1B" w:rsidP="00E30D1B"/>
    <w:p w14:paraId="6B4B3E15" w14:textId="77777777" w:rsidR="00E30D1B" w:rsidRDefault="00E30D1B" w:rsidP="00E30D1B"/>
    <w:p w14:paraId="4099A550" w14:textId="77777777" w:rsidR="00E30D1B" w:rsidRDefault="00E30D1B" w:rsidP="00E30D1B"/>
    <w:p w14:paraId="6167C74D" w14:textId="77777777" w:rsidR="00E30D1B" w:rsidRDefault="00E30D1B" w:rsidP="00E30D1B"/>
    <w:p w14:paraId="6555BB9F" w14:textId="77777777" w:rsidR="00E30D1B" w:rsidRDefault="00E30D1B" w:rsidP="00E30D1B"/>
    <w:p w14:paraId="250BBD1F" w14:textId="77777777" w:rsidR="00E30D1B" w:rsidRDefault="00E30D1B" w:rsidP="00E30D1B"/>
    <w:p w14:paraId="4E63197D" w14:textId="77777777" w:rsidR="00E30D1B" w:rsidRDefault="00E30D1B" w:rsidP="00E30D1B"/>
    <w:p w14:paraId="4AD5B856" w14:textId="77777777" w:rsidR="00E30D1B" w:rsidRDefault="00E30D1B" w:rsidP="00E30D1B"/>
    <w:p w14:paraId="040D929D" w14:textId="77777777" w:rsidR="00E30D1B" w:rsidRDefault="00E30D1B" w:rsidP="00E30D1B"/>
    <w:p w14:paraId="17BE3C92" w14:textId="77777777" w:rsidR="00E30D1B" w:rsidRDefault="00E30D1B" w:rsidP="00E30D1B"/>
    <w:p w14:paraId="782674F8" w14:textId="77777777" w:rsidR="00E30D1B" w:rsidRDefault="00E30D1B" w:rsidP="00E30D1B"/>
    <w:p w14:paraId="76623651" w14:textId="77777777" w:rsidR="00E30D1B" w:rsidRDefault="00E30D1B" w:rsidP="00E30D1B"/>
    <w:p w14:paraId="30CAB4BE" w14:textId="77777777" w:rsidR="00E30D1B" w:rsidRDefault="00E30D1B" w:rsidP="00E30D1B"/>
    <w:p w14:paraId="6B84A57A" w14:textId="77777777" w:rsidR="00E30D1B" w:rsidRDefault="00E30D1B" w:rsidP="00E30D1B"/>
    <w:p w14:paraId="5ACD2BF6" w14:textId="77777777" w:rsidR="00E30D1B" w:rsidRDefault="00E30D1B" w:rsidP="00E30D1B"/>
    <w:p w14:paraId="0C1C52EA" w14:textId="77777777" w:rsidR="00E30D1B" w:rsidRDefault="00E30D1B" w:rsidP="00E30D1B"/>
    <w:p w14:paraId="35A5869E" w14:textId="77777777" w:rsidR="00E30D1B" w:rsidRDefault="00E30D1B" w:rsidP="00E30D1B"/>
    <w:p w14:paraId="2A2A2A4D" w14:textId="77777777" w:rsidR="00E30D1B" w:rsidRDefault="00E30D1B" w:rsidP="00E30D1B"/>
    <w:p w14:paraId="7E59302F" w14:textId="77777777" w:rsidR="00E30D1B" w:rsidRPr="00945CE1" w:rsidRDefault="00E30D1B" w:rsidP="00E30D1B">
      <w:pPr>
        <w:spacing w:afterLines="50" w:after="120" w:line="240" w:lineRule="auto"/>
        <w:jc w:val="center"/>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lastRenderedPageBreak/>
        <w:t xml:space="preserve">FROM SOIL TO </w:t>
      </w:r>
      <w:proofErr w:type="gramStart"/>
      <w:r w:rsidRPr="00945CE1">
        <w:rPr>
          <w:rFonts w:ascii="Times New Roman" w:eastAsia="Times New Roman" w:hAnsi="Times New Roman" w:cs="Times New Roman"/>
          <w:b/>
          <w:bCs/>
          <w:kern w:val="0"/>
          <w14:ligatures w14:val="none"/>
        </w:rPr>
        <w:t>SOUL:HARNESSING</w:t>
      </w:r>
      <w:proofErr w:type="gramEnd"/>
      <w:r w:rsidRPr="00945CE1">
        <w:rPr>
          <w:rFonts w:ascii="Times New Roman" w:eastAsia="Times New Roman" w:hAnsi="Times New Roman" w:cs="Times New Roman"/>
          <w:b/>
          <w:bCs/>
          <w:kern w:val="0"/>
          <w14:ligatures w14:val="none"/>
        </w:rPr>
        <w:t xml:space="preserve"> INDIGENOUS NATURAL RESOURCES FOR WELLNESS TOURISM DEVELOPMENT IN NIGERIA</w:t>
      </w:r>
    </w:p>
    <w:p w14:paraId="3E9A7CA0" w14:textId="77777777" w:rsidR="00E30D1B" w:rsidRPr="00945CE1" w:rsidRDefault="00E30D1B" w:rsidP="00E30D1B">
      <w:pPr>
        <w:spacing w:after="0" w:line="240" w:lineRule="auto"/>
        <w:jc w:val="center"/>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OKUNLOLA, KAFILAT ASAKE &amp; ODOR, CHINENYE BLESSING</w:t>
      </w:r>
    </w:p>
    <w:p w14:paraId="47ABE236" w14:textId="77777777" w:rsidR="00E30D1B" w:rsidRPr="00945CE1" w:rsidRDefault="00E30D1B" w:rsidP="00E30D1B">
      <w:pPr>
        <w:spacing w:after="0" w:line="240" w:lineRule="auto"/>
        <w:jc w:val="center"/>
        <w:rPr>
          <w:rFonts w:ascii="Times New Roman" w:eastAsia="Times New Roman" w:hAnsi="Times New Roman" w:cs="Times New Roman"/>
          <w:kern w:val="0"/>
          <w:sz w:val="22"/>
          <w:szCs w:val="22"/>
          <w14:ligatures w14:val="none"/>
        </w:rPr>
      </w:pPr>
      <w:r w:rsidRPr="00945CE1">
        <w:rPr>
          <w:rFonts w:ascii="Times New Roman" w:eastAsia="Times New Roman" w:hAnsi="Times New Roman" w:cs="Times New Roman"/>
          <w:kern w:val="0"/>
          <w:sz w:val="22"/>
          <w:szCs w:val="22"/>
          <w14:ligatures w14:val="none"/>
        </w:rPr>
        <w:t xml:space="preserve">DEPARTMENT OF </w:t>
      </w:r>
      <w:proofErr w:type="gramStart"/>
      <w:r w:rsidRPr="00945CE1">
        <w:rPr>
          <w:rFonts w:ascii="Times New Roman" w:eastAsia="Times New Roman" w:hAnsi="Times New Roman" w:cs="Times New Roman"/>
          <w:kern w:val="0"/>
          <w:sz w:val="22"/>
          <w:szCs w:val="22"/>
          <w14:ligatures w14:val="none"/>
        </w:rPr>
        <w:t>TOURISM  MANAGEMENT</w:t>
      </w:r>
      <w:proofErr w:type="gramEnd"/>
      <w:r w:rsidRPr="00945CE1">
        <w:rPr>
          <w:rFonts w:ascii="Times New Roman" w:eastAsia="Times New Roman" w:hAnsi="Times New Roman" w:cs="Times New Roman"/>
          <w:kern w:val="0"/>
          <w:sz w:val="22"/>
          <w:szCs w:val="22"/>
          <w14:ligatures w14:val="none"/>
        </w:rPr>
        <w:t xml:space="preserve"> TECHNOLOGY</w:t>
      </w:r>
    </w:p>
    <w:p w14:paraId="28121486" w14:textId="77777777" w:rsidR="00E30D1B" w:rsidRPr="00945CE1" w:rsidRDefault="00E30D1B" w:rsidP="00E30D1B">
      <w:pPr>
        <w:spacing w:after="0" w:line="240" w:lineRule="auto"/>
        <w:jc w:val="center"/>
        <w:rPr>
          <w:rFonts w:ascii="Times New Roman" w:eastAsia="Times New Roman" w:hAnsi="Times New Roman" w:cs="Times New Roman"/>
          <w:kern w:val="0"/>
          <w:sz w:val="22"/>
          <w:szCs w:val="22"/>
          <w14:ligatures w14:val="none"/>
        </w:rPr>
      </w:pPr>
      <w:r w:rsidRPr="00945CE1">
        <w:rPr>
          <w:rFonts w:ascii="Times New Roman" w:eastAsia="Times New Roman" w:hAnsi="Times New Roman" w:cs="Times New Roman"/>
          <w:kern w:val="0"/>
          <w:sz w:val="22"/>
          <w:szCs w:val="22"/>
          <w14:ligatures w14:val="none"/>
        </w:rPr>
        <w:t>FEDERAL POLYTECHNIC, BIDA.</w:t>
      </w:r>
    </w:p>
    <w:p w14:paraId="58AA2987" w14:textId="77777777" w:rsidR="00E30D1B" w:rsidRPr="00945CE1" w:rsidRDefault="00E30D1B" w:rsidP="00E30D1B">
      <w:pPr>
        <w:spacing w:after="0" w:line="240" w:lineRule="auto"/>
        <w:rPr>
          <w:rFonts w:ascii="Times New Roman" w:eastAsia="Times New Roman" w:hAnsi="Times New Roman" w:cs="Times New Roman"/>
          <w:b/>
          <w:kern w:val="0"/>
          <w14:ligatures w14:val="none"/>
        </w:rPr>
      </w:pPr>
      <w:r w:rsidRPr="00945CE1">
        <w:rPr>
          <w:rFonts w:ascii="Times New Roman" w:eastAsia="Times New Roman" w:hAnsi="Times New Roman" w:cs="Times New Roman"/>
          <w:b/>
          <w:kern w:val="0"/>
          <w14:ligatures w14:val="none"/>
        </w:rPr>
        <w:t xml:space="preserve">                                         </w:t>
      </w:r>
    </w:p>
    <w:p w14:paraId="1307F983" w14:textId="77777777" w:rsidR="00E30D1B" w:rsidRPr="00945CE1" w:rsidRDefault="00E30D1B" w:rsidP="00E30D1B">
      <w:pPr>
        <w:spacing w:after="0" w:line="240" w:lineRule="auto"/>
        <w:rPr>
          <w:rFonts w:ascii="Times New Roman" w:eastAsia="Times New Roman" w:hAnsi="Times New Roman" w:cs="Times New Roman"/>
          <w:b/>
          <w:kern w:val="0"/>
          <w14:ligatures w14:val="none"/>
        </w:rPr>
      </w:pPr>
    </w:p>
    <w:p w14:paraId="33FBC56C" w14:textId="77777777" w:rsidR="00E30D1B" w:rsidRPr="00945CE1" w:rsidRDefault="00E30D1B" w:rsidP="00E30D1B">
      <w:pPr>
        <w:spacing w:afterLines="50" w:after="120" w:line="360" w:lineRule="auto"/>
        <w:jc w:val="center"/>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ABSTRACT</w:t>
      </w:r>
    </w:p>
    <w:p w14:paraId="5CD187DD" w14:textId="77777777" w:rsidR="00E30D1B" w:rsidRPr="00945CE1" w:rsidRDefault="00E30D1B" w:rsidP="00E30D1B">
      <w:pPr>
        <w:spacing w:afterLines="50" w:after="120" w:line="240" w:lineRule="auto"/>
        <w:jc w:val="both"/>
        <w:rPr>
          <w:rFonts w:ascii="Times New Roman" w:eastAsia="Times New Roman" w:hAnsi="Times New Roman" w:cs="Times New Roman"/>
          <w:i/>
          <w:iCs/>
          <w:kern w:val="0"/>
          <w14:ligatures w14:val="none"/>
        </w:rPr>
      </w:pPr>
      <w:r w:rsidRPr="00945CE1">
        <w:rPr>
          <w:rFonts w:ascii="Times New Roman" w:eastAsia="Times New Roman" w:hAnsi="Times New Roman" w:cs="Times New Roman"/>
          <w:i/>
          <w:iCs/>
          <w:kern w:val="0"/>
          <w14:ligatures w14:val="none"/>
        </w:rPr>
        <w:t xml:space="preserve">The global wellness tourism market, valued at over USD 800 billion and growing at a compound annual rate exceeding 10%, presents an unprecedented opportunity for emerging economies to diversify their tourism portfolios. Yet countries like Nigeria, though endowed with extraordinary biodiversity, ancient healing traditions, therapeutic landscapes, and culturally rich indigenous knowledge systems, remain conspicuously absent from the international wellness tourism map. This paper examines how developed destinations such as Japan, Costa Rica, and Switzerland have strategically leveraged their natural and organic indigenous assets to position themselves as world-class wellness tourism hubs, and draws practical lessons for Nigeria. Employing a qualitative comparative analysis grounded in destination benchmarking and secondary data synthesis, the study evaluates Nigeria's existing natural endowments, from the medicinal forests of Cross River and the volcanic hot springs of Benue to the therapeutic mangrove ecosystems of the Niger Delta and the aromatic herb gardens of the Jos Plateau, against global best practices. Results reveal significant untapped potential alongside critical infrastructure and policy gaps. The study recommends a multi-stakeholder wellness destination framework anchored in authenticity, sustainability, and indigenous knowledge integration. It concludes that with deliberate policy action, strategic investment, and a wellness-centric tourism brand, Nigeria can emerge as Africa's foremost wellness tourism destination, capturing a substantial share of the health-conscious global </w:t>
      </w:r>
      <w:proofErr w:type="spellStart"/>
      <w:r w:rsidRPr="00945CE1">
        <w:rPr>
          <w:rFonts w:ascii="Times New Roman" w:eastAsia="Times New Roman" w:hAnsi="Times New Roman" w:cs="Times New Roman"/>
          <w:i/>
          <w:iCs/>
          <w:kern w:val="0"/>
          <w14:ligatures w14:val="none"/>
        </w:rPr>
        <w:t>traveller</w:t>
      </w:r>
      <w:proofErr w:type="spellEnd"/>
      <w:r w:rsidRPr="00945CE1">
        <w:rPr>
          <w:rFonts w:ascii="Times New Roman" w:eastAsia="Times New Roman" w:hAnsi="Times New Roman" w:cs="Times New Roman"/>
          <w:i/>
          <w:iCs/>
          <w:kern w:val="0"/>
          <w14:ligatures w14:val="none"/>
        </w:rPr>
        <w:t xml:space="preserve"> market.</w:t>
      </w:r>
    </w:p>
    <w:p w14:paraId="1B7D095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b/>
          <w:bCs/>
          <w:kern w:val="0"/>
          <w14:ligatures w14:val="none"/>
        </w:rPr>
        <w:t xml:space="preserve">Keywords: </w:t>
      </w:r>
      <w:r w:rsidRPr="00945CE1">
        <w:rPr>
          <w:rFonts w:ascii="Times New Roman" w:eastAsia="Times New Roman" w:hAnsi="Times New Roman" w:cs="Times New Roman"/>
          <w:kern w:val="0"/>
          <w14:ligatures w14:val="none"/>
        </w:rPr>
        <w:t>Wellness tourism, Indigenous natural resources, Destination branding, Sustainable tourism, Therapeutic landscapes</w:t>
      </w:r>
    </w:p>
    <w:p w14:paraId="05AA0E4A" w14:textId="77777777" w:rsidR="00E30D1B" w:rsidRPr="00945CE1" w:rsidRDefault="00E30D1B" w:rsidP="00DA5AE9">
      <w:pPr>
        <w:spacing w:afterLines="50" w:after="120"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1. INTRODUCTION</w:t>
      </w:r>
    </w:p>
    <w:p w14:paraId="67F2DE1C"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There is a quiet revolution underway in global travel. Increasingly, the world's tourists are trading conventional beach holidays and city breaks for experiences that nourish the body, restore the mind, and reconnect the spirit. Wellness tourism, defined by the Global Wellness Institute (GWI, 2023) as travel associated with the pursuit of maintaining or enhancing one's personal wellbeing, is no longer a niche market. It is a defining mega-trend reshaping destination </w:t>
      </w:r>
      <w:proofErr w:type="gramStart"/>
      <w:r w:rsidRPr="00945CE1">
        <w:rPr>
          <w:rFonts w:ascii="Times New Roman" w:eastAsia="Times New Roman" w:hAnsi="Times New Roman" w:cs="Times New Roman"/>
          <w:kern w:val="0"/>
          <w14:ligatures w14:val="none"/>
        </w:rPr>
        <w:t>strategies</w:t>
      </w:r>
      <w:proofErr w:type="gramEnd"/>
      <w:r w:rsidRPr="00945CE1">
        <w:rPr>
          <w:rFonts w:ascii="Times New Roman" w:eastAsia="Times New Roman" w:hAnsi="Times New Roman" w:cs="Times New Roman"/>
          <w:kern w:val="0"/>
          <w14:ligatures w14:val="none"/>
        </w:rPr>
        <w:t xml:space="preserve"> worldwide.</w:t>
      </w:r>
    </w:p>
    <w:p w14:paraId="6B3FBEF9"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appeal is not difficult to understand. In an era of chronic stress, sedentary urban lifestyles, and growing disillusionment with synthetic pharmaceutical solutions, millions of </w:t>
      </w:r>
      <w:proofErr w:type="spellStart"/>
      <w:r w:rsidRPr="00945CE1">
        <w:rPr>
          <w:rFonts w:ascii="Times New Roman" w:eastAsia="Times New Roman" w:hAnsi="Times New Roman" w:cs="Times New Roman"/>
          <w:kern w:val="0"/>
          <w14:ligatures w14:val="none"/>
        </w:rPr>
        <w:t>travellers</w:t>
      </w:r>
      <w:proofErr w:type="spellEnd"/>
      <w:r w:rsidRPr="00945CE1">
        <w:rPr>
          <w:rFonts w:ascii="Times New Roman" w:eastAsia="Times New Roman" w:hAnsi="Times New Roman" w:cs="Times New Roman"/>
          <w:kern w:val="0"/>
          <w14:ligatures w14:val="none"/>
        </w:rPr>
        <w:t xml:space="preserve"> are actively seeking nature-based healing, organic culinary experiences, forest bathing, thermal spa therapies, and spiritual wellness practices rooted in the traditions of their chosen destinations. Crucially, these </w:t>
      </w:r>
      <w:proofErr w:type="spellStart"/>
      <w:r w:rsidRPr="00945CE1">
        <w:rPr>
          <w:rFonts w:ascii="Times New Roman" w:eastAsia="Times New Roman" w:hAnsi="Times New Roman" w:cs="Times New Roman"/>
          <w:kern w:val="0"/>
          <w14:ligatures w14:val="none"/>
        </w:rPr>
        <w:t>travellers</w:t>
      </w:r>
      <w:proofErr w:type="spellEnd"/>
      <w:r w:rsidRPr="00945CE1">
        <w:rPr>
          <w:rFonts w:ascii="Times New Roman" w:eastAsia="Times New Roman" w:hAnsi="Times New Roman" w:cs="Times New Roman"/>
          <w:kern w:val="0"/>
          <w14:ligatures w14:val="none"/>
        </w:rPr>
        <w:t xml:space="preserve"> are high-value: wellness tourists spend, on average, 53% more per trip than conventional tourists (GWI, 2023), making them among the most economically attractive market segments in global tourism.</w:t>
      </w:r>
    </w:p>
    <w:p w14:paraId="078E3864"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Developed nations have </w:t>
      </w:r>
      <w:proofErr w:type="spellStart"/>
      <w:r w:rsidRPr="00945CE1">
        <w:rPr>
          <w:rFonts w:ascii="Times New Roman" w:eastAsia="Times New Roman" w:hAnsi="Times New Roman" w:cs="Times New Roman"/>
          <w:kern w:val="0"/>
          <w14:ligatures w14:val="none"/>
        </w:rPr>
        <w:t>recognised</w:t>
      </w:r>
      <w:proofErr w:type="spellEnd"/>
      <w:r w:rsidRPr="00945CE1">
        <w:rPr>
          <w:rFonts w:ascii="Times New Roman" w:eastAsia="Times New Roman" w:hAnsi="Times New Roman" w:cs="Times New Roman"/>
          <w:kern w:val="0"/>
          <w14:ligatures w14:val="none"/>
        </w:rPr>
        <w:t xml:space="preserve"> and responded to this shift with remarkable agility. Japan has </w:t>
      </w:r>
      <w:proofErr w:type="spellStart"/>
      <w:r w:rsidRPr="00945CE1">
        <w:rPr>
          <w:rFonts w:ascii="Times New Roman" w:eastAsia="Times New Roman" w:hAnsi="Times New Roman" w:cs="Times New Roman"/>
          <w:kern w:val="0"/>
          <w14:ligatures w14:val="none"/>
        </w:rPr>
        <w:t>institutionalised</w:t>
      </w:r>
      <w:proofErr w:type="spellEnd"/>
      <w:r w:rsidRPr="00945CE1">
        <w:rPr>
          <w:rFonts w:ascii="Times New Roman" w:eastAsia="Times New Roman" w:hAnsi="Times New Roman" w:cs="Times New Roman"/>
          <w:kern w:val="0"/>
          <w14:ligatures w14:val="none"/>
        </w:rPr>
        <w:t xml:space="preserve"> </w:t>
      </w:r>
      <w:proofErr w:type="spellStart"/>
      <w:r w:rsidRPr="00945CE1">
        <w:rPr>
          <w:rFonts w:ascii="Times New Roman" w:eastAsia="Times New Roman" w:hAnsi="Times New Roman" w:cs="Times New Roman"/>
          <w:kern w:val="0"/>
          <w14:ligatures w14:val="none"/>
        </w:rPr>
        <w:t>Shinrin-yoku</w:t>
      </w:r>
      <w:proofErr w:type="spellEnd"/>
      <w:r w:rsidRPr="00945CE1">
        <w:rPr>
          <w:rFonts w:ascii="Times New Roman" w:eastAsia="Times New Roman" w:hAnsi="Times New Roman" w:cs="Times New Roman"/>
          <w:kern w:val="0"/>
          <w14:ligatures w14:val="none"/>
        </w:rPr>
        <w:t xml:space="preserve"> (forest bathing) as a government-endorsed medical practice and built an entire tourism ecosystem around it. Costa Rica has woven its extraordinary biodiversity into a compelling green wellness narrative that attracts hundreds of thousands of eco-health tourists annually. Switzerland's Alpine thermal spas and wellness resorts command premium prices precisely because they are deeply embedded in the authentic natural identity of the place.</w:t>
      </w:r>
    </w:p>
    <w:p w14:paraId="76161763"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Nigeria, by contrast, sits on an extraordinary but largely unexploited treasury of wellness assets. The country boasts over 4,500 species of plants with documented medicinal properties (Gill, 1992), active geothermal springs </w:t>
      </w:r>
      <w:r w:rsidRPr="00945CE1">
        <w:rPr>
          <w:rFonts w:ascii="Times New Roman" w:eastAsia="Times New Roman" w:hAnsi="Times New Roman" w:cs="Times New Roman"/>
          <w:kern w:val="0"/>
          <w14:ligatures w14:val="none"/>
        </w:rPr>
        <w:lastRenderedPageBreak/>
        <w:t xml:space="preserve">in Benue and Plateau States, pristine rainforest corridors in Cross River, healing mud formations in Akwa Ibom, ancient spiritual wellness traditions across dozens of ethnic nationalities, and a culinary heritage rich in superfoods and therapeutic ingredients. Yet this wealth remains invisible to the global wellness </w:t>
      </w:r>
      <w:proofErr w:type="spellStart"/>
      <w:r w:rsidRPr="00945CE1">
        <w:rPr>
          <w:rFonts w:ascii="Times New Roman" w:eastAsia="Times New Roman" w:hAnsi="Times New Roman" w:cs="Times New Roman"/>
          <w:kern w:val="0"/>
          <w14:ligatures w14:val="none"/>
        </w:rPr>
        <w:t>traveller</w:t>
      </w:r>
      <w:proofErr w:type="spellEnd"/>
      <w:r w:rsidRPr="00945CE1">
        <w:rPr>
          <w:rFonts w:ascii="Times New Roman" w:eastAsia="Times New Roman" w:hAnsi="Times New Roman" w:cs="Times New Roman"/>
          <w:kern w:val="0"/>
          <w14:ligatures w14:val="none"/>
        </w:rPr>
        <w:t xml:space="preserve">, largely because of inadequate infrastructure, policy incoherence, and a tourism brand that has historically </w:t>
      </w:r>
      <w:proofErr w:type="spellStart"/>
      <w:r w:rsidRPr="00945CE1">
        <w:rPr>
          <w:rFonts w:ascii="Times New Roman" w:eastAsia="Times New Roman" w:hAnsi="Times New Roman" w:cs="Times New Roman"/>
          <w:kern w:val="0"/>
          <w14:ligatures w14:val="none"/>
        </w:rPr>
        <w:t>prioritised</w:t>
      </w:r>
      <w:proofErr w:type="spellEnd"/>
      <w:r w:rsidRPr="00945CE1">
        <w:rPr>
          <w:rFonts w:ascii="Times New Roman" w:eastAsia="Times New Roman" w:hAnsi="Times New Roman" w:cs="Times New Roman"/>
          <w:kern w:val="0"/>
          <w14:ligatures w14:val="none"/>
        </w:rPr>
        <w:t xml:space="preserve"> oil-and-gas diplomacy over hospitality and lifestyle promotion.</w:t>
      </w:r>
    </w:p>
    <w:p w14:paraId="488C209C"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This paper argues that Nigeria stands at a pivotal inflection point. With the right policy framework, infrastructure investment, and a reimagined destination brand anchored in its indigenous natural and cultural wealth, Nigeria can position itself as Africa's premier wellness tourism destination. Drawing on lessons from established global wellness destinations, this study presents a roadmap for transforming Nigeria's natural abundance into a competitive, sustainable, and globally attractive wellness tourism product.</w:t>
      </w:r>
    </w:p>
    <w:p w14:paraId="42CBCD06"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p>
    <w:p w14:paraId="1F853C8B" w14:textId="77777777" w:rsidR="00E30D1B" w:rsidRPr="00945CE1" w:rsidRDefault="00E30D1B" w:rsidP="00DA5AE9">
      <w:pPr>
        <w:spacing w:afterLines="50" w:after="120"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2. LITERATURE REVIEW</w:t>
      </w:r>
    </w:p>
    <w:p w14:paraId="55706069" w14:textId="77777777" w:rsidR="00E30D1B" w:rsidRPr="00945CE1" w:rsidRDefault="00E30D1B" w:rsidP="00DA5AE9">
      <w:pPr>
        <w:spacing w:afterLines="50" w:after="120" w:line="240" w:lineRule="auto"/>
        <w:jc w:val="both"/>
        <w:rPr>
          <w:rFonts w:ascii="Times New Roman" w:eastAsia="Times New Roman" w:hAnsi="Times New Roman" w:cs="Times New Roman"/>
          <w:b/>
          <w:bCs/>
          <w:i/>
          <w:iCs/>
          <w:kern w:val="0"/>
          <w14:ligatures w14:val="none"/>
        </w:rPr>
      </w:pPr>
      <w:proofErr w:type="spellStart"/>
      <w:r w:rsidRPr="00945CE1">
        <w:rPr>
          <w:rFonts w:ascii="Times New Roman" w:eastAsia="Times New Roman" w:hAnsi="Times New Roman" w:cs="Times New Roman"/>
          <w:b/>
          <w:bCs/>
          <w:i/>
          <w:iCs/>
          <w:kern w:val="0"/>
          <w14:ligatures w14:val="none"/>
        </w:rPr>
        <w:t>Conceptualising</w:t>
      </w:r>
      <w:proofErr w:type="spellEnd"/>
      <w:r w:rsidRPr="00945CE1">
        <w:rPr>
          <w:rFonts w:ascii="Times New Roman" w:eastAsia="Times New Roman" w:hAnsi="Times New Roman" w:cs="Times New Roman"/>
          <w:b/>
          <w:bCs/>
          <w:i/>
          <w:iCs/>
          <w:kern w:val="0"/>
          <w14:ligatures w14:val="none"/>
        </w:rPr>
        <w:t xml:space="preserve"> Wellness Tourism</w:t>
      </w:r>
    </w:p>
    <w:p w14:paraId="532F73A9"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Wellness tourism occupies a distinct conceptual space within the broader tourism literature. Muller and Lanz Kaufmann (2001) were among the first scholars to rigorously differentiate wellness tourism from health tourism, defining it as travel motivated by a holistic aspiration for physical, mental, and spiritual balance rather than the treatment of specific illness. This distinction is important: wellness tourism is proactive, preventative, and lifestyle-oriented, whereas medical tourism is reactive and curative.</w:t>
      </w:r>
    </w:p>
    <w:p w14:paraId="5E74FA3A"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Smith and </w:t>
      </w:r>
      <w:proofErr w:type="spellStart"/>
      <w:r w:rsidRPr="00945CE1">
        <w:rPr>
          <w:rFonts w:ascii="Times New Roman" w:eastAsia="Times New Roman" w:hAnsi="Times New Roman" w:cs="Times New Roman"/>
          <w:kern w:val="0"/>
          <w14:ligatures w14:val="none"/>
        </w:rPr>
        <w:t>Puczko</w:t>
      </w:r>
      <w:proofErr w:type="spellEnd"/>
      <w:r w:rsidRPr="00945CE1">
        <w:rPr>
          <w:rFonts w:ascii="Times New Roman" w:eastAsia="Times New Roman" w:hAnsi="Times New Roman" w:cs="Times New Roman"/>
          <w:kern w:val="0"/>
          <w14:ligatures w14:val="none"/>
        </w:rPr>
        <w:t xml:space="preserve"> (2014) expanded this framework to </w:t>
      </w:r>
      <w:proofErr w:type="spellStart"/>
      <w:r w:rsidRPr="00945CE1">
        <w:rPr>
          <w:rFonts w:ascii="Times New Roman" w:eastAsia="Times New Roman" w:hAnsi="Times New Roman" w:cs="Times New Roman"/>
          <w:kern w:val="0"/>
          <w14:ligatures w14:val="none"/>
        </w:rPr>
        <w:t>recognise</w:t>
      </w:r>
      <w:proofErr w:type="spellEnd"/>
      <w:r w:rsidRPr="00945CE1">
        <w:rPr>
          <w:rFonts w:ascii="Times New Roman" w:eastAsia="Times New Roman" w:hAnsi="Times New Roman" w:cs="Times New Roman"/>
          <w:kern w:val="0"/>
          <w14:ligatures w14:val="none"/>
        </w:rPr>
        <w:t xml:space="preserve"> wellness tourism as a dynamic continuum encompassing spa and thermal experiences, nature-based therapies, spiritual retreats, culinary wellness, fitness tourism, and indigenous healing practices. Their typology has gained wide acceptance and underpins much of the contemporary destination development literature. More recently, the Global Wellness Institute (2021) reinforced this view by estimating that wellness tourism accounts for approximately 17% of all global tourism expenditure, underscoring its structural importance to national destination economies.</w:t>
      </w:r>
    </w:p>
    <w:p w14:paraId="48B0691F" w14:textId="77777777" w:rsidR="00E30D1B" w:rsidRPr="00945CE1" w:rsidRDefault="00E30D1B" w:rsidP="00DA5AE9">
      <w:pPr>
        <w:spacing w:afterLines="50" w:after="120" w:line="240" w:lineRule="auto"/>
        <w:jc w:val="both"/>
        <w:rPr>
          <w:rFonts w:ascii="Times New Roman" w:eastAsia="Times New Roman" w:hAnsi="Times New Roman" w:cs="Times New Roman"/>
          <w:b/>
          <w:bCs/>
          <w:i/>
          <w:iCs/>
          <w:kern w:val="0"/>
          <w14:ligatures w14:val="none"/>
        </w:rPr>
      </w:pPr>
      <w:r w:rsidRPr="00945CE1">
        <w:rPr>
          <w:rFonts w:ascii="Times New Roman" w:eastAsia="Times New Roman" w:hAnsi="Times New Roman" w:cs="Times New Roman"/>
          <w:b/>
          <w:bCs/>
          <w:i/>
          <w:iCs/>
          <w:kern w:val="0"/>
          <w14:ligatures w14:val="none"/>
        </w:rPr>
        <w:t>Nature-Based and Indigenous Wellness Experiences</w:t>
      </w:r>
    </w:p>
    <w:p w14:paraId="32BDB33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A consistent theme in wellness tourism scholarship is the primacy of authentic, place-based natural experiences. Li (2010) demonstrated the measurable physiological benefits of </w:t>
      </w:r>
      <w:proofErr w:type="spellStart"/>
      <w:r w:rsidRPr="00945CE1">
        <w:rPr>
          <w:rFonts w:ascii="Times New Roman" w:eastAsia="Times New Roman" w:hAnsi="Times New Roman" w:cs="Times New Roman"/>
          <w:kern w:val="0"/>
          <w14:ligatures w14:val="none"/>
        </w:rPr>
        <w:t>Shinrin-yoku</w:t>
      </w:r>
      <w:proofErr w:type="spellEnd"/>
      <w:r w:rsidRPr="00945CE1">
        <w:rPr>
          <w:rFonts w:ascii="Times New Roman" w:eastAsia="Times New Roman" w:hAnsi="Times New Roman" w:cs="Times New Roman"/>
          <w:kern w:val="0"/>
          <w14:ligatures w14:val="none"/>
        </w:rPr>
        <w:t xml:space="preserve"> (forest bathing), including reduced cortisol levels, lower blood pressure, and enhanced natural killer cell activity, establishing an evidence base that Japan subsequently used to develop a multi-billion-dollar nature wellness tourism sector. Gesler (1992) introduced the concept of 'therapeutic landscapes' to describe places where the convergence of natural environment, culture, and social relations creates conditions conducive to healing, a concept with profound implications for destination planners in resource-rich contexts.</w:t>
      </w:r>
    </w:p>
    <w:p w14:paraId="3291F0FF"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Indigenous knowledge systems are increasingly </w:t>
      </w:r>
      <w:proofErr w:type="spellStart"/>
      <w:r w:rsidRPr="00945CE1">
        <w:rPr>
          <w:rFonts w:ascii="Times New Roman" w:eastAsia="Times New Roman" w:hAnsi="Times New Roman" w:cs="Times New Roman"/>
          <w:kern w:val="0"/>
          <w14:ligatures w14:val="none"/>
        </w:rPr>
        <w:t>recognised</w:t>
      </w:r>
      <w:proofErr w:type="spellEnd"/>
      <w:r w:rsidRPr="00945CE1">
        <w:rPr>
          <w:rFonts w:ascii="Times New Roman" w:eastAsia="Times New Roman" w:hAnsi="Times New Roman" w:cs="Times New Roman"/>
          <w:kern w:val="0"/>
          <w14:ligatures w14:val="none"/>
        </w:rPr>
        <w:t xml:space="preserve"> as a source of competitive differentiation in wellness tourism. Buckley (2012) found that nature-based tourism experiences combining authentic ecological immersion with indigenous cultural knowledge generated significantly higher visitor satisfaction scores and repeat visitation rates compared with </w:t>
      </w:r>
      <w:proofErr w:type="spellStart"/>
      <w:r w:rsidRPr="00945CE1">
        <w:rPr>
          <w:rFonts w:ascii="Times New Roman" w:eastAsia="Times New Roman" w:hAnsi="Times New Roman" w:cs="Times New Roman"/>
          <w:kern w:val="0"/>
          <w14:ligatures w14:val="none"/>
        </w:rPr>
        <w:t>standardised</w:t>
      </w:r>
      <w:proofErr w:type="spellEnd"/>
      <w:r w:rsidRPr="00945CE1">
        <w:rPr>
          <w:rFonts w:ascii="Times New Roman" w:eastAsia="Times New Roman" w:hAnsi="Times New Roman" w:cs="Times New Roman"/>
          <w:kern w:val="0"/>
          <w14:ligatures w14:val="none"/>
        </w:rPr>
        <w:t xml:space="preserve"> hospitality offerings. This finding has important implications for Nigeria, where thousands of years of ethnobotanical knowledge remain embedded in local community practice.</w:t>
      </w:r>
    </w:p>
    <w:p w14:paraId="23D72534" w14:textId="77777777" w:rsidR="00E30D1B" w:rsidRPr="00945CE1" w:rsidRDefault="00E30D1B" w:rsidP="00DA5AE9">
      <w:pPr>
        <w:spacing w:afterLines="50" w:after="120" w:line="240" w:lineRule="auto"/>
        <w:jc w:val="both"/>
        <w:rPr>
          <w:rFonts w:ascii="Times New Roman" w:eastAsia="Times New Roman" w:hAnsi="Times New Roman" w:cs="Times New Roman"/>
          <w:b/>
          <w:bCs/>
          <w:i/>
          <w:iCs/>
          <w:kern w:val="0"/>
          <w14:ligatures w14:val="none"/>
        </w:rPr>
      </w:pPr>
      <w:r w:rsidRPr="00945CE1">
        <w:rPr>
          <w:rFonts w:ascii="Times New Roman" w:eastAsia="Times New Roman" w:hAnsi="Times New Roman" w:cs="Times New Roman"/>
          <w:b/>
          <w:bCs/>
          <w:i/>
          <w:iCs/>
          <w:kern w:val="0"/>
          <w14:ligatures w14:val="none"/>
        </w:rPr>
        <w:t>Developed Destinations: Strategies and Outcomes</w:t>
      </w:r>
    </w:p>
    <w:p w14:paraId="0FBB0912"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 strategic positioning of wellness tourism in developed destinations offers instructive parallels. In Japan, the Forest Therapy Society has certified over 60 forest therapy bases and trails, with the national government formally incorporating </w:t>
      </w:r>
      <w:proofErr w:type="spellStart"/>
      <w:r w:rsidRPr="00945CE1">
        <w:rPr>
          <w:rFonts w:ascii="Times New Roman" w:eastAsia="Times New Roman" w:hAnsi="Times New Roman" w:cs="Times New Roman"/>
          <w:kern w:val="0"/>
          <w14:ligatures w14:val="none"/>
        </w:rPr>
        <w:t>Shinrin-yoku</w:t>
      </w:r>
      <w:proofErr w:type="spellEnd"/>
      <w:r w:rsidRPr="00945CE1">
        <w:rPr>
          <w:rFonts w:ascii="Times New Roman" w:eastAsia="Times New Roman" w:hAnsi="Times New Roman" w:cs="Times New Roman"/>
          <w:kern w:val="0"/>
          <w14:ligatures w14:val="none"/>
        </w:rPr>
        <w:t xml:space="preserve"> into public health policy and inbound tourism promotion (Park et al., 2010). Costa Rica's model demonstrates how a nation can leverage conservation-based national identity with authentic eco-wellness experiences: the country attracted over 3 million international visitors in 2022, many motivated by wellness and sustainability values (Honey, 2008; ICT, 2022).</w:t>
      </w:r>
    </w:p>
    <w:p w14:paraId="1557AE77"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Switzerland's success narrative is instructive for premium positioning. Its centuries-old tradition of Alpine thermal bathing, combined with world-class medical spa infrastructure and a clean, natural luxury brand narrative, enables Swiss wellness resorts to command room rates four to six times higher than conventional hotels (Voigt and Pforr, 2014). The lesson for emerging economies is evident: the value of wellness tourism is not created solely by infrastructure, but by the authentic integration of place, nature, culture, and narrative.</w:t>
      </w:r>
    </w:p>
    <w:p w14:paraId="5FCCC42D" w14:textId="77777777" w:rsidR="00E30D1B" w:rsidRPr="00945CE1" w:rsidRDefault="00E30D1B" w:rsidP="00DA5AE9">
      <w:pPr>
        <w:spacing w:afterLines="50" w:after="120" w:line="240" w:lineRule="auto"/>
        <w:jc w:val="both"/>
        <w:rPr>
          <w:rFonts w:ascii="Times New Roman" w:eastAsia="Times New Roman" w:hAnsi="Times New Roman" w:cs="Times New Roman"/>
          <w:b/>
          <w:bCs/>
          <w:i/>
          <w:iCs/>
          <w:kern w:val="0"/>
          <w14:ligatures w14:val="none"/>
        </w:rPr>
      </w:pPr>
      <w:r w:rsidRPr="00945CE1">
        <w:rPr>
          <w:rFonts w:ascii="Times New Roman" w:eastAsia="Times New Roman" w:hAnsi="Times New Roman" w:cs="Times New Roman"/>
          <w:b/>
          <w:bCs/>
          <w:i/>
          <w:iCs/>
          <w:kern w:val="0"/>
          <w14:ligatures w14:val="none"/>
        </w:rPr>
        <w:t>Gaps in Emerging Economy Wellness Tourism Research</w:t>
      </w:r>
    </w:p>
    <w:p w14:paraId="4D8ECDFC"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Despite growing scholarly interest in wellness tourism, the literature on emerging economy destinations, particularly in Sub-Saharan Africa, remains remarkably thin. Adeola and Evans (2020) noted that African destinations are systematically underrepresented in wellness tourism indices, despite the continent's extraordinary natural and cultural wellness assets. Their study identified a narrative deficit, described as a failure to translate existing resources into compelling, globally legible wellness tourism propositions, as the primary barrier to market entry. Rogerson and Rogerson (2021) similarly observed that South Africa, arguably the continent's most developed tourism economy, has only recently begun to </w:t>
      </w:r>
      <w:proofErr w:type="spellStart"/>
      <w:r w:rsidRPr="00945CE1">
        <w:rPr>
          <w:rFonts w:ascii="Times New Roman" w:eastAsia="Times New Roman" w:hAnsi="Times New Roman" w:cs="Times New Roman"/>
          <w:kern w:val="0"/>
          <w14:ligatures w14:val="none"/>
        </w:rPr>
        <w:t>formalise</w:t>
      </w:r>
      <w:proofErr w:type="spellEnd"/>
      <w:r w:rsidRPr="00945CE1">
        <w:rPr>
          <w:rFonts w:ascii="Times New Roman" w:eastAsia="Times New Roman" w:hAnsi="Times New Roman" w:cs="Times New Roman"/>
          <w:kern w:val="0"/>
          <w14:ligatures w14:val="none"/>
        </w:rPr>
        <w:t xml:space="preserve"> wellness tourism within its national destination strategy. For Nigeria, the gap is even more pronounced. This paper directly addresses that deficit.</w:t>
      </w:r>
    </w:p>
    <w:p w14:paraId="7A811C01"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p>
    <w:p w14:paraId="44343D7B" w14:textId="77777777" w:rsidR="00E30D1B" w:rsidRPr="00945CE1" w:rsidRDefault="00E30D1B" w:rsidP="00DA5AE9">
      <w:pPr>
        <w:spacing w:afterLines="50" w:after="120"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3. METHODOLOGY</w:t>
      </w:r>
    </w:p>
    <w:p w14:paraId="2327629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This study adopts a qualitative comparative research design, combining destination benchmarking analysis, secondary data synthesis, and thematic content analysis. The methodological approach is appropriate for an exploratory study seeking to identify transferable lessons from developed wellness destinations and apply them to the Nigerian context.</w:t>
      </w:r>
    </w:p>
    <w:p w14:paraId="38FEED17"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Secondary data were drawn from published reports by the Global Wellness Institute (2021, 2023), the United Nations World Tourism Organization (UNWTO, 2022), and destination-specific tourism bodies including the Japan Tourism Agency, Instituto </w:t>
      </w:r>
      <w:proofErr w:type="spellStart"/>
      <w:r w:rsidRPr="00945CE1">
        <w:rPr>
          <w:rFonts w:ascii="Times New Roman" w:eastAsia="Times New Roman" w:hAnsi="Times New Roman" w:cs="Times New Roman"/>
          <w:kern w:val="0"/>
          <w14:ligatures w14:val="none"/>
        </w:rPr>
        <w:t>Costarricense</w:t>
      </w:r>
      <w:proofErr w:type="spellEnd"/>
      <w:r w:rsidRPr="00945CE1">
        <w:rPr>
          <w:rFonts w:ascii="Times New Roman" w:eastAsia="Times New Roman" w:hAnsi="Times New Roman" w:cs="Times New Roman"/>
          <w:kern w:val="0"/>
          <w14:ligatures w14:val="none"/>
        </w:rPr>
        <w:t xml:space="preserve"> de Turismo, and Switzerland Tourism. Peer-reviewed academic literature was accessed through Google Scholar, Scopus, and the African Journals Online (AJOL) database. Nigeria-specific data were sourced from the Nigerian Tourism Development Corporation (NTDC, 2021), the National Institute for Hospitality and Tourism (NIHOTOUR), and botanical literature on Nigeria's indigenous plant species.</w:t>
      </w:r>
    </w:p>
    <w:p w14:paraId="26DA4CD8"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Nigeria's wellness resource inventory was constructed through synthesis of botanical, geothermal, and ethnobotanical literature, supplemented by tourism policy documents. The benchmarking framework assessed selected global destinations across five parameters: (1) indigenous resource </w:t>
      </w:r>
      <w:proofErr w:type="spellStart"/>
      <w:r w:rsidRPr="00945CE1">
        <w:rPr>
          <w:rFonts w:ascii="Times New Roman" w:eastAsia="Times New Roman" w:hAnsi="Times New Roman" w:cs="Times New Roman"/>
          <w:kern w:val="0"/>
          <w14:ligatures w14:val="none"/>
        </w:rPr>
        <w:t>utilisation</w:t>
      </w:r>
      <w:proofErr w:type="spellEnd"/>
      <w:r w:rsidRPr="00945CE1">
        <w:rPr>
          <w:rFonts w:ascii="Times New Roman" w:eastAsia="Times New Roman" w:hAnsi="Times New Roman" w:cs="Times New Roman"/>
          <w:kern w:val="0"/>
          <w14:ligatures w14:val="none"/>
        </w:rPr>
        <w:t>, (2) policy and institutional support, (3) product development and packaging, (4) destination branding and marketing, and (5) sustainability and community integration. Nigeria's performance against each parameter was evaluated to identify strategic gaps and opportunities.</w:t>
      </w:r>
    </w:p>
    <w:p w14:paraId="1FC2CADE"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Thematic analysis of destination case studies was conducted using an inductive coding approach, with themes validated against the wellness tourism typology framework proposed by Smith and </w:t>
      </w:r>
      <w:proofErr w:type="spellStart"/>
      <w:r w:rsidRPr="00945CE1">
        <w:rPr>
          <w:rFonts w:ascii="Times New Roman" w:eastAsia="Times New Roman" w:hAnsi="Times New Roman" w:cs="Times New Roman"/>
          <w:kern w:val="0"/>
          <w14:ligatures w14:val="none"/>
        </w:rPr>
        <w:t>Puczko</w:t>
      </w:r>
      <w:proofErr w:type="spellEnd"/>
      <w:r w:rsidRPr="00945CE1">
        <w:rPr>
          <w:rFonts w:ascii="Times New Roman" w:eastAsia="Times New Roman" w:hAnsi="Times New Roman" w:cs="Times New Roman"/>
          <w:kern w:val="0"/>
          <w14:ligatures w14:val="none"/>
        </w:rPr>
        <w:t xml:space="preserve"> (2014). Findings were triangulated across multiple secondary sources to enhance reliability and credibility. The study acknowledges the inherent limitations of secondary data, including publication bias and temporal lag, and recommends primary fieldwork as a priority for future research.</w:t>
      </w:r>
    </w:p>
    <w:p w14:paraId="0EED7CAB"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p>
    <w:p w14:paraId="48056BB3" w14:textId="77777777" w:rsidR="00E30D1B" w:rsidRPr="00945CE1" w:rsidRDefault="00E30D1B" w:rsidP="00DA5AE9">
      <w:pPr>
        <w:spacing w:afterLines="50" w:after="120"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4. RESULTS</w:t>
      </w:r>
    </w:p>
    <w:p w14:paraId="130197EF" w14:textId="77777777" w:rsidR="00E30D1B" w:rsidRPr="00945CE1" w:rsidRDefault="00E30D1B" w:rsidP="00DA5AE9">
      <w:pPr>
        <w:spacing w:afterLines="50" w:after="120" w:line="240" w:lineRule="auto"/>
        <w:jc w:val="both"/>
        <w:rPr>
          <w:rFonts w:ascii="Times New Roman" w:eastAsia="Times New Roman" w:hAnsi="Times New Roman" w:cs="Times New Roman"/>
          <w:b/>
          <w:bCs/>
          <w:i/>
          <w:iCs/>
          <w:kern w:val="0"/>
          <w14:ligatures w14:val="none"/>
        </w:rPr>
      </w:pPr>
      <w:r w:rsidRPr="00945CE1">
        <w:rPr>
          <w:rFonts w:ascii="Times New Roman" w:eastAsia="Times New Roman" w:hAnsi="Times New Roman" w:cs="Times New Roman"/>
          <w:b/>
          <w:bCs/>
          <w:i/>
          <w:iCs/>
          <w:kern w:val="0"/>
          <w14:ligatures w14:val="none"/>
        </w:rPr>
        <w:t>Global Wellness Tourism: Market Snapshot</w:t>
      </w:r>
    </w:p>
    <w:p w14:paraId="3F2E6080"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Secondary data confirm the extraordinary scale and resilience of global wellness tourism. The Global Wellness Institute (2023) estimates the market at USD 817 billion in 2022, forecast to reach USD 1.4 trillion by 2027. Asia-Pacific and Europe dominate current market share, but Sub-Saharan Africa, with its vast untapped natural </w:t>
      </w:r>
      <w:r w:rsidRPr="00945CE1">
        <w:rPr>
          <w:rFonts w:ascii="Times New Roman" w:eastAsia="Times New Roman" w:hAnsi="Times New Roman" w:cs="Times New Roman"/>
          <w:kern w:val="0"/>
          <w14:ligatures w14:val="none"/>
        </w:rPr>
        <w:lastRenderedPageBreak/>
        <w:t xml:space="preserve">assets and growing middle class, is identified as the region with the highest growth potential over the next decade. The post-pandemic acceleration of wellness travel is particularly notable: UNWTO (2022) data indicate that wellness-motivated </w:t>
      </w:r>
      <w:proofErr w:type="spellStart"/>
      <w:r w:rsidRPr="00945CE1">
        <w:rPr>
          <w:rFonts w:ascii="Times New Roman" w:eastAsia="Times New Roman" w:hAnsi="Times New Roman" w:cs="Times New Roman"/>
          <w:kern w:val="0"/>
          <w14:ligatures w14:val="none"/>
        </w:rPr>
        <w:t>travellers</w:t>
      </w:r>
      <w:proofErr w:type="spellEnd"/>
      <w:r w:rsidRPr="00945CE1">
        <w:rPr>
          <w:rFonts w:ascii="Times New Roman" w:eastAsia="Times New Roman" w:hAnsi="Times New Roman" w:cs="Times New Roman"/>
          <w:kern w:val="0"/>
          <w14:ligatures w14:val="none"/>
        </w:rPr>
        <w:t xml:space="preserve"> recovered to pre-pandemic volumes faster than any other tourism segment, confirming the structural durability of demand.</w:t>
      </w:r>
    </w:p>
    <w:p w14:paraId="7138DC93" w14:textId="77777777" w:rsidR="00E30D1B" w:rsidRPr="00945CE1" w:rsidRDefault="00E30D1B" w:rsidP="00DA5AE9">
      <w:pPr>
        <w:spacing w:afterLines="50" w:after="120" w:line="240" w:lineRule="auto"/>
        <w:jc w:val="both"/>
        <w:rPr>
          <w:rFonts w:ascii="Times New Roman" w:eastAsia="Times New Roman" w:hAnsi="Times New Roman" w:cs="Times New Roman"/>
          <w:b/>
          <w:bCs/>
          <w:i/>
          <w:iCs/>
          <w:kern w:val="0"/>
          <w14:ligatures w14:val="none"/>
        </w:rPr>
      </w:pPr>
      <w:r w:rsidRPr="00945CE1">
        <w:rPr>
          <w:rFonts w:ascii="Times New Roman" w:eastAsia="Times New Roman" w:hAnsi="Times New Roman" w:cs="Times New Roman"/>
          <w:b/>
          <w:bCs/>
          <w:i/>
          <w:iCs/>
          <w:kern w:val="0"/>
          <w14:ligatures w14:val="none"/>
        </w:rPr>
        <w:t>Nigeria's Indigenous Wellness Resource Inventory</w:t>
      </w:r>
    </w:p>
    <w:p w14:paraId="2D72D795"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Analysis of botanical, geothermal, and cultural heritage literature reveals a rich but </w:t>
      </w:r>
      <w:proofErr w:type="spellStart"/>
      <w:r w:rsidRPr="00945CE1">
        <w:rPr>
          <w:rFonts w:ascii="Times New Roman" w:eastAsia="Times New Roman" w:hAnsi="Times New Roman" w:cs="Times New Roman"/>
          <w:kern w:val="0"/>
          <w14:ligatures w14:val="none"/>
        </w:rPr>
        <w:t>underutilised</w:t>
      </w:r>
      <w:proofErr w:type="spellEnd"/>
      <w:r w:rsidRPr="00945CE1">
        <w:rPr>
          <w:rFonts w:ascii="Times New Roman" w:eastAsia="Times New Roman" w:hAnsi="Times New Roman" w:cs="Times New Roman"/>
          <w:kern w:val="0"/>
          <w14:ligatures w14:val="none"/>
        </w:rPr>
        <w:t xml:space="preserve"> wellness resource base across Nigeria's six geopolitical zones:</w:t>
      </w:r>
    </w:p>
    <w:p w14:paraId="29C5436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Medicinal Forests and Botanical Heritage: Cross River State's Oban Hills contain one of Africa's most biodiverse rainforest ecosystems, with documented therapeutic plant species including Garcinia kola (bitter kola), </w:t>
      </w:r>
      <w:proofErr w:type="spellStart"/>
      <w:r w:rsidRPr="00945CE1">
        <w:rPr>
          <w:rFonts w:ascii="Times New Roman" w:eastAsia="Times New Roman" w:hAnsi="Times New Roman" w:cs="Times New Roman"/>
          <w:kern w:val="0"/>
          <w14:ligatures w14:val="none"/>
        </w:rPr>
        <w:t>Aframomum</w:t>
      </w:r>
      <w:proofErr w:type="spellEnd"/>
      <w:r w:rsidRPr="00945CE1">
        <w:rPr>
          <w:rFonts w:ascii="Times New Roman" w:eastAsia="Times New Roman" w:hAnsi="Times New Roman" w:cs="Times New Roman"/>
          <w:kern w:val="0"/>
          <w14:ligatures w14:val="none"/>
        </w:rPr>
        <w:t xml:space="preserve"> </w:t>
      </w:r>
      <w:proofErr w:type="spellStart"/>
      <w:r w:rsidRPr="00945CE1">
        <w:rPr>
          <w:rFonts w:ascii="Times New Roman" w:eastAsia="Times New Roman" w:hAnsi="Times New Roman" w:cs="Times New Roman"/>
          <w:kern w:val="0"/>
          <w14:ligatures w14:val="none"/>
        </w:rPr>
        <w:t>melegueta</w:t>
      </w:r>
      <w:proofErr w:type="spellEnd"/>
      <w:r w:rsidRPr="00945CE1">
        <w:rPr>
          <w:rFonts w:ascii="Times New Roman" w:eastAsia="Times New Roman" w:hAnsi="Times New Roman" w:cs="Times New Roman"/>
          <w:kern w:val="0"/>
          <w14:ligatures w14:val="none"/>
        </w:rPr>
        <w:t xml:space="preserve"> (grains of paradise), and </w:t>
      </w:r>
      <w:proofErr w:type="spellStart"/>
      <w:r w:rsidRPr="00945CE1">
        <w:rPr>
          <w:rFonts w:ascii="Times New Roman" w:eastAsia="Times New Roman" w:hAnsi="Times New Roman" w:cs="Times New Roman"/>
          <w:kern w:val="0"/>
          <w14:ligatures w14:val="none"/>
        </w:rPr>
        <w:t>Griffonia</w:t>
      </w:r>
      <w:proofErr w:type="spellEnd"/>
      <w:r w:rsidRPr="00945CE1">
        <w:rPr>
          <w:rFonts w:ascii="Times New Roman" w:eastAsia="Times New Roman" w:hAnsi="Times New Roman" w:cs="Times New Roman"/>
          <w:kern w:val="0"/>
          <w14:ligatures w14:val="none"/>
        </w:rPr>
        <w:t xml:space="preserve"> </w:t>
      </w:r>
      <w:proofErr w:type="spellStart"/>
      <w:r w:rsidRPr="00945CE1">
        <w:rPr>
          <w:rFonts w:ascii="Times New Roman" w:eastAsia="Times New Roman" w:hAnsi="Times New Roman" w:cs="Times New Roman"/>
          <w:kern w:val="0"/>
          <w14:ligatures w14:val="none"/>
        </w:rPr>
        <w:t>simplicifolia</w:t>
      </w:r>
      <w:proofErr w:type="spellEnd"/>
      <w:r w:rsidRPr="00945CE1">
        <w:rPr>
          <w:rFonts w:ascii="Times New Roman" w:eastAsia="Times New Roman" w:hAnsi="Times New Roman" w:cs="Times New Roman"/>
          <w:kern w:val="0"/>
          <w14:ligatures w14:val="none"/>
        </w:rPr>
        <w:t xml:space="preserve">, several of which are already </w:t>
      </w:r>
      <w:proofErr w:type="spellStart"/>
      <w:r w:rsidRPr="00945CE1">
        <w:rPr>
          <w:rFonts w:ascii="Times New Roman" w:eastAsia="Times New Roman" w:hAnsi="Times New Roman" w:cs="Times New Roman"/>
          <w:kern w:val="0"/>
          <w14:ligatures w14:val="none"/>
        </w:rPr>
        <w:t>commercialised</w:t>
      </w:r>
      <w:proofErr w:type="spellEnd"/>
      <w:r w:rsidRPr="00945CE1">
        <w:rPr>
          <w:rFonts w:ascii="Times New Roman" w:eastAsia="Times New Roman" w:hAnsi="Times New Roman" w:cs="Times New Roman"/>
          <w:kern w:val="0"/>
          <w14:ligatures w14:val="none"/>
        </w:rPr>
        <w:t xml:space="preserve"> internationally as wellness supplements (Iwu, 1993).</w:t>
      </w:r>
    </w:p>
    <w:p w14:paraId="0FB86D57"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Geothermal Resources: The Wikki Warm Springs in Bauchi State (approximately 31 degrees Celsius, mineral-rich) and geothermal springs documented in Benue State represent world-class balneotherapy assets comparable to those underpinning wellness tourism economies in Iceland and Hungary (Njoku, 2015), yet remain virtually unknown outside their immediate localities.</w:t>
      </w:r>
    </w:p>
    <w:p w14:paraId="314753AF"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Traditional Healing Knowledge: Nigeria's 250 or more ethnic nationalities possess distinct indigenous medical and wellness traditions, from Yoruba herbal medicine and Ifa healing traditions to Hausa-Fulani naturopathic practices and Igbo therapeutic rituals, representing a cultural wellness treasury of global significance (Elujoba et al., 2005).</w:t>
      </w:r>
    </w:p>
    <w:p w14:paraId="18623971"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Culinary Wellness Assets: Indigenous superfoods including moringa (Moringa oleifera), African locust beans (Parkia </w:t>
      </w:r>
      <w:proofErr w:type="spellStart"/>
      <w:r w:rsidRPr="00945CE1">
        <w:rPr>
          <w:rFonts w:ascii="Times New Roman" w:eastAsia="Times New Roman" w:hAnsi="Times New Roman" w:cs="Times New Roman"/>
          <w:kern w:val="0"/>
          <w14:ligatures w14:val="none"/>
        </w:rPr>
        <w:t>biglobosa</w:t>
      </w:r>
      <w:proofErr w:type="spellEnd"/>
      <w:r w:rsidRPr="00945CE1">
        <w:rPr>
          <w:rFonts w:ascii="Times New Roman" w:eastAsia="Times New Roman" w:hAnsi="Times New Roman" w:cs="Times New Roman"/>
          <w:kern w:val="0"/>
          <w14:ligatures w14:val="none"/>
        </w:rPr>
        <w:t xml:space="preserve">), baobab fruit (Adansonia digitata), </w:t>
      </w:r>
      <w:proofErr w:type="spellStart"/>
      <w:r w:rsidRPr="00945CE1">
        <w:rPr>
          <w:rFonts w:ascii="Times New Roman" w:eastAsia="Times New Roman" w:hAnsi="Times New Roman" w:cs="Times New Roman"/>
          <w:kern w:val="0"/>
          <w14:ligatures w14:val="none"/>
        </w:rPr>
        <w:t>tigernuts</w:t>
      </w:r>
      <w:proofErr w:type="spellEnd"/>
      <w:r w:rsidRPr="00945CE1">
        <w:rPr>
          <w:rFonts w:ascii="Times New Roman" w:eastAsia="Times New Roman" w:hAnsi="Times New Roman" w:cs="Times New Roman"/>
          <w:kern w:val="0"/>
          <w14:ligatures w14:val="none"/>
        </w:rPr>
        <w:t xml:space="preserve"> (Cyperus esculentus), and </w:t>
      </w:r>
      <w:proofErr w:type="spellStart"/>
      <w:r w:rsidRPr="00945CE1">
        <w:rPr>
          <w:rFonts w:ascii="Times New Roman" w:eastAsia="Times New Roman" w:hAnsi="Times New Roman" w:cs="Times New Roman"/>
          <w:kern w:val="0"/>
          <w14:ligatures w14:val="none"/>
        </w:rPr>
        <w:t>zobo</w:t>
      </w:r>
      <w:proofErr w:type="spellEnd"/>
      <w:r w:rsidRPr="00945CE1">
        <w:rPr>
          <w:rFonts w:ascii="Times New Roman" w:eastAsia="Times New Roman" w:hAnsi="Times New Roman" w:cs="Times New Roman"/>
          <w:kern w:val="0"/>
          <w14:ligatures w14:val="none"/>
        </w:rPr>
        <w:t xml:space="preserve"> (Hibiscus sabdariffa) have attracted significant international nutraceutical investment, yet are rarely packaged within a wellness tourism narrative (</w:t>
      </w:r>
      <w:proofErr w:type="spellStart"/>
      <w:r w:rsidRPr="00945CE1">
        <w:rPr>
          <w:rFonts w:ascii="Times New Roman" w:eastAsia="Times New Roman" w:hAnsi="Times New Roman" w:cs="Times New Roman"/>
          <w:kern w:val="0"/>
          <w14:ligatures w14:val="none"/>
        </w:rPr>
        <w:t>Kasolo</w:t>
      </w:r>
      <w:proofErr w:type="spellEnd"/>
      <w:r w:rsidRPr="00945CE1">
        <w:rPr>
          <w:rFonts w:ascii="Times New Roman" w:eastAsia="Times New Roman" w:hAnsi="Times New Roman" w:cs="Times New Roman"/>
          <w:kern w:val="0"/>
          <w14:ligatures w14:val="none"/>
        </w:rPr>
        <w:t xml:space="preserve"> et al., 2010; Nwosu et al., 2014).</w:t>
      </w:r>
    </w:p>
    <w:p w14:paraId="0B4267D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Sacred and Spiritual Landscapes: Sites including Osun-Osogbo Sacred Grove (UNESCO World Heritage Site, inscribed 2005), the </w:t>
      </w:r>
      <w:proofErr w:type="spellStart"/>
      <w:r w:rsidRPr="00945CE1">
        <w:rPr>
          <w:rFonts w:ascii="Times New Roman" w:eastAsia="Times New Roman" w:hAnsi="Times New Roman" w:cs="Times New Roman"/>
          <w:kern w:val="0"/>
          <w14:ligatures w14:val="none"/>
        </w:rPr>
        <w:t>Olumo</w:t>
      </w:r>
      <w:proofErr w:type="spellEnd"/>
      <w:r w:rsidRPr="00945CE1">
        <w:rPr>
          <w:rFonts w:ascii="Times New Roman" w:eastAsia="Times New Roman" w:hAnsi="Times New Roman" w:cs="Times New Roman"/>
          <w:kern w:val="0"/>
          <w14:ligatures w14:val="none"/>
        </w:rPr>
        <w:t xml:space="preserve"> Rock complex in Abeokuta, and numerous natural shrines and pilgrimage sites across the country possess authentic spiritual wellness dimensions with growing appeal to contemplative and transformational </w:t>
      </w:r>
      <w:proofErr w:type="spellStart"/>
      <w:r w:rsidRPr="00945CE1">
        <w:rPr>
          <w:rFonts w:ascii="Times New Roman" w:eastAsia="Times New Roman" w:hAnsi="Times New Roman" w:cs="Times New Roman"/>
          <w:kern w:val="0"/>
          <w14:ligatures w14:val="none"/>
        </w:rPr>
        <w:t>travellers</w:t>
      </w:r>
      <w:proofErr w:type="spellEnd"/>
      <w:r w:rsidRPr="00945CE1">
        <w:rPr>
          <w:rFonts w:ascii="Times New Roman" w:eastAsia="Times New Roman" w:hAnsi="Times New Roman" w:cs="Times New Roman"/>
          <w:kern w:val="0"/>
          <w14:ligatures w14:val="none"/>
        </w:rPr>
        <w:t xml:space="preserve"> (Olupona, 2011).</w:t>
      </w:r>
    </w:p>
    <w:p w14:paraId="0D974B86" w14:textId="77777777" w:rsidR="00E30D1B" w:rsidRPr="00945CE1" w:rsidRDefault="00E30D1B" w:rsidP="00DA5AE9">
      <w:pPr>
        <w:spacing w:afterLines="50" w:after="120" w:line="240" w:lineRule="auto"/>
        <w:jc w:val="both"/>
        <w:rPr>
          <w:rFonts w:ascii="Times New Roman" w:eastAsia="Times New Roman" w:hAnsi="Times New Roman" w:cs="Times New Roman"/>
          <w:b/>
          <w:bCs/>
          <w:i/>
          <w:iCs/>
          <w:kern w:val="0"/>
          <w14:ligatures w14:val="none"/>
        </w:rPr>
      </w:pPr>
      <w:r w:rsidRPr="00945CE1">
        <w:rPr>
          <w:rFonts w:ascii="Times New Roman" w:eastAsia="Times New Roman" w:hAnsi="Times New Roman" w:cs="Times New Roman"/>
          <w:b/>
          <w:bCs/>
          <w:i/>
          <w:iCs/>
          <w:kern w:val="0"/>
          <w14:ligatures w14:val="none"/>
        </w:rPr>
        <w:t>Benchmarking Nigeria Against Established Wellness Destinations</w:t>
      </w:r>
    </w:p>
    <w:p w14:paraId="00391D0A"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The five-parameter benchmarking analysis reveals a consistent pattern: Nigeria's natural resource endowment is comparable to or exceeds that of leading wellness destinations across several categories. However, Nigeria performs poorly on institutional frameworks, product packaging, and destination branding, which are precisely the areas where strategic intervention is most feasible and would yield the greatest returns.</w:t>
      </w:r>
    </w:p>
    <w:p w14:paraId="2A1BB571"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Japan scores highest on policy integration, having invested substantially in forest therapy infrastructure since 2004 and formally linking </w:t>
      </w:r>
      <w:proofErr w:type="spellStart"/>
      <w:r w:rsidRPr="00945CE1">
        <w:rPr>
          <w:rFonts w:ascii="Times New Roman" w:eastAsia="Times New Roman" w:hAnsi="Times New Roman" w:cs="Times New Roman"/>
          <w:kern w:val="0"/>
          <w14:ligatures w14:val="none"/>
        </w:rPr>
        <w:t>Shinrin-yoku</w:t>
      </w:r>
      <w:proofErr w:type="spellEnd"/>
      <w:r w:rsidRPr="00945CE1">
        <w:rPr>
          <w:rFonts w:ascii="Times New Roman" w:eastAsia="Times New Roman" w:hAnsi="Times New Roman" w:cs="Times New Roman"/>
          <w:kern w:val="0"/>
          <w14:ligatures w14:val="none"/>
        </w:rPr>
        <w:t xml:space="preserve"> to national health outcomes (Park et al., 2010). Costa Rica leads on sustainability integration and community co-ownership of wellness tourism products (Honey, 2008). Switzerland demonstrates best-in-class destination branding, commanding premiums through consistent narrative coherence (Voigt and Pforr, 2014). Nigeria, in contrast, lacks a dedicated wellness tourism strategy, a certified wellness destination framework, or a coherent international marketing narrative for its natural assets (NTDC, 2021).</w:t>
      </w:r>
    </w:p>
    <w:p w14:paraId="6DE528F9" w14:textId="77777777" w:rsidR="00E30D1B" w:rsidRPr="00945CE1" w:rsidRDefault="00E30D1B" w:rsidP="00DA5AE9">
      <w:pPr>
        <w:spacing w:afterLines="50" w:after="120"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5. DISCUSSION</w:t>
      </w:r>
    </w:p>
    <w:p w14:paraId="0B61CD46"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The results of this study present a paradox that is simultaneously frustrating and deeply encouraging: Nigeria possesses the raw material for world-class wellness tourism but has not yet assembled the institutional architecture needed to compete in the global market. The gap is not primarily one of resources; it is one of imagination, strategy, and institutional will.</w:t>
      </w:r>
    </w:p>
    <w:p w14:paraId="420CB0C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The comparative analysis demonstrates that successful wellness destinations do not simply emerge organically; they are deliberately constructed through the convergence of authentic natural assets, enabling policy frameworks, carefully crafted destination narratives, and deep respect for the communities whose knowledge and land underpin the wellness offer. Japan did not discover forest bathing, as the practice had existed in Japanese culture for centuries. What changed was the government's decision to invest in the scientific validation, spatial infrastructure, and international marketing needed to transform a cultural practice into a globally competitive tourism product (Park et al., 2010).</w:t>
      </w:r>
    </w:p>
    <w:p w14:paraId="7BE76F0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Nigeria is at a similar threshold. The scientific literature on the therapeutic properties of Nigeria's indigenous botanical species is growing steadily (Iwu, 1993; Elujoba et al., 2005; </w:t>
      </w:r>
      <w:proofErr w:type="spellStart"/>
      <w:r w:rsidRPr="00945CE1">
        <w:rPr>
          <w:rFonts w:ascii="Times New Roman" w:eastAsia="Times New Roman" w:hAnsi="Times New Roman" w:cs="Times New Roman"/>
          <w:kern w:val="0"/>
          <w14:ligatures w14:val="none"/>
        </w:rPr>
        <w:t>Kasolo</w:t>
      </w:r>
      <w:proofErr w:type="spellEnd"/>
      <w:r w:rsidRPr="00945CE1">
        <w:rPr>
          <w:rFonts w:ascii="Times New Roman" w:eastAsia="Times New Roman" w:hAnsi="Times New Roman" w:cs="Times New Roman"/>
          <w:kern w:val="0"/>
          <w14:ligatures w14:val="none"/>
        </w:rPr>
        <w:t xml:space="preserve"> et al., 2010). International demand for authentic African wellness experiences is increasing, particularly among the African diaspora in North America and Europe, a market segment that combines high spending power with a strong cultural affinity for Nigerian traditions. The conditions for a Nigerian wellness tourism breakthrough are forming, but deliberate facilitation is required.</w:t>
      </w:r>
    </w:p>
    <w:p w14:paraId="789C49F8"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However, three critical challenges must be addressed. First, the infrastructure deficit is real: reliable access to Nigeria's most compelling wellness landscapes, including the Cross River forests, the Bauchi hot springs, and the Osun Grove, remains hampered by poor road networks, inadequate hospitality facilities, and inconsistent utility provision. Without addressing this foundational challenge, even the most compelling wellness narrative will fail to convert visitor intention into actual arrivals.</w:t>
      </w:r>
    </w:p>
    <w:p w14:paraId="1ECE9FDD"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Second, the regulatory environment for traditional medicine and wellness practices remains unsettled in Nigeria, creating uncertainty for investors and practitioners alike. Countries like India, which have built a thriving Ayurveda wellness tourism sector, have done so partly by establishing clear regulatory frameworks that codify, protect, and promote traditional healing practices within internationally </w:t>
      </w:r>
      <w:proofErr w:type="spellStart"/>
      <w:r w:rsidRPr="00945CE1">
        <w:rPr>
          <w:rFonts w:ascii="Times New Roman" w:eastAsia="Times New Roman" w:hAnsi="Times New Roman" w:cs="Times New Roman"/>
          <w:kern w:val="0"/>
          <w14:ligatures w14:val="none"/>
        </w:rPr>
        <w:t>recognisable</w:t>
      </w:r>
      <w:proofErr w:type="spellEnd"/>
      <w:r w:rsidRPr="00945CE1">
        <w:rPr>
          <w:rFonts w:ascii="Times New Roman" w:eastAsia="Times New Roman" w:hAnsi="Times New Roman" w:cs="Times New Roman"/>
          <w:kern w:val="0"/>
          <w14:ligatures w14:val="none"/>
        </w:rPr>
        <w:t xml:space="preserve"> quality assurance systems (Halpern, 2006). Nigeria's National Agency for Food and Drug Administration and Control (NAFDAC) has made progress in regulating herbal products, but a dedicated wellness tourism quality framework has yet to be developed.</w:t>
      </w:r>
    </w:p>
    <w:p w14:paraId="77D7A2FF"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Third, and perhaps most fundamentally, Nigeria urgently needs a coherent wellness tourism brand, a compelling and internationally legible narrative that ties the country's diverse natural and cultural wellness assets into a unified destination proposition. This is not merely a marketing exercise; it is an act of national identity re-curation with the potential to shift global perceptions of Nigeria away from associations with oil and commercial risk toward an identity grounded in healing, vitality, and natural abundance. Smith and </w:t>
      </w:r>
      <w:proofErr w:type="spellStart"/>
      <w:r w:rsidRPr="00945CE1">
        <w:rPr>
          <w:rFonts w:ascii="Times New Roman" w:eastAsia="Times New Roman" w:hAnsi="Times New Roman" w:cs="Times New Roman"/>
          <w:kern w:val="0"/>
          <w14:ligatures w14:val="none"/>
        </w:rPr>
        <w:t>Puczko</w:t>
      </w:r>
      <w:proofErr w:type="spellEnd"/>
      <w:r w:rsidRPr="00945CE1">
        <w:rPr>
          <w:rFonts w:ascii="Times New Roman" w:eastAsia="Times New Roman" w:hAnsi="Times New Roman" w:cs="Times New Roman"/>
          <w:kern w:val="0"/>
          <w14:ligatures w14:val="none"/>
        </w:rPr>
        <w:t xml:space="preserve"> (2014) argue that destination branding for wellness tourism must be rooted in authentic place-based identity to generate long-term competitive advantage, a principle that Nigeria's tourism managers would do well to heed.</w:t>
      </w:r>
    </w:p>
    <w:p w14:paraId="3BABE835" w14:textId="77777777" w:rsidR="00E30D1B" w:rsidRPr="00945CE1" w:rsidRDefault="00E30D1B" w:rsidP="00DA5AE9">
      <w:pPr>
        <w:spacing w:afterLines="50" w:after="120"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6. CONCLUSION</w:t>
      </w:r>
    </w:p>
    <w:p w14:paraId="4CF801EF"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This paper has argued that Nigeria possesses the natural and cultural foundations for a transformative wellness tourism industry, one that could generate significant economic value, create employment across rural communities, and reposition the country's international identity. Drawing on lessons from Japan, Costa Rica, and Switzerland, it has identified the strategic pathways through which Nigeria's indigenous resources can be packaged, positioned, and promoted to the rapidly growing global wellness </w:t>
      </w:r>
      <w:proofErr w:type="spellStart"/>
      <w:r w:rsidRPr="00945CE1">
        <w:rPr>
          <w:rFonts w:ascii="Times New Roman" w:eastAsia="Times New Roman" w:hAnsi="Times New Roman" w:cs="Times New Roman"/>
          <w:kern w:val="0"/>
          <w14:ligatures w14:val="none"/>
        </w:rPr>
        <w:t>traveller</w:t>
      </w:r>
      <w:proofErr w:type="spellEnd"/>
      <w:r w:rsidRPr="00945CE1">
        <w:rPr>
          <w:rFonts w:ascii="Times New Roman" w:eastAsia="Times New Roman" w:hAnsi="Times New Roman" w:cs="Times New Roman"/>
          <w:kern w:val="0"/>
          <w14:ligatures w14:val="none"/>
        </w:rPr>
        <w:t xml:space="preserve"> market. The central takeaway is both simple and ambitious: the path from soil to soul, from Nigeria's extraordinary natural heritage to the wellbeing of health-conscious global </w:t>
      </w:r>
      <w:proofErr w:type="spellStart"/>
      <w:r w:rsidRPr="00945CE1">
        <w:rPr>
          <w:rFonts w:ascii="Times New Roman" w:eastAsia="Times New Roman" w:hAnsi="Times New Roman" w:cs="Times New Roman"/>
          <w:kern w:val="0"/>
          <w14:ligatures w14:val="none"/>
        </w:rPr>
        <w:t>travellers</w:t>
      </w:r>
      <w:proofErr w:type="spellEnd"/>
      <w:r w:rsidRPr="00945CE1">
        <w:rPr>
          <w:rFonts w:ascii="Times New Roman" w:eastAsia="Times New Roman" w:hAnsi="Times New Roman" w:cs="Times New Roman"/>
          <w:kern w:val="0"/>
          <w14:ligatures w14:val="none"/>
        </w:rPr>
        <w:t>, is navigable, but it requires deliberate and coordinated action across policy, infrastructure, product development, community empowerment, and destination branding.</w:t>
      </w:r>
    </w:p>
    <w:p w14:paraId="616F0F01"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Several limitations of this study should be acknowledged. The reliance on secondary data means that primary-level assessments of specific wellness sites in Nigeria, including their carrying capacity, community readiness, and product development potential, await further field research. Additionally, the rapidly evolving nature of the global wellness tourism market means that benchmarks drawn from current data may shift considerably over the study period. Future research should pursue primary ethnobotanical and community-based participatory studies at key wellness landscape sites across Nigeria's geopolitical zones; develop a Nigeria Wellness Tourism </w:t>
      </w:r>
      <w:r w:rsidRPr="00945CE1">
        <w:rPr>
          <w:rFonts w:ascii="Times New Roman" w:eastAsia="Times New Roman" w:hAnsi="Times New Roman" w:cs="Times New Roman"/>
          <w:kern w:val="0"/>
          <w14:ligatures w14:val="none"/>
        </w:rPr>
        <w:lastRenderedPageBreak/>
        <w:t>Readiness Index to track destination performance over time; and examine the role of the Nigerian diaspora as both a primary target market and a potential investor community for wellness destination development.</w:t>
      </w:r>
    </w:p>
    <w:p w14:paraId="7C9F89C1"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Nigeria's wellness story is waiting to be told. The question is not whether the resources exist, as they do, in extraordinary abundance. The question is whether Nigerian policymakers, tourism practitioners, and destination managers are prepared to see their country not merely as a place of oil and commerce, but as a land of healing, ancient wisdom, and natural beauty capable of offering restorative experiences to </w:t>
      </w:r>
      <w:proofErr w:type="spellStart"/>
      <w:r w:rsidRPr="00945CE1">
        <w:rPr>
          <w:rFonts w:ascii="Times New Roman" w:eastAsia="Times New Roman" w:hAnsi="Times New Roman" w:cs="Times New Roman"/>
          <w:kern w:val="0"/>
          <w14:ligatures w14:val="none"/>
        </w:rPr>
        <w:t>travellers</w:t>
      </w:r>
      <w:proofErr w:type="spellEnd"/>
      <w:r w:rsidRPr="00945CE1">
        <w:rPr>
          <w:rFonts w:ascii="Times New Roman" w:eastAsia="Times New Roman" w:hAnsi="Times New Roman" w:cs="Times New Roman"/>
          <w:kern w:val="0"/>
          <w14:ligatures w14:val="none"/>
        </w:rPr>
        <w:t xml:space="preserve"> from across the world. That reimagination, boldly and systematically pursued, is the beginning of Nigeria's wellness tourism revolution.</w:t>
      </w:r>
    </w:p>
    <w:p w14:paraId="0F749CA4" w14:textId="77777777" w:rsidR="00E30D1B" w:rsidRPr="00945CE1" w:rsidRDefault="00E30D1B" w:rsidP="00DA5AE9">
      <w:pPr>
        <w:spacing w:afterLines="50" w:after="120" w:line="240" w:lineRule="auto"/>
        <w:jc w:val="both"/>
        <w:rPr>
          <w:rFonts w:ascii="Times New Roman" w:eastAsia="Times New Roman" w:hAnsi="Times New Roman" w:cs="Times New Roman"/>
          <w:kern w:val="0"/>
          <w14:ligatures w14:val="none"/>
        </w:rPr>
      </w:pPr>
    </w:p>
    <w:p w14:paraId="07A9E5DF" w14:textId="77777777" w:rsidR="00E30D1B" w:rsidRPr="00945CE1" w:rsidRDefault="00E30D1B" w:rsidP="00DA5AE9">
      <w:pPr>
        <w:spacing w:afterLines="50" w:after="120" w:line="240" w:lineRule="auto"/>
        <w:jc w:val="both"/>
        <w:rPr>
          <w:rFonts w:ascii="Times New Roman" w:eastAsia="Times New Roman" w:hAnsi="Times New Roman" w:cs="Times New Roman"/>
          <w:b/>
          <w:bCs/>
          <w:kern w:val="0"/>
          <w14:ligatures w14:val="none"/>
        </w:rPr>
      </w:pPr>
      <w:r w:rsidRPr="00945CE1">
        <w:rPr>
          <w:rFonts w:ascii="Times New Roman" w:eastAsia="Times New Roman" w:hAnsi="Times New Roman" w:cs="Times New Roman"/>
          <w:b/>
          <w:bCs/>
          <w:kern w:val="0"/>
          <w14:ligatures w14:val="none"/>
        </w:rPr>
        <w:t>REFERENCES</w:t>
      </w:r>
    </w:p>
    <w:p w14:paraId="1BE44886"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Adeola, O., &amp; Evans, O. (2020). Digital tourism: Mobile phones, internet use and tourism in Africa. </w:t>
      </w:r>
      <w:r w:rsidRPr="00945CE1">
        <w:rPr>
          <w:rFonts w:ascii="Times New Roman" w:eastAsia="Times New Roman" w:hAnsi="Times New Roman" w:cs="Times New Roman"/>
          <w:i/>
          <w:iCs/>
          <w:kern w:val="0"/>
          <w14:ligatures w14:val="none"/>
        </w:rPr>
        <w:t>Tourism Recreation Research, 45</w:t>
      </w:r>
      <w:r w:rsidRPr="00945CE1">
        <w:rPr>
          <w:rFonts w:ascii="Times New Roman" w:eastAsia="Times New Roman" w:hAnsi="Times New Roman" w:cs="Times New Roman"/>
          <w:kern w:val="0"/>
          <w14:ligatures w14:val="none"/>
        </w:rPr>
        <w:t>(2), 190-202.</w:t>
      </w:r>
    </w:p>
    <w:p w14:paraId="1FBEEC1D"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Buckley, R. (2012). Rush as a key motivation in skilled adventure tourism: Resolving the risk recreation paradox. </w:t>
      </w:r>
      <w:r w:rsidRPr="00945CE1">
        <w:rPr>
          <w:rFonts w:ascii="Times New Roman" w:eastAsia="Times New Roman" w:hAnsi="Times New Roman" w:cs="Times New Roman"/>
          <w:i/>
          <w:iCs/>
          <w:kern w:val="0"/>
          <w14:ligatures w14:val="none"/>
        </w:rPr>
        <w:t>Tourism Management, 33</w:t>
      </w:r>
      <w:r w:rsidRPr="00945CE1">
        <w:rPr>
          <w:rFonts w:ascii="Times New Roman" w:eastAsia="Times New Roman" w:hAnsi="Times New Roman" w:cs="Times New Roman"/>
          <w:kern w:val="0"/>
          <w14:ligatures w14:val="none"/>
        </w:rPr>
        <w:t>(4), 961-970.</w:t>
      </w:r>
    </w:p>
    <w:p w14:paraId="7A74C72F"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Elujoba, A. A., </w:t>
      </w:r>
      <w:proofErr w:type="spellStart"/>
      <w:r w:rsidRPr="00945CE1">
        <w:rPr>
          <w:rFonts w:ascii="Times New Roman" w:eastAsia="Times New Roman" w:hAnsi="Times New Roman" w:cs="Times New Roman"/>
          <w:kern w:val="0"/>
          <w14:ligatures w14:val="none"/>
        </w:rPr>
        <w:t>Odeleye</w:t>
      </w:r>
      <w:proofErr w:type="spellEnd"/>
      <w:r w:rsidRPr="00945CE1">
        <w:rPr>
          <w:rFonts w:ascii="Times New Roman" w:eastAsia="Times New Roman" w:hAnsi="Times New Roman" w:cs="Times New Roman"/>
          <w:kern w:val="0"/>
          <w14:ligatures w14:val="none"/>
        </w:rPr>
        <w:t xml:space="preserve">, O. M., &amp; Ogunyemi, C. M. (2005). Traditional medicine development for medical and dental primary health care delivery system in Africa. </w:t>
      </w:r>
      <w:r w:rsidRPr="00945CE1">
        <w:rPr>
          <w:rFonts w:ascii="Times New Roman" w:eastAsia="Times New Roman" w:hAnsi="Times New Roman" w:cs="Times New Roman"/>
          <w:i/>
          <w:iCs/>
          <w:kern w:val="0"/>
          <w14:ligatures w14:val="none"/>
        </w:rPr>
        <w:t>African Journal of Traditional, Complementary and Alternative Medicines, 2</w:t>
      </w:r>
      <w:r w:rsidRPr="00945CE1">
        <w:rPr>
          <w:rFonts w:ascii="Times New Roman" w:eastAsia="Times New Roman" w:hAnsi="Times New Roman" w:cs="Times New Roman"/>
          <w:kern w:val="0"/>
          <w14:ligatures w14:val="none"/>
        </w:rPr>
        <w:t>(1), 46-61. https://doi.org/10.4314/ajtcam.v2i1.31103</w:t>
      </w:r>
    </w:p>
    <w:p w14:paraId="6D0A4E2F"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Gesler, W. M. (1992). Therapeutic landscapes: Medical issues in light of the new cultural geography. </w:t>
      </w:r>
      <w:r w:rsidRPr="00945CE1">
        <w:rPr>
          <w:rFonts w:ascii="Times New Roman" w:eastAsia="Times New Roman" w:hAnsi="Times New Roman" w:cs="Times New Roman"/>
          <w:i/>
          <w:iCs/>
          <w:kern w:val="0"/>
          <w14:ligatures w14:val="none"/>
        </w:rPr>
        <w:t>Social Science and Medicine, 34</w:t>
      </w:r>
      <w:r w:rsidRPr="00945CE1">
        <w:rPr>
          <w:rFonts w:ascii="Times New Roman" w:eastAsia="Times New Roman" w:hAnsi="Times New Roman" w:cs="Times New Roman"/>
          <w:kern w:val="0"/>
          <w14:ligatures w14:val="none"/>
        </w:rPr>
        <w:t>(7), 735-746.</w:t>
      </w:r>
    </w:p>
    <w:p w14:paraId="3F664182"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Gill, L. S. (1992).</w:t>
      </w:r>
      <w:r w:rsidRPr="00945CE1">
        <w:rPr>
          <w:rFonts w:ascii="Times New Roman" w:eastAsia="Times New Roman" w:hAnsi="Times New Roman" w:cs="Times New Roman"/>
          <w:i/>
          <w:iCs/>
          <w:kern w:val="0"/>
          <w14:ligatures w14:val="none"/>
        </w:rPr>
        <w:t xml:space="preserve"> Ethnomedical uses of plants in Nigeria.</w:t>
      </w:r>
      <w:r w:rsidRPr="00945CE1">
        <w:rPr>
          <w:rFonts w:ascii="Times New Roman" w:eastAsia="Times New Roman" w:hAnsi="Times New Roman" w:cs="Times New Roman"/>
          <w:kern w:val="0"/>
          <w14:ligatures w14:val="none"/>
        </w:rPr>
        <w:t xml:space="preserve"> University of Benin Press.</w:t>
      </w:r>
    </w:p>
    <w:p w14:paraId="50EBE960"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Global Wellness Institute. (2021). </w:t>
      </w:r>
      <w:r w:rsidRPr="00945CE1">
        <w:rPr>
          <w:rFonts w:ascii="Times New Roman" w:eastAsia="Times New Roman" w:hAnsi="Times New Roman" w:cs="Times New Roman"/>
          <w:i/>
          <w:iCs/>
          <w:kern w:val="0"/>
          <w14:ligatures w14:val="none"/>
        </w:rPr>
        <w:t>Global wellness economy: Looking beyond COVID.</w:t>
      </w:r>
      <w:r w:rsidRPr="00945CE1">
        <w:rPr>
          <w:rFonts w:ascii="Times New Roman" w:eastAsia="Times New Roman" w:hAnsi="Times New Roman" w:cs="Times New Roman"/>
          <w:kern w:val="0"/>
          <w14:ligatures w14:val="none"/>
        </w:rPr>
        <w:t xml:space="preserve"> GWI. https://globalwellnessinstitute.org/industry-research/global-wellness-economy-looking-beyond-covid/</w:t>
      </w:r>
    </w:p>
    <w:p w14:paraId="0564D6DA"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Global Wellness Institute. (2023). </w:t>
      </w:r>
      <w:r w:rsidRPr="00945CE1">
        <w:rPr>
          <w:rFonts w:ascii="Times New Roman" w:eastAsia="Times New Roman" w:hAnsi="Times New Roman" w:cs="Times New Roman"/>
          <w:i/>
          <w:iCs/>
          <w:kern w:val="0"/>
          <w14:ligatures w14:val="none"/>
        </w:rPr>
        <w:t xml:space="preserve">Global wellness economy </w:t>
      </w:r>
      <w:proofErr w:type="gramStart"/>
      <w:r w:rsidRPr="00945CE1">
        <w:rPr>
          <w:rFonts w:ascii="Times New Roman" w:eastAsia="Times New Roman" w:hAnsi="Times New Roman" w:cs="Times New Roman"/>
          <w:i/>
          <w:iCs/>
          <w:kern w:val="0"/>
          <w14:ligatures w14:val="none"/>
        </w:rPr>
        <w:t>monitor</w:t>
      </w:r>
      <w:proofErr w:type="gramEnd"/>
      <w:r w:rsidRPr="00945CE1">
        <w:rPr>
          <w:rFonts w:ascii="Times New Roman" w:eastAsia="Times New Roman" w:hAnsi="Times New Roman" w:cs="Times New Roman"/>
          <w:i/>
          <w:iCs/>
          <w:kern w:val="0"/>
          <w14:ligatures w14:val="none"/>
        </w:rPr>
        <w:t xml:space="preserve"> 2023.</w:t>
      </w:r>
      <w:r w:rsidRPr="00945CE1">
        <w:rPr>
          <w:rFonts w:ascii="Times New Roman" w:eastAsia="Times New Roman" w:hAnsi="Times New Roman" w:cs="Times New Roman"/>
          <w:kern w:val="0"/>
          <w14:ligatures w14:val="none"/>
        </w:rPr>
        <w:t xml:space="preserve"> GWI. https://globalwellnessinstitute.org/industry-research/2023-global-wellness-economy-monitor/</w:t>
      </w:r>
    </w:p>
    <w:p w14:paraId="08932DE9"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Halpern, M. (2006). </w:t>
      </w:r>
      <w:r w:rsidRPr="00945CE1">
        <w:rPr>
          <w:rFonts w:ascii="Times New Roman" w:eastAsia="Times New Roman" w:hAnsi="Times New Roman" w:cs="Times New Roman"/>
          <w:i/>
          <w:iCs/>
          <w:kern w:val="0"/>
          <w14:ligatures w14:val="none"/>
        </w:rPr>
        <w:t>Ayurveda: Life, health and longevity.</w:t>
      </w:r>
      <w:r w:rsidRPr="00945CE1">
        <w:rPr>
          <w:rFonts w:ascii="Times New Roman" w:eastAsia="Times New Roman" w:hAnsi="Times New Roman" w:cs="Times New Roman"/>
          <w:kern w:val="0"/>
          <w14:ligatures w14:val="none"/>
        </w:rPr>
        <w:t xml:space="preserve"> Lotus Press.</w:t>
      </w:r>
    </w:p>
    <w:p w14:paraId="1154E66A"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Honey, M. (2008).</w:t>
      </w:r>
      <w:r w:rsidRPr="00945CE1">
        <w:rPr>
          <w:rFonts w:ascii="Times New Roman" w:eastAsia="Times New Roman" w:hAnsi="Times New Roman" w:cs="Times New Roman"/>
          <w:i/>
          <w:iCs/>
          <w:kern w:val="0"/>
          <w14:ligatures w14:val="none"/>
        </w:rPr>
        <w:t xml:space="preserve"> Ecotourism and sustainable development: Who owns paradise?</w:t>
      </w:r>
      <w:r w:rsidRPr="00945CE1">
        <w:rPr>
          <w:rFonts w:ascii="Times New Roman" w:eastAsia="Times New Roman" w:hAnsi="Times New Roman" w:cs="Times New Roman"/>
          <w:kern w:val="0"/>
          <w14:ligatures w14:val="none"/>
        </w:rPr>
        <w:t xml:space="preserve"> (2nd ed.). Island Press.</w:t>
      </w:r>
    </w:p>
    <w:p w14:paraId="01182EC7"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Instituto </w:t>
      </w:r>
      <w:proofErr w:type="spellStart"/>
      <w:r w:rsidRPr="00945CE1">
        <w:rPr>
          <w:rFonts w:ascii="Times New Roman" w:eastAsia="Times New Roman" w:hAnsi="Times New Roman" w:cs="Times New Roman"/>
          <w:kern w:val="0"/>
          <w14:ligatures w14:val="none"/>
        </w:rPr>
        <w:t>Costarricense</w:t>
      </w:r>
      <w:proofErr w:type="spellEnd"/>
      <w:r w:rsidRPr="00945CE1">
        <w:rPr>
          <w:rFonts w:ascii="Times New Roman" w:eastAsia="Times New Roman" w:hAnsi="Times New Roman" w:cs="Times New Roman"/>
          <w:kern w:val="0"/>
          <w14:ligatures w14:val="none"/>
        </w:rPr>
        <w:t xml:space="preserve"> de Turismo (ICT). (2022). </w:t>
      </w:r>
      <w:r w:rsidRPr="00945CE1">
        <w:rPr>
          <w:rFonts w:ascii="Times New Roman" w:eastAsia="Times New Roman" w:hAnsi="Times New Roman" w:cs="Times New Roman"/>
          <w:i/>
          <w:iCs/>
          <w:kern w:val="0"/>
          <w14:ligatures w14:val="none"/>
        </w:rPr>
        <w:t>Tourism statistical yearbook 2022.</w:t>
      </w:r>
      <w:r w:rsidRPr="00945CE1">
        <w:rPr>
          <w:rFonts w:ascii="Times New Roman" w:eastAsia="Times New Roman" w:hAnsi="Times New Roman" w:cs="Times New Roman"/>
          <w:kern w:val="0"/>
          <w14:ligatures w14:val="none"/>
        </w:rPr>
        <w:t xml:space="preserve"> ICT. https://www.ict.go.cr/en/documents/statistics/annual-yearbook.html</w:t>
      </w:r>
    </w:p>
    <w:p w14:paraId="17C73999"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Iwu, M. M. (1993). </w:t>
      </w:r>
      <w:r w:rsidRPr="00945CE1">
        <w:rPr>
          <w:rFonts w:ascii="Times New Roman" w:eastAsia="Times New Roman" w:hAnsi="Times New Roman" w:cs="Times New Roman"/>
          <w:i/>
          <w:iCs/>
          <w:kern w:val="0"/>
          <w14:ligatures w14:val="none"/>
        </w:rPr>
        <w:t xml:space="preserve">Handbook of African medicinal plants. </w:t>
      </w:r>
      <w:r w:rsidRPr="00945CE1">
        <w:rPr>
          <w:rFonts w:ascii="Times New Roman" w:eastAsia="Times New Roman" w:hAnsi="Times New Roman" w:cs="Times New Roman"/>
          <w:kern w:val="0"/>
          <w14:ligatures w14:val="none"/>
        </w:rPr>
        <w:t>CRC Press.</w:t>
      </w:r>
    </w:p>
    <w:p w14:paraId="50F969FD"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proofErr w:type="spellStart"/>
      <w:r w:rsidRPr="00945CE1">
        <w:rPr>
          <w:rFonts w:ascii="Times New Roman" w:eastAsia="Times New Roman" w:hAnsi="Times New Roman" w:cs="Times New Roman"/>
          <w:kern w:val="0"/>
          <w14:ligatures w14:val="none"/>
        </w:rPr>
        <w:t>Kasolo</w:t>
      </w:r>
      <w:proofErr w:type="spellEnd"/>
      <w:r w:rsidRPr="00945CE1">
        <w:rPr>
          <w:rFonts w:ascii="Times New Roman" w:eastAsia="Times New Roman" w:hAnsi="Times New Roman" w:cs="Times New Roman"/>
          <w:kern w:val="0"/>
          <w14:ligatures w14:val="none"/>
        </w:rPr>
        <w:t xml:space="preserve">, J. N., </w:t>
      </w:r>
      <w:proofErr w:type="spellStart"/>
      <w:r w:rsidRPr="00945CE1">
        <w:rPr>
          <w:rFonts w:ascii="Times New Roman" w:eastAsia="Times New Roman" w:hAnsi="Times New Roman" w:cs="Times New Roman"/>
          <w:kern w:val="0"/>
          <w14:ligatures w14:val="none"/>
        </w:rPr>
        <w:t>Bimenya</w:t>
      </w:r>
      <w:proofErr w:type="spellEnd"/>
      <w:r w:rsidRPr="00945CE1">
        <w:rPr>
          <w:rFonts w:ascii="Times New Roman" w:eastAsia="Times New Roman" w:hAnsi="Times New Roman" w:cs="Times New Roman"/>
          <w:kern w:val="0"/>
          <w14:ligatures w14:val="none"/>
        </w:rPr>
        <w:t>, G. S., Ojok, L., Ochieng, J., &amp; Ogwal-</w:t>
      </w:r>
      <w:proofErr w:type="spellStart"/>
      <w:r w:rsidRPr="00945CE1">
        <w:rPr>
          <w:rFonts w:ascii="Times New Roman" w:eastAsia="Times New Roman" w:hAnsi="Times New Roman" w:cs="Times New Roman"/>
          <w:kern w:val="0"/>
          <w14:ligatures w14:val="none"/>
        </w:rPr>
        <w:t>Okeng</w:t>
      </w:r>
      <w:proofErr w:type="spellEnd"/>
      <w:r w:rsidRPr="00945CE1">
        <w:rPr>
          <w:rFonts w:ascii="Times New Roman" w:eastAsia="Times New Roman" w:hAnsi="Times New Roman" w:cs="Times New Roman"/>
          <w:kern w:val="0"/>
          <w14:ligatures w14:val="none"/>
        </w:rPr>
        <w:t xml:space="preserve">, J. W. (2010). Phytochemicals and uses of Moringa oleifera leaves in Ugandan rural communities. </w:t>
      </w:r>
      <w:r w:rsidRPr="00945CE1">
        <w:rPr>
          <w:rFonts w:ascii="Times New Roman" w:eastAsia="Times New Roman" w:hAnsi="Times New Roman" w:cs="Times New Roman"/>
          <w:i/>
          <w:iCs/>
          <w:kern w:val="0"/>
          <w14:ligatures w14:val="none"/>
        </w:rPr>
        <w:t>Journal of Medicinal Plants Research, 4</w:t>
      </w:r>
      <w:r w:rsidRPr="00945CE1">
        <w:rPr>
          <w:rFonts w:ascii="Times New Roman" w:eastAsia="Times New Roman" w:hAnsi="Times New Roman" w:cs="Times New Roman"/>
          <w:kern w:val="0"/>
          <w14:ligatures w14:val="none"/>
        </w:rPr>
        <w:t>(9), 753-757.</w:t>
      </w:r>
    </w:p>
    <w:p w14:paraId="0B63F83A"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Li, Q. (2010). Effect of forest bathing trips on human immune function. </w:t>
      </w:r>
      <w:r w:rsidRPr="00945CE1">
        <w:rPr>
          <w:rFonts w:ascii="Times New Roman" w:eastAsia="Times New Roman" w:hAnsi="Times New Roman" w:cs="Times New Roman"/>
          <w:i/>
          <w:iCs/>
          <w:kern w:val="0"/>
          <w14:ligatures w14:val="none"/>
        </w:rPr>
        <w:t>Environmental Health and Preventive Medicine, 15</w:t>
      </w:r>
      <w:r w:rsidRPr="00945CE1">
        <w:rPr>
          <w:rFonts w:ascii="Times New Roman" w:eastAsia="Times New Roman" w:hAnsi="Times New Roman" w:cs="Times New Roman"/>
          <w:kern w:val="0"/>
          <w14:ligatures w14:val="none"/>
        </w:rPr>
        <w:t>(1), 9-17.</w:t>
      </w:r>
    </w:p>
    <w:p w14:paraId="153674AE"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Muller, H., &amp; Lanz Kaufmann, E. (2001). Wellness tourism: Market analysis of a special health tourism segment and implications for the hotel industry. </w:t>
      </w:r>
      <w:r w:rsidRPr="00945CE1">
        <w:rPr>
          <w:rFonts w:ascii="Times New Roman" w:eastAsia="Times New Roman" w:hAnsi="Times New Roman" w:cs="Times New Roman"/>
          <w:i/>
          <w:iCs/>
          <w:kern w:val="0"/>
          <w14:ligatures w14:val="none"/>
        </w:rPr>
        <w:t>Journal of Vacation Marketing, 7</w:t>
      </w:r>
      <w:r w:rsidRPr="00945CE1">
        <w:rPr>
          <w:rFonts w:ascii="Times New Roman" w:eastAsia="Times New Roman" w:hAnsi="Times New Roman" w:cs="Times New Roman"/>
          <w:kern w:val="0"/>
          <w14:ligatures w14:val="none"/>
        </w:rPr>
        <w:t>(1), 5-17. https://doi.org/10.1177/135676670100700101</w:t>
      </w:r>
    </w:p>
    <w:p w14:paraId="6527061C"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Nigerian Tourism Development Corporation (NTDC). (2021). </w:t>
      </w:r>
      <w:r w:rsidRPr="00945CE1">
        <w:rPr>
          <w:rFonts w:ascii="Times New Roman" w:eastAsia="Times New Roman" w:hAnsi="Times New Roman" w:cs="Times New Roman"/>
          <w:i/>
          <w:iCs/>
          <w:kern w:val="0"/>
          <w14:ligatures w14:val="none"/>
        </w:rPr>
        <w:t>Nigeria tourism development master plan 2020-2030.</w:t>
      </w:r>
      <w:r w:rsidRPr="00945CE1">
        <w:rPr>
          <w:rFonts w:ascii="Times New Roman" w:eastAsia="Times New Roman" w:hAnsi="Times New Roman" w:cs="Times New Roman"/>
          <w:kern w:val="0"/>
          <w14:ligatures w14:val="none"/>
        </w:rPr>
        <w:t xml:space="preserve"> Federal Ministry of Tourism. </w:t>
      </w:r>
    </w:p>
    <w:p w14:paraId="25224447"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Njoku, J. D. (2015). </w:t>
      </w:r>
      <w:r w:rsidRPr="00945CE1">
        <w:rPr>
          <w:rFonts w:ascii="Times New Roman" w:eastAsia="Times New Roman" w:hAnsi="Times New Roman" w:cs="Times New Roman"/>
          <w:i/>
          <w:iCs/>
          <w:kern w:val="0"/>
          <w14:ligatures w14:val="none"/>
        </w:rPr>
        <w:t>Tourism resources in Nigeria: A geographic appraisal.</w:t>
      </w:r>
      <w:r w:rsidRPr="00945CE1">
        <w:rPr>
          <w:rFonts w:ascii="Times New Roman" w:eastAsia="Times New Roman" w:hAnsi="Times New Roman" w:cs="Times New Roman"/>
          <w:kern w:val="0"/>
          <w14:ligatures w14:val="none"/>
        </w:rPr>
        <w:t xml:space="preserve"> Owerri: Springfield Publishers.</w:t>
      </w:r>
    </w:p>
    <w:p w14:paraId="2EA2250C"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Nwosu, J. N., </w:t>
      </w:r>
      <w:proofErr w:type="spellStart"/>
      <w:r w:rsidRPr="00945CE1">
        <w:rPr>
          <w:rFonts w:ascii="Times New Roman" w:eastAsia="Times New Roman" w:hAnsi="Times New Roman" w:cs="Times New Roman"/>
          <w:kern w:val="0"/>
          <w14:ligatures w14:val="none"/>
        </w:rPr>
        <w:t>Ogueke</w:t>
      </w:r>
      <w:proofErr w:type="spellEnd"/>
      <w:r w:rsidRPr="00945CE1">
        <w:rPr>
          <w:rFonts w:ascii="Times New Roman" w:eastAsia="Times New Roman" w:hAnsi="Times New Roman" w:cs="Times New Roman"/>
          <w:kern w:val="0"/>
          <w14:ligatures w14:val="none"/>
        </w:rPr>
        <w:t xml:space="preserve">, C. C., </w:t>
      </w:r>
      <w:proofErr w:type="spellStart"/>
      <w:r w:rsidRPr="00945CE1">
        <w:rPr>
          <w:rFonts w:ascii="Times New Roman" w:eastAsia="Times New Roman" w:hAnsi="Times New Roman" w:cs="Times New Roman"/>
          <w:kern w:val="0"/>
          <w14:ligatures w14:val="none"/>
        </w:rPr>
        <w:t>Owuamanam</w:t>
      </w:r>
      <w:proofErr w:type="spellEnd"/>
      <w:r w:rsidRPr="00945CE1">
        <w:rPr>
          <w:rFonts w:ascii="Times New Roman" w:eastAsia="Times New Roman" w:hAnsi="Times New Roman" w:cs="Times New Roman"/>
          <w:kern w:val="0"/>
          <w14:ligatures w14:val="none"/>
        </w:rPr>
        <w:t xml:space="preserve">, C. I., &amp; </w:t>
      </w:r>
      <w:proofErr w:type="spellStart"/>
      <w:r w:rsidRPr="00945CE1">
        <w:rPr>
          <w:rFonts w:ascii="Times New Roman" w:eastAsia="Times New Roman" w:hAnsi="Times New Roman" w:cs="Times New Roman"/>
          <w:kern w:val="0"/>
          <w14:ligatures w14:val="none"/>
        </w:rPr>
        <w:t>Iwouno</w:t>
      </w:r>
      <w:proofErr w:type="spellEnd"/>
      <w:r w:rsidRPr="00945CE1">
        <w:rPr>
          <w:rFonts w:ascii="Times New Roman" w:eastAsia="Times New Roman" w:hAnsi="Times New Roman" w:cs="Times New Roman"/>
          <w:kern w:val="0"/>
          <w14:ligatures w14:val="none"/>
        </w:rPr>
        <w:t xml:space="preserve">, J. N. (2014). </w:t>
      </w:r>
      <w:proofErr w:type="spellStart"/>
      <w:r w:rsidRPr="00945CE1">
        <w:rPr>
          <w:rFonts w:ascii="Times New Roman" w:eastAsia="Times New Roman" w:hAnsi="Times New Roman" w:cs="Times New Roman"/>
          <w:kern w:val="0"/>
          <w14:ligatures w14:val="none"/>
        </w:rPr>
        <w:t>Tigernut</w:t>
      </w:r>
      <w:proofErr w:type="spellEnd"/>
      <w:r w:rsidRPr="00945CE1">
        <w:rPr>
          <w:rFonts w:ascii="Times New Roman" w:eastAsia="Times New Roman" w:hAnsi="Times New Roman" w:cs="Times New Roman"/>
          <w:kern w:val="0"/>
          <w14:ligatures w14:val="none"/>
        </w:rPr>
        <w:t xml:space="preserve"> (Cyperus esculentus), their processing, products and health benefits: A review. </w:t>
      </w:r>
      <w:r w:rsidRPr="00945CE1">
        <w:rPr>
          <w:rFonts w:ascii="Times New Roman" w:eastAsia="Times New Roman" w:hAnsi="Times New Roman" w:cs="Times New Roman"/>
          <w:i/>
          <w:iCs/>
          <w:kern w:val="0"/>
          <w14:ligatures w14:val="none"/>
        </w:rPr>
        <w:t>Pakistan Journal of Biological Sciences, 17</w:t>
      </w:r>
      <w:r w:rsidRPr="00945CE1">
        <w:rPr>
          <w:rFonts w:ascii="Times New Roman" w:eastAsia="Times New Roman" w:hAnsi="Times New Roman" w:cs="Times New Roman"/>
          <w:kern w:val="0"/>
          <w14:ligatures w14:val="none"/>
        </w:rPr>
        <w:t>(11), 1292-1297.</w:t>
      </w:r>
    </w:p>
    <w:p w14:paraId="1D73FB41"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lastRenderedPageBreak/>
        <w:t xml:space="preserve">Olupona, J. K. (2011). </w:t>
      </w:r>
      <w:r w:rsidRPr="00945CE1">
        <w:rPr>
          <w:rFonts w:ascii="Times New Roman" w:eastAsia="Times New Roman" w:hAnsi="Times New Roman" w:cs="Times New Roman"/>
          <w:i/>
          <w:iCs/>
          <w:kern w:val="0"/>
          <w14:ligatures w14:val="none"/>
        </w:rPr>
        <w:t>City of 201 gods: Ile-Ife in time, space, and the imagination</w:t>
      </w:r>
      <w:r w:rsidRPr="00945CE1">
        <w:rPr>
          <w:rFonts w:ascii="Times New Roman" w:eastAsia="Times New Roman" w:hAnsi="Times New Roman" w:cs="Times New Roman"/>
          <w:kern w:val="0"/>
          <w14:ligatures w14:val="none"/>
        </w:rPr>
        <w:t>. University of California Press.</w:t>
      </w:r>
    </w:p>
    <w:p w14:paraId="057AA171"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Park, B. J., </w:t>
      </w:r>
      <w:proofErr w:type="spellStart"/>
      <w:r w:rsidRPr="00945CE1">
        <w:rPr>
          <w:rFonts w:ascii="Times New Roman" w:eastAsia="Times New Roman" w:hAnsi="Times New Roman" w:cs="Times New Roman"/>
          <w:kern w:val="0"/>
          <w14:ligatures w14:val="none"/>
        </w:rPr>
        <w:t>Tsunetsugu</w:t>
      </w:r>
      <w:proofErr w:type="spellEnd"/>
      <w:r w:rsidRPr="00945CE1">
        <w:rPr>
          <w:rFonts w:ascii="Times New Roman" w:eastAsia="Times New Roman" w:hAnsi="Times New Roman" w:cs="Times New Roman"/>
          <w:kern w:val="0"/>
          <w14:ligatures w14:val="none"/>
        </w:rPr>
        <w:t xml:space="preserve">, Y., </w:t>
      </w:r>
      <w:proofErr w:type="spellStart"/>
      <w:r w:rsidRPr="00945CE1">
        <w:rPr>
          <w:rFonts w:ascii="Times New Roman" w:eastAsia="Times New Roman" w:hAnsi="Times New Roman" w:cs="Times New Roman"/>
          <w:kern w:val="0"/>
          <w14:ligatures w14:val="none"/>
        </w:rPr>
        <w:t>Kasetani</w:t>
      </w:r>
      <w:proofErr w:type="spellEnd"/>
      <w:r w:rsidRPr="00945CE1">
        <w:rPr>
          <w:rFonts w:ascii="Times New Roman" w:eastAsia="Times New Roman" w:hAnsi="Times New Roman" w:cs="Times New Roman"/>
          <w:kern w:val="0"/>
          <w14:ligatures w14:val="none"/>
        </w:rPr>
        <w:t xml:space="preserve">, T., Kagawa, T., &amp; Miyazaki, Y. (2010). The physiological effects of </w:t>
      </w:r>
      <w:proofErr w:type="spellStart"/>
      <w:r w:rsidRPr="00945CE1">
        <w:rPr>
          <w:rFonts w:ascii="Times New Roman" w:eastAsia="Times New Roman" w:hAnsi="Times New Roman" w:cs="Times New Roman"/>
          <w:kern w:val="0"/>
          <w14:ligatures w14:val="none"/>
        </w:rPr>
        <w:t>Shinrin-yoku</w:t>
      </w:r>
      <w:proofErr w:type="spellEnd"/>
      <w:r w:rsidRPr="00945CE1">
        <w:rPr>
          <w:rFonts w:ascii="Times New Roman" w:eastAsia="Times New Roman" w:hAnsi="Times New Roman" w:cs="Times New Roman"/>
          <w:kern w:val="0"/>
          <w14:ligatures w14:val="none"/>
        </w:rPr>
        <w:t xml:space="preserve"> (taking in the forest atmosphere or forest bathing): Evidence from field experiments in 24 forests across Japan. </w:t>
      </w:r>
      <w:r w:rsidRPr="00945CE1">
        <w:rPr>
          <w:rFonts w:ascii="Times New Roman" w:eastAsia="Times New Roman" w:hAnsi="Times New Roman" w:cs="Times New Roman"/>
          <w:i/>
          <w:iCs/>
          <w:kern w:val="0"/>
          <w14:ligatures w14:val="none"/>
        </w:rPr>
        <w:t>Environmental Health and Preventive Medicine, 15</w:t>
      </w:r>
      <w:r w:rsidRPr="00945CE1">
        <w:rPr>
          <w:rFonts w:ascii="Times New Roman" w:eastAsia="Times New Roman" w:hAnsi="Times New Roman" w:cs="Times New Roman"/>
          <w:kern w:val="0"/>
          <w14:ligatures w14:val="none"/>
        </w:rPr>
        <w:t>(1), 18-26.</w:t>
      </w:r>
    </w:p>
    <w:p w14:paraId="4C9021B3"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Rogerson, J. M., &amp; Rogerson, C. M. (2021). COVID-19 and tourism spaces of vulnerability in South Africa. </w:t>
      </w:r>
      <w:r w:rsidRPr="00945CE1">
        <w:rPr>
          <w:rFonts w:ascii="Times New Roman" w:eastAsia="Times New Roman" w:hAnsi="Times New Roman" w:cs="Times New Roman"/>
          <w:i/>
          <w:iCs/>
          <w:kern w:val="0"/>
          <w14:ligatures w14:val="none"/>
        </w:rPr>
        <w:t>African Journal of Hospitality, Tourism and Leisure, 10</w:t>
      </w:r>
      <w:r w:rsidRPr="00945CE1">
        <w:rPr>
          <w:rFonts w:ascii="Times New Roman" w:eastAsia="Times New Roman" w:hAnsi="Times New Roman" w:cs="Times New Roman"/>
          <w:kern w:val="0"/>
          <w14:ligatures w14:val="none"/>
        </w:rPr>
        <w:t>(1), 1-16. https://doi.org/10.46222/ajhtl.19770720-96</w:t>
      </w:r>
    </w:p>
    <w:p w14:paraId="5069ABF7"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Smith, M., &amp; Puczko, L. (2014). </w:t>
      </w:r>
      <w:r w:rsidRPr="00945CE1">
        <w:rPr>
          <w:rFonts w:ascii="Times New Roman" w:eastAsia="Times New Roman" w:hAnsi="Times New Roman" w:cs="Times New Roman"/>
          <w:i/>
          <w:iCs/>
          <w:kern w:val="0"/>
          <w14:ligatures w14:val="none"/>
        </w:rPr>
        <w:t xml:space="preserve">Health, tourism and hospitality: Spas, wellness and medical travel </w:t>
      </w:r>
      <w:r w:rsidRPr="00945CE1">
        <w:rPr>
          <w:rFonts w:ascii="Times New Roman" w:eastAsia="Times New Roman" w:hAnsi="Times New Roman" w:cs="Times New Roman"/>
          <w:kern w:val="0"/>
          <w14:ligatures w14:val="none"/>
        </w:rPr>
        <w:t>(2nd ed.). Routledge.</w:t>
      </w:r>
    </w:p>
    <w:p w14:paraId="00F6F7B4" w14:textId="77777777" w:rsidR="00E30D1B" w:rsidRPr="00945CE1" w:rsidRDefault="00E30D1B" w:rsidP="00DA5AE9">
      <w:pPr>
        <w:spacing w:afterLines="30" w:after="72" w:line="240" w:lineRule="auto"/>
        <w:ind w:left="480" w:hangingChars="200" w:hanging="480"/>
        <w:jc w:val="both"/>
        <w:rPr>
          <w:rFonts w:ascii="Times New Roman" w:eastAsia="Times New Roman" w:hAnsi="Times New Roman" w:cs="Times New Roman"/>
          <w:kern w:val="0"/>
          <w14:ligatures w14:val="none"/>
        </w:rPr>
      </w:pPr>
      <w:r w:rsidRPr="00945CE1">
        <w:rPr>
          <w:rFonts w:ascii="Times New Roman" w:eastAsia="Times New Roman" w:hAnsi="Times New Roman" w:cs="Times New Roman"/>
          <w:kern w:val="0"/>
          <w14:ligatures w14:val="none"/>
        </w:rPr>
        <w:t xml:space="preserve">United Nations World Tourism Organization (UNWTO). (2022). </w:t>
      </w:r>
      <w:r w:rsidRPr="00945CE1">
        <w:rPr>
          <w:rFonts w:ascii="Times New Roman" w:eastAsia="Times New Roman" w:hAnsi="Times New Roman" w:cs="Times New Roman"/>
          <w:i/>
          <w:iCs/>
          <w:kern w:val="0"/>
          <w14:ligatures w14:val="none"/>
        </w:rPr>
        <w:t>World tourism barometer and statistical annex, January 2022.</w:t>
      </w:r>
      <w:r w:rsidRPr="00945CE1">
        <w:rPr>
          <w:rFonts w:ascii="Times New Roman" w:eastAsia="Times New Roman" w:hAnsi="Times New Roman" w:cs="Times New Roman"/>
          <w:kern w:val="0"/>
          <w14:ligatures w14:val="none"/>
        </w:rPr>
        <w:t xml:space="preserve"> UNWTO.</w:t>
      </w:r>
    </w:p>
    <w:p w14:paraId="1D89671F" w14:textId="77777777" w:rsidR="00E30D1B" w:rsidRPr="00945CE1" w:rsidRDefault="00E30D1B" w:rsidP="00DA5AE9">
      <w:pPr>
        <w:spacing w:afterLines="30" w:after="72" w:line="240" w:lineRule="auto"/>
        <w:ind w:left="480" w:hangingChars="200" w:hanging="480"/>
        <w:jc w:val="both"/>
      </w:pPr>
      <w:r w:rsidRPr="00945CE1">
        <w:rPr>
          <w:rFonts w:ascii="Times New Roman" w:eastAsia="Times New Roman" w:hAnsi="Times New Roman" w:cs="Times New Roman"/>
          <w:kern w:val="0"/>
          <w14:ligatures w14:val="none"/>
        </w:rPr>
        <w:t xml:space="preserve">Voigt, C., &amp; Pforr, C. (Eds.). (2014). </w:t>
      </w:r>
      <w:r w:rsidRPr="00945CE1">
        <w:rPr>
          <w:rFonts w:ascii="Times New Roman" w:eastAsia="Times New Roman" w:hAnsi="Times New Roman" w:cs="Times New Roman"/>
          <w:i/>
          <w:iCs/>
          <w:kern w:val="0"/>
          <w14:ligatures w14:val="none"/>
        </w:rPr>
        <w:t xml:space="preserve">Wellness tourism: A destination perspective. </w:t>
      </w:r>
      <w:r w:rsidRPr="00945CE1">
        <w:rPr>
          <w:rFonts w:ascii="Times New Roman" w:eastAsia="Times New Roman" w:hAnsi="Times New Roman" w:cs="Times New Roman"/>
          <w:kern w:val="0"/>
          <w14:ligatures w14:val="none"/>
        </w:rPr>
        <w:t>Routledge.</w:t>
      </w:r>
    </w:p>
    <w:p w14:paraId="6A8C817B" w14:textId="77777777" w:rsidR="00E30D1B" w:rsidRDefault="00E30D1B" w:rsidP="00641746">
      <w:pPr>
        <w:spacing w:after="0" w:line="240" w:lineRule="auto"/>
        <w:jc w:val="center"/>
        <w:rPr>
          <w:rFonts w:ascii="Times New Roman" w:hAnsi="Times New Roman" w:cs="Times New Roman"/>
          <w:b/>
          <w:bCs/>
          <w:sz w:val="52"/>
          <w:szCs w:val="52"/>
        </w:rPr>
      </w:pPr>
    </w:p>
    <w:p w14:paraId="31E5F706"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33D5CA43"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156B5935"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7C9F19DA"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3413A1CE"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75D31435"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53070F5A"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75BAEB6D"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14D54116"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1C019016"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66664857"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6D579575"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27D5FD4D"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140E6133"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33736D02"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52A40F7A"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47E0D11A"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4324D78A"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44513949"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1A6DD6ED"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28983135" w14:textId="77777777" w:rsidR="0044629C" w:rsidRDefault="0044629C" w:rsidP="00AB41C7">
      <w:pPr>
        <w:spacing w:line="240" w:lineRule="auto"/>
        <w:jc w:val="center"/>
        <w:rPr>
          <w:rFonts w:ascii="Times New Roman" w:eastAsia="Calibri" w:hAnsi="Times New Roman" w:cs="Times New Roman"/>
          <w:b/>
          <w:kern w:val="0"/>
          <w14:ligatures w14:val="none"/>
        </w:rPr>
      </w:pPr>
    </w:p>
    <w:p w14:paraId="421235E2" w14:textId="02DB0D41" w:rsidR="00AB41C7" w:rsidRPr="00AB41C7" w:rsidRDefault="00AB41C7" w:rsidP="00AB41C7">
      <w:pPr>
        <w:spacing w:line="240" w:lineRule="auto"/>
        <w:jc w:val="center"/>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lastRenderedPageBreak/>
        <w:t xml:space="preserve">Artificial Intelligence and Travel Planning Bookings with Travel Agencies in Obio Akpor </w:t>
      </w:r>
      <w:proofErr w:type="spellStart"/>
      <w:r w:rsidRPr="00AB41C7">
        <w:rPr>
          <w:rFonts w:ascii="Times New Roman" w:eastAsia="Calibri" w:hAnsi="Times New Roman" w:cs="Times New Roman"/>
          <w:b/>
          <w:kern w:val="0"/>
          <w14:ligatures w14:val="none"/>
        </w:rPr>
        <w:t>Lga</w:t>
      </w:r>
      <w:proofErr w:type="spellEnd"/>
    </w:p>
    <w:p w14:paraId="456CD67C" w14:textId="09B01345" w:rsidR="00AB41C7" w:rsidRPr="00AB41C7" w:rsidRDefault="00AB41C7" w:rsidP="00AB41C7">
      <w:pPr>
        <w:spacing w:after="0" w:line="240" w:lineRule="auto"/>
        <w:jc w:val="center"/>
        <w:rPr>
          <w:rFonts w:ascii="Times New Roman" w:eastAsia="Calibri" w:hAnsi="Times New Roman" w:cs="Times New Roman"/>
          <w:bCs/>
          <w:kern w:val="0"/>
          <w14:ligatures w14:val="none"/>
        </w:rPr>
      </w:pPr>
      <w:r w:rsidRPr="00AB41C7">
        <w:rPr>
          <w:rFonts w:ascii="Times New Roman" w:eastAsia="Calibri" w:hAnsi="Times New Roman" w:cs="Times New Roman"/>
          <w:bCs/>
          <w:kern w:val="0"/>
          <w14:ligatures w14:val="none"/>
        </w:rPr>
        <w:t xml:space="preserve">*Omolola Oluwakemi AJAYI </w:t>
      </w:r>
      <w:r>
        <w:rPr>
          <w:rFonts w:ascii="Times New Roman" w:eastAsia="Calibri" w:hAnsi="Times New Roman" w:cs="Times New Roman"/>
          <w:bCs/>
          <w:kern w:val="0"/>
          <w14:ligatures w14:val="none"/>
        </w:rPr>
        <w:t>&amp;</w:t>
      </w:r>
      <w:r w:rsidRPr="00AB41C7">
        <w:rPr>
          <w:rFonts w:ascii="Times New Roman" w:eastAsia="Calibri" w:hAnsi="Times New Roman" w:cs="Times New Roman"/>
          <w:bCs/>
          <w:kern w:val="0"/>
          <w14:ligatures w14:val="none"/>
        </w:rPr>
        <w:t xml:space="preserve"> Ogechi Gold KINGSLEY</w:t>
      </w:r>
    </w:p>
    <w:p w14:paraId="0D6AD972" w14:textId="77777777" w:rsidR="00AB41C7" w:rsidRPr="00AB41C7" w:rsidRDefault="00AB41C7" w:rsidP="00AB41C7">
      <w:pPr>
        <w:spacing w:after="0" w:line="240" w:lineRule="auto"/>
        <w:jc w:val="center"/>
        <w:rPr>
          <w:rFonts w:ascii="Times New Roman" w:eastAsia="Calibri" w:hAnsi="Times New Roman" w:cs="Times New Roman"/>
          <w:bCs/>
          <w:kern w:val="0"/>
          <w14:ligatures w14:val="none"/>
        </w:rPr>
      </w:pPr>
      <w:r w:rsidRPr="00AB41C7">
        <w:rPr>
          <w:rFonts w:ascii="Times New Roman" w:eastAsia="Calibri" w:hAnsi="Times New Roman" w:cs="Times New Roman"/>
          <w:bCs/>
          <w:kern w:val="0"/>
          <w14:ligatures w14:val="none"/>
        </w:rPr>
        <w:t xml:space="preserve">Department of Hospitality and Tourism Management, </w:t>
      </w:r>
    </w:p>
    <w:p w14:paraId="34CF6E39" w14:textId="77777777" w:rsidR="00AB41C7" w:rsidRPr="00AB41C7" w:rsidRDefault="00AB41C7" w:rsidP="00AB41C7">
      <w:pPr>
        <w:spacing w:after="0" w:line="240" w:lineRule="auto"/>
        <w:jc w:val="center"/>
        <w:rPr>
          <w:rFonts w:ascii="Times New Roman" w:eastAsia="Calibri" w:hAnsi="Times New Roman" w:cs="Times New Roman"/>
          <w:bCs/>
          <w:kern w:val="0"/>
          <w14:ligatures w14:val="none"/>
        </w:rPr>
      </w:pPr>
      <w:r w:rsidRPr="00AB41C7">
        <w:rPr>
          <w:rFonts w:ascii="Times New Roman" w:eastAsia="Calibri" w:hAnsi="Times New Roman" w:cs="Times New Roman"/>
          <w:bCs/>
          <w:kern w:val="0"/>
          <w14:ligatures w14:val="none"/>
        </w:rPr>
        <w:t xml:space="preserve">Faculty of Management Sciences, </w:t>
      </w:r>
    </w:p>
    <w:p w14:paraId="7B6D1FFF" w14:textId="5724AB60" w:rsidR="00AB41C7" w:rsidRPr="00AB41C7" w:rsidRDefault="00AB41C7" w:rsidP="00AB41C7">
      <w:pPr>
        <w:spacing w:after="0" w:line="240" w:lineRule="auto"/>
        <w:jc w:val="center"/>
        <w:rPr>
          <w:rFonts w:ascii="Times New Roman" w:eastAsia="Calibri" w:hAnsi="Times New Roman" w:cs="Times New Roman"/>
          <w:bCs/>
          <w:kern w:val="0"/>
          <w14:ligatures w14:val="none"/>
        </w:rPr>
      </w:pPr>
      <w:r w:rsidRPr="00AB41C7">
        <w:rPr>
          <w:rFonts w:ascii="Times New Roman" w:eastAsia="Calibri" w:hAnsi="Times New Roman" w:cs="Times New Roman"/>
          <w:bCs/>
          <w:kern w:val="0"/>
          <w14:ligatures w14:val="none"/>
        </w:rPr>
        <w:t>University of Port Harcourt</w:t>
      </w:r>
    </w:p>
    <w:p w14:paraId="24716862" w14:textId="77777777" w:rsidR="00AB41C7" w:rsidRPr="00AB41C7" w:rsidRDefault="00AB41C7" w:rsidP="00AB41C7">
      <w:pPr>
        <w:spacing w:after="0" w:line="240" w:lineRule="auto"/>
        <w:jc w:val="center"/>
        <w:rPr>
          <w:rFonts w:ascii="Times New Roman" w:eastAsia="Calibri" w:hAnsi="Times New Roman" w:cs="Times New Roman"/>
          <w:bCs/>
          <w:kern w:val="0"/>
          <w14:ligatures w14:val="none"/>
        </w:rPr>
      </w:pPr>
      <w:r w:rsidRPr="00AB41C7">
        <w:rPr>
          <w:rFonts w:ascii="Times New Roman" w:eastAsia="Calibri" w:hAnsi="Times New Roman" w:cs="Times New Roman"/>
          <w:bCs/>
          <w:kern w:val="0"/>
          <w14:ligatures w14:val="none"/>
        </w:rPr>
        <w:t>*Corresponding author: omolola.ajayi@uniport.edu.ng</w:t>
      </w:r>
    </w:p>
    <w:p w14:paraId="49D2D58D" w14:textId="77777777" w:rsidR="00AB41C7" w:rsidRDefault="00AB41C7" w:rsidP="00AB41C7">
      <w:pPr>
        <w:spacing w:line="360" w:lineRule="auto"/>
        <w:jc w:val="both"/>
        <w:rPr>
          <w:rFonts w:ascii="Times New Roman" w:eastAsia="Calibri" w:hAnsi="Times New Roman" w:cs="Times New Roman"/>
          <w:b/>
          <w:kern w:val="0"/>
          <w14:ligatures w14:val="none"/>
        </w:rPr>
      </w:pPr>
    </w:p>
    <w:p w14:paraId="2DBE3D10" w14:textId="14C44D36" w:rsidR="00AB41C7" w:rsidRPr="00AB41C7" w:rsidRDefault="00AB41C7" w:rsidP="00AB41C7">
      <w:pPr>
        <w:spacing w:line="360" w:lineRule="auto"/>
        <w:jc w:val="center"/>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ABSTRACT</w:t>
      </w:r>
    </w:p>
    <w:p w14:paraId="763950E5" w14:textId="77777777" w:rsidR="00AB41C7" w:rsidRPr="00AB41C7" w:rsidRDefault="00AB41C7" w:rsidP="0076104D">
      <w:pPr>
        <w:spacing w:before="240" w:after="0"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 xml:space="preserve">The needs of contemporary </w:t>
      </w:r>
      <w:proofErr w:type="spellStart"/>
      <w:r w:rsidRPr="00AB41C7">
        <w:rPr>
          <w:rFonts w:ascii="Times New Roman" w:eastAsia="Calibri" w:hAnsi="Times New Roman" w:cs="Times New Roman"/>
          <w:kern w:val="0"/>
          <w14:ligatures w14:val="none"/>
        </w:rPr>
        <w:t>travellers</w:t>
      </w:r>
      <w:proofErr w:type="spellEnd"/>
      <w:r w:rsidRPr="00AB41C7">
        <w:rPr>
          <w:rFonts w:ascii="Times New Roman" w:eastAsia="Calibri" w:hAnsi="Times New Roman" w:cs="Times New Roman"/>
          <w:kern w:val="0"/>
          <w14:ligatures w14:val="none"/>
        </w:rPr>
        <w:t xml:space="preserve"> have been met with the introduction of AI tools like chatbots, virtual assistants, and recommendation engines into the travel sector. These tools have improved operations, increased productivity, and personalized tourism services Despite these rising intellectual contributions, there is a lack of empirical information on the use of artificial intelligence in River State travel agencies, notably in the Obio Akpor LGA. This study aims to close this gap by investigating the interaction between artificial intelligence (chatbot, virtual assistants and recommendation engines) and travel planning bookings (improved operational efficiency and higher booking conversion) at travel agencies. Data was collected through a structured questionnaire, administered to 32 participants; and the relationships tested using regression analysis. The results showed that all (virtual assistance) but one of the dimensions of artificial intelligence has significant correlation with the measures of travel planning bookings; while recommendation engines exerted the highest influence. Appropriate conclusions and recommendations were subsequently drawn.</w:t>
      </w:r>
    </w:p>
    <w:p w14:paraId="31144272" w14:textId="77777777" w:rsidR="0076104D" w:rsidRDefault="0076104D" w:rsidP="0076104D">
      <w:pPr>
        <w:spacing w:line="240" w:lineRule="auto"/>
        <w:jc w:val="both"/>
        <w:rPr>
          <w:rFonts w:ascii="Times New Roman" w:eastAsia="Calibri" w:hAnsi="Times New Roman" w:cs="Times New Roman"/>
          <w:b/>
          <w:bCs/>
          <w:kern w:val="0"/>
          <w14:ligatures w14:val="none"/>
        </w:rPr>
      </w:pPr>
    </w:p>
    <w:p w14:paraId="0FE16957" w14:textId="16F0FDDD" w:rsidR="00AB41C7" w:rsidRPr="00AB41C7" w:rsidRDefault="00070085" w:rsidP="0076104D">
      <w:pPr>
        <w:spacing w:line="240" w:lineRule="auto"/>
        <w:jc w:val="both"/>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w:t>
      </w:r>
      <w:r w:rsidR="00AB41C7" w:rsidRPr="00AB41C7">
        <w:rPr>
          <w:rFonts w:ascii="Times New Roman" w:eastAsia="Calibri" w:hAnsi="Times New Roman" w:cs="Times New Roman"/>
          <w:b/>
          <w:bCs/>
          <w:kern w:val="0"/>
          <w14:ligatures w14:val="none"/>
        </w:rPr>
        <w:t>Keywords</w:t>
      </w:r>
      <w:r w:rsidR="00AB41C7" w:rsidRPr="00AB41C7">
        <w:rPr>
          <w:rFonts w:ascii="Times New Roman" w:eastAsia="Calibri" w:hAnsi="Times New Roman" w:cs="Times New Roman"/>
          <w:kern w:val="0"/>
          <w14:ligatures w14:val="none"/>
        </w:rPr>
        <w:t>: Artificial Intelligence, Booking Conversion, Chatbot, Virtual Assistant, Operational Efficiency, Recommendation Engine, Travel Planning Bookings</w:t>
      </w:r>
    </w:p>
    <w:p w14:paraId="6D2AB6D4"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Introduction</w:t>
      </w:r>
    </w:p>
    <w:p w14:paraId="1AB4D848"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The operational procedure in the tourism and travel industry has undergone digital transformation since 2023 (Cvar et al, 2024; </w:t>
      </w:r>
      <w:proofErr w:type="spellStart"/>
      <w:r w:rsidRPr="00AB41C7">
        <w:rPr>
          <w:rFonts w:ascii="Times New Roman" w:eastAsia="Calibri" w:hAnsi="Times New Roman" w:cs="Times New Roman"/>
          <w:kern w:val="0"/>
          <w14:ligatures w14:val="none"/>
        </w:rPr>
        <w:t>Ziozias</w:t>
      </w:r>
      <w:proofErr w:type="spellEnd"/>
      <w:r w:rsidRPr="00AB41C7">
        <w:rPr>
          <w:rFonts w:ascii="Times New Roman" w:eastAsia="Calibri" w:hAnsi="Times New Roman" w:cs="Times New Roman"/>
          <w:kern w:val="0"/>
          <w14:ligatures w14:val="none"/>
        </w:rPr>
        <w:t xml:space="preserve"> et al, 2024). Artificial intelligence, digital technologies, and big data shaped how tourism operations are designed, managed, and executed (Bondarenko et al, 2025; Cvar et al, 2024; </w:t>
      </w:r>
      <w:proofErr w:type="spellStart"/>
      <w:r w:rsidRPr="00AB41C7">
        <w:rPr>
          <w:rFonts w:ascii="Times New Roman" w:eastAsia="Calibri" w:hAnsi="Times New Roman" w:cs="Times New Roman"/>
          <w:kern w:val="0"/>
          <w14:ligatures w14:val="none"/>
        </w:rPr>
        <w:t>Ziozias</w:t>
      </w:r>
      <w:proofErr w:type="spellEnd"/>
      <w:r w:rsidRPr="00AB41C7">
        <w:rPr>
          <w:rFonts w:ascii="Times New Roman" w:eastAsia="Calibri" w:hAnsi="Times New Roman" w:cs="Times New Roman"/>
          <w:kern w:val="0"/>
          <w14:ligatures w14:val="none"/>
        </w:rPr>
        <w:t xml:space="preserve"> et al, 2024). The catalyst for this transformation can be credited to the growth of smart technologies globally, as well as the demand for customized service. Not only that, the rise in global competition and the aftermath of COVID-19 pandemic compelled tourism businesses to adopt digital, data-driven technologies (Bondarenko et al, 2025; </w:t>
      </w:r>
      <w:proofErr w:type="spellStart"/>
      <w:r w:rsidRPr="00AB41C7">
        <w:rPr>
          <w:rFonts w:ascii="Times New Roman" w:eastAsia="Calibri" w:hAnsi="Times New Roman" w:cs="Times New Roman"/>
          <w:kern w:val="0"/>
          <w14:ligatures w14:val="none"/>
        </w:rPr>
        <w:t>Barykin</w:t>
      </w:r>
      <w:proofErr w:type="spellEnd"/>
      <w:r w:rsidRPr="00AB41C7">
        <w:rPr>
          <w:rFonts w:ascii="Times New Roman" w:eastAsia="Calibri" w:hAnsi="Times New Roman" w:cs="Times New Roman"/>
          <w:kern w:val="0"/>
          <w14:ligatures w14:val="none"/>
        </w:rPr>
        <w:t xml:space="preserve"> et al, 2021). As such, the travel agencies have joined other tourism businesses to leverage on digital technologies with respect to travel planning bookings. Bondarenko et al (2025) reported that 67% of tourists desire flexible booking arrangements, while web-based reviews triggered 78% of booking outcomes showing the power of smart technologies on travel planning bookings. </w:t>
      </w:r>
    </w:p>
    <w:p w14:paraId="26D9FFF9"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As reported by </w:t>
      </w:r>
      <w:proofErr w:type="spellStart"/>
      <w:r w:rsidRPr="00AB41C7">
        <w:rPr>
          <w:rFonts w:ascii="Times New Roman" w:eastAsia="Calibri" w:hAnsi="Times New Roman" w:cs="Times New Roman"/>
          <w:kern w:val="0"/>
          <w14:ligatures w14:val="none"/>
        </w:rPr>
        <w:t>Padzil</w:t>
      </w:r>
      <w:proofErr w:type="spellEnd"/>
      <w:r w:rsidRPr="00AB41C7">
        <w:rPr>
          <w:rFonts w:ascii="Times New Roman" w:eastAsia="Calibri" w:hAnsi="Times New Roman" w:cs="Times New Roman"/>
          <w:kern w:val="0"/>
          <w14:ligatures w14:val="none"/>
        </w:rPr>
        <w:t xml:space="preserve"> &amp; </w:t>
      </w:r>
      <w:proofErr w:type="spellStart"/>
      <w:r w:rsidRPr="00AB41C7">
        <w:rPr>
          <w:rFonts w:ascii="Times New Roman" w:eastAsia="Calibri" w:hAnsi="Times New Roman" w:cs="Times New Roman"/>
          <w:kern w:val="0"/>
          <w14:ligatures w14:val="none"/>
        </w:rPr>
        <w:t>Gundie</w:t>
      </w:r>
      <w:proofErr w:type="spellEnd"/>
      <w:r w:rsidRPr="00AB41C7">
        <w:rPr>
          <w:rFonts w:ascii="Times New Roman" w:eastAsia="Calibri" w:hAnsi="Times New Roman" w:cs="Times New Roman"/>
          <w:kern w:val="0"/>
          <w14:ligatures w14:val="none"/>
        </w:rPr>
        <w:t>, (2025) and Mendoza (2024), travel planning booking is the process of arranging travel, covering transportation, travel insurance, accommodation, and customized itineraries through a travel agency. It has been shown that effective travel booking services result in client satisfaction, repeat business, and long-term company growth (Doe et al., 2024; Alcantara et al., 2024). Despite the clear advantages and widespread use of online travel platforms, many travel agencies in developing nations like Nigeria continue to use traditional/manual booking techniques like written logs, Microsoft Word, and Excel (</w:t>
      </w:r>
      <w:proofErr w:type="spellStart"/>
      <w:r w:rsidRPr="00AB41C7">
        <w:rPr>
          <w:rFonts w:ascii="Times New Roman" w:eastAsia="Calibri" w:hAnsi="Times New Roman" w:cs="Times New Roman"/>
          <w:kern w:val="0"/>
          <w14:ligatures w14:val="none"/>
        </w:rPr>
        <w:t>Asifat</w:t>
      </w:r>
      <w:proofErr w:type="spellEnd"/>
      <w:r w:rsidRPr="00AB41C7">
        <w:rPr>
          <w:rFonts w:ascii="Times New Roman" w:eastAsia="Calibri" w:hAnsi="Times New Roman" w:cs="Times New Roman"/>
          <w:kern w:val="0"/>
          <w14:ligatures w14:val="none"/>
        </w:rPr>
        <w:t xml:space="preserve"> &amp; Abiola-Oke, 2025; Bondarenko et al, 2025; Sunarto &amp; Islamiyah; 2024). Hence, travel agencies face operational inefficiencies (due to labor shortages, slow service speeds, manual and outdated processes that lead to errors, and high operating costs), limited personalization, no 24/7 access (due to agency opening hours), long wait times, delayed responses, and inconsistent customer service (Karwa, 2024; Travel Carma, 2019; PW Consulting Information and Electronic Research Center, 2025; Portelli, 2024; and </w:t>
      </w:r>
      <w:proofErr w:type="spellStart"/>
      <w:r w:rsidRPr="00AB41C7">
        <w:rPr>
          <w:rFonts w:ascii="Times New Roman" w:eastAsia="Calibri" w:hAnsi="Times New Roman" w:cs="Times New Roman"/>
          <w:kern w:val="0"/>
          <w14:ligatures w14:val="none"/>
        </w:rPr>
        <w:t>Illieva</w:t>
      </w:r>
      <w:proofErr w:type="spellEnd"/>
      <w:r w:rsidRPr="00AB41C7">
        <w:rPr>
          <w:rFonts w:ascii="Times New Roman" w:eastAsia="Calibri" w:hAnsi="Times New Roman" w:cs="Times New Roman"/>
          <w:kern w:val="0"/>
          <w14:ligatures w14:val="none"/>
        </w:rPr>
        <w:t>, 2024).</w:t>
      </w:r>
    </w:p>
    <w:p w14:paraId="143DC7AE"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lastRenderedPageBreak/>
        <w:t>However, with the implementation of artificial intelligence, these difficulties are no longer an issue. (</w:t>
      </w:r>
      <w:proofErr w:type="spellStart"/>
      <w:r w:rsidRPr="00AB41C7">
        <w:rPr>
          <w:rFonts w:ascii="Times New Roman" w:eastAsia="Calibri" w:hAnsi="Times New Roman" w:cs="Times New Roman"/>
          <w:kern w:val="0"/>
          <w14:ligatures w14:val="none"/>
        </w:rPr>
        <w:t>Ibirinoye</w:t>
      </w:r>
      <w:proofErr w:type="spellEnd"/>
      <w:r w:rsidRPr="00AB41C7">
        <w:rPr>
          <w:rFonts w:ascii="Times New Roman" w:eastAsia="Calibri" w:hAnsi="Times New Roman" w:cs="Times New Roman"/>
          <w:kern w:val="0"/>
          <w14:ligatures w14:val="none"/>
        </w:rPr>
        <w:t xml:space="preserve">-Abdulkareem., 2025; Ali et al., 2023). Artificial intelligence is a technology that allows machines to simulate a variety of complicated talents. </w:t>
      </w:r>
      <w:proofErr w:type="gramStart"/>
      <w:r w:rsidRPr="00AB41C7">
        <w:rPr>
          <w:rFonts w:ascii="Times New Roman" w:eastAsia="Calibri" w:hAnsi="Times New Roman" w:cs="Times New Roman"/>
          <w:kern w:val="0"/>
          <w14:ligatures w14:val="none"/>
        </w:rPr>
        <w:t>It  performs</w:t>
      </w:r>
      <w:proofErr w:type="gramEnd"/>
      <w:r w:rsidRPr="00AB41C7">
        <w:rPr>
          <w:rFonts w:ascii="Times New Roman" w:eastAsia="Calibri" w:hAnsi="Times New Roman" w:cs="Times New Roman"/>
          <w:kern w:val="0"/>
          <w14:ligatures w14:val="none"/>
        </w:rPr>
        <w:t xml:space="preserve"> tasks that would normally need human intelligence. It can perceive, pursue goals, take action, and learn through a feedback loop (</w:t>
      </w:r>
      <w:proofErr w:type="spellStart"/>
      <w:r w:rsidRPr="00AB41C7">
        <w:rPr>
          <w:rFonts w:ascii="Times New Roman" w:eastAsia="Calibri" w:hAnsi="Times New Roman" w:cs="Times New Roman"/>
          <w:kern w:val="0"/>
          <w14:ligatures w14:val="none"/>
        </w:rPr>
        <w:t>Denkwerk</w:t>
      </w:r>
      <w:proofErr w:type="spellEnd"/>
      <w:r w:rsidRPr="00AB41C7">
        <w:rPr>
          <w:rFonts w:ascii="Times New Roman" w:eastAsia="Calibri" w:hAnsi="Times New Roman" w:cs="Times New Roman"/>
          <w:kern w:val="0"/>
          <w14:ligatures w14:val="none"/>
        </w:rPr>
        <w:t>, 2018; Sheikh et al., 2023). Essentially, artificial intelligence allows robots to mimic human cognitive capabilities such as problem solving and decision-making (</w:t>
      </w:r>
      <w:proofErr w:type="spellStart"/>
      <w:r w:rsidRPr="00AB41C7">
        <w:rPr>
          <w:rFonts w:ascii="Times New Roman" w:eastAsia="Calibri" w:hAnsi="Times New Roman" w:cs="Times New Roman"/>
          <w:kern w:val="0"/>
          <w14:ligatures w14:val="none"/>
        </w:rPr>
        <w:t>Raynera</w:t>
      </w:r>
      <w:proofErr w:type="spellEnd"/>
      <w:r w:rsidRPr="00AB41C7">
        <w:rPr>
          <w:rFonts w:ascii="Times New Roman" w:eastAsia="Calibri" w:hAnsi="Times New Roman" w:cs="Times New Roman"/>
          <w:kern w:val="0"/>
          <w14:ligatures w14:val="none"/>
        </w:rPr>
        <w:t xml:space="preserve"> et al., 2025; European Parliament, 2020). According to Sarah Ghasemian's (2023) study, which is quoted in </w:t>
      </w:r>
      <w:proofErr w:type="spellStart"/>
      <w:r w:rsidRPr="00AB41C7">
        <w:rPr>
          <w:rFonts w:ascii="Times New Roman" w:eastAsia="Calibri" w:hAnsi="Times New Roman" w:cs="Times New Roman"/>
          <w:kern w:val="0"/>
          <w14:ligatures w14:val="none"/>
        </w:rPr>
        <w:t>Raynera</w:t>
      </w:r>
      <w:proofErr w:type="spellEnd"/>
      <w:r w:rsidRPr="00AB41C7">
        <w:rPr>
          <w:rFonts w:ascii="Times New Roman" w:eastAsia="Calibri" w:hAnsi="Times New Roman" w:cs="Times New Roman"/>
          <w:kern w:val="0"/>
          <w14:ligatures w14:val="none"/>
        </w:rPr>
        <w:t xml:space="preserve"> et al. (2025), the creation of online travel agents began in 1994. People book their flights and hotels through websites such as Expedia and Travelocity. By 2007, the launch of the iPhone and subsequent smartphones had considerably increased the use of travel applications. Additionally, the use of travel apps has expanded during this time. Companies like Airbnb and Uber upended the conventional travel and tourism scene in late 2010 with the emergence of the sharing economy. AI has already been used in the travel industry in 2017 to provide pleasant travel experiences, more individualized recommendations, and repeat customer service (</w:t>
      </w:r>
      <w:proofErr w:type="spellStart"/>
      <w:r w:rsidRPr="00AB41C7">
        <w:rPr>
          <w:rFonts w:ascii="Times New Roman" w:eastAsia="Calibri" w:hAnsi="Times New Roman" w:cs="Times New Roman"/>
          <w:kern w:val="0"/>
          <w14:ligatures w14:val="none"/>
        </w:rPr>
        <w:t>Raynera</w:t>
      </w:r>
      <w:proofErr w:type="spellEnd"/>
      <w:r w:rsidRPr="00AB41C7">
        <w:rPr>
          <w:rFonts w:ascii="Times New Roman" w:eastAsia="Calibri" w:hAnsi="Times New Roman" w:cs="Times New Roman"/>
          <w:kern w:val="0"/>
          <w14:ligatures w14:val="none"/>
        </w:rPr>
        <w:t xml:space="preserve"> et al., 2025). Blockchain technology made its debut in the travel industry in 2019. With smart contacts, blockchain apps provide increased security, transparency, and effective travel transactions. By 2021, contactless technology and health precautions are severely required owing to the covid 19 pandemic. Digital payments, health passports, and providing a safer travel experience are in demand.</w:t>
      </w:r>
    </w:p>
    <w:p w14:paraId="212217FC"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 xml:space="preserve">The needs of contemporary </w:t>
      </w:r>
      <w:proofErr w:type="spellStart"/>
      <w:r w:rsidRPr="00AB41C7">
        <w:rPr>
          <w:rFonts w:ascii="Times New Roman" w:eastAsia="Calibri" w:hAnsi="Times New Roman" w:cs="Times New Roman"/>
          <w:kern w:val="0"/>
          <w14:ligatures w14:val="none"/>
        </w:rPr>
        <w:t>travellers</w:t>
      </w:r>
      <w:proofErr w:type="spellEnd"/>
      <w:r w:rsidRPr="00AB41C7">
        <w:rPr>
          <w:rFonts w:ascii="Times New Roman" w:eastAsia="Calibri" w:hAnsi="Times New Roman" w:cs="Times New Roman"/>
          <w:kern w:val="0"/>
          <w14:ligatures w14:val="none"/>
        </w:rPr>
        <w:t xml:space="preserve"> have been met with the introduction of AI tools like chatbots, virtual assistants, and recommendation engines into the travel sector. These tools have improved operations, increased productivity, and personalized tourism services (Narain, 2024; </w:t>
      </w:r>
      <w:proofErr w:type="spellStart"/>
      <w:r w:rsidRPr="00AB41C7">
        <w:rPr>
          <w:rFonts w:ascii="Times New Roman" w:eastAsia="Calibri" w:hAnsi="Times New Roman" w:cs="Times New Roman"/>
          <w:kern w:val="0"/>
          <w14:ligatures w14:val="none"/>
        </w:rPr>
        <w:t>Vujko</w:t>
      </w:r>
      <w:proofErr w:type="spellEnd"/>
      <w:r w:rsidRPr="00AB41C7">
        <w:rPr>
          <w:rFonts w:ascii="Times New Roman" w:eastAsia="Calibri" w:hAnsi="Times New Roman" w:cs="Times New Roman"/>
          <w:kern w:val="0"/>
          <w14:ligatures w14:val="none"/>
        </w:rPr>
        <w:t xml:space="preserve"> et al, 2025; Asaithambi et al, 2023; Sunarto &amp; Islamiyah, 2024). Artificial intelligence is used in travel companies for instant communication, real-time help, personalized travel recommendations, streamlined operations, and basic transaction processing (Krakowski et al., 2022; Gupta et al., 2023; </w:t>
      </w:r>
      <w:proofErr w:type="spellStart"/>
      <w:r w:rsidRPr="00AB41C7">
        <w:rPr>
          <w:rFonts w:ascii="Times New Roman" w:eastAsia="Calibri" w:hAnsi="Times New Roman" w:cs="Times New Roman"/>
          <w:kern w:val="0"/>
          <w14:ligatures w14:val="none"/>
        </w:rPr>
        <w:t>Vujko</w:t>
      </w:r>
      <w:proofErr w:type="spellEnd"/>
      <w:r w:rsidRPr="00AB41C7">
        <w:rPr>
          <w:rFonts w:ascii="Times New Roman" w:eastAsia="Calibri" w:hAnsi="Times New Roman" w:cs="Times New Roman"/>
          <w:kern w:val="0"/>
          <w14:ligatures w14:val="none"/>
        </w:rPr>
        <w:t xml:space="preserve"> et al., 2025) addressing the issue of low operational efficiency and booking conversion rates (Karwa, 2024; Wang et al., 2024). </w:t>
      </w:r>
      <w:r w:rsidRPr="00AB41C7">
        <w:rPr>
          <w:rFonts w:ascii="Times New Roman" w:eastAsia="Times New Roman" w:hAnsi="Times New Roman" w:cs="Times New Roman"/>
          <w:kern w:val="0"/>
          <w14:ligatures w14:val="none"/>
        </w:rPr>
        <w:t>AI tools utilized in travel companies include chatbots, virtual assistants, virtual reality, augmented reality, and recommendation engines (</w:t>
      </w:r>
      <w:proofErr w:type="spellStart"/>
      <w:r w:rsidRPr="00AB41C7">
        <w:rPr>
          <w:rFonts w:ascii="Times New Roman" w:eastAsia="Times New Roman" w:hAnsi="Times New Roman" w:cs="Times New Roman"/>
          <w:kern w:val="0"/>
          <w14:ligatures w14:val="none"/>
        </w:rPr>
        <w:t>Thiruthanigesan</w:t>
      </w:r>
      <w:proofErr w:type="spellEnd"/>
      <w:r w:rsidRPr="00AB41C7">
        <w:rPr>
          <w:rFonts w:ascii="Times New Roman" w:eastAsia="Times New Roman" w:hAnsi="Times New Roman" w:cs="Times New Roman"/>
          <w:kern w:val="0"/>
          <w14:ligatures w14:val="none"/>
        </w:rPr>
        <w:t xml:space="preserve"> et al. 2025, Asaithambi et al. 2023, </w:t>
      </w:r>
      <w:proofErr w:type="spellStart"/>
      <w:r w:rsidRPr="00AB41C7">
        <w:rPr>
          <w:rFonts w:ascii="Times New Roman" w:eastAsia="Times New Roman" w:hAnsi="Times New Roman" w:cs="Times New Roman"/>
          <w:kern w:val="0"/>
          <w14:ligatures w14:val="none"/>
        </w:rPr>
        <w:t>Illieva</w:t>
      </w:r>
      <w:proofErr w:type="spellEnd"/>
      <w:r w:rsidRPr="00AB41C7">
        <w:rPr>
          <w:rFonts w:ascii="Times New Roman" w:eastAsia="Times New Roman" w:hAnsi="Times New Roman" w:cs="Times New Roman"/>
          <w:kern w:val="0"/>
          <w14:ligatures w14:val="none"/>
        </w:rPr>
        <w:t xml:space="preserve"> et al. 2024). Of interest in this study are chatbots, virtual assistants and recommendation engines. </w:t>
      </w:r>
    </w:p>
    <w:p w14:paraId="33FED3BF"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A chatbot is an artificial intelligence program that uses a human-computer interaction (HCI) model (</w:t>
      </w:r>
      <w:proofErr w:type="spellStart"/>
      <w:r w:rsidRPr="00AB41C7">
        <w:rPr>
          <w:rFonts w:ascii="Times New Roman" w:eastAsia="Calibri" w:hAnsi="Times New Roman" w:cs="Times New Roman"/>
          <w:kern w:val="0"/>
          <w14:ligatures w14:val="none"/>
        </w:rPr>
        <w:t>Raynera</w:t>
      </w:r>
      <w:proofErr w:type="spellEnd"/>
      <w:r w:rsidRPr="00AB41C7">
        <w:rPr>
          <w:rFonts w:ascii="Times New Roman" w:eastAsia="Calibri" w:hAnsi="Times New Roman" w:cs="Times New Roman"/>
          <w:kern w:val="0"/>
          <w14:ligatures w14:val="none"/>
        </w:rPr>
        <w:t xml:space="preserve"> et al., 2025; TechTarget, 2024). It is intended to mimic human interaction by providing seamless communication, engaging answers, and prompt responses to their questions. Virtual assistants frequently integrate robotic process automation (RPA) into a single interface, allowing them to respond immediately to user intents without requiring additional human participation. They improve the user experience by providing straightforward answers to concerns, as well as helpful advice and recommendations (Darwish, 2024, </w:t>
      </w:r>
      <w:proofErr w:type="spellStart"/>
      <w:r w:rsidRPr="00AB41C7">
        <w:rPr>
          <w:rFonts w:ascii="Times New Roman" w:eastAsia="Calibri" w:hAnsi="Times New Roman" w:cs="Times New Roman"/>
          <w:kern w:val="0"/>
          <w14:ligatures w14:val="none"/>
        </w:rPr>
        <w:t>Raynera</w:t>
      </w:r>
      <w:proofErr w:type="spellEnd"/>
      <w:r w:rsidRPr="00AB41C7">
        <w:rPr>
          <w:rFonts w:ascii="Times New Roman" w:eastAsia="Calibri" w:hAnsi="Times New Roman" w:cs="Times New Roman"/>
          <w:kern w:val="0"/>
          <w14:ligatures w14:val="none"/>
        </w:rPr>
        <w:t xml:space="preserve"> et al, 2025). Hence, they can make travel and hotel arrangements for clients (</w:t>
      </w:r>
      <w:proofErr w:type="spellStart"/>
      <w:r w:rsidRPr="00AB41C7">
        <w:rPr>
          <w:rFonts w:ascii="Times New Roman" w:eastAsia="Calibri" w:hAnsi="Times New Roman" w:cs="Times New Roman"/>
          <w:kern w:val="0"/>
          <w14:ligatures w14:val="none"/>
        </w:rPr>
        <w:t>Raynera</w:t>
      </w:r>
      <w:proofErr w:type="spellEnd"/>
      <w:r w:rsidRPr="00AB41C7">
        <w:rPr>
          <w:rFonts w:ascii="Times New Roman" w:eastAsia="Calibri" w:hAnsi="Times New Roman" w:cs="Times New Roman"/>
          <w:kern w:val="0"/>
          <w14:ligatures w14:val="none"/>
        </w:rPr>
        <w:t xml:space="preserve"> et al., 2025). Recommendation engines are a type of information filtering system that predicts users' preferences and suggests items that are likely to interest them. Companies that use recommender systems aim to increase sales through highly tailored offers and improved customer experience (Leal et al, 2016).</w:t>
      </w:r>
      <w:r w:rsidRPr="00AB41C7">
        <w:rPr>
          <w:rFonts w:ascii="Times New Roman" w:eastAsia="Calibri" w:hAnsi="Times New Roman" w:cs="Times New Roman"/>
          <w:b/>
          <w:kern w:val="0"/>
          <w14:ligatures w14:val="none"/>
        </w:rPr>
        <w:t xml:space="preserve"> </w:t>
      </w:r>
      <w:r w:rsidRPr="00AB41C7">
        <w:rPr>
          <w:rFonts w:ascii="Times New Roman" w:eastAsia="Calibri" w:hAnsi="Times New Roman" w:cs="Times New Roman"/>
          <w:kern w:val="0"/>
          <w14:ligatures w14:val="none"/>
        </w:rPr>
        <w:t xml:space="preserve">Travel recommender systems (TRS) are used by government agencies, tourism agencies, and commercial travel intermediaries (such as Expedia.com and TripAdvisor.com) in a variety of locations to boost turnover (e.g., sell more hotel rooms and improve advertising revenue) (Asaithambi et al, 2023). </w:t>
      </w:r>
    </w:p>
    <w:p w14:paraId="520E1EE0"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Times New Roman" w:hAnsi="Times New Roman" w:cs="Times New Roman"/>
          <w:kern w:val="0"/>
          <w14:ligatures w14:val="none"/>
        </w:rPr>
        <w:t xml:space="preserve">Existing literature clearly depicts the relationship between artificial intelligence (AI) and travel bookings (Bondarenko et al. 2025, </w:t>
      </w:r>
      <w:proofErr w:type="spellStart"/>
      <w:r w:rsidRPr="00AB41C7">
        <w:rPr>
          <w:rFonts w:ascii="Times New Roman" w:eastAsia="Times New Roman" w:hAnsi="Times New Roman" w:cs="Times New Roman"/>
          <w:kern w:val="0"/>
          <w14:ligatures w14:val="none"/>
        </w:rPr>
        <w:t>Vujko</w:t>
      </w:r>
      <w:proofErr w:type="spellEnd"/>
      <w:r w:rsidRPr="00AB41C7">
        <w:rPr>
          <w:rFonts w:ascii="Times New Roman" w:eastAsia="Times New Roman" w:hAnsi="Times New Roman" w:cs="Times New Roman"/>
          <w:kern w:val="0"/>
          <w14:ligatures w14:val="none"/>
        </w:rPr>
        <w:t xml:space="preserve"> et al. 2025). </w:t>
      </w:r>
      <w:r w:rsidRPr="00AB41C7">
        <w:rPr>
          <w:rFonts w:ascii="Times New Roman" w:eastAsia="Calibri" w:hAnsi="Times New Roman" w:cs="Times New Roman"/>
          <w:kern w:val="0"/>
          <w14:ligatures w14:val="none"/>
        </w:rPr>
        <w:t xml:space="preserve">Organizing a trip involves five key steps: picking a destination, looking for and booking flights, booking lodging, handling local transportation, and, last but not least, making plans for what to see and do. With artificial intelligence, trip planning bookings become seamless to both travelers and staff (Balakrishnan, et al., 2022; </w:t>
      </w:r>
      <w:proofErr w:type="spellStart"/>
      <w:r w:rsidRPr="00AB41C7">
        <w:rPr>
          <w:rFonts w:ascii="Times New Roman" w:eastAsia="Calibri" w:hAnsi="Times New Roman" w:cs="Times New Roman"/>
          <w:kern w:val="0"/>
          <w14:ligatures w14:val="none"/>
        </w:rPr>
        <w:t>Grupta</w:t>
      </w:r>
      <w:proofErr w:type="spellEnd"/>
      <w:r w:rsidRPr="00AB41C7">
        <w:rPr>
          <w:rFonts w:ascii="Times New Roman" w:eastAsia="Calibri" w:hAnsi="Times New Roman" w:cs="Times New Roman"/>
          <w:kern w:val="0"/>
          <w14:ligatures w14:val="none"/>
        </w:rPr>
        <w:t xml:space="preserve">, et al., 2023). Personalized recommendations, automated customer service duties, quick responses, and round-the-clock customer support are all possible with artificial intelligence (Balakrishnan et al., 2022; </w:t>
      </w:r>
      <w:proofErr w:type="spellStart"/>
      <w:r w:rsidRPr="00AB41C7">
        <w:rPr>
          <w:rFonts w:ascii="Times New Roman" w:eastAsia="Calibri" w:hAnsi="Times New Roman" w:cs="Times New Roman"/>
          <w:kern w:val="0"/>
          <w14:ligatures w14:val="none"/>
        </w:rPr>
        <w:t>Vujko</w:t>
      </w:r>
      <w:proofErr w:type="spellEnd"/>
      <w:r w:rsidRPr="00AB41C7">
        <w:rPr>
          <w:rFonts w:ascii="Times New Roman" w:eastAsia="Calibri" w:hAnsi="Times New Roman" w:cs="Times New Roman"/>
          <w:kern w:val="0"/>
          <w14:ligatures w14:val="none"/>
        </w:rPr>
        <w:t xml:space="preserve"> et al., 2025). Hence, there is increased possibility for increased operational efficiency and higher booking conversion.</w:t>
      </w:r>
    </w:p>
    <w:p w14:paraId="02C36513" w14:textId="77777777" w:rsidR="00AB41C7" w:rsidRPr="00AB41C7" w:rsidRDefault="00AB41C7" w:rsidP="0044629C">
      <w:pPr>
        <w:spacing w:before="240" w:after="0"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lastRenderedPageBreak/>
        <w:t xml:space="preserve"> In Nigeria, research have stressed the use of AI in the travel business. For example, </w:t>
      </w:r>
      <w:proofErr w:type="spellStart"/>
      <w:r w:rsidRPr="00AB41C7">
        <w:rPr>
          <w:rFonts w:ascii="Times New Roman" w:eastAsia="Times New Roman" w:hAnsi="Times New Roman" w:cs="Times New Roman"/>
          <w:kern w:val="0"/>
          <w14:ligatures w14:val="none"/>
        </w:rPr>
        <w:t>Adanigbo</w:t>
      </w:r>
      <w:proofErr w:type="spellEnd"/>
      <w:r w:rsidRPr="00AB41C7">
        <w:rPr>
          <w:rFonts w:ascii="Times New Roman" w:eastAsia="Times New Roman" w:hAnsi="Times New Roman" w:cs="Times New Roman"/>
          <w:kern w:val="0"/>
          <w14:ligatures w14:val="none"/>
        </w:rPr>
        <w:t xml:space="preserve"> et al. (2024) suggest a conceptual model in which advanced AI techniques such as supervised learning, clustering, and deep learning are used to detect fraudulent bookings, incorrect ticketing, and payment problems in airline bookings. Furthermore, </w:t>
      </w:r>
      <w:proofErr w:type="spellStart"/>
      <w:r w:rsidRPr="00AB41C7">
        <w:rPr>
          <w:rFonts w:ascii="Times New Roman" w:eastAsia="Times New Roman" w:hAnsi="Times New Roman" w:cs="Times New Roman"/>
          <w:kern w:val="0"/>
          <w14:ligatures w14:val="none"/>
        </w:rPr>
        <w:t>Asifat</w:t>
      </w:r>
      <w:proofErr w:type="spellEnd"/>
      <w:r w:rsidRPr="00AB41C7">
        <w:rPr>
          <w:rFonts w:ascii="Times New Roman" w:eastAsia="Times New Roman" w:hAnsi="Times New Roman" w:cs="Times New Roman"/>
          <w:kern w:val="0"/>
          <w14:ligatures w14:val="none"/>
        </w:rPr>
        <w:t xml:space="preserve"> and Abiola-Oke (2025) did research on digital transformation in Osun State's tourism and hospitality industries. Their findings revealed that 42.7% of tourists used artificial intelligence for information and bookings. </w:t>
      </w:r>
      <w:r w:rsidRPr="00AB41C7">
        <w:rPr>
          <w:rFonts w:ascii="Times New Roman" w:eastAsia="Calibri" w:hAnsi="Times New Roman" w:cs="Times New Roman"/>
          <w:kern w:val="0"/>
          <w14:ligatures w14:val="none"/>
        </w:rPr>
        <w:t>Despite these rising intellectual contributions, there is a lack of empirical information on the use of artificial intelligence in River State travel agencies, notably in the Obio Akpor LGA. This study aims to close this gap by investigating the interaction between artificial intelligence (chatbot, virtual assistants and recommendation engines) and travel planning bookings (improved operational efficiency and higher booking conversion) at travel agencies in the Obio Akpor Local Government Area.</w:t>
      </w:r>
    </w:p>
    <w:p w14:paraId="78D8FAF1" w14:textId="77777777" w:rsidR="0044629C" w:rsidRDefault="0044629C" w:rsidP="0044629C">
      <w:pPr>
        <w:spacing w:line="240" w:lineRule="auto"/>
        <w:jc w:val="both"/>
        <w:rPr>
          <w:rFonts w:ascii="Times New Roman" w:eastAsia="Calibri" w:hAnsi="Times New Roman" w:cs="Times New Roman"/>
          <w:b/>
          <w:kern w:val="0"/>
          <w14:ligatures w14:val="none"/>
        </w:rPr>
      </w:pPr>
    </w:p>
    <w:p w14:paraId="1D093A62" w14:textId="5EE4568B"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Literature Review</w:t>
      </w:r>
    </w:p>
    <w:p w14:paraId="06118917"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Virtual Assistant and Operational Efficiency</w:t>
      </w:r>
    </w:p>
    <w:p w14:paraId="69C4E669" w14:textId="77777777" w:rsidR="00AB41C7" w:rsidRPr="00AB41C7" w:rsidRDefault="00AB41C7" w:rsidP="0044629C">
      <w:pPr>
        <w:spacing w:line="240" w:lineRule="auto"/>
        <w:jc w:val="both"/>
        <w:rPr>
          <w:rFonts w:ascii="Times New Roman" w:eastAsia="Calibri" w:hAnsi="Times New Roman" w:cs="Times New Roman"/>
          <w:color w:val="000000"/>
          <w:kern w:val="0"/>
          <w:shd w:val="clear" w:color="auto" w:fill="FFFFFF"/>
          <w14:ligatures w14:val="none"/>
        </w:rPr>
      </w:pPr>
      <w:r w:rsidRPr="00AB41C7">
        <w:rPr>
          <w:rFonts w:ascii="Times New Roman" w:eastAsia="Calibri" w:hAnsi="Times New Roman" w:cs="Times New Roman"/>
          <w:kern w:val="0"/>
          <w14:ligatures w14:val="none"/>
        </w:rPr>
        <w:t>Increasing number of studies are investigating the relationship between virtual assistant and operational efficiency. For example, Ibrahim et al. (2023) appraised how virtual assistants such as Google Assistant are affecting the way people plan journeys. These assistant help customers look for flights, book hotels, and even recommend local attractions based on their own preferences and this makes travel planning easier.  Al-</w:t>
      </w:r>
      <w:proofErr w:type="spellStart"/>
      <w:r w:rsidRPr="00AB41C7">
        <w:rPr>
          <w:rFonts w:ascii="Times New Roman" w:eastAsia="Calibri" w:hAnsi="Times New Roman" w:cs="Times New Roman"/>
          <w:kern w:val="0"/>
          <w14:ligatures w14:val="none"/>
        </w:rPr>
        <w:t>Hyari</w:t>
      </w:r>
      <w:proofErr w:type="spellEnd"/>
      <w:r w:rsidRPr="00AB41C7">
        <w:rPr>
          <w:rFonts w:ascii="Times New Roman" w:eastAsia="Calibri" w:hAnsi="Times New Roman" w:cs="Times New Roman"/>
          <w:kern w:val="0"/>
          <w14:ligatures w14:val="none"/>
        </w:rPr>
        <w:t xml:space="preserve"> et al. (2023) investigated how AI especially chatbots and virtual assistants’ affects guest satisfaction in five-star hotels in Amman, Jordan, from the managers’ perspective. It was revealed that AI is a game changer, making services smoother, boosting guest loyalty, and reducing staff workload. Chatbots and virtual assistants stood out as having the biggest impact on satisfaction. It was however revealed that guests still value human interaction, so AI should not replace people rather it should enhance the experience. Shankar et al, (2024) assessed the application of chatbots and virtual assistant in ticket booking system, and found out that the adoption and optimization of virtual assistant play a crucial role in enhancing ticket booking process at Saffron vacation. Again, </w:t>
      </w:r>
      <w:proofErr w:type="spellStart"/>
      <w:r w:rsidRPr="00AB41C7">
        <w:rPr>
          <w:rFonts w:ascii="Times New Roman" w:eastAsia="Calibri" w:hAnsi="Times New Roman" w:cs="Times New Roman"/>
          <w:kern w:val="0"/>
          <w14:ligatures w14:val="none"/>
        </w:rPr>
        <w:t>Maghadasnian</w:t>
      </w:r>
      <w:proofErr w:type="spellEnd"/>
      <w:r w:rsidRPr="00AB41C7">
        <w:rPr>
          <w:rFonts w:ascii="Times New Roman" w:eastAsia="Calibri" w:hAnsi="Times New Roman" w:cs="Times New Roman"/>
          <w:kern w:val="0"/>
          <w14:ligatures w14:val="none"/>
        </w:rPr>
        <w:t xml:space="preserve"> (2024) examined the integration of AI and its impact in travel service particularly the airline industry. It was discovered that AI powered tools such as virtual assistant, chatbot and automated booking systems significantly reduced cost and improved operational efficiency characterized by faster response time, reduced manual errors and streamlined service delivery processes. Vicente-Martínez et al (2025)</w:t>
      </w:r>
      <w:r w:rsidRPr="00AB41C7">
        <w:rPr>
          <w:rFonts w:ascii="Times New Roman" w:eastAsia="Calibri" w:hAnsi="Times New Roman" w:cs="Times New Roman"/>
          <w:color w:val="000000"/>
          <w:kern w:val="0"/>
          <w:shd w:val="clear" w:color="auto" w:fill="FFFFFF"/>
          <w14:ligatures w14:val="none"/>
        </w:rPr>
        <w:t xml:space="preserve"> designed and evaluated an intelligent assistant specifically for travel agency operations. They gathered diverse data sources.</w:t>
      </w:r>
      <w:r w:rsidRPr="00AB41C7">
        <w:rPr>
          <w:rFonts w:ascii="Times New Roman" w:eastAsia="Times New Roman" w:hAnsi="Times New Roman" w:cs="Times New Roman"/>
          <w:kern w:val="0"/>
          <w14:ligatures w14:val="none"/>
        </w:rPr>
        <w:t xml:space="preserve"> Data collected were divided into three categories: work assistance, interactive training, and evaluation modules. The results showed that information retrieval times were not more than 45 seconds, ensuring daily usability while keeping 95% accuracy</w:t>
      </w:r>
      <w:r w:rsidRPr="00AB41C7">
        <w:rPr>
          <w:rFonts w:ascii="Times New Roman" w:eastAsia="Calibri" w:hAnsi="Times New Roman" w:cs="Times New Roman"/>
          <w:color w:val="000000"/>
          <w:kern w:val="0"/>
          <w:shd w:val="clear" w:color="auto" w:fill="FFFFFF"/>
          <w14:ligatures w14:val="none"/>
        </w:rPr>
        <w:t>. The foregoing suggests that virtual assistants can enhance operational efficiency. Extant studies are however outside of the Nigerian landscape. It is therefore hypothesized that:</w:t>
      </w:r>
    </w:p>
    <w:p w14:paraId="41C826AE" w14:textId="77777777" w:rsidR="00AB41C7" w:rsidRPr="00AB41C7" w:rsidRDefault="00AB41C7" w:rsidP="0044629C">
      <w:pPr>
        <w:spacing w:line="240" w:lineRule="auto"/>
        <w:jc w:val="both"/>
        <w:rPr>
          <w:rFonts w:ascii="Times New Roman" w:eastAsia="Times New Roman" w:hAnsi="Times New Roman" w:cs="Times New Roman"/>
          <w:b/>
          <w:bCs/>
          <w:i/>
          <w:iCs/>
          <w:kern w:val="0"/>
          <w14:ligatures w14:val="none"/>
        </w:rPr>
      </w:pPr>
      <w:r w:rsidRPr="00AB41C7">
        <w:rPr>
          <w:rFonts w:ascii="Times New Roman" w:eastAsia="Calibri" w:hAnsi="Times New Roman" w:cs="Times New Roman"/>
          <w:b/>
          <w:bCs/>
          <w:i/>
          <w:iCs/>
          <w:color w:val="000000"/>
          <w:kern w:val="0"/>
          <w:shd w:val="clear" w:color="auto" w:fill="FFFFFF"/>
          <w14:ligatures w14:val="none"/>
        </w:rPr>
        <w:t>Virtual assistants significantly enhance the operational efficiency of travel agencies (H</w:t>
      </w:r>
      <w:r w:rsidRPr="00AB41C7">
        <w:rPr>
          <w:rFonts w:ascii="Times New Roman" w:eastAsia="Calibri" w:hAnsi="Times New Roman" w:cs="Times New Roman"/>
          <w:b/>
          <w:bCs/>
          <w:i/>
          <w:iCs/>
          <w:color w:val="000000"/>
          <w:kern w:val="0"/>
          <w:shd w:val="clear" w:color="auto" w:fill="FFFFFF"/>
          <w:vertAlign w:val="subscript"/>
          <w14:ligatures w14:val="none"/>
        </w:rPr>
        <w:t>01</w:t>
      </w:r>
      <w:r w:rsidRPr="00AB41C7">
        <w:rPr>
          <w:rFonts w:ascii="Times New Roman" w:eastAsia="Calibri" w:hAnsi="Times New Roman" w:cs="Times New Roman"/>
          <w:b/>
          <w:bCs/>
          <w:i/>
          <w:iCs/>
          <w:color w:val="000000"/>
          <w:kern w:val="0"/>
          <w:shd w:val="clear" w:color="auto" w:fill="FFFFFF"/>
          <w14:ligatures w14:val="none"/>
        </w:rPr>
        <w:t>).</w:t>
      </w:r>
    </w:p>
    <w:p w14:paraId="3680C790"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Virtual Assistant and Higher Booking Conversion</w:t>
      </w:r>
    </w:p>
    <w:p w14:paraId="0574BDCD"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proofErr w:type="spellStart"/>
      <w:r w:rsidRPr="00AB41C7">
        <w:rPr>
          <w:rFonts w:ascii="Times New Roman" w:eastAsia="Calibri" w:hAnsi="Times New Roman" w:cs="Times New Roman"/>
          <w:kern w:val="0"/>
          <w14:ligatures w14:val="none"/>
        </w:rPr>
        <w:t>Raynera</w:t>
      </w:r>
      <w:proofErr w:type="spellEnd"/>
      <w:r w:rsidRPr="00AB41C7">
        <w:rPr>
          <w:rFonts w:ascii="Times New Roman" w:eastAsia="Calibri" w:hAnsi="Times New Roman" w:cs="Times New Roman"/>
          <w:kern w:val="0"/>
          <w14:ligatures w14:val="none"/>
        </w:rPr>
        <w:t xml:space="preserve"> et al. (2025) investigated how AI tools, like as chatbots and virtual travel assistants, affect the way tourists make decisions and book trips in San Jose Del Monte City, Bulacan. Most </w:t>
      </w:r>
      <w:proofErr w:type="spellStart"/>
      <w:r w:rsidRPr="00AB41C7">
        <w:rPr>
          <w:rFonts w:ascii="Times New Roman" w:eastAsia="Calibri" w:hAnsi="Times New Roman" w:cs="Times New Roman"/>
          <w:kern w:val="0"/>
          <w14:ligatures w14:val="none"/>
        </w:rPr>
        <w:t>travellers</w:t>
      </w:r>
      <w:proofErr w:type="spellEnd"/>
      <w:r w:rsidRPr="00AB41C7">
        <w:rPr>
          <w:rFonts w:ascii="Times New Roman" w:eastAsia="Calibri" w:hAnsi="Times New Roman" w:cs="Times New Roman"/>
          <w:kern w:val="0"/>
          <w14:ligatures w14:val="none"/>
        </w:rPr>
        <w:t xml:space="preserve"> believed that the virtual assistants made a significant difference. They helped plan their travels and made booking much easier. This made the whole travel experience feel better. There was a significant relationship between using AI tools and how visitors made decisions. Furthermore, chatbots and virtual assistants revealed a substantial beneficial correlation to overall travel behavior. Similarly, McKinsey (2021) found out that organizations using AI for personalized suggestions experienced a 10-30% increase in consumer engagement. This highlights the necessity of strong data analytics capabilities in providing individualized travel experiences via virtual assistants. Ling et al (2025) </w:t>
      </w:r>
      <w:r w:rsidRPr="00AB41C7">
        <w:rPr>
          <w:rFonts w:ascii="Times New Roman" w:eastAsia="Calibri" w:hAnsi="Times New Roman" w:cs="Times New Roman"/>
          <w:color w:val="333333"/>
          <w:kern w:val="0"/>
          <w:shd w:val="clear" w:color="auto" w:fill="FFFFFF"/>
          <w14:ligatures w14:val="none"/>
        </w:rPr>
        <w:t xml:space="preserve">developed a perceived intelligence scale for artificially intelligent (AI) assistants and studied its impact on users’ travel-related behavioral intentions </w:t>
      </w:r>
      <w:r w:rsidRPr="00AB41C7">
        <w:rPr>
          <w:rFonts w:ascii="Times New Roman" w:eastAsia="Times New Roman" w:hAnsi="Times New Roman" w:cs="Times New Roman"/>
          <w:kern w:val="0"/>
          <w14:ligatures w14:val="none"/>
        </w:rPr>
        <w:t>by measuring conversational intelligence, information quality, and the anthropomorphism of the AI assistant</w:t>
      </w:r>
      <w:r w:rsidRPr="00AB41C7">
        <w:rPr>
          <w:rFonts w:ascii="Times New Roman" w:eastAsia="Calibri" w:hAnsi="Times New Roman" w:cs="Times New Roman"/>
          <w:color w:val="333333"/>
          <w:kern w:val="0"/>
          <w:shd w:val="clear" w:color="auto" w:fill="FFFFFF"/>
          <w14:ligatures w14:val="none"/>
        </w:rPr>
        <w:t xml:space="preserve">. Findings indicates that </w:t>
      </w:r>
      <w:r w:rsidRPr="00AB41C7">
        <w:rPr>
          <w:rFonts w:ascii="Times New Roman" w:eastAsia="Times New Roman" w:hAnsi="Times New Roman" w:cs="Times New Roman"/>
          <w:kern w:val="0"/>
          <w14:ligatures w14:val="none"/>
        </w:rPr>
        <w:t xml:space="preserve">passengers' perceived intelligence of AI </w:t>
      </w:r>
      <w:r w:rsidRPr="00AB41C7">
        <w:rPr>
          <w:rFonts w:ascii="Times New Roman" w:eastAsia="Calibri" w:hAnsi="Times New Roman" w:cs="Times New Roman"/>
          <w:kern w:val="0"/>
          <w14:ligatures w14:val="none"/>
        </w:rPr>
        <w:t xml:space="preserve">assistants </w:t>
      </w:r>
      <w:r w:rsidRPr="00AB41C7">
        <w:rPr>
          <w:rFonts w:ascii="Times New Roman" w:eastAsia="Times New Roman" w:hAnsi="Times New Roman" w:cs="Times New Roman"/>
          <w:kern w:val="0"/>
          <w14:ligatures w14:val="none"/>
        </w:rPr>
        <w:t>greatly improves their intents to utilize AI assistants for travel booking.</w:t>
      </w:r>
      <w:r w:rsidRPr="00AB41C7">
        <w:rPr>
          <w:rFonts w:ascii="Times New Roman" w:eastAsia="Calibri" w:hAnsi="Times New Roman" w:cs="Times New Roman"/>
          <w:kern w:val="0"/>
          <w14:ligatures w14:val="none"/>
        </w:rPr>
        <w:t xml:space="preserve"> Empirically, </w:t>
      </w:r>
      <w:r w:rsidRPr="00AB41C7">
        <w:rPr>
          <w:rFonts w:ascii="Times New Roman" w:eastAsia="Times New Roman" w:hAnsi="Times New Roman" w:cs="Times New Roman"/>
          <w:kern w:val="0"/>
          <w14:ligatures w14:val="none"/>
        </w:rPr>
        <w:t xml:space="preserve">Yin et al. (2026) </w:t>
      </w:r>
      <w:r w:rsidRPr="00AB41C7">
        <w:rPr>
          <w:rFonts w:ascii="Times New Roman" w:eastAsia="Times New Roman" w:hAnsi="Times New Roman" w:cs="Times New Roman"/>
          <w:kern w:val="0"/>
          <w14:ligatures w14:val="none"/>
        </w:rPr>
        <w:lastRenderedPageBreak/>
        <w:t>found that interacting with digital humans (virtual assistants) increases travel intention. Three experimental experiments were conducted to examine two attributes: appearance and language style</w:t>
      </w:r>
      <w:r w:rsidRPr="00AB41C7">
        <w:rPr>
          <w:rFonts w:ascii="Times New Roman" w:eastAsia="Calibri" w:hAnsi="Times New Roman" w:cs="Times New Roman"/>
          <w:color w:val="333333"/>
          <w:kern w:val="0"/>
          <w:shd w:val="clear" w:color="auto" w:fill="FFFFFF"/>
          <w14:ligatures w14:val="none"/>
        </w:rPr>
        <w:t xml:space="preserve">. </w:t>
      </w:r>
      <w:r w:rsidRPr="00AB41C7">
        <w:rPr>
          <w:rFonts w:ascii="Times New Roman" w:eastAsia="Times New Roman" w:hAnsi="Times New Roman" w:cs="Times New Roman"/>
          <w:kern w:val="0"/>
          <w14:ligatures w14:val="none"/>
        </w:rPr>
        <w:t xml:space="preserve">Ahmed et al. (2025) also investigated customers' behavioral intention to use voice-based artificial intelligence (AI) to find appropriate hotels and resorts in an emerging nation. All dimensions were found to have a favorable and significant impact on attitudes and behavioral intentions to use voice-based AI assistant services in an emerging nation. </w:t>
      </w:r>
      <w:r w:rsidRPr="00AB41C7">
        <w:rPr>
          <w:rFonts w:ascii="Times New Roman" w:eastAsia="Calibri" w:hAnsi="Times New Roman" w:cs="Times New Roman"/>
          <w:color w:val="000000"/>
          <w:kern w:val="0"/>
          <w:shd w:val="clear" w:color="auto" w:fill="FFFFFF"/>
          <w14:ligatures w14:val="none"/>
        </w:rPr>
        <w:t>It is therefore hypothesized that:</w:t>
      </w:r>
    </w:p>
    <w:p w14:paraId="6AA216D2" w14:textId="77777777" w:rsidR="00AB41C7" w:rsidRPr="00AB41C7" w:rsidRDefault="00AB41C7" w:rsidP="0044629C">
      <w:pPr>
        <w:spacing w:line="240" w:lineRule="auto"/>
        <w:jc w:val="both"/>
        <w:rPr>
          <w:rFonts w:ascii="Times New Roman" w:eastAsia="Times New Roman" w:hAnsi="Times New Roman" w:cs="Times New Roman"/>
          <w:b/>
          <w:bCs/>
          <w:i/>
          <w:iCs/>
          <w:kern w:val="0"/>
          <w14:ligatures w14:val="none"/>
        </w:rPr>
      </w:pPr>
      <w:r w:rsidRPr="00AB41C7">
        <w:rPr>
          <w:rFonts w:ascii="Times New Roman" w:eastAsia="Calibri" w:hAnsi="Times New Roman" w:cs="Times New Roman"/>
          <w:b/>
          <w:bCs/>
          <w:i/>
          <w:iCs/>
          <w:color w:val="000000"/>
          <w:kern w:val="0"/>
          <w:shd w:val="clear" w:color="auto" w:fill="FFFFFF"/>
          <w14:ligatures w14:val="none"/>
        </w:rPr>
        <w:t>Virtual assistants significantly enhance the booking conversion of travel agencies (H</w:t>
      </w:r>
      <w:r w:rsidRPr="00AB41C7">
        <w:rPr>
          <w:rFonts w:ascii="Times New Roman" w:eastAsia="Calibri" w:hAnsi="Times New Roman" w:cs="Times New Roman"/>
          <w:b/>
          <w:bCs/>
          <w:i/>
          <w:iCs/>
          <w:color w:val="000000"/>
          <w:kern w:val="0"/>
          <w:shd w:val="clear" w:color="auto" w:fill="FFFFFF"/>
          <w:vertAlign w:val="subscript"/>
          <w14:ligatures w14:val="none"/>
        </w:rPr>
        <w:t>02</w:t>
      </w:r>
      <w:r w:rsidRPr="00AB41C7">
        <w:rPr>
          <w:rFonts w:ascii="Times New Roman" w:eastAsia="Calibri" w:hAnsi="Times New Roman" w:cs="Times New Roman"/>
          <w:b/>
          <w:bCs/>
          <w:i/>
          <w:iCs/>
          <w:color w:val="000000"/>
          <w:kern w:val="0"/>
          <w:shd w:val="clear" w:color="auto" w:fill="FFFFFF"/>
          <w14:ligatures w14:val="none"/>
        </w:rPr>
        <w:t>).</w:t>
      </w:r>
    </w:p>
    <w:p w14:paraId="67525CB7"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 xml:space="preserve">Chatbot and Operational Efficiency  </w:t>
      </w:r>
    </w:p>
    <w:p w14:paraId="5DBBBDEF"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 xml:space="preserve">Shankar et al. (2024) assessed the efficacy and implications of chatbots for customer satisfaction, operational efficiency, and corporate success. They discovered that chatbots account for 85% of the variation in client happiness, and that integrating chatbot technology can help travel businesses optimize processes. In a related study, </w:t>
      </w:r>
      <w:proofErr w:type="spellStart"/>
      <w:r w:rsidRPr="00AB41C7">
        <w:rPr>
          <w:rFonts w:ascii="Times New Roman" w:eastAsia="Calibri" w:hAnsi="Times New Roman" w:cs="Times New Roman"/>
          <w:kern w:val="0"/>
          <w14:ligatures w14:val="none"/>
        </w:rPr>
        <w:t>Vujko</w:t>
      </w:r>
      <w:proofErr w:type="spellEnd"/>
      <w:r w:rsidRPr="00AB41C7">
        <w:rPr>
          <w:rFonts w:ascii="Times New Roman" w:eastAsia="Calibri" w:hAnsi="Times New Roman" w:cs="Times New Roman"/>
          <w:kern w:val="0"/>
          <w14:ligatures w14:val="none"/>
        </w:rPr>
        <w:t xml:space="preserve"> et al. (2025) concentrated on the expanding usage of chatbots in travel agencies, particularly as tools that improve customer communication and streamline operations. The findings demonstrated that three areas namely; making trip planning easier, encouraging more frequent travel, and assisting travelers in maintaining organization were primarily associated with users' positive experiences with chatbots.  </w:t>
      </w:r>
      <w:proofErr w:type="spellStart"/>
      <w:r w:rsidRPr="00AB41C7">
        <w:rPr>
          <w:rFonts w:ascii="Times New Roman" w:eastAsia="Times New Roman" w:hAnsi="Times New Roman" w:cs="Times New Roman"/>
          <w:kern w:val="0"/>
          <w14:ligatures w14:val="none"/>
        </w:rPr>
        <w:t>Odinukaeze</w:t>
      </w:r>
      <w:proofErr w:type="spellEnd"/>
      <w:r w:rsidRPr="00AB41C7">
        <w:rPr>
          <w:rFonts w:ascii="Times New Roman" w:eastAsia="Times New Roman" w:hAnsi="Times New Roman" w:cs="Times New Roman"/>
          <w:kern w:val="0"/>
          <w14:ligatures w14:val="none"/>
        </w:rPr>
        <w:t xml:space="preserve"> (2025) took a qualitative approach in investigating the utilization of artificial intelligence in tourism organizations. It was showed that AI technologies such as chatbots considerably improve operational efficiency by automating processes and optimizing resource allocation. This was similarly reported by von Wolff et al. (2022) while investigating how chatbots can support everyday tasks in organizations; and discovered that users had a positive attitude about adopting chatbots for business activities. </w:t>
      </w:r>
      <w:proofErr w:type="spellStart"/>
      <w:r w:rsidRPr="00AB41C7">
        <w:rPr>
          <w:rFonts w:ascii="Times New Roman" w:eastAsia="Times New Roman" w:hAnsi="Times New Roman" w:cs="Times New Roman"/>
          <w:kern w:val="0"/>
          <w14:ligatures w14:val="none"/>
        </w:rPr>
        <w:t>Andrianto</w:t>
      </w:r>
      <w:proofErr w:type="spellEnd"/>
      <w:r w:rsidRPr="00AB41C7">
        <w:rPr>
          <w:rFonts w:ascii="Times New Roman" w:eastAsia="Times New Roman" w:hAnsi="Times New Roman" w:cs="Times New Roman"/>
          <w:kern w:val="0"/>
          <w14:ligatures w14:val="none"/>
        </w:rPr>
        <w:t xml:space="preserve"> et al. (2025) discovered that AI, like chatbots, improves resource optimization, facilitates hyper-personalization, and supports sustainable tourism governance. These findings came from the examination of information gathered through an organized email-based discussion guide that addressed AI applications, operational advantages, motivational elements, adoption difficulties, ethical issues, and potential future paths. Overall, available evidence underscores the potentials of chatbots in driving operational efficiencies in tourism contexts; however, specific evidences pointing to developing nations like Nigeria is limited. It is hypothesized that: </w:t>
      </w:r>
    </w:p>
    <w:p w14:paraId="0672516B" w14:textId="77777777" w:rsidR="00AB41C7" w:rsidRPr="00AB41C7" w:rsidRDefault="00AB41C7" w:rsidP="0044629C">
      <w:pPr>
        <w:spacing w:line="240" w:lineRule="auto"/>
        <w:jc w:val="both"/>
        <w:rPr>
          <w:rFonts w:ascii="Times New Roman" w:eastAsia="Times New Roman" w:hAnsi="Times New Roman" w:cs="Times New Roman"/>
          <w:b/>
          <w:bCs/>
          <w:i/>
          <w:iCs/>
          <w:kern w:val="0"/>
          <w14:ligatures w14:val="none"/>
        </w:rPr>
      </w:pPr>
      <w:r w:rsidRPr="00AB41C7">
        <w:rPr>
          <w:rFonts w:ascii="Times New Roman" w:eastAsia="Calibri" w:hAnsi="Times New Roman" w:cs="Times New Roman"/>
          <w:b/>
          <w:bCs/>
          <w:i/>
          <w:iCs/>
          <w:color w:val="000000"/>
          <w:kern w:val="0"/>
          <w:shd w:val="clear" w:color="auto" w:fill="FFFFFF"/>
          <w14:ligatures w14:val="none"/>
        </w:rPr>
        <w:t>Chatbots significantly enhance the operational efficiency of travel agencies (H</w:t>
      </w:r>
      <w:r w:rsidRPr="00AB41C7">
        <w:rPr>
          <w:rFonts w:ascii="Times New Roman" w:eastAsia="Calibri" w:hAnsi="Times New Roman" w:cs="Times New Roman"/>
          <w:b/>
          <w:bCs/>
          <w:i/>
          <w:iCs/>
          <w:color w:val="000000"/>
          <w:kern w:val="0"/>
          <w:shd w:val="clear" w:color="auto" w:fill="FFFFFF"/>
          <w:vertAlign w:val="subscript"/>
          <w14:ligatures w14:val="none"/>
        </w:rPr>
        <w:t>03</w:t>
      </w:r>
      <w:r w:rsidRPr="00AB41C7">
        <w:rPr>
          <w:rFonts w:ascii="Times New Roman" w:eastAsia="Calibri" w:hAnsi="Times New Roman" w:cs="Times New Roman"/>
          <w:b/>
          <w:bCs/>
          <w:i/>
          <w:iCs/>
          <w:color w:val="000000"/>
          <w:kern w:val="0"/>
          <w:shd w:val="clear" w:color="auto" w:fill="FFFFFF"/>
          <w14:ligatures w14:val="none"/>
        </w:rPr>
        <w:t>).</w:t>
      </w:r>
    </w:p>
    <w:p w14:paraId="6AAA364F"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Chatbot and higher bookings conversion</w:t>
      </w:r>
    </w:p>
    <w:p w14:paraId="1EF256A2"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Magano et al. (2025) investigated how experiences with AI chatbots on travel websites shape consumer engagement for different generations, with satisfaction from using the chatbots acting as a key mediator. Satisfaction with chatbots plays a central role in linking chatbot experiences to engagement, and generational differences matter. For Generation X, satisfaction drives engagement most strongly, for Generation Z, direct experience with the chatbot matters more, and Millennials prefer a smooth handoff between AI and human agents.</w:t>
      </w:r>
      <w:r w:rsidRPr="00AB41C7">
        <w:rPr>
          <w:rFonts w:ascii="Times New Roman" w:eastAsia="Times New Roman" w:hAnsi="Times New Roman" w:cs="Times New Roman"/>
          <w:kern w:val="0"/>
          <w14:ligatures w14:val="none"/>
        </w:rPr>
        <w:t xml:space="preserve"> Without a focus on generation, Pham (2025) conducted research into how modern technologies including AI-powered chatbots, influence tourists' intentions to book rural accommodations and their willingness to pay a deposit in Vietnam. AI chatbots supported both presence and trust by offering real-time assistance, personalized information, and interactive engagement, enhancing users' overall experience. Additionally, Ferdowsi and Moradi (2026) looked into how perceived chatbot interaction quality and blockchain affordances influence visitors' impulse buying behavior in online travel agencies, and revealed that perceived chatbot interaction quality and blockchain have significant direct effects on impulse purchase. While previous studies were concentrated in developed nations, </w:t>
      </w:r>
      <w:r w:rsidRPr="00AB41C7">
        <w:rPr>
          <w:rFonts w:ascii="Times New Roman" w:eastAsia="Calibri" w:hAnsi="Times New Roman" w:cs="Times New Roman"/>
          <w:kern w:val="0"/>
          <w14:ligatures w14:val="none"/>
        </w:rPr>
        <w:t xml:space="preserve">Gana (2024) carried out a study on how visitors perceived the use of chatbot services in a Nigerian context, particularly with respect to Kainji Lake National Park. The results demonstrated that chatbots improve customer experience, boost client patronage, and improve destination information in the tourism sector. </w:t>
      </w:r>
      <w:r w:rsidRPr="00AB41C7">
        <w:rPr>
          <w:rFonts w:ascii="Times New Roman" w:eastAsia="Times New Roman" w:hAnsi="Times New Roman" w:cs="Times New Roman"/>
          <w:kern w:val="0"/>
          <w14:ligatures w14:val="none"/>
        </w:rPr>
        <w:t xml:space="preserve">Overall, available evidence underscores the potentials of chatbots in driving booking conversion in tourism contexts; however, specific evidences pointing to travel agencies in the Nigerian context is still limited. It is hypothesized that: </w:t>
      </w:r>
    </w:p>
    <w:p w14:paraId="51F247D6" w14:textId="77777777" w:rsidR="00AB41C7" w:rsidRPr="00AB41C7" w:rsidRDefault="00AB41C7" w:rsidP="0044629C">
      <w:pPr>
        <w:spacing w:line="240" w:lineRule="auto"/>
        <w:jc w:val="both"/>
        <w:rPr>
          <w:rFonts w:ascii="Times New Roman" w:eastAsia="Times New Roman" w:hAnsi="Times New Roman" w:cs="Times New Roman"/>
          <w:b/>
          <w:bCs/>
          <w:i/>
          <w:iCs/>
          <w:kern w:val="0"/>
          <w14:ligatures w14:val="none"/>
        </w:rPr>
      </w:pPr>
      <w:r w:rsidRPr="00AB41C7">
        <w:rPr>
          <w:rFonts w:ascii="Times New Roman" w:eastAsia="Calibri" w:hAnsi="Times New Roman" w:cs="Times New Roman"/>
          <w:b/>
          <w:bCs/>
          <w:i/>
          <w:iCs/>
          <w:color w:val="000000"/>
          <w:kern w:val="0"/>
          <w:shd w:val="clear" w:color="auto" w:fill="FFFFFF"/>
          <w14:ligatures w14:val="none"/>
        </w:rPr>
        <w:lastRenderedPageBreak/>
        <w:t>Chatbots significantly enhance the operational efficiency of travel agencies (H</w:t>
      </w:r>
      <w:r w:rsidRPr="00AB41C7">
        <w:rPr>
          <w:rFonts w:ascii="Times New Roman" w:eastAsia="Calibri" w:hAnsi="Times New Roman" w:cs="Times New Roman"/>
          <w:b/>
          <w:bCs/>
          <w:i/>
          <w:iCs/>
          <w:color w:val="000000"/>
          <w:kern w:val="0"/>
          <w:shd w:val="clear" w:color="auto" w:fill="FFFFFF"/>
          <w:vertAlign w:val="subscript"/>
          <w14:ligatures w14:val="none"/>
        </w:rPr>
        <w:t>04</w:t>
      </w:r>
      <w:r w:rsidRPr="00AB41C7">
        <w:rPr>
          <w:rFonts w:ascii="Times New Roman" w:eastAsia="Calibri" w:hAnsi="Times New Roman" w:cs="Times New Roman"/>
          <w:b/>
          <w:bCs/>
          <w:i/>
          <w:iCs/>
          <w:color w:val="000000"/>
          <w:kern w:val="0"/>
          <w:shd w:val="clear" w:color="auto" w:fill="FFFFFF"/>
          <w14:ligatures w14:val="none"/>
        </w:rPr>
        <w:t>).</w:t>
      </w:r>
    </w:p>
    <w:p w14:paraId="56BAC56A"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Recommendation Engine and Operational Efficiency</w:t>
      </w:r>
    </w:p>
    <w:p w14:paraId="56346A31"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 xml:space="preserve">Londhe et al. (2024) explored how recommendation engines can make travel planning easier and more efficient. They set up a system using ChatGPT to figure out what </w:t>
      </w:r>
      <w:proofErr w:type="spellStart"/>
      <w:r w:rsidRPr="00AB41C7">
        <w:rPr>
          <w:rFonts w:ascii="Times New Roman" w:eastAsia="Calibri" w:hAnsi="Times New Roman" w:cs="Times New Roman"/>
          <w:kern w:val="0"/>
          <w14:ligatures w14:val="none"/>
        </w:rPr>
        <w:t>travellers</w:t>
      </w:r>
      <w:proofErr w:type="spellEnd"/>
      <w:r w:rsidRPr="00AB41C7">
        <w:rPr>
          <w:rFonts w:ascii="Times New Roman" w:eastAsia="Calibri" w:hAnsi="Times New Roman" w:cs="Times New Roman"/>
          <w:kern w:val="0"/>
          <w14:ligatures w14:val="none"/>
        </w:rPr>
        <w:t xml:space="preserve"> want and match them with destinations, flights, and hotels. At the same time, a web scraper was engaged in pulling real-time data from Google Travel. The system looked at things like prices, hotel ratings, and flight layovers to give personalized suggestions, and it turned out to be about 86% accurate. </w:t>
      </w:r>
      <w:proofErr w:type="spellStart"/>
      <w:r w:rsidRPr="00AB41C7">
        <w:rPr>
          <w:rFonts w:ascii="Times New Roman" w:eastAsia="Calibri" w:hAnsi="Times New Roman" w:cs="Times New Roman"/>
          <w:kern w:val="0"/>
          <w14:ligatures w14:val="none"/>
        </w:rPr>
        <w:t>Travellers</w:t>
      </w:r>
      <w:proofErr w:type="spellEnd"/>
      <w:r w:rsidRPr="00AB41C7">
        <w:rPr>
          <w:rFonts w:ascii="Times New Roman" w:eastAsia="Calibri" w:hAnsi="Times New Roman" w:cs="Times New Roman"/>
          <w:kern w:val="0"/>
          <w14:ligatures w14:val="none"/>
        </w:rPr>
        <w:t xml:space="preserve"> revealed that the recommendations really helped them plan trips that fit their needs and budgets. Specifically, Hassan et al. (2025) revealed that hybrid, context-aware recommender systems can help travelers find relevant options faster and more reliably, even in data-scarce environments, making travel planning smoother and more efficient.</w:t>
      </w:r>
      <w:r w:rsidRPr="00AB41C7">
        <w:rPr>
          <w:rFonts w:ascii="Times New Roman" w:eastAsia="Calibri" w:hAnsi="Times New Roman" w:cs="Times New Roman"/>
          <w:color w:val="0B0C0E"/>
          <w:kern w:val="0"/>
          <w:shd w:val="clear" w:color="auto" w:fill="FFFFFF"/>
          <w14:ligatures w14:val="none"/>
        </w:rPr>
        <w:t xml:space="preserve"> </w:t>
      </w:r>
      <w:r w:rsidRPr="00AB41C7">
        <w:rPr>
          <w:rFonts w:ascii="Times New Roman" w:eastAsia="Times New Roman" w:hAnsi="Times New Roman" w:cs="Times New Roman"/>
          <w:kern w:val="0"/>
          <w14:ligatures w14:val="none"/>
        </w:rPr>
        <w:t xml:space="preserve">Liu et al. (2024) developed a recommendation engine (algorithm) that provides </w:t>
      </w:r>
      <w:proofErr w:type="spellStart"/>
      <w:r w:rsidRPr="00AB41C7">
        <w:rPr>
          <w:rFonts w:ascii="Times New Roman" w:eastAsia="Times New Roman" w:hAnsi="Times New Roman" w:cs="Times New Roman"/>
          <w:kern w:val="0"/>
          <w14:ligatures w14:val="none"/>
        </w:rPr>
        <w:t>travellers</w:t>
      </w:r>
      <w:proofErr w:type="spellEnd"/>
      <w:r w:rsidRPr="00AB41C7">
        <w:rPr>
          <w:rFonts w:ascii="Times New Roman" w:eastAsia="Times New Roman" w:hAnsi="Times New Roman" w:cs="Times New Roman"/>
          <w:kern w:val="0"/>
          <w14:ligatures w14:val="none"/>
        </w:rPr>
        <w:t xml:space="preserve"> with highly tailored itineraries by taking into account criteria such as time utilization, attraction attractiveness, itinerary feasibility, and attraction diversity. The experimental results show that their suggested approach beats two baseline systems, delivering higher overall tourist satisfaction while also being more feasible in itinerary design. </w:t>
      </w:r>
      <w:proofErr w:type="spellStart"/>
      <w:r w:rsidRPr="00AB41C7">
        <w:rPr>
          <w:rFonts w:ascii="Times New Roman" w:eastAsia="Times New Roman" w:hAnsi="Times New Roman" w:cs="Times New Roman"/>
          <w:kern w:val="0"/>
          <w14:ligatures w14:val="none"/>
        </w:rPr>
        <w:t>Sizhesinger</w:t>
      </w:r>
      <w:proofErr w:type="spellEnd"/>
      <w:r w:rsidRPr="00AB41C7">
        <w:rPr>
          <w:rFonts w:ascii="Times New Roman" w:eastAsia="Times New Roman" w:hAnsi="Times New Roman" w:cs="Times New Roman"/>
          <w:kern w:val="0"/>
          <w14:ligatures w14:val="none"/>
        </w:rPr>
        <w:t xml:space="preserve"> (2025) however suggested a new model for individualized hotel services. Experimental evaluation on real-world datasets from several hotel chains reveals that the proposed model outperforms with 92% precision and 89% recall, much exceeding state-of-the-art results. Solano-</w:t>
      </w:r>
      <w:proofErr w:type="spellStart"/>
      <w:r w:rsidRPr="00AB41C7">
        <w:rPr>
          <w:rFonts w:ascii="Times New Roman" w:eastAsia="Times New Roman" w:hAnsi="Times New Roman" w:cs="Times New Roman"/>
          <w:kern w:val="0"/>
          <w14:ligatures w14:val="none"/>
        </w:rPr>
        <w:t>Barliza</w:t>
      </w:r>
      <w:proofErr w:type="spellEnd"/>
      <w:r w:rsidRPr="00AB41C7">
        <w:rPr>
          <w:rFonts w:ascii="Times New Roman" w:eastAsia="Times New Roman" w:hAnsi="Times New Roman" w:cs="Times New Roman"/>
          <w:kern w:val="0"/>
          <w14:ligatures w14:val="none"/>
        </w:rPr>
        <w:t xml:space="preserve"> et al. (2024) demonstrated in their empirical study that a multi-criteria recommendation engine for restaurants in emerging tourist destinations improves operational efficiency by automating the matching of individual preferences with available services, allowing both tourists and service providers to make better decisions. It would appear that there is a consensus amongst most studies that recommendation engines boost operational efficiency. Studies are however concentrated in developed nations. It is hypothesized that:</w:t>
      </w:r>
    </w:p>
    <w:p w14:paraId="33DACF37" w14:textId="77777777" w:rsidR="00AB41C7" w:rsidRPr="00AB41C7" w:rsidRDefault="00AB41C7" w:rsidP="0044629C">
      <w:pPr>
        <w:spacing w:line="240" w:lineRule="auto"/>
        <w:jc w:val="both"/>
        <w:rPr>
          <w:rFonts w:ascii="Times New Roman" w:eastAsia="Times New Roman" w:hAnsi="Times New Roman" w:cs="Times New Roman"/>
          <w:b/>
          <w:bCs/>
          <w:i/>
          <w:iCs/>
          <w:kern w:val="0"/>
          <w14:ligatures w14:val="none"/>
        </w:rPr>
      </w:pPr>
      <w:r w:rsidRPr="00AB41C7">
        <w:rPr>
          <w:rFonts w:ascii="Times New Roman" w:eastAsia="Calibri" w:hAnsi="Times New Roman" w:cs="Times New Roman"/>
          <w:b/>
          <w:bCs/>
          <w:i/>
          <w:iCs/>
          <w:color w:val="000000"/>
          <w:kern w:val="0"/>
          <w:shd w:val="clear" w:color="auto" w:fill="FFFFFF"/>
          <w14:ligatures w14:val="none"/>
        </w:rPr>
        <w:t>Recommendation engine significantly enhances the operational efficiency of travel agencies (H</w:t>
      </w:r>
      <w:r w:rsidRPr="00AB41C7">
        <w:rPr>
          <w:rFonts w:ascii="Times New Roman" w:eastAsia="Calibri" w:hAnsi="Times New Roman" w:cs="Times New Roman"/>
          <w:b/>
          <w:bCs/>
          <w:i/>
          <w:iCs/>
          <w:color w:val="000000"/>
          <w:kern w:val="0"/>
          <w:shd w:val="clear" w:color="auto" w:fill="FFFFFF"/>
          <w:vertAlign w:val="subscript"/>
          <w14:ligatures w14:val="none"/>
        </w:rPr>
        <w:t>05</w:t>
      </w:r>
      <w:r w:rsidRPr="00AB41C7">
        <w:rPr>
          <w:rFonts w:ascii="Times New Roman" w:eastAsia="Calibri" w:hAnsi="Times New Roman" w:cs="Times New Roman"/>
          <w:b/>
          <w:bCs/>
          <w:i/>
          <w:iCs/>
          <w:color w:val="000000"/>
          <w:kern w:val="0"/>
          <w:shd w:val="clear" w:color="auto" w:fill="FFFFFF"/>
          <w14:ligatures w14:val="none"/>
        </w:rPr>
        <w:t>).</w:t>
      </w:r>
    </w:p>
    <w:p w14:paraId="6C4C3CA8"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 xml:space="preserve">Recommendation engine and higher booking conversion  </w:t>
      </w:r>
    </w:p>
    <w:p w14:paraId="43BFE467"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 xml:space="preserve">Nguyen and Nguyen (2025) explored how recommendation systems affect tourists’ decision-making and travel intentions in Vietnam. The study demonstrated that when tourists perceive RS as accurate, trustworthy, and useful, they are more satisfied and more likely to act on travel recommendations. Öztürk (2025) particularly appraised what drives travelers when choosing online accommodations, focusing on the role of AI, personalization, and consumer behavior. The study explored platforms like Airbnb, Expedia, and Booking.com, examining how AI-driven recommendations, personalized marketing, and user reviews influence trust and decision-making. It was suggested that personalized recommendations not only guide choices but also boost confidence in the platform and improve overall satisfaction. </w:t>
      </w:r>
      <w:r w:rsidRPr="00AB41C7">
        <w:rPr>
          <w:rFonts w:ascii="Times New Roman" w:eastAsia="Times New Roman" w:hAnsi="Times New Roman" w:cs="Times New Roman"/>
          <w:kern w:val="0"/>
          <w14:ligatures w14:val="none"/>
        </w:rPr>
        <w:t xml:space="preserve">In Chen and Wei (2024) study on the role of artificial intelligence in travel choice making and tourism product selling, it was revealed that AI-driven informativeness and AI-based recommendations had a substantial impact on travel decision-making. On the other side, social media has no meaningful influence on travel decisions. </w:t>
      </w:r>
      <w:proofErr w:type="spellStart"/>
      <w:r w:rsidRPr="00AB41C7">
        <w:rPr>
          <w:rFonts w:ascii="Times New Roman" w:eastAsia="Times New Roman" w:hAnsi="Times New Roman" w:cs="Times New Roman"/>
          <w:kern w:val="0"/>
          <w14:ligatures w14:val="none"/>
        </w:rPr>
        <w:t>Makrydakis</w:t>
      </w:r>
      <w:proofErr w:type="spellEnd"/>
      <w:r w:rsidRPr="00AB41C7">
        <w:rPr>
          <w:rFonts w:ascii="Times New Roman" w:eastAsia="Times New Roman" w:hAnsi="Times New Roman" w:cs="Times New Roman"/>
          <w:kern w:val="0"/>
          <w14:ligatures w14:val="none"/>
        </w:rPr>
        <w:t xml:space="preserve"> et al. (2025) conducted a quantitative analysis of AI-driven digital marketing techniques and their behavioral impacts on tourist decision-making, satisfaction, and engagement. They looked at four aspects of tourism marketing in the AI era: personalization and recommendation systems, digital advertising methods, consumer engagement measurements, and trust-building processes. AI-driven personalization and predictive analytics were found to have significant impact on tourist decision-making and booking intents.</w:t>
      </w:r>
    </w:p>
    <w:p w14:paraId="33AA287F" w14:textId="77777777" w:rsidR="00AB41C7" w:rsidRPr="00AB41C7" w:rsidRDefault="00AB41C7" w:rsidP="0044629C">
      <w:pPr>
        <w:spacing w:line="240" w:lineRule="auto"/>
        <w:jc w:val="both"/>
        <w:rPr>
          <w:rFonts w:ascii="Calibri" w:eastAsia="Calibri" w:hAnsi="Calibri" w:cs="Times New Roman"/>
          <w:kern w:val="0"/>
          <w:sz w:val="22"/>
          <w:szCs w:val="22"/>
          <w14:ligatures w14:val="none"/>
        </w:rPr>
      </w:pPr>
      <w:r w:rsidRPr="00AB41C7">
        <w:rPr>
          <w:rFonts w:ascii="Times New Roman" w:eastAsia="Times New Roman" w:hAnsi="Times New Roman" w:cs="Times New Roman"/>
          <w:kern w:val="0"/>
          <w14:ligatures w14:val="none"/>
        </w:rPr>
        <w:t xml:space="preserve">Hlee et al. (2025) investigated the impact of AI-driven recommendation systems on perceived usefulness in travel decision-making, focusing on spatiotemporal efficiency, destination type, and travel party composition in a Korean context. The study showed that </w:t>
      </w:r>
      <w:proofErr w:type="spellStart"/>
      <w:r w:rsidRPr="00AB41C7">
        <w:rPr>
          <w:rFonts w:ascii="Times New Roman" w:eastAsia="Times New Roman" w:hAnsi="Times New Roman" w:cs="Times New Roman"/>
          <w:kern w:val="0"/>
          <w14:ligatures w14:val="none"/>
        </w:rPr>
        <w:t>spatio</w:t>
      </w:r>
      <w:proofErr w:type="spellEnd"/>
      <w:r w:rsidRPr="00AB41C7">
        <w:rPr>
          <w:rFonts w:ascii="Times New Roman" w:eastAsia="Times New Roman" w:hAnsi="Times New Roman" w:cs="Times New Roman"/>
          <w:kern w:val="0"/>
          <w14:ligatures w14:val="none"/>
        </w:rPr>
        <w:t xml:space="preserve">-temporal efficiency in AI suggestions improves travel itineraries and reduces cognitive stress, allowing for better user decision-making, and that </w:t>
      </w:r>
      <w:proofErr w:type="spellStart"/>
      <w:r w:rsidRPr="00AB41C7">
        <w:rPr>
          <w:rFonts w:ascii="Times New Roman" w:eastAsia="Times New Roman" w:hAnsi="Times New Roman" w:cs="Times New Roman"/>
          <w:kern w:val="0"/>
          <w14:ligatures w14:val="none"/>
        </w:rPr>
        <w:t>spatio</w:t>
      </w:r>
      <w:proofErr w:type="spellEnd"/>
      <w:r w:rsidRPr="00AB41C7">
        <w:rPr>
          <w:rFonts w:ascii="Times New Roman" w:eastAsia="Times New Roman" w:hAnsi="Times New Roman" w:cs="Times New Roman"/>
          <w:kern w:val="0"/>
          <w14:ligatures w14:val="none"/>
        </w:rPr>
        <w:t>-temporal AI recommendations are perceived as more advantageous than non-</w:t>
      </w:r>
      <w:proofErr w:type="spellStart"/>
      <w:r w:rsidRPr="00AB41C7">
        <w:rPr>
          <w:rFonts w:ascii="Times New Roman" w:eastAsia="Times New Roman" w:hAnsi="Times New Roman" w:cs="Times New Roman"/>
          <w:kern w:val="0"/>
          <w14:ligatures w14:val="none"/>
        </w:rPr>
        <w:t>spatio</w:t>
      </w:r>
      <w:proofErr w:type="spellEnd"/>
      <w:r w:rsidRPr="00AB41C7">
        <w:rPr>
          <w:rFonts w:ascii="Times New Roman" w:eastAsia="Times New Roman" w:hAnsi="Times New Roman" w:cs="Times New Roman"/>
          <w:kern w:val="0"/>
          <w14:ligatures w14:val="none"/>
        </w:rPr>
        <w:t xml:space="preserve">-temporal alternatives. </w:t>
      </w:r>
      <w:r w:rsidRPr="00AB41C7">
        <w:rPr>
          <w:rFonts w:ascii="Times New Roman" w:eastAsia="Calibri" w:hAnsi="Times New Roman" w:cs="Times New Roman"/>
          <w:kern w:val="0"/>
          <w14:ligatures w14:val="none"/>
        </w:rPr>
        <w:t xml:space="preserve">Existing studies reviewed have not thoroughly examined the three dimensions of artificial intelligence in relation to the selected outcome measures. Most focus on isolated aspects rather than offering a full, integrated view. In addition, </w:t>
      </w:r>
      <w:r w:rsidRPr="00AB41C7">
        <w:rPr>
          <w:rFonts w:ascii="Times New Roman" w:eastAsia="Calibri" w:hAnsi="Times New Roman" w:cs="Times New Roman"/>
          <w:kern w:val="0"/>
          <w14:ligatures w14:val="none"/>
        </w:rPr>
        <w:lastRenderedPageBreak/>
        <w:t>research within Obio Akpor Local Government Area remains limited, leaving both contextual and empirical gaps. It is hypothesized that:</w:t>
      </w:r>
      <w:r w:rsidRPr="00AB41C7">
        <w:rPr>
          <w:rFonts w:ascii="Calibri" w:eastAsia="Calibri" w:hAnsi="Calibri" w:cs="Times New Roman"/>
          <w:kern w:val="0"/>
          <w:sz w:val="22"/>
          <w:szCs w:val="22"/>
          <w14:ligatures w14:val="none"/>
        </w:rPr>
        <w:t xml:space="preserve"> </w:t>
      </w:r>
    </w:p>
    <w:p w14:paraId="21E06B40" w14:textId="77777777" w:rsidR="00AB41C7" w:rsidRPr="00AB41C7" w:rsidRDefault="00AB41C7" w:rsidP="0044629C">
      <w:pPr>
        <w:spacing w:line="240" w:lineRule="auto"/>
        <w:jc w:val="both"/>
        <w:rPr>
          <w:rFonts w:ascii="Times New Roman" w:eastAsia="Times New Roman" w:hAnsi="Times New Roman" w:cs="Times New Roman"/>
          <w:b/>
          <w:bCs/>
          <w:i/>
          <w:iCs/>
          <w:kern w:val="0"/>
          <w14:ligatures w14:val="none"/>
        </w:rPr>
      </w:pPr>
      <w:r w:rsidRPr="00AB41C7">
        <w:rPr>
          <w:rFonts w:ascii="Times New Roman" w:eastAsia="Calibri" w:hAnsi="Times New Roman" w:cs="Times New Roman"/>
          <w:b/>
          <w:bCs/>
          <w:i/>
          <w:iCs/>
          <w:color w:val="000000"/>
          <w:kern w:val="0"/>
          <w:shd w:val="clear" w:color="auto" w:fill="FFFFFF"/>
          <w14:ligatures w14:val="none"/>
        </w:rPr>
        <w:t>Recommendation engine significantly enhances the booking conversion of travel agencies (H</w:t>
      </w:r>
      <w:r w:rsidRPr="00AB41C7">
        <w:rPr>
          <w:rFonts w:ascii="Times New Roman" w:eastAsia="Calibri" w:hAnsi="Times New Roman" w:cs="Times New Roman"/>
          <w:b/>
          <w:bCs/>
          <w:i/>
          <w:iCs/>
          <w:color w:val="000000"/>
          <w:kern w:val="0"/>
          <w:shd w:val="clear" w:color="auto" w:fill="FFFFFF"/>
          <w:vertAlign w:val="subscript"/>
          <w14:ligatures w14:val="none"/>
        </w:rPr>
        <w:t>06</w:t>
      </w:r>
      <w:r w:rsidRPr="00AB41C7">
        <w:rPr>
          <w:rFonts w:ascii="Times New Roman" w:eastAsia="Calibri" w:hAnsi="Times New Roman" w:cs="Times New Roman"/>
          <w:b/>
          <w:bCs/>
          <w:i/>
          <w:iCs/>
          <w:color w:val="000000"/>
          <w:kern w:val="0"/>
          <w:shd w:val="clear" w:color="auto" w:fill="FFFFFF"/>
          <w14:ligatures w14:val="none"/>
        </w:rPr>
        <w:t>).</w:t>
      </w:r>
    </w:p>
    <w:p w14:paraId="397F4B4B" w14:textId="77777777" w:rsidR="00AB41C7" w:rsidRPr="00AB41C7" w:rsidRDefault="00AB41C7" w:rsidP="0044629C">
      <w:pPr>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Research Methodology</w:t>
      </w:r>
    </w:p>
    <w:p w14:paraId="63785C4D"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This is a descriptive cross-sectional survey. Five travel agencies in Obio Akpor LGA or Rivers State were purposively selected for this study based on their visible engagement with AI technologies in travel planning and booking services. These agencies include </w:t>
      </w:r>
      <w:proofErr w:type="spellStart"/>
      <w:r w:rsidRPr="00AB41C7">
        <w:rPr>
          <w:rFonts w:ascii="Times New Roman" w:eastAsia="Calibri" w:hAnsi="Times New Roman" w:cs="Times New Roman"/>
          <w:kern w:val="0"/>
          <w14:ligatures w14:val="none"/>
        </w:rPr>
        <w:t>Wakanow</w:t>
      </w:r>
      <w:proofErr w:type="spellEnd"/>
      <w:r w:rsidRPr="00AB41C7">
        <w:rPr>
          <w:rFonts w:ascii="Times New Roman" w:eastAsia="Calibri" w:hAnsi="Times New Roman" w:cs="Times New Roman"/>
          <w:kern w:val="0"/>
          <w14:ligatures w14:val="none"/>
        </w:rPr>
        <w:t xml:space="preserve"> Port Harcourt, </w:t>
      </w:r>
      <w:proofErr w:type="spellStart"/>
      <w:r w:rsidRPr="00AB41C7">
        <w:rPr>
          <w:rFonts w:ascii="Times New Roman" w:eastAsia="Calibri" w:hAnsi="Times New Roman" w:cs="Times New Roman"/>
          <w:kern w:val="0"/>
          <w14:ligatures w14:val="none"/>
        </w:rPr>
        <w:t>Laviv</w:t>
      </w:r>
      <w:proofErr w:type="spellEnd"/>
      <w:r w:rsidRPr="00AB41C7">
        <w:rPr>
          <w:rFonts w:ascii="Times New Roman" w:eastAsia="Calibri" w:hAnsi="Times New Roman" w:cs="Times New Roman"/>
          <w:kern w:val="0"/>
          <w14:ligatures w14:val="none"/>
        </w:rPr>
        <w:t xml:space="preserve"> Travel Limited, </w:t>
      </w:r>
      <w:proofErr w:type="spellStart"/>
      <w:r w:rsidRPr="00AB41C7">
        <w:rPr>
          <w:rFonts w:ascii="Times New Roman" w:eastAsia="Calibri" w:hAnsi="Times New Roman" w:cs="Times New Roman"/>
          <w:kern w:val="0"/>
          <w14:ligatures w14:val="none"/>
        </w:rPr>
        <w:t>Bluecrest</w:t>
      </w:r>
      <w:proofErr w:type="spellEnd"/>
      <w:r w:rsidRPr="00AB41C7">
        <w:rPr>
          <w:rFonts w:ascii="Times New Roman" w:eastAsia="Calibri" w:hAnsi="Times New Roman" w:cs="Times New Roman"/>
          <w:kern w:val="0"/>
          <w14:ligatures w14:val="none"/>
        </w:rPr>
        <w:t xml:space="preserve"> world Wide, Sky Walker travel agency and GMS travel Limited. However, only three made up the final sample. The total estimated population of travel agents across these agencies was 116. To calculate the sample size, Taro Yamane’s (1967) formula was employed resulting in a sample size of 90. Structured questionnaire was engaged in gathering responses from the participants, particularly targeting operations managers, customer service leads, and marketing executives across selected travel agencies. </w:t>
      </w:r>
    </w:p>
    <w:p w14:paraId="1B79F0EF"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Specifically, virtual assistants, chatbots, recommendation engines, operational efficiency and booking conversion were measured on 23 items scales scored on a five port Likert scale of strongly disagree (1) to strongly agree (4). Virtual assistants scale was comprised of 5 items adapted from Ling et al (2025). Chatbot scale was comprised of 5 items adapted from </w:t>
      </w:r>
      <w:proofErr w:type="spellStart"/>
      <w:r w:rsidRPr="00AB41C7">
        <w:rPr>
          <w:rFonts w:ascii="Times New Roman" w:eastAsia="Calibri" w:hAnsi="Times New Roman" w:cs="Times New Roman"/>
          <w:kern w:val="0"/>
          <w14:ligatures w14:val="none"/>
        </w:rPr>
        <w:t>Vujko</w:t>
      </w:r>
      <w:proofErr w:type="spellEnd"/>
      <w:r w:rsidRPr="00AB41C7">
        <w:rPr>
          <w:rFonts w:ascii="Times New Roman" w:eastAsia="Calibri" w:hAnsi="Times New Roman" w:cs="Times New Roman"/>
          <w:kern w:val="0"/>
          <w14:ligatures w14:val="none"/>
        </w:rPr>
        <w:t xml:space="preserve"> et al (2025). Recommendation engine scale was comprised of 5 items adapted from Londhe et al. (2024). Operational efficiency and booking conversion scale were comprised of 4 items each adapted from Gana et al (2024)’s study. Reliability statistics were conducted using Cronbach Alpha; with values of 0.82, 0.84, 0.80, 0.79 and 0.81 respectively. These suggests strong reliability coefficients for the scales. Descriptive data such as sex, educational status, age were also collected from the participants.</w:t>
      </w:r>
    </w:p>
    <w:p w14:paraId="301CB713"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Stratified sampling technique was adopted for distributing the copies of questionnaire</w:t>
      </w:r>
      <w:r w:rsidRPr="00AB41C7">
        <w:rPr>
          <w:rFonts w:ascii="Times New Roman" w:eastAsia="Calibri" w:hAnsi="Times New Roman" w:cs="Times New Roman"/>
          <w:b/>
          <w:kern w:val="0"/>
          <w14:ligatures w14:val="none"/>
        </w:rPr>
        <w:t>,</w:t>
      </w:r>
      <w:r w:rsidRPr="00AB41C7">
        <w:rPr>
          <w:rFonts w:ascii="Times New Roman" w:eastAsia="Calibri" w:hAnsi="Times New Roman" w:cs="Times New Roman"/>
          <w:kern w:val="0"/>
          <w14:ligatures w14:val="none"/>
        </w:rPr>
        <w:t xml:space="preserve"> ensuring that staff from each agency involved in AI-enabled services were represented. However, of the 90 copies of questionnaire distributed to the five travel agencies, only three out of the five travel agencies returned usable questionnaires, resulting in </w:t>
      </w:r>
      <w:r w:rsidRPr="00AB41C7">
        <w:rPr>
          <w:rFonts w:ascii="Times New Roman" w:eastAsia="Calibri" w:hAnsi="Times New Roman" w:cs="Times New Roman"/>
          <w:bCs/>
          <w:kern w:val="0"/>
          <w14:ligatures w14:val="none"/>
        </w:rPr>
        <w:t>32 completed responses</w:t>
      </w:r>
      <w:r w:rsidRPr="00AB41C7">
        <w:rPr>
          <w:rFonts w:ascii="Times New Roman" w:eastAsia="Calibri" w:hAnsi="Times New Roman" w:cs="Times New Roman"/>
          <w:kern w:val="0"/>
          <w14:ligatures w14:val="none"/>
        </w:rPr>
        <w:t xml:space="preserve">. This included </w:t>
      </w:r>
      <w:proofErr w:type="spellStart"/>
      <w:r w:rsidRPr="00AB41C7">
        <w:rPr>
          <w:rFonts w:ascii="Times New Roman" w:eastAsia="Calibri" w:hAnsi="Times New Roman" w:cs="Times New Roman"/>
          <w:kern w:val="0"/>
          <w14:ligatures w14:val="none"/>
        </w:rPr>
        <w:t>Laviv</w:t>
      </w:r>
      <w:proofErr w:type="spellEnd"/>
      <w:r w:rsidRPr="00AB41C7">
        <w:rPr>
          <w:rFonts w:ascii="Times New Roman" w:eastAsia="Calibri" w:hAnsi="Times New Roman" w:cs="Times New Roman"/>
          <w:kern w:val="0"/>
          <w14:ligatures w14:val="none"/>
        </w:rPr>
        <w:t xml:space="preserve"> Travels Limited (n=12), </w:t>
      </w:r>
      <w:proofErr w:type="spellStart"/>
      <w:r w:rsidRPr="00AB41C7">
        <w:rPr>
          <w:rFonts w:ascii="Times New Roman" w:eastAsia="Calibri" w:hAnsi="Times New Roman" w:cs="Times New Roman"/>
          <w:kern w:val="0"/>
          <w14:ligatures w14:val="none"/>
        </w:rPr>
        <w:t>Bluecrest</w:t>
      </w:r>
      <w:proofErr w:type="spellEnd"/>
      <w:r w:rsidRPr="00AB41C7">
        <w:rPr>
          <w:rFonts w:ascii="Times New Roman" w:eastAsia="Calibri" w:hAnsi="Times New Roman" w:cs="Times New Roman"/>
          <w:kern w:val="0"/>
          <w14:ligatures w14:val="none"/>
        </w:rPr>
        <w:t xml:space="preserve"> Worldwide (n=10), and Sky Walker Travel Agency (n=10). Descriptive statistics was engaged in presented univariate variables summaries. Correlation and multiple regression were employed in establishing relationships and influence respectively. Statistical significance was established at 95% confidence interval.</w:t>
      </w:r>
    </w:p>
    <w:p w14:paraId="58A81ADC"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b/>
          <w:kern w:val="0"/>
          <w14:ligatures w14:val="none"/>
        </w:rPr>
        <w:t>Results</w:t>
      </w:r>
    </w:p>
    <w:p w14:paraId="441B4449" w14:textId="77777777" w:rsidR="00AB41C7" w:rsidRPr="00AB41C7" w:rsidRDefault="00AB41C7" w:rsidP="0044629C">
      <w:pPr>
        <w:spacing w:line="240" w:lineRule="auto"/>
        <w:jc w:val="both"/>
        <w:rPr>
          <w:rFonts w:ascii="Times New Roman" w:eastAsia="Calibri" w:hAnsi="Times New Roman" w:cs="Times New Roman"/>
          <w:b/>
          <w:bCs/>
          <w:kern w:val="0"/>
          <w14:ligatures w14:val="none"/>
        </w:rPr>
      </w:pPr>
      <w:r w:rsidRPr="00AB41C7">
        <w:rPr>
          <w:rFonts w:ascii="Times New Roman" w:eastAsia="Calibri" w:hAnsi="Times New Roman" w:cs="Times New Roman"/>
          <w:b/>
          <w:bCs/>
          <w:kern w:val="0"/>
          <w14:ligatures w14:val="none"/>
        </w:rPr>
        <w:t>Descriptive results</w:t>
      </w:r>
    </w:p>
    <w:p w14:paraId="6517809B"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kern w:val="0"/>
          <w14:ligatures w14:val="none"/>
        </w:rPr>
        <w:t>Demographic data showed that</w:t>
      </w:r>
      <w:r w:rsidRPr="00AB41C7">
        <w:rPr>
          <w:rFonts w:ascii="Times New Roman" w:eastAsia="Times New Roman" w:hAnsi="Times New Roman" w:cs="Times New Roman"/>
          <w:kern w:val="0"/>
          <w14:ligatures w14:val="none"/>
        </w:rPr>
        <w:t xml:space="preserve"> show that the gender distribution of respondents was equal, with 50% male and 50% female, indicating a balanced representation of both genders among travel agency staff in Obio Akpor LG. 59.4% of the respondents were between 20 and 25 years, followed by 18.8% between 26 and 30 years, showing that the workforce is dominated by young professionals. In terms of educational qualification, the majority of respondents (65.6%) possessed HND/B.Sc. degrees, while 25% held postgraduate degrees (M.Sc./Ph.D.). Lastly, the mean years of experience (M = 3.53, SD = 3.547) show that most respondents have about three to four years of professional experience in the travel industry. This level of experience suggests that they possess adequate exposure to the operational and technological practices within their organizations, making their responses credible for assessing the impact of artificial intelligence tools such as virtual assistants, chatbots, and recommendation engines on operational efficiency and booking conversion performance in travel agencies within Obio Akpor LGA.</w:t>
      </w:r>
    </w:p>
    <w:p w14:paraId="606E4326" w14:textId="77777777" w:rsidR="0044629C" w:rsidRDefault="0044629C" w:rsidP="0044629C">
      <w:pPr>
        <w:spacing w:line="240" w:lineRule="auto"/>
        <w:jc w:val="both"/>
        <w:rPr>
          <w:rFonts w:ascii="Times New Roman" w:eastAsia="Calibri" w:hAnsi="Times New Roman" w:cs="Times New Roman"/>
          <w:b/>
          <w:bCs/>
          <w:kern w:val="0"/>
          <w14:ligatures w14:val="none"/>
        </w:rPr>
      </w:pPr>
    </w:p>
    <w:p w14:paraId="51AD9D37" w14:textId="371FF7B2" w:rsidR="00AB41C7" w:rsidRPr="00AB41C7" w:rsidRDefault="00AB41C7" w:rsidP="0044629C">
      <w:pPr>
        <w:spacing w:line="240" w:lineRule="auto"/>
        <w:jc w:val="both"/>
        <w:rPr>
          <w:rFonts w:ascii="Times New Roman" w:eastAsia="Calibri" w:hAnsi="Times New Roman" w:cs="Times New Roman"/>
          <w:b/>
          <w:bCs/>
          <w:kern w:val="0"/>
          <w14:ligatures w14:val="none"/>
        </w:rPr>
      </w:pPr>
      <w:r w:rsidRPr="00AB41C7">
        <w:rPr>
          <w:rFonts w:ascii="Times New Roman" w:eastAsia="Calibri" w:hAnsi="Times New Roman" w:cs="Times New Roman"/>
          <w:b/>
          <w:bCs/>
          <w:kern w:val="0"/>
          <w14:ligatures w14:val="none"/>
        </w:rPr>
        <w:t>Correlation analyses between dimensions of AI and travel planning booking</w:t>
      </w:r>
    </w:p>
    <w:p w14:paraId="0C7517D5"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As shown on Table 1, the result reveals a </w:t>
      </w:r>
      <w:r w:rsidRPr="00AB41C7">
        <w:rPr>
          <w:rFonts w:ascii="Times New Roman" w:eastAsia="Times New Roman" w:hAnsi="Times New Roman" w:cs="Times New Roman"/>
          <w:bCs/>
          <w:kern w:val="0"/>
          <w14:ligatures w14:val="none"/>
        </w:rPr>
        <w:t>positive but insignificant relationship</w:t>
      </w:r>
      <w:r w:rsidRPr="00AB41C7">
        <w:rPr>
          <w:rFonts w:ascii="Times New Roman" w:eastAsia="Times New Roman" w:hAnsi="Times New Roman" w:cs="Times New Roman"/>
          <w:kern w:val="0"/>
          <w14:ligatures w14:val="none"/>
        </w:rPr>
        <w:t xml:space="preserve"> between Virtual Assistants and Operational Efficiency (r = 0.299, p = 0.097). This implies that while the use of virtual assistants tends to improve </w:t>
      </w:r>
      <w:r w:rsidRPr="00AB41C7">
        <w:rPr>
          <w:rFonts w:ascii="Times New Roman" w:eastAsia="Times New Roman" w:hAnsi="Times New Roman" w:cs="Times New Roman"/>
          <w:kern w:val="0"/>
          <w14:ligatures w14:val="none"/>
        </w:rPr>
        <w:lastRenderedPageBreak/>
        <w:t xml:space="preserve">operational efficiency among travel agencies in Obio Akpor LGA, the relationship is not statistically significant at the 0.05 level. This suggests that although virtual assistants help automate communication and task handling, their current level of adoption may not be sufficient to produce measurable efficiency outcomes. On the other hand, the result shows a </w:t>
      </w:r>
      <w:r w:rsidRPr="00AB41C7">
        <w:rPr>
          <w:rFonts w:ascii="Times New Roman" w:eastAsia="Times New Roman" w:hAnsi="Times New Roman" w:cs="Times New Roman"/>
          <w:bCs/>
          <w:kern w:val="0"/>
          <w14:ligatures w14:val="none"/>
        </w:rPr>
        <w:t>moderate positive and statistically significant relationship</w:t>
      </w:r>
      <w:r w:rsidRPr="00AB41C7">
        <w:rPr>
          <w:rFonts w:ascii="Times New Roman" w:eastAsia="Times New Roman" w:hAnsi="Times New Roman" w:cs="Times New Roman"/>
          <w:kern w:val="0"/>
          <w14:ligatures w14:val="none"/>
        </w:rPr>
        <w:t xml:space="preserve"> between Virtual Assistants and Higher Booking Conversion (r = 0.528, p = 0.002). This means that as travel agencies employ AI-powered virtual assistants for customer interaction, follow-up, and reminders, booking conversions significantly increase.</w:t>
      </w:r>
    </w:p>
    <w:p w14:paraId="031FF97C" w14:textId="77777777" w:rsidR="00AB41C7" w:rsidRPr="00AB41C7" w:rsidRDefault="00AB41C7" w:rsidP="0044629C">
      <w:pPr>
        <w:spacing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result indicates a </w:t>
      </w:r>
      <w:r w:rsidRPr="00AB41C7">
        <w:rPr>
          <w:rFonts w:ascii="Times New Roman" w:eastAsia="Times New Roman" w:hAnsi="Times New Roman" w:cs="Times New Roman"/>
          <w:bCs/>
          <w:kern w:val="0"/>
          <w14:ligatures w14:val="none"/>
        </w:rPr>
        <w:t>strong positive and statistically significant relationship</w:t>
      </w:r>
      <w:r w:rsidRPr="00AB41C7">
        <w:rPr>
          <w:rFonts w:ascii="Times New Roman" w:eastAsia="Times New Roman" w:hAnsi="Times New Roman" w:cs="Times New Roman"/>
          <w:kern w:val="0"/>
          <w14:ligatures w14:val="none"/>
        </w:rPr>
        <w:t xml:space="preserve"> between Chatbots and Operational Efficiency (r = 0.629, p = 0.000). This implies that chatbot systems significantly enhance operational processes in travel agencies by automating routine inquiries, providing instant responses, and streamlining bookings. Similarly, the result demonstrates a </w:t>
      </w:r>
      <w:r w:rsidRPr="00AB41C7">
        <w:rPr>
          <w:rFonts w:ascii="Times New Roman" w:eastAsia="Times New Roman" w:hAnsi="Times New Roman" w:cs="Times New Roman"/>
          <w:bCs/>
          <w:kern w:val="0"/>
          <w14:ligatures w14:val="none"/>
        </w:rPr>
        <w:t>moderate positive and significant correlation</w:t>
      </w:r>
      <w:r w:rsidRPr="00AB41C7">
        <w:rPr>
          <w:rFonts w:ascii="Times New Roman" w:eastAsia="Times New Roman" w:hAnsi="Times New Roman" w:cs="Times New Roman"/>
          <w:kern w:val="0"/>
          <w14:ligatures w14:val="none"/>
        </w:rPr>
        <w:t xml:space="preserve"> between Chatbots and Higher Booking Conversion (r = 0.535, p = 0.002). This indicates that chatbots play a key role in increasing successful bookings by engaging customers in real-time, providing tailored responses, and simplifying decision-making. </w:t>
      </w:r>
    </w:p>
    <w:p w14:paraId="7CB2B8E0"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analysis also shows a </w:t>
      </w:r>
      <w:r w:rsidRPr="00AB41C7">
        <w:rPr>
          <w:rFonts w:ascii="Times New Roman" w:eastAsia="Times New Roman" w:hAnsi="Times New Roman" w:cs="Times New Roman"/>
          <w:bCs/>
          <w:kern w:val="0"/>
          <w14:ligatures w14:val="none"/>
        </w:rPr>
        <w:t>strong positive and significant relationship</w:t>
      </w:r>
      <w:r w:rsidRPr="00AB41C7">
        <w:rPr>
          <w:rFonts w:ascii="Times New Roman" w:eastAsia="Times New Roman" w:hAnsi="Times New Roman" w:cs="Times New Roman"/>
          <w:kern w:val="0"/>
          <w14:ligatures w14:val="none"/>
        </w:rPr>
        <w:t xml:space="preserve"> between Recommendation Engines and Operational Efficiency (r = 0.600, p = 0.000). This means that AI-driven recommendation systems improve workflow and decision-making processes. Travel agencies that utilize recommendation engines operate more efficiently, as these systems enable quick, data-based suggestions that reduce manual effort and improve service accuracy. More so, the result reveals a </w:t>
      </w:r>
      <w:r w:rsidRPr="00AB41C7">
        <w:rPr>
          <w:rFonts w:ascii="Times New Roman" w:eastAsia="Times New Roman" w:hAnsi="Times New Roman" w:cs="Times New Roman"/>
          <w:bCs/>
          <w:kern w:val="0"/>
          <w14:ligatures w14:val="none"/>
        </w:rPr>
        <w:t>very strong positive and statistically significant correlation</w:t>
      </w:r>
      <w:r w:rsidRPr="00AB41C7">
        <w:rPr>
          <w:rFonts w:ascii="Times New Roman" w:eastAsia="Times New Roman" w:hAnsi="Times New Roman" w:cs="Times New Roman"/>
          <w:kern w:val="0"/>
          <w14:ligatures w14:val="none"/>
        </w:rPr>
        <w:t xml:space="preserve"> between Recommendation Engines and Higher Booking Conversion (r = 0.726, p = 0.000). This suggests that the use of personalized AI recommendations strongly drives customer decisions and significantly increases booking rates </w:t>
      </w:r>
    </w:p>
    <w:p w14:paraId="6F6B575F" w14:textId="77777777" w:rsidR="00AB41C7" w:rsidRPr="00AB41C7" w:rsidRDefault="00AB41C7" w:rsidP="0044629C">
      <w:pPr>
        <w:spacing w:line="240" w:lineRule="auto"/>
        <w:jc w:val="both"/>
        <w:rPr>
          <w:rFonts w:ascii="Times New Roman" w:eastAsia="Calibri" w:hAnsi="Times New Roman" w:cs="Times New Roman"/>
          <w:b/>
          <w:bCs/>
          <w:kern w:val="0"/>
          <w14:ligatures w14:val="none"/>
        </w:rPr>
      </w:pPr>
      <w:r w:rsidRPr="00AB41C7">
        <w:rPr>
          <w:rFonts w:ascii="Times New Roman" w:eastAsia="Calibri" w:hAnsi="Times New Roman" w:cs="Times New Roman"/>
          <w:b/>
          <w:bCs/>
          <w:kern w:val="0"/>
          <w14:ligatures w14:val="none"/>
        </w:rPr>
        <w:t>Table 1: Summary of correlation analyses between dimensions of AI and travel planning booking</w:t>
      </w:r>
    </w:p>
    <w:tbl>
      <w:tblPr>
        <w:tblStyle w:val="TableGrid"/>
        <w:tblW w:w="5000" w:type="pct"/>
        <w:tblLook w:val="04A0" w:firstRow="1" w:lastRow="0" w:firstColumn="1" w:lastColumn="0" w:noHBand="0" w:noVBand="1"/>
      </w:tblPr>
      <w:tblGrid>
        <w:gridCol w:w="2308"/>
        <w:gridCol w:w="2097"/>
        <w:gridCol w:w="2097"/>
        <w:gridCol w:w="2099"/>
        <w:gridCol w:w="2099"/>
      </w:tblGrid>
      <w:tr w:rsidR="00AB41C7" w:rsidRPr="00AB41C7" w14:paraId="466A8634" w14:textId="77777777" w:rsidTr="005C4055">
        <w:tc>
          <w:tcPr>
            <w:tcW w:w="1078" w:type="pct"/>
          </w:tcPr>
          <w:p w14:paraId="0403BAF2"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p>
        </w:tc>
        <w:tc>
          <w:tcPr>
            <w:tcW w:w="1960" w:type="pct"/>
            <w:gridSpan w:val="2"/>
          </w:tcPr>
          <w:p w14:paraId="1E278AE4"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sz w:val="24"/>
                <w:szCs w:val="24"/>
              </w:rPr>
              <w:t>Operational efficiency</w:t>
            </w:r>
          </w:p>
        </w:tc>
        <w:tc>
          <w:tcPr>
            <w:tcW w:w="1961" w:type="pct"/>
            <w:gridSpan w:val="2"/>
          </w:tcPr>
          <w:p w14:paraId="6E081069"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sz w:val="24"/>
                <w:szCs w:val="24"/>
              </w:rPr>
              <w:t>Booking conversion</w:t>
            </w:r>
          </w:p>
        </w:tc>
      </w:tr>
      <w:tr w:rsidR="00AB41C7" w:rsidRPr="00AB41C7" w14:paraId="5040C341" w14:textId="77777777" w:rsidTr="005C4055">
        <w:tc>
          <w:tcPr>
            <w:tcW w:w="1078" w:type="pct"/>
          </w:tcPr>
          <w:p w14:paraId="7FAB4EAE"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p>
        </w:tc>
        <w:tc>
          <w:tcPr>
            <w:tcW w:w="980" w:type="pct"/>
          </w:tcPr>
          <w:p w14:paraId="69F66896"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i/>
                <w:iCs/>
                <w:sz w:val="24"/>
                <w:szCs w:val="24"/>
              </w:rPr>
            </w:pPr>
            <w:r w:rsidRPr="00AB41C7">
              <w:rPr>
                <w:rFonts w:ascii="Times New Roman" w:eastAsia="Times New Roman" w:hAnsi="Times New Roman" w:cs="Times New Roman"/>
                <w:b/>
                <w:bCs/>
                <w:i/>
                <w:iCs/>
                <w:sz w:val="24"/>
                <w:szCs w:val="24"/>
              </w:rPr>
              <w:t>r</w:t>
            </w:r>
          </w:p>
        </w:tc>
        <w:tc>
          <w:tcPr>
            <w:tcW w:w="980" w:type="pct"/>
          </w:tcPr>
          <w:p w14:paraId="2D173A9B"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sz w:val="24"/>
                <w:szCs w:val="24"/>
              </w:rPr>
              <w:t>p</w:t>
            </w:r>
          </w:p>
        </w:tc>
        <w:tc>
          <w:tcPr>
            <w:tcW w:w="981" w:type="pct"/>
          </w:tcPr>
          <w:p w14:paraId="6F30064D"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i/>
                <w:iCs/>
                <w:sz w:val="24"/>
                <w:szCs w:val="24"/>
              </w:rPr>
              <w:t>r</w:t>
            </w:r>
          </w:p>
        </w:tc>
        <w:tc>
          <w:tcPr>
            <w:tcW w:w="981" w:type="pct"/>
          </w:tcPr>
          <w:p w14:paraId="206EA871"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sz w:val="24"/>
                <w:szCs w:val="24"/>
              </w:rPr>
              <w:t>p</w:t>
            </w:r>
          </w:p>
        </w:tc>
      </w:tr>
      <w:tr w:rsidR="00AB41C7" w:rsidRPr="00AB41C7" w14:paraId="61941266" w14:textId="77777777" w:rsidTr="005C4055">
        <w:tc>
          <w:tcPr>
            <w:tcW w:w="1078" w:type="pct"/>
          </w:tcPr>
          <w:p w14:paraId="5F8F6409"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sz w:val="24"/>
                <w:szCs w:val="24"/>
              </w:rPr>
              <w:t>Virtual Assistant</w:t>
            </w:r>
          </w:p>
        </w:tc>
        <w:tc>
          <w:tcPr>
            <w:tcW w:w="980" w:type="pct"/>
          </w:tcPr>
          <w:p w14:paraId="1AFD9BCB"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0.299</w:t>
            </w:r>
          </w:p>
        </w:tc>
        <w:tc>
          <w:tcPr>
            <w:tcW w:w="980" w:type="pct"/>
          </w:tcPr>
          <w:p w14:paraId="0E4E6B27"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0.097</w:t>
            </w:r>
          </w:p>
        </w:tc>
        <w:tc>
          <w:tcPr>
            <w:tcW w:w="981" w:type="pct"/>
          </w:tcPr>
          <w:p w14:paraId="717177AE"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0.528</w:t>
            </w:r>
          </w:p>
        </w:tc>
        <w:tc>
          <w:tcPr>
            <w:tcW w:w="981" w:type="pct"/>
          </w:tcPr>
          <w:p w14:paraId="2909371D"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0.002</w:t>
            </w:r>
          </w:p>
        </w:tc>
      </w:tr>
      <w:tr w:rsidR="00AB41C7" w:rsidRPr="00AB41C7" w14:paraId="18032657" w14:textId="77777777" w:rsidTr="005C4055">
        <w:tc>
          <w:tcPr>
            <w:tcW w:w="1078" w:type="pct"/>
          </w:tcPr>
          <w:p w14:paraId="0892BC1C"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sz w:val="24"/>
                <w:szCs w:val="24"/>
              </w:rPr>
              <w:t>Chatbot</w:t>
            </w:r>
          </w:p>
        </w:tc>
        <w:tc>
          <w:tcPr>
            <w:tcW w:w="980" w:type="pct"/>
          </w:tcPr>
          <w:p w14:paraId="0047249D"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0.629</w:t>
            </w:r>
          </w:p>
        </w:tc>
        <w:tc>
          <w:tcPr>
            <w:tcW w:w="980" w:type="pct"/>
          </w:tcPr>
          <w:p w14:paraId="4454557B"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0.000</w:t>
            </w:r>
          </w:p>
        </w:tc>
        <w:tc>
          <w:tcPr>
            <w:tcW w:w="981" w:type="pct"/>
          </w:tcPr>
          <w:p w14:paraId="72601D3C"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0.525</w:t>
            </w:r>
          </w:p>
        </w:tc>
        <w:tc>
          <w:tcPr>
            <w:tcW w:w="981" w:type="pct"/>
          </w:tcPr>
          <w:p w14:paraId="6C4E6EF2"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0.002</w:t>
            </w:r>
          </w:p>
        </w:tc>
      </w:tr>
      <w:tr w:rsidR="00AB41C7" w:rsidRPr="00AB41C7" w14:paraId="17F22F4F" w14:textId="77777777" w:rsidTr="005C4055">
        <w:tc>
          <w:tcPr>
            <w:tcW w:w="1078" w:type="pct"/>
          </w:tcPr>
          <w:p w14:paraId="4BE284C9" w14:textId="77777777" w:rsidR="00AB41C7" w:rsidRPr="00AB41C7" w:rsidRDefault="00AB41C7" w:rsidP="0044629C">
            <w:pPr>
              <w:spacing w:before="100" w:beforeAutospacing="1" w:after="100" w:afterAutospacing="1"/>
              <w:jc w:val="both"/>
              <w:rPr>
                <w:rFonts w:ascii="Times New Roman" w:eastAsia="Times New Roman" w:hAnsi="Times New Roman" w:cs="Times New Roman"/>
                <w:b/>
                <w:bCs/>
                <w:sz w:val="24"/>
                <w:szCs w:val="24"/>
              </w:rPr>
            </w:pPr>
            <w:r w:rsidRPr="00AB41C7">
              <w:rPr>
                <w:rFonts w:ascii="Times New Roman" w:eastAsia="Times New Roman" w:hAnsi="Times New Roman" w:cs="Times New Roman"/>
                <w:b/>
                <w:bCs/>
                <w:sz w:val="24"/>
                <w:szCs w:val="24"/>
              </w:rPr>
              <w:t>Recommendation engines</w:t>
            </w:r>
          </w:p>
        </w:tc>
        <w:tc>
          <w:tcPr>
            <w:tcW w:w="980" w:type="pct"/>
          </w:tcPr>
          <w:p w14:paraId="4C0D012A"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0.600</w:t>
            </w:r>
          </w:p>
        </w:tc>
        <w:tc>
          <w:tcPr>
            <w:tcW w:w="980" w:type="pct"/>
          </w:tcPr>
          <w:p w14:paraId="29F2828C"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0.000</w:t>
            </w:r>
          </w:p>
        </w:tc>
        <w:tc>
          <w:tcPr>
            <w:tcW w:w="981" w:type="pct"/>
          </w:tcPr>
          <w:p w14:paraId="578709FA"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0.726</w:t>
            </w:r>
          </w:p>
        </w:tc>
        <w:tc>
          <w:tcPr>
            <w:tcW w:w="981" w:type="pct"/>
          </w:tcPr>
          <w:p w14:paraId="7296A2D8" w14:textId="77777777" w:rsidR="00AB41C7" w:rsidRPr="00AB41C7" w:rsidRDefault="00AB41C7" w:rsidP="0044629C">
            <w:pPr>
              <w:spacing w:before="100" w:beforeAutospacing="1" w:after="100" w:afterAutospacing="1"/>
              <w:jc w:val="both"/>
              <w:rPr>
                <w:rFonts w:ascii="Times New Roman" w:eastAsia="Times New Roman" w:hAnsi="Times New Roman" w:cs="Times New Roman"/>
                <w:sz w:val="24"/>
                <w:szCs w:val="24"/>
              </w:rPr>
            </w:pPr>
            <w:r w:rsidRPr="00AB41C7">
              <w:rPr>
                <w:rFonts w:ascii="Times New Roman" w:eastAsia="Times New Roman" w:hAnsi="Times New Roman" w:cs="Times New Roman"/>
                <w:sz w:val="24"/>
                <w:szCs w:val="24"/>
              </w:rPr>
              <w:t>0.000</w:t>
            </w:r>
          </w:p>
        </w:tc>
      </w:tr>
    </w:tbl>
    <w:p w14:paraId="410DA079"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overall correlation between Artificial Intelligence and Travel Planning shows a </w:t>
      </w:r>
      <w:r w:rsidRPr="00AB41C7">
        <w:rPr>
          <w:rFonts w:ascii="Times New Roman" w:eastAsia="Times New Roman" w:hAnsi="Times New Roman" w:cs="Times New Roman"/>
          <w:bCs/>
          <w:kern w:val="0"/>
          <w14:ligatures w14:val="none"/>
        </w:rPr>
        <w:t>very strong and statistically significant relationship</w:t>
      </w:r>
      <w:r w:rsidRPr="00AB41C7">
        <w:rPr>
          <w:rFonts w:ascii="Times New Roman" w:eastAsia="Times New Roman" w:hAnsi="Times New Roman" w:cs="Times New Roman"/>
          <w:kern w:val="0"/>
          <w14:ligatures w14:val="none"/>
        </w:rPr>
        <w:t xml:space="preserve"> (r = 0.766, p = 0.000). This means that AI technologies comprising virtual assistants, chatbots, and recommendation engines greatly enhance travel planning efficiency among agencies in Obio Akpor LGA. The result confirms that AI helps in better decision-making, improves personalization, and boosts client satisfaction. Hence, Artificial Intelligence is a transformative force redefining how travel agencies operate and deliver value to customers.</w:t>
      </w:r>
    </w:p>
    <w:p w14:paraId="42D21354" w14:textId="77777777" w:rsidR="00AB41C7" w:rsidRPr="00AB41C7" w:rsidRDefault="00AB41C7" w:rsidP="0044629C">
      <w:pPr>
        <w:spacing w:before="100" w:beforeAutospacing="1" w:after="100" w:afterAutospacing="1" w:line="240" w:lineRule="auto"/>
        <w:jc w:val="both"/>
        <w:rPr>
          <w:rFonts w:ascii="Times New Roman" w:eastAsia="Calibri" w:hAnsi="Times New Roman" w:cs="Times New Roman"/>
          <w:kern w:val="0"/>
          <w14:ligatures w14:val="none"/>
        </w:rPr>
      </w:pPr>
      <w:r w:rsidRPr="00AB41C7">
        <w:rPr>
          <w:rFonts w:ascii="Times New Roman" w:eastAsia="Times New Roman" w:hAnsi="Times New Roman" w:cs="Times New Roman"/>
          <w:kern w:val="0"/>
          <w14:ligatures w14:val="none"/>
        </w:rPr>
        <w:t xml:space="preserve">In order to determine the most important contributor out of the various AI tools to travel booking planning, a multiple regression analyses were conducted with the results presented on Table 2. </w:t>
      </w:r>
      <w:r w:rsidRPr="00AB41C7">
        <w:rPr>
          <w:rFonts w:ascii="Times New Roman" w:eastAsia="Calibri" w:hAnsi="Times New Roman" w:cs="Times New Roman"/>
          <w:kern w:val="0"/>
          <w14:ligatures w14:val="none"/>
        </w:rPr>
        <w:t xml:space="preserve">Three regression models were tested, with Overall </w:t>
      </w:r>
      <w:r w:rsidRPr="00AB41C7">
        <w:rPr>
          <w:rFonts w:ascii="Times New Roman" w:eastAsia="Times New Roman" w:hAnsi="Times New Roman" w:cs="Times New Roman"/>
          <w:bCs/>
          <w:kern w:val="0"/>
          <w14:ligatures w14:val="none"/>
        </w:rPr>
        <w:t>Travel Planning</w:t>
      </w:r>
      <w:r w:rsidRPr="00AB41C7">
        <w:rPr>
          <w:rFonts w:ascii="Times New Roman" w:eastAsia="Calibri" w:hAnsi="Times New Roman" w:cs="Times New Roman"/>
          <w:b/>
          <w:kern w:val="0"/>
          <w14:ligatures w14:val="none"/>
        </w:rPr>
        <w:t xml:space="preserve">, </w:t>
      </w:r>
      <w:r w:rsidRPr="00AB41C7">
        <w:rPr>
          <w:rFonts w:ascii="Times New Roman" w:eastAsia="Times New Roman" w:hAnsi="Times New Roman" w:cs="Times New Roman"/>
          <w:bCs/>
          <w:kern w:val="0"/>
          <w14:ligatures w14:val="none"/>
        </w:rPr>
        <w:t>Operational Efficiency</w:t>
      </w:r>
      <w:r w:rsidRPr="00AB41C7">
        <w:rPr>
          <w:rFonts w:ascii="Times New Roman" w:eastAsia="Calibri" w:hAnsi="Times New Roman" w:cs="Times New Roman"/>
          <w:b/>
          <w:kern w:val="0"/>
          <w14:ligatures w14:val="none"/>
        </w:rPr>
        <w:t>,</w:t>
      </w:r>
      <w:r w:rsidRPr="00AB41C7">
        <w:rPr>
          <w:rFonts w:ascii="Times New Roman" w:eastAsia="Calibri" w:hAnsi="Times New Roman" w:cs="Times New Roman"/>
          <w:kern w:val="0"/>
          <w14:ligatures w14:val="none"/>
        </w:rPr>
        <w:t xml:space="preserve"> and </w:t>
      </w:r>
      <w:r w:rsidRPr="00AB41C7">
        <w:rPr>
          <w:rFonts w:ascii="Times New Roman" w:eastAsia="Times New Roman" w:hAnsi="Times New Roman" w:cs="Times New Roman"/>
          <w:bCs/>
          <w:kern w:val="0"/>
          <w14:ligatures w14:val="none"/>
        </w:rPr>
        <w:t>Higher Booking Conversion</w:t>
      </w:r>
      <w:r w:rsidRPr="00AB41C7">
        <w:rPr>
          <w:rFonts w:ascii="Times New Roman" w:eastAsia="Calibri" w:hAnsi="Times New Roman" w:cs="Times New Roman"/>
          <w:kern w:val="0"/>
          <w14:ligatures w14:val="none"/>
        </w:rPr>
        <w:t xml:space="preserve"> serving as dependent variables respectively. The analysis aimed to determine the extent to which each AI dimension contributes to travel agency performance indicators.</w:t>
      </w:r>
    </w:p>
    <w:p w14:paraId="103C6166"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The regression results for model one reveals a </w:t>
      </w:r>
      <w:r w:rsidRPr="00AB41C7">
        <w:rPr>
          <w:rFonts w:ascii="Times New Roman" w:eastAsia="Times New Roman" w:hAnsi="Times New Roman" w:cs="Times New Roman"/>
          <w:bCs/>
          <w:kern w:val="0"/>
          <w14:ligatures w14:val="none"/>
        </w:rPr>
        <w:t>strong and significant relationship</w:t>
      </w:r>
      <w:r w:rsidRPr="00AB41C7">
        <w:rPr>
          <w:rFonts w:ascii="Times New Roman" w:eastAsia="Calibri" w:hAnsi="Times New Roman" w:cs="Times New Roman"/>
          <w:kern w:val="0"/>
          <w14:ligatures w14:val="none"/>
        </w:rPr>
        <w:t xml:space="preserve"> between the AI dimensions and Travel Planning (R = 0.806; R² = 0.650). This implies that about </w:t>
      </w:r>
      <w:r w:rsidRPr="00AB41C7">
        <w:rPr>
          <w:rFonts w:ascii="Times New Roman" w:eastAsia="Times New Roman" w:hAnsi="Times New Roman" w:cs="Times New Roman"/>
          <w:bCs/>
          <w:kern w:val="0"/>
          <w14:ligatures w14:val="none"/>
        </w:rPr>
        <w:t>65% of the variation</w:t>
      </w:r>
      <w:r w:rsidRPr="00AB41C7">
        <w:rPr>
          <w:rFonts w:ascii="Times New Roman" w:eastAsia="Calibri" w:hAnsi="Times New Roman" w:cs="Times New Roman"/>
          <w:b/>
          <w:kern w:val="0"/>
          <w14:ligatures w14:val="none"/>
        </w:rPr>
        <w:t xml:space="preserve"> </w:t>
      </w:r>
      <w:r w:rsidRPr="00AB41C7">
        <w:rPr>
          <w:rFonts w:ascii="Times New Roman" w:eastAsia="Calibri" w:hAnsi="Times New Roman" w:cs="Times New Roman"/>
          <w:kern w:val="0"/>
          <w14:ligatures w14:val="none"/>
        </w:rPr>
        <w:t>in travel planning among agencies in Obio Akpor LGA is explained by the combined influence of Virtual Assistants, Chatbots, and Recommendation Engines. The ANOVA table confirms the model’s overall significance (</w:t>
      </w:r>
      <w:r w:rsidRPr="00AB41C7">
        <w:rPr>
          <w:rFonts w:ascii="Times New Roman" w:eastAsia="SimSun" w:hAnsi="Times New Roman" w:cs="Times New Roman"/>
          <w:i/>
          <w:iCs/>
          <w:kern w:val="0"/>
          <w14:ligatures w14:val="none"/>
        </w:rPr>
        <w:t>F</w:t>
      </w:r>
      <w:r w:rsidRPr="00AB41C7">
        <w:rPr>
          <w:rFonts w:ascii="Times New Roman" w:eastAsia="Calibri" w:hAnsi="Times New Roman" w:cs="Times New Roman"/>
          <w:kern w:val="0"/>
          <w14:ligatures w14:val="none"/>
        </w:rPr>
        <w:t xml:space="preserve"> = 17.335, </w:t>
      </w:r>
      <w:r w:rsidRPr="00AB41C7">
        <w:rPr>
          <w:rFonts w:ascii="Times New Roman" w:eastAsia="SimSun" w:hAnsi="Times New Roman" w:cs="Times New Roman"/>
          <w:i/>
          <w:iCs/>
          <w:kern w:val="0"/>
          <w14:ligatures w14:val="none"/>
        </w:rPr>
        <w:t>p</w:t>
      </w:r>
      <w:r w:rsidRPr="00AB41C7">
        <w:rPr>
          <w:rFonts w:ascii="Times New Roman" w:eastAsia="Calibri" w:hAnsi="Times New Roman" w:cs="Times New Roman"/>
          <w:kern w:val="0"/>
          <w14:ligatures w14:val="none"/>
        </w:rPr>
        <w:t xml:space="preserve"> = 0.000), indicating that AI dimensions collectively have a statistically significant effect on travel planning. However, the coefficient table shows that </w:t>
      </w:r>
      <w:r w:rsidRPr="00AB41C7">
        <w:rPr>
          <w:rFonts w:ascii="Times New Roman" w:eastAsia="Times New Roman" w:hAnsi="Times New Roman" w:cs="Times New Roman"/>
          <w:bCs/>
          <w:kern w:val="0"/>
          <w14:ligatures w14:val="none"/>
        </w:rPr>
        <w:t>Recommendation Engines (β = 0.583, p = 0.000)</w:t>
      </w:r>
      <w:r w:rsidRPr="00AB41C7">
        <w:rPr>
          <w:rFonts w:ascii="Times New Roman" w:eastAsia="Calibri" w:hAnsi="Times New Roman" w:cs="Times New Roman"/>
          <w:b/>
          <w:kern w:val="0"/>
          <w14:ligatures w14:val="none"/>
        </w:rPr>
        <w:t xml:space="preserve"> </w:t>
      </w:r>
      <w:r w:rsidRPr="00AB41C7">
        <w:rPr>
          <w:rFonts w:ascii="Times New Roman" w:eastAsia="Calibri" w:hAnsi="Times New Roman" w:cs="Times New Roman"/>
          <w:kern w:val="0"/>
          <w14:ligatures w14:val="none"/>
        </w:rPr>
        <w:t>and</w:t>
      </w:r>
      <w:r w:rsidRPr="00AB41C7">
        <w:rPr>
          <w:rFonts w:ascii="Times New Roman" w:eastAsia="Calibri" w:hAnsi="Times New Roman" w:cs="Times New Roman"/>
          <w:b/>
          <w:kern w:val="0"/>
          <w14:ligatures w14:val="none"/>
        </w:rPr>
        <w:t xml:space="preserve"> </w:t>
      </w:r>
      <w:r w:rsidRPr="00AB41C7">
        <w:rPr>
          <w:rFonts w:ascii="Times New Roman" w:eastAsia="Times New Roman" w:hAnsi="Times New Roman" w:cs="Times New Roman"/>
          <w:bCs/>
          <w:kern w:val="0"/>
          <w14:ligatures w14:val="none"/>
        </w:rPr>
        <w:t>Chatbots (β = 0.328, p = 0.043)</w:t>
      </w:r>
      <w:r w:rsidRPr="00AB41C7">
        <w:rPr>
          <w:rFonts w:ascii="Times New Roman" w:eastAsia="Calibri" w:hAnsi="Times New Roman" w:cs="Times New Roman"/>
          <w:b/>
          <w:kern w:val="0"/>
          <w14:ligatures w14:val="none"/>
        </w:rPr>
        <w:t xml:space="preserve"> </w:t>
      </w:r>
      <w:r w:rsidRPr="00AB41C7">
        <w:rPr>
          <w:rFonts w:ascii="Times New Roman" w:eastAsia="Calibri" w:hAnsi="Times New Roman" w:cs="Times New Roman"/>
          <w:kern w:val="0"/>
          <w14:ligatures w14:val="none"/>
        </w:rPr>
        <w:t>make</w:t>
      </w:r>
      <w:r w:rsidRPr="00AB41C7">
        <w:rPr>
          <w:rFonts w:ascii="Times New Roman" w:eastAsia="Calibri" w:hAnsi="Times New Roman" w:cs="Times New Roman"/>
          <w:b/>
          <w:kern w:val="0"/>
          <w14:ligatures w14:val="none"/>
        </w:rPr>
        <w:t xml:space="preserve"> </w:t>
      </w:r>
      <w:r w:rsidRPr="00AB41C7">
        <w:rPr>
          <w:rFonts w:ascii="Times New Roman" w:eastAsia="Times New Roman" w:hAnsi="Times New Roman" w:cs="Times New Roman"/>
          <w:bCs/>
          <w:kern w:val="0"/>
          <w14:ligatures w14:val="none"/>
        </w:rPr>
        <w:t>significant positive contributions</w:t>
      </w:r>
      <w:r w:rsidRPr="00AB41C7">
        <w:rPr>
          <w:rFonts w:ascii="Times New Roman" w:eastAsia="Calibri" w:hAnsi="Times New Roman" w:cs="Times New Roman"/>
          <w:b/>
          <w:bCs/>
          <w:kern w:val="0"/>
          <w14:ligatures w14:val="none"/>
        </w:rPr>
        <w:t>,</w:t>
      </w:r>
      <w:r w:rsidRPr="00AB41C7">
        <w:rPr>
          <w:rFonts w:ascii="Times New Roman" w:eastAsia="Calibri" w:hAnsi="Times New Roman" w:cs="Times New Roman"/>
          <w:b/>
          <w:kern w:val="0"/>
          <w14:ligatures w14:val="none"/>
        </w:rPr>
        <w:t xml:space="preserve"> </w:t>
      </w:r>
      <w:r w:rsidRPr="00AB41C7">
        <w:rPr>
          <w:rFonts w:ascii="Times New Roman" w:eastAsia="Calibri" w:hAnsi="Times New Roman" w:cs="Times New Roman"/>
          <w:kern w:val="0"/>
          <w14:ligatures w14:val="none"/>
        </w:rPr>
        <w:t xml:space="preserve">while </w:t>
      </w:r>
      <w:r w:rsidRPr="00AB41C7">
        <w:rPr>
          <w:rFonts w:ascii="Times New Roman" w:eastAsia="Times New Roman" w:hAnsi="Times New Roman" w:cs="Times New Roman"/>
          <w:bCs/>
          <w:kern w:val="0"/>
          <w14:ligatures w14:val="none"/>
        </w:rPr>
        <w:t>Virtual Assistants (β = -0.018, p = 0.902)</w:t>
      </w:r>
      <w:r w:rsidRPr="00AB41C7">
        <w:rPr>
          <w:rFonts w:ascii="Times New Roman" w:eastAsia="Calibri" w:hAnsi="Times New Roman" w:cs="Times New Roman"/>
          <w:kern w:val="0"/>
          <w14:ligatures w14:val="none"/>
        </w:rPr>
        <w:t xml:space="preserve"> have an insignificant </w:t>
      </w:r>
      <w:r w:rsidRPr="00AB41C7">
        <w:rPr>
          <w:rFonts w:ascii="Times New Roman" w:eastAsia="Calibri" w:hAnsi="Times New Roman" w:cs="Times New Roman"/>
          <w:kern w:val="0"/>
          <w14:ligatures w14:val="none"/>
        </w:rPr>
        <w:lastRenderedPageBreak/>
        <w:t>negative influence. This suggests that AI recommendation systems and chatbots are major drivers of improved travel planning.</w:t>
      </w:r>
    </w:p>
    <w:p w14:paraId="77713E66" w14:textId="77777777" w:rsidR="00AB41C7" w:rsidRPr="00AB41C7" w:rsidRDefault="00AB41C7" w:rsidP="0044629C">
      <w:pPr>
        <w:spacing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For model two, the regression results show that the combined influence of AI dimensions on Operational Efficiency is </w:t>
      </w:r>
      <w:r w:rsidRPr="00AB41C7">
        <w:rPr>
          <w:rFonts w:ascii="Times New Roman" w:eastAsia="Times New Roman" w:hAnsi="Times New Roman" w:cs="Times New Roman"/>
          <w:bCs/>
          <w:kern w:val="0"/>
          <w14:ligatures w14:val="none"/>
        </w:rPr>
        <w:t>strong and statistically significant</w:t>
      </w:r>
      <w:r w:rsidRPr="00AB41C7">
        <w:rPr>
          <w:rFonts w:ascii="Times New Roman" w:eastAsia="Calibri" w:hAnsi="Times New Roman" w:cs="Times New Roman"/>
          <w:kern w:val="0"/>
          <w14:ligatures w14:val="none"/>
        </w:rPr>
        <w:t xml:space="preserve"> (R = 0.719; R² = 0.517; </w:t>
      </w:r>
      <w:r w:rsidRPr="00AB41C7">
        <w:rPr>
          <w:rFonts w:ascii="Times New Roman" w:eastAsia="SimSun" w:hAnsi="Times New Roman" w:cs="Times New Roman"/>
          <w:i/>
          <w:iCs/>
          <w:kern w:val="0"/>
          <w14:ligatures w14:val="none"/>
        </w:rPr>
        <w:t>F</w:t>
      </w:r>
      <w:r w:rsidRPr="00AB41C7">
        <w:rPr>
          <w:rFonts w:ascii="Times New Roman" w:eastAsia="Calibri" w:hAnsi="Times New Roman" w:cs="Times New Roman"/>
          <w:kern w:val="0"/>
          <w14:ligatures w14:val="none"/>
        </w:rPr>
        <w:t xml:space="preserve"> = 10.009, </w:t>
      </w:r>
      <w:r w:rsidRPr="00AB41C7">
        <w:rPr>
          <w:rFonts w:ascii="Times New Roman" w:eastAsia="SimSun" w:hAnsi="Times New Roman" w:cs="Times New Roman"/>
          <w:i/>
          <w:iCs/>
          <w:kern w:val="0"/>
          <w14:ligatures w14:val="none"/>
        </w:rPr>
        <w:t>p</w:t>
      </w:r>
      <w:r w:rsidRPr="00AB41C7">
        <w:rPr>
          <w:rFonts w:ascii="Times New Roman" w:eastAsia="Calibri" w:hAnsi="Times New Roman" w:cs="Times New Roman"/>
          <w:kern w:val="0"/>
          <w14:ligatures w14:val="none"/>
        </w:rPr>
        <w:t xml:space="preserve"> = 0.000). This indicates that </w:t>
      </w:r>
      <w:r w:rsidRPr="00AB41C7">
        <w:rPr>
          <w:rFonts w:ascii="Times New Roman" w:eastAsia="Times New Roman" w:hAnsi="Times New Roman" w:cs="Times New Roman"/>
          <w:bCs/>
          <w:kern w:val="0"/>
          <w14:ligatures w14:val="none"/>
        </w:rPr>
        <w:t>51.7% of changes</w:t>
      </w:r>
      <w:r w:rsidRPr="00AB41C7">
        <w:rPr>
          <w:rFonts w:ascii="Times New Roman" w:eastAsia="Calibri" w:hAnsi="Times New Roman" w:cs="Times New Roman"/>
          <w:kern w:val="0"/>
          <w14:ligatures w14:val="none"/>
        </w:rPr>
        <w:t xml:space="preserve"> in operational efficiency among travel agencies are explained by AI components. Further, </w:t>
      </w:r>
      <w:r w:rsidRPr="00AB41C7">
        <w:rPr>
          <w:rFonts w:ascii="Times New Roman" w:eastAsia="Times New Roman" w:hAnsi="Times New Roman" w:cs="Times New Roman"/>
          <w:bCs/>
          <w:kern w:val="0"/>
          <w14:ligatures w14:val="none"/>
        </w:rPr>
        <w:t>Chatbots (β = 0.547, p = 0.005)</w:t>
      </w:r>
      <w:r w:rsidRPr="00AB41C7">
        <w:rPr>
          <w:rFonts w:ascii="Times New Roman" w:eastAsia="Calibri" w:hAnsi="Times New Roman" w:cs="Times New Roman"/>
          <w:b/>
          <w:bCs/>
          <w:kern w:val="0"/>
          <w14:ligatures w14:val="none"/>
        </w:rPr>
        <w:t xml:space="preserve"> </w:t>
      </w:r>
      <w:r w:rsidRPr="00AB41C7">
        <w:rPr>
          <w:rFonts w:ascii="Times New Roman" w:eastAsia="Calibri" w:hAnsi="Times New Roman" w:cs="Times New Roman"/>
          <w:bCs/>
          <w:kern w:val="0"/>
          <w14:ligatures w14:val="none"/>
        </w:rPr>
        <w:t>and</w:t>
      </w:r>
      <w:r w:rsidRPr="00AB41C7">
        <w:rPr>
          <w:rFonts w:ascii="Times New Roman" w:eastAsia="Calibri" w:hAnsi="Times New Roman" w:cs="Times New Roman"/>
          <w:b/>
          <w:bCs/>
          <w:kern w:val="0"/>
          <w14:ligatures w14:val="none"/>
        </w:rPr>
        <w:t xml:space="preserve"> </w:t>
      </w:r>
      <w:r w:rsidRPr="00AB41C7">
        <w:rPr>
          <w:rFonts w:ascii="Times New Roman" w:eastAsia="Times New Roman" w:hAnsi="Times New Roman" w:cs="Times New Roman"/>
          <w:bCs/>
          <w:kern w:val="0"/>
          <w14:ligatures w14:val="none"/>
        </w:rPr>
        <w:t>Recommendation Engines (β = 0.417, p = 0.018)</w:t>
      </w:r>
      <w:r w:rsidRPr="00AB41C7">
        <w:rPr>
          <w:rFonts w:ascii="Times New Roman" w:eastAsia="Calibri" w:hAnsi="Times New Roman" w:cs="Times New Roman"/>
          <w:kern w:val="0"/>
          <w14:ligatures w14:val="none"/>
        </w:rPr>
        <w:t xml:space="preserve"> have significant positive effects, implying that these technologies improve workflow speed, reduce booking errors, and enhance coordination across service channels. In contrast, </w:t>
      </w:r>
      <w:r w:rsidRPr="00AB41C7">
        <w:rPr>
          <w:rFonts w:ascii="Times New Roman" w:eastAsia="Times New Roman" w:hAnsi="Times New Roman" w:cs="Times New Roman"/>
          <w:bCs/>
          <w:kern w:val="0"/>
          <w14:ligatures w14:val="none"/>
        </w:rPr>
        <w:t>Virtual Assistants (β = -0.257, p = 0.148)</w:t>
      </w:r>
      <w:r w:rsidRPr="00AB41C7">
        <w:rPr>
          <w:rFonts w:ascii="Times New Roman" w:eastAsia="Calibri" w:hAnsi="Times New Roman" w:cs="Times New Roman"/>
          <w:kern w:val="0"/>
          <w14:ligatures w14:val="none"/>
        </w:rPr>
        <w:t xml:space="preserve"> have an insignificant negative effect, suggesting that they may not yet be fully optimized in many agencies.</w:t>
      </w:r>
    </w:p>
    <w:p w14:paraId="4E73BFAC"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regression analysis for model three indicates that AI dimensions jointly have a </w:t>
      </w:r>
      <w:r w:rsidRPr="00AB41C7">
        <w:rPr>
          <w:rFonts w:ascii="Times New Roman" w:eastAsia="Times New Roman" w:hAnsi="Times New Roman" w:cs="Times New Roman"/>
          <w:bCs/>
          <w:kern w:val="0"/>
          <w14:ligatures w14:val="none"/>
        </w:rPr>
        <w:t>strong and statistically significant influence</w:t>
      </w:r>
      <w:r w:rsidRPr="00AB41C7">
        <w:rPr>
          <w:rFonts w:ascii="Times New Roman" w:eastAsia="Times New Roman" w:hAnsi="Times New Roman" w:cs="Times New Roman"/>
          <w:b/>
          <w:kern w:val="0"/>
          <w14:ligatures w14:val="none"/>
        </w:rPr>
        <w:t xml:space="preserve"> </w:t>
      </w:r>
      <w:r w:rsidRPr="00AB41C7">
        <w:rPr>
          <w:rFonts w:ascii="Times New Roman" w:eastAsia="Times New Roman" w:hAnsi="Times New Roman" w:cs="Times New Roman"/>
          <w:kern w:val="0"/>
          <w14:ligatures w14:val="none"/>
        </w:rPr>
        <w:t xml:space="preserve">on Higher Booking Conversion (R = 0.751; R² = 0.564). This means that </w:t>
      </w:r>
      <w:r w:rsidRPr="00AB41C7">
        <w:rPr>
          <w:rFonts w:ascii="Times New Roman" w:eastAsia="Times New Roman" w:hAnsi="Times New Roman" w:cs="Times New Roman"/>
          <w:bCs/>
          <w:kern w:val="0"/>
          <w14:ligatures w14:val="none"/>
        </w:rPr>
        <w:t>56.4% of the variation</w:t>
      </w:r>
      <w:r w:rsidRPr="00AB41C7">
        <w:rPr>
          <w:rFonts w:ascii="Times New Roman" w:eastAsia="Times New Roman" w:hAnsi="Times New Roman" w:cs="Times New Roman"/>
          <w:kern w:val="0"/>
          <w14:ligatures w14:val="none"/>
        </w:rPr>
        <w:t xml:space="preserve"> in booking conversion rates is explained by the combined effects of Virtual Assistants, Chatbots, and Recommendation Engines. The model is statistically significant (</w:t>
      </w:r>
      <w:r w:rsidRPr="00AB41C7">
        <w:rPr>
          <w:rFonts w:ascii="Times New Roman" w:eastAsia="SimSun" w:hAnsi="Times New Roman" w:cs="Times New Roman"/>
          <w:i/>
          <w:iCs/>
          <w:kern w:val="0"/>
          <w14:ligatures w14:val="none"/>
        </w:rPr>
        <w:t>F</w:t>
      </w:r>
      <w:r w:rsidRPr="00AB41C7">
        <w:rPr>
          <w:rFonts w:ascii="Times New Roman" w:eastAsia="Times New Roman" w:hAnsi="Times New Roman" w:cs="Times New Roman"/>
          <w:kern w:val="0"/>
          <w14:ligatures w14:val="none"/>
        </w:rPr>
        <w:t xml:space="preserve"> = 12.065, </w:t>
      </w:r>
      <w:r w:rsidRPr="00AB41C7">
        <w:rPr>
          <w:rFonts w:ascii="Times New Roman" w:eastAsia="SimSun" w:hAnsi="Times New Roman" w:cs="Times New Roman"/>
          <w:i/>
          <w:iCs/>
          <w:kern w:val="0"/>
          <w14:ligatures w14:val="none"/>
        </w:rPr>
        <w:t>p</w:t>
      </w:r>
      <w:r w:rsidRPr="00AB41C7">
        <w:rPr>
          <w:rFonts w:ascii="Times New Roman" w:eastAsia="Times New Roman" w:hAnsi="Times New Roman" w:cs="Times New Roman"/>
          <w:kern w:val="0"/>
          <w14:ligatures w14:val="none"/>
        </w:rPr>
        <w:t xml:space="preserve"> = 0.000). Among the predictors, </w:t>
      </w:r>
      <w:r w:rsidRPr="00AB41C7">
        <w:rPr>
          <w:rFonts w:ascii="Times New Roman" w:eastAsia="Times New Roman" w:hAnsi="Times New Roman" w:cs="Times New Roman"/>
          <w:bCs/>
          <w:kern w:val="0"/>
          <w14:ligatures w14:val="none"/>
        </w:rPr>
        <w:t>Recommendation Engines (β = 0.587, p = 0.001)</w:t>
      </w:r>
      <w:r w:rsidRPr="00AB41C7">
        <w:rPr>
          <w:rFonts w:ascii="Times New Roman" w:eastAsia="Times New Roman" w:hAnsi="Times New Roman" w:cs="Times New Roman"/>
          <w:b/>
          <w:kern w:val="0"/>
          <w14:ligatures w14:val="none"/>
        </w:rPr>
        <w:t xml:space="preserve"> </w:t>
      </w:r>
      <w:r w:rsidRPr="00AB41C7">
        <w:rPr>
          <w:rFonts w:ascii="Times New Roman" w:eastAsia="Times New Roman" w:hAnsi="Times New Roman" w:cs="Times New Roman"/>
          <w:kern w:val="0"/>
          <w14:ligatures w14:val="none"/>
        </w:rPr>
        <w:t>emerged as the</w:t>
      </w:r>
      <w:r w:rsidRPr="00AB41C7">
        <w:rPr>
          <w:rFonts w:ascii="Times New Roman" w:eastAsia="Times New Roman" w:hAnsi="Times New Roman" w:cs="Times New Roman"/>
          <w:b/>
          <w:kern w:val="0"/>
          <w14:ligatures w14:val="none"/>
        </w:rPr>
        <w:t xml:space="preserve"> </w:t>
      </w:r>
      <w:r w:rsidRPr="00AB41C7">
        <w:rPr>
          <w:rFonts w:ascii="Times New Roman" w:eastAsia="Times New Roman" w:hAnsi="Times New Roman" w:cs="Times New Roman"/>
          <w:bCs/>
          <w:kern w:val="0"/>
          <w14:ligatures w14:val="none"/>
        </w:rPr>
        <w:t>most significant factor</w:t>
      </w:r>
      <w:r w:rsidRPr="00AB41C7">
        <w:rPr>
          <w:rFonts w:ascii="Times New Roman" w:eastAsia="Times New Roman" w:hAnsi="Times New Roman" w:cs="Times New Roman"/>
          <w:b/>
          <w:bCs/>
          <w:kern w:val="0"/>
          <w14:ligatures w14:val="none"/>
        </w:rPr>
        <w:t>,</w:t>
      </w:r>
      <w:r w:rsidRPr="00AB41C7">
        <w:rPr>
          <w:rFonts w:ascii="Times New Roman" w:eastAsia="Times New Roman" w:hAnsi="Times New Roman" w:cs="Times New Roman"/>
          <w:kern w:val="0"/>
          <w14:ligatures w14:val="none"/>
        </w:rPr>
        <w:t xml:space="preserve"> implying that AI-driven recommendation systems strongly enhance booking conversions by suggesting personalized packages that match customer preferences. However, </w:t>
      </w:r>
      <w:r w:rsidRPr="00AB41C7">
        <w:rPr>
          <w:rFonts w:ascii="Times New Roman" w:eastAsia="Times New Roman" w:hAnsi="Times New Roman" w:cs="Times New Roman"/>
          <w:bCs/>
          <w:kern w:val="0"/>
          <w14:ligatures w14:val="none"/>
        </w:rPr>
        <w:t>Virtual Assistants (β = 0.168, p = 0.315)</w:t>
      </w:r>
      <w:r w:rsidRPr="00AB41C7">
        <w:rPr>
          <w:rFonts w:ascii="Times New Roman" w:eastAsia="Times New Roman" w:hAnsi="Times New Roman" w:cs="Times New Roman"/>
          <w:b/>
          <w:bCs/>
          <w:kern w:val="0"/>
          <w14:ligatures w14:val="none"/>
        </w:rPr>
        <w:t xml:space="preserve"> </w:t>
      </w:r>
      <w:r w:rsidRPr="00AB41C7">
        <w:rPr>
          <w:rFonts w:ascii="Times New Roman" w:eastAsia="Times New Roman" w:hAnsi="Times New Roman" w:cs="Times New Roman"/>
          <w:bCs/>
          <w:kern w:val="0"/>
          <w14:ligatures w14:val="none"/>
        </w:rPr>
        <w:t>and Chatbots (β = 0.091, p = 0.601)</w:t>
      </w:r>
      <w:r w:rsidRPr="00AB41C7">
        <w:rPr>
          <w:rFonts w:ascii="Times New Roman" w:eastAsia="Times New Roman" w:hAnsi="Times New Roman" w:cs="Times New Roman"/>
          <w:kern w:val="0"/>
          <w14:ligatures w14:val="none"/>
        </w:rPr>
        <w:t xml:space="preserve"> show positive but insignificant effects. Hence, all hypotheses tested were accepted except </w:t>
      </w:r>
      <w:r w:rsidRPr="00AB41C7">
        <w:rPr>
          <w:rFonts w:ascii="Times New Roman" w:eastAsia="Times New Roman" w:hAnsi="Times New Roman" w:cs="Times New Roman"/>
          <w:b/>
          <w:bCs/>
          <w:i/>
          <w:iCs/>
          <w:color w:val="000000"/>
          <w:kern w:val="0"/>
          <w:shd w:val="clear" w:color="auto" w:fill="FFFFFF"/>
          <w14:ligatures w14:val="none"/>
        </w:rPr>
        <w:t>H</w:t>
      </w:r>
      <w:r w:rsidRPr="00AB41C7">
        <w:rPr>
          <w:rFonts w:ascii="Times New Roman" w:eastAsia="Times New Roman" w:hAnsi="Times New Roman" w:cs="Times New Roman"/>
          <w:b/>
          <w:bCs/>
          <w:i/>
          <w:iCs/>
          <w:color w:val="000000"/>
          <w:kern w:val="0"/>
          <w:shd w:val="clear" w:color="auto" w:fill="FFFFFF"/>
          <w:vertAlign w:val="subscript"/>
          <w14:ligatures w14:val="none"/>
        </w:rPr>
        <w:t>01.</w:t>
      </w:r>
    </w:p>
    <w:p w14:paraId="498D039F"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b/>
          <w:bCs/>
          <w:kern w:val="0"/>
          <w14:ligatures w14:val="none"/>
        </w:rPr>
      </w:pPr>
      <w:r w:rsidRPr="00AB41C7">
        <w:rPr>
          <w:rFonts w:ascii="Times New Roman" w:eastAsia="Calibri" w:hAnsi="Times New Roman" w:cs="Times New Roman"/>
          <w:b/>
          <w:bCs/>
          <w:kern w:val="0"/>
          <w14:ligatures w14:val="none"/>
        </w:rPr>
        <w:t>Table 2: Regression analysis results of the impact of AI tools on travel booking planning</w:t>
      </w:r>
    </w:p>
    <w:tbl>
      <w:tblPr>
        <w:tblW w:w="50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9"/>
        <w:gridCol w:w="3263"/>
        <w:gridCol w:w="1578"/>
        <w:gridCol w:w="807"/>
        <w:gridCol w:w="807"/>
        <w:gridCol w:w="1112"/>
        <w:gridCol w:w="1188"/>
        <w:gridCol w:w="936"/>
      </w:tblGrid>
      <w:tr w:rsidR="00AB41C7" w:rsidRPr="00AB41C7" w14:paraId="6D78D7FE" w14:textId="77777777" w:rsidTr="005C4055">
        <w:trPr>
          <w:trHeight w:val="1219"/>
        </w:trPr>
        <w:tc>
          <w:tcPr>
            <w:tcW w:w="546" w:type="pct"/>
            <w:tcBorders>
              <w:top w:val="single" w:sz="4" w:space="0" w:color="auto"/>
              <w:left w:val="single" w:sz="4" w:space="0" w:color="auto"/>
              <w:bottom w:val="single" w:sz="4" w:space="0" w:color="auto"/>
              <w:right w:val="single" w:sz="4" w:space="0" w:color="auto"/>
            </w:tcBorders>
            <w:hideMark/>
          </w:tcPr>
          <w:p w14:paraId="41D0D84F"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Models</w:t>
            </w:r>
          </w:p>
        </w:tc>
        <w:tc>
          <w:tcPr>
            <w:tcW w:w="1499" w:type="pct"/>
            <w:tcBorders>
              <w:top w:val="single" w:sz="4" w:space="0" w:color="auto"/>
              <w:left w:val="single" w:sz="4" w:space="0" w:color="auto"/>
              <w:bottom w:val="single" w:sz="4" w:space="0" w:color="auto"/>
              <w:right w:val="single" w:sz="4" w:space="0" w:color="auto"/>
            </w:tcBorders>
            <w:hideMark/>
          </w:tcPr>
          <w:p w14:paraId="0407179C"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Regression model</w:t>
            </w:r>
          </w:p>
        </w:tc>
        <w:tc>
          <w:tcPr>
            <w:tcW w:w="725" w:type="pct"/>
            <w:tcBorders>
              <w:top w:val="single" w:sz="4" w:space="0" w:color="auto"/>
              <w:left w:val="single" w:sz="4" w:space="0" w:color="auto"/>
              <w:bottom w:val="single" w:sz="4" w:space="0" w:color="auto"/>
              <w:right w:val="single" w:sz="4" w:space="0" w:color="auto"/>
            </w:tcBorders>
            <w:hideMark/>
          </w:tcPr>
          <w:p w14:paraId="1F216509"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Beta coefficient</w:t>
            </w:r>
          </w:p>
        </w:tc>
        <w:tc>
          <w:tcPr>
            <w:tcW w:w="371" w:type="pct"/>
            <w:tcBorders>
              <w:top w:val="single" w:sz="4" w:space="0" w:color="auto"/>
              <w:left w:val="single" w:sz="4" w:space="0" w:color="auto"/>
              <w:bottom w:val="single" w:sz="4" w:space="0" w:color="auto"/>
              <w:right w:val="single" w:sz="4" w:space="0" w:color="auto"/>
            </w:tcBorders>
            <w:hideMark/>
          </w:tcPr>
          <w:p w14:paraId="5F2DC7EF"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R</w:t>
            </w:r>
          </w:p>
        </w:tc>
        <w:tc>
          <w:tcPr>
            <w:tcW w:w="371" w:type="pct"/>
            <w:tcBorders>
              <w:top w:val="single" w:sz="4" w:space="0" w:color="auto"/>
              <w:left w:val="single" w:sz="4" w:space="0" w:color="auto"/>
              <w:bottom w:val="single" w:sz="4" w:space="0" w:color="auto"/>
              <w:right w:val="single" w:sz="4" w:space="0" w:color="auto"/>
            </w:tcBorders>
            <w:hideMark/>
          </w:tcPr>
          <w:p w14:paraId="7A5C0878"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R</w:t>
            </w:r>
            <w:r w:rsidRPr="00AB41C7">
              <w:rPr>
                <w:rFonts w:ascii="Times New Roman" w:eastAsia="Calibri" w:hAnsi="Times New Roman" w:cs="Times New Roman"/>
                <w:kern w:val="0"/>
                <w:vertAlign w:val="superscript"/>
                <w14:ligatures w14:val="none"/>
              </w:rPr>
              <w:t>2</w:t>
            </w:r>
          </w:p>
        </w:tc>
        <w:tc>
          <w:tcPr>
            <w:tcW w:w="511" w:type="pct"/>
            <w:tcBorders>
              <w:top w:val="single" w:sz="4" w:space="0" w:color="auto"/>
              <w:left w:val="single" w:sz="4" w:space="0" w:color="auto"/>
              <w:bottom w:val="single" w:sz="4" w:space="0" w:color="auto"/>
              <w:right w:val="single" w:sz="4" w:space="0" w:color="auto"/>
            </w:tcBorders>
            <w:hideMark/>
          </w:tcPr>
          <w:p w14:paraId="37BDCBF8"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F</w:t>
            </w:r>
          </w:p>
        </w:tc>
        <w:tc>
          <w:tcPr>
            <w:tcW w:w="546" w:type="pct"/>
            <w:tcBorders>
              <w:top w:val="single" w:sz="4" w:space="0" w:color="auto"/>
              <w:left w:val="single" w:sz="4" w:space="0" w:color="auto"/>
              <w:bottom w:val="single" w:sz="4" w:space="0" w:color="auto"/>
              <w:right w:val="single" w:sz="4" w:space="0" w:color="auto"/>
            </w:tcBorders>
          </w:tcPr>
          <w:p w14:paraId="0746C3FC"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Overall Model Sig</w:t>
            </w:r>
          </w:p>
        </w:tc>
        <w:tc>
          <w:tcPr>
            <w:tcW w:w="430" w:type="pct"/>
            <w:tcBorders>
              <w:top w:val="single" w:sz="4" w:space="0" w:color="auto"/>
              <w:left w:val="single" w:sz="4" w:space="0" w:color="auto"/>
              <w:bottom w:val="single" w:sz="4" w:space="0" w:color="auto"/>
              <w:right w:val="single" w:sz="4" w:space="0" w:color="auto"/>
            </w:tcBorders>
            <w:hideMark/>
          </w:tcPr>
          <w:p w14:paraId="40D95AB0"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P-value</w:t>
            </w:r>
          </w:p>
        </w:tc>
      </w:tr>
      <w:tr w:rsidR="00AB41C7" w:rsidRPr="00AB41C7" w14:paraId="14ECA0DB" w14:textId="77777777" w:rsidTr="005C4055">
        <w:trPr>
          <w:trHeight w:val="1375"/>
        </w:trPr>
        <w:tc>
          <w:tcPr>
            <w:tcW w:w="546" w:type="pct"/>
            <w:tcBorders>
              <w:top w:val="single" w:sz="4" w:space="0" w:color="auto"/>
              <w:left w:val="single" w:sz="4" w:space="0" w:color="auto"/>
              <w:bottom w:val="single" w:sz="4" w:space="0" w:color="auto"/>
              <w:right w:val="single" w:sz="4" w:space="0" w:color="auto"/>
            </w:tcBorders>
            <w:hideMark/>
          </w:tcPr>
          <w:p w14:paraId="5003251B"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1</w:t>
            </w:r>
          </w:p>
        </w:tc>
        <w:tc>
          <w:tcPr>
            <w:tcW w:w="1499" w:type="pct"/>
            <w:tcBorders>
              <w:top w:val="single" w:sz="4" w:space="0" w:color="auto"/>
              <w:left w:val="single" w:sz="4" w:space="0" w:color="auto"/>
              <w:bottom w:val="single" w:sz="4" w:space="0" w:color="auto"/>
              <w:right w:val="single" w:sz="4" w:space="0" w:color="auto"/>
            </w:tcBorders>
            <w:hideMark/>
          </w:tcPr>
          <w:p w14:paraId="23B36423"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Virtual Assistant</w:t>
            </w:r>
          </w:p>
          <w:p w14:paraId="341558B3"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Chatbots</w:t>
            </w:r>
          </w:p>
          <w:p w14:paraId="31F89788"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Recommendation Engine</w:t>
            </w:r>
          </w:p>
        </w:tc>
        <w:tc>
          <w:tcPr>
            <w:tcW w:w="725" w:type="pct"/>
            <w:tcBorders>
              <w:top w:val="single" w:sz="4" w:space="0" w:color="auto"/>
              <w:left w:val="single" w:sz="4" w:space="0" w:color="auto"/>
              <w:bottom w:val="single" w:sz="4" w:space="0" w:color="auto"/>
              <w:right w:val="single" w:sz="4" w:space="0" w:color="auto"/>
            </w:tcBorders>
            <w:hideMark/>
          </w:tcPr>
          <w:p w14:paraId="28DA0158"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-0.018</w:t>
            </w:r>
          </w:p>
          <w:p w14:paraId="4E7244A4"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0.328</w:t>
            </w:r>
          </w:p>
          <w:p w14:paraId="10C01FD9"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0.583</w:t>
            </w:r>
          </w:p>
        </w:tc>
        <w:tc>
          <w:tcPr>
            <w:tcW w:w="371" w:type="pct"/>
            <w:tcBorders>
              <w:top w:val="single" w:sz="4" w:space="0" w:color="auto"/>
              <w:left w:val="single" w:sz="4" w:space="0" w:color="auto"/>
              <w:bottom w:val="single" w:sz="4" w:space="0" w:color="auto"/>
              <w:right w:val="single" w:sz="4" w:space="0" w:color="auto"/>
            </w:tcBorders>
            <w:hideMark/>
          </w:tcPr>
          <w:p w14:paraId="35927A42"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0.806</w:t>
            </w:r>
          </w:p>
        </w:tc>
        <w:tc>
          <w:tcPr>
            <w:tcW w:w="371" w:type="pct"/>
            <w:tcBorders>
              <w:top w:val="single" w:sz="4" w:space="0" w:color="auto"/>
              <w:left w:val="single" w:sz="4" w:space="0" w:color="auto"/>
              <w:bottom w:val="single" w:sz="4" w:space="0" w:color="auto"/>
              <w:right w:val="single" w:sz="4" w:space="0" w:color="auto"/>
            </w:tcBorders>
            <w:hideMark/>
          </w:tcPr>
          <w:p w14:paraId="4F69192E"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0.650</w:t>
            </w:r>
          </w:p>
        </w:tc>
        <w:tc>
          <w:tcPr>
            <w:tcW w:w="511" w:type="pct"/>
            <w:tcBorders>
              <w:top w:val="single" w:sz="4" w:space="0" w:color="auto"/>
              <w:left w:val="single" w:sz="4" w:space="0" w:color="auto"/>
              <w:bottom w:val="single" w:sz="4" w:space="0" w:color="auto"/>
              <w:right w:val="single" w:sz="4" w:space="0" w:color="auto"/>
            </w:tcBorders>
            <w:hideMark/>
          </w:tcPr>
          <w:p w14:paraId="0DF7E66F"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17.335</w:t>
            </w:r>
          </w:p>
        </w:tc>
        <w:tc>
          <w:tcPr>
            <w:tcW w:w="546" w:type="pct"/>
            <w:tcBorders>
              <w:top w:val="single" w:sz="4" w:space="0" w:color="auto"/>
              <w:left w:val="single" w:sz="4" w:space="0" w:color="auto"/>
              <w:bottom w:val="single" w:sz="4" w:space="0" w:color="auto"/>
              <w:right w:val="single" w:sz="4" w:space="0" w:color="auto"/>
            </w:tcBorders>
          </w:tcPr>
          <w:p w14:paraId="7A4FF94D"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0.000</w:t>
            </w:r>
          </w:p>
        </w:tc>
        <w:tc>
          <w:tcPr>
            <w:tcW w:w="430" w:type="pct"/>
            <w:tcBorders>
              <w:top w:val="single" w:sz="4" w:space="0" w:color="auto"/>
              <w:left w:val="single" w:sz="4" w:space="0" w:color="auto"/>
              <w:bottom w:val="single" w:sz="4" w:space="0" w:color="auto"/>
              <w:right w:val="single" w:sz="4" w:space="0" w:color="auto"/>
            </w:tcBorders>
            <w:hideMark/>
          </w:tcPr>
          <w:p w14:paraId="691BFC07"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0.902</w:t>
            </w:r>
          </w:p>
          <w:p w14:paraId="71A07886"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0.043</w:t>
            </w:r>
          </w:p>
          <w:p w14:paraId="343CA0AB"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0.000</w:t>
            </w:r>
          </w:p>
        </w:tc>
      </w:tr>
      <w:tr w:rsidR="00AB41C7" w:rsidRPr="00AB41C7" w14:paraId="15C3D7A9" w14:textId="77777777" w:rsidTr="005C4055">
        <w:trPr>
          <w:trHeight w:val="1007"/>
        </w:trPr>
        <w:tc>
          <w:tcPr>
            <w:tcW w:w="546" w:type="pct"/>
            <w:tcBorders>
              <w:top w:val="single" w:sz="4" w:space="0" w:color="auto"/>
              <w:left w:val="single" w:sz="4" w:space="0" w:color="auto"/>
              <w:bottom w:val="single" w:sz="4" w:space="0" w:color="auto"/>
              <w:right w:val="single" w:sz="4" w:space="0" w:color="auto"/>
            </w:tcBorders>
          </w:tcPr>
          <w:p w14:paraId="54E3B824"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2</w:t>
            </w:r>
          </w:p>
        </w:tc>
        <w:tc>
          <w:tcPr>
            <w:tcW w:w="1499" w:type="pct"/>
            <w:tcBorders>
              <w:top w:val="single" w:sz="4" w:space="0" w:color="auto"/>
              <w:left w:val="single" w:sz="4" w:space="0" w:color="auto"/>
              <w:bottom w:val="single" w:sz="4" w:space="0" w:color="auto"/>
              <w:right w:val="single" w:sz="4" w:space="0" w:color="auto"/>
            </w:tcBorders>
          </w:tcPr>
          <w:p w14:paraId="3F1C1AF7"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Virtual Assistant</w:t>
            </w:r>
          </w:p>
          <w:p w14:paraId="3443400F"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Chatbots</w:t>
            </w:r>
          </w:p>
          <w:p w14:paraId="12FD607C"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Recommendation Engine</w:t>
            </w:r>
          </w:p>
        </w:tc>
        <w:tc>
          <w:tcPr>
            <w:tcW w:w="725" w:type="pct"/>
            <w:tcBorders>
              <w:top w:val="single" w:sz="4" w:space="0" w:color="auto"/>
              <w:left w:val="single" w:sz="4" w:space="0" w:color="auto"/>
              <w:bottom w:val="single" w:sz="4" w:space="0" w:color="auto"/>
              <w:right w:val="single" w:sz="4" w:space="0" w:color="auto"/>
            </w:tcBorders>
          </w:tcPr>
          <w:p w14:paraId="1D6B3124"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-0.257</w:t>
            </w:r>
          </w:p>
          <w:p w14:paraId="3448FF7B"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0.547</w:t>
            </w:r>
          </w:p>
          <w:p w14:paraId="6F7DDD82"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0.417</w:t>
            </w:r>
          </w:p>
        </w:tc>
        <w:tc>
          <w:tcPr>
            <w:tcW w:w="371" w:type="pct"/>
            <w:tcBorders>
              <w:top w:val="single" w:sz="4" w:space="0" w:color="auto"/>
              <w:left w:val="single" w:sz="4" w:space="0" w:color="auto"/>
              <w:bottom w:val="single" w:sz="4" w:space="0" w:color="auto"/>
              <w:right w:val="single" w:sz="4" w:space="0" w:color="auto"/>
            </w:tcBorders>
          </w:tcPr>
          <w:p w14:paraId="4AA7BD89"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0.719</w:t>
            </w:r>
          </w:p>
        </w:tc>
        <w:tc>
          <w:tcPr>
            <w:tcW w:w="371" w:type="pct"/>
            <w:tcBorders>
              <w:top w:val="single" w:sz="4" w:space="0" w:color="auto"/>
              <w:left w:val="single" w:sz="4" w:space="0" w:color="auto"/>
              <w:bottom w:val="single" w:sz="4" w:space="0" w:color="auto"/>
              <w:right w:val="single" w:sz="4" w:space="0" w:color="auto"/>
            </w:tcBorders>
          </w:tcPr>
          <w:p w14:paraId="201F0D9C"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0.517</w:t>
            </w:r>
          </w:p>
        </w:tc>
        <w:tc>
          <w:tcPr>
            <w:tcW w:w="511" w:type="pct"/>
            <w:tcBorders>
              <w:top w:val="single" w:sz="4" w:space="0" w:color="auto"/>
              <w:left w:val="single" w:sz="4" w:space="0" w:color="auto"/>
              <w:bottom w:val="single" w:sz="4" w:space="0" w:color="auto"/>
              <w:right w:val="single" w:sz="4" w:space="0" w:color="auto"/>
            </w:tcBorders>
          </w:tcPr>
          <w:p w14:paraId="6259CF2B"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10.009</w:t>
            </w:r>
          </w:p>
        </w:tc>
        <w:tc>
          <w:tcPr>
            <w:tcW w:w="546" w:type="pct"/>
            <w:tcBorders>
              <w:top w:val="single" w:sz="4" w:space="0" w:color="auto"/>
              <w:left w:val="single" w:sz="4" w:space="0" w:color="auto"/>
              <w:bottom w:val="single" w:sz="4" w:space="0" w:color="auto"/>
              <w:right w:val="single" w:sz="4" w:space="0" w:color="auto"/>
            </w:tcBorders>
          </w:tcPr>
          <w:p w14:paraId="2A6D98FD"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0.000</w:t>
            </w:r>
          </w:p>
        </w:tc>
        <w:tc>
          <w:tcPr>
            <w:tcW w:w="430" w:type="pct"/>
            <w:tcBorders>
              <w:top w:val="single" w:sz="4" w:space="0" w:color="auto"/>
              <w:left w:val="single" w:sz="4" w:space="0" w:color="auto"/>
              <w:bottom w:val="single" w:sz="4" w:space="0" w:color="auto"/>
              <w:right w:val="single" w:sz="4" w:space="0" w:color="auto"/>
            </w:tcBorders>
          </w:tcPr>
          <w:p w14:paraId="4992D8C2"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0.148</w:t>
            </w:r>
          </w:p>
          <w:p w14:paraId="219262D2"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0.005</w:t>
            </w:r>
          </w:p>
          <w:p w14:paraId="07E5CBB0"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0.018</w:t>
            </w:r>
          </w:p>
        </w:tc>
      </w:tr>
      <w:tr w:rsidR="00AB41C7" w:rsidRPr="00AB41C7" w14:paraId="4788809B" w14:textId="77777777" w:rsidTr="005C4055">
        <w:trPr>
          <w:trHeight w:val="1285"/>
        </w:trPr>
        <w:tc>
          <w:tcPr>
            <w:tcW w:w="546" w:type="pct"/>
            <w:tcBorders>
              <w:top w:val="single" w:sz="4" w:space="0" w:color="auto"/>
              <w:left w:val="single" w:sz="4" w:space="0" w:color="auto"/>
              <w:bottom w:val="single" w:sz="4" w:space="0" w:color="auto"/>
              <w:right w:val="single" w:sz="4" w:space="0" w:color="auto"/>
            </w:tcBorders>
          </w:tcPr>
          <w:p w14:paraId="15353521"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3</w:t>
            </w:r>
          </w:p>
        </w:tc>
        <w:tc>
          <w:tcPr>
            <w:tcW w:w="1499" w:type="pct"/>
            <w:tcBorders>
              <w:top w:val="single" w:sz="4" w:space="0" w:color="auto"/>
              <w:left w:val="single" w:sz="4" w:space="0" w:color="auto"/>
              <w:bottom w:val="single" w:sz="4" w:space="0" w:color="auto"/>
              <w:right w:val="single" w:sz="4" w:space="0" w:color="auto"/>
            </w:tcBorders>
          </w:tcPr>
          <w:p w14:paraId="3543F873"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Virtual Assistant</w:t>
            </w:r>
          </w:p>
          <w:p w14:paraId="0B9F15DE"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Chatbots</w:t>
            </w:r>
          </w:p>
          <w:p w14:paraId="7116A110"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Recommendation Engine</w:t>
            </w:r>
          </w:p>
        </w:tc>
        <w:tc>
          <w:tcPr>
            <w:tcW w:w="725" w:type="pct"/>
            <w:tcBorders>
              <w:top w:val="single" w:sz="4" w:space="0" w:color="auto"/>
              <w:left w:val="single" w:sz="4" w:space="0" w:color="auto"/>
              <w:bottom w:val="single" w:sz="4" w:space="0" w:color="auto"/>
              <w:right w:val="single" w:sz="4" w:space="0" w:color="auto"/>
            </w:tcBorders>
          </w:tcPr>
          <w:p w14:paraId="0C2DE497"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0.168</w:t>
            </w:r>
          </w:p>
          <w:p w14:paraId="57A73F68"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0.091</w:t>
            </w:r>
          </w:p>
          <w:p w14:paraId="46386EB8"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0.587</w:t>
            </w:r>
          </w:p>
        </w:tc>
        <w:tc>
          <w:tcPr>
            <w:tcW w:w="371" w:type="pct"/>
            <w:tcBorders>
              <w:top w:val="single" w:sz="4" w:space="0" w:color="auto"/>
              <w:left w:val="single" w:sz="4" w:space="0" w:color="auto"/>
              <w:bottom w:val="single" w:sz="4" w:space="0" w:color="auto"/>
              <w:right w:val="single" w:sz="4" w:space="0" w:color="auto"/>
            </w:tcBorders>
          </w:tcPr>
          <w:p w14:paraId="7DFC5EEF"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0.751</w:t>
            </w:r>
          </w:p>
        </w:tc>
        <w:tc>
          <w:tcPr>
            <w:tcW w:w="371" w:type="pct"/>
            <w:tcBorders>
              <w:top w:val="single" w:sz="4" w:space="0" w:color="auto"/>
              <w:left w:val="single" w:sz="4" w:space="0" w:color="auto"/>
              <w:bottom w:val="single" w:sz="4" w:space="0" w:color="auto"/>
              <w:right w:val="single" w:sz="4" w:space="0" w:color="auto"/>
            </w:tcBorders>
          </w:tcPr>
          <w:p w14:paraId="55D2EBB6"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0.564</w:t>
            </w:r>
          </w:p>
        </w:tc>
        <w:tc>
          <w:tcPr>
            <w:tcW w:w="511" w:type="pct"/>
            <w:tcBorders>
              <w:top w:val="single" w:sz="4" w:space="0" w:color="auto"/>
              <w:left w:val="single" w:sz="4" w:space="0" w:color="auto"/>
              <w:bottom w:val="single" w:sz="4" w:space="0" w:color="auto"/>
              <w:right w:val="single" w:sz="4" w:space="0" w:color="auto"/>
            </w:tcBorders>
          </w:tcPr>
          <w:p w14:paraId="17A98CBF"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12.065</w:t>
            </w:r>
          </w:p>
        </w:tc>
        <w:tc>
          <w:tcPr>
            <w:tcW w:w="546" w:type="pct"/>
            <w:tcBorders>
              <w:top w:val="single" w:sz="4" w:space="0" w:color="auto"/>
              <w:left w:val="single" w:sz="4" w:space="0" w:color="auto"/>
              <w:bottom w:val="single" w:sz="4" w:space="0" w:color="auto"/>
              <w:right w:val="single" w:sz="4" w:space="0" w:color="auto"/>
            </w:tcBorders>
          </w:tcPr>
          <w:p w14:paraId="5E8936E1"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0.000</w:t>
            </w:r>
          </w:p>
        </w:tc>
        <w:tc>
          <w:tcPr>
            <w:tcW w:w="430" w:type="pct"/>
            <w:tcBorders>
              <w:top w:val="single" w:sz="4" w:space="0" w:color="auto"/>
              <w:left w:val="single" w:sz="4" w:space="0" w:color="auto"/>
              <w:bottom w:val="single" w:sz="4" w:space="0" w:color="auto"/>
              <w:right w:val="single" w:sz="4" w:space="0" w:color="auto"/>
            </w:tcBorders>
          </w:tcPr>
          <w:p w14:paraId="510B381E"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0.315</w:t>
            </w:r>
          </w:p>
          <w:p w14:paraId="3674C3B2"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0.601</w:t>
            </w:r>
          </w:p>
          <w:p w14:paraId="3884539D" w14:textId="77777777" w:rsidR="00AB41C7" w:rsidRPr="00AB41C7" w:rsidRDefault="00AB41C7" w:rsidP="0044629C">
            <w:pPr>
              <w:autoSpaceDE w:val="0"/>
              <w:autoSpaceDN w:val="0"/>
              <w:adjustRightInd w:val="0"/>
              <w:spacing w:after="0" w:line="240" w:lineRule="auto"/>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0.001</w:t>
            </w:r>
          </w:p>
        </w:tc>
      </w:tr>
    </w:tbl>
    <w:p w14:paraId="5ABA9A97" w14:textId="77777777" w:rsidR="00AB41C7" w:rsidRPr="00AB41C7" w:rsidRDefault="00AB41C7" w:rsidP="0044629C">
      <w:pPr>
        <w:spacing w:line="240" w:lineRule="auto"/>
        <w:jc w:val="both"/>
        <w:rPr>
          <w:rFonts w:ascii="Times New Roman" w:eastAsia="Calibri" w:hAnsi="Times New Roman" w:cs="Times New Roman"/>
          <w:kern w:val="0"/>
          <w14:ligatures w14:val="none"/>
        </w:rPr>
      </w:pPr>
    </w:p>
    <w:p w14:paraId="510E51C1" w14:textId="77777777" w:rsidR="0044629C" w:rsidRDefault="0044629C" w:rsidP="0044629C">
      <w:pPr>
        <w:spacing w:before="100" w:beforeAutospacing="1" w:after="100" w:afterAutospacing="1" w:line="240" w:lineRule="auto"/>
        <w:jc w:val="both"/>
        <w:rPr>
          <w:rFonts w:ascii="Times New Roman" w:eastAsia="Calibri" w:hAnsi="Times New Roman" w:cs="Times New Roman"/>
          <w:b/>
          <w:bCs/>
          <w:kern w:val="0"/>
          <w14:ligatures w14:val="none"/>
        </w:rPr>
      </w:pPr>
    </w:p>
    <w:p w14:paraId="51253D98" w14:textId="77777777" w:rsidR="0044629C" w:rsidRDefault="0044629C" w:rsidP="0044629C">
      <w:pPr>
        <w:spacing w:before="100" w:beforeAutospacing="1" w:after="100" w:afterAutospacing="1" w:line="240" w:lineRule="auto"/>
        <w:jc w:val="both"/>
        <w:rPr>
          <w:rFonts w:ascii="Times New Roman" w:eastAsia="Calibri" w:hAnsi="Times New Roman" w:cs="Times New Roman"/>
          <w:b/>
          <w:bCs/>
          <w:kern w:val="0"/>
          <w14:ligatures w14:val="none"/>
        </w:rPr>
      </w:pPr>
    </w:p>
    <w:p w14:paraId="43C97C5B" w14:textId="2D632F95"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Calibri" w:hAnsi="Times New Roman" w:cs="Times New Roman"/>
          <w:b/>
          <w:bCs/>
          <w:kern w:val="0"/>
          <w14:ligatures w14:val="none"/>
        </w:rPr>
        <w:t>Discussion of Findings</w:t>
      </w:r>
    </w:p>
    <w:p w14:paraId="23B47F4F"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study found a positive but statistically insignificant relationship between Virtual Assistants and Operational Efficiency. This indicates that while virtual assistants may contribute to improved operational coordination and </w:t>
      </w:r>
      <w:r w:rsidRPr="00AB41C7">
        <w:rPr>
          <w:rFonts w:ascii="Times New Roman" w:eastAsia="Times New Roman" w:hAnsi="Times New Roman" w:cs="Times New Roman"/>
          <w:kern w:val="0"/>
          <w14:ligatures w14:val="none"/>
        </w:rPr>
        <w:lastRenderedPageBreak/>
        <w:t>workflow automation, their current level of deployment among travel agencies in Obio Akpor LG is insufficient to produce measurable efficiency outcomes. The regression analysis also revealed a negative and insignificant coefficient. Although, the descriptive findings suggest that respondents generally perceive virtual assistants as helpful tools for communication and task handling. This discrepancy between perception and statistical significance indicates that while staff acknowledge the potential benefits of virtual assistants, these benefits are not yet fully realized in daily operations. This result implies that many travel agencies in Obio Akpor LGA have not yet fully integrated AI virtual assistants into their operational processes beyond basic customer support functions. This is in contrast with the findings of Ibrahim et al, (2023) and Al-</w:t>
      </w:r>
      <w:proofErr w:type="spellStart"/>
      <w:r w:rsidRPr="00AB41C7">
        <w:rPr>
          <w:rFonts w:ascii="Times New Roman" w:eastAsia="Times New Roman" w:hAnsi="Times New Roman" w:cs="Times New Roman"/>
          <w:kern w:val="0"/>
          <w14:ligatures w14:val="none"/>
        </w:rPr>
        <w:t>Hyari</w:t>
      </w:r>
      <w:proofErr w:type="spellEnd"/>
      <w:r w:rsidRPr="00AB41C7">
        <w:rPr>
          <w:rFonts w:ascii="Times New Roman" w:eastAsia="Times New Roman" w:hAnsi="Times New Roman" w:cs="Times New Roman"/>
          <w:kern w:val="0"/>
          <w14:ligatures w14:val="none"/>
        </w:rPr>
        <w:t xml:space="preserve"> et al. (2023) who both reported a positive impact of virtual assistant on operational efficiency. This may be so due to the wide spread adoption of the technology in the location the study was conducted  </w:t>
      </w:r>
    </w:p>
    <w:p w14:paraId="5E84C1C7"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analysis revealed a moderate positive and statistically significant relationship between Virtual Assistants and Higher Booking Conversion. This finding indicates that AI-powered virtual assistants play a crucial role in enhancing customer engagement, leading to increased booking conversion rates. The regression results confirmed a positive but statistically insignificant coefficient, suggesting that while the correlation is significant, the independent contribution of virtual assistants may be overshadowed by other AI tools like chatbots and recommendation engines Nonetheless, respondents affirmed that virtual assistants reduce response time, maintain constant communication, and enhance personalization, all of which influence client trust and satisfaction, leading to higher conversion. This is in line with the findings of </w:t>
      </w:r>
      <w:proofErr w:type="spellStart"/>
      <w:r w:rsidRPr="00AB41C7">
        <w:rPr>
          <w:rFonts w:ascii="Times New Roman" w:eastAsia="Times New Roman" w:hAnsi="Times New Roman" w:cs="Times New Roman"/>
          <w:kern w:val="0"/>
          <w14:ligatures w14:val="none"/>
        </w:rPr>
        <w:t>Raynera</w:t>
      </w:r>
      <w:proofErr w:type="spellEnd"/>
      <w:r w:rsidRPr="00AB41C7">
        <w:rPr>
          <w:rFonts w:ascii="Times New Roman" w:eastAsia="Times New Roman" w:hAnsi="Times New Roman" w:cs="Times New Roman"/>
          <w:kern w:val="0"/>
          <w14:ligatures w14:val="none"/>
        </w:rPr>
        <w:t xml:space="preserve"> et al. (2025) and McKinsey (2021) that virtual assistant has positive correlation with consumer engagement and travel behavior.</w:t>
      </w:r>
    </w:p>
    <w:p w14:paraId="260AE575"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study found a strong positive and statistically significant relationship between Chatbots and Operational Efficiency. This implies that chatbot technologies substantially enhance the internal operations of travel agencies by automating routine tasks such as responding to inquiries, confirming bookings, and processing basic requests. The regression analysis also supported this outcome, showing a significant positive coefficient, confirming that chatbots are among the most influential AI tools driving operational efficiency. This resonates with the findings of Shankar et al. (2024) and </w:t>
      </w:r>
      <w:proofErr w:type="spellStart"/>
      <w:r w:rsidRPr="00AB41C7">
        <w:rPr>
          <w:rFonts w:ascii="Times New Roman" w:eastAsia="Times New Roman" w:hAnsi="Times New Roman" w:cs="Times New Roman"/>
          <w:kern w:val="0"/>
          <w14:ligatures w14:val="none"/>
        </w:rPr>
        <w:t>Vujko</w:t>
      </w:r>
      <w:proofErr w:type="spellEnd"/>
      <w:r w:rsidRPr="00AB41C7">
        <w:rPr>
          <w:rFonts w:ascii="Times New Roman" w:eastAsia="Times New Roman" w:hAnsi="Times New Roman" w:cs="Times New Roman"/>
          <w:kern w:val="0"/>
          <w14:ligatures w14:val="none"/>
        </w:rPr>
        <w:t xml:space="preserve"> et al. (2025). Shankar et al. (2024) discovered that chatbots account for 85% of the variation in client happiness, and that integrating chatbot technology can help travel businesses optimize processes while </w:t>
      </w:r>
      <w:proofErr w:type="spellStart"/>
      <w:r w:rsidRPr="00AB41C7">
        <w:rPr>
          <w:rFonts w:ascii="Times New Roman" w:eastAsia="Times New Roman" w:hAnsi="Times New Roman" w:cs="Times New Roman"/>
          <w:kern w:val="0"/>
          <w14:ligatures w14:val="none"/>
        </w:rPr>
        <w:t>Vujko</w:t>
      </w:r>
      <w:proofErr w:type="spellEnd"/>
      <w:r w:rsidRPr="00AB41C7">
        <w:rPr>
          <w:rFonts w:ascii="Times New Roman" w:eastAsia="Times New Roman" w:hAnsi="Times New Roman" w:cs="Times New Roman"/>
          <w:kern w:val="0"/>
          <w14:ligatures w14:val="none"/>
        </w:rPr>
        <w:t xml:space="preserve"> et al. (2025) result showed that employing chatbots can boost customer happiness and operational effectiveness while also enhancing an agency's standing in the marketplace.</w:t>
      </w:r>
    </w:p>
    <w:p w14:paraId="0B117E24"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The correlation between Chatbots and Higher Booking Conversion was found to be positive and significant, indicating that chatbots contribute substantially to improving sales conversion rates in travel agencies. Although the regression result shows a statistically insignificant independent contribution, the overall relationship remains significant at the correlation level, suggesting that chatbots are vital facilitators in the customer journey but may work more effectively when combined with other AI tools. The correlation result is in line with the findings of Gana (2024) and Magano et al. (2025) whose results affirm a strong correlation between chatbot and clients’ patronage.</w:t>
      </w:r>
    </w:p>
    <w:p w14:paraId="3920ED3E" w14:textId="77777777" w:rsidR="00AB41C7" w:rsidRPr="00AB41C7" w:rsidRDefault="00AB41C7" w:rsidP="0044629C">
      <w:pPr>
        <w:spacing w:before="100" w:beforeAutospacing="1" w:after="100" w:afterAutospacing="1" w:line="240" w:lineRule="auto"/>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The study revealed a strong positive and statistically significant relationship between Recommendation Engines and Operational Efficiency, supported by a regression. This indicates that AI-driven recommendation engines contribute meaningfully to operational productivity by streamlining decision-making and automating the customization of travel packages based on real-time data analysis. This result is in line with the findings of Hassan et al. (2025) and Londhe et al. (2024). Hassan et al. (2025) result showed that their hybrid recommender system cut processing time by 27–56% and reduced memory use by 24–31%, while also improving prediction accuracy. The correlation between Recommendation Engines and Higher Booking Conversion was very strong and statistically significant. Regression analysis further confirmed this with a significant coefficient. These results demonstrate that recommendation engines are the most influential AI tools driving booking success among travel agencies in Obio Akpor LGA. This result is in line with the findings of Nguyen and Nguyen (2025) </w:t>
      </w:r>
      <w:r w:rsidRPr="00AB41C7">
        <w:rPr>
          <w:rFonts w:ascii="Times New Roman" w:eastAsia="Times New Roman" w:hAnsi="Times New Roman" w:cs="Times New Roman"/>
          <w:kern w:val="0"/>
          <w14:ligatures w14:val="none"/>
        </w:rPr>
        <w:lastRenderedPageBreak/>
        <w:t xml:space="preserve">and Öztürk (2025) that recommendation engine can boost booking conversion. It becomes critical for travel agencies to optimize their use of recommendation engines in driving better </w:t>
      </w:r>
      <w:proofErr w:type="spellStart"/>
      <w:r w:rsidRPr="00AB41C7">
        <w:rPr>
          <w:rFonts w:ascii="Times New Roman" w:eastAsia="Times New Roman" w:hAnsi="Times New Roman" w:cs="Times New Roman"/>
          <w:kern w:val="0"/>
          <w14:ligatures w14:val="none"/>
        </w:rPr>
        <w:t>travellers</w:t>
      </w:r>
      <w:proofErr w:type="spellEnd"/>
      <w:r w:rsidRPr="00AB41C7">
        <w:rPr>
          <w:rFonts w:ascii="Times New Roman" w:eastAsia="Times New Roman" w:hAnsi="Times New Roman" w:cs="Times New Roman"/>
          <w:kern w:val="0"/>
          <w14:ligatures w14:val="none"/>
        </w:rPr>
        <w:t xml:space="preserve">-centric services. </w:t>
      </w:r>
    </w:p>
    <w:p w14:paraId="3F3A25E9" w14:textId="77777777" w:rsidR="00AB41C7" w:rsidRPr="00AB41C7" w:rsidRDefault="00AB41C7" w:rsidP="0044629C">
      <w:pPr>
        <w:tabs>
          <w:tab w:val="left" w:pos="2350"/>
        </w:tabs>
        <w:spacing w:line="240" w:lineRule="auto"/>
        <w:jc w:val="both"/>
        <w:rPr>
          <w:rFonts w:ascii="Times New Roman" w:eastAsia="Calibri" w:hAnsi="Times New Roman" w:cs="Times New Roman"/>
          <w:b/>
          <w:kern w:val="0"/>
          <w14:ligatures w14:val="none"/>
        </w:rPr>
      </w:pPr>
      <w:r w:rsidRPr="00AB41C7">
        <w:rPr>
          <w:rFonts w:ascii="Times New Roman" w:eastAsia="Calibri" w:hAnsi="Times New Roman" w:cs="Times New Roman"/>
          <w:b/>
          <w:kern w:val="0"/>
          <w14:ligatures w14:val="none"/>
        </w:rPr>
        <w:t>Conclusions</w:t>
      </w:r>
      <w:r w:rsidRPr="00AB41C7">
        <w:rPr>
          <w:rFonts w:ascii="Times New Roman" w:eastAsia="Calibri" w:hAnsi="Times New Roman" w:cs="Times New Roman"/>
          <w:b/>
          <w:kern w:val="0"/>
          <w14:ligatures w14:val="none"/>
        </w:rPr>
        <w:tab/>
      </w:r>
    </w:p>
    <w:p w14:paraId="34CD32F0" w14:textId="77777777" w:rsidR="00AB41C7" w:rsidRPr="00AB41C7" w:rsidRDefault="00AB41C7" w:rsidP="0044629C">
      <w:pPr>
        <w:tabs>
          <w:tab w:val="left" w:pos="2350"/>
        </w:tabs>
        <w:spacing w:line="240" w:lineRule="auto"/>
        <w:jc w:val="both"/>
        <w:rPr>
          <w:rFonts w:ascii="Times New Roman" w:eastAsia="Times New Roman" w:hAnsi="Times New Roman" w:cs="Times New Roman"/>
          <w:bCs/>
          <w:kern w:val="36"/>
          <w14:ligatures w14:val="none"/>
        </w:rPr>
      </w:pPr>
      <w:r w:rsidRPr="00AB41C7">
        <w:rPr>
          <w:rFonts w:ascii="Times New Roman" w:eastAsia="Times New Roman" w:hAnsi="Times New Roman" w:cs="Times New Roman"/>
          <w:bCs/>
          <w:kern w:val="36"/>
          <w14:ligatures w14:val="none"/>
        </w:rPr>
        <w:t>This study concludes that artificial intelligence tools have significantly impacted travel planning bookings in</w:t>
      </w:r>
      <w:r w:rsidRPr="00AB41C7">
        <w:rPr>
          <w:rFonts w:ascii="Times New Roman" w:eastAsia="Times New Roman" w:hAnsi="Times New Roman" w:cs="Times New Roman"/>
          <w:kern w:val="0"/>
          <w14:ligatures w14:val="none"/>
        </w:rPr>
        <w:t xml:space="preserve"> Obio Akpor LGA</w:t>
      </w:r>
      <w:r w:rsidRPr="00AB41C7">
        <w:rPr>
          <w:rFonts w:ascii="Times New Roman" w:eastAsia="Times New Roman" w:hAnsi="Times New Roman" w:cs="Times New Roman"/>
          <w:bCs/>
          <w:kern w:val="36"/>
          <w14:ligatures w14:val="none"/>
        </w:rPr>
        <w:t xml:space="preserve">. This study has demonstrated that AI systems, specifically recommendation engines and chatbots, have improved operational efficiency, increased customer engagement, and increased bookings conversion among the travel agencies in the local government. Practically, the findings of this study </w:t>
      </w:r>
      <w:proofErr w:type="gramStart"/>
      <w:r w:rsidRPr="00AB41C7">
        <w:rPr>
          <w:rFonts w:ascii="Times New Roman" w:eastAsia="Times New Roman" w:hAnsi="Times New Roman" w:cs="Times New Roman"/>
          <w:bCs/>
          <w:kern w:val="36"/>
          <w14:ligatures w14:val="none"/>
        </w:rPr>
        <w:t>is</w:t>
      </w:r>
      <w:proofErr w:type="gramEnd"/>
      <w:r w:rsidRPr="00AB41C7">
        <w:rPr>
          <w:rFonts w:ascii="Times New Roman" w:eastAsia="Times New Roman" w:hAnsi="Times New Roman" w:cs="Times New Roman"/>
          <w:bCs/>
          <w:kern w:val="36"/>
          <w14:ligatures w14:val="none"/>
        </w:rPr>
        <w:t xml:space="preserve"> such that can provide huge benefits if taken into account. Investments in technologies like chatbot and recommendation engine can reduce operational costs and enhance service delivery. Also, investing in staff training is key to gaining maximum benefits from these technologies. Furthermore, policymakers and industry regulators should support digital infrastructure and provide platforms for incentives so that local travel enterprises can benefit from them, leading to growth of AI integration in local travel businesses.</w:t>
      </w:r>
    </w:p>
    <w:p w14:paraId="3F27EC1E" w14:textId="77777777" w:rsidR="00AB41C7" w:rsidRPr="00AB41C7" w:rsidRDefault="00AB41C7" w:rsidP="0044629C">
      <w:pPr>
        <w:tabs>
          <w:tab w:val="left" w:pos="2350"/>
        </w:tabs>
        <w:spacing w:line="240" w:lineRule="auto"/>
        <w:jc w:val="both"/>
        <w:rPr>
          <w:rFonts w:ascii="Times New Roman" w:eastAsia="Times New Roman" w:hAnsi="Times New Roman" w:cs="Times New Roman"/>
          <w:bCs/>
          <w:kern w:val="36"/>
          <w14:ligatures w14:val="none"/>
        </w:rPr>
      </w:pPr>
      <w:r w:rsidRPr="00AB41C7">
        <w:rPr>
          <w:rFonts w:ascii="Times New Roman" w:eastAsia="Times New Roman" w:hAnsi="Times New Roman" w:cs="Times New Roman"/>
          <w:bCs/>
          <w:kern w:val="36"/>
          <w14:ligatures w14:val="none"/>
        </w:rPr>
        <w:t>In spite of its contributions, this study is not without limitations. Firstly, the analysis was limited to three dimensions: chatbots, virtual assistants, and recommendation engines, excluding other emerging technologies like predictive analytics and robotic process automation that could influence booking outcomes. Secondly, the study focuses on</w:t>
      </w:r>
      <w:r w:rsidRPr="00AB41C7">
        <w:rPr>
          <w:rFonts w:ascii="Times New Roman" w:eastAsia="Times New Roman" w:hAnsi="Times New Roman" w:cs="Times New Roman"/>
          <w:kern w:val="0"/>
          <w14:ligatures w14:val="none"/>
        </w:rPr>
        <w:t xml:space="preserve"> Obio Akpor LGA</w:t>
      </w:r>
      <w:r w:rsidRPr="00AB41C7">
        <w:rPr>
          <w:rFonts w:ascii="Times New Roman" w:eastAsia="Times New Roman" w:hAnsi="Times New Roman" w:cs="Times New Roman"/>
          <w:bCs/>
          <w:kern w:val="36"/>
          <w14:ligatures w14:val="none"/>
        </w:rPr>
        <w:t xml:space="preserve">, which limits broader generalization and concentrated only on travel agencies, excluding other tourism subsectors such as airlines, hotels, and tour operators. Additionally, the relatively small sample size of 32 may limit its breadth of influence. Further research should extend this work by not only increasing sample size, but appraising the role of moderating variables like customer trust and digital literacy in AI </w:t>
      </w:r>
      <w:r w:rsidRPr="00AB41C7">
        <w:rPr>
          <w:rFonts w:ascii="Times New Roman" w:eastAsia="Calibri" w:hAnsi="Times New Roman" w:cs="Times New Roman"/>
          <w:kern w:val="0"/>
          <w14:ligatures w14:val="none"/>
        </w:rPr>
        <w:t>–</w:t>
      </w:r>
      <w:r w:rsidRPr="00AB41C7">
        <w:rPr>
          <w:rFonts w:ascii="Times New Roman" w:eastAsia="Times New Roman" w:hAnsi="Times New Roman" w:cs="Times New Roman"/>
          <w:bCs/>
          <w:kern w:val="36"/>
          <w14:ligatures w14:val="none"/>
        </w:rPr>
        <w:t xml:space="preserve"> booking performance relationship. Further research can also look at the comparative analysis between traditional travel agencies and online agencies to discover the different suitable technologies for them. Lastly, expanding the geographical scope and inculcating additional AI innovation will provide deeper empirical insights into the evolving dynamics of AI adoption in the travel industry.</w:t>
      </w:r>
    </w:p>
    <w:p w14:paraId="799A06F3" w14:textId="77777777" w:rsidR="00AB41C7" w:rsidRPr="00AB41C7" w:rsidRDefault="00AB41C7" w:rsidP="0044629C">
      <w:pPr>
        <w:tabs>
          <w:tab w:val="left" w:pos="2350"/>
        </w:tabs>
        <w:spacing w:line="240" w:lineRule="auto"/>
        <w:jc w:val="both"/>
        <w:rPr>
          <w:rFonts w:ascii="Times New Roman" w:eastAsia="Times New Roman" w:hAnsi="Times New Roman" w:cs="Times New Roman"/>
          <w:bCs/>
          <w:kern w:val="36"/>
          <w14:ligatures w14:val="none"/>
        </w:rPr>
      </w:pPr>
      <w:r w:rsidRPr="00AB41C7">
        <w:rPr>
          <w:rFonts w:ascii="Times New Roman" w:eastAsia="Times New Roman" w:hAnsi="Times New Roman" w:cs="Times New Roman"/>
          <w:b/>
          <w:bCs/>
          <w:kern w:val="36"/>
          <w14:ligatures w14:val="none"/>
        </w:rPr>
        <w:t xml:space="preserve">REFERENCES </w:t>
      </w:r>
    </w:p>
    <w:p w14:paraId="25098021"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Adam, M., Wessel, M., &amp; </w:t>
      </w:r>
      <w:proofErr w:type="spellStart"/>
      <w:r w:rsidRPr="00AB41C7">
        <w:rPr>
          <w:rFonts w:ascii="Times New Roman" w:eastAsia="Calibri" w:hAnsi="Times New Roman" w:cs="Times New Roman"/>
          <w:kern w:val="0"/>
          <w14:ligatures w14:val="none"/>
        </w:rPr>
        <w:t>Benlian</w:t>
      </w:r>
      <w:proofErr w:type="spellEnd"/>
      <w:r w:rsidRPr="00AB41C7">
        <w:rPr>
          <w:rFonts w:ascii="Times New Roman" w:eastAsia="Calibri" w:hAnsi="Times New Roman" w:cs="Times New Roman"/>
          <w:kern w:val="0"/>
          <w14:ligatures w14:val="none"/>
        </w:rPr>
        <w:t xml:space="preserve">, A. (2020). </w:t>
      </w:r>
      <w:r w:rsidRPr="00AB41C7">
        <w:rPr>
          <w:rFonts w:ascii="Times New Roman" w:eastAsia="Calibri" w:hAnsi="Times New Roman" w:cs="Times New Roman"/>
          <w:i/>
          <w:iCs/>
          <w:kern w:val="0"/>
          <w14:ligatures w14:val="none"/>
        </w:rPr>
        <w:t>AI-based chatbots in customer service and their effects on user compliance</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bCs/>
          <w:kern w:val="0"/>
          <w14:ligatures w14:val="none"/>
        </w:rPr>
        <w:t>Electronic Markets, 30</w:t>
      </w:r>
      <w:r w:rsidRPr="00AB41C7">
        <w:rPr>
          <w:rFonts w:ascii="Times New Roman" w:eastAsia="Calibri" w:hAnsi="Times New Roman" w:cs="Times New Roman"/>
          <w:kern w:val="0"/>
          <w14:ligatures w14:val="none"/>
        </w:rPr>
        <w:t xml:space="preserve">, 427–445. </w:t>
      </w:r>
      <w:hyperlink r:id="rId223" w:tgtFrame="_new" w:history="1">
        <w:r w:rsidRPr="00AB41C7">
          <w:rPr>
            <w:rFonts w:ascii="Times New Roman" w:eastAsia="Calibri" w:hAnsi="Times New Roman" w:cs="Times New Roman"/>
            <w:color w:val="0000FF"/>
            <w:kern w:val="0"/>
            <w:u w:val="single"/>
            <w14:ligatures w14:val="none"/>
          </w:rPr>
          <w:t>https://doi.org/10.1007/s12525-020-00414-7</w:t>
        </w:r>
      </w:hyperlink>
    </w:p>
    <w:p w14:paraId="78854288" w14:textId="77777777" w:rsidR="00AB41C7" w:rsidRPr="00AB41C7" w:rsidRDefault="00AB41C7" w:rsidP="0044629C">
      <w:pPr>
        <w:spacing w:before="100" w:beforeAutospacing="1" w:after="0" w:line="240" w:lineRule="auto"/>
        <w:ind w:left="630" w:hanging="990"/>
        <w:jc w:val="both"/>
        <w:rPr>
          <w:rFonts w:ascii="Times New Roman" w:eastAsia="Times New Roman" w:hAnsi="Times New Roman" w:cs="Times New Roman"/>
          <w:kern w:val="0"/>
          <w14:ligatures w14:val="none"/>
        </w:rPr>
      </w:pPr>
      <w:proofErr w:type="spellStart"/>
      <w:r w:rsidRPr="00AB41C7">
        <w:rPr>
          <w:rFonts w:ascii="Times New Roman" w:eastAsia="Times New Roman" w:hAnsi="Times New Roman" w:cs="Times New Roman"/>
          <w:bCs/>
          <w:kern w:val="0"/>
          <w14:ligatures w14:val="none"/>
        </w:rPr>
        <w:t>Adanigbo</w:t>
      </w:r>
      <w:proofErr w:type="spellEnd"/>
      <w:r w:rsidRPr="00AB41C7">
        <w:rPr>
          <w:rFonts w:ascii="Times New Roman" w:eastAsia="Times New Roman" w:hAnsi="Times New Roman" w:cs="Times New Roman"/>
          <w:bCs/>
          <w:kern w:val="0"/>
          <w14:ligatures w14:val="none"/>
        </w:rPr>
        <w:t xml:space="preserve">, O. S., </w:t>
      </w:r>
      <w:proofErr w:type="spellStart"/>
      <w:r w:rsidRPr="00AB41C7">
        <w:rPr>
          <w:rFonts w:ascii="Times New Roman" w:eastAsia="Times New Roman" w:hAnsi="Times New Roman" w:cs="Times New Roman"/>
          <w:bCs/>
          <w:kern w:val="0"/>
          <w14:ligatures w14:val="none"/>
        </w:rPr>
        <w:t>Kisina</w:t>
      </w:r>
      <w:proofErr w:type="spellEnd"/>
      <w:r w:rsidRPr="00AB41C7">
        <w:rPr>
          <w:rFonts w:ascii="Times New Roman" w:eastAsia="Times New Roman" w:hAnsi="Times New Roman" w:cs="Times New Roman"/>
          <w:bCs/>
          <w:kern w:val="0"/>
          <w14:ligatures w14:val="none"/>
        </w:rPr>
        <w:t xml:space="preserve">, D., </w:t>
      </w:r>
      <w:proofErr w:type="spellStart"/>
      <w:r w:rsidRPr="00AB41C7">
        <w:rPr>
          <w:rFonts w:ascii="Times New Roman" w:eastAsia="Times New Roman" w:hAnsi="Times New Roman" w:cs="Times New Roman"/>
          <w:bCs/>
          <w:kern w:val="0"/>
          <w14:ligatures w14:val="none"/>
        </w:rPr>
        <w:t>Daraojimba</w:t>
      </w:r>
      <w:proofErr w:type="spellEnd"/>
      <w:r w:rsidRPr="00AB41C7">
        <w:rPr>
          <w:rFonts w:ascii="Times New Roman" w:eastAsia="Times New Roman" w:hAnsi="Times New Roman" w:cs="Times New Roman"/>
          <w:bCs/>
          <w:kern w:val="0"/>
          <w14:ligatures w14:val="none"/>
        </w:rPr>
        <w:t xml:space="preserve">, A. I., </w:t>
      </w:r>
      <w:proofErr w:type="spellStart"/>
      <w:r w:rsidRPr="00AB41C7">
        <w:rPr>
          <w:rFonts w:ascii="Times New Roman" w:eastAsia="Times New Roman" w:hAnsi="Times New Roman" w:cs="Times New Roman"/>
          <w:bCs/>
          <w:kern w:val="0"/>
          <w14:ligatures w14:val="none"/>
        </w:rPr>
        <w:t>Ubanadu</w:t>
      </w:r>
      <w:proofErr w:type="spellEnd"/>
      <w:r w:rsidRPr="00AB41C7">
        <w:rPr>
          <w:rFonts w:ascii="Times New Roman" w:eastAsia="Times New Roman" w:hAnsi="Times New Roman" w:cs="Times New Roman"/>
          <w:bCs/>
          <w:kern w:val="0"/>
          <w14:ligatures w14:val="none"/>
        </w:rPr>
        <w:t xml:space="preserve">, B. C., Ochuba, N. A., &amp; </w:t>
      </w:r>
      <w:proofErr w:type="spellStart"/>
      <w:r w:rsidRPr="00AB41C7">
        <w:rPr>
          <w:rFonts w:ascii="Times New Roman" w:eastAsia="Times New Roman" w:hAnsi="Times New Roman" w:cs="Times New Roman"/>
          <w:bCs/>
          <w:kern w:val="0"/>
          <w14:ligatures w14:val="none"/>
        </w:rPr>
        <w:t>Gbenle</w:t>
      </w:r>
      <w:proofErr w:type="spellEnd"/>
      <w:r w:rsidRPr="00AB41C7">
        <w:rPr>
          <w:rFonts w:ascii="Times New Roman" w:eastAsia="Times New Roman" w:hAnsi="Times New Roman" w:cs="Times New Roman"/>
          <w:bCs/>
          <w:kern w:val="0"/>
          <w14:ligatures w14:val="none"/>
        </w:rPr>
        <w:t>, T. P. (2024).</w:t>
      </w:r>
      <w:r w:rsidRPr="00AB41C7">
        <w:rPr>
          <w:rFonts w:ascii="Times New Roman" w:eastAsia="Times New Roman" w:hAnsi="Times New Roman" w:cs="Times New Roman"/>
          <w:kern w:val="0"/>
          <w14:ligatures w14:val="none"/>
        </w:rPr>
        <w:t xml:space="preserve"> A conceptual model for AI-powered anomaly detection in airline booking and transaction systems. </w:t>
      </w:r>
      <w:r w:rsidRPr="00AB41C7">
        <w:rPr>
          <w:rFonts w:ascii="Times New Roman" w:eastAsia="Times New Roman" w:hAnsi="Times New Roman" w:cs="Times New Roman"/>
          <w:i/>
          <w:iCs/>
          <w:kern w:val="0"/>
          <w14:ligatures w14:val="none"/>
        </w:rPr>
        <w:t>International Journal of Future Engineering Innovations, 1</w:t>
      </w:r>
      <w:r w:rsidRPr="00AB41C7">
        <w:rPr>
          <w:rFonts w:ascii="Times New Roman" w:eastAsia="Times New Roman" w:hAnsi="Times New Roman" w:cs="Times New Roman"/>
          <w:kern w:val="0"/>
          <w14:ligatures w14:val="none"/>
        </w:rPr>
        <w:t xml:space="preserve">(1), 93–100. </w:t>
      </w:r>
      <w:hyperlink r:id="rId224" w:tgtFrame="_new" w:history="1">
        <w:r w:rsidRPr="00AB41C7">
          <w:rPr>
            <w:rFonts w:ascii="Times New Roman" w:eastAsia="Times New Roman" w:hAnsi="Times New Roman" w:cs="Times New Roman"/>
            <w:color w:val="0000FF"/>
            <w:kern w:val="0"/>
            <w:u w:val="single"/>
            <w14:ligatures w14:val="none"/>
          </w:rPr>
          <w:t>https://doi.org/10.54660/IJFEI.2024.1.1.93-100</w:t>
        </w:r>
      </w:hyperlink>
    </w:p>
    <w:p w14:paraId="2B5665BA"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Ahmed, S., Chowdhury, U. Y., Ashrafi, D. M., Choudhury, M. M., Ahmed, R., &amp; Ahmed, R. (2025). Speak, search, and stay: determining customers' intentions to use voice-controlled artificial intelligence (AI) for finding suitable hotels and resorts. </w:t>
      </w:r>
      <w:r w:rsidRPr="00AB41C7">
        <w:rPr>
          <w:rFonts w:ascii="Times New Roman" w:eastAsia="Calibri" w:hAnsi="Times New Roman" w:cs="Times New Roman"/>
          <w:i/>
          <w:iCs/>
          <w:color w:val="222222"/>
          <w:kern w:val="0"/>
          <w:shd w:val="clear" w:color="auto" w:fill="FFFFFF"/>
          <w14:ligatures w14:val="none"/>
        </w:rPr>
        <w:t>Journal of Hospitality and Tourism Insights</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8</w:t>
      </w:r>
      <w:r w:rsidRPr="00AB41C7">
        <w:rPr>
          <w:rFonts w:ascii="Times New Roman" w:eastAsia="Calibri" w:hAnsi="Times New Roman" w:cs="Times New Roman"/>
          <w:color w:val="222222"/>
          <w:kern w:val="0"/>
          <w:shd w:val="clear" w:color="auto" w:fill="FFFFFF"/>
          <w14:ligatures w14:val="none"/>
        </w:rPr>
        <w:t>(3), 967-987.</w:t>
      </w:r>
    </w:p>
    <w:p w14:paraId="2C895009"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Alcantara, E. N., Cruz, A. K. G., Fortunato, J. V., Ricohermozo, D. M. P., Santos, R. D., Villamil, C. J. O., Reyes, M. C. P., &amp; Abad, M. A. H. (2024). </w:t>
      </w:r>
      <w:r w:rsidRPr="00AB41C7">
        <w:rPr>
          <w:rFonts w:ascii="Times New Roman" w:eastAsia="Calibri" w:hAnsi="Times New Roman" w:cs="Times New Roman"/>
          <w:i/>
          <w:iCs/>
          <w:kern w:val="0"/>
          <w14:ligatures w14:val="none"/>
        </w:rPr>
        <w:t>Analyzing consumer cost efficiency: A quantitative study of travel agency bookings in Cabanatuan City</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bCs/>
          <w:kern w:val="0"/>
          <w14:ligatures w14:val="none"/>
        </w:rPr>
        <w:t>International Journal of Advanced Engineering, Management and Science, 10</w:t>
      </w:r>
      <w:r w:rsidRPr="00AB41C7">
        <w:rPr>
          <w:rFonts w:ascii="Times New Roman" w:eastAsia="Calibri" w:hAnsi="Times New Roman" w:cs="Times New Roman"/>
          <w:kern w:val="0"/>
          <w14:ligatures w14:val="none"/>
        </w:rPr>
        <w:t xml:space="preserve">(4), Article 6. </w:t>
      </w:r>
      <w:hyperlink r:id="rId225" w:tgtFrame="_new" w:history="1">
        <w:r w:rsidRPr="00AB41C7">
          <w:rPr>
            <w:rFonts w:ascii="Times New Roman" w:eastAsia="Calibri" w:hAnsi="Times New Roman" w:cs="Times New Roman"/>
            <w:color w:val="0000FF"/>
            <w:kern w:val="0"/>
            <w:u w:val="single"/>
            <w14:ligatures w14:val="none"/>
          </w:rPr>
          <w:t>https://doi.org/10.22161/ijaems.104.6</w:t>
        </w:r>
      </w:hyperlink>
    </w:p>
    <w:p w14:paraId="2AD03D57"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Al</w:t>
      </w:r>
      <w:r w:rsidRPr="00AB41C7">
        <w:rPr>
          <w:rFonts w:ascii="Times New Roman" w:eastAsia="Calibri" w:hAnsi="Times New Roman" w:cs="Times New Roman"/>
          <w:bCs/>
          <w:kern w:val="0"/>
          <w14:ligatures w14:val="none"/>
        </w:rPr>
        <w:noBreakHyphen/>
      </w:r>
      <w:proofErr w:type="spellStart"/>
      <w:r w:rsidRPr="00AB41C7">
        <w:rPr>
          <w:rFonts w:ascii="Times New Roman" w:eastAsia="Calibri" w:hAnsi="Times New Roman" w:cs="Times New Roman"/>
          <w:bCs/>
          <w:kern w:val="0"/>
          <w14:ligatures w14:val="none"/>
        </w:rPr>
        <w:t>Hyari</w:t>
      </w:r>
      <w:proofErr w:type="spellEnd"/>
      <w:r w:rsidRPr="00AB41C7">
        <w:rPr>
          <w:rFonts w:ascii="Times New Roman" w:eastAsia="Calibri" w:hAnsi="Times New Roman" w:cs="Times New Roman"/>
          <w:bCs/>
          <w:kern w:val="0"/>
          <w14:ligatures w14:val="none"/>
        </w:rPr>
        <w:t>, H. S., Al</w:t>
      </w:r>
      <w:r w:rsidRPr="00AB41C7">
        <w:rPr>
          <w:rFonts w:ascii="Times New Roman" w:eastAsia="Calibri" w:hAnsi="Times New Roman" w:cs="Times New Roman"/>
          <w:bCs/>
          <w:kern w:val="0"/>
          <w14:ligatures w14:val="none"/>
        </w:rPr>
        <w:noBreakHyphen/>
        <w:t xml:space="preserve">Smadi, H. M., &amp; </w:t>
      </w:r>
      <w:proofErr w:type="spellStart"/>
      <w:r w:rsidRPr="00AB41C7">
        <w:rPr>
          <w:rFonts w:ascii="Times New Roman" w:eastAsia="Calibri" w:hAnsi="Times New Roman" w:cs="Times New Roman"/>
          <w:bCs/>
          <w:kern w:val="0"/>
          <w14:ligatures w14:val="none"/>
        </w:rPr>
        <w:t>Weshah</w:t>
      </w:r>
      <w:proofErr w:type="spellEnd"/>
      <w:r w:rsidRPr="00AB41C7">
        <w:rPr>
          <w:rFonts w:ascii="Times New Roman" w:eastAsia="Calibri" w:hAnsi="Times New Roman" w:cs="Times New Roman"/>
          <w:bCs/>
          <w:kern w:val="0"/>
          <w14:ligatures w14:val="none"/>
        </w:rPr>
        <w:t>, S. R. (2023).</w:t>
      </w:r>
      <w:r w:rsidRPr="00AB41C7">
        <w:rPr>
          <w:rFonts w:ascii="Times New Roman" w:eastAsia="Calibri" w:hAnsi="Times New Roman" w:cs="Times New Roman"/>
          <w:kern w:val="0"/>
          <w14:ligatures w14:val="none"/>
        </w:rPr>
        <w:t xml:space="preserve"> The impact of artificial intelligence (AI) on guest satisfaction in hotel management: An empirical study of luxury hotels. </w:t>
      </w:r>
      <w:proofErr w:type="spellStart"/>
      <w:r w:rsidRPr="00AB41C7">
        <w:rPr>
          <w:rFonts w:ascii="Times New Roman" w:eastAsia="Calibri" w:hAnsi="Times New Roman" w:cs="Times New Roman"/>
          <w:i/>
          <w:iCs/>
          <w:kern w:val="0"/>
          <w14:ligatures w14:val="none"/>
        </w:rPr>
        <w:t>GeoJournal</w:t>
      </w:r>
      <w:proofErr w:type="spellEnd"/>
      <w:r w:rsidRPr="00AB41C7">
        <w:rPr>
          <w:rFonts w:ascii="Times New Roman" w:eastAsia="Calibri" w:hAnsi="Times New Roman" w:cs="Times New Roman"/>
          <w:i/>
          <w:iCs/>
          <w:kern w:val="0"/>
          <w14:ligatures w14:val="none"/>
        </w:rPr>
        <w:t xml:space="preserve"> of Tourism and </w:t>
      </w:r>
      <w:proofErr w:type="spellStart"/>
      <w:r w:rsidRPr="00AB41C7">
        <w:rPr>
          <w:rFonts w:ascii="Times New Roman" w:eastAsia="Calibri" w:hAnsi="Times New Roman" w:cs="Times New Roman"/>
          <w:i/>
          <w:iCs/>
          <w:kern w:val="0"/>
          <w14:ligatures w14:val="none"/>
        </w:rPr>
        <w:t>Geosites</w:t>
      </w:r>
      <w:proofErr w:type="spellEnd"/>
      <w:r w:rsidRPr="00AB41C7">
        <w:rPr>
          <w:rFonts w:ascii="Times New Roman" w:eastAsia="Calibri" w:hAnsi="Times New Roman" w:cs="Times New Roman"/>
          <w:i/>
          <w:iCs/>
          <w:kern w:val="0"/>
          <w14:ligatures w14:val="none"/>
        </w:rPr>
        <w:t>, 48</w:t>
      </w:r>
      <w:r w:rsidRPr="00AB41C7">
        <w:rPr>
          <w:rFonts w:ascii="Times New Roman" w:eastAsia="Calibri" w:hAnsi="Times New Roman" w:cs="Times New Roman"/>
          <w:kern w:val="0"/>
          <w14:ligatures w14:val="none"/>
        </w:rPr>
        <w:t xml:space="preserve">(2spl), 810–819. </w:t>
      </w:r>
      <w:hyperlink r:id="rId226" w:tgtFrame="_new" w:history="1">
        <w:r w:rsidRPr="00AB41C7">
          <w:rPr>
            <w:rFonts w:ascii="Times New Roman" w:eastAsia="Calibri" w:hAnsi="Times New Roman" w:cs="Times New Roman"/>
            <w:color w:val="0000FF"/>
            <w:kern w:val="0"/>
            <w:u w:val="single"/>
            <w14:ligatures w14:val="none"/>
          </w:rPr>
          <w:t>https://doi.org/10.30892/gtg.482spl15-1081</w:t>
        </w:r>
      </w:hyperlink>
    </w:p>
    <w:p w14:paraId="11CE04CE"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Ali, F., Yasar, B., Ali, L., &amp; Dogan, S. (2023).</w:t>
      </w:r>
      <w:r w:rsidRPr="00AB41C7">
        <w:rPr>
          <w:rFonts w:ascii="Times New Roman" w:eastAsia="Calibri" w:hAnsi="Times New Roman" w:cs="Times New Roman"/>
          <w:kern w:val="0"/>
          <w14:ligatures w14:val="none"/>
        </w:rPr>
        <w:t xml:space="preserve"> Antecedents and consequences of travelers’ trust towards personalized travel recommendations offered by ChatGPT. </w:t>
      </w:r>
      <w:r w:rsidRPr="00AB41C7">
        <w:rPr>
          <w:rFonts w:ascii="Times New Roman" w:eastAsia="Calibri" w:hAnsi="Times New Roman" w:cs="Times New Roman"/>
          <w:i/>
          <w:iCs/>
          <w:kern w:val="0"/>
          <w14:ligatures w14:val="none"/>
        </w:rPr>
        <w:t>International Journal of Hospitality Management, 114</w:t>
      </w:r>
      <w:r w:rsidRPr="00AB41C7">
        <w:rPr>
          <w:rFonts w:ascii="Times New Roman" w:eastAsia="Calibri" w:hAnsi="Times New Roman" w:cs="Times New Roman"/>
          <w:kern w:val="0"/>
          <w14:ligatures w14:val="none"/>
        </w:rPr>
        <w:t xml:space="preserve">, 103588. </w:t>
      </w:r>
      <w:hyperlink r:id="rId227" w:history="1">
        <w:r w:rsidRPr="00AB41C7">
          <w:rPr>
            <w:rFonts w:ascii="Times New Roman" w:eastAsia="Calibri" w:hAnsi="Times New Roman" w:cs="Times New Roman"/>
            <w:color w:val="0000FF"/>
            <w:kern w:val="0"/>
            <w:u w:val="single"/>
            <w14:ligatures w14:val="none"/>
          </w:rPr>
          <w:t>https://doi.org/10.1016/j.ijhm.2023.103588</w:t>
        </w:r>
      </w:hyperlink>
    </w:p>
    <w:p w14:paraId="279B1047"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color w:val="222222"/>
          <w:kern w:val="0"/>
          <w:shd w:val="clear" w:color="auto" w:fill="FFFFFF"/>
          <w14:ligatures w14:val="none"/>
        </w:rPr>
        <w:lastRenderedPageBreak/>
        <w:t>Andrianto</w:t>
      </w:r>
      <w:proofErr w:type="spellEnd"/>
      <w:r w:rsidRPr="00AB41C7">
        <w:rPr>
          <w:rFonts w:ascii="Times New Roman" w:eastAsia="Calibri" w:hAnsi="Times New Roman" w:cs="Times New Roman"/>
          <w:color w:val="222222"/>
          <w:kern w:val="0"/>
          <w:shd w:val="clear" w:color="auto" w:fill="FFFFFF"/>
          <w14:ligatures w14:val="none"/>
        </w:rPr>
        <w:t xml:space="preserve">, T., Tangit, T. M., &amp; Minh, N. C. (2025). Adoption of Artificial intelligence (AI) technology in enhancing tourist Experience: </w:t>
      </w:r>
      <w:proofErr w:type="gramStart"/>
      <w:r w:rsidRPr="00AB41C7">
        <w:rPr>
          <w:rFonts w:ascii="Times New Roman" w:eastAsia="Calibri" w:hAnsi="Times New Roman" w:cs="Times New Roman"/>
          <w:color w:val="222222"/>
          <w:kern w:val="0"/>
          <w:shd w:val="clear" w:color="auto" w:fill="FFFFFF"/>
          <w14:ligatures w14:val="none"/>
        </w:rPr>
        <w:t>a</w:t>
      </w:r>
      <w:proofErr w:type="gramEnd"/>
      <w:r w:rsidRPr="00AB41C7">
        <w:rPr>
          <w:rFonts w:ascii="Times New Roman" w:eastAsia="Calibri" w:hAnsi="Times New Roman" w:cs="Times New Roman"/>
          <w:color w:val="222222"/>
          <w:kern w:val="0"/>
          <w:shd w:val="clear" w:color="auto" w:fill="FFFFFF"/>
          <w14:ligatures w14:val="none"/>
        </w:rPr>
        <w:t xml:space="preserve"> Conceptual model. </w:t>
      </w:r>
      <w:r w:rsidRPr="00AB41C7">
        <w:rPr>
          <w:rFonts w:ascii="Times New Roman" w:eastAsia="Calibri" w:hAnsi="Times New Roman" w:cs="Times New Roman"/>
          <w:i/>
          <w:iCs/>
          <w:color w:val="222222"/>
          <w:kern w:val="0"/>
          <w:shd w:val="clear" w:color="auto" w:fill="FFFFFF"/>
          <w14:ligatures w14:val="none"/>
        </w:rPr>
        <w:t>Journal of Tourism, Hospitality and Travel Management</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3</w:t>
      </w:r>
      <w:r w:rsidRPr="00AB41C7">
        <w:rPr>
          <w:rFonts w:ascii="Times New Roman" w:eastAsia="Calibri" w:hAnsi="Times New Roman" w:cs="Times New Roman"/>
          <w:color w:val="222222"/>
          <w:kern w:val="0"/>
          <w:shd w:val="clear" w:color="auto" w:fill="FFFFFF"/>
          <w14:ligatures w14:val="none"/>
        </w:rPr>
        <w:t>(1), 53-66.</w:t>
      </w:r>
    </w:p>
    <w:p w14:paraId="02CC4B8A"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Asaithambi, S. P. R., Venkatraman, R., &amp; Venkatraman, S. A. (2023).</w:t>
      </w:r>
      <w:r w:rsidRPr="00AB41C7">
        <w:rPr>
          <w:rFonts w:ascii="Times New Roman" w:eastAsia="Calibri" w:hAnsi="Times New Roman" w:cs="Times New Roman"/>
          <w:kern w:val="0"/>
          <w14:ligatures w14:val="none"/>
        </w:rPr>
        <w:t xml:space="preserve"> Thematic travel recommendation system using an augmented big data analytical model. </w:t>
      </w:r>
      <w:r w:rsidRPr="00AB41C7">
        <w:rPr>
          <w:rFonts w:ascii="Times New Roman" w:eastAsia="Calibri" w:hAnsi="Times New Roman" w:cs="Times New Roman"/>
          <w:i/>
          <w:iCs/>
          <w:kern w:val="0"/>
          <w14:ligatures w14:val="none"/>
        </w:rPr>
        <w:t>Technologies, 11</w:t>
      </w:r>
      <w:r w:rsidRPr="00AB41C7">
        <w:rPr>
          <w:rFonts w:ascii="Times New Roman" w:eastAsia="Calibri" w:hAnsi="Times New Roman" w:cs="Times New Roman"/>
          <w:kern w:val="0"/>
          <w14:ligatures w14:val="none"/>
        </w:rPr>
        <w:t xml:space="preserve">(1), 28. </w:t>
      </w:r>
      <w:hyperlink r:id="rId228" w:tgtFrame="_new" w:history="1">
        <w:r w:rsidRPr="00AB41C7">
          <w:rPr>
            <w:rFonts w:ascii="Times New Roman" w:eastAsia="Calibri" w:hAnsi="Times New Roman" w:cs="Times New Roman"/>
            <w:color w:val="0000FF"/>
            <w:kern w:val="0"/>
            <w:u w:val="single"/>
            <w14:ligatures w14:val="none"/>
          </w:rPr>
          <w:t>https://doi.org/10.3390/technologies11010028</w:t>
        </w:r>
      </w:hyperlink>
    </w:p>
    <w:p w14:paraId="727A9524"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kern w:val="0"/>
          <w14:ligatures w14:val="none"/>
        </w:rPr>
        <w:t>Asifat</w:t>
      </w:r>
      <w:proofErr w:type="spellEnd"/>
      <w:r w:rsidRPr="00AB41C7">
        <w:rPr>
          <w:rFonts w:ascii="Times New Roman" w:eastAsia="Calibri" w:hAnsi="Times New Roman" w:cs="Times New Roman"/>
          <w:kern w:val="0"/>
          <w14:ligatures w14:val="none"/>
        </w:rPr>
        <w:t xml:space="preserve">, J. T., &amp; Abiola-Oke, E. (2025). </w:t>
      </w:r>
      <w:r w:rsidRPr="00AB41C7">
        <w:rPr>
          <w:rFonts w:ascii="Times New Roman" w:eastAsia="Calibri" w:hAnsi="Times New Roman" w:cs="Times New Roman"/>
          <w:i/>
          <w:iCs/>
          <w:kern w:val="0"/>
          <w14:ligatures w14:val="none"/>
        </w:rPr>
        <w:t>Digital transformation in Osun State’s tourism and hospitality: A path to sustainable growth</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bCs/>
          <w:kern w:val="0"/>
          <w14:ligatures w14:val="none"/>
        </w:rPr>
        <w:t>International Journal of Innovative Science and Research Technology, 10</w:t>
      </w:r>
      <w:r w:rsidRPr="00AB41C7">
        <w:rPr>
          <w:rFonts w:ascii="Times New Roman" w:eastAsia="Calibri" w:hAnsi="Times New Roman" w:cs="Times New Roman"/>
          <w:kern w:val="0"/>
          <w14:ligatures w14:val="none"/>
        </w:rPr>
        <w:t xml:space="preserve">(6). </w:t>
      </w:r>
      <w:hyperlink r:id="rId229" w:tgtFrame="_new" w:history="1">
        <w:r w:rsidRPr="00AB41C7">
          <w:rPr>
            <w:rFonts w:ascii="Times New Roman" w:eastAsia="Calibri" w:hAnsi="Times New Roman" w:cs="Times New Roman"/>
            <w:color w:val="0000FF"/>
            <w:kern w:val="0"/>
            <w:u w:val="single"/>
            <w14:ligatures w14:val="none"/>
          </w:rPr>
          <w:t>https://doi.org/10.38124/ijisrt/25jun407</w:t>
        </w:r>
      </w:hyperlink>
    </w:p>
    <w:p w14:paraId="63B88622"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Barykin, S. E., de la Poza, E., Khalid, B., Kapustina, I. V., Kalinina, O. V., &amp; Iqbal, K. M. J. (2021).</w:t>
      </w:r>
      <w:r w:rsidRPr="00AB41C7">
        <w:rPr>
          <w:rFonts w:ascii="Times New Roman" w:eastAsia="Calibri" w:hAnsi="Times New Roman" w:cs="Times New Roman"/>
          <w:kern w:val="0"/>
          <w14:ligatures w14:val="none"/>
        </w:rPr>
        <w:t xml:space="preserve"> Tourism industry: Digital transformation. In </w:t>
      </w:r>
      <w:r w:rsidRPr="00AB41C7">
        <w:rPr>
          <w:rFonts w:ascii="Times New Roman" w:eastAsia="Calibri" w:hAnsi="Times New Roman" w:cs="Times New Roman"/>
          <w:i/>
          <w:iCs/>
          <w:kern w:val="0"/>
          <w14:ligatures w14:val="none"/>
        </w:rPr>
        <w:t>Handbook of research on future opportunities for technology management education</w:t>
      </w:r>
      <w:r w:rsidRPr="00AB41C7">
        <w:rPr>
          <w:rFonts w:ascii="Times New Roman" w:eastAsia="Calibri" w:hAnsi="Times New Roman" w:cs="Times New Roman"/>
          <w:kern w:val="0"/>
          <w14:ligatures w14:val="none"/>
        </w:rPr>
        <w:t xml:space="preserve"> (pp. 414–434). IGI Global.</w:t>
      </w:r>
    </w:p>
    <w:p w14:paraId="38FEA117" w14:textId="77777777" w:rsidR="00AB41C7" w:rsidRPr="00AB41C7" w:rsidRDefault="00AB41C7" w:rsidP="0044629C">
      <w:pPr>
        <w:spacing w:before="100" w:beforeAutospacing="1" w:after="0" w:line="240" w:lineRule="auto"/>
        <w:ind w:left="630" w:hanging="990"/>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kern w:val="0"/>
          <w14:ligatures w14:val="none"/>
        </w:rPr>
        <w:t xml:space="preserve">Bondarenko, S., </w:t>
      </w:r>
      <w:proofErr w:type="spellStart"/>
      <w:r w:rsidRPr="00AB41C7">
        <w:rPr>
          <w:rFonts w:ascii="Times New Roman" w:eastAsia="Times New Roman" w:hAnsi="Times New Roman" w:cs="Times New Roman"/>
          <w:kern w:val="0"/>
          <w14:ligatures w14:val="none"/>
        </w:rPr>
        <w:t>Kalaman</w:t>
      </w:r>
      <w:proofErr w:type="spellEnd"/>
      <w:r w:rsidRPr="00AB41C7">
        <w:rPr>
          <w:rFonts w:ascii="Times New Roman" w:eastAsia="Times New Roman" w:hAnsi="Times New Roman" w:cs="Times New Roman"/>
          <w:kern w:val="0"/>
          <w14:ligatures w14:val="none"/>
        </w:rPr>
        <w:t xml:space="preserve">, O., &amp; Danilova, O. (2025). Digital transformation of the tourism business in an open economy: A comprehensive approach to travel planning and partnerships. </w:t>
      </w:r>
      <w:r w:rsidRPr="00AB41C7">
        <w:rPr>
          <w:rFonts w:ascii="Times New Roman" w:eastAsia="Times New Roman" w:hAnsi="Times New Roman" w:cs="Times New Roman"/>
          <w:i/>
          <w:iCs/>
          <w:kern w:val="0"/>
          <w14:ligatures w14:val="none"/>
        </w:rPr>
        <w:t>Social Development: Economic and Legal Issues, 4</w:t>
      </w:r>
      <w:r w:rsidRPr="00AB41C7">
        <w:rPr>
          <w:rFonts w:ascii="Times New Roman" w:eastAsia="Times New Roman" w:hAnsi="Times New Roman" w:cs="Times New Roman"/>
          <w:kern w:val="0"/>
          <w14:ligatures w14:val="none"/>
        </w:rPr>
        <w:t xml:space="preserve">. </w:t>
      </w:r>
      <w:hyperlink r:id="rId230" w:tgtFrame="_new" w:history="1">
        <w:r w:rsidRPr="00AB41C7">
          <w:rPr>
            <w:rFonts w:ascii="Times New Roman" w:eastAsia="Times New Roman" w:hAnsi="Times New Roman" w:cs="Times New Roman"/>
            <w:color w:val="0000FF"/>
            <w:kern w:val="0"/>
            <w:u w:val="single"/>
            <w14:ligatures w14:val="none"/>
          </w:rPr>
          <w:t>https://doi.org/10.70651/3083-6018/2025.4.17</w:t>
        </w:r>
      </w:hyperlink>
    </w:p>
    <w:p w14:paraId="1B76C7EC"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Bukhari, S. N., Nisar, H., Habib, M. D., &amp; Ashraf, N. Adoption Propensity of Travel Bots for Flight Planning Assistance: Evidence from Aviation Industry</w:t>
      </w:r>
    </w:p>
    <w:p w14:paraId="36E07709"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Chen, C., &amp; Wei, Z. (2024). Role of Artificial Intelligence in travel decision making and tourism product selling. </w:t>
      </w:r>
      <w:r w:rsidRPr="00AB41C7">
        <w:rPr>
          <w:rFonts w:ascii="Times New Roman" w:eastAsia="Calibri" w:hAnsi="Times New Roman" w:cs="Times New Roman"/>
          <w:i/>
          <w:iCs/>
          <w:color w:val="222222"/>
          <w:kern w:val="0"/>
          <w:shd w:val="clear" w:color="auto" w:fill="FFFFFF"/>
          <w14:ligatures w14:val="none"/>
        </w:rPr>
        <w:t>Asia Pacific Journal of Tourism Research</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29</w:t>
      </w:r>
      <w:r w:rsidRPr="00AB41C7">
        <w:rPr>
          <w:rFonts w:ascii="Times New Roman" w:eastAsia="Calibri" w:hAnsi="Times New Roman" w:cs="Times New Roman"/>
          <w:color w:val="222222"/>
          <w:kern w:val="0"/>
          <w:shd w:val="clear" w:color="auto" w:fill="FFFFFF"/>
          <w14:ligatures w14:val="none"/>
        </w:rPr>
        <w:t>(3), 239-253.</w:t>
      </w:r>
    </w:p>
    <w:p w14:paraId="5C4366FD"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Cvar, N., </w:t>
      </w:r>
      <w:proofErr w:type="spellStart"/>
      <w:r w:rsidRPr="00AB41C7">
        <w:rPr>
          <w:rFonts w:ascii="Times New Roman" w:eastAsia="Calibri" w:hAnsi="Times New Roman" w:cs="Times New Roman"/>
          <w:kern w:val="0"/>
          <w14:ligatures w14:val="none"/>
        </w:rPr>
        <w:t>Stojanova</w:t>
      </w:r>
      <w:proofErr w:type="spellEnd"/>
      <w:r w:rsidRPr="00AB41C7">
        <w:rPr>
          <w:rFonts w:ascii="Times New Roman" w:eastAsia="Calibri" w:hAnsi="Times New Roman" w:cs="Times New Roman"/>
          <w:kern w:val="0"/>
          <w14:ligatures w14:val="none"/>
        </w:rPr>
        <w:t xml:space="preserve">, S., </w:t>
      </w:r>
      <w:proofErr w:type="spellStart"/>
      <w:r w:rsidRPr="00AB41C7">
        <w:rPr>
          <w:rFonts w:ascii="Times New Roman" w:eastAsia="Calibri" w:hAnsi="Times New Roman" w:cs="Times New Roman"/>
          <w:kern w:val="0"/>
          <w14:ligatures w14:val="none"/>
        </w:rPr>
        <w:t>Trilar</w:t>
      </w:r>
      <w:proofErr w:type="spellEnd"/>
      <w:r w:rsidRPr="00AB41C7">
        <w:rPr>
          <w:rFonts w:ascii="Times New Roman" w:eastAsia="Calibri" w:hAnsi="Times New Roman" w:cs="Times New Roman"/>
          <w:kern w:val="0"/>
          <w14:ligatures w14:val="none"/>
        </w:rPr>
        <w:t xml:space="preserve">, J., Kos, A., &amp; </w:t>
      </w:r>
      <w:proofErr w:type="spellStart"/>
      <w:r w:rsidRPr="00AB41C7">
        <w:rPr>
          <w:rFonts w:ascii="Times New Roman" w:eastAsia="Calibri" w:hAnsi="Times New Roman" w:cs="Times New Roman"/>
          <w:kern w:val="0"/>
          <w14:ligatures w14:val="none"/>
        </w:rPr>
        <w:t>Stojmenova</w:t>
      </w:r>
      <w:proofErr w:type="spellEnd"/>
      <w:r w:rsidRPr="00AB41C7">
        <w:rPr>
          <w:rFonts w:ascii="Times New Roman" w:eastAsia="Calibri" w:hAnsi="Times New Roman" w:cs="Times New Roman"/>
          <w:kern w:val="0"/>
          <w14:ligatures w14:val="none"/>
        </w:rPr>
        <w:t xml:space="preserve"> Duh, E. (2024). Transformative smart rural tourism in adversity of the COVID-19 pandemic and beyond</w:t>
      </w:r>
      <w:r w:rsidRPr="00AB41C7">
        <w:rPr>
          <w:rFonts w:ascii="Times New Roman" w:eastAsia="Calibri" w:hAnsi="Times New Roman" w:cs="Times New Roman"/>
          <w:i/>
          <w:kern w:val="0"/>
          <w14:ligatures w14:val="none"/>
        </w:rPr>
        <w:t>. Journal of Infrastructure, Policy and Development, 8</w:t>
      </w:r>
      <w:r w:rsidRPr="00AB41C7">
        <w:rPr>
          <w:rFonts w:ascii="Times New Roman" w:eastAsia="Calibri" w:hAnsi="Times New Roman" w:cs="Times New Roman"/>
          <w:kern w:val="0"/>
          <w14:ligatures w14:val="none"/>
        </w:rPr>
        <w:t xml:space="preserve">(6), 4065. </w:t>
      </w:r>
      <w:hyperlink r:id="rId231" w:history="1">
        <w:r w:rsidRPr="00AB41C7">
          <w:rPr>
            <w:rFonts w:ascii="Times New Roman" w:eastAsia="Calibri" w:hAnsi="Times New Roman" w:cs="Times New Roman"/>
            <w:color w:val="0000FF"/>
            <w:kern w:val="0"/>
            <w:u w:val="single"/>
            <w14:ligatures w14:val="none"/>
          </w:rPr>
          <w:t>https://doi.org/10.24294/jipd.v8i6.4065</w:t>
        </w:r>
      </w:hyperlink>
    </w:p>
    <w:p w14:paraId="20D2E622"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Darwish, D. (2024). </w:t>
      </w:r>
      <w:r w:rsidRPr="00AB41C7">
        <w:rPr>
          <w:rFonts w:ascii="Times New Roman" w:eastAsia="Calibri" w:hAnsi="Times New Roman" w:cs="Times New Roman"/>
          <w:i/>
          <w:iCs/>
          <w:kern w:val="0"/>
          <w14:ligatures w14:val="none"/>
        </w:rPr>
        <w:t>Chatbots vs. AI chatbots vs. virtual assistants</w:t>
      </w:r>
      <w:r w:rsidRPr="00AB41C7">
        <w:rPr>
          <w:rFonts w:ascii="Times New Roman" w:eastAsia="Calibri" w:hAnsi="Times New Roman" w:cs="Times New Roman"/>
          <w:kern w:val="0"/>
          <w14:ligatures w14:val="none"/>
        </w:rPr>
        <w:t xml:space="preserve">. In </w:t>
      </w:r>
      <w:r w:rsidRPr="00AB41C7">
        <w:rPr>
          <w:rFonts w:ascii="Times New Roman" w:eastAsia="Calibri" w:hAnsi="Times New Roman" w:cs="Times New Roman"/>
          <w:bCs/>
          <w:kern w:val="0"/>
          <w14:ligatures w14:val="none"/>
        </w:rPr>
        <w:t>Encyclopedia of information science and technology</w:t>
      </w:r>
      <w:r w:rsidRPr="00AB41C7">
        <w:rPr>
          <w:rFonts w:ascii="Times New Roman" w:eastAsia="Calibri" w:hAnsi="Times New Roman" w:cs="Times New Roman"/>
          <w:kern w:val="0"/>
          <w14:ligatures w14:val="none"/>
        </w:rPr>
        <w:t xml:space="preserve"> (5th ed.). IGI Global. </w:t>
      </w:r>
      <w:hyperlink r:id="rId232" w:history="1">
        <w:r w:rsidRPr="00AB41C7">
          <w:rPr>
            <w:rFonts w:ascii="Times New Roman" w:eastAsia="Calibri" w:hAnsi="Times New Roman" w:cs="Times New Roman"/>
            <w:color w:val="0000FF"/>
            <w:kern w:val="0"/>
            <w:u w:val="single"/>
            <w14:ligatures w14:val="none"/>
          </w:rPr>
          <w:t>https://doi.org/10.4018/978-1-6684-7368-5.ch023</w:t>
        </w:r>
      </w:hyperlink>
    </w:p>
    <w:p w14:paraId="55D3613F"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Davis, F. D. (1989).</w:t>
      </w:r>
      <w:r w:rsidRPr="00AB41C7">
        <w:rPr>
          <w:rFonts w:ascii="Times New Roman" w:eastAsia="Calibri" w:hAnsi="Times New Roman" w:cs="Times New Roman"/>
          <w:kern w:val="0"/>
          <w14:ligatures w14:val="none"/>
        </w:rPr>
        <w:t xml:space="preserve"> Perceived usefulness, perceived ease of use, and user acceptance of information technology. </w:t>
      </w:r>
      <w:r w:rsidRPr="00AB41C7">
        <w:rPr>
          <w:rFonts w:ascii="Times New Roman" w:eastAsia="Calibri" w:hAnsi="Times New Roman" w:cs="Times New Roman"/>
          <w:i/>
          <w:iCs/>
          <w:kern w:val="0"/>
          <w14:ligatures w14:val="none"/>
        </w:rPr>
        <w:t>MIS Quarterly, 13</w:t>
      </w:r>
      <w:r w:rsidRPr="00AB41C7">
        <w:rPr>
          <w:rFonts w:ascii="Times New Roman" w:eastAsia="Calibri" w:hAnsi="Times New Roman" w:cs="Times New Roman"/>
          <w:kern w:val="0"/>
          <w14:ligatures w14:val="none"/>
        </w:rPr>
        <w:t xml:space="preserve">(3), 319–340. </w:t>
      </w:r>
      <w:hyperlink r:id="rId233" w:tgtFrame="_new" w:history="1">
        <w:r w:rsidRPr="00AB41C7">
          <w:rPr>
            <w:rFonts w:ascii="Times New Roman" w:eastAsia="Calibri" w:hAnsi="Times New Roman" w:cs="Times New Roman"/>
            <w:color w:val="0000FF"/>
            <w:kern w:val="0"/>
            <w:u w:val="single"/>
            <w14:ligatures w14:val="none"/>
          </w:rPr>
          <w:t>https://doi.org/10.2307/249008</w:t>
        </w:r>
      </w:hyperlink>
    </w:p>
    <w:p w14:paraId="29467EE3"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Del Chiappa, G., &amp; Ricci, F. (2022). </w:t>
      </w:r>
      <w:r w:rsidRPr="00AB41C7">
        <w:rPr>
          <w:rFonts w:ascii="Times New Roman" w:eastAsia="Calibri" w:hAnsi="Times New Roman" w:cs="Times New Roman"/>
          <w:i/>
          <w:iCs/>
          <w:kern w:val="0"/>
          <w14:ligatures w14:val="none"/>
        </w:rPr>
        <w:t>Building effective recommender systems for tourists</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AI Magazine, 43</w:t>
      </w:r>
      <w:r w:rsidRPr="00AB41C7">
        <w:rPr>
          <w:rFonts w:ascii="Times New Roman" w:eastAsia="Calibri" w:hAnsi="Times New Roman" w:cs="Times New Roman"/>
          <w:kern w:val="0"/>
          <w14:ligatures w14:val="none"/>
        </w:rPr>
        <w:t xml:space="preserve">(3), 209–224. </w:t>
      </w:r>
      <w:hyperlink r:id="rId234" w:history="1">
        <w:r w:rsidRPr="00AB41C7">
          <w:rPr>
            <w:rFonts w:ascii="Times New Roman" w:eastAsia="Calibri" w:hAnsi="Times New Roman" w:cs="Times New Roman"/>
            <w:color w:val="0000FF"/>
            <w:kern w:val="0"/>
            <w:u w:val="single"/>
            <w14:ligatures w14:val="none"/>
          </w:rPr>
          <w:t>https://doi.org/10.1609/aimag.v43i3.19116</w:t>
        </w:r>
      </w:hyperlink>
    </w:p>
    <w:p w14:paraId="107E8B81" w14:textId="77777777" w:rsidR="00AB41C7" w:rsidRPr="00AB41C7" w:rsidRDefault="00AB41C7" w:rsidP="0044629C">
      <w:pPr>
        <w:spacing w:after="0" w:line="240" w:lineRule="auto"/>
        <w:ind w:left="630" w:hanging="990"/>
        <w:jc w:val="both"/>
        <w:rPr>
          <w:rFonts w:ascii="Times New Roman" w:eastAsia="Calibri" w:hAnsi="Times New Roman" w:cs="Times New Roman"/>
          <w:color w:val="0000FF"/>
          <w:kern w:val="0"/>
          <w:u w:val="single"/>
          <w14:ligatures w14:val="none"/>
        </w:rPr>
      </w:pPr>
      <w:proofErr w:type="spellStart"/>
      <w:r w:rsidRPr="00AB41C7">
        <w:rPr>
          <w:rFonts w:ascii="Times New Roman" w:eastAsia="Calibri" w:hAnsi="Times New Roman" w:cs="Times New Roman"/>
          <w:bCs/>
          <w:kern w:val="0"/>
          <w14:ligatures w14:val="none"/>
        </w:rPr>
        <w:t>DenkWerk</w:t>
      </w:r>
      <w:proofErr w:type="spellEnd"/>
      <w:r w:rsidRPr="00AB41C7">
        <w:rPr>
          <w:rFonts w:ascii="Times New Roman" w:eastAsia="Calibri" w:hAnsi="Times New Roman" w:cs="Times New Roman"/>
          <w:bCs/>
          <w:kern w:val="0"/>
          <w14:ligatures w14:val="none"/>
        </w:rPr>
        <w:t>. (2018).</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 xml:space="preserve">Artificial intelligence in Nederland: </w:t>
      </w:r>
      <w:proofErr w:type="spellStart"/>
      <w:r w:rsidRPr="00AB41C7">
        <w:rPr>
          <w:rFonts w:ascii="Times New Roman" w:eastAsia="Calibri" w:hAnsi="Times New Roman" w:cs="Times New Roman"/>
          <w:i/>
          <w:iCs/>
          <w:kern w:val="0"/>
          <w14:ligatures w14:val="none"/>
        </w:rPr>
        <w:t>Zelf</w:t>
      </w:r>
      <w:proofErr w:type="spellEnd"/>
      <w:r w:rsidRPr="00AB41C7">
        <w:rPr>
          <w:rFonts w:ascii="Times New Roman" w:eastAsia="Calibri" w:hAnsi="Times New Roman" w:cs="Times New Roman"/>
          <w:i/>
          <w:iCs/>
          <w:kern w:val="0"/>
          <w14:ligatures w14:val="none"/>
        </w:rPr>
        <w:t xml:space="preserve"> </w:t>
      </w:r>
      <w:proofErr w:type="spellStart"/>
      <w:r w:rsidRPr="00AB41C7">
        <w:rPr>
          <w:rFonts w:ascii="Times New Roman" w:eastAsia="Calibri" w:hAnsi="Times New Roman" w:cs="Times New Roman"/>
          <w:i/>
          <w:iCs/>
          <w:kern w:val="0"/>
          <w14:ligatures w14:val="none"/>
        </w:rPr>
        <w:t>aan</w:t>
      </w:r>
      <w:proofErr w:type="spellEnd"/>
      <w:r w:rsidRPr="00AB41C7">
        <w:rPr>
          <w:rFonts w:ascii="Times New Roman" w:eastAsia="Calibri" w:hAnsi="Times New Roman" w:cs="Times New Roman"/>
          <w:i/>
          <w:iCs/>
          <w:kern w:val="0"/>
          <w14:ligatures w14:val="none"/>
        </w:rPr>
        <w:t xml:space="preserve"> het </w:t>
      </w:r>
      <w:proofErr w:type="spellStart"/>
      <w:r w:rsidRPr="00AB41C7">
        <w:rPr>
          <w:rFonts w:ascii="Times New Roman" w:eastAsia="Calibri" w:hAnsi="Times New Roman" w:cs="Times New Roman"/>
          <w:i/>
          <w:iCs/>
          <w:kern w:val="0"/>
          <w14:ligatures w14:val="none"/>
        </w:rPr>
        <w:t>stuur</w:t>
      </w:r>
      <w:proofErr w:type="spellEnd"/>
      <w:r w:rsidRPr="00AB41C7">
        <w:rPr>
          <w:rFonts w:ascii="Times New Roman" w:eastAsia="Calibri" w:hAnsi="Times New Roman" w:cs="Times New Roman"/>
          <w:kern w:val="0"/>
          <w14:ligatures w14:val="none"/>
        </w:rPr>
        <w:t xml:space="preserve">. </w:t>
      </w:r>
      <w:hyperlink r:id="rId235" w:tgtFrame="_new" w:history="1">
        <w:r w:rsidRPr="00AB41C7">
          <w:rPr>
            <w:rFonts w:ascii="Times New Roman" w:eastAsia="Calibri" w:hAnsi="Times New Roman" w:cs="Times New Roman"/>
            <w:color w:val="0000FF"/>
            <w:kern w:val="0"/>
            <w:u w:val="single"/>
            <w14:ligatures w14:val="none"/>
          </w:rPr>
          <w:t>https://denkwerk.online/media/1029/artitificial_intelligence_in_nederland_juli_2018.pdf</w:t>
        </w:r>
      </w:hyperlink>
    </w:p>
    <w:p w14:paraId="61BAA0D0" w14:textId="77777777" w:rsidR="00AB41C7" w:rsidRPr="00AB41C7" w:rsidRDefault="00AB41C7" w:rsidP="0044629C">
      <w:pPr>
        <w:spacing w:after="0" w:line="240" w:lineRule="auto"/>
        <w:ind w:left="630" w:hanging="990"/>
        <w:jc w:val="both"/>
        <w:rPr>
          <w:rFonts w:ascii="Times New Roman" w:eastAsia="Calibri" w:hAnsi="Times New Roman" w:cs="Times New Roman"/>
          <w:b/>
          <w:kern w:val="0"/>
          <w14:ligatures w14:val="none"/>
        </w:rPr>
      </w:pPr>
      <w:r w:rsidRPr="00AB41C7">
        <w:rPr>
          <w:rFonts w:ascii="Times New Roman" w:eastAsia="Calibri" w:hAnsi="Times New Roman" w:cs="Times New Roman"/>
          <w:bCs/>
          <w:kern w:val="0"/>
          <w14:ligatures w14:val="none"/>
        </w:rPr>
        <w:t>European Parliament. (2020, April 9).</w:t>
      </w:r>
      <w:r w:rsidRPr="00AB41C7">
        <w:rPr>
          <w:rFonts w:ascii="Times New Roman" w:eastAsia="Calibri" w:hAnsi="Times New Roman" w:cs="Times New Roman"/>
          <w:b/>
          <w:kern w:val="0"/>
          <w14:ligatures w14:val="none"/>
        </w:rPr>
        <w:t xml:space="preserve"> </w:t>
      </w:r>
      <w:r w:rsidRPr="00AB41C7">
        <w:rPr>
          <w:rFonts w:ascii="Times New Roman" w:eastAsia="Calibri" w:hAnsi="Times New Roman" w:cs="Times New Roman"/>
          <w:i/>
          <w:iCs/>
          <w:kern w:val="0"/>
          <w14:ligatures w14:val="none"/>
        </w:rPr>
        <w:t>What is artificial intelligence and how is it used?</w:t>
      </w:r>
      <w:r w:rsidRPr="00AB41C7">
        <w:rPr>
          <w:rFonts w:ascii="Times New Roman" w:eastAsia="Calibri" w:hAnsi="Times New Roman" w:cs="Times New Roman"/>
          <w:b/>
          <w:kern w:val="0"/>
          <w14:ligatures w14:val="none"/>
        </w:rPr>
        <w:t xml:space="preserve"> </w:t>
      </w:r>
      <w:hyperlink r:id="rId236" w:tgtFrame="_new" w:history="1">
        <w:r w:rsidRPr="00AB41C7">
          <w:rPr>
            <w:rFonts w:ascii="Times New Roman" w:eastAsia="Calibri" w:hAnsi="Times New Roman" w:cs="Times New Roman"/>
            <w:b/>
            <w:color w:val="0000FF"/>
            <w:kern w:val="0"/>
            <w:u w:val="single"/>
            <w14:ligatures w14:val="none"/>
          </w:rPr>
          <w:t>https://www.europarl.europa.eu/topics/en/article/20200827STO85804/what-is-artificial-intelligenceand-how-is-it-used</w:t>
        </w:r>
      </w:hyperlink>
    </w:p>
    <w:p w14:paraId="4FB83A4E"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Ferdowsi, S., &amp; Moradi, E. (2026). Technological innovations in online travel agencies: How chatbots and blockchain influence tourists' impulse buying behavior. </w:t>
      </w:r>
      <w:r w:rsidRPr="00AB41C7">
        <w:rPr>
          <w:rFonts w:ascii="Times New Roman" w:eastAsia="Calibri" w:hAnsi="Times New Roman" w:cs="Times New Roman"/>
          <w:i/>
          <w:iCs/>
          <w:color w:val="222222"/>
          <w:kern w:val="0"/>
          <w:shd w:val="clear" w:color="auto" w:fill="FFFFFF"/>
          <w14:ligatures w14:val="none"/>
        </w:rPr>
        <w:t xml:space="preserve">Acta </w:t>
      </w:r>
      <w:proofErr w:type="spellStart"/>
      <w:r w:rsidRPr="00AB41C7">
        <w:rPr>
          <w:rFonts w:ascii="Times New Roman" w:eastAsia="Calibri" w:hAnsi="Times New Roman" w:cs="Times New Roman"/>
          <w:i/>
          <w:iCs/>
          <w:color w:val="222222"/>
          <w:kern w:val="0"/>
          <w:shd w:val="clear" w:color="auto" w:fill="FFFFFF"/>
          <w14:ligatures w14:val="none"/>
        </w:rPr>
        <w:t>Psychologica</w:t>
      </w:r>
      <w:proofErr w:type="spellEnd"/>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262</w:t>
      </w:r>
      <w:r w:rsidRPr="00AB41C7">
        <w:rPr>
          <w:rFonts w:ascii="Times New Roman" w:eastAsia="Calibri" w:hAnsi="Times New Roman" w:cs="Times New Roman"/>
          <w:color w:val="222222"/>
          <w:kern w:val="0"/>
          <w:shd w:val="clear" w:color="auto" w:fill="FFFFFF"/>
          <w14:ligatures w14:val="none"/>
        </w:rPr>
        <w:t>, 106081.</w:t>
      </w:r>
    </w:p>
    <w:p w14:paraId="69A1AE01"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Gana, M. A. (2024). Perception of tourists on chatbot service usage on tourism destination: A study of Kainji Lake National Park, Nigeria. </w:t>
      </w:r>
      <w:r w:rsidRPr="00AB41C7">
        <w:rPr>
          <w:rFonts w:ascii="Times New Roman" w:eastAsia="Calibri" w:hAnsi="Times New Roman" w:cs="Times New Roman"/>
          <w:i/>
          <w:iCs/>
          <w:kern w:val="0"/>
          <w14:ligatures w14:val="none"/>
        </w:rPr>
        <w:t>ABUAD Journal of Social and Management Sciences (AJSMS), 5</w:t>
      </w:r>
      <w:r w:rsidRPr="00AB41C7">
        <w:rPr>
          <w:rFonts w:ascii="Times New Roman" w:eastAsia="Calibri" w:hAnsi="Times New Roman" w:cs="Times New Roman"/>
          <w:kern w:val="0"/>
          <w14:ligatures w14:val="none"/>
        </w:rPr>
        <w:t xml:space="preserve">(1), 170–186. </w:t>
      </w:r>
      <w:hyperlink r:id="rId237" w:tgtFrame="_new" w:history="1">
        <w:r w:rsidRPr="00AB41C7">
          <w:rPr>
            <w:rFonts w:ascii="Times New Roman" w:eastAsia="Calibri" w:hAnsi="Times New Roman" w:cs="Times New Roman"/>
            <w:color w:val="0000FF"/>
            <w:kern w:val="0"/>
            <w:u w:val="single"/>
            <w14:ligatures w14:val="none"/>
          </w:rPr>
          <w:t>https://doi.org/10.53982/ajsms.2024.0501.09</w:t>
        </w:r>
      </w:hyperlink>
    </w:p>
    <w:p w14:paraId="7A9D5D3D"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Gupta, S., Modgil, S., Lee, C. K., &amp; Sivarajah, U. (2023).</w:t>
      </w:r>
      <w:r w:rsidRPr="00AB41C7">
        <w:rPr>
          <w:rFonts w:ascii="Times New Roman" w:eastAsia="Calibri" w:hAnsi="Times New Roman" w:cs="Times New Roman"/>
          <w:kern w:val="0"/>
          <w14:ligatures w14:val="none"/>
        </w:rPr>
        <w:t xml:space="preserve"> The future is yesterday: Use of AI</w:t>
      </w:r>
      <w:r w:rsidRPr="00AB41C7">
        <w:rPr>
          <w:rFonts w:ascii="Times New Roman" w:eastAsia="Calibri" w:hAnsi="Times New Roman" w:cs="Times New Roman"/>
          <w:kern w:val="0"/>
          <w14:ligatures w14:val="none"/>
        </w:rPr>
        <w:noBreakHyphen/>
        <w:t xml:space="preserve">driven facial recognition to enhance value in the travel and tourism industry. </w:t>
      </w:r>
      <w:r w:rsidRPr="00AB41C7">
        <w:rPr>
          <w:rFonts w:ascii="Times New Roman" w:eastAsia="Calibri" w:hAnsi="Times New Roman" w:cs="Times New Roman"/>
          <w:i/>
          <w:iCs/>
          <w:kern w:val="0"/>
          <w14:ligatures w14:val="none"/>
        </w:rPr>
        <w:t>Information Systems Frontiers, 25</w:t>
      </w:r>
      <w:r w:rsidRPr="00AB41C7">
        <w:rPr>
          <w:rFonts w:ascii="Times New Roman" w:eastAsia="Calibri" w:hAnsi="Times New Roman" w:cs="Times New Roman"/>
          <w:kern w:val="0"/>
          <w14:ligatures w14:val="none"/>
        </w:rPr>
        <w:t xml:space="preserve">(4), 1179–1195. </w:t>
      </w:r>
      <w:hyperlink r:id="rId238" w:history="1">
        <w:r w:rsidRPr="00AB41C7">
          <w:rPr>
            <w:rFonts w:ascii="Times New Roman" w:eastAsia="Calibri" w:hAnsi="Times New Roman" w:cs="Times New Roman"/>
            <w:color w:val="0000FF"/>
            <w:kern w:val="0"/>
            <w:u w:val="single"/>
            <w14:ligatures w14:val="none"/>
          </w:rPr>
          <w:t>https://doi.org/10.1007/s10796-023-10417-4</w:t>
        </w:r>
      </w:hyperlink>
    </w:p>
    <w:p w14:paraId="020ED730" w14:textId="77777777" w:rsidR="00AB41C7" w:rsidRPr="00AB41C7" w:rsidRDefault="00AB41C7" w:rsidP="0044629C">
      <w:pPr>
        <w:spacing w:after="0" w:line="240" w:lineRule="auto"/>
        <w:ind w:left="630" w:hanging="990"/>
        <w:jc w:val="both"/>
        <w:rPr>
          <w:rFonts w:ascii="Times New Roman" w:eastAsia="Calibri" w:hAnsi="Times New Roman" w:cs="Times New Roman"/>
          <w:i/>
          <w:iCs/>
          <w:kern w:val="0"/>
          <w14:ligatures w14:val="none"/>
        </w:rPr>
      </w:pPr>
      <w:r w:rsidRPr="00AB41C7">
        <w:rPr>
          <w:rFonts w:ascii="Times New Roman" w:eastAsia="Calibri" w:hAnsi="Times New Roman" w:cs="Times New Roman"/>
          <w:bCs/>
          <w:kern w:val="0"/>
          <w14:ligatures w14:val="none"/>
        </w:rPr>
        <w:t>Hassan, B. A., Hassan, A. A., Lu, J., Ahmed, A. M., &amp; Rashid, T. A. (2025).</w:t>
      </w:r>
      <w:r w:rsidRPr="00AB41C7">
        <w:rPr>
          <w:rFonts w:ascii="Times New Roman" w:eastAsia="Calibri" w:hAnsi="Times New Roman" w:cs="Times New Roman"/>
          <w:kern w:val="0"/>
          <w14:ligatures w14:val="none"/>
        </w:rPr>
        <w:t xml:space="preserve"> A proposed hybrid recommender system for the tourism industry in Iraq using evolutionary </w:t>
      </w:r>
      <w:proofErr w:type="spellStart"/>
      <w:r w:rsidRPr="00AB41C7">
        <w:rPr>
          <w:rFonts w:ascii="Times New Roman" w:eastAsia="Calibri" w:hAnsi="Times New Roman" w:cs="Times New Roman"/>
          <w:kern w:val="0"/>
          <w14:ligatures w14:val="none"/>
        </w:rPr>
        <w:t>Apriori</w:t>
      </w:r>
      <w:proofErr w:type="spellEnd"/>
      <w:r w:rsidRPr="00AB41C7">
        <w:rPr>
          <w:rFonts w:ascii="Times New Roman" w:eastAsia="Calibri" w:hAnsi="Times New Roman" w:cs="Times New Roman"/>
          <w:kern w:val="0"/>
          <w14:ligatures w14:val="none"/>
        </w:rPr>
        <w:t xml:space="preserve"> and K</w:t>
      </w:r>
      <w:r w:rsidRPr="00AB41C7">
        <w:rPr>
          <w:rFonts w:ascii="Times New Roman" w:eastAsia="Calibri" w:hAnsi="Times New Roman" w:cs="Times New Roman"/>
          <w:kern w:val="0"/>
          <w14:ligatures w14:val="none"/>
        </w:rPr>
        <w:noBreakHyphen/>
        <w:t xml:space="preserve">means algorithms. </w:t>
      </w:r>
      <w:proofErr w:type="spellStart"/>
      <w:r w:rsidRPr="00AB41C7">
        <w:rPr>
          <w:rFonts w:ascii="Times New Roman" w:eastAsia="Calibri" w:hAnsi="Times New Roman" w:cs="Times New Roman"/>
          <w:i/>
          <w:iCs/>
          <w:kern w:val="0"/>
          <w14:ligatures w14:val="none"/>
        </w:rPr>
        <w:t>arXiv</w:t>
      </w:r>
      <w:proofErr w:type="spellEnd"/>
    </w:p>
    <w:p w14:paraId="0E6200D1"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lastRenderedPageBreak/>
        <w:t xml:space="preserve">Hlee, S., Yan, Z., &amp; Li, P. (2025). AI-powered travel recommendations and decision-making: The role of </w:t>
      </w:r>
      <w:proofErr w:type="spellStart"/>
      <w:r w:rsidRPr="00AB41C7">
        <w:rPr>
          <w:rFonts w:ascii="Times New Roman" w:eastAsia="Calibri" w:hAnsi="Times New Roman" w:cs="Times New Roman"/>
          <w:color w:val="222222"/>
          <w:kern w:val="0"/>
          <w:shd w:val="clear" w:color="auto" w:fill="FFFFFF"/>
          <w14:ligatures w14:val="none"/>
        </w:rPr>
        <w:t>spatio</w:t>
      </w:r>
      <w:proofErr w:type="spellEnd"/>
      <w:r w:rsidRPr="00AB41C7">
        <w:rPr>
          <w:rFonts w:ascii="Times New Roman" w:eastAsia="Calibri" w:hAnsi="Times New Roman" w:cs="Times New Roman"/>
          <w:color w:val="222222"/>
          <w:kern w:val="0"/>
          <w:shd w:val="clear" w:color="auto" w:fill="FFFFFF"/>
          <w14:ligatures w14:val="none"/>
        </w:rPr>
        <w:t>-temporal efficiency, destination type, and travel party composition. </w:t>
      </w:r>
      <w:r w:rsidRPr="00AB41C7">
        <w:rPr>
          <w:rFonts w:ascii="Times New Roman" w:eastAsia="Calibri" w:hAnsi="Times New Roman" w:cs="Times New Roman"/>
          <w:i/>
          <w:iCs/>
          <w:color w:val="222222"/>
          <w:kern w:val="0"/>
          <w:shd w:val="clear" w:color="auto" w:fill="FFFFFF"/>
          <w14:ligatures w14:val="none"/>
        </w:rPr>
        <w:t>Electronic Markets</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35</w:t>
      </w:r>
      <w:r w:rsidRPr="00AB41C7">
        <w:rPr>
          <w:rFonts w:ascii="Times New Roman" w:eastAsia="Calibri" w:hAnsi="Times New Roman" w:cs="Times New Roman"/>
          <w:color w:val="222222"/>
          <w:kern w:val="0"/>
          <w:shd w:val="clear" w:color="auto" w:fill="FFFFFF"/>
          <w14:ligatures w14:val="none"/>
        </w:rPr>
        <w:t>(1), 75</w:t>
      </w:r>
    </w:p>
    <w:p w14:paraId="60C60421"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bCs/>
          <w:kern w:val="0"/>
          <w14:ligatures w14:val="none"/>
        </w:rPr>
        <w:t>Ibirinoye</w:t>
      </w:r>
      <w:proofErr w:type="spellEnd"/>
      <w:r w:rsidRPr="00AB41C7">
        <w:rPr>
          <w:rFonts w:ascii="Times New Roman" w:eastAsia="Calibri" w:hAnsi="Times New Roman" w:cs="Times New Roman"/>
          <w:bCs/>
          <w:kern w:val="0"/>
          <w14:ligatures w14:val="none"/>
        </w:rPr>
        <w:noBreakHyphen/>
        <w:t>Abdulkareem, S. B., Adedotun, K. J., Adekunle, J. O., &amp; Raji, A. K. (2025).</w:t>
      </w:r>
      <w:r w:rsidRPr="00AB41C7">
        <w:rPr>
          <w:rFonts w:ascii="Times New Roman" w:eastAsia="Calibri" w:hAnsi="Times New Roman" w:cs="Times New Roman"/>
          <w:kern w:val="0"/>
          <w14:ligatures w14:val="none"/>
        </w:rPr>
        <w:t xml:space="preserve"> AI</w:t>
      </w:r>
      <w:r w:rsidRPr="00AB41C7">
        <w:rPr>
          <w:rFonts w:ascii="Times New Roman" w:eastAsia="Calibri" w:hAnsi="Times New Roman" w:cs="Times New Roman"/>
          <w:kern w:val="0"/>
          <w14:ligatures w14:val="none"/>
        </w:rPr>
        <w:noBreakHyphen/>
        <w:t xml:space="preserve">powered website design for hotel booking systems: Improving user experience and operational efficiency. </w:t>
      </w:r>
      <w:r w:rsidRPr="00AB41C7">
        <w:rPr>
          <w:rFonts w:ascii="Times New Roman" w:eastAsia="Calibri" w:hAnsi="Times New Roman" w:cs="Times New Roman"/>
          <w:i/>
          <w:iCs/>
          <w:kern w:val="0"/>
          <w14:ligatures w14:val="none"/>
        </w:rPr>
        <w:t>International Journal of African Innovation &amp; Multidisciplinary Research, 8</w:t>
      </w:r>
      <w:r w:rsidRPr="00AB41C7">
        <w:rPr>
          <w:rFonts w:ascii="Times New Roman" w:eastAsia="Calibri" w:hAnsi="Times New Roman" w:cs="Times New Roman"/>
          <w:kern w:val="0"/>
          <w14:ligatures w14:val="none"/>
        </w:rPr>
        <w:t>(2).</w:t>
      </w:r>
    </w:p>
    <w:p w14:paraId="27994B4B"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Ibrahim, A., Hassan, F., &amp; Usman, Z. (2023). </w:t>
      </w:r>
      <w:r w:rsidRPr="00AB41C7">
        <w:rPr>
          <w:rFonts w:ascii="Times New Roman" w:eastAsia="Calibri" w:hAnsi="Times New Roman" w:cs="Times New Roman"/>
          <w:i/>
          <w:iCs/>
          <w:kern w:val="0"/>
          <w14:ligatures w14:val="none"/>
        </w:rPr>
        <w:t>The role of artificial intelligence in enhancing digital tourism experiences</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bCs/>
          <w:kern w:val="0"/>
          <w14:ligatures w14:val="none"/>
        </w:rPr>
        <w:t>International Conference on Digital Advanced Tourism, Management, and Technology (ICTMT), 1</w:t>
      </w:r>
      <w:r w:rsidRPr="00AB41C7">
        <w:rPr>
          <w:rFonts w:ascii="Times New Roman" w:eastAsia="Calibri" w:hAnsi="Times New Roman" w:cs="Times New Roman"/>
          <w:kern w:val="0"/>
          <w14:ligatures w14:val="none"/>
        </w:rPr>
        <w:t xml:space="preserve">(2), 800–805. </w:t>
      </w:r>
      <w:hyperlink r:id="rId239" w:tgtFrame="_new" w:history="1">
        <w:r w:rsidRPr="00AB41C7">
          <w:rPr>
            <w:rFonts w:ascii="Times New Roman" w:eastAsia="Calibri" w:hAnsi="Times New Roman" w:cs="Times New Roman"/>
            <w:color w:val="0000FF"/>
            <w:kern w:val="0"/>
            <w:u w:val="single"/>
            <w14:ligatures w14:val="none"/>
          </w:rPr>
          <w:t>https://doi.org/10.56910/ictmt.v1i2.176</w:t>
        </w:r>
      </w:hyperlink>
    </w:p>
    <w:p w14:paraId="3EEA45E7"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Karki, S. (2022).</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Examining the impact of artificial intelligence technology on repurchase intention in flight booking</w:t>
      </w:r>
      <w:r w:rsidRPr="00AB41C7">
        <w:rPr>
          <w:rFonts w:ascii="Times New Roman" w:eastAsia="Calibri" w:hAnsi="Times New Roman" w:cs="Times New Roman"/>
          <w:kern w:val="0"/>
          <w14:ligatures w14:val="none"/>
        </w:rPr>
        <w:t xml:space="preserve"> (Unpublished MPhil thesis). Tribhuvan University, Kathmandu, Nepal.</w:t>
      </w:r>
    </w:p>
    <w:p w14:paraId="3C887799"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Karwa, U. (2024). </w:t>
      </w:r>
      <w:r w:rsidRPr="00AB41C7">
        <w:rPr>
          <w:rFonts w:ascii="Times New Roman" w:eastAsia="Calibri" w:hAnsi="Times New Roman" w:cs="Times New Roman"/>
          <w:i/>
          <w:iCs/>
          <w:kern w:val="0"/>
          <w14:ligatures w14:val="none"/>
        </w:rPr>
        <w:t>7 travel industry challenges solved by AI: Transform your customer service experience</w:t>
      </w:r>
      <w:r w:rsidRPr="00AB41C7">
        <w:rPr>
          <w:rFonts w:ascii="Times New Roman" w:eastAsia="Calibri" w:hAnsi="Times New Roman" w:cs="Times New Roman"/>
          <w:kern w:val="0"/>
          <w14:ligatures w14:val="none"/>
        </w:rPr>
        <w:t>. LinkedIn.</w:t>
      </w:r>
      <w:r w:rsidRPr="00AB41C7">
        <w:rPr>
          <w:rFonts w:ascii="Times New Roman" w:eastAsia="Calibri" w:hAnsi="Times New Roman" w:cs="Times New Roman"/>
          <w:kern w:val="0"/>
          <w14:ligatures w14:val="none"/>
        </w:rPr>
        <w:br/>
      </w:r>
      <w:hyperlink r:id="rId240" w:tgtFrame="_new" w:history="1">
        <w:r w:rsidRPr="00AB41C7">
          <w:rPr>
            <w:rFonts w:ascii="Times New Roman" w:eastAsia="Calibri" w:hAnsi="Times New Roman" w:cs="Times New Roman"/>
            <w:color w:val="0000FF"/>
            <w:kern w:val="0"/>
            <w:u w:val="single"/>
            <w14:ligatures w14:val="none"/>
          </w:rPr>
          <w:t>https://www.linkedin.com/pulse/7-travel-industry-challenges-solved-ai-transform-your-uma-karwa-motkf</w:t>
        </w:r>
      </w:hyperlink>
    </w:p>
    <w:p w14:paraId="5A6109C3"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Krakowski, S., Luger, J., &amp; Raisch, S. (2022).</w:t>
      </w:r>
      <w:r w:rsidRPr="00AB41C7">
        <w:rPr>
          <w:rFonts w:ascii="Times New Roman" w:eastAsia="Calibri" w:hAnsi="Times New Roman" w:cs="Times New Roman"/>
          <w:kern w:val="0"/>
          <w14:ligatures w14:val="none"/>
        </w:rPr>
        <w:t xml:space="preserve"> Artificial intelligence and the changing sources of competitive advantage. </w:t>
      </w:r>
      <w:r w:rsidRPr="00AB41C7">
        <w:rPr>
          <w:rFonts w:ascii="Times New Roman" w:eastAsia="Calibri" w:hAnsi="Times New Roman" w:cs="Times New Roman"/>
          <w:i/>
          <w:iCs/>
          <w:kern w:val="0"/>
          <w14:ligatures w14:val="none"/>
        </w:rPr>
        <w:t>Strategic Management Journal, 44</w:t>
      </w:r>
      <w:r w:rsidRPr="00AB41C7">
        <w:rPr>
          <w:rFonts w:ascii="Times New Roman" w:eastAsia="Calibri" w:hAnsi="Times New Roman" w:cs="Times New Roman"/>
          <w:kern w:val="0"/>
          <w14:ligatures w14:val="none"/>
        </w:rPr>
        <w:t xml:space="preserve">(6), 1425–1452. </w:t>
      </w:r>
      <w:hyperlink r:id="rId241" w:tgtFrame="_new" w:history="1">
        <w:r w:rsidRPr="00AB41C7">
          <w:rPr>
            <w:rFonts w:ascii="Times New Roman" w:eastAsia="Calibri" w:hAnsi="Times New Roman" w:cs="Times New Roman"/>
            <w:color w:val="0000FF"/>
            <w:kern w:val="0"/>
            <w:u w:val="single"/>
            <w14:ligatures w14:val="none"/>
          </w:rPr>
          <w:t>https://doi.org/10.1002/smj.3387</w:t>
        </w:r>
      </w:hyperlink>
    </w:p>
    <w:p w14:paraId="57C06E3B"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Leal, F., Malheiro, B., &amp; </w:t>
      </w:r>
      <w:proofErr w:type="spellStart"/>
      <w:r w:rsidRPr="00AB41C7">
        <w:rPr>
          <w:rFonts w:ascii="Times New Roman" w:eastAsia="Calibri" w:hAnsi="Times New Roman" w:cs="Times New Roman"/>
          <w:kern w:val="0"/>
          <w14:ligatures w14:val="none"/>
        </w:rPr>
        <w:t>Burguillo</w:t>
      </w:r>
      <w:proofErr w:type="spellEnd"/>
      <w:r w:rsidRPr="00AB41C7">
        <w:rPr>
          <w:rFonts w:ascii="Times New Roman" w:eastAsia="Calibri" w:hAnsi="Times New Roman" w:cs="Times New Roman"/>
          <w:kern w:val="0"/>
          <w14:ligatures w14:val="none"/>
        </w:rPr>
        <w:t xml:space="preserve">, J. C. (2016). </w:t>
      </w:r>
      <w:r w:rsidRPr="00AB41C7">
        <w:rPr>
          <w:rFonts w:ascii="Times New Roman" w:eastAsia="Calibri" w:hAnsi="Times New Roman" w:cs="Times New Roman"/>
          <w:i/>
          <w:iCs/>
          <w:kern w:val="0"/>
          <w14:ligatures w14:val="none"/>
        </w:rPr>
        <w:t>Recommendation of tourism resources supported by crowdsourcing</w:t>
      </w:r>
      <w:r w:rsidRPr="00AB41C7">
        <w:rPr>
          <w:rFonts w:ascii="Times New Roman" w:eastAsia="Calibri" w:hAnsi="Times New Roman" w:cs="Times New Roman"/>
          <w:kern w:val="0"/>
          <w14:ligatures w14:val="none"/>
        </w:rPr>
        <w:t xml:space="preserve">. In </w:t>
      </w:r>
      <w:r w:rsidRPr="00AB41C7">
        <w:rPr>
          <w:rFonts w:ascii="Times New Roman" w:eastAsia="Calibri" w:hAnsi="Times New Roman" w:cs="Times New Roman"/>
          <w:i/>
          <w:iCs/>
          <w:kern w:val="0"/>
          <w14:ligatures w14:val="none"/>
        </w:rPr>
        <w:t>Proceedings of the ENTER 2016 PhD Workshop: International Conference on Information and Communication Technologies in Tourism</w:t>
      </w:r>
      <w:r w:rsidRPr="00AB41C7">
        <w:rPr>
          <w:rFonts w:ascii="Times New Roman" w:eastAsia="Calibri" w:hAnsi="Times New Roman" w:cs="Times New Roman"/>
          <w:kern w:val="0"/>
          <w14:ligatures w14:val="none"/>
        </w:rPr>
        <w:t xml:space="preserve"> (pp. xx–xx). Springer. </w:t>
      </w:r>
      <w:hyperlink r:id="rId242" w:history="1">
        <w:r w:rsidRPr="00AB41C7">
          <w:rPr>
            <w:rFonts w:ascii="Times New Roman" w:eastAsia="Calibri" w:hAnsi="Times New Roman" w:cs="Times New Roman"/>
            <w:color w:val="0000FF"/>
            <w:kern w:val="0"/>
            <w:u w:val="single"/>
            <w14:ligatures w14:val="none"/>
          </w:rPr>
          <w:t>https://doi.org/10.1007/978-3-319-28231-2_21</w:t>
        </w:r>
      </w:hyperlink>
    </w:p>
    <w:p w14:paraId="0C51B8F6"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 xml:space="preserve">Ling, E. C., </w:t>
      </w:r>
      <w:proofErr w:type="spellStart"/>
      <w:r w:rsidRPr="00AB41C7">
        <w:rPr>
          <w:rFonts w:ascii="Times New Roman" w:eastAsia="Calibri" w:hAnsi="Times New Roman" w:cs="Times New Roman"/>
          <w:color w:val="222222"/>
          <w:kern w:val="0"/>
          <w:shd w:val="clear" w:color="auto" w:fill="FFFFFF"/>
          <w14:ligatures w14:val="none"/>
        </w:rPr>
        <w:t>Tussyadiah</w:t>
      </w:r>
      <w:proofErr w:type="spellEnd"/>
      <w:r w:rsidRPr="00AB41C7">
        <w:rPr>
          <w:rFonts w:ascii="Times New Roman" w:eastAsia="Calibri" w:hAnsi="Times New Roman" w:cs="Times New Roman"/>
          <w:color w:val="222222"/>
          <w:kern w:val="0"/>
          <w:shd w:val="clear" w:color="auto" w:fill="FFFFFF"/>
          <w14:ligatures w14:val="none"/>
        </w:rPr>
        <w:t xml:space="preserve">, I., Liu, A., &amp; </w:t>
      </w:r>
      <w:proofErr w:type="spellStart"/>
      <w:r w:rsidRPr="00AB41C7">
        <w:rPr>
          <w:rFonts w:ascii="Times New Roman" w:eastAsia="Calibri" w:hAnsi="Times New Roman" w:cs="Times New Roman"/>
          <w:color w:val="222222"/>
          <w:kern w:val="0"/>
          <w:shd w:val="clear" w:color="auto" w:fill="FFFFFF"/>
          <w14:ligatures w14:val="none"/>
        </w:rPr>
        <w:t>Stienmetz</w:t>
      </w:r>
      <w:proofErr w:type="spellEnd"/>
      <w:r w:rsidRPr="00AB41C7">
        <w:rPr>
          <w:rFonts w:ascii="Times New Roman" w:eastAsia="Calibri" w:hAnsi="Times New Roman" w:cs="Times New Roman"/>
          <w:color w:val="222222"/>
          <w:kern w:val="0"/>
          <w:shd w:val="clear" w:color="auto" w:fill="FFFFFF"/>
          <w14:ligatures w14:val="none"/>
        </w:rPr>
        <w:t>, J. (2025). Perceived intelligence of artificially intelligent assistants for travel: Scale development and validation. </w:t>
      </w:r>
      <w:r w:rsidRPr="00AB41C7">
        <w:rPr>
          <w:rFonts w:ascii="Times New Roman" w:eastAsia="Calibri" w:hAnsi="Times New Roman" w:cs="Times New Roman"/>
          <w:i/>
          <w:iCs/>
          <w:color w:val="222222"/>
          <w:kern w:val="0"/>
          <w:shd w:val="clear" w:color="auto" w:fill="FFFFFF"/>
          <w14:ligatures w14:val="none"/>
        </w:rPr>
        <w:t>Journal of travel research</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64</w:t>
      </w:r>
      <w:r w:rsidRPr="00AB41C7">
        <w:rPr>
          <w:rFonts w:ascii="Times New Roman" w:eastAsia="Calibri" w:hAnsi="Times New Roman" w:cs="Times New Roman"/>
          <w:color w:val="222222"/>
          <w:kern w:val="0"/>
          <w:shd w:val="clear" w:color="auto" w:fill="FFFFFF"/>
          <w14:ligatures w14:val="none"/>
        </w:rPr>
        <w:t>(2), 299-321</w:t>
      </w:r>
    </w:p>
    <w:p w14:paraId="36315B95"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Liu, B. (2011). </w:t>
      </w:r>
      <w:r w:rsidRPr="00AB41C7">
        <w:rPr>
          <w:rFonts w:ascii="Times New Roman" w:eastAsia="Calibri" w:hAnsi="Times New Roman" w:cs="Times New Roman"/>
          <w:i/>
          <w:iCs/>
          <w:kern w:val="0"/>
          <w14:ligatures w14:val="none"/>
        </w:rPr>
        <w:t>Web data mining</w:t>
      </w:r>
      <w:r w:rsidRPr="00AB41C7">
        <w:rPr>
          <w:rFonts w:ascii="Times New Roman" w:eastAsia="Calibri" w:hAnsi="Times New Roman" w:cs="Times New Roman"/>
          <w:kern w:val="0"/>
          <w14:ligatures w14:val="none"/>
        </w:rPr>
        <w:t xml:space="preserve"> (2nd ed.). Springer.</w:t>
      </w:r>
    </w:p>
    <w:p w14:paraId="1E932F09"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Liu, D., Wang, L., Zhong, Y., Dong, Y., &amp; Kong, J. (2024). Personalized tour itinerary recommendation algorithm based on tourist comprehensive satisfaction. </w:t>
      </w:r>
      <w:r w:rsidRPr="00AB41C7">
        <w:rPr>
          <w:rFonts w:ascii="Times New Roman" w:eastAsia="Calibri" w:hAnsi="Times New Roman" w:cs="Times New Roman"/>
          <w:i/>
          <w:iCs/>
          <w:color w:val="222222"/>
          <w:kern w:val="0"/>
          <w:shd w:val="clear" w:color="auto" w:fill="FFFFFF"/>
          <w14:ligatures w14:val="none"/>
        </w:rPr>
        <w:t>Applied Sciences</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14</w:t>
      </w:r>
      <w:r w:rsidRPr="00AB41C7">
        <w:rPr>
          <w:rFonts w:ascii="Times New Roman" w:eastAsia="Calibri" w:hAnsi="Times New Roman" w:cs="Times New Roman"/>
          <w:color w:val="222222"/>
          <w:kern w:val="0"/>
          <w:shd w:val="clear" w:color="auto" w:fill="FFFFFF"/>
          <w14:ligatures w14:val="none"/>
        </w:rPr>
        <w:t>(12), 5195</w:t>
      </w:r>
    </w:p>
    <w:p w14:paraId="0F801FD3"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Londhe, K., Dharmadhikari, N., Zaveri, P., &amp; </w:t>
      </w:r>
      <w:proofErr w:type="spellStart"/>
      <w:r w:rsidRPr="00AB41C7">
        <w:rPr>
          <w:rFonts w:ascii="Times New Roman" w:eastAsia="Calibri" w:hAnsi="Times New Roman" w:cs="Times New Roman"/>
          <w:kern w:val="0"/>
          <w14:ligatures w14:val="none"/>
        </w:rPr>
        <w:t>Sakoglu</w:t>
      </w:r>
      <w:proofErr w:type="spellEnd"/>
      <w:r w:rsidRPr="00AB41C7">
        <w:rPr>
          <w:rFonts w:ascii="Times New Roman" w:eastAsia="Calibri" w:hAnsi="Times New Roman" w:cs="Times New Roman"/>
          <w:kern w:val="0"/>
          <w14:ligatures w14:val="none"/>
        </w:rPr>
        <w:t xml:space="preserve">, U. (2024). </w:t>
      </w:r>
      <w:r w:rsidRPr="00AB41C7">
        <w:rPr>
          <w:rFonts w:ascii="Times New Roman" w:eastAsia="Calibri" w:hAnsi="Times New Roman" w:cs="Times New Roman"/>
          <w:i/>
          <w:iCs/>
          <w:kern w:val="0"/>
          <w14:ligatures w14:val="none"/>
        </w:rPr>
        <w:t>Enhanced travel experience using artificial intelligence: A data-driven approach</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Procedia Computer Science, 235</w:t>
      </w:r>
      <w:r w:rsidRPr="00AB41C7">
        <w:rPr>
          <w:rFonts w:ascii="Times New Roman" w:eastAsia="Calibri" w:hAnsi="Times New Roman" w:cs="Times New Roman"/>
          <w:kern w:val="0"/>
          <w14:ligatures w14:val="none"/>
        </w:rPr>
        <w:t xml:space="preserve">, 1920–1928. </w:t>
      </w:r>
      <w:hyperlink r:id="rId243" w:tgtFrame="_new" w:history="1">
        <w:r w:rsidRPr="00AB41C7">
          <w:rPr>
            <w:rFonts w:ascii="Times New Roman" w:eastAsia="Calibri" w:hAnsi="Times New Roman" w:cs="Times New Roman"/>
            <w:color w:val="0000FF"/>
            <w:kern w:val="0"/>
            <w:u w:val="single"/>
            <w14:ligatures w14:val="none"/>
          </w:rPr>
          <w:t>https://doi.org/10.1016/j.procs.2024.04.182</w:t>
        </w:r>
      </w:hyperlink>
    </w:p>
    <w:p w14:paraId="415193EE"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Magano, J., Quintela, J. A., &amp; Banerjee, N. (2025). Driving consumer engagement through AI chatbot experience: The mediating role of satisfaction across generational cohorts and gender in travel tourism. </w:t>
      </w:r>
      <w:r w:rsidRPr="00AB41C7">
        <w:rPr>
          <w:rFonts w:ascii="Times New Roman" w:eastAsia="Calibri" w:hAnsi="Times New Roman" w:cs="Times New Roman"/>
          <w:i/>
          <w:iCs/>
          <w:kern w:val="0"/>
          <w14:ligatures w14:val="none"/>
        </w:rPr>
        <w:t>Sustainability, 17</w:t>
      </w:r>
      <w:r w:rsidRPr="00AB41C7">
        <w:rPr>
          <w:rFonts w:ascii="Times New Roman" w:eastAsia="Calibri" w:hAnsi="Times New Roman" w:cs="Times New Roman"/>
          <w:kern w:val="0"/>
          <w14:ligatures w14:val="none"/>
        </w:rPr>
        <w:t xml:space="preserve">, 7673. </w:t>
      </w:r>
      <w:hyperlink r:id="rId244" w:tgtFrame="_new" w:history="1">
        <w:r w:rsidRPr="00AB41C7">
          <w:rPr>
            <w:rFonts w:ascii="Times New Roman" w:eastAsia="Calibri" w:hAnsi="Times New Roman" w:cs="Times New Roman"/>
            <w:color w:val="0000FF"/>
            <w:kern w:val="0"/>
            <w:u w:val="single"/>
            <w14:ligatures w14:val="none"/>
          </w:rPr>
          <w:t>https://doi.org/10.3390/su17177673</w:t>
        </w:r>
      </w:hyperlink>
    </w:p>
    <w:p w14:paraId="71A4E6BA"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color w:val="222222"/>
          <w:kern w:val="0"/>
          <w:shd w:val="clear" w:color="auto" w:fill="FFFFFF"/>
          <w14:ligatures w14:val="none"/>
        </w:rPr>
        <w:t>Makrydakis</w:t>
      </w:r>
      <w:proofErr w:type="spellEnd"/>
      <w:r w:rsidRPr="00AB41C7">
        <w:rPr>
          <w:rFonts w:ascii="Times New Roman" w:eastAsia="Calibri" w:hAnsi="Times New Roman" w:cs="Times New Roman"/>
          <w:color w:val="222222"/>
          <w:kern w:val="0"/>
          <w:shd w:val="clear" w:color="auto" w:fill="FFFFFF"/>
          <w14:ligatures w14:val="none"/>
        </w:rPr>
        <w:t xml:space="preserve">, N. S., Spiliotopoulos, D., &amp; </w:t>
      </w:r>
      <w:proofErr w:type="spellStart"/>
      <w:r w:rsidRPr="00AB41C7">
        <w:rPr>
          <w:rFonts w:ascii="Times New Roman" w:eastAsia="Calibri" w:hAnsi="Times New Roman" w:cs="Times New Roman"/>
          <w:color w:val="222222"/>
          <w:kern w:val="0"/>
          <w:shd w:val="clear" w:color="auto" w:fill="FFFFFF"/>
          <w14:ligatures w14:val="none"/>
        </w:rPr>
        <w:t>Lymperi</w:t>
      </w:r>
      <w:proofErr w:type="spellEnd"/>
      <w:r w:rsidRPr="00AB41C7">
        <w:rPr>
          <w:rFonts w:ascii="Times New Roman" w:eastAsia="Calibri" w:hAnsi="Times New Roman" w:cs="Times New Roman"/>
          <w:color w:val="222222"/>
          <w:kern w:val="0"/>
          <w:shd w:val="clear" w:color="auto" w:fill="FFFFFF"/>
          <w14:ligatures w14:val="none"/>
        </w:rPr>
        <w:t>, A. (2025). Tourism marketing in the era of Artificial Intelligence: Digital strategies and behavioral effects on consumer decision-making.</w:t>
      </w:r>
    </w:p>
    <w:p w14:paraId="5E346288"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McKinsey &amp; Company. (2021). </w:t>
      </w:r>
      <w:r w:rsidRPr="00AB41C7">
        <w:rPr>
          <w:rFonts w:ascii="Times New Roman" w:eastAsia="Calibri" w:hAnsi="Times New Roman" w:cs="Times New Roman"/>
          <w:i/>
          <w:iCs/>
          <w:kern w:val="0"/>
          <w14:ligatures w14:val="none"/>
        </w:rPr>
        <w:t>The role of AI in driving sales in tourism</w:t>
      </w:r>
      <w:r w:rsidRPr="00AB41C7">
        <w:rPr>
          <w:rFonts w:ascii="Times New Roman" w:eastAsia="Calibri" w:hAnsi="Times New Roman" w:cs="Times New Roman"/>
          <w:kern w:val="0"/>
          <w14:ligatures w14:val="none"/>
        </w:rPr>
        <w:t xml:space="preserve">. </w:t>
      </w:r>
      <w:hyperlink r:id="rId245" w:tgtFrame="_new" w:history="1">
        <w:r w:rsidRPr="00AB41C7">
          <w:rPr>
            <w:rFonts w:ascii="Times New Roman" w:eastAsia="Calibri" w:hAnsi="Times New Roman" w:cs="Times New Roman"/>
            <w:color w:val="0000FF"/>
            <w:kern w:val="0"/>
            <w:u w:val="single"/>
            <w14:ligatures w14:val="none"/>
          </w:rPr>
          <w:t>https://www.mckinsey.com</w:t>
        </w:r>
      </w:hyperlink>
    </w:p>
    <w:p w14:paraId="1AB4EA14" w14:textId="77777777" w:rsidR="00AB41C7" w:rsidRPr="00AB41C7" w:rsidRDefault="00AB41C7" w:rsidP="0044629C">
      <w:pPr>
        <w:spacing w:after="0" w:line="240" w:lineRule="auto"/>
        <w:ind w:left="630" w:hanging="990"/>
        <w:jc w:val="both"/>
        <w:rPr>
          <w:rFonts w:ascii="Times New Roman" w:eastAsia="Calibri" w:hAnsi="Times New Roman" w:cs="Times New Roman"/>
          <w:color w:val="0000FF"/>
          <w:kern w:val="0"/>
          <w:u w:val="single"/>
          <w14:ligatures w14:val="none"/>
        </w:rPr>
      </w:pPr>
      <w:r w:rsidRPr="00AB41C7">
        <w:rPr>
          <w:rFonts w:ascii="Times New Roman" w:eastAsia="Calibri" w:hAnsi="Times New Roman" w:cs="Times New Roman"/>
          <w:bCs/>
          <w:kern w:val="0"/>
          <w14:ligatures w14:val="none"/>
        </w:rPr>
        <w:t xml:space="preserve">Mendoza, T. M. C., Reyes, C. M. T., Serrano, E. B., Subido, M. S., Sunga, E. C. T., </w:t>
      </w:r>
      <w:proofErr w:type="spellStart"/>
      <w:r w:rsidRPr="00AB41C7">
        <w:rPr>
          <w:rFonts w:ascii="Times New Roman" w:eastAsia="Calibri" w:hAnsi="Times New Roman" w:cs="Times New Roman"/>
          <w:bCs/>
          <w:kern w:val="0"/>
          <w14:ligatures w14:val="none"/>
        </w:rPr>
        <w:t>Yambot</w:t>
      </w:r>
      <w:proofErr w:type="spellEnd"/>
      <w:r w:rsidRPr="00AB41C7">
        <w:rPr>
          <w:rFonts w:ascii="Times New Roman" w:eastAsia="Calibri" w:hAnsi="Times New Roman" w:cs="Times New Roman"/>
          <w:bCs/>
          <w:kern w:val="0"/>
          <w14:ligatures w14:val="none"/>
        </w:rPr>
        <w:t>, L. S. G., de Leon, D. A. C., &amp; Abad, M. A. H. (2024).</w:t>
      </w:r>
      <w:r w:rsidRPr="00AB41C7">
        <w:rPr>
          <w:rFonts w:ascii="Times New Roman" w:eastAsia="Calibri" w:hAnsi="Times New Roman" w:cs="Times New Roman"/>
          <w:kern w:val="0"/>
          <w14:ligatures w14:val="none"/>
        </w:rPr>
        <w:t xml:space="preserve"> Key performance indicators and success factors of travel agencies in Cabanatuan City, Nueva Ecija: A basis for enhancing operational efficiency. </w:t>
      </w:r>
      <w:r w:rsidRPr="00AB41C7">
        <w:rPr>
          <w:rFonts w:ascii="Times New Roman" w:eastAsia="Calibri" w:hAnsi="Times New Roman" w:cs="Times New Roman"/>
          <w:i/>
          <w:iCs/>
          <w:kern w:val="0"/>
          <w14:ligatures w14:val="none"/>
        </w:rPr>
        <w:t>International Journal of Advanced Engineering, Management and Science (IJAEMS), 10</w:t>
      </w:r>
      <w:r w:rsidRPr="00AB41C7">
        <w:rPr>
          <w:rFonts w:ascii="Times New Roman" w:eastAsia="Calibri" w:hAnsi="Times New Roman" w:cs="Times New Roman"/>
          <w:kern w:val="0"/>
          <w14:ligatures w14:val="none"/>
        </w:rPr>
        <w:t xml:space="preserve">(5), 98–112. </w:t>
      </w:r>
      <w:hyperlink r:id="rId246" w:tgtFrame="_new" w:history="1">
        <w:r w:rsidRPr="00AB41C7">
          <w:rPr>
            <w:rFonts w:ascii="Times New Roman" w:eastAsia="Calibri" w:hAnsi="Times New Roman" w:cs="Times New Roman"/>
            <w:color w:val="0000FF"/>
            <w:kern w:val="0"/>
            <w:u w:val="single"/>
            <w14:ligatures w14:val="none"/>
          </w:rPr>
          <w:t>https://doi.org/10.22161/ijaems.105.14</w:t>
        </w:r>
      </w:hyperlink>
    </w:p>
    <w:p w14:paraId="2984BF9C"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color w:val="222222"/>
          <w:kern w:val="0"/>
          <w:shd w:val="clear" w:color="auto" w:fill="FFFFFF"/>
          <w14:ligatures w14:val="none"/>
        </w:rPr>
        <w:t>Moghaddasnian</w:t>
      </w:r>
      <w:proofErr w:type="spellEnd"/>
      <w:r w:rsidRPr="00AB41C7">
        <w:rPr>
          <w:rFonts w:ascii="Times New Roman" w:eastAsia="Calibri" w:hAnsi="Times New Roman" w:cs="Times New Roman"/>
          <w:color w:val="222222"/>
          <w:kern w:val="0"/>
          <w:shd w:val="clear" w:color="auto" w:fill="FFFFFF"/>
          <w14:ligatures w14:val="none"/>
        </w:rPr>
        <w:t>, A. H. (2024). Artificial intelligence and the great transformation in the tourism industry revolutionizing travel services. </w:t>
      </w:r>
      <w:r w:rsidRPr="00AB41C7">
        <w:rPr>
          <w:rFonts w:ascii="Times New Roman" w:eastAsia="Calibri" w:hAnsi="Times New Roman" w:cs="Times New Roman"/>
          <w:i/>
          <w:iCs/>
          <w:color w:val="222222"/>
          <w:kern w:val="0"/>
          <w:shd w:val="clear" w:color="auto" w:fill="FFFFFF"/>
          <w14:ligatures w14:val="none"/>
        </w:rPr>
        <w:t>Journal of Business Data Science Research</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3</w:t>
      </w:r>
      <w:r w:rsidRPr="00AB41C7">
        <w:rPr>
          <w:rFonts w:ascii="Times New Roman" w:eastAsia="Calibri" w:hAnsi="Times New Roman" w:cs="Times New Roman"/>
          <w:color w:val="222222"/>
          <w:kern w:val="0"/>
          <w:shd w:val="clear" w:color="auto" w:fill="FFFFFF"/>
          <w14:ligatures w14:val="none"/>
        </w:rPr>
        <w:t>(1), 36-47.</w:t>
      </w:r>
    </w:p>
    <w:p w14:paraId="64B77BF1"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Narain, A. (2024). </w:t>
      </w:r>
      <w:r w:rsidRPr="00AB41C7">
        <w:rPr>
          <w:rFonts w:ascii="Times New Roman" w:eastAsia="Calibri" w:hAnsi="Times New Roman" w:cs="Times New Roman"/>
          <w:i/>
          <w:iCs/>
          <w:kern w:val="0"/>
          <w14:ligatures w14:val="none"/>
        </w:rPr>
        <w:t>Applications of artificial intelligence in revolutionizing the travel industry</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International Journal for Multidisciplinary Research, 6</w:t>
      </w:r>
      <w:r w:rsidRPr="00AB41C7">
        <w:rPr>
          <w:rFonts w:ascii="Times New Roman" w:eastAsia="Calibri" w:hAnsi="Times New Roman" w:cs="Times New Roman"/>
          <w:kern w:val="0"/>
          <w14:ligatures w14:val="none"/>
        </w:rPr>
        <w:t>(1).</w:t>
      </w:r>
    </w:p>
    <w:p w14:paraId="6E1AB632" w14:textId="77777777" w:rsidR="00AB41C7" w:rsidRPr="00AB41C7" w:rsidRDefault="00AB41C7" w:rsidP="0044629C">
      <w:pPr>
        <w:spacing w:before="100" w:beforeAutospacing="1" w:after="0" w:line="240" w:lineRule="auto"/>
        <w:ind w:left="630" w:hanging="990"/>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bCs/>
          <w:kern w:val="0"/>
          <w14:ligatures w14:val="none"/>
        </w:rPr>
        <w:t>Nguyen, V. D., &amp; Nguyen, V. T. (2025).</w:t>
      </w:r>
      <w:r w:rsidRPr="00AB41C7">
        <w:rPr>
          <w:rFonts w:ascii="Times New Roman" w:eastAsia="Times New Roman" w:hAnsi="Times New Roman" w:cs="Times New Roman"/>
          <w:kern w:val="0"/>
          <w14:ligatures w14:val="none"/>
        </w:rPr>
        <w:t xml:space="preserve"> Shaping the itinerary: Perceived quality of recommendation systems on travel intentions: A case study in Vietnam. </w:t>
      </w:r>
      <w:r w:rsidRPr="00AB41C7">
        <w:rPr>
          <w:rFonts w:ascii="Times New Roman" w:eastAsia="Times New Roman" w:hAnsi="Times New Roman" w:cs="Times New Roman"/>
          <w:i/>
          <w:iCs/>
          <w:kern w:val="0"/>
          <w14:ligatures w14:val="none"/>
        </w:rPr>
        <w:t>Edelweiss Applied Science and Technology, 9</w:t>
      </w:r>
      <w:r w:rsidRPr="00AB41C7">
        <w:rPr>
          <w:rFonts w:ascii="Times New Roman" w:eastAsia="Times New Roman" w:hAnsi="Times New Roman" w:cs="Times New Roman"/>
          <w:kern w:val="0"/>
          <w14:ligatures w14:val="none"/>
        </w:rPr>
        <w:t xml:space="preserve">(1), 945–959. </w:t>
      </w:r>
      <w:hyperlink r:id="rId247" w:tgtFrame="_new" w:history="1">
        <w:r w:rsidRPr="00AB41C7">
          <w:rPr>
            <w:rFonts w:ascii="Times New Roman" w:eastAsia="Times New Roman" w:hAnsi="Times New Roman" w:cs="Times New Roman"/>
            <w:color w:val="0000FF"/>
            <w:kern w:val="0"/>
            <w:u w:val="single"/>
            <w14:ligatures w14:val="none"/>
          </w:rPr>
          <w:t>https://doi.org/10.55214/25768484.v9i1.4291</w:t>
        </w:r>
      </w:hyperlink>
    </w:p>
    <w:p w14:paraId="11CCA0B7"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color w:val="222222"/>
          <w:kern w:val="0"/>
          <w:shd w:val="clear" w:color="auto" w:fill="FFFFFF"/>
          <w14:ligatures w14:val="none"/>
        </w:rPr>
        <w:lastRenderedPageBreak/>
        <w:t>Odinukaeze</w:t>
      </w:r>
      <w:proofErr w:type="spellEnd"/>
      <w:r w:rsidRPr="00AB41C7">
        <w:rPr>
          <w:rFonts w:ascii="Times New Roman" w:eastAsia="Calibri" w:hAnsi="Times New Roman" w:cs="Times New Roman"/>
          <w:color w:val="222222"/>
          <w:kern w:val="0"/>
          <w:shd w:val="clear" w:color="auto" w:fill="FFFFFF"/>
          <w14:ligatures w14:val="none"/>
        </w:rPr>
        <w:t>, I. M. (2025). </w:t>
      </w:r>
      <w:r w:rsidRPr="00AB41C7">
        <w:rPr>
          <w:rFonts w:ascii="Times New Roman" w:eastAsia="Calibri" w:hAnsi="Times New Roman" w:cs="Times New Roman"/>
          <w:i/>
          <w:iCs/>
          <w:color w:val="222222"/>
          <w:kern w:val="0"/>
          <w:shd w:val="clear" w:color="auto" w:fill="FFFFFF"/>
          <w14:ligatures w14:val="none"/>
        </w:rPr>
        <w:t xml:space="preserve">Application of Artificial Intelligent in tourism </w:t>
      </w:r>
      <w:proofErr w:type="spellStart"/>
      <w:r w:rsidRPr="00AB41C7">
        <w:rPr>
          <w:rFonts w:ascii="Times New Roman" w:eastAsia="Calibri" w:hAnsi="Times New Roman" w:cs="Times New Roman"/>
          <w:i/>
          <w:iCs/>
          <w:color w:val="222222"/>
          <w:kern w:val="0"/>
          <w:shd w:val="clear" w:color="auto" w:fill="FFFFFF"/>
          <w14:ligatures w14:val="none"/>
        </w:rPr>
        <w:t>organisation</w:t>
      </w:r>
      <w:proofErr w:type="spellEnd"/>
      <w:r w:rsidRPr="00AB41C7">
        <w:rPr>
          <w:rFonts w:ascii="Times New Roman" w:eastAsia="Calibri" w:hAnsi="Times New Roman" w:cs="Times New Roman"/>
          <w:color w:val="222222"/>
          <w:kern w:val="0"/>
          <w:shd w:val="clear" w:color="auto" w:fill="FFFFFF"/>
          <w14:ligatures w14:val="none"/>
        </w:rPr>
        <w:t xml:space="preserve"> (Doctoral dissertation, Lietuvos </w:t>
      </w:r>
      <w:proofErr w:type="spellStart"/>
      <w:r w:rsidRPr="00AB41C7">
        <w:rPr>
          <w:rFonts w:ascii="Times New Roman" w:eastAsia="Calibri" w:hAnsi="Times New Roman" w:cs="Times New Roman"/>
          <w:color w:val="222222"/>
          <w:kern w:val="0"/>
          <w:shd w:val="clear" w:color="auto" w:fill="FFFFFF"/>
          <w14:ligatures w14:val="none"/>
        </w:rPr>
        <w:t>sporto</w:t>
      </w:r>
      <w:proofErr w:type="spellEnd"/>
      <w:r w:rsidRPr="00AB41C7">
        <w:rPr>
          <w:rFonts w:ascii="Times New Roman" w:eastAsia="Calibri" w:hAnsi="Times New Roman" w:cs="Times New Roman"/>
          <w:color w:val="222222"/>
          <w:kern w:val="0"/>
          <w:shd w:val="clear" w:color="auto" w:fill="FFFFFF"/>
          <w14:ligatures w14:val="none"/>
        </w:rPr>
        <w:t xml:space="preserve"> </w:t>
      </w:r>
      <w:proofErr w:type="spellStart"/>
      <w:r w:rsidRPr="00AB41C7">
        <w:rPr>
          <w:rFonts w:ascii="Times New Roman" w:eastAsia="Calibri" w:hAnsi="Times New Roman" w:cs="Times New Roman"/>
          <w:color w:val="222222"/>
          <w:kern w:val="0"/>
          <w:shd w:val="clear" w:color="auto" w:fill="FFFFFF"/>
          <w14:ligatures w14:val="none"/>
        </w:rPr>
        <w:t>universitetas</w:t>
      </w:r>
      <w:proofErr w:type="spellEnd"/>
      <w:r w:rsidRPr="00AB41C7">
        <w:rPr>
          <w:rFonts w:ascii="Times New Roman" w:eastAsia="Calibri" w:hAnsi="Times New Roman" w:cs="Times New Roman"/>
          <w:color w:val="222222"/>
          <w:kern w:val="0"/>
          <w:shd w:val="clear" w:color="auto" w:fill="FFFFFF"/>
          <w14:ligatures w14:val="none"/>
        </w:rPr>
        <w:t>.)</w:t>
      </w:r>
    </w:p>
    <w:p w14:paraId="723E4C64"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Öztürk, A. (2025).</w:t>
      </w:r>
      <w:r w:rsidRPr="00AB41C7">
        <w:rPr>
          <w:rFonts w:ascii="Times New Roman" w:eastAsia="Calibri" w:hAnsi="Times New Roman" w:cs="Times New Roman"/>
          <w:kern w:val="0"/>
          <w14:ligatures w14:val="none"/>
        </w:rPr>
        <w:t xml:space="preserve"> The impact of personal preferences and AI recommendations on online accommodation booking decisions. </w:t>
      </w:r>
      <w:r w:rsidRPr="00AB41C7">
        <w:rPr>
          <w:rFonts w:ascii="Times New Roman" w:eastAsia="Calibri" w:hAnsi="Times New Roman" w:cs="Times New Roman"/>
          <w:i/>
          <w:iCs/>
          <w:kern w:val="0"/>
          <w14:ligatures w14:val="none"/>
        </w:rPr>
        <w:t>Selçuk Tourism and Information Research Journal, 7</w:t>
      </w:r>
      <w:r w:rsidRPr="00AB41C7">
        <w:rPr>
          <w:rFonts w:ascii="Times New Roman" w:eastAsia="Calibri" w:hAnsi="Times New Roman" w:cs="Times New Roman"/>
          <w:kern w:val="0"/>
          <w14:ligatures w14:val="none"/>
        </w:rPr>
        <w:t xml:space="preserve">(2025), 40–52. </w:t>
      </w:r>
      <w:hyperlink r:id="rId248" w:tgtFrame="_new" w:history="1">
        <w:r w:rsidRPr="00AB41C7">
          <w:rPr>
            <w:rFonts w:ascii="Times New Roman" w:eastAsia="Calibri" w:hAnsi="Times New Roman" w:cs="Times New Roman"/>
            <w:color w:val="0000FF"/>
            <w:kern w:val="0"/>
            <w:u w:val="single"/>
            <w14:ligatures w14:val="none"/>
          </w:rPr>
          <w:t>https://doi.org/10.71276/stbad.1714657</w:t>
        </w:r>
      </w:hyperlink>
    </w:p>
    <w:p w14:paraId="5B059635"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bCs/>
          <w:kern w:val="0"/>
          <w14:ligatures w14:val="none"/>
        </w:rPr>
        <w:t>Padzil</w:t>
      </w:r>
      <w:proofErr w:type="spellEnd"/>
      <w:r w:rsidRPr="00AB41C7">
        <w:rPr>
          <w:rFonts w:ascii="Times New Roman" w:eastAsia="Calibri" w:hAnsi="Times New Roman" w:cs="Times New Roman"/>
          <w:bCs/>
          <w:kern w:val="0"/>
          <w14:ligatures w14:val="none"/>
        </w:rPr>
        <w:t xml:space="preserve">, K. A. b., &amp; </w:t>
      </w:r>
      <w:proofErr w:type="spellStart"/>
      <w:r w:rsidRPr="00AB41C7">
        <w:rPr>
          <w:rFonts w:ascii="Times New Roman" w:eastAsia="Calibri" w:hAnsi="Times New Roman" w:cs="Times New Roman"/>
          <w:bCs/>
          <w:kern w:val="0"/>
          <w14:ligatures w14:val="none"/>
        </w:rPr>
        <w:t>Gundie</w:t>
      </w:r>
      <w:proofErr w:type="spellEnd"/>
      <w:r w:rsidRPr="00AB41C7">
        <w:rPr>
          <w:rFonts w:ascii="Times New Roman" w:eastAsia="Calibri" w:hAnsi="Times New Roman" w:cs="Times New Roman"/>
          <w:bCs/>
          <w:kern w:val="0"/>
          <w14:ligatures w14:val="none"/>
        </w:rPr>
        <w:t>, R. a. J. (2025).</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Travel and tour management: For the aspiring entrepreneur in travel and tour business.</w:t>
      </w:r>
      <w:r w:rsidRPr="00AB41C7">
        <w:rPr>
          <w:rFonts w:ascii="Times New Roman" w:eastAsia="Calibri" w:hAnsi="Times New Roman" w:cs="Times New Roman"/>
          <w:kern w:val="0"/>
          <w14:ligatures w14:val="none"/>
        </w:rPr>
        <w:t xml:space="preserve"> [e-book]. ISBN 978-967-2753-22-3.</w:t>
      </w:r>
    </w:p>
    <w:p w14:paraId="00604F17"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Pham, T. N. (2025). Investigating the impact of online reviews, virtual reality, and ai chatbots on first-time hotel bookings in rural destinations: The role of sense of presence and trust. </w:t>
      </w:r>
      <w:proofErr w:type="spellStart"/>
      <w:r w:rsidRPr="00AB41C7">
        <w:rPr>
          <w:rFonts w:ascii="Times New Roman" w:eastAsia="Calibri" w:hAnsi="Times New Roman" w:cs="Times New Roman"/>
          <w:i/>
          <w:iCs/>
          <w:color w:val="222222"/>
          <w:kern w:val="0"/>
          <w:shd w:val="clear" w:color="auto" w:fill="FFFFFF"/>
          <w14:ligatures w14:val="none"/>
        </w:rPr>
        <w:t>Geojournal</w:t>
      </w:r>
      <w:proofErr w:type="spellEnd"/>
      <w:r w:rsidRPr="00AB41C7">
        <w:rPr>
          <w:rFonts w:ascii="Times New Roman" w:eastAsia="Calibri" w:hAnsi="Times New Roman" w:cs="Times New Roman"/>
          <w:i/>
          <w:iCs/>
          <w:color w:val="222222"/>
          <w:kern w:val="0"/>
          <w:shd w:val="clear" w:color="auto" w:fill="FFFFFF"/>
          <w14:ligatures w14:val="none"/>
        </w:rPr>
        <w:t xml:space="preserve"> of Tourism and </w:t>
      </w:r>
      <w:proofErr w:type="spellStart"/>
      <w:r w:rsidRPr="00AB41C7">
        <w:rPr>
          <w:rFonts w:ascii="Times New Roman" w:eastAsia="Calibri" w:hAnsi="Times New Roman" w:cs="Times New Roman"/>
          <w:i/>
          <w:iCs/>
          <w:color w:val="222222"/>
          <w:kern w:val="0"/>
          <w:shd w:val="clear" w:color="auto" w:fill="FFFFFF"/>
          <w14:ligatures w14:val="none"/>
        </w:rPr>
        <w:t>Geosites</w:t>
      </w:r>
      <w:proofErr w:type="spellEnd"/>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61</w:t>
      </w:r>
      <w:r w:rsidRPr="00AB41C7">
        <w:rPr>
          <w:rFonts w:ascii="Times New Roman" w:eastAsia="Calibri" w:hAnsi="Times New Roman" w:cs="Times New Roman"/>
          <w:color w:val="222222"/>
          <w:kern w:val="0"/>
          <w:shd w:val="clear" w:color="auto" w:fill="FFFFFF"/>
          <w14:ligatures w14:val="none"/>
        </w:rPr>
        <w:t>(3), 1845-1858.</w:t>
      </w:r>
    </w:p>
    <w:p w14:paraId="09C6E50C"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Portelli, K. (2024).</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Advantages and disadvantages of traditional travel agencies vs. online travel agencies</w:t>
      </w:r>
      <w:r w:rsidRPr="00AB41C7">
        <w:rPr>
          <w:rFonts w:ascii="Times New Roman" w:eastAsia="Calibri" w:hAnsi="Times New Roman" w:cs="Times New Roman"/>
          <w:kern w:val="0"/>
          <w14:ligatures w14:val="none"/>
        </w:rPr>
        <w:t xml:space="preserve"> (Unpublished undergraduate project). </w:t>
      </w:r>
      <w:proofErr w:type="spellStart"/>
      <w:r w:rsidRPr="00AB41C7">
        <w:rPr>
          <w:rFonts w:ascii="Times New Roman" w:eastAsia="Calibri" w:hAnsi="Times New Roman" w:cs="Times New Roman"/>
          <w:i/>
          <w:iCs/>
          <w:kern w:val="0"/>
          <w14:ligatures w14:val="none"/>
        </w:rPr>
        <w:t>Futouristic</w:t>
      </w:r>
      <w:proofErr w:type="spellEnd"/>
      <w:r w:rsidRPr="00AB41C7">
        <w:rPr>
          <w:rFonts w:ascii="Times New Roman" w:eastAsia="Calibri" w:hAnsi="Times New Roman" w:cs="Times New Roman"/>
          <w:kern w:val="0"/>
          <w14:ligatures w14:val="none"/>
        </w:rPr>
        <w:t xml:space="preserve">. </w:t>
      </w:r>
      <w:hyperlink r:id="rId249" w:tgtFrame="_new" w:history="1">
        <w:r w:rsidRPr="00AB41C7">
          <w:rPr>
            <w:rFonts w:ascii="Times New Roman" w:eastAsia="Calibri" w:hAnsi="Times New Roman" w:cs="Times New Roman"/>
            <w:color w:val="0000FF"/>
            <w:kern w:val="0"/>
            <w:u w:val="single"/>
            <w14:ligatures w14:val="none"/>
          </w:rPr>
          <w:t>https://futouristic.scholasticahq.com/article/127037.pdf</w:t>
        </w:r>
      </w:hyperlink>
    </w:p>
    <w:p w14:paraId="2E4DBFF9"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PW Consulting Information &amp; Electronics Research Center. (2025, February 8). </w:t>
      </w:r>
      <w:r w:rsidRPr="00AB41C7">
        <w:rPr>
          <w:rFonts w:ascii="Times New Roman" w:eastAsia="Calibri" w:hAnsi="Times New Roman" w:cs="Times New Roman"/>
          <w:i/>
          <w:iCs/>
          <w:kern w:val="0"/>
          <w14:ligatures w14:val="none"/>
        </w:rPr>
        <w:t>Digital transformation in the travel and tourism market</w:t>
      </w:r>
      <w:r w:rsidRPr="00AB41C7">
        <w:rPr>
          <w:rFonts w:ascii="Times New Roman" w:eastAsia="Calibri" w:hAnsi="Times New Roman" w:cs="Times New Roman"/>
          <w:kern w:val="0"/>
          <w14:ligatures w14:val="none"/>
        </w:rPr>
        <w:t xml:space="preserve">. PW I&amp;E Research. </w:t>
      </w:r>
      <w:hyperlink r:id="rId250" w:tgtFrame="_new" w:history="1">
        <w:r w:rsidRPr="00AB41C7">
          <w:rPr>
            <w:rFonts w:ascii="Times New Roman" w:eastAsia="Calibri" w:hAnsi="Times New Roman" w:cs="Times New Roman"/>
            <w:color w:val="0000FF"/>
            <w:kern w:val="0"/>
            <w:u w:val="single"/>
            <w14:ligatures w14:val="none"/>
          </w:rPr>
          <w:t>https://pmarketresearch.com/it/digital-transformation-in-the-travel-and-tourism-market</w:t>
        </w:r>
      </w:hyperlink>
    </w:p>
    <w:p w14:paraId="77CA87AA"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bCs/>
          <w:kern w:val="0"/>
          <w14:ligatures w14:val="none"/>
        </w:rPr>
        <w:t>Raynera</w:t>
      </w:r>
      <w:proofErr w:type="spellEnd"/>
      <w:r w:rsidRPr="00AB41C7">
        <w:rPr>
          <w:rFonts w:ascii="Times New Roman" w:eastAsia="Calibri" w:hAnsi="Times New Roman" w:cs="Times New Roman"/>
          <w:bCs/>
          <w:kern w:val="0"/>
          <w14:ligatures w14:val="none"/>
        </w:rPr>
        <w:t xml:space="preserve">, G. R. A., </w:t>
      </w:r>
      <w:proofErr w:type="spellStart"/>
      <w:r w:rsidRPr="00AB41C7">
        <w:rPr>
          <w:rFonts w:ascii="Times New Roman" w:eastAsia="Calibri" w:hAnsi="Times New Roman" w:cs="Times New Roman"/>
          <w:bCs/>
          <w:kern w:val="0"/>
          <w14:ligatures w14:val="none"/>
        </w:rPr>
        <w:t>Balasta</w:t>
      </w:r>
      <w:proofErr w:type="spellEnd"/>
      <w:r w:rsidRPr="00AB41C7">
        <w:rPr>
          <w:rFonts w:ascii="Times New Roman" w:eastAsia="Calibri" w:hAnsi="Times New Roman" w:cs="Times New Roman"/>
          <w:bCs/>
          <w:kern w:val="0"/>
          <w14:ligatures w14:val="none"/>
        </w:rPr>
        <w:t>, S. K. B., Capili, K. I. E., &amp; Haber, S. J. T. (2025).</w:t>
      </w:r>
      <w:r w:rsidRPr="00AB41C7">
        <w:rPr>
          <w:rFonts w:ascii="Times New Roman" w:eastAsia="Calibri" w:hAnsi="Times New Roman" w:cs="Times New Roman"/>
          <w:kern w:val="0"/>
          <w14:ligatures w14:val="none"/>
        </w:rPr>
        <w:t xml:space="preserve"> An assessment of the effects of artificial intelligence on tourist behavior and decision-making in San Jose del Monte City, Bulacan. </w:t>
      </w:r>
      <w:r w:rsidRPr="00AB41C7">
        <w:rPr>
          <w:rFonts w:ascii="Times New Roman" w:eastAsia="Calibri" w:hAnsi="Times New Roman" w:cs="Times New Roman"/>
          <w:i/>
          <w:iCs/>
          <w:kern w:val="0"/>
          <w14:ligatures w14:val="none"/>
        </w:rPr>
        <w:t>International Journal of Research and Innovation in Social Science, 9</w:t>
      </w:r>
      <w:r w:rsidRPr="00AB41C7">
        <w:rPr>
          <w:rFonts w:ascii="Times New Roman" w:eastAsia="Calibri" w:hAnsi="Times New Roman" w:cs="Times New Roman"/>
          <w:kern w:val="0"/>
          <w14:ligatures w14:val="none"/>
        </w:rPr>
        <w:t xml:space="preserve">(4), 1289–1332. </w:t>
      </w:r>
      <w:hyperlink r:id="rId251" w:history="1">
        <w:r w:rsidRPr="00AB41C7">
          <w:rPr>
            <w:rFonts w:ascii="Times New Roman" w:eastAsia="Calibri" w:hAnsi="Times New Roman" w:cs="Times New Roman"/>
            <w:color w:val="0000FF"/>
            <w:kern w:val="0"/>
            <w:u w:val="single"/>
            <w14:ligatures w14:val="none"/>
          </w:rPr>
          <w:t>https://doi.org/10.47772/IJRISS</w:t>
        </w:r>
      </w:hyperlink>
    </w:p>
    <w:p w14:paraId="2FC37C02"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Ricci, F., Rokach, L., Shapira, B., &amp; Kantor, P. B. (2011). </w:t>
      </w:r>
      <w:r w:rsidRPr="00AB41C7">
        <w:rPr>
          <w:rFonts w:ascii="Times New Roman" w:eastAsia="Calibri" w:hAnsi="Times New Roman" w:cs="Times New Roman"/>
          <w:i/>
          <w:iCs/>
          <w:kern w:val="0"/>
          <w14:ligatures w14:val="none"/>
        </w:rPr>
        <w:t>Recommender systems handbook</w:t>
      </w:r>
      <w:r w:rsidRPr="00AB41C7">
        <w:rPr>
          <w:rFonts w:ascii="Times New Roman" w:eastAsia="Calibri" w:hAnsi="Times New Roman" w:cs="Times New Roman"/>
          <w:kern w:val="0"/>
          <w14:ligatures w14:val="none"/>
        </w:rPr>
        <w:t xml:space="preserve">. Springer. </w:t>
      </w:r>
      <w:hyperlink r:id="rId252" w:tgtFrame="_new" w:history="1">
        <w:r w:rsidRPr="00AB41C7">
          <w:rPr>
            <w:rFonts w:ascii="Times New Roman" w:eastAsia="Calibri" w:hAnsi="Times New Roman" w:cs="Times New Roman"/>
            <w:color w:val="0000FF"/>
            <w:kern w:val="0"/>
            <w:u w:val="single"/>
            <w14:ligatures w14:val="none"/>
          </w:rPr>
          <w:t>https://doi.org/10.1007/978-0-387-85820-3</w:t>
        </w:r>
      </w:hyperlink>
    </w:p>
    <w:p w14:paraId="79792287"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Shankar, G. B., Suresh, N., &amp; Lakshmi, T. V. (2024). </w:t>
      </w:r>
      <w:r w:rsidRPr="00AB41C7">
        <w:rPr>
          <w:rFonts w:ascii="Times New Roman" w:eastAsia="Calibri" w:hAnsi="Times New Roman" w:cs="Times New Roman"/>
          <w:i/>
          <w:iCs/>
          <w:kern w:val="0"/>
          <w14:ligatures w14:val="none"/>
        </w:rPr>
        <w:t>Application of chatbots and virtual assistants in ticket booking system</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International Research Journal on Advanced Engineering and Management, 2</w:t>
      </w:r>
      <w:r w:rsidRPr="00AB41C7">
        <w:rPr>
          <w:rFonts w:ascii="Times New Roman" w:eastAsia="Calibri" w:hAnsi="Times New Roman" w:cs="Times New Roman"/>
          <w:kern w:val="0"/>
          <w14:ligatures w14:val="none"/>
        </w:rPr>
        <w:t xml:space="preserve">(05). </w:t>
      </w:r>
      <w:hyperlink r:id="rId253" w:history="1">
        <w:r w:rsidRPr="00AB41C7">
          <w:rPr>
            <w:rFonts w:ascii="Times New Roman" w:eastAsia="Calibri" w:hAnsi="Times New Roman" w:cs="Times New Roman"/>
            <w:color w:val="0000FF"/>
            <w:kern w:val="0"/>
            <w:u w:val="single"/>
            <w14:ligatures w14:val="none"/>
          </w:rPr>
          <w:t>https://doi.org/10.47392/IRJAEM.2024.0221</w:t>
        </w:r>
      </w:hyperlink>
    </w:p>
    <w:p w14:paraId="372E9206" w14:textId="77777777" w:rsidR="00AB41C7" w:rsidRPr="00AB41C7" w:rsidRDefault="00AB41C7" w:rsidP="0044629C">
      <w:pPr>
        <w:spacing w:before="100" w:beforeAutospacing="1" w:after="0" w:line="240" w:lineRule="auto"/>
        <w:ind w:left="630" w:hanging="990"/>
        <w:jc w:val="both"/>
        <w:rPr>
          <w:rFonts w:ascii="Times New Roman" w:eastAsia="Times New Roman" w:hAnsi="Times New Roman" w:cs="Times New Roman"/>
          <w:kern w:val="0"/>
          <w14:ligatures w14:val="none"/>
        </w:rPr>
      </w:pPr>
      <w:r w:rsidRPr="00AB41C7">
        <w:rPr>
          <w:rFonts w:ascii="Times New Roman" w:eastAsia="Times New Roman" w:hAnsi="Times New Roman" w:cs="Times New Roman"/>
          <w:bCs/>
          <w:kern w:val="0"/>
          <w14:ligatures w14:val="none"/>
        </w:rPr>
        <w:t xml:space="preserve">Sheikh, H., Prins, C., &amp; </w:t>
      </w:r>
      <w:proofErr w:type="spellStart"/>
      <w:r w:rsidRPr="00AB41C7">
        <w:rPr>
          <w:rFonts w:ascii="Times New Roman" w:eastAsia="Times New Roman" w:hAnsi="Times New Roman" w:cs="Times New Roman"/>
          <w:bCs/>
          <w:kern w:val="0"/>
          <w14:ligatures w14:val="none"/>
        </w:rPr>
        <w:t>Schrijvers</w:t>
      </w:r>
      <w:proofErr w:type="spellEnd"/>
      <w:r w:rsidRPr="00AB41C7">
        <w:rPr>
          <w:rFonts w:ascii="Times New Roman" w:eastAsia="Times New Roman" w:hAnsi="Times New Roman" w:cs="Times New Roman"/>
          <w:bCs/>
          <w:kern w:val="0"/>
          <w14:ligatures w14:val="none"/>
        </w:rPr>
        <w:t>, E. (2023).</w:t>
      </w:r>
      <w:r w:rsidRPr="00AB41C7">
        <w:rPr>
          <w:rFonts w:ascii="Times New Roman" w:eastAsia="Times New Roman" w:hAnsi="Times New Roman" w:cs="Times New Roman"/>
          <w:kern w:val="0"/>
          <w14:ligatures w14:val="none"/>
        </w:rPr>
        <w:t xml:space="preserve"> Artificial intelligence: Definition and background. In </w:t>
      </w:r>
      <w:r w:rsidRPr="00AB41C7">
        <w:rPr>
          <w:rFonts w:ascii="Times New Roman" w:eastAsia="Times New Roman" w:hAnsi="Times New Roman" w:cs="Times New Roman"/>
          <w:i/>
          <w:iCs/>
          <w:kern w:val="0"/>
          <w14:ligatures w14:val="none"/>
        </w:rPr>
        <w:t>Mission AI: Research for policy</w:t>
      </w:r>
      <w:r w:rsidRPr="00AB41C7">
        <w:rPr>
          <w:rFonts w:ascii="Times New Roman" w:eastAsia="Times New Roman" w:hAnsi="Times New Roman" w:cs="Times New Roman"/>
          <w:kern w:val="0"/>
          <w14:ligatures w14:val="none"/>
        </w:rPr>
        <w:t xml:space="preserve"> (Chapter 2). Springer. </w:t>
      </w:r>
      <w:hyperlink r:id="rId254" w:tgtFrame="_new" w:history="1">
        <w:r w:rsidRPr="00AB41C7">
          <w:rPr>
            <w:rFonts w:ascii="Times New Roman" w:eastAsia="Times New Roman" w:hAnsi="Times New Roman" w:cs="Times New Roman"/>
            <w:color w:val="0000FF"/>
            <w:kern w:val="0"/>
            <w:u w:val="single"/>
            <w14:ligatures w14:val="none"/>
          </w:rPr>
          <w:t>https://doi.org/10.1007/978-3-031-21448-6_2</w:t>
        </w:r>
      </w:hyperlink>
    </w:p>
    <w:p w14:paraId="10A4C91F"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color w:val="222222"/>
          <w:kern w:val="0"/>
          <w:shd w:val="clear" w:color="auto" w:fill="FFFFFF"/>
          <w14:ligatures w14:val="none"/>
        </w:rPr>
        <w:t>Sizhesinger</w:t>
      </w:r>
      <w:proofErr w:type="spellEnd"/>
      <w:r w:rsidRPr="00AB41C7">
        <w:rPr>
          <w:rFonts w:ascii="Times New Roman" w:eastAsia="Calibri" w:hAnsi="Times New Roman" w:cs="Times New Roman"/>
          <w:color w:val="222222"/>
          <w:kern w:val="0"/>
          <w:shd w:val="clear" w:color="auto" w:fill="FFFFFF"/>
          <w14:ligatures w14:val="none"/>
        </w:rPr>
        <w:t>. (2025). Construction and Validation of Hotel Personalized Service Recommendation Model Based on Big Data Analysis. In </w:t>
      </w:r>
      <w:r w:rsidRPr="00AB41C7">
        <w:rPr>
          <w:rFonts w:ascii="Times New Roman" w:eastAsia="Calibri" w:hAnsi="Times New Roman" w:cs="Times New Roman"/>
          <w:i/>
          <w:iCs/>
          <w:color w:val="222222"/>
          <w:kern w:val="0"/>
          <w:shd w:val="clear" w:color="auto" w:fill="FFFFFF"/>
          <w14:ligatures w14:val="none"/>
        </w:rPr>
        <w:t>2025 IEEE International Conference on Electronics, Energy Systems and Power Engineering (EESPE)</w:t>
      </w:r>
      <w:r w:rsidRPr="00AB41C7">
        <w:rPr>
          <w:rFonts w:ascii="Times New Roman" w:eastAsia="Calibri" w:hAnsi="Times New Roman" w:cs="Times New Roman"/>
          <w:color w:val="222222"/>
          <w:kern w:val="0"/>
          <w:shd w:val="clear" w:color="auto" w:fill="FFFFFF"/>
          <w14:ligatures w14:val="none"/>
        </w:rPr>
        <w:t> (pp. 1198-1203). IEEE</w:t>
      </w:r>
    </w:p>
    <w:p w14:paraId="1CC4750B"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Solano-</w:t>
      </w:r>
      <w:proofErr w:type="spellStart"/>
      <w:r w:rsidRPr="00AB41C7">
        <w:rPr>
          <w:rFonts w:ascii="Times New Roman" w:eastAsia="Calibri" w:hAnsi="Times New Roman" w:cs="Times New Roman"/>
          <w:color w:val="222222"/>
          <w:kern w:val="0"/>
          <w:shd w:val="clear" w:color="auto" w:fill="FFFFFF"/>
          <w14:ligatures w14:val="none"/>
        </w:rPr>
        <w:t>Barliza</w:t>
      </w:r>
      <w:proofErr w:type="spellEnd"/>
      <w:r w:rsidRPr="00AB41C7">
        <w:rPr>
          <w:rFonts w:ascii="Times New Roman" w:eastAsia="Calibri" w:hAnsi="Times New Roman" w:cs="Times New Roman"/>
          <w:color w:val="222222"/>
          <w:kern w:val="0"/>
          <w:shd w:val="clear" w:color="auto" w:fill="FFFFFF"/>
          <w14:ligatures w14:val="none"/>
        </w:rPr>
        <w:t xml:space="preserve">, A., Valls, A., Acosta-Coll, M., Moreno, A., Escorcia-Gutierrez, J., De-La-Hoz-Franco, E., &amp; </w:t>
      </w:r>
      <w:proofErr w:type="spellStart"/>
      <w:r w:rsidRPr="00AB41C7">
        <w:rPr>
          <w:rFonts w:ascii="Times New Roman" w:eastAsia="Calibri" w:hAnsi="Times New Roman" w:cs="Times New Roman"/>
          <w:color w:val="222222"/>
          <w:kern w:val="0"/>
          <w:shd w:val="clear" w:color="auto" w:fill="FFFFFF"/>
          <w14:ligatures w14:val="none"/>
        </w:rPr>
        <w:t>Arregoces</w:t>
      </w:r>
      <w:proofErr w:type="spellEnd"/>
      <w:r w:rsidRPr="00AB41C7">
        <w:rPr>
          <w:rFonts w:ascii="Times New Roman" w:eastAsia="Calibri" w:hAnsi="Times New Roman" w:cs="Times New Roman"/>
          <w:color w:val="222222"/>
          <w:kern w:val="0"/>
          <w:shd w:val="clear" w:color="auto" w:fill="FFFFFF"/>
          <w14:ligatures w14:val="none"/>
        </w:rPr>
        <w:t xml:space="preserve">-Julio, I. (2024). Enhancing fair tourism opportunities in emerging destinations by means of multi-criteria recommender systems: the case of restaurants in </w:t>
      </w:r>
      <w:proofErr w:type="spellStart"/>
      <w:r w:rsidRPr="00AB41C7">
        <w:rPr>
          <w:rFonts w:ascii="Times New Roman" w:eastAsia="Calibri" w:hAnsi="Times New Roman" w:cs="Times New Roman"/>
          <w:color w:val="222222"/>
          <w:kern w:val="0"/>
          <w:shd w:val="clear" w:color="auto" w:fill="FFFFFF"/>
          <w14:ligatures w14:val="none"/>
        </w:rPr>
        <w:t>Riohacha</w:t>
      </w:r>
      <w:proofErr w:type="spellEnd"/>
      <w:r w:rsidRPr="00AB41C7">
        <w:rPr>
          <w:rFonts w:ascii="Times New Roman" w:eastAsia="Calibri" w:hAnsi="Times New Roman" w:cs="Times New Roman"/>
          <w:color w:val="222222"/>
          <w:kern w:val="0"/>
          <w:shd w:val="clear" w:color="auto" w:fill="FFFFFF"/>
          <w14:ligatures w14:val="none"/>
        </w:rPr>
        <w:t>, Colombia. </w:t>
      </w:r>
      <w:r w:rsidRPr="00AB41C7">
        <w:rPr>
          <w:rFonts w:ascii="Times New Roman" w:eastAsia="Calibri" w:hAnsi="Times New Roman" w:cs="Times New Roman"/>
          <w:i/>
          <w:iCs/>
          <w:color w:val="222222"/>
          <w:kern w:val="0"/>
          <w:shd w:val="clear" w:color="auto" w:fill="FFFFFF"/>
          <w14:ligatures w14:val="none"/>
        </w:rPr>
        <w:t>International Journal of Computational Intelligence Systems</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17</w:t>
      </w:r>
      <w:r w:rsidRPr="00AB41C7">
        <w:rPr>
          <w:rFonts w:ascii="Times New Roman" w:eastAsia="Calibri" w:hAnsi="Times New Roman" w:cs="Times New Roman"/>
          <w:color w:val="222222"/>
          <w:kern w:val="0"/>
          <w:shd w:val="clear" w:color="auto" w:fill="FFFFFF"/>
          <w14:ligatures w14:val="none"/>
        </w:rPr>
        <w:t>(1), 283</w:t>
      </w:r>
      <w:r w:rsidRPr="00AB41C7">
        <w:rPr>
          <w:rFonts w:ascii="Times New Roman" w:eastAsia="Calibri" w:hAnsi="Times New Roman" w:cs="Times New Roman"/>
          <w:kern w:val="0"/>
          <w14:ligatures w14:val="none"/>
        </w:rPr>
        <w:t xml:space="preserve"> </w:t>
      </w:r>
    </w:p>
    <w:p w14:paraId="37CAE51D"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Sunarto, B. T., &amp; Islamiyah, M. (2024). </w:t>
      </w:r>
      <w:r w:rsidRPr="00AB41C7">
        <w:rPr>
          <w:rFonts w:ascii="Times New Roman" w:eastAsia="Calibri" w:hAnsi="Times New Roman" w:cs="Times New Roman"/>
          <w:i/>
          <w:iCs/>
          <w:kern w:val="0"/>
          <w14:ligatures w14:val="none"/>
        </w:rPr>
        <w:t>Optimizing AI-driven reservation systems for travel agencies using human-centered design principles to improve efficiency and accuracy</w:t>
      </w:r>
      <w:r w:rsidRPr="00AB41C7">
        <w:rPr>
          <w:rFonts w:ascii="Times New Roman" w:eastAsia="Calibri" w:hAnsi="Times New Roman" w:cs="Times New Roman"/>
          <w:kern w:val="0"/>
          <w14:ligatures w14:val="none"/>
        </w:rPr>
        <w:t xml:space="preserve">. In </w:t>
      </w:r>
      <w:r w:rsidRPr="00AB41C7">
        <w:rPr>
          <w:rFonts w:ascii="Times New Roman" w:eastAsia="Calibri" w:hAnsi="Times New Roman" w:cs="Times New Roman"/>
          <w:bCs/>
          <w:kern w:val="0"/>
          <w14:ligatures w14:val="none"/>
        </w:rPr>
        <w:t>Proceedings of the 5th International Conference on Information Technology and Security (IC-ITECHS)</w:t>
      </w:r>
      <w:r w:rsidRPr="00AB41C7">
        <w:rPr>
          <w:rFonts w:ascii="Times New Roman" w:eastAsia="Calibri" w:hAnsi="Times New Roman" w:cs="Times New Roman"/>
          <w:kern w:val="0"/>
          <w14:ligatures w14:val="none"/>
        </w:rPr>
        <w:t xml:space="preserve"> 5 (1), 772-780</w:t>
      </w:r>
    </w:p>
    <w:p w14:paraId="7DC45343"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kern w:val="0"/>
          <w14:ligatures w14:val="none"/>
        </w:rPr>
        <w:t xml:space="preserve">TechTarget. (2024). </w:t>
      </w:r>
      <w:r w:rsidRPr="00AB41C7">
        <w:rPr>
          <w:rFonts w:ascii="Times New Roman" w:eastAsia="Calibri" w:hAnsi="Times New Roman" w:cs="Times New Roman"/>
          <w:i/>
          <w:iCs/>
          <w:kern w:val="0"/>
          <w14:ligatures w14:val="none"/>
        </w:rPr>
        <w:t>Chatbot</w:t>
      </w:r>
      <w:r w:rsidRPr="00AB41C7">
        <w:rPr>
          <w:rFonts w:ascii="Times New Roman" w:eastAsia="Calibri" w:hAnsi="Times New Roman" w:cs="Times New Roman"/>
          <w:kern w:val="0"/>
          <w14:ligatures w14:val="none"/>
        </w:rPr>
        <w:t xml:space="preserve">. In </w:t>
      </w:r>
      <w:proofErr w:type="spellStart"/>
      <w:r w:rsidRPr="00AB41C7">
        <w:rPr>
          <w:rFonts w:ascii="Times New Roman" w:eastAsia="Calibri" w:hAnsi="Times New Roman" w:cs="Times New Roman"/>
          <w:i/>
          <w:iCs/>
          <w:kern w:val="0"/>
          <w14:ligatures w14:val="none"/>
        </w:rPr>
        <w:t>SearchCustomerExperience</w:t>
      </w:r>
      <w:proofErr w:type="spellEnd"/>
      <w:r w:rsidRPr="00AB41C7">
        <w:rPr>
          <w:rFonts w:ascii="Times New Roman" w:eastAsia="Calibri" w:hAnsi="Times New Roman" w:cs="Times New Roman"/>
          <w:kern w:val="0"/>
          <w14:ligatures w14:val="none"/>
        </w:rPr>
        <w:t xml:space="preserve">. </w:t>
      </w:r>
      <w:hyperlink r:id="rId255" w:tgtFrame="_new" w:history="1">
        <w:r w:rsidRPr="00AB41C7">
          <w:rPr>
            <w:rFonts w:ascii="Times New Roman" w:eastAsia="Calibri" w:hAnsi="Times New Roman" w:cs="Times New Roman"/>
            <w:color w:val="0000FF"/>
            <w:kern w:val="0"/>
            <w:u w:val="single"/>
            <w14:ligatures w14:val="none"/>
          </w:rPr>
          <w:t>https://www.techtarget.com/searchcustomerexperience/definition/chatbot</w:t>
        </w:r>
      </w:hyperlink>
    </w:p>
    <w:p w14:paraId="6FBB2759"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bCs/>
          <w:kern w:val="0"/>
          <w14:ligatures w14:val="none"/>
        </w:rPr>
        <w:t>Thiruthanigesan</w:t>
      </w:r>
      <w:proofErr w:type="spellEnd"/>
      <w:r w:rsidRPr="00AB41C7">
        <w:rPr>
          <w:rFonts w:ascii="Times New Roman" w:eastAsia="Calibri" w:hAnsi="Times New Roman" w:cs="Times New Roman"/>
          <w:bCs/>
          <w:kern w:val="0"/>
          <w14:ligatures w14:val="none"/>
        </w:rPr>
        <w:t xml:space="preserve">, K., </w:t>
      </w:r>
      <w:proofErr w:type="spellStart"/>
      <w:r w:rsidRPr="00AB41C7">
        <w:rPr>
          <w:rFonts w:ascii="Times New Roman" w:eastAsia="Calibri" w:hAnsi="Times New Roman" w:cs="Times New Roman"/>
          <w:bCs/>
          <w:kern w:val="0"/>
          <w14:ligatures w14:val="none"/>
        </w:rPr>
        <w:t>Thevarajan</w:t>
      </w:r>
      <w:proofErr w:type="spellEnd"/>
      <w:r w:rsidRPr="00AB41C7">
        <w:rPr>
          <w:rFonts w:ascii="Times New Roman" w:eastAsia="Calibri" w:hAnsi="Times New Roman" w:cs="Times New Roman"/>
          <w:bCs/>
          <w:kern w:val="0"/>
          <w14:ligatures w14:val="none"/>
        </w:rPr>
        <w:t xml:space="preserve"> Swampillai, A., &amp; </w:t>
      </w:r>
      <w:proofErr w:type="spellStart"/>
      <w:r w:rsidRPr="00AB41C7">
        <w:rPr>
          <w:rFonts w:ascii="Times New Roman" w:eastAsia="Calibri" w:hAnsi="Times New Roman" w:cs="Times New Roman"/>
          <w:bCs/>
          <w:kern w:val="0"/>
          <w14:ligatures w14:val="none"/>
        </w:rPr>
        <w:t>Nagendrakumar</w:t>
      </w:r>
      <w:proofErr w:type="spellEnd"/>
      <w:r w:rsidRPr="00AB41C7">
        <w:rPr>
          <w:rFonts w:ascii="Times New Roman" w:eastAsia="Calibri" w:hAnsi="Times New Roman" w:cs="Times New Roman"/>
          <w:bCs/>
          <w:kern w:val="0"/>
          <w14:ligatures w14:val="none"/>
        </w:rPr>
        <w:t>, N. (2025).</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Impact of AI tools in tourism: Transforming the industry.</w:t>
      </w:r>
      <w:r w:rsidRPr="00AB41C7">
        <w:rPr>
          <w:rFonts w:ascii="Times New Roman" w:eastAsia="Calibri" w:hAnsi="Times New Roman" w:cs="Times New Roman"/>
          <w:kern w:val="0"/>
          <w14:ligatures w14:val="none"/>
        </w:rPr>
        <w:t xml:space="preserve"> </w:t>
      </w:r>
      <w:proofErr w:type="spellStart"/>
      <w:r w:rsidRPr="00AB41C7">
        <w:rPr>
          <w:rFonts w:ascii="Times New Roman" w:eastAsia="Calibri" w:hAnsi="Times New Roman" w:cs="Times New Roman"/>
          <w:kern w:val="0"/>
          <w14:ligatures w14:val="none"/>
        </w:rPr>
        <w:t>IntechOpen</w:t>
      </w:r>
      <w:proofErr w:type="spellEnd"/>
      <w:r w:rsidRPr="00AB41C7">
        <w:rPr>
          <w:rFonts w:ascii="Times New Roman" w:eastAsia="Calibri" w:hAnsi="Times New Roman" w:cs="Times New Roman"/>
          <w:kern w:val="0"/>
          <w14:ligatures w14:val="none"/>
        </w:rPr>
        <w:t xml:space="preserve">. </w:t>
      </w:r>
      <w:hyperlink r:id="rId256" w:tgtFrame="_new" w:history="1">
        <w:r w:rsidRPr="00AB41C7">
          <w:rPr>
            <w:rFonts w:ascii="Times New Roman" w:eastAsia="Calibri" w:hAnsi="Times New Roman" w:cs="Times New Roman"/>
            <w:color w:val="0000FF"/>
            <w:kern w:val="0"/>
            <w:u w:val="single"/>
            <w14:ligatures w14:val="none"/>
          </w:rPr>
          <w:t>https://doi.org/10.5772/intechopen.1007343</w:t>
        </w:r>
      </w:hyperlink>
    </w:p>
    <w:p w14:paraId="79E184D4"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proofErr w:type="spellStart"/>
      <w:r w:rsidRPr="00AB41C7">
        <w:rPr>
          <w:rFonts w:ascii="Times New Roman" w:eastAsia="Calibri" w:hAnsi="Times New Roman" w:cs="Times New Roman"/>
          <w:bCs/>
          <w:kern w:val="0"/>
          <w14:ligatures w14:val="none"/>
        </w:rPr>
        <w:t>TravelCarma</w:t>
      </w:r>
      <w:proofErr w:type="spellEnd"/>
      <w:r w:rsidRPr="00AB41C7">
        <w:rPr>
          <w:rFonts w:ascii="Times New Roman" w:eastAsia="Calibri" w:hAnsi="Times New Roman" w:cs="Times New Roman"/>
          <w:bCs/>
          <w:kern w:val="0"/>
          <w14:ligatures w14:val="none"/>
        </w:rPr>
        <w:t>. (2019, December).</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Challenges faced by traditional travel agencies and how technology can help</w:t>
      </w:r>
      <w:r w:rsidRPr="00AB41C7">
        <w:rPr>
          <w:rFonts w:ascii="Times New Roman" w:eastAsia="Calibri" w:hAnsi="Times New Roman" w:cs="Times New Roman"/>
          <w:kern w:val="0"/>
          <w14:ligatures w14:val="none"/>
        </w:rPr>
        <w:t xml:space="preserve">. </w:t>
      </w:r>
      <w:proofErr w:type="spellStart"/>
      <w:r w:rsidRPr="00AB41C7">
        <w:rPr>
          <w:rFonts w:ascii="Times New Roman" w:eastAsia="Calibri" w:hAnsi="Times New Roman" w:cs="Times New Roman"/>
          <w:kern w:val="0"/>
          <w14:ligatures w14:val="none"/>
        </w:rPr>
        <w:t>TravelCarma</w:t>
      </w:r>
      <w:proofErr w:type="spellEnd"/>
      <w:r w:rsidRPr="00AB41C7">
        <w:rPr>
          <w:rFonts w:ascii="Times New Roman" w:eastAsia="Calibri" w:hAnsi="Times New Roman" w:cs="Times New Roman"/>
          <w:kern w:val="0"/>
          <w14:ligatures w14:val="none"/>
        </w:rPr>
        <w:t xml:space="preserve"> Travel Technology Blog. </w:t>
      </w:r>
      <w:hyperlink r:id="rId257" w:tgtFrame="_new" w:history="1">
        <w:r w:rsidRPr="00AB41C7">
          <w:rPr>
            <w:rFonts w:ascii="Times New Roman" w:eastAsia="Calibri" w:hAnsi="Times New Roman" w:cs="Times New Roman"/>
            <w:color w:val="0000FF"/>
            <w:kern w:val="0"/>
            <w:u w:val="single"/>
            <w14:ligatures w14:val="none"/>
          </w:rPr>
          <w:t>https://blog.travelcarma.com/2015/07/07/challenges-faced-by-traditional-travel-agencies-and-how-technology-can-help</w:t>
        </w:r>
      </w:hyperlink>
    </w:p>
    <w:p w14:paraId="5BB1B0D3"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lastRenderedPageBreak/>
        <w:t>Trip.com Group. (2024, October 24).</w:t>
      </w:r>
      <w:r w:rsidRPr="00AB41C7">
        <w:rPr>
          <w:rFonts w:ascii="Times New Roman" w:eastAsia="Calibri" w:hAnsi="Times New Roman" w:cs="Times New Roman"/>
          <w:kern w:val="0"/>
          <w14:ligatures w14:val="none"/>
        </w:rPr>
        <w:t xml:space="preserve"> </w:t>
      </w:r>
      <w:r w:rsidRPr="00AB41C7">
        <w:rPr>
          <w:rFonts w:ascii="Times New Roman" w:eastAsia="Calibri" w:hAnsi="Times New Roman" w:cs="Times New Roman"/>
          <w:i/>
          <w:iCs/>
          <w:kern w:val="0"/>
          <w14:ligatures w14:val="none"/>
        </w:rPr>
        <w:t>What is next for travel innovation? Trip.com Group leads with AI toolkit at ITB Asia 2024.</w:t>
      </w:r>
      <w:r w:rsidRPr="00AB41C7">
        <w:rPr>
          <w:rFonts w:ascii="Times New Roman" w:eastAsia="Calibri" w:hAnsi="Times New Roman" w:cs="Times New Roman"/>
          <w:kern w:val="0"/>
          <w14:ligatures w14:val="none"/>
        </w:rPr>
        <w:t xml:space="preserve"> Trip.com Newsroom. </w:t>
      </w:r>
      <w:hyperlink r:id="rId258" w:tgtFrame="_new" w:history="1">
        <w:r w:rsidRPr="00AB41C7">
          <w:rPr>
            <w:rFonts w:ascii="Times New Roman" w:eastAsia="Calibri" w:hAnsi="Times New Roman" w:cs="Times New Roman"/>
            <w:color w:val="0000FF"/>
            <w:kern w:val="0"/>
            <w:u w:val="single"/>
            <w14:ligatures w14:val="none"/>
          </w:rPr>
          <w:t>https://www.trip.com/newsroom/what-is-next-for-travel-innovation-trip-com-group-leads-with-ai-toolkit-at-itb-asia-2024/</w:t>
        </w:r>
      </w:hyperlink>
    </w:p>
    <w:p w14:paraId="4AD97993"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Vicente-Martínez, P., Soria-Olivas, E., Esteve-</w:t>
      </w:r>
      <w:proofErr w:type="spellStart"/>
      <w:r w:rsidRPr="00AB41C7">
        <w:rPr>
          <w:rFonts w:ascii="Times New Roman" w:eastAsia="Calibri" w:hAnsi="Times New Roman" w:cs="Times New Roman"/>
          <w:color w:val="222222"/>
          <w:kern w:val="0"/>
          <w:shd w:val="clear" w:color="auto" w:fill="FFFFFF"/>
          <w14:ligatures w14:val="none"/>
        </w:rPr>
        <w:t>Mompó</w:t>
      </w:r>
      <w:proofErr w:type="spellEnd"/>
      <w:r w:rsidRPr="00AB41C7">
        <w:rPr>
          <w:rFonts w:ascii="Times New Roman" w:eastAsia="Calibri" w:hAnsi="Times New Roman" w:cs="Times New Roman"/>
          <w:color w:val="222222"/>
          <w:kern w:val="0"/>
          <w:shd w:val="clear" w:color="auto" w:fill="FFFFFF"/>
          <w14:ligatures w14:val="none"/>
        </w:rPr>
        <w:t>, I., Sánchez-</w:t>
      </w:r>
      <w:proofErr w:type="spellStart"/>
      <w:r w:rsidRPr="00AB41C7">
        <w:rPr>
          <w:rFonts w:ascii="Times New Roman" w:eastAsia="Calibri" w:hAnsi="Times New Roman" w:cs="Times New Roman"/>
          <w:color w:val="222222"/>
          <w:kern w:val="0"/>
          <w:shd w:val="clear" w:color="auto" w:fill="FFFFFF"/>
          <w14:ligatures w14:val="none"/>
        </w:rPr>
        <w:t>Montañés</w:t>
      </w:r>
      <w:proofErr w:type="spellEnd"/>
      <w:r w:rsidRPr="00AB41C7">
        <w:rPr>
          <w:rFonts w:ascii="Times New Roman" w:eastAsia="Calibri" w:hAnsi="Times New Roman" w:cs="Times New Roman"/>
          <w:color w:val="222222"/>
          <w:kern w:val="0"/>
          <w:shd w:val="clear" w:color="auto" w:fill="FFFFFF"/>
          <w14:ligatures w14:val="none"/>
        </w:rPr>
        <w:t xml:space="preserve">, M., </w:t>
      </w:r>
      <w:proofErr w:type="spellStart"/>
      <w:r w:rsidRPr="00AB41C7">
        <w:rPr>
          <w:rFonts w:ascii="Times New Roman" w:eastAsia="Calibri" w:hAnsi="Times New Roman" w:cs="Times New Roman"/>
          <w:color w:val="222222"/>
          <w:kern w:val="0"/>
          <w:shd w:val="clear" w:color="auto" w:fill="FFFFFF"/>
          <w14:ligatures w14:val="none"/>
        </w:rPr>
        <w:t>Escrivà</w:t>
      </w:r>
      <w:proofErr w:type="spellEnd"/>
      <w:r w:rsidRPr="00AB41C7">
        <w:rPr>
          <w:rFonts w:ascii="Times New Roman" w:eastAsia="Calibri" w:hAnsi="Times New Roman" w:cs="Times New Roman"/>
          <w:color w:val="222222"/>
          <w:kern w:val="0"/>
          <w:shd w:val="clear" w:color="auto" w:fill="FFFFFF"/>
          <w14:ligatures w14:val="none"/>
        </w:rPr>
        <w:t>, M. Á. G., &amp; William-</w:t>
      </w:r>
      <w:proofErr w:type="spellStart"/>
      <w:r w:rsidRPr="00AB41C7">
        <w:rPr>
          <w:rFonts w:ascii="Times New Roman" w:eastAsia="Calibri" w:hAnsi="Times New Roman" w:cs="Times New Roman"/>
          <w:color w:val="222222"/>
          <w:kern w:val="0"/>
          <w:shd w:val="clear" w:color="auto" w:fill="FFFFFF"/>
          <w14:ligatures w14:val="none"/>
        </w:rPr>
        <w:t>Secin</w:t>
      </w:r>
      <w:proofErr w:type="spellEnd"/>
      <w:r w:rsidRPr="00AB41C7">
        <w:rPr>
          <w:rFonts w:ascii="Times New Roman" w:eastAsia="Calibri" w:hAnsi="Times New Roman" w:cs="Times New Roman"/>
          <w:color w:val="222222"/>
          <w:kern w:val="0"/>
          <w:shd w:val="clear" w:color="auto" w:fill="FFFFFF"/>
          <w14:ligatures w14:val="none"/>
        </w:rPr>
        <w:t>, E. (2025). Design and Evaluation of an AI-Based Conversational Agent for Travel Agencies: Enhancing Training, Assistance, and Operational Efficiency.</w:t>
      </w:r>
    </w:p>
    <w:p w14:paraId="1419DDF6"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von Wolff, R. M., Hobert, S., &amp; Schumann, M. (2022). Designing process-based chatbots in enterprises: The case of business travel organization considering the users’ perspective and business value. </w:t>
      </w:r>
      <w:r w:rsidRPr="00AB41C7">
        <w:rPr>
          <w:rFonts w:ascii="Times New Roman" w:eastAsia="Calibri" w:hAnsi="Times New Roman" w:cs="Times New Roman"/>
          <w:i/>
          <w:iCs/>
          <w:color w:val="222222"/>
          <w:kern w:val="0"/>
          <w:shd w:val="clear" w:color="auto" w:fill="FFFFFF"/>
          <w14:ligatures w14:val="none"/>
        </w:rPr>
        <w:t>AIS Transactions on Human-Computer Interaction</w:t>
      </w:r>
      <w:r w:rsidRPr="00AB41C7">
        <w:rPr>
          <w:rFonts w:ascii="Times New Roman" w:eastAsia="Calibri" w:hAnsi="Times New Roman" w:cs="Times New Roman"/>
          <w:color w:val="222222"/>
          <w:kern w:val="0"/>
          <w:shd w:val="clear" w:color="auto" w:fill="FFFFFF"/>
          <w14:ligatures w14:val="none"/>
        </w:rPr>
        <w:t>, </w:t>
      </w:r>
      <w:r w:rsidRPr="00AB41C7">
        <w:rPr>
          <w:rFonts w:ascii="Times New Roman" w:eastAsia="Calibri" w:hAnsi="Times New Roman" w:cs="Times New Roman"/>
          <w:i/>
          <w:iCs/>
          <w:color w:val="222222"/>
          <w:kern w:val="0"/>
          <w:shd w:val="clear" w:color="auto" w:fill="FFFFFF"/>
          <w14:ligatures w14:val="none"/>
        </w:rPr>
        <w:t>14</w:t>
      </w:r>
      <w:r w:rsidRPr="00AB41C7">
        <w:rPr>
          <w:rFonts w:ascii="Times New Roman" w:eastAsia="Calibri" w:hAnsi="Times New Roman" w:cs="Times New Roman"/>
          <w:color w:val="222222"/>
          <w:kern w:val="0"/>
          <w:shd w:val="clear" w:color="auto" w:fill="FFFFFF"/>
          <w14:ligatures w14:val="none"/>
        </w:rPr>
        <w:t>(4), 578-623</w:t>
      </w:r>
    </w:p>
    <w:p w14:paraId="3F64ECE0"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 xml:space="preserve">Vujko, A., </w:t>
      </w:r>
      <w:proofErr w:type="spellStart"/>
      <w:r w:rsidRPr="00AB41C7">
        <w:rPr>
          <w:rFonts w:ascii="Times New Roman" w:eastAsia="Calibri" w:hAnsi="Times New Roman" w:cs="Times New Roman"/>
          <w:bCs/>
          <w:kern w:val="0"/>
          <w14:ligatures w14:val="none"/>
        </w:rPr>
        <w:t>Papović</w:t>
      </w:r>
      <w:proofErr w:type="spellEnd"/>
      <w:r w:rsidRPr="00AB41C7">
        <w:rPr>
          <w:rFonts w:ascii="Times New Roman" w:eastAsia="Calibri" w:hAnsi="Times New Roman" w:cs="Times New Roman"/>
          <w:bCs/>
          <w:kern w:val="0"/>
          <w14:ligatures w14:val="none"/>
        </w:rPr>
        <w:t>, Z., &amp; Cvijanović, D. (2025).</w:t>
      </w:r>
      <w:r w:rsidRPr="00AB41C7">
        <w:rPr>
          <w:rFonts w:ascii="Times New Roman" w:eastAsia="Calibri" w:hAnsi="Times New Roman" w:cs="Times New Roman"/>
          <w:kern w:val="0"/>
          <w14:ligatures w14:val="none"/>
        </w:rPr>
        <w:t xml:space="preserve"> Artificial intelligence and its influence on sustainable travel agencies business: The role of chatbots in creating tourist arrangements. </w:t>
      </w:r>
      <w:proofErr w:type="spellStart"/>
      <w:r w:rsidRPr="00AB41C7">
        <w:rPr>
          <w:rFonts w:ascii="Times New Roman" w:eastAsia="Calibri" w:hAnsi="Times New Roman" w:cs="Times New Roman"/>
          <w:i/>
          <w:iCs/>
          <w:kern w:val="0"/>
          <w14:ligatures w14:val="none"/>
        </w:rPr>
        <w:t>Ekonomika</w:t>
      </w:r>
      <w:proofErr w:type="spellEnd"/>
      <w:r w:rsidRPr="00AB41C7">
        <w:rPr>
          <w:rFonts w:ascii="Times New Roman" w:eastAsia="Calibri" w:hAnsi="Times New Roman" w:cs="Times New Roman"/>
          <w:i/>
          <w:iCs/>
          <w:kern w:val="0"/>
          <w14:ligatures w14:val="none"/>
        </w:rPr>
        <w:t>, 71</w:t>
      </w:r>
      <w:r w:rsidRPr="00AB41C7">
        <w:rPr>
          <w:rFonts w:ascii="Times New Roman" w:eastAsia="Calibri" w:hAnsi="Times New Roman" w:cs="Times New Roman"/>
          <w:kern w:val="0"/>
          <w14:ligatures w14:val="none"/>
        </w:rPr>
        <w:t xml:space="preserve">(1), 1–13. </w:t>
      </w:r>
      <w:hyperlink r:id="rId259" w:history="1">
        <w:r w:rsidRPr="00AB41C7">
          <w:rPr>
            <w:rFonts w:ascii="Times New Roman" w:eastAsia="Calibri" w:hAnsi="Times New Roman" w:cs="Times New Roman"/>
            <w:color w:val="0000FF"/>
            <w:kern w:val="0"/>
            <w:u w:val="single"/>
            <w14:ligatures w14:val="none"/>
          </w:rPr>
          <w:t>https://doi.org/10.5937/ekonomika2501001V</w:t>
        </w:r>
      </w:hyperlink>
    </w:p>
    <w:p w14:paraId="1DE0244B" w14:textId="77777777" w:rsidR="00AB41C7" w:rsidRPr="00AB41C7" w:rsidRDefault="00AB41C7" w:rsidP="0044629C">
      <w:pPr>
        <w:spacing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bCs/>
          <w:kern w:val="0"/>
          <w14:ligatures w14:val="none"/>
        </w:rPr>
        <w:t>Wang, L., Xiao, J., Luo, Z., Guo, Y., &amp; Xu, X. (2024).</w:t>
      </w:r>
      <w:r w:rsidRPr="00AB41C7">
        <w:rPr>
          <w:rFonts w:ascii="Times New Roman" w:eastAsia="Calibri" w:hAnsi="Times New Roman" w:cs="Times New Roman"/>
          <w:kern w:val="0"/>
          <w14:ligatures w14:val="none"/>
        </w:rPr>
        <w:t xml:space="preserve"> The impact of default options on tourist intention post tourism chatbot failure: The role of service recovery and emoticon. </w:t>
      </w:r>
      <w:r w:rsidRPr="00AB41C7">
        <w:rPr>
          <w:rFonts w:ascii="Times New Roman" w:eastAsia="Calibri" w:hAnsi="Times New Roman" w:cs="Times New Roman"/>
          <w:i/>
          <w:iCs/>
          <w:kern w:val="0"/>
          <w14:ligatures w14:val="none"/>
        </w:rPr>
        <w:t>Tourism Management Perspectives, 53</w:t>
      </w:r>
      <w:r w:rsidRPr="00AB41C7">
        <w:rPr>
          <w:rFonts w:ascii="Times New Roman" w:eastAsia="Calibri" w:hAnsi="Times New Roman" w:cs="Times New Roman"/>
          <w:kern w:val="0"/>
          <w14:ligatures w14:val="none"/>
        </w:rPr>
        <w:t xml:space="preserve">, 101299. </w:t>
      </w:r>
      <w:hyperlink r:id="rId260" w:history="1">
        <w:r w:rsidRPr="00AB41C7">
          <w:rPr>
            <w:rFonts w:ascii="Times New Roman" w:eastAsia="Calibri" w:hAnsi="Times New Roman" w:cs="Times New Roman"/>
            <w:color w:val="0000FF"/>
            <w:kern w:val="0"/>
            <w:u w:val="single"/>
            <w14:ligatures w14:val="none"/>
          </w:rPr>
          <w:t>https://doi.org/10.1016/j.tmp.2024.101299</w:t>
        </w:r>
      </w:hyperlink>
    </w:p>
    <w:p w14:paraId="3ADD1FB2"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kern w:val="0"/>
          <w14:ligatures w14:val="none"/>
        </w:rPr>
      </w:pPr>
      <w:r w:rsidRPr="00AB41C7">
        <w:rPr>
          <w:rFonts w:ascii="Times New Roman" w:eastAsia="Calibri" w:hAnsi="Times New Roman" w:cs="Times New Roman"/>
          <w:color w:val="222222"/>
          <w:kern w:val="0"/>
          <w:shd w:val="clear" w:color="auto" w:fill="FFFFFF"/>
          <w14:ligatures w14:val="none"/>
        </w:rPr>
        <w:t>Yin, J., Yi, C., &amp; Gu, Q. (2026). Interacting with digital humans: The effects of appearance and language style on tourists’ travel intentions. </w:t>
      </w:r>
      <w:r w:rsidRPr="00AB41C7">
        <w:rPr>
          <w:rFonts w:ascii="Times New Roman" w:eastAsia="Calibri" w:hAnsi="Times New Roman" w:cs="Times New Roman"/>
          <w:i/>
          <w:iCs/>
          <w:color w:val="222222"/>
          <w:kern w:val="0"/>
          <w:shd w:val="clear" w:color="auto" w:fill="FFFFFF"/>
          <w14:ligatures w14:val="none"/>
        </w:rPr>
        <w:t>Journal of Vacation Marketing</w:t>
      </w:r>
      <w:r w:rsidRPr="00AB41C7">
        <w:rPr>
          <w:rFonts w:ascii="Times New Roman" w:eastAsia="Calibri" w:hAnsi="Times New Roman" w:cs="Times New Roman"/>
          <w:color w:val="222222"/>
          <w:kern w:val="0"/>
          <w:shd w:val="clear" w:color="auto" w:fill="FFFFFF"/>
          <w14:ligatures w14:val="none"/>
        </w:rPr>
        <w:t>, 13567667261425037</w:t>
      </w:r>
    </w:p>
    <w:p w14:paraId="5015D052" w14:textId="77777777" w:rsidR="00AB41C7" w:rsidRPr="00AB41C7" w:rsidRDefault="00AB41C7" w:rsidP="0044629C">
      <w:pPr>
        <w:spacing w:before="100" w:beforeAutospacing="1" w:after="0" w:line="240" w:lineRule="auto"/>
        <w:ind w:left="630" w:hanging="990"/>
        <w:jc w:val="both"/>
        <w:rPr>
          <w:rFonts w:ascii="Times New Roman" w:eastAsia="Calibri" w:hAnsi="Times New Roman" w:cs="Times New Roman"/>
          <w:color w:val="0000FF"/>
          <w:kern w:val="0"/>
          <w:u w:val="single"/>
          <w14:ligatures w14:val="none"/>
        </w:rPr>
      </w:pPr>
      <w:proofErr w:type="spellStart"/>
      <w:r w:rsidRPr="00AB41C7">
        <w:rPr>
          <w:rFonts w:ascii="Times New Roman" w:eastAsia="Calibri" w:hAnsi="Times New Roman" w:cs="Times New Roman"/>
          <w:kern w:val="0"/>
          <w14:ligatures w14:val="none"/>
        </w:rPr>
        <w:t>Ziozias</w:t>
      </w:r>
      <w:proofErr w:type="spellEnd"/>
      <w:r w:rsidRPr="00AB41C7">
        <w:rPr>
          <w:rFonts w:ascii="Times New Roman" w:eastAsia="Calibri" w:hAnsi="Times New Roman" w:cs="Times New Roman"/>
          <w:kern w:val="0"/>
          <w14:ligatures w14:val="none"/>
        </w:rPr>
        <w:t xml:space="preserve">, C., </w:t>
      </w:r>
      <w:proofErr w:type="spellStart"/>
      <w:r w:rsidRPr="00AB41C7">
        <w:rPr>
          <w:rFonts w:ascii="Times New Roman" w:eastAsia="Calibri" w:hAnsi="Times New Roman" w:cs="Times New Roman"/>
          <w:kern w:val="0"/>
          <w14:ligatures w14:val="none"/>
        </w:rPr>
        <w:t>Tsagalis</w:t>
      </w:r>
      <w:proofErr w:type="spellEnd"/>
      <w:r w:rsidRPr="00AB41C7">
        <w:rPr>
          <w:rFonts w:ascii="Times New Roman" w:eastAsia="Calibri" w:hAnsi="Times New Roman" w:cs="Times New Roman"/>
          <w:kern w:val="0"/>
          <w14:ligatures w14:val="none"/>
        </w:rPr>
        <w:t>, A., &amp; Anthopoulos, L. (2024). Uncovering Organization Emergent Digital Transformation Strategies to Deal with Crises: A Review of Bibliometric Analyses and of a European Initiative</w:t>
      </w:r>
      <w:r w:rsidRPr="00AB41C7">
        <w:rPr>
          <w:rFonts w:ascii="Times New Roman" w:eastAsia="Calibri" w:hAnsi="Times New Roman" w:cs="Times New Roman"/>
          <w:i/>
          <w:kern w:val="0"/>
          <w14:ligatures w14:val="none"/>
        </w:rPr>
        <w:t>. Journal of Sustainability Research, 6</w:t>
      </w:r>
      <w:r w:rsidRPr="00AB41C7">
        <w:rPr>
          <w:rFonts w:ascii="Times New Roman" w:eastAsia="Calibri" w:hAnsi="Times New Roman" w:cs="Times New Roman"/>
          <w:kern w:val="0"/>
          <w14:ligatures w14:val="none"/>
        </w:rPr>
        <w:t xml:space="preserve">(3), e240041. </w:t>
      </w:r>
      <w:hyperlink r:id="rId261" w:history="1">
        <w:r w:rsidRPr="00AB41C7">
          <w:rPr>
            <w:rFonts w:ascii="Times New Roman" w:eastAsia="Calibri" w:hAnsi="Times New Roman" w:cs="Times New Roman"/>
            <w:color w:val="0000FF"/>
            <w:kern w:val="0"/>
            <w:u w:val="single"/>
            <w14:ligatures w14:val="none"/>
          </w:rPr>
          <w:t>https://doi.org/10.20900/jsr20240041</w:t>
        </w:r>
      </w:hyperlink>
    </w:p>
    <w:p w14:paraId="6FE5BFC4" w14:textId="77777777" w:rsidR="00AB41C7" w:rsidRPr="00AB41C7" w:rsidRDefault="00AB41C7" w:rsidP="00AB41C7">
      <w:pPr>
        <w:spacing w:before="100" w:beforeAutospacing="1" w:after="100" w:afterAutospacing="1" w:line="240" w:lineRule="auto"/>
        <w:ind w:left="630" w:hanging="990"/>
        <w:jc w:val="both"/>
        <w:rPr>
          <w:rFonts w:ascii="Times New Roman" w:eastAsia="Calibri" w:hAnsi="Times New Roman" w:cs="Times New Roman"/>
          <w:kern w:val="0"/>
          <w14:ligatures w14:val="none"/>
        </w:rPr>
      </w:pPr>
    </w:p>
    <w:p w14:paraId="5BFAA435" w14:textId="77777777" w:rsidR="00AB41C7" w:rsidRPr="00AB41C7" w:rsidRDefault="00AB41C7" w:rsidP="00AB41C7">
      <w:pPr>
        <w:spacing w:before="100" w:beforeAutospacing="1" w:after="100" w:afterAutospacing="1" w:line="360" w:lineRule="auto"/>
        <w:ind w:left="720"/>
        <w:contextualSpacing/>
        <w:jc w:val="both"/>
        <w:outlineLvl w:val="0"/>
        <w:rPr>
          <w:rFonts w:ascii="Times New Roman" w:eastAsia="Times New Roman" w:hAnsi="Times New Roman" w:cs="Times New Roman"/>
          <w:b/>
          <w:bCs/>
          <w:kern w:val="36"/>
          <w14:ligatures w14:val="none"/>
        </w:rPr>
      </w:pPr>
    </w:p>
    <w:p w14:paraId="397A7592" w14:textId="77777777" w:rsidR="00AB41C7" w:rsidRPr="00AB41C7" w:rsidRDefault="00AB41C7" w:rsidP="00AB41C7">
      <w:pPr>
        <w:spacing w:line="360" w:lineRule="auto"/>
        <w:ind w:left="360"/>
        <w:jc w:val="both"/>
        <w:rPr>
          <w:rFonts w:ascii="Times New Roman" w:eastAsia="Calibri" w:hAnsi="Times New Roman" w:cs="Times New Roman"/>
          <w:b/>
          <w:kern w:val="0"/>
          <w14:ligatures w14:val="none"/>
        </w:rPr>
      </w:pPr>
    </w:p>
    <w:p w14:paraId="29FD4698" w14:textId="77777777" w:rsidR="00AB41C7" w:rsidRPr="00AB41C7" w:rsidRDefault="00AB41C7" w:rsidP="00AB41C7">
      <w:pPr>
        <w:spacing w:line="360" w:lineRule="auto"/>
        <w:jc w:val="both"/>
        <w:rPr>
          <w:rFonts w:ascii="Times New Roman" w:eastAsia="Calibri" w:hAnsi="Times New Roman" w:cs="Times New Roman"/>
          <w:kern w:val="0"/>
          <w14:ligatures w14:val="none"/>
        </w:rPr>
      </w:pPr>
    </w:p>
    <w:p w14:paraId="22E521FF" w14:textId="77777777" w:rsidR="00E30D1B" w:rsidRDefault="00E30D1B" w:rsidP="00641746">
      <w:pPr>
        <w:spacing w:after="0" w:line="240" w:lineRule="auto"/>
        <w:jc w:val="center"/>
        <w:rPr>
          <w:rFonts w:ascii="Times New Roman" w:hAnsi="Times New Roman" w:cs="Times New Roman"/>
          <w:b/>
          <w:bCs/>
          <w:sz w:val="52"/>
          <w:szCs w:val="52"/>
        </w:rPr>
      </w:pPr>
    </w:p>
    <w:p w14:paraId="3EFC76BE" w14:textId="77777777" w:rsidR="00E30D1B" w:rsidRDefault="00E30D1B" w:rsidP="00641746">
      <w:pPr>
        <w:spacing w:after="0" w:line="240" w:lineRule="auto"/>
        <w:jc w:val="center"/>
        <w:rPr>
          <w:rFonts w:ascii="Times New Roman" w:hAnsi="Times New Roman" w:cs="Times New Roman"/>
          <w:b/>
          <w:bCs/>
          <w:sz w:val="52"/>
          <w:szCs w:val="52"/>
        </w:rPr>
      </w:pPr>
    </w:p>
    <w:p w14:paraId="7D4BB919" w14:textId="77777777" w:rsidR="00E30D1B" w:rsidRDefault="00E30D1B" w:rsidP="00641746">
      <w:pPr>
        <w:spacing w:after="0" w:line="240" w:lineRule="auto"/>
        <w:jc w:val="center"/>
        <w:rPr>
          <w:rFonts w:ascii="Times New Roman" w:hAnsi="Times New Roman" w:cs="Times New Roman"/>
          <w:b/>
          <w:bCs/>
          <w:sz w:val="52"/>
          <w:szCs w:val="52"/>
        </w:rPr>
      </w:pPr>
    </w:p>
    <w:p w14:paraId="3D45529C" w14:textId="77777777" w:rsidR="00E30D1B" w:rsidRDefault="00E30D1B" w:rsidP="00641746">
      <w:pPr>
        <w:spacing w:after="0" w:line="240" w:lineRule="auto"/>
        <w:jc w:val="center"/>
        <w:rPr>
          <w:rFonts w:ascii="Times New Roman" w:hAnsi="Times New Roman" w:cs="Times New Roman"/>
          <w:b/>
          <w:bCs/>
          <w:sz w:val="52"/>
          <w:szCs w:val="52"/>
        </w:rPr>
      </w:pPr>
    </w:p>
    <w:p w14:paraId="4DF411BD" w14:textId="77777777" w:rsidR="00E30D1B" w:rsidRDefault="00E30D1B" w:rsidP="00641746">
      <w:pPr>
        <w:spacing w:after="0" w:line="240" w:lineRule="auto"/>
        <w:jc w:val="center"/>
        <w:rPr>
          <w:rFonts w:ascii="Times New Roman" w:hAnsi="Times New Roman" w:cs="Times New Roman"/>
          <w:b/>
          <w:bCs/>
          <w:sz w:val="52"/>
          <w:szCs w:val="52"/>
        </w:rPr>
      </w:pPr>
    </w:p>
    <w:p w14:paraId="280249BD" w14:textId="77777777" w:rsidR="00E30D1B" w:rsidRDefault="00E30D1B" w:rsidP="00641746">
      <w:pPr>
        <w:spacing w:after="0" w:line="240" w:lineRule="auto"/>
        <w:jc w:val="center"/>
        <w:rPr>
          <w:rFonts w:ascii="Times New Roman" w:hAnsi="Times New Roman" w:cs="Times New Roman"/>
          <w:b/>
          <w:bCs/>
          <w:sz w:val="52"/>
          <w:szCs w:val="52"/>
        </w:rPr>
      </w:pPr>
    </w:p>
    <w:p w14:paraId="20F22ADD" w14:textId="77777777" w:rsidR="00E30D1B" w:rsidRDefault="00E30D1B" w:rsidP="00641746">
      <w:pPr>
        <w:spacing w:after="0" w:line="240" w:lineRule="auto"/>
        <w:jc w:val="center"/>
        <w:rPr>
          <w:rFonts w:ascii="Times New Roman" w:hAnsi="Times New Roman" w:cs="Times New Roman"/>
          <w:b/>
          <w:bCs/>
          <w:sz w:val="52"/>
          <w:szCs w:val="52"/>
        </w:rPr>
      </w:pPr>
    </w:p>
    <w:p w14:paraId="464D2240" w14:textId="77777777" w:rsidR="00E30D1B" w:rsidRDefault="00E30D1B" w:rsidP="00641746">
      <w:pPr>
        <w:spacing w:after="0" w:line="240" w:lineRule="auto"/>
        <w:jc w:val="center"/>
        <w:rPr>
          <w:rFonts w:ascii="Times New Roman" w:hAnsi="Times New Roman" w:cs="Times New Roman"/>
          <w:b/>
          <w:bCs/>
          <w:sz w:val="52"/>
          <w:szCs w:val="52"/>
        </w:rPr>
      </w:pPr>
    </w:p>
    <w:p w14:paraId="282B1426" w14:textId="77777777" w:rsidR="00236392" w:rsidRPr="00236392" w:rsidRDefault="00236392" w:rsidP="00236392">
      <w:pPr>
        <w:spacing w:line="240" w:lineRule="auto"/>
        <w:jc w:val="center"/>
        <w:rPr>
          <w:rFonts w:ascii="Times New Roman" w:eastAsia="DengXian" w:hAnsi="Times New Roman" w:cs="Times New Roman"/>
          <w:b/>
          <w:bCs/>
        </w:rPr>
      </w:pPr>
      <w:r w:rsidRPr="00236392">
        <w:rPr>
          <w:rFonts w:ascii="Times New Roman" w:eastAsia="DengXian" w:hAnsi="Times New Roman" w:cs="Times New Roman"/>
          <w:b/>
          <w:bCs/>
        </w:rPr>
        <w:lastRenderedPageBreak/>
        <w:t>Reconceptualizing Brand Experience for Customer Retention in Quick Service Restaurants: A Conceptual Review.</w:t>
      </w:r>
    </w:p>
    <w:p w14:paraId="17B0B56C" w14:textId="77777777" w:rsidR="00236392" w:rsidRPr="00236392" w:rsidRDefault="00236392" w:rsidP="00236392">
      <w:pPr>
        <w:spacing w:after="0" w:line="240" w:lineRule="auto"/>
        <w:jc w:val="center"/>
        <w:rPr>
          <w:rFonts w:ascii="Times New Roman" w:eastAsia="Aptos" w:hAnsi="Times New Roman" w:cs="Times New Roman"/>
          <w:bCs/>
          <w:kern w:val="0"/>
          <w14:ligatures w14:val="none"/>
        </w:rPr>
      </w:pPr>
      <w:proofErr w:type="gramStart"/>
      <w:r w:rsidRPr="00236392">
        <w:rPr>
          <w:rFonts w:ascii="Times New Roman" w:eastAsia="Aptos" w:hAnsi="Times New Roman" w:cs="Times New Roman"/>
          <w:bCs/>
          <w:kern w:val="0"/>
          <w:lang w:val="en-GB"/>
          <w14:ligatures w14:val="none"/>
        </w:rPr>
        <w:t>Osi,,</w:t>
      </w:r>
      <w:proofErr w:type="gramEnd"/>
      <w:r w:rsidRPr="00236392">
        <w:rPr>
          <w:rFonts w:ascii="Times New Roman" w:eastAsia="Aptos" w:hAnsi="Times New Roman" w:cs="Times New Roman"/>
          <w:bCs/>
          <w:kern w:val="0"/>
          <w:lang w:val="en-GB"/>
          <w14:ligatures w14:val="none"/>
        </w:rPr>
        <w:t xml:space="preserve"> Vine Chinwe</w:t>
      </w:r>
      <w:proofErr w:type="gramStart"/>
      <w:r w:rsidRPr="00236392">
        <w:rPr>
          <w:rFonts w:ascii="Times New Roman" w:eastAsia="Aptos" w:hAnsi="Times New Roman" w:cs="Times New Roman"/>
          <w:bCs/>
          <w:kern w:val="0"/>
          <w:vertAlign w:val="superscript"/>
          <w:lang w:val="en-GB"/>
          <w14:ligatures w14:val="none"/>
        </w:rPr>
        <w:t>1</w:t>
      </w:r>
      <w:r w:rsidRPr="00236392">
        <w:rPr>
          <w:rFonts w:ascii="Times New Roman" w:eastAsia="Aptos" w:hAnsi="Times New Roman" w:cs="Times New Roman"/>
          <w:bCs/>
          <w:kern w:val="0"/>
          <w:lang w:val="en-GB"/>
          <w14:ligatures w14:val="none"/>
        </w:rPr>
        <w:t xml:space="preserve">  &amp;</w:t>
      </w:r>
      <w:proofErr w:type="gramEnd"/>
      <w:r w:rsidRPr="00236392">
        <w:rPr>
          <w:rFonts w:ascii="Times New Roman" w:eastAsia="Aptos" w:hAnsi="Times New Roman" w:cs="Times New Roman"/>
          <w:bCs/>
          <w:kern w:val="0"/>
          <w:lang w:val="en-GB"/>
          <w14:ligatures w14:val="none"/>
        </w:rPr>
        <w:t xml:space="preserve"> *</w:t>
      </w:r>
      <w:proofErr w:type="spellStart"/>
      <w:r w:rsidRPr="00236392">
        <w:rPr>
          <w:rFonts w:ascii="Times New Roman" w:eastAsia="Aptos" w:hAnsi="Times New Roman" w:cs="Times New Roman"/>
          <w:bCs/>
          <w:kern w:val="0"/>
          <w:lang w:val="en-GB"/>
          <w14:ligatures w14:val="none"/>
        </w:rPr>
        <w:t>Ekeke</w:t>
      </w:r>
      <w:proofErr w:type="spellEnd"/>
      <w:r w:rsidRPr="00236392">
        <w:rPr>
          <w:rFonts w:ascii="Times New Roman" w:eastAsia="Aptos" w:hAnsi="Times New Roman" w:cs="Times New Roman"/>
          <w:bCs/>
          <w:kern w:val="0"/>
          <w:lang w:val="en-GB"/>
          <w14:ligatures w14:val="none"/>
        </w:rPr>
        <w:t>, John Ndubueze.,</w:t>
      </w:r>
      <w:r w:rsidRPr="00236392">
        <w:rPr>
          <w:rFonts w:ascii="Times New Roman" w:eastAsia="Aptos" w:hAnsi="Times New Roman" w:cs="Times New Roman"/>
          <w:bCs/>
          <w:kern w:val="0"/>
          <w:vertAlign w:val="superscript"/>
          <w:lang w:val="en-GB"/>
          <w14:ligatures w14:val="none"/>
        </w:rPr>
        <w:t>2</w:t>
      </w:r>
    </w:p>
    <w:p w14:paraId="712CABE0" w14:textId="77777777" w:rsidR="00236392" w:rsidRPr="00236392" w:rsidRDefault="00236392" w:rsidP="00236392">
      <w:pPr>
        <w:spacing w:after="0" w:line="240" w:lineRule="auto"/>
        <w:jc w:val="center"/>
        <w:rPr>
          <w:rFonts w:ascii="Times New Roman" w:eastAsia="Aptos" w:hAnsi="Times New Roman" w:cs="Times New Roman"/>
          <w:kern w:val="0"/>
          <w:lang w:val="ig-NG"/>
          <w14:ligatures w14:val="none"/>
        </w:rPr>
      </w:pPr>
    </w:p>
    <w:p w14:paraId="59CAA0B1" w14:textId="77777777" w:rsidR="00236392" w:rsidRPr="00236392" w:rsidRDefault="00236392" w:rsidP="00236392">
      <w:pPr>
        <w:spacing w:after="0" w:line="240" w:lineRule="auto"/>
        <w:jc w:val="center"/>
        <w:rPr>
          <w:rFonts w:ascii="Times New Roman" w:eastAsia="Aptos" w:hAnsi="Times New Roman" w:cs="Times New Roman"/>
          <w:kern w:val="0"/>
          <w:lang w:val="en-GB"/>
          <w14:ligatures w14:val="none"/>
        </w:rPr>
      </w:pPr>
      <w:r w:rsidRPr="00236392">
        <w:rPr>
          <w:rFonts w:ascii="Times New Roman" w:eastAsia="Aptos" w:hAnsi="Times New Roman" w:cs="Times New Roman"/>
          <w:kern w:val="0"/>
          <w:vertAlign w:val="superscript"/>
          <w:lang w:val="ig-NG"/>
          <w14:ligatures w14:val="none"/>
        </w:rPr>
        <w:t>1</w:t>
      </w:r>
      <w:r w:rsidRPr="00236392">
        <w:rPr>
          <w:rFonts w:ascii="Times New Roman" w:eastAsia="Aptos" w:hAnsi="Times New Roman" w:cs="Times New Roman"/>
          <w:kern w:val="0"/>
          <w:vertAlign w:val="superscript"/>
          <w:lang w:val="en-GB"/>
          <w14:ligatures w14:val="none"/>
        </w:rPr>
        <w:t>&amp;2</w:t>
      </w:r>
      <w:r w:rsidRPr="00236392">
        <w:rPr>
          <w:rFonts w:ascii="Times New Roman" w:eastAsia="Aptos" w:hAnsi="Times New Roman" w:cs="Times New Roman"/>
          <w:kern w:val="0"/>
          <w:lang w:val="ig-NG"/>
          <w14:ligatures w14:val="none"/>
        </w:rPr>
        <w:t xml:space="preserve"> </w:t>
      </w:r>
      <w:r w:rsidRPr="00236392">
        <w:rPr>
          <w:rFonts w:ascii="Times New Roman" w:eastAsia="Aptos" w:hAnsi="Times New Roman" w:cs="Times New Roman"/>
          <w:kern w:val="0"/>
          <w:lang w:val="en-GB"/>
          <w14:ligatures w14:val="none"/>
        </w:rPr>
        <w:t xml:space="preserve">Department of Hospitality Management  &amp; Tourism, Faculty </w:t>
      </w:r>
      <w:r w:rsidRPr="00236392">
        <w:rPr>
          <w:rFonts w:ascii="Times New Roman" w:eastAsia="Aptos" w:hAnsi="Times New Roman" w:cs="Times New Roman"/>
          <w:kern w:val="0"/>
          <w:lang w:val="ig-NG"/>
          <w14:ligatures w14:val="none"/>
        </w:rPr>
        <w:t>o</w:t>
      </w:r>
      <w:r w:rsidRPr="00236392">
        <w:rPr>
          <w:rFonts w:ascii="Times New Roman" w:eastAsia="Aptos" w:hAnsi="Times New Roman" w:cs="Times New Roman"/>
          <w:kern w:val="0"/>
          <w:lang w:val="en-GB"/>
          <w14:ligatures w14:val="none"/>
        </w:rPr>
        <w:t>f Management  Sciences,</w:t>
      </w:r>
      <w:r w:rsidRPr="00236392">
        <w:rPr>
          <w:rFonts w:ascii="Times New Roman" w:eastAsia="Aptos" w:hAnsi="Times New Roman" w:cs="Times New Roman"/>
          <w:kern w:val="0"/>
          <w:lang w:val="ig-NG"/>
          <w14:ligatures w14:val="none"/>
        </w:rPr>
        <w:t xml:space="preserve"> </w:t>
      </w:r>
      <w:r w:rsidRPr="00236392">
        <w:rPr>
          <w:rFonts w:ascii="Times New Roman" w:eastAsia="Aptos" w:hAnsi="Times New Roman" w:cs="Times New Roman"/>
          <w:kern w:val="0"/>
          <w:lang w:val="en-GB"/>
          <w14:ligatures w14:val="none"/>
        </w:rPr>
        <w:t xml:space="preserve">University </w:t>
      </w:r>
      <w:r w:rsidRPr="00236392">
        <w:rPr>
          <w:rFonts w:ascii="Times New Roman" w:eastAsia="Aptos" w:hAnsi="Times New Roman" w:cs="Times New Roman"/>
          <w:kern w:val="0"/>
          <w:lang w:val="ig-NG"/>
          <w14:ligatures w14:val="none"/>
        </w:rPr>
        <w:t>o</w:t>
      </w:r>
      <w:r w:rsidRPr="00236392">
        <w:rPr>
          <w:rFonts w:ascii="Times New Roman" w:eastAsia="Aptos" w:hAnsi="Times New Roman" w:cs="Times New Roman"/>
          <w:kern w:val="0"/>
          <w:lang w:val="en-GB"/>
          <w14:ligatures w14:val="none"/>
        </w:rPr>
        <w:t xml:space="preserve">f Port Harcourt, </w:t>
      </w:r>
      <w:proofErr w:type="spellStart"/>
      <w:r w:rsidRPr="00236392">
        <w:rPr>
          <w:rFonts w:ascii="Times New Roman" w:eastAsia="Aptos" w:hAnsi="Times New Roman" w:cs="Times New Roman"/>
          <w:kern w:val="0"/>
          <w:lang w:val="en-GB"/>
          <w14:ligatures w14:val="none"/>
        </w:rPr>
        <w:t>Choba</w:t>
      </w:r>
      <w:proofErr w:type="spellEnd"/>
      <w:r w:rsidRPr="00236392">
        <w:rPr>
          <w:rFonts w:ascii="Times New Roman" w:eastAsia="Aptos" w:hAnsi="Times New Roman" w:cs="Times New Roman"/>
          <w:kern w:val="0"/>
          <w:lang w:val="ig-NG"/>
          <w14:ligatures w14:val="none"/>
        </w:rPr>
        <w:t>, Rivers State,</w:t>
      </w:r>
      <w:r w:rsidRPr="00236392">
        <w:rPr>
          <w:rFonts w:ascii="Times New Roman" w:eastAsia="Aptos" w:hAnsi="Times New Roman" w:cs="Times New Roman"/>
          <w:kern w:val="0"/>
          <w:lang w:val="en-GB"/>
          <w14:ligatures w14:val="none"/>
        </w:rPr>
        <w:t xml:space="preserve"> Nigeria.</w:t>
      </w:r>
    </w:p>
    <w:p w14:paraId="4D838AEE" w14:textId="77777777" w:rsidR="00236392" w:rsidRPr="00236392" w:rsidRDefault="00236392" w:rsidP="00236392">
      <w:pPr>
        <w:autoSpaceDE w:val="0"/>
        <w:autoSpaceDN w:val="0"/>
        <w:adjustRightInd w:val="0"/>
        <w:spacing w:after="0" w:line="240" w:lineRule="auto"/>
        <w:jc w:val="center"/>
        <w:rPr>
          <w:rFonts w:ascii="Times New Roman" w:eastAsia="DengXian" w:hAnsi="Times New Roman" w:cs="Times New Roman"/>
          <w:color w:val="000000"/>
        </w:rPr>
      </w:pPr>
      <w:r w:rsidRPr="00236392">
        <w:rPr>
          <w:rFonts w:ascii="Times New Roman" w:eastAsia="DengXian" w:hAnsi="Times New Roman" w:cs="Times New Roman"/>
          <w:color w:val="000000"/>
        </w:rPr>
        <w:t>* Author for correspondence, Mobile: +234-703-625-2485,</w:t>
      </w:r>
    </w:p>
    <w:p w14:paraId="4A75A420" w14:textId="77777777" w:rsidR="00236392" w:rsidRPr="00236392" w:rsidRDefault="00236392" w:rsidP="00236392">
      <w:pPr>
        <w:jc w:val="center"/>
        <w:rPr>
          <w:rFonts w:ascii="Times New Roman" w:eastAsia="DengXian" w:hAnsi="Times New Roman" w:cs="Times New Roman"/>
          <w:b/>
        </w:rPr>
      </w:pPr>
      <w:r w:rsidRPr="00236392">
        <w:rPr>
          <w:rFonts w:ascii="Times New Roman" w:eastAsia="DengXian" w:hAnsi="Times New Roman" w:cs="Times New Roman"/>
          <w:color w:val="000000"/>
        </w:rPr>
        <w:t xml:space="preserve">Email: </w:t>
      </w:r>
      <w:hyperlink r:id="rId262" w:history="1">
        <w:r w:rsidRPr="00236392">
          <w:rPr>
            <w:rFonts w:ascii="Times New Roman" w:eastAsia="DengXian" w:hAnsi="Times New Roman" w:cs="Times New Roman"/>
            <w:color w:val="467886"/>
            <w:u w:val="single"/>
          </w:rPr>
          <w:t>john.ekeke@uniport.edu.ng</w:t>
        </w:r>
      </w:hyperlink>
    </w:p>
    <w:p w14:paraId="1E264D66" w14:textId="77777777" w:rsidR="00236392" w:rsidRPr="00236392" w:rsidRDefault="00236392" w:rsidP="00236392">
      <w:pPr>
        <w:spacing w:after="0" w:line="240" w:lineRule="auto"/>
        <w:jc w:val="both"/>
        <w:rPr>
          <w:rFonts w:ascii="Times New Roman" w:eastAsia="DengXian" w:hAnsi="Times New Roman" w:cs="Times New Roman"/>
          <w:b/>
          <w:kern w:val="0"/>
          <w:lang w:val="en-GB"/>
          <w14:ligatures w14:val="none"/>
        </w:rPr>
      </w:pPr>
    </w:p>
    <w:p w14:paraId="3E73F981" w14:textId="77777777" w:rsidR="00236392" w:rsidRPr="00236392" w:rsidRDefault="00236392" w:rsidP="00236392">
      <w:pPr>
        <w:spacing w:line="240" w:lineRule="auto"/>
        <w:jc w:val="both"/>
        <w:rPr>
          <w:rFonts w:ascii="Times New Roman" w:eastAsia="DengXian" w:hAnsi="Times New Roman" w:cs="Times New Roman"/>
        </w:rPr>
      </w:pPr>
    </w:p>
    <w:p w14:paraId="02378D3A" w14:textId="77777777" w:rsidR="00236392" w:rsidRPr="00236392" w:rsidRDefault="00236392" w:rsidP="00236392">
      <w:pPr>
        <w:spacing w:line="240" w:lineRule="auto"/>
        <w:jc w:val="both"/>
        <w:rPr>
          <w:rFonts w:ascii="Times New Roman" w:eastAsia="DengXian" w:hAnsi="Times New Roman" w:cs="Times New Roman"/>
        </w:rPr>
      </w:pPr>
    </w:p>
    <w:p w14:paraId="2831A8DD" w14:textId="77777777" w:rsidR="00236392" w:rsidRPr="00236392" w:rsidRDefault="00236392" w:rsidP="00236392">
      <w:pPr>
        <w:spacing w:line="240" w:lineRule="auto"/>
        <w:jc w:val="both"/>
        <w:rPr>
          <w:rFonts w:ascii="Times New Roman" w:eastAsia="DengXian" w:hAnsi="Times New Roman" w:cs="Times New Roman"/>
        </w:rPr>
      </w:pPr>
    </w:p>
    <w:p w14:paraId="1427E202" w14:textId="77777777" w:rsidR="00236392" w:rsidRPr="00236392" w:rsidRDefault="00236392" w:rsidP="00236392">
      <w:pPr>
        <w:spacing w:line="240" w:lineRule="auto"/>
        <w:jc w:val="center"/>
        <w:rPr>
          <w:rFonts w:ascii="Times New Roman" w:eastAsia="DengXian" w:hAnsi="Times New Roman" w:cs="Times New Roman"/>
          <w:b/>
          <w:bCs/>
        </w:rPr>
      </w:pPr>
      <w:r w:rsidRPr="00236392">
        <w:rPr>
          <w:rFonts w:ascii="Times New Roman" w:eastAsia="DengXian" w:hAnsi="Times New Roman" w:cs="Times New Roman"/>
          <w:b/>
          <w:bCs/>
        </w:rPr>
        <w:t>Abstract</w:t>
      </w:r>
    </w:p>
    <w:p w14:paraId="5916284A" w14:textId="77777777" w:rsidR="00236392" w:rsidRPr="00236392" w:rsidRDefault="00236392" w:rsidP="00236392">
      <w:pPr>
        <w:spacing w:line="240" w:lineRule="auto"/>
        <w:jc w:val="both"/>
        <w:rPr>
          <w:rFonts w:ascii="Times New Roman" w:eastAsia="DengXian" w:hAnsi="Times New Roman" w:cs="Times New Roman"/>
          <w:i/>
          <w:iCs/>
        </w:rPr>
      </w:pPr>
      <w:r w:rsidRPr="00236392">
        <w:rPr>
          <w:rFonts w:ascii="Times New Roman" w:eastAsia="DengXian" w:hAnsi="Times New Roman" w:cs="Times New Roman"/>
          <w:i/>
          <w:iCs/>
        </w:rPr>
        <w:t xml:space="preserve">In today’s increasingly competitive hospitality environment, delivering a superior brand experience has emerged as a key strategy for customer retention, especially in the quick service restaurant (QSR) sector. This paper conceptually examines the dimensions of brand experience: sensory, emotional, intellectual, </w:t>
      </w:r>
      <w:proofErr w:type="spellStart"/>
      <w:r w:rsidRPr="00236392">
        <w:rPr>
          <w:rFonts w:ascii="Times New Roman" w:eastAsia="DengXian" w:hAnsi="Times New Roman" w:cs="Times New Roman"/>
          <w:i/>
          <w:iCs/>
        </w:rPr>
        <w:t>behavioural</w:t>
      </w:r>
      <w:proofErr w:type="spellEnd"/>
      <w:r w:rsidRPr="00236392">
        <w:rPr>
          <w:rFonts w:ascii="Times New Roman" w:eastAsia="DengXian" w:hAnsi="Times New Roman" w:cs="Times New Roman"/>
          <w:i/>
          <w:iCs/>
        </w:rPr>
        <w:t xml:space="preserve">, relational and personal, and their roles in shaping customer retention through satisfaction and brand loyalty. Drawing on Experiential Marketing Theory and Brand Equity Theory, the paper synthesizes existing literature and proposes a conceptual model that positions brand love and </w:t>
      </w:r>
      <w:proofErr w:type="spellStart"/>
      <w:r w:rsidRPr="00236392">
        <w:rPr>
          <w:rFonts w:ascii="Times New Roman" w:eastAsia="DengXian" w:hAnsi="Times New Roman" w:cs="Times New Roman"/>
          <w:i/>
          <w:iCs/>
        </w:rPr>
        <w:t>organisational</w:t>
      </w:r>
      <w:proofErr w:type="spellEnd"/>
      <w:r w:rsidRPr="00236392">
        <w:rPr>
          <w:rFonts w:ascii="Times New Roman" w:eastAsia="DengXian" w:hAnsi="Times New Roman" w:cs="Times New Roman"/>
          <w:i/>
          <w:iCs/>
        </w:rPr>
        <w:t xml:space="preserve"> culture as mediators in the brand experience (retention relationship). It argues that QSRs in Port Harcourt, Rivers State can build lasting customer relationships by strategically enhancing brand experiences across these dimensions. The paper concludes by offering testable propositions and highlighting theoretical and managerial implications for future research and hospitality brand strategy.</w:t>
      </w:r>
    </w:p>
    <w:p w14:paraId="42147640"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b/>
          <w:bCs/>
        </w:rPr>
        <w:t>Keywords</w:t>
      </w:r>
      <w:r w:rsidRPr="00236392">
        <w:rPr>
          <w:rFonts w:ascii="Times New Roman" w:eastAsia="DengXian" w:hAnsi="Times New Roman" w:cs="Times New Roman"/>
        </w:rPr>
        <w:t>: Brand experience, customer retention, quick service restaurants, experiential marketing, brand loyalty, Port Harcourt, Rivers State</w:t>
      </w:r>
    </w:p>
    <w:p w14:paraId="26094726" w14:textId="77777777" w:rsidR="00236392" w:rsidRPr="00236392" w:rsidRDefault="00236392" w:rsidP="00236392">
      <w:pPr>
        <w:spacing w:line="240" w:lineRule="auto"/>
        <w:jc w:val="both"/>
        <w:rPr>
          <w:rFonts w:ascii="Times New Roman" w:eastAsia="DengXian" w:hAnsi="Times New Roman" w:cs="Times New Roman"/>
        </w:rPr>
      </w:pPr>
    </w:p>
    <w:p w14:paraId="4CFB44BC"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1. Introduction</w:t>
      </w:r>
    </w:p>
    <w:p w14:paraId="5E88C885"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In the rapidly evolving landscape of the global hospitality industry, customer expectations are increasingly shaped by immersive and meaningful brand interactions. Nowhere is this truer than in Quick Service Restaurants (QSRs), where consumers demand not only efficiency and affordability but also emotionally resonant and memorable service experiences. The competitive intensity within Port Harcourt, Rivers State, a major urban and economic hub in Nigeria’s Niger Delta, compels QSR operators to move beyond product-centric strategies and embrace experience-based differentiation.</w:t>
      </w:r>
    </w:p>
    <w:p w14:paraId="4081898E"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Brand experience has emerged as a vital construct in service marketing literature, representing the sum of sensory, emotional, cognitive,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relational and personal interactions that customers have with a brand. Research suggests that well-orchestrated brand experiences enhance satisfaction, build loyalty and ultimately drive customer retention, an essential metric in service industries with high customer turnover.</w:t>
      </w:r>
    </w:p>
    <w:p w14:paraId="4486F45D"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While a substantial body of research has explored brand experience in Western and Asian contexts, limited attention has been paid to its nuanced applications within Nigeria’s hospitality sector, particularly in Port Harcourt. Given the unique sociocultural dynamics, consumer </w:t>
      </w:r>
      <w:proofErr w:type="spellStart"/>
      <w:r w:rsidRPr="00236392">
        <w:rPr>
          <w:rFonts w:ascii="Times New Roman" w:eastAsia="DengXian" w:hAnsi="Times New Roman" w:cs="Times New Roman"/>
        </w:rPr>
        <w:t>behaviour</w:t>
      </w:r>
      <w:proofErr w:type="spellEnd"/>
      <w:r w:rsidRPr="00236392">
        <w:rPr>
          <w:rFonts w:ascii="Times New Roman" w:eastAsia="DengXian" w:hAnsi="Times New Roman" w:cs="Times New Roman"/>
        </w:rPr>
        <w:t xml:space="preserve"> patterns and service delivery challenges in the region, a contextual rethinking of how brand experience contributes to customer retention is both timely and necessary.</w:t>
      </w:r>
    </w:p>
    <w:p w14:paraId="08595D38"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lastRenderedPageBreak/>
        <w:t xml:space="preserve">This conceptual paper seeks to reconceptualize brand experience as a multi-dimensional construct that can significantly influence customer retention in Port Harcourt’s quick service restaurants industry. Drawing on Experiential Marketing Theory and Brand Equity Theory, the paper integrates relevant literature to develop a conceptual model that highlights brand love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as mediating variables. In doing so, it aims to enrich the theoretical understanding of brand experience while offering practical insights for QSR operators aiming to cultivate loyal customer bases in the region.</w:t>
      </w:r>
    </w:p>
    <w:p w14:paraId="6759E11E"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2. Literature Review</w:t>
      </w:r>
    </w:p>
    <w:p w14:paraId="7E1E2971"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2.1 Conceptualizing Brand Experience</w:t>
      </w:r>
    </w:p>
    <w:p w14:paraId="6628C351"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Brand experience refers to the internal and subjective consumer responses (sensory, emotional, cognitive and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that are triggered by brand-related stimuli across various consumer touchpoints (Brakus, Schmitt, &amp; </w:t>
      </w:r>
      <w:proofErr w:type="spellStart"/>
      <w:r w:rsidRPr="00236392">
        <w:rPr>
          <w:rFonts w:ascii="Times New Roman" w:eastAsia="DengXian" w:hAnsi="Times New Roman" w:cs="Times New Roman"/>
        </w:rPr>
        <w:t>Zarantonello</w:t>
      </w:r>
      <w:proofErr w:type="spellEnd"/>
      <w:r w:rsidRPr="00236392">
        <w:rPr>
          <w:rFonts w:ascii="Times New Roman" w:eastAsia="DengXian" w:hAnsi="Times New Roman" w:cs="Times New Roman"/>
        </w:rPr>
        <w:t>, 2009). These responses are not limited to product usage but are also shaped by brand communication, retail environment, online interactions and staff conduct. Unlike traditional marketing constructs that focus on functional attributes, pricing or product quality, brand experience emphasizes holistic, multisensory and interactive engagement (Schmitt, 1999; Iglesias, Singh, &amp; Batista-Foguet, 2011).</w:t>
      </w:r>
    </w:p>
    <w:p w14:paraId="44D9F096"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In the hospitality sector, particularly in Quick Service Restaurants (QSRs), customer interaction is typically brief and transactional. However, the impact of those interactions on customer perception and </w:t>
      </w:r>
      <w:proofErr w:type="spellStart"/>
      <w:r w:rsidRPr="00236392">
        <w:rPr>
          <w:rFonts w:ascii="Times New Roman" w:eastAsia="DengXian" w:hAnsi="Times New Roman" w:cs="Times New Roman"/>
        </w:rPr>
        <w:t>behaviour</w:t>
      </w:r>
      <w:proofErr w:type="spellEnd"/>
      <w:r w:rsidRPr="00236392">
        <w:rPr>
          <w:rFonts w:ascii="Times New Roman" w:eastAsia="DengXian" w:hAnsi="Times New Roman" w:cs="Times New Roman"/>
        </w:rPr>
        <w:t xml:space="preserve"> can be profound. Customers form impressions not only from the product (e.g., taste and quality of food) but also from intangible elements such as service ambiance, employee demeanor, waiting time and branding aesthetics (Kim, Jin-Sun, &amp; Kim, 2008). A compelling brand experience contributes to greater satisfaction, emotional connection and future loyalty (Iglesias et al., 2011; Ha &amp; Perks, 2005).</w:t>
      </w:r>
    </w:p>
    <w:p w14:paraId="77EF957D"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Schmitt’s (1999) Strategic Experiential Modules (SEMs) provide a foundational framework for understanding the dimensions of brand experience. These modules include: sensory, emotional, intellectual,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and relational experiences. More recent literature has expanded this framework to include personal experience, recognizing that consumers often use brands as tools for self-expression and identity formation (Escalas &amp; Bettman, 2005; Coelho, Rita, &amp; Santos, 2018). This identity-aligned experience enables brands to become embedded in the consumer’s life narrative, thereby strengthening brand attachment and long-term loyalty.</w:t>
      </w:r>
    </w:p>
    <w:p w14:paraId="3D46C4F0"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Importantly, brand experience is not inherently positive or negative; it varies in intensity, valence and duration (Keller &amp; Lehmann, 2006). Its impact depends on how consistently and meaningfully brands manage their touchpoints across both physical and digital environments. In service-dominated sectors like hospitality, where direct interpersonal interactions play an important role, the quality of brand experience can significantly shape overall consumer evaluations and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intentions (Verhoef et al., 2009). Furthermore, brand experience is closely tied to brand equity, brand trust and customer retention, serving as a mediating construct in the customer-brand relationship (Nysveen, Pedersen, &amp; </w:t>
      </w:r>
      <w:proofErr w:type="spellStart"/>
      <w:r w:rsidRPr="00236392">
        <w:rPr>
          <w:rFonts w:ascii="Times New Roman" w:eastAsia="DengXian" w:hAnsi="Times New Roman" w:cs="Times New Roman"/>
        </w:rPr>
        <w:t>Skard</w:t>
      </w:r>
      <w:proofErr w:type="spellEnd"/>
      <w:r w:rsidRPr="00236392">
        <w:rPr>
          <w:rFonts w:ascii="Times New Roman" w:eastAsia="DengXian" w:hAnsi="Times New Roman" w:cs="Times New Roman"/>
        </w:rPr>
        <w:t xml:space="preserve">, 2013; Sahin, </w:t>
      </w:r>
      <w:proofErr w:type="spellStart"/>
      <w:r w:rsidRPr="00236392">
        <w:rPr>
          <w:rFonts w:ascii="Times New Roman" w:eastAsia="DengXian" w:hAnsi="Times New Roman" w:cs="Times New Roman"/>
        </w:rPr>
        <w:t>Zehir</w:t>
      </w:r>
      <w:proofErr w:type="spellEnd"/>
      <w:r w:rsidRPr="00236392">
        <w:rPr>
          <w:rFonts w:ascii="Times New Roman" w:eastAsia="DengXian" w:hAnsi="Times New Roman" w:cs="Times New Roman"/>
        </w:rPr>
        <w:t xml:space="preserve">, &amp; </w:t>
      </w:r>
      <w:proofErr w:type="spellStart"/>
      <w:r w:rsidRPr="00236392">
        <w:rPr>
          <w:rFonts w:ascii="Times New Roman" w:eastAsia="DengXian" w:hAnsi="Times New Roman" w:cs="Times New Roman"/>
        </w:rPr>
        <w:t>Kitapçı</w:t>
      </w:r>
      <w:proofErr w:type="spellEnd"/>
      <w:r w:rsidRPr="00236392">
        <w:rPr>
          <w:rFonts w:ascii="Times New Roman" w:eastAsia="DengXian" w:hAnsi="Times New Roman" w:cs="Times New Roman"/>
        </w:rPr>
        <w:t>, 2011). As consumers increasingly prioritize experience over mere transactional value, managing brand experience has become a critical strategy for firms aiming to differentiate themselves in competitive markets like Port Harcourt’s QSR sector.</w:t>
      </w:r>
    </w:p>
    <w:p w14:paraId="5EFDEDA6"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2.2 Dimensions of Brand Experience</w:t>
      </w:r>
    </w:p>
    <w:p w14:paraId="4E92D790"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Brand experience is inherently multi-dimensional, encompassing several experiential touchpoints through which consumers perceive, evaluate and relate to a brand. In the context of Quick Service Restaurants (QSRs), where interaction with the brand is often brief yet frequent, each dimension plays a unique role in influencing customer satisfaction and retention. Building on Schmitt’s (1999) Strategic Experiential Modules and subsequent extensions by Brakus et al. (2009) and Iglesias et al. (2011), six key dimensions are central to this conceptualization. They are as follows:</w:t>
      </w:r>
    </w:p>
    <w:p w14:paraId="72649C7B" w14:textId="77777777" w:rsidR="00236392" w:rsidRPr="00236392" w:rsidRDefault="00236392" w:rsidP="00236392">
      <w:pPr>
        <w:numPr>
          <w:ilvl w:val="0"/>
          <w:numId w:val="70"/>
        </w:numPr>
        <w:spacing w:line="240" w:lineRule="auto"/>
        <w:ind w:left="480" w:hanging="480"/>
        <w:contextualSpacing/>
        <w:jc w:val="both"/>
        <w:rPr>
          <w:rFonts w:ascii="Times New Roman" w:eastAsia="DengXian" w:hAnsi="Times New Roman" w:cs="Times New Roman"/>
        </w:rPr>
      </w:pPr>
      <w:r w:rsidRPr="00236392">
        <w:rPr>
          <w:rFonts w:ascii="Times New Roman" w:eastAsia="DengXian" w:hAnsi="Times New Roman" w:cs="Times New Roman"/>
          <w:b/>
          <w:bCs/>
        </w:rPr>
        <w:t>Sensory Experience</w:t>
      </w:r>
      <w:r w:rsidRPr="00236392">
        <w:rPr>
          <w:rFonts w:ascii="Times New Roman" w:eastAsia="DengXian" w:hAnsi="Times New Roman" w:cs="Times New Roman"/>
        </w:rPr>
        <w:t xml:space="preserve">: This involves stimuli that engage the five senses — sight, sound, smell, taste and touch — shaping the consumer’s initial perception of a brand. In QSR environments, factors such as visual </w:t>
      </w:r>
      <w:r w:rsidRPr="00236392">
        <w:rPr>
          <w:rFonts w:ascii="Times New Roman" w:eastAsia="DengXian" w:hAnsi="Times New Roman" w:cs="Times New Roman"/>
        </w:rPr>
        <w:lastRenderedPageBreak/>
        <w:t xml:space="preserve">aesthetics (e.g., interior design, packaging, menu boards), ambient music, the aroma of food, tactile elements (e.g., texture of materials) and cleanliness contribute to customers’ sensory evaluations (Krishna, 2012). Research shows that multisensory marketing enhances brand distinctiveness and recall, leading to stronger brand attitudes and satisfaction (Hultén, 2011; Spence et al., 2014). For example, the scent of freshly baked goods or a distinctive </w:t>
      </w:r>
      <w:proofErr w:type="spellStart"/>
      <w:r w:rsidRPr="00236392">
        <w:rPr>
          <w:rFonts w:ascii="Times New Roman" w:eastAsia="DengXian" w:hAnsi="Times New Roman" w:cs="Times New Roman"/>
        </w:rPr>
        <w:t>colour</w:t>
      </w:r>
      <w:proofErr w:type="spellEnd"/>
      <w:r w:rsidRPr="00236392">
        <w:rPr>
          <w:rFonts w:ascii="Times New Roman" w:eastAsia="DengXian" w:hAnsi="Times New Roman" w:cs="Times New Roman"/>
        </w:rPr>
        <w:t xml:space="preserve"> palette in a restaurant chain can create an atmosphere that makes the brand more appealing and memorable.</w:t>
      </w:r>
    </w:p>
    <w:p w14:paraId="18D40D7A" w14:textId="77777777" w:rsidR="00236392" w:rsidRPr="00236392" w:rsidRDefault="00236392" w:rsidP="00236392">
      <w:pPr>
        <w:numPr>
          <w:ilvl w:val="0"/>
          <w:numId w:val="70"/>
        </w:numPr>
        <w:spacing w:line="240" w:lineRule="auto"/>
        <w:ind w:left="480" w:hanging="480"/>
        <w:contextualSpacing/>
        <w:jc w:val="both"/>
        <w:rPr>
          <w:rFonts w:ascii="Times New Roman" w:eastAsia="DengXian" w:hAnsi="Times New Roman" w:cs="Times New Roman"/>
        </w:rPr>
      </w:pPr>
      <w:r w:rsidRPr="00236392">
        <w:rPr>
          <w:rFonts w:ascii="Times New Roman" w:eastAsia="DengXian" w:hAnsi="Times New Roman" w:cs="Times New Roman"/>
          <w:b/>
          <w:bCs/>
        </w:rPr>
        <w:t>Emotional Experience</w:t>
      </w:r>
      <w:r w:rsidRPr="00236392">
        <w:rPr>
          <w:rFonts w:ascii="Times New Roman" w:eastAsia="DengXian" w:hAnsi="Times New Roman" w:cs="Times New Roman"/>
        </w:rPr>
        <w:t>: This refers to the affective responses evoked by a brand, such as feelings of joy, excitement, nostalgia or comfort. These emotions are critical in fostering brand attachment and loyalty (Morrison &amp; Crane, 2007). In QSRs, positive emotional experiences may arise from friendly staff, timely service, personalized greetings or surprise treats. Emotional connection has been shown to strengthen brand advocacy and reduce price sensitivity (Thomson, MacInnis, &amp; Park, 2005; Iglesias et al., 2011). For instance, a customer who consistently receives courteous service may develop a positive emotional bond that encourages repeat visits.</w:t>
      </w:r>
    </w:p>
    <w:p w14:paraId="1A15BF4A" w14:textId="77777777" w:rsidR="00236392" w:rsidRPr="00236392" w:rsidRDefault="00236392" w:rsidP="00236392">
      <w:pPr>
        <w:numPr>
          <w:ilvl w:val="0"/>
          <w:numId w:val="70"/>
        </w:numPr>
        <w:spacing w:line="240" w:lineRule="auto"/>
        <w:ind w:left="480" w:hanging="480"/>
        <w:contextualSpacing/>
        <w:jc w:val="both"/>
        <w:rPr>
          <w:rFonts w:ascii="Times New Roman" w:eastAsia="DengXian" w:hAnsi="Times New Roman" w:cs="Times New Roman"/>
        </w:rPr>
      </w:pPr>
      <w:r w:rsidRPr="00236392">
        <w:rPr>
          <w:rFonts w:ascii="Times New Roman" w:eastAsia="DengXian" w:hAnsi="Times New Roman" w:cs="Times New Roman"/>
          <w:b/>
          <w:bCs/>
        </w:rPr>
        <w:t>Intellectual Experience</w:t>
      </w:r>
      <w:r w:rsidRPr="00236392">
        <w:rPr>
          <w:rFonts w:ascii="Times New Roman" w:eastAsia="DengXian" w:hAnsi="Times New Roman" w:cs="Times New Roman"/>
        </w:rPr>
        <w:t xml:space="preserve">: Intellectual experience stimulates consumers’ curiosity, creativity and problem-solving faculties. It is driven by brands that challenge customers to think, question or engage cognitively. In QSRs, this may take the form of interactive digital menus, </w:t>
      </w:r>
      <w:proofErr w:type="spellStart"/>
      <w:r w:rsidRPr="00236392">
        <w:rPr>
          <w:rFonts w:ascii="Times New Roman" w:eastAsia="DengXian" w:hAnsi="Times New Roman" w:cs="Times New Roman"/>
        </w:rPr>
        <w:t>customisable</w:t>
      </w:r>
      <w:proofErr w:type="spellEnd"/>
      <w:r w:rsidRPr="00236392">
        <w:rPr>
          <w:rFonts w:ascii="Times New Roman" w:eastAsia="DengXian" w:hAnsi="Times New Roman" w:cs="Times New Roman"/>
        </w:rPr>
        <w:t xml:space="preserve"> ordering systems, innovative product offerings or engaging brand storytelling (</w:t>
      </w:r>
      <w:proofErr w:type="spellStart"/>
      <w:r w:rsidRPr="00236392">
        <w:rPr>
          <w:rFonts w:ascii="Times New Roman" w:eastAsia="DengXian" w:hAnsi="Times New Roman" w:cs="Times New Roman"/>
        </w:rPr>
        <w:t>Zarantonello</w:t>
      </w:r>
      <w:proofErr w:type="spellEnd"/>
      <w:r w:rsidRPr="00236392">
        <w:rPr>
          <w:rFonts w:ascii="Times New Roman" w:eastAsia="DengXian" w:hAnsi="Times New Roman" w:cs="Times New Roman"/>
        </w:rPr>
        <w:t xml:space="preserve"> &amp; Schmitt, 2010). Intellectual stimulation enhances mental engagement, creating a deeper sense of involvement with the brand. Take for instance, a burger brand that allows customers to 'build their own meal' using a touchscreen interface may stimulate intellectual engagement and foster a sense of control and participation.</w:t>
      </w:r>
    </w:p>
    <w:p w14:paraId="4F5835AD" w14:textId="77777777" w:rsidR="00236392" w:rsidRPr="00236392" w:rsidRDefault="00236392" w:rsidP="00236392">
      <w:pPr>
        <w:numPr>
          <w:ilvl w:val="0"/>
          <w:numId w:val="70"/>
        </w:numPr>
        <w:spacing w:line="240" w:lineRule="auto"/>
        <w:ind w:left="480" w:hanging="480"/>
        <w:contextualSpacing/>
        <w:jc w:val="both"/>
        <w:rPr>
          <w:rFonts w:ascii="Times New Roman" w:eastAsia="DengXian" w:hAnsi="Times New Roman" w:cs="Times New Roman"/>
        </w:rPr>
      </w:pPr>
      <w:proofErr w:type="spellStart"/>
      <w:r w:rsidRPr="00236392">
        <w:rPr>
          <w:rFonts w:ascii="Times New Roman" w:eastAsia="DengXian" w:hAnsi="Times New Roman" w:cs="Times New Roman"/>
          <w:b/>
          <w:bCs/>
        </w:rPr>
        <w:t>Behavioural</w:t>
      </w:r>
      <w:proofErr w:type="spellEnd"/>
      <w:r w:rsidRPr="00236392">
        <w:rPr>
          <w:rFonts w:ascii="Times New Roman" w:eastAsia="DengXian" w:hAnsi="Times New Roman" w:cs="Times New Roman"/>
          <w:b/>
          <w:bCs/>
        </w:rPr>
        <w:t xml:space="preserve"> Experience</w:t>
      </w:r>
      <w:r w:rsidRPr="00236392">
        <w:rPr>
          <w:rFonts w:ascii="Times New Roman" w:eastAsia="DengXian" w:hAnsi="Times New Roman" w:cs="Times New Roman"/>
        </w:rPr>
        <w:t xml:space="preserve">: This captures the physical actions and lifestyle </w:t>
      </w:r>
      <w:proofErr w:type="spellStart"/>
      <w:r w:rsidRPr="00236392">
        <w:rPr>
          <w:rFonts w:ascii="Times New Roman" w:eastAsia="DengXian" w:hAnsi="Times New Roman" w:cs="Times New Roman"/>
        </w:rPr>
        <w:t>behaviours</w:t>
      </w:r>
      <w:proofErr w:type="spellEnd"/>
      <w:r w:rsidRPr="00236392">
        <w:rPr>
          <w:rFonts w:ascii="Times New Roman" w:eastAsia="DengXian" w:hAnsi="Times New Roman" w:cs="Times New Roman"/>
        </w:rPr>
        <w:t xml:space="preserve"> that brands encourage in consumers. These include repeat patronage, participation in loyalty </w:t>
      </w:r>
      <w:proofErr w:type="spellStart"/>
      <w:r w:rsidRPr="00236392">
        <w:rPr>
          <w:rFonts w:ascii="Times New Roman" w:eastAsia="DengXian" w:hAnsi="Times New Roman" w:cs="Times New Roman"/>
        </w:rPr>
        <w:t>programmes</w:t>
      </w:r>
      <w:proofErr w:type="spellEnd"/>
      <w:r w:rsidRPr="00236392">
        <w:rPr>
          <w:rFonts w:ascii="Times New Roman" w:eastAsia="DengXian" w:hAnsi="Times New Roman" w:cs="Times New Roman"/>
        </w:rPr>
        <w:t xml:space="preserve">, use of branded merchandise or adoption of brand values (Brakus et al., 2009). QSRs can foster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engagement through loyalty apps, rewards </w:t>
      </w:r>
      <w:proofErr w:type="spellStart"/>
      <w:r w:rsidRPr="00236392">
        <w:rPr>
          <w:rFonts w:ascii="Times New Roman" w:eastAsia="DengXian" w:hAnsi="Times New Roman" w:cs="Times New Roman"/>
        </w:rPr>
        <w:t>programmes</w:t>
      </w:r>
      <w:proofErr w:type="spellEnd"/>
      <w:r w:rsidRPr="00236392">
        <w:rPr>
          <w:rFonts w:ascii="Times New Roman" w:eastAsia="DengXian" w:hAnsi="Times New Roman" w:cs="Times New Roman"/>
        </w:rPr>
        <w:t xml:space="preserve"> or social media challenges that promote interaction and habitual use. Consider for instance, a 'buy five meals, get one free' reward card can influence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patterns and increase visit frequency.</w:t>
      </w:r>
    </w:p>
    <w:p w14:paraId="061005BE" w14:textId="77777777" w:rsidR="00236392" w:rsidRPr="00236392" w:rsidRDefault="00236392" w:rsidP="00236392">
      <w:pPr>
        <w:numPr>
          <w:ilvl w:val="0"/>
          <w:numId w:val="70"/>
        </w:numPr>
        <w:spacing w:line="240" w:lineRule="auto"/>
        <w:ind w:left="480" w:hanging="480"/>
        <w:contextualSpacing/>
        <w:jc w:val="both"/>
        <w:rPr>
          <w:rFonts w:ascii="Times New Roman" w:eastAsia="DengXian" w:hAnsi="Times New Roman" w:cs="Times New Roman"/>
        </w:rPr>
      </w:pPr>
      <w:r w:rsidRPr="00236392">
        <w:rPr>
          <w:rFonts w:ascii="Times New Roman" w:eastAsia="DengXian" w:hAnsi="Times New Roman" w:cs="Times New Roman"/>
          <w:b/>
          <w:bCs/>
        </w:rPr>
        <w:t>Relational Experience</w:t>
      </w:r>
      <w:r w:rsidRPr="00236392">
        <w:rPr>
          <w:rFonts w:ascii="Times New Roman" w:eastAsia="DengXian" w:hAnsi="Times New Roman" w:cs="Times New Roman"/>
        </w:rPr>
        <w:t xml:space="preserve">: Relational experience refers to the interpersonal connections facilitated by the brand, both between the brand and its consumers, and among consumers themselves. This dimension is closely tied to relationship marketing, trust-building and brand community engagement (McAlexander et al., 2002; Fournier, 1998). In QSRs, relational experiences may stem from </w:t>
      </w:r>
      <w:proofErr w:type="spellStart"/>
      <w:r w:rsidRPr="00236392">
        <w:rPr>
          <w:rFonts w:ascii="Times New Roman" w:eastAsia="DengXian" w:hAnsi="Times New Roman" w:cs="Times New Roman"/>
        </w:rPr>
        <w:t>personalised</w:t>
      </w:r>
      <w:proofErr w:type="spellEnd"/>
      <w:r w:rsidRPr="00236392">
        <w:rPr>
          <w:rFonts w:ascii="Times New Roman" w:eastAsia="DengXian" w:hAnsi="Times New Roman" w:cs="Times New Roman"/>
        </w:rPr>
        <w:t xml:space="preserve"> service, community involvement or even interactions on social media platforms. Example, a local QSR that sponsors community events or responds actively to customer feedback online may foster stronger relational bonds and customer loyalty.</w:t>
      </w:r>
    </w:p>
    <w:p w14:paraId="2FB8FFF9" w14:textId="77777777" w:rsidR="00236392" w:rsidRPr="00236392" w:rsidRDefault="00236392" w:rsidP="00236392">
      <w:pPr>
        <w:numPr>
          <w:ilvl w:val="0"/>
          <w:numId w:val="70"/>
        </w:numPr>
        <w:spacing w:line="240" w:lineRule="auto"/>
        <w:ind w:left="480" w:hanging="480"/>
        <w:contextualSpacing/>
        <w:jc w:val="both"/>
        <w:rPr>
          <w:rFonts w:ascii="Times New Roman" w:eastAsia="DengXian" w:hAnsi="Times New Roman" w:cs="Times New Roman"/>
        </w:rPr>
      </w:pPr>
      <w:r w:rsidRPr="00236392">
        <w:rPr>
          <w:rFonts w:ascii="Times New Roman" w:eastAsia="DengXian" w:hAnsi="Times New Roman" w:cs="Times New Roman"/>
          <w:b/>
          <w:bCs/>
        </w:rPr>
        <w:t>Personal Experience</w:t>
      </w:r>
      <w:r w:rsidRPr="00236392">
        <w:rPr>
          <w:rFonts w:ascii="Times New Roman" w:eastAsia="DengXian" w:hAnsi="Times New Roman" w:cs="Times New Roman"/>
        </w:rPr>
        <w:t>: Personal experience captures how consumers internalize the brand as part of their self-concept and identity. This dimension is particularly important in identity-driven consumption, where consumers use brands to express who they are or aspire to be (Escalas &amp; Bettman, 2005; Coelho et al., 2018). QSR brands that align with personal values (such as sustainability, affordability or convenience) are more likely to achieve deep-seated loyalty. For example, a customer who identifies with a brand that promotes local sourcing or cultural heritage may develop a stronger attachment based on shared values.</w:t>
      </w:r>
    </w:p>
    <w:p w14:paraId="6740C4E7"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2.3 Empirical Review</w:t>
      </w:r>
    </w:p>
    <w:p w14:paraId="3ACEBCC4"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2.3.1 Brand Experience and Customer Retention</w:t>
      </w:r>
    </w:p>
    <w:p w14:paraId="282C85CB"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Customer retention refers to a brand's ability to sustain long-term relationships with its customers, often reflected in repeated patronage, customer satisfaction and brand advocacy. It is a vital strategic objective in service industries like hospitality, where profitability and competitiveness are closely tied to customer loyalty (Reichheld &amp; Sasser, 1990; Payne &amp; Frow, 2017). Retention not only reduces marketing and acquisition costs but also increases customer lifetime value and enhances word-of-mouth promotion.</w:t>
      </w:r>
    </w:p>
    <w:p w14:paraId="4F158760"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Scholars have established that brand experience plays a central role in shaping consumer perceptions, emotional connection and decision-making — all of which contribute to retention outcomes (Brakus et al., 2009; Iglesias </w:t>
      </w:r>
      <w:r w:rsidRPr="00236392">
        <w:rPr>
          <w:rFonts w:ascii="Times New Roman" w:eastAsia="DengXian" w:hAnsi="Times New Roman" w:cs="Times New Roman"/>
        </w:rPr>
        <w:lastRenderedPageBreak/>
        <w:t>et al., 2011). Rich, multidimensional experiences, especially those that are sensory-engaging, emotionally resonant and personally relevant, tend to increase customer satisfaction and brand loyalty, the two primary measures of retention (Oliver, 1999; Sahin et al., 2011).</w:t>
      </w:r>
    </w:p>
    <w:p w14:paraId="07F7446C"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Iglesias, et al. (2019) conducted a study aimed at investigating how sensory brand experience affects brand equity through the mediating role of customer satisfaction and customer affective commitment. The research also explored whether employee empathy moderates the impacts of sensory brand experience on customer satisfaction. The study adopted a quantitative research design and collected data from 1,739 customers using structured questionnaires. The sample was drawn from the banking industry, employing a convenience sampling technique. Data analysis was performed using path analysis to test the hypothesized structural model. The findings showed that sensory brand experience positively influences customer satisfaction, which in turn strengthens customer affective commitment and brand equity. The researchers recommended focusing on both sensory and empathetic components in service environments to enhance satisfaction </w:t>
      </w:r>
      <w:proofErr w:type="gramStart"/>
      <w:r w:rsidRPr="00236392">
        <w:rPr>
          <w:rFonts w:ascii="Times New Roman" w:eastAsia="DengXian" w:hAnsi="Times New Roman" w:cs="Times New Roman"/>
        </w:rPr>
        <w:t>levels .</w:t>
      </w:r>
      <w:proofErr w:type="gramEnd"/>
    </w:p>
    <w:p w14:paraId="34088ED8" w14:textId="77777777" w:rsidR="00236392" w:rsidRPr="00236392" w:rsidRDefault="00236392" w:rsidP="00236392">
      <w:pPr>
        <w:spacing w:afterLines="100" w:after="24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Özer and Köse (2018) examined </w:t>
      </w:r>
      <w:proofErr w:type="gramStart"/>
      <w:r w:rsidRPr="00236392">
        <w:rPr>
          <w:rFonts w:ascii="Times New Roman" w:eastAsia="DengXian" w:hAnsi="Times New Roman" w:cs="Times New Roman"/>
        </w:rPr>
        <w:t>The</w:t>
      </w:r>
      <w:proofErr w:type="gramEnd"/>
      <w:r w:rsidRPr="00236392">
        <w:rPr>
          <w:rFonts w:ascii="Times New Roman" w:eastAsia="DengXian" w:hAnsi="Times New Roman" w:cs="Times New Roman"/>
        </w:rPr>
        <w:t xml:space="preserve"> relationship between brand experience and brand name with customer satisfaction. The study used a field survey approach involving 300 students at Trakya University, specifically targeting students from the Faculty of Economics and Administrative Sciences and the Social Sciences Institute. Participants were required to have prior experience with the selected fast-food brand. A structured questionnaire was the main data collection tool, and bivariate correlation analysis was used to assess the relationships between the variables. Findings indicated that sensory brand experience significantly contributes to customer satisfaction, showing a positive and moderate relationship. This aligns with the proposed relationship between sensory experience and guest satisfaction, affirming that when guests have positive sensory interactions, it enhances their overall satisfaction. The authors recommended that service providers in the hospitality industry should invest in multi-sensory brand strategies to foster guest </w:t>
      </w:r>
      <w:proofErr w:type="gramStart"/>
      <w:r w:rsidRPr="00236392">
        <w:rPr>
          <w:rFonts w:ascii="Times New Roman" w:eastAsia="DengXian" w:hAnsi="Times New Roman" w:cs="Times New Roman"/>
        </w:rPr>
        <w:t>satisfaction .</w:t>
      </w:r>
      <w:proofErr w:type="gramEnd"/>
    </w:p>
    <w:p w14:paraId="475CC35E"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Lima, et al. (2019) conducted a study aimed to assess the impact of brand experience on customer satisfaction and brand loyalty in the smartphone industry. Using a cross-sectional survey, data was collected from 570 respondents across 120 cities in Brazil. The sampling was purposive, targeting only smartphone users who had interacted with the brand for a significant period. Questionnaires were used as the research instrument, and data was analyzed using multivariate data analysis techniques, such as structural equation modeling (SEM). Results revealed that sensory brand experience positively influences customer satisfaction, which subsequently enhances brand loyalty. The study also confirmed that sensory elements play a significant role in shaping consumer perceptions, satisfaction, and ultimately retention. While the study was conducted in the technology sector, it supports the broader notion that sensory experiences contribute to higher levels of customer satisfaction and loyalty, which can be translated into hospitality settings as well.</w:t>
      </w:r>
    </w:p>
    <w:p w14:paraId="4CBFD141" w14:textId="77777777" w:rsidR="00236392" w:rsidRPr="00236392" w:rsidRDefault="00236392" w:rsidP="00236392">
      <w:pPr>
        <w:spacing w:afterLines="50" w:after="120" w:line="240" w:lineRule="auto"/>
        <w:jc w:val="both"/>
        <w:rPr>
          <w:rFonts w:ascii="Times New Roman" w:eastAsia="DengXian" w:hAnsi="Times New Roman" w:cs="Times New Roman"/>
        </w:rPr>
      </w:pPr>
    </w:p>
    <w:p w14:paraId="75CB77DD"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19C23D8B"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Moreira, et al. (2017) conducted a study titled Influence of sensory stimuli on brand experience, brand equity and purchase intention. The study aimed to explore how sensory stimuli impact brand experience, which subsequently affects brand equity and purchase intention. The authors developed a model to assess the mediating roles of brand experience and brand equity in the relationship between sensory stimulation and purchase intention. The study adopted a quantitative research design using an online survey to collect data from 302 customers of a catering brand. A convenience sampling technique was applied, and data were analyzed using the Partial Least Squares Structural Equation Modeling (PLS-SEM) method. Findings showed that sensory stimuli significantly influenced brand experience, which in turn strengthened brand equity and positively impacted purchase intentions. This implies that an enhanced sensory experience fosters a stronger emotional connection, resulting in greater customer loyalty. Although the study did not directly address brand loyalty, the strong relationship between sensory experience and purchase intention indicates that sensory factors play a crucial role in influencing customers' repeated engagement and loyalty. The researchers recommended that brands, particularly in the hospitality sector, should integrate sensory marketing strategies to foster brand loyalty.</w:t>
      </w:r>
    </w:p>
    <w:p w14:paraId="4BBFB278"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lastRenderedPageBreak/>
        <w:t>Ong, et al. (2018) investigated the Impact of brand experience on loyalty. The primary objective of the research was to determine how different components of brand experience (sensory, affective, behavioral, and intellectual) contribute to customer loyalty. A survey design was used, targeting 228 customers from successful small and medium-sized enterprises (SMEs) in the restaurant industry. The sampling technique was purposive, focusing on customers who had previous interactions with the selected brands. A structured questionnaire was the main instrument used to gather data, and analysis was conducted using multiple regression techniques. The results revealed that sensory and affective experiences had the most substantial impact on true brand loyalty, indicating that customers' sensory perceptions significantly influence their loyalty towards a brand. The authors concluded that businesses should focus on creating multi-dimensional brand experiences to sustain loyalty and enhance brand equity.</w:t>
      </w:r>
    </w:p>
    <w:p w14:paraId="142E8F8C"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Zha, et al. (2024) conducted a study titled Examining the Impact of Sensory Brand Experience on Brand Loyalty. The research aimed to assess the effect of five sensory cues (visual, auditory, olfactory, tactile, and taste) on brand loyalty through mediating variables such as customer satisfaction, brand attachment, and customer </w:t>
      </w:r>
      <w:proofErr w:type="spellStart"/>
      <w:r w:rsidRPr="00236392">
        <w:rPr>
          <w:rFonts w:ascii="Times New Roman" w:eastAsia="DengXian" w:hAnsi="Times New Roman" w:cs="Times New Roman"/>
        </w:rPr>
        <w:t>lovemarks</w:t>
      </w:r>
      <w:proofErr w:type="spellEnd"/>
      <w:r w:rsidRPr="00236392">
        <w:rPr>
          <w:rFonts w:ascii="Times New Roman" w:eastAsia="DengXian" w:hAnsi="Times New Roman" w:cs="Times New Roman"/>
        </w:rPr>
        <w:t xml:space="preserve">. The study adopted a mixed-methods approach, combining quantitative data from 512 Chinese consumers and qualitative insights from 10 in-depth interviews and 4 focus group discussions. The sampling technique was multi-stage, targeting consumers with consistent brand interactions. Data were analyzed using Structural Equation Modeling (SEM) for the quantitative aspect and thematic analysis for qualitative data. The findings indicated that each sensory cue significantly impacted brand loyalty, but not all dimensions of customer satisfaction and brand attachment led to loyalty. Interestingly, employee empathy negatively moderated the relationship between sensory brand experience and customer </w:t>
      </w:r>
      <w:proofErr w:type="spellStart"/>
      <w:r w:rsidRPr="00236392">
        <w:rPr>
          <w:rFonts w:ascii="Times New Roman" w:eastAsia="DengXian" w:hAnsi="Times New Roman" w:cs="Times New Roman"/>
        </w:rPr>
        <w:t>lovemarks</w:t>
      </w:r>
      <w:proofErr w:type="spellEnd"/>
      <w:r w:rsidRPr="00236392">
        <w:rPr>
          <w:rFonts w:ascii="Times New Roman" w:eastAsia="DengXian" w:hAnsi="Times New Roman" w:cs="Times New Roman"/>
        </w:rPr>
        <w:t>, suggesting that overly empathetic interactions might reduce the effect of sensory experiences on brand loyalty. The researchers recommended that hospitality businesses should optimize sensory cues to create a holistic experience that builds long-term loyalty, while ensuring that employee interactions do not overshadow the sensory impact.</w:t>
      </w:r>
    </w:p>
    <w:p w14:paraId="59459B31"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5E5F7C84"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Wijaya and </w:t>
      </w:r>
      <w:proofErr w:type="spellStart"/>
      <w:r w:rsidRPr="00236392">
        <w:rPr>
          <w:rFonts w:ascii="Times New Roman" w:eastAsia="DengXian" w:hAnsi="Times New Roman" w:cs="Times New Roman"/>
        </w:rPr>
        <w:t>Yulita</w:t>
      </w:r>
      <w:proofErr w:type="spellEnd"/>
      <w:r w:rsidRPr="00236392">
        <w:rPr>
          <w:rFonts w:ascii="Times New Roman" w:eastAsia="DengXian" w:hAnsi="Times New Roman" w:cs="Times New Roman"/>
        </w:rPr>
        <w:t xml:space="preserve"> (2020) investigated the effect of emotional experience on customer satisfaction, electronic word-of-mouth (e-WOM), and loyalty in the context of Lion Air. The research aimed to explore how emotional experiences, particularly negative ones resulting from service disruptions like delays, influenced customer satisfaction and loyalty. A quantitative method was employed, utilizing a purposive sampling technique to select a sample of 100 respondents who had previously used Lion Air services. Data were collected using structured questionnaires and analyzed through the SMART PLS 3.0 statistical tool. Findings revealed that negative emotional experiences led to a decline in customer satisfaction, resulting in adverse e-WOM that ultimately affected the airline’s reputation and loyalty. Their study emphasized the need for service providers to manage emotional experiences to maintain positive guest perceptions and satisfaction levels.</w:t>
      </w:r>
    </w:p>
    <w:p w14:paraId="1038CC5E"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Han and Back (2017) examined the relationship between emotional experiences and customer satisfaction within the lodging industry. The objective was to identify key emotional factors that significantly influence guest satisfaction by adapting the Consumption Emotion Set. Using a quantitative research design, 248 valid responses were collected through structured questionnaires distributed among hotel guests. The sample was drawn using a convenience sampling technique. Exploratory factor analysis and regression were employed to determine the effect of various emotional descriptors on guest satisfaction. Their findings revealed that six out of seven identified emotional factors were critical determinants of satisfaction, thereby highlighting the importance of catering to guests' emotional needs during their stay. They recommended that hotel managers focus on fostering positive emotional experiences to enhance overall guest satisfaction.</w:t>
      </w:r>
    </w:p>
    <w:p w14:paraId="6E04E1A7"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Sukhu, et al. (2019) explored the influence of emotional experiences on guest satisfaction by comparing the role of attitudes and beliefs regarding hotel </w:t>
      </w:r>
      <w:proofErr w:type="spellStart"/>
      <w:r w:rsidRPr="00236392">
        <w:rPr>
          <w:rFonts w:ascii="Times New Roman" w:eastAsia="DengXian" w:hAnsi="Times New Roman" w:cs="Times New Roman"/>
        </w:rPr>
        <w:t>servicescapes</w:t>
      </w:r>
      <w:proofErr w:type="spellEnd"/>
      <w:r w:rsidRPr="00236392">
        <w:rPr>
          <w:rFonts w:ascii="Times New Roman" w:eastAsia="DengXian" w:hAnsi="Times New Roman" w:cs="Times New Roman"/>
        </w:rPr>
        <w:t xml:space="preserve">. Using the theory of reasoned action (TRA) and theory of planned behavior (TPB), the researchers developed two models to examine emotional responses and satisfaction. Data were collected via online surveys from 310 guests who stayed in upscale, four-star hotels. Structural equation modeling was used to analyze the data, revealing that the model focusing on guests’ attitudes was a better predictor of emotional responses and satisfaction than the belief model. The study highlighted that </w:t>
      </w:r>
      <w:r w:rsidRPr="00236392">
        <w:rPr>
          <w:rFonts w:ascii="Times New Roman" w:eastAsia="DengXian" w:hAnsi="Times New Roman" w:cs="Times New Roman"/>
        </w:rPr>
        <w:lastRenderedPageBreak/>
        <w:t>emotionally engaged guests are more likely to exhibit positive word-of-mouth behavior than satisfied guests. It was recommended that hotels focus on creating emotional attachment through personalized experiences rather than just meeting functional expectations, as emotional engagement is a stronger predictor of long-term loyalty.</w:t>
      </w:r>
    </w:p>
    <w:p w14:paraId="4C51A3A7" w14:textId="77777777" w:rsidR="00236392" w:rsidRPr="00236392" w:rsidRDefault="00236392" w:rsidP="00236392">
      <w:pPr>
        <w:spacing w:afterLines="50" w:after="120" w:line="240" w:lineRule="auto"/>
        <w:jc w:val="both"/>
        <w:rPr>
          <w:rFonts w:ascii="Times New Roman" w:eastAsia="DengXian" w:hAnsi="Times New Roman" w:cs="Times New Roman"/>
        </w:rPr>
      </w:pPr>
    </w:p>
    <w:p w14:paraId="73000B5E"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63C0FCD9"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Huang and Chen (2022) conducted research in Taiwan’s chain restaurants to analyze how different aspects of emotional experience affect brand loyalty through customer engagement. Their study, utilizing Partial Least Squares Structural Equation Modeling (PLS-SEM) with data from 280 customers, identified that emotional engagement, a dimension of customer engagement, served as the primary mediator for fostering brand loyalty. While affective experiences were found to be a significant driver of emotional engagement, sensory experiences primarily impacted cognitive engagement. Their findings suggest that enhancing customers’ emotional engagement through tailored experiences can significantly deepen brand loyalty, making it a crucial focus area for restaurant managers seeking to build sustainable relationships with their clientele. Consequently, they recommend that restaurants invest in creating emotionally stimulating environments to maximize customer engagement and loyalty.</w:t>
      </w:r>
    </w:p>
    <w:p w14:paraId="7DB0F9A7"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Similarly, et al. (2018) explored how positive emotional experiences influence electronic word-of-mouth (</w:t>
      </w:r>
      <w:proofErr w:type="spellStart"/>
      <w:r w:rsidRPr="00236392">
        <w:rPr>
          <w:rFonts w:ascii="Times New Roman" w:eastAsia="DengXian" w:hAnsi="Times New Roman" w:cs="Times New Roman"/>
        </w:rPr>
        <w:t>eWOM</w:t>
      </w:r>
      <w:proofErr w:type="spellEnd"/>
      <w:r w:rsidRPr="00236392">
        <w:rPr>
          <w:rFonts w:ascii="Times New Roman" w:eastAsia="DengXian" w:hAnsi="Times New Roman" w:cs="Times New Roman"/>
        </w:rPr>
        <w:t xml:space="preserve">) and brand loyalty in the hospitality industry. Their study, based on a sample of 878 customers from Germany and the UK, used Partial Least Squares (PLS) technique to analyze the relationships. They found that positive emotional experiences significantly enhanced satisfaction, </w:t>
      </w:r>
      <w:proofErr w:type="spellStart"/>
      <w:r w:rsidRPr="00236392">
        <w:rPr>
          <w:rFonts w:ascii="Times New Roman" w:eastAsia="DengXian" w:hAnsi="Times New Roman" w:cs="Times New Roman"/>
        </w:rPr>
        <w:t>eWOM</w:t>
      </w:r>
      <w:proofErr w:type="spellEnd"/>
      <w:r w:rsidRPr="00236392">
        <w:rPr>
          <w:rFonts w:ascii="Times New Roman" w:eastAsia="DengXian" w:hAnsi="Times New Roman" w:cs="Times New Roman"/>
        </w:rPr>
        <w:t xml:space="preserve"> generation, and brand reputation, ultimately leading to increased brand loyalty. They highlighted that designing unique, memorable experiences is vital for generating positive </w:t>
      </w:r>
      <w:proofErr w:type="spellStart"/>
      <w:r w:rsidRPr="00236392">
        <w:rPr>
          <w:rFonts w:ascii="Times New Roman" w:eastAsia="DengXian" w:hAnsi="Times New Roman" w:cs="Times New Roman"/>
        </w:rPr>
        <w:t>eWOM</w:t>
      </w:r>
      <w:proofErr w:type="spellEnd"/>
      <w:r w:rsidRPr="00236392">
        <w:rPr>
          <w:rFonts w:ascii="Times New Roman" w:eastAsia="DengXian" w:hAnsi="Times New Roman" w:cs="Times New Roman"/>
        </w:rPr>
        <w:t xml:space="preserve"> and fostering brand loyalty. Their findings suggest that in the hotel industry, focusing on emotional experiences can be more effective in driving brand loyalty than simply improving customer satisfaction.</w:t>
      </w:r>
    </w:p>
    <w:p w14:paraId="0966804B"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Mostafa and </w:t>
      </w:r>
      <w:proofErr w:type="spellStart"/>
      <w:r w:rsidRPr="00236392">
        <w:rPr>
          <w:rFonts w:ascii="Times New Roman" w:eastAsia="DengXian" w:hAnsi="Times New Roman" w:cs="Times New Roman"/>
        </w:rPr>
        <w:t>Kasamani</w:t>
      </w:r>
      <w:proofErr w:type="spellEnd"/>
      <w:r w:rsidRPr="00236392">
        <w:rPr>
          <w:rFonts w:ascii="Times New Roman" w:eastAsia="DengXian" w:hAnsi="Times New Roman" w:cs="Times New Roman"/>
        </w:rPr>
        <w:t xml:space="preserve"> (2021) extended this line of inquiry to the smartphone industry, using the Stimulus-Organism-Response (SOR) model to examine how brand experience (BE) influences brand loyalty through the mediation of emotional brand attachment (EBA) dimensions such as brand passion, self-brand connection, and brand affection. The study, which involved 278 respondents from Lebanon, employed mediation analysis and revealed that emotional brand attachment plays a critical role in transforming brand experiences into long-lasting loyalty. They suggested that brands should focus on enhancing experiential marketing strategies to build deeper emotional connections, which in turn foster strong loyalty. They recommend leveraging emotional brand attachment dimensions like brand passion and affection to solidify consumer-brand relationships, especially in highly competitive markets.</w:t>
      </w:r>
    </w:p>
    <w:p w14:paraId="3C548434"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11609942"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Nysveen, et al. (2018) conducted a study in the hotel sector to investigate the role of innovativeness and green image in shaping brand experience dimensions and their subsequent impact on brand satisfaction. Using data collected from 283 respondents in Norway, their study found that cognitive brand experiences—such as engaging guests in intellectual stimulation through innovative service offerings or eco-friendly initiatives—positively influenced brand satisfaction. Specifically, cognitive experiences were linked to how customers perceived the innovativeness and sustainability efforts of the hotel, which in turn enhanced their satisfaction levels. The study suggests that hotels that focus on providing intellectually stimulating experiences can strengthen brand satisfaction by appealing to customers’ desires for innovative and environmentally conscious practices.</w:t>
      </w:r>
    </w:p>
    <w:p w14:paraId="41E42EB3"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Similarly, et al. (2021) explored the effects of brand experience and brand relationship on customer satisfaction and loyalty in the context of lighting products in Indonesia. Although the study primarily centered around product brands, its insights on the impact of cognitive experiences are applicable to the hospitality industry. The research, conducted with 302 respondents in Greater Jakarta, highlighted that brand experiences—especially those that engage consumers’ intellectual and cognitive faculties—significantly enhanced customer satisfaction and loyalty. The findings emphasize that when brands provide experiences that challenge customers intellectually or </w:t>
      </w:r>
      <w:r w:rsidRPr="00236392">
        <w:rPr>
          <w:rFonts w:ascii="Times New Roman" w:eastAsia="DengXian" w:hAnsi="Times New Roman" w:cs="Times New Roman"/>
        </w:rPr>
        <w:lastRenderedPageBreak/>
        <w:t>appeal to their analytical thinking, it results in a stronger sense of satisfaction. For the hospitality industry, this could translate into offering intellectually enriching activities, such as workshops, themed events, or interactive experiences that resonate with guests’ interests.</w:t>
      </w:r>
    </w:p>
    <w:p w14:paraId="69E06BEE"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Building on these insights, Williams and Thompson (2022) conducted a study titled Intellectual Experience and Guest Satisfaction: A Study of Cognitive Engagement in Luxury Hotel Services using a sample of 250 guests from five luxury hotels in New York City. This study specifically focused on the role of intellectual experiences in shaping guest satisfaction. The researchers defined intellectual experiences as activities that engage guests in cognitive processing, such as art exhibitions, culinary workshops, and historical tours. Using Structural Equation Modeling (SEM), they found that intellectual experiences had a strong positive effect on guest satisfaction by providing a sense of novelty, value, and uniqueness. Additionally, the study found that cognitive engagement acted as a mediator between guest satisfaction and guest loyalty. Guests who were intellectually stimulated during their stay expressed a higher intention to revisit and recommend the hotel, compared to those who did not engage in such activities.</w:t>
      </w:r>
    </w:p>
    <w:p w14:paraId="619980AC"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58EA1FF3"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Safeer, et al. (2021) conducted a study titled The Influence of Brand Experience on Brand Authenticity and Brand Love: An Empirical Study from Asian Consumers’ Perspective to examine the effects of multidimensional brand experiences (i.e., behavioral, intellectual, affective, and sensory) on brand authenticity and brand love among Asian consumers. Using a sample of 418 respondents across 13 Asian countries, the study applied partial least squares structural equation modeling (PLS-SEM) to test the proposed hypotheses. Their results revealed that intellectual experiences, alongside behavioral experiences, did not have a direct significant impact on brand love, while sensory and affective experiences had a strong positive impact on brand love. However, intellectual experiences positively influenced brand authenticity, which in turn positively influenced brand love. Although the direct impact of intellectual experiences on brand loyalty was not significant, the study highlighted that brand authenticity serves as a critical mediator between intellectual experiences and loyalty-related outcomes. Thus, the study suggests that fostering a sense of brand authenticity through intellectual engagement may lead to increased brand loyalty indirectly, even if the direct effects are not immediately apparent.</w:t>
      </w:r>
    </w:p>
    <w:p w14:paraId="28D88279"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Liu, et al. (2020) explored the relationship between brand experience and brand loyalty in the context of upscale hotels in Taiwan in their study titled The Impact of Experience on Brand Loyalty: Mediating Effect of Images of Taiwan Hotels. Using a sample of 334 guests, the study found that intellectual experiences significantly contributed to brand loyalty, as evidenced by a positive correlation (r = .077, t = 7.481). The researchers defined intellectual experience as any hotel service or attribute that stimulates guests’ thoughts, curiosity, and imagination, such as art exhibitions, unique decor, or engaging storytelling. Their findings showed that intellectually stimulating elements like the hotel’s décor and storytelling were positively associated with guests’ willingness to remain loyal even when confronted with negative information or price increases. The study also revealed that brand image served as a partial mediator between intellectual experience and brand loyalty, suggesting that the cognitive impressions created by intellectual experiences helped reinforce a positive brand image, which, in turn, fostered stronger loyalty among guests. This study provides valuable insights into how hospitality brands can leverage intellectual experiences to enhance brand loyalty, particularly by integrating thoughtful and imaginative elements into their service offerings.</w:t>
      </w:r>
    </w:p>
    <w:p w14:paraId="15122397"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In contrast, Pina and Dias (2020) conducted a study titled “The Influence of Brand Experiences on Consumer-Based Brand Equity” to investigate the impact of brand experiences on consumer-based brand equity using a sample of 317 respondents who had consumed Nespresso products in Lisbon, Portugal. The study employed partial least squares (PLS) modeling to analyze the data and found that intellectual experiences had a weak and negative impact on brand loyalty. The researchers suggested that, in the context of Nespresso, intellectual experiences, which aimed to appeal to consumers’ intellect and creativity, were less relevant due to the nature of coffee consumption, which is primarily associated with sensory indulgence rather than cognitive stimulation. As a result, the study concluded that intellectual experiences may not always translate into brand loyalty, especially in product categories where sensory and emotional benefits are more strongly desired by consumers. This finding </w:t>
      </w:r>
      <w:r w:rsidRPr="00236392">
        <w:rPr>
          <w:rFonts w:ascii="Times New Roman" w:eastAsia="DengXian" w:hAnsi="Times New Roman" w:cs="Times New Roman"/>
        </w:rPr>
        <w:lastRenderedPageBreak/>
        <w:t>highlights the importance of context in determining the effectiveness of intellectual experiences on brand loyalty, as not all products or services benefit equally from cognitive engagement.</w:t>
      </w:r>
    </w:p>
    <w:p w14:paraId="73EC2434"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4535E29D"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Tuncer, et al. (2021) aimed to explore the interconnections among service quality, perceived value, and customer satisfaction, specifically focusing on how these factors influence behavioral intentions in the restaurant context. The study utilized an explanatory research design, gathering data from 309 customers through surveys at a selected restaurant. The researchers employed confirmatory factor analysis (CFA) to develop a six-dimensional service quality scale, assessing variables such as food quality, employee service, and facility comfort. Path analysis revealed that service quality positively affects customer satisfaction, while both customer satisfaction and perceived value significantly influence behavioral intentions. The findings suggest that enhancing service quality dimensions, except aesthetics, can lead to higher customer satisfaction and loyalty. This work emphasizes that understanding guest satisfaction through behavioral experiences can help managers refine service delivery strategies, reinforcing the critical relationship between behavioral experiences and overall satisfaction in hospitality contexts.</w:t>
      </w:r>
    </w:p>
    <w:p w14:paraId="3F438776"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Rather, et al. (2021) developed an integrated model examining how customer brand identification, affective commitment, customer satisfaction, and brand trust contribute to customer behavioral intention of loyalty within the hospitality sector. This study targeted 345 hotel guests across six cities in India, employing a survey methodology. Data were analyzed using confirmatory factor analysis followed by structural equation modeling (SEM). The findings highlighted that customer satisfaction directly influences loyalty intentions, and this relationship is further mediated by brand trust and affective commitment. The study underscores the importance of behavioral experiences in fostering customer satisfaction and loyalty, advocating for hotels to foster brand identification and trust as part of enhancing guest experiences. This research aligns with the hypothesis that positive behavioral experiences can significantly impact guest satisfaction.</w:t>
      </w:r>
    </w:p>
    <w:p w14:paraId="1CB09F53"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Pina and Dias (2020) examined the influence of brand experiences on consumer-based brand equity, aiming to understand how different experiential dimensions impact customer perceptions. The research involved an online survey conducted among 317 participants who had previously consumed Nespresso products. Data analysis employed partial least squares (PLS) techniques. The results indicated that while sensory and emotional experiences heavily influence brand equity, intellectual experiences had a limited negative impact on brand loyalty. This finding suggests that behavioral experiences, particularly those that evoke emotional responses, are vital for enhancing guest satisfaction and loyalty. The authors recommend that brands focus on enriching sensory and emotional experiences to strengthen customer ties and satisfaction, reinforcing the need for experiential marketing strategies in the hospitality industry.</w:t>
      </w:r>
    </w:p>
    <w:p w14:paraId="3EDCE461"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Hwang et al. (2021) aimed to investigate the relationship between brand experience and brand loyalty in the context of coffee shops. The study employed a cross-sectional design, surveying customers from establishments operated by both human and robot baristas, with a sample size of 334 respondents. The researchers used structured questionnaires to measure sensory, affective, behavioral, and intellectual brand experiences. Data were analyzed using structural equation modeling (SEM). The findings revealed that all four dimensions of brand experience positively influenced brand satisfaction, which in turn enhanced brand loyalty. The study recommended that coffee shops focus on enhancing customer experiences to foster brand loyalty, emphasizing the importance of integrating behavioral experiences in service </w:t>
      </w:r>
      <w:proofErr w:type="gramStart"/>
      <w:r w:rsidRPr="00236392">
        <w:rPr>
          <w:rFonts w:ascii="Times New Roman" w:eastAsia="DengXian" w:hAnsi="Times New Roman" w:cs="Times New Roman"/>
        </w:rPr>
        <w:t>delivery .</w:t>
      </w:r>
      <w:proofErr w:type="gramEnd"/>
    </w:p>
    <w:p w14:paraId="3B32440A" w14:textId="77777777" w:rsidR="00236392" w:rsidRPr="00236392" w:rsidRDefault="00236392" w:rsidP="00236392">
      <w:pPr>
        <w:spacing w:afterLines="50" w:after="120" w:line="240" w:lineRule="auto"/>
        <w:jc w:val="both"/>
        <w:rPr>
          <w:rFonts w:ascii="Times New Roman" w:eastAsia="DengXian" w:hAnsi="Times New Roman" w:cs="Times New Roman"/>
        </w:rPr>
      </w:pPr>
      <w:proofErr w:type="spellStart"/>
      <w:r w:rsidRPr="00236392">
        <w:rPr>
          <w:rFonts w:ascii="Times New Roman" w:eastAsia="DengXian" w:hAnsi="Times New Roman" w:cs="Times New Roman"/>
        </w:rPr>
        <w:t>Akoglu</w:t>
      </w:r>
      <w:proofErr w:type="spellEnd"/>
      <w:r w:rsidRPr="00236392">
        <w:rPr>
          <w:rFonts w:ascii="Times New Roman" w:eastAsia="DengXian" w:hAnsi="Times New Roman" w:cs="Times New Roman"/>
        </w:rPr>
        <w:t xml:space="preserve"> and Özbek (2022) explored the effects of brand experience on brand loyalty within the sports industry, examining the mediating roles of perceived quality and brand trust. Utilizing a sample of 385 sports consumers, the researchers administered online surveys and employed partial least squares structural equation modeling for data analysis. Their findings indicated a significant positive relationship between brand experience and both perceived quality and brand trust, which subsequently influenced brand loyalty. The study highlighted the importance of emotional and rational dimensions in enhancing customer loyalty, suggesting that organizations must enhance behavioral experiences to boost perceived quality and </w:t>
      </w:r>
      <w:proofErr w:type="gramStart"/>
      <w:r w:rsidRPr="00236392">
        <w:rPr>
          <w:rFonts w:ascii="Times New Roman" w:eastAsia="DengXian" w:hAnsi="Times New Roman" w:cs="Times New Roman"/>
        </w:rPr>
        <w:t>trust .</w:t>
      </w:r>
      <w:proofErr w:type="gramEnd"/>
    </w:p>
    <w:p w14:paraId="12691591"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lastRenderedPageBreak/>
        <w:t xml:space="preserve">Kumar and Kaushik (2020) focused on consumer-brand relationships by examining the impact of brand experience on loyalty through brand identification. They conducted field surveys with 321 respondents, analyzing the data using regression techniques. The results demonstrated that various dimensions of brand experience, including behavioral experience, significantly influenced brand identification, which in turn fostered stronger consumer-brand relationships and loyalty. The study underscored the importance of understanding how behavioral experiences can enhance emotional exchanges in brand interactions, thereby suggesting that brands should cultivate these experiences to solidify customer </w:t>
      </w:r>
      <w:proofErr w:type="gramStart"/>
      <w:r w:rsidRPr="00236392">
        <w:rPr>
          <w:rFonts w:ascii="Times New Roman" w:eastAsia="DengXian" w:hAnsi="Times New Roman" w:cs="Times New Roman"/>
        </w:rPr>
        <w:t>loyalty .</w:t>
      </w:r>
      <w:proofErr w:type="gramEnd"/>
    </w:p>
    <w:p w14:paraId="646D1EA9"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493E2212"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Cleff, et al. (2018) explored the relationship between brand experience, brand personality, consumer satisfaction, and consumer loyalty, specifically focusing on the Adidas brand. The research involved a survey of 114 respondents conducted over 11 days, employing a quantitative research design. The findings indicated a significant positive correlation between the affective component of brand experience and consumer satisfaction. The authors argued that brand experience can be effectively measured through its four dimensions, with the affective dimension playing a crucial role in enhancing consumer satisfaction and loyalty. They recommended that brands focus on creating engaging emotional experiences to foster stronger relationships with consumers, thereby enhancing overall satisfaction.</w:t>
      </w:r>
    </w:p>
    <w:p w14:paraId="6FADDCDC"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Ashraf, et al. (2018) investigated the relationship between customer brand engagement and its impact on satisfaction and loyalty through online brand experience in the banking sector. A total of 252 online users from Pakistan participated in the study, using a self-administered questionnaire for data collection. The analysis employed confirmatory factor analysis and structural equation modeling. Results reveal that higher levels of customer engagement—encompassing cognitive processing, affection, and activation—significantly enhance online brand experience, which in turn positively affects brand satisfaction and loyalty. The authors suggested that banking managers should focus on enhancing online brand experiences to boost customer satisfaction and loyalty, supporting the hypothesized relationship that relational experiences are vital for achieving guest satisfaction.</w:t>
      </w:r>
    </w:p>
    <w:p w14:paraId="7BFED955"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Ranjan, and Read (2016) delves into the relationship between customer engagement and satisfaction across different service industries. A sample of 350 respondents was surveyed, with a focus on identifying how different dimensions of engagement—cognitive, emotional, and behavioral—impact customer satisfaction. The study utilized a structured questionnaire and analyzed data using multiple regression analysis. Findings reveal a strong positive correlation between relational experiences (derived from engagement) and customer satisfaction. The authors emphasize the importance of fostering meaningful customer interactions to enhance satisfaction levels, thus corroborating the current hypothesized relationship. They recommend that businesses prioritize engaging experiences to cultivate lasting satisfaction among their guests.</w:t>
      </w:r>
    </w:p>
    <w:p w14:paraId="7AE483FE" w14:textId="77777777" w:rsidR="00236392" w:rsidRPr="00236392" w:rsidRDefault="00236392" w:rsidP="00236392">
      <w:pPr>
        <w:spacing w:afterLines="50" w:after="120" w:line="240" w:lineRule="auto"/>
        <w:jc w:val="both"/>
        <w:rPr>
          <w:rFonts w:ascii="Times New Roman" w:eastAsia="DengXian" w:hAnsi="Times New Roman" w:cs="Times New Roman"/>
        </w:rPr>
      </w:pPr>
    </w:p>
    <w:p w14:paraId="2BA899B1"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7E1CDCDC"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The study by Husain, et al. (2022) aimed to investigate the impact of brand experience, brand resonance, and brand trust on luxury consumption in emerging economies, particularly in India. The research employed a survey distributed to 413 luxury brand consumers across four major metropolitan cities, using Smart-PLS for data analysis. The findings revealed that both brand experience and brand resonance significantly contribute to luxury consumption, with consumer involvement acting as a mediator. Additionally, the study highlighted the moderating effects of gender and generation on these relationships. The authors recommended that luxury brands enhance relational experiences to foster deeper consumer trust and engagement, aligning closely with the hypothesized relationship that relational experiences strengthen brand loyalty.</w:t>
      </w:r>
    </w:p>
    <w:p w14:paraId="3451E1A7"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Framed within consumer-brand relationship theory, </w:t>
      </w:r>
      <w:proofErr w:type="spellStart"/>
      <w:proofErr w:type="gramStart"/>
      <w:r w:rsidRPr="00236392">
        <w:rPr>
          <w:rFonts w:ascii="Times New Roman" w:eastAsia="DengXian" w:hAnsi="Times New Roman" w:cs="Times New Roman"/>
        </w:rPr>
        <w:t>Ferreira,et</w:t>
      </w:r>
      <w:proofErr w:type="spellEnd"/>
      <w:r w:rsidRPr="00236392">
        <w:rPr>
          <w:rFonts w:ascii="Times New Roman" w:eastAsia="DengXian" w:hAnsi="Times New Roman" w:cs="Times New Roman"/>
        </w:rPr>
        <w:t xml:space="preserve"> al.</w:t>
      </w:r>
      <w:proofErr w:type="gramEnd"/>
      <w:r w:rsidRPr="00236392">
        <w:rPr>
          <w:rFonts w:ascii="Times New Roman" w:eastAsia="DengXian" w:hAnsi="Times New Roman" w:cs="Times New Roman"/>
        </w:rPr>
        <w:t xml:space="preserve"> (2019) examined the pathway from brand experience to customer loyalty through the mediating role of brand love. Data were collected from 560 customers using face-to-face questionnaires in a retail fashion context, with structural equation modeling employed for analysis. Results indicated that sensory and affective dimensions of brand experience significantly influence </w:t>
      </w:r>
      <w:r w:rsidRPr="00236392">
        <w:rPr>
          <w:rFonts w:ascii="Times New Roman" w:eastAsia="DengXian" w:hAnsi="Times New Roman" w:cs="Times New Roman"/>
        </w:rPr>
        <w:lastRenderedPageBreak/>
        <w:t>brand love, which in turn enhances customer loyalty, both directly and indirectly through customer satisfaction. The authors stress the necessity of understanding the interplay between brand experience and emotional connections in building lasting loyalty. This aligns with the current hypothesized relationship, suggesting that positive relational experiences foster brand loyalty through emotional attachment.</w:t>
      </w:r>
    </w:p>
    <w:p w14:paraId="444A95B7"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Rasool, et al. (2021) investigated the relational dynamics between customer engagement, brand experience, and customer loyalty in the banking sector. A sample of 322 valid responses was analyzed using SPSS and AMOS. The findings confirm a positive influence of brand experience on customer loyalty, asserting that a responsive and engaging brand enhances the overall experience for customers, thereby increasing loyalty. Additionally, the study emphasizes the importance of customer engagement as a precursor to favorable brand experiences. The authors advocate for banks to focus on nurturing relational experiences to strengthen loyalty among customers. This reinforces the hypothesized relationship by illustrating how relational experiences are pivotal in cultivating brand loyalty.</w:t>
      </w:r>
    </w:p>
    <w:p w14:paraId="7C5E6358"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4C162D51" w14:textId="77777777" w:rsidR="00236392" w:rsidRPr="00236392" w:rsidRDefault="00236392" w:rsidP="00236392">
      <w:pPr>
        <w:spacing w:afterLines="50" w:after="120" w:line="240" w:lineRule="auto"/>
        <w:jc w:val="both"/>
        <w:rPr>
          <w:rFonts w:ascii="Times New Roman" w:eastAsia="DengXian" w:hAnsi="Times New Roman" w:cs="Times New Roman"/>
        </w:rPr>
      </w:pPr>
      <w:proofErr w:type="spellStart"/>
      <w:r w:rsidRPr="00236392">
        <w:rPr>
          <w:rFonts w:ascii="Times New Roman" w:eastAsia="DengXian" w:hAnsi="Times New Roman" w:cs="Times New Roman"/>
        </w:rPr>
        <w:t>Revaldi</w:t>
      </w:r>
      <w:proofErr w:type="spellEnd"/>
      <w:r w:rsidRPr="00236392">
        <w:rPr>
          <w:rFonts w:ascii="Times New Roman" w:eastAsia="DengXian" w:hAnsi="Times New Roman" w:cs="Times New Roman"/>
        </w:rPr>
        <w:t>, et al. (2022) investigated the effects of brand experience on brand loyalty, mediated by brand passion, self-brand connection, brand affection, and customer satisfaction among smartphone users in Indonesia. Utilizing a sample of 259 respondents who had used smartphones for at least two years, the researchers employed a purposive sampling technique and gathered data via an online questionnaire. Data analysis was conducted using Structural Equation Modeling (SEM). The findings revealed that while brand experience alone has a minimal direct impact on brand loyalty, it significantly influences loyalty when mediated by the aforementioned factors. The authors recommend that companies enhance emotional indicators alongside functional features to foster positive brand experiences, thereby increasing guest satisfaction and loyalty.</w:t>
      </w:r>
    </w:p>
    <w:p w14:paraId="09D54A21"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Özer and Köse (2013) explored the relationship between brand experience, brand name, and customer satisfaction. A field study involving 300 students from Trakya University was conducted, focusing on a leading fast-food brand in Edirne. The researchers selected participants who had prior experience with the brand. Using bivariate correlation analysis, results indicated a positive medium-strength relationship between brand experience dimensions (sensory-affective, behavioral, and intellectual) and customer satisfaction. The authors conclude that enhancing brand experiences significantly contributes to customer satisfaction, thus supporting the hypothesized relationship that personal experiences can enhance overall guest satisfaction in the hospitality sector.</w:t>
      </w:r>
    </w:p>
    <w:p w14:paraId="56899553" w14:textId="77777777" w:rsidR="00236392" w:rsidRPr="00236392" w:rsidRDefault="00236392" w:rsidP="00236392">
      <w:pPr>
        <w:spacing w:afterLines="50" w:after="120" w:line="240" w:lineRule="auto"/>
        <w:jc w:val="both"/>
        <w:rPr>
          <w:rFonts w:ascii="Times New Roman" w:eastAsia="DengXian" w:hAnsi="Times New Roman" w:cs="Times New Roman"/>
        </w:rPr>
      </w:pPr>
      <w:proofErr w:type="spellStart"/>
      <w:r w:rsidRPr="00236392">
        <w:rPr>
          <w:rFonts w:ascii="Times New Roman" w:eastAsia="DengXian" w:hAnsi="Times New Roman" w:cs="Times New Roman"/>
        </w:rPr>
        <w:t>Yunpeng</w:t>
      </w:r>
      <w:proofErr w:type="spellEnd"/>
      <w:r w:rsidRPr="00236392">
        <w:rPr>
          <w:rFonts w:ascii="Times New Roman" w:eastAsia="DengXian" w:hAnsi="Times New Roman" w:cs="Times New Roman"/>
        </w:rPr>
        <w:t xml:space="preserve"> and Khan (2023) examined the influence of online brand experience on customer satisfaction in China, with a specific focus on the mediating role of brand familiarity. The research involved a cross-sectional survey of 307 customers across various industries. The authors found that emotional brand experience positively affects customer satisfaction, whereas behavioral experiences may exert a detrimental effect. Additionally, brand familiarity significantly mediates the relationship between affective and behavioral experiences and customer satisfaction, though it does not mediate the relationship between emotional experiences and satisfaction. The findings suggest that brands should prioritize creating emotionally resonant experiences to enhance guest satisfaction effectively.</w:t>
      </w:r>
    </w:p>
    <w:p w14:paraId="773279F9" w14:textId="77777777" w:rsidR="00236392" w:rsidRPr="00236392" w:rsidRDefault="00236392" w:rsidP="00236392">
      <w:pPr>
        <w:spacing w:afterLines="50" w:after="120" w:line="240" w:lineRule="auto"/>
        <w:jc w:val="both"/>
        <w:rPr>
          <w:rFonts w:ascii="Times New Roman" w:eastAsia="DengXian" w:hAnsi="Times New Roman" w:cs="Times New Roman"/>
          <w:b/>
          <w:bCs/>
        </w:rPr>
      </w:pPr>
    </w:p>
    <w:p w14:paraId="667E4A14"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Van der Westhuizen (2018) investigated the relationship between self-brand connection, brand experience, and brand loyalty. The primary aim is to elucidate how brand experience mediates the connection between self-brand ties and loyalty. Data were collected from 317 adults via a paid Facebook survey, and the analysis was performed using structural equation modeling. The findings indicate that brand experience fully mediates the association between self-brand connection and brand loyalty, emphasizing that a positive brand experience is vital for maintaining strong consumer-brand connections. The study suggests that brand managers should focus on enhancing brand experiences as a strategic approach to fostering brand loyalty.</w:t>
      </w:r>
    </w:p>
    <w:p w14:paraId="15ECCE97"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 xml:space="preserve">Pu, et al. (2023) explored the influence of e-brand experience and in-store experience on brand loyalty, specifically in the context of novel coffee brands in China. The authors aim to examine the roles of customer </w:t>
      </w:r>
      <w:r w:rsidRPr="00236392">
        <w:rPr>
          <w:rFonts w:ascii="Times New Roman" w:eastAsia="DengXian" w:hAnsi="Times New Roman" w:cs="Times New Roman"/>
        </w:rPr>
        <w:lastRenderedPageBreak/>
        <w:t>satisfaction and self-brand congruity in this relationship. Utilizing an online survey, they gathered data from 332 customers. The results demonstrate that both e-brand experience and in-store experience significantly enhance customer satisfaction, which mediates the relationships between these experiences and brand loyalty. The study highlights the importance of aligning brand experiences with customer perceptions to foster loyalty among younger consumers, reflecting a shift in consumption habits.</w:t>
      </w:r>
    </w:p>
    <w:p w14:paraId="38BE2ADB" w14:textId="77777777" w:rsidR="00236392" w:rsidRPr="00236392" w:rsidRDefault="00236392" w:rsidP="00236392">
      <w:pPr>
        <w:spacing w:afterLines="50" w:after="120" w:line="240" w:lineRule="auto"/>
        <w:jc w:val="both"/>
        <w:rPr>
          <w:rFonts w:ascii="Times New Roman" w:eastAsia="DengXian" w:hAnsi="Times New Roman" w:cs="Times New Roman"/>
        </w:rPr>
      </w:pPr>
      <w:r w:rsidRPr="00236392">
        <w:rPr>
          <w:rFonts w:ascii="Times New Roman" w:eastAsia="DengXian" w:hAnsi="Times New Roman" w:cs="Times New Roman"/>
        </w:rPr>
        <w:t>Focusing on the fashion industry in Ho Chi Minh City, Vietnam, Ly (2017) analyzed the relationship between brand experience, brand personality, and customer loyalty. The study utilizes data from 408 customers and employs various analytical methods, including descriptive statistics and Exploratory Factor Analysis (EFA). The findings reveal that both brand experience and brand personality significantly impact customer satisfaction and loyalty. Notably, brand experience is identified as a crucial factor in enhancing customer loyalty, underscoring its importance in marketing strategies. The study suggests that brands should leverage positive experiences to cultivate loyalty among their customers.</w:t>
      </w:r>
    </w:p>
    <w:p w14:paraId="727EEFA5"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In service environments, customers develop retention-based intentions when they consistently encounter positive and meaningful interactions with a brand across different touchpoints. These interactions may include warm staff greetings, ambient music, engaging service technology or culturally aligned messaging — all of which can shape consumer impressions and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outcomes (Verhoef et al., 2009; Ha &amp; Perks, 2005). As customers accumulate memorable experiences, they are more likely to internalize the brand, perceive greater value and also resist switching to alternatives.</w:t>
      </w:r>
    </w:p>
    <w:p w14:paraId="0ABC6FDA"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In the Port Harcourt QSR context, customer retention has become especially crucial due to the rapid growth of </w:t>
      </w:r>
      <w:proofErr w:type="gramStart"/>
      <w:r w:rsidRPr="00236392">
        <w:rPr>
          <w:rFonts w:ascii="Times New Roman" w:eastAsia="DengXian" w:hAnsi="Times New Roman" w:cs="Times New Roman"/>
        </w:rPr>
        <w:t>fast food</w:t>
      </w:r>
      <w:proofErr w:type="gramEnd"/>
      <w:r w:rsidRPr="00236392">
        <w:rPr>
          <w:rFonts w:ascii="Times New Roman" w:eastAsia="DengXian" w:hAnsi="Times New Roman" w:cs="Times New Roman"/>
        </w:rPr>
        <w:t xml:space="preserve"> establishments and intensifying market competition. With brands competing for attention through aggressive marketing, menu innovation and convenience, customer loyalty cannot be taken for granted. Moreover, the cost of acquiring new customers through advertising or promotions is often much higher than retaining existing ones (Kotler &amp; Keller, 2016). In this context, strategically designed brand experiences serve as a differentiator, allowing QSRs to create emotional bonds, reduce churn and enhance profitability.</w:t>
      </w:r>
    </w:p>
    <w:p w14:paraId="7A1BA8AD"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QSR operators in Port Harcourt must therefore prioritize consistent and holistic brand experiences, those that go beyond transactional efficiency to deliver affective, relational and identity-reinforcing value. </w:t>
      </w:r>
    </w:p>
    <w:p w14:paraId="1222F4AE"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 xml:space="preserve">2.4 Brand Love and </w:t>
      </w:r>
      <w:proofErr w:type="spellStart"/>
      <w:r w:rsidRPr="00236392">
        <w:rPr>
          <w:rFonts w:ascii="Times New Roman" w:eastAsia="DengXian" w:hAnsi="Times New Roman" w:cs="Times New Roman"/>
          <w:b/>
          <w:bCs/>
        </w:rPr>
        <w:t>Organisational</w:t>
      </w:r>
      <w:proofErr w:type="spellEnd"/>
      <w:r w:rsidRPr="00236392">
        <w:rPr>
          <w:rFonts w:ascii="Times New Roman" w:eastAsia="DengXian" w:hAnsi="Times New Roman" w:cs="Times New Roman"/>
          <w:b/>
          <w:bCs/>
        </w:rPr>
        <w:t xml:space="preserve"> Culture as Mediators</w:t>
      </w:r>
    </w:p>
    <w:p w14:paraId="62116630"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While brand experience directly influences customer satisfaction and loyalty, recent research emphasizes the role of mediating variables that explain how and why brand experiences translate into retention outcomes. Two such constructs: brand love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are especially relevant in service-centric industries like quick service restaurants (QSRs), where customer emotions and staff </w:t>
      </w:r>
      <w:proofErr w:type="spellStart"/>
      <w:r w:rsidRPr="00236392">
        <w:rPr>
          <w:rFonts w:ascii="Times New Roman" w:eastAsia="DengXian" w:hAnsi="Times New Roman" w:cs="Times New Roman"/>
        </w:rPr>
        <w:t>behaviours</w:t>
      </w:r>
      <w:proofErr w:type="spellEnd"/>
      <w:r w:rsidRPr="00236392">
        <w:rPr>
          <w:rFonts w:ascii="Times New Roman" w:eastAsia="DengXian" w:hAnsi="Times New Roman" w:cs="Times New Roman"/>
        </w:rPr>
        <w:t xml:space="preserve"> significantly shape brand perception (Carroll &amp; </w:t>
      </w:r>
      <w:proofErr w:type="spellStart"/>
      <w:r w:rsidRPr="00236392">
        <w:rPr>
          <w:rFonts w:ascii="Times New Roman" w:eastAsia="DengXian" w:hAnsi="Times New Roman" w:cs="Times New Roman"/>
        </w:rPr>
        <w:t>Ahuvia</w:t>
      </w:r>
      <w:proofErr w:type="spellEnd"/>
      <w:r w:rsidRPr="00236392">
        <w:rPr>
          <w:rFonts w:ascii="Times New Roman" w:eastAsia="DengXian" w:hAnsi="Times New Roman" w:cs="Times New Roman"/>
        </w:rPr>
        <w:t>, 2006; Batra et al., 2012).</w:t>
      </w:r>
    </w:p>
    <w:p w14:paraId="508A3B5E"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Brand love refers to the emotional attachment and affection a consumer feels toward a brand. It goes beyond satisfaction to encompass elements like passion, commitment and positive brand evaluation (Batra et al., 2012). When consumers love a brand, they are more likely to forgive service failures, recommend the brand to others and exhibit deep loyalty, often regardless of price or convenience factors (Albert &amp; </w:t>
      </w:r>
      <w:proofErr w:type="spellStart"/>
      <w:r w:rsidRPr="00236392">
        <w:rPr>
          <w:rFonts w:ascii="Times New Roman" w:eastAsia="DengXian" w:hAnsi="Times New Roman" w:cs="Times New Roman"/>
        </w:rPr>
        <w:t>Merunka</w:t>
      </w:r>
      <w:proofErr w:type="spellEnd"/>
      <w:r w:rsidRPr="00236392">
        <w:rPr>
          <w:rFonts w:ascii="Times New Roman" w:eastAsia="DengXian" w:hAnsi="Times New Roman" w:cs="Times New Roman"/>
        </w:rPr>
        <w:t xml:space="preserve">, 2013; Carroll &amp; </w:t>
      </w:r>
      <w:proofErr w:type="spellStart"/>
      <w:r w:rsidRPr="00236392">
        <w:rPr>
          <w:rFonts w:ascii="Times New Roman" w:eastAsia="DengXian" w:hAnsi="Times New Roman" w:cs="Times New Roman"/>
        </w:rPr>
        <w:t>Ahuvia</w:t>
      </w:r>
      <w:proofErr w:type="spellEnd"/>
      <w:r w:rsidRPr="00236392">
        <w:rPr>
          <w:rFonts w:ascii="Times New Roman" w:eastAsia="DengXian" w:hAnsi="Times New Roman" w:cs="Times New Roman"/>
        </w:rPr>
        <w:t>, 2006).</w:t>
      </w:r>
    </w:p>
    <w:p w14:paraId="62146F9F"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In the context of Port Harcourt QSRs, where customers are exposed to a range of service options, cultivating brand love can serve as a powerful differentiator. Positive brand experiences, especially those that are emotionally fulfilling and personally meaningful, are strong antecedents of brand love. For example, a QSR that consistently delivers friendly service, tasty meals and local cultural relevance may evoke affectionate feelings that translate into repeated patronage and advocacy.</w:t>
      </w:r>
    </w:p>
    <w:p w14:paraId="450B04DF"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Research also supports the mediating role of brand love in the brand experience–loyalty relationship. Bergkvist and Bech-Larsen (2010) found that emotional brand connections strengthen the likelihood of long-term customer commitment, especially in saturated markets.</w:t>
      </w:r>
    </w:p>
    <w:p w14:paraId="52C6BE3F" w14:textId="77777777" w:rsidR="00236392" w:rsidRPr="00236392" w:rsidRDefault="00236392" w:rsidP="00236392">
      <w:pPr>
        <w:spacing w:line="240" w:lineRule="auto"/>
        <w:jc w:val="both"/>
        <w:rPr>
          <w:rFonts w:ascii="Times New Roman" w:eastAsia="DengXian" w:hAnsi="Times New Roman" w:cs="Times New Roman"/>
        </w:rPr>
      </w:pPr>
      <w:proofErr w:type="spellStart"/>
      <w:r w:rsidRPr="00236392">
        <w:rPr>
          <w:rFonts w:ascii="Times New Roman" w:eastAsia="DengXian" w:hAnsi="Times New Roman" w:cs="Times New Roman"/>
        </w:rPr>
        <w:lastRenderedPageBreak/>
        <w:t>Organisational</w:t>
      </w:r>
      <w:proofErr w:type="spellEnd"/>
      <w:r w:rsidRPr="00236392">
        <w:rPr>
          <w:rFonts w:ascii="Times New Roman" w:eastAsia="DengXian" w:hAnsi="Times New Roman" w:cs="Times New Roman"/>
        </w:rPr>
        <w:t xml:space="preserve"> culture refers to the shared values, beliefs and norms within a business that shape employee </w:t>
      </w:r>
      <w:proofErr w:type="spellStart"/>
      <w:r w:rsidRPr="00236392">
        <w:rPr>
          <w:rFonts w:ascii="Times New Roman" w:eastAsia="DengXian" w:hAnsi="Times New Roman" w:cs="Times New Roman"/>
        </w:rPr>
        <w:t>behaviour</w:t>
      </w:r>
      <w:proofErr w:type="spellEnd"/>
      <w:r w:rsidRPr="00236392">
        <w:rPr>
          <w:rFonts w:ascii="Times New Roman" w:eastAsia="DengXian" w:hAnsi="Times New Roman" w:cs="Times New Roman"/>
        </w:rPr>
        <w:t xml:space="preserve"> and service delivery (Schein, 2010). In hospitality settings, where service is often delivered face-to-face, the internal culture of an </w:t>
      </w:r>
      <w:proofErr w:type="spellStart"/>
      <w:r w:rsidRPr="00236392">
        <w:rPr>
          <w:rFonts w:ascii="Times New Roman" w:eastAsia="DengXian" w:hAnsi="Times New Roman" w:cs="Times New Roman"/>
        </w:rPr>
        <w:t>organisation</w:t>
      </w:r>
      <w:proofErr w:type="spellEnd"/>
      <w:r w:rsidRPr="00236392">
        <w:rPr>
          <w:rFonts w:ascii="Times New Roman" w:eastAsia="DengXian" w:hAnsi="Times New Roman" w:cs="Times New Roman"/>
        </w:rPr>
        <w:t xml:space="preserve"> significantly affects how customers perceive their experiences (Schneider, Ehrhart, &amp; Macey, 2013). A culture that emphasizes customer focus, empathy, consistency and innovation enhances the likelihood that brand experiences are delivered with quality and authenticity.</w:t>
      </w:r>
    </w:p>
    <w:p w14:paraId="2D7D4B8F"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Employees who are aligned with the brand’s core values are more likely to create emotionally engaging and memorable interactions which will reinforce the brand’s identity at every customer touchpoint. In QSRs, this includes how staff welcome customers, respond to complaints and maintain service standards under pressure.</w:t>
      </w:r>
    </w:p>
    <w:p w14:paraId="3AC86A2B" w14:textId="77777777" w:rsidR="00236392" w:rsidRPr="00236392" w:rsidRDefault="00236392" w:rsidP="00236392">
      <w:pPr>
        <w:spacing w:line="240" w:lineRule="auto"/>
        <w:jc w:val="both"/>
        <w:rPr>
          <w:rFonts w:ascii="Times New Roman" w:eastAsia="DengXian" w:hAnsi="Times New Roman" w:cs="Times New Roman"/>
        </w:rPr>
      </w:pP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thus acts as a critical mediator, converting abstract brand strategy into tangible customer experiences. A misalignment between brand promise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can lead to inconsistent experiences, undermining trust and retention (Harris &amp; Ogbonna, 2000).</w:t>
      </w:r>
    </w:p>
    <w:p w14:paraId="359DB675"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2.5 Gaps in Existing Literature</w:t>
      </w:r>
    </w:p>
    <w:p w14:paraId="7E6D813D"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While studies have explored brand experience in Western, Middle Eastern and Asian markets, empirical and theoretical work within Nigeria’s hospitality industry remains sparse. Few conceptual models account for the mediating influence of contextual variables, such as brand love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in the brand experience–retention relationship. Additionally, most existing research treats brand experience as a monolithic construct, failing to capture the nuanced interactions among its individual dimensions.</w:t>
      </w:r>
    </w:p>
    <w:p w14:paraId="4A040017"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This paper addresses these gaps by proposing a multidimensional framework that positions brand love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as central mediators, contextualized within the socio-economic and service realities of Port Harcourt, Rivers State.</w:t>
      </w:r>
    </w:p>
    <w:p w14:paraId="168440CF"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3. Theoretical Framework</w:t>
      </w:r>
    </w:p>
    <w:p w14:paraId="6AB6FF7E"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This study is anchored on two complementary theories that illuminate the mechanisms through which brand experience affects customer retention: Experiential Marketing Theory and Brand Equity Theory. Together, they provide a robust lens for conceptualizing how multidimensional brand experiences influence customer satisfaction, loyalty and long-term engagement.</w:t>
      </w:r>
    </w:p>
    <w:p w14:paraId="09746AC1"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3.1 Experiential Marketing Theory</w:t>
      </w:r>
    </w:p>
    <w:p w14:paraId="523029C1"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Proposed by Pine and Gilmore (1998) and further developed by Schmitt (1999), Experiential Marketing Theory posits that consumers seek emotional, sensory and cognitive value from their interactions with brands, not merely functional utility. This theory marks a shift from transactional marketing to a model that prioritizes immersive and meaningful customer experiences.</w:t>
      </w:r>
    </w:p>
    <w:p w14:paraId="1CBEC16F"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Schmitt’s Strategic Experiential Modules (SEMs) — comprising sensory, affective, intellectual,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and relational experiences — serve as a practical guide for operationalizing brand experience in service settings. In the QSR industry, where competition is fierce and product differentiation is minimal, leveraging these experience dimensions becomes a critical source of competitive advantage. Customers are more likely to return to brands that evoke pleasure, provoke thought and engage them socially and emotionally.</w:t>
      </w:r>
    </w:p>
    <w:p w14:paraId="5D0F7D83"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Experiential Marketing Theory is particularly relevant in Port Harcourt’s hospitality sector, where brand loyalty can be undermined by service inconsistencies, infrastructural challenges, and rising customer expectations. Creating consistent, pleasurable brand experiences is thus not merely aspirational but strategic.</w:t>
      </w:r>
    </w:p>
    <w:p w14:paraId="364F01A7"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3.2 Brand Equity Theory</w:t>
      </w:r>
    </w:p>
    <w:p w14:paraId="0FFF2F33"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Brand Equity Theory explains how consumer perceptions of a brand's value influence their loyalty, satisfaction, and willingness to pay a premium. Two widely cited models (Keller’s Customer-Based Brand Equity (CBBE) </w:t>
      </w:r>
      <w:r w:rsidRPr="00236392">
        <w:rPr>
          <w:rFonts w:ascii="Times New Roman" w:eastAsia="DengXian" w:hAnsi="Times New Roman" w:cs="Times New Roman"/>
        </w:rPr>
        <w:lastRenderedPageBreak/>
        <w:t>model and Aaker’s Brand Equity Model) emphasize the importance of emotional connection and trust in building strong brands.</w:t>
      </w:r>
    </w:p>
    <w:p w14:paraId="4BC26E99"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Keller’s (1993) CBBE model suggests that brand equity is built through four stages: brand identity, brand meaning, brand response, and brand resonance. Each stage is influenced by how customers experience the brand across different touchpoints. High brand resonance, characterized by deep emotional connection and loyalty, occurs when brand experiences are consistently positive and personally relevant.</w:t>
      </w:r>
    </w:p>
    <w:p w14:paraId="7D19D0D3"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Aaker (1991) emphasizes brand loyalty, perceived quality, brand associations, and brand awareness as key components of brand equity. When consumers associate a brand with positive experiences, they are more likely to remain loyal and resist competitor offerings.</w:t>
      </w:r>
    </w:p>
    <w:p w14:paraId="626D2869"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In the context of Port Harcourt, where QSRs often rely on repeat business from local communities, strong brand equity can buffer against market volatility and service disruptions. Brand experiences that foster emotional, intellectual, and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engagement are thus essential in driving long-term customer retention.</w:t>
      </w:r>
    </w:p>
    <w:p w14:paraId="10B4246E"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4. Conceptual Model and Propositions</w:t>
      </w:r>
    </w:p>
    <w:p w14:paraId="69E65318"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4.1 Overview of the Conceptual Model</w:t>
      </w:r>
    </w:p>
    <w:p w14:paraId="440EB655"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The conceptual model proposed in this paper integrates the multiple dimensions of brand experience and links them to customer retention through two key mediating variables: brand love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Drawing from Experiential Marketing Theory (Schmitt, 1999) and Brand Equity Theory (Keller, 1993; Aaker, 1991), the model recognizes that customer retention is not simply a direct consequence of positive experiences but the result of a complex, emotionally and culturally mediated process.</w:t>
      </w:r>
    </w:p>
    <w:p w14:paraId="0375A2F7"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Each brand experience dimension (sensory, emotional, intellectual,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relational and personal) is hypothesized to influence customer satisfaction and brand loyalty, which together drive retention. The strength of this relationship is proposed to be enhanced when customers develop emotional attachment (i.e., brand love) and when employees consistently deliver the brand promise due to a strong service-oriented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w:t>
      </w:r>
    </w:p>
    <w:p w14:paraId="52F9872A"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The model is especially relevant in Port Harcourt’s dynamic QSR sector, where customer choices are abundant, service expectations are rising and emotional and cultural alignment with brands is increasingly influential.</w:t>
      </w:r>
    </w:p>
    <w:p w14:paraId="49C34141" w14:textId="77777777" w:rsidR="00236392" w:rsidRPr="00236392" w:rsidRDefault="00236392" w:rsidP="00236392">
      <w:pPr>
        <w:spacing w:line="240" w:lineRule="auto"/>
        <w:jc w:val="both"/>
        <w:rPr>
          <w:rFonts w:ascii="Times New Roman" w:eastAsia="DengXian" w:hAnsi="Times New Roman" w:cs="Times New Roman"/>
        </w:rPr>
      </w:pPr>
    </w:p>
    <w:p w14:paraId="62AB4323" w14:textId="77777777" w:rsidR="00236392" w:rsidRPr="00236392" w:rsidRDefault="00236392" w:rsidP="00236392">
      <w:pPr>
        <w:spacing w:line="240" w:lineRule="auto"/>
        <w:jc w:val="both"/>
        <w:rPr>
          <w:rFonts w:ascii="Times New Roman" w:eastAsia="DengXian" w:hAnsi="Times New Roman" w:cs="Times New Roman"/>
        </w:rPr>
      </w:pPr>
    </w:p>
    <w:p w14:paraId="5F3B7E77"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4.3 Propositions</w:t>
      </w:r>
    </w:p>
    <w:p w14:paraId="086F7287"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Based on the conceptual model, the following propositions are advanced for future empirical testing:</w:t>
      </w:r>
    </w:p>
    <w:p w14:paraId="3689499C" w14:textId="77777777" w:rsidR="00236392" w:rsidRPr="00236392" w:rsidRDefault="00236392" w:rsidP="00236392">
      <w:pPr>
        <w:numPr>
          <w:ilvl w:val="0"/>
          <w:numId w:val="71"/>
        </w:numPr>
        <w:spacing w:line="240" w:lineRule="auto"/>
        <w:ind w:left="465" w:hanging="465"/>
        <w:jc w:val="both"/>
        <w:rPr>
          <w:rFonts w:ascii="Times New Roman" w:eastAsia="DengXian" w:hAnsi="Times New Roman" w:cs="Times New Roman"/>
        </w:rPr>
      </w:pPr>
      <w:r w:rsidRPr="00236392">
        <w:rPr>
          <w:rFonts w:ascii="Times New Roman" w:eastAsia="DengXian" w:hAnsi="Times New Roman" w:cs="Times New Roman"/>
        </w:rPr>
        <w:t>P1: Sensory experience positively influences customer satisfaction and brand loyalty in QSRs.</w:t>
      </w:r>
    </w:p>
    <w:p w14:paraId="4BD9B1B9"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P2: Emotional experience positively influences customer satisfaction and brand loyalty in QSRs.</w:t>
      </w:r>
    </w:p>
    <w:p w14:paraId="7983EE0E"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P3: Intellectual experience positively influences customer satisfaction and brand loyalty in QSRs.</w:t>
      </w:r>
    </w:p>
    <w:p w14:paraId="555085D9"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P4: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experience positively influences customer satisfaction and brand loyalty in QSRs.</w:t>
      </w:r>
    </w:p>
    <w:p w14:paraId="0D2BABEE"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P5: Relational experience positively influences customer satisfaction and brand loyalty in QSRs.</w:t>
      </w:r>
    </w:p>
    <w:p w14:paraId="5F6F719F"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P6: Personal experience positively influences customer satisfaction and brand loyalty in QSRs.</w:t>
      </w:r>
    </w:p>
    <w:p w14:paraId="5166C863"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P7: Brand love mediates the relationship between brand experience dimensions and customer retention.</w:t>
      </w:r>
    </w:p>
    <w:p w14:paraId="6F225FD2"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lastRenderedPageBreak/>
        <w:t xml:space="preserve">P8: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mediates the relationship between brand experience dimensions and customer retention.</w:t>
      </w:r>
    </w:p>
    <w:p w14:paraId="14C2DDAC"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P9: Customer satisfaction positively influences brand loyalty.</w:t>
      </w:r>
    </w:p>
    <w:p w14:paraId="12BED5FF" w14:textId="77777777" w:rsidR="00236392" w:rsidRPr="00236392" w:rsidRDefault="00236392" w:rsidP="00236392">
      <w:pPr>
        <w:numPr>
          <w:ilvl w:val="0"/>
          <w:numId w:val="71"/>
        </w:numPr>
        <w:spacing w:line="240" w:lineRule="auto"/>
        <w:jc w:val="both"/>
        <w:rPr>
          <w:rFonts w:ascii="Times New Roman" w:eastAsia="DengXian" w:hAnsi="Times New Roman" w:cs="Times New Roman"/>
        </w:rPr>
      </w:pPr>
      <w:r w:rsidRPr="00236392">
        <w:rPr>
          <w:rFonts w:ascii="Times New Roman" w:eastAsia="DengXian" w:hAnsi="Times New Roman" w:cs="Times New Roman"/>
        </w:rPr>
        <w:t>P10: Brand loyalty positively influences customer retention in QSRs.</w:t>
      </w:r>
    </w:p>
    <w:p w14:paraId="3E244831"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These propositions establish a testable framework for future empirical inquiry and form the basis for strategic brand management practices in the hospitality sector.</w:t>
      </w:r>
    </w:p>
    <w:p w14:paraId="10F24E41" w14:textId="77777777" w:rsidR="00236392" w:rsidRPr="00236392" w:rsidRDefault="00236392" w:rsidP="00236392">
      <w:pPr>
        <w:spacing w:line="240" w:lineRule="auto"/>
        <w:jc w:val="both"/>
        <w:rPr>
          <w:rFonts w:ascii="Times New Roman" w:eastAsia="DengXian" w:hAnsi="Times New Roman" w:cs="Times New Roman"/>
        </w:rPr>
      </w:pPr>
    </w:p>
    <w:p w14:paraId="3AB0CDE8"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5. Implications for Research and Practice</w:t>
      </w:r>
    </w:p>
    <w:p w14:paraId="2BD82343"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5.1 Theoretical Implications</w:t>
      </w:r>
    </w:p>
    <w:p w14:paraId="1DCD7CFC"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This conceptual paper contributes to the evolving discourse on brand experience by expanding the dimensional scope to include personal experience, a reflection of the consumer's identity alignment with a brand. This enriches the predominantly five-dimensional models (Schmitt, 1999; Brakus et al., 2009) by acknowledging the self-expressive and identity-based motivations of consumers, especially in service-oriented environments like QSRs.</w:t>
      </w:r>
    </w:p>
    <w:p w14:paraId="6F409980"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Additionally, through the incorporation of brand love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as mediating variables, the paper presents a more integrative view of the mechanisms linking brand experience to customer retention. While many existing studies treat brand experience as a direct antecedent to loyalty or satisfaction, this paper argues for a layered process, where emotional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dynamics shape the strength and sustainability of customer-brand relationships.</w:t>
      </w:r>
    </w:p>
    <w:p w14:paraId="1C4DA80E"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Situated within the underexplored context of Port Harcourt, Rivers State, this paper also addresses a notable gap in the literature. It encourages hospitality and service marketing scholars to contextualize global theories within local realities, thereby advancing the development of culturally and economically relevant frameworks.</w:t>
      </w:r>
    </w:p>
    <w:p w14:paraId="6A34F1EE"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5.2 Practical Implications</w:t>
      </w:r>
    </w:p>
    <w:p w14:paraId="0C32374B"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For QSR operators in Port Harcourt and similar urban </w:t>
      </w:r>
      <w:proofErr w:type="spellStart"/>
      <w:r w:rsidRPr="00236392">
        <w:rPr>
          <w:rFonts w:ascii="Times New Roman" w:eastAsia="DengXian" w:hAnsi="Times New Roman" w:cs="Times New Roman"/>
        </w:rPr>
        <w:t>centres</w:t>
      </w:r>
      <w:proofErr w:type="spellEnd"/>
      <w:r w:rsidRPr="00236392">
        <w:rPr>
          <w:rFonts w:ascii="Times New Roman" w:eastAsia="DengXian" w:hAnsi="Times New Roman" w:cs="Times New Roman"/>
        </w:rPr>
        <w:t xml:space="preserve"> in Nigeria, the model offers actionable insights for customer retention strategies:</w:t>
      </w:r>
    </w:p>
    <w:p w14:paraId="7D7FE713" w14:textId="77777777" w:rsidR="00236392" w:rsidRPr="00236392" w:rsidRDefault="00236392" w:rsidP="00236392">
      <w:pPr>
        <w:numPr>
          <w:ilvl w:val="0"/>
          <w:numId w:val="72"/>
        </w:numPr>
        <w:spacing w:line="240" w:lineRule="auto"/>
        <w:jc w:val="both"/>
        <w:rPr>
          <w:rFonts w:ascii="Times New Roman" w:eastAsia="DengXian" w:hAnsi="Times New Roman" w:cs="Times New Roman"/>
        </w:rPr>
      </w:pPr>
      <w:r w:rsidRPr="00236392">
        <w:rPr>
          <w:rFonts w:ascii="Times New Roman" w:eastAsia="DengXian" w:hAnsi="Times New Roman" w:cs="Times New Roman"/>
          <w:b/>
          <w:bCs/>
        </w:rPr>
        <w:t>Experience Design</w:t>
      </w:r>
      <w:r w:rsidRPr="00236392">
        <w:rPr>
          <w:rFonts w:ascii="Times New Roman" w:eastAsia="DengXian" w:hAnsi="Times New Roman" w:cs="Times New Roman"/>
        </w:rPr>
        <w:t xml:space="preserve">: Businesses should develop immersive brand experiences that appeal to multiple senses and foster emotional connection. Elements such as ambiance, music, food presentation, staff </w:t>
      </w:r>
      <w:proofErr w:type="spellStart"/>
      <w:r w:rsidRPr="00236392">
        <w:rPr>
          <w:rFonts w:ascii="Times New Roman" w:eastAsia="DengXian" w:hAnsi="Times New Roman" w:cs="Times New Roman"/>
        </w:rPr>
        <w:t>behaviour</w:t>
      </w:r>
      <w:proofErr w:type="spellEnd"/>
      <w:r w:rsidRPr="00236392">
        <w:rPr>
          <w:rFonts w:ascii="Times New Roman" w:eastAsia="DengXian" w:hAnsi="Times New Roman" w:cs="Times New Roman"/>
        </w:rPr>
        <w:t>, and personalized service can be optimized to enhance customer satisfaction.</w:t>
      </w:r>
    </w:p>
    <w:p w14:paraId="2ED0B1E6" w14:textId="77777777" w:rsidR="00236392" w:rsidRPr="00236392" w:rsidRDefault="00236392" w:rsidP="00236392">
      <w:pPr>
        <w:numPr>
          <w:ilvl w:val="0"/>
          <w:numId w:val="72"/>
        </w:numPr>
        <w:spacing w:line="240" w:lineRule="auto"/>
        <w:jc w:val="both"/>
        <w:rPr>
          <w:rFonts w:ascii="Times New Roman" w:eastAsia="DengXian" w:hAnsi="Times New Roman" w:cs="Times New Roman"/>
        </w:rPr>
      </w:pPr>
      <w:r w:rsidRPr="00236392">
        <w:rPr>
          <w:rFonts w:ascii="Times New Roman" w:eastAsia="DengXian" w:hAnsi="Times New Roman" w:cs="Times New Roman"/>
          <w:b/>
          <w:bCs/>
        </w:rPr>
        <w:t xml:space="preserve">Staff Training and </w:t>
      </w:r>
      <w:proofErr w:type="spellStart"/>
      <w:r w:rsidRPr="00236392">
        <w:rPr>
          <w:rFonts w:ascii="Times New Roman" w:eastAsia="DengXian" w:hAnsi="Times New Roman" w:cs="Times New Roman"/>
          <w:b/>
          <w:bCs/>
        </w:rPr>
        <w:t>Organisational</w:t>
      </w:r>
      <w:proofErr w:type="spellEnd"/>
      <w:r w:rsidRPr="00236392">
        <w:rPr>
          <w:rFonts w:ascii="Times New Roman" w:eastAsia="DengXian" w:hAnsi="Times New Roman" w:cs="Times New Roman"/>
          <w:b/>
          <w:bCs/>
        </w:rPr>
        <w:t xml:space="preserve"> Culture</w:t>
      </w:r>
      <w:r w:rsidRPr="00236392">
        <w:rPr>
          <w:rFonts w:ascii="Times New Roman" w:eastAsia="DengXian" w:hAnsi="Times New Roman" w:cs="Times New Roman"/>
        </w:rPr>
        <w:t xml:space="preserve">: Managers must invest in training programs that align staff attitudes and </w:t>
      </w:r>
      <w:proofErr w:type="spellStart"/>
      <w:r w:rsidRPr="00236392">
        <w:rPr>
          <w:rFonts w:ascii="Times New Roman" w:eastAsia="DengXian" w:hAnsi="Times New Roman" w:cs="Times New Roman"/>
        </w:rPr>
        <w:t>behaviours</w:t>
      </w:r>
      <w:proofErr w:type="spellEnd"/>
      <w:r w:rsidRPr="00236392">
        <w:rPr>
          <w:rFonts w:ascii="Times New Roman" w:eastAsia="DengXian" w:hAnsi="Times New Roman" w:cs="Times New Roman"/>
        </w:rPr>
        <w:t xml:space="preserve"> with the brand’s experiential goals. A culture that prioritizes empathy, consistency and customer focus is essential for delivering memorable service experiences.</w:t>
      </w:r>
    </w:p>
    <w:p w14:paraId="174590E9" w14:textId="77777777" w:rsidR="00236392" w:rsidRPr="00236392" w:rsidRDefault="00236392" w:rsidP="00236392">
      <w:pPr>
        <w:numPr>
          <w:ilvl w:val="0"/>
          <w:numId w:val="72"/>
        </w:numPr>
        <w:spacing w:line="240" w:lineRule="auto"/>
        <w:jc w:val="both"/>
        <w:rPr>
          <w:rFonts w:ascii="Times New Roman" w:eastAsia="DengXian" w:hAnsi="Times New Roman" w:cs="Times New Roman"/>
        </w:rPr>
      </w:pPr>
      <w:r w:rsidRPr="00236392">
        <w:rPr>
          <w:rFonts w:ascii="Times New Roman" w:eastAsia="DengXian" w:hAnsi="Times New Roman" w:cs="Times New Roman"/>
          <w:b/>
          <w:bCs/>
        </w:rPr>
        <w:t>Emotional Engagement</w:t>
      </w:r>
      <w:r w:rsidRPr="00236392">
        <w:rPr>
          <w:rFonts w:ascii="Times New Roman" w:eastAsia="DengXian" w:hAnsi="Times New Roman" w:cs="Times New Roman"/>
        </w:rPr>
        <w:t>: Efforts should be made to cultivate brand love through storytelling, social media engagement, and relationship-building campaigns that resonate with local customers’ values and lifestyles.</w:t>
      </w:r>
    </w:p>
    <w:p w14:paraId="62D4F1A4" w14:textId="77777777" w:rsidR="00236392" w:rsidRPr="00236392" w:rsidRDefault="00236392" w:rsidP="00236392">
      <w:pPr>
        <w:numPr>
          <w:ilvl w:val="0"/>
          <w:numId w:val="72"/>
        </w:numPr>
        <w:spacing w:line="240" w:lineRule="auto"/>
        <w:jc w:val="both"/>
        <w:rPr>
          <w:rFonts w:ascii="Times New Roman" w:eastAsia="DengXian" w:hAnsi="Times New Roman" w:cs="Times New Roman"/>
        </w:rPr>
      </w:pPr>
      <w:r w:rsidRPr="00236392">
        <w:rPr>
          <w:rFonts w:ascii="Times New Roman" w:eastAsia="DengXian" w:hAnsi="Times New Roman" w:cs="Times New Roman"/>
          <w:b/>
          <w:bCs/>
        </w:rPr>
        <w:t>Monitoring Brand Touchpoints</w:t>
      </w:r>
      <w:r w:rsidRPr="00236392">
        <w:rPr>
          <w:rFonts w:ascii="Times New Roman" w:eastAsia="DengXian" w:hAnsi="Times New Roman" w:cs="Times New Roman"/>
        </w:rPr>
        <w:t>: Every point of customer interaction, from digital ordering platforms to physical service counters, should be reviewed and optimized to ensure consistency in brand delivery.</w:t>
      </w:r>
    </w:p>
    <w:p w14:paraId="1E4706DC" w14:textId="77777777" w:rsidR="00236392" w:rsidRPr="00236392" w:rsidRDefault="00236392" w:rsidP="00236392">
      <w:pPr>
        <w:numPr>
          <w:ilvl w:val="0"/>
          <w:numId w:val="72"/>
        </w:numPr>
        <w:spacing w:line="240" w:lineRule="auto"/>
        <w:jc w:val="both"/>
        <w:rPr>
          <w:rFonts w:ascii="Times New Roman" w:eastAsia="DengXian" w:hAnsi="Times New Roman" w:cs="Times New Roman"/>
        </w:rPr>
      </w:pPr>
      <w:r w:rsidRPr="00236392">
        <w:rPr>
          <w:rFonts w:ascii="Times New Roman" w:eastAsia="DengXian" w:hAnsi="Times New Roman" w:cs="Times New Roman"/>
          <w:b/>
          <w:bCs/>
        </w:rPr>
        <w:t>Retention Metrics</w:t>
      </w:r>
      <w:r w:rsidRPr="00236392">
        <w:rPr>
          <w:rFonts w:ascii="Times New Roman" w:eastAsia="DengXian" w:hAnsi="Times New Roman" w:cs="Times New Roman"/>
        </w:rPr>
        <w:t>: Managers should track not only repeat patronage but also qualitative indicators such as customer sentiment, referrals and emotional engagement to assess the impact of brand experience initiatives.</w:t>
      </w:r>
    </w:p>
    <w:p w14:paraId="25DED714"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QSR businesses can foster stronger emotional and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xml:space="preserve"> ties with their customers, improving retention and long-term profitability simply by focusing on these </w:t>
      </w:r>
      <w:proofErr w:type="spellStart"/>
      <w:r w:rsidRPr="00236392">
        <w:rPr>
          <w:rFonts w:ascii="Times New Roman" w:eastAsia="DengXian" w:hAnsi="Times New Roman" w:cs="Times New Roman"/>
        </w:rPr>
        <w:t>aforestated</w:t>
      </w:r>
      <w:proofErr w:type="spellEnd"/>
      <w:r w:rsidRPr="00236392">
        <w:rPr>
          <w:rFonts w:ascii="Times New Roman" w:eastAsia="DengXian" w:hAnsi="Times New Roman" w:cs="Times New Roman"/>
        </w:rPr>
        <w:t xml:space="preserve"> areas.</w:t>
      </w:r>
    </w:p>
    <w:p w14:paraId="70EDD3BC" w14:textId="77777777" w:rsidR="00236392" w:rsidRPr="00236392" w:rsidRDefault="00236392" w:rsidP="00236392">
      <w:pPr>
        <w:spacing w:line="240" w:lineRule="auto"/>
        <w:jc w:val="both"/>
        <w:rPr>
          <w:rFonts w:ascii="Times New Roman" w:eastAsia="DengXian" w:hAnsi="Times New Roman" w:cs="Times New Roman"/>
          <w:b/>
          <w:bCs/>
        </w:rPr>
      </w:pPr>
      <w:r w:rsidRPr="00236392">
        <w:rPr>
          <w:rFonts w:ascii="Times New Roman" w:eastAsia="DengXian" w:hAnsi="Times New Roman" w:cs="Times New Roman"/>
          <w:b/>
          <w:bCs/>
        </w:rPr>
        <w:t>5.3 Conclusion</w:t>
      </w:r>
    </w:p>
    <w:p w14:paraId="6EE0B959"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lastRenderedPageBreak/>
        <w:t xml:space="preserve">In the face of intensifying competition within Port Harcourt’s quick service restaurant (QSR) sector, this paper underscores the strategic importance of delivering exceptional brand experiences to drive customer retention. It reconceptualizes brand experience as a multidimensional construct comprising sensory, emotional, intellectual, </w:t>
      </w:r>
      <w:proofErr w:type="spellStart"/>
      <w:r w:rsidRPr="00236392">
        <w:rPr>
          <w:rFonts w:ascii="Times New Roman" w:eastAsia="DengXian" w:hAnsi="Times New Roman" w:cs="Times New Roman"/>
        </w:rPr>
        <w:t>behavioural</w:t>
      </w:r>
      <w:proofErr w:type="spellEnd"/>
      <w:r w:rsidRPr="00236392">
        <w:rPr>
          <w:rFonts w:ascii="Times New Roman" w:eastAsia="DengXian" w:hAnsi="Times New Roman" w:cs="Times New Roman"/>
        </w:rPr>
        <w:t>, relational and personal components, each contributing significantly to customer satisfaction and brand loyalty.</w:t>
      </w:r>
    </w:p>
    <w:p w14:paraId="3E337475" w14:textId="77777777" w:rsidR="00236392" w:rsidRPr="00236392" w:rsidRDefault="00236392" w:rsidP="00236392">
      <w:pPr>
        <w:spacing w:line="240" w:lineRule="auto"/>
        <w:jc w:val="both"/>
        <w:rPr>
          <w:rFonts w:ascii="Times New Roman" w:eastAsia="DengXian" w:hAnsi="Times New Roman" w:cs="Times New Roman"/>
        </w:rPr>
      </w:pPr>
      <w:r w:rsidRPr="00236392">
        <w:rPr>
          <w:rFonts w:ascii="Times New Roman" w:eastAsia="DengXian" w:hAnsi="Times New Roman" w:cs="Times New Roman"/>
        </w:rPr>
        <w:t xml:space="preserve">Grounded in Experiential Marketing Theory and Brand Equity Theory, the proposed model introduces brand love and </w:t>
      </w:r>
      <w:proofErr w:type="spellStart"/>
      <w:r w:rsidRPr="00236392">
        <w:rPr>
          <w:rFonts w:ascii="Times New Roman" w:eastAsia="DengXian" w:hAnsi="Times New Roman" w:cs="Times New Roman"/>
        </w:rPr>
        <w:t>organisational</w:t>
      </w:r>
      <w:proofErr w:type="spellEnd"/>
      <w:r w:rsidRPr="00236392">
        <w:rPr>
          <w:rFonts w:ascii="Times New Roman" w:eastAsia="DengXian" w:hAnsi="Times New Roman" w:cs="Times New Roman"/>
        </w:rPr>
        <w:t xml:space="preserve"> culture as key mediators that deepen the experience-retention relationship. This framework not only advances theoretical understanding in an under-researched African urban context but also offers practical insights for QSR operators aiming to strengthen emotional customer bonds. Future empirical research is encouraged to validate the model and support evidence-based strategies for enhancing customer loyalty in today’s experience-driven marketplace. </w:t>
      </w:r>
    </w:p>
    <w:p w14:paraId="57078059" w14:textId="77777777" w:rsidR="00236392" w:rsidRPr="00236392" w:rsidRDefault="00236392" w:rsidP="00236392">
      <w:pPr>
        <w:spacing w:line="240" w:lineRule="auto"/>
        <w:jc w:val="both"/>
        <w:rPr>
          <w:rFonts w:ascii="Times New Roman" w:eastAsia="DengXian" w:hAnsi="Times New Roman" w:cs="Times New Roman"/>
        </w:rPr>
      </w:pPr>
    </w:p>
    <w:p w14:paraId="55D3B9FC" w14:textId="77777777" w:rsidR="00236392" w:rsidRPr="00236392" w:rsidRDefault="00236392" w:rsidP="00236392">
      <w:pPr>
        <w:spacing w:line="240" w:lineRule="auto"/>
        <w:jc w:val="center"/>
        <w:rPr>
          <w:rFonts w:ascii="Times New Roman" w:eastAsia="DengXian" w:hAnsi="Times New Roman" w:cs="Times New Roman"/>
          <w:b/>
          <w:bCs/>
        </w:rPr>
      </w:pPr>
      <w:r w:rsidRPr="00236392">
        <w:rPr>
          <w:rFonts w:ascii="Times New Roman" w:eastAsia="DengXian" w:hAnsi="Times New Roman" w:cs="Times New Roman"/>
          <w:b/>
          <w:bCs/>
        </w:rPr>
        <w:t>References</w:t>
      </w:r>
    </w:p>
    <w:p w14:paraId="3692E8B7"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Aaker, D. A. (1991). </w:t>
      </w:r>
      <w:r w:rsidRPr="00236392">
        <w:rPr>
          <w:rFonts w:ascii="Times New Roman" w:eastAsia="DengXian" w:hAnsi="Times New Roman" w:cs="Times New Roman"/>
          <w:i/>
          <w:iCs/>
        </w:rPr>
        <w:t>Managing brand equity: Capitalizing on the value of a brand name</w:t>
      </w:r>
      <w:r w:rsidRPr="00236392">
        <w:rPr>
          <w:rFonts w:ascii="Times New Roman" w:eastAsia="DengXian" w:hAnsi="Times New Roman" w:cs="Times New Roman"/>
        </w:rPr>
        <w:t>. Free Press.</w:t>
      </w:r>
    </w:p>
    <w:p w14:paraId="3CF68B19"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Albert, N., &amp; </w:t>
      </w:r>
      <w:proofErr w:type="spellStart"/>
      <w:r w:rsidRPr="00236392">
        <w:rPr>
          <w:rFonts w:ascii="Times New Roman" w:eastAsia="DengXian" w:hAnsi="Times New Roman" w:cs="Times New Roman"/>
        </w:rPr>
        <w:t>Merunka</w:t>
      </w:r>
      <w:proofErr w:type="spellEnd"/>
      <w:r w:rsidRPr="00236392">
        <w:rPr>
          <w:rFonts w:ascii="Times New Roman" w:eastAsia="DengXian" w:hAnsi="Times New Roman" w:cs="Times New Roman"/>
        </w:rPr>
        <w:t xml:space="preserve">, D. (2013). The role of brand love in consumer-brand relationships. </w:t>
      </w:r>
      <w:r w:rsidRPr="00236392">
        <w:rPr>
          <w:rFonts w:ascii="Times New Roman" w:eastAsia="DengXian" w:hAnsi="Times New Roman" w:cs="Times New Roman"/>
          <w:i/>
          <w:iCs/>
        </w:rPr>
        <w:t>Journal of Consumer Marketing</w:t>
      </w:r>
      <w:r w:rsidRPr="00236392">
        <w:rPr>
          <w:rFonts w:ascii="Times New Roman" w:eastAsia="DengXian" w:hAnsi="Times New Roman" w:cs="Times New Roman"/>
        </w:rPr>
        <w:t>, 30(3), 258–266.</w:t>
      </w:r>
    </w:p>
    <w:p w14:paraId="59431705"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Batra, R., </w:t>
      </w:r>
      <w:proofErr w:type="spellStart"/>
      <w:r w:rsidRPr="00236392">
        <w:rPr>
          <w:rFonts w:ascii="Times New Roman" w:eastAsia="DengXian" w:hAnsi="Times New Roman" w:cs="Times New Roman"/>
        </w:rPr>
        <w:t>Ahuvia</w:t>
      </w:r>
      <w:proofErr w:type="spellEnd"/>
      <w:r w:rsidRPr="00236392">
        <w:rPr>
          <w:rFonts w:ascii="Times New Roman" w:eastAsia="DengXian" w:hAnsi="Times New Roman" w:cs="Times New Roman"/>
        </w:rPr>
        <w:t xml:space="preserve">, A., &amp; Bagozzi, R. P. (2012). Brand love. </w:t>
      </w:r>
      <w:r w:rsidRPr="00236392">
        <w:rPr>
          <w:rFonts w:ascii="Times New Roman" w:eastAsia="DengXian" w:hAnsi="Times New Roman" w:cs="Times New Roman"/>
          <w:i/>
          <w:iCs/>
        </w:rPr>
        <w:t>Journal of Marketing</w:t>
      </w:r>
      <w:r w:rsidRPr="00236392">
        <w:rPr>
          <w:rFonts w:ascii="Times New Roman" w:eastAsia="DengXian" w:hAnsi="Times New Roman" w:cs="Times New Roman"/>
        </w:rPr>
        <w:t>, 76(2), 1–16.</w:t>
      </w:r>
    </w:p>
    <w:p w14:paraId="7DD70BF4"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Bergkvist, L., &amp; Bech-Larsen, T. (2010). Two studies of consequences and actionable antecedents of brand love. </w:t>
      </w:r>
      <w:r w:rsidRPr="00236392">
        <w:rPr>
          <w:rFonts w:ascii="Times New Roman" w:eastAsia="DengXian" w:hAnsi="Times New Roman" w:cs="Times New Roman"/>
          <w:i/>
          <w:iCs/>
        </w:rPr>
        <w:t>Journal of Brand Management</w:t>
      </w:r>
      <w:r w:rsidRPr="00236392">
        <w:rPr>
          <w:rFonts w:ascii="Times New Roman" w:eastAsia="DengXian" w:hAnsi="Times New Roman" w:cs="Times New Roman"/>
        </w:rPr>
        <w:t>, 17(7), 504–518.</w:t>
      </w:r>
    </w:p>
    <w:p w14:paraId="3DF29A7C"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Brakus, J. J., Schmitt, B. H., &amp; </w:t>
      </w:r>
      <w:proofErr w:type="spellStart"/>
      <w:r w:rsidRPr="00236392">
        <w:rPr>
          <w:rFonts w:ascii="Times New Roman" w:eastAsia="DengXian" w:hAnsi="Times New Roman" w:cs="Times New Roman"/>
        </w:rPr>
        <w:t>Zarantonello</w:t>
      </w:r>
      <w:proofErr w:type="spellEnd"/>
      <w:r w:rsidRPr="00236392">
        <w:rPr>
          <w:rFonts w:ascii="Times New Roman" w:eastAsia="DengXian" w:hAnsi="Times New Roman" w:cs="Times New Roman"/>
        </w:rPr>
        <w:t xml:space="preserve">, L. (2009). Brand experience: What is it? How is it measured? Does it affect loyalty? </w:t>
      </w:r>
      <w:r w:rsidRPr="00236392">
        <w:rPr>
          <w:rFonts w:ascii="Times New Roman" w:eastAsia="DengXian" w:hAnsi="Times New Roman" w:cs="Times New Roman"/>
          <w:i/>
          <w:iCs/>
        </w:rPr>
        <w:t>Journal of Marketing</w:t>
      </w:r>
      <w:r w:rsidRPr="00236392">
        <w:rPr>
          <w:rFonts w:ascii="Times New Roman" w:eastAsia="DengXian" w:hAnsi="Times New Roman" w:cs="Times New Roman"/>
        </w:rPr>
        <w:t>, 73(3), 52–68. https://doi.org/10.1509/jmkg.73.3.52</w:t>
      </w:r>
    </w:p>
    <w:p w14:paraId="1F1D50DB"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Carroll, B. A., &amp; </w:t>
      </w:r>
      <w:proofErr w:type="spellStart"/>
      <w:r w:rsidRPr="00236392">
        <w:rPr>
          <w:rFonts w:ascii="Times New Roman" w:eastAsia="DengXian" w:hAnsi="Times New Roman" w:cs="Times New Roman"/>
        </w:rPr>
        <w:t>Ahuvia</w:t>
      </w:r>
      <w:proofErr w:type="spellEnd"/>
      <w:r w:rsidRPr="00236392">
        <w:rPr>
          <w:rFonts w:ascii="Times New Roman" w:eastAsia="DengXian" w:hAnsi="Times New Roman" w:cs="Times New Roman"/>
        </w:rPr>
        <w:t xml:space="preserve">, A. C. (2006). Some antecedents and outcomes of brand love. </w:t>
      </w:r>
      <w:r w:rsidRPr="00236392">
        <w:rPr>
          <w:rFonts w:ascii="Times New Roman" w:eastAsia="DengXian" w:hAnsi="Times New Roman" w:cs="Times New Roman"/>
          <w:i/>
          <w:iCs/>
        </w:rPr>
        <w:t>Marketing Letters</w:t>
      </w:r>
      <w:r w:rsidRPr="00236392">
        <w:rPr>
          <w:rFonts w:ascii="Times New Roman" w:eastAsia="DengXian" w:hAnsi="Times New Roman" w:cs="Times New Roman"/>
        </w:rPr>
        <w:t>, 17(2), 79–89. https://doi.org/10.1007/s11002-006-4219-2</w:t>
      </w:r>
    </w:p>
    <w:p w14:paraId="42B391D0"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Coelho, P. S., Rita, P., &amp; Santos, Z. R. (2018). On the relationship between consumer-brand identification, brand community, and brand loyalty. </w:t>
      </w:r>
      <w:r w:rsidRPr="00236392">
        <w:rPr>
          <w:rFonts w:ascii="Times New Roman" w:eastAsia="DengXian" w:hAnsi="Times New Roman" w:cs="Times New Roman"/>
          <w:i/>
          <w:iCs/>
        </w:rPr>
        <w:t>Journal of Retailing and Consumer Services</w:t>
      </w:r>
      <w:r w:rsidRPr="00236392">
        <w:rPr>
          <w:rFonts w:ascii="Times New Roman" w:eastAsia="DengXian" w:hAnsi="Times New Roman" w:cs="Times New Roman"/>
        </w:rPr>
        <w:t>, 43, 101–110.</w:t>
      </w:r>
    </w:p>
    <w:p w14:paraId="7DEDB180"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Escalas, J. E., &amp; Bettman, J. R. (2005). Self-construal, reference groups, and brand meaning. </w:t>
      </w:r>
      <w:r w:rsidRPr="00236392">
        <w:rPr>
          <w:rFonts w:ascii="Times New Roman" w:eastAsia="DengXian" w:hAnsi="Times New Roman" w:cs="Times New Roman"/>
          <w:i/>
          <w:iCs/>
        </w:rPr>
        <w:t>Journal of Consumer Research</w:t>
      </w:r>
      <w:r w:rsidRPr="00236392">
        <w:rPr>
          <w:rFonts w:ascii="Times New Roman" w:eastAsia="DengXian" w:hAnsi="Times New Roman" w:cs="Times New Roman"/>
        </w:rPr>
        <w:t>, 32(3), 378–389.</w:t>
      </w:r>
    </w:p>
    <w:p w14:paraId="22BF6CA5"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Fournier, S. (1998). Consumers and their brands: Developing relationship theory in consumer research. </w:t>
      </w:r>
      <w:r w:rsidRPr="00236392">
        <w:rPr>
          <w:rFonts w:ascii="Times New Roman" w:eastAsia="DengXian" w:hAnsi="Times New Roman" w:cs="Times New Roman"/>
          <w:i/>
          <w:iCs/>
        </w:rPr>
        <w:t>Journal of Consumer Research</w:t>
      </w:r>
      <w:r w:rsidRPr="00236392">
        <w:rPr>
          <w:rFonts w:ascii="Times New Roman" w:eastAsia="DengXian" w:hAnsi="Times New Roman" w:cs="Times New Roman"/>
        </w:rPr>
        <w:t>, 24(4), 343–373.</w:t>
      </w:r>
    </w:p>
    <w:p w14:paraId="24B7B435"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Ha, H.-Y., &amp; Perks, H. (2005). Effects of consumer perceptions of brand experience on the web: Brand familiarity, satisfaction and brand trust. </w:t>
      </w:r>
      <w:r w:rsidRPr="00236392">
        <w:rPr>
          <w:rFonts w:ascii="Times New Roman" w:eastAsia="DengXian" w:hAnsi="Times New Roman" w:cs="Times New Roman"/>
          <w:i/>
          <w:iCs/>
        </w:rPr>
        <w:t xml:space="preserve">Journal of Consumer </w:t>
      </w:r>
      <w:proofErr w:type="spellStart"/>
      <w:r w:rsidRPr="00236392">
        <w:rPr>
          <w:rFonts w:ascii="Times New Roman" w:eastAsia="DengXian" w:hAnsi="Times New Roman" w:cs="Times New Roman"/>
          <w:i/>
          <w:iCs/>
        </w:rPr>
        <w:t>Behaviour</w:t>
      </w:r>
      <w:proofErr w:type="spellEnd"/>
      <w:r w:rsidRPr="00236392">
        <w:rPr>
          <w:rFonts w:ascii="Times New Roman" w:eastAsia="DengXian" w:hAnsi="Times New Roman" w:cs="Times New Roman"/>
        </w:rPr>
        <w:t>, 4(6), 438–452.</w:t>
      </w:r>
    </w:p>
    <w:p w14:paraId="36892CEC"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Harris, L. C., &amp; Ogbonna, E. (2000). The responses of front-line employees to market-oriented culture change. </w:t>
      </w:r>
      <w:r w:rsidRPr="00236392">
        <w:rPr>
          <w:rFonts w:ascii="Times New Roman" w:eastAsia="DengXian" w:hAnsi="Times New Roman" w:cs="Times New Roman"/>
          <w:i/>
          <w:iCs/>
        </w:rPr>
        <w:t>European Journal of Marketing</w:t>
      </w:r>
      <w:r w:rsidRPr="00236392">
        <w:rPr>
          <w:rFonts w:ascii="Times New Roman" w:eastAsia="DengXian" w:hAnsi="Times New Roman" w:cs="Times New Roman"/>
        </w:rPr>
        <w:t>, 34(3/4), 318–340.</w:t>
      </w:r>
    </w:p>
    <w:p w14:paraId="478D2124"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Hultén, B. (2011). Sensory marketing: The multi-sensory brand-experience concept. </w:t>
      </w:r>
      <w:r w:rsidRPr="00236392">
        <w:rPr>
          <w:rFonts w:ascii="Times New Roman" w:eastAsia="DengXian" w:hAnsi="Times New Roman" w:cs="Times New Roman"/>
          <w:i/>
          <w:iCs/>
        </w:rPr>
        <w:t>European Business Review</w:t>
      </w:r>
      <w:r w:rsidRPr="00236392">
        <w:rPr>
          <w:rFonts w:ascii="Times New Roman" w:eastAsia="DengXian" w:hAnsi="Times New Roman" w:cs="Times New Roman"/>
        </w:rPr>
        <w:t>, 23(3), 256–273.</w:t>
      </w:r>
    </w:p>
    <w:p w14:paraId="0C3D3FE4"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Iglesias, O., Singh, J. J., &amp; Batista-Foguet, J. M. (2011). The role of brand experience and affective commitment in determining brand loyalty. </w:t>
      </w:r>
      <w:r w:rsidRPr="00236392">
        <w:rPr>
          <w:rFonts w:ascii="Times New Roman" w:eastAsia="DengXian" w:hAnsi="Times New Roman" w:cs="Times New Roman"/>
          <w:i/>
          <w:iCs/>
        </w:rPr>
        <w:t>Journal of Brand Management</w:t>
      </w:r>
      <w:r w:rsidRPr="00236392">
        <w:rPr>
          <w:rFonts w:ascii="Times New Roman" w:eastAsia="DengXian" w:hAnsi="Times New Roman" w:cs="Times New Roman"/>
        </w:rPr>
        <w:t>, 18(8), 570–582.</w:t>
      </w:r>
    </w:p>
    <w:p w14:paraId="24C8D131"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Keller, K. L. (1993). Conceptualizing, measuring, and managing customer-based brand equity. </w:t>
      </w:r>
      <w:r w:rsidRPr="00236392">
        <w:rPr>
          <w:rFonts w:ascii="Times New Roman" w:eastAsia="DengXian" w:hAnsi="Times New Roman" w:cs="Times New Roman"/>
          <w:i/>
          <w:iCs/>
        </w:rPr>
        <w:t>Journal of Marketing</w:t>
      </w:r>
      <w:r w:rsidRPr="00236392">
        <w:rPr>
          <w:rFonts w:ascii="Times New Roman" w:eastAsia="DengXian" w:hAnsi="Times New Roman" w:cs="Times New Roman"/>
        </w:rPr>
        <w:t>, 57(1), 1–22. https://doi.org/10.2307/1252054</w:t>
      </w:r>
    </w:p>
    <w:p w14:paraId="470E0397"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lastRenderedPageBreak/>
        <w:t xml:space="preserve">Keller, K. L., &amp; Lehmann, D. R. (2006). Brands and branding: Research findings and future priorities. </w:t>
      </w:r>
      <w:r w:rsidRPr="00236392">
        <w:rPr>
          <w:rFonts w:ascii="Times New Roman" w:eastAsia="DengXian" w:hAnsi="Times New Roman" w:cs="Times New Roman"/>
          <w:i/>
          <w:iCs/>
        </w:rPr>
        <w:t>Marketing Science</w:t>
      </w:r>
      <w:r w:rsidRPr="00236392">
        <w:rPr>
          <w:rFonts w:ascii="Times New Roman" w:eastAsia="DengXian" w:hAnsi="Times New Roman" w:cs="Times New Roman"/>
        </w:rPr>
        <w:t>, 25(6), 740–759.</w:t>
      </w:r>
    </w:p>
    <w:p w14:paraId="7FAC99EF"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Kim, H.-B., Jin-Sun, K., &amp; Kim, W. G. (2008). The effect of consumer-based brand equity on firms’ financial performance. </w:t>
      </w:r>
      <w:r w:rsidRPr="00236392">
        <w:rPr>
          <w:rFonts w:ascii="Times New Roman" w:eastAsia="DengXian" w:hAnsi="Times New Roman" w:cs="Times New Roman"/>
          <w:i/>
          <w:iCs/>
        </w:rPr>
        <w:t>Journal of Consumer Marketing</w:t>
      </w:r>
      <w:r w:rsidRPr="00236392">
        <w:rPr>
          <w:rFonts w:ascii="Times New Roman" w:eastAsia="DengXian" w:hAnsi="Times New Roman" w:cs="Times New Roman"/>
        </w:rPr>
        <w:t>, 25(2), 143–155.</w:t>
      </w:r>
    </w:p>
    <w:p w14:paraId="1B9A5D1D"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Kotler, P., &amp; Keller, K. L. (2016). </w:t>
      </w:r>
      <w:r w:rsidRPr="00236392">
        <w:rPr>
          <w:rFonts w:ascii="Times New Roman" w:eastAsia="DengXian" w:hAnsi="Times New Roman" w:cs="Times New Roman"/>
          <w:i/>
          <w:iCs/>
        </w:rPr>
        <w:t>Marketing management</w:t>
      </w:r>
      <w:r w:rsidRPr="00236392">
        <w:rPr>
          <w:rFonts w:ascii="Times New Roman" w:eastAsia="DengXian" w:hAnsi="Times New Roman" w:cs="Times New Roman"/>
        </w:rPr>
        <w:t xml:space="preserve"> (15th ed.). Pearson Education.</w:t>
      </w:r>
    </w:p>
    <w:p w14:paraId="0BF2DB9C"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Krishna, A. (2012). An integrative review of sensory marketing: Engaging the senses to affect perception, judgment and behavior. </w:t>
      </w:r>
      <w:r w:rsidRPr="00236392">
        <w:rPr>
          <w:rFonts w:ascii="Times New Roman" w:eastAsia="DengXian" w:hAnsi="Times New Roman" w:cs="Times New Roman"/>
          <w:i/>
          <w:iCs/>
        </w:rPr>
        <w:t>Journal of Consumer Psychology</w:t>
      </w:r>
      <w:r w:rsidRPr="00236392">
        <w:rPr>
          <w:rFonts w:ascii="Times New Roman" w:eastAsia="DengXian" w:hAnsi="Times New Roman" w:cs="Times New Roman"/>
        </w:rPr>
        <w:t>, 22(3), 332–351.</w:t>
      </w:r>
    </w:p>
    <w:p w14:paraId="7EDF9A61"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McAlexander, J. H., Schouten, J. W., &amp; Koenig, H. F. (2002). Building brand community. </w:t>
      </w:r>
      <w:r w:rsidRPr="00236392">
        <w:rPr>
          <w:rFonts w:ascii="Times New Roman" w:eastAsia="DengXian" w:hAnsi="Times New Roman" w:cs="Times New Roman"/>
          <w:i/>
          <w:iCs/>
        </w:rPr>
        <w:t>Journal of Marketing</w:t>
      </w:r>
      <w:r w:rsidRPr="00236392">
        <w:rPr>
          <w:rFonts w:ascii="Times New Roman" w:eastAsia="DengXian" w:hAnsi="Times New Roman" w:cs="Times New Roman"/>
        </w:rPr>
        <w:t>, 66(1), 38–54.</w:t>
      </w:r>
    </w:p>
    <w:p w14:paraId="6332699B"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Morrison, S., &amp; Crane, F. G. (2007). Building the service brand by creating and managing an emotional brand experience. </w:t>
      </w:r>
      <w:r w:rsidRPr="00236392">
        <w:rPr>
          <w:rFonts w:ascii="Times New Roman" w:eastAsia="DengXian" w:hAnsi="Times New Roman" w:cs="Times New Roman"/>
          <w:i/>
          <w:iCs/>
        </w:rPr>
        <w:t>Journal of Brand Management</w:t>
      </w:r>
      <w:r w:rsidRPr="00236392">
        <w:rPr>
          <w:rFonts w:ascii="Times New Roman" w:eastAsia="DengXian" w:hAnsi="Times New Roman" w:cs="Times New Roman"/>
        </w:rPr>
        <w:t>, 14(5), 410–421.</w:t>
      </w:r>
    </w:p>
    <w:p w14:paraId="200A4E94"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Nysveen, H., Pedersen, P. E., &amp; </w:t>
      </w:r>
      <w:proofErr w:type="spellStart"/>
      <w:r w:rsidRPr="00236392">
        <w:rPr>
          <w:rFonts w:ascii="Times New Roman" w:eastAsia="DengXian" w:hAnsi="Times New Roman" w:cs="Times New Roman"/>
        </w:rPr>
        <w:t>Skard</w:t>
      </w:r>
      <w:proofErr w:type="spellEnd"/>
      <w:r w:rsidRPr="00236392">
        <w:rPr>
          <w:rFonts w:ascii="Times New Roman" w:eastAsia="DengXian" w:hAnsi="Times New Roman" w:cs="Times New Roman"/>
        </w:rPr>
        <w:t xml:space="preserve">, S. (2013). Brand experiences in service organizations: Exploring the individual effects of brand experience dimensions. </w:t>
      </w:r>
      <w:r w:rsidRPr="00236392">
        <w:rPr>
          <w:rFonts w:ascii="Times New Roman" w:eastAsia="DengXian" w:hAnsi="Times New Roman" w:cs="Times New Roman"/>
          <w:i/>
          <w:iCs/>
        </w:rPr>
        <w:t>Journal of Brand Management</w:t>
      </w:r>
      <w:r w:rsidRPr="00236392">
        <w:rPr>
          <w:rFonts w:ascii="Times New Roman" w:eastAsia="DengXian" w:hAnsi="Times New Roman" w:cs="Times New Roman"/>
        </w:rPr>
        <w:t>, 20(5), 404–423.</w:t>
      </w:r>
    </w:p>
    <w:p w14:paraId="4675537D"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Oliver, R. L. (1999). Whence consumer loyalty? </w:t>
      </w:r>
      <w:r w:rsidRPr="00236392">
        <w:rPr>
          <w:rFonts w:ascii="Times New Roman" w:eastAsia="DengXian" w:hAnsi="Times New Roman" w:cs="Times New Roman"/>
          <w:i/>
          <w:iCs/>
        </w:rPr>
        <w:t>Journal of Marketing</w:t>
      </w:r>
      <w:r w:rsidRPr="00236392">
        <w:rPr>
          <w:rFonts w:ascii="Times New Roman" w:eastAsia="DengXian" w:hAnsi="Times New Roman" w:cs="Times New Roman"/>
        </w:rPr>
        <w:t>, 63(4_suppl1), 33–44. https://doi.org/10.1177/00222429990634s105</w:t>
      </w:r>
    </w:p>
    <w:p w14:paraId="1E10C671"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Payne, A., &amp; Frow, P. (2017). Relationship marketing: Looking backwards towards the future. </w:t>
      </w:r>
      <w:r w:rsidRPr="00236392">
        <w:rPr>
          <w:rFonts w:ascii="Times New Roman" w:eastAsia="DengXian" w:hAnsi="Times New Roman" w:cs="Times New Roman"/>
          <w:i/>
          <w:iCs/>
        </w:rPr>
        <w:t>Journal of Services Marketing</w:t>
      </w:r>
      <w:r w:rsidRPr="00236392">
        <w:rPr>
          <w:rFonts w:ascii="Times New Roman" w:eastAsia="DengXian" w:hAnsi="Times New Roman" w:cs="Times New Roman"/>
        </w:rPr>
        <w:t>, 31(1), 11–15.</w:t>
      </w:r>
    </w:p>
    <w:p w14:paraId="0499A356"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Pine, B. J., &amp; Gilmore, J. H. (1998). Welcome to the experience economy. </w:t>
      </w:r>
      <w:r w:rsidRPr="00236392">
        <w:rPr>
          <w:rFonts w:ascii="Times New Roman" w:eastAsia="DengXian" w:hAnsi="Times New Roman" w:cs="Times New Roman"/>
          <w:i/>
          <w:iCs/>
        </w:rPr>
        <w:t>Harvard Business Review</w:t>
      </w:r>
      <w:r w:rsidRPr="00236392">
        <w:rPr>
          <w:rFonts w:ascii="Times New Roman" w:eastAsia="DengXian" w:hAnsi="Times New Roman" w:cs="Times New Roman"/>
        </w:rPr>
        <w:t>, 76(4), 97–105.</w:t>
      </w:r>
    </w:p>
    <w:p w14:paraId="151BDC42"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Reichheld, F. F., &amp; Sasser, W. E. (1990). Zero defections: Quality comes to services. </w:t>
      </w:r>
      <w:r w:rsidRPr="00236392">
        <w:rPr>
          <w:rFonts w:ascii="Times New Roman" w:eastAsia="DengXian" w:hAnsi="Times New Roman" w:cs="Times New Roman"/>
          <w:i/>
          <w:iCs/>
        </w:rPr>
        <w:t>Harvard Business Review</w:t>
      </w:r>
      <w:r w:rsidRPr="00236392">
        <w:rPr>
          <w:rFonts w:ascii="Times New Roman" w:eastAsia="DengXian" w:hAnsi="Times New Roman" w:cs="Times New Roman"/>
        </w:rPr>
        <w:t>, 68(5), 105–111.</w:t>
      </w:r>
    </w:p>
    <w:p w14:paraId="68DD846D"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Sahin, A., </w:t>
      </w:r>
      <w:proofErr w:type="spellStart"/>
      <w:r w:rsidRPr="00236392">
        <w:rPr>
          <w:rFonts w:ascii="Times New Roman" w:eastAsia="DengXian" w:hAnsi="Times New Roman" w:cs="Times New Roman"/>
        </w:rPr>
        <w:t>Zehir</w:t>
      </w:r>
      <w:proofErr w:type="spellEnd"/>
      <w:r w:rsidRPr="00236392">
        <w:rPr>
          <w:rFonts w:ascii="Times New Roman" w:eastAsia="DengXian" w:hAnsi="Times New Roman" w:cs="Times New Roman"/>
        </w:rPr>
        <w:t xml:space="preserve">, C., &amp; </w:t>
      </w:r>
      <w:proofErr w:type="spellStart"/>
      <w:r w:rsidRPr="00236392">
        <w:rPr>
          <w:rFonts w:ascii="Times New Roman" w:eastAsia="DengXian" w:hAnsi="Times New Roman" w:cs="Times New Roman"/>
        </w:rPr>
        <w:t>Kitapçı</w:t>
      </w:r>
      <w:proofErr w:type="spellEnd"/>
      <w:r w:rsidRPr="00236392">
        <w:rPr>
          <w:rFonts w:ascii="Times New Roman" w:eastAsia="DengXian" w:hAnsi="Times New Roman" w:cs="Times New Roman"/>
        </w:rPr>
        <w:t xml:space="preserve">, H. (2011). The effects of brand experiences, trust and satisfaction on building brand loyalty; </w:t>
      </w:r>
      <w:proofErr w:type="gramStart"/>
      <w:r w:rsidRPr="00236392">
        <w:rPr>
          <w:rFonts w:ascii="Times New Roman" w:eastAsia="DengXian" w:hAnsi="Times New Roman" w:cs="Times New Roman"/>
        </w:rPr>
        <w:t>An empirical research</w:t>
      </w:r>
      <w:proofErr w:type="gramEnd"/>
      <w:r w:rsidRPr="00236392">
        <w:rPr>
          <w:rFonts w:ascii="Times New Roman" w:eastAsia="DengXian" w:hAnsi="Times New Roman" w:cs="Times New Roman"/>
        </w:rPr>
        <w:t xml:space="preserve"> on global brands. </w:t>
      </w:r>
      <w:r w:rsidRPr="00236392">
        <w:rPr>
          <w:rFonts w:ascii="Times New Roman" w:eastAsia="DengXian" w:hAnsi="Times New Roman" w:cs="Times New Roman"/>
          <w:i/>
          <w:iCs/>
        </w:rPr>
        <w:t>Procedia - Social and Behavioral Sciences</w:t>
      </w:r>
      <w:r w:rsidRPr="00236392">
        <w:rPr>
          <w:rFonts w:ascii="Times New Roman" w:eastAsia="DengXian" w:hAnsi="Times New Roman" w:cs="Times New Roman"/>
        </w:rPr>
        <w:t>, 24, 1288–1301.</w:t>
      </w:r>
    </w:p>
    <w:p w14:paraId="152E2922"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Schein, E. H. (2010). </w:t>
      </w:r>
      <w:r w:rsidRPr="00236392">
        <w:rPr>
          <w:rFonts w:ascii="Times New Roman" w:eastAsia="DengXian" w:hAnsi="Times New Roman" w:cs="Times New Roman"/>
          <w:i/>
          <w:iCs/>
        </w:rPr>
        <w:t>Organizational culture and leadership</w:t>
      </w:r>
      <w:r w:rsidRPr="00236392">
        <w:rPr>
          <w:rFonts w:ascii="Times New Roman" w:eastAsia="DengXian" w:hAnsi="Times New Roman" w:cs="Times New Roman"/>
        </w:rPr>
        <w:t xml:space="preserve"> (4th ed.). Jossey-Bass.</w:t>
      </w:r>
    </w:p>
    <w:p w14:paraId="26ECC788"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Schmitt, B. H. (1999). Experiential marketing. </w:t>
      </w:r>
      <w:r w:rsidRPr="00236392">
        <w:rPr>
          <w:rFonts w:ascii="Times New Roman" w:eastAsia="DengXian" w:hAnsi="Times New Roman" w:cs="Times New Roman"/>
          <w:i/>
          <w:iCs/>
        </w:rPr>
        <w:t>Journal of Marketing Management</w:t>
      </w:r>
      <w:r w:rsidRPr="00236392">
        <w:rPr>
          <w:rFonts w:ascii="Times New Roman" w:eastAsia="DengXian" w:hAnsi="Times New Roman" w:cs="Times New Roman"/>
        </w:rPr>
        <w:t>, 15(1–3), 53–67. https://doi.org/10.1362/026725799784870496</w:t>
      </w:r>
    </w:p>
    <w:p w14:paraId="64AF7F80"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Schmitt, B. H., &amp; </w:t>
      </w:r>
      <w:proofErr w:type="spellStart"/>
      <w:r w:rsidRPr="00236392">
        <w:rPr>
          <w:rFonts w:ascii="Times New Roman" w:eastAsia="DengXian" w:hAnsi="Times New Roman" w:cs="Times New Roman"/>
        </w:rPr>
        <w:t>Zarantonello</w:t>
      </w:r>
      <w:proofErr w:type="spellEnd"/>
      <w:r w:rsidRPr="00236392">
        <w:rPr>
          <w:rFonts w:ascii="Times New Roman" w:eastAsia="DengXian" w:hAnsi="Times New Roman" w:cs="Times New Roman"/>
        </w:rPr>
        <w:t xml:space="preserve">, L. (2013). Consumer experience and experiential marketing: A critical review. </w:t>
      </w:r>
      <w:r w:rsidRPr="00236392">
        <w:rPr>
          <w:rFonts w:ascii="Times New Roman" w:eastAsia="DengXian" w:hAnsi="Times New Roman" w:cs="Times New Roman"/>
          <w:i/>
          <w:iCs/>
        </w:rPr>
        <w:t>Review of Marketing Research</w:t>
      </w:r>
      <w:r w:rsidRPr="00236392">
        <w:rPr>
          <w:rFonts w:ascii="Times New Roman" w:eastAsia="DengXian" w:hAnsi="Times New Roman" w:cs="Times New Roman"/>
        </w:rPr>
        <w:t>, 10, 25–61.</w:t>
      </w:r>
    </w:p>
    <w:p w14:paraId="3BBB3C33"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Schneider, B., Ehrhart, M. G., &amp; Macey, W. H. (2013). Organizational climate and culture. </w:t>
      </w:r>
      <w:r w:rsidRPr="00236392">
        <w:rPr>
          <w:rFonts w:ascii="Times New Roman" w:eastAsia="DengXian" w:hAnsi="Times New Roman" w:cs="Times New Roman"/>
          <w:i/>
          <w:iCs/>
        </w:rPr>
        <w:t>Annual Review of Psychology</w:t>
      </w:r>
      <w:r w:rsidRPr="00236392">
        <w:rPr>
          <w:rFonts w:ascii="Times New Roman" w:eastAsia="DengXian" w:hAnsi="Times New Roman" w:cs="Times New Roman"/>
        </w:rPr>
        <w:t>, 64, 361–388.</w:t>
      </w:r>
    </w:p>
    <w:p w14:paraId="19013D2F"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Spence, C., Puccinelli, N. M., Grewal, D., &amp; Roggeveen, A. L. (2014). Store atmospherics: A multisensory perspective. </w:t>
      </w:r>
      <w:r w:rsidRPr="00236392">
        <w:rPr>
          <w:rFonts w:ascii="Times New Roman" w:eastAsia="DengXian" w:hAnsi="Times New Roman" w:cs="Times New Roman"/>
          <w:i/>
          <w:iCs/>
        </w:rPr>
        <w:t>Psychology &amp; Marketing</w:t>
      </w:r>
      <w:r w:rsidRPr="00236392">
        <w:rPr>
          <w:rFonts w:ascii="Times New Roman" w:eastAsia="DengXian" w:hAnsi="Times New Roman" w:cs="Times New Roman"/>
        </w:rPr>
        <w:t>, 31(7), 472–488.</w:t>
      </w:r>
    </w:p>
    <w:p w14:paraId="5F94E094"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Thomson, M., MacInnis, D. J., &amp; Park, C. W. (2005). The ties that bind: Measuring the strength of consumers’ emotional attachments to brands. </w:t>
      </w:r>
      <w:r w:rsidRPr="00236392">
        <w:rPr>
          <w:rFonts w:ascii="Times New Roman" w:eastAsia="DengXian" w:hAnsi="Times New Roman" w:cs="Times New Roman"/>
          <w:i/>
          <w:iCs/>
        </w:rPr>
        <w:t>Journal of Consumer Psychology</w:t>
      </w:r>
      <w:r w:rsidRPr="00236392">
        <w:rPr>
          <w:rFonts w:ascii="Times New Roman" w:eastAsia="DengXian" w:hAnsi="Times New Roman" w:cs="Times New Roman"/>
        </w:rPr>
        <w:t>, 15(1), 77–91.</w:t>
      </w:r>
    </w:p>
    <w:p w14:paraId="6D7889EB"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r w:rsidRPr="00236392">
        <w:rPr>
          <w:rFonts w:ascii="Times New Roman" w:eastAsia="DengXian" w:hAnsi="Times New Roman" w:cs="Times New Roman"/>
        </w:rPr>
        <w:t xml:space="preserve">Verhoef, P. C., Lemon, K. N., Parasuraman, A., Roggeveen, A., Tsiros, M., &amp; Schlesinger, L. A. (2009). Customer experience creation: Determinants, dynamics and management strategies. </w:t>
      </w:r>
      <w:r w:rsidRPr="00236392">
        <w:rPr>
          <w:rFonts w:ascii="Times New Roman" w:eastAsia="DengXian" w:hAnsi="Times New Roman" w:cs="Times New Roman"/>
          <w:i/>
          <w:iCs/>
        </w:rPr>
        <w:t>Journal of Retailing</w:t>
      </w:r>
      <w:r w:rsidRPr="00236392">
        <w:rPr>
          <w:rFonts w:ascii="Times New Roman" w:eastAsia="DengXian" w:hAnsi="Times New Roman" w:cs="Times New Roman"/>
        </w:rPr>
        <w:t>, 85(1), 31–41.</w:t>
      </w:r>
    </w:p>
    <w:p w14:paraId="444FFBC0" w14:textId="77777777" w:rsidR="00236392" w:rsidRPr="00236392" w:rsidRDefault="00236392" w:rsidP="00236392">
      <w:pPr>
        <w:spacing w:line="240" w:lineRule="auto"/>
        <w:ind w:left="480" w:hangingChars="200" w:hanging="480"/>
        <w:jc w:val="both"/>
        <w:rPr>
          <w:rFonts w:ascii="Times New Roman" w:eastAsia="DengXian" w:hAnsi="Times New Roman" w:cs="Times New Roman"/>
        </w:rPr>
      </w:pPr>
      <w:proofErr w:type="spellStart"/>
      <w:r w:rsidRPr="00236392">
        <w:rPr>
          <w:rFonts w:ascii="Times New Roman" w:eastAsia="DengXian" w:hAnsi="Times New Roman" w:cs="Times New Roman"/>
        </w:rPr>
        <w:lastRenderedPageBreak/>
        <w:t>Zarantonello</w:t>
      </w:r>
      <w:proofErr w:type="spellEnd"/>
      <w:r w:rsidRPr="00236392">
        <w:rPr>
          <w:rFonts w:ascii="Times New Roman" w:eastAsia="DengXian" w:hAnsi="Times New Roman" w:cs="Times New Roman"/>
        </w:rPr>
        <w:t xml:space="preserve">, L., &amp; Schmitt, B. H. (2010). Using the brand experience scale to profile consumers and predict consumer behavior. </w:t>
      </w:r>
      <w:r w:rsidRPr="00236392">
        <w:rPr>
          <w:rFonts w:ascii="Times New Roman" w:eastAsia="DengXian" w:hAnsi="Times New Roman" w:cs="Times New Roman"/>
          <w:i/>
          <w:iCs/>
        </w:rPr>
        <w:t>Journal of Brand Management</w:t>
      </w:r>
      <w:r w:rsidRPr="00236392">
        <w:rPr>
          <w:rFonts w:ascii="Times New Roman" w:eastAsia="DengXian" w:hAnsi="Times New Roman" w:cs="Times New Roman"/>
        </w:rPr>
        <w:t>, 17(7), 532–540.</w:t>
      </w:r>
    </w:p>
    <w:p w14:paraId="4B72EE56" w14:textId="77777777" w:rsidR="00E30D1B" w:rsidRDefault="00E30D1B" w:rsidP="00236392">
      <w:pPr>
        <w:spacing w:after="0" w:line="240" w:lineRule="auto"/>
        <w:jc w:val="both"/>
        <w:rPr>
          <w:rFonts w:ascii="Times New Roman" w:hAnsi="Times New Roman" w:cs="Times New Roman"/>
          <w:b/>
          <w:bCs/>
          <w:sz w:val="52"/>
          <w:szCs w:val="52"/>
        </w:rPr>
      </w:pPr>
    </w:p>
    <w:p w14:paraId="3E68A415" w14:textId="77777777" w:rsidR="00E30D1B" w:rsidRDefault="00E30D1B" w:rsidP="00641746">
      <w:pPr>
        <w:spacing w:after="0" w:line="240" w:lineRule="auto"/>
        <w:jc w:val="center"/>
        <w:rPr>
          <w:rFonts w:ascii="Times New Roman" w:hAnsi="Times New Roman" w:cs="Times New Roman"/>
          <w:b/>
          <w:bCs/>
          <w:sz w:val="52"/>
          <w:szCs w:val="52"/>
        </w:rPr>
      </w:pPr>
    </w:p>
    <w:p w14:paraId="25F1FE4F" w14:textId="77777777" w:rsidR="00236392" w:rsidRDefault="00236392" w:rsidP="00641746">
      <w:pPr>
        <w:spacing w:after="0" w:line="240" w:lineRule="auto"/>
        <w:jc w:val="center"/>
        <w:rPr>
          <w:rFonts w:ascii="Times New Roman" w:hAnsi="Times New Roman" w:cs="Times New Roman"/>
          <w:b/>
          <w:bCs/>
          <w:sz w:val="52"/>
          <w:szCs w:val="52"/>
        </w:rPr>
      </w:pPr>
    </w:p>
    <w:p w14:paraId="10DFD368" w14:textId="77777777" w:rsidR="00236392" w:rsidRDefault="00236392" w:rsidP="00641746">
      <w:pPr>
        <w:spacing w:after="0" w:line="240" w:lineRule="auto"/>
        <w:jc w:val="center"/>
        <w:rPr>
          <w:rFonts w:ascii="Times New Roman" w:hAnsi="Times New Roman" w:cs="Times New Roman"/>
          <w:b/>
          <w:bCs/>
          <w:sz w:val="52"/>
          <w:szCs w:val="52"/>
        </w:rPr>
      </w:pPr>
    </w:p>
    <w:p w14:paraId="124C8A70" w14:textId="77777777" w:rsidR="00236392" w:rsidRDefault="00236392" w:rsidP="00641746">
      <w:pPr>
        <w:spacing w:after="0" w:line="240" w:lineRule="auto"/>
        <w:jc w:val="center"/>
        <w:rPr>
          <w:rFonts w:ascii="Times New Roman" w:hAnsi="Times New Roman" w:cs="Times New Roman"/>
          <w:b/>
          <w:bCs/>
          <w:sz w:val="52"/>
          <w:szCs w:val="52"/>
        </w:rPr>
      </w:pPr>
    </w:p>
    <w:p w14:paraId="2AF7C542" w14:textId="77777777" w:rsidR="00236392" w:rsidRDefault="00236392" w:rsidP="00641746">
      <w:pPr>
        <w:spacing w:after="0" w:line="240" w:lineRule="auto"/>
        <w:jc w:val="center"/>
        <w:rPr>
          <w:rFonts w:ascii="Times New Roman" w:hAnsi="Times New Roman" w:cs="Times New Roman"/>
          <w:b/>
          <w:bCs/>
          <w:sz w:val="52"/>
          <w:szCs w:val="52"/>
        </w:rPr>
      </w:pPr>
    </w:p>
    <w:p w14:paraId="76047EC5" w14:textId="77777777" w:rsidR="00236392" w:rsidRDefault="00236392" w:rsidP="00641746">
      <w:pPr>
        <w:spacing w:after="0" w:line="240" w:lineRule="auto"/>
        <w:jc w:val="center"/>
        <w:rPr>
          <w:rFonts w:ascii="Times New Roman" w:hAnsi="Times New Roman" w:cs="Times New Roman"/>
          <w:b/>
          <w:bCs/>
          <w:sz w:val="52"/>
          <w:szCs w:val="52"/>
        </w:rPr>
      </w:pPr>
    </w:p>
    <w:p w14:paraId="41D14563" w14:textId="77777777" w:rsidR="00236392" w:rsidRDefault="00236392" w:rsidP="00641746">
      <w:pPr>
        <w:spacing w:after="0" w:line="240" w:lineRule="auto"/>
        <w:jc w:val="center"/>
        <w:rPr>
          <w:rFonts w:ascii="Times New Roman" w:hAnsi="Times New Roman" w:cs="Times New Roman"/>
          <w:b/>
          <w:bCs/>
          <w:sz w:val="52"/>
          <w:szCs w:val="52"/>
        </w:rPr>
      </w:pPr>
    </w:p>
    <w:p w14:paraId="3A03FE88" w14:textId="77777777" w:rsidR="00236392" w:rsidRDefault="00236392" w:rsidP="00641746">
      <w:pPr>
        <w:spacing w:after="0" w:line="240" w:lineRule="auto"/>
        <w:jc w:val="center"/>
        <w:rPr>
          <w:rFonts w:ascii="Times New Roman" w:hAnsi="Times New Roman" w:cs="Times New Roman"/>
          <w:b/>
          <w:bCs/>
          <w:sz w:val="52"/>
          <w:szCs w:val="52"/>
        </w:rPr>
      </w:pPr>
    </w:p>
    <w:p w14:paraId="66E67BCE" w14:textId="77777777" w:rsidR="00236392" w:rsidRDefault="00236392" w:rsidP="00641746">
      <w:pPr>
        <w:spacing w:after="0" w:line="240" w:lineRule="auto"/>
        <w:jc w:val="center"/>
        <w:rPr>
          <w:rFonts w:ascii="Times New Roman" w:hAnsi="Times New Roman" w:cs="Times New Roman"/>
          <w:b/>
          <w:bCs/>
          <w:sz w:val="52"/>
          <w:szCs w:val="52"/>
        </w:rPr>
      </w:pPr>
    </w:p>
    <w:p w14:paraId="35230FB6" w14:textId="77777777" w:rsidR="00236392" w:rsidRDefault="00236392" w:rsidP="00641746">
      <w:pPr>
        <w:spacing w:after="0" w:line="240" w:lineRule="auto"/>
        <w:jc w:val="center"/>
        <w:rPr>
          <w:rFonts w:ascii="Times New Roman" w:hAnsi="Times New Roman" w:cs="Times New Roman"/>
          <w:b/>
          <w:bCs/>
          <w:sz w:val="52"/>
          <w:szCs w:val="52"/>
        </w:rPr>
      </w:pPr>
    </w:p>
    <w:p w14:paraId="38CD749E" w14:textId="77777777" w:rsidR="00236392" w:rsidRDefault="00236392" w:rsidP="00641746">
      <w:pPr>
        <w:spacing w:after="0" w:line="240" w:lineRule="auto"/>
        <w:jc w:val="center"/>
        <w:rPr>
          <w:rFonts w:ascii="Times New Roman" w:hAnsi="Times New Roman" w:cs="Times New Roman"/>
          <w:b/>
          <w:bCs/>
          <w:sz w:val="52"/>
          <w:szCs w:val="52"/>
        </w:rPr>
      </w:pPr>
    </w:p>
    <w:p w14:paraId="350BCF58" w14:textId="77777777" w:rsidR="00236392" w:rsidRDefault="00236392" w:rsidP="00641746">
      <w:pPr>
        <w:spacing w:after="0" w:line="240" w:lineRule="auto"/>
        <w:jc w:val="center"/>
        <w:rPr>
          <w:rFonts w:ascii="Times New Roman" w:hAnsi="Times New Roman" w:cs="Times New Roman"/>
          <w:b/>
          <w:bCs/>
          <w:sz w:val="52"/>
          <w:szCs w:val="52"/>
        </w:rPr>
      </w:pPr>
    </w:p>
    <w:p w14:paraId="201E023A" w14:textId="77777777" w:rsidR="00236392" w:rsidRDefault="00236392" w:rsidP="00641746">
      <w:pPr>
        <w:spacing w:after="0" w:line="240" w:lineRule="auto"/>
        <w:jc w:val="center"/>
        <w:rPr>
          <w:rFonts w:ascii="Times New Roman" w:hAnsi="Times New Roman" w:cs="Times New Roman"/>
          <w:b/>
          <w:bCs/>
          <w:sz w:val="52"/>
          <w:szCs w:val="52"/>
        </w:rPr>
      </w:pPr>
    </w:p>
    <w:p w14:paraId="7E60B4A7" w14:textId="77777777" w:rsidR="00236392" w:rsidRDefault="00236392" w:rsidP="00641746">
      <w:pPr>
        <w:spacing w:after="0" w:line="240" w:lineRule="auto"/>
        <w:jc w:val="center"/>
        <w:rPr>
          <w:rFonts w:ascii="Times New Roman" w:hAnsi="Times New Roman" w:cs="Times New Roman"/>
          <w:b/>
          <w:bCs/>
          <w:sz w:val="52"/>
          <w:szCs w:val="52"/>
        </w:rPr>
      </w:pPr>
    </w:p>
    <w:p w14:paraId="08B3932D" w14:textId="77777777" w:rsidR="00236392" w:rsidRDefault="00236392" w:rsidP="00641746">
      <w:pPr>
        <w:spacing w:after="0" w:line="240" w:lineRule="auto"/>
        <w:jc w:val="center"/>
        <w:rPr>
          <w:rFonts w:ascii="Times New Roman" w:hAnsi="Times New Roman" w:cs="Times New Roman"/>
          <w:b/>
          <w:bCs/>
          <w:sz w:val="52"/>
          <w:szCs w:val="52"/>
        </w:rPr>
      </w:pPr>
    </w:p>
    <w:p w14:paraId="6BFD6C00" w14:textId="77777777" w:rsidR="00236392" w:rsidRDefault="00236392" w:rsidP="00641746">
      <w:pPr>
        <w:spacing w:after="0" w:line="240" w:lineRule="auto"/>
        <w:jc w:val="center"/>
        <w:rPr>
          <w:rFonts w:ascii="Times New Roman" w:hAnsi="Times New Roman" w:cs="Times New Roman"/>
          <w:b/>
          <w:bCs/>
          <w:sz w:val="52"/>
          <w:szCs w:val="52"/>
        </w:rPr>
      </w:pPr>
    </w:p>
    <w:p w14:paraId="506FCC12" w14:textId="77777777" w:rsidR="00236392" w:rsidRDefault="00236392" w:rsidP="00641746">
      <w:pPr>
        <w:spacing w:after="0" w:line="240" w:lineRule="auto"/>
        <w:jc w:val="center"/>
        <w:rPr>
          <w:rFonts w:ascii="Times New Roman" w:hAnsi="Times New Roman" w:cs="Times New Roman"/>
          <w:b/>
          <w:bCs/>
          <w:sz w:val="52"/>
          <w:szCs w:val="52"/>
        </w:rPr>
      </w:pPr>
    </w:p>
    <w:p w14:paraId="27677AD2" w14:textId="77777777" w:rsidR="00236392" w:rsidRDefault="00236392" w:rsidP="00641746">
      <w:pPr>
        <w:spacing w:after="0" w:line="240" w:lineRule="auto"/>
        <w:jc w:val="center"/>
        <w:rPr>
          <w:rFonts w:ascii="Times New Roman" w:hAnsi="Times New Roman" w:cs="Times New Roman"/>
          <w:b/>
          <w:bCs/>
          <w:sz w:val="52"/>
          <w:szCs w:val="52"/>
        </w:rPr>
      </w:pPr>
    </w:p>
    <w:p w14:paraId="67DC6C5A" w14:textId="77777777" w:rsidR="00236392" w:rsidRDefault="00236392" w:rsidP="00641746">
      <w:pPr>
        <w:spacing w:after="0" w:line="240" w:lineRule="auto"/>
        <w:jc w:val="center"/>
        <w:rPr>
          <w:rFonts w:ascii="Times New Roman" w:hAnsi="Times New Roman" w:cs="Times New Roman"/>
          <w:b/>
          <w:bCs/>
          <w:sz w:val="52"/>
          <w:szCs w:val="52"/>
        </w:rPr>
      </w:pPr>
    </w:p>
    <w:p w14:paraId="394617CE" w14:textId="77777777" w:rsidR="00236392" w:rsidRDefault="00236392" w:rsidP="00641746">
      <w:pPr>
        <w:spacing w:after="0" w:line="240" w:lineRule="auto"/>
        <w:jc w:val="center"/>
        <w:rPr>
          <w:rFonts w:ascii="Times New Roman" w:hAnsi="Times New Roman" w:cs="Times New Roman"/>
          <w:b/>
          <w:bCs/>
          <w:sz w:val="52"/>
          <w:szCs w:val="52"/>
        </w:rPr>
      </w:pPr>
    </w:p>
    <w:p w14:paraId="53735286" w14:textId="77777777" w:rsidR="00236392" w:rsidRDefault="00236392" w:rsidP="00641746">
      <w:pPr>
        <w:spacing w:after="0" w:line="240" w:lineRule="auto"/>
        <w:jc w:val="center"/>
        <w:rPr>
          <w:rFonts w:ascii="Times New Roman" w:hAnsi="Times New Roman" w:cs="Times New Roman"/>
          <w:b/>
          <w:bCs/>
          <w:sz w:val="52"/>
          <w:szCs w:val="52"/>
        </w:rPr>
      </w:pPr>
    </w:p>
    <w:p w14:paraId="32A2BF6B" w14:textId="77777777" w:rsidR="00236392" w:rsidRDefault="00236392" w:rsidP="00641746">
      <w:pPr>
        <w:spacing w:after="0" w:line="240" w:lineRule="auto"/>
        <w:jc w:val="center"/>
        <w:rPr>
          <w:rFonts w:ascii="Times New Roman" w:hAnsi="Times New Roman" w:cs="Times New Roman"/>
          <w:b/>
          <w:bCs/>
          <w:sz w:val="52"/>
          <w:szCs w:val="52"/>
        </w:rPr>
      </w:pPr>
    </w:p>
    <w:p w14:paraId="259044BA" w14:textId="77777777" w:rsidR="00236392" w:rsidRDefault="00236392" w:rsidP="00641746">
      <w:pPr>
        <w:spacing w:after="0" w:line="240" w:lineRule="auto"/>
        <w:jc w:val="center"/>
        <w:rPr>
          <w:rFonts w:ascii="Times New Roman" w:hAnsi="Times New Roman" w:cs="Times New Roman"/>
          <w:b/>
          <w:bCs/>
          <w:sz w:val="52"/>
          <w:szCs w:val="52"/>
        </w:rPr>
      </w:pPr>
    </w:p>
    <w:p w14:paraId="022811E5" w14:textId="28963587" w:rsidR="00641746" w:rsidRPr="00641746" w:rsidRDefault="000B444A" w:rsidP="00641746">
      <w:pPr>
        <w:spacing w:after="0" w:line="240" w:lineRule="auto"/>
        <w:jc w:val="center"/>
        <w:rPr>
          <w:rFonts w:ascii="Times New Roman" w:hAnsi="Times New Roman" w:cs="Times New Roman"/>
          <w:b/>
          <w:bCs/>
          <w:sz w:val="52"/>
          <w:szCs w:val="52"/>
        </w:rPr>
      </w:pPr>
      <w:r w:rsidRPr="00641746">
        <w:rPr>
          <w:rFonts w:ascii="Times New Roman" w:hAnsi="Times New Roman" w:cs="Times New Roman"/>
          <w:b/>
          <w:bCs/>
          <w:sz w:val="52"/>
          <w:szCs w:val="52"/>
        </w:rPr>
        <w:t xml:space="preserve">PART </w:t>
      </w:r>
      <w:r w:rsidR="00641746" w:rsidRPr="00641746">
        <w:rPr>
          <w:rFonts w:ascii="Times New Roman" w:hAnsi="Times New Roman" w:cs="Times New Roman"/>
          <w:b/>
          <w:bCs/>
          <w:sz w:val="52"/>
          <w:szCs w:val="52"/>
        </w:rPr>
        <w:t>FOUR</w:t>
      </w:r>
    </w:p>
    <w:p w14:paraId="46DB0A92" w14:textId="4E46834D" w:rsidR="000B444A" w:rsidRPr="00641746" w:rsidRDefault="000B444A" w:rsidP="00641746">
      <w:pPr>
        <w:spacing w:after="0" w:line="240" w:lineRule="auto"/>
        <w:jc w:val="center"/>
        <w:rPr>
          <w:rFonts w:ascii="Times New Roman" w:hAnsi="Times New Roman" w:cs="Times New Roman"/>
          <w:b/>
          <w:bCs/>
          <w:sz w:val="52"/>
          <w:szCs w:val="52"/>
        </w:rPr>
      </w:pPr>
      <w:r w:rsidRPr="00641746">
        <w:rPr>
          <w:rFonts w:ascii="Times New Roman" w:hAnsi="Times New Roman" w:cs="Times New Roman"/>
          <w:b/>
          <w:bCs/>
          <w:sz w:val="52"/>
          <w:szCs w:val="52"/>
        </w:rPr>
        <w:t>MANAGEMENT</w:t>
      </w:r>
    </w:p>
    <w:p w14:paraId="3C407765" w14:textId="77777777" w:rsidR="000B444A" w:rsidRDefault="000B444A" w:rsidP="00A60822">
      <w:pPr>
        <w:spacing w:after="0" w:line="240" w:lineRule="auto"/>
        <w:jc w:val="both"/>
        <w:rPr>
          <w:rFonts w:ascii="Times New Roman" w:hAnsi="Times New Roman" w:cs="Times New Roman"/>
          <w:b/>
          <w:bCs/>
          <w:sz w:val="36"/>
          <w:szCs w:val="36"/>
        </w:rPr>
      </w:pPr>
    </w:p>
    <w:p w14:paraId="48EA6813" w14:textId="77777777" w:rsidR="000B444A" w:rsidRDefault="000B444A" w:rsidP="00A60822">
      <w:pPr>
        <w:spacing w:after="0" w:line="240" w:lineRule="auto"/>
        <w:jc w:val="both"/>
        <w:rPr>
          <w:rFonts w:ascii="Times New Roman" w:hAnsi="Times New Roman" w:cs="Times New Roman"/>
          <w:b/>
          <w:bCs/>
          <w:sz w:val="36"/>
          <w:szCs w:val="36"/>
        </w:rPr>
      </w:pPr>
    </w:p>
    <w:p w14:paraId="28B29881" w14:textId="77777777" w:rsidR="000B444A" w:rsidRDefault="000B444A" w:rsidP="00A60822">
      <w:pPr>
        <w:spacing w:after="0" w:line="240" w:lineRule="auto"/>
        <w:jc w:val="both"/>
        <w:rPr>
          <w:rFonts w:ascii="Times New Roman" w:hAnsi="Times New Roman" w:cs="Times New Roman"/>
          <w:b/>
          <w:bCs/>
          <w:sz w:val="36"/>
          <w:szCs w:val="36"/>
        </w:rPr>
      </w:pPr>
    </w:p>
    <w:p w14:paraId="6DD9B5B7" w14:textId="77777777" w:rsidR="000B444A" w:rsidRDefault="000B444A" w:rsidP="00A60822">
      <w:pPr>
        <w:spacing w:after="0" w:line="240" w:lineRule="auto"/>
        <w:jc w:val="both"/>
        <w:rPr>
          <w:rFonts w:ascii="Times New Roman" w:hAnsi="Times New Roman" w:cs="Times New Roman"/>
          <w:b/>
          <w:bCs/>
          <w:sz w:val="36"/>
          <w:szCs w:val="36"/>
        </w:rPr>
      </w:pPr>
    </w:p>
    <w:p w14:paraId="7ACDEE04" w14:textId="77777777" w:rsidR="000B444A" w:rsidRDefault="000B444A" w:rsidP="00A60822">
      <w:pPr>
        <w:spacing w:after="0" w:line="240" w:lineRule="auto"/>
        <w:jc w:val="both"/>
        <w:rPr>
          <w:rFonts w:ascii="Times New Roman" w:hAnsi="Times New Roman" w:cs="Times New Roman"/>
          <w:b/>
          <w:bCs/>
          <w:sz w:val="36"/>
          <w:szCs w:val="36"/>
        </w:rPr>
      </w:pPr>
    </w:p>
    <w:p w14:paraId="7863A6AC" w14:textId="77777777" w:rsidR="000B444A" w:rsidRDefault="000B444A" w:rsidP="00A60822">
      <w:pPr>
        <w:spacing w:after="0" w:line="240" w:lineRule="auto"/>
        <w:jc w:val="both"/>
        <w:rPr>
          <w:rFonts w:ascii="Times New Roman" w:hAnsi="Times New Roman" w:cs="Times New Roman"/>
          <w:b/>
          <w:bCs/>
          <w:sz w:val="36"/>
          <w:szCs w:val="36"/>
        </w:rPr>
      </w:pPr>
    </w:p>
    <w:p w14:paraId="29642D2B" w14:textId="77777777" w:rsidR="000B444A" w:rsidRDefault="000B444A" w:rsidP="00A60822">
      <w:pPr>
        <w:spacing w:after="0" w:line="240" w:lineRule="auto"/>
        <w:jc w:val="both"/>
        <w:rPr>
          <w:rFonts w:ascii="Times New Roman" w:hAnsi="Times New Roman" w:cs="Times New Roman"/>
          <w:b/>
          <w:bCs/>
          <w:sz w:val="36"/>
          <w:szCs w:val="36"/>
        </w:rPr>
      </w:pPr>
    </w:p>
    <w:p w14:paraId="54F5421E" w14:textId="77777777" w:rsidR="000B444A" w:rsidRDefault="000B444A" w:rsidP="00A60822">
      <w:pPr>
        <w:spacing w:after="0" w:line="240" w:lineRule="auto"/>
        <w:jc w:val="both"/>
        <w:rPr>
          <w:rFonts w:ascii="Times New Roman" w:hAnsi="Times New Roman" w:cs="Times New Roman"/>
          <w:b/>
          <w:bCs/>
          <w:sz w:val="36"/>
          <w:szCs w:val="36"/>
        </w:rPr>
      </w:pPr>
    </w:p>
    <w:p w14:paraId="095AD39F" w14:textId="77777777" w:rsidR="000B444A" w:rsidRDefault="000B444A" w:rsidP="00A60822">
      <w:pPr>
        <w:spacing w:after="0" w:line="240" w:lineRule="auto"/>
        <w:jc w:val="both"/>
        <w:rPr>
          <w:rFonts w:ascii="Times New Roman" w:hAnsi="Times New Roman" w:cs="Times New Roman"/>
          <w:b/>
          <w:bCs/>
          <w:sz w:val="36"/>
          <w:szCs w:val="36"/>
        </w:rPr>
      </w:pPr>
    </w:p>
    <w:p w14:paraId="36AF6981" w14:textId="77777777" w:rsidR="000B444A" w:rsidRDefault="000B444A" w:rsidP="00A60822">
      <w:pPr>
        <w:spacing w:after="0" w:line="240" w:lineRule="auto"/>
        <w:jc w:val="both"/>
        <w:rPr>
          <w:rFonts w:ascii="Times New Roman" w:hAnsi="Times New Roman" w:cs="Times New Roman"/>
          <w:b/>
          <w:bCs/>
          <w:sz w:val="36"/>
          <w:szCs w:val="36"/>
        </w:rPr>
      </w:pPr>
    </w:p>
    <w:p w14:paraId="043B6E72" w14:textId="77777777" w:rsidR="000B444A" w:rsidRDefault="000B444A" w:rsidP="00A60822">
      <w:pPr>
        <w:spacing w:after="0" w:line="240" w:lineRule="auto"/>
        <w:jc w:val="both"/>
        <w:rPr>
          <w:rFonts w:ascii="Times New Roman" w:hAnsi="Times New Roman" w:cs="Times New Roman"/>
          <w:b/>
          <w:bCs/>
          <w:sz w:val="36"/>
          <w:szCs w:val="36"/>
        </w:rPr>
      </w:pPr>
    </w:p>
    <w:p w14:paraId="25735ACA" w14:textId="77777777" w:rsidR="000B444A" w:rsidRDefault="000B444A" w:rsidP="00A60822">
      <w:pPr>
        <w:spacing w:after="0" w:line="240" w:lineRule="auto"/>
        <w:jc w:val="both"/>
        <w:rPr>
          <w:rFonts w:ascii="Times New Roman" w:hAnsi="Times New Roman" w:cs="Times New Roman"/>
          <w:b/>
          <w:bCs/>
          <w:sz w:val="36"/>
          <w:szCs w:val="36"/>
        </w:rPr>
      </w:pPr>
    </w:p>
    <w:p w14:paraId="1415EF25" w14:textId="77777777" w:rsidR="000B444A" w:rsidRDefault="000B444A" w:rsidP="00A60822">
      <w:pPr>
        <w:spacing w:after="0" w:line="240" w:lineRule="auto"/>
        <w:jc w:val="both"/>
        <w:rPr>
          <w:rFonts w:ascii="Times New Roman" w:hAnsi="Times New Roman" w:cs="Times New Roman"/>
          <w:b/>
          <w:bCs/>
          <w:sz w:val="36"/>
          <w:szCs w:val="36"/>
        </w:rPr>
      </w:pPr>
    </w:p>
    <w:p w14:paraId="6FBB5E81" w14:textId="77777777" w:rsidR="000B444A" w:rsidRDefault="000B444A" w:rsidP="00A60822">
      <w:pPr>
        <w:spacing w:after="0" w:line="240" w:lineRule="auto"/>
        <w:jc w:val="both"/>
        <w:rPr>
          <w:rFonts w:ascii="Times New Roman" w:hAnsi="Times New Roman" w:cs="Times New Roman"/>
          <w:b/>
          <w:bCs/>
          <w:sz w:val="36"/>
          <w:szCs w:val="36"/>
        </w:rPr>
      </w:pPr>
    </w:p>
    <w:p w14:paraId="6FB3322A" w14:textId="77777777" w:rsidR="000B444A" w:rsidRDefault="000B444A" w:rsidP="00A60822">
      <w:pPr>
        <w:spacing w:after="0" w:line="240" w:lineRule="auto"/>
        <w:jc w:val="both"/>
        <w:rPr>
          <w:rFonts w:ascii="Times New Roman" w:hAnsi="Times New Roman" w:cs="Times New Roman"/>
          <w:b/>
          <w:bCs/>
          <w:sz w:val="36"/>
          <w:szCs w:val="36"/>
        </w:rPr>
      </w:pPr>
    </w:p>
    <w:p w14:paraId="1C7D3182" w14:textId="77777777" w:rsidR="000B444A" w:rsidRDefault="000B444A" w:rsidP="00A60822">
      <w:pPr>
        <w:spacing w:after="0" w:line="240" w:lineRule="auto"/>
        <w:jc w:val="both"/>
        <w:rPr>
          <w:rFonts w:ascii="Times New Roman" w:hAnsi="Times New Roman" w:cs="Times New Roman"/>
          <w:b/>
          <w:bCs/>
          <w:sz w:val="36"/>
          <w:szCs w:val="36"/>
        </w:rPr>
      </w:pPr>
    </w:p>
    <w:p w14:paraId="174A5862" w14:textId="77777777" w:rsidR="000B444A" w:rsidRDefault="000B444A" w:rsidP="00A60822">
      <w:pPr>
        <w:spacing w:after="0" w:line="240" w:lineRule="auto"/>
        <w:jc w:val="both"/>
        <w:rPr>
          <w:rFonts w:ascii="Times New Roman" w:hAnsi="Times New Roman" w:cs="Times New Roman"/>
          <w:b/>
          <w:bCs/>
          <w:sz w:val="36"/>
          <w:szCs w:val="36"/>
        </w:rPr>
      </w:pPr>
    </w:p>
    <w:p w14:paraId="5C72D8C0" w14:textId="77777777" w:rsidR="000B444A" w:rsidRDefault="000B444A" w:rsidP="00A60822">
      <w:pPr>
        <w:spacing w:after="0" w:line="240" w:lineRule="auto"/>
        <w:jc w:val="both"/>
        <w:rPr>
          <w:rFonts w:ascii="Times New Roman" w:hAnsi="Times New Roman" w:cs="Times New Roman"/>
          <w:b/>
          <w:bCs/>
          <w:sz w:val="36"/>
          <w:szCs w:val="36"/>
        </w:rPr>
      </w:pPr>
    </w:p>
    <w:p w14:paraId="3106906E" w14:textId="77777777" w:rsidR="000B444A" w:rsidRDefault="000B444A" w:rsidP="00A60822">
      <w:pPr>
        <w:spacing w:after="0" w:line="240" w:lineRule="auto"/>
        <w:jc w:val="both"/>
        <w:rPr>
          <w:rFonts w:ascii="Times New Roman" w:hAnsi="Times New Roman" w:cs="Times New Roman"/>
          <w:b/>
          <w:bCs/>
          <w:sz w:val="36"/>
          <w:szCs w:val="36"/>
        </w:rPr>
      </w:pPr>
    </w:p>
    <w:p w14:paraId="14DD272D" w14:textId="77777777" w:rsidR="000B444A" w:rsidRDefault="000B444A" w:rsidP="00A60822">
      <w:pPr>
        <w:spacing w:after="0" w:line="240" w:lineRule="auto"/>
        <w:jc w:val="both"/>
        <w:rPr>
          <w:rFonts w:ascii="Times New Roman" w:hAnsi="Times New Roman" w:cs="Times New Roman"/>
          <w:b/>
          <w:bCs/>
          <w:sz w:val="36"/>
          <w:szCs w:val="36"/>
        </w:rPr>
      </w:pPr>
    </w:p>
    <w:p w14:paraId="14517DC0" w14:textId="77777777" w:rsidR="000B444A" w:rsidRDefault="000B444A" w:rsidP="00A60822">
      <w:pPr>
        <w:spacing w:after="0" w:line="240" w:lineRule="auto"/>
        <w:jc w:val="both"/>
        <w:rPr>
          <w:rFonts w:ascii="Times New Roman" w:hAnsi="Times New Roman" w:cs="Times New Roman"/>
          <w:b/>
          <w:bCs/>
          <w:sz w:val="36"/>
          <w:szCs w:val="36"/>
        </w:rPr>
      </w:pPr>
    </w:p>
    <w:p w14:paraId="025AC87F" w14:textId="77777777" w:rsidR="000B444A" w:rsidRDefault="000B444A" w:rsidP="00A60822">
      <w:pPr>
        <w:spacing w:after="0" w:line="240" w:lineRule="auto"/>
        <w:jc w:val="both"/>
        <w:rPr>
          <w:rFonts w:ascii="Times New Roman" w:hAnsi="Times New Roman" w:cs="Times New Roman"/>
          <w:b/>
          <w:bCs/>
          <w:sz w:val="36"/>
          <w:szCs w:val="36"/>
        </w:rPr>
      </w:pPr>
    </w:p>
    <w:p w14:paraId="0EF7C7AF" w14:textId="77777777" w:rsidR="00583609" w:rsidRDefault="00583609" w:rsidP="008D3090">
      <w:pPr>
        <w:spacing w:after="0" w:line="360" w:lineRule="auto"/>
        <w:jc w:val="center"/>
        <w:rPr>
          <w:rFonts w:ascii="Times New Roman" w:eastAsia="Calibri" w:hAnsi="Times New Roman" w:cs="Times New Roman"/>
          <w:b/>
          <w:bCs/>
          <w:kern w:val="0"/>
          <w14:ligatures w14:val="none"/>
        </w:rPr>
      </w:pPr>
    </w:p>
    <w:p w14:paraId="68C58626" w14:textId="77777777" w:rsidR="00583609" w:rsidRDefault="00583609" w:rsidP="008D3090">
      <w:pPr>
        <w:spacing w:after="0" w:line="360" w:lineRule="auto"/>
        <w:jc w:val="center"/>
        <w:rPr>
          <w:rFonts w:ascii="Times New Roman" w:eastAsia="Calibri" w:hAnsi="Times New Roman" w:cs="Times New Roman"/>
          <w:b/>
          <w:bCs/>
          <w:kern w:val="0"/>
          <w14:ligatures w14:val="none"/>
        </w:rPr>
      </w:pPr>
    </w:p>
    <w:p w14:paraId="45795EBB" w14:textId="77777777" w:rsidR="00583609" w:rsidRDefault="00583609" w:rsidP="008D3090">
      <w:pPr>
        <w:spacing w:after="0" w:line="360" w:lineRule="auto"/>
        <w:jc w:val="center"/>
        <w:rPr>
          <w:rFonts w:ascii="Times New Roman" w:eastAsia="Calibri" w:hAnsi="Times New Roman" w:cs="Times New Roman"/>
          <w:b/>
          <w:bCs/>
          <w:kern w:val="0"/>
          <w14:ligatures w14:val="none"/>
        </w:rPr>
      </w:pPr>
    </w:p>
    <w:p w14:paraId="51E858F2" w14:textId="77777777" w:rsidR="00583609" w:rsidRDefault="00583609" w:rsidP="008D3090">
      <w:pPr>
        <w:spacing w:after="0" w:line="360" w:lineRule="auto"/>
        <w:jc w:val="center"/>
        <w:rPr>
          <w:rFonts w:ascii="Times New Roman" w:eastAsia="Calibri" w:hAnsi="Times New Roman" w:cs="Times New Roman"/>
          <w:b/>
          <w:bCs/>
          <w:kern w:val="0"/>
          <w14:ligatures w14:val="none"/>
        </w:rPr>
      </w:pPr>
    </w:p>
    <w:p w14:paraId="4A0CF83F" w14:textId="77777777" w:rsidR="00583609" w:rsidRDefault="00583609" w:rsidP="008D3090">
      <w:pPr>
        <w:spacing w:after="0" w:line="360" w:lineRule="auto"/>
        <w:jc w:val="center"/>
        <w:rPr>
          <w:rFonts w:ascii="Times New Roman" w:eastAsia="Calibri" w:hAnsi="Times New Roman" w:cs="Times New Roman"/>
          <w:b/>
          <w:bCs/>
          <w:kern w:val="0"/>
          <w14:ligatures w14:val="none"/>
        </w:rPr>
      </w:pPr>
    </w:p>
    <w:p w14:paraId="2B5D61D4" w14:textId="59A92C15" w:rsidR="008D3090" w:rsidRPr="0044629C" w:rsidRDefault="008D3090" w:rsidP="008D3090">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lastRenderedPageBreak/>
        <w:t>ENTREPRENEURIAL MINDSET AND STRATEGIC RENEWAL OF SMALL AND MEDIUM SCALE BUSINESSES IN RIVERS STATE.</w:t>
      </w:r>
    </w:p>
    <w:p w14:paraId="3C625A23" w14:textId="77777777" w:rsidR="0044629C" w:rsidRDefault="0044629C" w:rsidP="008D3090">
      <w:pPr>
        <w:spacing w:after="0" w:line="360" w:lineRule="auto"/>
        <w:jc w:val="center"/>
        <w:rPr>
          <w:rFonts w:ascii="Times New Roman" w:eastAsia="Calibri" w:hAnsi="Times New Roman" w:cs="Times New Roman"/>
          <w:b/>
          <w:bCs/>
          <w:kern w:val="0"/>
          <w14:ligatures w14:val="none"/>
        </w:rPr>
      </w:pPr>
    </w:p>
    <w:p w14:paraId="70B4CC8E" w14:textId="760F19EC" w:rsidR="008D3090" w:rsidRPr="0044629C" w:rsidRDefault="008D3090" w:rsidP="008D3090">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BY</w:t>
      </w:r>
    </w:p>
    <w:p w14:paraId="4BBBBD96" w14:textId="77777777" w:rsidR="0044629C" w:rsidRDefault="0044629C" w:rsidP="008D3090">
      <w:pPr>
        <w:spacing w:after="0" w:line="360" w:lineRule="auto"/>
        <w:jc w:val="center"/>
        <w:rPr>
          <w:rFonts w:ascii="Times New Roman" w:eastAsia="Calibri" w:hAnsi="Times New Roman" w:cs="Times New Roman"/>
          <w:b/>
          <w:bCs/>
          <w:kern w:val="0"/>
          <w14:ligatures w14:val="none"/>
        </w:rPr>
      </w:pPr>
    </w:p>
    <w:p w14:paraId="367A5395" w14:textId="2428C935" w:rsidR="008D3090" w:rsidRPr="0044629C" w:rsidRDefault="008D3090" w:rsidP="008D3090">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NJOKU NANCY CHIDINMA &amp;</w:t>
      </w:r>
    </w:p>
    <w:p w14:paraId="0DE53DD2" w14:textId="77777777" w:rsidR="008D3090" w:rsidRPr="0044629C" w:rsidRDefault="008D3090" w:rsidP="008D3090">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 xml:space="preserve"> PROF. John. E. CHIKWE.</w:t>
      </w:r>
    </w:p>
    <w:p w14:paraId="2E8147BB" w14:textId="77777777" w:rsidR="008D3090" w:rsidRPr="0044629C" w:rsidRDefault="008D3090" w:rsidP="008D3090">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 xml:space="preserve">Department of Management, University of Port Harcourt, </w:t>
      </w:r>
      <w:proofErr w:type="spellStart"/>
      <w:r w:rsidRPr="0044629C">
        <w:rPr>
          <w:rFonts w:ascii="Times New Roman" w:eastAsia="Calibri" w:hAnsi="Times New Roman" w:cs="Times New Roman"/>
          <w:b/>
          <w:bCs/>
          <w:kern w:val="0"/>
          <w14:ligatures w14:val="none"/>
        </w:rPr>
        <w:t>Choba</w:t>
      </w:r>
      <w:proofErr w:type="spellEnd"/>
      <w:r w:rsidRPr="0044629C">
        <w:rPr>
          <w:rFonts w:ascii="Times New Roman" w:eastAsia="Calibri" w:hAnsi="Times New Roman" w:cs="Times New Roman"/>
          <w:b/>
          <w:bCs/>
          <w:kern w:val="0"/>
          <w14:ligatures w14:val="none"/>
        </w:rPr>
        <w:t xml:space="preserve"> Port Harcourt, Nigeria.</w:t>
      </w:r>
    </w:p>
    <w:p w14:paraId="30A98B61" w14:textId="77777777" w:rsidR="008D3090" w:rsidRPr="0044629C" w:rsidRDefault="008D3090" w:rsidP="008D3090">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Email: nancyobinwa68@gmail.com</w:t>
      </w:r>
    </w:p>
    <w:p w14:paraId="7354D5C9" w14:textId="77777777" w:rsidR="008D3090" w:rsidRPr="0044629C" w:rsidRDefault="008D3090" w:rsidP="008D3090">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Phone Number: 08066596942</w:t>
      </w:r>
    </w:p>
    <w:p w14:paraId="5B69632F" w14:textId="77777777" w:rsidR="00641746" w:rsidRPr="0044629C" w:rsidRDefault="008D3090" w:rsidP="00641746">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87936" behindDoc="0" locked="0" layoutInCell="1" allowOverlap="1" wp14:anchorId="69A63EB1" wp14:editId="29C00802">
                <wp:simplePos x="0" y="0"/>
                <wp:positionH relativeFrom="column">
                  <wp:posOffset>2752725</wp:posOffset>
                </wp:positionH>
                <wp:positionV relativeFrom="paragraph">
                  <wp:posOffset>400685</wp:posOffset>
                </wp:positionV>
                <wp:extent cx="228600" cy="238125"/>
                <wp:effectExtent l="0" t="0" r="0" b="9525"/>
                <wp:wrapNone/>
                <wp:docPr id="102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38125"/>
                        </a:xfrm>
                        <a:prstGeom prst="rect">
                          <a:avLst/>
                        </a:prstGeom>
                        <a:solidFill>
                          <a:srgbClr val="FFFFFF"/>
                        </a:solidFill>
                        <a:ln>
                          <a:noFill/>
                        </a:ln>
                      </wps:spPr>
                      <wps:txbx>
                        <w:txbxContent>
                          <w:p w14:paraId="21313E71" w14:textId="77777777" w:rsidR="008D3090" w:rsidRDefault="008D3090" w:rsidP="008D3090"/>
                        </w:txbxContent>
                      </wps:txbx>
                      <wps:bodyPr vert="horz" wrap="square" lIns="91440" tIns="45720" rIns="91440" bIns="45720" anchor="t">
                        <a:prstTxWarp prst="textNoShape">
                          <a:avLst/>
                        </a:prstTxWarp>
                        <a:noAutofit/>
                      </wps:bodyPr>
                    </wps:wsp>
                  </a:graphicData>
                </a:graphic>
              </wp:anchor>
            </w:drawing>
          </mc:Choice>
          <mc:Fallback>
            <w:pict>
              <v:rect w14:anchorId="69A63EB1" id="Text Box 3" o:spid="_x0000_s1030" style="position:absolute;left:0;text-align:left;margin-left:216.75pt;margin-top:31.55pt;width:18pt;height:18.75pt;z-index:251687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" stroked="f">
                <v:textbox>
                  <w:txbxContent>
                    <w:p w14:paraId="21313E71" w14:textId="77777777" w:rsidR="008D3090" w:rsidRDefault="008D3090" w:rsidP="008D3090"/>
                  </w:txbxContent>
                </v:textbox>
              </v:rect>
            </w:pict>
          </mc:Fallback>
        </mc:AlternateContent>
      </w:r>
    </w:p>
    <w:p w14:paraId="146769F9" w14:textId="37D75875" w:rsidR="008D3090" w:rsidRPr="0044629C" w:rsidRDefault="008D3090" w:rsidP="00641746">
      <w:pPr>
        <w:spacing w:after="0" w:line="360" w:lineRule="auto"/>
        <w:jc w:val="center"/>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ABSTRACT</w:t>
      </w:r>
    </w:p>
    <w:p w14:paraId="5E594508" w14:textId="77777777" w:rsidR="008D3090" w:rsidRPr="0044629C" w:rsidRDefault="008D3090" w:rsidP="008D3090">
      <w:pPr>
        <w:spacing w:after="0" w:line="240" w:lineRule="auto"/>
        <w:contextualSpacing/>
        <w:jc w:val="both"/>
        <w:rPr>
          <w:rFonts w:ascii="Times New Roman" w:eastAsia="Calibri" w:hAnsi="Times New Roman" w:cs="Times New Roman"/>
          <w:b/>
          <w:bCs/>
          <w:kern w:val="0"/>
          <w14:ligatures w14:val="none"/>
        </w:rPr>
      </w:pPr>
    </w:p>
    <w:p w14:paraId="21BA1A00" w14:textId="77777777" w:rsidR="008D3090" w:rsidRPr="0044629C" w:rsidRDefault="008D3090" w:rsidP="008D3090">
      <w:pPr>
        <w:spacing w:after="0" w:line="240" w:lineRule="auto"/>
        <w:contextualSpacing/>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 study examined the entrepreneurial mindset and strategic renewal of Small and Medium Scale Businesses in Rivers state. The study used a cross-sectional survey research approach.270 small and medium-scale businesses make up the study population using the </w:t>
      </w:r>
      <w:proofErr w:type="spellStart"/>
      <w:r w:rsidRPr="0044629C">
        <w:rPr>
          <w:rFonts w:ascii="Times New Roman" w:eastAsia="Calibri" w:hAnsi="Times New Roman" w:cs="Times New Roman"/>
          <w:kern w:val="0"/>
          <w14:ligatures w14:val="none"/>
        </w:rPr>
        <w:t>krejcie</w:t>
      </w:r>
      <w:proofErr w:type="spellEnd"/>
      <w:r w:rsidRPr="0044629C">
        <w:rPr>
          <w:rFonts w:ascii="Times New Roman" w:eastAsia="Calibri" w:hAnsi="Times New Roman" w:cs="Times New Roman"/>
          <w:kern w:val="0"/>
          <w14:ligatures w14:val="none"/>
        </w:rPr>
        <w:t xml:space="preserve"> and Morgan sampling technique. The sample size of 159 small and medium scale businesses in </w:t>
      </w:r>
      <w:proofErr w:type="gramStart"/>
      <w:r w:rsidRPr="0044629C">
        <w:rPr>
          <w:rFonts w:ascii="Times New Roman" w:eastAsia="Calibri" w:hAnsi="Times New Roman" w:cs="Times New Roman"/>
          <w:kern w:val="0"/>
          <w14:ligatures w14:val="none"/>
        </w:rPr>
        <w:t>Rivers</w:t>
      </w:r>
      <w:proofErr w:type="gramEnd"/>
      <w:r w:rsidRPr="0044629C">
        <w:rPr>
          <w:rFonts w:ascii="Times New Roman" w:eastAsia="Calibri" w:hAnsi="Times New Roman" w:cs="Times New Roman"/>
          <w:kern w:val="0"/>
          <w14:ligatures w14:val="none"/>
        </w:rPr>
        <w:t xml:space="preserve"> state was determined. A primary source questionnaire was used to collect data. Regression analysis was conducted to ascertain the association between entrepreneurial mindset and strategic renewal. A primary analysis was done on the completed replies. The results show significant relationship between the measures of strategic renewal (adaptability and survival) and the dimensions of entrepreneurial mindset (changes forcibility, opportunity utilization and resource management) just as both the moderating variable creativity is noted to moderate the relationship between entrepreneurial mindset and strategic renewal. The study comes to the conclusion that small and medium scale businesses in Rivers state benefit from increased strategic renewal due to entrepreneurial mindset in order to find viable and practicable new concepts, the reports advised small and medium scale business owners to regularly do feasibility studies and market research in order to discover new concepts that are extremely appealing  to the target market,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should increase their ability to sense changes  in the operating environment, increase their ability to seize business opportunity and increase their investment in such prospects and </w:t>
      </w:r>
      <w:proofErr w:type="spellStart"/>
      <w:r w:rsidRPr="0044629C">
        <w:rPr>
          <w:rFonts w:ascii="Times New Roman" w:eastAsia="Calibri" w:hAnsi="Times New Roman" w:cs="Times New Roman"/>
          <w:kern w:val="0"/>
          <w14:ligatures w14:val="none"/>
        </w:rPr>
        <w:t>sme</w:t>
      </w:r>
      <w:proofErr w:type="spellEnd"/>
      <w:r w:rsidRPr="0044629C">
        <w:rPr>
          <w:rFonts w:ascii="Times New Roman" w:eastAsia="Calibri" w:hAnsi="Times New Roman" w:cs="Times New Roman"/>
          <w:kern w:val="0"/>
          <w14:ligatures w14:val="none"/>
        </w:rPr>
        <w:t xml:space="preserve"> businesses should manage resources to satisfy the demands of their customers, timely application of creativity and innovation  to survive and be adaptive.</w:t>
      </w:r>
    </w:p>
    <w:p w14:paraId="7B844086" w14:textId="77777777" w:rsidR="008D3090" w:rsidRPr="0044629C" w:rsidRDefault="008D3090" w:rsidP="008D3090">
      <w:pPr>
        <w:spacing w:after="0" w:line="240" w:lineRule="auto"/>
        <w:contextualSpacing/>
        <w:jc w:val="both"/>
        <w:rPr>
          <w:rFonts w:ascii="Times New Roman" w:eastAsia="Calibri" w:hAnsi="Times New Roman" w:cs="Times New Roman"/>
          <w:b/>
          <w:bCs/>
          <w:kern w:val="0"/>
          <w14:ligatures w14:val="none"/>
        </w:rPr>
      </w:pPr>
    </w:p>
    <w:p w14:paraId="1BAC3C4F" w14:textId="77777777" w:rsidR="008D3090" w:rsidRPr="0044629C" w:rsidRDefault="008D3090" w:rsidP="008D3090">
      <w:pPr>
        <w:spacing w:after="0" w:line="240" w:lineRule="auto"/>
        <w:contextualSpacing/>
        <w:jc w:val="both"/>
        <w:rPr>
          <w:rFonts w:ascii="Times New Roman" w:eastAsia="Calibri" w:hAnsi="Times New Roman" w:cs="Times New Roman"/>
          <w:kern w:val="0"/>
          <w14:ligatures w14:val="none"/>
        </w:rPr>
      </w:pPr>
      <w:r w:rsidRPr="0044629C">
        <w:rPr>
          <w:rFonts w:ascii="Times New Roman" w:eastAsia="Calibri" w:hAnsi="Times New Roman" w:cs="Times New Roman"/>
          <w:b/>
          <w:bCs/>
          <w:kern w:val="0"/>
          <w14:ligatures w14:val="none"/>
        </w:rPr>
        <w:t>Key words:</w:t>
      </w:r>
      <w:r w:rsidRPr="0044629C">
        <w:rPr>
          <w:rFonts w:ascii="Times New Roman" w:eastAsia="Calibri" w:hAnsi="Times New Roman" w:cs="Times New Roman"/>
          <w:kern w:val="0"/>
          <w14:ligatures w14:val="none"/>
        </w:rPr>
        <w:t xml:space="preserve"> entrepreneurial mindset, strategic renewal, experiential learning, changes </w:t>
      </w:r>
      <w:proofErr w:type="spellStart"/>
      <w:r w:rsidRPr="0044629C">
        <w:rPr>
          <w:rFonts w:ascii="Times New Roman" w:eastAsia="Calibri" w:hAnsi="Times New Roman" w:cs="Times New Roman"/>
          <w:kern w:val="0"/>
          <w14:ligatures w14:val="none"/>
        </w:rPr>
        <w:t>foliability</w:t>
      </w:r>
      <w:proofErr w:type="spellEnd"/>
      <w:r w:rsidRPr="0044629C">
        <w:rPr>
          <w:rFonts w:ascii="Times New Roman" w:eastAsia="Calibri" w:hAnsi="Times New Roman" w:cs="Times New Roman"/>
          <w:kern w:val="0"/>
          <w14:ligatures w14:val="none"/>
        </w:rPr>
        <w:t>, opportunity utilization, resource management adaptability, survival, creativity.</w:t>
      </w:r>
    </w:p>
    <w:p w14:paraId="48E47CB9" w14:textId="77777777" w:rsidR="0044629C" w:rsidRDefault="0044629C" w:rsidP="008D3090">
      <w:pPr>
        <w:spacing w:after="0" w:line="360" w:lineRule="auto"/>
        <w:jc w:val="both"/>
        <w:rPr>
          <w:rFonts w:ascii="Times New Roman" w:eastAsia="Calibri" w:hAnsi="Times New Roman" w:cs="Times New Roman"/>
          <w:b/>
          <w:bCs/>
          <w:kern w:val="0"/>
          <w:u w:val="single"/>
          <w14:ligatures w14:val="none"/>
        </w:rPr>
      </w:pPr>
    </w:p>
    <w:p w14:paraId="45A11B66" w14:textId="7C64FA55" w:rsidR="008D3090" w:rsidRPr="0044629C" w:rsidRDefault="008D3090" w:rsidP="008D3090">
      <w:pPr>
        <w:spacing w:after="0" w:line="360" w:lineRule="auto"/>
        <w:jc w:val="both"/>
        <w:rPr>
          <w:rFonts w:ascii="Times New Roman" w:eastAsia="Calibri" w:hAnsi="Times New Roman" w:cs="Times New Roman"/>
          <w:b/>
          <w:bCs/>
          <w:kern w:val="0"/>
          <w:u w:val="single"/>
          <w14:ligatures w14:val="none"/>
        </w:rPr>
      </w:pPr>
      <w:r w:rsidRPr="0044629C">
        <w:rPr>
          <w:rFonts w:ascii="Times New Roman" w:eastAsia="Calibri" w:hAnsi="Times New Roman" w:cs="Times New Roman"/>
          <w:b/>
          <w:bCs/>
          <w:kern w:val="0"/>
          <w:u w:val="single"/>
          <w14:ligatures w14:val="none"/>
        </w:rPr>
        <w:t>Introduction.</w:t>
      </w:r>
    </w:p>
    <w:p w14:paraId="50A4E861"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 Strategic renewal is important for organizations to maximize adaptability and ensure survival in dynamic and competitive environments, it involves continuous adaptation and evolution in response to internal and external changes, enabling long-term relevance and competitiveness. Key activities include diversifying product lines, expanding into new market, innovating organizational structures, and developing new business models (Michelet al., 2020, warner and wager, 2019). These actions are essential for responding effectively to changing market conditions, technological advancements, and regulatory shifts. Chakravarty and Gargiulo (1998) highlight that strategic renewal is critical for sustaining long term survival. This process involves the continuous reassessment and realignment of an organization strategies, structures and operations to adapt to both internal and external changes. Organizational adaptability, the capacity to modify strategies and operations in response to changing </w:t>
      </w:r>
      <w:r w:rsidRPr="0044629C">
        <w:rPr>
          <w:rFonts w:ascii="Times New Roman" w:eastAsia="Calibri" w:hAnsi="Times New Roman" w:cs="Times New Roman"/>
          <w:kern w:val="0"/>
          <w14:ligatures w14:val="none"/>
        </w:rPr>
        <w:lastRenderedPageBreak/>
        <w:t>conditions is vital, for maintaining competitive advantage and achieving long-term success (</w:t>
      </w:r>
      <w:proofErr w:type="spellStart"/>
      <w:r w:rsidRPr="0044629C">
        <w:rPr>
          <w:rFonts w:ascii="Times New Roman" w:eastAsia="Calibri" w:hAnsi="Times New Roman" w:cs="Times New Roman"/>
          <w:kern w:val="0"/>
          <w14:ligatures w14:val="none"/>
        </w:rPr>
        <w:t>teece</w:t>
      </w:r>
      <w:proofErr w:type="spellEnd"/>
      <w:r w:rsidRPr="0044629C">
        <w:rPr>
          <w:rFonts w:ascii="Times New Roman" w:eastAsia="Calibri" w:hAnsi="Times New Roman" w:cs="Times New Roman"/>
          <w:kern w:val="0"/>
          <w14:ligatures w14:val="none"/>
        </w:rPr>
        <w:t xml:space="preserve">; 2007). In the context of Rivers state. Nigeria some businesses plays a significant role in the economy, contributing to employment in the economy, local development and revenue generation (Adeniyi, 2017, Oghogho &amp; </w:t>
      </w:r>
      <w:proofErr w:type="spellStart"/>
      <w:r w:rsidRPr="0044629C">
        <w:rPr>
          <w:rFonts w:ascii="Times New Roman" w:eastAsia="Calibri" w:hAnsi="Times New Roman" w:cs="Times New Roman"/>
          <w:kern w:val="0"/>
          <w14:ligatures w14:val="none"/>
        </w:rPr>
        <w:t>Okonmah</w:t>
      </w:r>
      <w:proofErr w:type="spellEnd"/>
      <w:r w:rsidRPr="0044629C">
        <w:rPr>
          <w:rFonts w:ascii="Times New Roman" w:eastAsia="Calibri" w:hAnsi="Times New Roman" w:cs="Times New Roman"/>
          <w:kern w:val="0"/>
          <w14:ligatures w14:val="none"/>
        </w:rPr>
        <w:t xml:space="preserve">, 2013). Companies within this sector face a highly dynamic environment characterized by rapid technological advancement, regulatory changes, and shifting consumer preferences. To navigate these challenges and sustain their competitive edge, these SMES must actively engage in strategic renewal. Entrepreneurial mindset Play a pivotal role in the strategic renewal. Entrepreneurial mindset </w:t>
      </w:r>
      <w:proofErr w:type="gramStart"/>
      <w:r w:rsidRPr="0044629C">
        <w:rPr>
          <w:rFonts w:ascii="Times New Roman" w:eastAsia="Calibri" w:hAnsi="Times New Roman" w:cs="Times New Roman"/>
          <w:kern w:val="0"/>
          <w14:ligatures w14:val="none"/>
        </w:rPr>
        <w:t>play</w:t>
      </w:r>
      <w:proofErr w:type="gramEnd"/>
      <w:r w:rsidRPr="0044629C">
        <w:rPr>
          <w:rFonts w:ascii="Times New Roman" w:eastAsia="Calibri" w:hAnsi="Times New Roman" w:cs="Times New Roman"/>
          <w:kern w:val="0"/>
          <w14:ligatures w14:val="none"/>
        </w:rPr>
        <w:t xml:space="preserve"> a pivotal role in the strategic renewal process. Defined by (Teece, 2007), entrepreneurial mindset Refer to a </w:t>
      </w:r>
      <w:proofErr w:type="spellStart"/>
      <w:proofErr w:type="gramStart"/>
      <w:r w:rsidRPr="0044629C">
        <w:rPr>
          <w:rFonts w:ascii="Times New Roman" w:eastAsia="Calibri" w:hAnsi="Times New Roman" w:cs="Times New Roman"/>
          <w:kern w:val="0"/>
          <w14:ligatures w14:val="none"/>
        </w:rPr>
        <w:t>persons</w:t>
      </w:r>
      <w:proofErr w:type="spellEnd"/>
      <w:proofErr w:type="gramEnd"/>
      <w:r w:rsidRPr="0044629C">
        <w:rPr>
          <w:rFonts w:ascii="Times New Roman" w:eastAsia="Calibri" w:hAnsi="Times New Roman" w:cs="Times New Roman"/>
          <w:kern w:val="0"/>
          <w14:ligatures w14:val="none"/>
        </w:rPr>
        <w:t xml:space="preserve"> ability to integrate, develop, and reconfigure internal and external competencies to address rapidly changing environments. These Mindset enable the entrepreneur to sense shifts in the market, utilize opportunities and resource management and processes to align with emerging trends and regulatory demands for SME businesses in </w:t>
      </w:r>
      <w:proofErr w:type="gramStart"/>
      <w:r w:rsidRPr="0044629C">
        <w:rPr>
          <w:rFonts w:ascii="Times New Roman" w:eastAsia="Calibri" w:hAnsi="Times New Roman" w:cs="Times New Roman"/>
          <w:kern w:val="0"/>
          <w14:ligatures w14:val="none"/>
        </w:rPr>
        <w:t>Rivers</w:t>
      </w:r>
      <w:proofErr w:type="gramEnd"/>
      <w:r w:rsidRPr="0044629C">
        <w:rPr>
          <w:rFonts w:ascii="Times New Roman" w:eastAsia="Calibri" w:hAnsi="Times New Roman" w:cs="Times New Roman"/>
          <w:kern w:val="0"/>
          <w14:ligatures w14:val="none"/>
        </w:rPr>
        <w:t xml:space="preserve"> state, entrepreneurial mindset is essential for maintaining competitiveness and Long-Term growth, allowing them to navigate the complexities of their operating environment effectively. An entrepreneurial mindset entails that one must be creative, communicative and highly motivated to succeed, yet able to endure risks and failures. This concepts alone cannot achieve the last aspect of entrepreneurship which is success. Success needs the entrepreneur to possess unique characteristics to integrate ideas and exploit them to   realize prosperous and effective work; </w:t>
      </w:r>
      <w:proofErr w:type="gramStart"/>
      <w:r w:rsidRPr="0044629C">
        <w:rPr>
          <w:rFonts w:ascii="Times New Roman" w:eastAsia="Calibri" w:hAnsi="Times New Roman" w:cs="Times New Roman"/>
          <w:kern w:val="0"/>
          <w14:ligatures w14:val="none"/>
        </w:rPr>
        <w:t>so</w:t>
      </w:r>
      <w:proofErr w:type="gramEnd"/>
      <w:r w:rsidRPr="0044629C">
        <w:rPr>
          <w:rFonts w:ascii="Times New Roman" w:eastAsia="Calibri" w:hAnsi="Times New Roman" w:cs="Times New Roman"/>
          <w:kern w:val="0"/>
          <w14:ligatures w14:val="none"/>
        </w:rPr>
        <w:t xml:space="preserve"> an entrepreneur must have a mixture of skills and traits (creativity) to realize Success (</w:t>
      </w:r>
      <w:proofErr w:type="spellStart"/>
      <w:r w:rsidRPr="0044629C">
        <w:rPr>
          <w:rFonts w:ascii="Times New Roman" w:eastAsia="Calibri" w:hAnsi="Times New Roman" w:cs="Times New Roman"/>
          <w:kern w:val="0"/>
          <w14:ligatures w14:val="none"/>
        </w:rPr>
        <w:t>chinonye</w:t>
      </w:r>
      <w:proofErr w:type="spellEnd"/>
      <w:r w:rsidRPr="0044629C">
        <w:rPr>
          <w:rFonts w:ascii="Times New Roman" w:eastAsia="Calibri" w:hAnsi="Times New Roman" w:cs="Times New Roman"/>
          <w:kern w:val="0"/>
          <w14:ligatures w14:val="none"/>
        </w:rPr>
        <w:t xml:space="preserve"> and Akin </w:t>
      </w:r>
      <w:proofErr w:type="spellStart"/>
      <w:r w:rsidRPr="0044629C">
        <w:rPr>
          <w:rFonts w:ascii="Times New Roman" w:eastAsia="Calibri" w:hAnsi="Times New Roman" w:cs="Times New Roman"/>
          <w:kern w:val="0"/>
          <w14:ligatures w14:val="none"/>
        </w:rPr>
        <w:t>labi</w:t>
      </w:r>
      <w:proofErr w:type="spellEnd"/>
      <w:r w:rsidRPr="0044629C">
        <w:rPr>
          <w:rFonts w:ascii="Times New Roman" w:eastAsia="Calibri" w:hAnsi="Times New Roman" w:cs="Times New Roman"/>
          <w:kern w:val="0"/>
          <w14:ligatures w14:val="none"/>
        </w:rPr>
        <w:t>, 2014). Among the pre requisites of being an entrepreneur is that you must express creativity by being creative, you have to undertake creative methods to enhance your work and make changes (Reed and Stoltz, 2011).</w:t>
      </w:r>
    </w:p>
    <w:p w14:paraId="6173A049" w14:textId="77777777" w:rsidR="008D3090" w:rsidRPr="0044629C" w:rsidRDefault="008D3090" w:rsidP="0044629C">
      <w:pPr>
        <w:spacing w:after="0" w:line="240" w:lineRule="auto"/>
        <w:jc w:val="both"/>
        <w:rPr>
          <w:rFonts w:ascii="Times New Roman" w:eastAsia="Calibri" w:hAnsi="Times New Roman" w:cs="Times New Roman"/>
          <w:b/>
          <w:bCs/>
          <w:kern w:val="0"/>
          <w14:ligatures w14:val="none"/>
        </w:rPr>
      </w:pPr>
      <w:r w:rsidRPr="0044629C">
        <w:rPr>
          <w:rFonts w:ascii="Times New Roman" w:eastAsia="Calibri" w:hAnsi="Times New Roman" w:cs="Times New Roman"/>
          <w:kern w:val="0"/>
          <w14:ligatures w14:val="none"/>
        </w:rPr>
        <w:t xml:space="preserve">Existing studies have highlighted the general benefits of entrepreneurial mindset in facilitating strategic renewal. Still, few have delved into the specific mechanisms through which these Mindset influence strategic renewal in small and medium scale businesses in </w:t>
      </w:r>
      <w:proofErr w:type="gramStart"/>
      <w:r w:rsidRPr="0044629C">
        <w:rPr>
          <w:rFonts w:ascii="Times New Roman" w:eastAsia="Calibri" w:hAnsi="Times New Roman" w:cs="Times New Roman"/>
          <w:kern w:val="0"/>
          <w14:ligatures w14:val="none"/>
        </w:rPr>
        <w:t>Rivers</w:t>
      </w:r>
      <w:proofErr w:type="gramEnd"/>
      <w:r w:rsidRPr="0044629C">
        <w:rPr>
          <w:rFonts w:ascii="Times New Roman" w:eastAsia="Calibri" w:hAnsi="Times New Roman" w:cs="Times New Roman"/>
          <w:kern w:val="0"/>
          <w14:ligatures w14:val="none"/>
        </w:rPr>
        <w:t xml:space="preserve"> state. This study aims to fill this gap by investigating how entrepreneurial mindset impact the strategic renewal in the sector.</w:t>
      </w:r>
    </w:p>
    <w:p w14:paraId="2BD90290" w14:textId="77777777" w:rsidR="008D3090" w:rsidRPr="0044629C" w:rsidRDefault="008D3090" w:rsidP="008D3090">
      <w:pPr>
        <w:spacing w:after="0" w:line="360" w:lineRule="auto"/>
        <w:jc w:val="both"/>
        <w:rPr>
          <w:rFonts w:ascii="Times New Roman" w:eastAsia="Calibri" w:hAnsi="Times New Roman" w:cs="Times New Roman"/>
          <w:b/>
          <w:bCs/>
          <w:kern w:val="0"/>
          <w14:ligatures w14:val="none"/>
        </w:rPr>
      </w:pPr>
    </w:p>
    <w:p w14:paraId="3F441352" w14:textId="77777777" w:rsidR="008D3090" w:rsidRPr="0044629C" w:rsidRDefault="008D3090" w:rsidP="0044629C">
      <w:pPr>
        <w:spacing w:after="0" w:line="240" w:lineRule="auto"/>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STATEMENT OF THE PROBLEM</w:t>
      </w:r>
    </w:p>
    <w:p w14:paraId="31A615CB"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The problem is the inadequate mindset of entrepreneurs in the SME business hinder their strategic renewal, compromising their ability to adapt and survive in an ever- changing market environment. Due to weak strategic renewal, the SMES in Rivers state Nigeria face significant challenges in adapting and surviving amidst rapid shifts in consumer preferences, technological advancements and regulatory constraints. Many entrepreneurs struggle to remain competitive and face jeopardized market survival due to their inability to renew strategies effectively (Michelet al., 2020: warner and wager, 2019).</w:t>
      </w:r>
    </w:p>
    <w:p w14:paraId="4B9EE0E4"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 failure to seize new opportunities has led to performance stagnation and decline. Thus, this study seeks to examine the relationship between strategic renewal and entrepreneurial mindset in </w:t>
      </w:r>
      <w:proofErr w:type="gramStart"/>
      <w:r w:rsidRPr="0044629C">
        <w:rPr>
          <w:rFonts w:ascii="Times New Roman" w:eastAsia="Calibri" w:hAnsi="Times New Roman" w:cs="Times New Roman"/>
          <w:kern w:val="0"/>
          <w14:ligatures w14:val="none"/>
        </w:rPr>
        <w:t>Rivers</w:t>
      </w:r>
      <w:proofErr w:type="gramEnd"/>
      <w:r w:rsidRPr="0044629C">
        <w:rPr>
          <w:rFonts w:ascii="Times New Roman" w:eastAsia="Calibri" w:hAnsi="Times New Roman" w:cs="Times New Roman"/>
          <w:kern w:val="0"/>
          <w14:ligatures w14:val="none"/>
        </w:rPr>
        <w:t xml:space="preserve"> state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businesses, to address the problem of creative mind.</w:t>
      </w:r>
    </w:p>
    <w:p w14:paraId="292663FF" w14:textId="77777777" w:rsidR="008D3090" w:rsidRPr="0044629C" w:rsidRDefault="008D3090" w:rsidP="0044629C">
      <w:pPr>
        <w:spacing w:after="0" w:line="240" w:lineRule="auto"/>
        <w:jc w:val="both"/>
        <w:rPr>
          <w:rFonts w:ascii="Times New Roman" w:eastAsia="Calibri" w:hAnsi="Times New Roman" w:cs="Times New Roman"/>
          <w:b/>
          <w:bCs/>
          <w:kern w:val="0"/>
          <w14:ligatures w14:val="none"/>
        </w:rPr>
      </w:pPr>
    </w:p>
    <w:p w14:paraId="40D6E6F5" w14:textId="77777777" w:rsidR="008D3090" w:rsidRPr="0044629C" w:rsidRDefault="008D3090" w:rsidP="0044629C">
      <w:pPr>
        <w:spacing w:after="0" w:line="240" w:lineRule="auto"/>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 xml:space="preserve">AIM AND OBJECTIVES OF THE STUDY </w:t>
      </w:r>
    </w:p>
    <w:p w14:paraId="0F671D1F"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 aim of the study was to examine the relationship between entrepreneurial mindset and strategic renewal of SME businesses in </w:t>
      </w:r>
      <w:proofErr w:type="gramStart"/>
      <w:r w:rsidRPr="0044629C">
        <w:rPr>
          <w:rFonts w:ascii="Times New Roman" w:eastAsia="Calibri" w:hAnsi="Times New Roman" w:cs="Times New Roman"/>
          <w:kern w:val="0"/>
          <w14:ligatures w14:val="none"/>
        </w:rPr>
        <w:t>Rivers</w:t>
      </w:r>
      <w:proofErr w:type="gramEnd"/>
      <w:r w:rsidRPr="0044629C">
        <w:rPr>
          <w:rFonts w:ascii="Times New Roman" w:eastAsia="Calibri" w:hAnsi="Times New Roman" w:cs="Times New Roman"/>
          <w:kern w:val="0"/>
          <w14:ligatures w14:val="none"/>
        </w:rPr>
        <w:t xml:space="preserve"> state. The objectives of the study are to;</w:t>
      </w:r>
    </w:p>
    <w:p w14:paraId="01D4F91F"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1. establish the relationship between change forcibility and adaptability</w:t>
      </w:r>
    </w:p>
    <w:p w14:paraId="6265B8FB"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2. determine the relationship between change forcibility and survival</w:t>
      </w:r>
    </w:p>
    <w:p w14:paraId="73766128"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3. examine the relationship between opportunity utilization and adaptability</w:t>
      </w:r>
    </w:p>
    <w:p w14:paraId="1F7A228F"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4. investigate the relationship between opportunity utilization and survival</w:t>
      </w:r>
    </w:p>
    <w:p w14:paraId="2B8C9880"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5. establish the relationship between resource management and adaptability</w:t>
      </w:r>
    </w:p>
    <w:p w14:paraId="4BC32417"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6. examine the relationship between resource management and survival</w:t>
      </w:r>
    </w:p>
    <w:p w14:paraId="184C6C09"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7.  establish the moderating role of creativity between entrepreneurial mindset and strategic renewal.</w:t>
      </w:r>
    </w:p>
    <w:p w14:paraId="46D95B67" w14:textId="77777777" w:rsidR="008D3090" w:rsidRPr="0044629C" w:rsidRDefault="008D3090" w:rsidP="0044629C">
      <w:pPr>
        <w:spacing w:after="0" w:line="240" w:lineRule="auto"/>
        <w:ind w:left="720" w:hanging="720"/>
        <w:jc w:val="both"/>
        <w:rPr>
          <w:rFonts w:ascii="Times New Roman" w:eastAsia="Calibri" w:hAnsi="Times New Roman" w:cs="Times New Roman"/>
          <w:b/>
          <w:bCs/>
          <w:kern w:val="0"/>
          <w14:ligatures w14:val="none"/>
        </w:rPr>
      </w:pPr>
    </w:p>
    <w:p w14:paraId="2F540656" w14:textId="77777777" w:rsidR="0044629C" w:rsidRDefault="0044629C" w:rsidP="0044629C">
      <w:pPr>
        <w:spacing w:after="0" w:line="240" w:lineRule="auto"/>
        <w:ind w:left="720" w:hanging="720"/>
        <w:jc w:val="both"/>
        <w:rPr>
          <w:rFonts w:ascii="Times New Roman" w:eastAsia="Calibri" w:hAnsi="Times New Roman" w:cs="Times New Roman"/>
          <w:b/>
          <w:bCs/>
          <w:kern w:val="0"/>
          <w14:ligatures w14:val="none"/>
        </w:rPr>
      </w:pPr>
    </w:p>
    <w:p w14:paraId="1B9458DC" w14:textId="65DB763E" w:rsidR="008D3090" w:rsidRPr="0044629C" w:rsidRDefault="008D3090" w:rsidP="0044629C">
      <w:pPr>
        <w:spacing w:after="0" w:line="240" w:lineRule="auto"/>
        <w:ind w:left="720" w:hanging="720"/>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RESEARCH QUESTIONS</w:t>
      </w:r>
    </w:p>
    <w:p w14:paraId="2521AC9E"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The study is guided by the following research questions:</w:t>
      </w:r>
    </w:p>
    <w:p w14:paraId="17E7E1D2"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1. What is the relationship between change forcibility and adaptability</w:t>
      </w:r>
    </w:p>
    <w:p w14:paraId="35CF0683"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lastRenderedPageBreak/>
        <w:t>2. How does change forcibility relate with survival</w:t>
      </w:r>
    </w:p>
    <w:p w14:paraId="6239A588"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3. What is the relationship between opportunity utilization and adaptability</w:t>
      </w:r>
    </w:p>
    <w:p w14:paraId="5890395B"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4. How does opportunity utilization relate with survival</w:t>
      </w:r>
    </w:p>
    <w:p w14:paraId="2FF547EE"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5. What is the relationship between resource management and adaptability</w:t>
      </w:r>
    </w:p>
    <w:p w14:paraId="6FD53034"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6. How does resource management relate with survival</w:t>
      </w:r>
    </w:p>
    <w:p w14:paraId="60A72450"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7. What is the role of creativity on entrepreneurial mindset and strategic renewal.</w:t>
      </w:r>
    </w:p>
    <w:p w14:paraId="072900C9" w14:textId="77777777" w:rsidR="008D3090" w:rsidRPr="0044629C" w:rsidRDefault="008D3090" w:rsidP="0044629C">
      <w:pPr>
        <w:spacing w:after="0" w:line="240" w:lineRule="auto"/>
        <w:ind w:left="720" w:hanging="720"/>
        <w:jc w:val="both"/>
        <w:rPr>
          <w:rFonts w:ascii="Times New Roman" w:eastAsia="Calibri" w:hAnsi="Times New Roman" w:cs="Times New Roman"/>
          <w:b/>
          <w:bCs/>
          <w:kern w:val="0"/>
          <w14:ligatures w14:val="none"/>
        </w:rPr>
      </w:pPr>
    </w:p>
    <w:p w14:paraId="4B0FCBD4" w14:textId="77777777" w:rsidR="008D3090" w:rsidRPr="0044629C" w:rsidRDefault="008D3090" w:rsidP="0044629C">
      <w:pPr>
        <w:spacing w:after="0" w:line="240" w:lineRule="auto"/>
        <w:ind w:left="720" w:hanging="720"/>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RESEARCH HYPOTHESES</w:t>
      </w:r>
    </w:p>
    <w:p w14:paraId="380B4F52"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The study is guided by the following research hypotheses</w:t>
      </w:r>
    </w:p>
    <w:p w14:paraId="24EEC552" w14:textId="77777777" w:rsidR="008D3090" w:rsidRPr="0044629C" w:rsidRDefault="008D3090" w:rsidP="0044629C">
      <w:pPr>
        <w:spacing w:after="0" w:line="240" w:lineRule="auto"/>
        <w:ind w:left="810" w:hanging="81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 </w:t>
      </w:r>
      <w:r w:rsidRPr="0044629C">
        <w:rPr>
          <w:rFonts w:ascii="Times New Roman" w:eastAsia="Calibri" w:hAnsi="Times New Roman" w:cs="Times New Roman"/>
          <w:b/>
          <w:bCs/>
          <w:kern w:val="0"/>
          <w14:ligatures w14:val="none"/>
        </w:rPr>
        <w:t>HO</w:t>
      </w:r>
      <w:r w:rsidRPr="0044629C">
        <w:rPr>
          <w:rFonts w:ascii="Times New Roman" w:eastAsia="Calibri" w:hAnsi="Times New Roman" w:cs="Times New Roman"/>
          <w:b/>
          <w:bCs/>
          <w:kern w:val="0"/>
          <w:vertAlign w:val="subscript"/>
          <w14:ligatures w14:val="none"/>
        </w:rPr>
        <w:t>1</w:t>
      </w:r>
      <w:r w:rsidRPr="0044629C">
        <w:rPr>
          <w:rFonts w:ascii="Times New Roman" w:eastAsia="Calibri" w:hAnsi="Times New Roman" w:cs="Times New Roman"/>
          <w:b/>
          <w:bCs/>
          <w:kern w:val="0"/>
          <w14:ligatures w14:val="none"/>
        </w:rPr>
        <w:t>:</w:t>
      </w:r>
      <w:r w:rsidRPr="0044629C">
        <w:rPr>
          <w:rFonts w:ascii="Times New Roman" w:eastAsia="Calibri" w:hAnsi="Times New Roman" w:cs="Times New Roman"/>
          <w:kern w:val="0"/>
          <w14:ligatures w14:val="none"/>
        </w:rPr>
        <w:t xml:space="preserve"> There is no significant relationship between change forcibility and adaptability</w:t>
      </w:r>
    </w:p>
    <w:p w14:paraId="7714AE08"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b/>
          <w:bCs/>
          <w:kern w:val="0"/>
          <w14:ligatures w14:val="none"/>
        </w:rPr>
        <w:t>HO2:</w:t>
      </w:r>
      <w:r w:rsidRPr="0044629C">
        <w:rPr>
          <w:rFonts w:ascii="Times New Roman" w:eastAsia="Calibri" w:hAnsi="Times New Roman" w:cs="Times New Roman"/>
          <w:kern w:val="0"/>
          <w14:ligatures w14:val="none"/>
        </w:rPr>
        <w:t xml:space="preserve"> there is no significant relationship between forcibility and survival</w:t>
      </w:r>
    </w:p>
    <w:p w14:paraId="6F65618A"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b/>
          <w:bCs/>
          <w:kern w:val="0"/>
          <w14:ligatures w14:val="none"/>
        </w:rPr>
        <w:t>HO</w:t>
      </w:r>
      <w:r w:rsidRPr="0044629C">
        <w:rPr>
          <w:rFonts w:ascii="Times New Roman" w:eastAsia="Calibri" w:hAnsi="Times New Roman" w:cs="Times New Roman"/>
          <w:b/>
          <w:bCs/>
          <w:kern w:val="0"/>
          <w:vertAlign w:val="subscript"/>
          <w14:ligatures w14:val="none"/>
        </w:rPr>
        <w:t>3</w:t>
      </w:r>
      <w:r w:rsidRPr="0044629C">
        <w:rPr>
          <w:rFonts w:ascii="Times New Roman" w:eastAsia="Calibri" w:hAnsi="Times New Roman" w:cs="Times New Roman"/>
          <w:b/>
          <w:bCs/>
          <w:kern w:val="0"/>
          <w14:ligatures w14:val="none"/>
        </w:rPr>
        <w:t>:</w:t>
      </w:r>
      <w:r w:rsidRPr="0044629C">
        <w:rPr>
          <w:rFonts w:ascii="Times New Roman" w:eastAsia="Calibri" w:hAnsi="Times New Roman" w:cs="Times New Roman"/>
          <w:kern w:val="0"/>
          <w14:ligatures w14:val="none"/>
        </w:rPr>
        <w:t xml:space="preserve"> there is no significant relationship between opportunity utilization and adaptability</w:t>
      </w:r>
    </w:p>
    <w:p w14:paraId="1F5BD60F"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b/>
          <w:bCs/>
          <w:kern w:val="0"/>
          <w14:ligatures w14:val="none"/>
        </w:rPr>
        <w:t>HO</w:t>
      </w:r>
      <w:r w:rsidRPr="0044629C">
        <w:rPr>
          <w:rFonts w:ascii="Times New Roman" w:eastAsia="Calibri" w:hAnsi="Times New Roman" w:cs="Times New Roman"/>
          <w:b/>
          <w:bCs/>
          <w:kern w:val="0"/>
          <w:vertAlign w:val="subscript"/>
          <w14:ligatures w14:val="none"/>
        </w:rPr>
        <w:t>4</w:t>
      </w:r>
      <w:r w:rsidRPr="0044629C">
        <w:rPr>
          <w:rFonts w:ascii="Times New Roman" w:eastAsia="Calibri" w:hAnsi="Times New Roman" w:cs="Times New Roman"/>
          <w:b/>
          <w:bCs/>
          <w:kern w:val="0"/>
          <w14:ligatures w14:val="none"/>
        </w:rPr>
        <w:t>:</w:t>
      </w:r>
      <w:r w:rsidRPr="0044629C">
        <w:rPr>
          <w:rFonts w:ascii="Times New Roman" w:eastAsia="Calibri" w:hAnsi="Times New Roman" w:cs="Times New Roman"/>
          <w:kern w:val="0"/>
          <w14:ligatures w14:val="none"/>
        </w:rPr>
        <w:t xml:space="preserve"> there is no significant relationship between opportunity utilization and survival</w:t>
      </w:r>
    </w:p>
    <w:p w14:paraId="212FB8B8"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b/>
          <w:bCs/>
          <w:kern w:val="0"/>
          <w14:ligatures w14:val="none"/>
        </w:rPr>
        <w:t>HO</w:t>
      </w:r>
      <w:r w:rsidRPr="0044629C">
        <w:rPr>
          <w:rFonts w:ascii="Times New Roman" w:eastAsia="Calibri" w:hAnsi="Times New Roman" w:cs="Times New Roman"/>
          <w:b/>
          <w:bCs/>
          <w:kern w:val="0"/>
          <w:vertAlign w:val="subscript"/>
          <w14:ligatures w14:val="none"/>
        </w:rPr>
        <w:t>5</w:t>
      </w:r>
      <w:r w:rsidRPr="0044629C">
        <w:rPr>
          <w:rFonts w:ascii="Times New Roman" w:eastAsia="Calibri" w:hAnsi="Times New Roman" w:cs="Times New Roman"/>
          <w:b/>
          <w:bCs/>
          <w:kern w:val="0"/>
          <w14:ligatures w14:val="none"/>
        </w:rPr>
        <w:t>:</w:t>
      </w:r>
      <w:r w:rsidRPr="0044629C">
        <w:rPr>
          <w:rFonts w:ascii="Times New Roman" w:eastAsia="Calibri" w:hAnsi="Times New Roman" w:cs="Times New Roman"/>
          <w:kern w:val="0"/>
          <w14:ligatures w14:val="none"/>
        </w:rPr>
        <w:t xml:space="preserve"> there is no significant relationship between resource management and adaptability</w:t>
      </w:r>
    </w:p>
    <w:p w14:paraId="3ECE3852"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b/>
          <w:bCs/>
          <w:kern w:val="0"/>
          <w14:ligatures w14:val="none"/>
        </w:rPr>
        <w:t>HO</w:t>
      </w:r>
      <w:r w:rsidRPr="0044629C">
        <w:rPr>
          <w:rFonts w:ascii="Times New Roman" w:eastAsia="Calibri" w:hAnsi="Times New Roman" w:cs="Times New Roman"/>
          <w:b/>
          <w:bCs/>
          <w:kern w:val="0"/>
          <w:vertAlign w:val="subscript"/>
          <w14:ligatures w14:val="none"/>
        </w:rPr>
        <w:t>6</w:t>
      </w:r>
      <w:r w:rsidRPr="0044629C">
        <w:rPr>
          <w:rFonts w:ascii="Times New Roman" w:eastAsia="Calibri" w:hAnsi="Times New Roman" w:cs="Times New Roman"/>
          <w:b/>
          <w:bCs/>
          <w:kern w:val="0"/>
          <w14:ligatures w14:val="none"/>
        </w:rPr>
        <w:t>:</w:t>
      </w:r>
      <w:r w:rsidRPr="0044629C">
        <w:rPr>
          <w:rFonts w:ascii="Times New Roman" w:eastAsia="Calibri" w:hAnsi="Times New Roman" w:cs="Times New Roman"/>
          <w:kern w:val="0"/>
          <w14:ligatures w14:val="none"/>
        </w:rPr>
        <w:t xml:space="preserve"> there is no significant relationship between resource management and survival</w:t>
      </w:r>
    </w:p>
    <w:p w14:paraId="08537497"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b/>
          <w:bCs/>
          <w:kern w:val="0"/>
          <w14:ligatures w14:val="none"/>
        </w:rPr>
        <w:t>HO</w:t>
      </w:r>
      <w:r w:rsidRPr="0044629C">
        <w:rPr>
          <w:rFonts w:ascii="Times New Roman" w:eastAsia="Calibri" w:hAnsi="Times New Roman" w:cs="Times New Roman"/>
          <w:b/>
          <w:bCs/>
          <w:kern w:val="0"/>
          <w:vertAlign w:val="subscript"/>
          <w14:ligatures w14:val="none"/>
        </w:rPr>
        <w:t>7</w:t>
      </w:r>
      <w:r w:rsidRPr="0044629C">
        <w:rPr>
          <w:rFonts w:ascii="Times New Roman" w:eastAsia="Calibri" w:hAnsi="Times New Roman" w:cs="Times New Roman"/>
          <w:b/>
          <w:bCs/>
          <w:kern w:val="0"/>
          <w14:ligatures w14:val="none"/>
        </w:rPr>
        <w:t>:</w:t>
      </w:r>
      <w:r w:rsidRPr="0044629C">
        <w:rPr>
          <w:rFonts w:ascii="Times New Roman" w:eastAsia="Calibri" w:hAnsi="Times New Roman" w:cs="Times New Roman"/>
          <w:kern w:val="0"/>
          <w14:ligatures w14:val="none"/>
        </w:rPr>
        <w:t xml:space="preserve"> creativity does not significantly moderate the relationship between entrepreneurial mindset and strategic renewal</w:t>
      </w:r>
    </w:p>
    <w:p w14:paraId="04AC6D52" w14:textId="77777777" w:rsidR="008D3090" w:rsidRPr="0044629C" w:rsidRDefault="008D3090" w:rsidP="0044629C">
      <w:pPr>
        <w:spacing w:after="0" w:line="240" w:lineRule="auto"/>
        <w:ind w:left="720" w:hanging="720"/>
        <w:jc w:val="both"/>
        <w:rPr>
          <w:rFonts w:ascii="Times New Roman" w:eastAsia="Calibri" w:hAnsi="Times New Roman" w:cs="Times New Roman"/>
          <w:b/>
          <w:bCs/>
          <w:kern w:val="0"/>
          <w14:ligatures w14:val="none"/>
        </w:rPr>
      </w:pPr>
    </w:p>
    <w:p w14:paraId="65EA998F" w14:textId="77777777" w:rsidR="008D3090" w:rsidRPr="0044629C" w:rsidRDefault="008D3090" w:rsidP="008D3090">
      <w:pPr>
        <w:spacing w:after="0" w:line="360" w:lineRule="auto"/>
        <w:ind w:left="720" w:hanging="720"/>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REVIEWS OF RELATED LITERATURE</w:t>
      </w:r>
    </w:p>
    <w:p w14:paraId="7411FAAF" w14:textId="77777777" w:rsidR="008D3090" w:rsidRPr="0044629C" w:rsidRDefault="008D3090" w:rsidP="0044629C">
      <w:pPr>
        <w:spacing w:after="0" w:line="240" w:lineRule="auto"/>
        <w:ind w:left="720" w:hanging="720"/>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 xml:space="preserve">THEORETICAL FRAMEWORK </w:t>
      </w:r>
    </w:p>
    <w:p w14:paraId="70CAEF73"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This study was based on resource- based view theory and the </w:t>
      </w:r>
      <w:proofErr w:type="spellStart"/>
      <w:r w:rsidRPr="0044629C">
        <w:rPr>
          <w:rFonts w:ascii="Times New Roman" w:eastAsia="Calibri" w:hAnsi="Times New Roman" w:cs="Times New Roman"/>
          <w:kern w:val="0"/>
          <w14:ligatures w14:val="none"/>
        </w:rPr>
        <w:t>The</w:t>
      </w:r>
      <w:proofErr w:type="spellEnd"/>
      <w:r w:rsidRPr="0044629C">
        <w:rPr>
          <w:rFonts w:ascii="Times New Roman" w:eastAsia="Calibri" w:hAnsi="Times New Roman" w:cs="Times New Roman"/>
          <w:kern w:val="0"/>
          <w14:ligatures w14:val="none"/>
        </w:rPr>
        <w:t xml:space="preserve"> Theory of planned behavior (TPB).</w:t>
      </w:r>
    </w:p>
    <w:p w14:paraId="345113ED"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p>
    <w:p w14:paraId="25763C66"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Resource – based view </w:t>
      </w:r>
      <w:r w:rsidRPr="0044629C">
        <w:rPr>
          <w:rFonts w:ascii="Times New Roman" w:eastAsia="Calibri" w:hAnsi="Times New Roman" w:cs="Times New Roman"/>
          <w:b/>
          <w:bCs/>
          <w:kern w:val="0"/>
          <w14:ligatures w14:val="none"/>
        </w:rPr>
        <w:t>(RBV)</w:t>
      </w:r>
      <w:r w:rsidRPr="0044629C">
        <w:rPr>
          <w:rFonts w:ascii="Times New Roman" w:eastAsia="Calibri" w:hAnsi="Times New Roman" w:cs="Times New Roman"/>
          <w:kern w:val="0"/>
          <w14:ligatures w14:val="none"/>
        </w:rPr>
        <w:t xml:space="preserve"> theory.</w:t>
      </w:r>
    </w:p>
    <w:p w14:paraId="43F7CB9A"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Theory emphasizes the importance of a firm’s internal resources and experience in achieving and sustaining competitive advantage. According to Barney (1991), a </w:t>
      </w:r>
      <w:proofErr w:type="gramStart"/>
      <w:r w:rsidRPr="0044629C">
        <w:rPr>
          <w:rFonts w:ascii="Times New Roman" w:eastAsia="Calibri" w:hAnsi="Times New Roman" w:cs="Times New Roman"/>
          <w:kern w:val="0"/>
          <w14:ligatures w14:val="none"/>
        </w:rPr>
        <w:t>firms</w:t>
      </w:r>
      <w:proofErr w:type="gramEnd"/>
      <w:r w:rsidRPr="0044629C">
        <w:rPr>
          <w:rFonts w:ascii="Times New Roman" w:eastAsia="Calibri" w:hAnsi="Times New Roman" w:cs="Times New Roman"/>
          <w:kern w:val="0"/>
          <w14:ligatures w14:val="none"/>
        </w:rPr>
        <w:t xml:space="preserve"> unique resources such as its assets, skills and organizational processes are critical for maintaining a competitive edge. In the context of the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to analyze how these firm’s distinctive resources contribute to their strategic renewal efforts and </w:t>
      </w:r>
      <w:proofErr w:type="gramStart"/>
      <w:r w:rsidRPr="0044629C">
        <w:rPr>
          <w:rFonts w:ascii="Times New Roman" w:eastAsia="Calibri" w:hAnsi="Times New Roman" w:cs="Times New Roman"/>
          <w:kern w:val="0"/>
          <w14:ligatures w14:val="none"/>
        </w:rPr>
        <w:t>long term</w:t>
      </w:r>
      <w:proofErr w:type="gramEnd"/>
      <w:r w:rsidRPr="0044629C">
        <w:rPr>
          <w:rFonts w:ascii="Times New Roman" w:eastAsia="Calibri" w:hAnsi="Times New Roman" w:cs="Times New Roman"/>
          <w:kern w:val="0"/>
          <w14:ligatures w14:val="none"/>
        </w:rPr>
        <w:t xml:space="preserve"> competitiveness. </w:t>
      </w:r>
    </w:p>
    <w:p w14:paraId="144AB5C7"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p>
    <w:p w14:paraId="112C5D2D"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Theory of Planned </w:t>
      </w:r>
      <w:proofErr w:type="spellStart"/>
      <w:r w:rsidRPr="0044629C">
        <w:rPr>
          <w:rFonts w:ascii="Times New Roman" w:eastAsia="Calibri" w:hAnsi="Times New Roman" w:cs="Times New Roman"/>
          <w:kern w:val="0"/>
          <w14:ligatures w14:val="none"/>
        </w:rPr>
        <w:t>Behaviour</w:t>
      </w:r>
      <w:proofErr w:type="spellEnd"/>
      <w:r w:rsidRPr="0044629C">
        <w:rPr>
          <w:rFonts w:ascii="Times New Roman" w:eastAsia="Calibri" w:hAnsi="Times New Roman" w:cs="Times New Roman"/>
          <w:kern w:val="0"/>
          <w14:ligatures w14:val="none"/>
        </w:rPr>
        <w:t xml:space="preserve"> (TPB)</w:t>
      </w:r>
      <w:r w:rsidRPr="0044629C">
        <w:rPr>
          <w:rFonts w:ascii="Times New Roman" w:eastAsia="Calibri" w:hAnsi="Times New Roman" w:cs="Times New Roman"/>
          <w:kern w:val="0"/>
          <w14:ligatures w14:val="none"/>
        </w:rPr>
        <w:cr/>
        <w:t xml:space="preserve">Theory developed by Ajzen (1991), complements this by explaining how entrepreneurial mindset </w:t>
      </w:r>
      <w:proofErr w:type="gramStart"/>
      <w:r w:rsidRPr="0044629C">
        <w:rPr>
          <w:rFonts w:ascii="Times New Roman" w:eastAsia="Calibri" w:hAnsi="Times New Roman" w:cs="Times New Roman"/>
          <w:kern w:val="0"/>
          <w14:ligatures w14:val="none"/>
        </w:rPr>
        <w:t>lead</w:t>
      </w:r>
      <w:proofErr w:type="gramEnd"/>
      <w:r w:rsidRPr="0044629C">
        <w:rPr>
          <w:rFonts w:ascii="Times New Roman" w:eastAsia="Calibri" w:hAnsi="Times New Roman" w:cs="Times New Roman"/>
          <w:kern w:val="0"/>
          <w14:ligatures w14:val="none"/>
        </w:rPr>
        <w:t xml:space="preserve"> to innovative actions. TPB asserts that entrepreneurial mindset </w:t>
      </w:r>
      <w:proofErr w:type="gramStart"/>
      <w:r w:rsidRPr="0044629C">
        <w:rPr>
          <w:rFonts w:ascii="Times New Roman" w:eastAsia="Calibri" w:hAnsi="Times New Roman" w:cs="Times New Roman"/>
          <w:kern w:val="0"/>
          <w14:ligatures w14:val="none"/>
        </w:rPr>
        <w:t>are</w:t>
      </w:r>
      <w:proofErr w:type="gramEnd"/>
      <w:r w:rsidRPr="0044629C">
        <w:rPr>
          <w:rFonts w:ascii="Times New Roman" w:eastAsia="Calibri" w:hAnsi="Times New Roman" w:cs="Times New Roman"/>
          <w:kern w:val="0"/>
          <w14:ligatures w14:val="none"/>
        </w:rPr>
        <w:t xml:space="preserve"> influenced by attitudes toward the </w:t>
      </w:r>
      <w:proofErr w:type="spellStart"/>
      <w:r w:rsidRPr="0044629C">
        <w:rPr>
          <w:rFonts w:ascii="Times New Roman" w:eastAsia="Calibri" w:hAnsi="Times New Roman" w:cs="Times New Roman"/>
          <w:kern w:val="0"/>
          <w14:ligatures w14:val="none"/>
        </w:rPr>
        <w:t>behaviour</w:t>
      </w:r>
      <w:proofErr w:type="spellEnd"/>
      <w:r w:rsidRPr="0044629C">
        <w:rPr>
          <w:rFonts w:ascii="Times New Roman" w:eastAsia="Calibri" w:hAnsi="Times New Roman" w:cs="Times New Roman"/>
          <w:kern w:val="0"/>
          <w14:ligatures w14:val="none"/>
        </w:rPr>
        <w:t xml:space="preserve">, subjective norms, </w:t>
      </w:r>
      <w:proofErr w:type="gramStart"/>
      <w:r w:rsidRPr="0044629C">
        <w:rPr>
          <w:rFonts w:ascii="Times New Roman" w:eastAsia="Calibri" w:hAnsi="Times New Roman" w:cs="Times New Roman"/>
          <w:kern w:val="0"/>
          <w14:ligatures w14:val="none"/>
        </w:rPr>
        <w:t xml:space="preserve">and  </w:t>
      </w:r>
      <w:proofErr w:type="spellStart"/>
      <w:r w:rsidRPr="0044629C">
        <w:rPr>
          <w:rFonts w:ascii="Times New Roman" w:eastAsia="Calibri" w:hAnsi="Times New Roman" w:cs="Times New Roman"/>
          <w:kern w:val="0"/>
          <w14:ligatures w14:val="none"/>
        </w:rPr>
        <w:t>behavioural</w:t>
      </w:r>
      <w:proofErr w:type="spellEnd"/>
      <w:proofErr w:type="gramEnd"/>
      <w:r w:rsidRPr="0044629C">
        <w:rPr>
          <w:rFonts w:ascii="Times New Roman" w:eastAsia="Calibri" w:hAnsi="Times New Roman" w:cs="Times New Roman"/>
          <w:kern w:val="0"/>
          <w14:ligatures w14:val="none"/>
        </w:rPr>
        <w:t xml:space="preserve"> control. These factors collectively shape an individual's readiness to engage in entrepreneurial activities and, consequently, drive innovation within SMEs.</w:t>
      </w:r>
    </w:p>
    <w:p w14:paraId="6DFF3E91" w14:textId="77777777" w:rsidR="008D3090" w:rsidRPr="0044629C" w:rsidRDefault="008D3090" w:rsidP="0044629C">
      <w:pPr>
        <w:spacing w:after="0" w:line="240" w:lineRule="auto"/>
        <w:jc w:val="both"/>
        <w:rPr>
          <w:rFonts w:ascii="Times New Roman" w:eastAsia="Calibri" w:hAnsi="Times New Roman" w:cs="Times New Roman"/>
          <w:b/>
          <w:bCs/>
          <w:kern w:val="0"/>
          <w14:ligatures w14:val="none"/>
        </w:rPr>
      </w:pPr>
    </w:p>
    <w:p w14:paraId="74103BDB" w14:textId="77777777" w:rsidR="008D3090" w:rsidRPr="0044629C" w:rsidRDefault="008D3090" w:rsidP="0044629C">
      <w:pPr>
        <w:spacing w:after="0" w:line="240" w:lineRule="auto"/>
        <w:jc w:val="both"/>
        <w:rPr>
          <w:rFonts w:ascii="Times New Roman" w:eastAsia="Calibri" w:hAnsi="Times New Roman" w:cs="Times New Roman"/>
          <w:b/>
          <w:bCs/>
          <w:kern w:val="0"/>
          <w14:ligatures w14:val="none"/>
        </w:rPr>
      </w:pPr>
    </w:p>
    <w:p w14:paraId="2DD53214" w14:textId="77777777" w:rsidR="008D3090" w:rsidRPr="0044629C" w:rsidRDefault="008D3090" w:rsidP="0044629C">
      <w:pPr>
        <w:spacing w:line="240" w:lineRule="auto"/>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br w:type="page"/>
      </w:r>
    </w:p>
    <w:p w14:paraId="66EEE3EF" w14:textId="77777777" w:rsidR="008D3090" w:rsidRPr="0044629C" w:rsidRDefault="008D3090" w:rsidP="008D3090">
      <w:pPr>
        <w:spacing w:after="0" w:line="240" w:lineRule="auto"/>
        <w:jc w:val="both"/>
        <w:rPr>
          <w:rFonts w:ascii="Times New Roman" w:eastAsia="Calibri" w:hAnsi="Times New Roman" w:cs="Times New Roman"/>
          <w:b/>
          <w:bCs/>
          <w:kern w:val="0"/>
          <w14:ligatures w14:val="none"/>
        </w:rPr>
      </w:pPr>
    </w:p>
    <w:p w14:paraId="75AB2A47" w14:textId="77777777" w:rsidR="008D3090" w:rsidRPr="0044629C" w:rsidRDefault="008D3090" w:rsidP="008D3090">
      <w:pPr>
        <w:spacing w:after="0" w:line="240" w:lineRule="auto"/>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Fig.1:</w:t>
      </w:r>
    </w:p>
    <w:p w14:paraId="4281D98F" w14:textId="77777777" w:rsidR="008D3090" w:rsidRPr="0044629C" w:rsidRDefault="008D3090" w:rsidP="008D3090">
      <w:pPr>
        <w:spacing w:after="0" w:line="240" w:lineRule="auto"/>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kern w:val="0"/>
          <w14:ligatures w14:val="none"/>
        </w:rPr>
        <w:t>CONCEPTUAL FRAME WORK</w:t>
      </w:r>
    </w:p>
    <w:p w14:paraId="0A840EDB" w14:textId="77777777" w:rsidR="008D3090" w:rsidRPr="0044629C" w:rsidRDefault="008D3090" w:rsidP="008D3090">
      <w:pPr>
        <w:spacing w:after="0" w:line="240" w:lineRule="auto"/>
        <w:jc w:val="both"/>
        <w:rPr>
          <w:rFonts w:ascii="Times New Roman" w:eastAsia="Calibri" w:hAnsi="Times New Roman" w:cs="Times New Roman"/>
          <w:b/>
          <w:bCs/>
          <w:kern w:val="0"/>
          <w14:ligatures w14:val="none"/>
        </w:rPr>
      </w:pP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67456" behindDoc="0" locked="0" layoutInCell="1" allowOverlap="1" wp14:anchorId="47000A4B" wp14:editId="6797C9B8">
                <wp:simplePos x="0" y="0"/>
                <wp:positionH relativeFrom="column">
                  <wp:posOffset>-119380</wp:posOffset>
                </wp:positionH>
                <wp:positionV relativeFrom="paragraph">
                  <wp:posOffset>128905</wp:posOffset>
                </wp:positionV>
                <wp:extent cx="1254125" cy="531495"/>
                <wp:effectExtent l="19050" t="19050" r="22225" b="20955"/>
                <wp:wrapNone/>
                <wp:docPr id="10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125" cy="531495"/>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rect w14:anchorId="03F4F450" id="Rectangle 1" o:spid="_x0000_s1026" style="position:absolute;margin-left:-9.4pt;margin-top:10.15pt;width:98.75pt;height:41.85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" filled="f" strokeweight="2.25pt">
                <v:path arrowok="t"/>
              </v:rect>
            </w:pict>
          </mc:Fallback>
        </mc:AlternateContent>
      </w: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69504" behindDoc="0" locked="0" layoutInCell="1" allowOverlap="1" wp14:anchorId="452275F4" wp14:editId="5613F0E0">
                <wp:simplePos x="0" y="0"/>
                <wp:positionH relativeFrom="column">
                  <wp:posOffset>4452620</wp:posOffset>
                </wp:positionH>
                <wp:positionV relativeFrom="paragraph">
                  <wp:posOffset>193513</wp:posOffset>
                </wp:positionV>
                <wp:extent cx="903530" cy="459414"/>
                <wp:effectExtent l="19050" t="19050" r="11430" b="17145"/>
                <wp:wrapNone/>
                <wp:docPr id="10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3530" cy="459414"/>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76006841" id="Rectangle 3" o:spid="_x0000_s1026" style="position:absolute;margin-left:350.6pt;margin-top:15.25pt;width:71.15pt;height:36.15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" filled="f" strokeweight="2.25pt">
                <v:path arrowok="t"/>
              </v:rect>
            </w:pict>
          </mc:Fallback>
        </mc:AlternateContent>
      </w: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68480" behindDoc="0" locked="0" layoutInCell="1" allowOverlap="1" wp14:anchorId="560C960B" wp14:editId="3BE50794">
                <wp:simplePos x="0" y="0"/>
                <wp:positionH relativeFrom="column">
                  <wp:posOffset>2241255</wp:posOffset>
                </wp:positionH>
                <wp:positionV relativeFrom="paragraph">
                  <wp:posOffset>172631</wp:posOffset>
                </wp:positionV>
                <wp:extent cx="852818" cy="374355"/>
                <wp:effectExtent l="19050" t="19050" r="23495" b="26035"/>
                <wp:wrapNone/>
                <wp:docPr id="10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2818" cy="374355"/>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A46727B" id="Rectangle 2" o:spid="_x0000_s1026" style="position:absolute;margin-left:176.5pt;margin-top:13.6pt;width:67.15pt;height:29.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" filled="f" strokeweight="2.25pt">
                <v:path arrowok="t"/>
              </v:rect>
            </w:pict>
          </mc:Fallback>
        </mc:AlternateContent>
      </w:r>
      <w:r w:rsidRPr="0044629C">
        <w:rPr>
          <w:rFonts w:ascii="Times New Roman" w:eastAsia="Calibri" w:hAnsi="Times New Roman" w:cs="Times New Roman"/>
          <w:b/>
          <w:bCs/>
          <w:kern w:val="0"/>
          <w14:ligatures w14:val="none"/>
        </w:rPr>
        <w:t xml:space="preserve"> </w:t>
      </w:r>
    </w:p>
    <w:p w14:paraId="073A9B1D"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76672" behindDoc="0" locked="0" layoutInCell="1" allowOverlap="1" wp14:anchorId="5C607B9A" wp14:editId="7C729DAE">
                <wp:simplePos x="0" y="0"/>
                <wp:positionH relativeFrom="column">
                  <wp:posOffset>3094059</wp:posOffset>
                </wp:positionH>
                <wp:positionV relativeFrom="paragraph">
                  <wp:posOffset>170328</wp:posOffset>
                </wp:positionV>
                <wp:extent cx="1358767" cy="0"/>
                <wp:effectExtent l="0" t="76200" r="13334" b="95250"/>
                <wp:wrapNone/>
                <wp:docPr id="103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8767" cy="0"/>
                        </a:xfrm>
                        <a:prstGeom prst="straightConnector1">
                          <a:avLst/>
                        </a:prstGeom>
                        <a:ln w="19050" cap="flat" cmpd="sng">
                          <a:solidFill>
                            <a:srgbClr val="000000"/>
                          </a:solidFill>
                          <a:prstDash val="solid"/>
                          <a:miter/>
                          <a:headEnd type="none" w="med" len="med"/>
                          <a:tailEnd type="triangle" w="med" len="med"/>
                        </a:ln>
                      </wps:spPr>
                      <wps:bodyPr/>
                    </wps:wsp>
                  </a:graphicData>
                </a:graphic>
              </wp:anchor>
            </w:drawing>
          </mc:Choice>
          <mc:Fallback>
            <w:pict>
              <v:shape w14:anchorId="74878542" id="Straight Arrow Connector 10" o:spid="_x0000_s1026" type="#_x0000_t32" style="position:absolute;margin-left:243.65pt;margin-top:13.4pt;width:107pt;height:0;z-index:25167667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" strokeweight="1.5pt">
                <v:stroke endarrow="block" joinstyle="miter"/>
                <o:lock v:ext="edit" shapetype="f"/>
              </v:shape>
            </w:pict>
          </mc:Fallback>
        </mc:AlternateContent>
      </w: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75648" behindDoc="0" locked="0" layoutInCell="1" allowOverlap="1" wp14:anchorId="54181B23" wp14:editId="3BD60287">
                <wp:simplePos x="0" y="0"/>
                <wp:positionH relativeFrom="column">
                  <wp:posOffset>1198245</wp:posOffset>
                </wp:positionH>
                <wp:positionV relativeFrom="paragraph">
                  <wp:posOffset>169707</wp:posOffset>
                </wp:positionV>
                <wp:extent cx="1042508" cy="0"/>
                <wp:effectExtent l="0" t="0" r="0" b="0"/>
                <wp:wrapNone/>
                <wp:docPr id="103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2508" cy="0"/>
                        </a:xfrm>
                        <a:prstGeom prst="line">
                          <a:avLst/>
                        </a:prstGeom>
                        <a:ln w="19050" cap="flat" cmpd="sng">
                          <a:solidFill>
                            <a:srgbClr val="000000"/>
                          </a:solidFill>
                          <a:prstDash val="solid"/>
                          <a:miter/>
                          <a:headEnd type="none" w="med" len="med"/>
                          <a:tailEnd type="none" w="med" len="med"/>
                        </a:ln>
                      </wps:spPr>
                      <wps:bodyPr/>
                    </wps:wsp>
                  </a:graphicData>
                </a:graphic>
              </wp:anchor>
            </w:drawing>
          </mc:Choice>
          <mc:Fallback>
            <w:pict>
              <v:line w14:anchorId="6EA36FF2" id="Straight Connector 9" o:spid="_x0000_s1026" style="position:absolute;z-index:251675648;visibility:visible;mso-wrap-style:square;mso-wrap-distance-left:0;mso-wrap-distance-top:0;mso-wrap-distance-right:0;mso-wrap-distance-bottom:0;mso-position-horizontal:absolute;mso-position-horizontal-relative:text;mso-position-vertical:absolute;mso-position-vertical-relative:text" from="94.35pt,13.35pt" to="176.4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" strokeweight="1.5pt">
                <v:stroke joinstyle="miter"/>
                <o:lock v:ext="edit" shapetype="f"/>
              </v:line>
            </w:pict>
          </mc:Fallback>
        </mc:AlternateContent>
      </w:r>
      <w:r w:rsidRPr="0044629C">
        <w:rPr>
          <w:rFonts w:ascii="Times New Roman" w:eastAsia="Calibri" w:hAnsi="Times New Roman" w:cs="Times New Roman"/>
          <w:kern w:val="0"/>
          <w14:ligatures w14:val="none"/>
        </w:rPr>
        <w:t xml:space="preserve">Entrepreneurial </w:t>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t xml:space="preserve">Creativity </w:t>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t xml:space="preserve">Strategic </w:t>
      </w:r>
    </w:p>
    <w:p w14:paraId="6E5D59CF"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Mindset </w:t>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t xml:space="preserve"> </w:t>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t xml:space="preserve">Renewal </w:t>
      </w:r>
    </w:p>
    <w:p w14:paraId="0E4B55D6"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86912" behindDoc="0" locked="0" layoutInCell="1" allowOverlap="1" wp14:anchorId="1C2BD5B4" wp14:editId="58B21A01">
                <wp:simplePos x="0" y="0"/>
                <wp:positionH relativeFrom="column">
                  <wp:posOffset>4895850</wp:posOffset>
                </wp:positionH>
                <wp:positionV relativeFrom="paragraph">
                  <wp:posOffset>80010</wp:posOffset>
                </wp:positionV>
                <wp:extent cx="0" cy="152400"/>
                <wp:effectExtent l="0" t="0" r="19050" b="19050"/>
                <wp:wrapNone/>
                <wp:docPr id="10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2400"/>
                        </a:xfrm>
                        <a:prstGeom prst="line">
                          <a:avLst/>
                        </a:prstGeom>
                        <a:ln w="19050" cap="flat" cmpd="sng">
                          <a:solidFill>
                            <a:srgbClr val="000000"/>
                          </a:solidFill>
                          <a:prstDash val="solid"/>
                          <a:round/>
                          <a:headEnd type="none" w="med" len="med"/>
                          <a:tailEnd type="none" w="med" len="med"/>
                        </a:ln>
                      </wps:spPr>
                      <wps:bodyPr/>
                    </wps:wsp>
                  </a:graphicData>
                </a:graphic>
              </wp:anchor>
            </w:drawing>
          </mc:Choice>
          <mc:Fallback>
            <w:pict>
              <v:line w14:anchorId="2D6E1822" id="Straight Connector 2" o:spid="_x0000_s1026" style="position:absolute;z-index:251686912;visibility:visible;mso-wrap-style:square;mso-wrap-distance-left:0;mso-wrap-distance-top:0;mso-wrap-distance-right:0;mso-wrap-distance-bottom:0;mso-position-horizontal:absolute;mso-position-horizontal-relative:text;mso-position-vertical:absolute;mso-position-vertical-relative:text" from="385.5pt,6.3pt" to="38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" strokeweight="1.5pt">
                <o:lock v:ext="edit" shapetype="f"/>
              </v:line>
            </w:pict>
          </mc:Fallback>
        </mc:AlternateContent>
      </w: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85888" behindDoc="0" locked="0" layoutInCell="1" allowOverlap="1" wp14:anchorId="439C7A5F" wp14:editId="650F5877">
                <wp:simplePos x="0" y="0"/>
                <wp:positionH relativeFrom="column">
                  <wp:posOffset>495300</wp:posOffset>
                </wp:positionH>
                <wp:positionV relativeFrom="paragraph">
                  <wp:posOffset>81915</wp:posOffset>
                </wp:positionV>
                <wp:extent cx="0" cy="169543"/>
                <wp:effectExtent l="0" t="0" r="19050" b="20955"/>
                <wp:wrapNone/>
                <wp:docPr id="1033"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69543"/>
                        </a:xfrm>
                        <a:prstGeom prst="line">
                          <a:avLst/>
                        </a:prstGeom>
                        <a:ln w="19050" cap="flat" cmpd="sng">
                          <a:solidFill>
                            <a:srgbClr val="000000"/>
                          </a:solidFill>
                          <a:prstDash val="solid"/>
                          <a:miter/>
                          <a:headEnd type="none" w="med" len="med"/>
                          <a:tailEnd type="none" w="med" len="med"/>
                        </a:ln>
                      </wps:spPr>
                      <wps:bodyPr/>
                    </wps:wsp>
                  </a:graphicData>
                </a:graphic>
                <wp14:sizeRelV relativeFrom="margin">
                  <wp14:pctHeight>0</wp14:pctHeight>
                </wp14:sizeRelV>
              </wp:anchor>
            </w:drawing>
          </mc:Choice>
          <mc:Fallback>
            <w:pict>
              <v:line w14:anchorId="542F57AE" id="Straight Connector 19" o:spid="_x0000_s1026" style="position:absolute;z-index:25168588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39pt,6.45pt" to="3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" strokeweight="1.5pt">
                <v:stroke joinstyle="miter"/>
                <o:lock v:ext="edit" shapetype="f"/>
              </v:line>
            </w:pict>
          </mc:Fallback>
        </mc:AlternateContent>
      </w: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83840" behindDoc="0" locked="0" layoutInCell="1" allowOverlap="1" wp14:anchorId="18C1B1C9" wp14:editId="59CE3CB7">
                <wp:simplePos x="0" y="0"/>
                <wp:positionH relativeFrom="column">
                  <wp:posOffset>-128742</wp:posOffset>
                </wp:positionH>
                <wp:positionV relativeFrom="paragraph">
                  <wp:posOffset>255270</wp:posOffset>
                </wp:positionV>
                <wp:extent cx="1371083" cy="2575294"/>
                <wp:effectExtent l="19050" t="19050" r="19685" b="15875"/>
                <wp:wrapNone/>
                <wp:docPr id="103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083" cy="2575294"/>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776C8268" id="Rectangle 17" o:spid="_x0000_s1026" style="position:absolute;margin-left:-10.15pt;margin-top:20.1pt;width:107.95pt;height:202.8pt;z-index:25168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" filled="f" strokeweight="2.25pt">
                <v:path arrowok="t"/>
              </v:rect>
            </w:pict>
          </mc:Fallback>
        </mc:AlternateContent>
      </w:r>
    </w:p>
    <w:p w14:paraId="7B289B20"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84864" behindDoc="0" locked="0" layoutInCell="1" allowOverlap="1" wp14:anchorId="57FC2A5F" wp14:editId="7FF25BF2">
                <wp:simplePos x="0" y="0"/>
                <wp:positionH relativeFrom="column">
                  <wp:posOffset>4301328</wp:posOffset>
                </wp:positionH>
                <wp:positionV relativeFrom="paragraph">
                  <wp:posOffset>38100</wp:posOffset>
                </wp:positionV>
                <wp:extent cx="1371083" cy="2575294"/>
                <wp:effectExtent l="19050" t="19050" r="19685" b="15875"/>
                <wp:wrapNone/>
                <wp:docPr id="10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083" cy="2575294"/>
                        </a:xfrm>
                        <a:prstGeom prst="rect">
                          <a:avLst/>
                        </a:prstGeom>
                        <a:ln w="28575" cap="flat" cmpd="sng">
                          <a:solidFill>
                            <a:srgbClr val="000000"/>
                          </a:solidFill>
                          <a:prstDash val="solid"/>
                          <a:miter/>
                          <a:headEnd type="none" w="med" len="med"/>
                          <a:tailEnd type="none" w="med" len="med"/>
                        </a:ln>
                      </wps:spPr>
                      <wps:txbx>
                        <w:txbxContent>
                          <w:p w14:paraId="0A885061" w14:textId="77777777" w:rsidR="008D3090" w:rsidRDefault="008D3090" w:rsidP="008D3090">
                            <w:pPr>
                              <w:jc w:val="cente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C2A5F" id="Rectangle 18" o:spid="_x0000_s1031" style="position:absolute;left:0;text-align:left;margin-left:338.7pt;margin-top:3pt;width:107.95pt;height:202.8pt;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" filled="f" strokeweight="2.25pt">
                <v:path arrowok="t"/>
                <v:textbox>
                  <w:txbxContent>
                    <w:p w14:paraId="0A885061" w14:textId="77777777" w:rsidR="008D3090" w:rsidRDefault="008D3090" w:rsidP="008D3090">
                      <w:pPr>
                        <w:jc w:val="center"/>
                      </w:pPr>
                    </w:p>
                  </w:txbxContent>
                </v:textbox>
              </v:rect>
            </w:pict>
          </mc:Fallback>
        </mc:AlternateContent>
      </w: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71552" behindDoc="0" locked="0" layoutInCell="1" allowOverlap="1" wp14:anchorId="0FBE402A" wp14:editId="10B03871">
                <wp:simplePos x="0" y="0"/>
                <wp:positionH relativeFrom="column">
                  <wp:posOffset>4442194</wp:posOffset>
                </wp:positionH>
                <wp:positionV relativeFrom="paragraph">
                  <wp:posOffset>208355</wp:posOffset>
                </wp:positionV>
                <wp:extent cx="1022941" cy="363722"/>
                <wp:effectExtent l="19050" t="19050" r="25400" b="17780"/>
                <wp:wrapNone/>
                <wp:docPr id="10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941" cy="363722"/>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624FABD4" id="Rectangle 5" o:spid="_x0000_s1026" style="position:absolute;margin-left:349.8pt;margin-top:16.4pt;width:80.55pt;height:28.65pt;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" filled="f" strokeweight="2.25pt">
                <v:path arrowok="t"/>
              </v:rect>
            </w:pict>
          </mc:Fallback>
        </mc:AlternateContent>
      </w: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70528" behindDoc="0" locked="0" layoutInCell="1" allowOverlap="1" wp14:anchorId="53720ED5" wp14:editId="59AFDBAB">
                <wp:simplePos x="0" y="0"/>
                <wp:positionH relativeFrom="column">
                  <wp:posOffset>-52705</wp:posOffset>
                </wp:positionH>
                <wp:positionV relativeFrom="paragraph">
                  <wp:posOffset>135609</wp:posOffset>
                </wp:positionV>
                <wp:extent cx="1254642" cy="531627"/>
                <wp:effectExtent l="19050" t="19050" r="22225" b="20955"/>
                <wp:wrapNone/>
                <wp:docPr id="103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642" cy="531627"/>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rect w14:anchorId="3C55CBDB" id="Rectangle 4" o:spid="_x0000_s1026" style="position:absolute;margin-left:-4.15pt;margin-top:10.7pt;width:98.8pt;height:41.85pt;z-index:251670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" filled="f" strokeweight="2.25pt">
                <v:path arrowok="t"/>
              </v:rect>
            </w:pict>
          </mc:Fallback>
        </mc:AlternateContent>
      </w:r>
    </w:p>
    <w:p w14:paraId="5FD41727"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77696" behindDoc="0" locked="0" layoutInCell="1" allowOverlap="1" wp14:anchorId="4A8B043D" wp14:editId="522E7F30">
                <wp:simplePos x="0" y="0"/>
                <wp:positionH relativeFrom="column">
                  <wp:posOffset>1201420</wp:posOffset>
                </wp:positionH>
                <wp:positionV relativeFrom="paragraph">
                  <wp:posOffset>109381</wp:posOffset>
                </wp:positionV>
                <wp:extent cx="3240715" cy="0"/>
                <wp:effectExtent l="0" t="76200" r="17145" b="95250"/>
                <wp:wrapNone/>
                <wp:docPr id="103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40715" cy="0"/>
                        </a:xfrm>
                        <a:prstGeom prst="straightConnector1">
                          <a:avLst/>
                        </a:prstGeom>
                        <a:ln w="19050" cap="flat" cmpd="sng">
                          <a:solidFill>
                            <a:srgbClr val="000000"/>
                          </a:solidFill>
                          <a:prstDash val="solid"/>
                          <a:miter/>
                          <a:headEnd type="none" w="med" len="med"/>
                          <a:tailEnd type="triangle" w="med" len="med"/>
                        </a:ln>
                      </wps:spPr>
                      <wps:bodyPr/>
                    </wps:wsp>
                  </a:graphicData>
                </a:graphic>
              </wp:anchor>
            </w:drawing>
          </mc:Choice>
          <mc:Fallback>
            <w:pict>
              <v:shape w14:anchorId="206719B4" id="Straight Arrow Connector 11" o:spid="_x0000_s1026" type="#_x0000_t32" style="position:absolute;margin-left:94.6pt;margin-top:8.6pt;width:255.15pt;height:0;z-index:25167769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" strokeweight="1.5pt">
                <v:stroke endarrow="block" joinstyle="miter"/>
                <o:lock v:ext="edit" shapetype="f"/>
              </v:shape>
            </w:pict>
          </mc:Fallback>
        </mc:AlternateContent>
      </w:r>
      <w:r w:rsidRPr="0044629C">
        <w:rPr>
          <w:rFonts w:ascii="Times New Roman" w:eastAsia="Calibri" w:hAnsi="Times New Roman" w:cs="Times New Roman"/>
          <w:kern w:val="0"/>
          <w14:ligatures w14:val="none"/>
        </w:rPr>
        <w:t xml:space="preserve">Change </w:t>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t xml:space="preserve">Adaptability </w:t>
      </w:r>
    </w:p>
    <w:p w14:paraId="66892F2C"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81792" behindDoc="0" locked="0" layoutInCell="1" allowOverlap="1" wp14:anchorId="5CD224E9" wp14:editId="04DEDBA2">
                <wp:simplePos x="0" y="0"/>
                <wp:positionH relativeFrom="column">
                  <wp:posOffset>1084521</wp:posOffset>
                </wp:positionH>
                <wp:positionV relativeFrom="paragraph">
                  <wp:posOffset>63307</wp:posOffset>
                </wp:positionV>
                <wp:extent cx="3368306" cy="1616149"/>
                <wp:effectExtent l="0" t="38100" r="60960" b="22225"/>
                <wp:wrapNone/>
                <wp:docPr id="1039"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68306" cy="1616149"/>
                        </a:xfrm>
                        <a:prstGeom prst="straightConnector1">
                          <a:avLst/>
                        </a:prstGeom>
                        <a:ln w="19050" cap="flat" cmpd="sng">
                          <a:solidFill>
                            <a:srgbClr val="000000"/>
                          </a:solidFill>
                          <a:prstDash val="solid"/>
                          <a:miter/>
                          <a:headEnd type="none" w="med" len="med"/>
                          <a:tailEnd type="triangle" w="med" len="med"/>
                        </a:ln>
                      </wps:spPr>
                      <wps:bodyPr/>
                    </wps:wsp>
                  </a:graphicData>
                </a:graphic>
              </wp:anchor>
            </w:drawing>
          </mc:Choice>
          <mc:Fallback>
            <w:pict>
              <v:shape w14:anchorId="38E3C225" id="Straight Arrow Connector 15" o:spid="_x0000_s1026" type="#_x0000_t32" style="position:absolute;margin-left:85.4pt;margin-top:5pt;width:265.2pt;height:127.25pt;flip:y;z-index:25168179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" strokeweight="1.5pt">
                <v:stroke endarrow="block" joinstyle="miter"/>
                <o:lock v:ext="edit" shapetype="f"/>
              </v:shape>
            </w:pict>
          </mc:Fallback>
        </mc:AlternateContent>
      </w: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79744" behindDoc="0" locked="0" layoutInCell="1" allowOverlap="1" wp14:anchorId="749C9949" wp14:editId="36B171A4">
                <wp:simplePos x="0" y="0"/>
                <wp:positionH relativeFrom="column">
                  <wp:posOffset>1201479</wp:posOffset>
                </wp:positionH>
                <wp:positionV relativeFrom="paragraph">
                  <wp:posOffset>5714</wp:posOffset>
                </wp:positionV>
                <wp:extent cx="3251348" cy="1609947"/>
                <wp:effectExtent l="0" t="0" r="82550" b="66675"/>
                <wp:wrapNone/>
                <wp:docPr id="1040"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1348" cy="1609947"/>
                        </a:xfrm>
                        <a:prstGeom prst="straightConnector1">
                          <a:avLst/>
                        </a:prstGeom>
                        <a:ln w="19050" cap="flat" cmpd="sng">
                          <a:solidFill>
                            <a:srgbClr val="000000"/>
                          </a:solidFill>
                          <a:prstDash val="solid"/>
                          <a:miter/>
                          <a:headEnd type="none" w="med" len="med"/>
                          <a:tailEnd type="triangle" w="med" len="med"/>
                        </a:ln>
                      </wps:spPr>
                      <wps:bodyPr/>
                    </wps:wsp>
                  </a:graphicData>
                </a:graphic>
              </wp:anchor>
            </w:drawing>
          </mc:Choice>
          <mc:Fallback>
            <w:pict>
              <v:shape w14:anchorId="50018068" id="Straight Arrow Connector 13" o:spid="_x0000_s1026" type="#_x0000_t32" style="position:absolute;margin-left:94.6pt;margin-top:.45pt;width:256pt;height:126.75pt;z-index:25167974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" strokeweight="1.5pt">
                <v:stroke endarrow="block" joinstyle="miter"/>
                <o:lock v:ext="edit" shapetype="f"/>
              </v:shape>
            </w:pict>
          </mc:Fallback>
        </mc:AlternateContent>
      </w: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78720" behindDoc="0" locked="0" layoutInCell="1" allowOverlap="1" wp14:anchorId="50617E9D" wp14:editId="4743254D">
                <wp:simplePos x="0" y="0"/>
                <wp:positionH relativeFrom="column">
                  <wp:posOffset>1084447</wp:posOffset>
                </wp:positionH>
                <wp:positionV relativeFrom="paragraph">
                  <wp:posOffset>10145</wp:posOffset>
                </wp:positionV>
                <wp:extent cx="3368380" cy="978196"/>
                <wp:effectExtent l="0" t="38100" r="60960" b="31750"/>
                <wp:wrapNone/>
                <wp:docPr id="1041"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68380" cy="978196"/>
                        </a:xfrm>
                        <a:prstGeom prst="straightConnector1">
                          <a:avLst/>
                        </a:prstGeom>
                        <a:ln w="19050" cap="flat" cmpd="sng">
                          <a:solidFill>
                            <a:srgbClr val="000000"/>
                          </a:solidFill>
                          <a:prstDash val="solid"/>
                          <a:miter/>
                          <a:headEnd type="none" w="med" len="med"/>
                          <a:tailEnd type="triangle" w="med" len="med"/>
                        </a:ln>
                      </wps:spPr>
                      <wps:bodyPr/>
                    </wps:wsp>
                  </a:graphicData>
                </a:graphic>
              </wp:anchor>
            </w:drawing>
          </mc:Choice>
          <mc:Fallback>
            <w:pict>
              <v:shape w14:anchorId="3C5BD8A1" id="Straight Arrow Connector 12" o:spid="_x0000_s1026" type="#_x0000_t32" style="position:absolute;margin-left:85.4pt;margin-top:.8pt;width:265.25pt;height:77pt;flip:y;z-index:25167872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" strokeweight="1.5pt">
                <v:stroke endarrow="block" joinstyle="miter"/>
                <o:lock v:ext="edit" shapetype="f"/>
              </v:shape>
            </w:pict>
          </mc:Fallback>
        </mc:AlternateContent>
      </w:r>
      <w:r w:rsidRPr="0044629C">
        <w:rPr>
          <w:rFonts w:ascii="Times New Roman" w:eastAsia="Calibri" w:hAnsi="Times New Roman" w:cs="Times New Roman"/>
          <w:kern w:val="0"/>
          <w14:ligatures w14:val="none"/>
        </w:rPr>
        <w:t>Forcibility</w:t>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t xml:space="preserve"> </w:t>
      </w:r>
    </w:p>
    <w:p w14:paraId="37E39C6D"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31F4DB96"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72576" behindDoc="0" locked="0" layoutInCell="1" allowOverlap="1" wp14:anchorId="75FAD3C2" wp14:editId="329AC30C">
                <wp:simplePos x="0" y="0"/>
                <wp:positionH relativeFrom="column">
                  <wp:posOffset>-55378</wp:posOffset>
                </wp:positionH>
                <wp:positionV relativeFrom="paragraph">
                  <wp:posOffset>201546</wp:posOffset>
                </wp:positionV>
                <wp:extent cx="1139899" cy="531626"/>
                <wp:effectExtent l="19050" t="19050" r="22225" b="20955"/>
                <wp:wrapNone/>
                <wp:docPr id="10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9899" cy="531626"/>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anchor>
            </w:drawing>
          </mc:Choice>
          <mc:Fallback>
            <w:pict>
              <v:rect w14:anchorId="7304603D" id="Rectangle 6" o:spid="_x0000_s1026" style="position:absolute;margin-left:-4.35pt;margin-top:15.85pt;width:89.75pt;height:41.85pt;z-index:25167257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" filled="f" strokeweight="2.25pt">
                <v:path arrowok="t"/>
              </v:rect>
            </w:pict>
          </mc:Fallback>
        </mc:AlternateContent>
      </w:r>
    </w:p>
    <w:p w14:paraId="1998E91A"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Opportunity </w:t>
      </w:r>
    </w:p>
    <w:p w14:paraId="1A335B98"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80768" behindDoc="0" locked="0" layoutInCell="1" allowOverlap="1" wp14:anchorId="763969B7" wp14:editId="139980D4">
                <wp:simplePos x="0" y="0"/>
                <wp:positionH relativeFrom="column">
                  <wp:posOffset>1084521</wp:posOffset>
                </wp:positionH>
                <wp:positionV relativeFrom="paragraph">
                  <wp:posOffset>115570</wp:posOffset>
                </wp:positionV>
                <wp:extent cx="3368306" cy="749005"/>
                <wp:effectExtent l="0" t="0" r="80010" b="70485"/>
                <wp:wrapNone/>
                <wp:docPr id="1043"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68306" cy="749005"/>
                        </a:xfrm>
                        <a:prstGeom prst="straightConnector1">
                          <a:avLst/>
                        </a:prstGeom>
                        <a:ln w="19050" cap="flat" cmpd="sng">
                          <a:solidFill>
                            <a:srgbClr val="000000"/>
                          </a:solidFill>
                          <a:prstDash val="solid"/>
                          <a:miter/>
                          <a:headEnd type="none" w="med" len="med"/>
                          <a:tailEnd type="triangle" w="med" len="med"/>
                        </a:ln>
                      </wps:spPr>
                      <wps:bodyPr/>
                    </wps:wsp>
                  </a:graphicData>
                </a:graphic>
              </wp:anchor>
            </w:drawing>
          </mc:Choice>
          <mc:Fallback>
            <w:pict>
              <v:shape w14:anchorId="12BD2FF0" id="Straight Arrow Connector 14" o:spid="_x0000_s1026" type="#_x0000_t32" style="position:absolute;margin-left:85.4pt;margin-top:9.1pt;width:265.2pt;height:59pt;z-index:25168076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" strokeweight="1.5pt">
                <v:stroke endarrow="block" joinstyle="miter"/>
                <o:lock v:ext="edit" shapetype="f"/>
              </v:shape>
            </w:pict>
          </mc:Fallback>
        </mc:AlternateContent>
      </w:r>
      <w:r w:rsidRPr="0044629C">
        <w:rPr>
          <w:rFonts w:ascii="Times New Roman" w:eastAsia="Calibri" w:hAnsi="Times New Roman" w:cs="Times New Roman"/>
          <w:kern w:val="0"/>
          <w14:ligatures w14:val="none"/>
        </w:rPr>
        <w:t xml:space="preserve">Utilization </w:t>
      </w:r>
    </w:p>
    <w:p w14:paraId="3F4DA532"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20C733E0"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74624" behindDoc="0" locked="0" layoutInCell="1" allowOverlap="1" wp14:anchorId="02EFF580" wp14:editId="4AA9D09E">
                <wp:simplePos x="0" y="0"/>
                <wp:positionH relativeFrom="column">
                  <wp:posOffset>4449785</wp:posOffset>
                </wp:positionH>
                <wp:positionV relativeFrom="paragraph">
                  <wp:posOffset>119247</wp:posOffset>
                </wp:positionV>
                <wp:extent cx="1139899" cy="531627"/>
                <wp:effectExtent l="19050" t="19050" r="22225" b="20955"/>
                <wp:wrapNone/>
                <wp:docPr id="104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9899" cy="531627"/>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anchor>
            </w:drawing>
          </mc:Choice>
          <mc:Fallback>
            <w:pict>
              <v:rect w14:anchorId="3373428C" id="Rectangle 8" o:spid="_x0000_s1026" style="position:absolute;margin-left:350.4pt;margin-top:9.4pt;width:89.75pt;height:41.85pt;z-index:25167462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" filled="f" strokeweight="2.25pt">
                <v:path arrowok="t"/>
              </v:rect>
            </w:pict>
          </mc:Fallback>
        </mc:AlternateContent>
      </w:r>
      <w:r w:rsidRPr="0044629C">
        <w:rPr>
          <w:rFonts w:ascii="Times New Roman" w:eastAsia="Calibri" w:hAnsi="Times New Roman" w:cs="Times New Roman"/>
          <w:b/>
          <w:bCs/>
          <w:noProof/>
          <w:kern w:val="0"/>
          <w14:ligatures w14:val="none"/>
        </w:rPr>
        <mc:AlternateContent>
          <mc:Choice Requires="wps">
            <w:drawing>
              <wp:anchor distT="0" distB="0" distL="0" distR="0" simplePos="0" relativeHeight="251673600" behindDoc="0" locked="0" layoutInCell="1" allowOverlap="1" wp14:anchorId="6FB5222D" wp14:editId="12ED14F5">
                <wp:simplePos x="0" y="0"/>
                <wp:positionH relativeFrom="column">
                  <wp:posOffset>-55245</wp:posOffset>
                </wp:positionH>
                <wp:positionV relativeFrom="paragraph">
                  <wp:posOffset>194206</wp:posOffset>
                </wp:positionV>
                <wp:extent cx="1139899" cy="531627"/>
                <wp:effectExtent l="19050" t="19050" r="22225" b="20955"/>
                <wp:wrapNone/>
                <wp:docPr id="104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9899" cy="531627"/>
                        </a:xfrm>
                        <a:prstGeom prst="rect">
                          <a:avLst/>
                        </a:prstGeom>
                        <a:ln w="28575"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anchor>
            </w:drawing>
          </mc:Choice>
          <mc:Fallback>
            <w:pict>
              <v:rect w14:anchorId="3B07F633" id="Rectangle 7" o:spid="_x0000_s1026" style="position:absolute;margin-left:-4.35pt;margin-top:15.3pt;width:89.75pt;height:41.85pt;z-index:2516736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" filled="f" strokeweight="2.25pt">
                <v:path arrowok="t"/>
              </v:rect>
            </w:pict>
          </mc:Fallback>
        </mc:AlternateContent>
      </w:r>
    </w:p>
    <w:p w14:paraId="151DE182"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Resource </w:t>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r>
      <w:r w:rsidRPr="0044629C">
        <w:rPr>
          <w:rFonts w:ascii="Times New Roman" w:eastAsia="Calibri" w:hAnsi="Times New Roman" w:cs="Times New Roman"/>
          <w:kern w:val="0"/>
          <w14:ligatures w14:val="none"/>
        </w:rPr>
        <w:tab/>
        <w:t xml:space="preserve">Survival </w:t>
      </w:r>
    </w:p>
    <w:p w14:paraId="3660F67E"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noProof/>
          <w:kern w:val="0"/>
          <w14:ligatures w14:val="none"/>
        </w:rPr>
        <mc:AlternateContent>
          <mc:Choice Requires="wps">
            <w:drawing>
              <wp:anchor distT="0" distB="0" distL="0" distR="0" simplePos="0" relativeHeight="251682816" behindDoc="0" locked="0" layoutInCell="1" allowOverlap="1" wp14:anchorId="2C49B12E" wp14:editId="221EF1B4">
                <wp:simplePos x="0" y="0"/>
                <wp:positionH relativeFrom="column">
                  <wp:posOffset>1084521</wp:posOffset>
                </wp:positionH>
                <wp:positionV relativeFrom="paragraph">
                  <wp:posOffset>81590</wp:posOffset>
                </wp:positionV>
                <wp:extent cx="3368306" cy="0"/>
                <wp:effectExtent l="0" t="76200" r="22860" b="76200"/>
                <wp:wrapNone/>
                <wp:docPr id="104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68306" cy="0"/>
                        </a:xfrm>
                        <a:prstGeom prst="straightConnector1">
                          <a:avLst/>
                        </a:prstGeom>
                        <a:ln w="28575" cap="flat" cmpd="sng">
                          <a:solidFill>
                            <a:srgbClr val="000000"/>
                          </a:solidFill>
                          <a:prstDash val="solid"/>
                          <a:miter/>
                          <a:headEnd type="none" w="med" len="med"/>
                          <a:tailEnd type="triangle" w="med" len="med"/>
                        </a:ln>
                      </wps:spPr>
                      <wps:bodyPr/>
                    </wps:wsp>
                  </a:graphicData>
                </a:graphic>
              </wp:anchor>
            </w:drawing>
          </mc:Choice>
          <mc:Fallback>
            <w:pict>
              <v:shape w14:anchorId="25FCDE65" id="Straight Arrow Connector 16" o:spid="_x0000_s1026" type="#_x0000_t32" style="position:absolute;margin-left:85.4pt;margin-top:6.4pt;width:265.2pt;height:0;z-index:25168281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" strokeweight="2.25pt">
                <v:stroke endarrow="block" joinstyle="miter"/>
                <o:lock v:ext="edit" shapetype="f"/>
              </v:shape>
            </w:pict>
          </mc:Fallback>
        </mc:AlternateContent>
      </w:r>
      <w:r w:rsidRPr="0044629C">
        <w:rPr>
          <w:rFonts w:ascii="Times New Roman" w:eastAsia="Calibri" w:hAnsi="Times New Roman" w:cs="Times New Roman"/>
          <w:kern w:val="0"/>
          <w14:ligatures w14:val="none"/>
        </w:rPr>
        <w:t xml:space="preserve">Management </w:t>
      </w:r>
    </w:p>
    <w:p w14:paraId="40DD1771"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7CD91174"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2E7F9351"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6F434DC9"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040BFD2D"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Source:  </w:t>
      </w:r>
      <w:proofErr w:type="spellStart"/>
      <w:r w:rsidRPr="0044629C">
        <w:rPr>
          <w:rFonts w:ascii="Times New Roman" w:eastAsia="Calibri" w:hAnsi="Times New Roman" w:cs="Times New Roman"/>
          <w:kern w:val="0"/>
          <w14:ligatures w14:val="none"/>
        </w:rPr>
        <w:t>Alsafadi</w:t>
      </w:r>
      <w:proofErr w:type="spellEnd"/>
      <w:r w:rsidRPr="0044629C">
        <w:rPr>
          <w:rFonts w:ascii="Times New Roman" w:eastAsia="Calibri" w:hAnsi="Times New Roman" w:cs="Times New Roman"/>
          <w:kern w:val="0"/>
          <w14:ligatures w14:val="none"/>
        </w:rPr>
        <w:t xml:space="preserve"> y., </w:t>
      </w:r>
      <w:proofErr w:type="spellStart"/>
      <w:r w:rsidRPr="0044629C">
        <w:rPr>
          <w:rFonts w:ascii="Times New Roman" w:eastAsia="Calibri" w:hAnsi="Times New Roman" w:cs="Times New Roman"/>
          <w:kern w:val="0"/>
          <w14:ligatures w14:val="none"/>
        </w:rPr>
        <w:t>Aljawarneh</w:t>
      </w:r>
      <w:proofErr w:type="spellEnd"/>
      <w:r w:rsidRPr="0044629C">
        <w:rPr>
          <w:rFonts w:ascii="Times New Roman" w:eastAsia="Calibri" w:hAnsi="Times New Roman" w:cs="Times New Roman"/>
          <w:kern w:val="0"/>
          <w14:ligatures w14:val="none"/>
        </w:rPr>
        <w:t xml:space="preserve">, N. </w:t>
      </w:r>
      <w:proofErr w:type="spellStart"/>
      <w:proofErr w:type="gramStart"/>
      <w:r w:rsidRPr="0044629C">
        <w:rPr>
          <w:rFonts w:ascii="Times New Roman" w:eastAsia="Calibri" w:hAnsi="Times New Roman" w:cs="Times New Roman"/>
          <w:kern w:val="0"/>
          <w14:ligatures w14:val="none"/>
        </w:rPr>
        <w:t>Caglar,D</w:t>
      </w:r>
      <w:proofErr w:type="spellEnd"/>
      <w:r w:rsidRPr="0044629C">
        <w:rPr>
          <w:rFonts w:ascii="Times New Roman" w:eastAsia="Calibri" w:hAnsi="Times New Roman" w:cs="Times New Roman"/>
          <w:kern w:val="0"/>
          <w14:ligatures w14:val="none"/>
        </w:rPr>
        <w:t>.</w:t>
      </w:r>
      <w:proofErr w:type="gramEnd"/>
      <w:r w:rsidRPr="0044629C">
        <w:rPr>
          <w:rFonts w:ascii="Times New Roman" w:eastAsia="Calibri" w:hAnsi="Times New Roman" w:cs="Times New Roman"/>
          <w:kern w:val="0"/>
          <w14:ligatures w14:val="none"/>
        </w:rPr>
        <w:t xml:space="preserve"> J </w:t>
      </w:r>
      <w:proofErr w:type="spellStart"/>
      <w:proofErr w:type="gramStart"/>
      <w:r w:rsidRPr="0044629C">
        <w:rPr>
          <w:rFonts w:ascii="Times New Roman" w:eastAsia="Calibri" w:hAnsi="Times New Roman" w:cs="Times New Roman"/>
          <w:kern w:val="0"/>
          <w14:ligatures w14:val="none"/>
        </w:rPr>
        <w:t>Bayram,P</w:t>
      </w:r>
      <w:proofErr w:type="spellEnd"/>
      <w:proofErr w:type="gramEnd"/>
      <w:r w:rsidRPr="0044629C">
        <w:rPr>
          <w:rFonts w:ascii="Times New Roman" w:eastAsia="Calibri" w:hAnsi="Times New Roman" w:cs="Times New Roman"/>
          <w:kern w:val="0"/>
          <w14:ligatures w14:val="none"/>
        </w:rPr>
        <w:t xml:space="preserve"> &amp; </w:t>
      </w:r>
      <w:proofErr w:type="spellStart"/>
      <w:r w:rsidRPr="0044629C">
        <w:rPr>
          <w:rFonts w:ascii="Times New Roman" w:eastAsia="Calibri" w:hAnsi="Times New Roman" w:cs="Times New Roman"/>
          <w:kern w:val="0"/>
          <w14:ligatures w14:val="none"/>
        </w:rPr>
        <w:t>Zoubi</w:t>
      </w:r>
      <w:proofErr w:type="spellEnd"/>
      <w:r w:rsidRPr="0044629C">
        <w:rPr>
          <w:rFonts w:ascii="Times New Roman" w:eastAsia="Calibri" w:hAnsi="Times New Roman" w:cs="Times New Roman"/>
          <w:kern w:val="0"/>
          <w14:ligatures w14:val="none"/>
        </w:rPr>
        <w:t xml:space="preserve"> K. (2020). Amabile, T., Hadley, C. and Kramer, J. (2002). Klammer etc., al (2017). Teece D. J (2007</w:t>
      </w:r>
      <w:proofErr w:type="gramStart"/>
      <w:r w:rsidRPr="0044629C">
        <w:rPr>
          <w:rFonts w:ascii="Times New Roman" w:eastAsia="Calibri" w:hAnsi="Times New Roman" w:cs="Times New Roman"/>
          <w:kern w:val="0"/>
          <w14:ligatures w14:val="none"/>
        </w:rPr>
        <w:t>).</w:t>
      </w:r>
      <w:proofErr w:type="spellStart"/>
      <w:r w:rsidRPr="0044629C">
        <w:rPr>
          <w:rFonts w:ascii="Times New Roman" w:eastAsia="Calibri" w:hAnsi="Times New Roman" w:cs="Times New Roman"/>
          <w:kern w:val="0"/>
          <w14:ligatures w14:val="none"/>
        </w:rPr>
        <w:t>Beghetto</w:t>
      </w:r>
      <w:proofErr w:type="spellEnd"/>
      <w:proofErr w:type="gramEnd"/>
      <w:r w:rsidRPr="0044629C">
        <w:rPr>
          <w:rFonts w:ascii="Times New Roman" w:eastAsia="Calibri" w:hAnsi="Times New Roman" w:cs="Times New Roman"/>
          <w:kern w:val="0"/>
          <w14:ligatures w14:val="none"/>
        </w:rPr>
        <w:t>, R. A. (2016).</w:t>
      </w:r>
    </w:p>
    <w:p w14:paraId="5AFC6337"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1F7713D8" w14:textId="77777777" w:rsidR="008D3090" w:rsidRPr="0044629C" w:rsidRDefault="008D3090" w:rsidP="008D3090">
      <w:pPr>
        <w:spacing w:after="0" w:line="240" w:lineRule="auto"/>
        <w:jc w:val="both"/>
        <w:rPr>
          <w:rFonts w:ascii="Times New Roman" w:eastAsia="Calibri" w:hAnsi="Times New Roman" w:cs="Times New Roman"/>
          <w:kern w:val="0"/>
          <w14:ligatures w14:val="none"/>
        </w:rPr>
      </w:pPr>
    </w:p>
    <w:p w14:paraId="3640F74C"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Concepts of Entrepreneurial mindset.</w:t>
      </w:r>
    </w:p>
    <w:p w14:paraId="755BF06E"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63239349"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Entrepreneurship theories have historically concentrated on defining the personality or </w:t>
      </w:r>
      <w:proofErr w:type="spellStart"/>
      <w:r w:rsidRPr="0044629C">
        <w:rPr>
          <w:rFonts w:ascii="Times New Roman" w:eastAsia="Calibri" w:hAnsi="Times New Roman" w:cs="Times New Roman"/>
          <w:kern w:val="0"/>
          <w14:ligatures w14:val="none"/>
        </w:rPr>
        <w:t>behavioural</w:t>
      </w:r>
      <w:proofErr w:type="spellEnd"/>
      <w:r w:rsidRPr="0044629C">
        <w:rPr>
          <w:rFonts w:ascii="Times New Roman" w:eastAsia="Calibri" w:hAnsi="Times New Roman" w:cs="Times New Roman"/>
          <w:kern w:val="0"/>
          <w14:ligatures w14:val="none"/>
        </w:rPr>
        <w:t xml:space="preserve"> features of an entrepreneurial attitude (</w:t>
      </w:r>
      <w:proofErr w:type="spellStart"/>
      <w:r w:rsidRPr="0044629C">
        <w:rPr>
          <w:rFonts w:ascii="Times New Roman" w:eastAsia="Calibri" w:hAnsi="Times New Roman" w:cs="Times New Roman"/>
          <w:kern w:val="0"/>
          <w14:ligatures w14:val="none"/>
        </w:rPr>
        <w:t>Duening</w:t>
      </w:r>
      <w:proofErr w:type="spellEnd"/>
      <w:r w:rsidRPr="0044629C">
        <w:rPr>
          <w:rFonts w:ascii="Times New Roman" w:eastAsia="Calibri" w:hAnsi="Times New Roman" w:cs="Times New Roman"/>
          <w:kern w:val="0"/>
          <w14:ligatures w14:val="none"/>
        </w:rPr>
        <w:t>, 2010). Initially, it was assumed that this mindset was intrinsic to entrepreneurs, and as such the first researchers in the field of entrepreneurship acted according to the belief that certain personality traits were possessed by entrepreneurs that distinguished them from non-entrepreneurs (</w:t>
      </w:r>
      <w:proofErr w:type="spellStart"/>
      <w:r w:rsidRPr="0044629C">
        <w:rPr>
          <w:rFonts w:ascii="Times New Roman" w:eastAsia="Calibri" w:hAnsi="Times New Roman" w:cs="Times New Roman"/>
          <w:kern w:val="0"/>
          <w14:ligatures w14:val="none"/>
        </w:rPr>
        <w:t>Duening</w:t>
      </w:r>
      <w:proofErr w:type="spellEnd"/>
      <w:r w:rsidRPr="0044629C">
        <w:rPr>
          <w:rFonts w:ascii="Times New Roman" w:eastAsia="Calibri" w:hAnsi="Times New Roman" w:cs="Times New Roman"/>
          <w:kern w:val="0"/>
          <w14:ligatures w14:val="none"/>
        </w:rPr>
        <w:t>, 2010). The entrepreneurial mindset is a certain way of thinking, and is about the way you face challenges and mistakes and solve problems. It comes right down to the underlying need to improve your skill-set and to act and re-evaluate (Thompson, 2004). An entrepreneurial mindset is what you would need to propel yourself forward. This mindset can wane because it becomes embedded within the daily grind of entrepreneurship. But by making an attempt to embody this mindset, you would be setting yourself up to face daily challenges and grow your knowledge (</w:t>
      </w:r>
      <w:proofErr w:type="spellStart"/>
      <w:r w:rsidRPr="0044629C">
        <w:rPr>
          <w:rFonts w:ascii="Times New Roman" w:eastAsia="Calibri" w:hAnsi="Times New Roman" w:cs="Times New Roman"/>
          <w:kern w:val="0"/>
          <w14:ligatures w14:val="none"/>
        </w:rPr>
        <w:t>Pihie</w:t>
      </w:r>
      <w:proofErr w:type="spellEnd"/>
      <w:r w:rsidRPr="0044629C">
        <w:rPr>
          <w:rFonts w:ascii="Times New Roman" w:eastAsia="Calibri" w:hAnsi="Times New Roman" w:cs="Times New Roman"/>
          <w:kern w:val="0"/>
          <w14:ligatures w14:val="none"/>
        </w:rPr>
        <w:t xml:space="preserve"> &amp; Sani, 2009).</w:t>
      </w:r>
      <w:r w:rsidRPr="0044629C">
        <w:rPr>
          <w:rFonts w:ascii="Times New Roman" w:eastAsia="Calibri" w:hAnsi="Times New Roman" w:cs="Times New Roman"/>
          <w:kern w:val="0"/>
          <w14:ligatures w14:val="none"/>
        </w:rPr>
        <w:cr/>
      </w:r>
    </w:p>
    <w:p w14:paraId="66D643F0" w14:textId="77777777" w:rsidR="008D3090" w:rsidRPr="0044629C" w:rsidRDefault="008D3090" w:rsidP="0044629C">
      <w:pPr>
        <w:spacing w:after="0" w:line="240" w:lineRule="auto"/>
        <w:ind w:left="90" w:hanging="9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Much of an entrepreneurial mindset involves a steadfast commitment to a really narrow vision. This drive allows the business to enforce the required steps to understand this vision (Dunlap A 2008). The problem is that the stress of the day can get in your way, creating an area during which your vision regresses. This leaves room for frustration and doubt, which may cause stagnation or worse (Faltin, 2007). If you would like to develop an entrepreneurial mindset, then you've got to act as an entrepreneur; you've got to plan on becoming a far better version of yourself. This implies the need to feed your mind by reading on a day- to- day basis and to learn new skills. There are countless books about successful </w:t>
      </w:r>
      <w:proofErr w:type="gramStart"/>
      <w:r w:rsidRPr="0044629C">
        <w:rPr>
          <w:rFonts w:ascii="Times New Roman" w:eastAsia="Calibri" w:hAnsi="Times New Roman" w:cs="Times New Roman"/>
          <w:kern w:val="0"/>
          <w14:ligatures w14:val="none"/>
        </w:rPr>
        <w:t>entrepreneurs ,</w:t>
      </w:r>
      <w:proofErr w:type="gramEnd"/>
      <w:r w:rsidRPr="0044629C">
        <w:rPr>
          <w:rFonts w:ascii="Times New Roman" w:eastAsia="Calibri" w:hAnsi="Times New Roman" w:cs="Times New Roman"/>
          <w:kern w:val="0"/>
          <w14:ligatures w14:val="none"/>
        </w:rPr>
        <w:t xml:space="preserve"> and the more you read such books, the more thinking you'll like them, too (Krauss et al, 2005). Scholars assume that successful future strategists will employ an entrepreneurial mindset that entails the power to feel, act, and </w:t>
      </w:r>
      <w:proofErr w:type="spellStart"/>
      <w:r w:rsidRPr="0044629C">
        <w:rPr>
          <w:rFonts w:ascii="Times New Roman" w:eastAsia="Calibri" w:hAnsi="Times New Roman" w:cs="Times New Roman"/>
          <w:kern w:val="0"/>
          <w14:ligatures w14:val="none"/>
        </w:rPr>
        <w:t>mobilise</w:t>
      </w:r>
      <w:proofErr w:type="spellEnd"/>
      <w:r w:rsidRPr="0044629C">
        <w:rPr>
          <w:rFonts w:ascii="Times New Roman" w:eastAsia="Calibri" w:hAnsi="Times New Roman" w:cs="Times New Roman"/>
          <w:kern w:val="0"/>
          <w14:ligatures w14:val="none"/>
        </w:rPr>
        <w:t xml:space="preserve"> quickly, even under uncertain circumstances (Ireland et al, 2003). To some extent, an accurate understanding of the elements that influence attitudes towards entrepreneurship and entrepreneurial intent can accelerate the effective development of those </w:t>
      </w:r>
      <w:r w:rsidRPr="0044629C">
        <w:rPr>
          <w:rFonts w:ascii="Times New Roman" w:eastAsia="Calibri" w:hAnsi="Times New Roman" w:cs="Times New Roman"/>
          <w:kern w:val="0"/>
          <w14:ligatures w14:val="none"/>
        </w:rPr>
        <w:lastRenderedPageBreak/>
        <w:t>initiatives. Intentions are consistent predictors of entrepreneurship; hence, it's necessary to know the factors associated with entrepreneurial intentions (Krueger et al., 2000). The entrepreneurial mindset refers to the way of deliberating about business and its opportunities that captures the advantages of uncertainty (Dhliwayo &amp;Vuuren, 2007).</w:t>
      </w:r>
    </w:p>
    <w:p w14:paraId="44F94805" w14:textId="77777777" w:rsidR="008D3090" w:rsidRPr="0044629C" w:rsidRDefault="008D3090" w:rsidP="0044629C">
      <w:pPr>
        <w:spacing w:after="0" w:line="240" w:lineRule="auto"/>
        <w:ind w:left="90" w:hanging="90"/>
        <w:jc w:val="both"/>
        <w:rPr>
          <w:rFonts w:ascii="Times New Roman" w:eastAsia="Calibri" w:hAnsi="Times New Roman" w:cs="Times New Roman"/>
          <w:kern w:val="0"/>
          <w14:ligatures w14:val="none"/>
        </w:rPr>
      </w:pPr>
      <w:proofErr w:type="gramStart"/>
      <w:r w:rsidRPr="0044629C">
        <w:rPr>
          <w:rFonts w:ascii="Times New Roman" w:eastAsia="Calibri" w:hAnsi="Times New Roman" w:cs="Times New Roman"/>
          <w:kern w:val="0"/>
          <w14:ligatures w14:val="none"/>
        </w:rPr>
        <w:t>These mindset</w:t>
      </w:r>
      <w:proofErr w:type="gramEnd"/>
      <w:r w:rsidRPr="0044629C">
        <w:rPr>
          <w:rFonts w:ascii="Times New Roman" w:eastAsia="Calibri" w:hAnsi="Times New Roman" w:cs="Times New Roman"/>
          <w:kern w:val="0"/>
          <w14:ligatures w14:val="none"/>
        </w:rPr>
        <w:t xml:space="preserve"> enable entrepreneurs to achieve new forms of competitive advantage in dynamic markets by continuously adapting their resources, processes, and routines. In the context of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in Rivers State, Nigeria entrepreneurial mindset </w:t>
      </w:r>
      <w:proofErr w:type="gramStart"/>
      <w:r w:rsidRPr="0044629C">
        <w:rPr>
          <w:rFonts w:ascii="Times New Roman" w:eastAsia="Calibri" w:hAnsi="Times New Roman" w:cs="Times New Roman"/>
          <w:kern w:val="0"/>
          <w14:ligatures w14:val="none"/>
        </w:rPr>
        <w:t>play</w:t>
      </w:r>
      <w:proofErr w:type="gramEnd"/>
      <w:r w:rsidRPr="0044629C">
        <w:rPr>
          <w:rFonts w:ascii="Times New Roman" w:eastAsia="Calibri" w:hAnsi="Times New Roman" w:cs="Times New Roman"/>
          <w:kern w:val="0"/>
          <w14:ligatures w14:val="none"/>
        </w:rPr>
        <w:t xml:space="preserve"> a critical role in strategic renewal. Companies in these sectors must continuously adapt to changing consumer preferences, regulatory environments, and competitive pressures. By leveraging entrepreneurial mindset, these firms can enhance their strategic renewal processes, thereby improving their adaptability and long-term survival.</w:t>
      </w:r>
    </w:p>
    <w:p w14:paraId="2A4CCEFF" w14:textId="77777777" w:rsidR="008D3090" w:rsidRPr="0044629C" w:rsidRDefault="008D3090" w:rsidP="008D3090">
      <w:pPr>
        <w:spacing w:after="0" w:line="360" w:lineRule="auto"/>
        <w:ind w:left="90" w:hanging="90"/>
        <w:jc w:val="both"/>
        <w:rPr>
          <w:rFonts w:ascii="Times New Roman" w:eastAsia="Calibri" w:hAnsi="Times New Roman" w:cs="Times New Roman"/>
          <w:kern w:val="0"/>
          <w14:ligatures w14:val="none"/>
        </w:rPr>
      </w:pPr>
    </w:p>
    <w:p w14:paraId="698007F9" w14:textId="575C4311" w:rsidR="008D3090" w:rsidRPr="0044629C" w:rsidRDefault="008D3090" w:rsidP="008D3090">
      <w:pPr>
        <w:spacing w:after="0" w:line="360" w:lineRule="auto"/>
        <w:ind w:left="90" w:hanging="9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Change forcibility</w:t>
      </w:r>
    </w:p>
    <w:p w14:paraId="03ED22E3" w14:textId="7325DB06"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One critical component of entrepreneurial mindset is </w:t>
      </w:r>
      <w:proofErr w:type="gramStart"/>
      <w:r w:rsidRPr="0044629C">
        <w:rPr>
          <w:rFonts w:ascii="Times New Roman" w:eastAsia="Calibri" w:hAnsi="Times New Roman" w:cs="Times New Roman"/>
          <w:kern w:val="0"/>
          <w14:ligatures w14:val="none"/>
        </w:rPr>
        <w:t>change</w:t>
      </w:r>
      <w:proofErr w:type="gramEnd"/>
      <w:r w:rsidRPr="0044629C">
        <w:rPr>
          <w:rFonts w:ascii="Times New Roman" w:eastAsia="Calibri" w:hAnsi="Times New Roman" w:cs="Times New Roman"/>
          <w:kern w:val="0"/>
          <w14:ligatures w14:val="none"/>
        </w:rPr>
        <w:t xml:space="preserve"> forcibility, which involves identifying and assessing opportunities and threats in the external environment. Change forcibility require firms to scan, search, and explore across technologies and markets to detect changes that could impact their business. Teece (2007) emphasizes that effective change forcibility involves investment in research and development (R&amp;D), market research, and strategic forecasting. Firms with strong change forcibility are adept at recognizing shifts in consumer preferences, technological advancements, and competitive dynamics. Eisenhardt and Martin (2000) argue that change forcibility </w:t>
      </w:r>
      <w:proofErr w:type="gramStart"/>
      <w:r w:rsidRPr="0044629C">
        <w:rPr>
          <w:rFonts w:ascii="Times New Roman" w:eastAsia="Calibri" w:hAnsi="Times New Roman" w:cs="Times New Roman"/>
          <w:kern w:val="0"/>
          <w14:ligatures w14:val="none"/>
        </w:rPr>
        <w:t>are</w:t>
      </w:r>
      <w:proofErr w:type="gramEnd"/>
      <w:r w:rsidRPr="0044629C">
        <w:rPr>
          <w:rFonts w:ascii="Times New Roman" w:eastAsia="Calibri" w:hAnsi="Times New Roman" w:cs="Times New Roman"/>
          <w:kern w:val="0"/>
          <w14:ligatures w14:val="none"/>
        </w:rPr>
        <w:t xml:space="preserve"> essential for firms to identify new opportunities before competitors do. This proactive approach allows firms to position themselves advantageously and exploit emerging trends. For instance, the ability to for sea changes in consumer </w:t>
      </w:r>
      <w:proofErr w:type="spellStart"/>
      <w:r w:rsidRPr="0044629C">
        <w:rPr>
          <w:rFonts w:ascii="Times New Roman" w:eastAsia="Calibri" w:hAnsi="Times New Roman" w:cs="Times New Roman"/>
          <w:kern w:val="0"/>
          <w14:ligatures w14:val="none"/>
        </w:rPr>
        <w:t>behaviour</w:t>
      </w:r>
      <w:proofErr w:type="spellEnd"/>
      <w:r w:rsidRPr="0044629C">
        <w:rPr>
          <w:rFonts w:ascii="Times New Roman" w:eastAsia="Calibri" w:hAnsi="Times New Roman" w:cs="Times New Roman"/>
          <w:kern w:val="0"/>
          <w14:ligatures w14:val="none"/>
        </w:rPr>
        <w:t xml:space="preserve"> enabled firms like Apple and Google to innovate continuously and maintain leadership in their respective industries. Furthermore, change forcibility involves not only the ability to gather information but also the capability to interpret and make sense of it. </w:t>
      </w:r>
      <w:proofErr w:type="spellStart"/>
      <w:r w:rsidRPr="0044629C">
        <w:rPr>
          <w:rFonts w:ascii="Times New Roman" w:eastAsia="Calibri" w:hAnsi="Times New Roman" w:cs="Times New Roman"/>
          <w:kern w:val="0"/>
          <w14:ligatures w14:val="none"/>
        </w:rPr>
        <w:t>Helfat</w:t>
      </w:r>
      <w:proofErr w:type="spellEnd"/>
      <w:r w:rsidRPr="0044629C">
        <w:rPr>
          <w:rFonts w:ascii="Times New Roman" w:eastAsia="Calibri" w:hAnsi="Times New Roman" w:cs="Times New Roman"/>
          <w:kern w:val="0"/>
          <w14:ligatures w14:val="none"/>
        </w:rPr>
        <w:t xml:space="preserve"> and </w:t>
      </w:r>
      <w:proofErr w:type="spellStart"/>
      <w:r w:rsidRPr="0044629C">
        <w:rPr>
          <w:rFonts w:ascii="Times New Roman" w:eastAsia="Calibri" w:hAnsi="Times New Roman" w:cs="Times New Roman"/>
          <w:kern w:val="0"/>
          <w14:ligatures w14:val="none"/>
        </w:rPr>
        <w:t>Peteraf</w:t>
      </w:r>
      <w:proofErr w:type="spellEnd"/>
      <w:r w:rsidRPr="0044629C">
        <w:rPr>
          <w:rFonts w:ascii="Times New Roman" w:eastAsia="Calibri" w:hAnsi="Times New Roman" w:cs="Times New Roman"/>
          <w:kern w:val="0"/>
          <w14:ligatures w14:val="none"/>
        </w:rPr>
        <w:t xml:space="preserve"> (2015) discuss how managerial cognition and experience play a crucial role in interpreting signals from the environment. This cognitive aspect ensures that firms do not merely collect data but also derive actionable insights that inform strategic decision-making. In the context of the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in Rivers State, change forcibility are particularly relevant. These businesses are subject to fluctuating consumer preferences, regulatory changes, and competitive pressures. Firms with robust change forcibility can better anticipate shifts in demand, adapt to new regulations, and innovate in response to competitive threats. For example, companies that for sea increasing consumer demand for healthier products can adjust their product lines and marketing strategies accordingly. Augier and Teece (2009) highlight that firms with strong change forcibility are better positioned to navigate uncertain environments and achieve sustainable growth. Similarly, Pavlou and El </w:t>
      </w:r>
      <w:proofErr w:type="spellStart"/>
      <w:r w:rsidRPr="0044629C">
        <w:rPr>
          <w:rFonts w:ascii="Times New Roman" w:eastAsia="Calibri" w:hAnsi="Times New Roman" w:cs="Times New Roman"/>
          <w:kern w:val="0"/>
          <w14:ligatures w14:val="none"/>
        </w:rPr>
        <w:t>Sawy</w:t>
      </w:r>
      <w:proofErr w:type="spellEnd"/>
      <w:r w:rsidRPr="0044629C">
        <w:rPr>
          <w:rFonts w:ascii="Times New Roman" w:eastAsia="Calibri" w:hAnsi="Times New Roman" w:cs="Times New Roman"/>
          <w:kern w:val="0"/>
          <w14:ligatures w14:val="none"/>
        </w:rPr>
        <w:t xml:space="preserve"> (2011) find that change forcibility significantly </w:t>
      </w:r>
      <w:proofErr w:type="gramStart"/>
      <w:r w:rsidRPr="0044629C">
        <w:rPr>
          <w:rFonts w:ascii="Times New Roman" w:eastAsia="Calibri" w:hAnsi="Times New Roman" w:cs="Times New Roman"/>
          <w:kern w:val="0"/>
          <w14:ligatures w14:val="none"/>
        </w:rPr>
        <w:t>contribute</w:t>
      </w:r>
      <w:proofErr w:type="gramEnd"/>
      <w:r w:rsidRPr="0044629C">
        <w:rPr>
          <w:rFonts w:ascii="Times New Roman" w:eastAsia="Calibri" w:hAnsi="Times New Roman" w:cs="Times New Roman"/>
          <w:kern w:val="0"/>
          <w14:ligatures w14:val="none"/>
        </w:rPr>
        <w:t xml:space="preserve"> to firm performance by enabling timely and effective responses to market changes. Developing strong change forcibility is essential for firms aiming to achieve long-term success and adaptability in dynamic environments.</w:t>
      </w:r>
    </w:p>
    <w:p w14:paraId="3BAC10B4"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3B600D25"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Opportunity Utilization.</w:t>
      </w:r>
    </w:p>
    <w:p w14:paraId="6EE5247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67B61718"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Opportunity Utilization requires firms to act decisively and effectively upon recognizing potential opportunities. Teece (2007) describes this process as involving the development and implementation of strategies to exploit these opportunities. This often includes investing in new technologies, developing new products or services, and entering new markets. Firms must allocate resources strategically, aligning them with the most promising opportunities to maximize returns. Eisenhardt and Martin (2000) argue that opportunity Utilization involves not only swift action but also flexibility in strategy implementation. Firms with strong change forcibility can rapidly shift resources and adjust strategies in response to emerging opportunities. Effective change also entails overcoming organizational inertia and resistance to change. </w:t>
      </w:r>
      <w:proofErr w:type="spellStart"/>
      <w:r w:rsidRPr="0044629C">
        <w:rPr>
          <w:rFonts w:ascii="Times New Roman" w:eastAsia="Calibri" w:hAnsi="Times New Roman" w:cs="Times New Roman"/>
          <w:kern w:val="0"/>
          <w14:ligatures w14:val="none"/>
        </w:rPr>
        <w:t>Helfat</w:t>
      </w:r>
      <w:proofErr w:type="spellEnd"/>
      <w:r w:rsidRPr="0044629C">
        <w:rPr>
          <w:rFonts w:ascii="Times New Roman" w:eastAsia="Calibri" w:hAnsi="Times New Roman" w:cs="Times New Roman"/>
          <w:kern w:val="0"/>
          <w14:ligatures w14:val="none"/>
        </w:rPr>
        <w:t xml:space="preserve"> and </w:t>
      </w:r>
      <w:proofErr w:type="spellStart"/>
      <w:r w:rsidRPr="0044629C">
        <w:rPr>
          <w:rFonts w:ascii="Times New Roman" w:eastAsia="Calibri" w:hAnsi="Times New Roman" w:cs="Times New Roman"/>
          <w:kern w:val="0"/>
          <w14:ligatures w14:val="none"/>
        </w:rPr>
        <w:t>Peteraf</w:t>
      </w:r>
      <w:proofErr w:type="spellEnd"/>
      <w:r w:rsidRPr="0044629C">
        <w:rPr>
          <w:rFonts w:ascii="Times New Roman" w:eastAsia="Calibri" w:hAnsi="Times New Roman" w:cs="Times New Roman"/>
          <w:kern w:val="0"/>
          <w14:ligatures w14:val="none"/>
        </w:rPr>
        <w:t xml:space="preserve"> (2015) highlight that leadership and managerial skills play a critical role in fostering a culture of innovation and risk taking necessary for opportunity Utilization. Entrepreneurs must be able to communicate the vision, motivate employees, and ensure alignment across the organization to implement new initiatives successfully. In the context of the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in Rivers </w:t>
      </w:r>
      <w:r w:rsidRPr="0044629C">
        <w:rPr>
          <w:rFonts w:ascii="Times New Roman" w:eastAsia="Calibri" w:hAnsi="Times New Roman" w:cs="Times New Roman"/>
          <w:kern w:val="0"/>
          <w14:ligatures w14:val="none"/>
        </w:rPr>
        <w:lastRenderedPageBreak/>
        <w:t xml:space="preserve">State, opportunity Utilization is particularly vital. These sectors are characterized by fast-changing consumer preferences, regulatory shifts, and technological advancements. Entrepreneurs that excel in opportunity Utilization can introduce new products that meet evolving consumer demands, comply with new regulations more efficiently, and leverage new technologies to gain competitive advantage. Teece (2014) notes that entrepreneurs with strong change forcibility are better positioned to convert opportunities into profitable ventures. Additionally, Zahra et al., (2006) find that entrepreneurial firms that effectively utilize opportunities exhibit superior performance and growth. Pavlou and El </w:t>
      </w:r>
      <w:proofErr w:type="spellStart"/>
      <w:r w:rsidRPr="0044629C">
        <w:rPr>
          <w:rFonts w:ascii="Times New Roman" w:eastAsia="Calibri" w:hAnsi="Times New Roman" w:cs="Times New Roman"/>
          <w:kern w:val="0"/>
          <w14:ligatures w14:val="none"/>
        </w:rPr>
        <w:t>Sawy</w:t>
      </w:r>
      <w:proofErr w:type="spellEnd"/>
      <w:r w:rsidRPr="0044629C">
        <w:rPr>
          <w:rFonts w:ascii="Times New Roman" w:eastAsia="Calibri" w:hAnsi="Times New Roman" w:cs="Times New Roman"/>
          <w:kern w:val="0"/>
          <w14:ligatures w14:val="none"/>
        </w:rPr>
        <w:t xml:space="preserve"> (2011) also demonstrate that change capabilities are critical for enabling entrepreneurs to effectively adapt and thrive in dynamic markets. Entrepreneurs that develop strong change forcibility are better equipped to achieve sustainable competitive advantage and adapt to dynamic market conditions. </w:t>
      </w:r>
    </w:p>
    <w:p w14:paraId="4FA0D068"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6767F3B4"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Resource management.</w:t>
      </w:r>
    </w:p>
    <w:p w14:paraId="19FD3D00"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718F34D5" w14:textId="370DD9EA"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Resource management is essential for firms to remain agile and responsive in dynamic markets. Teece (2007) describes it as the ability to recombine resources to capture new opportunities and mitigate threats. This process often involves reviving obsolete assets, acquiring new capabilities, and re-bundling existing resources in innovative ways. Effective management allows firms to pivot quickly in response to environmental changes, thereby maintaining their strategic relevance. Eisenhardt and Martin (2000) argue that resource management is not just about internal adjustments but also about leveraging external resources through partnerships, alliances, and acquisitions. Firms with strong resource management can integrate external knowledge and technologies to enhance their existing resource base. This integration is crucial for firms operating in industries with rapid technological advancements, where continuous innovation is key to sustaining competitive advantage. </w:t>
      </w:r>
      <w:proofErr w:type="spellStart"/>
      <w:r w:rsidRPr="0044629C">
        <w:rPr>
          <w:rFonts w:ascii="Times New Roman" w:eastAsia="Calibri" w:hAnsi="Times New Roman" w:cs="Times New Roman"/>
          <w:kern w:val="0"/>
          <w14:ligatures w14:val="none"/>
        </w:rPr>
        <w:t>Helfat</w:t>
      </w:r>
      <w:proofErr w:type="spellEnd"/>
      <w:r w:rsidRPr="0044629C">
        <w:rPr>
          <w:rFonts w:ascii="Times New Roman" w:eastAsia="Calibri" w:hAnsi="Times New Roman" w:cs="Times New Roman"/>
          <w:kern w:val="0"/>
          <w14:ligatures w14:val="none"/>
        </w:rPr>
        <w:t xml:space="preserve"> and </w:t>
      </w:r>
      <w:proofErr w:type="spellStart"/>
      <w:r w:rsidRPr="0044629C">
        <w:rPr>
          <w:rFonts w:ascii="Times New Roman" w:eastAsia="Calibri" w:hAnsi="Times New Roman" w:cs="Times New Roman"/>
          <w:kern w:val="0"/>
          <w14:ligatures w14:val="none"/>
        </w:rPr>
        <w:t>Peteraf</w:t>
      </w:r>
      <w:proofErr w:type="spellEnd"/>
      <w:r w:rsidRPr="0044629C">
        <w:rPr>
          <w:rFonts w:ascii="Times New Roman" w:eastAsia="Calibri" w:hAnsi="Times New Roman" w:cs="Times New Roman"/>
          <w:kern w:val="0"/>
          <w14:ligatures w14:val="none"/>
        </w:rPr>
        <w:t xml:space="preserve"> (2015) emphasize the role of Entrepreneurs capabilities in resource management. Effective leaders can identify when and how to manage resources, ensuring that the firm remains aligned with its strategic objectives. Entrepreneurial skills are critical in overcoming resistance to change within the organization and in fostering a culture that supports continuous improvement and innovation. In the setting of the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in Rivers State, resource management is particularly relevant. These sectors face fluctuating consumer preferences, regulatory changes, and competitive pressures. Firms that excel in resource management can adapt their product lines, production processes, and marketing strategies to meet evolving market demands. For instance, a company that successfully manage its resources to develop healthier product alternatives can gain a competitive edge in response to increasing consumer health consciousness. Winter (2003) highlights Entrepreneurial mindset, including resource management, are vital for sustaining </w:t>
      </w:r>
      <w:proofErr w:type="spellStart"/>
      <w:r w:rsidRPr="0044629C">
        <w:rPr>
          <w:rFonts w:ascii="Times New Roman" w:eastAsia="Calibri" w:hAnsi="Times New Roman" w:cs="Times New Roman"/>
          <w:kern w:val="0"/>
          <w14:ligatures w14:val="none"/>
        </w:rPr>
        <w:t>longterm</w:t>
      </w:r>
      <w:proofErr w:type="spellEnd"/>
      <w:r w:rsidRPr="0044629C">
        <w:rPr>
          <w:rFonts w:ascii="Times New Roman" w:eastAsia="Calibri" w:hAnsi="Times New Roman" w:cs="Times New Roman"/>
          <w:kern w:val="0"/>
          <w14:ligatures w14:val="none"/>
        </w:rPr>
        <w:t xml:space="preserve"> competitive advantage. </w:t>
      </w:r>
    </w:p>
    <w:p w14:paraId="47F3BCEA" w14:textId="77777777" w:rsidR="0044629C" w:rsidRDefault="0044629C" w:rsidP="008D3090">
      <w:pPr>
        <w:spacing w:after="0" w:line="240" w:lineRule="auto"/>
        <w:ind w:left="720" w:hanging="720"/>
        <w:jc w:val="both"/>
        <w:rPr>
          <w:rFonts w:ascii="Times New Roman" w:eastAsia="Calibri" w:hAnsi="Times New Roman" w:cs="Times New Roman"/>
          <w:b/>
          <w:kern w:val="0"/>
          <w14:ligatures w14:val="none"/>
        </w:rPr>
      </w:pPr>
    </w:p>
    <w:p w14:paraId="1DEAD115" w14:textId="6F8E7A39"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 xml:space="preserve">Concept of Strategic Renewal </w:t>
      </w:r>
    </w:p>
    <w:p w14:paraId="5463D64A" w14:textId="72700BD7"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Strategic renewal is a critical concept in strategic management, referring to the continuous process by which entrepreneurs refresh and revitalize their strategies, structures, and abilities to maintain competitiveness and ensure long-term survival. This process involves significant transformations in the </w:t>
      </w:r>
      <w:proofErr w:type="gramStart"/>
      <w:r w:rsidRPr="0044629C">
        <w:rPr>
          <w:rFonts w:ascii="Times New Roman" w:eastAsia="Calibri" w:hAnsi="Times New Roman" w:cs="Times New Roman"/>
          <w:kern w:val="0"/>
          <w14:ligatures w14:val="none"/>
        </w:rPr>
        <w:t>entrepreneurs</w:t>
      </w:r>
      <w:proofErr w:type="gramEnd"/>
      <w:r w:rsidRPr="0044629C">
        <w:rPr>
          <w:rFonts w:ascii="Times New Roman" w:eastAsia="Calibri" w:hAnsi="Times New Roman" w:cs="Times New Roman"/>
          <w:kern w:val="0"/>
          <w14:ligatures w14:val="none"/>
        </w:rPr>
        <w:t xml:space="preserve"> core activities to adapt to changing environments and capitalize on new opportunities (Agarwal &amp; </w:t>
      </w:r>
      <w:proofErr w:type="spellStart"/>
      <w:r w:rsidRPr="0044629C">
        <w:rPr>
          <w:rFonts w:ascii="Times New Roman" w:eastAsia="Calibri" w:hAnsi="Times New Roman" w:cs="Times New Roman"/>
          <w:kern w:val="0"/>
          <w14:ligatures w14:val="none"/>
        </w:rPr>
        <w:t>Helfat</w:t>
      </w:r>
      <w:proofErr w:type="spellEnd"/>
      <w:r w:rsidRPr="0044629C">
        <w:rPr>
          <w:rFonts w:ascii="Times New Roman" w:eastAsia="Calibri" w:hAnsi="Times New Roman" w:cs="Times New Roman"/>
          <w:kern w:val="0"/>
          <w14:ligatures w14:val="none"/>
        </w:rPr>
        <w:t>, 2009). The foundation of strategic renewal lies in the ability of entrepreneurs to dynamically adjust their strategic direction in response to external and internal stimuli. According to Schmitt et al. (2018), strategic renewal encompasses both incremental and radical changes, enabling entrepreneurs to balance exploitation of existing abilities and exploration of new opportunities. This dual approach helps entrepreneurs maintain operational efficiency while simultaneously fostering innovation and adaptability.  By fostering a good mindset and engaging in continuous strategic renewal, firms can ensure their long-term viability and success.</w:t>
      </w:r>
    </w:p>
    <w:p w14:paraId="756CA035"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1520AF8D"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Adaptability</w:t>
      </w:r>
      <w:r w:rsidRPr="0044629C">
        <w:rPr>
          <w:rFonts w:ascii="Times New Roman" w:eastAsia="Calibri" w:hAnsi="Times New Roman" w:cs="Times New Roman"/>
          <w:b/>
          <w:kern w:val="0"/>
          <w14:ligatures w14:val="none"/>
        </w:rPr>
        <w:cr/>
      </w:r>
    </w:p>
    <w:p w14:paraId="21FB5F75" w14:textId="634B0F48"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Adaptability is a critical component of strategic renewal, enabling firms to continuously transform and align their strategies with changing environmental conditions. Adaptability refers to the firm's ability to adjust and evolve in response to dynamic environmental conditions and market changes (Agarwal &amp; </w:t>
      </w:r>
      <w:proofErr w:type="spellStart"/>
      <w:r w:rsidRPr="0044629C">
        <w:rPr>
          <w:rFonts w:ascii="Times New Roman" w:eastAsia="Calibri" w:hAnsi="Times New Roman" w:cs="Times New Roman"/>
          <w:kern w:val="0"/>
          <w14:ligatures w14:val="none"/>
        </w:rPr>
        <w:t>Helfat</w:t>
      </w:r>
      <w:proofErr w:type="spellEnd"/>
      <w:r w:rsidRPr="0044629C">
        <w:rPr>
          <w:rFonts w:ascii="Times New Roman" w:eastAsia="Calibri" w:hAnsi="Times New Roman" w:cs="Times New Roman"/>
          <w:kern w:val="0"/>
          <w14:ligatures w14:val="none"/>
        </w:rPr>
        <w:t xml:space="preserve">, 2009). </w:t>
      </w:r>
      <w:r w:rsidRPr="0044629C">
        <w:rPr>
          <w:rFonts w:ascii="Times New Roman" w:eastAsia="Calibri" w:hAnsi="Times New Roman" w:cs="Times New Roman"/>
          <w:kern w:val="0"/>
          <w14:ligatures w14:val="none"/>
        </w:rPr>
        <w:lastRenderedPageBreak/>
        <w:t xml:space="preserve">Adaptability allows firms to respond proactively to both external changes and internal challenges. Adaptability involves implementing both incremental and radical changes (Schmitt et al., 2018). Entrepreneurial ability mindset provides a valuable framework for understanding the role of adaptability in strategic renewal. Teece (2007) further emphasizes that entrepreneurs with strong dynamic mindset can adapt more effectively to environmental shifts, enhancing their strategic renewal efforts. These abilities are particularly critical for firms operating in volatile and rapidly changing markets, where adaptability is essential for survival and growth. Eisenhardt and Martin (2000) argue that firms in high-velocity environments must develop robust adaptive mechanisms to cope with rapid changes. Flier et al. (2003) found that entrepreneurs engaging in adaptive strategic renewal were better positioned to navigate industry shifts and technological advancements, leading to sustained performance improvements. </w:t>
      </w:r>
      <w:proofErr w:type="spellStart"/>
      <w:r w:rsidRPr="0044629C">
        <w:rPr>
          <w:rFonts w:ascii="Times New Roman" w:eastAsia="Calibri" w:hAnsi="Times New Roman" w:cs="Times New Roman"/>
          <w:kern w:val="0"/>
          <w14:ligatures w14:val="none"/>
        </w:rPr>
        <w:t>Helfat</w:t>
      </w:r>
      <w:proofErr w:type="spellEnd"/>
      <w:r w:rsidRPr="0044629C">
        <w:rPr>
          <w:rFonts w:ascii="Times New Roman" w:eastAsia="Calibri" w:hAnsi="Times New Roman" w:cs="Times New Roman"/>
          <w:kern w:val="0"/>
          <w14:ligatures w14:val="none"/>
        </w:rPr>
        <w:t xml:space="preserve"> and </w:t>
      </w:r>
      <w:proofErr w:type="spellStart"/>
      <w:r w:rsidRPr="0044629C">
        <w:rPr>
          <w:rFonts w:ascii="Times New Roman" w:eastAsia="Calibri" w:hAnsi="Times New Roman" w:cs="Times New Roman"/>
          <w:kern w:val="0"/>
          <w14:ligatures w14:val="none"/>
        </w:rPr>
        <w:t>Peteraf</w:t>
      </w:r>
      <w:proofErr w:type="spellEnd"/>
      <w:r w:rsidRPr="0044629C">
        <w:rPr>
          <w:rFonts w:ascii="Times New Roman" w:eastAsia="Calibri" w:hAnsi="Times New Roman" w:cs="Times New Roman"/>
          <w:kern w:val="0"/>
          <w14:ligatures w14:val="none"/>
        </w:rPr>
        <w:t xml:space="preserve"> (2015) discuss how managerial cognitive capabilities influence strategic decision-making processes, enabling firms to recognize and respond to environmental changes effectively. Entrepreneurs play a crucial role in driving the strategic renewal process by facilitating the reconfiguration of resources and ensuring alignment with evolving market conditions. In the background of the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in Rivers State, Nigeria, adaptability is particularly relevant. These businesses face fluctuating consumer preferences, regulatory changes, and intense competition. Entrepreneurs that excel in adaptability can realign their product offerings, operational practices, and strategic goals to meet evolving market demands. By fostering Entrepreneurial mindset and emphasizing adaptability, business can better navigate the challenges of dynamic markets and secure their long-term viability and success</w:t>
      </w:r>
    </w:p>
    <w:p w14:paraId="08FF63A7"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4389DDED"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 xml:space="preserve">Survival </w:t>
      </w:r>
      <w:r w:rsidRPr="0044629C">
        <w:rPr>
          <w:rFonts w:ascii="Times New Roman" w:eastAsia="Calibri" w:hAnsi="Times New Roman" w:cs="Times New Roman"/>
          <w:b/>
          <w:kern w:val="0"/>
          <w14:ligatures w14:val="none"/>
        </w:rPr>
        <w:cr/>
      </w:r>
    </w:p>
    <w:p w14:paraId="1B139F72"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 concept of survival represents an organization's ability to withstand and thrive in a changing and competitive landscape, which is essential in the business realm. As Hitt et al. (1997) stated, survival involves maintaining operational continuity and sustaining long-term competitive advantage. This is especially important in sectors like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in Rivers State, Nigeria, where businesses encounter various difficulties, such as shifts in regulations, unpredictable markets, and economic uncertainty. When a company is unable to handle the difficulties or threats presented by its surroundings or competitors, it fails (Obiekwe, 2018). The failure to adapt effectively can lead to a loss of market share, profitability, and ultimately, business closure. In the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sectors of Rivers State, Nigeria, survival depends on the capacity to manage changes in regulations, evolving consumer tastes, and competitive pressures. These sectors encounter distinct challenges such as shifts in regulations, unpredictable markets, and economic uncertainty. The Resource-Based View (RBV) of a company suggests that having unique, valuable, and hard-to-replicate resources is essential for maintaining a competitive edge and ensuring the organization's survival (Barney, 1991). This perspective indicates that firms with strong resources can better resist competitive challenges and adapt to changes in their environment. However, the dynamic nature of modern markets requires not just possession of these resources but also the ability to manage them as needed. Entrepreneurial mindset is crucial for a business survival, as they allow entrepreneurs to identify opportunities and threats, capitalize on these opportunities, and reorganize their resources to stay competitive (Teece, 2007). Entrepreneurs that excel in these abilities are more capable of navigating the challenges of ever-changing markets and securing their future.</w:t>
      </w:r>
    </w:p>
    <w:p w14:paraId="5AD8A3CA"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4410723F"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45FBAA03"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Creativity.</w:t>
      </w:r>
    </w:p>
    <w:p w14:paraId="62B607BC"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5BB3443C" w14:textId="074D88A4" w:rsid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Creativity is </w:t>
      </w:r>
      <w:proofErr w:type="spellStart"/>
      <w:r w:rsidRPr="0044629C">
        <w:rPr>
          <w:rFonts w:ascii="Times New Roman" w:eastAsia="Calibri" w:hAnsi="Times New Roman" w:cs="Times New Roman"/>
          <w:kern w:val="0"/>
          <w14:ligatures w14:val="none"/>
        </w:rPr>
        <w:t>characterised</w:t>
      </w:r>
      <w:proofErr w:type="spellEnd"/>
      <w:r w:rsidRPr="0044629C">
        <w:rPr>
          <w:rFonts w:ascii="Times New Roman" w:eastAsia="Calibri" w:hAnsi="Times New Roman" w:cs="Times New Roman"/>
          <w:kern w:val="0"/>
          <w14:ligatures w14:val="none"/>
        </w:rPr>
        <w:t xml:space="preserve"> as discovering and incorporating new ideas into the company, and then implementing them to fulfill various aims and objectives and achieve a rate of production higher than that of the industry and better than any other competitor's rate (Henriksen, Mishra, &amp; Mehta, 2015). Creativity has always been at the core of business, but it isn’t yet high on the management’s agenda. By providing the power to make something new and appropriate, creativity is important for entrepreneurs that start new businesses, and supports the simplest companies after they reach the worldwide scale. But perhaps because creativity was seen as unmanageable, out of reach and intangible or because </w:t>
      </w:r>
      <w:proofErr w:type="spellStart"/>
      <w:r w:rsidRPr="0044629C">
        <w:rPr>
          <w:rFonts w:ascii="Times New Roman" w:eastAsia="Calibri" w:hAnsi="Times New Roman" w:cs="Times New Roman"/>
          <w:kern w:val="0"/>
          <w14:ligatures w14:val="none"/>
        </w:rPr>
        <w:t>specialising</w:t>
      </w:r>
      <w:proofErr w:type="spellEnd"/>
      <w:r w:rsidRPr="0044629C">
        <w:rPr>
          <w:rFonts w:ascii="Times New Roman" w:eastAsia="Calibri" w:hAnsi="Times New Roman" w:cs="Times New Roman"/>
          <w:kern w:val="0"/>
          <w14:ligatures w14:val="none"/>
        </w:rPr>
        <w:t xml:space="preserve"> in it produces a less immediate payoff in improving execution, it </w:t>
      </w:r>
      <w:r w:rsidRPr="0044629C">
        <w:rPr>
          <w:rFonts w:ascii="Times New Roman" w:eastAsia="Calibri" w:hAnsi="Times New Roman" w:cs="Times New Roman"/>
          <w:kern w:val="0"/>
          <w14:ligatures w14:val="none"/>
        </w:rPr>
        <w:lastRenderedPageBreak/>
        <w:t>had been not the main target of most managers (</w:t>
      </w:r>
      <w:proofErr w:type="spellStart"/>
      <w:r w:rsidRPr="0044629C">
        <w:rPr>
          <w:rFonts w:ascii="Times New Roman" w:eastAsia="Calibri" w:hAnsi="Times New Roman" w:cs="Times New Roman"/>
          <w:kern w:val="0"/>
          <w14:ligatures w14:val="none"/>
        </w:rPr>
        <w:t>Alsafadi</w:t>
      </w:r>
      <w:proofErr w:type="spellEnd"/>
      <w:r w:rsidRPr="0044629C">
        <w:rPr>
          <w:rFonts w:ascii="Times New Roman" w:eastAsia="Calibri" w:hAnsi="Times New Roman" w:cs="Times New Roman"/>
          <w:kern w:val="0"/>
          <w14:ligatures w14:val="none"/>
        </w:rPr>
        <w:t xml:space="preserve">, et al., 2020).The increasing changes within the market leading to increased competition within the traditional small and medium markets, have led to the necessity for increased creativity and innovation and, therefore, creativity and innovation programs in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sectors. Effective creativity and integration of innovation, results in increased competitiveness, and includes intervention programs with supportive measures, instead of relying solely on natural progressor forced creativity under strict time pressures (Amabile, Hadley &amp; Kramer, 2002). Many enterprises are founded on one logical technology innovation, resulting in the planning and manufacture of a replacement product. Often times, the owners / managers are the creators of the original thought and engineers, scientists, and computer engineers embrace "traditional thinking" instead of developing “exploration competencies" in reference to innovation (Wolpert, 2002).</w:t>
      </w:r>
    </w:p>
    <w:p w14:paraId="447FC30F" w14:textId="77777777" w:rsidR="0044629C" w:rsidRDefault="0044629C" w:rsidP="0044629C">
      <w:pPr>
        <w:spacing w:after="0" w:line="240" w:lineRule="auto"/>
        <w:jc w:val="both"/>
        <w:rPr>
          <w:rFonts w:ascii="Times New Roman" w:eastAsia="Calibri" w:hAnsi="Times New Roman" w:cs="Times New Roman"/>
          <w:kern w:val="0"/>
          <w14:ligatures w14:val="none"/>
        </w:rPr>
      </w:pPr>
    </w:p>
    <w:p w14:paraId="4E903D03" w14:textId="77777777" w:rsidR="0044629C" w:rsidRDefault="008D3090" w:rsidP="0044629C">
      <w:pPr>
        <w:spacing w:after="0" w:line="240" w:lineRule="auto"/>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3.0 Methodology</w:t>
      </w:r>
    </w:p>
    <w:p w14:paraId="47710E6B" w14:textId="0E817AA7"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 study adopted a cross-sectional survey research design and population of 19 registered </w:t>
      </w:r>
      <w:proofErr w:type="spellStart"/>
      <w:r w:rsidRPr="0044629C">
        <w:rPr>
          <w:rFonts w:ascii="Times New Roman" w:eastAsia="Calibri" w:hAnsi="Times New Roman" w:cs="Times New Roman"/>
          <w:kern w:val="0"/>
          <w14:ligatures w14:val="none"/>
        </w:rPr>
        <w:t>sme</w:t>
      </w:r>
      <w:proofErr w:type="spellEnd"/>
      <w:r w:rsidRPr="0044629C">
        <w:rPr>
          <w:rFonts w:ascii="Times New Roman" w:eastAsia="Calibri" w:hAnsi="Times New Roman" w:cs="Times New Roman"/>
          <w:kern w:val="0"/>
          <w14:ligatures w14:val="none"/>
        </w:rPr>
        <w:t xml:space="preserve"> firms in Rivers State, Nigeria. The study used the census method to study the entire population because it was not large. The simple random technique was used to select 4 respondents from each of the 19 small and medium size business. Hence, a total of 76 respondents were studied. The questionnaire was adapted and modified from previous research as an instrument for measuring various aspects of the study variables. Entrepreneurial mindset is the independent variable and comprises of three dimensions, which are change forcibility, opportunity Utilization, and resource management, </w:t>
      </w:r>
      <w:proofErr w:type="gramStart"/>
      <w:r w:rsidRPr="0044629C">
        <w:rPr>
          <w:rFonts w:ascii="Times New Roman" w:eastAsia="Calibri" w:hAnsi="Times New Roman" w:cs="Times New Roman"/>
          <w:kern w:val="0"/>
          <w14:ligatures w14:val="none"/>
        </w:rPr>
        <w:t>They</w:t>
      </w:r>
      <w:proofErr w:type="gramEnd"/>
      <w:r w:rsidRPr="0044629C">
        <w:rPr>
          <w:rFonts w:ascii="Times New Roman" w:eastAsia="Calibri" w:hAnsi="Times New Roman" w:cs="Times New Roman"/>
          <w:kern w:val="0"/>
          <w14:ligatures w14:val="none"/>
        </w:rPr>
        <w:t xml:space="preserve"> are adapted from the work of </w:t>
      </w:r>
      <w:proofErr w:type="spellStart"/>
      <w:r w:rsidRPr="0044629C">
        <w:rPr>
          <w:rFonts w:ascii="Times New Roman" w:eastAsia="Calibri" w:hAnsi="Times New Roman" w:cs="Times New Roman"/>
          <w:kern w:val="0"/>
          <w14:ligatures w14:val="none"/>
        </w:rPr>
        <w:t>Alsafadi</w:t>
      </w:r>
      <w:proofErr w:type="spellEnd"/>
      <w:r w:rsidRPr="0044629C">
        <w:rPr>
          <w:rFonts w:ascii="Times New Roman" w:eastAsia="Calibri" w:hAnsi="Times New Roman" w:cs="Times New Roman"/>
          <w:kern w:val="0"/>
          <w14:ligatures w14:val="none"/>
        </w:rPr>
        <w:t xml:space="preserve"> y., </w:t>
      </w:r>
      <w:proofErr w:type="spellStart"/>
      <w:r w:rsidRPr="0044629C">
        <w:rPr>
          <w:rFonts w:ascii="Times New Roman" w:eastAsia="Calibri" w:hAnsi="Times New Roman" w:cs="Times New Roman"/>
          <w:kern w:val="0"/>
          <w14:ligatures w14:val="none"/>
        </w:rPr>
        <w:t>Aljawarneh</w:t>
      </w:r>
      <w:proofErr w:type="spellEnd"/>
      <w:r w:rsidRPr="0044629C">
        <w:rPr>
          <w:rFonts w:ascii="Times New Roman" w:eastAsia="Calibri" w:hAnsi="Times New Roman" w:cs="Times New Roman"/>
          <w:kern w:val="0"/>
          <w14:ligatures w14:val="none"/>
        </w:rPr>
        <w:t xml:space="preserve">, N. Caglar, D. J </w:t>
      </w:r>
      <w:proofErr w:type="spellStart"/>
      <w:proofErr w:type="gramStart"/>
      <w:r w:rsidRPr="0044629C">
        <w:rPr>
          <w:rFonts w:ascii="Times New Roman" w:eastAsia="Calibri" w:hAnsi="Times New Roman" w:cs="Times New Roman"/>
          <w:kern w:val="0"/>
          <w14:ligatures w14:val="none"/>
        </w:rPr>
        <w:t>Bayram,P</w:t>
      </w:r>
      <w:proofErr w:type="spellEnd"/>
      <w:proofErr w:type="gramEnd"/>
      <w:r w:rsidRPr="0044629C">
        <w:rPr>
          <w:rFonts w:ascii="Times New Roman" w:eastAsia="Calibri" w:hAnsi="Times New Roman" w:cs="Times New Roman"/>
          <w:kern w:val="0"/>
          <w14:ligatures w14:val="none"/>
        </w:rPr>
        <w:t xml:space="preserve"> &amp; </w:t>
      </w:r>
      <w:proofErr w:type="spellStart"/>
      <w:r w:rsidRPr="0044629C">
        <w:rPr>
          <w:rFonts w:ascii="Times New Roman" w:eastAsia="Calibri" w:hAnsi="Times New Roman" w:cs="Times New Roman"/>
          <w:kern w:val="0"/>
          <w14:ligatures w14:val="none"/>
        </w:rPr>
        <w:t>Zoubi</w:t>
      </w:r>
      <w:proofErr w:type="spellEnd"/>
      <w:r w:rsidRPr="0044629C">
        <w:rPr>
          <w:rFonts w:ascii="Times New Roman" w:eastAsia="Calibri" w:hAnsi="Times New Roman" w:cs="Times New Roman"/>
          <w:kern w:val="0"/>
          <w14:ligatures w14:val="none"/>
        </w:rPr>
        <w:t xml:space="preserve"> K. (2020).  Teece, D. J. (2007) and Kump et al., (2019). </w:t>
      </w:r>
      <w:r w:rsidRPr="0044629C">
        <w:rPr>
          <w:rFonts w:ascii="Times New Roman" w:eastAsia="Calibri" w:hAnsi="Times New Roman" w:cs="Times New Roman"/>
          <w:kern w:val="0"/>
          <w14:ligatures w14:val="none"/>
        </w:rPr>
        <w:cr/>
        <w:t xml:space="preserve">Strategic renewal is the dependent variable and was measured by adaptability and survival. They are adapted from the work of </w:t>
      </w:r>
      <w:proofErr w:type="spellStart"/>
      <w:r w:rsidRPr="0044629C">
        <w:rPr>
          <w:rFonts w:ascii="Times New Roman" w:eastAsia="Calibri" w:hAnsi="Times New Roman" w:cs="Times New Roman"/>
          <w:kern w:val="0"/>
          <w14:ligatures w14:val="none"/>
        </w:rPr>
        <w:t>Amezhinim</w:t>
      </w:r>
      <w:proofErr w:type="spellEnd"/>
      <w:r w:rsidRPr="0044629C">
        <w:rPr>
          <w:rFonts w:ascii="Times New Roman" w:eastAsia="Calibri" w:hAnsi="Times New Roman" w:cs="Times New Roman"/>
          <w:kern w:val="0"/>
          <w14:ligatures w14:val="none"/>
        </w:rPr>
        <w:t xml:space="preserve"> and Chima (2023), Gibson and Birkinshaw (2004), and Klammer et al. (2017). The dimensions were operationalized using a five (5) point Likert scale of strongly agree=5, Agree=4, Undecided=3, Disagree=2, and strongly disagree=1. The third variable assessed in this study is creativity which is considered as the moderating variable of the study. Indicators for </w:t>
      </w:r>
      <w:proofErr w:type="gramStart"/>
      <w:r w:rsidRPr="0044629C">
        <w:rPr>
          <w:rFonts w:ascii="Times New Roman" w:eastAsia="Calibri" w:hAnsi="Times New Roman" w:cs="Times New Roman"/>
          <w:kern w:val="0"/>
          <w14:ligatures w14:val="none"/>
        </w:rPr>
        <w:t>this variables</w:t>
      </w:r>
      <w:proofErr w:type="gramEnd"/>
      <w:r w:rsidRPr="0044629C">
        <w:rPr>
          <w:rFonts w:ascii="Times New Roman" w:eastAsia="Calibri" w:hAnsi="Times New Roman" w:cs="Times New Roman"/>
          <w:kern w:val="0"/>
          <w14:ligatures w14:val="none"/>
        </w:rPr>
        <w:t xml:space="preserve"> is adopted from previous study of </w:t>
      </w:r>
      <w:proofErr w:type="spellStart"/>
      <w:r w:rsidRPr="0044629C">
        <w:rPr>
          <w:rFonts w:ascii="Times New Roman" w:eastAsia="Calibri" w:hAnsi="Times New Roman" w:cs="Times New Roman"/>
          <w:kern w:val="0"/>
          <w14:ligatures w14:val="none"/>
        </w:rPr>
        <w:t>Beghetto</w:t>
      </w:r>
      <w:proofErr w:type="spellEnd"/>
      <w:r w:rsidRPr="0044629C">
        <w:rPr>
          <w:rFonts w:ascii="Times New Roman" w:eastAsia="Calibri" w:hAnsi="Times New Roman" w:cs="Times New Roman"/>
          <w:kern w:val="0"/>
          <w14:ligatures w14:val="none"/>
        </w:rPr>
        <w:t>, R. A. (2016). Was operationalized using a five (5) point Likert scale of strongly agree=5, Agree=4, Undecided=3, Disagree=2, and strongly disagree=1. All the items on the questionnaire were tested to ascertain their reliability using the Cronbach alpha reliability test to achieve a benchmark of 0.7 or above (Nunnally, 1978). The relationship between the independent and dependent variables was determined using regression analysis.</w:t>
      </w:r>
    </w:p>
    <w:p w14:paraId="1370E9DB"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57430CE7"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4.0 Results</w:t>
      </w:r>
    </w:p>
    <w:p w14:paraId="4252DCF9"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From a total of 76 questionnaire given to respondents, only 75 (98.6%) were received while only 72 copies were correctly filled out and therefore deemed valid and useful. The hypotheses were tested using the Pearson Product Moment Correlation Coefficient. The result is shown in Table 1 below:</w:t>
      </w:r>
      <w:r w:rsidRPr="0044629C">
        <w:rPr>
          <w:rFonts w:ascii="Times New Roman" w:eastAsia="Calibri" w:hAnsi="Times New Roman" w:cs="Times New Roman"/>
          <w:kern w:val="0"/>
          <w14:ligatures w14:val="none"/>
        </w:rPr>
        <w:cr/>
      </w:r>
    </w:p>
    <w:p w14:paraId="7FF41B3D" w14:textId="28FDB485"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Change forcibility and adaptability collate at r (0.756): The positive correlation indicates that firms that are good at foreseeing changes are also likely to be adaptable. The null hypothesis one was therefore rejected and the alternative hypothesis one accepted.</w:t>
      </w:r>
    </w:p>
    <w:p w14:paraId="1C9C6DE3"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3AB7D041" w14:textId="454548A2" w:rsid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Change forcibility and survival at r (0.752): This positive correlation suggests that firms that are good at sensing changes are also more likely to survive. The null hypothesis two was therefore rejected and the alternative hypothesis two accepted.</w:t>
      </w:r>
    </w:p>
    <w:p w14:paraId="0E0057E8" w14:textId="77777777" w:rsidR="0044629C" w:rsidRDefault="0044629C" w:rsidP="0044629C">
      <w:pPr>
        <w:spacing w:after="0" w:line="240" w:lineRule="auto"/>
        <w:ind w:left="720" w:hanging="720"/>
        <w:jc w:val="both"/>
        <w:rPr>
          <w:rFonts w:ascii="Times New Roman" w:eastAsia="Calibri" w:hAnsi="Times New Roman" w:cs="Times New Roman"/>
          <w:kern w:val="0"/>
          <w14:ligatures w14:val="none"/>
        </w:rPr>
      </w:pPr>
    </w:p>
    <w:p w14:paraId="0DCB7755" w14:textId="118F40B6"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Opportunity Utilization and adaptability at r (0.788): This positive correlation suggests that firms that adept at utilizing opportunities are also likely to be adaptable. The null hypothesis three was therefore rejected and the alternative hypothesis three accepted. </w:t>
      </w:r>
    </w:p>
    <w:p w14:paraId="35C531F5"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51ADB877" w14:textId="4E786987"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Opportunity Utilization and survival at r (0.882): The high positive correlation indicates that firms that are good at foreseeing opportunities are also more likely to survive. The null hypothesis four was therefore rejected and the alternative hypothesis four accepted.</w:t>
      </w:r>
    </w:p>
    <w:p w14:paraId="381AC632"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108A9D1A" w14:textId="71FBBEA1" w:rsidR="008D3090"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Resource management and adaptability at r (0.840): This correlation suggests that firms that have a well-configured set of resources are also likely to be adaptable. The null hypothesis five was therefore rejected and the alternative hypothesis five accepted.</w:t>
      </w:r>
    </w:p>
    <w:p w14:paraId="153E3277" w14:textId="77777777" w:rsidR="0044629C" w:rsidRPr="0044629C" w:rsidRDefault="0044629C" w:rsidP="0044629C">
      <w:pPr>
        <w:spacing w:after="0" w:line="240" w:lineRule="auto"/>
        <w:jc w:val="both"/>
        <w:rPr>
          <w:rFonts w:ascii="Times New Roman" w:eastAsia="Calibri" w:hAnsi="Times New Roman" w:cs="Times New Roman"/>
          <w:kern w:val="0"/>
          <w14:ligatures w14:val="none"/>
        </w:rPr>
      </w:pPr>
    </w:p>
    <w:p w14:paraId="30B9A931"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Resource management and survival at (0.811): This correlation indicates that firms that manage their resources are also more likely to survive. The null hypothesis six was therefore rejected and the alternative hypothesis six accepted.</w:t>
      </w:r>
    </w:p>
    <w:p w14:paraId="2C170AA5" w14:textId="77777777" w:rsidR="0044629C" w:rsidRDefault="0044629C" w:rsidP="0044629C">
      <w:pPr>
        <w:spacing w:after="0" w:line="240" w:lineRule="auto"/>
        <w:jc w:val="both"/>
        <w:rPr>
          <w:rFonts w:ascii="Times New Roman" w:eastAsia="Calibri" w:hAnsi="Times New Roman" w:cs="Times New Roman"/>
          <w:kern w:val="0"/>
          <w14:ligatures w14:val="none"/>
        </w:rPr>
      </w:pPr>
    </w:p>
    <w:p w14:paraId="5D9C7FDC" w14:textId="2DD3A96A"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The influence of creativity on entrepreneurial mindset and strategic renewal at (0.763): This correlation indicates that entrepreneurs that has creative mindset are also more likely to survive. The null hypothesis seven was therefore rejected and the alternative hypothesis seven accepted.</w:t>
      </w:r>
    </w:p>
    <w:p w14:paraId="57E20A90"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15BC28E1"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6E790F29"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Table 1</w:t>
      </w:r>
    </w:p>
    <w:p w14:paraId="3547866A"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Correlation coefficient Results</w:t>
      </w:r>
    </w:p>
    <w:p w14:paraId="13FC675A"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p>
    <w:tbl>
      <w:tblPr>
        <w:tblStyle w:val="TableGrid4"/>
        <w:tblW w:w="10800" w:type="dxa"/>
        <w:jc w:val="center"/>
        <w:tblLook w:val="04A0" w:firstRow="1" w:lastRow="0" w:firstColumn="1" w:lastColumn="0" w:noHBand="0" w:noVBand="1"/>
      </w:tblPr>
      <w:tblGrid>
        <w:gridCol w:w="1443"/>
        <w:gridCol w:w="1256"/>
        <w:gridCol w:w="1230"/>
        <w:gridCol w:w="1510"/>
        <w:gridCol w:w="1563"/>
        <w:gridCol w:w="1510"/>
        <w:gridCol w:w="1083"/>
        <w:gridCol w:w="1256"/>
      </w:tblGrid>
      <w:tr w:rsidR="008D3090" w:rsidRPr="0044629C" w14:paraId="5ABE271D" w14:textId="77777777" w:rsidTr="00D00B3F">
        <w:trPr>
          <w:jc w:val="center"/>
        </w:trPr>
        <w:tc>
          <w:tcPr>
            <w:tcW w:w="1443" w:type="dxa"/>
          </w:tcPr>
          <w:p w14:paraId="5515AF2D" w14:textId="77777777" w:rsidR="008D3090" w:rsidRPr="0044629C" w:rsidRDefault="008D3090" w:rsidP="008D3090">
            <w:pPr>
              <w:rPr>
                <w:rFonts w:ascii="Times New Roman" w:hAnsi="Times New Roman" w:cs="Times New Roman"/>
                <w:sz w:val="24"/>
                <w:szCs w:val="24"/>
              </w:rPr>
            </w:pPr>
          </w:p>
        </w:tc>
        <w:tc>
          <w:tcPr>
            <w:tcW w:w="1617" w:type="dxa"/>
          </w:tcPr>
          <w:p w14:paraId="3BEE3620" w14:textId="77777777" w:rsidR="008D3090" w:rsidRPr="0044629C" w:rsidRDefault="008D3090" w:rsidP="008D3090">
            <w:pPr>
              <w:rPr>
                <w:rFonts w:ascii="Times New Roman" w:hAnsi="Times New Roman" w:cs="Times New Roman"/>
                <w:sz w:val="24"/>
                <w:szCs w:val="24"/>
              </w:rPr>
            </w:pPr>
          </w:p>
        </w:tc>
        <w:tc>
          <w:tcPr>
            <w:tcW w:w="1080" w:type="dxa"/>
          </w:tcPr>
          <w:p w14:paraId="3C9F4F3A" w14:textId="77777777" w:rsidR="008D3090" w:rsidRPr="0044629C" w:rsidRDefault="008D3090" w:rsidP="008D3090">
            <w:pPr>
              <w:rPr>
                <w:rFonts w:ascii="Times New Roman" w:hAnsi="Times New Roman" w:cs="Times New Roman"/>
                <w:b/>
                <w:sz w:val="24"/>
                <w:szCs w:val="24"/>
              </w:rPr>
            </w:pPr>
            <w:r w:rsidRPr="0044629C">
              <w:rPr>
                <w:rFonts w:ascii="Times New Roman" w:hAnsi="Times New Roman" w:cs="Times New Roman"/>
                <w:b/>
                <w:sz w:val="24"/>
                <w:szCs w:val="24"/>
              </w:rPr>
              <w:t xml:space="preserve">Change forcibility </w:t>
            </w:r>
          </w:p>
        </w:tc>
        <w:tc>
          <w:tcPr>
            <w:tcW w:w="1440" w:type="dxa"/>
          </w:tcPr>
          <w:p w14:paraId="46AF4999" w14:textId="77777777" w:rsidR="008D3090" w:rsidRPr="0044629C" w:rsidRDefault="008D3090" w:rsidP="008D3090">
            <w:pPr>
              <w:rPr>
                <w:rFonts w:ascii="Times New Roman" w:hAnsi="Times New Roman" w:cs="Times New Roman"/>
                <w:b/>
                <w:sz w:val="24"/>
                <w:szCs w:val="24"/>
              </w:rPr>
            </w:pPr>
            <w:r w:rsidRPr="0044629C">
              <w:rPr>
                <w:rFonts w:ascii="Times New Roman" w:hAnsi="Times New Roman" w:cs="Times New Roman"/>
                <w:b/>
                <w:sz w:val="24"/>
                <w:szCs w:val="24"/>
              </w:rPr>
              <w:t xml:space="preserve">Opportunity Utilization </w:t>
            </w:r>
          </w:p>
        </w:tc>
        <w:tc>
          <w:tcPr>
            <w:tcW w:w="1530" w:type="dxa"/>
          </w:tcPr>
          <w:p w14:paraId="4DA75124" w14:textId="77777777" w:rsidR="008D3090" w:rsidRPr="0044629C" w:rsidRDefault="008D3090" w:rsidP="008D3090">
            <w:pPr>
              <w:rPr>
                <w:rFonts w:ascii="Times New Roman" w:hAnsi="Times New Roman" w:cs="Times New Roman"/>
                <w:b/>
                <w:sz w:val="24"/>
                <w:szCs w:val="24"/>
              </w:rPr>
            </w:pPr>
            <w:r w:rsidRPr="0044629C">
              <w:rPr>
                <w:rFonts w:ascii="Times New Roman" w:hAnsi="Times New Roman" w:cs="Times New Roman"/>
                <w:b/>
                <w:sz w:val="24"/>
                <w:szCs w:val="24"/>
              </w:rPr>
              <w:t xml:space="preserve">Resource Management </w:t>
            </w:r>
          </w:p>
        </w:tc>
        <w:tc>
          <w:tcPr>
            <w:tcW w:w="1440" w:type="dxa"/>
          </w:tcPr>
          <w:p w14:paraId="26E0B4C3" w14:textId="77777777" w:rsidR="008D3090" w:rsidRPr="0044629C" w:rsidRDefault="008D3090" w:rsidP="008D3090">
            <w:pPr>
              <w:rPr>
                <w:rFonts w:ascii="Times New Roman" w:hAnsi="Times New Roman" w:cs="Times New Roman"/>
                <w:b/>
                <w:sz w:val="24"/>
                <w:szCs w:val="24"/>
              </w:rPr>
            </w:pPr>
            <w:r w:rsidRPr="0044629C">
              <w:rPr>
                <w:rFonts w:ascii="Times New Roman" w:hAnsi="Times New Roman" w:cs="Times New Roman"/>
                <w:b/>
                <w:sz w:val="24"/>
                <w:szCs w:val="24"/>
              </w:rPr>
              <w:t xml:space="preserve">Adaptability </w:t>
            </w:r>
          </w:p>
        </w:tc>
        <w:tc>
          <w:tcPr>
            <w:tcW w:w="1074" w:type="dxa"/>
          </w:tcPr>
          <w:p w14:paraId="158358C9" w14:textId="77777777" w:rsidR="008D3090" w:rsidRPr="0044629C" w:rsidRDefault="008D3090" w:rsidP="008D3090">
            <w:pPr>
              <w:rPr>
                <w:rFonts w:ascii="Times New Roman" w:hAnsi="Times New Roman" w:cs="Times New Roman"/>
                <w:b/>
                <w:sz w:val="24"/>
                <w:szCs w:val="24"/>
              </w:rPr>
            </w:pPr>
            <w:r w:rsidRPr="0044629C">
              <w:rPr>
                <w:rFonts w:ascii="Times New Roman" w:hAnsi="Times New Roman" w:cs="Times New Roman"/>
                <w:b/>
                <w:sz w:val="24"/>
                <w:szCs w:val="24"/>
              </w:rPr>
              <w:t xml:space="preserve">Survival </w:t>
            </w:r>
          </w:p>
        </w:tc>
        <w:tc>
          <w:tcPr>
            <w:tcW w:w="1176" w:type="dxa"/>
          </w:tcPr>
          <w:p w14:paraId="6AF1D67B" w14:textId="77777777" w:rsidR="008D3090" w:rsidRPr="0044629C" w:rsidRDefault="008D3090" w:rsidP="008D3090">
            <w:pPr>
              <w:rPr>
                <w:rFonts w:ascii="Times New Roman" w:hAnsi="Times New Roman" w:cs="Times New Roman"/>
                <w:b/>
                <w:sz w:val="24"/>
                <w:szCs w:val="24"/>
              </w:rPr>
            </w:pPr>
            <w:r w:rsidRPr="0044629C">
              <w:rPr>
                <w:rFonts w:ascii="Times New Roman" w:hAnsi="Times New Roman" w:cs="Times New Roman"/>
                <w:b/>
                <w:sz w:val="24"/>
                <w:szCs w:val="24"/>
              </w:rPr>
              <w:t xml:space="preserve">Creativity </w:t>
            </w:r>
          </w:p>
        </w:tc>
      </w:tr>
      <w:tr w:rsidR="008D3090" w:rsidRPr="0044629C" w14:paraId="292FCDEF" w14:textId="77777777" w:rsidTr="00D00B3F">
        <w:trPr>
          <w:jc w:val="center"/>
        </w:trPr>
        <w:tc>
          <w:tcPr>
            <w:tcW w:w="1443" w:type="dxa"/>
          </w:tcPr>
          <w:p w14:paraId="4BEF7C3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 xml:space="preserve">Change forcibility </w:t>
            </w:r>
          </w:p>
        </w:tc>
        <w:tc>
          <w:tcPr>
            <w:tcW w:w="1617" w:type="dxa"/>
          </w:tcPr>
          <w:p w14:paraId="3D7E4844"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Pearson correlation sig. (2-tailed)</w:t>
            </w:r>
          </w:p>
          <w:p w14:paraId="30A72834"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N</w:t>
            </w:r>
          </w:p>
        </w:tc>
        <w:tc>
          <w:tcPr>
            <w:tcW w:w="1080" w:type="dxa"/>
          </w:tcPr>
          <w:p w14:paraId="17BE2205"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1</w:t>
            </w:r>
          </w:p>
          <w:p w14:paraId="742BC619" w14:textId="77777777" w:rsidR="008D3090" w:rsidRPr="0044629C" w:rsidRDefault="008D3090" w:rsidP="008D3090">
            <w:pPr>
              <w:rPr>
                <w:rFonts w:ascii="Times New Roman" w:hAnsi="Times New Roman" w:cs="Times New Roman"/>
                <w:sz w:val="24"/>
                <w:szCs w:val="24"/>
              </w:rPr>
            </w:pPr>
          </w:p>
          <w:p w14:paraId="4E5B9455" w14:textId="77777777" w:rsidR="008D3090" w:rsidRPr="0044629C" w:rsidRDefault="008D3090" w:rsidP="008D3090">
            <w:pPr>
              <w:rPr>
                <w:rFonts w:ascii="Times New Roman" w:hAnsi="Times New Roman" w:cs="Times New Roman"/>
                <w:sz w:val="24"/>
                <w:szCs w:val="24"/>
              </w:rPr>
            </w:pPr>
          </w:p>
          <w:p w14:paraId="2A566669"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4FA38257"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.933**</w:t>
            </w:r>
          </w:p>
          <w:p w14:paraId="4ECC2649"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08E5A0D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530" w:type="dxa"/>
          </w:tcPr>
          <w:p w14:paraId="6C57A47A"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.832**</w:t>
            </w:r>
          </w:p>
          <w:p w14:paraId="794DD6C0"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3A347C7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0A978653"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.756**</w:t>
            </w:r>
          </w:p>
          <w:p w14:paraId="7208CE41"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56DD84F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074" w:type="dxa"/>
          </w:tcPr>
          <w:p w14:paraId="0B436448"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.752**</w:t>
            </w:r>
          </w:p>
          <w:p w14:paraId="336AE27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267FC86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176" w:type="dxa"/>
          </w:tcPr>
          <w:p w14:paraId="0F38D079"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.763**</w:t>
            </w:r>
          </w:p>
          <w:p w14:paraId="11A2616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1D7EEBF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r>
      <w:tr w:rsidR="008D3090" w:rsidRPr="0044629C" w14:paraId="1F0921D8" w14:textId="77777777" w:rsidTr="00D00B3F">
        <w:trPr>
          <w:jc w:val="center"/>
        </w:trPr>
        <w:tc>
          <w:tcPr>
            <w:tcW w:w="1443" w:type="dxa"/>
          </w:tcPr>
          <w:p w14:paraId="29FC03D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Opportunity utilization</w:t>
            </w:r>
          </w:p>
        </w:tc>
        <w:tc>
          <w:tcPr>
            <w:tcW w:w="1617" w:type="dxa"/>
          </w:tcPr>
          <w:p w14:paraId="442B5965"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Pearson correlation sig. (2-tailed)</w:t>
            </w:r>
          </w:p>
          <w:p w14:paraId="4E1143D1"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N</w:t>
            </w:r>
          </w:p>
        </w:tc>
        <w:tc>
          <w:tcPr>
            <w:tcW w:w="1080" w:type="dxa"/>
          </w:tcPr>
          <w:p w14:paraId="076397C0"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.933**</w:t>
            </w:r>
          </w:p>
          <w:p w14:paraId="12C146A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1BC0BE27" w14:textId="77777777" w:rsidR="008D3090" w:rsidRPr="0044629C" w:rsidRDefault="008D3090" w:rsidP="008D3090">
            <w:pPr>
              <w:rPr>
                <w:rFonts w:ascii="Times New Roman" w:hAnsi="Times New Roman" w:cs="Times New Roman"/>
                <w:sz w:val="24"/>
                <w:szCs w:val="24"/>
              </w:rPr>
            </w:pPr>
          </w:p>
          <w:p w14:paraId="4C4BA23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0C9A7C09"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1</w:t>
            </w:r>
          </w:p>
          <w:p w14:paraId="1D952243" w14:textId="77777777" w:rsidR="008D3090" w:rsidRPr="0044629C" w:rsidRDefault="008D3090" w:rsidP="008D3090">
            <w:pPr>
              <w:rPr>
                <w:rFonts w:ascii="Times New Roman" w:hAnsi="Times New Roman" w:cs="Times New Roman"/>
                <w:sz w:val="24"/>
                <w:szCs w:val="24"/>
              </w:rPr>
            </w:pPr>
          </w:p>
          <w:p w14:paraId="7D5038A1" w14:textId="77777777" w:rsidR="008D3090" w:rsidRPr="0044629C" w:rsidRDefault="008D3090" w:rsidP="008D3090">
            <w:pPr>
              <w:rPr>
                <w:rFonts w:ascii="Times New Roman" w:hAnsi="Times New Roman" w:cs="Times New Roman"/>
                <w:sz w:val="24"/>
                <w:szCs w:val="24"/>
              </w:rPr>
            </w:pPr>
          </w:p>
          <w:p w14:paraId="099985F5"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530" w:type="dxa"/>
          </w:tcPr>
          <w:p w14:paraId="61B4B915"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.884**</w:t>
            </w:r>
          </w:p>
          <w:p w14:paraId="6D2D337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7A1D52F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5203F697"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.788**</w:t>
            </w:r>
          </w:p>
          <w:p w14:paraId="7D17CF40"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1576C6A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074" w:type="dxa"/>
          </w:tcPr>
          <w:p w14:paraId="08AEFC69"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.882**</w:t>
            </w:r>
          </w:p>
          <w:p w14:paraId="3C160D87"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3511D587"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176" w:type="dxa"/>
          </w:tcPr>
          <w:p w14:paraId="08395B9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.844**</w:t>
            </w:r>
          </w:p>
          <w:p w14:paraId="1B7B3E2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620CC5B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r>
      <w:tr w:rsidR="008D3090" w:rsidRPr="0044629C" w14:paraId="2E5FF05B" w14:textId="77777777" w:rsidTr="00D00B3F">
        <w:trPr>
          <w:jc w:val="center"/>
        </w:trPr>
        <w:tc>
          <w:tcPr>
            <w:tcW w:w="1443" w:type="dxa"/>
          </w:tcPr>
          <w:p w14:paraId="3C642FB0"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Resource management</w:t>
            </w:r>
          </w:p>
        </w:tc>
        <w:tc>
          <w:tcPr>
            <w:tcW w:w="1617" w:type="dxa"/>
          </w:tcPr>
          <w:p w14:paraId="6A865311"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Pearson correlation sig. (2-tailed)</w:t>
            </w:r>
          </w:p>
          <w:p w14:paraId="3E2DB51A"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N</w:t>
            </w:r>
          </w:p>
        </w:tc>
        <w:tc>
          <w:tcPr>
            <w:tcW w:w="1080" w:type="dxa"/>
          </w:tcPr>
          <w:p w14:paraId="7A897EE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.832**</w:t>
            </w:r>
          </w:p>
          <w:p w14:paraId="07D7848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7203B928"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13E32161"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.840**</w:t>
            </w:r>
          </w:p>
          <w:p w14:paraId="0B8444C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6C50600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530" w:type="dxa"/>
          </w:tcPr>
          <w:p w14:paraId="62803060"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1</w:t>
            </w:r>
          </w:p>
          <w:p w14:paraId="6ACCB242" w14:textId="77777777" w:rsidR="008D3090" w:rsidRPr="0044629C" w:rsidRDefault="008D3090" w:rsidP="008D3090">
            <w:pPr>
              <w:rPr>
                <w:rFonts w:ascii="Times New Roman" w:hAnsi="Times New Roman" w:cs="Times New Roman"/>
                <w:sz w:val="24"/>
                <w:szCs w:val="24"/>
              </w:rPr>
            </w:pPr>
          </w:p>
          <w:p w14:paraId="49DF7095"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1BEEDF78"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.840**</w:t>
            </w:r>
          </w:p>
          <w:p w14:paraId="35FFC22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2FC93268"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074" w:type="dxa"/>
          </w:tcPr>
          <w:p w14:paraId="549F9580"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.811**</w:t>
            </w:r>
          </w:p>
          <w:p w14:paraId="0937218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230ECDB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176" w:type="dxa"/>
          </w:tcPr>
          <w:p w14:paraId="09F7388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.788**</w:t>
            </w:r>
          </w:p>
          <w:p w14:paraId="6C416D3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2507915A"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r>
      <w:tr w:rsidR="008D3090" w:rsidRPr="0044629C" w14:paraId="1A99A4AC" w14:textId="77777777" w:rsidTr="00D00B3F">
        <w:trPr>
          <w:jc w:val="center"/>
        </w:trPr>
        <w:tc>
          <w:tcPr>
            <w:tcW w:w="1443" w:type="dxa"/>
          </w:tcPr>
          <w:p w14:paraId="3194918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Adaptability</w:t>
            </w:r>
          </w:p>
        </w:tc>
        <w:tc>
          <w:tcPr>
            <w:tcW w:w="1617" w:type="dxa"/>
          </w:tcPr>
          <w:p w14:paraId="2BA0946F"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Pearson correlation sig. (2-tailed)</w:t>
            </w:r>
          </w:p>
          <w:p w14:paraId="4A6B215E"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N</w:t>
            </w:r>
          </w:p>
        </w:tc>
        <w:tc>
          <w:tcPr>
            <w:tcW w:w="1080" w:type="dxa"/>
          </w:tcPr>
          <w:p w14:paraId="0AEBF21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.756**</w:t>
            </w:r>
          </w:p>
          <w:p w14:paraId="18B2EECA"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237F891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6EBAD25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.811**</w:t>
            </w:r>
          </w:p>
          <w:p w14:paraId="1023C958"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47EFECF1"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530" w:type="dxa"/>
          </w:tcPr>
          <w:p w14:paraId="5A61A753"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.840**</w:t>
            </w:r>
          </w:p>
          <w:p w14:paraId="6F5D09D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5F4EA1F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66A96BE8"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1</w:t>
            </w:r>
          </w:p>
          <w:p w14:paraId="0C9D8CEF" w14:textId="77777777" w:rsidR="008D3090" w:rsidRPr="0044629C" w:rsidRDefault="008D3090" w:rsidP="008D3090">
            <w:pPr>
              <w:rPr>
                <w:rFonts w:ascii="Times New Roman" w:hAnsi="Times New Roman" w:cs="Times New Roman"/>
                <w:sz w:val="24"/>
                <w:szCs w:val="24"/>
              </w:rPr>
            </w:pPr>
          </w:p>
          <w:p w14:paraId="133464A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074" w:type="dxa"/>
          </w:tcPr>
          <w:p w14:paraId="5C05F42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.762**</w:t>
            </w:r>
          </w:p>
          <w:p w14:paraId="6B73FFF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5C3070D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176" w:type="dxa"/>
          </w:tcPr>
          <w:p w14:paraId="4966B41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.882**</w:t>
            </w:r>
          </w:p>
          <w:p w14:paraId="0418909C"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3D705C81"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r>
      <w:tr w:rsidR="008D3090" w:rsidRPr="0044629C" w14:paraId="5C89D36F" w14:textId="77777777" w:rsidTr="00D00B3F">
        <w:trPr>
          <w:jc w:val="center"/>
        </w:trPr>
        <w:tc>
          <w:tcPr>
            <w:tcW w:w="1443" w:type="dxa"/>
          </w:tcPr>
          <w:p w14:paraId="134F0BD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Survival</w:t>
            </w:r>
          </w:p>
        </w:tc>
        <w:tc>
          <w:tcPr>
            <w:tcW w:w="1617" w:type="dxa"/>
          </w:tcPr>
          <w:p w14:paraId="5A86EBA9"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Pearson correlation sig. (2-tailed)</w:t>
            </w:r>
          </w:p>
          <w:p w14:paraId="050B8C16"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N</w:t>
            </w:r>
          </w:p>
        </w:tc>
        <w:tc>
          <w:tcPr>
            <w:tcW w:w="1080" w:type="dxa"/>
          </w:tcPr>
          <w:p w14:paraId="2709EBB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.752**</w:t>
            </w:r>
          </w:p>
          <w:p w14:paraId="42A5203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53D1385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1C6C40F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.844**</w:t>
            </w:r>
          </w:p>
          <w:p w14:paraId="000452B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40E6F9CC"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530" w:type="dxa"/>
          </w:tcPr>
          <w:p w14:paraId="7809D87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.811**</w:t>
            </w:r>
          </w:p>
          <w:p w14:paraId="2CC2D86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49F59D3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6E9E56F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.762**</w:t>
            </w:r>
          </w:p>
          <w:p w14:paraId="4B7A72A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338E654A"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074" w:type="dxa"/>
          </w:tcPr>
          <w:p w14:paraId="78D086D2"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1</w:t>
            </w:r>
          </w:p>
          <w:p w14:paraId="72D1164E" w14:textId="77777777" w:rsidR="008D3090" w:rsidRPr="0044629C" w:rsidRDefault="008D3090" w:rsidP="008D3090">
            <w:pPr>
              <w:rPr>
                <w:rFonts w:ascii="Times New Roman" w:hAnsi="Times New Roman" w:cs="Times New Roman"/>
                <w:sz w:val="24"/>
                <w:szCs w:val="24"/>
              </w:rPr>
            </w:pPr>
          </w:p>
          <w:p w14:paraId="5A519D7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176" w:type="dxa"/>
          </w:tcPr>
          <w:p w14:paraId="0812535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.811**</w:t>
            </w:r>
          </w:p>
          <w:p w14:paraId="42150A0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3C2E6FF5"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r>
      <w:tr w:rsidR="008D3090" w:rsidRPr="0044629C" w14:paraId="0B1F11D0" w14:textId="77777777" w:rsidTr="00D00B3F">
        <w:trPr>
          <w:jc w:val="center"/>
        </w:trPr>
        <w:tc>
          <w:tcPr>
            <w:tcW w:w="1443" w:type="dxa"/>
          </w:tcPr>
          <w:p w14:paraId="2E812377"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Creativity</w:t>
            </w:r>
          </w:p>
        </w:tc>
        <w:tc>
          <w:tcPr>
            <w:tcW w:w="1617" w:type="dxa"/>
          </w:tcPr>
          <w:p w14:paraId="2B3A536A"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Pearson correlation sig. (2-tailed)</w:t>
            </w:r>
          </w:p>
          <w:p w14:paraId="779ED269" w14:textId="77777777" w:rsidR="008D3090" w:rsidRPr="0044629C" w:rsidRDefault="008D3090" w:rsidP="008D3090">
            <w:pPr>
              <w:jc w:val="center"/>
              <w:rPr>
                <w:rFonts w:ascii="Times New Roman" w:hAnsi="Times New Roman" w:cs="Times New Roman"/>
                <w:sz w:val="24"/>
                <w:szCs w:val="24"/>
              </w:rPr>
            </w:pPr>
            <w:r w:rsidRPr="0044629C">
              <w:rPr>
                <w:rFonts w:ascii="Times New Roman" w:hAnsi="Times New Roman" w:cs="Times New Roman"/>
                <w:sz w:val="24"/>
                <w:szCs w:val="24"/>
              </w:rPr>
              <w:t>N</w:t>
            </w:r>
          </w:p>
        </w:tc>
        <w:tc>
          <w:tcPr>
            <w:tcW w:w="1080" w:type="dxa"/>
          </w:tcPr>
          <w:p w14:paraId="22FAFC3C"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.763</w:t>
            </w:r>
          </w:p>
          <w:p w14:paraId="11AB4777"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72E16683"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4C2697F7"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.780**</w:t>
            </w:r>
          </w:p>
          <w:p w14:paraId="7FA0B99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53FDC8E6"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530" w:type="dxa"/>
          </w:tcPr>
          <w:p w14:paraId="4A110BFA"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.933**</w:t>
            </w:r>
          </w:p>
          <w:p w14:paraId="0B05494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64D9830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440" w:type="dxa"/>
          </w:tcPr>
          <w:p w14:paraId="0785B4DD"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.844**</w:t>
            </w:r>
          </w:p>
          <w:p w14:paraId="2F7830AB"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30EFD44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074" w:type="dxa"/>
          </w:tcPr>
          <w:p w14:paraId="7BB09969"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.840**</w:t>
            </w:r>
          </w:p>
          <w:p w14:paraId="40FA529F"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.000</w:t>
            </w:r>
          </w:p>
          <w:p w14:paraId="5E4072CE"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c>
          <w:tcPr>
            <w:tcW w:w="1176" w:type="dxa"/>
          </w:tcPr>
          <w:p w14:paraId="698128E4"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1</w:t>
            </w:r>
          </w:p>
          <w:p w14:paraId="1B0AADCA" w14:textId="77777777" w:rsidR="008D3090" w:rsidRPr="0044629C" w:rsidRDefault="008D3090" w:rsidP="008D3090">
            <w:pPr>
              <w:rPr>
                <w:rFonts w:ascii="Times New Roman" w:hAnsi="Times New Roman" w:cs="Times New Roman"/>
                <w:sz w:val="24"/>
                <w:szCs w:val="24"/>
              </w:rPr>
            </w:pPr>
          </w:p>
          <w:p w14:paraId="03B9D4A3" w14:textId="77777777" w:rsidR="008D3090" w:rsidRPr="0044629C" w:rsidRDefault="008D3090" w:rsidP="008D3090">
            <w:pPr>
              <w:rPr>
                <w:rFonts w:ascii="Times New Roman" w:hAnsi="Times New Roman" w:cs="Times New Roman"/>
                <w:sz w:val="24"/>
                <w:szCs w:val="24"/>
              </w:rPr>
            </w:pPr>
            <w:r w:rsidRPr="0044629C">
              <w:rPr>
                <w:rFonts w:ascii="Times New Roman" w:hAnsi="Times New Roman" w:cs="Times New Roman"/>
                <w:sz w:val="24"/>
                <w:szCs w:val="24"/>
              </w:rPr>
              <w:t>72</w:t>
            </w:r>
          </w:p>
        </w:tc>
      </w:tr>
    </w:tbl>
    <w:p w14:paraId="41FB0C90"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p>
    <w:p w14:paraId="571DCC66" w14:textId="77777777" w:rsidR="008D3090" w:rsidRPr="0044629C" w:rsidRDefault="008D3090" w:rsidP="008D3090">
      <w:pPr>
        <w:spacing w:after="0" w:line="240" w:lineRule="auto"/>
        <w:contextualSpacing/>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lastRenderedPageBreak/>
        <w:t>**Correlation is significant at the 0.01 level (2-tailed).</w:t>
      </w:r>
    </w:p>
    <w:p w14:paraId="2D3747F6" w14:textId="77777777" w:rsidR="008D3090" w:rsidRPr="0044629C" w:rsidRDefault="008D3090" w:rsidP="008D3090">
      <w:pPr>
        <w:spacing w:after="0" w:line="240" w:lineRule="auto"/>
        <w:contextualSpacing/>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     Source: Researcher’s Desk, 2025</w:t>
      </w:r>
    </w:p>
    <w:p w14:paraId="3CD07937" w14:textId="77777777" w:rsidR="008D3090" w:rsidRPr="0044629C" w:rsidRDefault="008D3090" w:rsidP="008D3090">
      <w:pPr>
        <w:spacing w:line="259" w:lineRule="auto"/>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 </w:t>
      </w:r>
    </w:p>
    <w:p w14:paraId="24C70C72"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Table 2.</w:t>
      </w:r>
    </w:p>
    <w:p w14:paraId="0335469D"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Reliability of instrument test Results</w:t>
      </w:r>
    </w:p>
    <w:p w14:paraId="2DE2964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68ACFAB0"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tbl>
      <w:tblPr>
        <w:tblStyle w:val="TableGrid4"/>
        <w:tblpPr w:leftFromText="180" w:rightFromText="180" w:vertAnchor="page" w:horzAnchor="margin" w:tblpY="2596"/>
        <w:tblW w:w="8815" w:type="dxa"/>
        <w:tblLook w:val="04A0" w:firstRow="1" w:lastRow="0" w:firstColumn="1" w:lastColumn="0" w:noHBand="0" w:noVBand="1"/>
      </w:tblPr>
      <w:tblGrid>
        <w:gridCol w:w="3775"/>
        <w:gridCol w:w="1800"/>
        <w:gridCol w:w="3240"/>
      </w:tblGrid>
      <w:tr w:rsidR="008D3090" w:rsidRPr="0044629C" w14:paraId="536ED644" w14:textId="77777777" w:rsidTr="00D00B3F">
        <w:tc>
          <w:tcPr>
            <w:tcW w:w="3775" w:type="dxa"/>
          </w:tcPr>
          <w:p w14:paraId="4F1A264D" w14:textId="77777777" w:rsidR="008D3090" w:rsidRPr="0044629C" w:rsidRDefault="008D3090" w:rsidP="008D3090">
            <w:pPr>
              <w:spacing w:line="480" w:lineRule="auto"/>
              <w:jc w:val="center"/>
              <w:rPr>
                <w:rFonts w:ascii="Times New Roman" w:hAnsi="Times New Roman" w:cs="Times New Roman"/>
                <w:b/>
                <w:sz w:val="24"/>
                <w:szCs w:val="24"/>
              </w:rPr>
            </w:pPr>
            <w:r w:rsidRPr="0044629C">
              <w:rPr>
                <w:rFonts w:ascii="Times New Roman" w:hAnsi="Times New Roman" w:cs="Times New Roman"/>
                <w:b/>
                <w:sz w:val="24"/>
                <w:szCs w:val="24"/>
              </w:rPr>
              <w:t>Variables</w:t>
            </w:r>
          </w:p>
        </w:tc>
        <w:tc>
          <w:tcPr>
            <w:tcW w:w="1800" w:type="dxa"/>
          </w:tcPr>
          <w:p w14:paraId="393C352F" w14:textId="77777777" w:rsidR="008D3090" w:rsidRPr="0044629C" w:rsidRDefault="008D3090" w:rsidP="008D3090">
            <w:pPr>
              <w:spacing w:line="480" w:lineRule="auto"/>
              <w:jc w:val="center"/>
              <w:rPr>
                <w:rFonts w:ascii="Times New Roman" w:hAnsi="Times New Roman" w:cs="Times New Roman"/>
                <w:b/>
                <w:sz w:val="24"/>
                <w:szCs w:val="24"/>
              </w:rPr>
            </w:pPr>
            <w:r w:rsidRPr="0044629C">
              <w:rPr>
                <w:rFonts w:ascii="Times New Roman" w:hAnsi="Times New Roman" w:cs="Times New Roman"/>
                <w:b/>
                <w:sz w:val="24"/>
                <w:szCs w:val="24"/>
              </w:rPr>
              <w:t>Items</w:t>
            </w:r>
          </w:p>
        </w:tc>
        <w:tc>
          <w:tcPr>
            <w:tcW w:w="3240" w:type="dxa"/>
          </w:tcPr>
          <w:p w14:paraId="55D1246A" w14:textId="77777777" w:rsidR="008D3090" w:rsidRPr="0044629C" w:rsidRDefault="008D3090" w:rsidP="008D3090">
            <w:pPr>
              <w:spacing w:line="480" w:lineRule="auto"/>
              <w:jc w:val="center"/>
              <w:rPr>
                <w:rFonts w:ascii="Times New Roman" w:hAnsi="Times New Roman" w:cs="Times New Roman"/>
                <w:b/>
                <w:sz w:val="24"/>
                <w:szCs w:val="24"/>
              </w:rPr>
            </w:pPr>
            <w:r w:rsidRPr="0044629C">
              <w:rPr>
                <w:rFonts w:ascii="Times New Roman" w:hAnsi="Times New Roman" w:cs="Times New Roman"/>
                <w:b/>
                <w:sz w:val="24"/>
                <w:szCs w:val="24"/>
              </w:rPr>
              <w:t>Alpha Coefficients</w:t>
            </w:r>
          </w:p>
        </w:tc>
      </w:tr>
      <w:tr w:rsidR="008D3090" w:rsidRPr="0044629C" w14:paraId="6EE2AC82" w14:textId="77777777" w:rsidTr="00D00B3F">
        <w:tc>
          <w:tcPr>
            <w:tcW w:w="3775" w:type="dxa"/>
          </w:tcPr>
          <w:p w14:paraId="5E1ECDC9" w14:textId="77777777" w:rsidR="008D3090" w:rsidRPr="0044629C" w:rsidRDefault="008D3090" w:rsidP="008D3090">
            <w:pPr>
              <w:spacing w:line="480" w:lineRule="auto"/>
              <w:rPr>
                <w:rFonts w:ascii="Times New Roman" w:hAnsi="Times New Roman" w:cs="Times New Roman"/>
                <w:sz w:val="24"/>
                <w:szCs w:val="24"/>
              </w:rPr>
            </w:pPr>
            <w:r w:rsidRPr="0044629C">
              <w:rPr>
                <w:rFonts w:ascii="Times New Roman" w:hAnsi="Times New Roman" w:cs="Times New Roman"/>
                <w:sz w:val="24"/>
                <w:szCs w:val="24"/>
              </w:rPr>
              <w:t xml:space="preserve">Change forcibility </w:t>
            </w:r>
          </w:p>
        </w:tc>
        <w:tc>
          <w:tcPr>
            <w:tcW w:w="1800" w:type="dxa"/>
          </w:tcPr>
          <w:p w14:paraId="5EC9851D"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4</w:t>
            </w:r>
          </w:p>
        </w:tc>
        <w:tc>
          <w:tcPr>
            <w:tcW w:w="3240" w:type="dxa"/>
          </w:tcPr>
          <w:p w14:paraId="7404955B"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0.833</w:t>
            </w:r>
          </w:p>
        </w:tc>
      </w:tr>
      <w:tr w:rsidR="008D3090" w:rsidRPr="0044629C" w14:paraId="1601D8BA" w14:textId="77777777" w:rsidTr="00D00B3F">
        <w:tc>
          <w:tcPr>
            <w:tcW w:w="3775" w:type="dxa"/>
          </w:tcPr>
          <w:p w14:paraId="0900D929" w14:textId="77777777" w:rsidR="008D3090" w:rsidRPr="0044629C" w:rsidRDefault="008D3090" w:rsidP="008D3090">
            <w:pPr>
              <w:spacing w:line="480" w:lineRule="auto"/>
              <w:rPr>
                <w:rFonts w:ascii="Times New Roman" w:hAnsi="Times New Roman" w:cs="Times New Roman"/>
                <w:sz w:val="24"/>
                <w:szCs w:val="24"/>
              </w:rPr>
            </w:pPr>
            <w:r w:rsidRPr="0044629C">
              <w:rPr>
                <w:rFonts w:ascii="Times New Roman" w:hAnsi="Times New Roman" w:cs="Times New Roman"/>
                <w:sz w:val="24"/>
                <w:szCs w:val="24"/>
              </w:rPr>
              <w:t>Opportunity utilization</w:t>
            </w:r>
          </w:p>
        </w:tc>
        <w:tc>
          <w:tcPr>
            <w:tcW w:w="1800" w:type="dxa"/>
          </w:tcPr>
          <w:p w14:paraId="0097BCF6"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4</w:t>
            </w:r>
          </w:p>
        </w:tc>
        <w:tc>
          <w:tcPr>
            <w:tcW w:w="3240" w:type="dxa"/>
          </w:tcPr>
          <w:p w14:paraId="5838CC48"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0.850</w:t>
            </w:r>
          </w:p>
        </w:tc>
      </w:tr>
      <w:tr w:rsidR="008D3090" w:rsidRPr="0044629C" w14:paraId="375335AD" w14:textId="77777777" w:rsidTr="00D00B3F">
        <w:tc>
          <w:tcPr>
            <w:tcW w:w="3775" w:type="dxa"/>
          </w:tcPr>
          <w:p w14:paraId="5FE40C18" w14:textId="77777777" w:rsidR="008D3090" w:rsidRPr="0044629C" w:rsidRDefault="008D3090" w:rsidP="008D3090">
            <w:pPr>
              <w:spacing w:line="480" w:lineRule="auto"/>
              <w:rPr>
                <w:rFonts w:ascii="Times New Roman" w:hAnsi="Times New Roman" w:cs="Times New Roman"/>
                <w:sz w:val="24"/>
                <w:szCs w:val="24"/>
              </w:rPr>
            </w:pPr>
            <w:r w:rsidRPr="0044629C">
              <w:rPr>
                <w:rFonts w:ascii="Times New Roman" w:hAnsi="Times New Roman" w:cs="Times New Roman"/>
                <w:sz w:val="24"/>
                <w:szCs w:val="24"/>
              </w:rPr>
              <w:t xml:space="preserve">Resource management </w:t>
            </w:r>
          </w:p>
        </w:tc>
        <w:tc>
          <w:tcPr>
            <w:tcW w:w="1800" w:type="dxa"/>
          </w:tcPr>
          <w:p w14:paraId="4AB0DB38"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4</w:t>
            </w:r>
          </w:p>
        </w:tc>
        <w:tc>
          <w:tcPr>
            <w:tcW w:w="3240" w:type="dxa"/>
          </w:tcPr>
          <w:p w14:paraId="7DD6DFC3"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0.845</w:t>
            </w:r>
          </w:p>
        </w:tc>
      </w:tr>
      <w:tr w:rsidR="008D3090" w:rsidRPr="0044629C" w14:paraId="2A81DEB9" w14:textId="77777777" w:rsidTr="00D00B3F">
        <w:tc>
          <w:tcPr>
            <w:tcW w:w="3775" w:type="dxa"/>
          </w:tcPr>
          <w:p w14:paraId="0E3EEED0" w14:textId="77777777" w:rsidR="008D3090" w:rsidRPr="0044629C" w:rsidRDefault="008D3090" w:rsidP="008D3090">
            <w:pPr>
              <w:spacing w:line="480" w:lineRule="auto"/>
              <w:rPr>
                <w:rFonts w:ascii="Times New Roman" w:hAnsi="Times New Roman" w:cs="Times New Roman"/>
                <w:sz w:val="24"/>
                <w:szCs w:val="24"/>
              </w:rPr>
            </w:pPr>
            <w:r w:rsidRPr="0044629C">
              <w:rPr>
                <w:rFonts w:ascii="Times New Roman" w:hAnsi="Times New Roman" w:cs="Times New Roman"/>
                <w:sz w:val="24"/>
                <w:szCs w:val="24"/>
              </w:rPr>
              <w:t xml:space="preserve">Adaptability </w:t>
            </w:r>
          </w:p>
        </w:tc>
        <w:tc>
          <w:tcPr>
            <w:tcW w:w="1800" w:type="dxa"/>
          </w:tcPr>
          <w:p w14:paraId="1F5C678C"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5</w:t>
            </w:r>
          </w:p>
        </w:tc>
        <w:tc>
          <w:tcPr>
            <w:tcW w:w="3240" w:type="dxa"/>
          </w:tcPr>
          <w:p w14:paraId="36FD325D"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0.837</w:t>
            </w:r>
          </w:p>
        </w:tc>
      </w:tr>
      <w:tr w:rsidR="008D3090" w:rsidRPr="0044629C" w14:paraId="2826DC60" w14:textId="77777777" w:rsidTr="00D00B3F">
        <w:tc>
          <w:tcPr>
            <w:tcW w:w="3775" w:type="dxa"/>
          </w:tcPr>
          <w:p w14:paraId="534A16E1" w14:textId="77777777" w:rsidR="008D3090" w:rsidRPr="0044629C" w:rsidRDefault="008D3090" w:rsidP="008D3090">
            <w:pPr>
              <w:spacing w:line="480" w:lineRule="auto"/>
              <w:rPr>
                <w:rFonts w:ascii="Times New Roman" w:hAnsi="Times New Roman" w:cs="Times New Roman"/>
                <w:sz w:val="24"/>
                <w:szCs w:val="24"/>
              </w:rPr>
            </w:pPr>
            <w:r w:rsidRPr="0044629C">
              <w:rPr>
                <w:rFonts w:ascii="Times New Roman" w:hAnsi="Times New Roman" w:cs="Times New Roman"/>
                <w:sz w:val="24"/>
                <w:szCs w:val="24"/>
              </w:rPr>
              <w:t xml:space="preserve">Survival </w:t>
            </w:r>
          </w:p>
        </w:tc>
        <w:tc>
          <w:tcPr>
            <w:tcW w:w="1800" w:type="dxa"/>
          </w:tcPr>
          <w:p w14:paraId="5C5C8E01"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4</w:t>
            </w:r>
          </w:p>
        </w:tc>
        <w:tc>
          <w:tcPr>
            <w:tcW w:w="3240" w:type="dxa"/>
          </w:tcPr>
          <w:p w14:paraId="65C09527"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0.825</w:t>
            </w:r>
          </w:p>
        </w:tc>
      </w:tr>
      <w:tr w:rsidR="008D3090" w:rsidRPr="0044629C" w14:paraId="54BB4A32" w14:textId="77777777" w:rsidTr="00D00B3F">
        <w:tc>
          <w:tcPr>
            <w:tcW w:w="3775" w:type="dxa"/>
          </w:tcPr>
          <w:p w14:paraId="75E1153B" w14:textId="77777777" w:rsidR="008D3090" w:rsidRPr="0044629C" w:rsidRDefault="008D3090" w:rsidP="008D3090">
            <w:pPr>
              <w:spacing w:line="480" w:lineRule="auto"/>
              <w:rPr>
                <w:rFonts w:ascii="Times New Roman" w:hAnsi="Times New Roman" w:cs="Times New Roman"/>
                <w:sz w:val="24"/>
                <w:szCs w:val="24"/>
              </w:rPr>
            </w:pPr>
            <w:r w:rsidRPr="0044629C">
              <w:rPr>
                <w:rFonts w:ascii="Times New Roman" w:hAnsi="Times New Roman" w:cs="Times New Roman"/>
                <w:sz w:val="24"/>
                <w:szCs w:val="24"/>
              </w:rPr>
              <w:t xml:space="preserve">Creativity </w:t>
            </w:r>
          </w:p>
        </w:tc>
        <w:tc>
          <w:tcPr>
            <w:tcW w:w="1800" w:type="dxa"/>
          </w:tcPr>
          <w:p w14:paraId="56F867C7"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4</w:t>
            </w:r>
          </w:p>
        </w:tc>
        <w:tc>
          <w:tcPr>
            <w:tcW w:w="3240" w:type="dxa"/>
          </w:tcPr>
          <w:p w14:paraId="12B21423"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0.815</w:t>
            </w:r>
          </w:p>
        </w:tc>
      </w:tr>
      <w:tr w:rsidR="008D3090" w:rsidRPr="0044629C" w14:paraId="0059E34D" w14:textId="77777777" w:rsidTr="00D00B3F">
        <w:tc>
          <w:tcPr>
            <w:tcW w:w="3775" w:type="dxa"/>
          </w:tcPr>
          <w:p w14:paraId="301A44F2" w14:textId="77777777" w:rsidR="008D3090" w:rsidRPr="0044629C" w:rsidRDefault="008D3090" w:rsidP="008D3090">
            <w:pPr>
              <w:spacing w:line="480" w:lineRule="auto"/>
              <w:rPr>
                <w:rFonts w:ascii="Times New Roman" w:hAnsi="Times New Roman" w:cs="Times New Roman"/>
                <w:sz w:val="24"/>
                <w:szCs w:val="24"/>
              </w:rPr>
            </w:pPr>
            <w:r w:rsidRPr="0044629C">
              <w:rPr>
                <w:rFonts w:ascii="Times New Roman" w:hAnsi="Times New Roman" w:cs="Times New Roman"/>
                <w:sz w:val="24"/>
                <w:szCs w:val="24"/>
              </w:rPr>
              <w:t>Total items</w:t>
            </w:r>
          </w:p>
        </w:tc>
        <w:tc>
          <w:tcPr>
            <w:tcW w:w="1800" w:type="dxa"/>
          </w:tcPr>
          <w:p w14:paraId="7AD3B726" w14:textId="77777777" w:rsidR="008D3090" w:rsidRPr="0044629C" w:rsidRDefault="008D3090" w:rsidP="008D3090">
            <w:pPr>
              <w:spacing w:line="480" w:lineRule="auto"/>
              <w:jc w:val="center"/>
              <w:rPr>
                <w:rFonts w:ascii="Times New Roman" w:hAnsi="Times New Roman" w:cs="Times New Roman"/>
                <w:sz w:val="24"/>
                <w:szCs w:val="24"/>
              </w:rPr>
            </w:pPr>
            <w:r w:rsidRPr="0044629C">
              <w:rPr>
                <w:rFonts w:ascii="Times New Roman" w:hAnsi="Times New Roman" w:cs="Times New Roman"/>
                <w:sz w:val="24"/>
                <w:szCs w:val="24"/>
              </w:rPr>
              <w:t>25</w:t>
            </w:r>
          </w:p>
        </w:tc>
        <w:tc>
          <w:tcPr>
            <w:tcW w:w="3240" w:type="dxa"/>
          </w:tcPr>
          <w:p w14:paraId="272638B3" w14:textId="77777777" w:rsidR="008D3090" w:rsidRPr="0044629C" w:rsidRDefault="008D3090" w:rsidP="008D3090">
            <w:pPr>
              <w:spacing w:line="480" w:lineRule="auto"/>
              <w:jc w:val="center"/>
              <w:rPr>
                <w:rFonts w:ascii="Times New Roman" w:hAnsi="Times New Roman" w:cs="Times New Roman"/>
                <w:sz w:val="24"/>
                <w:szCs w:val="24"/>
              </w:rPr>
            </w:pPr>
          </w:p>
        </w:tc>
      </w:tr>
    </w:tbl>
    <w:p w14:paraId="1371C443" w14:textId="77777777" w:rsidR="008D3090" w:rsidRPr="0044629C" w:rsidRDefault="008D3090" w:rsidP="008D3090">
      <w:pPr>
        <w:spacing w:line="259" w:lineRule="auto"/>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Source: Researcher’s Desk, 2025</w:t>
      </w:r>
    </w:p>
    <w:p w14:paraId="0E82F62B" w14:textId="77777777" w:rsidR="008D3090" w:rsidRPr="0044629C" w:rsidRDefault="008D3090" w:rsidP="008D3090">
      <w:pPr>
        <w:spacing w:line="360" w:lineRule="auto"/>
        <w:jc w:val="both"/>
        <w:rPr>
          <w:rFonts w:ascii="Times New Roman" w:eastAsia="Calibri" w:hAnsi="Times New Roman" w:cs="Times New Roman"/>
          <w:kern w:val="0"/>
          <w14:ligatures w14:val="none"/>
        </w:rPr>
      </w:pPr>
    </w:p>
    <w:p w14:paraId="512A7777" w14:textId="77777777" w:rsidR="008D3090" w:rsidRPr="0044629C" w:rsidRDefault="008D3090" w:rsidP="0044629C">
      <w:pPr>
        <w:spacing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Hence, the results, as indicated in Table 1, show that the research instrument was reliable for data collection. The statistical tools utilized in this study were descriptive and inferential statistics. The descriptive statistic consisted of the mean and standard deviation, while the inferential statistic was the product moment correlation coefficient, because it is used to establish relationships between two or more variables at a given time. The descriptive statistic was used to analyze the demographic variables of respondents, while the Pearson Product Moment Correlation Coefficient was used to test hypotheses with the aid of SPSS version 26.0.</w:t>
      </w:r>
      <w:r w:rsidRPr="0044629C">
        <w:rPr>
          <w:rFonts w:ascii="Times New Roman" w:eastAsia="Calibri" w:hAnsi="Times New Roman" w:cs="Times New Roman"/>
          <w:kern w:val="0"/>
          <w14:ligatures w14:val="none"/>
        </w:rPr>
        <w:cr/>
      </w:r>
    </w:p>
    <w:p w14:paraId="6535E3D4" w14:textId="0B002C31" w:rsidR="008D3090"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Discussion of Findings</w:t>
      </w:r>
    </w:p>
    <w:p w14:paraId="05B67CE7" w14:textId="77777777" w:rsidR="0044629C" w:rsidRPr="0044629C" w:rsidRDefault="0044629C" w:rsidP="0044629C">
      <w:pPr>
        <w:spacing w:after="0" w:line="240" w:lineRule="auto"/>
        <w:ind w:left="720" w:hanging="720"/>
        <w:jc w:val="both"/>
        <w:rPr>
          <w:rFonts w:ascii="Times New Roman" w:eastAsia="Calibri" w:hAnsi="Times New Roman" w:cs="Times New Roman"/>
          <w:b/>
          <w:kern w:val="0"/>
          <w14:ligatures w14:val="none"/>
        </w:rPr>
      </w:pPr>
    </w:p>
    <w:p w14:paraId="5F7238FF"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 outcome of the analysis showed that there is a significant relationship between entrepreneurial mindset and strategic renewal of SME businesses in Rivers State. This is shown in the positive and significant relationship that change forcibility, opportunity Utilization and resource management have on adaptability and survival. The relationship between change forcibility and adaptability is significant and consistent with a study by Zollo and Winter (2002), who found that firms that are more effective at foreseeing changes in their environment are better able to adapt their strategies and structures to new conditions, leading to higher levels of adaptability. The significant relationship between </w:t>
      </w:r>
      <w:proofErr w:type="spellStart"/>
      <w:r w:rsidRPr="0044629C">
        <w:rPr>
          <w:rFonts w:ascii="Times New Roman" w:eastAsia="Calibri" w:hAnsi="Times New Roman" w:cs="Times New Roman"/>
          <w:kern w:val="0"/>
          <w14:ligatures w14:val="none"/>
        </w:rPr>
        <w:t>forseaing</w:t>
      </w:r>
      <w:proofErr w:type="spellEnd"/>
      <w:r w:rsidRPr="0044629C">
        <w:rPr>
          <w:rFonts w:ascii="Times New Roman" w:eastAsia="Calibri" w:hAnsi="Times New Roman" w:cs="Times New Roman"/>
          <w:kern w:val="0"/>
          <w14:ligatures w14:val="none"/>
        </w:rPr>
        <w:t xml:space="preserve"> changes and survival is consistent with Eisenhardt and Martin's (2000) study, which found that firms that are able to   </w:t>
      </w:r>
      <w:proofErr w:type="spellStart"/>
      <w:r w:rsidRPr="0044629C">
        <w:rPr>
          <w:rFonts w:ascii="Times New Roman" w:eastAsia="Calibri" w:hAnsi="Times New Roman" w:cs="Times New Roman"/>
          <w:kern w:val="0"/>
          <w14:ligatures w14:val="none"/>
        </w:rPr>
        <w:t>forsea</w:t>
      </w:r>
      <w:proofErr w:type="spellEnd"/>
      <w:r w:rsidRPr="0044629C">
        <w:rPr>
          <w:rFonts w:ascii="Times New Roman" w:eastAsia="Calibri" w:hAnsi="Times New Roman" w:cs="Times New Roman"/>
          <w:kern w:val="0"/>
          <w14:ligatures w14:val="none"/>
        </w:rPr>
        <w:t xml:space="preserve"> changes in their environment early and accurately are more likely to survive in turbulent environments, highlighting the importance of </w:t>
      </w:r>
      <w:proofErr w:type="spellStart"/>
      <w:r w:rsidRPr="0044629C">
        <w:rPr>
          <w:rFonts w:ascii="Times New Roman" w:eastAsia="Calibri" w:hAnsi="Times New Roman" w:cs="Times New Roman"/>
          <w:kern w:val="0"/>
          <w14:ligatures w14:val="none"/>
        </w:rPr>
        <w:t>forseaing</w:t>
      </w:r>
      <w:proofErr w:type="spellEnd"/>
      <w:r w:rsidRPr="0044629C">
        <w:rPr>
          <w:rFonts w:ascii="Times New Roman" w:eastAsia="Calibri" w:hAnsi="Times New Roman" w:cs="Times New Roman"/>
          <w:kern w:val="0"/>
          <w14:ligatures w14:val="none"/>
        </w:rPr>
        <w:t xml:space="preserve"> changes for survival. The significant relationship between opportunity Utilization and adaptability is supported by Zahra et al., (2006) as they found that firms that are more proactive in seizing possibilities and transforming their resource base are more adaptable and able to respond effectively to changes in their environment. The significant relationship between opportunity Utilization and survival is supported by the study by Hitt et al. (2001). They found that companies that can recognize and leverage opportunities in their environment are more likely to survive and thrive, highlighting the importance of opportunity Utilization for survival. The significant relationship between resource management and survival is supported by the study by Teece et al. (1997) which said that firms with dynamic capabilities, like the ability to change how their resources are set up in response to changing environments, are more flexible and can gain a long-term competitive edge. `The significant relationship between resource management and survival is consistent with Priem and Butler's (2001) study, which found that firms that are able to effectively manage their resources to meet changing market demands are more likely to survive </w:t>
      </w:r>
      <w:r w:rsidRPr="0044629C">
        <w:rPr>
          <w:rFonts w:ascii="Times New Roman" w:eastAsia="Calibri" w:hAnsi="Times New Roman" w:cs="Times New Roman"/>
          <w:kern w:val="0"/>
          <w14:ligatures w14:val="none"/>
        </w:rPr>
        <w:lastRenderedPageBreak/>
        <w:t>and succeed in the long term.</w:t>
      </w:r>
      <w:r w:rsidRPr="0044629C">
        <w:rPr>
          <w:rFonts w:ascii="Times New Roman" w:eastAsia="Calibri" w:hAnsi="Times New Roman" w:cs="Times New Roman"/>
          <w:kern w:val="0"/>
          <w14:ligatures w14:val="none"/>
        </w:rPr>
        <w:cr/>
      </w:r>
    </w:p>
    <w:p w14:paraId="3C016794" w14:textId="4A8D12AC" w:rsidR="008D3090" w:rsidRPr="0044629C" w:rsidRDefault="008D3090" w:rsidP="0044629C">
      <w:pPr>
        <w:pStyle w:val="ListParagraph"/>
        <w:numPr>
          <w:ilvl w:val="1"/>
          <w:numId w:val="18"/>
        </w:numPr>
        <w:spacing w:after="0" w:line="240" w:lineRule="auto"/>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Conclusion and Recommendation</w:t>
      </w:r>
    </w:p>
    <w:p w14:paraId="24A434DF" w14:textId="77777777" w:rsidR="0044629C" w:rsidRPr="0044629C" w:rsidRDefault="0044629C" w:rsidP="0044629C">
      <w:pPr>
        <w:pStyle w:val="ListParagraph"/>
        <w:numPr>
          <w:ilvl w:val="1"/>
          <w:numId w:val="18"/>
        </w:numPr>
        <w:spacing w:after="0" w:line="240" w:lineRule="auto"/>
        <w:jc w:val="both"/>
        <w:rPr>
          <w:rFonts w:ascii="Times New Roman" w:eastAsia="Calibri" w:hAnsi="Times New Roman" w:cs="Times New Roman"/>
          <w:b/>
          <w:kern w:val="0"/>
          <w14:ligatures w14:val="none"/>
        </w:rPr>
      </w:pPr>
    </w:p>
    <w:p w14:paraId="4E105628" w14:textId="77777777" w:rsid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The study identified a strong link between entrepreneurial mindset and strategic renewal in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businesses in Rivers State. Recognizing changes, opportunity Utilization, and resource management significantly impact adaptability and survival. Entrepreneurs that can detect environmental shifts adjust their strategies effectively, enhancing adaptability. Similarly, entrepreneurs that identify changes early tend to thrive in unstable environments. Proactively utilizing opportunities and managing resources fosters greater adaptability, while those that leverage opportunities are more likely to survive and prosper. Additionally, firms that can adequately manage resources in response to market changes maintain flexibility and gain a competitive edge, which is crucial for long-term success.</w:t>
      </w:r>
    </w:p>
    <w:p w14:paraId="1CEF638C" w14:textId="63C60C8E" w:rsidR="008D3090" w:rsidRPr="0044629C" w:rsidRDefault="008D3090" w:rsidP="0044629C">
      <w:p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Creativity in turn has a positive impact on Entrepreneurial mindset and also mediates the relationship between the Entrepreneurial Mindset and sustainability, which leads to a significant correlation between the Entrepreneurial Mindset and all the other studied variables (adaptability and survival). Implementing an entrepreneurial mindset and creativity in the workplace is one of the most significant criteria for the long-term competitiveness and sustainability of the achievement of </w:t>
      </w:r>
      <w:proofErr w:type="spellStart"/>
      <w:r w:rsidRPr="0044629C">
        <w:rPr>
          <w:rFonts w:ascii="Times New Roman" w:eastAsia="Calibri" w:hAnsi="Times New Roman" w:cs="Times New Roman"/>
          <w:kern w:val="0"/>
          <w14:ligatures w14:val="none"/>
        </w:rPr>
        <w:t>organisational</w:t>
      </w:r>
      <w:proofErr w:type="spellEnd"/>
      <w:r w:rsidRPr="0044629C">
        <w:rPr>
          <w:rFonts w:ascii="Times New Roman" w:eastAsia="Calibri" w:hAnsi="Times New Roman" w:cs="Times New Roman"/>
          <w:kern w:val="0"/>
          <w14:ligatures w14:val="none"/>
        </w:rPr>
        <w:t xml:space="preserve"> goals (</w:t>
      </w:r>
      <w:proofErr w:type="spellStart"/>
      <w:r w:rsidRPr="0044629C">
        <w:rPr>
          <w:rFonts w:ascii="Times New Roman" w:eastAsia="Calibri" w:hAnsi="Times New Roman" w:cs="Times New Roman"/>
          <w:kern w:val="0"/>
          <w14:ligatures w14:val="none"/>
        </w:rPr>
        <w:t>Altahat</w:t>
      </w:r>
      <w:proofErr w:type="spellEnd"/>
      <w:r w:rsidRPr="0044629C">
        <w:rPr>
          <w:rFonts w:ascii="Times New Roman" w:eastAsia="Calibri" w:hAnsi="Times New Roman" w:cs="Times New Roman"/>
          <w:kern w:val="0"/>
          <w14:ligatures w14:val="none"/>
        </w:rPr>
        <w:t xml:space="preserve">, 2018). </w:t>
      </w:r>
    </w:p>
    <w:p w14:paraId="26CAAFFA"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p>
    <w:p w14:paraId="48CDD38D" w14:textId="77777777" w:rsidR="008D3090" w:rsidRPr="0044629C" w:rsidRDefault="008D3090" w:rsidP="0044629C">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 xml:space="preserve">Recommendations </w:t>
      </w:r>
      <w:r w:rsidRPr="0044629C">
        <w:rPr>
          <w:rFonts w:ascii="Times New Roman" w:eastAsia="Calibri" w:hAnsi="Times New Roman" w:cs="Times New Roman"/>
          <w:b/>
          <w:kern w:val="0"/>
          <w14:ligatures w14:val="none"/>
        </w:rPr>
        <w:cr/>
      </w:r>
    </w:p>
    <w:p w14:paraId="1B3997E0" w14:textId="77777777" w:rsidR="008D3090" w:rsidRPr="0044629C" w:rsidRDefault="008D3090" w:rsidP="0044629C">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Managers in </w:t>
      </w:r>
      <w:proofErr w:type="spellStart"/>
      <w:r w:rsidRPr="0044629C">
        <w:rPr>
          <w:rFonts w:ascii="Times New Roman" w:eastAsia="Calibri" w:hAnsi="Times New Roman" w:cs="Times New Roman"/>
          <w:kern w:val="0"/>
          <w14:ligatures w14:val="none"/>
        </w:rPr>
        <w:t>sme's</w:t>
      </w:r>
      <w:proofErr w:type="spellEnd"/>
      <w:r w:rsidRPr="0044629C">
        <w:rPr>
          <w:rFonts w:ascii="Times New Roman" w:eastAsia="Calibri" w:hAnsi="Times New Roman" w:cs="Times New Roman"/>
          <w:kern w:val="0"/>
          <w14:ligatures w14:val="none"/>
        </w:rPr>
        <w:t xml:space="preserve"> businesses in Rivers State should take the following actions:</w:t>
      </w:r>
      <w:r w:rsidRPr="0044629C">
        <w:rPr>
          <w:rFonts w:ascii="Times New Roman" w:eastAsia="Calibri" w:hAnsi="Times New Roman" w:cs="Times New Roman"/>
          <w:kern w:val="0"/>
          <w14:ligatures w14:val="none"/>
        </w:rPr>
        <w:cr/>
      </w:r>
    </w:p>
    <w:p w14:paraId="0B842314" w14:textId="77777777" w:rsidR="008D3090" w:rsidRPr="0044629C" w:rsidRDefault="008D3090" w:rsidP="0044629C">
      <w:pPr>
        <w:numPr>
          <w:ilvl w:val="0"/>
          <w:numId w:val="41"/>
        </w:numPr>
        <w:spacing w:after="0" w:line="240" w:lineRule="auto"/>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Identify Changes: Entrepreneurs should actively monitor market trends and shifts in consumer preferences. Recognizing changes early allows them to adapt their strategies which enhances their flexibility.</w:t>
      </w:r>
    </w:p>
    <w:p w14:paraId="67425A4E"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p>
    <w:p w14:paraId="778F4A55" w14:textId="77777777" w:rsidR="008D3090" w:rsidRPr="0044629C" w:rsidRDefault="008D3090" w:rsidP="0044629C">
      <w:pPr>
        <w:numPr>
          <w:ilvl w:val="0"/>
          <w:numId w:val="41"/>
        </w:numPr>
        <w:spacing w:after="0" w:line="240" w:lineRule="auto"/>
        <w:ind w:left="720" w:hanging="36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Opportunity Utilization: By proactively pursuing new market opportunities, entrepreneurs can align their resources to meet demand. This approach boosts adaptability and increases the chances of success in a competitive landscape.</w:t>
      </w:r>
      <w:r w:rsidRPr="0044629C">
        <w:rPr>
          <w:rFonts w:ascii="Times New Roman" w:eastAsia="Calibri" w:hAnsi="Times New Roman" w:cs="Times New Roman"/>
          <w:kern w:val="0"/>
          <w14:ligatures w14:val="none"/>
        </w:rPr>
        <w:cr/>
      </w:r>
    </w:p>
    <w:p w14:paraId="4F23A394" w14:textId="77777777" w:rsidR="008D3090" w:rsidRPr="0044629C" w:rsidRDefault="008D3090" w:rsidP="0044629C">
      <w:pPr>
        <w:numPr>
          <w:ilvl w:val="0"/>
          <w:numId w:val="41"/>
        </w:numPr>
        <w:spacing w:after="0" w:line="240" w:lineRule="auto"/>
        <w:ind w:left="720" w:hanging="36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Resource management: Entrepreneurs need to be willing to adjust their resource allocations as necessary. This capability helps them maintain relevance and achieve a competitive advantage in changing environments.</w:t>
      </w:r>
      <w:r w:rsidRPr="0044629C">
        <w:rPr>
          <w:rFonts w:ascii="Times New Roman" w:eastAsia="Calibri" w:hAnsi="Times New Roman" w:cs="Times New Roman"/>
          <w:kern w:val="0"/>
          <w14:ligatures w14:val="none"/>
        </w:rPr>
        <w:cr/>
      </w:r>
    </w:p>
    <w:p w14:paraId="2547329E" w14:textId="77777777" w:rsidR="008D3090" w:rsidRPr="0044629C" w:rsidRDefault="008D3090" w:rsidP="0044629C">
      <w:pPr>
        <w:numPr>
          <w:ilvl w:val="0"/>
          <w:numId w:val="41"/>
        </w:numPr>
        <w:spacing w:after="0" w:line="240" w:lineRule="auto"/>
        <w:ind w:left="720" w:hanging="36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Foster Adaptability: Encouraging a culture of adaptability within the organization prepares businesses to respond effectively to unforeseen challenges and market shifts.</w:t>
      </w:r>
      <w:r w:rsidRPr="0044629C">
        <w:rPr>
          <w:rFonts w:ascii="Times New Roman" w:eastAsia="Calibri" w:hAnsi="Times New Roman" w:cs="Times New Roman"/>
          <w:kern w:val="0"/>
          <w14:ligatures w14:val="none"/>
        </w:rPr>
        <w:cr/>
      </w:r>
    </w:p>
    <w:p w14:paraId="376DA6AC" w14:textId="77777777" w:rsidR="008D3090" w:rsidRPr="0044629C" w:rsidRDefault="008D3090" w:rsidP="0044629C">
      <w:pPr>
        <w:numPr>
          <w:ilvl w:val="0"/>
          <w:numId w:val="41"/>
        </w:numPr>
        <w:spacing w:after="0" w:line="240" w:lineRule="auto"/>
        <w:ind w:left="720" w:hanging="36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Ensure Survival: By integrating </w:t>
      </w:r>
      <w:proofErr w:type="gramStart"/>
      <w:r w:rsidRPr="0044629C">
        <w:rPr>
          <w:rFonts w:ascii="Times New Roman" w:eastAsia="Calibri" w:hAnsi="Times New Roman" w:cs="Times New Roman"/>
          <w:kern w:val="0"/>
          <w14:ligatures w14:val="none"/>
        </w:rPr>
        <w:t>these mindset</w:t>
      </w:r>
      <w:proofErr w:type="gramEnd"/>
      <w:r w:rsidRPr="0044629C">
        <w:rPr>
          <w:rFonts w:ascii="Times New Roman" w:eastAsia="Calibri" w:hAnsi="Times New Roman" w:cs="Times New Roman"/>
          <w:kern w:val="0"/>
          <w14:ligatures w14:val="none"/>
        </w:rPr>
        <w:t>, entrepreneurs enhance their business' resilience, ensuring long-term survival in a volatile market.</w:t>
      </w:r>
    </w:p>
    <w:p w14:paraId="049FF512" w14:textId="77777777" w:rsidR="008D3090" w:rsidRPr="0044629C" w:rsidRDefault="008D3090" w:rsidP="0044629C">
      <w:pPr>
        <w:spacing w:after="0" w:line="240" w:lineRule="auto"/>
        <w:jc w:val="both"/>
        <w:rPr>
          <w:rFonts w:ascii="Times New Roman" w:eastAsia="Calibri" w:hAnsi="Times New Roman" w:cs="Times New Roman"/>
          <w:kern w:val="0"/>
          <w14:ligatures w14:val="none"/>
        </w:rPr>
      </w:pPr>
    </w:p>
    <w:p w14:paraId="07896C30" w14:textId="77777777" w:rsidR="008D3090" w:rsidRPr="0044629C" w:rsidRDefault="008D3090" w:rsidP="0044629C">
      <w:pPr>
        <w:numPr>
          <w:ilvl w:val="0"/>
          <w:numId w:val="41"/>
        </w:numPr>
        <w:spacing w:after="0" w:line="240" w:lineRule="auto"/>
        <w:ind w:left="720" w:hanging="36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Creativity: Creativity seeks to inspire the workforce and allow the entrepreneurs to identify opportunities by making their businesses more adaptable in their decisions. </w:t>
      </w:r>
    </w:p>
    <w:p w14:paraId="3E082D34"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5ABAED78"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5034FCAB"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p>
    <w:p w14:paraId="1BCE116D"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p>
    <w:p w14:paraId="4B7F4C40" w14:textId="77777777" w:rsidR="008D3090" w:rsidRPr="0044629C" w:rsidRDefault="008D3090" w:rsidP="008D3090">
      <w:pPr>
        <w:spacing w:after="0" w:line="240" w:lineRule="auto"/>
        <w:ind w:left="720" w:hanging="720"/>
        <w:jc w:val="both"/>
        <w:rPr>
          <w:rFonts w:ascii="Times New Roman" w:eastAsia="Calibri" w:hAnsi="Times New Roman" w:cs="Times New Roman"/>
          <w:b/>
          <w:kern w:val="0"/>
          <w14:ligatures w14:val="none"/>
        </w:rPr>
      </w:pPr>
      <w:r w:rsidRPr="0044629C">
        <w:rPr>
          <w:rFonts w:ascii="Times New Roman" w:eastAsia="Calibri" w:hAnsi="Times New Roman" w:cs="Times New Roman"/>
          <w:b/>
          <w:kern w:val="0"/>
          <w14:ligatures w14:val="none"/>
        </w:rPr>
        <w:t>References</w:t>
      </w:r>
    </w:p>
    <w:p w14:paraId="6D9D224B"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4039786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Abbett, L., Coldham, A., &amp; Whisnant, R. (2010). Organizational culture and the success of corporate sustainability initiatives: An empirical analysis</w:t>
      </w:r>
      <w:r w:rsidRPr="0044629C">
        <w:rPr>
          <w:rFonts w:ascii="Times New Roman" w:eastAsia="Calibri" w:hAnsi="Times New Roman" w:cs="Times New Roman"/>
          <w:i/>
          <w:kern w:val="0"/>
          <w14:ligatures w14:val="none"/>
        </w:rPr>
        <w:t>. Journal of Business Ethics, 95</w:t>
      </w:r>
      <w:r w:rsidRPr="0044629C">
        <w:rPr>
          <w:rFonts w:ascii="Times New Roman" w:eastAsia="Calibri" w:hAnsi="Times New Roman" w:cs="Times New Roman"/>
          <w:kern w:val="0"/>
          <w14:ligatures w14:val="none"/>
        </w:rPr>
        <w:t>(3), 457-472.</w:t>
      </w:r>
      <w:r w:rsidRPr="0044629C">
        <w:rPr>
          <w:rFonts w:ascii="Times New Roman" w:eastAsia="Calibri" w:hAnsi="Times New Roman" w:cs="Times New Roman"/>
          <w:kern w:val="0"/>
          <w14:ligatures w14:val="none"/>
        </w:rPr>
        <w:cr/>
      </w:r>
    </w:p>
    <w:p w14:paraId="77CDDE10"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lastRenderedPageBreak/>
        <w:t>Abernathy, W. J., &amp; Utterback, J. M. (1988). Innovation and the evolution of technology in the firm. In Research on Technological Innovation, Management and Policy, 4, 25-36).  Emerald Group Publishing Limited.</w:t>
      </w:r>
      <w:r w:rsidRPr="0044629C">
        <w:rPr>
          <w:rFonts w:ascii="Times New Roman" w:eastAsia="Calibri" w:hAnsi="Times New Roman" w:cs="Times New Roman"/>
          <w:kern w:val="0"/>
          <w14:ligatures w14:val="none"/>
        </w:rPr>
        <w:cr/>
      </w:r>
    </w:p>
    <w:p w14:paraId="2FCCFE4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t>Adetoro</w:t>
      </w:r>
      <w:proofErr w:type="spellEnd"/>
      <w:r w:rsidRPr="0044629C">
        <w:rPr>
          <w:rFonts w:ascii="Times New Roman" w:eastAsia="Calibri" w:hAnsi="Times New Roman" w:cs="Times New Roman"/>
          <w:kern w:val="0"/>
          <w14:ligatures w14:val="none"/>
        </w:rPr>
        <w:t xml:space="preserve">, O. J. (2011). Strategic renewal for innovative development in Nigerian manufacturing enterprises. </w:t>
      </w:r>
      <w:r w:rsidRPr="0044629C">
        <w:rPr>
          <w:rFonts w:ascii="Times New Roman" w:eastAsia="Calibri" w:hAnsi="Times New Roman" w:cs="Times New Roman"/>
          <w:i/>
          <w:kern w:val="0"/>
          <w14:ligatures w14:val="none"/>
        </w:rPr>
        <w:t>Journal of Business Strategy, 32</w:t>
      </w:r>
      <w:r w:rsidRPr="0044629C">
        <w:rPr>
          <w:rFonts w:ascii="Times New Roman" w:eastAsia="Calibri" w:hAnsi="Times New Roman" w:cs="Times New Roman"/>
          <w:kern w:val="0"/>
          <w14:ligatures w14:val="none"/>
        </w:rPr>
        <w:t>(2), 32-40.</w:t>
      </w:r>
      <w:r w:rsidRPr="0044629C">
        <w:rPr>
          <w:rFonts w:ascii="Times New Roman" w:eastAsia="Calibri" w:hAnsi="Times New Roman" w:cs="Times New Roman"/>
          <w:kern w:val="0"/>
          <w14:ligatures w14:val="none"/>
        </w:rPr>
        <w:cr/>
      </w:r>
    </w:p>
    <w:p w14:paraId="6644BECA"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Alarcón, D., &amp; Sánchez, J. A. (2016). Assessing the impact of strategic renewal on firm performance: Evidence from Colombian SMEs. </w:t>
      </w:r>
      <w:r w:rsidRPr="0044629C">
        <w:rPr>
          <w:rFonts w:ascii="Times New Roman" w:eastAsia="Calibri" w:hAnsi="Times New Roman" w:cs="Times New Roman"/>
          <w:i/>
          <w:kern w:val="0"/>
          <w14:ligatures w14:val="none"/>
        </w:rPr>
        <w:t>Journal of Business Research, 69</w:t>
      </w:r>
      <w:r w:rsidRPr="0044629C">
        <w:rPr>
          <w:rFonts w:ascii="Times New Roman" w:eastAsia="Calibri" w:hAnsi="Times New Roman" w:cs="Times New Roman"/>
          <w:kern w:val="0"/>
          <w14:ligatures w14:val="none"/>
        </w:rPr>
        <w:t>(5), 1663-1670.</w:t>
      </w:r>
      <w:r w:rsidRPr="0044629C">
        <w:rPr>
          <w:rFonts w:ascii="Times New Roman" w:eastAsia="Calibri" w:hAnsi="Times New Roman" w:cs="Times New Roman"/>
          <w:kern w:val="0"/>
          <w14:ligatures w14:val="none"/>
        </w:rPr>
        <w:cr/>
      </w:r>
    </w:p>
    <w:p w14:paraId="76583E05"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Alavi, M., &amp; Carlson, P. (1992). A review of MIS research and disciplinary development. </w:t>
      </w:r>
      <w:r w:rsidRPr="0044629C">
        <w:rPr>
          <w:rFonts w:ascii="Times New Roman" w:eastAsia="Calibri" w:hAnsi="Times New Roman" w:cs="Times New Roman"/>
          <w:i/>
          <w:kern w:val="0"/>
          <w14:ligatures w14:val="none"/>
        </w:rPr>
        <w:t>Journal of Management Information Systems, 8</w:t>
      </w:r>
      <w:r w:rsidRPr="0044629C">
        <w:rPr>
          <w:rFonts w:ascii="Times New Roman" w:eastAsia="Calibri" w:hAnsi="Times New Roman" w:cs="Times New Roman"/>
          <w:kern w:val="0"/>
          <w14:ligatures w14:val="none"/>
        </w:rPr>
        <w:t>(4), 45-62.</w:t>
      </w:r>
      <w:r w:rsidRPr="0044629C">
        <w:rPr>
          <w:rFonts w:ascii="Times New Roman" w:eastAsia="Calibri" w:hAnsi="Times New Roman" w:cs="Times New Roman"/>
          <w:kern w:val="0"/>
          <w14:ligatures w14:val="none"/>
        </w:rPr>
        <w:cr/>
      </w:r>
    </w:p>
    <w:p w14:paraId="32504293"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Aldrich, H. E., &amp; Ruef, M. (2006). Organizations evolving (2nd ed.). Sage Publications.</w:t>
      </w:r>
      <w:r w:rsidRPr="0044629C">
        <w:rPr>
          <w:rFonts w:ascii="Times New Roman" w:eastAsia="Calibri" w:hAnsi="Times New Roman" w:cs="Times New Roman"/>
          <w:kern w:val="0"/>
          <w14:ligatures w14:val="none"/>
        </w:rPr>
        <w:cr/>
      </w:r>
    </w:p>
    <w:p w14:paraId="4C16C583"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20A410B4"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Amorós, J. E., Bosma, N., &amp; Levie, J. (2016). Global entrepreneurship monitor: 2015/16 Global Report. GEM Consortium.</w:t>
      </w:r>
      <w:r w:rsidRPr="0044629C">
        <w:rPr>
          <w:rFonts w:ascii="Times New Roman" w:eastAsia="Calibri" w:hAnsi="Times New Roman" w:cs="Times New Roman"/>
          <w:kern w:val="0"/>
          <w14:ligatures w14:val="none"/>
        </w:rPr>
        <w:cr/>
      </w:r>
    </w:p>
    <w:p w14:paraId="51218243"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Autio, E. (2015). Technology-based new firms in innovation networks. Routledge.</w:t>
      </w:r>
      <w:r w:rsidRPr="0044629C">
        <w:rPr>
          <w:rFonts w:ascii="Times New Roman" w:eastAsia="Calibri" w:hAnsi="Times New Roman" w:cs="Times New Roman"/>
          <w:kern w:val="0"/>
          <w14:ligatures w14:val="none"/>
        </w:rPr>
        <w:cr/>
      </w:r>
    </w:p>
    <w:p w14:paraId="0D8F1903"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Baden-Fuller, C., &amp; </w:t>
      </w:r>
      <w:proofErr w:type="spellStart"/>
      <w:r w:rsidRPr="0044629C">
        <w:rPr>
          <w:rFonts w:ascii="Times New Roman" w:eastAsia="Calibri" w:hAnsi="Times New Roman" w:cs="Times New Roman"/>
          <w:kern w:val="0"/>
          <w14:ligatures w14:val="none"/>
        </w:rPr>
        <w:t>Volberda</w:t>
      </w:r>
      <w:proofErr w:type="spellEnd"/>
      <w:r w:rsidRPr="0044629C">
        <w:rPr>
          <w:rFonts w:ascii="Times New Roman" w:eastAsia="Calibri" w:hAnsi="Times New Roman" w:cs="Times New Roman"/>
          <w:kern w:val="0"/>
          <w14:ligatures w14:val="none"/>
        </w:rPr>
        <w:t>, H. W. (1997). Strategic renewal in large complex organizations: A competence-based view. In A. Heene &amp; R. Sanchez (Eds.), Competence-based strategic management, 89-110. John Wiley &amp; Sons.</w:t>
      </w:r>
      <w:r w:rsidRPr="0044629C">
        <w:rPr>
          <w:rFonts w:ascii="Times New Roman" w:eastAsia="Calibri" w:hAnsi="Times New Roman" w:cs="Times New Roman"/>
          <w:kern w:val="0"/>
          <w14:ligatures w14:val="none"/>
        </w:rPr>
        <w:cr/>
      </w:r>
    </w:p>
    <w:p w14:paraId="45BF454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Brush, C. G., </w:t>
      </w:r>
      <w:proofErr w:type="spellStart"/>
      <w:r w:rsidRPr="0044629C">
        <w:rPr>
          <w:rFonts w:ascii="Times New Roman" w:eastAsia="Calibri" w:hAnsi="Times New Roman" w:cs="Times New Roman"/>
          <w:kern w:val="0"/>
          <w14:ligatures w14:val="none"/>
        </w:rPr>
        <w:t>Ceru</w:t>
      </w:r>
      <w:proofErr w:type="spellEnd"/>
      <w:r w:rsidRPr="0044629C">
        <w:rPr>
          <w:rFonts w:ascii="Times New Roman" w:eastAsia="Calibri" w:hAnsi="Times New Roman" w:cs="Times New Roman"/>
          <w:kern w:val="0"/>
          <w14:ligatures w14:val="none"/>
        </w:rPr>
        <w:t xml:space="preserve">, D. J., &amp; Blackburn, R. (2009). Pathways to entrepreneurial growth: The influence of management, marketing, and money. </w:t>
      </w:r>
      <w:r w:rsidRPr="0044629C">
        <w:rPr>
          <w:rFonts w:ascii="Times New Roman" w:eastAsia="Calibri" w:hAnsi="Times New Roman" w:cs="Times New Roman"/>
          <w:i/>
          <w:kern w:val="0"/>
          <w14:ligatures w14:val="none"/>
        </w:rPr>
        <w:t>Business Horizons, 52</w:t>
      </w:r>
      <w:r w:rsidRPr="0044629C">
        <w:rPr>
          <w:rFonts w:ascii="Times New Roman" w:eastAsia="Calibri" w:hAnsi="Times New Roman" w:cs="Times New Roman"/>
          <w:kern w:val="0"/>
          <w14:ligatures w14:val="none"/>
        </w:rPr>
        <w:t>(5), 481-491.</w:t>
      </w:r>
      <w:r w:rsidRPr="0044629C">
        <w:rPr>
          <w:rFonts w:ascii="Times New Roman" w:eastAsia="Calibri" w:hAnsi="Times New Roman" w:cs="Times New Roman"/>
          <w:kern w:val="0"/>
          <w14:ligatures w14:val="none"/>
        </w:rPr>
        <w:cr/>
      </w:r>
    </w:p>
    <w:p w14:paraId="55D2AA89"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Bruton, G. D., Ahlstrom, D., &amp; </w:t>
      </w:r>
      <w:proofErr w:type="spellStart"/>
      <w:r w:rsidRPr="0044629C">
        <w:rPr>
          <w:rFonts w:ascii="Times New Roman" w:eastAsia="Calibri" w:hAnsi="Times New Roman" w:cs="Times New Roman"/>
          <w:kern w:val="0"/>
          <w14:ligatures w14:val="none"/>
        </w:rPr>
        <w:t>Obloj</w:t>
      </w:r>
      <w:proofErr w:type="spellEnd"/>
      <w:r w:rsidRPr="0044629C">
        <w:rPr>
          <w:rFonts w:ascii="Times New Roman" w:eastAsia="Calibri" w:hAnsi="Times New Roman" w:cs="Times New Roman"/>
          <w:kern w:val="0"/>
          <w14:ligatures w14:val="none"/>
        </w:rPr>
        <w:t xml:space="preserve">, K. (2008). Entrepreneurship in emerging economies: Where are we today and where the research should go in the future. </w:t>
      </w:r>
      <w:r w:rsidRPr="0044629C">
        <w:rPr>
          <w:rFonts w:ascii="Times New Roman" w:eastAsia="Calibri" w:hAnsi="Times New Roman" w:cs="Times New Roman"/>
          <w:i/>
          <w:kern w:val="0"/>
          <w14:ligatures w14:val="none"/>
        </w:rPr>
        <w:t>Entrepreneurship Theory and Practice, 32</w:t>
      </w:r>
      <w:r w:rsidRPr="0044629C">
        <w:rPr>
          <w:rFonts w:ascii="Times New Roman" w:eastAsia="Calibri" w:hAnsi="Times New Roman" w:cs="Times New Roman"/>
          <w:kern w:val="0"/>
          <w14:ligatures w14:val="none"/>
        </w:rPr>
        <w:t>(1), 1-14.</w:t>
      </w:r>
      <w:r w:rsidRPr="0044629C">
        <w:rPr>
          <w:rFonts w:ascii="Times New Roman" w:eastAsia="Calibri" w:hAnsi="Times New Roman" w:cs="Times New Roman"/>
          <w:kern w:val="0"/>
          <w14:ligatures w14:val="none"/>
        </w:rPr>
        <w:cr/>
      </w:r>
    </w:p>
    <w:p w14:paraId="0DE52483"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Butterfield, S., Henderson, D. &amp; Simons, E. (2019). The slack story: How a little gaming company found a new market. Harvard Business Review.</w:t>
      </w:r>
      <w:r w:rsidRPr="0044629C">
        <w:rPr>
          <w:rFonts w:ascii="Times New Roman" w:eastAsia="Calibri" w:hAnsi="Times New Roman" w:cs="Times New Roman"/>
          <w:kern w:val="0"/>
          <w14:ligatures w14:val="none"/>
        </w:rPr>
        <w:cr/>
      </w:r>
    </w:p>
    <w:p w14:paraId="2AB667CB"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Covin, J. G., &amp; Slevin, D. P. (1991). A conceptual model of entrepreneurship as firm behavior. </w:t>
      </w:r>
      <w:r w:rsidRPr="0044629C">
        <w:rPr>
          <w:rFonts w:ascii="Times New Roman" w:eastAsia="Calibri" w:hAnsi="Times New Roman" w:cs="Times New Roman"/>
          <w:i/>
          <w:kern w:val="0"/>
          <w14:ligatures w14:val="none"/>
        </w:rPr>
        <w:t>Entrepreneurship Theory and Practice, 16</w:t>
      </w:r>
      <w:r w:rsidRPr="0044629C">
        <w:rPr>
          <w:rFonts w:ascii="Times New Roman" w:eastAsia="Calibri" w:hAnsi="Times New Roman" w:cs="Times New Roman"/>
          <w:kern w:val="0"/>
          <w14:ligatures w14:val="none"/>
        </w:rPr>
        <w:t>(1), 7-25.</w:t>
      </w:r>
      <w:r w:rsidRPr="0044629C">
        <w:rPr>
          <w:rFonts w:ascii="Times New Roman" w:eastAsia="Calibri" w:hAnsi="Times New Roman" w:cs="Times New Roman"/>
          <w:kern w:val="0"/>
          <w14:ligatures w14:val="none"/>
        </w:rPr>
        <w:cr/>
      </w:r>
    </w:p>
    <w:p w14:paraId="32B8A50C"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Covin, J. G., &amp; Wales, W. J. (2019). Crafting high-impact entrepreneurial orientation research: Some suggested guidelines. </w:t>
      </w:r>
      <w:r w:rsidRPr="0044629C">
        <w:rPr>
          <w:rFonts w:ascii="Times New Roman" w:eastAsia="Calibri" w:hAnsi="Times New Roman" w:cs="Times New Roman"/>
          <w:i/>
          <w:kern w:val="0"/>
          <w14:ligatures w14:val="none"/>
        </w:rPr>
        <w:t>Entrepreneurship Theory and Practice, 43</w:t>
      </w:r>
      <w:r w:rsidRPr="0044629C">
        <w:rPr>
          <w:rFonts w:ascii="Times New Roman" w:eastAsia="Calibri" w:hAnsi="Times New Roman" w:cs="Times New Roman"/>
          <w:kern w:val="0"/>
          <w14:ligatures w14:val="none"/>
        </w:rPr>
        <w:t>(1), 3-18.</w:t>
      </w:r>
    </w:p>
    <w:p w14:paraId="70A09014"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5AC43D7C"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Crossan, M. M., &amp; Apaydin, M. (2010). A multi‐dimensional framework of organizational innovation: A systematic review of the literature. </w:t>
      </w:r>
      <w:r w:rsidRPr="0044629C">
        <w:rPr>
          <w:rFonts w:ascii="Times New Roman" w:eastAsia="Calibri" w:hAnsi="Times New Roman" w:cs="Times New Roman"/>
          <w:i/>
          <w:kern w:val="0"/>
          <w14:ligatures w14:val="none"/>
        </w:rPr>
        <w:t>Journal of Management Studies, 47</w:t>
      </w:r>
      <w:r w:rsidRPr="0044629C">
        <w:rPr>
          <w:rFonts w:ascii="Times New Roman" w:eastAsia="Calibri" w:hAnsi="Times New Roman" w:cs="Times New Roman"/>
          <w:kern w:val="0"/>
          <w14:ligatures w14:val="none"/>
        </w:rPr>
        <w:t>(6), 1154-1191.</w:t>
      </w:r>
      <w:r w:rsidRPr="0044629C">
        <w:rPr>
          <w:rFonts w:ascii="Times New Roman" w:eastAsia="Calibri" w:hAnsi="Times New Roman" w:cs="Times New Roman"/>
          <w:kern w:val="0"/>
          <w14:ligatures w14:val="none"/>
        </w:rPr>
        <w:cr/>
      </w:r>
    </w:p>
    <w:p w14:paraId="35779F61"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Danneels, E. (2002). The dynamics of product innovation and firm competences. </w:t>
      </w:r>
      <w:r w:rsidRPr="0044629C">
        <w:rPr>
          <w:rFonts w:ascii="Times New Roman" w:eastAsia="Calibri" w:hAnsi="Times New Roman" w:cs="Times New Roman"/>
          <w:i/>
          <w:kern w:val="0"/>
          <w14:ligatures w14:val="none"/>
        </w:rPr>
        <w:t>Strategic Management Journal, 23</w:t>
      </w:r>
      <w:r w:rsidRPr="0044629C">
        <w:rPr>
          <w:rFonts w:ascii="Times New Roman" w:eastAsia="Calibri" w:hAnsi="Times New Roman" w:cs="Times New Roman"/>
          <w:kern w:val="0"/>
          <w14:ligatures w14:val="none"/>
        </w:rPr>
        <w:t>(12), 1095-1121.</w:t>
      </w:r>
      <w:r w:rsidRPr="0044629C">
        <w:rPr>
          <w:rFonts w:ascii="Times New Roman" w:eastAsia="Calibri" w:hAnsi="Times New Roman" w:cs="Times New Roman"/>
          <w:kern w:val="0"/>
          <w14:ligatures w14:val="none"/>
        </w:rPr>
        <w:cr/>
      </w:r>
    </w:p>
    <w:p w14:paraId="492A2434"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Davidsson, P., &amp; Wiklund, J. (2013). New perspectives on firm growth. In K. D. Markman &amp; R. A. Baron (Eds.), Person-Environment Psychology (pp. 83-112). Lawrence Erlbaum Associates.</w:t>
      </w:r>
      <w:r w:rsidRPr="0044629C">
        <w:rPr>
          <w:rFonts w:ascii="Times New Roman" w:eastAsia="Calibri" w:hAnsi="Times New Roman" w:cs="Times New Roman"/>
          <w:kern w:val="0"/>
          <w14:ligatures w14:val="none"/>
        </w:rPr>
        <w:cr/>
      </w:r>
    </w:p>
    <w:p w14:paraId="70BBC22B"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t>Denrell</w:t>
      </w:r>
      <w:proofErr w:type="spellEnd"/>
      <w:r w:rsidRPr="0044629C">
        <w:rPr>
          <w:rFonts w:ascii="Times New Roman" w:eastAsia="Calibri" w:hAnsi="Times New Roman" w:cs="Times New Roman"/>
          <w:kern w:val="0"/>
          <w14:ligatures w14:val="none"/>
        </w:rPr>
        <w:t xml:space="preserve">, J., &amp; Vermeulen, F. (2010). Learning about product profitability: The role of firm proficiency and information. </w:t>
      </w:r>
      <w:r w:rsidRPr="0044629C">
        <w:rPr>
          <w:rFonts w:ascii="Times New Roman" w:eastAsia="Calibri" w:hAnsi="Times New Roman" w:cs="Times New Roman"/>
          <w:i/>
          <w:kern w:val="0"/>
          <w14:ligatures w14:val="none"/>
        </w:rPr>
        <w:t>Strategic Management Journal, 31</w:t>
      </w:r>
      <w:r w:rsidRPr="0044629C">
        <w:rPr>
          <w:rFonts w:ascii="Times New Roman" w:eastAsia="Calibri" w:hAnsi="Times New Roman" w:cs="Times New Roman"/>
          <w:kern w:val="0"/>
          <w14:ligatures w14:val="none"/>
        </w:rPr>
        <w:t>(4), 356-368.</w:t>
      </w:r>
      <w:r w:rsidRPr="0044629C">
        <w:rPr>
          <w:rFonts w:ascii="Times New Roman" w:eastAsia="Calibri" w:hAnsi="Times New Roman" w:cs="Times New Roman"/>
          <w:kern w:val="0"/>
          <w14:ligatures w14:val="none"/>
        </w:rPr>
        <w:cr/>
      </w:r>
    </w:p>
    <w:p w14:paraId="6E14DF4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lastRenderedPageBreak/>
        <w:t>Doz</w:t>
      </w:r>
      <w:proofErr w:type="spellEnd"/>
      <w:r w:rsidRPr="0044629C">
        <w:rPr>
          <w:rFonts w:ascii="Times New Roman" w:eastAsia="Calibri" w:hAnsi="Times New Roman" w:cs="Times New Roman"/>
          <w:kern w:val="0"/>
          <w14:ligatures w14:val="none"/>
        </w:rPr>
        <w:t xml:space="preserve">, Y. L., &amp; Kosonen, M. (2008). The dynamics of strategic agility: Nokia's rollercoaster experience. </w:t>
      </w:r>
      <w:r w:rsidRPr="0044629C">
        <w:rPr>
          <w:rFonts w:ascii="Times New Roman" w:eastAsia="Calibri" w:hAnsi="Times New Roman" w:cs="Times New Roman"/>
          <w:i/>
          <w:kern w:val="0"/>
          <w14:ligatures w14:val="none"/>
        </w:rPr>
        <w:t>California Management Review, 50</w:t>
      </w:r>
      <w:r w:rsidRPr="0044629C">
        <w:rPr>
          <w:rFonts w:ascii="Times New Roman" w:eastAsia="Calibri" w:hAnsi="Times New Roman" w:cs="Times New Roman"/>
          <w:kern w:val="0"/>
          <w14:ligatures w14:val="none"/>
        </w:rPr>
        <w:t>(3), 95-118.</w:t>
      </w:r>
      <w:r w:rsidRPr="0044629C">
        <w:rPr>
          <w:rFonts w:ascii="Times New Roman" w:eastAsia="Calibri" w:hAnsi="Times New Roman" w:cs="Times New Roman"/>
          <w:kern w:val="0"/>
          <w14:ligatures w14:val="none"/>
        </w:rPr>
        <w:cr/>
      </w:r>
    </w:p>
    <w:p w14:paraId="31C7C4EC"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Eisenhardt, K. M., &amp; Graebner, M. E. (2007). Theory building from cases: Opportunities and challenges. </w:t>
      </w:r>
      <w:r w:rsidRPr="0044629C">
        <w:rPr>
          <w:rFonts w:ascii="Times New Roman" w:eastAsia="Calibri" w:hAnsi="Times New Roman" w:cs="Times New Roman"/>
          <w:i/>
          <w:kern w:val="0"/>
          <w14:ligatures w14:val="none"/>
        </w:rPr>
        <w:t>Academy of Management Journal, 50</w:t>
      </w:r>
      <w:r w:rsidRPr="0044629C">
        <w:rPr>
          <w:rFonts w:ascii="Times New Roman" w:eastAsia="Calibri" w:hAnsi="Times New Roman" w:cs="Times New Roman"/>
          <w:kern w:val="0"/>
          <w14:ligatures w14:val="none"/>
        </w:rPr>
        <w:t>(1), 25-32.</w:t>
      </w:r>
      <w:r w:rsidRPr="0044629C">
        <w:rPr>
          <w:rFonts w:ascii="Times New Roman" w:eastAsia="Calibri" w:hAnsi="Times New Roman" w:cs="Times New Roman"/>
          <w:kern w:val="0"/>
          <w14:ligatures w14:val="none"/>
        </w:rPr>
        <w:cr/>
      </w:r>
    </w:p>
    <w:p w14:paraId="57DA68E0"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Eisenhardt, K. M., &amp; Martin, J. A. (2000). Dynamic capabilities: What are they? </w:t>
      </w:r>
      <w:r w:rsidRPr="0044629C">
        <w:rPr>
          <w:rFonts w:ascii="Times New Roman" w:eastAsia="Calibri" w:hAnsi="Times New Roman" w:cs="Times New Roman"/>
          <w:i/>
          <w:kern w:val="0"/>
          <w14:ligatures w14:val="none"/>
        </w:rPr>
        <w:t>Strategic Management Journal, 21</w:t>
      </w:r>
      <w:r w:rsidRPr="0044629C">
        <w:rPr>
          <w:rFonts w:ascii="Times New Roman" w:eastAsia="Calibri" w:hAnsi="Times New Roman" w:cs="Times New Roman"/>
          <w:kern w:val="0"/>
          <w14:ligatures w14:val="none"/>
        </w:rPr>
        <w:t>(10-11), 1105-1121.</w:t>
      </w:r>
      <w:r w:rsidRPr="0044629C">
        <w:rPr>
          <w:rFonts w:ascii="Times New Roman" w:eastAsia="Calibri" w:hAnsi="Times New Roman" w:cs="Times New Roman"/>
          <w:kern w:val="0"/>
          <w14:ligatures w14:val="none"/>
        </w:rPr>
        <w:cr/>
      </w:r>
    </w:p>
    <w:p w14:paraId="70F63CBA"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t>Gallouj</w:t>
      </w:r>
      <w:proofErr w:type="spellEnd"/>
      <w:r w:rsidRPr="0044629C">
        <w:rPr>
          <w:rFonts w:ascii="Times New Roman" w:eastAsia="Calibri" w:hAnsi="Times New Roman" w:cs="Times New Roman"/>
          <w:kern w:val="0"/>
          <w14:ligatures w14:val="none"/>
        </w:rPr>
        <w:t>, F. (2007). Innovation in Services. Edward Elgar Publishing.</w:t>
      </w:r>
      <w:r w:rsidRPr="0044629C">
        <w:rPr>
          <w:rFonts w:ascii="Times New Roman" w:eastAsia="Calibri" w:hAnsi="Times New Roman" w:cs="Times New Roman"/>
          <w:kern w:val="0"/>
          <w14:ligatures w14:val="none"/>
        </w:rPr>
        <w:cr/>
      </w:r>
    </w:p>
    <w:p w14:paraId="3184A63B"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Gavetti, G. (2005). Kodak (A): The imaging challenge. Harvard Business School Case Study.</w:t>
      </w:r>
      <w:r w:rsidRPr="0044629C">
        <w:rPr>
          <w:rFonts w:ascii="Times New Roman" w:eastAsia="Calibri" w:hAnsi="Times New Roman" w:cs="Times New Roman"/>
          <w:kern w:val="0"/>
          <w14:ligatures w14:val="none"/>
        </w:rPr>
        <w:cr/>
      </w:r>
    </w:p>
    <w:p w14:paraId="48E9E63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Gerstner, L. V. (2002). Who says elephants can't dance? Leading a great enterprise through dramatic change. Harper Business.</w:t>
      </w:r>
      <w:r w:rsidRPr="0044629C">
        <w:rPr>
          <w:rFonts w:ascii="Times New Roman" w:eastAsia="Calibri" w:hAnsi="Times New Roman" w:cs="Times New Roman"/>
          <w:kern w:val="0"/>
          <w14:ligatures w14:val="none"/>
        </w:rPr>
        <w:cr/>
      </w:r>
    </w:p>
    <w:p w14:paraId="5032DD4C"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Girotra, K., &amp; </w:t>
      </w:r>
      <w:proofErr w:type="spellStart"/>
      <w:r w:rsidRPr="0044629C">
        <w:rPr>
          <w:rFonts w:ascii="Times New Roman" w:eastAsia="Calibri" w:hAnsi="Times New Roman" w:cs="Times New Roman"/>
          <w:kern w:val="0"/>
          <w14:ligatures w14:val="none"/>
        </w:rPr>
        <w:t>Netessine</w:t>
      </w:r>
      <w:proofErr w:type="spellEnd"/>
      <w:r w:rsidRPr="0044629C">
        <w:rPr>
          <w:rFonts w:ascii="Times New Roman" w:eastAsia="Calibri" w:hAnsi="Times New Roman" w:cs="Times New Roman"/>
          <w:kern w:val="0"/>
          <w14:ligatures w14:val="none"/>
        </w:rPr>
        <w:t>, S. (2014). Four paths to business model innovation. Harvard Business Review, 92(7-8), 96-103.</w:t>
      </w:r>
      <w:r w:rsidRPr="0044629C">
        <w:rPr>
          <w:rFonts w:ascii="Times New Roman" w:eastAsia="Calibri" w:hAnsi="Times New Roman" w:cs="Times New Roman"/>
          <w:kern w:val="0"/>
          <w14:ligatures w14:val="none"/>
        </w:rPr>
        <w:cr/>
      </w:r>
    </w:p>
    <w:p w14:paraId="4A60815A"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t>Gunday</w:t>
      </w:r>
      <w:proofErr w:type="spellEnd"/>
      <w:r w:rsidRPr="0044629C">
        <w:rPr>
          <w:rFonts w:ascii="Times New Roman" w:eastAsia="Calibri" w:hAnsi="Times New Roman" w:cs="Times New Roman"/>
          <w:kern w:val="0"/>
          <w14:ligatures w14:val="none"/>
        </w:rPr>
        <w:t xml:space="preserve">, G., Ulusoy, G., Kilic, K., &amp; </w:t>
      </w:r>
      <w:proofErr w:type="spellStart"/>
      <w:r w:rsidRPr="0044629C">
        <w:rPr>
          <w:rFonts w:ascii="Times New Roman" w:eastAsia="Calibri" w:hAnsi="Times New Roman" w:cs="Times New Roman"/>
          <w:kern w:val="0"/>
          <w14:ligatures w14:val="none"/>
        </w:rPr>
        <w:t>Alpkan</w:t>
      </w:r>
      <w:proofErr w:type="spellEnd"/>
      <w:r w:rsidRPr="0044629C">
        <w:rPr>
          <w:rFonts w:ascii="Times New Roman" w:eastAsia="Calibri" w:hAnsi="Times New Roman" w:cs="Times New Roman"/>
          <w:kern w:val="0"/>
          <w14:ligatures w14:val="none"/>
        </w:rPr>
        <w:t xml:space="preserve">, L. (2011). Effects of innovation types on firm performance. </w:t>
      </w:r>
      <w:r w:rsidRPr="0044629C">
        <w:rPr>
          <w:rFonts w:ascii="Times New Roman" w:eastAsia="Calibri" w:hAnsi="Times New Roman" w:cs="Times New Roman"/>
          <w:i/>
          <w:kern w:val="0"/>
          <w14:ligatures w14:val="none"/>
        </w:rPr>
        <w:t>International Journal of Production Economics, 133</w:t>
      </w:r>
      <w:r w:rsidRPr="0044629C">
        <w:rPr>
          <w:rFonts w:ascii="Times New Roman" w:eastAsia="Calibri" w:hAnsi="Times New Roman" w:cs="Times New Roman"/>
          <w:kern w:val="0"/>
          <w14:ligatures w14:val="none"/>
        </w:rPr>
        <w:t>(2), 662-676.</w:t>
      </w:r>
      <w:r w:rsidRPr="0044629C">
        <w:rPr>
          <w:rFonts w:ascii="Times New Roman" w:eastAsia="Calibri" w:hAnsi="Times New Roman" w:cs="Times New Roman"/>
          <w:kern w:val="0"/>
          <w14:ligatures w14:val="none"/>
        </w:rPr>
        <w:cr/>
      </w:r>
    </w:p>
    <w:p w14:paraId="734F443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Helfat, C. E., &amp; </w:t>
      </w:r>
      <w:proofErr w:type="spellStart"/>
      <w:r w:rsidRPr="0044629C">
        <w:rPr>
          <w:rFonts w:ascii="Times New Roman" w:eastAsia="Calibri" w:hAnsi="Times New Roman" w:cs="Times New Roman"/>
          <w:kern w:val="0"/>
          <w14:ligatures w14:val="none"/>
        </w:rPr>
        <w:t>Peteraf</w:t>
      </w:r>
      <w:proofErr w:type="spellEnd"/>
      <w:r w:rsidRPr="0044629C">
        <w:rPr>
          <w:rFonts w:ascii="Times New Roman" w:eastAsia="Calibri" w:hAnsi="Times New Roman" w:cs="Times New Roman"/>
          <w:kern w:val="0"/>
          <w14:ligatures w14:val="none"/>
        </w:rPr>
        <w:t xml:space="preserve">, M. A. (2003). The dynamic resource-based view: Capability lifecycles. </w:t>
      </w:r>
      <w:r w:rsidRPr="0044629C">
        <w:rPr>
          <w:rFonts w:ascii="Times New Roman" w:eastAsia="Calibri" w:hAnsi="Times New Roman" w:cs="Times New Roman"/>
          <w:i/>
          <w:kern w:val="0"/>
          <w14:ligatures w14:val="none"/>
        </w:rPr>
        <w:t>Strategic Management Journal, 24</w:t>
      </w:r>
      <w:r w:rsidRPr="0044629C">
        <w:rPr>
          <w:rFonts w:ascii="Times New Roman" w:eastAsia="Calibri" w:hAnsi="Times New Roman" w:cs="Times New Roman"/>
          <w:kern w:val="0"/>
          <w14:ligatures w14:val="none"/>
        </w:rPr>
        <w:t>(10), 997-1010.</w:t>
      </w:r>
      <w:r w:rsidRPr="0044629C">
        <w:rPr>
          <w:rFonts w:ascii="Times New Roman" w:eastAsia="Calibri" w:hAnsi="Times New Roman" w:cs="Times New Roman"/>
          <w:kern w:val="0"/>
          <w14:ligatures w14:val="none"/>
        </w:rPr>
        <w:cr/>
      </w:r>
    </w:p>
    <w:p w14:paraId="42F9E39A"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Helfat, C. E., &amp; </w:t>
      </w:r>
      <w:proofErr w:type="spellStart"/>
      <w:r w:rsidRPr="0044629C">
        <w:rPr>
          <w:rFonts w:ascii="Times New Roman" w:eastAsia="Calibri" w:hAnsi="Times New Roman" w:cs="Times New Roman"/>
          <w:kern w:val="0"/>
          <w14:ligatures w14:val="none"/>
        </w:rPr>
        <w:t>Peteraf</w:t>
      </w:r>
      <w:proofErr w:type="spellEnd"/>
      <w:r w:rsidRPr="0044629C">
        <w:rPr>
          <w:rFonts w:ascii="Times New Roman" w:eastAsia="Calibri" w:hAnsi="Times New Roman" w:cs="Times New Roman"/>
          <w:kern w:val="0"/>
          <w14:ligatures w14:val="none"/>
        </w:rPr>
        <w:t xml:space="preserve">, M. A. (2009). Understanding dynamic capabilities: Progress along a developmental path. </w:t>
      </w:r>
      <w:r w:rsidRPr="0044629C">
        <w:rPr>
          <w:rFonts w:ascii="Times New Roman" w:eastAsia="Calibri" w:hAnsi="Times New Roman" w:cs="Times New Roman"/>
          <w:i/>
          <w:kern w:val="0"/>
          <w14:ligatures w14:val="none"/>
        </w:rPr>
        <w:t>Strategic Organization, 7</w:t>
      </w:r>
      <w:r w:rsidRPr="0044629C">
        <w:rPr>
          <w:rFonts w:ascii="Times New Roman" w:eastAsia="Calibri" w:hAnsi="Times New Roman" w:cs="Times New Roman"/>
          <w:kern w:val="0"/>
          <w14:ligatures w14:val="none"/>
        </w:rPr>
        <w:t>(1), 91-102.</w:t>
      </w:r>
    </w:p>
    <w:p w14:paraId="079D6623"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3C64025D"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Henriksen, D.; Mishra, P.; &amp; Mehta, R. (2015). Novel, effective, whole: Toward a NEW framework for evaluations of creative products. </w:t>
      </w:r>
      <w:r w:rsidRPr="0044629C">
        <w:rPr>
          <w:rFonts w:ascii="Times New Roman" w:eastAsia="Calibri" w:hAnsi="Times New Roman" w:cs="Times New Roman"/>
          <w:i/>
          <w:kern w:val="0"/>
          <w14:ligatures w14:val="none"/>
        </w:rPr>
        <w:t>Journal of Information Technology for Teacher Education 23</w:t>
      </w:r>
      <w:r w:rsidRPr="0044629C">
        <w:rPr>
          <w:rFonts w:ascii="Times New Roman" w:eastAsia="Calibri" w:hAnsi="Times New Roman" w:cs="Times New Roman"/>
          <w:kern w:val="0"/>
          <w14:ligatures w14:val="none"/>
        </w:rPr>
        <w:t>(3):455-748</w:t>
      </w:r>
      <w:r w:rsidRPr="0044629C">
        <w:rPr>
          <w:rFonts w:ascii="Times New Roman" w:eastAsia="Calibri" w:hAnsi="Times New Roman" w:cs="Times New Roman"/>
          <w:kern w:val="0"/>
          <w14:ligatures w14:val="none"/>
        </w:rPr>
        <w:cr/>
      </w:r>
    </w:p>
    <w:p w14:paraId="63BB85B8"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Jansen, J. J. P., Van den Bosch, F. A. J., &amp; </w:t>
      </w:r>
      <w:proofErr w:type="spellStart"/>
      <w:r w:rsidRPr="0044629C">
        <w:rPr>
          <w:rFonts w:ascii="Times New Roman" w:eastAsia="Calibri" w:hAnsi="Times New Roman" w:cs="Times New Roman"/>
          <w:kern w:val="0"/>
          <w14:ligatures w14:val="none"/>
        </w:rPr>
        <w:t>Volberda</w:t>
      </w:r>
      <w:proofErr w:type="spellEnd"/>
      <w:r w:rsidRPr="0044629C">
        <w:rPr>
          <w:rFonts w:ascii="Times New Roman" w:eastAsia="Calibri" w:hAnsi="Times New Roman" w:cs="Times New Roman"/>
          <w:kern w:val="0"/>
          <w14:ligatures w14:val="none"/>
        </w:rPr>
        <w:t xml:space="preserve">, H. W. (2006). Exploratory innovation, exploitative innovation, and performance: Effects of organizational antecedents and environmental moderators. </w:t>
      </w:r>
      <w:r w:rsidRPr="0044629C">
        <w:rPr>
          <w:rFonts w:ascii="Times New Roman" w:eastAsia="Calibri" w:hAnsi="Times New Roman" w:cs="Times New Roman"/>
          <w:i/>
          <w:kern w:val="0"/>
          <w14:ligatures w14:val="none"/>
        </w:rPr>
        <w:t>Management Science, 52</w:t>
      </w:r>
      <w:r w:rsidRPr="0044629C">
        <w:rPr>
          <w:rFonts w:ascii="Times New Roman" w:eastAsia="Calibri" w:hAnsi="Times New Roman" w:cs="Times New Roman"/>
          <w:kern w:val="0"/>
          <w14:ligatures w14:val="none"/>
        </w:rPr>
        <w:t>(11), 1661-1674.</w:t>
      </w:r>
    </w:p>
    <w:p w14:paraId="2C05DF2D"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784F9A6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20E49368"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t>Kassean</w:t>
      </w:r>
      <w:proofErr w:type="spellEnd"/>
      <w:r w:rsidRPr="0044629C">
        <w:rPr>
          <w:rFonts w:ascii="Times New Roman" w:eastAsia="Calibri" w:hAnsi="Times New Roman" w:cs="Times New Roman"/>
          <w:kern w:val="0"/>
          <w14:ligatures w14:val="none"/>
        </w:rPr>
        <w:t xml:space="preserve">, H., Vanevenhoven, J., Liguori, E., &amp; Winkel, D. E. (2015). Entrepreneurship education: A need for reflection, real-world experience, and action. International </w:t>
      </w:r>
      <w:r w:rsidRPr="0044629C">
        <w:rPr>
          <w:rFonts w:ascii="Times New Roman" w:eastAsia="Calibri" w:hAnsi="Times New Roman" w:cs="Times New Roman"/>
          <w:i/>
          <w:kern w:val="0"/>
          <w14:ligatures w14:val="none"/>
        </w:rPr>
        <w:t>Journal of Entrepreneurial Behavior &amp; Research, 21</w:t>
      </w:r>
      <w:r w:rsidRPr="0044629C">
        <w:rPr>
          <w:rFonts w:ascii="Times New Roman" w:eastAsia="Calibri" w:hAnsi="Times New Roman" w:cs="Times New Roman"/>
          <w:kern w:val="0"/>
          <w14:ligatures w14:val="none"/>
        </w:rPr>
        <w:t>(5), 690-708.</w:t>
      </w:r>
      <w:r w:rsidRPr="0044629C">
        <w:rPr>
          <w:rFonts w:ascii="Times New Roman" w:eastAsia="Calibri" w:hAnsi="Times New Roman" w:cs="Times New Roman"/>
          <w:kern w:val="0"/>
          <w14:ligatures w14:val="none"/>
        </w:rPr>
        <w:cr/>
      </w:r>
    </w:p>
    <w:p w14:paraId="7BF7B2A7"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Khan, M. (2019). Strategic renewal in high-technology firms: Evidence from Google and Amazon. </w:t>
      </w:r>
      <w:r w:rsidRPr="0044629C">
        <w:rPr>
          <w:rFonts w:ascii="Times New Roman" w:eastAsia="Calibri" w:hAnsi="Times New Roman" w:cs="Times New Roman"/>
          <w:i/>
          <w:kern w:val="0"/>
          <w14:ligatures w14:val="none"/>
        </w:rPr>
        <w:t>Journal of Business Strategy, 40</w:t>
      </w:r>
      <w:r w:rsidRPr="0044629C">
        <w:rPr>
          <w:rFonts w:ascii="Times New Roman" w:eastAsia="Calibri" w:hAnsi="Times New Roman" w:cs="Times New Roman"/>
          <w:kern w:val="0"/>
          <w14:ligatures w14:val="none"/>
        </w:rPr>
        <w:t>(1), 25-35.</w:t>
      </w:r>
      <w:r w:rsidRPr="0044629C">
        <w:rPr>
          <w:rFonts w:ascii="Times New Roman" w:eastAsia="Calibri" w:hAnsi="Times New Roman" w:cs="Times New Roman"/>
          <w:kern w:val="0"/>
          <w14:ligatures w14:val="none"/>
        </w:rPr>
        <w:cr/>
      </w:r>
    </w:p>
    <w:p w14:paraId="688DA182"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Laforet, S. (2011). A framework of </w:t>
      </w:r>
      <w:proofErr w:type="spellStart"/>
      <w:r w:rsidRPr="0044629C">
        <w:rPr>
          <w:rFonts w:ascii="Times New Roman" w:eastAsia="Calibri" w:hAnsi="Times New Roman" w:cs="Times New Roman"/>
          <w:kern w:val="0"/>
          <w14:ligatures w14:val="none"/>
        </w:rPr>
        <w:t>organisational</w:t>
      </w:r>
      <w:proofErr w:type="spellEnd"/>
      <w:r w:rsidRPr="0044629C">
        <w:rPr>
          <w:rFonts w:ascii="Times New Roman" w:eastAsia="Calibri" w:hAnsi="Times New Roman" w:cs="Times New Roman"/>
          <w:kern w:val="0"/>
          <w14:ligatures w14:val="none"/>
        </w:rPr>
        <w:t xml:space="preserve"> innovation and outcomes in SMEs. </w:t>
      </w:r>
      <w:r w:rsidRPr="0044629C">
        <w:rPr>
          <w:rFonts w:ascii="Times New Roman" w:eastAsia="Calibri" w:hAnsi="Times New Roman" w:cs="Times New Roman"/>
          <w:kern w:val="0"/>
          <w14:ligatures w14:val="none"/>
        </w:rPr>
        <w:cr/>
      </w:r>
      <w:r w:rsidRPr="0044629C">
        <w:rPr>
          <w:rFonts w:ascii="Times New Roman" w:eastAsia="Calibri" w:hAnsi="Times New Roman" w:cs="Times New Roman"/>
          <w:i/>
          <w:kern w:val="0"/>
          <w14:ligatures w14:val="none"/>
        </w:rPr>
        <w:t>International Journal of Entrepreneurial Behavior &amp; Research, 17</w:t>
      </w:r>
      <w:r w:rsidRPr="0044629C">
        <w:rPr>
          <w:rFonts w:ascii="Times New Roman" w:eastAsia="Calibri" w:hAnsi="Times New Roman" w:cs="Times New Roman"/>
          <w:kern w:val="0"/>
          <w14:ligatures w14:val="none"/>
        </w:rPr>
        <w:t>(4), 380-408.</w:t>
      </w:r>
      <w:r w:rsidRPr="0044629C">
        <w:rPr>
          <w:rFonts w:ascii="Times New Roman" w:eastAsia="Calibri" w:hAnsi="Times New Roman" w:cs="Times New Roman"/>
          <w:kern w:val="0"/>
          <w14:ligatures w14:val="none"/>
        </w:rPr>
        <w:cr/>
      </w:r>
    </w:p>
    <w:p w14:paraId="1C79E759"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Lumpkin, G. T., &amp; Dess, G. G. (1996). Clarifying the entrepreneurial orientation construct and linking it to performance. </w:t>
      </w:r>
      <w:r w:rsidRPr="0044629C">
        <w:rPr>
          <w:rFonts w:ascii="Times New Roman" w:eastAsia="Calibri" w:hAnsi="Times New Roman" w:cs="Times New Roman"/>
          <w:i/>
          <w:kern w:val="0"/>
          <w14:ligatures w14:val="none"/>
        </w:rPr>
        <w:t>Academy of Management Review, 21</w:t>
      </w:r>
      <w:r w:rsidRPr="0044629C">
        <w:rPr>
          <w:rFonts w:ascii="Times New Roman" w:eastAsia="Calibri" w:hAnsi="Times New Roman" w:cs="Times New Roman"/>
          <w:kern w:val="0"/>
          <w14:ligatures w14:val="none"/>
        </w:rPr>
        <w:t>(1), 135-172.</w:t>
      </w:r>
      <w:r w:rsidRPr="0044629C">
        <w:rPr>
          <w:rFonts w:ascii="Times New Roman" w:eastAsia="Calibri" w:hAnsi="Times New Roman" w:cs="Times New Roman"/>
          <w:kern w:val="0"/>
          <w14:ligatures w14:val="none"/>
        </w:rPr>
        <w:cr/>
      </w:r>
    </w:p>
    <w:p w14:paraId="0BAD031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lastRenderedPageBreak/>
        <w:t xml:space="preserve">March, J. G. (1991). Exploration and exploitation in organizational learning. </w:t>
      </w:r>
      <w:r w:rsidRPr="0044629C">
        <w:rPr>
          <w:rFonts w:ascii="Times New Roman" w:eastAsia="Calibri" w:hAnsi="Times New Roman" w:cs="Times New Roman"/>
          <w:i/>
          <w:kern w:val="0"/>
          <w14:ligatures w14:val="none"/>
        </w:rPr>
        <w:t>Organization Science, 2</w:t>
      </w:r>
      <w:r w:rsidRPr="0044629C">
        <w:rPr>
          <w:rFonts w:ascii="Times New Roman" w:eastAsia="Calibri" w:hAnsi="Times New Roman" w:cs="Times New Roman"/>
          <w:kern w:val="0"/>
          <w14:ligatures w14:val="none"/>
        </w:rPr>
        <w:t>(1), 71-87.</w:t>
      </w:r>
      <w:r w:rsidRPr="0044629C">
        <w:rPr>
          <w:rFonts w:ascii="Times New Roman" w:eastAsia="Calibri" w:hAnsi="Times New Roman" w:cs="Times New Roman"/>
          <w:kern w:val="0"/>
          <w14:ligatures w14:val="none"/>
        </w:rPr>
        <w:cr/>
      </w:r>
    </w:p>
    <w:p w14:paraId="075D822C"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Nkem, O. K., &amp; Onuoha, B. C. (2023). Evaluating strategic renewal strategies and corporate performance of industrial enterprises in Rivers State, Nigeria. </w:t>
      </w:r>
      <w:r w:rsidRPr="0044629C">
        <w:rPr>
          <w:rFonts w:ascii="Times New Roman" w:eastAsia="Calibri" w:hAnsi="Times New Roman" w:cs="Times New Roman"/>
          <w:i/>
          <w:kern w:val="0"/>
          <w14:ligatures w14:val="none"/>
        </w:rPr>
        <w:t>International Journal of Management Research, 11</w:t>
      </w:r>
      <w:r w:rsidRPr="0044629C">
        <w:rPr>
          <w:rFonts w:ascii="Times New Roman" w:eastAsia="Calibri" w:hAnsi="Times New Roman" w:cs="Times New Roman"/>
          <w:kern w:val="0"/>
          <w14:ligatures w14:val="none"/>
        </w:rPr>
        <w:t>(2), 123-139.</w:t>
      </w:r>
      <w:r w:rsidRPr="0044629C">
        <w:rPr>
          <w:rFonts w:ascii="Times New Roman" w:eastAsia="Calibri" w:hAnsi="Times New Roman" w:cs="Times New Roman"/>
          <w:kern w:val="0"/>
          <w14:ligatures w14:val="none"/>
        </w:rPr>
        <w:cr/>
      </w:r>
    </w:p>
    <w:p w14:paraId="29579785"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Odhiambo, N. M. (2015). Financial development and economic growth in South Africa: New empirical evidence from banks and stock market. </w:t>
      </w:r>
      <w:r w:rsidRPr="0044629C">
        <w:rPr>
          <w:rFonts w:ascii="Times New Roman" w:eastAsia="Calibri" w:hAnsi="Times New Roman" w:cs="Times New Roman"/>
          <w:i/>
          <w:kern w:val="0"/>
          <w14:ligatures w14:val="none"/>
        </w:rPr>
        <w:t>Journal of Business Economics and Management, 16</w:t>
      </w:r>
      <w:r w:rsidRPr="0044629C">
        <w:rPr>
          <w:rFonts w:ascii="Times New Roman" w:eastAsia="Calibri" w:hAnsi="Times New Roman" w:cs="Times New Roman"/>
          <w:kern w:val="0"/>
          <w14:ligatures w14:val="none"/>
        </w:rPr>
        <w:t>(5), 1137-1154.</w:t>
      </w:r>
      <w:r w:rsidRPr="0044629C">
        <w:rPr>
          <w:rFonts w:ascii="Times New Roman" w:eastAsia="Calibri" w:hAnsi="Times New Roman" w:cs="Times New Roman"/>
          <w:kern w:val="0"/>
          <w14:ligatures w14:val="none"/>
        </w:rPr>
        <w:cr/>
      </w:r>
    </w:p>
    <w:p w14:paraId="205C9260"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Porter, M. E. (1985). Competitive advantage: creating and sustaining superior performance. Free Press.</w:t>
      </w:r>
      <w:r w:rsidRPr="0044629C">
        <w:rPr>
          <w:rFonts w:ascii="Times New Roman" w:eastAsia="Calibri" w:hAnsi="Times New Roman" w:cs="Times New Roman"/>
          <w:kern w:val="0"/>
          <w14:ligatures w14:val="none"/>
        </w:rPr>
        <w:cr/>
      </w:r>
    </w:p>
    <w:p w14:paraId="1A68242D"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Sarasvathy, S. D. (2001). Causation and effectuation: Toward a theoretical shift from economic inevitability to entrepreneurial contingency. </w:t>
      </w:r>
      <w:r w:rsidRPr="0044629C">
        <w:rPr>
          <w:rFonts w:ascii="Times New Roman" w:eastAsia="Calibri" w:hAnsi="Times New Roman" w:cs="Times New Roman"/>
          <w:i/>
          <w:kern w:val="0"/>
          <w14:ligatures w14:val="none"/>
        </w:rPr>
        <w:t>Academy of Management Review, 26</w:t>
      </w:r>
      <w:r w:rsidRPr="0044629C">
        <w:rPr>
          <w:rFonts w:ascii="Times New Roman" w:eastAsia="Calibri" w:hAnsi="Times New Roman" w:cs="Times New Roman"/>
          <w:kern w:val="0"/>
          <w14:ligatures w14:val="none"/>
        </w:rPr>
        <w:t>(2), 243-263.</w:t>
      </w:r>
      <w:r w:rsidRPr="0044629C">
        <w:rPr>
          <w:rFonts w:ascii="Times New Roman" w:eastAsia="Calibri" w:hAnsi="Times New Roman" w:cs="Times New Roman"/>
          <w:kern w:val="0"/>
          <w14:ligatures w14:val="none"/>
        </w:rPr>
        <w:cr/>
      </w:r>
    </w:p>
    <w:p w14:paraId="284087C6"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Schmitt, A., Raisch, S., &amp; </w:t>
      </w:r>
      <w:proofErr w:type="spellStart"/>
      <w:r w:rsidRPr="0044629C">
        <w:rPr>
          <w:rFonts w:ascii="Times New Roman" w:eastAsia="Calibri" w:hAnsi="Times New Roman" w:cs="Times New Roman"/>
          <w:kern w:val="0"/>
          <w14:ligatures w14:val="none"/>
        </w:rPr>
        <w:t>Volberda</w:t>
      </w:r>
      <w:proofErr w:type="spellEnd"/>
      <w:r w:rsidRPr="0044629C">
        <w:rPr>
          <w:rFonts w:ascii="Times New Roman" w:eastAsia="Calibri" w:hAnsi="Times New Roman" w:cs="Times New Roman"/>
          <w:kern w:val="0"/>
          <w14:ligatures w14:val="none"/>
        </w:rPr>
        <w:t xml:space="preserve">, H. W. (2018). Strategic renewal: Past research, theoretical tensions and future challenges. </w:t>
      </w:r>
      <w:r w:rsidRPr="0044629C">
        <w:rPr>
          <w:rFonts w:ascii="Times New Roman" w:eastAsia="Calibri" w:hAnsi="Times New Roman" w:cs="Times New Roman"/>
          <w:i/>
          <w:kern w:val="0"/>
          <w14:ligatures w14:val="none"/>
        </w:rPr>
        <w:t>International Journal of Management Reviews, 20</w:t>
      </w:r>
      <w:r w:rsidRPr="0044629C">
        <w:rPr>
          <w:rFonts w:ascii="Times New Roman" w:eastAsia="Calibri" w:hAnsi="Times New Roman" w:cs="Times New Roman"/>
          <w:kern w:val="0"/>
          <w14:ligatures w14:val="none"/>
        </w:rPr>
        <w:t>(1), 81-98.</w:t>
      </w:r>
      <w:r w:rsidRPr="0044629C">
        <w:rPr>
          <w:rFonts w:ascii="Times New Roman" w:eastAsia="Calibri" w:hAnsi="Times New Roman" w:cs="Times New Roman"/>
          <w:kern w:val="0"/>
          <w14:ligatures w14:val="none"/>
        </w:rPr>
        <w:cr/>
      </w:r>
    </w:p>
    <w:p w14:paraId="4EA57DF6"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Schumpeter, J. A. (1942). Capitalism, socialism and democracy. Harper &amp; Brothers.</w:t>
      </w:r>
      <w:r w:rsidRPr="0044629C">
        <w:rPr>
          <w:rFonts w:ascii="Times New Roman" w:eastAsia="Calibri" w:hAnsi="Times New Roman" w:cs="Times New Roman"/>
          <w:kern w:val="0"/>
          <w14:ligatures w14:val="none"/>
        </w:rPr>
        <w:cr/>
      </w:r>
    </w:p>
    <w:p w14:paraId="3DDE27B3"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Shane, S., &amp; Venkataraman, S. (2000). The promise of entrepreneurship as a field of research. </w:t>
      </w:r>
      <w:r w:rsidRPr="0044629C">
        <w:rPr>
          <w:rFonts w:ascii="Times New Roman" w:eastAsia="Calibri" w:hAnsi="Times New Roman" w:cs="Times New Roman"/>
          <w:i/>
          <w:kern w:val="0"/>
          <w14:ligatures w14:val="none"/>
        </w:rPr>
        <w:t>Academy of Management Review, 25</w:t>
      </w:r>
      <w:r w:rsidRPr="0044629C">
        <w:rPr>
          <w:rFonts w:ascii="Times New Roman" w:eastAsia="Calibri" w:hAnsi="Times New Roman" w:cs="Times New Roman"/>
          <w:kern w:val="0"/>
          <w14:ligatures w14:val="none"/>
        </w:rPr>
        <w:t>(1), 217-226.</w:t>
      </w:r>
      <w:r w:rsidRPr="0044629C">
        <w:rPr>
          <w:rFonts w:ascii="Times New Roman" w:eastAsia="Calibri" w:hAnsi="Times New Roman" w:cs="Times New Roman"/>
          <w:kern w:val="0"/>
          <w14:ligatures w14:val="none"/>
        </w:rPr>
        <w:cr/>
      </w:r>
    </w:p>
    <w:p w14:paraId="0EA5D5F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Sirmon, D. G., Hitt, M. A., &amp; Ireland, R. D. (2007). Managing firm resources in dynamic environments to create value: Looking inside the black box. </w:t>
      </w:r>
      <w:r w:rsidRPr="0044629C">
        <w:rPr>
          <w:rFonts w:ascii="Times New Roman" w:eastAsia="Calibri" w:hAnsi="Times New Roman" w:cs="Times New Roman"/>
          <w:i/>
          <w:kern w:val="0"/>
          <w14:ligatures w14:val="none"/>
        </w:rPr>
        <w:t>Academy of Management Review, 32</w:t>
      </w:r>
      <w:r w:rsidRPr="0044629C">
        <w:rPr>
          <w:rFonts w:ascii="Times New Roman" w:eastAsia="Calibri" w:hAnsi="Times New Roman" w:cs="Times New Roman"/>
          <w:kern w:val="0"/>
          <w14:ligatures w14:val="none"/>
        </w:rPr>
        <w:t>(1), 273-292.</w:t>
      </w:r>
      <w:r w:rsidRPr="0044629C">
        <w:rPr>
          <w:rFonts w:ascii="Times New Roman" w:eastAsia="Calibri" w:hAnsi="Times New Roman" w:cs="Times New Roman"/>
          <w:kern w:val="0"/>
          <w14:ligatures w14:val="none"/>
        </w:rPr>
        <w:cr/>
      </w:r>
    </w:p>
    <w:p w14:paraId="0B0F548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Teece, D. J. (2007). Explicating dynamic capabilities: The nature and </w:t>
      </w:r>
      <w:proofErr w:type="spellStart"/>
      <w:r w:rsidRPr="0044629C">
        <w:rPr>
          <w:rFonts w:ascii="Times New Roman" w:eastAsia="Calibri" w:hAnsi="Times New Roman" w:cs="Times New Roman"/>
          <w:kern w:val="0"/>
          <w14:ligatures w14:val="none"/>
        </w:rPr>
        <w:t>microfoundations</w:t>
      </w:r>
      <w:proofErr w:type="spellEnd"/>
      <w:r w:rsidRPr="0044629C">
        <w:rPr>
          <w:rFonts w:ascii="Times New Roman" w:eastAsia="Calibri" w:hAnsi="Times New Roman" w:cs="Times New Roman"/>
          <w:kern w:val="0"/>
          <w14:ligatures w14:val="none"/>
        </w:rPr>
        <w:t xml:space="preserve"> of (sustainable) enterprise performance. </w:t>
      </w:r>
      <w:r w:rsidRPr="0044629C">
        <w:rPr>
          <w:rFonts w:ascii="Times New Roman" w:eastAsia="Calibri" w:hAnsi="Times New Roman" w:cs="Times New Roman"/>
          <w:i/>
          <w:kern w:val="0"/>
          <w14:ligatures w14:val="none"/>
        </w:rPr>
        <w:t>Strategic Management Journal, 28</w:t>
      </w:r>
      <w:r w:rsidRPr="0044629C">
        <w:rPr>
          <w:rFonts w:ascii="Times New Roman" w:eastAsia="Calibri" w:hAnsi="Times New Roman" w:cs="Times New Roman"/>
          <w:kern w:val="0"/>
          <w14:ligatures w14:val="none"/>
        </w:rPr>
        <w:t>(13), 1319-1350.</w:t>
      </w:r>
    </w:p>
    <w:p w14:paraId="662B98E9"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31960DD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Teece, D. J., </w:t>
      </w:r>
      <w:proofErr w:type="spellStart"/>
      <w:r w:rsidRPr="0044629C">
        <w:rPr>
          <w:rFonts w:ascii="Times New Roman" w:eastAsia="Calibri" w:hAnsi="Times New Roman" w:cs="Times New Roman"/>
          <w:kern w:val="0"/>
          <w14:ligatures w14:val="none"/>
        </w:rPr>
        <w:t>Peteraf</w:t>
      </w:r>
      <w:proofErr w:type="spellEnd"/>
      <w:r w:rsidRPr="0044629C">
        <w:rPr>
          <w:rFonts w:ascii="Times New Roman" w:eastAsia="Calibri" w:hAnsi="Times New Roman" w:cs="Times New Roman"/>
          <w:kern w:val="0"/>
          <w14:ligatures w14:val="none"/>
        </w:rPr>
        <w:t xml:space="preserve">, M. A., &amp; Leih, S. (2016). Dynamic capabilities and organizational agility: </w:t>
      </w:r>
      <w:r w:rsidRPr="0044629C">
        <w:rPr>
          <w:rFonts w:ascii="Times New Roman" w:eastAsia="Calibri" w:hAnsi="Times New Roman" w:cs="Times New Roman"/>
          <w:kern w:val="0"/>
          <w14:ligatures w14:val="none"/>
        </w:rPr>
        <w:cr/>
      </w:r>
    </w:p>
    <w:p w14:paraId="649ED4B7"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Risk, uncertainty, and strategy in the innovation economy. </w:t>
      </w:r>
      <w:r w:rsidRPr="0044629C">
        <w:rPr>
          <w:rFonts w:ascii="Times New Roman" w:eastAsia="Calibri" w:hAnsi="Times New Roman" w:cs="Times New Roman"/>
          <w:i/>
          <w:kern w:val="0"/>
          <w14:ligatures w14:val="none"/>
        </w:rPr>
        <w:t>California Management Review, 58</w:t>
      </w:r>
      <w:r w:rsidRPr="0044629C">
        <w:rPr>
          <w:rFonts w:ascii="Times New Roman" w:eastAsia="Calibri" w:hAnsi="Times New Roman" w:cs="Times New Roman"/>
          <w:kern w:val="0"/>
          <w14:ligatures w14:val="none"/>
        </w:rPr>
        <w:t>(4), 13-35.</w:t>
      </w:r>
      <w:r w:rsidRPr="0044629C">
        <w:rPr>
          <w:rFonts w:ascii="Times New Roman" w:eastAsia="Calibri" w:hAnsi="Times New Roman" w:cs="Times New Roman"/>
          <w:kern w:val="0"/>
          <w14:ligatures w14:val="none"/>
        </w:rPr>
        <w:cr/>
      </w:r>
    </w:p>
    <w:p w14:paraId="3C534CD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Teece, D. J., Pisano, G., &amp; </w:t>
      </w:r>
      <w:proofErr w:type="spellStart"/>
      <w:r w:rsidRPr="0044629C">
        <w:rPr>
          <w:rFonts w:ascii="Times New Roman" w:eastAsia="Calibri" w:hAnsi="Times New Roman" w:cs="Times New Roman"/>
          <w:kern w:val="0"/>
          <w14:ligatures w14:val="none"/>
        </w:rPr>
        <w:t>Shuen</w:t>
      </w:r>
      <w:proofErr w:type="spellEnd"/>
      <w:r w:rsidRPr="0044629C">
        <w:rPr>
          <w:rFonts w:ascii="Times New Roman" w:eastAsia="Calibri" w:hAnsi="Times New Roman" w:cs="Times New Roman"/>
          <w:kern w:val="0"/>
          <w14:ligatures w14:val="none"/>
        </w:rPr>
        <w:t xml:space="preserve">, A. (1997). Dynamic capabilities and strategic management. </w:t>
      </w:r>
      <w:r w:rsidRPr="0044629C">
        <w:rPr>
          <w:rFonts w:ascii="Times New Roman" w:eastAsia="Calibri" w:hAnsi="Times New Roman" w:cs="Times New Roman"/>
          <w:i/>
          <w:kern w:val="0"/>
          <w14:ligatures w14:val="none"/>
        </w:rPr>
        <w:t>Strategic Management Journal, 18</w:t>
      </w:r>
      <w:r w:rsidRPr="0044629C">
        <w:rPr>
          <w:rFonts w:ascii="Times New Roman" w:eastAsia="Calibri" w:hAnsi="Times New Roman" w:cs="Times New Roman"/>
          <w:kern w:val="0"/>
          <w14:ligatures w14:val="none"/>
        </w:rPr>
        <w:t>(7), 509-533.</w:t>
      </w:r>
      <w:r w:rsidRPr="0044629C">
        <w:rPr>
          <w:rFonts w:ascii="Times New Roman" w:eastAsia="Calibri" w:hAnsi="Times New Roman" w:cs="Times New Roman"/>
          <w:kern w:val="0"/>
          <w14:ligatures w14:val="none"/>
        </w:rPr>
        <w:cr/>
      </w:r>
    </w:p>
    <w:p w14:paraId="62B8B910"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Tidd, J., &amp; Bessant, J. (2013). Managing innovation: integrating technological, market and organizational change (5th ed.). Wiley.</w:t>
      </w:r>
      <w:r w:rsidRPr="0044629C">
        <w:rPr>
          <w:rFonts w:ascii="Times New Roman" w:eastAsia="Calibri" w:hAnsi="Times New Roman" w:cs="Times New Roman"/>
          <w:kern w:val="0"/>
          <w14:ligatures w14:val="none"/>
        </w:rPr>
        <w:cr/>
      </w:r>
    </w:p>
    <w:p w14:paraId="63A0818A"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Torraco, R. J. (2016). Writing integrative literature reviews: Guidelines and examples. </w:t>
      </w:r>
      <w:r w:rsidRPr="0044629C">
        <w:rPr>
          <w:rFonts w:ascii="Times New Roman" w:eastAsia="Calibri" w:hAnsi="Times New Roman" w:cs="Times New Roman"/>
          <w:i/>
          <w:kern w:val="0"/>
          <w14:ligatures w14:val="none"/>
        </w:rPr>
        <w:t>Human Resource Development Review, 15</w:t>
      </w:r>
      <w:r w:rsidRPr="0044629C">
        <w:rPr>
          <w:rFonts w:ascii="Times New Roman" w:eastAsia="Calibri" w:hAnsi="Times New Roman" w:cs="Times New Roman"/>
          <w:kern w:val="0"/>
          <w14:ligatures w14:val="none"/>
        </w:rPr>
        <w:t>(4), 404-428.</w:t>
      </w:r>
      <w:r w:rsidRPr="0044629C">
        <w:rPr>
          <w:rFonts w:ascii="Times New Roman" w:eastAsia="Calibri" w:hAnsi="Times New Roman" w:cs="Times New Roman"/>
          <w:kern w:val="0"/>
          <w14:ligatures w14:val="none"/>
        </w:rPr>
        <w:cr/>
      </w:r>
    </w:p>
    <w:p w14:paraId="1F966619"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t>Tripsas</w:t>
      </w:r>
      <w:proofErr w:type="spellEnd"/>
      <w:r w:rsidRPr="0044629C">
        <w:rPr>
          <w:rFonts w:ascii="Times New Roman" w:eastAsia="Calibri" w:hAnsi="Times New Roman" w:cs="Times New Roman"/>
          <w:kern w:val="0"/>
          <w14:ligatures w14:val="none"/>
        </w:rPr>
        <w:t xml:space="preserve">, M., &amp; </w:t>
      </w:r>
      <w:proofErr w:type="spellStart"/>
      <w:r w:rsidRPr="0044629C">
        <w:rPr>
          <w:rFonts w:ascii="Times New Roman" w:eastAsia="Calibri" w:hAnsi="Times New Roman" w:cs="Times New Roman"/>
          <w:kern w:val="0"/>
          <w14:ligatures w14:val="none"/>
        </w:rPr>
        <w:t>Gavetti</w:t>
      </w:r>
      <w:proofErr w:type="spellEnd"/>
      <w:r w:rsidRPr="0044629C">
        <w:rPr>
          <w:rFonts w:ascii="Times New Roman" w:eastAsia="Calibri" w:hAnsi="Times New Roman" w:cs="Times New Roman"/>
          <w:kern w:val="0"/>
          <w14:ligatures w14:val="none"/>
        </w:rPr>
        <w:t xml:space="preserve">, G. (2000). Capabilities, cognition, and inertia: Evidence from digital imaging. </w:t>
      </w:r>
      <w:r w:rsidRPr="0044629C">
        <w:rPr>
          <w:rFonts w:ascii="Times New Roman" w:eastAsia="Calibri" w:hAnsi="Times New Roman" w:cs="Times New Roman"/>
          <w:i/>
          <w:kern w:val="0"/>
          <w14:ligatures w14:val="none"/>
        </w:rPr>
        <w:t>Strategic Management Journal, 21</w:t>
      </w:r>
      <w:r w:rsidRPr="0044629C">
        <w:rPr>
          <w:rFonts w:ascii="Times New Roman" w:eastAsia="Calibri" w:hAnsi="Times New Roman" w:cs="Times New Roman"/>
          <w:kern w:val="0"/>
          <w14:ligatures w14:val="none"/>
        </w:rPr>
        <w:t>(10-11), 1147-1161.</w:t>
      </w:r>
      <w:r w:rsidRPr="0044629C">
        <w:rPr>
          <w:rFonts w:ascii="Times New Roman" w:eastAsia="Calibri" w:hAnsi="Times New Roman" w:cs="Times New Roman"/>
          <w:kern w:val="0"/>
          <w14:ligatures w14:val="none"/>
        </w:rPr>
        <w:cr/>
      </w:r>
    </w:p>
    <w:p w14:paraId="67D79430"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Tushman, M. L., &amp; O'Reilly, C. A. (1997). Winning through innovation: a practical guide to leading organizational change and renewal. Harvard Business School Press.</w:t>
      </w:r>
      <w:r w:rsidRPr="0044629C">
        <w:rPr>
          <w:rFonts w:ascii="Times New Roman" w:eastAsia="Calibri" w:hAnsi="Times New Roman" w:cs="Times New Roman"/>
          <w:kern w:val="0"/>
          <w14:ligatures w14:val="none"/>
        </w:rPr>
        <w:cr/>
      </w:r>
    </w:p>
    <w:p w14:paraId="545CDDBD"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t>Volberda</w:t>
      </w:r>
      <w:proofErr w:type="spellEnd"/>
      <w:r w:rsidRPr="0044629C">
        <w:rPr>
          <w:rFonts w:ascii="Times New Roman" w:eastAsia="Calibri" w:hAnsi="Times New Roman" w:cs="Times New Roman"/>
          <w:kern w:val="0"/>
          <w14:ligatures w14:val="none"/>
        </w:rPr>
        <w:t xml:space="preserve">, H. W., Van Den Bosch, F. A. J., &amp; Heij, C. V. (2018). Reinventing business models: How firms cope with disruption. </w:t>
      </w:r>
      <w:r w:rsidRPr="0044629C">
        <w:rPr>
          <w:rFonts w:ascii="Times New Roman" w:eastAsia="Calibri" w:hAnsi="Times New Roman" w:cs="Times New Roman"/>
          <w:i/>
          <w:kern w:val="0"/>
          <w14:ligatures w14:val="none"/>
        </w:rPr>
        <w:t>Journal of Business Strategy, 39</w:t>
      </w:r>
      <w:r w:rsidRPr="0044629C">
        <w:rPr>
          <w:rFonts w:ascii="Times New Roman" w:eastAsia="Calibri" w:hAnsi="Times New Roman" w:cs="Times New Roman"/>
          <w:kern w:val="0"/>
          <w14:ligatures w14:val="none"/>
        </w:rPr>
        <w:t>(2), 29-37.</w:t>
      </w:r>
      <w:r w:rsidRPr="0044629C">
        <w:rPr>
          <w:rFonts w:ascii="Times New Roman" w:eastAsia="Calibri" w:hAnsi="Times New Roman" w:cs="Times New Roman"/>
          <w:kern w:val="0"/>
          <w14:ligatures w14:val="none"/>
        </w:rPr>
        <w:cr/>
      </w:r>
    </w:p>
    <w:p w14:paraId="09B36F82"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roofErr w:type="spellStart"/>
      <w:r w:rsidRPr="0044629C">
        <w:rPr>
          <w:rFonts w:ascii="Times New Roman" w:eastAsia="Calibri" w:hAnsi="Times New Roman" w:cs="Times New Roman"/>
          <w:kern w:val="0"/>
          <w14:ligatures w14:val="none"/>
        </w:rPr>
        <w:lastRenderedPageBreak/>
        <w:t>Volberda</w:t>
      </w:r>
      <w:proofErr w:type="spellEnd"/>
      <w:r w:rsidRPr="0044629C">
        <w:rPr>
          <w:rFonts w:ascii="Times New Roman" w:eastAsia="Calibri" w:hAnsi="Times New Roman" w:cs="Times New Roman"/>
          <w:kern w:val="0"/>
          <w14:ligatures w14:val="none"/>
        </w:rPr>
        <w:t>, H. W., Van Den Bosch, F. A., &amp; Heij, K. (2018). Reinventing business models: How firms cope with disruption. Oxford University Press.</w:t>
      </w:r>
      <w:r w:rsidRPr="0044629C">
        <w:rPr>
          <w:rFonts w:ascii="Times New Roman" w:eastAsia="Calibri" w:hAnsi="Times New Roman" w:cs="Times New Roman"/>
          <w:kern w:val="0"/>
          <w14:ligatures w14:val="none"/>
        </w:rPr>
        <w:cr/>
      </w:r>
    </w:p>
    <w:p w14:paraId="43C98B85"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Walker, L. O., &amp; Avant, K. C. (2011). Strategies for theory construction in nursing (5th ed.). Pearson.</w:t>
      </w:r>
      <w:r w:rsidRPr="0044629C">
        <w:rPr>
          <w:rFonts w:ascii="Times New Roman" w:eastAsia="Calibri" w:hAnsi="Times New Roman" w:cs="Times New Roman"/>
          <w:kern w:val="0"/>
          <w14:ligatures w14:val="none"/>
        </w:rPr>
        <w:cr/>
      </w:r>
    </w:p>
    <w:p w14:paraId="25FA371F"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Zahra, S. A., &amp; George, G. (2002). Absorptive capacity: A review, reconceptualization, and extension. </w:t>
      </w:r>
      <w:r w:rsidRPr="0044629C">
        <w:rPr>
          <w:rFonts w:ascii="Times New Roman" w:eastAsia="Calibri" w:hAnsi="Times New Roman" w:cs="Times New Roman"/>
          <w:i/>
          <w:kern w:val="0"/>
          <w14:ligatures w14:val="none"/>
        </w:rPr>
        <w:t>Academy of Management Review, 27</w:t>
      </w:r>
      <w:r w:rsidRPr="0044629C">
        <w:rPr>
          <w:rFonts w:ascii="Times New Roman" w:eastAsia="Calibri" w:hAnsi="Times New Roman" w:cs="Times New Roman"/>
          <w:kern w:val="0"/>
          <w14:ligatures w14:val="none"/>
        </w:rPr>
        <w:t>(2), 185-203.</w:t>
      </w:r>
      <w:r w:rsidRPr="0044629C">
        <w:rPr>
          <w:rFonts w:ascii="Times New Roman" w:eastAsia="Calibri" w:hAnsi="Times New Roman" w:cs="Times New Roman"/>
          <w:kern w:val="0"/>
          <w14:ligatures w14:val="none"/>
        </w:rPr>
        <w:cr/>
      </w:r>
    </w:p>
    <w:p w14:paraId="0B2176E2"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Zahra, S. A., Sapienza, H. J., &amp; Davidsson, P. (2006). Entrepreneurship and dynamic capabilities: A review, model, and research agenda. </w:t>
      </w:r>
      <w:r w:rsidRPr="0044629C">
        <w:rPr>
          <w:rFonts w:ascii="Times New Roman" w:eastAsia="Calibri" w:hAnsi="Times New Roman" w:cs="Times New Roman"/>
          <w:i/>
          <w:kern w:val="0"/>
          <w14:ligatures w14:val="none"/>
        </w:rPr>
        <w:t>Journal of Management Studies, 43</w:t>
      </w:r>
      <w:r w:rsidRPr="0044629C">
        <w:rPr>
          <w:rFonts w:ascii="Times New Roman" w:eastAsia="Calibri" w:hAnsi="Times New Roman" w:cs="Times New Roman"/>
          <w:kern w:val="0"/>
          <w14:ligatures w14:val="none"/>
        </w:rPr>
        <w:t>(4), 917-955.</w:t>
      </w:r>
      <w:r w:rsidRPr="0044629C">
        <w:rPr>
          <w:rFonts w:ascii="Times New Roman" w:eastAsia="Calibri" w:hAnsi="Times New Roman" w:cs="Times New Roman"/>
          <w:kern w:val="0"/>
          <w14:ligatures w14:val="none"/>
        </w:rPr>
        <w:cr/>
      </w:r>
    </w:p>
    <w:p w14:paraId="1DDA6EAE"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r w:rsidRPr="0044629C">
        <w:rPr>
          <w:rFonts w:ascii="Times New Roman" w:eastAsia="Calibri" w:hAnsi="Times New Roman" w:cs="Times New Roman"/>
          <w:kern w:val="0"/>
          <w14:ligatures w14:val="none"/>
        </w:rPr>
        <w:t xml:space="preserve">Zhang, J. (2020). Uber: A tale of innovation, market disruption, and regulatory hurdles. </w:t>
      </w:r>
      <w:r w:rsidRPr="0044629C">
        <w:rPr>
          <w:rFonts w:ascii="Times New Roman" w:eastAsia="Calibri" w:hAnsi="Times New Roman" w:cs="Times New Roman"/>
          <w:i/>
          <w:kern w:val="0"/>
          <w14:ligatures w14:val="none"/>
        </w:rPr>
        <w:t>Journal of Business Research, 112</w:t>
      </w:r>
      <w:r w:rsidRPr="0044629C">
        <w:rPr>
          <w:rFonts w:ascii="Times New Roman" w:eastAsia="Calibri" w:hAnsi="Times New Roman" w:cs="Times New Roman"/>
          <w:kern w:val="0"/>
          <w14:ligatures w14:val="none"/>
        </w:rPr>
        <w:t>, 117-129.</w:t>
      </w:r>
    </w:p>
    <w:p w14:paraId="5FD4D3FD" w14:textId="77777777" w:rsidR="008D3090" w:rsidRPr="0044629C" w:rsidRDefault="008D3090" w:rsidP="008D3090">
      <w:pPr>
        <w:spacing w:after="0" w:line="240" w:lineRule="auto"/>
        <w:ind w:left="720" w:hanging="720"/>
        <w:jc w:val="both"/>
        <w:rPr>
          <w:rFonts w:ascii="Times New Roman" w:eastAsia="Calibri" w:hAnsi="Times New Roman" w:cs="Times New Roman"/>
          <w:kern w:val="0"/>
          <w14:ligatures w14:val="none"/>
        </w:rPr>
      </w:pPr>
    </w:p>
    <w:p w14:paraId="02D57565"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5205470F"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2F83DA1A"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7052E525"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372DA425"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6CFEE1E6"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092D392E"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26F760AB"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7B445A7B"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08502323"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0560B256" w14:textId="77777777" w:rsidR="008D3090" w:rsidRPr="008D3090" w:rsidRDefault="008D3090" w:rsidP="008D3090">
      <w:pPr>
        <w:spacing w:after="0" w:line="240" w:lineRule="auto"/>
        <w:ind w:left="720" w:hanging="720"/>
        <w:jc w:val="both"/>
        <w:rPr>
          <w:rFonts w:ascii="Times New Roman" w:eastAsia="Calibri" w:hAnsi="Times New Roman" w:cs="Times New Roman"/>
          <w:kern w:val="0"/>
          <w:sz w:val="26"/>
          <w:szCs w:val="26"/>
          <w14:ligatures w14:val="none"/>
        </w:rPr>
      </w:pPr>
    </w:p>
    <w:p w14:paraId="7A45C35E" w14:textId="77777777" w:rsidR="000B444A" w:rsidRDefault="000B444A" w:rsidP="00A60822">
      <w:pPr>
        <w:spacing w:after="0" w:line="240" w:lineRule="auto"/>
        <w:jc w:val="both"/>
        <w:rPr>
          <w:rFonts w:ascii="Times New Roman" w:hAnsi="Times New Roman" w:cs="Times New Roman"/>
          <w:b/>
          <w:bCs/>
          <w:sz w:val="36"/>
          <w:szCs w:val="36"/>
        </w:rPr>
      </w:pPr>
    </w:p>
    <w:p w14:paraId="7EAA5AC5" w14:textId="77777777" w:rsidR="008D3090" w:rsidRDefault="008D3090" w:rsidP="00A60822">
      <w:pPr>
        <w:spacing w:after="0" w:line="240" w:lineRule="auto"/>
        <w:jc w:val="both"/>
        <w:rPr>
          <w:rFonts w:ascii="Times New Roman" w:hAnsi="Times New Roman" w:cs="Times New Roman"/>
          <w:b/>
          <w:bCs/>
          <w:sz w:val="36"/>
          <w:szCs w:val="36"/>
        </w:rPr>
      </w:pPr>
    </w:p>
    <w:p w14:paraId="0926B119" w14:textId="77777777" w:rsidR="008D3090" w:rsidRDefault="008D3090" w:rsidP="00A60822">
      <w:pPr>
        <w:spacing w:after="0" w:line="240" w:lineRule="auto"/>
        <w:jc w:val="both"/>
        <w:rPr>
          <w:rFonts w:ascii="Times New Roman" w:hAnsi="Times New Roman" w:cs="Times New Roman"/>
          <w:b/>
          <w:bCs/>
          <w:sz w:val="36"/>
          <w:szCs w:val="36"/>
        </w:rPr>
      </w:pPr>
    </w:p>
    <w:p w14:paraId="69767952"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40504AEC"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1C60BD5D"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21871494"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202AE878"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0CEA5F66"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2C1730D5"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2C8633A8" w14:textId="77777777" w:rsidR="00641746" w:rsidRDefault="00641746" w:rsidP="008D3090">
      <w:pPr>
        <w:spacing w:after="0" w:line="360" w:lineRule="auto"/>
        <w:contextualSpacing/>
        <w:jc w:val="center"/>
        <w:rPr>
          <w:rFonts w:ascii="Times New Roman" w:eastAsia="SimSun" w:hAnsi="Times New Roman" w:cs="Times New Roman"/>
          <w:b/>
          <w:lang w:val="en-GB" w:eastAsia="zh-CN"/>
          <w14:ligatures w14:val="none"/>
        </w:rPr>
      </w:pPr>
    </w:p>
    <w:p w14:paraId="0061CCCC" w14:textId="77777777" w:rsidR="00583609" w:rsidRDefault="00583609" w:rsidP="008D3090">
      <w:pPr>
        <w:spacing w:after="0" w:line="360" w:lineRule="auto"/>
        <w:contextualSpacing/>
        <w:jc w:val="center"/>
        <w:rPr>
          <w:rFonts w:ascii="Times New Roman" w:eastAsia="SimSun" w:hAnsi="Times New Roman" w:cs="Times New Roman"/>
          <w:b/>
          <w:lang w:val="en-GB" w:eastAsia="zh-CN"/>
          <w14:ligatures w14:val="none"/>
        </w:rPr>
      </w:pPr>
    </w:p>
    <w:p w14:paraId="1C1C768C" w14:textId="77777777" w:rsidR="00583609" w:rsidRDefault="00583609" w:rsidP="008D3090">
      <w:pPr>
        <w:spacing w:after="0" w:line="360" w:lineRule="auto"/>
        <w:contextualSpacing/>
        <w:jc w:val="center"/>
        <w:rPr>
          <w:rFonts w:ascii="Times New Roman" w:eastAsia="SimSun" w:hAnsi="Times New Roman" w:cs="Times New Roman"/>
          <w:b/>
          <w:lang w:val="en-GB" w:eastAsia="zh-CN"/>
          <w14:ligatures w14:val="none"/>
        </w:rPr>
      </w:pPr>
    </w:p>
    <w:p w14:paraId="150557E7" w14:textId="77777777" w:rsidR="00583609" w:rsidRDefault="00583609" w:rsidP="008D3090">
      <w:pPr>
        <w:spacing w:after="0" w:line="360" w:lineRule="auto"/>
        <w:contextualSpacing/>
        <w:jc w:val="center"/>
        <w:rPr>
          <w:rFonts w:ascii="Times New Roman" w:eastAsia="SimSun" w:hAnsi="Times New Roman" w:cs="Times New Roman"/>
          <w:b/>
          <w:lang w:val="en-GB" w:eastAsia="zh-CN"/>
          <w14:ligatures w14:val="none"/>
        </w:rPr>
      </w:pPr>
    </w:p>
    <w:p w14:paraId="5B883E54" w14:textId="77777777" w:rsidR="00583609" w:rsidRDefault="00583609" w:rsidP="008D3090">
      <w:pPr>
        <w:spacing w:after="0" w:line="360" w:lineRule="auto"/>
        <w:contextualSpacing/>
        <w:jc w:val="center"/>
        <w:rPr>
          <w:rFonts w:ascii="Times New Roman" w:eastAsia="SimSun" w:hAnsi="Times New Roman" w:cs="Times New Roman"/>
          <w:b/>
          <w:lang w:val="en-GB" w:eastAsia="zh-CN"/>
          <w14:ligatures w14:val="none"/>
        </w:rPr>
      </w:pPr>
    </w:p>
    <w:p w14:paraId="4E9D8FF7" w14:textId="10B9372B" w:rsidR="008D3090" w:rsidRPr="008D3090" w:rsidRDefault="008D3090" w:rsidP="008D3090">
      <w:pPr>
        <w:spacing w:after="0" w:line="360" w:lineRule="auto"/>
        <w:contextualSpacing/>
        <w:jc w:val="center"/>
        <w:rPr>
          <w:rFonts w:ascii="Times New Roman" w:eastAsia="-webkit-standard" w:hAnsi="Times New Roman" w:cs="Times New Roman"/>
          <w:color w:val="000000"/>
          <w:lang w:val="en-GB" w:eastAsia="zh-CN"/>
          <w14:ligatures w14:val="none"/>
        </w:rPr>
      </w:pPr>
      <w:r w:rsidRPr="008D3090">
        <w:rPr>
          <w:rFonts w:ascii="Times New Roman" w:eastAsia="SimSun" w:hAnsi="Times New Roman" w:cs="Times New Roman"/>
          <w:b/>
          <w:lang w:val="en-GB" w:eastAsia="zh-CN"/>
          <w14:ligatures w14:val="none"/>
        </w:rPr>
        <w:lastRenderedPageBreak/>
        <w:t>EFFECTS OF EMPLOYEE COMMITMENT AND GROWTH OF DEPOSIT MONEY BANK: A STUDY OF UNITED BANK OF AFRICA (UBA) YENAGOA BAYELSA STATE</w:t>
      </w:r>
    </w:p>
    <w:p w14:paraId="0DA8C3E9" w14:textId="77777777" w:rsidR="008D3090" w:rsidRPr="008D3090" w:rsidRDefault="008D3090" w:rsidP="008D3090">
      <w:pPr>
        <w:tabs>
          <w:tab w:val="left" w:pos="10530"/>
          <w:tab w:val="left" w:pos="10620"/>
        </w:tabs>
        <w:spacing w:after="0" w:line="240" w:lineRule="auto"/>
        <w:ind w:left="360" w:right="450"/>
        <w:jc w:val="center"/>
        <w:rPr>
          <w:rFonts w:ascii="Times New Roman" w:eastAsia="Calibri" w:hAnsi="Times New Roman" w:cs="Times New Roman"/>
          <w:b/>
          <w:bCs/>
          <w:color w:val="000000"/>
          <w:kern w:val="0"/>
          <w14:ligatures w14:val="none"/>
        </w:rPr>
      </w:pPr>
    </w:p>
    <w:p w14:paraId="1E707892" w14:textId="77777777" w:rsidR="008D3090" w:rsidRPr="008D3090" w:rsidRDefault="008D3090" w:rsidP="008D3090">
      <w:pPr>
        <w:tabs>
          <w:tab w:val="left" w:pos="10530"/>
          <w:tab w:val="left" w:pos="10620"/>
        </w:tabs>
        <w:spacing w:after="0" w:line="240" w:lineRule="auto"/>
        <w:ind w:left="360" w:right="450"/>
        <w:jc w:val="center"/>
        <w:rPr>
          <w:rFonts w:ascii="Times New Roman" w:eastAsia="Calibri" w:hAnsi="Times New Roman" w:cs="Times New Roman"/>
          <w:color w:val="000000"/>
          <w:kern w:val="0"/>
          <w14:ligatures w14:val="none"/>
        </w:rPr>
      </w:pPr>
      <w:r w:rsidRPr="008D3090">
        <w:rPr>
          <w:rFonts w:ascii="Times New Roman" w:eastAsia="Calibri" w:hAnsi="Times New Roman" w:cs="Times New Roman"/>
          <w:b/>
          <w:bCs/>
          <w:color w:val="000000"/>
          <w:kern w:val="0"/>
          <w14:ligatures w14:val="none"/>
        </w:rPr>
        <w:t>WILLY,</w:t>
      </w:r>
      <w:r w:rsidRPr="008D3090">
        <w:rPr>
          <w:rFonts w:ascii="Times New Roman" w:eastAsia="Calibri" w:hAnsi="Times New Roman" w:cs="Times New Roman"/>
          <w:color w:val="000000"/>
          <w:kern w:val="0"/>
          <w14:ligatures w14:val="none"/>
        </w:rPr>
        <w:t xml:space="preserve"> </w:t>
      </w:r>
      <w:r w:rsidRPr="008D3090">
        <w:rPr>
          <w:rFonts w:ascii="Times New Roman" w:eastAsia="Calibri" w:hAnsi="Times New Roman" w:cs="Times New Roman"/>
          <w:b/>
          <w:bCs/>
          <w:color w:val="000000"/>
          <w:kern w:val="0"/>
          <w14:ligatures w14:val="none"/>
        </w:rPr>
        <w:t>Nelson Ogoja</w:t>
      </w:r>
      <w:r w:rsidRPr="008D3090">
        <w:rPr>
          <w:rFonts w:ascii="Times New Roman" w:eastAsia="Calibri" w:hAnsi="Times New Roman" w:cs="Times New Roman"/>
          <w:b/>
          <w:bCs/>
          <w:color w:val="000000"/>
          <w:kern w:val="0"/>
          <w:vertAlign w:val="superscript"/>
          <w14:ligatures w14:val="none"/>
        </w:rPr>
        <w:t>1</w:t>
      </w:r>
      <w:r w:rsidRPr="008D3090">
        <w:rPr>
          <w:rFonts w:ascii="Times New Roman" w:eastAsia="Calibri" w:hAnsi="Times New Roman" w:cs="Times New Roman"/>
          <w:b/>
          <w:bCs/>
          <w:color w:val="000000"/>
          <w:kern w:val="0"/>
          <w14:ligatures w14:val="none"/>
        </w:rPr>
        <w:t xml:space="preserve"> and OGUNLEYE, Ayodele Ojo</w:t>
      </w:r>
      <w:r w:rsidRPr="008D3090">
        <w:rPr>
          <w:rFonts w:ascii="Times New Roman" w:eastAsia="Calibri" w:hAnsi="Times New Roman" w:cs="Times New Roman"/>
          <w:b/>
          <w:bCs/>
          <w:color w:val="000000"/>
          <w:kern w:val="0"/>
          <w:vertAlign w:val="superscript"/>
          <w14:ligatures w14:val="none"/>
        </w:rPr>
        <w:t>2</w:t>
      </w:r>
    </w:p>
    <w:p w14:paraId="5BCE31FC" w14:textId="77777777" w:rsidR="008D3090" w:rsidRPr="008D3090" w:rsidRDefault="008D3090" w:rsidP="008D3090">
      <w:pPr>
        <w:tabs>
          <w:tab w:val="left" w:pos="10530"/>
          <w:tab w:val="left" w:pos="10620"/>
        </w:tabs>
        <w:spacing w:after="0" w:line="240" w:lineRule="auto"/>
        <w:ind w:left="360" w:right="450"/>
        <w:jc w:val="center"/>
        <w:rPr>
          <w:rFonts w:ascii="Times New Roman" w:eastAsia="Calibri" w:hAnsi="Times New Roman" w:cs="Times New Roman"/>
          <w:color w:val="000000"/>
          <w:kern w:val="0"/>
          <w14:ligatures w14:val="none"/>
        </w:rPr>
      </w:pPr>
    </w:p>
    <w:p w14:paraId="10606C30" w14:textId="77777777" w:rsidR="008D3090" w:rsidRPr="008D3090" w:rsidRDefault="008D3090" w:rsidP="008D3090">
      <w:pPr>
        <w:tabs>
          <w:tab w:val="left" w:pos="10530"/>
          <w:tab w:val="left" w:pos="10620"/>
        </w:tabs>
        <w:spacing w:after="0" w:line="240" w:lineRule="auto"/>
        <w:ind w:right="450"/>
        <w:rPr>
          <w:rFonts w:ascii="Times New Roman" w:eastAsia="Calibri" w:hAnsi="Times New Roman" w:cs="Times New Roman"/>
          <w:color w:val="000000"/>
          <w:kern w:val="0"/>
          <w14:ligatures w14:val="none"/>
        </w:rPr>
      </w:pPr>
      <w:r w:rsidRPr="008D3090">
        <w:rPr>
          <w:rFonts w:ascii="Times New Roman" w:eastAsia="Calibri" w:hAnsi="Times New Roman" w:cs="Times New Roman"/>
          <w:b/>
          <w:bCs/>
          <w:color w:val="000000"/>
          <w:kern w:val="0"/>
          <w:vertAlign w:val="superscript"/>
          <w14:ligatures w14:val="none"/>
        </w:rPr>
        <w:t>1</w:t>
      </w:r>
      <w:r w:rsidRPr="008D3090">
        <w:rPr>
          <w:rFonts w:ascii="Times New Roman" w:eastAsia="Calibri" w:hAnsi="Times New Roman" w:cs="Times New Roman"/>
          <w:color w:val="000000"/>
          <w:kern w:val="0"/>
          <w14:ligatures w14:val="none"/>
        </w:rPr>
        <w:t xml:space="preserve">Department of Accountancy, School of Management Sciences, Federal Polytechnic, </w:t>
      </w:r>
      <w:proofErr w:type="spellStart"/>
      <w:r w:rsidRPr="008D3090">
        <w:rPr>
          <w:rFonts w:ascii="Times New Roman" w:eastAsia="Calibri" w:hAnsi="Times New Roman" w:cs="Times New Roman"/>
          <w:color w:val="000000"/>
          <w:kern w:val="0"/>
          <w14:ligatures w14:val="none"/>
        </w:rPr>
        <w:t>Ekowe</w:t>
      </w:r>
      <w:proofErr w:type="spellEnd"/>
      <w:r w:rsidRPr="008D3090">
        <w:rPr>
          <w:rFonts w:ascii="Times New Roman" w:eastAsia="Calibri" w:hAnsi="Times New Roman" w:cs="Times New Roman"/>
          <w:color w:val="000000"/>
          <w:kern w:val="0"/>
          <w14:ligatures w14:val="none"/>
        </w:rPr>
        <w:t xml:space="preserve">, Bayelsa State </w:t>
      </w:r>
      <w:hyperlink r:id="rId263" w:history="1">
        <w:r w:rsidRPr="008D3090">
          <w:rPr>
            <w:rFonts w:ascii="Times New Roman" w:eastAsia="Calibri" w:hAnsi="Times New Roman" w:cs="Times New Roman"/>
            <w:color w:val="000000"/>
            <w:kern w:val="0"/>
            <w:u w:val="single"/>
            <w14:ligatures w14:val="none"/>
          </w:rPr>
          <w:t>nelsonwilly79@gmail.com</w:t>
        </w:r>
      </w:hyperlink>
      <w:r w:rsidRPr="008D3090">
        <w:rPr>
          <w:rFonts w:ascii="Times New Roman" w:eastAsia="Calibri" w:hAnsi="Times New Roman" w:cs="Times New Roman"/>
          <w:color w:val="000000"/>
          <w:kern w:val="0"/>
          <w14:ligatures w14:val="none"/>
        </w:rPr>
        <w:t>; 0803 750 7027</w:t>
      </w:r>
    </w:p>
    <w:p w14:paraId="5E232688" w14:textId="77777777" w:rsidR="008D3090" w:rsidRPr="008D3090" w:rsidRDefault="008D3090" w:rsidP="008D3090">
      <w:pPr>
        <w:tabs>
          <w:tab w:val="left" w:pos="10530"/>
          <w:tab w:val="left" w:pos="10620"/>
        </w:tabs>
        <w:spacing w:after="0" w:line="240" w:lineRule="auto"/>
        <w:ind w:left="360" w:right="450"/>
        <w:rPr>
          <w:rFonts w:ascii="Times New Roman" w:eastAsia="Calibri" w:hAnsi="Times New Roman" w:cs="Times New Roman"/>
          <w:color w:val="000000"/>
          <w:kern w:val="0"/>
          <w14:ligatures w14:val="none"/>
        </w:rPr>
      </w:pPr>
    </w:p>
    <w:p w14:paraId="058A18FC" w14:textId="77777777" w:rsidR="008D3090" w:rsidRPr="008D3090" w:rsidRDefault="008D3090" w:rsidP="008D3090">
      <w:pPr>
        <w:tabs>
          <w:tab w:val="left" w:pos="10530"/>
          <w:tab w:val="left" w:pos="10620"/>
        </w:tabs>
        <w:spacing w:after="0" w:line="240" w:lineRule="auto"/>
        <w:ind w:right="450"/>
        <w:rPr>
          <w:rFonts w:ascii="Times New Roman" w:eastAsia="Calibri" w:hAnsi="Times New Roman" w:cs="Times New Roman"/>
          <w:color w:val="000000"/>
          <w:kern w:val="0"/>
          <w14:ligatures w14:val="none"/>
        </w:rPr>
      </w:pPr>
      <w:r w:rsidRPr="008D3090">
        <w:rPr>
          <w:rFonts w:ascii="Times New Roman" w:eastAsia="Calibri" w:hAnsi="Times New Roman" w:cs="Times New Roman"/>
          <w:b/>
          <w:bCs/>
          <w:color w:val="000000"/>
          <w:kern w:val="0"/>
          <w:vertAlign w:val="superscript"/>
          <w14:ligatures w14:val="none"/>
        </w:rPr>
        <w:t>2</w:t>
      </w:r>
      <w:r w:rsidRPr="008D3090">
        <w:rPr>
          <w:rFonts w:ascii="Times New Roman" w:eastAsia="Calibri" w:hAnsi="Times New Roman" w:cs="Times New Roman"/>
          <w:color w:val="000000"/>
          <w:kern w:val="0"/>
          <w14:ligatures w14:val="none"/>
        </w:rPr>
        <w:t xml:space="preserve">Department of Business Administration and Management, School of Management Sciences, Federal Polytechnic </w:t>
      </w:r>
      <w:proofErr w:type="spellStart"/>
      <w:r w:rsidRPr="008D3090">
        <w:rPr>
          <w:rFonts w:ascii="Times New Roman" w:eastAsia="Calibri" w:hAnsi="Times New Roman" w:cs="Times New Roman"/>
          <w:color w:val="000000"/>
          <w:kern w:val="0"/>
          <w14:ligatures w14:val="none"/>
        </w:rPr>
        <w:t>Ekowe</w:t>
      </w:r>
      <w:proofErr w:type="spellEnd"/>
      <w:r w:rsidRPr="008D3090">
        <w:rPr>
          <w:rFonts w:ascii="Times New Roman" w:eastAsia="Calibri" w:hAnsi="Times New Roman" w:cs="Times New Roman"/>
          <w:color w:val="000000"/>
          <w:kern w:val="0"/>
          <w14:ligatures w14:val="none"/>
        </w:rPr>
        <w:t xml:space="preserve">, Bayelsa State   </w:t>
      </w:r>
      <w:hyperlink r:id="rId264" w:history="1">
        <w:r w:rsidRPr="008D3090">
          <w:rPr>
            <w:rFonts w:ascii="Times New Roman" w:eastAsia="Calibri" w:hAnsi="Times New Roman" w:cs="Times New Roman"/>
            <w:color w:val="000000"/>
            <w:kern w:val="0"/>
            <w:u w:val="single"/>
            <w14:ligatures w14:val="none"/>
          </w:rPr>
          <w:t>ayoogunleye97@gmail.com</w:t>
        </w:r>
      </w:hyperlink>
      <w:r w:rsidRPr="008D3090">
        <w:rPr>
          <w:rFonts w:ascii="Times New Roman" w:eastAsia="Calibri" w:hAnsi="Times New Roman" w:cs="Times New Roman"/>
          <w:color w:val="000000"/>
          <w:kern w:val="0"/>
          <w14:ligatures w14:val="none"/>
        </w:rPr>
        <w:t>; 0803 477 6304</w:t>
      </w:r>
    </w:p>
    <w:p w14:paraId="1DED2C67" w14:textId="77777777" w:rsidR="008D3090" w:rsidRPr="008D3090" w:rsidRDefault="008D3090" w:rsidP="008D3090">
      <w:pPr>
        <w:tabs>
          <w:tab w:val="left" w:pos="10530"/>
          <w:tab w:val="left" w:pos="10620"/>
        </w:tabs>
        <w:spacing w:after="0" w:line="240" w:lineRule="auto"/>
        <w:ind w:right="450"/>
        <w:rPr>
          <w:rFonts w:ascii="Times New Roman" w:eastAsia="Calibri" w:hAnsi="Times New Roman" w:cs="Times New Roman"/>
          <w:color w:val="000000"/>
          <w:kern w:val="0"/>
          <w14:ligatures w14:val="none"/>
        </w:rPr>
      </w:pPr>
    </w:p>
    <w:p w14:paraId="2ECD2F61" w14:textId="77777777" w:rsidR="008D3090" w:rsidRPr="008D3090" w:rsidRDefault="008D3090" w:rsidP="008D3090">
      <w:pPr>
        <w:spacing w:after="0" w:line="240" w:lineRule="auto"/>
        <w:jc w:val="both"/>
        <w:rPr>
          <w:rFonts w:ascii="Times New Roman" w:eastAsia="SimSun" w:hAnsi="Times New Roman" w:cs="Times New Roman"/>
          <w:lang w:val="en-GB" w:eastAsia="zh-CN"/>
          <w14:ligatures w14:val="none"/>
        </w:rPr>
      </w:pPr>
      <w:r w:rsidRPr="008D3090">
        <w:rPr>
          <w:rFonts w:ascii="Times New Roman" w:eastAsia="-webkit-standard" w:hAnsi="Times New Roman" w:cs="Times New Roman"/>
          <w:color w:val="000000"/>
          <w:lang w:val="en-GB" w:eastAsia="zh-CN"/>
          <w14:ligatures w14:val="none"/>
        </w:rPr>
        <w:t> </w:t>
      </w:r>
    </w:p>
    <w:p w14:paraId="109F6C6A" w14:textId="77777777" w:rsidR="008D3090" w:rsidRPr="008D3090" w:rsidRDefault="008D3090" w:rsidP="008D3090">
      <w:pPr>
        <w:spacing w:after="105" w:line="240" w:lineRule="auto"/>
        <w:jc w:val="both"/>
        <w:rPr>
          <w:rFonts w:ascii="Times New Roman" w:eastAsia="-webkit-standard" w:hAnsi="Times New Roman" w:cs="Times New Roman"/>
          <w:b/>
          <w:i/>
          <w:color w:val="000000"/>
          <w:lang w:val="en-GB" w:eastAsia="zh-CN"/>
          <w14:ligatures w14:val="none"/>
        </w:rPr>
      </w:pPr>
      <w:bookmarkStart w:id="42" w:name="_Toc215808551"/>
      <w:r w:rsidRPr="008D3090">
        <w:rPr>
          <w:rFonts w:ascii="Times New Roman" w:eastAsia="SimSun" w:hAnsi="Times New Roman" w:cs="Times New Roman"/>
          <w:b/>
          <w:i/>
          <w:lang w:val="en-GB" w:eastAsia="zh-CN"/>
          <w14:ligatures w14:val="none"/>
        </w:rPr>
        <w:t>ABSTRACT</w:t>
      </w:r>
      <w:bookmarkEnd w:id="42"/>
    </w:p>
    <w:p w14:paraId="4F0EDF9F" w14:textId="77777777" w:rsidR="008D3090" w:rsidRPr="008D3090" w:rsidRDefault="008D3090" w:rsidP="008D3090">
      <w:pPr>
        <w:widowControl w:val="0"/>
        <w:spacing w:after="0" w:line="240" w:lineRule="auto"/>
        <w:jc w:val="both"/>
        <w:rPr>
          <w:rFonts w:ascii="Times New Roman" w:eastAsia="-webkit-standard" w:hAnsi="Times New Roman" w:cs="Times New Roman"/>
          <w:i/>
          <w:color w:val="000000"/>
          <w:lang w:val="en-GB" w:eastAsia="zh-CN"/>
          <w14:ligatures w14:val="none"/>
        </w:rPr>
      </w:pPr>
      <w:r w:rsidRPr="008D3090">
        <w:rPr>
          <w:rFonts w:ascii="Times New Roman" w:eastAsia="-webkit-standard" w:hAnsi="Times New Roman" w:cs="Times New Roman"/>
          <w:i/>
          <w:color w:val="000000"/>
          <w:lang w:val="en-GB" w:eastAsia="zh-CN"/>
          <w14:ligatures w14:val="none"/>
        </w:rPr>
        <w:t>The study examined the effects of employee commitment on the growth of Deposit Money Banks, using the United Bank for Africa (UBA), Yenagoa, Bayelsa State, as a case study. The main objective was to assess how employee commitment influences organisational growth within selected UBA branches in Yenagoa, Bayelsa State. The study adopted a survey research design and utilised both primary and secondary data sources. Using the Taro Yamane formula, a sample size of 130 respondents was derived from a total population of 580 staff, and respondents were selected through simple random sampling. The theoretical framework for the study was anchored on McGregor’s Theory X and Theory Y, Maslow’s Hierarchy of Needs, and Frederick Herzberg’s Two-Factor Theory. Data collected were analysed using simple percentages, while the hypotheses were tested with the chi-square statistical technique. The findings revealed that employee training and development initiatives significantly influence commitment levels among staff of UBA in Bayelsa State. The study further established that employee commitment has a significant effect on employee turnover within the selected UBA branches. In light of these findings, the study recommends, among other things, that both management and employees of UBA should recognise the importance of intrinsic factors in enhancing motivation. Additionally, the organisation should properly harness extrinsic motivational factors as a strategy for building and sustaining positive employee commitment. It is essential for the organisation to acknowledge the role of these factors in determining overall motivation levels among employees.</w:t>
      </w:r>
    </w:p>
    <w:p w14:paraId="08A5AAAF" w14:textId="77777777" w:rsidR="008D3090" w:rsidRPr="008D3090" w:rsidRDefault="008D3090" w:rsidP="008D3090">
      <w:pPr>
        <w:spacing w:after="0" w:line="240" w:lineRule="auto"/>
        <w:jc w:val="center"/>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w:t>
      </w:r>
    </w:p>
    <w:p w14:paraId="07D27085" w14:textId="77777777" w:rsidR="008D3090" w:rsidRPr="008D3090" w:rsidRDefault="008D3090" w:rsidP="008D3090">
      <w:pPr>
        <w:spacing w:after="120" w:line="240" w:lineRule="auto"/>
        <w:jc w:val="both"/>
        <w:rPr>
          <w:rFonts w:ascii="Times New Roman" w:eastAsia="-webkit-standard" w:hAnsi="Times New Roman" w:cs="Times New Roman"/>
          <w:b/>
          <w:color w:val="000000"/>
          <w:lang w:val="en-GB" w:eastAsia="zh-CN"/>
          <w14:ligatures w14:val="none"/>
        </w:rPr>
      </w:pPr>
    </w:p>
    <w:p w14:paraId="2F334F8C" w14:textId="77777777" w:rsidR="008D3090" w:rsidRPr="008D3090" w:rsidRDefault="008D3090" w:rsidP="008D3090">
      <w:pPr>
        <w:spacing w:after="120" w:line="240" w:lineRule="auto"/>
        <w:jc w:val="both"/>
        <w:rPr>
          <w:rFonts w:ascii="Times New Roman" w:eastAsia="-webkit-standard" w:hAnsi="Times New Roman" w:cs="Times New Roman"/>
          <w:b/>
          <w:color w:val="000000"/>
          <w:lang w:val="en-GB" w:eastAsia="zh-CN"/>
          <w14:ligatures w14:val="none"/>
        </w:rPr>
      </w:pPr>
      <w:r w:rsidRPr="008D3090">
        <w:rPr>
          <w:rFonts w:ascii="Times New Roman" w:eastAsia="-webkit-standard" w:hAnsi="Times New Roman" w:cs="Times New Roman"/>
          <w:b/>
          <w:color w:val="000000"/>
          <w:lang w:val="en-GB" w:eastAsia="zh-CN"/>
          <w14:ligatures w14:val="none"/>
        </w:rPr>
        <w:t> </w:t>
      </w:r>
      <w:bookmarkStart w:id="43" w:name="_Toc215808556"/>
      <w:r w:rsidRPr="008D3090">
        <w:rPr>
          <w:rFonts w:ascii="Times New Roman" w:eastAsia="SimSun" w:hAnsi="Times New Roman" w:cs="Times New Roman"/>
          <w:b/>
          <w:lang w:val="en-GB" w:eastAsia="zh-CN"/>
          <w14:ligatures w14:val="none"/>
        </w:rPr>
        <w:t>1.1 Background of the Study</w:t>
      </w:r>
      <w:bookmarkEnd w:id="43"/>
      <w:r w:rsidRPr="008D3090">
        <w:rPr>
          <w:rFonts w:ascii="Times New Roman" w:eastAsia="SimSun" w:hAnsi="Times New Roman" w:cs="Times New Roman"/>
          <w:b/>
          <w:lang w:val="en-GB" w:eastAsia="zh-CN"/>
          <w14:ligatures w14:val="none"/>
        </w:rPr>
        <w:t xml:space="preserve"> </w:t>
      </w:r>
    </w:p>
    <w:p w14:paraId="5E7F6E4C"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Commitment is thought to be the psychological immersion of an individual with his institute through the feeling of belonging, possession of organizational goals and preparation to accept obstacles. Creating commitment among workers is essential because it will be tough for an organization to achieve strategic objectives without this. Employee commitment indicates an employee's involvement in executing his work with passion and excitement (Bedarkar &amp; Pandita, 2018). The performance of any firm is directly associated with the commitment level of workers. Devoted employees can execute their duties more than management expectations. High-level commitment is indispensable for enhancing output and obtaining sustainable competitive advantages. Preparing and retaining committed workers is imperative for organizational growth, as dedicated employees work harder and perform their jobs with devotion and commitment (Sharma &amp; Dhar, 2019). The goal of organizational growth is to enhance the capability of the organization to improve its efficiency in attaining strategic goals. Building the organization capability is possible when every staff member understands his duty and responsibility for results associated with his performance.</w:t>
      </w:r>
    </w:p>
    <w:p w14:paraId="59B73B8A"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The most vital resource any organization can boast of is the human resource. It is the human resource that manages all other material resources; money, materials and machines. Sabir, Majid, Nawal &amp; Majid (2015) in their opinion supported that human resources are one of the resources of an organization that do not only enlarge the efficiency of the organization but also act as a pure source of competitive advantage. Employees are the </w:t>
      </w:r>
      <w:r w:rsidRPr="008D3090">
        <w:rPr>
          <w:rFonts w:ascii="Times New Roman" w:eastAsia="SimSun" w:hAnsi="Times New Roman" w:cs="Times New Roman"/>
          <w:lang w:val="en-GB" w:eastAsia="zh-CN"/>
          <w14:ligatures w14:val="none"/>
        </w:rPr>
        <w:lastRenderedPageBreak/>
        <w:t>major composition of the resources in any organization thus, having the potential to ruin or make their unit succeed. Most organizations have realized that the performance of their workers plays a vital role in determining the success of the organization (Zheng, Sharan &amp; Wei, 2010). As such, it is important for employers and managers alike to know how to get the best out of their workers.</w:t>
      </w:r>
    </w:p>
    <w:p w14:paraId="6574067B"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Organizations value commitment among their employees because it is typically assumed to reduce withdrawal </w:t>
      </w:r>
      <w:proofErr w:type="spellStart"/>
      <w:r w:rsidRPr="008D3090">
        <w:rPr>
          <w:rFonts w:ascii="Times New Roman" w:eastAsia="SimSun" w:hAnsi="Times New Roman" w:cs="Times New Roman"/>
          <w:lang w:val="en-GB" w:eastAsia="zh-CN"/>
          <w14:ligatures w14:val="none"/>
        </w:rPr>
        <w:t>behavior</w:t>
      </w:r>
      <w:proofErr w:type="spellEnd"/>
      <w:r w:rsidRPr="008D3090">
        <w:rPr>
          <w:rFonts w:ascii="Times New Roman" w:eastAsia="SimSun" w:hAnsi="Times New Roman" w:cs="Times New Roman"/>
          <w:lang w:val="en-GB" w:eastAsia="zh-CN"/>
          <w14:ligatures w14:val="none"/>
        </w:rPr>
        <w:t>, such as lateness, absenteeism and turnover (</w:t>
      </w:r>
      <w:proofErr w:type="spellStart"/>
      <w:r w:rsidRPr="008D3090">
        <w:rPr>
          <w:rFonts w:ascii="Times New Roman" w:eastAsia="SimSun" w:hAnsi="Times New Roman" w:cs="Times New Roman"/>
          <w:lang w:val="en-GB" w:eastAsia="zh-CN"/>
          <w14:ligatures w14:val="none"/>
        </w:rPr>
        <w:t>Irefin</w:t>
      </w:r>
      <w:proofErr w:type="spellEnd"/>
      <w:r w:rsidRPr="008D3090">
        <w:rPr>
          <w:rFonts w:ascii="Times New Roman" w:eastAsia="SimSun" w:hAnsi="Times New Roman" w:cs="Times New Roman"/>
          <w:lang w:val="en-GB" w:eastAsia="zh-CN"/>
          <w14:ligatures w14:val="none"/>
        </w:rPr>
        <w:t>&amp; Mechanic, 2014). Hence, there is no doubt that these values appear to have potentially serious consequences for overall organizational performance. Despite the consensus in acknowledging the benefit of employee commitment to organizational performance, employee commitment is not automatic. Hence, employee commitment has become one of the most popular work attitudes studied by practitioners and researchers.</w:t>
      </w:r>
    </w:p>
    <w:p w14:paraId="2F29855C"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Today's competitive business environment has made it even more pertinent for organizations to maintain a highly committed workforce. This is because committed employees pull together in one direction to improve their performance at both the individual and team levels (Andrew, 2017). Thus, committed employees are capable of improving the fortunes of the organization through their improved work </w:t>
      </w:r>
      <w:proofErr w:type="spellStart"/>
      <w:r w:rsidRPr="008D3090">
        <w:rPr>
          <w:rFonts w:ascii="Times New Roman" w:eastAsia="SimSun" w:hAnsi="Times New Roman" w:cs="Times New Roman"/>
          <w:lang w:val="en-GB" w:eastAsia="zh-CN"/>
          <w14:ligatures w14:val="none"/>
        </w:rPr>
        <w:t>behavior</w:t>
      </w:r>
      <w:proofErr w:type="spellEnd"/>
      <w:r w:rsidRPr="008D3090">
        <w:rPr>
          <w:rFonts w:ascii="Times New Roman" w:eastAsia="SimSun" w:hAnsi="Times New Roman" w:cs="Times New Roman"/>
          <w:lang w:val="en-GB" w:eastAsia="zh-CN"/>
          <w14:ligatures w14:val="none"/>
        </w:rPr>
        <w:t xml:space="preserve">. </w:t>
      </w:r>
    </w:p>
    <w:p w14:paraId="66EDEABE"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In today's competitive world, every organization is faced with new challenges regarding sustained productivity and creating committed workforce. Hence, it is important to understand the concept of commitment and its feasible outcome (Dixit and Bhati, 2020). It is no longer good enough to have employees who come to work faithfully every day and do their jobs independently. Employees now have to think like entrepreneurs while working in teams and have to prove their worth. People are the most important drivers of an organization competitive advantage (</w:t>
      </w:r>
      <w:proofErr w:type="spellStart"/>
      <w:r w:rsidRPr="008D3090">
        <w:rPr>
          <w:rFonts w:ascii="Times New Roman" w:eastAsia="SimSun" w:hAnsi="Times New Roman" w:cs="Times New Roman"/>
          <w:lang w:val="en-GB" w:eastAsia="zh-CN"/>
          <w14:ligatures w14:val="none"/>
        </w:rPr>
        <w:t>Maugo</w:t>
      </w:r>
      <w:proofErr w:type="spellEnd"/>
      <w:r w:rsidRPr="008D3090">
        <w:rPr>
          <w:rFonts w:ascii="Times New Roman" w:eastAsia="SimSun" w:hAnsi="Times New Roman" w:cs="Times New Roman"/>
          <w:lang w:val="en-GB" w:eastAsia="zh-CN"/>
          <w14:ligatures w14:val="none"/>
        </w:rPr>
        <w:t>, 2023).</w:t>
      </w:r>
    </w:p>
    <w:p w14:paraId="5053706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There are three forms of employee commitment considered in this study the affective commitment, continuance commitment and normative commitment. Affective Commitment is an employee's perceived emotional connection to their company. When an employee feels that the company's mission aligns with their personal values and goals and when they feel at home in the workplace, this is when affective commitment is found. Continuance Commitment. It is when the reason behind for employees' commitment lies in their necessity to stay with the organization. The need to remain with an organization may have a variety of causes, but the two basic ones are compensation and the absence of other employment options. Normative Commitment. It is when employees typically feel obligated to remain at their companies. Normatively committed employees are typically dedicated believe that leaving their company would have terrible repercussions and feel guilty about the possibility of doing so.</w:t>
      </w:r>
    </w:p>
    <w:p w14:paraId="2C0D445E"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With these, the study determined the influence of employee commitment on organizational performance.</w:t>
      </w:r>
    </w:p>
    <w:p w14:paraId="14048F29"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To profound the previously stated matters, this study aimed to examine the influence of employee commitment on the factors such as affective commitment, continuance commitment and normative commitment on the organizational performance by considering employee satisfaction, employee performance and service delivery</w:t>
      </w:r>
    </w:p>
    <w:p w14:paraId="0DF4D68A"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As a result, this study aimed to make a theoretical contribution by reducing the research gap as no such study has examined the effect of employee commitment and growth of SMEs by making reference to some selected united bank of Africa (UBA) Bayelsa state.</w:t>
      </w:r>
    </w:p>
    <w:p w14:paraId="04D719EB"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44" w:name="_Toc215808557"/>
      <w:r w:rsidRPr="008D3090">
        <w:rPr>
          <w:rFonts w:ascii="Times New Roman" w:eastAsia="SimSun" w:hAnsi="Times New Roman" w:cs="Times New Roman"/>
          <w:b/>
          <w:lang w:val="en-GB" w:eastAsia="zh-CN"/>
          <w14:ligatures w14:val="none"/>
        </w:rPr>
        <w:t>1.2</w:t>
      </w:r>
      <w:r w:rsidRPr="008D3090">
        <w:rPr>
          <w:rFonts w:ascii="Times New Roman" w:eastAsia="SimSun" w:hAnsi="Times New Roman" w:cs="Times New Roman"/>
          <w:b/>
          <w:lang w:val="en-GB" w:eastAsia="zh-CN"/>
          <w14:ligatures w14:val="none"/>
        </w:rPr>
        <w:tab/>
        <w:t>Statement of the Problem</w:t>
      </w:r>
      <w:bookmarkEnd w:id="44"/>
      <w:r w:rsidRPr="008D3090">
        <w:rPr>
          <w:rFonts w:ascii="Times New Roman" w:eastAsia="SimSun" w:hAnsi="Times New Roman" w:cs="Times New Roman"/>
          <w:b/>
          <w:lang w:val="en-GB" w:eastAsia="zh-CN"/>
          <w14:ligatures w14:val="none"/>
        </w:rPr>
        <w:t xml:space="preserve"> </w:t>
      </w:r>
    </w:p>
    <w:p w14:paraId="4B09FF2C"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 problem of this study bore from the fact that there is a wide discrepancy between employees' efforts towards work and their compensations in return for their efforts. The consequences of less commitment from employees are devastating to an organization. They include under-performance, resulting from absenteeism, lateness, poor attitude to work and resignation. Lack of commitment by employees' leads to poor performance as they do not work to their full potential and this has affected the performance of the organization. Employees are the pivot on which the growth, survival and achievement of the organizational objectives are dependent on.</w:t>
      </w:r>
    </w:p>
    <w:p w14:paraId="598F1AAB"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An organization, without committed employees is likely to lose its highly skilled employees to other organizations. Employee commitment will result into benefits which include: increased job satisfaction increased job performance, increased total return to shareholders, increased sales, decreased employee turnover, decreased intention to leave, decreased intention to search for alternative, decreased absenteeism (Taylor, 2011). Commitment-based service organizations believe that staff's organizational commitment contributes to workforce stability and better customer service hence increases business performance (Nguyen, 2014).</w:t>
      </w:r>
    </w:p>
    <w:p w14:paraId="61FEEA3C"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lastRenderedPageBreak/>
        <w:t>Organizational factors that influence employee commitment such as dependability, social processes and the organizational climate strengthen employee commitment and are known to enhance personal/individual factors to employees" commitment (Mcgrawhil, 2010). Organizations are sometimes baffles when their highly rated employees under-perform and others resign and leave. Organizations fail to understand why some employees are not committed to the organization even though they have proactively implemented fair compensation policies and human resources practices to motivate retain them. It can be costly if employees are not committed to their jobs within an organization and if they lack motivations to exercise their full potentials.: In exchange for workers' commitment, organizations have to provide motivational structures and values for employees, such as secure jobs and fair compensations. But rather unfortunate, the employees irrespective of their level or ranking in organizations are not treated as agreed with an organization. As a result, employees in the world of work have embarked on series of protest in order to protect their work conditions and improve welfare package. Reciprocity affects the intensity of a commitment. When an entity or individual to whom someone has made a commitment fails to come through with the expected exchange, the commitment erodes. This study therefore, looked into the effect of employee's commitment on organizational Performance in an organization.</w:t>
      </w:r>
    </w:p>
    <w:p w14:paraId="0B6CF104"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45" w:name="_Toc215808558"/>
      <w:r w:rsidRPr="008D3090">
        <w:rPr>
          <w:rFonts w:ascii="Times New Roman" w:eastAsia="SimSun" w:hAnsi="Times New Roman" w:cs="Times New Roman"/>
          <w:b/>
          <w:lang w:val="en-GB" w:eastAsia="zh-CN"/>
          <w14:ligatures w14:val="none"/>
        </w:rPr>
        <w:t>1.3</w:t>
      </w:r>
      <w:r w:rsidRPr="008D3090">
        <w:rPr>
          <w:rFonts w:ascii="Times New Roman" w:eastAsia="SimSun" w:hAnsi="Times New Roman" w:cs="Times New Roman"/>
          <w:b/>
          <w:lang w:val="en-GB" w:eastAsia="zh-CN"/>
          <w14:ligatures w14:val="none"/>
        </w:rPr>
        <w:tab/>
        <w:t>Objectives of the Study</w:t>
      </w:r>
      <w:bookmarkEnd w:id="45"/>
    </w:p>
    <w:p w14:paraId="6D66EB89"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This study shall explore the impact of employee commitment and growth of United Bank for Africa Bayelsa State </w:t>
      </w:r>
    </w:p>
    <w:p w14:paraId="2066D2BE"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However, other specific objectives are to;</w:t>
      </w:r>
    </w:p>
    <w:p w14:paraId="23AF9320" w14:textId="77777777" w:rsidR="008D3090" w:rsidRPr="008D3090" w:rsidRDefault="008D3090" w:rsidP="008D3090">
      <w:pPr>
        <w:widowControl w:val="0"/>
        <w:numPr>
          <w:ilvl w:val="0"/>
          <w:numId w:val="43"/>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Determine how employee training and development initiatives influence commitment levels in United Bank for Africa Bayelsa State </w:t>
      </w:r>
    </w:p>
    <w:p w14:paraId="21ABECC6" w14:textId="77777777" w:rsidR="008D3090" w:rsidRPr="008D3090" w:rsidRDefault="008D3090" w:rsidP="008D3090">
      <w:pPr>
        <w:widowControl w:val="0"/>
        <w:numPr>
          <w:ilvl w:val="0"/>
          <w:numId w:val="43"/>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Examine the impact of employee commitment on employee turnover in united bank of Africa Bayelsa State </w:t>
      </w:r>
    </w:p>
    <w:p w14:paraId="5BA7199B" w14:textId="77777777" w:rsidR="008D3090" w:rsidRPr="008D3090" w:rsidRDefault="008D3090" w:rsidP="008D3090">
      <w:pPr>
        <w:widowControl w:val="0"/>
        <w:numPr>
          <w:ilvl w:val="0"/>
          <w:numId w:val="43"/>
        </w:numPr>
        <w:spacing w:after="0" w:line="240" w:lineRule="auto"/>
        <w:contextualSpacing/>
        <w:jc w:val="both"/>
        <w:rPr>
          <w:rFonts w:ascii="Times New Roman" w:eastAsia="SimSun" w:hAnsi="Times New Roman" w:cs="Times New Roman"/>
          <w:b/>
          <w:lang w:val="en-GB" w:eastAsia="zh-CN"/>
          <w14:ligatures w14:val="none"/>
        </w:rPr>
      </w:pPr>
      <w:r w:rsidRPr="008D3090">
        <w:rPr>
          <w:rFonts w:ascii="Times New Roman" w:eastAsia="SimSun" w:hAnsi="Times New Roman" w:cs="Times New Roman"/>
          <w:lang w:val="en-GB" w:eastAsia="zh-CN"/>
          <w14:ligatures w14:val="none"/>
        </w:rPr>
        <w:t xml:space="preserve">Explore the role of recognition and rewards in enhancing employee commitment in United Bank for Africa Bayelsa State </w:t>
      </w:r>
    </w:p>
    <w:p w14:paraId="348E398F"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46" w:name="_Toc215808561"/>
      <w:r w:rsidRPr="008D3090">
        <w:rPr>
          <w:rFonts w:ascii="Times New Roman" w:eastAsia="SimSun" w:hAnsi="Times New Roman" w:cs="Times New Roman"/>
          <w:b/>
          <w:lang w:val="en-GB" w:eastAsia="zh-CN"/>
          <w14:ligatures w14:val="none"/>
        </w:rPr>
        <w:t>1.4</w:t>
      </w:r>
      <w:r w:rsidRPr="008D3090">
        <w:rPr>
          <w:rFonts w:ascii="Times New Roman" w:eastAsia="SimSun" w:hAnsi="Times New Roman" w:cs="Times New Roman"/>
          <w:b/>
          <w:lang w:val="en-GB" w:eastAsia="zh-CN"/>
          <w14:ligatures w14:val="none"/>
        </w:rPr>
        <w:tab/>
        <w:t>Significance of the study</w:t>
      </w:r>
      <w:bookmarkEnd w:id="46"/>
      <w:r w:rsidRPr="008D3090">
        <w:rPr>
          <w:rFonts w:ascii="Times New Roman" w:eastAsia="SimSun" w:hAnsi="Times New Roman" w:cs="Times New Roman"/>
          <w:b/>
          <w:lang w:val="en-GB" w:eastAsia="zh-CN"/>
          <w14:ligatures w14:val="none"/>
        </w:rPr>
        <w:t xml:space="preserve"> </w:t>
      </w:r>
    </w:p>
    <w:p w14:paraId="4F42EC27"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This research finding will aid and showcase areas where there </w:t>
      </w:r>
      <w:proofErr w:type="gramStart"/>
      <w:r w:rsidRPr="008D3090">
        <w:rPr>
          <w:rFonts w:ascii="Times New Roman" w:eastAsia="SimSun" w:hAnsi="Times New Roman" w:cs="Times New Roman"/>
          <w:lang w:val="en-GB" w:eastAsia="zh-CN"/>
          <w14:ligatures w14:val="none"/>
        </w:rPr>
        <w:t>is</w:t>
      </w:r>
      <w:proofErr w:type="gramEnd"/>
      <w:r w:rsidRPr="008D3090">
        <w:rPr>
          <w:rFonts w:ascii="Times New Roman" w:eastAsia="SimSun" w:hAnsi="Times New Roman" w:cs="Times New Roman"/>
          <w:lang w:val="en-GB" w:eastAsia="zh-CN"/>
          <w14:ligatures w14:val="none"/>
        </w:rPr>
        <w:t xml:space="preserve"> problems towards employees' commitment in an organization and its effects on organization performance towards organizations achieving </w:t>
      </w:r>
      <w:proofErr w:type="gramStart"/>
      <w:r w:rsidRPr="008D3090">
        <w:rPr>
          <w:rFonts w:ascii="Times New Roman" w:eastAsia="SimSun" w:hAnsi="Times New Roman" w:cs="Times New Roman"/>
          <w:lang w:val="en-GB" w:eastAsia="zh-CN"/>
          <w14:ligatures w14:val="none"/>
        </w:rPr>
        <w:t>there</w:t>
      </w:r>
      <w:proofErr w:type="gramEnd"/>
      <w:r w:rsidRPr="008D3090">
        <w:rPr>
          <w:rFonts w:ascii="Times New Roman" w:eastAsia="SimSun" w:hAnsi="Times New Roman" w:cs="Times New Roman"/>
          <w:lang w:val="en-GB" w:eastAsia="zh-CN"/>
          <w14:ligatures w14:val="none"/>
        </w:rPr>
        <w:t xml:space="preserve"> stated goals and objectives. Results of this research will hopefully help different organizations such as financial institutions, production organizations, services provider organizations, government institutions, non-profitable organizations etc. for better understanding various motivational factors that is required to increase employees' commitment in order to enhance greater organizational performance within the contest of world of work.</w:t>
      </w:r>
    </w:p>
    <w:p w14:paraId="556A7FC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 findings from this study would also help to further highlight the likely problems of frustrations and how motivation can be used to either reduce or eliminate these problems amongst employees in an organization. It will highlight factors causing low employee commitment and motivation and factors to be consider by organizations to improve employee commitments.</w:t>
      </w:r>
    </w:p>
    <w:p w14:paraId="71B455BF"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47" w:name="_Toc215808562"/>
      <w:r w:rsidRPr="008D3090">
        <w:rPr>
          <w:rFonts w:ascii="Times New Roman" w:eastAsia="SimSun" w:hAnsi="Times New Roman" w:cs="Times New Roman"/>
          <w:b/>
          <w:lang w:val="en-GB" w:eastAsia="zh-CN"/>
          <w14:ligatures w14:val="none"/>
        </w:rPr>
        <w:t>1.5 Scope of the Study</w:t>
      </w:r>
      <w:bookmarkEnd w:id="47"/>
      <w:r w:rsidRPr="008D3090">
        <w:rPr>
          <w:rFonts w:ascii="Times New Roman" w:eastAsia="SimSun" w:hAnsi="Times New Roman" w:cs="Times New Roman"/>
          <w:b/>
          <w:lang w:val="en-GB" w:eastAsia="zh-CN"/>
          <w14:ligatures w14:val="none"/>
        </w:rPr>
        <w:t xml:space="preserve"> </w:t>
      </w:r>
    </w:p>
    <w:p w14:paraId="2E4A6E88"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lang w:val="en-GB" w:eastAsia="zh-CN"/>
          <w14:ligatures w14:val="none"/>
        </w:rPr>
      </w:pPr>
      <w:r w:rsidRPr="008D3090">
        <w:rPr>
          <w:rFonts w:ascii="Times New Roman" w:eastAsia="SimSun" w:hAnsi="Times New Roman" w:cs="Times New Roman"/>
          <w:lang w:val="en-GB" w:eastAsia="zh-CN"/>
          <w14:ligatures w14:val="none"/>
        </w:rPr>
        <w:t>This research is on effect of employee's commitment on organizational performance in an organization. The study will also cover the various techniques of employees' commitment and theories of motivation as they impact on employees in an organization towards organization performances.</w:t>
      </w:r>
    </w:p>
    <w:p w14:paraId="787F31D7"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48" w:name="_Toc215808564"/>
      <w:r w:rsidRPr="008D3090">
        <w:rPr>
          <w:rFonts w:ascii="Times New Roman" w:eastAsia="SimSun" w:hAnsi="Times New Roman" w:cs="Times New Roman"/>
          <w:b/>
          <w:lang w:val="en-GB" w:eastAsia="zh-CN"/>
          <w14:ligatures w14:val="none"/>
        </w:rPr>
        <w:t>1.6</w:t>
      </w:r>
      <w:r w:rsidRPr="008D3090">
        <w:rPr>
          <w:rFonts w:ascii="Times New Roman" w:eastAsia="SimSun" w:hAnsi="Times New Roman" w:cs="Times New Roman"/>
          <w:b/>
          <w:lang w:val="en-GB" w:eastAsia="zh-CN"/>
          <w14:ligatures w14:val="none"/>
        </w:rPr>
        <w:tab/>
        <w:t>Definition of Terms</w:t>
      </w:r>
      <w:bookmarkEnd w:id="48"/>
      <w:r w:rsidRPr="008D3090">
        <w:rPr>
          <w:rFonts w:ascii="Times New Roman" w:eastAsia="SimSun" w:hAnsi="Times New Roman" w:cs="Times New Roman"/>
          <w:b/>
          <w:lang w:val="en-GB" w:eastAsia="zh-CN"/>
          <w14:ligatures w14:val="none"/>
        </w:rPr>
        <w:t xml:space="preserve"> </w:t>
      </w:r>
    </w:p>
    <w:p w14:paraId="42A80E86" w14:textId="77777777" w:rsidR="008D3090" w:rsidRPr="008D3090" w:rsidRDefault="008D3090" w:rsidP="008D3090">
      <w:pPr>
        <w:spacing w:after="0" w:line="240" w:lineRule="auto"/>
        <w:contextualSpacing/>
        <w:jc w:val="both"/>
        <w:rPr>
          <w:rFonts w:ascii="Times New Roman" w:eastAsia="SimSun" w:hAnsi="Times New Roman" w:cs="Times New Roman"/>
          <w:b/>
          <w:bCs/>
          <w:lang w:val="en-GB" w:eastAsia="zh-CN"/>
          <w14:ligatures w14:val="none"/>
        </w:rPr>
      </w:pPr>
      <w:r w:rsidRPr="008D3090">
        <w:rPr>
          <w:rFonts w:ascii="Times New Roman" w:eastAsia="SimSun" w:hAnsi="Times New Roman" w:cs="Times New Roman"/>
          <w:b/>
          <w:bCs/>
          <w:lang w:val="en-GB" w:eastAsia="zh-CN"/>
          <w14:ligatures w14:val="none"/>
        </w:rPr>
        <w:t xml:space="preserve">Deposit Money Bank: </w:t>
      </w:r>
      <w:r w:rsidRPr="008D3090">
        <w:rPr>
          <w:rFonts w:ascii="Times New Roman" w:eastAsia="SimSun" w:hAnsi="Times New Roman" w:cs="Times New Roman"/>
          <w:lang w:val="en-GB" w:eastAsia="zh-CN"/>
          <w14:ligatures w14:val="none"/>
        </w:rPr>
        <w:t>is a financial institution that accepts deposits from the public and provides various banking services, including loans and payment processing.</w:t>
      </w:r>
    </w:p>
    <w:p w14:paraId="4442099D"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Employee</w:t>
      </w:r>
      <w:r w:rsidRPr="008D3090">
        <w:rPr>
          <w:rFonts w:ascii="Times New Roman" w:eastAsia="SimSun" w:hAnsi="Times New Roman" w:cs="Times New Roman"/>
          <w:lang w:val="en-GB" w:eastAsia="zh-CN"/>
          <w14:ligatures w14:val="none"/>
        </w:rPr>
        <w:t>: Employee is a person who has agreed to be employed to work for some form of payment under a contract of service.</w:t>
      </w:r>
    </w:p>
    <w:p w14:paraId="3477AB32"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Employee Commitment</w:t>
      </w:r>
      <w:r w:rsidRPr="008D3090">
        <w:rPr>
          <w:rFonts w:ascii="Times New Roman" w:eastAsia="SimSun" w:hAnsi="Times New Roman" w:cs="Times New Roman"/>
          <w:lang w:val="en-GB" w:eastAsia="zh-CN"/>
          <w14:ligatures w14:val="none"/>
        </w:rPr>
        <w:t>: This is the psychological attachment and the resulting loyalty of an employee to an organization.</w:t>
      </w:r>
    </w:p>
    <w:p w14:paraId="6DEF6ADD"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Job Satisfaction</w:t>
      </w:r>
      <w:r w:rsidRPr="008D3090">
        <w:rPr>
          <w:rFonts w:ascii="Times New Roman" w:eastAsia="SimSun" w:hAnsi="Times New Roman" w:cs="Times New Roman"/>
          <w:lang w:val="en-GB" w:eastAsia="zh-CN"/>
          <w14:ligatures w14:val="none"/>
        </w:rPr>
        <w:t>: Job satisfaction is defined as the level of contentment employees feel with their job. This goes beyond their daily duties to cover satisfaction with team members/managers, satisfaction with organizational policies, and the impact of their job on employees' personal lives.</w:t>
      </w:r>
    </w:p>
    <w:p w14:paraId="14E387FD"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49" w:name="_Toc215808566"/>
      <w:r w:rsidRPr="008D3090">
        <w:rPr>
          <w:rFonts w:ascii="Times New Roman" w:eastAsia="SimSun" w:hAnsi="Times New Roman" w:cs="Times New Roman"/>
          <w:b/>
          <w:lang w:val="en-GB" w:eastAsia="zh-CN"/>
          <w14:ligatures w14:val="none"/>
        </w:rPr>
        <w:lastRenderedPageBreak/>
        <w:t>2.0 LITERATURE REVIEW</w:t>
      </w:r>
      <w:bookmarkEnd w:id="49"/>
    </w:p>
    <w:p w14:paraId="77E4B75E"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0" w:name="_Toc215808568"/>
      <w:r w:rsidRPr="008D3090">
        <w:rPr>
          <w:rFonts w:ascii="Times New Roman" w:eastAsia="SimSun" w:hAnsi="Times New Roman" w:cs="Times New Roman"/>
          <w:b/>
          <w:lang w:val="en-GB" w:eastAsia="zh-CN"/>
          <w14:ligatures w14:val="none"/>
        </w:rPr>
        <w:t>2.1</w:t>
      </w:r>
      <w:r w:rsidRPr="008D3090">
        <w:rPr>
          <w:rFonts w:ascii="Times New Roman" w:eastAsia="SimSun" w:hAnsi="Times New Roman" w:cs="Times New Roman"/>
          <w:b/>
          <w:lang w:val="en-GB" w:eastAsia="zh-CN"/>
          <w14:ligatures w14:val="none"/>
        </w:rPr>
        <w:tab/>
        <w:t>Conceptual Review</w:t>
      </w:r>
      <w:bookmarkEnd w:id="50"/>
      <w:r w:rsidRPr="008D3090">
        <w:rPr>
          <w:rFonts w:ascii="Times New Roman" w:eastAsia="SimSun" w:hAnsi="Times New Roman" w:cs="Times New Roman"/>
          <w:b/>
          <w:lang w:val="en-GB" w:eastAsia="zh-CN"/>
          <w14:ligatures w14:val="none"/>
        </w:rPr>
        <w:t xml:space="preserve"> </w:t>
      </w:r>
    </w:p>
    <w:p w14:paraId="1C5B95C6"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 xml:space="preserve">The Concept of Employee Commitment </w:t>
      </w:r>
    </w:p>
    <w:p w14:paraId="008D93E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Commitment is considered to be psychological immersion of an individual with his institute through sense of belonging, ownership of organizational goals and being ready to accept challenges.  Committed employees will be able to perform their jobs more than management expectations (Bragg, 2002). High level commitment is indispensable for increasing output and obtaining sustainable competitive advantage.</w:t>
      </w:r>
    </w:p>
    <w:p w14:paraId="526F45D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Employee commitment means the involvement of an employee to perform his work with zeal and excitement (Yu, et. al.,2022). Performance of an organization is directly related to commitment level of employees (Abdulrab, et. al., 2021). Employee commitment is an emotional attachment to and involvement with an organization. Employee commitment is a bond between the employee and the organization such that the employee wants to continue serving the organization and helping it achieve its objectives.</w:t>
      </w:r>
    </w:p>
    <w:p w14:paraId="11D6B21B"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It is necessary for every organization to have full level of its employee commitment in order to have outstanding performance on long term basis Mowday, Porter, &amp; Steers (2012). Currently employees act like entrepreneurs when they work in a team and every member of the team tries his level best to prove one the best amongst all others (Mowday et al., 2012). Increase in commitment level of employees in organization ultimately increases the performance of their employees. In past organizations provide job security to its employees to improve their commitment level in the organization and to improve their productivity (Abelson, 2016). Higher level of employee commitment in the organization for individual projects or to the organization is assumed as a major reason for better employee performance that leads to organizational success. The employee performance can also be increased when the employees are more satisfied with their job and duties as well. Their satisfaction may depend on the rewards system, the organizational culture and employee knowledge sharing (Mowday et al., 2012) Meyer, Stanley and </w:t>
      </w:r>
      <w:proofErr w:type="spellStart"/>
      <w:r w:rsidRPr="008D3090">
        <w:rPr>
          <w:rFonts w:ascii="Times New Roman" w:eastAsia="SimSun" w:hAnsi="Times New Roman" w:cs="Times New Roman"/>
          <w:lang w:val="en-GB" w:eastAsia="zh-CN"/>
          <w14:ligatures w14:val="none"/>
        </w:rPr>
        <w:t>Parfyonova</w:t>
      </w:r>
      <w:proofErr w:type="spellEnd"/>
      <w:r w:rsidRPr="008D3090">
        <w:rPr>
          <w:rFonts w:ascii="Times New Roman" w:eastAsia="SimSun" w:hAnsi="Times New Roman" w:cs="Times New Roman"/>
          <w:lang w:val="en-GB" w:eastAsia="zh-CN"/>
          <w14:ligatures w14:val="none"/>
        </w:rPr>
        <w:t xml:space="preserve"> (2012) who define commitment using a multidimensional approach and consider it to have affective, continuance and normative perspectives. The affective dimension of commitment refers to an emotional attachment to and involvement with an organization; continuance commitment denotes the perceived costs of leaving an organization; and normative commitment refers to the felt responsibility to support and remain a member of an organization. Thus, it can be discerned from definitions such as the one above, that employee commitment is a bond between the employee and the organization such that he/ she (the employee) wants to continue serving the organization and to help it achieve its objectives.</w:t>
      </w:r>
    </w:p>
    <w:p w14:paraId="747B7DD0"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Kanter (2018) defines Employee commitment as "the willingness of social actors to give their energy and loyalty to social systems, the attachment of personality systems to social relations who are seen as self-expressive". Employee commitment refers to the strength of individuals' identification with and involvement in a particular organization (Mowday et al.,2018). </w:t>
      </w:r>
    </w:p>
    <w:p w14:paraId="409683C2"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Accordingly, employee commitment is defined either as an employee attitude or as a force that binds an employee to an organization. According to Suliman and Isles (2018), there are currently four main approaches to conceptualizing and exploring employee commitment. There is the attitudinal approach, the behavioural approach, the normative approach and the multidimensional approach.</w:t>
      </w:r>
    </w:p>
    <w:p w14:paraId="6949723B"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Employee commitment is an emotional attachment to and involvement with an organization. Employee commitment is a bond between the employee and the organization such that the employee wants to continue serving the organization and helping it achieve its objectives.</w:t>
      </w:r>
    </w:p>
    <w:p w14:paraId="41B02996"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Employees with high organizational commitment improve the organization's performance by reducing instances of turnover, absenteeism and improving the quality of service (</w:t>
      </w:r>
      <w:proofErr w:type="spellStart"/>
      <w:r w:rsidRPr="008D3090">
        <w:rPr>
          <w:rFonts w:ascii="Times New Roman" w:eastAsia="SimSun" w:hAnsi="Times New Roman" w:cs="Times New Roman"/>
          <w:lang w:val="en-GB" w:eastAsia="zh-CN"/>
          <w14:ligatures w14:val="none"/>
        </w:rPr>
        <w:t>Rusbult</w:t>
      </w:r>
      <w:proofErr w:type="spellEnd"/>
      <w:r w:rsidRPr="008D3090">
        <w:rPr>
          <w:rFonts w:ascii="Times New Roman" w:eastAsia="SimSun" w:hAnsi="Times New Roman" w:cs="Times New Roman"/>
          <w:lang w:val="en-GB" w:eastAsia="zh-CN"/>
          <w14:ligatures w14:val="none"/>
        </w:rPr>
        <w:t xml:space="preserve"> et al., (2013). In addition, highly committed employees observe that organizational commitment not only increases success in a specific role but also encourages the individual to take many voluntary actions necessary for the life of the organization (Blau, 2015). </w:t>
      </w:r>
      <w:proofErr w:type="spellStart"/>
      <w:r w:rsidRPr="008D3090">
        <w:rPr>
          <w:rFonts w:ascii="Times New Roman" w:eastAsia="SimSun" w:hAnsi="Times New Roman" w:cs="Times New Roman"/>
          <w:lang w:val="en-GB" w:eastAsia="zh-CN"/>
          <w14:ligatures w14:val="none"/>
        </w:rPr>
        <w:t>Browyn</w:t>
      </w:r>
      <w:proofErr w:type="spellEnd"/>
      <w:r w:rsidRPr="008D3090">
        <w:rPr>
          <w:rFonts w:ascii="Times New Roman" w:eastAsia="SimSun" w:hAnsi="Times New Roman" w:cs="Times New Roman"/>
          <w:lang w:val="en-GB" w:eastAsia="zh-CN"/>
          <w14:ligatures w14:val="none"/>
        </w:rPr>
        <w:t xml:space="preserve"> (2022), Employee commitment can take different forms. As a result, it is often seen as a Human Resources variable which is difficult to define. The context, direction and development of commitment, as well as the extent to which commitment influences behaviour can result in confusion and debate.</w:t>
      </w:r>
    </w:p>
    <w:p w14:paraId="1E382567"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p>
    <w:p w14:paraId="6AFFA5F3"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1" w:name="_Toc215808569"/>
      <w:r w:rsidRPr="008D3090">
        <w:rPr>
          <w:rFonts w:ascii="Times New Roman" w:eastAsia="SimSun" w:hAnsi="Times New Roman" w:cs="Times New Roman"/>
          <w:b/>
          <w:lang w:val="en-GB" w:eastAsia="zh-CN"/>
          <w14:ligatures w14:val="none"/>
        </w:rPr>
        <w:t xml:space="preserve">2.2 </w:t>
      </w:r>
      <w:r w:rsidRPr="008D3090">
        <w:rPr>
          <w:rFonts w:ascii="Times New Roman" w:eastAsia="SimSun" w:hAnsi="Times New Roman" w:cs="Times New Roman"/>
          <w:b/>
          <w:lang w:val="en-GB" w:eastAsia="zh-CN"/>
          <w14:ligatures w14:val="none"/>
        </w:rPr>
        <w:tab/>
        <w:t>Conceptual Framework</w:t>
      </w:r>
      <w:bookmarkEnd w:id="51"/>
    </w:p>
    <w:p w14:paraId="6C8E4AB1"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Employee commitment is a crucial factor influencing the growth and sustainability of money deposit bank. This </w:t>
      </w:r>
      <w:r w:rsidRPr="008D3090">
        <w:rPr>
          <w:rFonts w:ascii="Times New Roman" w:eastAsia="SimSun" w:hAnsi="Times New Roman" w:cs="Times New Roman"/>
          <w:lang w:val="en-GB" w:eastAsia="zh-CN"/>
          <w14:ligatures w14:val="none"/>
        </w:rPr>
        <w:lastRenderedPageBreak/>
        <w:t>commitment can manifest in various forms, including emotional attachment to the organization, willingness to exert effort on behalf of the organization, and a desire to maintain membership within the organization. Understanding how employee commitment affects money deposit bank growth involves examining several dimensions. the effects of employee commitment on the growth of money deposit bank are multifaceted. Management's dedication fosters a supportive culture that enhances engagement among employees.</w:t>
      </w:r>
    </w:p>
    <w:p w14:paraId="29D46C67"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Furthermore, external support mechanisms bolster this relationship by providing necessary resources for development. As such, cultivating employee commitment should be a strategic priority for banks aiming for sustainable growth.</w:t>
      </w:r>
    </w:p>
    <w:p w14:paraId="554F67E2"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According to Bratton and Gold (2018) employee commitment is relative to the workers' attachment to or participation in the organizations in which they employed. Employee commitment is significant since it determines whether employees are likely to leave their jobs or improve the growth of small and medium enterprises. Numerous studies have related to employee commitment and the growth of small and medium enterprise. Mowday, Steers, and Porter (2011) emphasized concepts they referred to as attitudinal commitment and behavioural commitment. Another concept introduced by Meyer and Allen (2019) is the most recognized among employee commitment theories. In this approach, employee commitment has three multi-dimensional components namely: affective commitment, continuance commitment, and normative commitment. Affective commitment, which relates to emotional attachment, is normally linked to a favourable working environment and relationships with the other employees.</w:t>
      </w:r>
    </w:p>
    <w:p w14:paraId="62513958"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Normative commitment, on the other hand, is related to obligation: employees may feel they owe the organization for being given a job when they need it most.</w:t>
      </w:r>
    </w:p>
    <w:p w14:paraId="6111C28D"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Finally, continuance commitment relates to such terms of employment as job contracts, which may make leaving the current job very costly or troublesome (Mullins, 2018). Employee commitment and growth of small and medium enterprises owing to its environment have become a major headache to many heads of banks Director general, and human re- source managers in particular (Freund and Carmeli, 2017).</w:t>
      </w:r>
    </w:p>
    <w:p w14:paraId="01619669"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This problem is mostly attributable to lack of stability and job security for employees, who constitute one of the most important resources in small and medium enterprises. Many banks have begun to foster workers' commitment to their work/occupation/career; to the organization, its values, and growth; and to a strong job ethic.</w:t>
      </w:r>
    </w:p>
    <w:p w14:paraId="17D3DEF0" w14:textId="77777777" w:rsidR="008D3090" w:rsidRPr="008D3090" w:rsidRDefault="008D3090" w:rsidP="008D3090">
      <w:pPr>
        <w:widowControl w:val="0"/>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SimSun" w:hAnsi="Times New Roman" w:cs="Times New Roman"/>
          <w:lang w:val="en-GB" w:eastAsia="zh-CN"/>
          <w14:ligatures w14:val="none"/>
        </w:rPr>
        <w:t>Below is a conceptual diagram illustrating the relationship between employee commitment and Deposit money bank growth</w:t>
      </w:r>
    </w:p>
    <w:p w14:paraId="361C57C9"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w:t>
      </w:r>
    </w:p>
    <w:p w14:paraId="78607AA4"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r w:rsidRPr="008D3090">
        <w:rPr>
          <w:rFonts w:ascii="Times New Roman" w:eastAsia="SimSun" w:hAnsi="Times New Roman" w:cs="Times New Roman"/>
          <w:b/>
          <w:bCs/>
          <w:lang w:val="en-GB" w:eastAsia="zh-CN"/>
          <w14:ligatures w14:val="none"/>
        </w:rPr>
        <w:t xml:space="preserve">INDEPENDENT VARIABLE                            DEPENDENT VARIABLE </w:t>
      </w:r>
    </w:p>
    <w:p w14:paraId="284DEC27"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95104" behindDoc="0" locked="0" layoutInCell="1" allowOverlap="1" wp14:anchorId="2324F02A" wp14:editId="5B1E36AD">
                <wp:simplePos x="0" y="0"/>
                <wp:positionH relativeFrom="column">
                  <wp:posOffset>4108450</wp:posOffset>
                </wp:positionH>
                <wp:positionV relativeFrom="paragraph">
                  <wp:posOffset>63500</wp:posOffset>
                </wp:positionV>
                <wp:extent cx="2099310" cy="313055"/>
                <wp:effectExtent l="4445" t="4445" r="6985" b="6350"/>
                <wp:wrapNone/>
                <wp:docPr id="601501896" name="Text Box 601501896"/>
                <wp:cNvGraphicFramePr/>
                <a:graphic xmlns:a="http://schemas.openxmlformats.org/drawingml/2006/main">
                  <a:graphicData uri="http://schemas.microsoft.com/office/word/2010/wordprocessingShape">
                    <wps:wsp>
                      <wps:cNvSpPr txBox="1"/>
                      <wps:spPr>
                        <a:xfrm>
                          <a:off x="0" y="0"/>
                          <a:ext cx="2099310" cy="313055"/>
                        </a:xfrm>
                        <a:prstGeom prst="rect">
                          <a:avLst/>
                        </a:prstGeom>
                        <a:solidFill>
                          <a:sysClr val="window" lastClr="FFFFFF"/>
                        </a:solidFill>
                        <a:ln w="6350">
                          <a:solidFill>
                            <a:prstClr val="black"/>
                          </a:solidFill>
                        </a:ln>
                        <a:effectLst/>
                      </wps:spPr>
                      <wps:txbx>
                        <w:txbxContent>
                          <w:p w14:paraId="6D93CFC0" w14:textId="77777777" w:rsidR="008D3090" w:rsidRPr="00BA70CE" w:rsidRDefault="008D3090" w:rsidP="008D3090">
                            <w:pPr>
                              <w:jc w:val="center"/>
                              <w:rPr>
                                <w:rFonts w:ascii="Times New Roman" w:hAnsi="Times New Roman" w:cs="Times New Roman"/>
                                <w:szCs w:val="32"/>
                              </w:rPr>
                            </w:pPr>
                            <w:r w:rsidRPr="00BA70CE">
                              <w:rPr>
                                <w:rFonts w:ascii="Times New Roman" w:hAnsi="Times New Roman" w:cs="Times New Roman"/>
                                <w:szCs w:val="32"/>
                              </w:rPr>
                              <w:t>Deposit money Bank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24F02A" id="Text Box 601501896" o:spid="_x0000_s1032" type="#_x0000_t202" style="position:absolute;left:0;text-align:left;margin-left:323.5pt;margin-top:5pt;width:165.3pt;height:24.6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" fillcolor="window" strokeweight=".5pt">
                <v:textbox>
                  <w:txbxContent>
                    <w:p w14:paraId="6D93CFC0" w14:textId="77777777" w:rsidR="008D3090" w:rsidRPr="00BA70CE" w:rsidRDefault="008D3090" w:rsidP="008D3090">
                      <w:pPr>
                        <w:jc w:val="center"/>
                        <w:rPr>
                          <w:rFonts w:ascii="Times New Roman" w:hAnsi="Times New Roman" w:cs="Times New Roman"/>
                          <w:szCs w:val="32"/>
                        </w:rPr>
                      </w:pPr>
                      <w:r w:rsidRPr="00BA70CE">
                        <w:rPr>
                          <w:rFonts w:ascii="Times New Roman" w:hAnsi="Times New Roman" w:cs="Times New Roman"/>
                          <w:szCs w:val="32"/>
                        </w:rPr>
                        <w:t>Deposit money Bank</w:t>
                      </w:r>
                    </w:p>
                  </w:txbxContent>
                </v:textbox>
              </v:shape>
            </w:pict>
          </mc:Fallback>
        </mc:AlternateContent>
      </w: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89984" behindDoc="0" locked="0" layoutInCell="1" allowOverlap="1" wp14:anchorId="31246643" wp14:editId="5C73E2E4">
                <wp:simplePos x="0" y="0"/>
                <wp:positionH relativeFrom="column">
                  <wp:posOffset>85725</wp:posOffset>
                </wp:positionH>
                <wp:positionV relativeFrom="paragraph">
                  <wp:posOffset>67945</wp:posOffset>
                </wp:positionV>
                <wp:extent cx="1743075" cy="342900"/>
                <wp:effectExtent l="0" t="0" r="28575" b="19050"/>
                <wp:wrapNone/>
                <wp:docPr id="1413082058" name="Text Box 1413082058"/>
                <wp:cNvGraphicFramePr/>
                <a:graphic xmlns:a="http://schemas.openxmlformats.org/drawingml/2006/main">
                  <a:graphicData uri="http://schemas.microsoft.com/office/word/2010/wordprocessingShape">
                    <wps:wsp>
                      <wps:cNvSpPr txBox="1"/>
                      <wps:spPr>
                        <a:xfrm>
                          <a:off x="0" y="0"/>
                          <a:ext cx="1743075" cy="342900"/>
                        </a:xfrm>
                        <a:prstGeom prst="rect">
                          <a:avLst/>
                        </a:prstGeom>
                        <a:solidFill>
                          <a:sysClr val="window" lastClr="FFFFFF"/>
                        </a:solidFill>
                        <a:ln w="6350">
                          <a:solidFill>
                            <a:prstClr val="black"/>
                          </a:solidFill>
                        </a:ln>
                        <a:effectLst/>
                      </wps:spPr>
                      <wps:txbx>
                        <w:txbxContent>
                          <w:p w14:paraId="44183602" w14:textId="77777777" w:rsidR="008D3090" w:rsidRPr="007A40BF" w:rsidRDefault="008D3090" w:rsidP="008D3090">
                            <w:pPr>
                              <w:jc w:val="center"/>
                            </w:pPr>
                            <w:r w:rsidRPr="007A40BF">
                              <w:rPr>
                                <w:rFonts w:ascii="Times New Roman" w:hAnsi="Times New Roman" w:cs="Times New Roman"/>
                              </w:rPr>
                              <w:t>Employee Commitment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246643" id="Text Box 1413082058" o:spid="_x0000_s1033" type="#_x0000_t202" style="position:absolute;left:0;text-align:left;margin-left:6.75pt;margin-top:5.35pt;width:137.25pt;height:27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" fillcolor="window" strokeweight=".5pt">
                <v:textbox>
                  <w:txbxContent>
                    <w:p w14:paraId="44183602" w14:textId="77777777" w:rsidR="008D3090" w:rsidRPr="007A40BF" w:rsidRDefault="008D3090" w:rsidP="008D3090">
                      <w:pPr>
                        <w:jc w:val="center"/>
                      </w:pPr>
                      <w:r w:rsidRPr="007A40BF">
                        <w:rPr>
                          <w:rFonts w:ascii="Times New Roman" w:hAnsi="Times New Roman" w:cs="Times New Roman"/>
                        </w:rPr>
                        <w:t>Employee Commitment</w:t>
                      </w:r>
                    </w:p>
                  </w:txbxContent>
                </v:textbox>
              </v:shape>
            </w:pict>
          </mc:Fallback>
        </mc:AlternateContent>
      </w:r>
    </w:p>
    <w:p w14:paraId="50695056"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97152" behindDoc="0" locked="0" layoutInCell="1" allowOverlap="1" wp14:anchorId="64D43AC3" wp14:editId="3CDF474C">
                <wp:simplePos x="0" y="0"/>
                <wp:positionH relativeFrom="column">
                  <wp:posOffset>4127500</wp:posOffset>
                </wp:positionH>
                <wp:positionV relativeFrom="paragraph">
                  <wp:posOffset>291465</wp:posOffset>
                </wp:positionV>
                <wp:extent cx="2081530" cy="342900"/>
                <wp:effectExtent l="0" t="0" r="13970" b="19050"/>
                <wp:wrapNone/>
                <wp:docPr id="3" name="Text Box 3"/>
                <wp:cNvGraphicFramePr/>
                <a:graphic xmlns:a="http://schemas.openxmlformats.org/drawingml/2006/main">
                  <a:graphicData uri="http://schemas.microsoft.com/office/word/2010/wordprocessingShape">
                    <wps:wsp>
                      <wps:cNvSpPr txBox="1"/>
                      <wps:spPr>
                        <a:xfrm>
                          <a:off x="0" y="0"/>
                          <a:ext cx="2081530" cy="342900"/>
                        </a:xfrm>
                        <a:prstGeom prst="rect">
                          <a:avLst/>
                        </a:prstGeom>
                        <a:solidFill>
                          <a:sysClr val="window" lastClr="FFFFFF"/>
                        </a:solidFill>
                        <a:ln w="6350">
                          <a:solidFill>
                            <a:prstClr val="black"/>
                          </a:solidFill>
                        </a:ln>
                        <a:effectLst/>
                      </wps:spPr>
                      <wps:txbx>
                        <w:txbxContent>
                          <w:p w14:paraId="04C3D0F6" w14:textId="77777777" w:rsidR="008D3090" w:rsidRPr="007A40BF" w:rsidRDefault="008D3090" w:rsidP="008D3090">
                            <w:pPr>
                              <w:jc w:val="center"/>
                            </w:pPr>
                            <w:r w:rsidRPr="007A40BF">
                              <w:rPr>
                                <w:rFonts w:ascii="Times New Roman" w:hAnsi="Times New Roman" w:cs="Times New Roman"/>
                              </w:rPr>
                              <w:t>Continuance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4D43AC3" id="_x0000_s1034" type="#_x0000_t202" style="position:absolute;left:0;text-align:left;margin-left:325pt;margin-top:22.95pt;width:163.9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" fillcolor="window" strokeweight=".5pt">
                <v:textbox>
                  <w:txbxContent>
                    <w:p w14:paraId="04C3D0F6" w14:textId="77777777" w:rsidR="008D3090" w:rsidRPr="007A40BF" w:rsidRDefault="008D3090" w:rsidP="008D3090">
                      <w:pPr>
                        <w:jc w:val="center"/>
                      </w:pPr>
                      <w:r w:rsidRPr="007A40BF">
                        <w:rPr>
                          <w:rFonts w:ascii="Times New Roman" w:hAnsi="Times New Roman" w:cs="Times New Roman"/>
                        </w:rPr>
                        <w:t>Continuance</w:t>
                      </w:r>
                    </w:p>
                  </w:txbxContent>
                </v:textbox>
              </v:shape>
            </w:pict>
          </mc:Fallback>
        </mc:AlternateContent>
      </w: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96128" behindDoc="0" locked="0" layoutInCell="1" allowOverlap="1" wp14:anchorId="5CBEFD22" wp14:editId="2601E8FB">
                <wp:simplePos x="0" y="0"/>
                <wp:positionH relativeFrom="column">
                  <wp:posOffset>2152015</wp:posOffset>
                </wp:positionH>
                <wp:positionV relativeFrom="paragraph">
                  <wp:posOffset>62230</wp:posOffset>
                </wp:positionV>
                <wp:extent cx="1743075" cy="342900"/>
                <wp:effectExtent l="4445" t="4445" r="5080" b="6985"/>
                <wp:wrapNone/>
                <wp:docPr id="6" name="Text Box 6"/>
                <wp:cNvGraphicFramePr/>
                <a:graphic xmlns:a="http://schemas.openxmlformats.org/drawingml/2006/main">
                  <a:graphicData uri="http://schemas.microsoft.com/office/word/2010/wordprocessingShape">
                    <wps:wsp>
                      <wps:cNvSpPr txBox="1"/>
                      <wps:spPr>
                        <a:xfrm>
                          <a:off x="0" y="0"/>
                          <a:ext cx="1743075" cy="342900"/>
                        </a:xfrm>
                        <a:prstGeom prst="rect">
                          <a:avLst/>
                        </a:prstGeom>
                        <a:solidFill>
                          <a:sysClr val="window" lastClr="FFFFFF"/>
                        </a:solidFill>
                        <a:ln w="6350">
                          <a:solidFill>
                            <a:prstClr val="black"/>
                          </a:solidFill>
                        </a:ln>
                        <a:effectLst/>
                      </wps:spPr>
                      <wps:txbx>
                        <w:txbxContent>
                          <w:p w14:paraId="570D826E" w14:textId="77777777" w:rsidR="008D3090" w:rsidRPr="007A40BF" w:rsidRDefault="008D3090" w:rsidP="008D3090">
                            <w:pPr>
                              <w:jc w:val="center"/>
                            </w:pPr>
                            <w:r w:rsidRPr="007A40BF">
                              <w:rPr>
                                <w:rFonts w:ascii="Times New Roman" w:hAnsi="Times New Roman" w:cs="Times New Roman"/>
                              </w:rPr>
                              <w:t>Lower Turnover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BEFD22" id="Text Box 6" o:spid="_x0000_s1035" type="#_x0000_t202" style="position:absolute;left:0;text-align:left;margin-left:169.45pt;margin-top:4.9pt;width:137.25pt;height:27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" fillcolor="window" strokeweight=".5pt">
                <v:textbox>
                  <w:txbxContent>
                    <w:p w14:paraId="570D826E" w14:textId="77777777" w:rsidR="008D3090" w:rsidRPr="007A40BF" w:rsidRDefault="008D3090" w:rsidP="008D3090">
                      <w:pPr>
                        <w:jc w:val="center"/>
                      </w:pPr>
                      <w:r w:rsidRPr="007A40BF">
                        <w:rPr>
                          <w:rFonts w:ascii="Times New Roman" w:hAnsi="Times New Roman" w:cs="Times New Roman"/>
                        </w:rPr>
                        <w:t>Lower Turnover</w:t>
                      </w:r>
                    </w:p>
                  </w:txbxContent>
                </v:textbox>
              </v:shape>
            </w:pict>
          </mc:Fallback>
        </mc:AlternateContent>
      </w:r>
    </w:p>
    <w:p w14:paraId="733BC79C"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92032" behindDoc="0" locked="0" layoutInCell="1" allowOverlap="1" wp14:anchorId="3253A0AE" wp14:editId="4D47EF3A">
                <wp:simplePos x="0" y="0"/>
                <wp:positionH relativeFrom="column">
                  <wp:posOffset>85725</wp:posOffset>
                </wp:positionH>
                <wp:positionV relativeFrom="paragraph">
                  <wp:posOffset>56515</wp:posOffset>
                </wp:positionV>
                <wp:extent cx="1743075" cy="342900"/>
                <wp:effectExtent l="0" t="0" r="28575" b="19050"/>
                <wp:wrapNone/>
                <wp:docPr id="1375535295" name="Text Box 1375535295"/>
                <wp:cNvGraphicFramePr/>
                <a:graphic xmlns:a="http://schemas.openxmlformats.org/drawingml/2006/main">
                  <a:graphicData uri="http://schemas.microsoft.com/office/word/2010/wordprocessingShape">
                    <wps:wsp>
                      <wps:cNvSpPr txBox="1"/>
                      <wps:spPr>
                        <a:xfrm>
                          <a:off x="0" y="0"/>
                          <a:ext cx="1743075" cy="342900"/>
                        </a:xfrm>
                        <a:prstGeom prst="rect">
                          <a:avLst/>
                        </a:prstGeom>
                        <a:solidFill>
                          <a:sysClr val="window" lastClr="FFFFFF"/>
                        </a:solidFill>
                        <a:ln w="6350">
                          <a:solidFill>
                            <a:prstClr val="black"/>
                          </a:solidFill>
                        </a:ln>
                        <a:effectLst/>
                      </wps:spPr>
                      <wps:txbx>
                        <w:txbxContent>
                          <w:p w14:paraId="237BD550" w14:textId="77777777" w:rsidR="008D3090" w:rsidRPr="00BA70CE" w:rsidRDefault="008D3090" w:rsidP="008D3090">
                            <w:pPr>
                              <w:jc w:val="center"/>
                              <w:rPr>
                                <w:rFonts w:ascii="Times New Roman" w:hAnsi="Times New Roman" w:cs="Times New Roman"/>
                                <w:szCs w:val="32"/>
                              </w:rPr>
                            </w:pPr>
                            <w:r w:rsidRPr="00BA70CE">
                              <w:rPr>
                                <w:rFonts w:ascii="Times New Roman" w:hAnsi="Times New Roman" w:cs="Times New Roman"/>
                                <w:szCs w:val="32"/>
                              </w:rPr>
                              <w:t>Normative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53A0AE" id="Text Box 1375535295" o:spid="_x0000_s1036" type="#_x0000_t202" style="position:absolute;left:0;text-align:left;margin-left:6.75pt;margin-top:4.45pt;width:137.25pt;height:27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" fillcolor="window" strokeweight=".5pt">
                <v:textbox>
                  <w:txbxContent>
                    <w:p w14:paraId="237BD550" w14:textId="77777777" w:rsidR="008D3090" w:rsidRPr="00BA70CE" w:rsidRDefault="008D3090" w:rsidP="008D3090">
                      <w:pPr>
                        <w:jc w:val="center"/>
                        <w:rPr>
                          <w:rFonts w:ascii="Times New Roman" w:hAnsi="Times New Roman" w:cs="Times New Roman"/>
                          <w:szCs w:val="32"/>
                        </w:rPr>
                      </w:pPr>
                      <w:r w:rsidRPr="00BA70CE">
                        <w:rPr>
                          <w:rFonts w:ascii="Times New Roman" w:hAnsi="Times New Roman" w:cs="Times New Roman"/>
                          <w:szCs w:val="32"/>
                        </w:rPr>
                        <w:t>Normative</w:t>
                      </w:r>
                    </w:p>
                  </w:txbxContent>
                </v:textbox>
              </v:shape>
            </w:pict>
          </mc:Fallback>
        </mc:AlternateContent>
      </w:r>
    </w:p>
    <w:p w14:paraId="576599BE"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93056" behindDoc="0" locked="0" layoutInCell="1" allowOverlap="1" wp14:anchorId="5BB170DD" wp14:editId="4143C499">
                <wp:simplePos x="0" y="0"/>
                <wp:positionH relativeFrom="column">
                  <wp:posOffset>2147570</wp:posOffset>
                </wp:positionH>
                <wp:positionV relativeFrom="paragraph">
                  <wp:posOffset>178435</wp:posOffset>
                </wp:positionV>
                <wp:extent cx="1743075" cy="342900"/>
                <wp:effectExtent l="0" t="0" r="28575" b="19050"/>
                <wp:wrapNone/>
                <wp:docPr id="353116310" name="Text Box 353116310"/>
                <wp:cNvGraphicFramePr/>
                <a:graphic xmlns:a="http://schemas.openxmlformats.org/drawingml/2006/main">
                  <a:graphicData uri="http://schemas.microsoft.com/office/word/2010/wordprocessingShape">
                    <wps:wsp>
                      <wps:cNvSpPr txBox="1"/>
                      <wps:spPr>
                        <a:xfrm>
                          <a:off x="0" y="0"/>
                          <a:ext cx="1743075" cy="342900"/>
                        </a:xfrm>
                        <a:prstGeom prst="rect">
                          <a:avLst/>
                        </a:prstGeom>
                        <a:solidFill>
                          <a:sysClr val="window" lastClr="FFFFFF"/>
                        </a:solidFill>
                        <a:ln w="6350">
                          <a:solidFill>
                            <a:prstClr val="black"/>
                          </a:solidFill>
                        </a:ln>
                        <a:effectLst/>
                      </wps:spPr>
                      <wps:txbx>
                        <w:txbxContent>
                          <w:p w14:paraId="55E4B10E" w14:textId="77777777" w:rsidR="008D3090" w:rsidRPr="007A40BF" w:rsidRDefault="008D3090" w:rsidP="008D3090">
                            <w:pPr>
                              <w:jc w:val="center"/>
                            </w:pPr>
                            <w:r w:rsidRPr="007A40BF">
                              <w:rPr>
                                <w:rFonts w:ascii="Times New Roman" w:hAnsi="Times New Roman" w:cs="Times New Roman"/>
                              </w:rPr>
                              <w:t>Increased Productivity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B170DD" id="Text Box 353116310" o:spid="_x0000_s1037" type="#_x0000_t202" style="position:absolute;left:0;text-align:left;margin-left:169.1pt;margin-top:14.05pt;width:137.25pt;height:27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" fillcolor="window" strokeweight=".5pt">
                <v:textbox>
                  <w:txbxContent>
                    <w:p w14:paraId="55E4B10E" w14:textId="77777777" w:rsidR="008D3090" w:rsidRPr="007A40BF" w:rsidRDefault="008D3090" w:rsidP="008D3090">
                      <w:pPr>
                        <w:jc w:val="center"/>
                      </w:pPr>
                      <w:r w:rsidRPr="007A40BF">
                        <w:rPr>
                          <w:rFonts w:ascii="Times New Roman" w:hAnsi="Times New Roman" w:cs="Times New Roman"/>
                        </w:rPr>
                        <w:t>Increased Productivity</w:t>
                      </w:r>
                    </w:p>
                  </w:txbxContent>
                </v:textbox>
              </v:shape>
            </w:pict>
          </mc:Fallback>
        </mc:AlternateContent>
      </w:r>
    </w:p>
    <w:p w14:paraId="6FC7E16B"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94080" behindDoc="0" locked="0" layoutInCell="1" allowOverlap="1" wp14:anchorId="5FD9F427" wp14:editId="47785C73">
                <wp:simplePos x="0" y="0"/>
                <wp:positionH relativeFrom="column">
                  <wp:posOffset>4171950</wp:posOffset>
                </wp:positionH>
                <wp:positionV relativeFrom="paragraph">
                  <wp:posOffset>33655</wp:posOffset>
                </wp:positionV>
                <wp:extent cx="1971675" cy="342900"/>
                <wp:effectExtent l="0" t="0" r="28575" b="19050"/>
                <wp:wrapNone/>
                <wp:docPr id="697335386" name="Text Box 697335386"/>
                <wp:cNvGraphicFramePr/>
                <a:graphic xmlns:a="http://schemas.openxmlformats.org/drawingml/2006/main">
                  <a:graphicData uri="http://schemas.microsoft.com/office/word/2010/wordprocessingShape">
                    <wps:wsp>
                      <wps:cNvSpPr txBox="1"/>
                      <wps:spPr>
                        <a:xfrm>
                          <a:off x="0" y="0"/>
                          <a:ext cx="1971675" cy="342900"/>
                        </a:xfrm>
                        <a:prstGeom prst="rect">
                          <a:avLst/>
                        </a:prstGeom>
                        <a:solidFill>
                          <a:sysClr val="window" lastClr="FFFFFF"/>
                        </a:solidFill>
                        <a:ln w="6350">
                          <a:solidFill>
                            <a:prstClr val="black"/>
                          </a:solidFill>
                        </a:ln>
                        <a:effectLst/>
                      </wps:spPr>
                      <wps:txbx>
                        <w:txbxContent>
                          <w:p w14:paraId="7FD720F8" w14:textId="77777777" w:rsidR="008D3090" w:rsidRPr="00BA70CE" w:rsidRDefault="008D3090" w:rsidP="008D3090">
                            <w:pPr>
                              <w:jc w:val="center"/>
                              <w:rPr>
                                <w:rFonts w:ascii="Times New Roman" w:hAnsi="Times New Roman" w:cs="Times New Roman"/>
                                <w:szCs w:val="32"/>
                              </w:rPr>
                            </w:pPr>
                            <w:r w:rsidRPr="00BA70CE">
                              <w:rPr>
                                <w:rFonts w:ascii="Times New Roman" w:hAnsi="Times New Roman" w:cs="Times New Roman"/>
                                <w:szCs w:val="32"/>
                              </w:rPr>
                              <w:t>Turnover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D9F427" id="Text Box 697335386" o:spid="_x0000_s1038" type="#_x0000_t202" style="position:absolute;left:0;text-align:left;margin-left:328.5pt;margin-top:2.65pt;width:155.25pt;height:27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" fillcolor="window" strokeweight=".5pt">
                <v:textbox>
                  <w:txbxContent>
                    <w:p w14:paraId="7FD720F8" w14:textId="77777777" w:rsidR="008D3090" w:rsidRPr="00BA70CE" w:rsidRDefault="008D3090" w:rsidP="008D3090">
                      <w:pPr>
                        <w:jc w:val="center"/>
                        <w:rPr>
                          <w:rFonts w:ascii="Times New Roman" w:hAnsi="Times New Roman" w:cs="Times New Roman"/>
                          <w:szCs w:val="32"/>
                        </w:rPr>
                      </w:pPr>
                      <w:r w:rsidRPr="00BA70CE">
                        <w:rPr>
                          <w:rFonts w:ascii="Times New Roman" w:hAnsi="Times New Roman" w:cs="Times New Roman"/>
                          <w:szCs w:val="32"/>
                        </w:rPr>
                        <w:t>Turnover</w:t>
                      </w:r>
                    </w:p>
                  </w:txbxContent>
                </v:textbox>
              </v:shape>
            </w:pict>
          </mc:Fallback>
        </mc:AlternateContent>
      </w:r>
      <w:r w:rsidRPr="008D3090">
        <w:rPr>
          <w:rFonts w:ascii="Times New Roman" w:eastAsia="SimSun" w:hAnsi="Times New Roman" w:cs="Times New Roman"/>
          <w:b/>
          <w:bCs/>
          <w:noProof/>
          <w14:ligatures w14:val="none"/>
        </w:rPr>
        <mc:AlternateContent>
          <mc:Choice Requires="wps">
            <w:drawing>
              <wp:anchor distT="0" distB="0" distL="114300" distR="114300" simplePos="0" relativeHeight="251691008" behindDoc="0" locked="0" layoutInCell="1" allowOverlap="1" wp14:anchorId="6F7F9146" wp14:editId="0BF5210B">
                <wp:simplePos x="0" y="0"/>
                <wp:positionH relativeFrom="column">
                  <wp:posOffset>85725</wp:posOffset>
                </wp:positionH>
                <wp:positionV relativeFrom="paragraph">
                  <wp:posOffset>167005</wp:posOffset>
                </wp:positionV>
                <wp:extent cx="1743075" cy="342900"/>
                <wp:effectExtent l="0" t="0" r="28575" b="19050"/>
                <wp:wrapNone/>
                <wp:docPr id="1493585746" name="Text Box 1493585746"/>
                <wp:cNvGraphicFramePr/>
                <a:graphic xmlns:a="http://schemas.openxmlformats.org/drawingml/2006/main">
                  <a:graphicData uri="http://schemas.microsoft.com/office/word/2010/wordprocessingShape">
                    <wps:wsp>
                      <wps:cNvSpPr txBox="1"/>
                      <wps:spPr>
                        <a:xfrm>
                          <a:off x="0" y="0"/>
                          <a:ext cx="1743075" cy="342900"/>
                        </a:xfrm>
                        <a:prstGeom prst="rect">
                          <a:avLst/>
                        </a:prstGeom>
                        <a:solidFill>
                          <a:sysClr val="window" lastClr="FFFFFF"/>
                        </a:solidFill>
                        <a:ln w="6350">
                          <a:solidFill>
                            <a:prstClr val="black"/>
                          </a:solidFill>
                        </a:ln>
                        <a:effectLst/>
                      </wps:spPr>
                      <wps:txbx>
                        <w:txbxContent>
                          <w:p w14:paraId="025D489E" w14:textId="77777777" w:rsidR="008D3090" w:rsidRPr="007A40BF" w:rsidRDefault="008D3090" w:rsidP="008D3090">
                            <w:pPr>
                              <w:jc w:val="center"/>
                            </w:pPr>
                            <w:r w:rsidRPr="007A40BF">
                              <w:rPr>
                                <w:rFonts w:ascii="Times New Roman" w:hAnsi="Times New Roman" w:cs="Times New Roman"/>
                              </w:rPr>
                              <w:t>Affective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7F9146" id="Text Box 1493585746" o:spid="_x0000_s1039" type="#_x0000_t202" style="position:absolute;left:0;text-align:left;margin-left:6.75pt;margin-top:13.15pt;width:137.25pt;height:27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" fillcolor="window" strokeweight=".5pt">
                <v:textbox>
                  <w:txbxContent>
                    <w:p w14:paraId="025D489E" w14:textId="77777777" w:rsidR="008D3090" w:rsidRPr="007A40BF" w:rsidRDefault="008D3090" w:rsidP="008D3090">
                      <w:pPr>
                        <w:jc w:val="center"/>
                      </w:pPr>
                      <w:r w:rsidRPr="007A40BF">
                        <w:rPr>
                          <w:rFonts w:ascii="Times New Roman" w:hAnsi="Times New Roman" w:cs="Times New Roman"/>
                        </w:rPr>
                        <w:t>Affective</w:t>
                      </w:r>
                    </w:p>
                  </w:txbxContent>
                </v:textbox>
              </v:shape>
            </w:pict>
          </mc:Fallback>
        </mc:AlternateContent>
      </w:r>
    </w:p>
    <w:p w14:paraId="621FA614"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p>
    <w:p w14:paraId="73332FCB"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bCs/>
          <w:lang w:val="en-GB" w:eastAsia="zh-CN"/>
          <w14:ligatures w14:val="none"/>
        </w:rPr>
      </w:pPr>
    </w:p>
    <w:p w14:paraId="0DBD797B"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2" w:name="_Toc215808570"/>
      <w:r w:rsidRPr="008D3090">
        <w:rPr>
          <w:rFonts w:ascii="Times New Roman" w:eastAsia="SimSun" w:hAnsi="Times New Roman" w:cs="Times New Roman"/>
          <w:b/>
          <w:lang w:val="en-GB" w:eastAsia="zh-CN"/>
          <w14:ligatures w14:val="none"/>
        </w:rPr>
        <w:t>2.3</w:t>
      </w:r>
      <w:r w:rsidRPr="008D3090">
        <w:rPr>
          <w:rFonts w:ascii="Times New Roman" w:eastAsia="SimSun" w:hAnsi="Times New Roman" w:cs="Times New Roman"/>
          <w:b/>
          <w:lang w:val="en-GB" w:eastAsia="zh-CN"/>
          <w14:ligatures w14:val="none"/>
        </w:rPr>
        <w:tab/>
        <w:t>Types of Employee Commitment in Relation to Organization Performances.</w:t>
      </w:r>
      <w:bookmarkEnd w:id="52"/>
    </w:p>
    <w:p w14:paraId="38EA2B8A"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Several researches have been devoted on the importance of the employee commitment towards the organizational performances. Meyer and Allen believed there is strong correlation between the employee commitment and the performance of employees and when the employees are performing, and then the performance of the organization improves automatically.</w:t>
      </w:r>
    </w:p>
    <w:p w14:paraId="0A952E65"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There are five different types of employee commitment in relation to organization performances as identified by Meyer and Allen.</w:t>
      </w:r>
    </w:p>
    <w:p w14:paraId="1821835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b/>
          <w:bCs/>
          <w:lang w:val="en-GB" w:eastAsia="zh-CN"/>
          <w14:ligatures w14:val="none"/>
        </w:rPr>
        <w:t>i</w:t>
      </w:r>
      <w:proofErr w:type="spellEnd"/>
      <w:r w:rsidRPr="008D3090">
        <w:rPr>
          <w:rFonts w:ascii="Times New Roman" w:eastAsia="SimSun" w:hAnsi="Times New Roman" w:cs="Times New Roman"/>
          <w:b/>
          <w:bCs/>
          <w:lang w:val="en-GB" w:eastAsia="zh-CN"/>
          <w14:ligatures w14:val="none"/>
        </w:rPr>
        <w:t xml:space="preserve"> Commitment towards job: </w:t>
      </w:r>
      <w:r w:rsidRPr="008D3090">
        <w:rPr>
          <w:rFonts w:ascii="Times New Roman" w:eastAsia="SimSun" w:hAnsi="Times New Roman" w:cs="Times New Roman"/>
          <w:lang w:val="en-GB" w:eastAsia="zh-CN"/>
          <w14:ligatures w14:val="none"/>
        </w:rPr>
        <w:t xml:space="preserve">- This is in relation to normative commitment as one of the components of organization commitment, it shows organization is willing to provide incentives to the employees. Employees are subject to regulatory pressure imposed by society before they enter an organization or join an organization. When employees believe that they can be rewarded by following social norms, employee is willing to make </w:t>
      </w:r>
      <w:r w:rsidRPr="008D3090">
        <w:rPr>
          <w:rFonts w:ascii="Times New Roman" w:eastAsia="SimSun" w:hAnsi="Times New Roman" w:cs="Times New Roman"/>
          <w:lang w:val="en-GB" w:eastAsia="zh-CN"/>
          <w14:ligatures w14:val="none"/>
        </w:rPr>
        <w:lastRenderedPageBreak/>
        <w:t xml:space="preserve">normative commitments. Earlier, the normative commitment was considered as an obligation to stay in the organization. Now it is believed that normative commitment implies that employees and organizations are mutually beneficial. The organization management is to realize that employees are more inclined to choose a more productive and creative organization. </w:t>
      </w:r>
      <w:proofErr w:type="gramStart"/>
      <w:r w:rsidRPr="008D3090">
        <w:rPr>
          <w:rFonts w:ascii="Times New Roman" w:eastAsia="SimSun" w:hAnsi="Times New Roman" w:cs="Times New Roman"/>
          <w:lang w:val="en-GB" w:eastAsia="zh-CN"/>
          <w14:ligatures w14:val="none"/>
        </w:rPr>
        <w:t>So</w:t>
      </w:r>
      <w:proofErr w:type="gramEnd"/>
      <w:r w:rsidRPr="008D3090">
        <w:rPr>
          <w:rFonts w:ascii="Times New Roman" w:eastAsia="SimSun" w:hAnsi="Times New Roman" w:cs="Times New Roman"/>
          <w:lang w:val="en-GB" w:eastAsia="zh-CN"/>
          <w14:ligatures w14:val="none"/>
        </w:rPr>
        <w:t xml:space="preserve"> when employees think that the management can be satisfied with them, they get happiness from work and they are willing to make a commitment. The employees who are satisfied with their job are more productive and have a desire to stay more in the organization. The organization gets benefitted because of the experience gained by the employees during their longer stay.</w:t>
      </w:r>
    </w:p>
    <w:p w14:paraId="58B7EE8D"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 xml:space="preserve">ii Commitment towards people </w:t>
      </w:r>
      <w:r w:rsidRPr="008D3090">
        <w:rPr>
          <w:rFonts w:ascii="Times New Roman" w:eastAsia="SimSun" w:hAnsi="Times New Roman" w:cs="Times New Roman"/>
          <w:lang w:val="en-GB" w:eastAsia="zh-CN"/>
          <w14:ligatures w14:val="none"/>
        </w:rPr>
        <w:t>- This is an aspect where employees interpersonal contact with the co-employees are positive, then it indicates that the employees personal and environmental factors are in a positive state, and they are willing to make a commitment to the organization. Such a commitment is a commitment towards people. Some of the personal factors which affect the commitment level are the gender of the employee, their age and their education level.</w:t>
      </w:r>
    </w:p>
    <w:p w14:paraId="23478A8A"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 xml:space="preserve">iii. Commitment towards own self </w:t>
      </w:r>
      <w:r w:rsidRPr="008D3090">
        <w:rPr>
          <w:rFonts w:ascii="Times New Roman" w:eastAsia="SimSun" w:hAnsi="Times New Roman" w:cs="Times New Roman"/>
          <w:lang w:val="en-GB" w:eastAsia="zh-CN"/>
          <w14:ligatures w14:val="none"/>
        </w:rPr>
        <w:t>-This is a process at which commitment establishes an exchange relationship between the organization and the individual, and the employees bundles themselves with the organization in return for return. This process explained that when a change is made, the direction of the organization's change affects the employee commitment. The employees are willing to accept the change and make a commitment to the organization at the same time. While the interests of the organization are contrary to the personal interests of the employees, the employees give up their commitment to the organization for their personal interests. Employees come to the organization in order to find a job environment which meets the needs of their own ability and meets their work needs. When the organization can meet the specific needs of the individuals, skills and expectations, the commitment of employees is more and more. Such a commitment does not mean the exploitation of the employees, but the employees accept the values and goals of the organization, volunteer for the organization, and desire to be in the organization. Hence, when the organization can meet the needs of employees, employees commit themselves to their development</w:t>
      </w:r>
    </w:p>
    <w:p w14:paraId="0A9A988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 xml:space="preserve">iv. Commitment towards the organization </w:t>
      </w:r>
      <w:r w:rsidRPr="008D3090">
        <w:rPr>
          <w:rFonts w:ascii="Times New Roman" w:eastAsia="SimSun" w:hAnsi="Times New Roman" w:cs="Times New Roman"/>
          <w:lang w:val="en-GB" w:eastAsia="zh-CN"/>
          <w14:ligatures w14:val="none"/>
        </w:rPr>
        <w:t>- This shows that the identity of an organization can helps employees understand their experience, organize their ideas, develop strategies, and ultimately achieve a sense of self-achievement. It has been seen that the organizational identification is related to intention to stay in the organization. Similarly, job satisfaction is also positively related to organizational commitment, while the work input and job motivation are also related to organizational identification.</w:t>
      </w:r>
    </w:p>
    <w:p w14:paraId="67D9C542"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 xml:space="preserve">V Commitment towards stakeholders </w:t>
      </w:r>
      <w:r w:rsidRPr="008D3090">
        <w:rPr>
          <w:rFonts w:ascii="Times New Roman" w:eastAsia="SimSun" w:hAnsi="Times New Roman" w:cs="Times New Roman"/>
          <w:lang w:val="en-GB" w:eastAsia="zh-CN"/>
          <w14:ligatures w14:val="none"/>
        </w:rPr>
        <w:t>- An important group of employee commitment is a stakeholder. Although a large amount of efforts has been made for the stakeholder theories, many important links are still missing, and these theories are related to organizational identification and commitment. Stakeholder theories show that the organization is to analyse the key components of the interests, which affect the behaviour of the stakeholders, that is, the commitment to the organization. Different stakeholders have different importance for employees, so employee commitment to the organization gets affected to varying degrees. Different stakeholder groups can create a different impression of the organization which affects whether employees are willing to make a commitment to the organization to continue to work.</w:t>
      </w:r>
    </w:p>
    <w:p w14:paraId="287175DB"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3" w:name="_Toc215808571"/>
      <w:r w:rsidRPr="008D3090">
        <w:rPr>
          <w:rFonts w:ascii="Times New Roman" w:eastAsia="SimSun" w:hAnsi="Times New Roman" w:cs="Times New Roman"/>
          <w:b/>
          <w:lang w:val="en-GB" w:eastAsia="zh-CN"/>
          <w14:ligatures w14:val="none"/>
        </w:rPr>
        <w:t>2.4</w:t>
      </w:r>
      <w:r w:rsidRPr="008D3090">
        <w:rPr>
          <w:rFonts w:ascii="Times New Roman" w:eastAsia="SimSun" w:hAnsi="Times New Roman" w:cs="Times New Roman"/>
          <w:b/>
          <w:lang w:val="en-GB" w:eastAsia="zh-CN"/>
          <w14:ligatures w14:val="none"/>
        </w:rPr>
        <w:tab/>
        <w:t>Stages of Employee Commitment</w:t>
      </w:r>
      <w:bookmarkEnd w:id="53"/>
    </w:p>
    <w:p w14:paraId="23C31639"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Different researches have shown employees at different organizations, develop level of commitment at different stages towards organizations goals and objectives.</w:t>
      </w:r>
    </w:p>
    <w:p w14:paraId="0E383D03"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Below are the three stages employees developing towards commitment in an organization.</w:t>
      </w:r>
    </w:p>
    <w:p w14:paraId="1E894753"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 xml:space="preserve">a. Compliance stage: </w:t>
      </w:r>
      <w:r w:rsidRPr="008D3090">
        <w:rPr>
          <w:rFonts w:ascii="Times New Roman" w:eastAsia="SimSun" w:hAnsi="Times New Roman" w:cs="Times New Roman"/>
          <w:lang w:val="en-GB" w:eastAsia="zh-CN"/>
          <w14:ligatures w14:val="none"/>
        </w:rPr>
        <w:t xml:space="preserve">- This is also called exchange stage, this is the stage at which employees act with the performance which complies with organization standards not because they believe in the organization standard and values, but because they </w:t>
      </w:r>
      <w:proofErr w:type="gramStart"/>
      <w:r w:rsidRPr="008D3090">
        <w:rPr>
          <w:rFonts w:ascii="Times New Roman" w:eastAsia="SimSun" w:hAnsi="Times New Roman" w:cs="Times New Roman"/>
          <w:lang w:val="en-GB" w:eastAsia="zh-CN"/>
          <w14:ligatures w14:val="none"/>
        </w:rPr>
        <w:t>gets</w:t>
      </w:r>
      <w:proofErr w:type="gramEnd"/>
      <w:r w:rsidRPr="008D3090">
        <w:rPr>
          <w:rFonts w:ascii="Times New Roman" w:eastAsia="SimSun" w:hAnsi="Times New Roman" w:cs="Times New Roman"/>
          <w:lang w:val="en-GB" w:eastAsia="zh-CN"/>
          <w14:ligatures w14:val="none"/>
        </w:rPr>
        <w:t xml:space="preserve"> reward and promotion from the organization, so the commitment of the individuals in this stage is based on the number of rewards they get from the organization.</w:t>
      </w:r>
    </w:p>
    <w:p w14:paraId="13820D9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b. Identification stage</w:t>
      </w:r>
      <w:r w:rsidRPr="008D3090">
        <w:rPr>
          <w:rFonts w:ascii="Times New Roman" w:eastAsia="SimSun" w:hAnsi="Times New Roman" w:cs="Times New Roman"/>
          <w:lang w:val="en-GB" w:eastAsia="zh-CN"/>
          <w14:ligatures w14:val="none"/>
        </w:rPr>
        <w:t xml:space="preserve">: - this is the stage at which employees in the organization has a strong relationship with the organization and they are proud, because they are members of this organization. In several studies, it has been argued that the organization is the first and most important place in which the employees can identify themselves, and it has also been found a positive relationship between organization Identification stage and affective commitment exist. Hence, the employee commitment in the identification stage is different from </w:t>
      </w:r>
      <w:r w:rsidRPr="008D3090">
        <w:rPr>
          <w:rFonts w:ascii="Times New Roman" w:eastAsia="SimSun" w:hAnsi="Times New Roman" w:cs="Times New Roman"/>
          <w:lang w:val="en-GB" w:eastAsia="zh-CN"/>
          <w14:ligatures w14:val="none"/>
        </w:rPr>
        <w:lastRenderedPageBreak/>
        <w:t xml:space="preserve">compliance stage since the employees in this stage have a strong desire to remain in the organization because of the level of </w:t>
      </w:r>
      <w:proofErr w:type="gramStart"/>
      <w:r w:rsidRPr="008D3090">
        <w:rPr>
          <w:rFonts w:ascii="Times New Roman" w:eastAsia="SimSun" w:hAnsi="Times New Roman" w:cs="Times New Roman"/>
          <w:lang w:val="en-GB" w:eastAsia="zh-CN"/>
          <w14:ligatures w14:val="none"/>
        </w:rPr>
        <w:t>belonging</w:t>
      </w:r>
      <w:proofErr w:type="gramEnd"/>
      <w:r w:rsidRPr="008D3090">
        <w:rPr>
          <w:rFonts w:ascii="Times New Roman" w:eastAsia="SimSun" w:hAnsi="Times New Roman" w:cs="Times New Roman"/>
          <w:lang w:val="en-GB" w:eastAsia="zh-CN"/>
          <w14:ligatures w14:val="none"/>
        </w:rPr>
        <w:t xml:space="preserve"> they have toward their organization.</w:t>
      </w:r>
    </w:p>
    <w:p w14:paraId="7F4F92B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 xml:space="preserve">c. Internalization stage: </w:t>
      </w:r>
      <w:r w:rsidRPr="008D3090">
        <w:rPr>
          <w:rFonts w:ascii="Times New Roman" w:eastAsia="SimSun" w:hAnsi="Times New Roman" w:cs="Times New Roman"/>
          <w:lang w:val="en-GB" w:eastAsia="zh-CN"/>
          <w14:ligatures w14:val="none"/>
        </w:rPr>
        <w:t>- This stage has been defined as the stage of matching between employees' belief and value with the organization. It is the final stage of commitment where employees want to stay in the organization because they share the same values with their organizations.</w:t>
      </w:r>
    </w:p>
    <w:p w14:paraId="2ABD9B21"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4" w:name="_Toc215808572"/>
      <w:r w:rsidRPr="008D3090">
        <w:rPr>
          <w:rFonts w:ascii="Times New Roman" w:eastAsia="SimSun" w:hAnsi="Times New Roman" w:cs="Times New Roman"/>
          <w:b/>
          <w:lang w:val="en-GB" w:eastAsia="zh-CN"/>
          <w14:ligatures w14:val="none"/>
        </w:rPr>
        <w:t>2.4</w:t>
      </w:r>
      <w:r w:rsidRPr="008D3090">
        <w:rPr>
          <w:rFonts w:ascii="Times New Roman" w:eastAsia="SimSun" w:hAnsi="Times New Roman" w:cs="Times New Roman"/>
          <w:b/>
          <w:lang w:val="en-GB" w:eastAsia="zh-CN"/>
          <w14:ligatures w14:val="none"/>
        </w:rPr>
        <w:tab/>
      </w:r>
      <w:r w:rsidRPr="008D3090">
        <w:rPr>
          <w:rFonts w:ascii="Times New Roman" w:eastAsia="SimSun" w:hAnsi="Times New Roman" w:cs="Times New Roman"/>
          <w:b/>
          <w:lang w:val="en-GB" w:eastAsia="zh-CN"/>
          <w14:ligatures w14:val="none"/>
        </w:rPr>
        <w:tab/>
        <w:t>Theoretical Review</w:t>
      </w:r>
      <w:bookmarkEnd w:id="54"/>
      <w:r w:rsidRPr="008D3090">
        <w:rPr>
          <w:rFonts w:ascii="Times New Roman" w:eastAsia="SimSun" w:hAnsi="Times New Roman" w:cs="Times New Roman"/>
          <w:b/>
          <w:lang w:val="en-GB" w:eastAsia="zh-CN"/>
          <w14:ligatures w14:val="none"/>
        </w:rPr>
        <w:t xml:space="preserve"> </w:t>
      </w:r>
    </w:p>
    <w:p w14:paraId="46F510A3"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5" w:name="_Toc215808573"/>
      <w:r w:rsidRPr="008D3090">
        <w:rPr>
          <w:rFonts w:ascii="Times New Roman" w:eastAsia="SimSun" w:hAnsi="Times New Roman" w:cs="Times New Roman"/>
          <w:b/>
          <w:lang w:val="en-GB" w:eastAsia="zh-CN"/>
          <w14:ligatures w14:val="none"/>
        </w:rPr>
        <w:t>2.4.1</w:t>
      </w:r>
      <w:r w:rsidRPr="008D3090">
        <w:rPr>
          <w:rFonts w:ascii="Times New Roman" w:eastAsia="SimSun" w:hAnsi="Times New Roman" w:cs="Times New Roman"/>
          <w:b/>
          <w:lang w:val="en-GB" w:eastAsia="zh-CN"/>
          <w14:ligatures w14:val="none"/>
        </w:rPr>
        <w:tab/>
        <w:t>McGregor's Theory X and Theory Y</w:t>
      </w:r>
      <w:bookmarkEnd w:id="55"/>
    </w:p>
    <w:p w14:paraId="428C1A47"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This theory explained that a manager's attitude has an impact on employee motivation. McGregor proposed two theories by which managers perceive and address employee motivation. He referred to these opposing motivational methods as Theory X and Theory Y management. Each assumes that the manager's role is to organize resources, including people, to best benefit the organization.</w:t>
      </w:r>
    </w:p>
    <w:p w14:paraId="13D8E033"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However, beyond this commonality, the attitudes and assumptions they embody are quite different.</w:t>
      </w:r>
    </w:p>
    <w:p w14:paraId="021DC62B"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Theory X</w:t>
      </w:r>
    </w:p>
    <w:p w14:paraId="4B481798"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According to Theory X, it emphasized on the followings;</w:t>
      </w:r>
    </w:p>
    <w:p w14:paraId="27BDF000"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i</w:t>
      </w:r>
      <w:proofErr w:type="spellEnd"/>
      <w:r w:rsidRPr="008D3090">
        <w:rPr>
          <w:rFonts w:ascii="Times New Roman" w:eastAsia="SimSun" w:hAnsi="Times New Roman" w:cs="Times New Roman"/>
          <w:lang w:val="en-GB" w:eastAsia="zh-CN"/>
          <w14:ligatures w14:val="none"/>
        </w:rPr>
        <w:t>. Work is inherently distasteful to most people, and they will attempt to avoid work whenever possible.</w:t>
      </w:r>
    </w:p>
    <w:p w14:paraId="3CACE8F2"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ii. Most people are not ambitious, have little desire for responsibility, and prefer to be directed.</w:t>
      </w:r>
    </w:p>
    <w:p w14:paraId="5071678D"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iii. Most people have little aptitude for creativity in solving organizational problems</w:t>
      </w:r>
    </w:p>
    <w:p w14:paraId="299E6BA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iv. Motivation occurs only at the physiological and security levels of Maslow's hierarchy of needs.</w:t>
      </w:r>
    </w:p>
    <w:p w14:paraId="3D95DBC9"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V. Most people are </w:t>
      </w:r>
      <w:proofErr w:type="spellStart"/>
      <w:r w:rsidRPr="008D3090">
        <w:rPr>
          <w:rFonts w:ascii="Times New Roman" w:eastAsia="SimSun" w:hAnsi="Times New Roman" w:cs="Times New Roman"/>
          <w:lang w:val="en-GB" w:eastAsia="zh-CN"/>
          <w14:ligatures w14:val="none"/>
        </w:rPr>
        <w:t>self-centered</w:t>
      </w:r>
      <w:proofErr w:type="spellEnd"/>
      <w:r w:rsidRPr="008D3090">
        <w:rPr>
          <w:rFonts w:ascii="Times New Roman" w:eastAsia="SimSun" w:hAnsi="Times New Roman" w:cs="Times New Roman"/>
          <w:lang w:val="en-GB" w:eastAsia="zh-CN"/>
          <w14:ligatures w14:val="none"/>
        </w:rPr>
        <w:t>. As a result, they must be closely controlled and often coerced to achieve organizational objectives.</w:t>
      </w:r>
    </w:p>
    <w:p w14:paraId="391D853D"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vi. Most people resist change.</w:t>
      </w:r>
    </w:p>
    <w:p w14:paraId="3C8D391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vii. Most people are gullible and unintelligent.</w:t>
      </w:r>
    </w:p>
    <w:p w14:paraId="10D52A70"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However, theory X explained that the primary source of employee motivation is monetary, with security as a strong while, one can take a hard or soft approach to getting results. The hard approach to motivation relies on coercion, implicit threats, micromanagement, and tight controls in addition an environment of command and control. The soft approach, however, is to be permissive and seek harmony in the hopes that, in return, employees will cooperate when asked. Furthermore, neither of these extremes is optimal. The hard approach results in hostility, purposely low output, and extreme union demands. The soft approach results in a growing desire for greater reward in exchange for diminished work output.</w:t>
      </w:r>
    </w:p>
    <w:p w14:paraId="5CC9CBCC"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In relation to Maslow's hierarchy of needs, McGregor argues that human or employee's needs, once satisfied, no longer motivates. Organizations use monetary rewards and benefits to satisfy employees' lower-level needs and once those needs have been satisfied, the motivation disappears. Theory X management hinders the satisfaction of higher-level needs because it doesn't acknowledge that those needs are relevant in the workplace. As a result, the only way that employees can attempt to meet higher-level needs at work is to seek more compensation, so, predictably, they focus on monetary rewards. While money may not be the most effective way to self-fulfilment, it may be the only way available. People will use work to satisfy their lower needs and seek to satisfy their higher needs during their leisure time.</w:t>
      </w:r>
    </w:p>
    <w:p w14:paraId="449C4B6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However, employees can be most productive when their work goals align with their higher-level needs.</w:t>
      </w:r>
    </w:p>
    <w:p w14:paraId="3B0525F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b/>
          <w:bCs/>
          <w:lang w:val="en-GB" w:eastAsia="zh-CN"/>
          <w14:ligatures w14:val="none"/>
        </w:rPr>
        <w:t>THEORY Y</w:t>
      </w:r>
    </w:p>
    <w:p w14:paraId="4F8DC753"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 highest level needs of esteem and self-actualization are ongoing needs that, for most people, are never completely satisfied. As such, it is these higher-level needs through which employees can best be motivated. In strong differentiation to Theory X, Theory Y management explained the following:</w:t>
      </w:r>
    </w:p>
    <w:p w14:paraId="0D249226" w14:textId="77777777" w:rsidR="008D3090" w:rsidRPr="008D3090" w:rsidRDefault="008D3090" w:rsidP="008D3090">
      <w:pPr>
        <w:widowControl w:val="0"/>
        <w:numPr>
          <w:ilvl w:val="0"/>
          <w:numId w:val="46"/>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Work can be as natural as play if the conditions are favourable.</w:t>
      </w:r>
    </w:p>
    <w:p w14:paraId="4F076ADC" w14:textId="77777777" w:rsidR="008D3090" w:rsidRPr="008D3090" w:rsidRDefault="008D3090" w:rsidP="008D3090">
      <w:pPr>
        <w:widowControl w:val="0"/>
        <w:numPr>
          <w:ilvl w:val="0"/>
          <w:numId w:val="46"/>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People will be self-directed and creative to meet their work and organizational objectives if they are committed to them.</w:t>
      </w:r>
    </w:p>
    <w:p w14:paraId="6A9B5675" w14:textId="77777777" w:rsidR="008D3090" w:rsidRPr="008D3090" w:rsidRDefault="008D3090" w:rsidP="008D3090">
      <w:pPr>
        <w:widowControl w:val="0"/>
        <w:numPr>
          <w:ilvl w:val="0"/>
          <w:numId w:val="46"/>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People will be committed to their quality and productivity objectives if rewards are in place that address higher needs such as self-fulfilment.</w:t>
      </w:r>
    </w:p>
    <w:p w14:paraId="6450ACDB" w14:textId="77777777" w:rsidR="008D3090" w:rsidRPr="008D3090" w:rsidRDefault="008D3090" w:rsidP="008D3090">
      <w:pPr>
        <w:widowControl w:val="0"/>
        <w:numPr>
          <w:ilvl w:val="0"/>
          <w:numId w:val="46"/>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 capacity for creativity spreads throughout organizations.</w:t>
      </w:r>
    </w:p>
    <w:p w14:paraId="06042C0C" w14:textId="77777777" w:rsidR="008D3090" w:rsidRPr="008D3090" w:rsidRDefault="008D3090" w:rsidP="008D3090">
      <w:pPr>
        <w:widowControl w:val="0"/>
        <w:numPr>
          <w:ilvl w:val="0"/>
          <w:numId w:val="46"/>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Most people can handle responsibility because creativity and ingenuity are common in the population.</w:t>
      </w:r>
    </w:p>
    <w:p w14:paraId="691A7DB5" w14:textId="77777777" w:rsidR="008D3090" w:rsidRPr="008D3090" w:rsidRDefault="008D3090" w:rsidP="008D3090">
      <w:pPr>
        <w:widowControl w:val="0"/>
        <w:numPr>
          <w:ilvl w:val="0"/>
          <w:numId w:val="46"/>
        </w:num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Under these conditions, people will seek responsibility.</w:t>
      </w:r>
    </w:p>
    <w:p w14:paraId="38556F2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lastRenderedPageBreak/>
        <w:t>With this theory Y it aids an opportunity to align personal goals with organizational goals by using the employee's own need for fulfilment as the motivator. McGregor stressed that Theory Y management does not imply a soft approach. McGregor recognized that some people may not have reached the level of maturity as explained in Theory Y and may initially need tighter controls that can be relaxed as the employee develops.</w:t>
      </w:r>
    </w:p>
    <w:p w14:paraId="40971D2A"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6" w:name="_Toc215808574"/>
      <w:r w:rsidRPr="008D3090">
        <w:rPr>
          <w:rFonts w:ascii="Times New Roman" w:eastAsia="SimSun" w:hAnsi="Times New Roman" w:cs="Times New Roman"/>
          <w:b/>
          <w:lang w:val="en-GB" w:eastAsia="zh-CN"/>
          <w14:ligatures w14:val="none"/>
        </w:rPr>
        <w:t>2.4.2</w:t>
      </w:r>
      <w:r w:rsidRPr="008D3090">
        <w:rPr>
          <w:rFonts w:ascii="Times New Roman" w:eastAsia="SimSun" w:hAnsi="Times New Roman" w:cs="Times New Roman"/>
          <w:b/>
          <w:lang w:val="en-GB" w:eastAsia="zh-CN"/>
          <w14:ligatures w14:val="none"/>
        </w:rPr>
        <w:tab/>
        <w:t>Maslow's Hierarchy of Needs</w:t>
      </w:r>
      <w:bookmarkEnd w:id="56"/>
    </w:p>
    <w:p w14:paraId="0046ABDA"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Abraham Maslow postulated that a person will be motivated when his needs are fulfilled. The need starts from the lowest level basic needs and keeps moving up as a </w:t>
      </w:r>
      <w:proofErr w:type="gramStart"/>
      <w:r w:rsidRPr="008D3090">
        <w:rPr>
          <w:rFonts w:ascii="Times New Roman" w:eastAsia="SimSun" w:hAnsi="Times New Roman" w:cs="Times New Roman"/>
          <w:lang w:val="en-GB" w:eastAsia="zh-CN"/>
          <w14:ligatures w14:val="none"/>
        </w:rPr>
        <w:t>lower level</w:t>
      </w:r>
      <w:proofErr w:type="gramEnd"/>
      <w:r w:rsidRPr="008D3090">
        <w:rPr>
          <w:rFonts w:ascii="Times New Roman" w:eastAsia="SimSun" w:hAnsi="Times New Roman" w:cs="Times New Roman"/>
          <w:lang w:val="en-GB" w:eastAsia="zh-CN"/>
          <w14:ligatures w14:val="none"/>
        </w:rPr>
        <w:t xml:space="preserve"> need is fulfilled. According to Smith &amp; Cronje (1992), the way Maslow's theory is explained relies on the fact that all employees in different organizations want to increase what they want to achieve in life and their needs are prioritized according to their importance. Deriving from the hierarchy of needs by Maslow, content theories of job satisfaction revolve around employees' needs and the factors that bring them a reasonable degree of satisfaction (Saif et al., 2012). Based on the basic physical, biological, social and psychological needs of human beings, Maslow came up with a five-stage theory that places the needs of the individual in different categories and prioritizes their attainment. Below is the hierarchy of needs as explained by Maslow.</w:t>
      </w:r>
    </w:p>
    <w:p w14:paraId="323B8AA3"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p>
    <w:p w14:paraId="31424AC9"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1. </w:t>
      </w:r>
      <w:r w:rsidRPr="008D3090">
        <w:rPr>
          <w:rFonts w:ascii="Times New Roman" w:eastAsia="SimSun" w:hAnsi="Times New Roman" w:cs="Times New Roman"/>
          <w:b/>
          <w:bCs/>
          <w:lang w:val="en-GB" w:eastAsia="zh-CN"/>
          <w14:ligatures w14:val="none"/>
        </w:rPr>
        <w:t>Physiological needs:</w:t>
      </w:r>
      <w:r w:rsidRPr="008D3090">
        <w:rPr>
          <w:rFonts w:ascii="Times New Roman" w:eastAsia="SimSun" w:hAnsi="Times New Roman" w:cs="Times New Roman"/>
          <w:lang w:val="en-GB" w:eastAsia="zh-CN"/>
          <w14:ligatures w14:val="none"/>
        </w:rPr>
        <w:t xml:space="preserve"> This represents those needs at the lower end of the pyramid which is also referred to as basic human needs such as water, food, air and shelter.</w:t>
      </w:r>
    </w:p>
    <w:p w14:paraId="573BD264"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Maslow believed that organizations must provide employees with salaries or payments that assists them in meeting expenses associated with suitable living standards.</w:t>
      </w:r>
    </w:p>
    <w:p w14:paraId="2D032A36"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2. </w:t>
      </w:r>
      <w:r w:rsidRPr="008D3090">
        <w:rPr>
          <w:rFonts w:ascii="Times New Roman" w:eastAsia="SimSun" w:hAnsi="Times New Roman" w:cs="Times New Roman"/>
          <w:b/>
          <w:bCs/>
          <w:lang w:val="en-GB" w:eastAsia="zh-CN"/>
          <w14:ligatures w14:val="none"/>
        </w:rPr>
        <w:t>Safety needs</w:t>
      </w:r>
      <w:r w:rsidRPr="008D3090">
        <w:rPr>
          <w:rFonts w:ascii="Times New Roman" w:eastAsia="SimSun" w:hAnsi="Times New Roman" w:cs="Times New Roman"/>
          <w:lang w:val="en-GB" w:eastAsia="zh-CN"/>
          <w14:ligatures w14:val="none"/>
        </w:rPr>
        <w:t>: Are employees in an organization free from the threat of danger, pain, or an uncertain event. Such needs are stimulated after basic survival needs have been achieved. They refer to a worker's desire for safer and favourable work settings without any prospective fears or injuries. Organizations try to gratify such desires by providing their workforce with adequate safety measures and facilities, health and well-being initiatives, etc. The logic is to make sure employees are inspired to perform well and discharge their duties successfully devoid of tension or injury in a setting they assume to be secure. Executives can aid in catering for these needs by providing adequate job security, health aids and safer work environment.</w:t>
      </w:r>
    </w:p>
    <w:p w14:paraId="6D7711F6"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3 </w:t>
      </w:r>
      <w:r w:rsidRPr="008D3090">
        <w:rPr>
          <w:rFonts w:ascii="Times New Roman" w:eastAsia="SimSun" w:hAnsi="Times New Roman" w:cs="Times New Roman"/>
          <w:b/>
          <w:bCs/>
          <w:lang w:val="en-GB" w:eastAsia="zh-CN"/>
          <w14:ligatures w14:val="none"/>
        </w:rPr>
        <w:t xml:space="preserve">Belongingness needs: </w:t>
      </w:r>
      <w:r w:rsidRPr="008D3090">
        <w:rPr>
          <w:rFonts w:ascii="Times New Roman" w:eastAsia="SimSun" w:hAnsi="Times New Roman" w:cs="Times New Roman"/>
          <w:lang w:val="en-GB" w:eastAsia="zh-CN"/>
          <w14:ligatures w14:val="none"/>
        </w:rPr>
        <w:t>This refer to the need to bond with other human beings, be loved, and form lasting attachments with others. In fact, attachments, or lack of them, are associated with our health and well-being. Baumeister, R. F., &amp; Leary, M. R. (1995). The need to belong, desire for interpersonal attachments as a fundamental human motivation. These needs create room for members of a workforce to be associated and bond with themselves. Workers are moved to perform well in their jobs when there is a feeling of acceptance. By stimulating interactive relations among workers, organizing collective gatherings like holiday get-togethers' management can aid in satisfying those needs.</w:t>
      </w:r>
    </w:p>
    <w:p w14:paraId="0BF8FAFD"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4. </w:t>
      </w:r>
      <w:r w:rsidRPr="008D3090">
        <w:rPr>
          <w:rFonts w:ascii="Times New Roman" w:eastAsia="SimSun" w:hAnsi="Times New Roman" w:cs="Times New Roman"/>
          <w:b/>
          <w:bCs/>
          <w:lang w:val="en-GB" w:eastAsia="zh-CN"/>
          <w14:ligatures w14:val="none"/>
        </w:rPr>
        <w:t>Esteem needs</w:t>
      </w:r>
      <w:r w:rsidRPr="008D3090">
        <w:rPr>
          <w:rFonts w:ascii="Times New Roman" w:eastAsia="SimSun" w:hAnsi="Times New Roman" w:cs="Times New Roman"/>
          <w:lang w:val="en-GB" w:eastAsia="zh-CN"/>
          <w14:ligatures w14:val="none"/>
        </w:rPr>
        <w:t>: Esteem need refers to the desire to be respected by one' speers, feel important, and be appreciated. When workers are elevated and recognized in</w:t>
      </w:r>
    </w:p>
    <w:p w14:paraId="69C16FA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their numerous work achievements, these kinds of needs are fulfilled. Maslow stated that this type of needs is triggered after belongingness needs are gratified.</w:t>
      </w:r>
    </w:p>
    <w:p w14:paraId="3CE67A1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Workers for example are moved to perform well if they are given awards for notable attainments in their jobs.</w:t>
      </w:r>
    </w:p>
    <w:p w14:paraId="70E7C02A" w14:textId="77777777" w:rsidR="008D3090" w:rsidRPr="008D3090" w:rsidRDefault="008D3090" w:rsidP="008D3090">
      <w:pPr>
        <w:widowControl w:val="0"/>
        <w:spacing w:after="0" w:line="240" w:lineRule="auto"/>
        <w:contextualSpacing/>
        <w:jc w:val="both"/>
        <w:rPr>
          <w:rFonts w:ascii="Times New Roman" w:eastAsia="SimSun" w:hAnsi="Times New Roman" w:cs="Times New Roman"/>
          <w:b/>
          <w:lang w:val="en-GB" w:eastAsia="zh-CN"/>
          <w14:ligatures w14:val="none"/>
        </w:rPr>
      </w:pPr>
      <w:r w:rsidRPr="008D3090">
        <w:rPr>
          <w:rFonts w:ascii="Times New Roman" w:eastAsia="SimSun" w:hAnsi="Times New Roman" w:cs="Times New Roman"/>
          <w:lang w:val="en-GB" w:eastAsia="zh-CN"/>
          <w14:ligatures w14:val="none"/>
        </w:rPr>
        <w:t xml:space="preserve">5. </w:t>
      </w:r>
      <w:r w:rsidRPr="008D3090">
        <w:rPr>
          <w:rFonts w:ascii="Times New Roman" w:eastAsia="SimSun" w:hAnsi="Times New Roman" w:cs="Times New Roman"/>
          <w:b/>
          <w:bCs/>
          <w:lang w:val="en-GB" w:eastAsia="zh-CN"/>
          <w14:ligatures w14:val="none"/>
        </w:rPr>
        <w:t>Self-actualization needs</w:t>
      </w:r>
      <w:r w:rsidRPr="008D3090">
        <w:rPr>
          <w:rFonts w:ascii="Times New Roman" w:eastAsia="SimSun" w:hAnsi="Times New Roman" w:cs="Times New Roman"/>
          <w:lang w:val="en-GB" w:eastAsia="zh-CN"/>
          <w14:ligatures w14:val="none"/>
        </w:rPr>
        <w:t xml:space="preserve">: This refers to "becoming all you are capable of becoming." This need manifests itself by the desire to acquire new skills, </w:t>
      </w:r>
      <w:proofErr w:type="spellStart"/>
      <w:r w:rsidRPr="008D3090">
        <w:rPr>
          <w:rFonts w:ascii="Times New Roman" w:eastAsia="SimSun" w:hAnsi="Times New Roman" w:cs="Times New Roman"/>
          <w:lang w:val="en-GB" w:eastAsia="zh-CN"/>
          <w14:ligatures w14:val="none"/>
        </w:rPr>
        <w:t>tale</w:t>
      </w:r>
      <w:proofErr w:type="spellEnd"/>
      <w:r w:rsidRPr="008D3090">
        <w:rPr>
          <w:rFonts w:ascii="Times New Roman" w:eastAsia="SimSun" w:hAnsi="Times New Roman" w:cs="Times New Roman"/>
          <w:lang w:val="en-GB" w:eastAsia="zh-CN"/>
          <w14:ligatures w14:val="none"/>
        </w:rPr>
        <w:t xml:space="preserve"> on new challenges, and behave in a way that will lead to the attainment of one's life goals. The idea is for employees to be driven to put in their best performances for the organization as long it provides room for them to attain self-satisfaction in their areas of expertise giving them the chance to be all they can be.</w:t>
      </w:r>
    </w:p>
    <w:p w14:paraId="05C40159"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7" w:name="_Toc215808575"/>
      <w:r w:rsidRPr="008D3090">
        <w:rPr>
          <w:rFonts w:ascii="Times New Roman" w:eastAsia="SimSun" w:hAnsi="Times New Roman" w:cs="Times New Roman"/>
          <w:b/>
          <w:lang w:val="en-GB" w:eastAsia="zh-CN"/>
          <w14:ligatures w14:val="none"/>
        </w:rPr>
        <w:t>2.5</w:t>
      </w:r>
      <w:r w:rsidRPr="008D3090">
        <w:rPr>
          <w:rFonts w:ascii="Times New Roman" w:eastAsia="SimSun" w:hAnsi="Times New Roman" w:cs="Times New Roman"/>
          <w:b/>
          <w:lang w:val="en-GB" w:eastAsia="zh-CN"/>
          <w14:ligatures w14:val="none"/>
        </w:rPr>
        <w:tab/>
      </w:r>
      <w:r w:rsidRPr="008D3090">
        <w:rPr>
          <w:rFonts w:ascii="Times New Roman" w:eastAsia="SimSun" w:hAnsi="Times New Roman" w:cs="Times New Roman"/>
          <w:b/>
          <w:lang w:val="en-GB" w:eastAsia="zh-CN"/>
          <w14:ligatures w14:val="none"/>
        </w:rPr>
        <w:tab/>
        <w:t>Empirical Review</w:t>
      </w:r>
      <w:bookmarkEnd w:id="57"/>
      <w:r w:rsidRPr="008D3090">
        <w:rPr>
          <w:rFonts w:ascii="Times New Roman" w:eastAsia="SimSun" w:hAnsi="Times New Roman" w:cs="Times New Roman"/>
          <w:b/>
          <w:lang w:val="en-GB" w:eastAsia="zh-CN"/>
          <w14:ligatures w14:val="none"/>
        </w:rPr>
        <w:t xml:space="preserve"> </w:t>
      </w:r>
    </w:p>
    <w:p w14:paraId="4B7470FF"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A study by Ricciardi, Cantino &amp; </w:t>
      </w:r>
      <w:proofErr w:type="spellStart"/>
      <w:r w:rsidRPr="008D3090">
        <w:rPr>
          <w:rFonts w:ascii="Times New Roman" w:eastAsia="SimSun" w:hAnsi="Times New Roman" w:cs="Times New Roman"/>
          <w:lang w:val="en-GB" w:eastAsia="zh-CN"/>
          <w14:ligatures w14:val="none"/>
        </w:rPr>
        <w:t>Rossignoli</w:t>
      </w:r>
      <w:proofErr w:type="spellEnd"/>
      <w:r w:rsidRPr="008D3090">
        <w:rPr>
          <w:rFonts w:ascii="Times New Roman" w:eastAsia="SimSun" w:hAnsi="Times New Roman" w:cs="Times New Roman"/>
          <w:lang w:val="en-GB" w:eastAsia="zh-CN"/>
          <w14:ligatures w14:val="none"/>
        </w:rPr>
        <w:t xml:space="preserve"> (2019) investigated the impact of employee commitment (Affective commitment, Continuance commitment and Normative commitment) on performance from a sample of 153 public and private and public sector employees of oil and gas sector. The results reveal a positive relationship between employee commitment and performance. The study does not concentrate on a particular industry; it generalizes on all industries. Choosing a particular segment </w:t>
      </w:r>
      <w:proofErr w:type="spellStart"/>
      <w:r w:rsidRPr="008D3090">
        <w:rPr>
          <w:rFonts w:ascii="Times New Roman" w:eastAsia="SimSun" w:hAnsi="Times New Roman" w:cs="Times New Roman"/>
          <w:lang w:val="en-GB" w:eastAsia="zh-CN"/>
          <w14:ligatures w14:val="none"/>
        </w:rPr>
        <w:t>i.e</w:t>
      </w:r>
      <w:proofErr w:type="spellEnd"/>
      <w:r w:rsidRPr="008D3090">
        <w:rPr>
          <w:rFonts w:ascii="Times New Roman" w:eastAsia="SimSun" w:hAnsi="Times New Roman" w:cs="Times New Roman"/>
          <w:lang w:val="en-GB" w:eastAsia="zh-CN"/>
          <w14:ligatures w14:val="none"/>
        </w:rPr>
        <w:t xml:space="preserve"> is a knowledge gap that future research could cover. </w:t>
      </w:r>
    </w:p>
    <w:p w14:paraId="4D1FD348"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lastRenderedPageBreak/>
        <w:t>Norizan</w:t>
      </w:r>
      <w:proofErr w:type="spellEnd"/>
      <w:r w:rsidRPr="008D3090">
        <w:rPr>
          <w:rFonts w:ascii="Times New Roman" w:eastAsia="SimSun" w:hAnsi="Times New Roman" w:cs="Times New Roman"/>
          <w:lang w:val="en-GB" w:eastAsia="zh-CN"/>
          <w14:ligatures w14:val="none"/>
        </w:rPr>
        <w:t xml:space="preserve">, (2020) examined the relationship between components of organizational commitment and job satisfaction among employee at higher learning education </w:t>
      </w:r>
      <w:proofErr w:type="gramStart"/>
      <w:r w:rsidRPr="008D3090">
        <w:rPr>
          <w:rFonts w:ascii="Times New Roman" w:eastAsia="SimSun" w:hAnsi="Times New Roman" w:cs="Times New Roman"/>
          <w:lang w:val="en-GB" w:eastAsia="zh-CN"/>
          <w14:ligatures w14:val="none"/>
        </w:rPr>
        <w:t>institutions .Therefore</w:t>
      </w:r>
      <w:proofErr w:type="gramEnd"/>
      <w:r w:rsidRPr="008D3090">
        <w:rPr>
          <w:rFonts w:ascii="Times New Roman" w:eastAsia="SimSun" w:hAnsi="Times New Roman" w:cs="Times New Roman"/>
          <w:lang w:val="en-GB" w:eastAsia="zh-CN"/>
          <w14:ligatures w14:val="none"/>
        </w:rPr>
        <w:t xml:space="preserve"> this study could make important contribution to extant research in management and organizational behaviour. In the beginning of this study, the purpose, research question, and the need for the study is given. Then, literature is discussed about organizational commitment and job satisfaction that focusing on the relationship between them. The study generated a 96.3 percent response rate from 300 respondents. The result showed that affective, continuance and normative commitment that was not found to have significant positive relationship with job satisfaction.</w:t>
      </w:r>
    </w:p>
    <w:p w14:paraId="58F95988"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Adams (2018) examined the relationship between employee commitment rewards and organizational performance. The descriptive survey method was adopted for this study. Questionnaire was use to collect data from 470 respondents in Nigeria in cement industry. The study engaged Spearman's correlation method to test hypotheses formulated for the study at .01 level of significance. The study also found that recognition employee commitment used in cement factories are good for the maximum organizational performance.</w:t>
      </w:r>
    </w:p>
    <w:p w14:paraId="70EC9137"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Sigler and Pearson (2020) reported that employee commitment is crucial in an organization and leads to high performance. Commitment to the team, feeling responsible for goals, and having a sense of obligation to group needs can be the exact definition of commitment. Dedication to task and job team is more considerable and eventful, particularly in unfavourable circumstances. Maybe the best time for assessing workers' dedication is when troubles arise. The commitment of the team's participants will be more powerful when it is anchored on human and moral values and when it has happened as a result of conscious selection; since doing affairs under compulsion and imposition will work in the opposite direction of commitment.  </w:t>
      </w:r>
    </w:p>
    <w:p w14:paraId="3E8BF0E1"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8" w:name="_Toc215808577"/>
      <w:r w:rsidRPr="008D3090">
        <w:rPr>
          <w:rFonts w:ascii="Times New Roman" w:eastAsia="SimSun" w:hAnsi="Times New Roman" w:cs="Times New Roman"/>
          <w:b/>
          <w:lang w:val="en-GB" w:eastAsia="zh-CN"/>
          <w14:ligatures w14:val="none"/>
        </w:rPr>
        <w:t>3.0 RESEARCH METHODOLOGY</w:t>
      </w:r>
      <w:bookmarkEnd w:id="58"/>
    </w:p>
    <w:p w14:paraId="19A4B1FF"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59" w:name="_Toc215808578"/>
      <w:r w:rsidRPr="008D3090">
        <w:rPr>
          <w:rFonts w:ascii="Times New Roman" w:eastAsia="SimSun" w:hAnsi="Times New Roman" w:cs="Times New Roman"/>
          <w:b/>
          <w:lang w:val="en-GB" w:eastAsia="zh-CN"/>
          <w14:ligatures w14:val="none"/>
        </w:rPr>
        <w:t>3.1</w:t>
      </w:r>
      <w:r w:rsidRPr="008D3090">
        <w:rPr>
          <w:rFonts w:ascii="Times New Roman" w:eastAsia="SimSun" w:hAnsi="Times New Roman" w:cs="Times New Roman"/>
          <w:b/>
          <w:lang w:val="en-GB" w:eastAsia="zh-CN"/>
          <w14:ligatures w14:val="none"/>
        </w:rPr>
        <w:tab/>
        <w:t>Research Design</w:t>
      </w:r>
      <w:bookmarkEnd w:id="59"/>
    </w:p>
    <w:p w14:paraId="5E4D3756"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Research design is used to structure the research to show all the major parts of the research project. According to Cooper &amp; Schinder, (2019) cited in Kennedy (2011), a research design can be defined as a plan for selecting sources and types of information used to answer the research questions. The research design for this study would be the survey research design. Robson, (2005), explained that survey research comprises a cross-sectional design in relation to which data are collected predominantly by questionnaire or by structure interview on more than one case (usually quite a lot more than one) and at a single point in time in order to collect a body of quantitative or quantifiable data in connection with two or more variables (usually many, more than two) which are then examined to detect patterns of association.</w:t>
      </w:r>
    </w:p>
    <w:p w14:paraId="5350C4D1"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60" w:name="_Toc215808579"/>
      <w:r w:rsidRPr="008D3090">
        <w:rPr>
          <w:rFonts w:ascii="Times New Roman" w:eastAsia="SimSun" w:hAnsi="Times New Roman" w:cs="Times New Roman"/>
          <w:b/>
          <w:lang w:val="en-GB" w:eastAsia="zh-CN"/>
          <w14:ligatures w14:val="none"/>
        </w:rPr>
        <w:t>3.2</w:t>
      </w:r>
      <w:r w:rsidRPr="008D3090">
        <w:rPr>
          <w:rFonts w:ascii="Times New Roman" w:eastAsia="SimSun" w:hAnsi="Times New Roman" w:cs="Times New Roman"/>
          <w:b/>
          <w:lang w:val="en-GB" w:eastAsia="zh-CN"/>
          <w14:ligatures w14:val="none"/>
        </w:rPr>
        <w:tab/>
        <w:t>​Population of the Study</w:t>
      </w:r>
      <w:bookmarkEnd w:id="60"/>
    </w:p>
    <w:p w14:paraId="5C9B7950" w14:textId="77777777" w:rsidR="008D3090" w:rsidRPr="008D3090" w:rsidRDefault="008D3090" w:rsidP="008D3090">
      <w:pPr>
        <w:widowControl w:val="0"/>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color w:val="000000"/>
          <w:lang w:val="en-GB" w:eastAsia="zh-CN"/>
          <w14:ligatures w14:val="none"/>
        </w:rPr>
        <w:t>Population is the entire group of people, event or things of interest the researcher wishes to investigate, and it</w:t>
      </w:r>
      <w:r w:rsidRPr="008D3090">
        <w:rPr>
          <w:rFonts w:ascii="Times New Roman" w:eastAsia="SimSun" w:hAnsi="Times New Roman" w:cs="Times New Roman"/>
          <w:lang w:val="en-GB" w:eastAsia="zh-CN"/>
          <w14:ligatures w14:val="none"/>
        </w:rPr>
        <w:t xml:space="preserve"> is the entire variable under study. While population of the study is a subset of the entire population. In view of this research work the population of the study comprised 200 (two hundred). The entire management and employees in these three UBA branches in </w:t>
      </w:r>
      <w:proofErr w:type="spellStart"/>
      <w:r w:rsidRPr="008D3090">
        <w:rPr>
          <w:rFonts w:ascii="Times New Roman" w:eastAsia="SimSun" w:hAnsi="Times New Roman" w:cs="Times New Roman"/>
          <w:lang w:val="en-GB" w:eastAsia="zh-CN"/>
          <w14:ligatures w14:val="none"/>
        </w:rPr>
        <w:t>yenagoa</w:t>
      </w:r>
      <w:proofErr w:type="spellEnd"/>
      <w:r w:rsidRPr="008D3090">
        <w:rPr>
          <w:rFonts w:ascii="Times New Roman" w:eastAsia="SimSun" w:hAnsi="Times New Roman" w:cs="Times New Roman"/>
          <w:lang w:val="en-GB" w:eastAsia="zh-CN"/>
          <w14:ligatures w14:val="none"/>
        </w:rPr>
        <w:t xml:space="preserve"> Bayelsa state were selected. They include: (1) United Bank for Africa, Amarata, </w:t>
      </w:r>
      <w:proofErr w:type="spellStart"/>
      <w:r w:rsidRPr="008D3090">
        <w:rPr>
          <w:rFonts w:ascii="Times New Roman" w:eastAsia="SimSun" w:hAnsi="Times New Roman" w:cs="Times New Roman"/>
          <w:lang w:val="en-GB" w:eastAsia="zh-CN"/>
          <w14:ligatures w14:val="none"/>
        </w:rPr>
        <w:t>yenagoa</w:t>
      </w:r>
      <w:proofErr w:type="spellEnd"/>
      <w:r w:rsidRPr="008D3090">
        <w:rPr>
          <w:rFonts w:ascii="Times New Roman" w:eastAsia="SimSun" w:hAnsi="Times New Roman" w:cs="Times New Roman"/>
          <w:lang w:val="en-GB" w:eastAsia="zh-CN"/>
          <w14:ligatures w14:val="none"/>
        </w:rPr>
        <w:t xml:space="preserve"> (2) United Bank for Africa </w:t>
      </w:r>
      <w:proofErr w:type="spellStart"/>
      <w:r w:rsidRPr="008D3090">
        <w:rPr>
          <w:rFonts w:ascii="Times New Roman" w:eastAsia="SimSun" w:hAnsi="Times New Roman" w:cs="Times New Roman"/>
          <w:lang w:val="en-GB" w:eastAsia="zh-CN"/>
          <w14:ligatures w14:val="none"/>
        </w:rPr>
        <w:t>Swali</w:t>
      </w:r>
      <w:proofErr w:type="spellEnd"/>
      <w:r w:rsidRPr="008D3090">
        <w:rPr>
          <w:rFonts w:ascii="Times New Roman" w:eastAsia="SimSun" w:hAnsi="Times New Roman" w:cs="Times New Roman"/>
          <w:lang w:val="en-GB" w:eastAsia="zh-CN"/>
          <w14:ligatures w14:val="none"/>
        </w:rPr>
        <w:t xml:space="preserve"> Yenagoa (3) United Bank for Africa Onopa </w:t>
      </w:r>
      <w:proofErr w:type="spellStart"/>
      <w:r w:rsidRPr="008D3090">
        <w:rPr>
          <w:rFonts w:ascii="Times New Roman" w:eastAsia="SimSun" w:hAnsi="Times New Roman" w:cs="Times New Roman"/>
          <w:lang w:val="en-GB" w:eastAsia="zh-CN"/>
          <w14:ligatures w14:val="none"/>
        </w:rPr>
        <w:t>yenagoa</w:t>
      </w:r>
      <w:proofErr w:type="spellEnd"/>
      <w:r w:rsidRPr="008D3090">
        <w:rPr>
          <w:rFonts w:ascii="Times New Roman" w:eastAsia="SimSun" w:hAnsi="Times New Roman" w:cs="Times New Roman"/>
          <w:lang w:val="en-GB" w:eastAsia="zh-CN"/>
          <w14:ligatures w14:val="none"/>
        </w:rPr>
        <w:t>. The source was gotten from the Human Resources Department of the various branches.</w:t>
      </w:r>
    </w:p>
    <w:p w14:paraId="5389E7C6"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61" w:name="_Toc215808580"/>
      <w:r w:rsidRPr="008D3090">
        <w:rPr>
          <w:rFonts w:ascii="Times New Roman" w:eastAsia="SimSun" w:hAnsi="Times New Roman" w:cs="Times New Roman"/>
          <w:b/>
          <w:lang w:val="en-GB" w:eastAsia="zh-CN"/>
          <w14:ligatures w14:val="none"/>
        </w:rPr>
        <w:t>3.3</w:t>
      </w:r>
      <w:r w:rsidRPr="008D3090">
        <w:rPr>
          <w:rFonts w:ascii="Times New Roman" w:eastAsia="SimSun" w:hAnsi="Times New Roman" w:cs="Times New Roman"/>
          <w:b/>
          <w:lang w:val="en-GB" w:eastAsia="zh-CN"/>
          <w14:ligatures w14:val="none"/>
        </w:rPr>
        <w:tab/>
      </w:r>
      <w:r w:rsidRPr="008D3090">
        <w:rPr>
          <w:rFonts w:ascii="Times New Roman" w:eastAsia="SimSun" w:hAnsi="Times New Roman" w:cs="Times New Roman"/>
          <w:b/>
          <w:lang w:val="en-GB" w:eastAsia="zh-CN"/>
          <w14:ligatures w14:val="none"/>
        </w:rPr>
        <w:tab/>
        <w:t>Sample and Sampling Techniques</w:t>
      </w:r>
      <w:bookmarkEnd w:id="61"/>
    </w:p>
    <w:p w14:paraId="6C8D7E7A"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xml:space="preserve">In this research work a simple random sampling techniques was used to make the sample reasonable. It is adopted through the Taro Yamani formula. </w:t>
      </w:r>
    </w:p>
    <w:p w14:paraId="0B3A0F93"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formula is given as:</w:t>
      </w:r>
    </w:p>
    <w:p w14:paraId="4D743A9E"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which is stated below;</w:t>
      </w:r>
    </w:p>
    <w:p w14:paraId="7EF98C6C"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n =___N    </w:t>
      </w:r>
    </w:p>
    <w:p w14:paraId="468D00F2"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I+N/e2</w:t>
      </w:r>
    </w:p>
    <w:p w14:paraId="2A6A2B8B"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Where n = Sample size</w:t>
      </w:r>
    </w:p>
    <w:p w14:paraId="46152EFD"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N = Population Figure</w:t>
      </w:r>
    </w:p>
    <w:p w14:paraId="35B8824B"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e = Error Margin (0.05)</w:t>
      </w:r>
    </w:p>
    <w:p w14:paraId="026B3DAF"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1 = Constant figure</w:t>
      </w:r>
    </w:p>
    <w:p w14:paraId="672A0C28"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Substituting the population variables of this study into the formula above, the sample size can be neatly computed as follows:</w:t>
      </w:r>
    </w:p>
    <w:p w14:paraId="53215378"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p>
    <w:p w14:paraId="408BF384"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p>
    <w:p w14:paraId="5409EF63"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formula is given as:</w:t>
      </w:r>
    </w:p>
    <w:p w14:paraId="1C317A0A"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w:t>
      </w:r>
      <w:r w:rsidRPr="008D3090">
        <w:rPr>
          <w:rFonts w:ascii="Times New Roman" w:eastAsia="-webkit-standard" w:hAnsi="Times New Roman" w:cs="Times New Roman"/>
          <w:color w:val="000000"/>
          <w:u w:val="single"/>
          <w:lang w:val="en-GB" w:eastAsia="zh-CN"/>
          <w14:ligatures w14:val="none"/>
        </w:rPr>
        <w:t>   N</w:t>
      </w:r>
    </w:p>
    <w:p w14:paraId="312399A4"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1+ n(e)</w:t>
      </w:r>
      <w:r w:rsidRPr="008D3090">
        <w:rPr>
          <w:rFonts w:ascii="Times New Roman" w:eastAsia="-webkit-standard" w:hAnsi="Times New Roman" w:cs="Times New Roman"/>
          <w:color w:val="000000"/>
          <w:vertAlign w:val="superscript"/>
          <w:lang w:val="en-GB" w:eastAsia="zh-CN"/>
          <w14:ligatures w14:val="none"/>
        </w:rPr>
        <w:t>2</w:t>
      </w:r>
    </w:p>
    <w:p w14:paraId="3DC9F169" w14:textId="77777777" w:rsidR="008D3090" w:rsidRPr="008D3090" w:rsidRDefault="008D3090" w:rsidP="008D3090">
      <w:pPr>
        <w:spacing w:after="0" w:line="240" w:lineRule="auto"/>
        <w:ind w:left="405"/>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Where: </w:t>
      </w:r>
    </w:p>
    <w:p w14:paraId="073F11E7"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​n= sample size </w:t>
      </w:r>
    </w:p>
    <w:p w14:paraId="199E8CB5"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​N = population </w:t>
      </w:r>
    </w:p>
    <w:p w14:paraId="7288C1A9"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​e = margin of error assumed</w:t>
      </w:r>
    </w:p>
    <w:p w14:paraId="037A5C4C"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​1 = constant</w:t>
      </w:r>
    </w:p>
    <w:p w14:paraId="0833724E" w14:textId="77777777" w:rsidR="008D3090" w:rsidRPr="008D3090" w:rsidRDefault="008D3090" w:rsidP="008D3090">
      <w:pPr>
        <w:spacing w:after="0" w:line="240" w:lineRule="auto"/>
        <w:contextualSpacing/>
        <w:jc w:val="both"/>
        <w:rPr>
          <w:rFonts w:ascii="Times New Roman" w:eastAsia="-webkit-standard" w:hAnsi="Times New Roman" w:cs="Times New Roman"/>
          <w:b/>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w:t>
      </w:r>
      <w:r w:rsidRPr="008D3090">
        <w:rPr>
          <w:rFonts w:ascii="Times New Roman" w:eastAsia="-webkit-standard" w:hAnsi="Times New Roman" w:cs="Times New Roman"/>
          <w:color w:val="000000"/>
          <w:u w:val="single"/>
          <w:lang w:val="en-GB" w:eastAsia="zh-CN"/>
          <w14:ligatures w14:val="none"/>
        </w:rPr>
        <w:t> </w:t>
      </w:r>
    </w:p>
    <w:p w14:paraId="38B4D1A2"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n =</w:t>
      </w:r>
    </w:p>
    <w:p w14:paraId="0BDB0FA4"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N</w:t>
      </w:r>
    </w:p>
    <w:p w14:paraId="6DF3CD9C"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Where:</w:t>
      </w:r>
    </w:p>
    <w:p w14:paraId="3D23BB01"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3+ N (e)</w:t>
      </w:r>
    </w:p>
    <w:p w14:paraId="1EC9ED68"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N= Population n=Sample Size</w:t>
      </w:r>
    </w:p>
    <w:p w14:paraId="43A572AB"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E= Tolerate Error Margin (0.05) 5%</w:t>
      </w:r>
    </w:p>
    <w:p w14:paraId="3D2CD354" w14:textId="77777777" w:rsidR="008D3090" w:rsidRPr="008D3090" w:rsidRDefault="008D3090" w:rsidP="008D3090">
      <w:pPr>
        <w:spacing w:after="0" w:line="240" w:lineRule="auto"/>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3= Constant Formular,</w:t>
      </w:r>
    </w:p>
    <w:p w14:paraId="7BB402BF" w14:textId="77777777" w:rsidR="008D3090" w:rsidRPr="008D3090" w:rsidRDefault="008D3090" w:rsidP="008D3090">
      <w:pPr>
        <w:spacing w:after="0" w:line="240" w:lineRule="auto"/>
        <w:contextualSpacing/>
        <w:jc w:val="both"/>
        <w:rPr>
          <w:rFonts w:ascii="Times New Roman" w:eastAsia="-webkit-standard" w:hAnsi="Times New Roman" w:cs="Times New Roman"/>
          <w:b/>
          <w:color w:val="000000"/>
          <w:lang w:val="en-GB" w:eastAsia="zh-CN"/>
          <w14:ligatures w14:val="none"/>
        </w:rPr>
      </w:pPr>
    </w:p>
    <w:p w14:paraId="43DA534C" w14:textId="77777777" w:rsidR="008D3090" w:rsidRPr="008D3090" w:rsidRDefault="008D3090" w:rsidP="008D3090">
      <w:pPr>
        <w:spacing w:after="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N=Population = 200</w:t>
      </w:r>
    </w:p>
    <w:p w14:paraId="29BA5278" w14:textId="77777777" w:rsidR="008D3090" w:rsidRPr="008D3090" w:rsidRDefault="008D3090" w:rsidP="008D3090">
      <w:pPr>
        <w:spacing w:after="0" w:line="240" w:lineRule="auto"/>
        <w:jc w:val="both"/>
        <w:rPr>
          <w:rFonts w:ascii="Times New Roman" w:eastAsia="SimSun" w:hAnsi="Times New Roman" w:cs="Times New Roman"/>
          <w:lang w:val="en-GB" w:eastAsia="zh-CN"/>
          <w14:ligatures w14:val="none"/>
        </w:rPr>
      </w:pPr>
    </w:p>
    <w:p w14:paraId="6BFA807C" w14:textId="77777777" w:rsidR="008D3090" w:rsidRPr="008D3090" w:rsidRDefault="008D3090" w:rsidP="008D3090">
      <w:pPr>
        <w:spacing w:after="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E=Sample error =0.05</w:t>
      </w:r>
    </w:p>
    <w:p w14:paraId="04200C69" w14:textId="77777777" w:rsidR="008D3090" w:rsidRPr="008D3090" w:rsidRDefault="008D3090" w:rsidP="008D3090">
      <w:pPr>
        <w:spacing w:after="0" w:line="240" w:lineRule="auto"/>
        <w:jc w:val="both"/>
        <w:rPr>
          <w:rFonts w:ascii="Times New Roman" w:eastAsia="SimSun" w:hAnsi="Times New Roman" w:cs="Times New Roman"/>
          <w:lang w:val="en-GB" w:eastAsia="zh-CN"/>
          <w14:ligatures w14:val="none"/>
        </w:rPr>
      </w:pPr>
    </w:p>
    <w:p w14:paraId="5C88D941"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w:t>
      </w:r>
      <w:r w:rsidRPr="008D3090">
        <w:rPr>
          <w:rFonts w:ascii="Times New Roman" w:eastAsia="-webkit-standard" w:hAnsi="Times New Roman" w:cs="Times New Roman"/>
          <w:color w:val="000000"/>
          <w:u w:val="single"/>
          <w:lang w:val="en-GB" w:eastAsia="zh-CN"/>
          <w14:ligatures w14:val="none"/>
        </w:rPr>
        <w:t> 200</w:t>
      </w:r>
    </w:p>
    <w:p w14:paraId="09038CE6"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1 + 200(0.05)</w:t>
      </w:r>
      <w:r w:rsidRPr="008D3090">
        <w:rPr>
          <w:rFonts w:ascii="Times New Roman" w:eastAsia="-webkit-standard" w:hAnsi="Times New Roman" w:cs="Times New Roman"/>
          <w:color w:val="000000"/>
          <w:vertAlign w:val="superscript"/>
          <w:lang w:val="en-GB" w:eastAsia="zh-CN"/>
          <w14:ligatures w14:val="none"/>
        </w:rPr>
        <w:t>2</w:t>
      </w:r>
    </w:p>
    <w:p w14:paraId="684117D0"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p>
    <w:p w14:paraId="243B729C"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​200</w:t>
      </w:r>
    </w:p>
    <w:p w14:paraId="17A8A1AB"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___________</w:t>
      </w:r>
    </w:p>
    <w:p w14:paraId="3B4ECC2D"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1 + 200(0.0025)</w:t>
      </w:r>
    </w:p>
    <w:p w14:paraId="58FBB6E2"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n=​</w:t>
      </w:r>
      <w:r w:rsidRPr="008D3090">
        <w:rPr>
          <w:rFonts w:ascii="Times New Roman" w:eastAsia="-webkit-standard" w:hAnsi="Times New Roman" w:cs="Times New Roman"/>
          <w:color w:val="000000"/>
          <w:u w:val="single"/>
          <w:lang w:val="en-GB" w:eastAsia="zh-CN"/>
          <w14:ligatures w14:val="none"/>
        </w:rPr>
        <w:t> 200</w:t>
      </w:r>
    </w:p>
    <w:p w14:paraId="4BA3E274"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1.5</w:t>
      </w:r>
    </w:p>
    <w:p w14:paraId="69335A9F"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w:t>
      </w:r>
    </w:p>
    <w:p w14:paraId="722887D6"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​​n= 133</w:t>
      </w:r>
    </w:p>
    <w:p w14:paraId="17F0032C"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p>
    <w:p w14:paraId="6DB66E25"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62" w:name="_Toc215808582"/>
      <w:r w:rsidRPr="008D3090">
        <w:rPr>
          <w:rFonts w:ascii="Times New Roman" w:eastAsia="SimSun" w:hAnsi="Times New Roman" w:cs="Times New Roman"/>
          <w:b/>
          <w:lang w:val="en-GB" w:eastAsia="zh-CN"/>
          <w14:ligatures w14:val="none"/>
        </w:rPr>
        <w:t>3.4 </w:t>
      </w:r>
      <w:r w:rsidRPr="008D3090">
        <w:rPr>
          <w:rFonts w:ascii="Times New Roman" w:eastAsia="SimSun" w:hAnsi="Times New Roman" w:cs="Times New Roman"/>
          <w:b/>
          <w:lang w:val="en-GB" w:eastAsia="zh-CN"/>
          <w14:ligatures w14:val="none"/>
        </w:rPr>
        <w:tab/>
        <w:t>Method for data collection</w:t>
      </w:r>
      <w:bookmarkEnd w:id="62"/>
      <w:r w:rsidRPr="008D3090">
        <w:rPr>
          <w:rFonts w:ascii="Times New Roman" w:eastAsia="SimSun" w:hAnsi="Times New Roman" w:cs="Times New Roman"/>
          <w:b/>
          <w:lang w:val="en-GB" w:eastAsia="zh-CN"/>
          <w14:ligatures w14:val="none"/>
        </w:rPr>
        <w:t> </w:t>
      </w:r>
    </w:p>
    <w:p w14:paraId="0AAC865E"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method that was used by the researcher in collection of information was questionnaire. The basic instrument used was structured questionnaire. The first part deals with information on the personal demographic data of the employees and this include sex, educational qualifications and level in the organization while the other part dealt with main questions to elicit the needed information.</w:t>
      </w:r>
    </w:p>
    <w:p w14:paraId="17AB809E"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63" w:name="_Toc215808583"/>
      <w:r w:rsidRPr="008D3090">
        <w:rPr>
          <w:rFonts w:ascii="Times New Roman" w:eastAsia="SimSun" w:hAnsi="Times New Roman" w:cs="Times New Roman"/>
          <w:b/>
          <w:lang w:val="en-GB" w:eastAsia="zh-CN"/>
          <w14:ligatures w14:val="none"/>
        </w:rPr>
        <w:t>3.5</w:t>
      </w:r>
      <w:r w:rsidRPr="008D3090">
        <w:rPr>
          <w:rFonts w:ascii="Times New Roman" w:eastAsia="SimSun" w:hAnsi="Times New Roman" w:cs="Times New Roman"/>
          <w:b/>
          <w:lang w:val="en-GB" w:eastAsia="zh-CN"/>
          <w14:ligatures w14:val="none"/>
        </w:rPr>
        <w:tab/>
        <w:t>Method of Data Analysis</w:t>
      </w:r>
      <w:bookmarkEnd w:id="63"/>
    </w:p>
    <w:p w14:paraId="2971F748" w14:textId="77777777" w:rsidR="008D3090" w:rsidRPr="008D3090" w:rsidRDefault="008D3090" w:rsidP="008D3090">
      <w:pPr>
        <w:spacing w:after="0" w:line="240" w:lineRule="auto"/>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Data was analysed using simple percentage (%) which employed the use of tables. The analysis requires graphical representation for a clear understanding and easy assessment. The chi-square statistics was also used in testing the hypothesis.</w:t>
      </w:r>
    </w:p>
    <w:p w14:paraId="14283C62" w14:textId="77777777" w:rsidR="008D3090" w:rsidRPr="008D3090" w:rsidRDefault="008D3090" w:rsidP="008D3090">
      <w:pPr>
        <w:spacing w:after="0" w:line="240" w:lineRule="auto"/>
        <w:ind w:left="540"/>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For chi-square</w:t>
      </w:r>
    </w:p>
    <w:p w14:paraId="66A12A0E" w14:textId="77777777" w:rsidR="008D3090" w:rsidRPr="008D3090" w:rsidRDefault="008D3090" w:rsidP="008D3090">
      <w:pPr>
        <w:spacing w:after="0" w:line="240" w:lineRule="auto"/>
        <w:ind w:left="540"/>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X</w:t>
      </w:r>
      <w:r w:rsidRPr="008D3090">
        <w:rPr>
          <w:rFonts w:ascii="Times New Roman" w:eastAsia="-webkit-standard" w:hAnsi="Times New Roman" w:cs="Times New Roman"/>
          <w:color w:val="000000"/>
          <w:vertAlign w:val="superscript"/>
          <w:lang w:val="en-GB" w:eastAsia="zh-CN"/>
          <w14:ligatures w14:val="none"/>
        </w:rPr>
        <w:t>2</w:t>
      </w:r>
      <w:r w:rsidRPr="008D3090">
        <w:rPr>
          <w:rFonts w:ascii="Times New Roman" w:eastAsia="-webkit-standard" w:hAnsi="Times New Roman" w:cs="Times New Roman"/>
          <w:color w:val="000000"/>
          <w:lang w:val="en-GB" w:eastAsia="zh-CN"/>
          <w14:ligatures w14:val="none"/>
        </w:rPr>
        <w:t> = </w:t>
      </w:r>
      <w:r w:rsidRPr="008D3090">
        <w:rPr>
          <w:rFonts w:ascii="Times New Roman" w:eastAsia="-webkit-standard" w:hAnsi="Times New Roman" w:cs="Times New Roman"/>
          <w:color w:val="000000"/>
          <w:u w:val="single"/>
          <w:lang w:val="en-GB" w:eastAsia="zh-CN"/>
          <w14:ligatures w14:val="none"/>
        </w:rPr>
        <w:t>∑ (Fo - Fe)</w:t>
      </w:r>
      <w:r w:rsidRPr="008D3090">
        <w:rPr>
          <w:rFonts w:ascii="Times New Roman" w:eastAsia="-webkit-standard" w:hAnsi="Times New Roman" w:cs="Times New Roman"/>
          <w:color w:val="000000"/>
          <w:u w:val="single"/>
          <w:vertAlign w:val="superscript"/>
          <w:lang w:val="en-GB" w:eastAsia="zh-CN"/>
          <w14:ligatures w14:val="none"/>
        </w:rPr>
        <w:t>2</w:t>
      </w:r>
      <w:r w:rsidRPr="008D3090">
        <w:rPr>
          <w:rFonts w:ascii="Times New Roman" w:eastAsia="-webkit-standard" w:hAnsi="Times New Roman" w:cs="Times New Roman"/>
          <w:color w:val="000000"/>
          <w:lang w:val="en-GB" w:eastAsia="zh-CN"/>
          <w14:ligatures w14:val="none"/>
        </w:rPr>
        <w:t>​​​</w:t>
      </w:r>
    </w:p>
    <w:p w14:paraId="4FD74C9A" w14:textId="77777777" w:rsidR="008D3090" w:rsidRPr="008D3090" w:rsidRDefault="008D3090" w:rsidP="008D3090">
      <w:pPr>
        <w:spacing w:after="0" w:line="240" w:lineRule="auto"/>
        <w:ind w:left="540"/>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Fe</w:t>
      </w:r>
    </w:p>
    <w:p w14:paraId="11A290E8" w14:textId="77777777" w:rsidR="008D3090" w:rsidRPr="008D3090" w:rsidRDefault="008D3090" w:rsidP="008D3090">
      <w:pPr>
        <w:spacing w:after="0" w:line="240" w:lineRule="auto"/>
        <w:ind w:firstLine="540"/>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Where:</w:t>
      </w:r>
    </w:p>
    <w:p w14:paraId="249DC968" w14:textId="77777777" w:rsidR="008D3090" w:rsidRPr="008D3090" w:rsidRDefault="008D3090" w:rsidP="008D3090">
      <w:pPr>
        <w:spacing w:after="0" w:line="240" w:lineRule="auto"/>
        <w:ind w:firstLine="540"/>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Fo = frequency observed</w:t>
      </w:r>
    </w:p>
    <w:p w14:paraId="54446C4D" w14:textId="77777777" w:rsidR="008D3090" w:rsidRPr="008D3090" w:rsidRDefault="008D3090" w:rsidP="008D3090">
      <w:pPr>
        <w:spacing w:after="0" w:line="240" w:lineRule="auto"/>
        <w:ind w:left="540"/>
        <w:contextualSpacing/>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Fe = frequency expected</w:t>
      </w:r>
    </w:p>
    <w:p w14:paraId="56C696D9"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64" w:name="_Toc215808585"/>
      <w:r w:rsidRPr="008D3090">
        <w:rPr>
          <w:rFonts w:ascii="Times New Roman" w:eastAsia="SimSun" w:hAnsi="Times New Roman" w:cs="Times New Roman"/>
          <w:b/>
          <w:lang w:val="en-GB" w:eastAsia="zh-CN"/>
          <w14:ligatures w14:val="none"/>
        </w:rPr>
        <w:lastRenderedPageBreak/>
        <w:t>4.0 DATA PRESENTATION, ANALYSIS AND DISCUSSIONS OF FINDINGS</w:t>
      </w:r>
      <w:bookmarkEnd w:id="64"/>
    </w:p>
    <w:p w14:paraId="1B95F433"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65" w:name="_Toc215808586"/>
      <w:r w:rsidRPr="008D3090">
        <w:rPr>
          <w:rFonts w:ascii="Times New Roman" w:eastAsia="SimSun" w:hAnsi="Times New Roman" w:cs="Times New Roman"/>
          <w:b/>
          <w:lang w:val="en-GB" w:eastAsia="zh-CN"/>
          <w14:ligatures w14:val="none"/>
        </w:rPr>
        <w:t>4.1 ​Introduction</w:t>
      </w:r>
      <w:bookmarkEnd w:id="65"/>
      <w:r w:rsidRPr="008D3090">
        <w:rPr>
          <w:rFonts w:ascii="Times New Roman" w:eastAsia="SimSun" w:hAnsi="Times New Roman" w:cs="Times New Roman"/>
          <w:b/>
          <w:lang w:val="en-GB" w:eastAsia="zh-CN"/>
          <w14:ligatures w14:val="none"/>
        </w:rPr>
        <w:t> </w:t>
      </w:r>
    </w:p>
    <w:p w14:paraId="62C61B8C"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This presentation is based on the responses from the completed questionnaires. The result of this exercise is summarized in tubular forms for easy references and analysis. It also showed answers to questions for this research study. The researcher employed simple percentage in the analysis, while Chi Square is used in the test of hypothesis.</w:t>
      </w:r>
    </w:p>
    <w:p w14:paraId="651BAD96"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66" w:name="_Toc215808587"/>
      <w:r w:rsidRPr="008D3090">
        <w:rPr>
          <w:rFonts w:ascii="Times New Roman" w:eastAsia="SimSun" w:hAnsi="Times New Roman" w:cs="Times New Roman"/>
          <w:b/>
          <w:lang w:val="en-GB" w:eastAsia="zh-CN"/>
          <w14:ligatures w14:val="none"/>
        </w:rPr>
        <w:t>4.2​ Data Presentation</w:t>
      </w:r>
      <w:bookmarkEnd w:id="66"/>
    </w:p>
    <w:p w14:paraId="71DF4AA0"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data collected from the respondents were analysed in tabular form with simple percentage for easy understanding. A total of one hundred and thirty (133) questionnaires were distributed and one hundred and twenty (120) were returned. Therefore, the analysis here is based on the number of questionnaires retrieved.</w:t>
      </w:r>
    </w:p>
    <w:p w14:paraId="1E3ED4FD" w14:textId="77777777" w:rsidR="008D3090" w:rsidRPr="008D3090" w:rsidRDefault="008D3090" w:rsidP="008D3090">
      <w:pPr>
        <w:widowControl w:val="0"/>
        <w:tabs>
          <w:tab w:val="right" w:leader="dot" w:pos="9016"/>
        </w:tabs>
        <w:spacing w:after="0" w:line="240" w:lineRule="auto"/>
        <w:jc w:val="both"/>
        <w:rPr>
          <w:rFonts w:ascii="Calibri" w:eastAsia="SimSun" w:hAnsi="Calibri" w:cs="Times New Roman"/>
          <w:noProof/>
          <w:sz w:val="21"/>
          <w:lang w:val="en-GB" w:eastAsia="zh-CN"/>
          <w14:ligatures w14:val="none"/>
        </w:rPr>
      </w:pPr>
    </w:p>
    <w:p w14:paraId="6B7DA0EF" w14:textId="77777777" w:rsidR="008D3090" w:rsidRPr="008D3090" w:rsidRDefault="008D3090" w:rsidP="008D3090">
      <w:pPr>
        <w:widowControl w:val="0"/>
        <w:tabs>
          <w:tab w:val="right" w:leader="dot" w:pos="9016"/>
        </w:tabs>
        <w:spacing w:after="0" w:line="240" w:lineRule="auto"/>
        <w:jc w:val="both"/>
        <w:rPr>
          <w:rFonts w:ascii="Times New Roman" w:eastAsia="SimSun" w:hAnsi="Times New Roman" w:cs="Times New Roman"/>
          <w:noProof/>
          <w:lang w:val="en-GB" w:eastAsia="zh-CN"/>
          <w14:ligatures w14:val="none"/>
        </w:rPr>
      </w:pPr>
      <w:bookmarkStart w:id="67" w:name="_Toc215808600"/>
      <w:r w:rsidRPr="008D3090">
        <w:rPr>
          <w:rFonts w:ascii="Times New Roman" w:eastAsia="SimSun" w:hAnsi="Times New Roman" w:cs="Times New Roman"/>
          <w:noProof/>
          <w:lang w:val="en-GB" w:eastAsia="zh-CN"/>
          <w14:ligatures w14:val="none"/>
        </w:rPr>
        <w:t>Table 4.</w:t>
      </w:r>
      <w:r w:rsidRPr="008D3090">
        <w:rPr>
          <w:rFonts w:ascii="Times New Roman" w:eastAsia="SimSun" w:hAnsi="Times New Roman" w:cs="Times New Roman"/>
          <w:noProof/>
          <w:lang w:val="en-GB" w:eastAsia="zh-CN"/>
          <w14:ligatures w14:val="none"/>
        </w:rPr>
        <w:fldChar w:fldCharType="begin"/>
      </w:r>
      <w:r w:rsidRPr="008D3090">
        <w:rPr>
          <w:rFonts w:ascii="Times New Roman" w:eastAsia="SimSun" w:hAnsi="Times New Roman" w:cs="Times New Roman"/>
          <w:noProof/>
          <w:lang w:val="en-GB" w:eastAsia="zh-CN"/>
          <w14:ligatures w14:val="none"/>
        </w:rPr>
        <w:instrText xml:space="preserve"> SEQ Table_4. \* ARABIC </w:instrText>
      </w:r>
      <w:r w:rsidRPr="008D3090">
        <w:rPr>
          <w:rFonts w:ascii="Times New Roman" w:eastAsia="SimSun" w:hAnsi="Times New Roman" w:cs="Times New Roman"/>
          <w:noProof/>
          <w:lang w:val="en-GB" w:eastAsia="zh-CN"/>
          <w14:ligatures w14:val="none"/>
        </w:rPr>
        <w:fldChar w:fldCharType="separate"/>
      </w:r>
      <w:r w:rsidRPr="008D3090">
        <w:rPr>
          <w:rFonts w:ascii="Times New Roman" w:eastAsia="SimSun" w:hAnsi="Times New Roman" w:cs="Times New Roman"/>
          <w:noProof/>
          <w:lang w:val="en-GB" w:eastAsia="zh-CN"/>
          <w14:ligatures w14:val="none"/>
        </w:rPr>
        <w:t>1</w:t>
      </w:r>
      <w:r w:rsidRPr="008D3090">
        <w:rPr>
          <w:rFonts w:ascii="Times New Roman" w:eastAsia="SimSun" w:hAnsi="Times New Roman" w:cs="Times New Roman"/>
          <w:noProof/>
          <w:lang w:val="en-GB" w:eastAsia="zh-CN"/>
          <w14:ligatures w14:val="none"/>
        </w:rPr>
        <w:fldChar w:fldCharType="end"/>
      </w:r>
      <w:r w:rsidRPr="008D3090">
        <w:rPr>
          <w:rFonts w:ascii="Times New Roman" w:eastAsia="SimSun" w:hAnsi="Times New Roman" w:cs="Times New Roman"/>
          <w:noProof/>
          <w:lang w:val="en-GB" w:eastAsia="zh-CN"/>
          <w14:ligatures w14:val="none"/>
        </w:rPr>
        <w:t xml:space="preserve"> Gender distribution of the respondents.</w:t>
      </w:r>
      <w:bookmarkEnd w:id="67"/>
    </w:p>
    <w:tbl>
      <w:tblPr>
        <w:tblStyle w:val="PlainTable211"/>
        <w:tblW w:w="0" w:type="auto"/>
        <w:jc w:val="center"/>
        <w:tblLayout w:type="fixed"/>
        <w:tblLook w:val="04A0" w:firstRow="1" w:lastRow="0" w:firstColumn="1" w:lastColumn="0" w:noHBand="0" w:noVBand="1"/>
      </w:tblPr>
      <w:tblGrid>
        <w:gridCol w:w="2905"/>
        <w:gridCol w:w="2905"/>
        <w:gridCol w:w="2905"/>
      </w:tblGrid>
      <w:tr w:rsidR="008D3090" w:rsidRPr="008D3090" w14:paraId="6BEED94E" w14:textId="77777777" w:rsidTr="00D00B3F">
        <w:trPr>
          <w:cnfStyle w:val="100000000000" w:firstRow="1" w:lastRow="0" w:firstColumn="0" w:lastColumn="0" w:oddVBand="0" w:evenVBand="0" w:oddHBand="0"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2905" w:type="dxa"/>
          </w:tcPr>
          <w:p w14:paraId="4D93E56A" w14:textId="77777777" w:rsidR="008D3090" w:rsidRPr="008D3090" w:rsidRDefault="008D3090" w:rsidP="008D3090">
            <w:pPr>
              <w:jc w:val="both"/>
              <w:rPr>
                <w:lang w:eastAsia="zh-CN"/>
              </w:rPr>
            </w:pPr>
            <w:r w:rsidRPr="008D3090">
              <w:rPr>
                <w:rFonts w:eastAsia="-webkit-standard"/>
                <w:color w:val="000000"/>
                <w:lang w:eastAsia="zh-CN"/>
              </w:rPr>
              <w:t>Gender</w:t>
            </w:r>
          </w:p>
        </w:tc>
        <w:tc>
          <w:tcPr>
            <w:tcW w:w="2905" w:type="dxa"/>
          </w:tcPr>
          <w:p w14:paraId="3DD4DF43"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Frequency</w:t>
            </w:r>
          </w:p>
        </w:tc>
        <w:tc>
          <w:tcPr>
            <w:tcW w:w="2905" w:type="dxa"/>
          </w:tcPr>
          <w:p w14:paraId="2A85D952"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Percentage</w:t>
            </w:r>
          </w:p>
        </w:tc>
      </w:tr>
      <w:tr w:rsidR="008D3090" w:rsidRPr="008D3090" w14:paraId="0E7668E7" w14:textId="77777777" w:rsidTr="00D00B3F">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2905" w:type="dxa"/>
          </w:tcPr>
          <w:p w14:paraId="45138038" w14:textId="77777777" w:rsidR="008D3090" w:rsidRPr="008D3090" w:rsidRDefault="008D3090" w:rsidP="008D3090">
            <w:pPr>
              <w:jc w:val="both"/>
              <w:rPr>
                <w:lang w:eastAsia="zh-CN"/>
              </w:rPr>
            </w:pPr>
            <w:r w:rsidRPr="008D3090">
              <w:rPr>
                <w:rFonts w:eastAsia="-webkit-standard"/>
                <w:color w:val="000000"/>
                <w:lang w:eastAsia="zh-CN"/>
              </w:rPr>
              <w:t>Male</w:t>
            </w:r>
          </w:p>
        </w:tc>
        <w:tc>
          <w:tcPr>
            <w:tcW w:w="2905" w:type="dxa"/>
          </w:tcPr>
          <w:p w14:paraId="182AB9FD"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50</w:t>
            </w:r>
          </w:p>
        </w:tc>
        <w:tc>
          <w:tcPr>
            <w:tcW w:w="2905" w:type="dxa"/>
          </w:tcPr>
          <w:p w14:paraId="3A2DE9FD"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41.7</w:t>
            </w:r>
          </w:p>
        </w:tc>
      </w:tr>
      <w:tr w:rsidR="008D3090" w:rsidRPr="008D3090" w14:paraId="1869A20F" w14:textId="77777777" w:rsidTr="00D00B3F">
        <w:trPr>
          <w:trHeight w:val="394"/>
          <w:jc w:val="center"/>
        </w:trPr>
        <w:tc>
          <w:tcPr>
            <w:cnfStyle w:val="001000000000" w:firstRow="0" w:lastRow="0" w:firstColumn="1" w:lastColumn="0" w:oddVBand="0" w:evenVBand="0" w:oddHBand="0" w:evenHBand="0" w:firstRowFirstColumn="0" w:firstRowLastColumn="0" w:lastRowFirstColumn="0" w:lastRowLastColumn="0"/>
            <w:tcW w:w="2905" w:type="dxa"/>
          </w:tcPr>
          <w:p w14:paraId="6FA31F29" w14:textId="77777777" w:rsidR="008D3090" w:rsidRPr="008D3090" w:rsidRDefault="008D3090" w:rsidP="008D3090">
            <w:pPr>
              <w:jc w:val="both"/>
              <w:rPr>
                <w:lang w:eastAsia="zh-CN"/>
              </w:rPr>
            </w:pPr>
            <w:r w:rsidRPr="008D3090">
              <w:rPr>
                <w:rFonts w:eastAsia="-webkit-standard"/>
                <w:color w:val="000000"/>
                <w:lang w:eastAsia="zh-CN"/>
              </w:rPr>
              <w:t>Female</w:t>
            </w:r>
          </w:p>
        </w:tc>
        <w:tc>
          <w:tcPr>
            <w:tcW w:w="2905" w:type="dxa"/>
          </w:tcPr>
          <w:p w14:paraId="5FEF5F67"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70</w:t>
            </w:r>
          </w:p>
        </w:tc>
        <w:tc>
          <w:tcPr>
            <w:tcW w:w="2905" w:type="dxa"/>
          </w:tcPr>
          <w:p w14:paraId="7D2BE7D4"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58.3</w:t>
            </w:r>
          </w:p>
        </w:tc>
      </w:tr>
      <w:tr w:rsidR="008D3090" w:rsidRPr="008D3090" w14:paraId="195D5416" w14:textId="77777777" w:rsidTr="00D00B3F">
        <w:trPr>
          <w:cnfStyle w:val="000000100000" w:firstRow="0" w:lastRow="0" w:firstColumn="0" w:lastColumn="0" w:oddVBand="0" w:evenVBand="0" w:oddHBand="1"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2905" w:type="dxa"/>
          </w:tcPr>
          <w:p w14:paraId="277ADE9C" w14:textId="77777777" w:rsidR="008D3090" w:rsidRPr="008D3090" w:rsidRDefault="008D3090" w:rsidP="008D3090">
            <w:pPr>
              <w:jc w:val="both"/>
              <w:rPr>
                <w:lang w:eastAsia="zh-CN"/>
              </w:rPr>
            </w:pPr>
            <w:r w:rsidRPr="008D3090">
              <w:rPr>
                <w:rFonts w:eastAsia="-webkit-standard"/>
                <w:color w:val="000000"/>
                <w:lang w:eastAsia="zh-CN"/>
              </w:rPr>
              <w:t>Total</w:t>
            </w:r>
          </w:p>
        </w:tc>
        <w:tc>
          <w:tcPr>
            <w:tcW w:w="2905" w:type="dxa"/>
          </w:tcPr>
          <w:p w14:paraId="2FBAD340"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2905" w:type="dxa"/>
          </w:tcPr>
          <w:p w14:paraId="2D470A27"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rFonts w:eastAsia="-webkit-standard"/>
                <w:color w:val="000000"/>
                <w:lang w:eastAsia="zh-CN"/>
              </w:rPr>
              <w:t>100%</w:t>
            </w:r>
          </w:p>
        </w:tc>
      </w:tr>
    </w:tbl>
    <w:p w14:paraId="2C6F8245"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i/>
          <w:color w:val="000000"/>
          <w:lang w:val="en-GB" w:eastAsia="zh-CN"/>
          <w14:ligatures w14:val="none"/>
        </w:rPr>
        <w:t>Source; Field survey 2026 </w:t>
      </w:r>
    </w:p>
    <w:p w14:paraId="4CE56656"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From the above table it shows that 41.7% of the respondent were made male while 58.3 ℅ of the respondents are female.</w:t>
      </w:r>
    </w:p>
    <w:p w14:paraId="1793BFD8" w14:textId="77777777" w:rsidR="008D3090" w:rsidRPr="008D3090" w:rsidRDefault="008D3090" w:rsidP="008D3090">
      <w:pPr>
        <w:widowControl w:val="0"/>
        <w:tabs>
          <w:tab w:val="right" w:leader="dot" w:pos="9016"/>
        </w:tabs>
        <w:spacing w:after="0" w:line="240" w:lineRule="auto"/>
        <w:jc w:val="both"/>
        <w:rPr>
          <w:rFonts w:ascii="Calibri" w:eastAsia="SimSun" w:hAnsi="Calibri" w:cs="Times New Roman"/>
          <w:noProof/>
          <w:sz w:val="21"/>
          <w:lang w:val="en-GB" w:eastAsia="zh-CN"/>
          <w14:ligatures w14:val="none"/>
        </w:rPr>
      </w:pPr>
    </w:p>
    <w:p w14:paraId="1A3389B4" w14:textId="77777777" w:rsidR="008D3090" w:rsidRPr="008D3090" w:rsidRDefault="008D3090" w:rsidP="008D3090">
      <w:pPr>
        <w:spacing w:line="240" w:lineRule="auto"/>
        <w:rPr>
          <w:rFonts w:ascii="Times New Roman" w:eastAsia="SimSun" w:hAnsi="Times New Roman" w:cs="Times New Roman"/>
          <w:b/>
          <w:iCs/>
          <w:szCs w:val="18"/>
          <w:lang w:val="en-GB" w:eastAsia="zh-CN"/>
          <w14:ligatures w14:val="none"/>
        </w:rPr>
      </w:pPr>
      <w:bookmarkStart w:id="68" w:name="_Toc215808601"/>
      <w:r w:rsidRPr="008D3090">
        <w:rPr>
          <w:rFonts w:ascii="Times New Roman" w:eastAsia="SimSun" w:hAnsi="Times New Roman" w:cs="Times New Roman"/>
          <w:lang w:val="en-GB" w:eastAsia="zh-CN"/>
          <w14:ligatures w14:val="none"/>
        </w:rPr>
        <w:t>Table 4.</w:t>
      </w:r>
      <w:r w:rsidRPr="008D3090">
        <w:rPr>
          <w:rFonts w:ascii="Times New Roman" w:eastAsia="SimSun" w:hAnsi="Times New Roman" w:cs="Times New Roman"/>
          <w:lang w:val="en-GB" w:eastAsia="zh-CN"/>
          <w14:ligatures w14:val="none"/>
        </w:rPr>
        <w:fldChar w:fldCharType="begin"/>
      </w:r>
      <w:r w:rsidRPr="008D3090">
        <w:rPr>
          <w:rFonts w:ascii="Times New Roman" w:eastAsia="SimSun" w:hAnsi="Times New Roman" w:cs="Times New Roman"/>
          <w:lang w:val="en-GB" w:eastAsia="zh-CN"/>
          <w14:ligatures w14:val="none"/>
        </w:rPr>
        <w:instrText xml:space="preserve"> SEQ Table_4. \* ARABIC </w:instrText>
      </w:r>
      <w:r w:rsidRPr="008D3090">
        <w:rPr>
          <w:rFonts w:ascii="Times New Roman" w:eastAsia="SimSun" w:hAnsi="Times New Roman" w:cs="Times New Roman"/>
          <w:lang w:val="en-GB" w:eastAsia="zh-CN"/>
          <w14:ligatures w14:val="none"/>
        </w:rPr>
        <w:fldChar w:fldCharType="separate"/>
      </w:r>
      <w:r w:rsidRPr="008D3090">
        <w:rPr>
          <w:rFonts w:ascii="Times New Roman" w:eastAsia="SimSun" w:hAnsi="Times New Roman" w:cs="Times New Roman"/>
          <w:lang w:val="en-GB" w:eastAsia="zh-CN"/>
          <w14:ligatures w14:val="none"/>
        </w:rPr>
        <w:t>2</w:t>
      </w:r>
      <w:r w:rsidRPr="008D3090">
        <w:rPr>
          <w:rFonts w:ascii="Times New Roman" w:eastAsia="SimSun" w:hAnsi="Times New Roman" w:cs="Times New Roman"/>
          <w:lang w:val="en-GB" w:eastAsia="zh-CN"/>
          <w14:ligatures w14:val="none"/>
        </w:rPr>
        <w:fldChar w:fldCharType="end"/>
      </w:r>
      <w:r w:rsidRPr="008D3090">
        <w:rPr>
          <w:rFonts w:ascii="Calibri" w:eastAsia="SimSun" w:hAnsi="Calibri" w:cs="Times New Roman"/>
          <w:sz w:val="21"/>
          <w:lang w:val="en-GB" w:eastAsia="zh-CN"/>
          <w14:ligatures w14:val="none"/>
        </w:rPr>
        <w:t xml:space="preserve"> </w:t>
      </w:r>
      <w:r w:rsidRPr="008D3090">
        <w:rPr>
          <w:rFonts w:ascii="Times New Roman" w:eastAsia="-webkit-standard" w:hAnsi="Times New Roman" w:cs="Times New Roman"/>
          <w:b/>
          <w:color w:val="000000"/>
          <w:lang w:val="en-GB" w:eastAsia="zh-CN"/>
          <w14:ligatures w14:val="none"/>
        </w:rPr>
        <w:t>Age distribution of respondents</w:t>
      </w:r>
      <w:bookmarkEnd w:id="68"/>
    </w:p>
    <w:tbl>
      <w:tblPr>
        <w:tblStyle w:val="PlainTable211"/>
        <w:tblW w:w="0" w:type="auto"/>
        <w:jc w:val="center"/>
        <w:tblLayout w:type="fixed"/>
        <w:tblLook w:val="04A0" w:firstRow="1" w:lastRow="0" w:firstColumn="1" w:lastColumn="0" w:noHBand="0" w:noVBand="1"/>
      </w:tblPr>
      <w:tblGrid>
        <w:gridCol w:w="2880"/>
        <w:gridCol w:w="2880"/>
        <w:gridCol w:w="2880"/>
      </w:tblGrid>
      <w:tr w:rsidR="008D3090" w:rsidRPr="008D3090" w14:paraId="2BAD2F7B" w14:textId="77777777" w:rsidTr="00D00B3F">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880" w:type="dxa"/>
          </w:tcPr>
          <w:p w14:paraId="463675C3" w14:textId="77777777" w:rsidR="008D3090" w:rsidRPr="008D3090" w:rsidRDefault="008D3090" w:rsidP="008D3090">
            <w:pPr>
              <w:jc w:val="both"/>
              <w:rPr>
                <w:lang w:eastAsia="zh-CN"/>
              </w:rPr>
            </w:pPr>
            <w:r w:rsidRPr="008D3090">
              <w:rPr>
                <w:rFonts w:eastAsia="-webkit-standard"/>
                <w:color w:val="000000"/>
                <w:lang w:eastAsia="zh-CN"/>
              </w:rPr>
              <w:t>Age </w:t>
            </w:r>
          </w:p>
        </w:tc>
        <w:tc>
          <w:tcPr>
            <w:tcW w:w="2880" w:type="dxa"/>
          </w:tcPr>
          <w:p w14:paraId="32509C99"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Frequency</w:t>
            </w:r>
          </w:p>
        </w:tc>
        <w:tc>
          <w:tcPr>
            <w:tcW w:w="2880" w:type="dxa"/>
          </w:tcPr>
          <w:p w14:paraId="59945C7E"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Percentage</w:t>
            </w:r>
          </w:p>
        </w:tc>
      </w:tr>
      <w:tr w:rsidR="008D3090" w:rsidRPr="008D3090" w14:paraId="25BA269F" w14:textId="77777777" w:rsidTr="00D00B3F">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880" w:type="dxa"/>
          </w:tcPr>
          <w:p w14:paraId="2E035621" w14:textId="77777777" w:rsidR="008D3090" w:rsidRPr="008D3090" w:rsidRDefault="008D3090" w:rsidP="008D3090">
            <w:pPr>
              <w:jc w:val="both"/>
              <w:rPr>
                <w:lang w:eastAsia="zh-CN"/>
              </w:rPr>
            </w:pPr>
            <w:r w:rsidRPr="008D3090">
              <w:rPr>
                <w:rFonts w:eastAsia="-webkit-standard"/>
                <w:color w:val="000000"/>
                <w:lang w:eastAsia="zh-CN"/>
              </w:rPr>
              <w:t>20-30</w:t>
            </w:r>
          </w:p>
        </w:tc>
        <w:tc>
          <w:tcPr>
            <w:tcW w:w="2880" w:type="dxa"/>
          </w:tcPr>
          <w:p w14:paraId="510BFEAA"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45</w:t>
            </w:r>
          </w:p>
        </w:tc>
        <w:tc>
          <w:tcPr>
            <w:tcW w:w="2880" w:type="dxa"/>
          </w:tcPr>
          <w:p w14:paraId="54358EF5"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37.5</w:t>
            </w:r>
          </w:p>
        </w:tc>
      </w:tr>
      <w:tr w:rsidR="008D3090" w:rsidRPr="008D3090" w14:paraId="461226AD" w14:textId="77777777" w:rsidTr="00D00B3F">
        <w:trPr>
          <w:trHeight w:val="465"/>
          <w:jc w:val="center"/>
        </w:trPr>
        <w:tc>
          <w:tcPr>
            <w:cnfStyle w:val="001000000000" w:firstRow="0" w:lastRow="0" w:firstColumn="1" w:lastColumn="0" w:oddVBand="0" w:evenVBand="0" w:oddHBand="0" w:evenHBand="0" w:firstRowFirstColumn="0" w:firstRowLastColumn="0" w:lastRowFirstColumn="0" w:lastRowLastColumn="0"/>
            <w:tcW w:w="2880" w:type="dxa"/>
          </w:tcPr>
          <w:p w14:paraId="71685E87" w14:textId="77777777" w:rsidR="008D3090" w:rsidRPr="008D3090" w:rsidRDefault="008D3090" w:rsidP="008D3090">
            <w:pPr>
              <w:jc w:val="both"/>
              <w:rPr>
                <w:lang w:eastAsia="zh-CN"/>
              </w:rPr>
            </w:pPr>
            <w:r w:rsidRPr="008D3090">
              <w:rPr>
                <w:rFonts w:eastAsia="-webkit-standard"/>
                <w:color w:val="000000"/>
                <w:lang w:eastAsia="zh-CN"/>
              </w:rPr>
              <w:t>31-40</w:t>
            </w:r>
          </w:p>
        </w:tc>
        <w:tc>
          <w:tcPr>
            <w:tcW w:w="2880" w:type="dxa"/>
          </w:tcPr>
          <w:p w14:paraId="4BFF46CC"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20</w:t>
            </w:r>
          </w:p>
        </w:tc>
        <w:tc>
          <w:tcPr>
            <w:tcW w:w="2880" w:type="dxa"/>
          </w:tcPr>
          <w:p w14:paraId="1B4BCD5D"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16.7</w:t>
            </w:r>
          </w:p>
        </w:tc>
      </w:tr>
      <w:tr w:rsidR="008D3090" w:rsidRPr="008D3090" w14:paraId="29B146C4" w14:textId="77777777" w:rsidTr="00D00B3F">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880" w:type="dxa"/>
          </w:tcPr>
          <w:p w14:paraId="41629609" w14:textId="77777777" w:rsidR="008D3090" w:rsidRPr="008D3090" w:rsidRDefault="008D3090" w:rsidP="008D3090">
            <w:pPr>
              <w:jc w:val="both"/>
              <w:rPr>
                <w:lang w:eastAsia="zh-CN"/>
              </w:rPr>
            </w:pPr>
            <w:r w:rsidRPr="008D3090">
              <w:rPr>
                <w:rFonts w:eastAsia="-webkit-standard"/>
                <w:color w:val="000000"/>
                <w:lang w:eastAsia="zh-CN"/>
              </w:rPr>
              <w:t>41-50</w:t>
            </w:r>
          </w:p>
        </w:tc>
        <w:tc>
          <w:tcPr>
            <w:tcW w:w="2880" w:type="dxa"/>
          </w:tcPr>
          <w:p w14:paraId="7E22B347"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30</w:t>
            </w:r>
          </w:p>
        </w:tc>
        <w:tc>
          <w:tcPr>
            <w:tcW w:w="2880" w:type="dxa"/>
          </w:tcPr>
          <w:p w14:paraId="1444AD19"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25</w:t>
            </w:r>
          </w:p>
        </w:tc>
      </w:tr>
      <w:tr w:rsidR="008D3090" w:rsidRPr="008D3090" w14:paraId="78A3AFD3" w14:textId="77777777" w:rsidTr="00D00B3F">
        <w:trPr>
          <w:trHeight w:val="465"/>
          <w:jc w:val="center"/>
        </w:trPr>
        <w:tc>
          <w:tcPr>
            <w:cnfStyle w:val="001000000000" w:firstRow="0" w:lastRow="0" w:firstColumn="1" w:lastColumn="0" w:oddVBand="0" w:evenVBand="0" w:oddHBand="0" w:evenHBand="0" w:firstRowFirstColumn="0" w:firstRowLastColumn="0" w:lastRowFirstColumn="0" w:lastRowLastColumn="0"/>
            <w:tcW w:w="2880" w:type="dxa"/>
          </w:tcPr>
          <w:p w14:paraId="10F486E7" w14:textId="77777777" w:rsidR="008D3090" w:rsidRPr="008D3090" w:rsidRDefault="008D3090" w:rsidP="008D3090">
            <w:pPr>
              <w:jc w:val="both"/>
              <w:rPr>
                <w:lang w:eastAsia="zh-CN"/>
              </w:rPr>
            </w:pPr>
            <w:r w:rsidRPr="008D3090">
              <w:rPr>
                <w:rFonts w:eastAsia="-webkit-standard"/>
                <w:color w:val="000000"/>
                <w:lang w:eastAsia="zh-CN"/>
              </w:rPr>
              <w:t>50 and above</w:t>
            </w:r>
          </w:p>
        </w:tc>
        <w:tc>
          <w:tcPr>
            <w:tcW w:w="2880" w:type="dxa"/>
          </w:tcPr>
          <w:p w14:paraId="0FE7FA27"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25</w:t>
            </w:r>
          </w:p>
        </w:tc>
        <w:tc>
          <w:tcPr>
            <w:tcW w:w="2880" w:type="dxa"/>
          </w:tcPr>
          <w:p w14:paraId="5174606A"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20.8</w:t>
            </w:r>
          </w:p>
        </w:tc>
      </w:tr>
      <w:tr w:rsidR="008D3090" w:rsidRPr="008D3090" w14:paraId="19565215" w14:textId="77777777" w:rsidTr="00D00B3F">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880" w:type="dxa"/>
          </w:tcPr>
          <w:p w14:paraId="3A9D3261" w14:textId="77777777" w:rsidR="008D3090" w:rsidRPr="008D3090" w:rsidRDefault="008D3090" w:rsidP="008D3090">
            <w:pPr>
              <w:jc w:val="both"/>
              <w:rPr>
                <w:lang w:eastAsia="zh-CN"/>
              </w:rPr>
            </w:pPr>
            <w:r w:rsidRPr="008D3090">
              <w:rPr>
                <w:rFonts w:eastAsia="-webkit-standard"/>
                <w:color w:val="000000"/>
                <w:lang w:eastAsia="zh-CN"/>
              </w:rPr>
              <w:t>Total</w:t>
            </w:r>
          </w:p>
        </w:tc>
        <w:tc>
          <w:tcPr>
            <w:tcW w:w="2880" w:type="dxa"/>
          </w:tcPr>
          <w:p w14:paraId="3BA28F7A"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2880" w:type="dxa"/>
          </w:tcPr>
          <w:p w14:paraId="666705CC"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rFonts w:eastAsia="-webkit-standard"/>
                <w:b/>
                <w:color w:val="000000"/>
                <w:lang w:eastAsia="zh-CN"/>
              </w:rPr>
              <w:t>100%</w:t>
            </w:r>
          </w:p>
        </w:tc>
      </w:tr>
    </w:tbl>
    <w:p w14:paraId="1F97A37B"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i/>
          <w:color w:val="000000"/>
          <w:lang w:val="en-GB" w:eastAsia="zh-CN"/>
          <w14:ligatures w14:val="none"/>
        </w:rPr>
        <w:t>Source; Field survey 2026</w:t>
      </w:r>
    </w:p>
    <w:p w14:paraId="7B1A0318" w14:textId="77777777" w:rsidR="00AE7FA9" w:rsidRDefault="00AE7FA9" w:rsidP="008D3090">
      <w:pPr>
        <w:spacing w:after="90" w:line="240" w:lineRule="auto"/>
        <w:jc w:val="both"/>
        <w:rPr>
          <w:rFonts w:ascii="Times New Roman" w:eastAsia="-webkit-standard" w:hAnsi="Times New Roman" w:cs="Times New Roman"/>
          <w:color w:val="000000"/>
          <w:lang w:val="en-GB" w:eastAsia="zh-CN"/>
          <w14:ligatures w14:val="none"/>
        </w:rPr>
      </w:pPr>
    </w:p>
    <w:p w14:paraId="176773D6" w14:textId="3E270C92"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From the table above, 45 respondents representing 37.5% of the total respondents are within the ages of 20-30, 20 of 16.7 are between 31-40, and between the ages of 41-50 has 30 respondents representing 25%, while 25 respondents representing 20.8% are 50years and above.</w:t>
      </w:r>
    </w:p>
    <w:p w14:paraId="76D39D86" w14:textId="77777777" w:rsidR="008D3090" w:rsidRPr="008D3090" w:rsidRDefault="008D3090" w:rsidP="008D3090">
      <w:pPr>
        <w:widowControl w:val="0"/>
        <w:tabs>
          <w:tab w:val="right" w:leader="dot" w:pos="9016"/>
        </w:tabs>
        <w:spacing w:after="0" w:line="240" w:lineRule="auto"/>
        <w:jc w:val="both"/>
        <w:rPr>
          <w:rFonts w:ascii="Times New Roman" w:eastAsia="SimSun" w:hAnsi="Times New Roman" w:cs="Times New Roman"/>
          <w:noProof/>
          <w:lang w:val="en-GB" w:eastAsia="zh-CN"/>
          <w14:ligatures w14:val="none"/>
        </w:rPr>
      </w:pPr>
      <w:bookmarkStart w:id="69" w:name="_Toc215808602"/>
    </w:p>
    <w:p w14:paraId="2F4F1425" w14:textId="77777777" w:rsidR="008D3090" w:rsidRPr="008D3090" w:rsidRDefault="008D3090" w:rsidP="008D3090">
      <w:pPr>
        <w:widowControl w:val="0"/>
        <w:tabs>
          <w:tab w:val="right" w:leader="dot" w:pos="9016"/>
        </w:tabs>
        <w:spacing w:after="0" w:line="240" w:lineRule="auto"/>
        <w:jc w:val="both"/>
        <w:rPr>
          <w:rFonts w:ascii="Times New Roman" w:eastAsia="SimSun" w:hAnsi="Times New Roman" w:cs="Times New Roman"/>
          <w:noProof/>
          <w:lang w:val="en-GB" w:eastAsia="zh-CN"/>
          <w14:ligatures w14:val="none"/>
        </w:rPr>
      </w:pPr>
      <w:r w:rsidRPr="008D3090">
        <w:rPr>
          <w:rFonts w:ascii="Times New Roman" w:eastAsia="SimSun" w:hAnsi="Times New Roman" w:cs="Times New Roman"/>
          <w:noProof/>
          <w:lang w:val="en-GB" w:eastAsia="zh-CN"/>
          <w14:ligatures w14:val="none"/>
        </w:rPr>
        <w:t>Table 4.</w:t>
      </w:r>
      <w:r w:rsidRPr="008D3090">
        <w:rPr>
          <w:rFonts w:ascii="Times New Roman" w:eastAsia="SimSun" w:hAnsi="Times New Roman" w:cs="Times New Roman"/>
          <w:noProof/>
          <w:lang w:val="en-GB" w:eastAsia="zh-CN"/>
          <w14:ligatures w14:val="none"/>
        </w:rPr>
        <w:fldChar w:fldCharType="begin"/>
      </w:r>
      <w:r w:rsidRPr="008D3090">
        <w:rPr>
          <w:rFonts w:ascii="Times New Roman" w:eastAsia="SimSun" w:hAnsi="Times New Roman" w:cs="Times New Roman"/>
          <w:noProof/>
          <w:lang w:val="en-GB" w:eastAsia="zh-CN"/>
          <w14:ligatures w14:val="none"/>
        </w:rPr>
        <w:instrText xml:space="preserve"> SEQ Table_4. \* ARABIC </w:instrText>
      </w:r>
      <w:r w:rsidRPr="008D3090">
        <w:rPr>
          <w:rFonts w:ascii="Times New Roman" w:eastAsia="SimSun" w:hAnsi="Times New Roman" w:cs="Times New Roman"/>
          <w:noProof/>
          <w:lang w:val="en-GB" w:eastAsia="zh-CN"/>
          <w14:ligatures w14:val="none"/>
        </w:rPr>
        <w:fldChar w:fldCharType="separate"/>
      </w:r>
      <w:r w:rsidRPr="008D3090">
        <w:rPr>
          <w:rFonts w:ascii="Times New Roman" w:eastAsia="SimSun" w:hAnsi="Times New Roman" w:cs="Times New Roman"/>
          <w:noProof/>
          <w:lang w:val="en-GB" w:eastAsia="zh-CN"/>
          <w14:ligatures w14:val="none"/>
        </w:rPr>
        <w:t>3</w:t>
      </w:r>
      <w:r w:rsidRPr="008D3090">
        <w:rPr>
          <w:rFonts w:ascii="Times New Roman" w:eastAsia="SimSun" w:hAnsi="Times New Roman" w:cs="Times New Roman"/>
          <w:noProof/>
          <w:lang w:val="en-GB" w:eastAsia="zh-CN"/>
          <w14:ligatures w14:val="none"/>
        </w:rPr>
        <w:fldChar w:fldCharType="end"/>
      </w:r>
      <w:r w:rsidRPr="008D3090">
        <w:rPr>
          <w:rFonts w:ascii="Times New Roman" w:eastAsia="SimSun" w:hAnsi="Times New Roman" w:cs="Times New Roman"/>
          <w:noProof/>
          <w:lang w:val="en-GB" w:eastAsia="zh-CN"/>
          <w14:ligatures w14:val="none"/>
        </w:rPr>
        <w:t xml:space="preserve"> Educational Qualification of respondents</w:t>
      </w:r>
      <w:bookmarkEnd w:id="69"/>
    </w:p>
    <w:tbl>
      <w:tblPr>
        <w:tblStyle w:val="PlainTable211"/>
        <w:tblW w:w="8632" w:type="dxa"/>
        <w:tblLayout w:type="fixed"/>
        <w:tblLook w:val="04A0" w:firstRow="1" w:lastRow="0" w:firstColumn="1" w:lastColumn="0" w:noHBand="0" w:noVBand="1"/>
      </w:tblPr>
      <w:tblGrid>
        <w:gridCol w:w="2877"/>
        <w:gridCol w:w="2878"/>
        <w:gridCol w:w="2877"/>
      </w:tblGrid>
      <w:tr w:rsidR="008D3090" w:rsidRPr="008D3090" w14:paraId="17D09471" w14:textId="77777777" w:rsidTr="00D00B3F">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7" w:type="dxa"/>
          </w:tcPr>
          <w:p w14:paraId="07C489AA" w14:textId="77777777" w:rsidR="008D3090" w:rsidRPr="008D3090" w:rsidRDefault="008D3090" w:rsidP="008D3090">
            <w:pPr>
              <w:jc w:val="both"/>
              <w:rPr>
                <w:lang w:eastAsia="zh-CN"/>
              </w:rPr>
            </w:pPr>
            <w:r w:rsidRPr="008D3090">
              <w:rPr>
                <w:rFonts w:eastAsia="-webkit-standard"/>
                <w:color w:val="000000"/>
                <w:lang w:eastAsia="zh-CN"/>
              </w:rPr>
              <w:t>Qualification</w:t>
            </w:r>
          </w:p>
        </w:tc>
        <w:tc>
          <w:tcPr>
            <w:tcW w:w="2878" w:type="dxa"/>
          </w:tcPr>
          <w:p w14:paraId="19E1F768"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Frequency</w:t>
            </w:r>
          </w:p>
        </w:tc>
        <w:tc>
          <w:tcPr>
            <w:tcW w:w="2877" w:type="dxa"/>
          </w:tcPr>
          <w:p w14:paraId="0CDD108C"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Percentage</w:t>
            </w:r>
          </w:p>
        </w:tc>
      </w:tr>
      <w:tr w:rsidR="008D3090" w:rsidRPr="008D3090" w14:paraId="1D783AD7" w14:textId="77777777" w:rsidTr="00D00B3F">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7" w:type="dxa"/>
          </w:tcPr>
          <w:p w14:paraId="37DB74C4" w14:textId="77777777" w:rsidR="008D3090" w:rsidRPr="008D3090" w:rsidRDefault="008D3090" w:rsidP="008D3090">
            <w:pPr>
              <w:jc w:val="both"/>
              <w:rPr>
                <w:lang w:eastAsia="zh-CN"/>
              </w:rPr>
            </w:pPr>
            <w:r w:rsidRPr="008D3090">
              <w:rPr>
                <w:rFonts w:eastAsia="-webkit-standard"/>
                <w:color w:val="000000"/>
                <w:lang w:eastAsia="zh-CN"/>
              </w:rPr>
              <w:t>FSLC</w:t>
            </w:r>
          </w:p>
        </w:tc>
        <w:tc>
          <w:tcPr>
            <w:tcW w:w="2878" w:type="dxa"/>
          </w:tcPr>
          <w:p w14:paraId="791B4224"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45</w:t>
            </w:r>
          </w:p>
        </w:tc>
        <w:tc>
          <w:tcPr>
            <w:tcW w:w="2877" w:type="dxa"/>
          </w:tcPr>
          <w:p w14:paraId="25C54F19"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37.5</w:t>
            </w:r>
          </w:p>
        </w:tc>
      </w:tr>
      <w:tr w:rsidR="008D3090" w:rsidRPr="008D3090" w14:paraId="42566E3D" w14:textId="77777777" w:rsidTr="00D00B3F">
        <w:trPr>
          <w:trHeight w:val="484"/>
        </w:trPr>
        <w:tc>
          <w:tcPr>
            <w:cnfStyle w:val="001000000000" w:firstRow="0" w:lastRow="0" w:firstColumn="1" w:lastColumn="0" w:oddVBand="0" w:evenVBand="0" w:oddHBand="0" w:evenHBand="0" w:firstRowFirstColumn="0" w:firstRowLastColumn="0" w:lastRowFirstColumn="0" w:lastRowLastColumn="0"/>
            <w:tcW w:w="2877" w:type="dxa"/>
          </w:tcPr>
          <w:p w14:paraId="28760BE5" w14:textId="77777777" w:rsidR="008D3090" w:rsidRPr="008D3090" w:rsidRDefault="008D3090" w:rsidP="008D3090">
            <w:pPr>
              <w:jc w:val="both"/>
              <w:rPr>
                <w:lang w:eastAsia="zh-CN"/>
              </w:rPr>
            </w:pPr>
            <w:r w:rsidRPr="008D3090">
              <w:rPr>
                <w:rFonts w:eastAsia="-webkit-standard"/>
                <w:color w:val="000000"/>
                <w:lang w:eastAsia="zh-CN"/>
              </w:rPr>
              <w:t>SSCE/WAEC</w:t>
            </w:r>
          </w:p>
        </w:tc>
        <w:tc>
          <w:tcPr>
            <w:tcW w:w="2878" w:type="dxa"/>
          </w:tcPr>
          <w:p w14:paraId="53B31619"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30</w:t>
            </w:r>
          </w:p>
        </w:tc>
        <w:tc>
          <w:tcPr>
            <w:tcW w:w="2877" w:type="dxa"/>
          </w:tcPr>
          <w:p w14:paraId="1863A8FB"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25</w:t>
            </w:r>
          </w:p>
        </w:tc>
      </w:tr>
      <w:tr w:rsidR="008D3090" w:rsidRPr="008D3090" w14:paraId="3D10F9F1" w14:textId="77777777" w:rsidTr="00D00B3F">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877" w:type="dxa"/>
          </w:tcPr>
          <w:p w14:paraId="08CFF7D3" w14:textId="77777777" w:rsidR="008D3090" w:rsidRPr="008D3090" w:rsidRDefault="008D3090" w:rsidP="008D3090">
            <w:pPr>
              <w:jc w:val="both"/>
              <w:rPr>
                <w:lang w:eastAsia="zh-CN"/>
              </w:rPr>
            </w:pPr>
            <w:r w:rsidRPr="008D3090">
              <w:rPr>
                <w:rFonts w:eastAsia="-webkit-standard"/>
                <w:color w:val="000000"/>
                <w:lang w:eastAsia="zh-CN"/>
              </w:rPr>
              <w:t>OND</w:t>
            </w:r>
          </w:p>
        </w:tc>
        <w:tc>
          <w:tcPr>
            <w:tcW w:w="2878" w:type="dxa"/>
          </w:tcPr>
          <w:p w14:paraId="2D630F14"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20</w:t>
            </w:r>
          </w:p>
        </w:tc>
        <w:tc>
          <w:tcPr>
            <w:tcW w:w="2877" w:type="dxa"/>
          </w:tcPr>
          <w:p w14:paraId="4C46394C"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16.7</w:t>
            </w:r>
          </w:p>
        </w:tc>
      </w:tr>
      <w:tr w:rsidR="008D3090" w:rsidRPr="008D3090" w14:paraId="336AA47D" w14:textId="77777777" w:rsidTr="00D00B3F">
        <w:trPr>
          <w:trHeight w:val="484"/>
        </w:trPr>
        <w:tc>
          <w:tcPr>
            <w:cnfStyle w:val="001000000000" w:firstRow="0" w:lastRow="0" w:firstColumn="1" w:lastColumn="0" w:oddVBand="0" w:evenVBand="0" w:oddHBand="0" w:evenHBand="0" w:firstRowFirstColumn="0" w:firstRowLastColumn="0" w:lastRowFirstColumn="0" w:lastRowLastColumn="0"/>
            <w:tcW w:w="2877" w:type="dxa"/>
          </w:tcPr>
          <w:p w14:paraId="4F516A84" w14:textId="77777777" w:rsidR="008D3090" w:rsidRPr="008D3090" w:rsidRDefault="008D3090" w:rsidP="008D3090">
            <w:pPr>
              <w:jc w:val="both"/>
              <w:rPr>
                <w:lang w:eastAsia="zh-CN"/>
              </w:rPr>
            </w:pPr>
            <w:r w:rsidRPr="008D3090">
              <w:rPr>
                <w:rFonts w:eastAsia="-webkit-standard"/>
                <w:color w:val="000000"/>
                <w:lang w:eastAsia="zh-CN"/>
              </w:rPr>
              <w:t>HND/B.SC.</w:t>
            </w:r>
          </w:p>
        </w:tc>
        <w:tc>
          <w:tcPr>
            <w:tcW w:w="2878" w:type="dxa"/>
          </w:tcPr>
          <w:p w14:paraId="01702D3D"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25</w:t>
            </w:r>
          </w:p>
        </w:tc>
        <w:tc>
          <w:tcPr>
            <w:tcW w:w="2877" w:type="dxa"/>
          </w:tcPr>
          <w:p w14:paraId="4784241F"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20.8</w:t>
            </w:r>
          </w:p>
        </w:tc>
      </w:tr>
      <w:tr w:rsidR="008D3090" w:rsidRPr="008D3090" w14:paraId="5624F98E" w14:textId="77777777" w:rsidTr="00D00B3F">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877" w:type="dxa"/>
          </w:tcPr>
          <w:p w14:paraId="1D350B94" w14:textId="77777777" w:rsidR="008D3090" w:rsidRPr="008D3090" w:rsidRDefault="008D3090" w:rsidP="008D3090">
            <w:pPr>
              <w:jc w:val="both"/>
              <w:rPr>
                <w:lang w:eastAsia="zh-CN"/>
              </w:rPr>
            </w:pPr>
            <w:r w:rsidRPr="008D3090">
              <w:rPr>
                <w:lang w:eastAsia="zh-CN"/>
              </w:rPr>
              <w:lastRenderedPageBreak/>
              <w:t xml:space="preserve">Total </w:t>
            </w:r>
          </w:p>
        </w:tc>
        <w:tc>
          <w:tcPr>
            <w:tcW w:w="2878" w:type="dxa"/>
          </w:tcPr>
          <w:p w14:paraId="170A0123"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2877" w:type="dxa"/>
          </w:tcPr>
          <w:p w14:paraId="75DA636B"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100%</w:t>
            </w:r>
          </w:p>
        </w:tc>
      </w:tr>
    </w:tbl>
    <w:p w14:paraId="638695D3"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i/>
          <w:color w:val="000000"/>
          <w:lang w:val="en-GB" w:eastAsia="zh-CN"/>
          <w14:ligatures w14:val="none"/>
        </w:rPr>
        <w:t> Source: Field Survey, 2026</w:t>
      </w:r>
    </w:p>
    <w:p w14:paraId="3D2EA64E"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table above shows that, 405of 37.5 % of the respondents has first school leaving certificate, 30 of 25% has either SSCE or WAEC, 20 respondents representing 16.7% are OND holders and 25 of 20 .8% has either HND or B.Sc.</w:t>
      </w:r>
    </w:p>
    <w:p w14:paraId="41AED255" w14:textId="77777777" w:rsidR="008D3090" w:rsidRPr="008D3090" w:rsidRDefault="008D3090" w:rsidP="008D3090">
      <w:pPr>
        <w:widowControl w:val="0"/>
        <w:tabs>
          <w:tab w:val="right" w:leader="dot" w:pos="9016"/>
        </w:tabs>
        <w:spacing w:after="0" w:line="240" w:lineRule="auto"/>
        <w:jc w:val="both"/>
        <w:rPr>
          <w:rFonts w:ascii="Times New Roman" w:eastAsia="-webkit-standard" w:hAnsi="Times New Roman" w:cs="Times New Roman"/>
          <w:noProof/>
          <w:color w:val="000000"/>
          <w:lang w:val="en-GB" w:eastAsia="zh-CN"/>
          <w14:ligatures w14:val="none"/>
        </w:rPr>
      </w:pPr>
      <w:bookmarkStart w:id="70" w:name="_Toc215808603"/>
      <w:r w:rsidRPr="008D3090">
        <w:rPr>
          <w:rFonts w:ascii="Times New Roman" w:eastAsia="SimSun" w:hAnsi="Times New Roman" w:cs="Times New Roman"/>
          <w:noProof/>
          <w:lang w:val="en-GB" w:eastAsia="zh-CN"/>
          <w14:ligatures w14:val="none"/>
        </w:rPr>
        <w:t>Table 4.</w:t>
      </w:r>
      <w:r w:rsidRPr="008D3090">
        <w:rPr>
          <w:rFonts w:ascii="Times New Roman" w:eastAsia="SimSun" w:hAnsi="Times New Roman" w:cs="Times New Roman"/>
          <w:noProof/>
          <w:lang w:val="en-GB" w:eastAsia="zh-CN"/>
          <w14:ligatures w14:val="none"/>
        </w:rPr>
        <w:fldChar w:fldCharType="begin"/>
      </w:r>
      <w:r w:rsidRPr="008D3090">
        <w:rPr>
          <w:rFonts w:ascii="Times New Roman" w:eastAsia="SimSun" w:hAnsi="Times New Roman" w:cs="Times New Roman"/>
          <w:noProof/>
          <w:lang w:val="en-GB" w:eastAsia="zh-CN"/>
          <w14:ligatures w14:val="none"/>
        </w:rPr>
        <w:instrText xml:space="preserve"> SEQ Table_4. \* ARABIC </w:instrText>
      </w:r>
      <w:r w:rsidRPr="008D3090">
        <w:rPr>
          <w:rFonts w:ascii="Times New Roman" w:eastAsia="SimSun" w:hAnsi="Times New Roman" w:cs="Times New Roman"/>
          <w:noProof/>
          <w:lang w:val="en-GB" w:eastAsia="zh-CN"/>
          <w14:ligatures w14:val="none"/>
        </w:rPr>
        <w:fldChar w:fldCharType="separate"/>
      </w:r>
      <w:r w:rsidRPr="008D3090">
        <w:rPr>
          <w:rFonts w:ascii="Times New Roman" w:eastAsia="SimSun" w:hAnsi="Times New Roman" w:cs="Times New Roman"/>
          <w:noProof/>
          <w:lang w:val="en-GB" w:eastAsia="zh-CN"/>
          <w14:ligatures w14:val="none"/>
        </w:rPr>
        <w:t>4</w:t>
      </w:r>
      <w:r w:rsidRPr="008D3090">
        <w:rPr>
          <w:rFonts w:ascii="Times New Roman" w:eastAsia="SimSun" w:hAnsi="Times New Roman" w:cs="Times New Roman"/>
          <w:noProof/>
          <w:lang w:val="en-GB" w:eastAsia="zh-CN"/>
          <w14:ligatures w14:val="none"/>
        </w:rPr>
        <w:fldChar w:fldCharType="end"/>
      </w:r>
      <w:r w:rsidRPr="008D3090">
        <w:rPr>
          <w:rFonts w:ascii="Calibri" w:eastAsia="SimSun" w:hAnsi="Calibri" w:cs="Times New Roman"/>
          <w:noProof/>
          <w:sz w:val="21"/>
          <w:lang w:val="en-GB" w:eastAsia="zh-CN"/>
          <w14:ligatures w14:val="none"/>
        </w:rPr>
        <w:t xml:space="preserve">  </w:t>
      </w:r>
      <w:r w:rsidRPr="008D3090">
        <w:rPr>
          <w:rFonts w:ascii="Times New Roman" w:eastAsia="-webkit-standard" w:hAnsi="Times New Roman" w:cs="Times New Roman"/>
          <w:b/>
          <w:noProof/>
          <w:color w:val="000000"/>
          <w:lang w:val="en-GB" w:eastAsia="zh-CN"/>
          <w14:ligatures w14:val="none"/>
        </w:rPr>
        <w:t>Category of respondents</w:t>
      </w:r>
      <w:bookmarkEnd w:id="70"/>
    </w:p>
    <w:tbl>
      <w:tblPr>
        <w:tblStyle w:val="PlainTable211"/>
        <w:tblW w:w="0" w:type="auto"/>
        <w:jc w:val="center"/>
        <w:tblLayout w:type="fixed"/>
        <w:tblLook w:val="04A0" w:firstRow="1" w:lastRow="0" w:firstColumn="1" w:lastColumn="0" w:noHBand="0" w:noVBand="1"/>
      </w:tblPr>
      <w:tblGrid>
        <w:gridCol w:w="2880"/>
        <w:gridCol w:w="2880"/>
        <w:gridCol w:w="2880"/>
      </w:tblGrid>
      <w:tr w:rsidR="008D3090" w:rsidRPr="008D3090" w14:paraId="682E2786" w14:textId="77777777" w:rsidTr="00D00B3F">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880" w:type="dxa"/>
          </w:tcPr>
          <w:p w14:paraId="6AC7D21B" w14:textId="77777777" w:rsidR="008D3090" w:rsidRPr="008D3090" w:rsidRDefault="008D3090" w:rsidP="008D3090">
            <w:pPr>
              <w:jc w:val="both"/>
              <w:rPr>
                <w:lang w:eastAsia="zh-CN"/>
              </w:rPr>
            </w:pPr>
            <w:r w:rsidRPr="008D3090">
              <w:rPr>
                <w:rFonts w:eastAsia="-webkit-standard"/>
                <w:color w:val="000000"/>
                <w:lang w:eastAsia="zh-CN"/>
              </w:rPr>
              <w:t>Category</w:t>
            </w:r>
          </w:p>
        </w:tc>
        <w:tc>
          <w:tcPr>
            <w:tcW w:w="2880" w:type="dxa"/>
          </w:tcPr>
          <w:p w14:paraId="0ED43DBD"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Frequency</w:t>
            </w:r>
          </w:p>
        </w:tc>
        <w:tc>
          <w:tcPr>
            <w:tcW w:w="2880" w:type="dxa"/>
          </w:tcPr>
          <w:p w14:paraId="7F512CBC"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Percentage</w:t>
            </w:r>
          </w:p>
        </w:tc>
      </w:tr>
      <w:tr w:rsidR="008D3090" w:rsidRPr="008D3090" w14:paraId="40BC8FCF" w14:textId="77777777" w:rsidTr="00D00B3F">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880" w:type="dxa"/>
          </w:tcPr>
          <w:p w14:paraId="4DAF2A01" w14:textId="77777777" w:rsidR="008D3090" w:rsidRPr="008D3090" w:rsidRDefault="008D3090" w:rsidP="008D3090">
            <w:pPr>
              <w:jc w:val="both"/>
              <w:rPr>
                <w:lang w:eastAsia="zh-CN"/>
              </w:rPr>
            </w:pPr>
            <w:r w:rsidRPr="008D3090">
              <w:rPr>
                <w:lang w:eastAsia="zh-CN"/>
              </w:rPr>
              <w:t xml:space="preserve">Human Resource </w:t>
            </w:r>
          </w:p>
        </w:tc>
        <w:tc>
          <w:tcPr>
            <w:tcW w:w="2880" w:type="dxa"/>
          </w:tcPr>
          <w:p w14:paraId="53EB3889"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25</w:t>
            </w:r>
          </w:p>
        </w:tc>
        <w:tc>
          <w:tcPr>
            <w:tcW w:w="2880" w:type="dxa"/>
          </w:tcPr>
          <w:p w14:paraId="01E4C740"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20.8</w:t>
            </w:r>
          </w:p>
        </w:tc>
      </w:tr>
      <w:tr w:rsidR="008D3090" w:rsidRPr="008D3090" w14:paraId="1196E7D6" w14:textId="77777777" w:rsidTr="00D00B3F">
        <w:trPr>
          <w:trHeight w:val="465"/>
          <w:jc w:val="center"/>
        </w:trPr>
        <w:tc>
          <w:tcPr>
            <w:cnfStyle w:val="001000000000" w:firstRow="0" w:lastRow="0" w:firstColumn="1" w:lastColumn="0" w:oddVBand="0" w:evenVBand="0" w:oddHBand="0" w:evenHBand="0" w:firstRowFirstColumn="0" w:firstRowLastColumn="0" w:lastRowFirstColumn="0" w:lastRowLastColumn="0"/>
            <w:tcW w:w="2880" w:type="dxa"/>
          </w:tcPr>
          <w:p w14:paraId="1CE5BC77" w14:textId="77777777" w:rsidR="008D3090" w:rsidRPr="008D3090" w:rsidRDefault="008D3090" w:rsidP="008D3090">
            <w:pPr>
              <w:jc w:val="both"/>
              <w:rPr>
                <w:lang w:eastAsia="zh-CN"/>
              </w:rPr>
            </w:pPr>
            <w:r w:rsidRPr="008D3090">
              <w:rPr>
                <w:lang w:eastAsia="zh-CN"/>
              </w:rPr>
              <w:t xml:space="preserve">Audit </w:t>
            </w:r>
          </w:p>
        </w:tc>
        <w:tc>
          <w:tcPr>
            <w:tcW w:w="2880" w:type="dxa"/>
          </w:tcPr>
          <w:p w14:paraId="347BD78E"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70</w:t>
            </w:r>
          </w:p>
        </w:tc>
        <w:tc>
          <w:tcPr>
            <w:tcW w:w="2880" w:type="dxa"/>
          </w:tcPr>
          <w:p w14:paraId="0E093084"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58.3</w:t>
            </w:r>
          </w:p>
        </w:tc>
      </w:tr>
      <w:tr w:rsidR="008D3090" w:rsidRPr="008D3090" w14:paraId="6BDB63CA" w14:textId="77777777" w:rsidTr="00D00B3F">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880" w:type="dxa"/>
          </w:tcPr>
          <w:p w14:paraId="6548B2D7" w14:textId="77777777" w:rsidR="008D3090" w:rsidRPr="008D3090" w:rsidRDefault="008D3090" w:rsidP="008D3090">
            <w:pPr>
              <w:jc w:val="both"/>
              <w:rPr>
                <w:lang w:eastAsia="zh-CN"/>
              </w:rPr>
            </w:pPr>
            <w:r w:rsidRPr="008D3090">
              <w:rPr>
                <w:lang w:eastAsia="zh-CN"/>
              </w:rPr>
              <w:t xml:space="preserve">Supervisors </w:t>
            </w:r>
          </w:p>
        </w:tc>
        <w:tc>
          <w:tcPr>
            <w:tcW w:w="2880" w:type="dxa"/>
          </w:tcPr>
          <w:p w14:paraId="3101C17E"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25</w:t>
            </w:r>
          </w:p>
        </w:tc>
        <w:tc>
          <w:tcPr>
            <w:tcW w:w="2880" w:type="dxa"/>
          </w:tcPr>
          <w:p w14:paraId="2B68BB04"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20.8</w:t>
            </w:r>
          </w:p>
        </w:tc>
      </w:tr>
      <w:tr w:rsidR="008D3090" w:rsidRPr="008D3090" w14:paraId="4AF96217" w14:textId="77777777" w:rsidTr="00D00B3F">
        <w:trPr>
          <w:trHeight w:val="191"/>
          <w:jc w:val="center"/>
        </w:trPr>
        <w:tc>
          <w:tcPr>
            <w:cnfStyle w:val="001000000000" w:firstRow="0" w:lastRow="0" w:firstColumn="1" w:lastColumn="0" w:oddVBand="0" w:evenVBand="0" w:oddHBand="0" w:evenHBand="0" w:firstRowFirstColumn="0" w:firstRowLastColumn="0" w:lastRowFirstColumn="0" w:lastRowLastColumn="0"/>
            <w:tcW w:w="2880" w:type="dxa"/>
          </w:tcPr>
          <w:p w14:paraId="5A902655" w14:textId="77777777" w:rsidR="008D3090" w:rsidRPr="008D3090" w:rsidRDefault="008D3090" w:rsidP="008D3090">
            <w:pPr>
              <w:jc w:val="both"/>
              <w:rPr>
                <w:lang w:eastAsia="zh-CN"/>
              </w:rPr>
            </w:pPr>
            <w:r w:rsidRPr="008D3090">
              <w:rPr>
                <w:lang w:eastAsia="zh-CN"/>
              </w:rPr>
              <w:t xml:space="preserve">Total </w:t>
            </w:r>
          </w:p>
        </w:tc>
        <w:tc>
          <w:tcPr>
            <w:tcW w:w="2880" w:type="dxa"/>
          </w:tcPr>
          <w:p w14:paraId="671B5EB9"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120</w:t>
            </w:r>
          </w:p>
        </w:tc>
        <w:tc>
          <w:tcPr>
            <w:tcW w:w="2880" w:type="dxa"/>
          </w:tcPr>
          <w:p w14:paraId="200DC2DD"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100%</w:t>
            </w:r>
          </w:p>
        </w:tc>
      </w:tr>
    </w:tbl>
    <w:p w14:paraId="5C34E2F9"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i/>
          <w:color w:val="000000"/>
          <w:lang w:val="en-GB" w:eastAsia="zh-CN"/>
          <w14:ligatures w14:val="none"/>
        </w:rPr>
        <w:t> Source: Field Survey, 2026</w:t>
      </w:r>
    </w:p>
    <w:p w14:paraId="73F44365" w14:textId="77777777" w:rsidR="008D3090" w:rsidRPr="008D3090" w:rsidRDefault="008D3090" w:rsidP="008D3090">
      <w:pPr>
        <w:spacing w:after="0" w:line="240" w:lineRule="auto"/>
        <w:jc w:val="both"/>
        <w:rPr>
          <w:rFonts w:ascii="Times New Roman" w:eastAsia="-webkit-standard" w:hAnsi="Times New Roman" w:cs="Times New Roman"/>
          <w:b/>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From the table above, it shows that, 25 respondents representing 20.8% are in the Human Resources Department 70 of 58.3% are in the Audit Department while 25 respondents representing 20.8% are supervisors.</w:t>
      </w:r>
    </w:p>
    <w:p w14:paraId="7CCA6AD4"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71" w:name="_Toc215808588"/>
      <w:r w:rsidRPr="008D3090">
        <w:rPr>
          <w:rFonts w:ascii="Times New Roman" w:eastAsia="SimSun" w:hAnsi="Times New Roman" w:cs="Times New Roman"/>
          <w:b/>
          <w:lang w:val="en-GB" w:eastAsia="zh-CN"/>
          <w14:ligatures w14:val="none"/>
        </w:rPr>
        <w:t>4.3​ Data Analysis</w:t>
      </w:r>
      <w:bookmarkEnd w:id="71"/>
    </w:p>
    <w:p w14:paraId="7C715201"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color w:val="000000"/>
          <w:lang w:val="en-GB" w:eastAsia="zh-CN"/>
          <w14:ligatures w14:val="none"/>
        </w:rPr>
        <w:t>Question1: </w:t>
      </w:r>
      <w:r w:rsidRPr="008D3090">
        <w:rPr>
          <w:rFonts w:ascii="Times New Roman" w:eastAsia="SimSun" w:hAnsi="Times New Roman" w:cs="Times New Roman"/>
          <w:lang w:val="en-GB" w:eastAsia="zh-CN"/>
          <w14:ligatures w14:val="none"/>
        </w:rPr>
        <w:t>Does employee training and development initiatives influence commitment levels in United Bank for Africa Bayelsa State?</w:t>
      </w:r>
    </w:p>
    <w:p w14:paraId="2263EE78" w14:textId="77777777" w:rsidR="008D3090" w:rsidRPr="008D3090" w:rsidRDefault="008D3090" w:rsidP="008D3090">
      <w:pPr>
        <w:widowControl w:val="0"/>
        <w:tabs>
          <w:tab w:val="right" w:leader="dot" w:pos="9016"/>
        </w:tabs>
        <w:spacing w:after="0" w:line="240" w:lineRule="auto"/>
        <w:jc w:val="both"/>
        <w:rPr>
          <w:rFonts w:ascii="Times New Roman" w:eastAsia="-webkit-standard" w:hAnsi="Times New Roman" w:cs="Times New Roman"/>
          <w:noProof/>
          <w:color w:val="000000"/>
          <w:lang w:val="en-GB" w:eastAsia="zh-CN"/>
          <w14:ligatures w14:val="none"/>
        </w:rPr>
      </w:pPr>
      <w:bookmarkStart w:id="72" w:name="_Toc215808604"/>
      <w:r w:rsidRPr="008D3090">
        <w:rPr>
          <w:rFonts w:ascii="Times New Roman" w:eastAsia="SimSun" w:hAnsi="Times New Roman" w:cs="Times New Roman"/>
          <w:noProof/>
          <w:lang w:val="en-GB" w:eastAsia="zh-CN"/>
          <w14:ligatures w14:val="none"/>
        </w:rPr>
        <w:t>Table 4.</w:t>
      </w:r>
      <w:r w:rsidRPr="008D3090">
        <w:rPr>
          <w:rFonts w:ascii="Times New Roman" w:eastAsia="SimSun" w:hAnsi="Times New Roman" w:cs="Times New Roman"/>
          <w:noProof/>
          <w:lang w:val="en-GB" w:eastAsia="zh-CN"/>
          <w14:ligatures w14:val="none"/>
        </w:rPr>
        <w:fldChar w:fldCharType="begin"/>
      </w:r>
      <w:r w:rsidRPr="008D3090">
        <w:rPr>
          <w:rFonts w:ascii="Times New Roman" w:eastAsia="SimSun" w:hAnsi="Times New Roman" w:cs="Times New Roman"/>
          <w:noProof/>
          <w:lang w:val="en-GB" w:eastAsia="zh-CN"/>
          <w14:ligatures w14:val="none"/>
        </w:rPr>
        <w:instrText xml:space="preserve"> SEQ Table_4. \* ARABIC </w:instrText>
      </w:r>
      <w:r w:rsidRPr="008D3090">
        <w:rPr>
          <w:rFonts w:ascii="Times New Roman" w:eastAsia="SimSun" w:hAnsi="Times New Roman" w:cs="Times New Roman"/>
          <w:noProof/>
          <w:lang w:val="en-GB" w:eastAsia="zh-CN"/>
          <w14:ligatures w14:val="none"/>
        </w:rPr>
        <w:fldChar w:fldCharType="separate"/>
      </w:r>
      <w:r w:rsidRPr="008D3090">
        <w:rPr>
          <w:rFonts w:ascii="Times New Roman" w:eastAsia="SimSun" w:hAnsi="Times New Roman" w:cs="Times New Roman"/>
          <w:noProof/>
          <w:lang w:val="en-GB" w:eastAsia="zh-CN"/>
          <w14:ligatures w14:val="none"/>
        </w:rPr>
        <w:t>5</w:t>
      </w:r>
      <w:bookmarkEnd w:id="72"/>
      <w:r w:rsidRPr="008D3090">
        <w:rPr>
          <w:rFonts w:ascii="Times New Roman" w:eastAsia="SimSun" w:hAnsi="Times New Roman" w:cs="Times New Roman"/>
          <w:noProof/>
          <w:lang w:val="en-GB" w:eastAsia="zh-CN"/>
          <w14:ligatures w14:val="none"/>
        </w:rPr>
        <w:fldChar w:fldCharType="end"/>
      </w:r>
    </w:p>
    <w:tbl>
      <w:tblPr>
        <w:tblStyle w:val="PlainTable211"/>
        <w:tblW w:w="0" w:type="auto"/>
        <w:jc w:val="center"/>
        <w:tblLayout w:type="fixed"/>
        <w:tblLook w:val="04A0" w:firstRow="1" w:lastRow="0" w:firstColumn="1" w:lastColumn="0" w:noHBand="0" w:noVBand="1"/>
      </w:tblPr>
      <w:tblGrid>
        <w:gridCol w:w="2880"/>
        <w:gridCol w:w="2880"/>
        <w:gridCol w:w="2880"/>
      </w:tblGrid>
      <w:tr w:rsidR="008D3090" w:rsidRPr="008D3090" w14:paraId="26108DB1" w14:textId="77777777" w:rsidTr="00D00B3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880" w:type="dxa"/>
          </w:tcPr>
          <w:p w14:paraId="6EC0400B" w14:textId="77777777" w:rsidR="008D3090" w:rsidRPr="008D3090" w:rsidRDefault="008D3090" w:rsidP="008D3090">
            <w:pPr>
              <w:jc w:val="both"/>
              <w:rPr>
                <w:lang w:eastAsia="zh-CN"/>
              </w:rPr>
            </w:pPr>
            <w:r w:rsidRPr="008D3090">
              <w:rPr>
                <w:rFonts w:eastAsia="-webkit-standard"/>
                <w:color w:val="000000"/>
                <w:lang w:eastAsia="zh-CN"/>
              </w:rPr>
              <w:t>Option</w:t>
            </w:r>
          </w:p>
        </w:tc>
        <w:tc>
          <w:tcPr>
            <w:tcW w:w="2880" w:type="dxa"/>
          </w:tcPr>
          <w:p w14:paraId="6065C6A7"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Frequency</w:t>
            </w:r>
          </w:p>
        </w:tc>
        <w:tc>
          <w:tcPr>
            <w:tcW w:w="2880" w:type="dxa"/>
          </w:tcPr>
          <w:p w14:paraId="3B82DACC"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Percentage</w:t>
            </w:r>
          </w:p>
        </w:tc>
      </w:tr>
      <w:tr w:rsidR="008D3090" w:rsidRPr="008D3090" w14:paraId="44FB7803" w14:textId="77777777" w:rsidTr="00D00B3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880" w:type="dxa"/>
          </w:tcPr>
          <w:p w14:paraId="64188103" w14:textId="77777777" w:rsidR="008D3090" w:rsidRPr="008D3090" w:rsidRDefault="008D3090" w:rsidP="008D3090">
            <w:pPr>
              <w:jc w:val="both"/>
              <w:rPr>
                <w:lang w:eastAsia="zh-CN"/>
              </w:rPr>
            </w:pPr>
            <w:r w:rsidRPr="008D3090">
              <w:rPr>
                <w:rFonts w:eastAsia="-webkit-standard"/>
                <w:color w:val="000000"/>
                <w:lang w:eastAsia="zh-CN"/>
              </w:rPr>
              <w:t>Strongly Agree</w:t>
            </w:r>
          </w:p>
        </w:tc>
        <w:tc>
          <w:tcPr>
            <w:tcW w:w="2880" w:type="dxa"/>
          </w:tcPr>
          <w:p w14:paraId="1B1A3565"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45</w:t>
            </w:r>
          </w:p>
        </w:tc>
        <w:tc>
          <w:tcPr>
            <w:tcW w:w="2880" w:type="dxa"/>
          </w:tcPr>
          <w:p w14:paraId="577F2D58"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37.5</w:t>
            </w:r>
          </w:p>
        </w:tc>
      </w:tr>
      <w:tr w:rsidR="008D3090" w:rsidRPr="008D3090" w14:paraId="137F581F" w14:textId="77777777" w:rsidTr="00D00B3F">
        <w:trPr>
          <w:trHeight w:val="375"/>
          <w:jc w:val="center"/>
        </w:trPr>
        <w:tc>
          <w:tcPr>
            <w:cnfStyle w:val="001000000000" w:firstRow="0" w:lastRow="0" w:firstColumn="1" w:lastColumn="0" w:oddVBand="0" w:evenVBand="0" w:oddHBand="0" w:evenHBand="0" w:firstRowFirstColumn="0" w:firstRowLastColumn="0" w:lastRowFirstColumn="0" w:lastRowLastColumn="0"/>
            <w:tcW w:w="2880" w:type="dxa"/>
          </w:tcPr>
          <w:p w14:paraId="7E37EC45" w14:textId="77777777" w:rsidR="008D3090" w:rsidRPr="008D3090" w:rsidRDefault="008D3090" w:rsidP="008D3090">
            <w:pPr>
              <w:jc w:val="both"/>
              <w:rPr>
                <w:lang w:eastAsia="zh-CN"/>
              </w:rPr>
            </w:pPr>
            <w:r w:rsidRPr="008D3090">
              <w:rPr>
                <w:rFonts w:eastAsia="-webkit-standard"/>
                <w:color w:val="000000"/>
                <w:lang w:eastAsia="zh-CN"/>
              </w:rPr>
              <w:t>Agree</w:t>
            </w:r>
          </w:p>
        </w:tc>
        <w:tc>
          <w:tcPr>
            <w:tcW w:w="2880" w:type="dxa"/>
          </w:tcPr>
          <w:p w14:paraId="42700376"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30</w:t>
            </w:r>
          </w:p>
        </w:tc>
        <w:tc>
          <w:tcPr>
            <w:tcW w:w="2880" w:type="dxa"/>
          </w:tcPr>
          <w:p w14:paraId="5E418B06"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25</w:t>
            </w:r>
          </w:p>
        </w:tc>
      </w:tr>
      <w:tr w:rsidR="008D3090" w:rsidRPr="008D3090" w14:paraId="452B9965" w14:textId="77777777" w:rsidTr="00D00B3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880" w:type="dxa"/>
          </w:tcPr>
          <w:p w14:paraId="1764692B" w14:textId="77777777" w:rsidR="008D3090" w:rsidRPr="008D3090" w:rsidRDefault="008D3090" w:rsidP="008D3090">
            <w:pPr>
              <w:jc w:val="both"/>
              <w:rPr>
                <w:lang w:eastAsia="zh-CN"/>
              </w:rPr>
            </w:pPr>
            <w:r w:rsidRPr="008D3090">
              <w:rPr>
                <w:rFonts w:eastAsia="-webkit-standard"/>
                <w:color w:val="000000"/>
                <w:lang w:eastAsia="zh-CN"/>
              </w:rPr>
              <w:t>Disagree</w:t>
            </w:r>
          </w:p>
        </w:tc>
        <w:tc>
          <w:tcPr>
            <w:tcW w:w="2880" w:type="dxa"/>
          </w:tcPr>
          <w:p w14:paraId="02234A2D"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20</w:t>
            </w:r>
          </w:p>
        </w:tc>
        <w:tc>
          <w:tcPr>
            <w:tcW w:w="2880" w:type="dxa"/>
          </w:tcPr>
          <w:p w14:paraId="1EE152A0"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16.7</w:t>
            </w:r>
          </w:p>
        </w:tc>
      </w:tr>
      <w:tr w:rsidR="008D3090" w:rsidRPr="008D3090" w14:paraId="680F8317" w14:textId="77777777" w:rsidTr="00D00B3F">
        <w:trPr>
          <w:trHeight w:val="450"/>
          <w:jc w:val="center"/>
        </w:trPr>
        <w:tc>
          <w:tcPr>
            <w:cnfStyle w:val="001000000000" w:firstRow="0" w:lastRow="0" w:firstColumn="1" w:lastColumn="0" w:oddVBand="0" w:evenVBand="0" w:oddHBand="0" w:evenHBand="0" w:firstRowFirstColumn="0" w:firstRowLastColumn="0" w:lastRowFirstColumn="0" w:lastRowLastColumn="0"/>
            <w:tcW w:w="2880" w:type="dxa"/>
          </w:tcPr>
          <w:p w14:paraId="34A89D4C" w14:textId="77777777" w:rsidR="008D3090" w:rsidRPr="008D3090" w:rsidRDefault="008D3090" w:rsidP="008D3090">
            <w:pPr>
              <w:jc w:val="both"/>
              <w:rPr>
                <w:lang w:eastAsia="zh-CN"/>
              </w:rPr>
            </w:pPr>
            <w:r w:rsidRPr="008D3090">
              <w:rPr>
                <w:rFonts w:eastAsia="-webkit-standard"/>
                <w:color w:val="000000"/>
                <w:lang w:eastAsia="zh-CN"/>
              </w:rPr>
              <w:t>Strongly Disagree</w:t>
            </w:r>
          </w:p>
        </w:tc>
        <w:tc>
          <w:tcPr>
            <w:tcW w:w="2880" w:type="dxa"/>
          </w:tcPr>
          <w:p w14:paraId="43A72BC6"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25</w:t>
            </w:r>
          </w:p>
        </w:tc>
        <w:tc>
          <w:tcPr>
            <w:tcW w:w="2880" w:type="dxa"/>
          </w:tcPr>
          <w:p w14:paraId="7F47297C"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20.8</w:t>
            </w:r>
          </w:p>
        </w:tc>
      </w:tr>
      <w:tr w:rsidR="008D3090" w:rsidRPr="008D3090" w14:paraId="489672B1" w14:textId="77777777" w:rsidTr="00D00B3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880" w:type="dxa"/>
          </w:tcPr>
          <w:p w14:paraId="3624EBBD" w14:textId="77777777" w:rsidR="008D3090" w:rsidRPr="008D3090" w:rsidRDefault="008D3090" w:rsidP="008D3090">
            <w:pPr>
              <w:jc w:val="both"/>
              <w:rPr>
                <w:lang w:eastAsia="zh-CN"/>
              </w:rPr>
            </w:pPr>
            <w:r w:rsidRPr="008D3090">
              <w:rPr>
                <w:rFonts w:eastAsia="-webkit-standard"/>
                <w:color w:val="000000"/>
                <w:lang w:eastAsia="zh-CN"/>
              </w:rPr>
              <w:t>Total</w:t>
            </w:r>
          </w:p>
        </w:tc>
        <w:tc>
          <w:tcPr>
            <w:tcW w:w="2880" w:type="dxa"/>
          </w:tcPr>
          <w:p w14:paraId="41747818"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2880" w:type="dxa"/>
          </w:tcPr>
          <w:p w14:paraId="2C3000AB"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rFonts w:eastAsia="-webkit-standard"/>
                <w:color w:val="000000"/>
                <w:lang w:eastAsia="zh-CN"/>
              </w:rPr>
              <w:t>100%</w:t>
            </w:r>
          </w:p>
        </w:tc>
      </w:tr>
    </w:tbl>
    <w:p w14:paraId="4EBAD095"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i/>
          <w:color w:val="000000"/>
          <w:lang w:val="en-GB" w:eastAsia="zh-CN"/>
          <w14:ligatures w14:val="none"/>
        </w:rPr>
        <w:t>Source; Field survey 2026</w:t>
      </w:r>
    </w:p>
    <w:p w14:paraId="6FE0CDA0"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In the table above, 45 respondents representing 37.5% strongly agree that</w:t>
      </w:r>
      <w:r w:rsidRPr="008D3090">
        <w:rPr>
          <w:rFonts w:ascii="Times New Roman" w:eastAsia="SimSun" w:hAnsi="Times New Roman" w:cs="Times New Roman"/>
          <w:lang w:val="en-GB" w:eastAsia="zh-CN"/>
          <w14:ligatures w14:val="none"/>
        </w:rPr>
        <w:t xml:space="preserve"> employee training and development initiatives influence commitment levels in United Bank for Africa Bayelsa State.</w:t>
      </w:r>
      <w:r w:rsidRPr="008D3090">
        <w:rPr>
          <w:rFonts w:ascii="Times New Roman" w:eastAsia="-webkit-standard" w:hAnsi="Times New Roman" w:cs="Times New Roman"/>
          <w:color w:val="000000"/>
          <w:lang w:val="en-GB" w:eastAsia="zh-CN"/>
          <w14:ligatures w14:val="none"/>
        </w:rPr>
        <w:t>30 respondents which represents 25% agree,20 of 16.7% disagree, while 25 respondents which represent 20.8% strongly disagree.</w:t>
      </w:r>
    </w:p>
    <w:p w14:paraId="1E3D69BD"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color w:val="000000"/>
          <w:lang w:val="en-GB" w:eastAsia="zh-CN"/>
          <w14:ligatures w14:val="none"/>
        </w:rPr>
        <w:t xml:space="preserve">Question 2: </w:t>
      </w:r>
      <w:r w:rsidRPr="008D3090">
        <w:rPr>
          <w:rFonts w:ascii="Times New Roman" w:eastAsia="SimSun" w:hAnsi="Times New Roman" w:cs="Times New Roman"/>
          <w:lang w:val="en-GB" w:eastAsia="zh-CN"/>
          <w14:ligatures w14:val="none"/>
        </w:rPr>
        <w:t>Is there any significant impact of employee commitment on employee turnover in united bank of Africa Bayelsa State?</w:t>
      </w:r>
    </w:p>
    <w:p w14:paraId="350E3FD1" w14:textId="77777777" w:rsidR="008D3090" w:rsidRPr="008D3090" w:rsidRDefault="008D3090" w:rsidP="008D3090">
      <w:pPr>
        <w:widowControl w:val="0"/>
        <w:tabs>
          <w:tab w:val="right" w:leader="dot" w:pos="9016"/>
        </w:tabs>
        <w:spacing w:after="0" w:line="240" w:lineRule="auto"/>
        <w:jc w:val="both"/>
        <w:rPr>
          <w:rFonts w:ascii="Times New Roman" w:eastAsia="-webkit-standard" w:hAnsi="Times New Roman" w:cs="Times New Roman"/>
          <w:noProof/>
          <w:color w:val="000000"/>
          <w:lang w:val="en-GB" w:eastAsia="zh-CN"/>
          <w14:ligatures w14:val="none"/>
        </w:rPr>
      </w:pPr>
      <w:bookmarkStart w:id="73" w:name="_Toc215808605"/>
      <w:r w:rsidRPr="008D3090">
        <w:rPr>
          <w:rFonts w:ascii="Times New Roman" w:eastAsia="SimSun" w:hAnsi="Times New Roman" w:cs="Times New Roman"/>
          <w:noProof/>
          <w:lang w:val="en-GB" w:eastAsia="zh-CN"/>
          <w14:ligatures w14:val="none"/>
        </w:rPr>
        <w:t>Table 4.</w:t>
      </w:r>
      <w:r w:rsidRPr="008D3090">
        <w:rPr>
          <w:rFonts w:ascii="Times New Roman" w:eastAsia="SimSun" w:hAnsi="Times New Roman" w:cs="Times New Roman"/>
          <w:noProof/>
          <w:lang w:val="en-GB" w:eastAsia="zh-CN"/>
          <w14:ligatures w14:val="none"/>
        </w:rPr>
        <w:fldChar w:fldCharType="begin"/>
      </w:r>
      <w:r w:rsidRPr="008D3090">
        <w:rPr>
          <w:rFonts w:ascii="Times New Roman" w:eastAsia="SimSun" w:hAnsi="Times New Roman" w:cs="Times New Roman"/>
          <w:noProof/>
          <w:lang w:val="en-GB" w:eastAsia="zh-CN"/>
          <w14:ligatures w14:val="none"/>
        </w:rPr>
        <w:instrText xml:space="preserve"> SEQ Table_4. \* ARABIC </w:instrText>
      </w:r>
      <w:r w:rsidRPr="008D3090">
        <w:rPr>
          <w:rFonts w:ascii="Times New Roman" w:eastAsia="SimSun" w:hAnsi="Times New Roman" w:cs="Times New Roman"/>
          <w:noProof/>
          <w:lang w:val="en-GB" w:eastAsia="zh-CN"/>
          <w14:ligatures w14:val="none"/>
        </w:rPr>
        <w:fldChar w:fldCharType="separate"/>
      </w:r>
      <w:r w:rsidRPr="008D3090">
        <w:rPr>
          <w:rFonts w:ascii="Times New Roman" w:eastAsia="SimSun" w:hAnsi="Times New Roman" w:cs="Times New Roman"/>
          <w:noProof/>
          <w:lang w:val="en-GB" w:eastAsia="zh-CN"/>
          <w14:ligatures w14:val="none"/>
        </w:rPr>
        <w:t>6</w:t>
      </w:r>
      <w:bookmarkEnd w:id="73"/>
      <w:r w:rsidRPr="008D3090">
        <w:rPr>
          <w:rFonts w:ascii="Times New Roman" w:eastAsia="SimSun" w:hAnsi="Times New Roman" w:cs="Times New Roman"/>
          <w:noProof/>
          <w:lang w:val="en-GB" w:eastAsia="zh-CN"/>
          <w14:ligatures w14:val="none"/>
        </w:rPr>
        <w:fldChar w:fldCharType="end"/>
      </w:r>
    </w:p>
    <w:tbl>
      <w:tblPr>
        <w:tblStyle w:val="PlainTable211"/>
        <w:tblW w:w="0" w:type="auto"/>
        <w:tblLayout w:type="fixed"/>
        <w:tblLook w:val="04A0" w:firstRow="1" w:lastRow="0" w:firstColumn="1" w:lastColumn="0" w:noHBand="0" w:noVBand="1"/>
      </w:tblPr>
      <w:tblGrid>
        <w:gridCol w:w="2880"/>
        <w:gridCol w:w="2880"/>
        <w:gridCol w:w="2880"/>
      </w:tblGrid>
      <w:tr w:rsidR="008D3090" w:rsidRPr="008D3090" w14:paraId="078BACFD" w14:textId="77777777" w:rsidTr="00D00B3F">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880" w:type="dxa"/>
          </w:tcPr>
          <w:p w14:paraId="7EB30BB0" w14:textId="77777777" w:rsidR="008D3090" w:rsidRPr="008D3090" w:rsidRDefault="008D3090" w:rsidP="008D3090">
            <w:pPr>
              <w:jc w:val="both"/>
              <w:rPr>
                <w:lang w:eastAsia="zh-CN"/>
              </w:rPr>
            </w:pPr>
            <w:r w:rsidRPr="008D3090">
              <w:rPr>
                <w:rFonts w:eastAsia="-webkit-standard"/>
                <w:color w:val="000000"/>
                <w:lang w:eastAsia="zh-CN"/>
              </w:rPr>
              <w:t>Option</w:t>
            </w:r>
          </w:p>
        </w:tc>
        <w:tc>
          <w:tcPr>
            <w:tcW w:w="2880" w:type="dxa"/>
          </w:tcPr>
          <w:p w14:paraId="35D46C2E"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Frequency</w:t>
            </w:r>
          </w:p>
        </w:tc>
        <w:tc>
          <w:tcPr>
            <w:tcW w:w="2880" w:type="dxa"/>
          </w:tcPr>
          <w:p w14:paraId="3146E353"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Percentage</w:t>
            </w:r>
          </w:p>
        </w:tc>
      </w:tr>
      <w:tr w:rsidR="008D3090" w:rsidRPr="008D3090" w14:paraId="0912708C" w14:textId="77777777" w:rsidTr="00D00B3F">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880" w:type="dxa"/>
          </w:tcPr>
          <w:p w14:paraId="1478247A" w14:textId="77777777" w:rsidR="008D3090" w:rsidRPr="008D3090" w:rsidRDefault="008D3090" w:rsidP="008D3090">
            <w:pPr>
              <w:jc w:val="both"/>
              <w:rPr>
                <w:lang w:eastAsia="zh-CN"/>
              </w:rPr>
            </w:pPr>
            <w:r w:rsidRPr="008D3090">
              <w:rPr>
                <w:rFonts w:eastAsia="-webkit-standard"/>
                <w:color w:val="000000"/>
                <w:lang w:eastAsia="zh-CN"/>
              </w:rPr>
              <w:t>Strongly Agree</w:t>
            </w:r>
          </w:p>
        </w:tc>
        <w:tc>
          <w:tcPr>
            <w:tcW w:w="2880" w:type="dxa"/>
          </w:tcPr>
          <w:p w14:paraId="601C297F"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50</w:t>
            </w:r>
          </w:p>
        </w:tc>
        <w:tc>
          <w:tcPr>
            <w:tcW w:w="2880" w:type="dxa"/>
          </w:tcPr>
          <w:p w14:paraId="3370CA6C"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41.7</w:t>
            </w:r>
          </w:p>
        </w:tc>
      </w:tr>
      <w:tr w:rsidR="008D3090" w:rsidRPr="008D3090" w14:paraId="092FC826" w14:textId="77777777" w:rsidTr="00D00B3F">
        <w:trPr>
          <w:trHeight w:val="390"/>
        </w:trPr>
        <w:tc>
          <w:tcPr>
            <w:cnfStyle w:val="001000000000" w:firstRow="0" w:lastRow="0" w:firstColumn="1" w:lastColumn="0" w:oddVBand="0" w:evenVBand="0" w:oddHBand="0" w:evenHBand="0" w:firstRowFirstColumn="0" w:firstRowLastColumn="0" w:lastRowFirstColumn="0" w:lastRowLastColumn="0"/>
            <w:tcW w:w="2880" w:type="dxa"/>
          </w:tcPr>
          <w:p w14:paraId="23746023" w14:textId="77777777" w:rsidR="008D3090" w:rsidRPr="008D3090" w:rsidRDefault="008D3090" w:rsidP="008D3090">
            <w:pPr>
              <w:jc w:val="both"/>
              <w:rPr>
                <w:lang w:eastAsia="zh-CN"/>
              </w:rPr>
            </w:pPr>
            <w:r w:rsidRPr="008D3090">
              <w:rPr>
                <w:rFonts w:eastAsia="-webkit-standard"/>
                <w:color w:val="000000"/>
                <w:lang w:eastAsia="zh-CN"/>
              </w:rPr>
              <w:t>Agree</w:t>
            </w:r>
          </w:p>
        </w:tc>
        <w:tc>
          <w:tcPr>
            <w:tcW w:w="2880" w:type="dxa"/>
          </w:tcPr>
          <w:p w14:paraId="4298D7CF"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45</w:t>
            </w:r>
          </w:p>
        </w:tc>
        <w:tc>
          <w:tcPr>
            <w:tcW w:w="2880" w:type="dxa"/>
          </w:tcPr>
          <w:p w14:paraId="7C9C09C5"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37.5</w:t>
            </w:r>
          </w:p>
        </w:tc>
      </w:tr>
      <w:tr w:rsidR="008D3090" w:rsidRPr="008D3090" w14:paraId="2610AA9E" w14:textId="77777777" w:rsidTr="00D00B3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80" w:type="dxa"/>
          </w:tcPr>
          <w:p w14:paraId="091E1DC5" w14:textId="77777777" w:rsidR="008D3090" w:rsidRPr="008D3090" w:rsidRDefault="008D3090" w:rsidP="008D3090">
            <w:pPr>
              <w:jc w:val="both"/>
              <w:rPr>
                <w:lang w:eastAsia="zh-CN"/>
              </w:rPr>
            </w:pPr>
            <w:r w:rsidRPr="008D3090">
              <w:rPr>
                <w:rFonts w:eastAsia="-webkit-standard"/>
                <w:color w:val="000000"/>
                <w:lang w:eastAsia="zh-CN"/>
              </w:rPr>
              <w:t>Disagree</w:t>
            </w:r>
          </w:p>
        </w:tc>
        <w:tc>
          <w:tcPr>
            <w:tcW w:w="2880" w:type="dxa"/>
          </w:tcPr>
          <w:p w14:paraId="6368B860"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w:t>
            </w:r>
          </w:p>
        </w:tc>
        <w:tc>
          <w:tcPr>
            <w:tcW w:w="2880" w:type="dxa"/>
          </w:tcPr>
          <w:p w14:paraId="4376225A"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8.3</w:t>
            </w:r>
          </w:p>
        </w:tc>
      </w:tr>
      <w:tr w:rsidR="008D3090" w:rsidRPr="008D3090" w14:paraId="0CF91766" w14:textId="77777777" w:rsidTr="00D00B3F">
        <w:trPr>
          <w:trHeight w:val="375"/>
        </w:trPr>
        <w:tc>
          <w:tcPr>
            <w:cnfStyle w:val="001000000000" w:firstRow="0" w:lastRow="0" w:firstColumn="1" w:lastColumn="0" w:oddVBand="0" w:evenVBand="0" w:oddHBand="0" w:evenHBand="0" w:firstRowFirstColumn="0" w:firstRowLastColumn="0" w:lastRowFirstColumn="0" w:lastRowLastColumn="0"/>
            <w:tcW w:w="2880" w:type="dxa"/>
          </w:tcPr>
          <w:p w14:paraId="686E33A8" w14:textId="77777777" w:rsidR="008D3090" w:rsidRPr="008D3090" w:rsidRDefault="008D3090" w:rsidP="008D3090">
            <w:pPr>
              <w:jc w:val="both"/>
              <w:rPr>
                <w:lang w:eastAsia="zh-CN"/>
              </w:rPr>
            </w:pPr>
            <w:r w:rsidRPr="008D3090">
              <w:rPr>
                <w:rFonts w:eastAsia="-webkit-standard"/>
                <w:color w:val="000000"/>
                <w:lang w:eastAsia="zh-CN"/>
              </w:rPr>
              <w:t>Strongly Disagree</w:t>
            </w:r>
          </w:p>
        </w:tc>
        <w:tc>
          <w:tcPr>
            <w:tcW w:w="2880" w:type="dxa"/>
          </w:tcPr>
          <w:p w14:paraId="66C0A013"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15</w:t>
            </w:r>
          </w:p>
        </w:tc>
        <w:tc>
          <w:tcPr>
            <w:tcW w:w="2880" w:type="dxa"/>
          </w:tcPr>
          <w:p w14:paraId="06C9F643"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12.5</w:t>
            </w:r>
          </w:p>
        </w:tc>
      </w:tr>
      <w:tr w:rsidR="008D3090" w:rsidRPr="008D3090" w14:paraId="6573788E" w14:textId="77777777" w:rsidTr="00D00B3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80" w:type="dxa"/>
          </w:tcPr>
          <w:p w14:paraId="4B035A3A" w14:textId="77777777" w:rsidR="008D3090" w:rsidRPr="008D3090" w:rsidRDefault="008D3090" w:rsidP="008D3090">
            <w:pPr>
              <w:jc w:val="both"/>
              <w:rPr>
                <w:lang w:eastAsia="zh-CN"/>
              </w:rPr>
            </w:pPr>
            <w:r w:rsidRPr="008D3090">
              <w:rPr>
                <w:rFonts w:eastAsia="-webkit-standard"/>
                <w:color w:val="000000"/>
                <w:lang w:eastAsia="zh-CN"/>
              </w:rPr>
              <w:t>Total</w:t>
            </w:r>
          </w:p>
        </w:tc>
        <w:tc>
          <w:tcPr>
            <w:tcW w:w="2880" w:type="dxa"/>
          </w:tcPr>
          <w:p w14:paraId="5AA9496C"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2880" w:type="dxa"/>
          </w:tcPr>
          <w:p w14:paraId="2B7292B8"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rFonts w:eastAsia="-webkit-standard"/>
                <w:color w:val="000000"/>
                <w:lang w:eastAsia="zh-CN"/>
              </w:rPr>
              <w:t>100%</w:t>
            </w:r>
          </w:p>
        </w:tc>
      </w:tr>
    </w:tbl>
    <w:p w14:paraId="19E4C604"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i/>
          <w:color w:val="000000"/>
          <w:lang w:val="en-GB" w:eastAsia="zh-CN"/>
          <w14:ligatures w14:val="none"/>
        </w:rPr>
        <w:t>Source; Field survey 2026</w:t>
      </w:r>
    </w:p>
    <w:p w14:paraId="788D468A"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In the table above, 50 respondents representing 41.7% strongly agree that there</w:t>
      </w:r>
      <w:r w:rsidRPr="008D3090">
        <w:rPr>
          <w:rFonts w:ascii="Times New Roman" w:eastAsia="SimSun" w:hAnsi="Times New Roman" w:cs="Times New Roman"/>
          <w:lang w:val="en-GB" w:eastAsia="zh-CN"/>
          <w14:ligatures w14:val="none"/>
        </w:rPr>
        <w:t xml:space="preserve"> is a significant impact of employee commitment on employee turnover in united bank of Africa Bayelsa State.</w:t>
      </w:r>
      <w:r w:rsidRPr="008D3090">
        <w:rPr>
          <w:rFonts w:ascii="Times New Roman" w:eastAsia="-webkit-standard" w:hAnsi="Times New Roman" w:cs="Times New Roman"/>
          <w:color w:val="000000"/>
          <w:lang w:val="en-GB" w:eastAsia="zh-CN"/>
          <w14:ligatures w14:val="none"/>
        </w:rPr>
        <w:t xml:space="preserve"> 45 respondent which </w:t>
      </w:r>
      <w:r w:rsidRPr="008D3090">
        <w:rPr>
          <w:rFonts w:ascii="Times New Roman" w:eastAsia="-webkit-standard" w:hAnsi="Times New Roman" w:cs="Times New Roman"/>
          <w:color w:val="000000"/>
          <w:lang w:val="en-GB" w:eastAsia="zh-CN"/>
          <w14:ligatures w14:val="none"/>
        </w:rPr>
        <w:lastRenderedPageBreak/>
        <w:t>represent 37.5% of the respondent agree, 10 respondent which represent 8.3% disagree to this fact, while 15 respondent which represent 12.5% of the respondent strongly disagree.</w:t>
      </w:r>
    </w:p>
    <w:p w14:paraId="5ED81A16"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color w:val="000000"/>
          <w:lang w:val="en-GB" w:eastAsia="zh-CN"/>
          <w14:ligatures w14:val="none"/>
        </w:rPr>
        <w:t xml:space="preserve">Question 3: </w:t>
      </w:r>
      <w:r w:rsidRPr="008D3090">
        <w:rPr>
          <w:rFonts w:ascii="Times New Roman" w:eastAsia="SimSun" w:hAnsi="Times New Roman" w:cs="Times New Roman"/>
          <w:lang w:val="en-GB" w:eastAsia="zh-CN"/>
          <w14:ligatures w14:val="none"/>
        </w:rPr>
        <w:t>Does recognition and reward play a significant role in enhancing employee commitment in United Bank for Africa Bayelsa State?</w:t>
      </w:r>
    </w:p>
    <w:p w14:paraId="236DA4DF" w14:textId="77777777" w:rsidR="008D3090" w:rsidRPr="008D3090" w:rsidRDefault="008D3090" w:rsidP="008D3090">
      <w:pPr>
        <w:widowControl w:val="0"/>
        <w:tabs>
          <w:tab w:val="right" w:leader="dot" w:pos="9016"/>
        </w:tabs>
        <w:spacing w:after="0" w:line="240" w:lineRule="auto"/>
        <w:jc w:val="both"/>
        <w:rPr>
          <w:rFonts w:ascii="Times New Roman" w:eastAsia="-webkit-standard" w:hAnsi="Times New Roman" w:cs="Times New Roman"/>
          <w:noProof/>
          <w:color w:val="000000"/>
          <w:lang w:val="en-GB" w:eastAsia="zh-CN"/>
          <w14:ligatures w14:val="none"/>
        </w:rPr>
      </w:pPr>
      <w:bookmarkStart w:id="74" w:name="_Toc215808606"/>
      <w:r w:rsidRPr="008D3090">
        <w:rPr>
          <w:rFonts w:ascii="Times New Roman" w:eastAsia="SimSun" w:hAnsi="Times New Roman" w:cs="Times New Roman"/>
          <w:noProof/>
          <w:lang w:val="en-GB" w:eastAsia="zh-CN"/>
          <w14:ligatures w14:val="none"/>
        </w:rPr>
        <w:t>Table 4.</w:t>
      </w:r>
      <w:r w:rsidRPr="008D3090">
        <w:rPr>
          <w:rFonts w:ascii="Times New Roman" w:eastAsia="SimSun" w:hAnsi="Times New Roman" w:cs="Times New Roman"/>
          <w:noProof/>
          <w:lang w:val="en-GB" w:eastAsia="zh-CN"/>
          <w14:ligatures w14:val="none"/>
        </w:rPr>
        <w:fldChar w:fldCharType="begin"/>
      </w:r>
      <w:r w:rsidRPr="008D3090">
        <w:rPr>
          <w:rFonts w:ascii="Times New Roman" w:eastAsia="SimSun" w:hAnsi="Times New Roman" w:cs="Times New Roman"/>
          <w:noProof/>
          <w:lang w:val="en-GB" w:eastAsia="zh-CN"/>
          <w14:ligatures w14:val="none"/>
        </w:rPr>
        <w:instrText xml:space="preserve"> SEQ Table_4. \* ARABIC </w:instrText>
      </w:r>
      <w:r w:rsidRPr="008D3090">
        <w:rPr>
          <w:rFonts w:ascii="Times New Roman" w:eastAsia="SimSun" w:hAnsi="Times New Roman" w:cs="Times New Roman"/>
          <w:noProof/>
          <w:lang w:val="en-GB" w:eastAsia="zh-CN"/>
          <w14:ligatures w14:val="none"/>
        </w:rPr>
        <w:fldChar w:fldCharType="separate"/>
      </w:r>
      <w:r w:rsidRPr="008D3090">
        <w:rPr>
          <w:rFonts w:ascii="Times New Roman" w:eastAsia="SimSun" w:hAnsi="Times New Roman" w:cs="Times New Roman"/>
          <w:noProof/>
          <w:lang w:val="en-GB" w:eastAsia="zh-CN"/>
          <w14:ligatures w14:val="none"/>
        </w:rPr>
        <w:t>7</w:t>
      </w:r>
      <w:bookmarkEnd w:id="74"/>
      <w:r w:rsidRPr="008D3090">
        <w:rPr>
          <w:rFonts w:ascii="Times New Roman" w:eastAsia="SimSun" w:hAnsi="Times New Roman" w:cs="Times New Roman"/>
          <w:noProof/>
          <w:lang w:val="en-GB" w:eastAsia="zh-CN"/>
          <w14:ligatures w14:val="none"/>
        </w:rPr>
        <w:fldChar w:fldCharType="end"/>
      </w:r>
    </w:p>
    <w:tbl>
      <w:tblPr>
        <w:tblStyle w:val="PlainTable211"/>
        <w:tblW w:w="0" w:type="auto"/>
        <w:jc w:val="center"/>
        <w:tblLayout w:type="fixed"/>
        <w:tblLook w:val="04A0" w:firstRow="1" w:lastRow="0" w:firstColumn="1" w:lastColumn="0" w:noHBand="0" w:noVBand="1"/>
      </w:tblPr>
      <w:tblGrid>
        <w:gridCol w:w="2880"/>
        <w:gridCol w:w="2880"/>
        <w:gridCol w:w="2880"/>
      </w:tblGrid>
      <w:tr w:rsidR="008D3090" w:rsidRPr="008D3090" w14:paraId="035658F4" w14:textId="77777777" w:rsidTr="00D00B3F">
        <w:trPr>
          <w:cnfStyle w:val="100000000000" w:firstRow="1" w:lastRow="0" w:firstColumn="0" w:lastColumn="0" w:oddVBand="0" w:evenVBand="0" w:oddHBand="0" w:evenHBand="0" w:firstRowFirstColumn="0" w:firstRowLastColumn="0" w:lastRowFirstColumn="0" w:lastRowLastColumn="0"/>
          <w:trHeight w:val="215"/>
          <w:jc w:val="center"/>
        </w:trPr>
        <w:tc>
          <w:tcPr>
            <w:cnfStyle w:val="001000000000" w:firstRow="0" w:lastRow="0" w:firstColumn="1" w:lastColumn="0" w:oddVBand="0" w:evenVBand="0" w:oddHBand="0" w:evenHBand="0" w:firstRowFirstColumn="0" w:firstRowLastColumn="0" w:lastRowFirstColumn="0" w:lastRowLastColumn="0"/>
            <w:tcW w:w="2880" w:type="dxa"/>
          </w:tcPr>
          <w:p w14:paraId="405AC18C" w14:textId="77777777" w:rsidR="008D3090" w:rsidRPr="008D3090" w:rsidRDefault="008D3090" w:rsidP="008D3090">
            <w:pPr>
              <w:jc w:val="both"/>
              <w:rPr>
                <w:lang w:eastAsia="zh-CN"/>
              </w:rPr>
            </w:pPr>
            <w:r w:rsidRPr="008D3090">
              <w:rPr>
                <w:rFonts w:eastAsia="-webkit-standard"/>
                <w:color w:val="000000"/>
                <w:lang w:eastAsia="zh-CN"/>
              </w:rPr>
              <w:t>Option</w:t>
            </w:r>
          </w:p>
        </w:tc>
        <w:tc>
          <w:tcPr>
            <w:tcW w:w="2880" w:type="dxa"/>
          </w:tcPr>
          <w:p w14:paraId="74BFFD16"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Frequency</w:t>
            </w:r>
          </w:p>
        </w:tc>
        <w:tc>
          <w:tcPr>
            <w:tcW w:w="2880" w:type="dxa"/>
          </w:tcPr>
          <w:p w14:paraId="045D1E0C"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color w:val="000000"/>
                <w:lang w:eastAsia="zh-CN"/>
              </w:rPr>
              <w:t>Percentage</w:t>
            </w:r>
          </w:p>
        </w:tc>
      </w:tr>
      <w:tr w:rsidR="008D3090" w:rsidRPr="008D3090" w14:paraId="5E85D8F1" w14:textId="77777777" w:rsidTr="00D00B3F">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2880" w:type="dxa"/>
          </w:tcPr>
          <w:p w14:paraId="229F2AA9" w14:textId="77777777" w:rsidR="008D3090" w:rsidRPr="008D3090" w:rsidRDefault="008D3090" w:rsidP="008D3090">
            <w:pPr>
              <w:jc w:val="both"/>
              <w:rPr>
                <w:lang w:eastAsia="zh-CN"/>
              </w:rPr>
            </w:pPr>
            <w:r w:rsidRPr="008D3090">
              <w:rPr>
                <w:rFonts w:eastAsia="-webkit-standard"/>
                <w:color w:val="000000"/>
                <w:lang w:eastAsia="zh-CN"/>
              </w:rPr>
              <w:t>Strongly Agree</w:t>
            </w:r>
          </w:p>
        </w:tc>
        <w:tc>
          <w:tcPr>
            <w:tcW w:w="2880" w:type="dxa"/>
          </w:tcPr>
          <w:p w14:paraId="4F345AB4"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60</w:t>
            </w:r>
          </w:p>
        </w:tc>
        <w:tc>
          <w:tcPr>
            <w:tcW w:w="2880" w:type="dxa"/>
          </w:tcPr>
          <w:p w14:paraId="268885E8"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50</w:t>
            </w:r>
          </w:p>
        </w:tc>
      </w:tr>
      <w:tr w:rsidR="008D3090" w:rsidRPr="008D3090" w14:paraId="6048FAC8" w14:textId="77777777" w:rsidTr="00D00B3F">
        <w:trPr>
          <w:trHeight w:val="243"/>
          <w:jc w:val="center"/>
        </w:trPr>
        <w:tc>
          <w:tcPr>
            <w:cnfStyle w:val="001000000000" w:firstRow="0" w:lastRow="0" w:firstColumn="1" w:lastColumn="0" w:oddVBand="0" w:evenVBand="0" w:oddHBand="0" w:evenHBand="0" w:firstRowFirstColumn="0" w:firstRowLastColumn="0" w:lastRowFirstColumn="0" w:lastRowLastColumn="0"/>
            <w:tcW w:w="2880" w:type="dxa"/>
          </w:tcPr>
          <w:p w14:paraId="4FE07037" w14:textId="77777777" w:rsidR="008D3090" w:rsidRPr="008D3090" w:rsidRDefault="008D3090" w:rsidP="008D3090">
            <w:pPr>
              <w:jc w:val="both"/>
              <w:rPr>
                <w:lang w:eastAsia="zh-CN"/>
              </w:rPr>
            </w:pPr>
            <w:r w:rsidRPr="008D3090">
              <w:rPr>
                <w:rFonts w:eastAsia="-webkit-standard"/>
                <w:color w:val="000000"/>
                <w:lang w:eastAsia="zh-CN"/>
              </w:rPr>
              <w:t>Agree</w:t>
            </w:r>
          </w:p>
        </w:tc>
        <w:tc>
          <w:tcPr>
            <w:tcW w:w="2880" w:type="dxa"/>
          </w:tcPr>
          <w:p w14:paraId="703DBF93"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40</w:t>
            </w:r>
          </w:p>
        </w:tc>
        <w:tc>
          <w:tcPr>
            <w:tcW w:w="2880" w:type="dxa"/>
          </w:tcPr>
          <w:p w14:paraId="0BEB6331"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33.4</w:t>
            </w:r>
          </w:p>
        </w:tc>
      </w:tr>
      <w:tr w:rsidR="008D3090" w:rsidRPr="008D3090" w14:paraId="19687AA3" w14:textId="77777777" w:rsidTr="00D00B3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2880" w:type="dxa"/>
          </w:tcPr>
          <w:p w14:paraId="6AC9BC65" w14:textId="77777777" w:rsidR="008D3090" w:rsidRPr="008D3090" w:rsidRDefault="008D3090" w:rsidP="008D3090">
            <w:pPr>
              <w:jc w:val="both"/>
              <w:rPr>
                <w:lang w:eastAsia="zh-CN"/>
              </w:rPr>
            </w:pPr>
            <w:r w:rsidRPr="008D3090">
              <w:rPr>
                <w:rFonts w:eastAsia="-webkit-standard"/>
                <w:color w:val="000000"/>
                <w:lang w:eastAsia="zh-CN"/>
              </w:rPr>
              <w:t>Disagree</w:t>
            </w:r>
          </w:p>
        </w:tc>
        <w:tc>
          <w:tcPr>
            <w:tcW w:w="2880" w:type="dxa"/>
          </w:tcPr>
          <w:p w14:paraId="584D648D"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w:t>
            </w:r>
          </w:p>
        </w:tc>
        <w:tc>
          <w:tcPr>
            <w:tcW w:w="2880" w:type="dxa"/>
          </w:tcPr>
          <w:p w14:paraId="2C176AC9"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8.3</w:t>
            </w:r>
          </w:p>
        </w:tc>
      </w:tr>
      <w:tr w:rsidR="008D3090" w:rsidRPr="008D3090" w14:paraId="3DAC9A33" w14:textId="77777777" w:rsidTr="00D00B3F">
        <w:trPr>
          <w:trHeight w:val="330"/>
          <w:jc w:val="center"/>
        </w:trPr>
        <w:tc>
          <w:tcPr>
            <w:cnfStyle w:val="001000000000" w:firstRow="0" w:lastRow="0" w:firstColumn="1" w:lastColumn="0" w:oddVBand="0" w:evenVBand="0" w:oddHBand="0" w:evenHBand="0" w:firstRowFirstColumn="0" w:firstRowLastColumn="0" w:lastRowFirstColumn="0" w:lastRowLastColumn="0"/>
            <w:tcW w:w="2880" w:type="dxa"/>
          </w:tcPr>
          <w:p w14:paraId="58357BFB" w14:textId="77777777" w:rsidR="008D3090" w:rsidRPr="008D3090" w:rsidRDefault="008D3090" w:rsidP="008D3090">
            <w:pPr>
              <w:jc w:val="both"/>
              <w:rPr>
                <w:lang w:eastAsia="zh-CN"/>
              </w:rPr>
            </w:pPr>
            <w:r w:rsidRPr="008D3090">
              <w:rPr>
                <w:rFonts w:eastAsia="-webkit-standard"/>
                <w:color w:val="000000"/>
                <w:lang w:eastAsia="zh-CN"/>
              </w:rPr>
              <w:t>Strongly Disagree</w:t>
            </w:r>
          </w:p>
        </w:tc>
        <w:tc>
          <w:tcPr>
            <w:tcW w:w="2880" w:type="dxa"/>
          </w:tcPr>
          <w:p w14:paraId="16E231F0"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10</w:t>
            </w:r>
          </w:p>
        </w:tc>
        <w:tc>
          <w:tcPr>
            <w:tcW w:w="2880" w:type="dxa"/>
          </w:tcPr>
          <w:p w14:paraId="7EA29149"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8.3</w:t>
            </w:r>
          </w:p>
        </w:tc>
      </w:tr>
      <w:tr w:rsidR="008D3090" w:rsidRPr="008D3090" w14:paraId="21CEF764" w14:textId="77777777" w:rsidTr="00D00B3F">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880" w:type="dxa"/>
          </w:tcPr>
          <w:p w14:paraId="21A479F6" w14:textId="77777777" w:rsidR="008D3090" w:rsidRPr="008D3090" w:rsidRDefault="008D3090" w:rsidP="008D3090">
            <w:pPr>
              <w:jc w:val="both"/>
              <w:rPr>
                <w:lang w:eastAsia="zh-CN"/>
              </w:rPr>
            </w:pPr>
            <w:r w:rsidRPr="008D3090">
              <w:rPr>
                <w:rFonts w:eastAsia="-webkit-standard"/>
                <w:color w:val="000000"/>
                <w:lang w:eastAsia="zh-CN"/>
              </w:rPr>
              <w:t>Total</w:t>
            </w:r>
          </w:p>
        </w:tc>
        <w:tc>
          <w:tcPr>
            <w:tcW w:w="2880" w:type="dxa"/>
          </w:tcPr>
          <w:p w14:paraId="3DE78744"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2880" w:type="dxa"/>
          </w:tcPr>
          <w:p w14:paraId="763D1EAE"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rFonts w:eastAsia="-webkit-standard"/>
                <w:color w:val="000000"/>
                <w:lang w:eastAsia="zh-CN"/>
              </w:rPr>
              <w:t>100%</w:t>
            </w:r>
          </w:p>
        </w:tc>
      </w:tr>
    </w:tbl>
    <w:p w14:paraId="1BF58CAD"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i/>
          <w:color w:val="000000"/>
          <w:lang w:val="en-GB" w:eastAsia="zh-CN"/>
          <w14:ligatures w14:val="none"/>
        </w:rPr>
        <w:t>Source; Field survey 2026</w:t>
      </w:r>
    </w:p>
    <w:p w14:paraId="3622780E"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In the table above, 60 respondents representing 50% strongly agree that</w:t>
      </w:r>
      <w:r w:rsidRPr="008D3090">
        <w:rPr>
          <w:rFonts w:ascii="Times New Roman" w:eastAsia="SimSun" w:hAnsi="Times New Roman" w:cs="Times New Roman"/>
          <w:lang w:val="en-GB" w:eastAsia="zh-CN"/>
          <w14:ligatures w14:val="none"/>
        </w:rPr>
        <w:t xml:space="preserve"> recognition and reward play a significant role in enhancing employee commitment in United Bank for Africa Bayelsa State,</w:t>
      </w:r>
      <w:r w:rsidRPr="008D3090">
        <w:rPr>
          <w:rFonts w:ascii="Times New Roman" w:eastAsia="-webkit-standard" w:hAnsi="Times New Roman" w:cs="Times New Roman"/>
          <w:color w:val="000000"/>
          <w:lang w:val="en-GB" w:eastAsia="zh-CN"/>
          <w14:ligatures w14:val="none"/>
        </w:rPr>
        <w:t xml:space="preserve"> 40 respondent which represent 33.4% of the respondent agree, 10 respondent which represent 8.3% disagree to this fact, while 10 respondent which represent 8.3% of the respondent strongly disagree.</w:t>
      </w:r>
    </w:p>
    <w:p w14:paraId="63647532"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75" w:name="_Toc215808589"/>
      <w:r w:rsidRPr="008D3090">
        <w:rPr>
          <w:rFonts w:ascii="Times New Roman" w:eastAsia="SimSun" w:hAnsi="Times New Roman" w:cs="Times New Roman"/>
          <w:b/>
          <w:lang w:val="en-GB" w:eastAsia="zh-CN"/>
          <w14:ligatures w14:val="none"/>
        </w:rPr>
        <w:t>4.4 Testing of Hypothesis</w:t>
      </w:r>
      <w:bookmarkEnd w:id="75"/>
    </w:p>
    <w:p w14:paraId="1FF0DD47"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color w:val="000000"/>
          <w:lang w:val="en-GB" w:eastAsia="zh-CN"/>
          <w14:ligatures w14:val="none"/>
        </w:rPr>
        <w:t xml:space="preserve">Hypotheses I </w:t>
      </w:r>
      <w:r w:rsidRPr="008D3090">
        <w:rPr>
          <w:rFonts w:ascii="Times New Roman" w:eastAsia="SimSun" w:hAnsi="Times New Roman" w:cs="Times New Roman"/>
          <w:lang w:val="en-GB" w:eastAsia="zh-CN"/>
          <w14:ligatures w14:val="none"/>
        </w:rPr>
        <w:t>Employee training and development initiatives influence commitment levels in United Bank for Africa Bayelsa State</w:t>
      </w:r>
    </w:p>
    <w:p w14:paraId="7665A5A9" w14:textId="77777777" w:rsidR="008D3090" w:rsidRPr="008D3090" w:rsidRDefault="008D3090" w:rsidP="008D3090">
      <w:pPr>
        <w:spacing w:line="240" w:lineRule="auto"/>
        <w:rPr>
          <w:rFonts w:ascii="Times New Roman" w:eastAsia="SimSun" w:hAnsi="Times New Roman" w:cs="Times New Roman"/>
          <w:b/>
          <w:iCs/>
          <w:szCs w:val="18"/>
          <w:lang w:val="en-GB" w:eastAsia="zh-CN"/>
          <w14:ligatures w14:val="none"/>
        </w:rPr>
      </w:pPr>
      <w:bookmarkStart w:id="76" w:name="_Toc215808607"/>
      <w:r w:rsidRPr="008D3090">
        <w:rPr>
          <w:rFonts w:ascii="Times New Roman" w:eastAsia="SimSun" w:hAnsi="Times New Roman" w:cs="Times New Roman"/>
          <w:lang w:val="en-GB" w:eastAsia="zh-CN"/>
          <w14:ligatures w14:val="none"/>
        </w:rPr>
        <w:t>Table 4.</w:t>
      </w:r>
      <w:r w:rsidRPr="008D3090">
        <w:rPr>
          <w:rFonts w:ascii="Times New Roman" w:eastAsia="SimSun" w:hAnsi="Times New Roman" w:cs="Times New Roman"/>
          <w:lang w:val="en-GB" w:eastAsia="zh-CN"/>
          <w14:ligatures w14:val="none"/>
        </w:rPr>
        <w:fldChar w:fldCharType="begin"/>
      </w:r>
      <w:r w:rsidRPr="008D3090">
        <w:rPr>
          <w:rFonts w:ascii="Times New Roman" w:eastAsia="SimSun" w:hAnsi="Times New Roman" w:cs="Times New Roman"/>
          <w:lang w:val="en-GB" w:eastAsia="zh-CN"/>
          <w14:ligatures w14:val="none"/>
        </w:rPr>
        <w:instrText xml:space="preserve"> SEQ Table_4. \* ARABIC </w:instrText>
      </w:r>
      <w:r w:rsidRPr="008D3090">
        <w:rPr>
          <w:rFonts w:ascii="Times New Roman" w:eastAsia="SimSun" w:hAnsi="Times New Roman" w:cs="Times New Roman"/>
          <w:lang w:val="en-GB" w:eastAsia="zh-CN"/>
          <w14:ligatures w14:val="none"/>
        </w:rPr>
        <w:fldChar w:fldCharType="separate"/>
      </w:r>
      <w:r w:rsidRPr="008D3090">
        <w:rPr>
          <w:rFonts w:ascii="Times New Roman" w:eastAsia="SimSun" w:hAnsi="Times New Roman" w:cs="Times New Roman"/>
          <w:lang w:val="en-GB" w:eastAsia="zh-CN"/>
          <w14:ligatures w14:val="none"/>
        </w:rPr>
        <w:t>8</w:t>
      </w:r>
      <w:r w:rsidRPr="008D3090">
        <w:rPr>
          <w:rFonts w:ascii="Times New Roman" w:eastAsia="SimSun" w:hAnsi="Times New Roman" w:cs="Times New Roman"/>
          <w:lang w:val="en-GB" w:eastAsia="zh-CN"/>
          <w14:ligatures w14:val="none"/>
        </w:rPr>
        <w:fldChar w:fldCharType="end"/>
      </w:r>
      <w:r w:rsidRPr="008D3090">
        <w:rPr>
          <w:rFonts w:ascii="Times New Roman" w:eastAsia="SimSun" w:hAnsi="Times New Roman" w:cs="Times New Roman"/>
          <w:lang w:val="en-GB" w:eastAsia="zh-CN"/>
          <w14:ligatures w14:val="none"/>
        </w:rPr>
        <w:t xml:space="preserve"> </w:t>
      </w:r>
      <w:r w:rsidRPr="008D3090">
        <w:rPr>
          <w:rFonts w:ascii="Times New Roman" w:eastAsia="-webkit-standard" w:hAnsi="Times New Roman" w:cs="Times New Roman"/>
          <w:color w:val="000000"/>
          <w:lang w:val="en-GB" w:eastAsia="zh-CN"/>
          <w14:ligatures w14:val="none"/>
        </w:rPr>
        <w:t>Chi-square x</w:t>
      </w:r>
      <w:r w:rsidRPr="008D3090">
        <w:rPr>
          <w:rFonts w:ascii="Times New Roman" w:eastAsia="-webkit-standard" w:hAnsi="Times New Roman" w:cs="Times New Roman"/>
          <w:color w:val="000000"/>
          <w:vertAlign w:val="superscript"/>
          <w:lang w:val="en-GB" w:eastAsia="zh-CN"/>
          <w14:ligatures w14:val="none"/>
        </w:rPr>
        <w:t>22</w:t>
      </w:r>
      <w:bookmarkEnd w:id="76"/>
      <w:r w:rsidRPr="008D3090">
        <w:rPr>
          <w:rFonts w:ascii="Times New Roman" w:eastAsia="-webkit-standard" w:hAnsi="Times New Roman" w:cs="Times New Roman"/>
          <w:color w:val="000000"/>
          <w:vertAlign w:val="superscript"/>
          <w:lang w:val="en-GB" w:eastAsia="zh-CN"/>
          <w14:ligatures w14:val="none"/>
        </w:rPr>
        <w:t> </w:t>
      </w:r>
    </w:p>
    <w:tbl>
      <w:tblPr>
        <w:tblStyle w:val="PlainTable211"/>
        <w:tblW w:w="0" w:type="auto"/>
        <w:jc w:val="center"/>
        <w:tblLayout w:type="fixed"/>
        <w:tblLook w:val="04A0" w:firstRow="1" w:lastRow="0" w:firstColumn="1" w:lastColumn="0" w:noHBand="0" w:noVBand="1"/>
      </w:tblPr>
      <w:tblGrid>
        <w:gridCol w:w="1866"/>
        <w:gridCol w:w="1440"/>
        <w:gridCol w:w="1440"/>
        <w:gridCol w:w="1440"/>
        <w:gridCol w:w="1440"/>
        <w:gridCol w:w="1440"/>
      </w:tblGrid>
      <w:tr w:rsidR="008D3090" w:rsidRPr="008D3090" w14:paraId="0678C972" w14:textId="77777777" w:rsidTr="00D00B3F">
        <w:trPr>
          <w:cnfStyle w:val="100000000000" w:firstRow="1" w:lastRow="0" w:firstColumn="0" w:lastColumn="0" w:oddVBand="0" w:evenVBand="0" w:oddHBand="0"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1866" w:type="dxa"/>
          </w:tcPr>
          <w:p w14:paraId="34913F6E" w14:textId="77777777" w:rsidR="008D3090" w:rsidRPr="008D3090" w:rsidRDefault="008D3090" w:rsidP="008D3090">
            <w:pPr>
              <w:jc w:val="both"/>
              <w:rPr>
                <w:lang w:eastAsia="zh-CN"/>
              </w:rPr>
            </w:pPr>
            <w:r w:rsidRPr="008D3090">
              <w:rPr>
                <w:rFonts w:eastAsia="-webkit-standard"/>
                <w:lang w:eastAsia="zh-CN"/>
              </w:rPr>
              <w:t>Response </w:t>
            </w:r>
          </w:p>
        </w:tc>
        <w:tc>
          <w:tcPr>
            <w:tcW w:w="1440" w:type="dxa"/>
          </w:tcPr>
          <w:p w14:paraId="433B1C54"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w:t>
            </w:r>
          </w:p>
        </w:tc>
        <w:tc>
          <w:tcPr>
            <w:tcW w:w="1440" w:type="dxa"/>
          </w:tcPr>
          <w:p w14:paraId="4DBA934A"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Fe </w:t>
            </w:r>
          </w:p>
        </w:tc>
        <w:tc>
          <w:tcPr>
            <w:tcW w:w="1440" w:type="dxa"/>
          </w:tcPr>
          <w:p w14:paraId="09B15062"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 Fe</w:t>
            </w:r>
          </w:p>
        </w:tc>
        <w:tc>
          <w:tcPr>
            <w:tcW w:w="1440" w:type="dxa"/>
          </w:tcPr>
          <w:p w14:paraId="7265728D"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–Fe)</w:t>
            </w:r>
            <w:r w:rsidRPr="008D3090">
              <w:rPr>
                <w:rFonts w:eastAsia="-webkit-standard"/>
                <w:vertAlign w:val="superscript"/>
                <w:lang w:eastAsia="zh-CN"/>
              </w:rPr>
              <w:t>2</w:t>
            </w:r>
          </w:p>
        </w:tc>
        <w:tc>
          <w:tcPr>
            <w:tcW w:w="1440" w:type="dxa"/>
          </w:tcPr>
          <w:p w14:paraId="38E878D8" w14:textId="77777777" w:rsidR="008D3090" w:rsidRPr="008D3090" w:rsidRDefault="008D3090" w:rsidP="008D3090">
            <w:pPr>
              <w:pBdr>
                <w:top w:val="none" w:sz="0" w:space="0" w:color="000000"/>
                <w:left w:val="none" w:sz="0" w:space="0" w:color="000000"/>
                <w:bottom w:val="single" w:sz="2" w:space="0" w:color="000000"/>
                <w:right w:val="none" w:sz="0" w:space="0" w:color="000000"/>
              </w:pBd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 Fe)</w:t>
            </w:r>
            <w:r w:rsidRPr="008D3090">
              <w:rPr>
                <w:rFonts w:eastAsia="-webkit-standard"/>
                <w:vertAlign w:val="superscript"/>
                <w:lang w:eastAsia="zh-CN"/>
              </w:rPr>
              <w:t>2</w:t>
            </w:r>
          </w:p>
          <w:p w14:paraId="4970C66B"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vertAlign w:val="superscript"/>
                <w:lang w:eastAsia="zh-CN"/>
              </w:rPr>
              <w:t>      </w:t>
            </w:r>
            <w:r w:rsidRPr="008D3090">
              <w:rPr>
                <w:rFonts w:eastAsia="-webkit-standard"/>
                <w:lang w:eastAsia="zh-CN"/>
              </w:rPr>
              <w:t>Fe</w:t>
            </w:r>
          </w:p>
        </w:tc>
      </w:tr>
      <w:tr w:rsidR="008D3090" w:rsidRPr="008D3090" w14:paraId="3A50F0CC" w14:textId="77777777" w:rsidTr="00D00B3F">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1866" w:type="dxa"/>
          </w:tcPr>
          <w:p w14:paraId="62D4D455" w14:textId="77777777" w:rsidR="008D3090" w:rsidRPr="008D3090" w:rsidRDefault="008D3090" w:rsidP="008D3090">
            <w:pPr>
              <w:jc w:val="both"/>
              <w:rPr>
                <w:lang w:eastAsia="zh-CN"/>
              </w:rPr>
            </w:pPr>
            <w:r w:rsidRPr="008D3090">
              <w:rPr>
                <w:rFonts w:eastAsia="-webkit-standard"/>
                <w:lang w:eastAsia="zh-CN"/>
              </w:rPr>
              <w:t>Agree</w:t>
            </w:r>
          </w:p>
        </w:tc>
        <w:tc>
          <w:tcPr>
            <w:tcW w:w="1440" w:type="dxa"/>
          </w:tcPr>
          <w:p w14:paraId="19E2AA61"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70</w:t>
            </w:r>
          </w:p>
        </w:tc>
        <w:tc>
          <w:tcPr>
            <w:tcW w:w="1440" w:type="dxa"/>
          </w:tcPr>
          <w:p w14:paraId="27AF1B7D"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60</w:t>
            </w:r>
          </w:p>
        </w:tc>
        <w:tc>
          <w:tcPr>
            <w:tcW w:w="1440" w:type="dxa"/>
          </w:tcPr>
          <w:p w14:paraId="03BE527F"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w:t>
            </w:r>
          </w:p>
        </w:tc>
        <w:tc>
          <w:tcPr>
            <w:tcW w:w="1440" w:type="dxa"/>
          </w:tcPr>
          <w:p w14:paraId="376F7B93"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100</w:t>
            </w:r>
          </w:p>
        </w:tc>
        <w:tc>
          <w:tcPr>
            <w:tcW w:w="1440" w:type="dxa"/>
          </w:tcPr>
          <w:p w14:paraId="4AE47B09"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1.7</w:t>
            </w:r>
          </w:p>
        </w:tc>
      </w:tr>
      <w:tr w:rsidR="008D3090" w:rsidRPr="008D3090" w14:paraId="58CABF10" w14:textId="77777777" w:rsidTr="00D00B3F">
        <w:trPr>
          <w:trHeight w:val="468"/>
          <w:jc w:val="center"/>
        </w:trPr>
        <w:tc>
          <w:tcPr>
            <w:cnfStyle w:val="001000000000" w:firstRow="0" w:lastRow="0" w:firstColumn="1" w:lastColumn="0" w:oddVBand="0" w:evenVBand="0" w:oddHBand="0" w:evenHBand="0" w:firstRowFirstColumn="0" w:firstRowLastColumn="0" w:lastRowFirstColumn="0" w:lastRowLastColumn="0"/>
            <w:tcW w:w="1866" w:type="dxa"/>
          </w:tcPr>
          <w:p w14:paraId="4E32847F" w14:textId="77777777" w:rsidR="008D3090" w:rsidRPr="008D3090" w:rsidRDefault="008D3090" w:rsidP="008D3090">
            <w:pPr>
              <w:jc w:val="both"/>
              <w:rPr>
                <w:lang w:eastAsia="zh-CN"/>
              </w:rPr>
            </w:pPr>
            <w:r w:rsidRPr="008D3090">
              <w:rPr>
                <w:rFonts w:eastAsia="-webkit-standard"/>
                <w:lang w:eastAsia="zh-CN"/>
              </w:rPr>
              <w:t>Strongly Agree</w:t>
            </w:r>
          </w:p>
        </w:tc>
        <w:tc>
          <w:tcPr>
            <w:tcW w:w="1440" w:type="dxa"/>
          </w:tcPr>
          <w:p w14:paraId="0311D36F"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30</w:t>
            </w:r>
          </w:p>
        </w:tc>
        <w:tc>
          <w:tcPr>
            <w:tcW w:w="1440" w:type="dxa"/>
          </w:tcPr>
          <w:p w14:paraId="5DE8EDE3"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40</w:t>
            </w:r>
          </w:p>
        </w:tc>
        <w:tc>
          <w:tcPr>
            <w:tcW w:w="1440" w:type="dxa"/>
          </w:tcPr>
          <w:p w14:paraId="4BFB0FE2"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-10</w:t>
            </w:r>
          </w:p>
        </w:tc>
        <w:tc>
          <w:tcPr>
            <w:tcW w:w="1440" w:type="dxa"/>
          </w:tcPr>
          <w:p w14:paraId="799D2997"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100</w:t>
            </w:r>
          </w:p>
        </w:tc>
        <w:tc>
          <w:tcPr>
            <w:tcW w:w="1440" w:type="dxa"/>
          </w:tcPr>
          <w:p w14:paraId="1D51738E"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1.7</w:t>
            </w:r>
          </w:p>
        </w:tc>
      </w:tr>
      <w:tr w:rsidR="008D3090" w:rsidRPr="008D3090" w14:paraId="18A5BB09" w14:textId="77777777" w:rsidTr="00D00B3F">
        <w:trPr>
          <w:cnfStyle w:val="000000100000" w:firstRow="0" w:lastRow="0" w:firstColumn="0" w:lastColumn="0" w:oddVBand="0" w:evenVBand="0" w:oddHBand="1"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866" w:type="dxa"/>
          </w:tcPr>
          <w:p w14:paraId="7510B6A8" w14:textId="77777777" w:rsidR="008D3090" w:rsidRPr="008D3090" w:rsidRDefault="008D3090" w:rsidP="008D3090">
            <w:pPr>
              <w:jc w:val="both"/>
              <w:rPr>
                <w:lang w:eastAsia="zh-CN"/>
              </w:rPr>
            </w:pPr>
            <w:r w:rsidRPr="008D3090">
              <w:rPr>
                <w:rFonts w:eastAsia="-webkit-standard"/>
                <w:lang w:eastAsia="zh-CN"/>
              </w:rPr>
              <w:t>Disagreed </w:t>
            </w:r>
          </w:p>
        </w:tc>
        <w:tc>
          <w:tcPr>
            <w:tcW w:w="1440" w:type="dxa"/>
          </w:tcPr>
          <w:p w14:paraId="1D3C2FD0"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15</w:t>
            </w:r>
          </w:p>
        </w:tc>
        <w:tc>
          <w:tcPr>
            <w:tcW w:w="1440" w:type="dxa"/>
          </w:tcPr>
          <w:p w14:paraId="2902FDE1"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w:t>
            </w:r>
          </w:p>
        </w:tc>
        <w:tc>
          <w:tcPr>
            <w:tcW w:w="1440" w:type="dxa"/>
          </w:tcPr>
          <w:p w14:paraId="72D266DE"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5</w:t>
            </w:r>
          </w:p>
        </w:tc>
        <w:tc>
          <w:tcPr>
            <w:tcW w:w="1440" w:type="dxa"/>
          </w:tcPr>
          <w:p w14:paraId="0CC15374"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25</w:t>
            </w:r>
          </w:p>
        </w:tc>
        <w:tc>
          <w:tcPr>
            <w:tcW w:w="1440" w:type="dxa"/>
          </w:tcPr>
          <w:p w14:paraId="6FAB45E8"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2.5</w:t>
            </w:r>
          </w:p>
        </w:tc>
      </w:tr>
      <w:tr w:rsidR="008D3090" w:rsidRPr="008D3090" w14:paraId="1BF80309" w14:textId="77777777" w:rsidTr="00D00B3F">
        <w:trPr>
          <w:trHeight w:val="705"/>
          <w:jc w:val="center"/>
        </w:trPr>
        <w:tc>
          <w:tcPr>
            <w:cnfStyle w:val="001000000000" w:firstRow="0" w:lastRow="0" w:firstColumn="1" w:lastColumn="0" w:oddVBand="0" w:evenVBand="0" w:oddHBand="0" w:evenHBand="0" w:firstRowFirstColumn="0" w:firstRowLastColumn="0" w:lastRowFirstColumn="0" w:lastRowLastColumn="0"/>
            <w:tcW w:w="1866" w:type="dxa"/>
          </w:tcPr>
          <w:p w14:paraId="29051586" w14:textId="77777777" w:rsidR="008D3090" w:rsidRPr="008D3090" w:rsidRDefault="008D3090" w:rsidP="008D3090">
            <w:pPr>
              <w:jc w:val="both"/>
              <w:rPr>
                <w:lang w:eastAsia="zh-CN"/>
              </w:rPr>
            </w:pPr>
            <w:r w:rsidRPr="008D3090">
              <w:rPr>
                <w:rFonts w:eastAsia="-webkit-standard"/>
                <w:lang w:eastAsia="zh-CN"/>
              </w:rPr>
              <w:t>Strongly Disagree</w:t>
            </w:r>
          </w:p>
        </w:tc>
        <w:tc>
          <w:tcPr>
            <w:tcW w:w="1440" w:type="dxa"/>
          </w:tcPr>
          <w:p w14:paraId="43177392"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5</w:t>
            </w:r>
          </w:p>
        </w:tc>
        <w:tc>
          <w:tcPr>
            <w:tcW w:w="1440" w:type="dxa"/>
          </w:tcPr>
          <w:p w14:paraId="75B98339"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10</w:t>
            </w:r>
          </w:p>
        </w:tc>
        <w:tc>
          <w:tcPr>
            <w:tcW w:w="1440" w:type="dxa"/>
          </w:tcPr>
          <w:p w14:paraId="68EC2415"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-5</w:t>
            </w:r>
          </w:p>
        </w:tc>
        <w:tc>
          <w:tcPr>
            <w:tcW w:w="1440" w:type="dxa"/>
          </w:tcPr>
          <w:p w14:paraId="46311591"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25</w:t>
            </w:r>
          </w:p>
        </w:tc>
        <w:tc>
          <w:tcPr>
            <w:tcW w:w="1440" w:type="dxa"/>
          </w:tcPr>
          <w:p w14:paraId="641530A5"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2.5</w:t>
            </w:r>
          </w:p>
        </w:tc>
      </w:tr>
      <w:tr w:rsidR="008D3090" w:rsidRPr="008D3090" w14:paraId="2F48EBE1" w14:textId="77777777" w:rsidTr="00D00B3F">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1866" w:type="dxa"/>
          </w:tcPr>
          <w:p w14:paraId="149922A0" w14:textId="77777777" w:rsidR="008D3090" w:rsidRPr="008D3090" w:rsidRDefault="008D3090" w:rsidP="008D3090">
            <w:pPr>
              <w:jc w:val="both"/>
              <w:rPr>
                <w:lang w:eastAsia="zh-CN"/>
              </w:rPr>
            </w:pPr>
            <w:r w:rsidRPr="008D3090">
              <w:rPr>
                <w:rFonts w:eastAsia="-webkit-standard"/>
                <w:lang w:eastAsia="zh-CN"/>
              </w:rPr>
              <w:t>Total </w:t>
            </w:r>
          </w:p>
        </w:tc>
        <w:tc>
          <w:tcPr>
            <w:tcW w:w="1440" w:type="dxa"/>
          </w:tcPr>
          <w:p w14:paraId="51D209FF"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1440" w:type="dxa"/>
          </w:tcPr>
          <w:p w14:paraId="01D66C7C"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1440" w:type="dxa"/>
          </w:tcPr>
          <w:p w14:paraId="1A0C734B"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0</w:t>
            </w:r>
          </w:p>
        </w:tc>
        <w:tc>
          <w:tcPr>
            <w:tcW w:w="1440" w:type="dxa"/>
          </w:tcPr>
          <w:p w14:paraId="6AAFB819"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250</w:t>
            </w:r>
          </w:p>
        </w:tc>
        <w:tc>
          <w:tcPr>
            <w:tcW w:w="1440" w:type="dxa"/>
          </w:tcPr>
          <w:p w14:paraId="72367C3C"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9.2</w:t>
            </w:r>
          </w:p>
        </w:tc>
      </w:tr>
    </w:tbl>
    <w:p w14:paraId="1B8DE7BD"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w:t>
      </w:r>
    </w:p>
    <w:p w14:paraId="2DFFFEB3"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Fo = Frequency Observe, Fe= Frequency Expected, Table Value= 0.05</w:t>
      </w:r>
    </w:p>
    <w:p w14:paraId="50DAE5FA"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Decision Rule: </w:t>
      </w:r>
    </w:p>
    <w:p w14:paraId="78B59690"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From the above table, the calculated value 9.2 is greater than the table value of 0.05 This means that Employee</w:t>
      </w:r>
      <w:r w:rsidRPr="008D3090">
        <w:rPr>
          <w:rFonts w:ascii="Times New Roman" w:eastAsia="SimSun" w:hAnsi="Times New Roman" w:cs="Times New Roman"/>
          <w:lang w:val="en-GB" w:eastAsia="zh-CN"/>
          <w14:ligatures w14:val="none"/>
        </w:rPr>
        <w:t xml:space="preserve"> training and development initiatives influence commitment levels in United Bank for Africa Bayelsa State.</w:t>
      </w:r>
      <w:r w:rsidRPr="008D3090">
        <w:rPr>
          <w:rFonts w:ascii="Times New Roman" w:eastAsia="-webkit-standard" w:hAnsi="Times New Roman" w:cs="Times New Roman"/>
          <w:color w:val="000000"/>
          <w:lang w:val="en-GB" w:eastAsia="zh-CN"/>
          <w14:ligatures w14:val="none"/>
        </w:rPr>
        <w:t xml:space="preserve"> Therefore, the alternative hypothesis is accepted and the null hypothesis rejected.   </w:t>
      </w:r>
    </w:p>
    <w:p w14:paraId="7E766D8C"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0B243DE9"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0F436DF7"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73983458"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4495C28E"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2F4115E2"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3A025D57"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750C8D80"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1BE7E766" w14:textId="77777777" w:rsidR="00AE7FA9" w:rsidRDefault="00AE7FA9" w:rsidP="008D3090">
      <w:pPr>
        <w:spacing w:after="0" w:line="240" w:lineRule="auto"/>
        <w:jc w:val="both"/>
        <w:rPr>
          <w:rFonts w:ascii="Times New Roman" w:eastAsia="-webkit-standard" w:hAnsi="Times New Roman" w:cs="Times New Roman"/>
          <w:b/>
          <w:color w:val="000000"/>
          <w:lang w:val="en-GB" w:eastAsia="zh-CN"/>
          <w14:ligatures w14:val="none"/>
        </w:rPr>
      </w:pPr>
    </w:p>
    <w:p w14:paraId="695DFDFB" w14:textId="7D9D703E" w:rsidR="008D3090" w:rsidRPr="008D3090" w:rsidRDefault="008D3090" w:rsidP="008D3090">
      <w:pPr>
        <w:spacing w:after="0" w:line="240" w:lineRule="auto"/>
        <w:jc w:val="both"/>
        <w:rPr>
          <w:rFonts w:ascii="Times New Roman" w:eastAsia="SimSun" w:hAnsi="Times New Roman" w:cs="Times New Roman"/>
          <w:lang w:val="en-GB" w:eastAsia="zh-CN"/>
          <w14:ligatures w14:val="none"/>
        </w:rPr>
      </w:pPr>
      <w:r w:rsidRPr="008D3090">
        <w:rPr>
          <w:rFonts w:ascii="Times New Roman" w:eastAsia="-webkit-standard" w:hAnsi="Times New Roman" w:cs="Times New Roman"/>
          <w:b/>
          <w:color w:val="000000"/>
          <w:lang w:val="en-GB" w:eastAsia="zh-CN"/>
          <w14:ligatures w14:val="none"/>
        </w:rPr>
        <w:lastRenderedPageBreak/>
        <w:t>Hypothesis II</w:t>
      </w:r>
      <w:r w:rsidRPr="008D3090">
        <w:rPr>
          <w:rFonts w:ascii="Times New Roman" w:eastAsia="-webkit-standard" w:hAnsi="Times New Roman" w:cs="Times New Roman"/>
          <w:color w:val="000000"/>
          <w:lang w:val="en-GB" w:eastAsia="zh-CN"/>
          <w14:ligatures w14:val="none"/>
        </w:rPr>
        <w:t> </w:t>
      </w:r>
      <w:r w:rsidRPr="008D3090">
        <w:rPr>
          <w:rFonts w:ascii="Times New Roman" w:eastAsia="SimSun" w:hAnsi="Times New Roman" w:cs="Times New Roman"/>
          <w:lang w:val="en-GB" w:eastAsia="zh-CN"/>
          <w14:ligatures w14:val="none"/>
        </w:rPr>
        <w:t>Recognition and reward play a significant role in enhancing employee commitment in United Bank for Africa Bayelsa State</w:t>
      </w:r>
    </w:p>
    <w:p w14:paraId="55E58722" w14:textId="77777777" w:rsidR="008D3090" w:rsidRPr="008D3090" w:rsidRDefault="008D3090" w:rsidP="008D3090">
      <w:pPr>
        <w:widowControl w:val="0"/>
        <w:tabs>
          <w:tab w:val="right" w:leader="dot" w:pos="9016"/>
        </w:tabs>
        <w:spacing w:after="0" w:line="240" w:lineRule="auto"/>
        <w:jc w:val="both"/>
        <w:rPr>
          <w:rFonts w:ascii="Times New Roman" w:eastAsia="-webkit-standard" w:hAnsi="Times New Roman" w:cs="Times New Roman"/>
          <w:noProof/>
          <w:color w:val="000000"/>
          <w:lang w:val="en-GB" w:eastAsia="zh-CN"/>
          <w14:ligatures w14:val="none"/>
        </w:rPr>
      </w:pPr>
      <w:bookmarkStart w:id="77" w:name="_Toc215808608"/>
      <w:r w:rsidRPr="008D3090">
        <w:rPr>
          <w:rFonts w:ascii="Times New Roman" w:eastAsia="SimSun" w:hAnsi="Times New Roman" w:cs="Times New Roman"/>
          <w:noProof/>
          <w:lang w:val="en-GB" w:eastAsia="zh-CN"/>
          <w14:ligatures w14:val="none"/>
        </w:rPr>
        <w:t>Table 4.</w:t>
      </w:r>
      <w:r w:rsidRPr="008D3090">
        <w:rPr>
          <w:rFonts w:ascii="Times New Roman" w:eastAsia="SimSun" w:hAnsi="Times New Roman" w:cs="Times New Roman"/>
          <w:noProof/>
          <w:lang w:val="en-GB" w:eastAsia="zh-CN"/>
          <w14:ligatures w14:val="none"/>
        </w:rPr>
        <w:fldChar w:fldCharType="begin"/>
      </w:r>
      <w:r w:rsidRPr="008D3090">
        <w:rPr>
          <w:rFonts w:ascii="Times New Roman" w:eastAsia="SimSun" w:hAnsi="Times New Roman" w:cs="Times New Roman"/>
          <w:noProof/>
          <w:lang w:val="en-GB" w:eastAsia="zh-CN"/>
          <w14:ligatures w14:val="none"/>
        </w:rPr>
        <w:instrText xml:space="preserve"> SEQ Table_4. \* ARABIC </w:instrText>
      </w:r>
      <w:r w:rsidRPr="008D3090">
        <w:rPr>
          <w:rFonts w:ascii="Times New Roman" w:eastAsia="SimSun" w:hAnsi="Times New Roman" w:cs="Times New Roman"/>
          <w:noProof/>
          <w:lang w:val="en-GB" w:eastAsia="zh-CN"/>
          <w14:ligatures w14:val="none"/>
        </w:rPr>
        <w:fldChar w:fldCharType="separate"/>
      </w:r>
      <w:r w:rsidRPr="008D3090">
        <w:rPr>
          <w:rFonts w:ascii="Times New Roman" w:eastAsia="SimSun" w:hAnsi="Times New Roman" w:cs="Times New Roman"/>
          <w:noProof/>
          <w:lang w:val="en-GB" w:eastAsia="zh-CN"/>
          <w14:ligatures w14:val="none"/>
        </w:rPr>
        <w:t>9</w:t>
      </w:r>
      <w:bookmarkEnd w:id="77"/>
      <w:r w:rsidRPr="008D3090">
        <w:rPr>
          <w:rFonts w:ascii="Times New Roman" w:eastAsia="SimSun" w:hAnsi="Times New Roman" w:cs="Times New Roman"/>
          <w:noProof/>
          <w:lang w:val="en-GB" w:eastAsia="zh-CN"/>
          <w14:ligatures w14:val="none"/>
        </w:rPr>
        <w:fldChar w:fldCharType="end"/>
      </w:r>
    </w:p>
    <w:tbl>
      <w:tblPr>
        <w:tblStyle w:val="PlainTable211"/>
        <w:tblW w:w="0" w:type="auto"/>
        <w:jc w:val="center"/>
        <w:tblLayout w:type="fixed"/>
        <w:tblLook w:val="04A0" w:firstRow="1" w:lastRow="0" w:firstColumn="1" w:lastColumn="0" w:noHBand="0" w:noVBand="1"/>
      </w:tblPr>
      <w:tblGrid>
        <w:gridCol w:w="1866"/>
        <w:gridCol w:w="1440"/>
        <w:gridCol w:w="1440"/>
        <w:gridCol w:w="1440"/>
        <w:gridCol w:w="1440"/>
        <w:gridCol w:w="1440"/>
      </w:tblGrid>
      <w:tr w:rsidR="008D3090" w:rsidRPr="008D3090" w14:paraId="45D3CAAA" w14:textId="77777777" w:rsidTr="00D00B3F">
        <w:trPr>
          <w:cnfStyle w:val="100000000000" w:firstRow="1" w:lastRow="0" w:firstColumn="0" w:lastColumn="0" w:oddVBand="0" w:evenVBand="0" w:oddHBand="0"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1866" w:type="dxa"/>
          </w:tcPr>
          <w:p w14:paraId="617E1457" w14:textId="77777777" w:rsidR="008D3090" w:rsidRPr="008D3090" w:rsidRDefault="008D3090" w:rsidP="008D3090">
            <w:pPr>
              <w:jc w:val="both"/>
              <w:rPr>
                <w:lang w:eastAsia="zh-CN"/>
              </w:rPr>
            </w:pPr>
            <w:r w:rsidRPr="008D3090">
              <w:rPr>
                <w:rFonts w:eastAsia="-webkit-standard"/>
                <w:lang w:eastAsia="zh-CN"/>
              </w:rPr>
              <w:t>Response </w:t>
            </w:r>
          </w:p>
        </w:tc>
        <w:tc>
          <w:tcPr>
            <w:tcW w:w="1440" w:type="dxa"/>
          </w:tcPr>
          <w:p w14:paraId="3CDF4A83"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w:t>
            </w:r>
          </w:p>
        </w:tc>
        <w:tc>
          <w:tcPr>
            <w:tcW w:w="1440" w:type="dxa"/>
          </w:tcPr>
          <w:p w14:paraId="5D3A558F"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Fe </w:t>
            </w:r>
          </w:p>
        </w:tc>
        <w:tc>
          <w:tcPr>
            <w:tcW w:w="1440" w:type="dxa"/>
          </w:tcPr>
          <w:p w14:paraId="21F14437"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 Fe</w:t>
            </w:r>
          </w:p>
        </w:tc>
        <w:tc>
          <w:tcPr>
            <w:tcW w:w="1440" w:type="dxa"/>
          </w:tcPr>
          <w:p w14:paraId="3FD2AFB9"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–Fe)</w:t>
            </w:r>
            <w:r w:rsidRPr="008D3090">
              <w:rPr>
                <w:rFonts w:eastAsia="-webkit-standard"/>
                <w:vertAlign w:val="superscript"/>
                <w:lang w:eastAsia="zh-CN"/>
              </w:rPr>
              <w:t>2</w:t>
            </w:r>
          </w:p>
        </w:tc>
        <w:tc>
          <w:tcPr>
            <w:tcW w:w="1440" w:type="dxa"/>
          </w:tcPr>
          <w:p w14:paraId="10AC1976" w14:textId="77777777" w:rsidR="008D3090" w:rsidRPr="008D3090" w:rsidRDefault="008D3090" w:rsidP="008D3090">
            <w:pPr>
              <w:pBdr>
                <w:top w:val="none" w:sz="0" w:space="0" w:color="000000"/>
                <w:left w:val="none" w:sz="0" w:space="0" w:color="000000"/>
                <w:bottom w:val="single" w:sz="2" w:space="0" w:color="000000"/>
                <w:right w:val="none" w:sz="0" w:space="0" w:color="000000"/>
              </w:pBd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lang w:eastAsia="zh-CN"/>
              </w:rPr>
              <w:t>(Fo – Fe)</w:t>
            </w:r>
            <w:r w:rsidRPr="008D3090">
              <w:rPr>
                <w:rFonts w:eastAsia="-webkit-standard"/>
                <w:vertAlign w:val="superscript"/>
                <w:lang w:eastAsia="zh-CN"/>
              </w:rPr>
              <w:t>2</w:t>
            </w:r>
          </w:p>
          <w:p w14:paraId="355981C2" w14:textId="77777777" w:rsidR="008D3090" w:rsidRPr="008D3090" w:rsidRDefault="008D3090" w:rsidP="008D3090">
            <w:pPr>
              <w:jc w:val="both"/>
              <w:cnfStyle w:val="100000000000" w:firstRow="1" w:lastRow="0" w:firstColumn="0" w:lastColumn="0" w:oddVBand="0" w:evenVBand="0" w:oddHBand="0" w:evenHBand="0" w:firstRowFirstColumn="0" w:firstRowLastColumn="0" w:lastRowFirstColumn="0" w:lastRowLastColumn="0"/>
              <w:rPr>
                <w:lang w:eastAsia="zh-CN"/>
              </w:rPr>
            </w:pPr>
            <w:r w:rsidRPr="008D3090">
              <w:rPr>
                <w:rFonts w:eastAsia="-webkit-standard"/>
                <w:vertAlign w:val="superscript"/>
                <w:lang w:eastAsia="zh-CN"/>
              </w:rPr>
              <w:t>      </w:t>
            </w:r>
            <w:r w:rsidRPr="008D3090">
              <w:rPr>
                <w:rFonts w:eastAsia="-webkit-standard"/>
                <w:lang w:eastAsia="zh-CN"/>
              </w:rPr>
              <w:t>Fe</w:t>
            </w:r>
          </w:p>
        </w:tc>
      </w:tr>
      <w:tr w:rsidR="008D3090" w:rsidRPr="008D3090" w14:paraId="5809D8AA" w14:textId="77777777" w:rsidTr="00D00B3F">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1866" w:type="dxa"/>
          </w:tcPr>
          <w:p w14:paraId="6912B7C4" w14:textId="77777777" w:rsidR="008D3090" w:rsidRPr="008D3090" w:rsidRDefault="008D3090" w:rsidP="008D3090">
            <w:pPr>
              <w:jc w:val="both"/>
              <w:rPr>
                <w:lang w:eastAsia="zh-CN"/>
              </w:rPr>
            </w:pPr>
            <w:r w:rsidRPr="008D3090">
              <w:rPr>
                <w:rFonts w:eastAsia="-webkit-standard"/>
                <w:lang w:eastAsia="zh-CN"/>
              </w:rPr>
              <w:t>Agree</w:t>
            </w:r>
          </w:p>
        </w:tc>
        <w:tc>
          <w:tcPr>
            <w:tcW w:w="1440" w:type="dxa"/>
          </w:tcPr>
          <w:p w14:paraId="0E20DC82"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80</w:t>
            </w:r>
          </w:p>
        </w:tc>
        <w:tc>
          <w:tcPr>
            <w:tcW w:w="1440" w:type="dxa"/>
          </w:tcPr>
          <w:p w14:paraId="1DB815D6"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70</w:t>
            </w:r>
          </w:p>
        </w:tc>
        <w:tc>
          <w:tcPr>
            <w:tcW w:w="1440" w:type="dxa"/>
          </w:tcPr>
          <w:p w14:paraId="3A2A6578"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w:t>
            </w:r>
          </w:p>
        </w:tc>
        <w:tc>
          <w:tcPr>
            <w:tcW w:w="1440" w:type="dxa"/>
          </w:tcPr>
          <w:p w14:paraId="07838550"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100</w:t>
            </w:r>
          </w:p>
        </w:tc>
        <w:tc>
          <w:tcPr>
            <w:tcW w:w="1440" w:type="dxa"/>
          </w:tcPr>
          <w:p w14:paraId="5B9E03EF"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1.42</w:t>
            </w:r>
          </w:p>
        </w:tc>
      </w:tr>
      <w:tr w:rsidR="008D3090" w:rsidRPr="008D3090" w14:paraId="284CE5BF" w14:textId="77777777" w:rsidTr="00D00B3F">
        <w:trPr>
          <w:trHeight w:val="451"/>
          <w:jc w:val="center"/>
        </w:trPr>
        <w:tc>
          <w:tcPr>
            <w:cnfStyle w:val="001000000000" w:firstRow="0" w:lastRow="0" w:firstColumn="1" w:lastColumn="0" w:oddVBand="0" w:evenVBand="0" w:oddHBand="0" w:evenHBand="0" w:firstRowFirstColumn="0" w:firstRowLastColumn="0" w:lastRowFirstColumn="0" w:lastRowLastColumn="0"/>
            <w:tcW w:w="1866" w:type="dxa"/>
          </w:tcPr>
          <w:p w14:paraId="0CC9E0BB" w14:textId="77777777" w:rsidR="008D3090" w:rsidRPr="008D3090" w:rsidRDefault="008D3090" w:rsidP="008D3090">
            <w:pPr>
              <w:jc w:val="both"/>
              <w:rPr>
                <w:lang w:eastAsia="zh-CN"/>
              </w:rPr>
            </w:pPr>
            <w:r w:rsidRPr="008D3090">
              <w:rPr>
                <w:rFonts w:eastAsia="-webkit-standard"/>
                <w:lang w:eastAsia="zh-CN"/>
              </w:rPr>
              <w:t>Strongly Agree</w:t>
            </w:r>
          </w:p>
        </w:tc>
        <w:tc>
          <w:tcPr>
            <w:tcW w:w="1440" w:type="dxa"/>
          </w:tcPr>
          <w:p w14:paraId="37BF19C9"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30</w:t>
            </w:r>
          </w:p>
        </w:tc>
        <w:tc>
          <w:tcPr>
            <w:tcW w:w="1440" w:type="dxa"/>
          </w:tcPr>
          <w:p w14:paraId="394D022C"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40</w:t>
            </w:r>
          </w:p>
        </w:tc>
        <w:tc>
          <w:tcPr>
            <w:tcW w:w="1440" w:type="dxa"/>
          </w:tcPr>
          <w:p w14:paraId="5A5916C4"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-10</w:t>
            </w:r>
          </w:p>
        </w:tc>
        <w:tc>
          <w:tcPr>
            <w:tcW w:w="1440" w:type="dxa"/>
          </w:tcPr>
          <w:p w14:paraId="26CB53AB"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100</w:t>
            </w:r>
          </w:p>
        </w:tc>
        <w:tc>
          <w:tcPr>
            <w:tcW w:w="1440" w:type="dxa"/>
          </w:tcPr>
          <w:p w14:paraId="61558144"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1.42</w:t>
            </w:r>
          </w:p>
        </w:tc>
      </w:tr>
      <w:tr w:rsidR="008D3090" w:rsidRPr="008D3090" w14:paraId="62BADAA7" w14:textId="77777777" w:rsidTr="00D00B3F">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1866" w:type="dxa"/>
          </w:tcPr>
          <w:p w14:paraId="29169446" w14:textId="77777777" w:rsidR="008D3090" w:rsidRPr="008D3090" w:rsidRDefault="008D3090" w:rsidP="008D3090">
            <w:pPr>
              <w:jc w:val="both"/>
              <w:rPr>
                <w:lang w:eastAsia="zh-CN"/>
              </w:rPr>
            </w:pPr>
            <w:r w:rsidRPr="008D3090">
              <w:rPr>
                <w:rFonts w:eastAsia="-webkit-standard"/>
                <w:lang w:eastAsia="zh-CN"/>
              </w:rPr>
              <w:t>Disagreed </w:t>
            </w:r>
          </w:p>
        </w:tc>
        <w:tc>
          <w:tcPr>
            <w:tcW w:w="1440" w:type="dxa"/>
          </w:tcPr>
          <w:p w14:paraId="62430AA2"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5</w:t>
            </w:r>
          </w:p>
        </w:tc>
        <w:tc>
          <w:tcPr>
            <w:tcW w:w="1440" w:type="dxa"/>
          </w:tcPr>
          <w:p w14:paraId="40FBD473"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15</w:t>
            </w:r>
          </w:p>
        </w:tc>
        <w:tc>
          <w:tcPr>
            <w:tcW w:w="1440" w:type="dxa"/>
          </w:tcPr>
          <w:p w14:paraId="18121353"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w:t>
            </w:r>
          </w:p>
        </w:tc>
        <w:tc>
          <w:tcPr>
            <w:tcW w:w="1440" w:type="dxa"/>
          </w:tcPr>
          <w:p w14:paraId="087C1EF0"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100</w:t>
            </w:r>
          </w:p>
        </w:tc>
        <w:tc>
          <w:tcPr>
            <w:tcW w:w="1440" w:type="dxa"/>
          </w:tcPr>
          <w:p w14:paraId="1CBB911E"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1.42</w:t>
            </w:r>
          </w:p>
        </w:tc>
      </w:tr>
      <w:tr w:rsidR="008D3090" w:rsidRPr="008D3090" w14:paraId="35579220" w14:textId="77777777" w:rsidTr="00D00B3F">
        <w:trPr>
          <w:trHeight w:val="705"/>
          <w:jc w:val="center"/>
        </w:trPr>
        <w:tc>
          <w:tcPr>
            <w:cnfStyle w:val="001000000000" w:firstRow="0" w:lastRow="0" w:firstColumn="1" w:lastColumn="0" w:oddVBand="0" w:evenVBand="0" w:oddHBand="0" w:evenHBand="0" w:firstRowFirstColumn="0" w:firstRowLastColumn="0" w:lastRowFirstColumn="0" w:lastRowLastColumn="0"/>
            <w:tcW w:w="1866" w:type="dxa"/>
          </w:tcPr>
          <w:p w14:paraId="35631FB2" w14:textId="77777777" w:rsidR="008D3090" w:rsidRPr="008D3090" w:rsidRDefault="008D3090" w:rsidP="008D3090">
            <w:pPr>
              <w:jc w:val="both"/>
              <w:rPr>
                <w:lang w:eastAsia="zh-CN"/>
              </w:rPr>
            </w:pPr>
            <w:r w:rsidRPr="008D3090">
              <w:rPr>
                <w:rFonts w:eastAsia="-webkit-standard"/>
                <w:lang w:eastAsia="zh-CN"/>
              </w:rPr>
              <w:t>Strongly Disagree</w:t>
            </w:r>
          </w:p>
        </w:tc>
        <w:tc>
          <w:tcPr>
            <w:tcW w:w="1440" w:type="dxa"/>
          </w:tcPr>
          <w:p w14:paraId="36C3C023"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5</w:t>
            </w:r>
          </w:p>
        </w:tc>
        <w:tc>
          <w:tcPr>
            <w:tcW w:w="1440" w:type="dxa"/>
          </w:tcPr>
          <w:p w14:paraId="0EAEDBB4"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5</w:t>
            </w:r>
          </w:p>
        </w:tc>
        <w:tc>
          <w:tcPr>
            <w:tcW w:w="1440" w:type="dxa"/>
          </w:tcPr>
          <w:p w14:paraId="652F4BD3"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0</w:t>
            </w:r>
          </w:p>
        </w:tc>
        <w:tc>
          <w:tcPr>
            <w:tcW w:w="1440" w:type="dxa"/>
          </w:tcPr>
          <w:p w14:paraId="627CC9C6"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0</w:t>
            </w:r>
          </w:p>
        </w:tc>
        <w:tc>
          <w:tcPr>
            <w:tcW w:w="1440" w:type="dxa"/>
          </w:tcPr>
          <w:p w14:paraId="68558EE3" w14:textId="77777777" w:rsidR="008D3090" w:rsidRPr="008D3090" w:rsidRDefault="008D3090" w:rsidP="008D3090">
            <w:pPr>
              <w:jc w:val="both"/>
              <w:cnfStyle w:val="000000000000" w:firstRow="0" w:lastRow="0" w:firstColumn="0" w:lastColumn="0" w:oddVBand="0" w:evenVBand="0" w:oddHBand="0" w:evenHBand="0" w:firstRowFirstColumn="0" w:firstRowLastColumn="0" w:lastRowFirstColumn="0" w:lastRowLastColumn="0"/>
              <w:rPr>
                <w:lang w:eastAsia="zh-CN"/>
              </w:rPr>
            </w:pPr>
            <w:r w:rsidRPr="008D3090">
              <w:rPr>
                <w:lang w:eastAsia="zh-CN"/>
              </w:rPr>
              <w:t>0</w:t>
            </w:r>
          </w:p>
        </w:tc>
      </w:tr>
      <w:tr w:rsidR="008D3090" w:rsidRPr="008D3090" w14:paraId="15007892" w14:textId="77777777" w:rsidTr="00D00B3F">
        <w:trPr>
          <w:cnfStyle w:val="000000100000" w:firstRow="0" w:lastRow="0" w:firstColumn="0" w:lastColumn="0" w:oddVBand="0" w:evenVBand="0" w:oddHBand="1"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1866" w:type="dxa"/>
          </w:tcPr>
          <w:p w14:paraId="7B8DB288" w14:textId="77777777" w:rsidR="008D3090" w:rsidRPr="008D3090" w:rsidRDefault="008D3090" w:rsidP="008D3090">
            <w:pPr>
              <w:jc w:val="both"/>
              <w:rPr>
                <w:lang w:eastAsia="zh-CN"/>
              </w:rPr>
            </w:pPr>
            <w:r w:rsidRPr="008D3090">
              <w:rPr>
                <w:rFonts w:eastAsia="-webkit-standard"/>
                <w:lang w:eastAsia="zh-CN"/>
              </w:rPr>
              <w:t>Total </w:t>
            </w:r>
          </w:p>
        </w:tc>
        <w:tc>
          <w:tcPr>
            <w:tcW w:w="1440" w:type="dxa"/>
          </w:tcPr>
          <w:p w14:paraId="0607149B"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1440" w:type="dxa"/>
          </w:tcPr>
          <w:p w14:paraId="58AE21E6"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120</w:t>
            </w:r>
          </w:p>
        </w:tc>
        <w:tc>
          <w:tcPr>
            <w:tcW w:w="1440" w:type="dxa"/>
          </w:tcPr>
          <w:p w14:paraId="2B57591C"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0</w:t>
            </w:r>
          </w:p>
        </w:tc>
        <w:tc>
          <w:tcPr>
            <w:tcW w:w="1440" w:type="dxa"/>
          </w:tcPr>
          <w:p w14:paraId="510257DE"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300</w:t>
            </w:r>
          </w:p>
        </w:tc>
        <w:tc>
          <w:tcPr>
            <w:tcW w:w="1440" w:type="dxa"/>
          </w:tcPr>
          <w:p w14:paraId="61F1D18A" w14:textId="77777777" w:rsidR="008D3090" w:rsidRPr="008D3090" w:rsidRDefault="008D3090" w:rsidP="008D3090">
            <w:pPr>
              <w:jc w:val="both"/>
              <w:cnfStyle w:val="000000100000" w:firstRow="0" w:lastRow="0" w:firstColumn="0" w:lastColumn="0" w:oddVBand="0" w:evenVBand="0" w:oddHBand="1" w:evenHBand="0" w:firstRowFirstColumn="0" w:firstRowLastColumn="0" w:lastRowFirstColumn="0" w:lastRowLastColumn="0"/>
              <w:rPr>
                <w:lang w:eastAsia="zh-CN"/>
              </w:rPr>
            </w:pPr>
            <w:r w:rsidRPr="008D3090">
              <w:rPr>
                <w:lang w:eastAsia="zh-CN"/>
              </w:rPr>
              <w:t>4.26</w:t>
            </w:r>
          </w:p>
        </w:tc>
      </w:tr>
    </w:tbl>
    <w:p w14:paraId="4E1E3FEC"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w:t>
      </w:r>
    </w:p>
    <w:p w14:paraId="79871420"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Table Value:0.05</w:t>
      </w:r>
    </w:p>
    <w:p w14:paraId="4E1C1632"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Decision Rule:</w:t>
      </w:r>
    </w:p>
    <w:p w14:paraId="268C5EB2"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xml:space="preserve">From the above table, the calculated value 4.26 is greater than the table value of 0.05 This means that </w:t>
      </w:r>
      <w:r w:rsidRPr="008D3090">
        <w:rPr>
          <w:rFonts w:ascii="Times New Roman" w:eastAsia="SimSun" w:hAnsi="Times New Roman" w:cs="Times New Roman"/>
          <w:lang w:val="en-GB" w:eastAsia="zh-CN"/>
          <w14:ligatures w14:val="none"/>
        </w:rPr>
        <w:t>Recognition and reward play a significant role in enhancing employee commitment in United Bank for Africa Bayelsa State</w:t>
      </w:r>
      <w:r w:rsidRPr="008D3090">
        <w:rPr>
          <w:rFonts w:ascii="Times New Roman" w:eastAsia="-webkit-standard" w:hAnsi="Times New Roman" w:cs="Times New Roman"/>
          <w:color w:val="000000"/>
          <w:lang w:val="en-GB" w:eastAsia="zh-CN"/>
          <w14:ligatures w14:val="none"/>
        </w:rPr>
        <w:t>. Therefore, the alternative hypothesis is accepted and the null hypothesis rejected.   </w:t>
      </w:r>
    </w:p>
    <w:p w14:paraId="7219A708"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78" w:name="_Toc215808590"/>
      <w:r w:rsidRPr="008D3090">
        <w:rPr>
          <w:rFonts w:ascii="Times New Roman" w:eastAsia="SimSun" w:hAnsi="Times New Roman" w:cs="Times New Roman"/>
          <w:b/>
          <w:lang w:val="en-GB" w:eastAsia="zh-CN"/>
          <w14:ligatures w14:val="none"/>
        </w:rPr>
        <w:t>4.5​ Discussions of Findings</w:t>
      </w:r>
      <w:bookmarkEnd w:id="78"/>
    </w:p>
    <w:p w14:paraId="5D29CBF9"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study examines the effects of employee commitment and growth of Deposit money bank: A study of selected United Bank of Africa (UBA) Bayelsa State. Gender analysis showed higher female participation (58.3%), while most respondents were aged 20-30 (37.5%), reflecting active involvement from this age group. Educational qualifications indicated that 35.7% are FSLC holders and 25% are WEAC holders, ensuring an informed respondent pool.</w:t>
      </w:r>
    </w:p>
    <w:p w14:paraId="27830938"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From research question 1 table 5, 45 respondents representing 37.5% strongly agree that employee</w:t>
      </w:r>
      <w:r w:rsidRPr="008D3090">
        <w:rPr>
          <w:rFonts w:ascii="Times New Roman" w:eastAsia="SimSun" w:hAnsi="Times New Roman" w:cs="Times New Roman"/>
          <w:lang w:val="en-GB" w:eastAsia="zh-CN"/>
          <w14:ligatures w14:val="none"/>
        </w:rPr>
        <w:t xml:space="preserve"> training and development initiatives influence commitment levels in United Bank for Africa Bayelsa State.</w:t>
      </w:r>
      <w:r w:rsidRPr="008D3090">
        <w:rPr>
          <w:rFonts w:ascii="Times New Roman" w:eastAsia="-webkit-standard" w:hAnsi="Times New Roman" w:cs="Times New Roman"/>
          <w:color w:val="000000"/>
          <w:lang w:val="en-GB" w:eastAsia="zh-CN"/>
          <w14:ligatures w14:val="none"/>
        </w:rPr>
        <w:t>30 respondents which represents 25% agree,20 of 16.7% disagree, while 25 respondents which represent 20.8% strongly disagree.</w:t>
      </w:r>
    </w:p>
    <w:p w14:paraId="69056330"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xml:space="preserve">Therefore, we conclude based on the findings that, </w:t>
      </w:r>
      <w:r w:rsidRPr="008D3090">
        <w:rPr>
          <w:rFonts w:ascii="Times New Roman" w:eastAsia="SimSun" w:hAnsi="Times New Roman" w:cs="Times New Roman"/>
          <w:lang w:val="en-GB" w:eastAsia="zh-CN"/>
          <w14:ligatures w14:val="none"/>
        </w:rPr>
        <w:t xml:space="preserve">employee training and development initiatives influence commitment levels in United Bank for Africa Bayelsa State. </w:t>
      </w:r>
      <w:r w:rsidRPr="008D3090">
        <w:rPr>
          <w:rFonts w:ascii="Times New Roman" w:eastAsia="-webkit-standard" w:hAnsi="Times New Roman" w:cs="Times New Roman"/>
          <w:color w:val="000000"/>
          <w:lang w:val="en-GB" w:eastAsia="zh-CN"/>
          <w14:ligatures w14:val="none"/>
        </w:rPr>
        <w:t>On research question 2 table 6, it is observed that 50 respondents representing 41.7% strongly agree that   </w:t>
      </w:r>
      <w:r w:rsidRPr="008D3090">
        <w:rPr>
          <w:rFonts w:ascii="Times New Roman" w:eastAsia="SimSun" w:hAnsi="Times New Roman" w:cs="Times New Roman"/>
          <w:lang w:val="en-GB" w:eastAsia="zh-CN"/>
          <w14:ligatures w14:val="none"/>
        </w:rPr>
        <w:t>there is a significant impact of employee commitment on employee turnover in united bank of Africa Bayelsa State</w:t>
      </w:r>
      <w:r w:rsidRPr="008D3090">
        <w:rPr>
          <w:rFonts w:ascii="Times New Roman" w:eastAsia="-webkit-standard" w:hAnsi="Times New Roman" w:cs="Times New Roman"/>
          <w:color w:val="000000"/>
          <w:lang w:val="en-GB" w:eastAsia="zh-CN"/>
          <w14:ligatures w14:val="none"/>
        </w:rPr>
        <w:t>, 45 respondent which represent 37.5% of the respondent agree, 10 respondent which represent 8.3% disagree to this fact, while 15 respondent which represent 12.5% of the respondent strongly disagree. This means that the above assertion is true.</w:t>
      </w:r>
    </w:p>
    <w:p w14:paraId="0EBB0AF9"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In question 3 table 7, the findings shows that 60 respondents representing 50% strongly agree that recognition</w:t>
      </w:r>
      <w:r w:rsidRPr="008D3090">
        <w:rPr>
          <w:rFonts w:ascii="Times New Roman" w:eastAsia="SimSun" w:hAnsi="Times New Roman" w:cs="Times New Roman"/>
          <w:lang w:val="en-GB" w:eastAsia="zh-CN"/>
          <w14:ligatures w14:val="none"/>
        </w:rPr>
        <w:t xml:space="preserve"> and reward play a significant role in enhancing employee commitment in United Bank for Africa Bayelsa State,</w:t>
      </w:r>
      <w:r w:rsidRPr="008D3090">
        <w:rPr>
          <w:rFonts w:ascii="Times New Roman" w:eastAsia="-webkit-standard" w:hAnsi="Times New Roman" w:cs="Times New Roman"/>
          <w:color w:val="000000"/>
          <w:lang w:val="en-GB" w:eastAsia="zh-CN"/>
          <w14:ligatures w14:val="none"/>
        </w:rPr>
        <w:t xml:space="preserve"> 40 respondent which represent 33.4% of the respondent agree, 10 respondent which represent 8.3% disagree to this fact, while 10 respondent which represent 8.3% of the respondent strongly disagree.</w:t>
      </w:r>
    </w:p>
    <w:p w14:paraId="38A0A077"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b/>
          <w:color w:val="000000"/>
          <w:lang w:val="en-GB" w:eastAsia="zh-CN"/>
          <w14:ligatures w14:val="none"/>
        </w:rPr>
        <w:t>Test of Hypotheses: </w:t>
      </w:r>
    </w:p>
    <w:p w14:paraId="0538BCF1"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findings also revealed that Employee</w:t>
      </w:r>
      <w:r w:rsidRPr="008D3090">
        <w:rPr>
          <w:rFonts w:ascii="Times New Roman" w:eastAsia="SimSun" w:hAnsi="Times New Roman" w:cs="Times New Roman"/>
          <w:lang w:val="en-GB" w:eastAsia="zh-CN"/>
          <w14:ligatures w14:val="none"/>
        </w:rPr>
        <w:t xml:space="preserve"> training and development initiatives influence commitment levels in United Bank for Africa Bayelsa State</w:t>
      </w:r>
      <w:r w:rsidRPr="008D3090">
        <w:rPr>
          <w:rFonts w:ascii="Times New Roman" w:eastAsia="-webkit-standard" w:hAnsi="Times New Roman" w:cs="Times New Roman"/>
          <w:color w:val="000000"/>
          <w:lang w:val="en-GB" w:eastAsia="zh-CN"/>
          <w14:ligatures w14:val="none"/>
        </w:rPr>
        <w:t>. This was affirmed from the result of test of hypothesis 1, with a calculated value of 9.2 and a table value of 0.05. Thus, the alternative hypothesis was accepted and the null hypothesis rejected. It was also affirmed from the findings that this affirmation was made from the result of test of hypothesis 2 with a calculated value of 4.26 and a table value of 0.05. Therefore, the alternative hypothesis was accepted and the null hypothesis rejected.  </w:t>
      </w:r>
    </w:p>
    <w:p w14:paraId="6CB51681" w14:textId="77777777" w:rsidR="008D3090" w:rsidRPr="008D3090" w:rsidRDefault="008D3090" w:rsidP="008D3090">
      <w:pPr>
        <w:spacing w:after="9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lastRenderedPageBreak/>
        <w:t xml:space="preserve">Furthermore, in hypothesis 3 finding also reveal that </w:t>
      </w:r>
      <w:r w:rsidRPr="008D3090">
        <w:rPr>
          <w:rFonts w:ascii="Times New Roman" w:eastAsia="SimSun" w:hAnsi="Times New Roman" w:cs="Times New Roman"/>
          <w:lang w:val="en-GB" w:eastAsia="zh-CN"/>
          <w14:ligatures w14:val="none"/>
        </w:rPr>
        <w:t>Recognition and reward play a significant role in enhancing employee commitment in United Bank for Africa Bayelsa State. This was affirmed with the calculated figure of 9.2. Therefore</w:t>
      </w:r>
      <w:r w:rsidRPr="008D3090">
        <w:rPr>
          <w:rFonts w:ascii="Times New Roman" w:eastAsia="-webkit-standard" w:hAnsi="Times New Roman" w:cs="Times New Roman"/>
          <w:color w:val="000000"/>
          <w:lang w:val="en-GB" w:eastAsia="zh-CN"/>
          <w14:ligatures w14:val="none"/>
        </w:rPr>
        <w:t>, the alternative hypothesis was accepted and the null hypothesis rejected. </w:t>
      </w:r>
    </w:p>
    <w:p w14:paraId="7A2D5277"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79" w:name="_Toc215808592"/>
      <w:r w:rsidRPr="008D3090">
        <w:rPr>
          <w:rFonts w:ascii="Times New Roman" w:eastAsia="SimSun" w:hAnsi="Times New Roman" w:cs="Times New Roman"/>
          <w:b/>
          <w:lang w:val="en-GB" w:eastAsia="zh-CN"/>
          <w14:ligatures w14:val="none"/>
        </w:rPr>
        <w:t>SUMMARY OF FINDINGS, CONCLUSION AND RECOMMENDATIONS</w:t>
      </w:r>
      <w:bookmarkEnd w:id="79"/>
    </w:p>
    <w:p w14:paraId="37C185F5"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80" w:name="_Toc215808593"/>
      <w:r w:rsidRPr="008D3090">
        <w:rPr>
          <w:rFonts w:ascii="Times New Roman" w:eastAsia="SimSun" w:hAnsi="Times New Roman" w:cs="Times New Roman"/>
          <w:b/>
          <w:lang w:val="en-GB" w:eastAsia="zh-CN"/>
          <w14:ligatures w14:val="none"/>
        </w:rPr>
        <w:t>5.1 Summary of Findings</w:t>
      </w:r>
      <w:bookmarkEnd w:id="80"/>
    </w:p>
    <w:p w14:paraId="163CE30B"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study examine. the effects of employee commitment and growth of deposit money bank: A study of United Bank of Africa (UBA) Bayelsa State. in this regard. The findings are as follows:</w:t>
      </w:r>
    </w:p>
    <w:p w14:paraId="38DEEB12" w14:textId="77777777" w:rsidR="008D3090" w:rsidRPr="008D3090" w:rsidRDefault="008D3090" w:rsidP="008D3090">
      <w:pPr>
        <w:widowControl w:val="0"/>
        <w:numPr>
          <w:ilvl w:val="0"/>
          <w:numId w:val="47"/>
        </w:num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xml:space="preserve">A majority of respondents (37.5% Strongly Agree, 16.7% Agree) believe that </w:t>
      </w:r>
      <w:r w:rsidRPr="008D3090">
        <w:rPr>
          <w:rFonts w:ascii="Times New Roman" w:eastAsia="SimSun" w:hAnsi="Times New Roman" w:cs="Times New Roman"/>
          <w:lang w:val="en-GB" w:eastAsia="zh-CN"/>
          <w14:ligatures w14:val="none"/>
        </w:rPr>
        <w:t>employee training and development initiatives influence commitment levels in United Bank for Africa Bayelsa State</w:t>
      </w:r>
    </w:p>
    <w:p w14:paraId="5AECF5B8" w14:textId="77777777" w:rsidR="008D3090" w:rsidRPr="008D3090" w:rsidRDefault="008D3090" w:rsidP="008D3090">
      <w:pPr>
        <w:widowControl w:val="0"/>
        <w:numPr>
          <w:ilvl w:val="0"/>
          <w:numId w:val="47"/>
        </w:num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 xml:space="preserve">Most respondents (41.7% Strongly Agree, 37.5% Agree) agree that </w:t>
      </w:r>
      <w:r w:rsidRPr="008D3090">
        <w:rPr>
          <w:rFonts w:ascii="Times New Roman" w:eastAsia="SimSun" w:hAnsi="Times New Roman" w:cs="Times New Roman"/>
          <w:lang w:val="en-GB" w:eastAsia="zh-CN"/>
          <w14:ligatures w14:val="none"/>
        </w:rPr>
        <w:t>there is a significant impact of employee commitment on employee turnover in united bank of Africa Bayelsa State</w:t>
      </w:r>
    </w:p>
    <w:p w14:paraId="4F9B6810" w14:textId="77777777" w:rsidR="008D3090" w:rsidRPr="008D3090" w:rsidRDefault="008D3090" w:rsidP="008D3090">
      <w:pPr>
        <w:widowControl w:val="0"/>
        <w:numPr>
          <w:ilvl w:val="0"/>
          <w:numId w:val="47"/>
        </w:num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A significant proportion of respondents (50% Strongly Agree, 37.5% Agree) believe that recognition</w:t>
      </w:r>
      <w:r w:rsidRPr="008D3090">
        <w:rPr>
          <w:rFonts w:ascii="Times New Roman" w:eastAsia="SimSun" w:hAnsi="Times New Roman" w:cs="Times New Roman"/>
          <w:lang w:val="en-GB" w:eastAsia="zh-CN"/>
          <w14:ligatures w14:val="none"/>
        </w:rPr>
        <w:t xml:space="preserve"> and reward play a significant role in enhancing employee commitment in United Bank for Africa Bayelsa State </w:t>
      </w:r>
    </w:p>
    <w:p w14:paraId="17F40DF3"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81" w:name="_Toc215808594"/>
      <w:r w:rsidRPr="008D3090">
        <w:rPr>
          <w:rFonts w:ascii="Times New Roman" w:eastAsia="SimSun" w:hAnsi="Times New Roman" w:cs="Times New Roman"/>
          <w:b/>
          <w:lang w:val="en-GB" w:eastAsia="zh-CN"/>
          <w14:ligatures w14:val="none"/>
        </w:rPr>
        <w:t>5.2</w:t>
      </w:r>
      <w:bookmarkEnd w:id="81"/>
      <w:r w:rsidRPr="008D3090">
        <w:rPr>
          <w:rFonts w:ascii="Times New Roman" w:eastAsia="SimSun" w:hAnsi="Times New Roman" w:cs="Times New Roman"/>
          <w:b/>
          <w:lang w:val="en-GB" w:eastAsia="zh-CN"/>
          <w14:ligatures w14:val="none"/>
        </w:rPr>
        <w:t>​Conclusions</w:t>
      </w:r>
    </w:p>
    <w:p w14:paraId="08C7D87B"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Based on the findings, the researcher concluded that:</w:t>
      </w:r>
    </w:p>
    <w:p w14:paraId="75C898CF" w14:textId="77777777" w:rsidR="008D3090" w:rsidRPr="008D3090" w:rsidRDefault="008D3090" w:rsidP="008D3090">
      <w:pPr>
        <w:widowControl w:val="0"/>
        <w:numPr>
          <w:ilvl w:val="0"/>
          <w:numId w:val="48"/>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webkit-standard" w:hAnsi="Times New Roman" w:cs="Times New Roman"/>
          <w:color w:val="000000"/>
          <w:lang w:val="en-GB" w:eastAsia="zh-CN"/>
          <w14:ligatures w14:val="none"/>
        </w:rPr>
        <w:t>E</w:t>
      </w:r>
      <w:r w:rsidRPr="008D3090">
        <w:rPr>
          <w:rFonts w:ascii="Times New Roman" w:eastAsia="SimSun" w:hAnsi="Times New Roman" w:cs="Times New Roman"/>
          <w:lang w:val="en-GB" w:eastAsia="zh-CN"/>
          <w14:ligatures w14:val="none"/>
        </w:rPr>
        <w:t>mployee training and development initiatives influence commitment levels in United Bank for Africa Bayelsa State</w:t>
      </w:r>
    </w:p>
    <w:p w14:paraId="2B9B2AE5" w14:textId="77777777" w:rsidR="008D3090" w:rsidRPr="008D3090" w:rsidRDefault="008D3090" w:rsidP="008D3090">
      <w:pPr>
        <w:widowControl w:val="0"/>
        <w:numPr>
          <w:ilvl w:val="0"/>
          <w:numId w:val="48"/>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There is a significant impact of employee commitment on employee turnover in united bank of Africa Bayelsa State</w:t>
      </w:r>
    </w:p>
    <w:p w14:paraId="7AC96A08" w14:textId="77777777" w:rsidR="008D3090" w:rsidRPr="008D3090" w:rsidRDefault="008D3090" w:rsidP="008D3090">
      <w:pPr>
        <w:widowControl w:val="0"/>
        <w:numPr>
          <w:ilvl w:val="0"/>
          <w:numId w:val="48"/>
        </w:num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SimSun" w:hAnsi="Times New Roman" w:cs="Times New Roman"/>
          <w:lang w:val="en-GB" w:eastAsia="zh-CN"/>
          <w14:ligatures w14:val="none"/>
        </w:rPr>
        <w:t xml:space="preserve">Recognition and reward play a significant role in enhancing employee commitment in United Bank for Africa Bayelsa State </w:t>
      </w:r>
    </w:p>
    <w:p w14:paraId="1BF5A2C1" w14:textId="77777777" w:rsidR="008D3090" w:rsidRPr="008D3090" w:rsidRDefault="008D3090" w:rsidP="008D3090">
      <w:pPr>
        <w:keepNext/>
        <w:keepLines/>
        <w:widowControl w:val="0"/>
        <w:spacing w:after="0" w:line="240" w:lineRule="auto"/>
        <w:jc w:val="both"/>
        <w:outlineLvl w:val="0"/>
        <w:rPr>
          <w:rFonts w:ascii="Times New Roman" w:eastAsia="SimSun" w:hAnsi="Times New Roman" w:cs="Times New Roman"/>
          <w:b/>
          <w:lang w:val="en-GB" w:eastAsia="zh-CN"/>
          <w14:ligatures w14:val="none"/>
        </w:rPr>
      </w:pPr>
      <w:bookmarkStart w:id="82" w:name="_Toc215808595"/>
      <w:r w:rsidRPr="008D3090">
        <w:rPr>
          <w:rFonts w:ascii="Times New Roman" w:eastAsia="SimSun" w:hAnsi="Times New Roman" w:cs="Times New Roman"/>
          <w:b/>
          <w:lang w:val="en-GB" w:eastAsia="zh-CN"/>
          <w14:ligatures w14:val="none"/>
        </w:rPr>
        <w:t>5.3​ Recommendations</w:t>
      </w:r>
      <w:bookmarkEnd w:id="82"/>
    </w:p>
    <w:p w14:paraId="397184AE" w14:textId="77777777" w:rsidR="008D3090" w:rsidRPr="008D3090" w:rsidRDefault="008D3090" w:rsidP="008D3090">
      <w:pPr>
        <w:spacing w:after="0" w:line="240" w:lineRule="auto"/>
        <w:jc w:val="both"/>
        <w:rPr>
          <w:rFonts w:ascii="Times New Roman" w:eastAsia="-webkit-standard" w:hAnsi="Times New Roman" w:cs="Times New Roman"/>
          <w:color w:val="000000"/>
          <w:lang w:val="en-GB" w:eastAsia="zh-CN"/>
          <w14:ligatures w14:val="none"/>
        </w:rPr>
      </w:pPr>
      <w:r w:rsidRPr="008D3090">
        <w:rPr>
          <w:rFonts w:ascii="Times New Roman" w:eastAsia="-webkit-standard" w:hAnsi="Times New Roman" w:cs="Times New Roman"/>
          <w:color w:val="000000"/>
          <w:lang w:val="en-GB" w:eastAsia="zh-CN"/>
          <w14:ligatures w14:val="none"/>
        </w:rPr>
        <w:t>The following recommendations are made based on the findings, that;</w:t>
      </w:r>
    </w:p>
    <w:p w14:paraId="52FBD463" w14:textId="77777777" w:rsidR="008D3090" w:rsidRPr="008D3090" w:rsidRDefault="008D3090" w:rsidP="008D3090">
      <w:pPr>
        <w:widowControl w:val="0"/>
        <w:numPr>
          <w:ilvl w:val="0"/>
          <w:numId w:val="49"/>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Organizations should concentrate on creating work environments that will boost the affective commitment of employees as this will enable them work towards the attainment of organizational goals and objectives, thereby improving the overall performance of the organization</w:t>
      </w:r>
    </w:p>
    <w:p w14:paraId="220FB741" w14:textId="77777777" w:rsidR="008D3090" w:rsidRPr="008D3090" w:rsidRDefault="008D3090" w:rsidP="008D3090">
      <w:pPr>
        <w:widowControl w:val="0"/>
        <w:numPr>
          <w:ilvl w:val="0"/>
          <w:numId w:val="49"/>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There is a need to motivate employees to improve their work commitment and job satisfactions. In order for an organization to be successful, the needs of both the organization and the employees must be satisfied; organization managements should establish a cohesive relationship with the employees to achieve forward momentum.</w:t>
      </w:r>
    </w:p>
    <w:p w14:paraId="4FF5F18F" w14:textId="77777777" w:rsidR="008D3090" w:rsidRPr="008D3090" w:rsidRDefault="008D3090" w:rsidP="008D3090">
      <w:pPr>
        <w:widowControl w:val="0"/>
        <w:numPr>
          <w:ilvl w:val="0"/>
          <w:numId w:val="49"/>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Employees have a role to play by adhering to the rules and regulations of the organization. On the other hand, employees anticipate </w:t>
      </w:r>
      <w:proofErr w:type="spellStart"/>
      <w:r w:rsidRPr="008D3090">
        <w:rPr>
          <w:rFonts w:ascii="Times New Roman" w:eastAsia="SimSun" w:hAnsi="Times New Roman" w:cs="Times New Roman"/>
          <w:lang w:val="en-GB" w:eastAsia="zh-CN"/>
          <w14:ligatures w14:val="none"/>
        </w:rPr>
        <w:t>favorable</w:t>
      </w:r>
      <w:proofErr w:type="spellEnd"/>
      <w:r w:rsidRPr="008D3090">
        <w:rPr>
          <w:rFonts w:ascii="Times New Roman" w:eastAsia="SimSun" w:hAnsi="Times New Roman" w:cs="Times New Roman"/>
          <w:lang w:val="en-GB" w:eastAsia="zh-CN"/>
          <w14:ligatures w14:val="none"/>
        </w:rPr>
        <w:t xml:space="preserve"> working conditions in terms of good salary, good treatment, job security, and enough attention from the organization managements. Both the organization and employees have expectations over and above the black-and-white terms of the employment contract.</w:t>
      </w:r>
    </w:p>
    <w:p w14:paraId="2940D697" w14:textId="77777777" w:rsidR="008D3090" w:rsidRPr="008D3090" w:rsidRDefault="008D3090" w:rsidP="008D3090">
      <w:pPr>
        <w:widowControl w:val="0"/>
        <w:numPr>
          <w:ilvl w:val="0"/>
          <w:numId w:val="49"/>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The needs and anticipations of both the employers and the employees differ from one organization to another. It is, therefore, of the essence for the organization to anticipate employees' desires so as to come up with a better way to motivate them.</w:t>
      </w:r>
    </w:p>
    <w:p w14:paraId="377517F4" w14:textId="77777777" w:rsidR="008D3090" w:rsidRPr="008D3090" w:rsidRDefault="008D3090" w:rsidP="008D3090">
      <w:pPr>
        <w:widowControl w:val="0"/>
        <w:numPr>
          <w:ilvl w:val="0"/>
          <w:numId w:val="49"/>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Both the organization management and the employees should appreciate the influence of the intrinsic factors on employee motivation levels. The organization should effectively exploit the extrinsic factors influencing employee motivation as a strategy for establishing a positive employee motivation. Organization must appreciate the importance of the extrinsic factors in determining the levels of employee motivation.</w:t>
      </w:r>
    </w:p>
    <w:p w14:paraId="2224AEDA" w14:textId="77777777" w:rsidR="008D3090" w:rsidRPr="008D3090" w:rsidRDefault="008D3090" w:rsidP="008D3090">
      <w:pPr>
        <w:widowControl w:val="0"/>
        <w:numPr>
          <w:ilvl w:val="0"/>
          <w:numId w:val="49"/>
        </w:numPr>
        <w:spacing w:after="90" w:line="240" w:lineRule="auto"/>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This study also recommends that organization managements prioritize and concentrate more on the factors that will increase the employees' commitment. The factors that need most emphasis include; salary, training and development, improving organizational structure and building team work.</w:t>
      </w:r>
    </w:p>
    <w:p w14:paraId="7454B869" w14:textId="77777777" w:rsidR="008D3090" w:rsidRPr="008D3090" w:rsidRDefault="008D3090" w:rsidP="008D3090">
      <w:pPr>
        <w:spacing w:line="240" w:lineRule="auto"/>
        <w:rPr>
          <w:rFonts w:ascii="Times New Roman" w:eastAsia="SimSun" w:hAnsi="Times New Roman" w:cs="Times New Roman"/>
          <w:b/>
          <w:lang w:val="en-GB" w:eastAsia="zh-CN"/>
          <w14:ligatures w14:val="none"/>
        </w:rPr>
      </w:pPr>
      <w:bookmarkStart w:id="83" w:name="_Toc215808597"/>
    </w:p>
    <w:p w14:paraId="71337E77" w14:textId="77777777" w:rsidR="008D3090" w:rsidRPr="008D3090" w:rsidRDefault="008D3090" w:rsidP="008D3090">
      <w:pPr>
        <w:spacing w:line="240" w:lineRule="auto"/>
        <w:rPr>
          <w:rFonts w:ascii="Times New Roman" w:eastAsia="SimSun" w:hAnsi="Times New Roman" w:cs="Times New Roman"/>
          <w:b/>
          <w:lang w:val="en-GB" w:eastAsia="zh-CN"/>
          <w14:ligatures w14:val="none"/>
        </w:rPr>
      </w:pPr>
      <w:r w:rsidRPr="008D3090">
        <w:rPr>
          <w:rFonts w:ascii="Times New Roman" w:eastAsia="SimSun" w:hAnsi="Times New Roman" w:cs="Times New Roman"/>
          <w:b/>
          <w:lang w:val="en-GB" w:eastAsia="zh-CN"/>
          <w14:ligatures w14:val="none"/>
        </w:rPr>
        <w:lastRenderedPageBreak/>
        <w:t>REFERENCE</w:t>
      </w:r>
      <w:bookmarkEnd w:id="83"/>
      <w:r w:rsidRPr="008D3090">
        <w:rPr>
          <w:rFonts w:ascii="Times New Roman" w:eastAsia="SimSun" w:hAnsi="Times New Roman" w:cs="Times New Roman"/>
          <w:b/>
          <w:lang w:val="en-GB" w:eastAsia="zh-CN"/>
          <w14:ligatures w14:val="none"/>
        </w:rPr>
        <w:t>S</w:t>
      </w:r>
    </w:p>
    <w:p w14:paraId="5F8791D7"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Ajila, C. and </w:t>
      </w:r>
      <w:proofErr w:type="spellStart"/>
      <w:r w:rsidRPr="008D3090">
        <w:rPr>
          <w:rFonts w:ascii="Times New Roman" w:eastAsia="SimSun" w:hAnsi="Times New Roman" w:cs="Times New Roman"/>
          <w:lang w:val="en-GB" w:eastAsia="zh-CN"/>
          <w14:ligatures w14:val="none"/>
        </w:rPr>
        <w:t>Awonusi</w:t>
      </w:r>
      <w:proofErr w:type="spellEnd"/>
      <w:r w:rsidRPr="008D3090">
        <w:rPr>
          <w:rFonts w:ascii="Times New Roman" w:eastAsia="SimSun" w:hAnsi="Times New Roman" w:cs="Times New Roman"/>
          <w:lang w:val="en-GB" w:eastAsia="zh-CN"/>
          <w14:ligatures w14:val="none"/>
        </w:rPr>
        <w:t xml:space="preserve">, A. (2004). Influence of Rewards on Workers Performance in an Organization. </w:t>
      </w:r>
      <w:r w:rsidRPr="008D3090">
        <w:rPr>
          <w:rFonts w:ascii="Times New Roman" w:eastAsia="SimSun" w:hAnsi="Times New Roman" w:cs="Times New Roman"/>
          <w:i/>
          <w:lang w:val="en-GB" w:eastAsia="zh-CN"/>
          <w14:ligatures w14:val="none"/>
        </w:rPr>
        <w:t>Journal of Social Science.</w:t>
      </w:r>
      <w:r w:rsidRPr="008D3090">
        <w:rPr>
          <w:rFonts w:ascii="Times New Roman" w:eastAsia="SimSun" w:hAnsi="Times New Roman" w:cs="Times New Roman"/>
          <w:lang w:val="en-GB" w:eastAsia="zh-CN"/>
          <w14:ligatures w14:val="none"/>
        </w:rPr>
        <w:t xml:space="preserve"> Ch 8 (1) 7-12.</w:t>
      </w:r>
    </w:p>
    <w:p w14:paraId="6EF2D39F"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Akintayo D.I. (2010). Work-Family Role Conflict and Organizational Commitment Among Industrial Workers in Nigeria. Journal of Psychology and Counselling. 2(1) 1-8.</w:t>
      </w:r>
    </w:p>
    <w:p w14:paraId="74AD77E4"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Ali I., Rehman K., Ali </w:t>
      </w:r>
      <w:proofErr w:type="spellStart"/>
      <w:r w:rsidRPr="008D3090">
        <w:rPr>
          <w:rFonts w:ascii="Times New Roman" w:eastAsia="SimSun" w:hAnsi="Times New Roman" w:cs="Times New Roman"/>
          <w:lang w:val="en-GB" w:eastAsia="zh-CN"/>
          <w14:ligatures w14:val="none"/>
        </w:rPr>
        <w:t>S.l.</w:t>
      </w:r>
      <w:proofErr w:type="spellEnd"/>
      <w:r w:rsidRPr="008D3090">
        <w:rPr>
          <w:rFonts w:ascii="Times New Roman" w:eastAsia="SimSun" w:hAnsi="Times New Roman" w:cs="Times New Roman"/>
          <w:lang w:val="en-GB" w:eastAsia="zh-CN"/>
          <w14:ligatures w14:val="none"/>
        </w:rPr>
        <w:t xml:space="preserve">, Yousaf). and Zia M. (2010). Corporate Social Responsibility Influences, Employee Commitment and Organizational Performance. </w:t>
      </w:r>
      <w:r w:rsidRPr="008D3090">
        <w:rPr>
          <w:rFonts w:ascii="Times New Roman" w:eastAsia="SimSun" w:hAnsi="Times New Roman" w:cs="Times New Roman"/>
          <w:i/>
          <w:lang w:val="en-GB" w:eastAsia="zh-CN"/>
          <w14:ligatures w14:val="none"/>
        </w:rPr>
        <w:t>African Journal of Business Management.</w:t>
      </w:r>
      <w:r w:rsidRPr="008D3090">
        <w:rPr>
          <w:rFonts w:ascii="Times New Roman" w:eastAsia="SimSun" w:hAnsi="Times New Roman" w:cs="Times New Roman"/>
          <w:lang w:val="en-GB" w:eastAsia="zh-CN"/>
          <w14:ligatures w14:val="none"/>
        </w:rPr>
        <w:t xml:space="preserve"> 4(12), Pp.2796-2801.</w:t>
      </w:r>
    </w:p>
    <w:p w14:paraId="3DDD4CDB"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Andrew, A. (2017). Employees Commitment and its impact on Organizational Performance. </w:t>
      </w:r>
      <w:r w:rsidRPr="008D3090">
        <w:rPr>
          <w:rFonts w:ascii="Times New Roman" w:eastAsia="SimSun" w:hAnsi="Times New Roman" w:cs="Times New Roman"/>
          <w:i/>
          <w:lang w:val="en-GB" w:eastAsia="zh-CN"/>
          <w14:ligatures w14:val="none"/>
        </w:rPr>
        <w:t>Asian Journal of Economics, Business and Accounting,</w:t>
      </w:r>
      <w:r w:rsidRPr="008D3090">
        <w:rPr>
          <w:rFonts w:ascii="Times New Roman" w:eastAsia="SimSun" w:hAnsi="Times New Roman" w:cs="Times New Roman"/>
          <w:lang w:val="en-GB" w:eastAsia="zh-CN"/>
          <w14:ligatures w14:val="none"/>
        </w:rPr>
        <w:t xml:space="preserve"> 5(2), 1-13.</w:t>
      </w:r>
    </w:p>
    <w:p w14:paraId="6DDA3E1B"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Andrew, A. (2017). Employees Commitment and its impact on Organizational Performance. Asian </w:t>
      </w:r>
      <w:r w:rsidRPr="008D3090">
        <w:rPr>
          <w:rFonts w:ascii="Times New Roman" w:eastAsia="SimSun" w:hAnsi="Times New Roman" w:cs="Times New Roman"/>
          <w:i/>
          <w:lang w:val="en-GB" w:eastAsia="zh-CN"/>
          <w14:ligatures w14:val="none"/>
        </w:rPr>
        <w:t>Journal of Economics, Business and Accounting</w:t>
      </w:r>
      <w:r w:rsidRPr="008D3090">
        <w:rPr>
          <w:rFonts w:ascii="Times New Roman" w:eastAsia="SimSun" w:hAnsi="Times New Roman" w:cs="Times New Roman"/>
          <w:lang w:val="en-GB" w:eastAsia="zh-CN"/>
          <w14:ligatures w14:val="none"/>
        </w:rPr>
        <w:t>, 5(2), 1-13.</w:t>
      </w:r>
    </w:p>
    <w:p w14:paraId="688D75C3"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Blau, 2015). Managing Employee Compensation and Benefits for Job Satisfaction in Libraries and Information </w:t>
      </w:r>
      <w:proofErr w:type="spellStart"/>
      <w:r w:rsidRPr="008D3090">
        <w:rPr>
          <w:rFonts w:ascii="Times New Roman" w:eastAsia="SimSun" w:hAnsi="Times New Roman" w:cs="Times New Roman"/>
          <w:lang w:val="en-GB" w:eastAsia="zh-CN"/>
          <w14:ligatures w14:val="none"/>
        </w:rPr>
        <w:t>Centers</w:t>
      </w:r>
      <w:proofErr w:type="spellEnd"/>
      <w:r w:rsidRPr="008D3090">
        <w:rPr>
          <w:rFonts w:ascii="Times New Roman" w:eastAsia="SimSun" w:hAnsi="Times New Roman" w:cs="Times New Roman"/>
          <w:lang w:val="en-GB" w:eastAsia="zh-CN"/>
          <w14:ligatures w14:val="none"/>
        </w:rPr>
        <w:t xml:space="preserve"> in Nigeria.</w:t>
      </w:r>
    </w:p>
    <w:p w14:paraId="15EB9FAC"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Browyn</w:t>
      </w:r>
      <w:proofErr w:type="spellEnd"/>
      <w:r w:rsidRPr="008D3090">
        <w:rPr>
          <w:rFonts w:ascii="Times New Roman" w:eastAsia="SimSun" w:hAnsi="Times New Roman" w:cs="Times New Roman"/>
          <w:lang w:val="en-GB" w:eastAsia="zh-CN"/>
          <w14:ligatures w14:val="none"/>
        </w:rPr>
        <w:t xml:space="preserve">, (2022). Employee commitment, job satisfaction and turnover among psychiatric technicians. </w:t>
      </w:r>
      <w:r w:rsidRPr="008D3090">
        <w:rPr>
          <w:rFonts w:ascii="Times New Roman" w:eastAsia="SimSun" w:hAnsi="Times New Roman" w:cs="Times New Roman"/>
          <w:i/>
          <w:lang w:val="en-GB" w:eastAsia="zh-CN"/>
          <w14:ligatures w14:val="none"/>
        </w:rPr>
        <w:t>Journal of Applied Psychology.</w:t>
      </w:r>
      <w:r w:rsidRPr="008D3090">
        <w:rPr>
          <w:rFonts w:ascii="Times New Roman" w:eastAsia="SimSun" w:hAnsi="Times New Roman" w:cs="Times New Roman"/>
          <w:lang w:val="en-GB" w:eastAsia="zh-CN"/>
          <w14:ligatures w14:val="none"/>
        </w:rPr>
        <w:t xml:space="preserve"> 59:603-9.</w:t>
      </w:r>
    </w:p>
    <w:p w14:paraId="0B593732"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Bedarkar, M., &amp; Pandita, D. (2018). A study on the drivers of employee engagement impacting employee performance. Procedia-Social and </w:t>
      </w:r>
      <w:proofErr w:type="spellStart"/>
      <w:r w:rsidRPr="008D3090">
        <w:rPr>
          <w:rFonts w:ascii="Times New Roman" w:eastAsia="SimSun" w:hAnsi="Times New Roman" w:cs="Times New Roman"/>
          <w:lang w:val="en-GB" w:eastAsia="zh-CN"/>
          <w14:ligatures w14:val="none"/>
        </w:rPr>
        <w:t>Behavioral</w:t>
      </w:r>
      <w:proofErr w:type="spellEnd"/>
      <w:r w:rsidRPr="008D3090">
        <w:rPr>
          <w:rFonts w:ascii="Times New Roman" w:eastAsia="SimSun" w:hAnsi="Times New Roman" w:cs="Times New Roman"/>
          <w:lang w:val="en-GB" w:eastAsia="zh-CN"/>
          <w14:ligatures w14:val="none"/>
        </w:rPr>
        <w:t xml:space="preserve"> Sciences, 13(3) 106-115.</w:t>
      </w:r>
    </w:p>
    <w:p w14:paraId="78A724FE"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Collier, J., &amp; Esteban, R. (2017). Corporate social responsibility and employee commitment. Business ethics: A European review, 16(1), 19-33. </w:t>
      </w:r>
    </w:p>
    <w:p w14:paraId="3F432E71"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Dixit V, Bhati M (2020). A Study about Employee Commitment and its impact on Sustained Productivity in Indian Auto-Component Industry.1(6):34-51.</w:t>
      </w:r>
    </w:p>
    <w:p w14:paraId="0F597CCC"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Doval E. (2020). Organizational Performance by the Process of Knowledge CREATION. Review of general volume 32 issue 2 Year 2020 https://scholar.google.com </w:t>
      </w:r>
    </w:p>
    <w:p w14:paraId="7715461E"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Dost MB, Ahmed DZ (2021). Impact of Employee Commitment </w:t>
      </w:r>
      <w:proofErr w:type="gramStart"/>
      <w:r w:rsidRPr="008D3090">
        <w:rPr>
          <w:rFonts w:ascii="Times New Roman" w:eastAsia="SimSun" w:hAnsi="Times New Roman" w:cs="Times New Roman"/>
          <w:lang w:val="en-GB" w:eastAsia="zh-CN"/>
          <w14:ligatures w14:val="none"/>
        </w:rPr>
        <w:t>On</w:t>
      </w:r>
      <w:proofErr w:type="gramEnd"/>
      <w:r w:rsidRPr="008D3090">
        <w:rPr>
          <w:rFonts w:ascii="Times New Roman" w:eastAsia="SimSun" w:hAnsi="Times New Roman" w:cs="Times New Roman"/>
          <w:lang w:val="en-GB" w:eastAsia="zh-CN"/>
          <w14:ligatures w14:val="none"/>
        </w:rPr>
        <w:t xml:space="preserve"> Organizational. Noman Shafi, Wasim Abbas Shaheen (Pakistan):</w:t>
      </w:r>
    </w:p>
    <w:p w14:paraId="062FECF4"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Elnaga</w:t>
      </w:r>
      <w:proofErr w:type="spellEnd"/>
      <w:r w:rsidRPr="008D3090">
        <w:rPr>
          <w:rFonts w:ascii="Times New Roman" w:eastAsia="SimSun" w:hAnsi="Times New Roman" w:cs="Times New Roman"/>
          <w:lang w:val="en-GB" w:eastAsia="zh-CN"/>
          <w14:ligatures w14:val="none"/>
        </w:rPr>
        <w:t xml:space="preserve">, A., &amp; Imran, A. (2018). The effect of training on employee performance. </w:t>
      </w:r>
      <w:r w:rsidRPr="008D3090">
        <w:rPr>
          <w:rFonts w:ascii="Times New Roman" w:eastAsia="SimSun" w:hAnsi="Times New Roman" w:cs="Times New Roman"/>
          <w:i/>
          <w:lang w:val="en-GB" w:eastAsia="zh-CN"/>
          <w14:ligatures w14:val="none"/>
        </w:rPr>
        <w:t>European journal of Business and Management,</w:t>
      </w:r>
      <w:r w:rsidRPr="008D3090">
        <w:rPr>
          <w:rFonts w:ascii="Times New Roman" w:eastAsia="SimSun" w:hAnsi="Times New Roman" w:cs="Times New Roman"/>
          <w:lang w:val="en-GB" w:eastAsia="zh-CN"/>
          <w14:ligatures w14:val="none"/>
        </w:rPr>
        <w:t xml:space="preserve"> 5(4), 137-147.</w:t>
      </w:r>
    </w:p>
    <w:p w14:paraId="77A21073"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Evangelista, F. (2019). Organizational context and knowledge acquisition in IJVs: An empirical study. </w:t>
      </w:r>
      <w:r w:rsidRPr="008D3090">
        <w:rPr>
          <w:rFonts w:ascii="Times New Roman" w:eastAsia="SimSun" w:hAnsi="Times New Roman" w:cs="Times New Roman"/>
          <w:i/>
          <w:lang w:val="en-GB" w:eastAsia="zh-CN"/>
          <w14:ligatures w14:val="none"/>
        </w:rPr>
        <w:t>Journal of World Business</w:t>
      </w:r>
      <w:r w:rsidRPr="008D3090">
        <w:rPr>
          <w:rFonts w:ascii="Times New Roman" w:eastAsia="SimSun" w:hAnsi="Times New Roman" w:cs="Times New Roman"/>
          <w:lang w:val="en-GB" w:eastAsia="zh-CN"/>
          <w14:ligatures w14:val="none"/>
        </w:rPr>
        <w:t xml:space="preserve">, 44(1), 63-73. </w:t>
      </w:r>
    </w:p>
    <w:p w14:paraId="1F5DF461"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Ellemers</w:t>
      </w:r>
      <w:proofErr w:type="spellEnd"/>
      <w:r w:rsidRPr="008D3090">
        <w:rPr>
          <w:rFonts w:ascii="Times New Roman" w:eastAsia="SimSun" w:hAnsi="Times New Roman" w:cs="Times New Roman"/>
          <w:lang w:val="en-GB" w:eastAsia="zh-CN"/>
          <w14:ligatures w14:val="none"/>
        </w:rPr>
        <w:t xml:space="preserve">, de Gilder, &amp; van den Heuvel, 2018) HRM and organizational performance in northern and southern Europe. </w:t>
      </w:r>
      <w:r w:rsidRPr="008D3090">
        <w:rPr>
          <w:rFonts w:ascii="Times New Roman" w:eastAsia="SimSun" w:hAnsi="Times New Roman" w:cs="Times New Roman"/>
          <w:i/>
          <w:lang w:val="en-GB" w:eastAsia="zh-CN"/>
          <w14:ligatures w14:val="none"/>
        </w:rPr>
        <w:t xml:space="preserve">The International Journal of Human Resource Management, </w:t>
      </w:r>
      <w:r w:rsidRPr="008D3090">
        <w:rPr>
          <w:rFonts w:ascii="Times New Roman" w:eastAsia="SimSun" w:hAnsi="Times New Roman" w:cs="Times New Roman"/>
          <w:lang w:val="en-GB" w:eastAsia="zh-CN"/>
          <w14:ligatures w14:val="none"/>
        </w:rPr>
        <w:t>19(7),1187-1207.</w:t>
      </w:r>
    </w:p>
    <w:p w14:paraId="7274F697"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Frey, B. S. (2018). How intrinsic motivation is crowded out and in. Rationality and society, 6(3), 334-352. </w:t>
      </w:r>
    </w:p>
    <w:p w14:paraId="0C24F865"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Gabriela E. (2020). "Organizational performance - theoretical and practical approaches; study on students' perceptions," Proceedings of the </w:t>
      </w:r>
      <w:r w:rsidRPr="008D3090">
        <w:rPr>
          <w:rFonts w:ascii="Times New Roman" w:eastAsia="SimSun" w:hAnsi="Times New Roman" w:cs="Times New Roman"/>
          <w:i/>
          <w:lang w:val="en-GB" w:eastAsia="zh-CN"/>
          <w14:ligatures w14:val="none"/>
        </w:rPr>
        <w:t xml:space="preserve">International Conference on Business Excellence, </w:t>
      </w:r>
      <w:proofErr w:type="spellStart"/>
      <w:r w:rsidRPr="008D3090">
        <w:rPr>
          <w:rFonts w:ascii="Times New Roman" w:eastAsia="SimSun" w:hAnsi="Times New Roman" w:cs="Times New Roman"/>
          <w:i/>
          <w:lang w:val="en-GB" w:eastAsia="zh-CN"/>
          <w14:ligatures w14:val="none"/>
        </w:rPr>
        <w:t>Sciendo</w:t>
      </w:r>
      <w:proofErr w:type="spellEnd"/>
      <w:r w:rsidRPr="008D3090">
        <w:rPr>
          <w:rFonts w:ascii="Times New Roman" w:eastAsia="SimSun" w:hAnsi="Times New Roman" w:cs="Times New Roman"/>
          <w:lang w:val="en-GB" w:eastAsia="zh-CN"/>
          <w14:ligatures w14:val="none"/>
        </w:rPr>
        <w:t>, vol. 14(1), pages 398-406, July.</w:t>
      </w:r>
    </w:p>
    <w:p w14:paraId="0159DFC9"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Grant, A. M. (2018). Does intrinsic motivation fuel the prosocial fire? Motivational synergy in predicting persistence, performance, and productivity. Journal of applied psychology, 3(1), 48-56. </w:t>
      </w:r>
    </w:p>
    <w:p w14:paraId="6FEAD21F"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Gul, Z. (2019). Impact of employee commitment on organizational development. </w:t>
      </w:r>
      <w:r w:rsidRPr="008D3090">
        <w:rPr>
          <w:rFonts w:ascii="Times New Roman" w:eastAsia="SimSun" w:hAnsi="Times New Roman" w:cs="Times New Roman"/>
          <w:i/>
          <w:lang w:val="en-GB" w:eastAsia="zh-CN"/>
          <w14:ligatures w14:val="none"/>
        </w:rPr>
        <w:t>FWU Journal of Social Sciences</w:t>
      </w:r>
      <w:r w:rsidRPr="008D3090">
        <w:rPr>
          <w:rFonts w:ascii="Times New Roman" w:eastAsia="SimSun" w:hAnsi="Times New Roman" w:cs="Times New Roman"/>
          <w:lang w:val="en-GB" w:eastAsia="zh-CN"/>
          <w14:ligatures w14:val="none"/>
        </w:rPr>
        <w:t>, 9(2), 117-124.</w:t>
      </w:r>
    </w:p>
    <w:p w14:paraId="1E8BE0A2"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Gupta, A. K., &amp; Govindarajan, V. (2022). Business unit strategy, managerial characteristics, and business unit effectiveness at strategy implementation. </w:t>
      </w:r>
      <w:r w:rsidRPr="008D3090">
        <w:rPr>
          <w:rFonts w:ascii="Times New Roman" w:eastAsia="SimSun" w:hAnsi="Times New Roman" w:cs="Times New Roman"/>
          <w:i/>
          <w:lang w:val="en-GB" w:eastAsia="zh-CN"/>
          <w14:ligatures w14:val="none"/>
        </w:rPr>
        <w:t>Academy of Management Journal</w:t>
      </w:r>
      <w:r w:rsidRPr="008D3090">
        <w:rPr>
          <w:rFonts w:ascii="Times New Roman" w:eastAsia="SimSun" w:hAnsi="Times New Roman" w:cs="Times New Roman"/>
          <w:lang w:val="en-GB" w:eastAsia="zh-CN"/>
          <w14:ligatures w14:val="none"/>
        </w:rPr>
        <w:t xml:space="preserve">, 27(1), 25-41. </w:t>
      </w:r>
    </w:p>
    <w:p w14:paraId="77355F1F"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Igella</w:t>
      </w:r>
      <w:proofErr w:type="spellEnd"/>
      <w:r w:rsidRPr="008D3090">
        <w:rPr>
          <w:rFonts w:ascii="Times New Roman" w:eastAsia="SimSun" w:hAnsi="Times New Roman" w:cs="Times New Roman"/>
          <w:lang w:val="en-GB" w:eastAsia="zh-CN"/>
          <w14:ligatures w14:val="none"/>
        </w:rPr>
        <w:t xml:space="preserve"> R (2020). Factors influencing employee commitment; A case of Kenya Civil Aviation Authority. (Doctoral dissertation, United States </w:t>
      </w:r>
      <w:proofErr w:type="spellStart"/>
      <w:r w:rsidRPr="008D3090">
        <w:rPr>
          <w:rFonts w:ascii="Times New Roman" w:eastAsia="SimSun" w:hAnsi="Times New Roman" w:cs="Times New Roman"/>
          <w:lang w:val="en-GB" w:eastAsia="zh-CN"/>
          <w14:ligatures w14:val="none"/>
        </w:rPr>
        <w:t>InternationalUniversity</w:t>
      </w:r>
      <w:proofErr w:type="spellEnd"/>
      <w:r w:rsidRPr="008D3090">
        <w:rPr>
          <w:rFonts w:ascii="Times New Roman" w:eastAsia="SimSun" w:hAnsi="Times New Roman" w:cs="Times New Roman"/>
          <w:lang w:val="en-GB" w:eastAsia="zh-CN"/>
          <w14:ligatures w14:val="none"/>
        </w:rPr>
        <w:t>-Africa).</w:t>
      </w:r>
    </w:p>
    <w:p w14:paraId="558F11E9"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Irefin</w:t>
      </w:r>
      <w:proofErr w:type="spellEnd"/>
      <w:r w:rsidRPr="008D3090">
        <w:rPr>
          <w:rFonts w:ascii="Times New Roman" w:eastAsia="SimSun" w:hAnsi="Times New Roman" w:cs="Times New Roman"/>
          <w:lang w:val="en-GB" w:eastAsia="zh-CN"/>
          <w14:ligatures w14:val="none"/>
        </w:rPr>
        <w:t xml:space="preserve">, P. &amp; Mechanic, M. A. (2014). Effect of Employee Commitment on Organizational Performance in Coca-Cola Nigeria Limited Maiduguri, </w:t>
      </w:r>
      <w:r w:rsidRPr="008D3090">
        <w:rPr>
          <w:rFonts w:ascii="Times New Roman" w:eastAsia="SimSun" w:hAnsi="Times New Roman" w:cs="Times New Roman"/>
          <w:i/>
          <w:lang w:val="en-GB" w:eastAsia="zh-CN"/>
          <w14:ligatures w14:val="none"/>
        </w:rPr>
        <w:t>Borno State IOSR Journal of Humanities and Social Science,</w:t>
      </w:r>
      <w:r w:rsidRPr="008D3090">
        <w:rPr>
          <w:rFonts w:ascii="Times New Roman" w:eastAsia="SimSun" w:hAnsi="Times New Roman" w:cs="Times New Roman"/>
          <w:lang w:val="en-GB" w:eastAsia="zh-CN"/>
          <w14:ligatures w14:val="none"/>
        </w:rPr>
        <w:t xml:space="preserve"> 19(3), 33-41.</w:t>
      </w:r>
    </w:p>
    <w:p w14:paraId="6CAEF5FA"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i/>
          <w:lang w:val="en-GB" w:eastAsia="zh-CN"/>
          <w14:ligatures w14:val="none"/>
        </w:rPr>
      </w:pPr>
      <w:r w:rsidRPr="008D3090">
        <w:rPr>
          <w:rFonts w:ascii="Times New Roman" w:eastAsia="SimSun" w:hAnsi="Times New Roman" w:cs="Times New Roman"/>
          <w:lang w:val="en-GB" w:eastAsia="zh-CN"/>
          <w14:ligatures w14:val="none"/>
        </w:rPr>
        <w:t xml:space="preserve">Kaplan, M. &amp; Kaplan, A. (2018). The Relationship between Organizational Commitment and Work Performance: A case of Industrial Enterprises. </w:t>
      </w:r>
      <w:r w:rsidRPr="008D3090">
        <w:rPr>
          <w:rFonts w:ascii="Times New Roman" w:eastAsia="SimSun" w:hAnsi="Times New Roman" w:cs="Times New Roman"/>
          <w:i/>
          <w:lang w:val="en-GB" w:eastAsia="zh-CN"/>
          <w14:ligatures w14:val="none"/>
        </w:rPr>
        <w:t>Journal of Economic and Social Development (JESD), 5(1).</w:t>
      </w:r>
    </w:p>
    <w:p w14:paraId="0F1F6BF6"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lastRenderedPageBreak/>
        <w:t xml:space="preserve">Kiesler, 2016) Exploring Effects of Organizational Commitment on Employee Performance: Implications for Human Resource Strategy. </w:t>
      </w:r>
      <w:r w:rsidRPr="008D3090">
        <w:rPr>
          <w:rFonts w:ascii="Times New Roman" w:eastAsia="SimSun" w:hAnsi="Times New Roman" w:cs="Times New Roman"/>
          <w:i/>
          <w:lang w:val="en-GB" w:eastAsia="zh-CN"/>
          <w14:ligatures w14:val="none"/>
        </w:rPr>
        <w:t xml:space="preserve">Interdisciplinary Journal </w:t>
      </w:r>
      <w:proofErr w:type="gramStart"/>
      <w:r w:rsidRPr="008D3090">
        <w:rPr>
          <w:rFonts w:ascii="Times New Roman" w:eastAsia="SimSun" w:hAnsi="Times New Roman" w:cs="Times New Roman"/>
          <w:i/>
          <w:lang w:val="en-GB" w:eastAsia="zh-CN"/>
          <w14:ligatures w14:val="none"/>
        </w:rPr>
        <w:t>Of</w:t>
      </w:r>
      <w:proofErr w:type="gramEnd"/>
      <w:r w:rsidRPr="008D3090">
        <w:rPr>
          <w:rFonts w:ascii="Times New Roman" w:eastAsia="SimSun" w:hAnsi="Times New Roman" w:cs="Times New Roman"/>
          <w:i/>
          <w:lang w:val="en-GB" w:eastAsia="zh-CN"/>
          <w14:ligatures w14:val="none"/>
        </w:rPr>
        <w:t xml:space="preserve"> Contemporary Research in Business</w:t>
      </w:r>
      <w:r w:rsidRPr="008D3090">
        <w:rPr>
          <w:rFonts w:ascii="Times New Roman" w:eastAsia="SimSun" w:hAnsi="Times New Roman" w:cs="Times New Roman"/>
          <w:lang w:val="en-GB" w:eastAsia="zh-CN"/>
          <w14:ligatures w14:val="none"/>
        </w:rPr>
        <w:t>. 3(11), 248 - 255.</w:t>
      </w:r>
    </w:p>
    <w:p w14:paraId="437D84D3"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Kabir M, Parvin MM (2020). Factors Affecting Employee Job Satisfaction of Pharmaceutical Sector. Austral. J. Bus. Manage. Res.1(9):113-123.</w:t>
      </w:r>
    </w:p>
    <w:p w14:paraId="415D5EEE"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Liang, H., Saraf, N., Hu, Q., &amp; Xue, Y. (2020). Assimilation of enterprise systems: the effect of institutional pressures and the mediating role of top management. MIS quarterly, 5(9), 87- 94. </w:t>
      </w:r>
    </w:p>
    <w:p w14:paraId="360FA6DB"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Lo M., Ramayah T. and Min H.W. (2009). Leadership styles and Organizational Commitment: A Test on Malaysia Manufacturing Industry. </w:t>
      </w:r>
      <w:r w:rsidRPr="008D3090">
        <w:rPr>
          <w:rFonts w:ascii="Times New Roman" w:eastAsia="SimSun" w:hAnsi="Times New Roman" w:cs="Times New Roman"/>
          <w:i/>
          <w:lang w:val="en-GB" w:eastAsia="zh-CN"/>
          <w14:ligatures w14:val="none"/>
        </w:rPr>
        <w:t>African Journal of Marketing Management</w:t>
      </w:r>
      <w:r w:rsidRPr="008D3090">
        <w:rPr>
          <w:rFonts w:ascii="Times New Roman" w:eastAsia="SimSun" w:hAnsi="Times New Roman" w:cs="Times New Roman"/>
          <w:lang w:val="en-GB" w:eastAsia="zh-CN"/>
          <w14:ligatures w14:val="none"/>
        </w:rPr>
        <w:t>. 1(6), Pp.133</w:t>
      </w:r>
    </w:p>
    <w:p w14:paraId="1180E399"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Lovely, S. N., Afzal, M. K., &amp; Alam, Z. (2019). Impact of job satisfaction and employee commitment on job performance of private bank employees in Bangladesh. </w:t>
      </w:r>
      <w:r w:rsidRPr="008D3090">
        <w:rPr>
          <w:rFonts w:ascii="Times New Roman" w:eastAsia="SimSun" w:hAnsi="Times New Roman" w:cs="Times New Roman"/>
          <w:i/>
          <w:lang w:val="en-GB" w:eastAsia="zh-CN"/>
          <w14:ligatures w14:val="none"/>
        </w:rPr>
        <w:t>Journal of Economics and Public Administration</w:t>
      </w:r>
      <w:r w:rsidRPr="008D3090">
        <w:rPr>
          <w:rFonts w:ascii="Times New Roman" w:eastAsia="SimSun" w:hAnsi="Times New Roman" w:cs="Times New Roman"/>
          <w:lang w:val="en-GB" w:eastAsia="zh-CN"/>
          <w14:ligatures w14:val="none"/>
        </w:rPr>
        <w:t>, 19(2), 112-123.</w:t>
      </w:r>
    </w:p>
    <w:p w14:paraId="18A8155D"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Mahfouz, Shatha &amp; Awang, Zainudin &amp; Muda, Habsah &amp; </w:t>
      </w:r>
      <w:proofErr w:type="spellStart"/>
      <w:r w:rsidRPr="008D3090">
        <w:rPr>
          <w:rFonts w:ascii="Times New Roman" w:eastAsia="SimSun" w:hAnsi="Times New Roman" w:cs="Times New Roman"/>
          <w:lang w:val="en-GB" w:eastAsia="zh-CN"/>
          <w14:ligatures w14:val="none"/>
        </w:rPr>
        <w:t>Bahkia</w:t>
      </w:r>
      <w:proofErr w:type="spellEnd"/>
      <w:r w:rsidRPr="008D3090">
        <w:rPr>
          <w:rFonts w:ascii="Times New Roman" w:eastAsia="SimSun" w:hAnsi="Times New Roman" w:cs="Times New Roman"/>
          <w:lang w:val="en-GB" w:eastAsia="zh-CN"/>
          <w14:ligatures w14:val="none"/>
        </w:rPr>
        <w:t xml:space="preserve">, Ayu </w:t>
      </w:r>
      <w:proofErr w:type="spellStart"/>
      <w:r w:rsidRPr="008D3090">
        <w:rPr>
          <w:rFonts w:ascii="Times New Roman" w:eastAsia="SimSun" w:hAnsi="Times New Roman" w:cs="Times New Roman"/>
          <w:lang w:val="en-GB" w:eastAsia="zh-CN"/>
          <w14:ligatures w14:val="none"/>
        </w:rPr>
        <w:t>Suriawaty</w:t>
      </w:r>
      <w:proofErr w:type="spellEnd"/>
      <w:r w:rsidRPr="008D3090">
        <w:rPr>
          <w:rFonts w:ascii="Times New Roman" w:eastAsia="SimSun" w:hAnsi="Times New Roman" w:cs="Times New Roman"/>
          <w:lang w:val="en-GB" w:eastAsia="zh-CN"/>
          <w14:ligatures w14:val="none"/>
        </w:rPr>
        <w:t>. (2020). Mediating Role of Employee Commitment in the Relationship Between Transformational Leadership Style and Employee Performance. Humanities &amp; Social Sciences Reviews. 8. 624-637. 10.18510/hssr.2020.8270.</w:t>
      </w:r>
    </w:p>
    <w:p w14:paraId="03484DC8"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Maugo</w:t>
      </w:r>
      <w:proofErr w:type="spellEnd"/>
      <w:r w:rsidRPr="008D3090">
        <w:rPr>
          <w:rFonts w:ascii="Times New Roman" w:eastAsia="SimSun" w:hAnsi="Times New Roman" w:cs="Times New Roman"/>
          <w:lang w:val="en-GB" w:eastAsia="zh-CN"/>
          <w14:ligatures w14:val="none"/>
        </w:rPr>
        <w:t xml:space="preserve"> AK (2023). Perceived factors influencing employee commitment </w:t>
      </w:r>
      <w:proofErr w:type="spellStart"/>
      <w:r w:rsidRPr="008D3090">
        <w:rPr>
          <w:rFonts w:ascii="Times New Roman" w:eastAsia="SimSun" w:hAnsi="Times New Roman" w:cs="Times New Roman"/>
          <w:lang w:val="en-GB" w:eastAsia="zh-CN"/>
          <w14:ligatures w14:val="none"/>
        </w:rPr>
        <w:t>Rutiment</w:t>
      </w:r>
      <w:proofErr w:type="spellEnd"/>
      <w:r w:rsidRPr="008D3090">
        <w:rPr>
          <w:rFonts w:ascii="Times New Roman" w:eastAsia="SimSun" w:hAnsi="Times New Roman" w:cs="Times New Roman"/>
          <w:lang w:val="en-GB" w:eastAsia="zh-CN"/>
          <w14:ligatures w14:val="none"/>
        </w:rPr>
        <w:t xml:space="preserve"> of </w:t>
      </w:r>
      <w:proofErr w:type="spellStart"/>
      <w:proofErr w:type="gramStart"/>
      <w:r w:rsidRPr="008D3090">
        <w:rPr>
          <w:rFonts w:ascii="Times New Roman" w:eastAsia="SimSun" w:hAnsi="Times New Roman" w:cs="Times New Roman"/>
          <w:lang w:val="en-GB" w:eastAsia="zh-CN"/>
          <w14:ligatures w14:val="none"/>
        </w:rPr>
        <w:t>he</w:t>
      </w:r>
      <w:proofErr w:type="spellEnd"/>
      <w:proofErr w:type="gramEnd"/>
      <w:r w:rsidRPr="008D3090">
        <w:rPr>
          <w:rFonts w:ascii="Times New Roman" w:eastAsia="SimSun" w:hAnsi="Times New Roman" w:cs="Times New Roman"/>
          <w:lang w:val="en-GB" w:eastAsia="zh-CN"/>
          <w14:ligatures w14:val="none"/>
        </w:rPr>
        <w:t xml:space="preserve"> requirement A for the award oft se degree in Master of Business Administration (MBA), School of Business, University of Nairobi.</w:t>
      </w:r>
    </w:p>
    <w:p w14:paraId="07DC9F97"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Mansaray, H. E. (2019). The role of leadership style in organizational change management: a literature review. </w:t>
      </w:r>
      <w:r w:rsidRPr="008D3090">
        <w:rPr>
          <w:rFonts w:ascii="Times New Roman" w:eastAsia="SimSun" w:hAnsi="Times New Roman" w:cs="Times New Roman"/>
          <w:i/>
          <w:lang w:val="en-GB" w:eastAsia="zh-CN"/>
          <w14:ligatures w14:val="none"/>
        </w:rPr>
        <w:t>Journal of Human Resource Management,</w:t>
      </w:r>
      <w:r w:rsidRPr="008D3090">
        <w:rPr>
          <w:rFonts w:ascii="Times New Roman" w:eastAsia="SimSun" w:hAnsi="Times New Roman" w:cs="Times New Roman"/>
          <w:lang w:val="en-GB" w:eastAsia="zh-CN"/>
          <w14:ligatures w14:val="none"/>
        </w:rPr>
        <w:t xml:space="preserve"> 7(1), 18-31. </w:t>
      </w:r>
    </w:p>
    <w:p w14:paraId="35E32499"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Meyer &amp; Allen, 2017) The Relationship between Perceived Organizational Support and Turnover intentions in a Developing Country: The Mediating Role of Employee Commitment. African </w:t>
      </w:r>
      <w:r w:rsidRPr="008D3090">
        <w:rPr>
          <w:rFonts w:ascii="Times New Roman" w:eastAsia="SimSun" w:hAnsi="Times New Roman" w:cs="Times New Roman"/>
          <w:i/>
          <w:lang w:val="en-GB" w:eastAsia="zh-CN"/>
          <w14:ligatures w14:val="none"/>
        </w:rPr>
        <w:t>Journal of Business Management.</w:t>
      </w:r>
      <w:r w:rsidRPr="008D3090">
        <w:rPr>
          <w:rFonts w:ascii="Times New Roman" w:eastAsia="SimSun" w:hAnsi="Times New Roman" w:cs="Times New Roman"/>
          <w:lang w:val="en-GB" w:eastAsia="zh-CN"/>
          <w14:ligatures w14:val="none"/>
        </w:rPr>
        <w:t xml:space="preserve"> 4(6), 942-952.</w:t>
      </w:r>
    </w:p>
    <w:p w14:paraId="65FFC9A7"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Meyer, J. P., Becker, T. E., &amp; Vandenberghe, C. (2018). Employee commitment and motivation: a conceptual analysis and integrative model. </w:t>
      </w:r>
      <w:r w:rsidRPr="008D3090">
        <w:rPr>
          <w:rFonts w:ascii="Times New Roman" w:eastAsia="SimSun" w:hAnsi="Times New Roman" w:cs="Times New Roman"/>
          <w:i/>
          <w:lang w:val="en-GB" w:eastAsia="zh-CN"/>
          <w14:ligatures w14:val="none"/>
        </w:rPr>
        <w:t>Journal of applied psychology,</w:t>
      </w:r>
      <w:r w:rsidRPr="008D3090">
        <w:rPr>
          <w:rFonts w:ascii="Times New Roman" w:eastAsia="SimSun" w:hAnsi="Times New Roman" w:cs="Times New Roman"/>
          <w:lang w:val="en-GB" w:eastAsia="zh-CN"/>
          <w14:ligatures w14:val="none"/>
        </w:rPr>
        <w:t xml:space="preserve"> 8(6), 93-101.</w:t>
      </w:r>
    </w:p>
    <w:p w14:paraId="20E7F28C"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Qureshi, M. I., Zaman, K., &amp; Shah, I. A. (2018). Relationship between rewards and employee's performance in the cement industry in Nigeria Journal</w:t>
      </w:r>
      <w:r w:rsidRPr="008D3090">
        <w:rPr>
          <w:rFonts w:ascii="Times New Roman" w:eastAsia="SimSun" w:hAnsi="Times New Roman" w:cs="Times New Roman"/>
          <w:i/>
          <w:lang w:val="en-GB" w:eastAsia="zh-CN"/>
          <w14:ligatures w14:val="none"/>
        </w:rPr>
        <w:t xml:space="preserve"> of international academic research</w:t>
      </w:r>
      <w:r w:rsidRPr="008D3090">
        <w:rPr>
          <w:rFonts w:ascii="Times New Roman" w:eastAsia="SimSun" w:hAnsi="Times New Roman" w:cs="Times New Roman"/>
          <w:lang w:val="en-GB" w:eastAsia="zh-CN"/>
          <w14:ligatures w14:val="none"/>
        </w:rPr>
        <w:t xml:space="preserve">, 10(2), 19-29. </w:t>
      </w:r>
    </w:p>
    <w:p w14:paraId="7D50A764"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Pang, K., &amp; Lu, C. S. (2018). Organizational motivation, employee job satisfaction and organizational performance: An empirical study of container shipping companies in Taiwan. Maritime Business Review 4(2), 16-31.</w:t>
      </w:r>
    </w:p>
    <w:p w14:paraId="1A32B2EC"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Shahid, A., &amp; Azhar, S. M. (2021). Gaining employee commitment: Linking to organizational effectiveness. </w:t>
      </w:r>
      <w:r w:rsidRPr="008D3090">
        <w:rPr>
          <w:rFonts w:ascii="Times New Roman" w:eastAsia="SimSun" w:hAnsi="Times New Roman" w:cs="Times New Roman"/>
          <w:i/>
          <w:lang w:val="en-GB" w:eastAsia="zh-CN"/>
          <w14:ligatures w14:val="none"/>
        </w:rPr>
        <w:t>Journal of management research,</w:t>
      </w:r>
      <w:r w:rsidRPr="008D3090">
        <w:rPr>
          <w:rFonts w:ascii="Times New Roman" w:eastAsia="SimSun" w:hAnsi="Times New Roman" w:cs="Times New Roman"/>
          <w:lang w:val="en-GB" w:eastAsia="zh-CN"/>
          <w14:ligatures w14:val="none"/>
        </w:rPr>
        <w:t xml:space="preserve"> 5(1), 25-38 </w:t>
      </w:r>
    </w:p>
    <w:p w14:paraId="2606CA7F"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Sabir, R. I., Majid, M. B., Nawal, A. &amp; Majid, A. (2015). Impact of Employee Commitment on Organizational Performance (A survey Based Study on Education Sector of Sahiwal and Okara Pakistan). </w:t>
      </w:r>
      <w:proofErr w:type="spellStart"/>
      <w:r w:rsidRPr="008D3090">
        <w:rPr>
          <w:rFonts w:ascii="Times New Roman" w:eastAsia="SimSun" w:hAnsi="Times New Roman" w:cs="Times New Roman"/>
          <w:lang w:val="en-GB" w:eastAsia="zh-CN"/>
          <w14:ligatures w14:val="none"/>
        </w:rPr>
        <w:t>Scholdge</w:t>
      </w:r>
      <w:proofErr w:type="spellEnd"/>
      <w:r w:rsidRPr="008D3090">
        <w:rPr>
          <w:rFonts w:ascii="Times New Roman" w:eastAsia="SimSun" w:hAnsi="Times New Roman" w:cs="Times New Roman"/>
          <w:lang w:val="en-GB" w:eastAsia="zh-CN"/>
          <w14:ligatures w14:val="none"/>
        </w:rPr>
        <w:t xml:space="preserve"> </w:t>
      </w:r>
      <w:r w:rsidRPr="008D3090">
        <w:rPr>
          <w:rFonts w:ascii="Times New Roman" w:eastAsia="SimSun" w:hAnsi="Times New Roman" w:cs="Times New Roman"/>
          <w:i/>
          <w:lang w:val="en-GB" w:eastAsia="zh-CN"/>
          <w14:ligatures w14:val="none"/>
        </w:rPr>
        <w:t>International Journal of Business Policy and Governance,</w:t>
      </w:r>
      <w:r w:rsidRPr="008D3090">
        <w:rPr>
          <w:rFonts w:ascii="Times New Roman" w:eastAsia="SimSun" w:hAnsi="Times New Roman" w:cs="Times New Roman"/>
          <w:lang w:val="en-GB" w:eastAsia="zh-CN"/>
          <w14:ligatures w14:val="none"/>
        </w:rPr>
        <w:t xml:space="preserve"> 2(3).</w:t>
      </w:r>
    </w:p>
    <w:p w14:paraId="6D933DE7"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Sharma, J., &amp; Dhar, R. L. (2019). Factors influencing job performance of nursing staff: mediating role of affective commitment. Personnel Review. </w:t>
      </w:r>
      <w:r w:rsidRPr="008D3090">
        <w:rPr>
          <w:rFonts w:ascii="Times New Roman" w:eastAsia="SimSun" w:hAnsi="Times New Roman" w:cs="Times New Roman"/>
          <w:i/>
          <w:lang w:val="en-GB" w:eastAsia="zh-CN"/>
          <w14:ligatures w14:val="none"/>
        </w:rPr>
        <w:t>Journal of Leadership,</w:t>
      </w:r>
      <w:r w:rsidRPr="008D3090">
        <w:rPr>
          <w:rFonts w:ascii="Times New Roman" w:eastAsia="SimSun" w:hAnsi="Times New Roman" w:cs="Times New Roman"/>
          <w:lang w:val="en-GB" w:eastAsia="zh-CN"/>
          <w14:ligatures w14:val="none"/>
        </w:rPr>
        <w:t xml:space="preserve"> 4(2), 17-26</w:t>
      </w:r>
    </w:p>
    <w:p w14:paraId="44BAC9F8"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Stackhouse, M., &amp; Turner, N. (2019). How do organizational practices relate to perceived system safety effectiveness? Perceptions of safety climate and co-worker commitment to safety as workplace safety signals. </w:t>
      </w:r>
      <w:r w:rsidRPr="008D3090">
        <w:rPr>
          <w:rFonts w:ascii="Times New Roman" w:eastAsia="SimSun" w:hAnsi="Times New Roman" w:cs="Times New Roman"/>
          <w:i/>
          <w:lang w:val="en-GB" w:eastAsia="zh-CN"/>
          <w14:ligatures w14:val="none"/>
        </w:rPr>
        <w:t>Journal of safety research</w:t>
      </w:r>
      <w:r w:rsidRPr="008D3090">
        <w:rPr>
          <w:rFonts w:ascii="Times New Roman" w:eastAsia="SimSun" w:hAnsi="Times New Roman" w:cs="Times New Roman"/>
          <w:lang w:val="en-GB" w:eastAsia="zh-CN"/>
          <w14:ligatures w14:val="none"/>
        </w:rPr>
        <w:t>, 7 (2) 59-69.</w:t>
      </w:r>
    </w:p>
    <w:p w14:paraId="4CE2FD18"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Suliman and Isles (2018) The Measurement and Antecedents of Organizational Commitment: Re-examination of the Affective and Continuance Commitment Scales. </w:t>
      </w:r>
      <w:r w:rsidRPr="008D3090">
        <w:rPr>
          <w:rFonts w:ascii="Times New Roman" w:eastAsia="SimSun" w:hAnsi="Times New Roman" w:cs="Times New Roman"/>
          <w:i/>
          <w:lang w:val="en-GB" w:eastAsia="zh-CN"/>
          <w14:ligatures w14:val="none"/>
        </w:rPr>
        <w:t>Journal of Applied Psychology.</w:t>
      </w:r>
      <w:r w:rsidRPr="008D3090">
        <w:rPr>
          <w:rFonts w:ascii="Times New Roman" w:eastAsia="SimSun" w:hAnsi="Times New Roman" w:cs="Times New Roman"/>
          <w:lang w:val="en-GB" w:eastAsia="zh-CN"/>
          <w14:ligatures w14:val="none"/>
        </w:rPr>
        <w:t xml:space="preserve"> 72, 638-642.</w:t>
      </w:r>
    </w:p>
    <w:p w14:paraId="3B145EEE"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Rusbult</w:t>
      </w:r>
      <w:proofErr w:type="spellEnd"/>
      <w:r w:rsidRPr="008D3090">
        <w:rPr>
          <w:rFonts w:ascii="Times New Roman" w:eastAsia="SimSun" w:hAnsi="Times New Roman" w:cs="Times New Roman"/>
          <w:lang w:val="en-GB" w:eastAsia="zh-CN"/>
          <w14:ligatures w14:val="none"/>
        </w:rPr>
        <w:t xml:space="preserve"> et al., (2013). Employee Commitment and Motivation: A Conceptual Analysis and Integrative Model. </w:t>
      </w:r>
      <w:r w:rsidRPr="008D3090">
        <w:rPr>
          <w:rFonts w:ascii="Times New Roman" w:eastAsia="SimSun" w:hAnsi="Times New Roman" w:cs="Times New Roman"/>
          <w:i/>
          <w:lang w:val="en-GB" w:eastAsia="zh-CN"/>
          <w14:ligatures w14:val="none"/>
        </w:rPr>
        <w:t>Journal of Applied Psychology,</w:t>
      </w:r>
      <w:r w:rsidRPr="008D3090">
        <w:rPr>
          <w:rFonts w:ascii="Times New Roman" w:eastAsia="SimSun" w:hAnsi="Times New Roman" w:cs="Times New Roman"/>
          <w:lang w:val="en-GB" w:eastAsia="zh-CN"/>
          <w14:ligatures w14:val="none"/>
        </w:rPr>
        <w:t xml:space="preserve"> Vol. 89, 991-1007</w:t>
      </w:r>
    </w:p>
    <w:p w14:paraId="178AA8CE"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proofErr w:type="spellStart"/>
      <w:r w:rsidRPr="008D3090">
        <w:rPr>
          <w:rFonts w:ascii="Times New Roman" w:eastAsia="SimSun" w:hAnsi="Times New Roman" w:cs="Times New Roman"/>
          <w:lang w:val="en-GB" w:eastAsia="zh-CN"/>
          <w14:ligatures w14:val="none"/>
        </w:rPr>
        <w:t>Yukthamarani</w:t>
      </w:r>
      <w:proofErr w:type="spellEnd"/>
      <w:r w:rsidRPr="008D3090">
        <w:rPr>
          <w:rFonts w:ascii="Times New Roman" w:eastAsia="SimSun" w:hAnsi="Times New Roman" w:cs="Times New Roman"/>
          <w:lang w:val="en-GB" w:eastAsia="zh-CN"/>
          <w14:ligatures w14:val="none"/>
        </w:rPr>
        <w:t xml:space="preserve"> PP, Al-Mamun A, </w:t>
      </w:r>
      <w:proofErr w:type="spellStart"/>
      <w:r w:rsidRPr="008D3090">
        <w:rPr>
          <w:rFonts w:ascii="Times New Roman" w:eastAsia="SimSun" w:hAnsi="Times New Roman" w:cs="Times New Roman"/>
          <w:lang w:val="en-GB" w:eastAsia="zh-CN"/>
          <w14:ligatures w14:val="none"/>
        </w:rPr>
        <w:t>Saufi</w:t>
      </w:r>
      <w:proofErr w:type="spellEnd"/>
      <w:r w:rsidRPr="008D3090">
        <w:rPr>
          <w:rFonts w:ascii="Times New Roman" w:eastAsia="SimSun" w:hAnsi="Times New Roman" w:cs="Times New Roman"/>
          <w:lang w:val="en-GB" w:eastAsia="zh-CN"/>
          <w14:ligatures w14:val="none"/>
        </w:rPr>
        <w:t xml:space="preserve"> RA, Zainol NRB (2019). Organizational Climate on Employees' Work Passion: A Review. </w:t>
      </w:r>
      <w:proofErr w:type="spellStart"/>
      <w:r w:rsidRPr="008D3090">
        <w:rPr>
          <w:rFonts w:ascii="Times New Roman" w:eastAsia="SimSun" w:hAnsi="Times New Roman" w:cs="Times New Roman"/>
          <w:lang w:val="en-GB" w:eastAsia="zh-CN"/>
          <w14:ligatures w14:val="none"/>
        </w:rPr>
        <w:t>Canad</w:t>
      </w:r>
      <w:proofErr w:type="spellEnd"/>
      <w:r w:rsidRPr="008D3090">
        <w:rPr>
          <w:rFonts w:ascii="Times New Roman" w:eastAsia="SimSun" w:hAnsi="Times New Roman" w:cs="Times New Roman"/>
          <w:lang w:val="en-GB" w:eastAsia="zh-CN"/>
          <w14:ligatures w14:val="none"/>
        </w:rPr>
        <w:t>. Soc. Sci. 9(4):63-68.</w:t>
      </w:r>
    </w:p>
    <w:p w14:paraId="3D7AA03B"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Yildirim, M., Acar, A. G., </w:t>
      </w:r>
      <w:proofErr w:type="spellStart"/>
      <w:r w:rsidRPr="008D3090">
        <w:rPr>
          <w:rFonts w:ascii="Times New Roman" w:eastAsia="SimSun" w:hAnsi="Times New Roman" w:cs="Times New Roman"/>
          <w:lang w:val="en-GB" w:eastAsia="zh-CN"/>
          <w14:ligatures w14:val="none"/>
        </w:rPr>
        <w:t>Baykaktar</w:t>
      </w:r>
      <w:proofErr w:type="spellEnd"/>
      <w:r w:rsidRPr="008D3090">
        <w:rPr>
          <w:rFonts w:ascii="Times New Roman" w:eastAsia="SimSun" w:hAnsi="Times New Roman" w:cs="Times New Roman"/>
          <w:lang w:val="en-GB" w:eastAsia="zh-CN"/>
          <w14:ligatures w14:val="none"/>
        </w:rPr>
        <w:t xml:space="preserve">, S. U. &amp; </w:t>
      </w:r>
      <w:proofErr w:type="spellStart"/>
      <w:r w:rsidRPr="008D3090">
        <w:rPr>
          <w:rFonts w:ascii="Times New Roman" w:eastAsia="SimSun" w:hAnsi="Times New Roman" w:cs="Times New Roman"/>
          <w:lang w:val="en-GB" w:eastAsia="zh-CN"/>
          <w14:ligatures w14:val="none"/>
        </w:rPr>
        <w:t>Akova</w:t>
      </w:r>
      <w:proofErr w:type="spellEnd"/>
      <w:r w:rsidRPr="008D3090">
        <w:rPr>
          <w:rFonts w:ascii="Times New Roman" w:eastAsia="SimSun" w:hAnsi="Times New Roman" w:cs="Times New Roman"/>
          <w:lang w:val="en-GB" w:eastAsia="zh-CN"/>
          <w14:ligatures w14:val="none"/>
        </w:rPr>
        <w:t xml:space="preserve">, O. (2015). The effect of Organizational Commitment to intention to leave Employment: A Research in Hotel Management. </w:t>
      </w:r>
      <w:r w:rsidRPr="008D3090">
        <w:rPr>
          <w:rFonts w:ascii="Times New Roman" w:eastAsia="SimSun" w:hAnsi="Times New Roman" w:cs="Times New Roman"/>
          <w:i/>
          <w:lang w:val="en-GB" w:eastAsia="zh-CN"/>
          <w14:ligatures w14:val="none"/>
        </w:rPr>
        <w:t>International Journal of Business and Social Science</w:t>
      </w:r>
      <w:r w:rsidRPr="008D3090">
        <w:rPr>
          <w:rFonts w:ascii="Times New Roman" w:eastAsia="SimSun" w:hAnsi="Times New Roman" w:cs="Times New Roman"/>
          <w:lang w:val="en-GB" w:eastAsia="zh-CN"/>
          <w14:ligatures w14:val="none"/>
        </w:rPr>
        <w:t>, 6(11).</w:t>
      </w:r>
    </w:p>
    <w:p w14:paraId="2461D685" w14:textId="77777777" w:rsidR="008D3090" w:rsidRPr="008D3090" w:rsidRDefault="008D3090" w:rsidP="008D3090">
      <w:pPr>
        <w:widowControl w:val="0"/>
        <w:spacing w:after="0" w:line="240" w:lineRule="auto"/>
        <w:ind w:left="840" w:hanging="840"/>
        <w:contextualSpacing/>
        <w:jc w:val="both"/>
        <w:rPr>
          <w:rFonts w:ascii="Times New Roman" w:eastAsia="SimSun" w:hAnsi="Times New Roman" w:cs="Times New Roman"/>
          <w:lang w:val="en-GB" w:eastAsia="zh-CN"/>
          <w14:ligatures w14:val="none"/>
        </w:rPr>
      </w:pPr>
      <w:r w:rsidRPr="008D3090">
        <w:rPr>
          <w:rFonts w:ascii="Times New Roman" w:eastAsia="SimSun" w:hAnsi="Times New Roman" w:cs="Times New Roman"/>
          <w:lang w:val="en-GB" w:eastAsia="zh-CN"/>
          <w14:ligatures w14:val="none"/>
        </w:rPr>
        <w:t xml:space="preserve">Zheng, W., Sharan, K. &amp; Wei, J. (2010). New Development of Organizational Commitment: A Critical Review </w:t>
      </w:r>
      <w:r w:rsidRPr="008D3090">
        <w:rPr>
          <w:rFonts w:ascii="Times New Roman" w:eastAsia="SimSun" w:hAnsi="Times New Roman" w:cs="Times New Roman"/>
          <w:lang w:val="en-GB" w:eastAsia="zh-CN"/>
          <w14:ligatures w14:val="none"/>
        </w:rPr>
        <w:lastRenderedPageBreak/>
        <w:t>(1960-2009).</w:t>
      </w:r>
      <w:r w:rsidRPr="008D3090">
        <w:rPr>
          <w:rFonts w:ascii="Times New Roman" w:eastAsia="SimSun" w:hAnsi="Times New Roman" w:cs="Times New Roman"/>
          <w:i/>
          <w:lang w:val="en-GB" w:eastAsia="zh-CN"/>
          <w14:ligatures w14:val="none"/>
        </w:rPr>
        <w:t xml:space="preserve"> African Journal of Business and Management,</w:t>
      </w:r>
      <w:r w:rsidRPr="008D3090">
        <w:rPr>
          <w:rFonts w:ascii="Times New Roman" w:eastAsia="SimSun" w:hAnsi="Times New Roman" w:cs="Times New Roman"/>
          <w:lang w:val="en-GB" w:eastAsia="zh-CN"/>
          <w14:ligatures w14:val="none"/>
        </w:rPr>
        <w:t xml:space="preserve"> 4(1), 12-20.</w:t>
      </w:r>
    </w:p>
    <w:p w14:paraId="586F730C" w14:textId="77777777" w:rsidR="008D3090" w:rsidRPr="008D3090" w:rsidRDefault="008D3090" w:rsidP="008D3090">
      <w:pPr>
        <w:spacing w:after="0" w:line="240" w:lineRule="auto"/>
        <w:contextualSpacing/>
        <w:jc w:val="both"/>
        <w:rPr>
          <w:rFonts w:ascii="Times New Roman" w:eastAsia="-webkit-standard" w:hAnsi="Times New Roman" w:cs="Times New Roman"/>
          <w:b/>
          <w:color w:val="000000"/>
          <w:lang w:val="en-GB" w:eastAsia="zh-CN"/>
          <w14:ligatures w14:val="none"/>
        </w:rPr>
      </w:pPr>
    </w:p>
    <w:p w14:paraId="469D7F2E" w14:textId="77777777" w:rsidR="008D3090" w:rsidRPr="008D3090" w:rsidRDefault="008D3090" w:rsidP="008D3090">
      <w:pPr>
        <w:spacing w:after="200" w:line="240" w:lineRule="auto"/>
        <w:rPr>
          <w:rFonts w:ascii="Times New Roman" w:eastAsia="-webkit-standard" w:hAnsi="Times New Roman" w:cs="Times New Roman"/>
          <w:b/>
          <w:color w:val="000000"/>
          <w:lang w:val="en-GB" w:eastAsia="zh-CN"/>
          <w14:ligatures w14:val="none"/>
        </w:rPr>
      </w:pPr>
    </w:p>
    <w:p w14:paraId="3049604B" w14:textId="77777777" w:rsidR="008D3090" w:rsidRDefault="008D3090" w:rsidP="00A60822">
      <w:pPr>
        <w:spacing w:after="0" w:line="240" w:lineRule="auto"/>
        <w:jc w:val="both"/>
        <w:rPr>
          <w:rFonts w:ascii="Times New Roman" w:hAnsi="Times New Roman" w:cs="Times New Roman"/>
          <w:b/>
          <w:bCs/>
          <w:sz w:val="36"/>
          <w:szCs w:val="36"/>
        </w:rPr>
      </w:pPr>
    </w:p>
    <w:p w14:paraId="4339FBC8" w14:textId="77777777" w:rsidR="008D3090" w:rsidRDefault="008D3090" w:rsidP="00A60822">
      <w:pPr>
        <w:spacing w:after="0" w:line="240" w:lineRule="auto"/>
        <w:jc w:val="both"/>
        <w:rPr>
          <w:rFonts w:ascii="Times New Roman" w:hAnsi="Times New Roman" w:cs="Times New Roman"/>
          <w:b/>
          <w:bCs/>
          <w:sz w:val="36"/>
          <w:szCs w:val="36"/>
        </w:rPr>
      </w:pPr>
    </w:p>
    <w:p w14:paraId="33193B01" w14:textId="77777777" w:rsidR="008D3090" w:rsidRDefault="008D3090" w:rsidP="00A60822">
      <w:pPr>
        <w:spacing w:after="0" w:line="240" w:lineRule="auto"/>
        <w:jc w:val="both"/>
        <w:rPr>
          <w:rFonts w:ascii="Times New Roman" w:hAnsi="Times New Roman" w:cs="Times New Roman"/>
          <w:b/>
          <w:bCs/>
          <w:sz w:val="36"/>
          <w:szCs w:val="36"/>
        </w:rPr>
      </w:pPr>
    </w:p>
    <w:p w14:paraId="208DD6AD" w14:textId="77777777" w:rsidR="008D3090" w:rsidRDefault="008D3090" w:rsidP="00A60822">
      <w:pPr>
        <w:spacing w:after="0" w:line="240" w:lineRule="auto"/>
        <w:jc w:val="both"/>
        <w:rPr>
          <w:rFonts w:ascii="Times New Roman" w:hAnsi="Times New Roman" w:cs="Times New Roman"/>
          <w:b/>
          <w:bCs/>
          <w:sz w:val="36"/>
          <w:szCs w:val="36"/>
        </w:rPr>
      </w:pPr>
    </w:p>
    <w:p w14:paraId="2963CC77" w14:textId="77777777" w:rsidR="008D3090" w:rsidRDefault="008D3090" w:rsidP="00A60822">
      <w:pPr>
        <w:spacing w:after="0" w:line="240" w:lineRule="auto"/>
        <w:jc w:val="both"/>
        <w:rPr>
          <w:rFonts w:ascii="Times New Roman" w:hAnsi="Times New Roman" w:cs="Times New Roman"/>
          <w:b/>
          <w:bCs/>
          <w:sz w:val="36"/>
          <w:szCs w:val="36"/>
        </w:rPr>
      </w:pPr>
    </w:p>
    <w:p w14:paraId="62549829" w14:textId="77777777" w:rsidR="008D3090" w:rsidRDefault="008D3090" w:rsidP="00A60822">
      <w:pPr>
        <w:spacing w:after="0" w:line="240" w:lineRule="auto"/>
        <w:jc w:val="both"/>
        <w:rPr>
          <w:rFonts w:ascii="Times New Roman" w:hAnsi="Times New Roman" w:cs="Times New Roman"/>
          <w:b/>
          <w:bCs/>
          <w:sz w:val="36"/>
          <w:szCs w:val="36"/>
        </w:rPr>
      </w:pPr>
    </w:p>
    <w:p w14:paraId="55A5821A" w14:textId="77777777" w:rsidR="008D3090" w:rsidRDefault="008D3090" w:rsidP="00A60822">
      <w:pPr>
        <w:spacing w:after="0" w:line="240" w:lineRule="auto"/>
        <w:jc w:val="both"/>
        <w:rPr>
          <w:rFonts w:ascii="Times New Roman" w:hAnsi="Times New Roman" w:cs="Times New Roman"/>
          <w:b/>
          <w:bCs/>
          <w:sz w:val="36"/>
          <w:szCs w:val="36"/>
        </w:rPr>
      </w:pPr>
    </w:p>
    <w:p w14:paraId="5D59D5D3" w14:textId="77777777" w:rsidR="008D3090" w:rsidRDefault="008D3090" w:rsidP="00A60822">
      <w:pPr>
        <w:spacing w:after="0" w:line="240" w:lineRule="auto"/>
        <w:jc w:val="both"/>
        <w:rPr>
          <w:rFonts w:ascii="Times New Roman" w:hAnsi="Times New Roman" w:cs="Times New Roman"/>
          <w:b/>
          <w:bCs/>
          <w:sz w:val="36"/>
          <w:szCs w:val="36"/>
        </w:rPr>
      </w:pPr>
    </w:p>
    <w:p w14:paraId="1E72F658" w14:textId="77777777" w:rsidR="008D3090" w:rsidRDefault="008D3090" w:rsidP="00A60822">
      <w:pPr>
        <w:spacing w:after="0" w:line="240" w:lineRule="auto"/>
        <w:jc w:val="both"/>
        <w:rPr>
          <w:rFonts w:ascii="Times New Roman" w:hAnsi="Times New Roman" w:cs="Times New Roman"/>
          <w:b/>
          <w:bCs/>
          <w:sz w:val="36"/>
          <w:szCs w:val="36"/>
        </w:rPr>
      </w:pPr>
    </w:p>
    <w:p w14:paraId="1CCDC773" w14:textId="77777777" w:rsidR="008D3090" w:rsidRDefault="008D3090" w:rsidP="00A60822">
      <w:pPr>
        <w:spacing w:after="0" w:line="240" w:lineRule="auto"/>
        <w:jc w:val="both"/>
        <w:rPr>
          <w:rFonts w:ascii="Times New Roman" w:hAnsi="Times New Roman" w:cs="Times New Roman"/>
          <w:b/>
          <w:bCs/>
          <w:sz w:val="36"/>
          <w:szCs w:val="36"/>
        </w:rPr>
      </w:pPr>
    </w:p>
    <w:p w14:paraId="6D6A6D8D" w14:textId="77777777" w:rsidR="008D3090" w:rsidRDefault="008D3090" w:rsidP="00A60822">
      <w:pPr>
        <w:spacing w:after="0" w:line="240" w:lineRule="auto"/>
        <w:jc w:val="both"/>
        <w:rPr>
          <w:rFonts w:ascii="Times New Roman" w:hAnsi="Times New Roman" w:cs="Times New Roman"/>
          <w:b/>
          <w:bCs/>
          <w:sz w:val="36"/>
          <w:szCs w:val="36"/>
        </w:rPr>
      </w:pPr>
    </w:p>
    <w:p w14:paraId="558E780D" w14:textId="77777777" w:rsidR="008D3090" w:rsidRDefault="008D3090" w:rsidP="00A60822">
      <w:pPr>
        <w:spacing w:after="0" w:line="240" w:lineRule="auto"/>
        <w:jc w:val="both"/>
        <w:rPr>
          <w:rFonts w:ascii="Times New Roman" w:hAnsi="Times New Roman" w:cs="Times New Roman"/>
          <w:b/>
          <w:bCs/>
          <w:sz w:val="36"/>
          <w:szCs w:val="36"/>
        </w:rPr>
      </w:pPr>
    </w:p>
    <w:p w14:paraId="05CB93A7" w14:textId="77777777" w:rsidR="008D3090" w:rsidRDefault="008D3090" w:rsidP="00A60822">
      <w:pPr>
        <w:spacing w:after="0" w:line="240" w:lineRule="auto"/>
        <w:jc w:val="both"/>
        <w:rPr>
          <w:rFonts w:ascii="Times New Roman" w:hAnsi="Times New Roman" w:cs="Times New Roman"/>
          <w:b/>
          <w:bCs/>
          <w:sz w:val="36"/>
          <w:szCs w:val="36"/>
        </w:rPr>
      </w:pPr>
    </w:p>
    <w:p w14:paraId="152B0C5A" w14:textId="77777777" w:rsidR="008D3090" w:rsidRDefault="008D3090" w:rsidP="00A60822">
      <w:pPr>
        <w:spacing w:after="0" w:line="240" w:lineRule="auto"/>
        <w:jc w:val="both"/>
        <w:rPr>
          <w:rFonts w:ascii="Times New Roman" w:hAnsi="Times New Roman" w:cs="Times New Roman"/>
          <w:b/>
          <w:bCs/>
          <w:sz w:val="36"/>
          <w:szCs w:val="36"/>
        </w:rPr>
      </w:pPr>
    </w:p>
    <w:p w14:paraId="32287C9B" w14:textId="77777777" w:rsidR="008D3090" w:rsidRDefault="008D3090" w:rsidP="00A60822">
      <w:pPr>
        <w:spacing w:after="0" w:line="240" w:lineRule="auto"/>
        <w:jc w:val="both"/>
        <w:rPr>
          <w:rFonts w:ascii="Times New Roman" w:hAnsi="Times New Roman" w:cs="Times New Roman"/>
          <w:b/>
          <w:bCs/>
          <w:sz w:val="36"/>
          <w:szCs w:val="36"/>
        </w:rPr>
      </w:pPr>
    </w:p>
    <w:p w14:paraId="186D46A8" w14:textId="77777777" w:rsidR="008D3090" w:rsidRDefault="008D3090" w:rsidP="00A60822">
      <w:pPr>
        <w:spacing w:after="0" w:line="240" w:lineRule="auto"/>
        <w:jc w:val="both"/>
        <w:rPr>
          <w:rFonts w:ascii="Times New Roman" w:hAnsi="Times New Roman" w:cs="Times New Roman"/>
          <w:b/>
          <w:bCs/>
          <w:sz w:val="36"/>
          <w:szCs w:val="36"/>
        </w:rPr>
      </w:pPr>
    </w:p>
    <w:p w14:paraId="12E5E2FF" w14:textId="77777777" w:rsidR="00AE7FA9" w:rsidRDefault="00AE7FA9" w:rsidP="00A60822">
      <w:pPr>
        <w:spacing w:after="0" w:line="240" w:lineRule="auto"/>
        <w:jc w:val="both"/>
        <w:rPr>
          <w:rFonts w:ascii="Times New Roman" w:hAnsi="Times New Roman" w:cs="Times New Roman"/>
          <w:b/>
          <w:bCs/>
          <w:sz w:val="36"/>
          <w:szCs w:val="36"/>
        </w:rPr>
      </w:pPr>
    </w:p>
    <w:p w14:paraId="380C198D" w14:textId="77777777" w:rsidR="00AE7FA9" w:rsidRDefault="00AE7FA9" w:rsidP="00A60822">
      <w:pPr>
        <w:spacing w:after="0" w:line="240" w:lineRule="auto"/>
        <w:jc w:val="both"/>
        <w:rPr>
          <w:rFonts w:ascii="Times New Roman" w:hAnsi="Times New Roman" w:cs="Times New Roman"/>
          <w:b/>
          <w:bCs/>
          <w:sz w:val="36"/>
          <w:szCs w:val="36"/>
        </w:rPr>
      </w:pPr>
    </w:p>
    <w:p w14:paraId="19503F78" w14:textId="77777777" w:rsidR="00AE7FA9" w:rsidRDefault="00AE7FA9" w:rsidP="00A60822">
      <w:pPr>
        <w:spacing w:after="0" w:line="240" w:lineRule="auto"/>
        <w:jc w:val="both"/>
        <w:rPr>
          <w:rFonts w:ascii="Times New Roman" w:hAnsi="Times New Roman" w:cs="Times New Roman"/>
          <w:b/>
          <w:bCs/>
          <w:sz w:val="36"/>
          <w:szCs w:val="36"/>
        </w:rPr>
      </w:pPr>
    </w:p>
    <w:p w14:paraId="2496787C" w14:textId="77777777" w:rsidR="00AE7FA9" w:rsidRDefault="00AE7FA9" w:rsidP="00A60822">
      <w:pPr>
        <w:spacing w:after="0" w:line="240" w:lineRule="auto"/>
        <w:jc w:val="both"/>
        <w:rPr>
          <w:rFonts w:ascii="Times New Roman" w:hAnsi="Times New Roman" w:cs="Times New Roman"/>
          <w:b/>
          <w:bCs/>
          <w:sz w:val="36"/>
          <w:szCs w:val="36"/>
        </w:rPr>
      </w:pPr>
    </w:p>
    <w:p w14:paraId="7853C803" w14:textId="77777777" w:rsidR="00AE7FA9" w:rsidRDefault="00AE7FA9" w:rsidP="00A60822">
      <w:pPr>
        <w:spacing w:after="0" w:line="240" w:lineRule="auto"/>
        <w:jc w:val="both"/>
        <w:rPr>
          <w:rFonts w:ascii="Times New Roman" w:hAnsi="Times New Roman" w:cs="Times New Roman"/>
          <w:b/>
          <w:bCs/>
          <w:sz w:val="36"/>
          <w:szCs w:val="36"/>
        </w:rPr>
      </w:pPr>
    </w:p>
    <w:p w14:paraId="7BB35006" w14:textId="77777777" w:rsidR="00AE7FA9" w:rsidRDefault="00AE7FA9" w:rsidP="00A60822">
      <w:pPr>
        <w:spacing w:after="0" w:line="240" w:lineRule="auto"/>
        <w:jc w:val="both"/>
        <w:rPr>
          <w:rFonts w:ascii="Times New Roman" w:hAnsi="Times New Roman" w:cs="Times New Roman"/>
          <w:b/>
          <w:bCs/>
          <w:sz w:val="36"/>
          <w:szCs w:val="36"/>
        </w:rPr>
      </w:pPr>
    </w:p>
    <w:p w14:paraId="2EAA9C01" w14:textId="77777777" w:rsidR="00AE7FA9" w:rsidRDefault="00AE7FA9" w:rsidP="00A60822">
      <w:pPr>
        <w:spacing w:after="0" w:line="240" w:lineRule="auto"/>
        <w:jc w:val="both"/>
        <w:rPr>
          <w:rFonts w:ascii="Times New Roman" w:hAnsi="Times New Roman" w:cs="Times New Roman"/>
          <w:b/>
          <w:bCs/>
          <w:sz w:val="36"/>
          <w:szCs w:val="36"/>
        </w:rPr>
      </w:pPr>
    </w:p>
    <w:p w14:paraId="5A75327C" w14:textId="77777777" w:rsidR="00AE7FA9" w:rsidRDefault="00AE7FA9" w:rsidP="00A60822">
      <w:pPr>
        <w:spacing w:after="0" w:line="240" w:lineRule="auto"/>
        <w:jc w:val="both"/>
        <w:rPr>
          <w:rFonts w:ascii="Times New Roman" w:hAnsi="Times New Roman" w:cs="Times New Roman"/>
          <w:b/>
          <w:bCs/>
          <w:sz w:val="36"/>
          <w:szCs w:val="36"/>
        </w:rPr>
      </w:pPr>
    </w:p>
    <w:p w14:paraId="7982F225" w14:textId="77777777" w:rsidR="00AE7FA9" w:rsidRDefault="00AE7FA9" w:rsidP="00A60822">
      <w:pPr>
        <w:spacing w:after="0" w:line="240" w:lineRule="auto"/>
        <w:jc w:val="both"/>
        <w:rPr>
          <w:rFonts w:ascii="Times New Roman" w:hAnsi="Times New Roman" w:cs="Times New Roman"/>
          <w:b/>
          <w:bCs/>
          <w:sz w:val="36"/>
          <w:szCs w:val="36"/>
        </w:rPr>
      </w:pPr>
    </w:p>
    <w:p w14:paraId="5012D9E6" w14:textId="77777777" w:rsidR="00AE7FA9" w:rsidRDefault="00AE7FA9" w:rsidP="00A60822">
      <w:pPr>
        <w:spacing w:after="0" w:line="240" w:lineRule="auto"/>
        <w:jc w:val="both"/>
        <w:rPr>
          <w:rFonts w:ascii="Times New Roman" w:hAnsi="Times New Roman" w:cs="Times New Roman"/>
          <w:b/>
          <w:bCs/>
          <w:sz w:val="36"/>
          <w:szCs w:val="36"/>
        </w:rPr>
      </w:pPr>
    </w:p>
    <w:p w14:paraId="306AECD7" w14:textId="77777777" w:rsidR="00AE7FA9" w:rsidRDefault="00AE7FA9" w:rsidP="00A60822">
      <w:pPr>
        <w:spacing w:after="0" w:line="240" w:lineRule="auto"/>
        <w:jc w:val="both"/>
        <w:rPr>
          <w:rFonts w:ascii="Times New Roman" w:hAnsi="Times New Roman" w:cs="Times New Roman"/>
          <w:b/>
          <w:bCs/>
          <w:sz w:val="36"/>
          <w:szCs w:val="36"/>
        </w:rPr>
      </w:pPr>
    </w:p>
    <w:p w14:paraId="4BA7C0B0" w14:textId="77777777" w:rsidR="00583609" w:rsidRDefault="00583609" w:rsidP="00A60822">
      <w:pPr>
        <w:spacing w:after="0" w:line="240" w:lineRule="auto"/>
        <w:jc w:val="both"/>
        <w:rPr>
          <w:rFonts w:ascii="Times New Roman" w:hAnsi="Times New Roman" w:cs="Times New Roman"/>
          <w:b/>
          <w:bCs/>
          <w:sz w:val="36"/>
          <w:szCs w:val="36"/>
        </w:rPr>
      </w:pPr>
    </w:p>
    <w:p w14:paraId="317F6305" w14:textId="77777777" w:rsidR="00AE7FA9" w:rsidRDefault="00AE7FA9" w:rsidP="00A60822">
      <w:pPr>
        <w:spacing w:after="0" w:line="240" w:lineRule="auto"/>
        <w:jc w:val="both"/>
        <w:rPr>
          <w:rFonts w:ascii="Times New Roman" w:hAnsi="Times New Roman" w:cs="Times New Roman"/>
          <w:b/>
          <w:bCs/>
          <w:sz w:val="36"/>
          <w:szCs w:val="36"/>
        </w:rPr>
      </w:pPr>
    </w:p>
    <w:p w14:paraId="2CCD5531" w14:textId="77777777" w:rsidR="008D3090" w:rsidRDefault="008D3090" w:rsidP="00A60822">
      <w:pPr>
        <w:spacing w:after="0" w:line="240" w:lineRule="auto"/>
        <w:jc w:val="both"/>
        <w:rPr>
          <w:rFonts w:ascii="Times New Roman" w:hAnsi="Times New Roman" w:cs="Times New Roman"/>
          <w:b/>
          <w:bCs/>
          <w:sz w:val="36"/>
          <w:szCs w:val="36"/>
        </w:rPr>
      </w:pPr>
    </w:p>
    <w:tbl>
      <w:tblPr>
        <w:tblStyle w:val="TableGrid6"/>
        <w:tblW w:w="998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4"/>
      </w:tblGrid>
      <w:tr w:rsidR="008D3090" w:rsidRPr="008D3090" w14:paraId="071FBC27" w14:textId="77777777" w:rsidTr="00D00B3F">
        <w:trPr>
          <w:trHeight w:val="90"/>
        </w:trPr>
        <w:tc>
          <w:tcPr>
            <w:tcW w:w="9984" w:type="dxa"/>
          </w:tcPr>
          <w:p w14:paraId="731AEBAC" w14:textId="77777777" w:rsidR="00583609" w:rsidRDefault="00583609" w:rsidP="008D3090">
            <w:pPr>
              <w:shd w:val="clear" w:color="auto" w:fill="FFFFFF"/>
              <w:spacing w:after="192" w:line="360" w:lineRule="auto"/>
              <w:jc w:val="center"/>
              <w:outlineLvl w:val="0"/>
              <w:rPr>
                <w:rFonts w:eastAsia="Segoe UI"/>
                <w:b/>
                <w:bCs/>
                <w:color w:val="0F1115"/>
                <w:kern w:val="44"/>
                <w:shd w:val="clear" w:color="auto" w:fill="FFFFFF"/>
                <w:lang w:eastAsia="zh-CN"/>
              </w:rPr>
            </w:pPr>
          </w:p>
          <w:p w14:paraId="5648AE20" w14:textId="14CC0CFC" w:rsidR="008D3090" w:rsidRPr="008D3090" w:rsidRDefault="008D3090" w:rsidP="008D3090">
            <w:pPr>
              <w:shd w:val="clear" w:color="auto" w:fill="FFFFFF"/>
              <w:spacing w:after="192" w:line="360" w:lineRule="auto"/>
              <w:jc w:val="center"/>
              <w:outlineLvl w:val="0"/>
              <w:rPr>
                <w:rFonts w:eastAsia="Segoe UI"/>
                <w:b/>
                <w:bCs/>
                <w:color w:val="0F1115"/>
                <w:kern w:val="44"/>
                <w:shd w:val="clear" w:color="auto" w:fill="FFFFFF"/>
                <w:lang w:eastAsia="zh-CN"/>
              </w:rPr>
            </w:pPr>
            <w:r w:rsidRPr="008D3090">
              <w:rPr>
                <w:rFonts w:eastAsia="Segoe UI"/>
                <w:b/>
                <w:bCs/>
                <w:color w:val="0F1115"/>
                <w:kern w:val="44"/>
                <w:shd w:val="clear" w:color="auto" w:fill="FFFFFF"/>
                <w:lang w:eastAsia="zh-CN"/>
              </w:rPr>
              <w:t>CAPABILITY ACCUMULATION: A PANACEA FOR ABUNDANT SKILLS AMONG RESEARCHERS IN NIGERIA</w:t>
            </w:r>
          </w:p>
          <w:p w14:paraId="3D4CE701" w14:textId="77777777" w:rsidR="008D3090" w:rsidRPr="008D3090" w:rsidRDefault="008D3090" w:rsidP="008D3090">
            <w:pPr>
              <w:shd w:val="clear" w:color="auto" w:fill="FFFFFF"/>
              <w:spacing w:after="192" w:line="360" w:lineRule="auto"/>
              <w:jc w:val="both"/>
              <w:outlineLvl w:val="0"/>
              <w:rPr>
                <w:b/>
                <w:bCs/>
                <w:i/>
                <w:iCs/>
                <w:kern w:val="44"/>
                <w:lang w:eastAsia="zh-CN"/>
              </w:rPr>
            </w:pPr>
            <w:r w:rsidRPr="008D3090">
              <w:rPr>
                <w:b/>
                <w:bCs/>
                <w:kern w:val="44"/>
                <w:vertAlign w:val="superscript"/>
                <w:lang w:eastAsia="zh-CN"/>
              </w:rPr>
              <w:t>1</w:t>
            </w:r>
            <w:r w:rsidRPr="008D3090">
              <w:rPr>
                <w:b/>
                <w:bCs/>
                <w:kern w:val="44"/>
                <w:lang w:eastAsia="zh-CN"/>
              </w:rPr>
              <w:t xml:space="preserve">OKOISAMA, Thomas Chinye, </w:t>
            </w:r>
            <w:r w:rsidRPr="008D3090">
              <w:rPr>
                <w:b/>
                <w:bCs/>
                <w:i/>
                <w:iCs/>
                <w:kern w:val="44"/>
                <w:lang w:eastAsia="zh-CN"/>
              </w:rPr>
              <w:t>DBA, PhD</w:t>
            </w:r>
            <w:r w:rsidRPr="008D3090">
              <w:rPr>
                <w:b/>
                <w:bCs/>
                <w:kern w:val="44"/>
                <w:lang w:eastAsia="zh-CN"/>
              </w:rPr>
              <w:t xml:space="preserve">; </w:t>
            </w:r>
            <w:r w:rsidRPr="008D3090">
              <w:rPr>
                <w:b/>
                <w:bCs/>
                <w:kern w:val="44"/>
                <w:vertAlign w:val="superscript"/>
                <w:lang w:eastAsia="zh-CN"/>
              </w:rPr>
              <w:t>2</w:t>
            </w:r>
            <w:r w:rsidRPr="008D3090">
              <w:rPr>
                <w:b/>
                <w:bCs/>
                <w:kern w:val="44"/>
                <w:lang w:eastAsia="zh-CN"/>
              </w:rPr>
              <w:t xml:space="preserve">AGBIRIOGU, Ejike Kenneth, </w:t>
            </w:r>
            <w:r w:rsidRPr="008D3090">
              <w:rPr>
                <w:b/>
                <w:bCs/>
                <w:i/>
                <w:iCs/>
                <w:kern w:val="44"/>
                <w:lang w:eastAsia="zh-CN"/>
              </w:rPr>
              <w:t xml:space="preserve">PhD, FCA, FCCA  </w:t>
            </w:r>
          </w:p>
          <w:p w14:paraId="4A46E1FC" w14:textId="77777777" w:rsidR="008D3090" w:rsidRPr="008D3090" w:rsidRDefault="008D3090" w:rsidP="008D3090">
            <w:pPr>
              <w:ind w:firstLineChars="300" w:firstLine="602"/>
              <w:jc w:val="both"/>
              <w:rPr>
                <w:b/>
              </w:rPr>
            </w:pPr>
            <w:r w:rsidRPr="008D3090">
              <w:rPr>
                <w:b/>
                <w:vertAlign w:val="superscript"/>
              </w:rPr>
              <w:t>1,2</w:t>
            </w:r>
            <w:r w:rsidRPr="008D3090">
              <w:rPr>
                <w:b/>
                <w:bCs/>
              </w:rPr>
              <w:t>University of Port Harcourt, East West Road, Port Harcourt, Nigeria</w:t>
            </w:r>
          </w:p>
          <w:p w14:paraId="1C586B79" w14:textId="77777777" w:rsidR="008D3090" w:rsidRPr="008D3090" w:rsidRDefault="008D3090" w:rsidP="008D3090">
            <w:pPr>
              <w:spacing w:after="200"/>
              <w:ind w:firstLineChars="350" w:firstLine="703"/>
              <w:jc w:val="both"/>
              <w:rPr>
                <w:b/>
                <w:bCs/>
              </w:rPr>
            </w:pPr>
            <w:r w:rsidRPr="008D3090">
              <w:rPr>
                <w:b/>
                <w:bCs/>
              </w:rPr>
              <w:t xml:space="preserve">Corresponding Author: Email: </w:t>
            </w:r>
            <w:hyperlink r:id="rId265" w:history="1">
              <w:r w:rsidRPr="008D3090">
                <w:rPr>
                  <w:b/>
                  <w:bCs/>
                  <w:color w:val="0563C1"/>
                  <w:u w:val="single"/>
                </w:rPr>
                <w:t>okoisamatom@gmail.com;</w:t>
              </w:r>
            </w:hyperlink>
            <w:r w:rsidRPr="008D3090">
              <w:rPr>
                <w:b/>
                <w:bCs/>
              </w:rPr>
              <w:t xml:space="preserve"> +2348033138361</w:t>
            </w:r>
          </w:p>
        </w:tc>
      </w:tr>
    </w:tbl>
    <w:p w14:paraId="6781EAAC" w14:textId="77777777" w:rsidR="008D3090" w:rsidRPr="008D3090" w:rsidRDefault="008D3090" w:rsidP="008D3090">
      <w:pPr>
        <w:spacing w:before="120" w:after="120" w:line="240" w:lineRule="auto"/>
        <w:contextualSpacing/>
        <w:jc w:val="center"/>
        <w:rPr>
          <w:rFonts w:ascii="Times New Roman" w:eastAsia="SimSun" w:hAnsi="Times New Roman" w:cs="Times New Roman"/>
          <w:b/>
          <w:kern w:val="0"/>
          <w14:ligatures w14:val="none"/>
        </w:rPr>
      </w:pPr>
      <w:r w:rsidRPr="008D3090">
        <w:rPr>
          <w:rFonts w:ascii="Times New Roman" w:eastAsia="SimSun" w:hAnsi="Times New Roman" w:cs="Times New Roman"/>
          <w:b/>
          <w:kern w:val="0"/>
          <w14:ligatures w14:val="none"/>
        </w:rPr>
        <w:t xml:space="preserve">ABSTRACT     </w:t>
      </w:r>
    </w:p>
    <w:p w14:paraId="7E14C5C3" w14:textId="77777777" w:rsidR="008D3090" w:rsidRPr="008D3090" w:rsidRDefault="008D3090" w:rsidP="008D3090">
      <w:p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This paper examined the imperative of transitioning from a knowledge-transfer model of researcher development to a capability accumulation ecosystem within the Nigerian academic landscape. It argues that a skill becomes abundant precisely when it loses its scarcity value, </w:t>
      </w:r>
      <w:proofErr w:type="spellStart"/>
      <w:r w:rsidRPr="008D3090">
        <w:rPr>
          <w:rFonts w:ascii="Times New Roman" w:eastAsia="Segoe UI" w:hAnsi="Times New Roman" w:cs="Times New Roman"/>
          <w:color w:val="0F1115"/>
          <w:kern w:val="0"/>
          <w:shd w:val="clear" w:color="auto" w:fill="FFFFFF"/>
          <w:lang w:eastAsia="zh-CN"/>
          <w14:ligatures w14:val="none"/>
        </w:rPr>
        <w:t>expecially</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with the advent of generative AI, necessitating a corresponding evolution in educational approaches. As scarcity shifts, education must also shift, moving from syntax-oriented learning to the cultivation of judgement, synthesis, contextual awareness, and the ability to frame meaningful problems. Anchored in Complexity Theory and Dynamic Capabilities Theory, this article proposes a framework for developing researchers capable of navigating uncertainty, generating novel insights, and contributing meaningfully to Nigeria's development agenda. This paper concludes that transitioning from a knowledge-transfer model to a capability accumulation ecosystem offers a pathway toward developing abundant skills among Nigerian researchers. The study recommended that </w:t>
      </w:r>
      <w:r w:rsidRPr="008D3090">
        <w:rPr>
          <w:rFonts w:ascii="Times New Roman" w:eastAsia="Segoe UI" w:hAnsi="Times New Roman" w:cs="Times New Roman"/>
          <w:color w:val="0F1115"/>
          <w:kern w:val="0"/>
          <w:lang w:eastAsia="zh-CN"/>
          <w14:ligatures w14:val="none"/>
        </w:rPr>
        <w:t>Nigerian universities should fundamentally shift their pedagogical focus from transmitting syntax (disciplinary rules, theories, and procedures) to deliberately cultivating higher-order capabilities. Curricula and learning experiences should be redesigned to develop judgement, through reflective practice and engagement with complex problems. Furthermore, programs must emphasize synthesis, enabling researchers to integrate knowledge across disciplinary boundaries that cut across traditional silos. Most importantly, researcher education must prioritize problem-framing, teaching scholars to identify which problems are worth addressing and how to conceptualize them.</w:t>
      </w:r>
    </w:p>
    <w:p w14:paraId="7DF3BEA6" w14:textId="77777777" w:rsidR="008D3090" w:rsidRPr="008D3090" w:rsidRDefault="008D3090" w:rsidP="008D3090">
      <w:pPr>
        <w:shd w:val="clear" w:color="auto" w:fill="FFFFFF"/>
        <w:spacing w:before="192" w:after="192" w:line="240" w:lineRule="auto"/>
        <w:jc w:val="both"/>
        <w:rPr>
          <w:rFonts w:ascii="Times New Roman" w:eastAsia="Segoe UI" w:hAnsi="Times New Roman" w:cs="Times New Roman"/>
          <w:i/>
          <w:iCs/>
          <w:color w:val="0F1115"/>
          <w:kern w:val="0"/>
          <w:lang w:eastAsia="zh-CN"/>
          <w14:ligatures w14:val="none"/>
        </w:rPr>
      </w:pPr>
      <w:r w:rsidRPr="008D3090">
        <w:rPr>
          <w:rFonts w:ascii="Times New Roman" w:eastAsia="SimSun" w:hAnsi="Times New Roman" w:cs="Times New Roman"/>
          <w:b/>
          <w:i/>
          <w:iCs/>
          <w:color w:val="000000"/>
          <w:kern w:val="0"/>
          <w:lang w:eastAsia="zh-CN"/>
          <w14:ligatures w14:val="none"/>
        </w:rPr>
        <w:t>Key words:</w:t>
      </w:r>
      <w:r w:rsidRPr="008D3090">
        <w:rPr>
          <w:rFonts w:ascii="Times New Roman" w:eastAsia="SimSun" w:hAnsi="Times New Roman" w:cs="Times New Roman"/>
          <w:i/>
          <w:iCs/>
          <w:color w:val="000000"/>
          <w:kern w:val="0"/>
          <w:lang w:eastAsia="zh-CN"/>
          <w14:ligatures w14:val="none"/>
        </w:rPr>
        <w:t xml:space="preserve"> </w:t>
      </w:r>
      <w:r w:rsidRPr="008D3090">
        <w:rPr>
          <w:rFonts w:ascii="Times New Roman" w:eastAsia="Segoe UI" w:hAnsi="Times New Roman" w:cs="Times New Roman"/>
          <w:i/>
          <w:iCs/>
          <w:color w:val="0F1115"/>
          <w:kern w:val="0"/>
          <w:shd w:val="clear" w:color="auto" w:fill="FFFFFF"/>
          <w:lang w:eastAsia="zh-CN"/>
          <w14:ligatures w14:val="none"/>
        </w:rPr>
        <w:t xml:space="preserve">Capability accumulation, skills abundance, researcher development, complexity theory, </w:t>
      </w:r>
      <w:r w:rsidRPr="008D3090">
        <w:rPr>
          <w:rFonts w:ascii="Times New Roman" w:eastAsia="Segoe UI" w:hAnsi="Times New Roman" w:cs="Times New Roman"/>
          <w:i/>
          <w:iCs/>
          <w:color w:val="0F1115"/>
          <w:kern w:val="0"/>
          <w:shd w:val="clear" w:color="auto" w:fill="FFFFFF"/>
          <w:lang w:eastAsia="zh-CN"/>
          <w14:ligatures w14:val="none"/>
        </w:rPr>
        <w:tab/>
        <w:t xml:space="preserve">    dynamic capabilities theory. </w:t>
      </w:r>
    </w:p>
    <w:p w14:paraId="0AE5ED67" w14:textId="77777777" w:rsidR="008D3090" w:rsidRPr="008D3090" w:rsidRDefault="008D3090" w:rsidP="008D3090">
      <w:pPr>
        <w:spacing w:before="120" w:after="120" w:line="240" w:lineRule="auto"/>
        <w:contextualSpacing/>
        <w:rPr>
          <w:rFonts w:ascii="Times New Roman" w:eastAsia="SimSun" w:hAnsi="Times New Roman" w:cs="Times New Roman"/>
          <w:b/>
          <w:bCs/>
          <w:kern w:val="0"/>
          <w14:ligatures w14:val="none"/>
        </w:rPr>
      </w:pPr>
    </w:p>
    <w:p w14:paraId="31D14F14" w14:textId="77777777" w:rsidR="008D3090" w:rsidRPr="008D3090" w:rsidRDefault="008D3090" w:rsidP="00AE7FA9">
      <w:pPr>
        <w:spacing w:before="120" w:after="120" w:line="240" w:lineRule="auto"/>
        <w:contextualSpacing/>
        <w:rPr>
          <w:rFonts w:ascii="Times New Roman" w:eastAsia="SimSun" w:hAnsi="Times New Roman" w:cs="Times New Roman"/>
          <w:b/>
          <w:bCs/>
          <w:kern w:val="0"/>
          <w14:ligatures w14:val="none"/>
        </w:rPr>
      </w:pPr>
      <w:r w:rsidRPr="008D3090">
        <w:rPr>
          <w:rFonts w:ascii="Times New Roman" w:eastAsia="SimSun" w:hAnsi="Times New Roman" w:cs="Times New Roman"/>
          <w:b/>
          <w:bCs/>
          <w:kern w:val="0"/>
          <w14:ligatures w14:val="none"/>
        </w:rPr>
        <w:t>INTRODUCTION</w:t>
      </w:r>
    </w:p>
    <w:p w14:paraId="45D370C1"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The Nigerian research landscape stands at a critical juncture. Despite significant investments in education and research infrastructure, a persistent gap remains between the skills possessed by emerging researchers and the competencies required to address the complex, multifaceted challenges confronting Nigerian society, </w:t>
      </w:r>
      <w:proofErr w:type="spellStart"/>
      <w:r w:rsidRPr="008D3090">
        <w:rPr>
          <w:rFonts w:ascii="Times New Roman" w:eastAsia="Segoe UI" w:hAnsi="Times New Roman" w:cs="Times New Roman"/>
          <w:color w:val="0F1115"/>
          <w:kern w:val="0"/>
          <w:shd w:val="clear" w:color="auto" w:fill="FFFFFF"/>
          <w:lang w:eastAsia="zh-CN"/>
          <w14:ligatures w14:val="none"/>
        </w:rPr>
        <w:t>expecially</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with the advent of generative AI. This gap is not merely a matter of insufficient knowledge transfer but reflects a deeper misalignment between traditional pedagogical approaches and the evolving demands of knowledge production in conditions of uncertainty and complexity. The argument advanced in this paper is that the transition from a knowledge-transfer model to a capability accumulation ecosystem offers a pathway toward solving the problem of abundant skills among Nigerian researchers. A skill becomes abundant when it loses its scarcity value, when it is no longer a rare commodity but a widely distributed capability accessible across the research community. As Oben, et al. (2025) observed in their analysis of human capacity development in Nigeria, strategic investments in skills training and institutional capacity building are fundamental drivers of economic transformation and sustainable development. However, the nature of these investments must evolve in response to changing conditions. When scarcity moves, education must also move. This principle underscores the need for a fundamental reorientation of researcher development, from a focus on syntax, rules, and procedures to an emphasis on judgement, synthesis, context, and the ability to frame meaningful problems. The argument is grounded in two complementary theoretical perspectives: Complexity Theory, which illuminates the nature of the environments within which researchers operate, and Dynamic Capabilities Theory, which explains how organizations and individuals develop the capacity to adapt, integrate, and reconfigure skills in response to </w:t>
      </w:r>
      <w:r w:rsidRPr="008D3090">
        <w:rPr>
          <w:rFonts w:ascii="Times New Roman" w:eastAsia="Segoe UI" w:hAnsi="Times New Roman" w:cs="Times New Roman"/>
          <w:color w:val="0F1115"/>
          <w:kern w:val="0"/>
          <w:shd w:val="clear" w:color="auto" w:fill="FFFFFF"/>
          <w:lang w:eastAsia="zh-CN"/>
          <w14:ligatures w14:val="none"/>
        </w:rPr>
        <w:lastRenderedPageBreak/>
        <w:t>changing circumstances. This paper contributes to the discourse on research capacity strengthening in Nigeria by advocating for capability accumulation that moves beyond the limitations of knowledge-transfer models. It draws on Nigerian scholarship on research capacity strengthening in Nigeria, as well as international literature on capability accumulation, to propose a pathway toward developing researchers equipped to address the complex challenges of the twenty-first century.</w:t>
      </w:r>
    </w:p>
    <w:p w14:paraId="5B9988AF" w14:textId="77777777" w:rsidR="008D3090" w:rsidRPr="008D3090" w:rsidRDefault="008D3090" w:rsidP="00AE7FA9">
      <w:pPr>
        <w:spacing w:after="200" w:line="240" w:lineRule="auto"/>
        <w:jc w:val="both"/>
        <w:rPr>
          <w:rFonts w:ascii="Times New Roman" w:eastAsia="SimSun" w:hAnsi="Times New Roman" w:cs="Times New Roman"/>
          <w:b/>
          <w:bCs/>
          <w:kern w:val="0"/>
          <w14:ligatures w14:val="none"/>
        </w:rPr>
      </w:pPr>
      <w:r w:rsidRPr="008D3090">
        <w:rPr>
          <w:rFonts w:ascii="Times New Roman" w:eastAsia="SimSun" w:hAnsi="Times New Roman" w:cs="Times New Roman"/>
          <w:b/>
          <w:bCs/>
          <w:kern w:val="0"/>
          <w14:ligatures w14:val="none"/>
        </w:rPr>
        <w:t>STATEMENT OF THE PROBLEM</w:t>
      </w:r>
    </w:p>
    <w:p w14:paraId="2C1D82FC" w14:textId="77777777" w:rsidR="008D3090" w:rsidRPr="008D3090" w:rsidRDefault="008D3090" w:rsidP="00AE7FA9">
      <w:p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The problem of abundant skills among researchers in Nigeria is paradoxical: despite the proliferation of doctoral degree holders, there exists a profound deficit in meaningful, transferable research capabilities that can address societal challenges and contribute to global knowledge production. This contradiction is starkly illustrated by the reality that more than 85 percent of Nigerian PhD holders have an h-index of less than 5 in the Scopus and Web of Science databases, indicating negligible scholarly impact both locally and internationally (</w:t>
      </w:r>
      <w:proofErr w:type="spellStart"/>
      <w:r w:rsidRPr="008D3090">
        <w:rPr>
          <w:rFonts w:ascii="Times New Roman" w:eastAsia="Segoe UI" w:hAnsi="Times New Roman" w:cs="Times New Roman"/>
          <w:color w:val="0F1115"/>
          <w:kern w:val="0"/>
          <w:shd w:val="clear" w:color="auto" w:fill="FFFFFF"/>
          <w:lang w:eastAsia="zh-CN"/>
          <w14:ligatures w14:val="none"/>
        </w:rPr>
        <w:t>Omeiza</w:t>
      </w:r>
      <w:proofErr w:type="spellEnd"/>
      <w:r w:rsidRPr="008D3090">
        <w:rPr>
          <w:rFonts w:ascii="Times New Roman" w:eastAsia="Segoe UI" w:hAnsi="Times New Roman" w:cs="Times New Roman"/>
          <w:color w:val="0F1115"/>
          <w:kern w:val="0"/>
          <w:shd w:val="clear" w:color="auto" w:fill="FFFFFF"/>
          <w:lang w:eastAsia="zh-CN"/>
          <w14:ligatures w14:val="none"/>
        </w:rPr>
        <w:t>, 2025). The issue is not a shortage of credentialed researchers but rather a scarcity of researchers equipped with the higher-order capabilities, such as judgement, synthesis, contextual awareness, and problem-framing, that constitute genuine research expertise. As Akpan (2025) documents, Nigerian universities face a dearth of qualitative methods practitioners, despite the flourishing of such expertise in Europe, Americas and Asia, revealing that what appears to be abundant on paper (PhD credentials) masks critical gaps in methodological diversity and depth. This problem stems from a knowledge-transfer model that prioritizes syntax, the rules and procedures of disciplinary practice, over the cultivation of capabilities that enable researchers to navigate complexity, generate novel insights, and frame meaningful problems. The result is a research workforce that possesses credentials but lacks the capacity for independent, innovative, and impactful scholarship. Furthermore, Okeke (2026) highlighted that Nigerian researchers often shoulder substantial "extra work" simply to conduct routine scientific research, reflecting systemic weakness rather than individual limitations, as they must navigate power outages, equipment breakdowns, and supply chain gaps before meaningful research can even begin, which directly reduces research productivity and delays outputs.</w:t>
      </w:r>
    </w:p>
    <w:p w14:paraId="0336B61F" w14:textId="77777777" w:rsidR="008D3090" w:rsidRPr="008D3090" w:rsidRDefault="008D3090" w:rsidP="00AE7FA9">
      <w:p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The manifestations of this skills abundance problem are evident across multiple dimensions of Nigerian academic life. A primary manifestation is the low research productivity and negligible scholarly impact documented by </w:t>
      </w:r>
      <w:proofErr w:type="spellStart"/>
      <w:r w:rsidRPr="008D3090">
        <w:rPr>
          <w:rFonts w:ascii="Times New Roman" w:eastAsia="Segoe UI" w:hAnsi="Times New Roman" w:cs="Times New Roman"/>
          <w:color w:val="0F1115"/>
          <w:kern w:val="0"/>
          <w:shd w:val="clear" w:color="auto" w:fill="FFFFFF"/>
          <w:lang w:eastAsia="zh-CN"/>
          <w14:ligatures w14:val="none"/>
        </w:rPr>
        <w:t>Omeiza</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(2025), who notes that the overwhelming majority of Nigerian scholars cannot demonstrate meaningful contributions to their fields through internationally recognized publications, citations, or research grants. This is compounded by what Abdussalam (2025) describes as the "proliferation paradox", the rapid expansion of universities from under 100 to over 280 institutions without corresponding investment in research infrastructure, libraries, laboratories, or faculty development. Another manifestation is the skills gap among researchers in Nigeria, who face significant challenges in accessing upskilling and reskilling training opportunities (</w:t>
      </w:r>
      <w:proofErr w:type="spellStart"/>
      <w:r w:rsidRPr="008D3090">
        <w:rPr>
          <w:rFonts w:ascii="Times New Roman" w:eastAsia="Segoe UI" w:hAnsi="Times New Roman" w:cs="Times New Roman"/>
          <w:color w:val="0F1115"/>
          <w:kern w:val="0"/>
          <w:shd w:val="clear" w:color="auto" w:fill="FFFFFF"/>
          <w:lang w:eastAsia="zh-CN"/>
          <w14:ligatures w14:val="none"/>
        </w:rPr>
        <w:t>Ebekozien</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et al., 2025). The brain drain phenomenon represents another manifestation, as Abdussalam (2025) noted that Nigerian universities struggle to attract and retain top talent, with academics seeking better-paying jobs abroad, creating a self-reinforcing cycle where several of those with genuine capabilities exit the system. </w:t>
      </w:r>
    </w:p>
    <w:p w14:paraId="64F57C0E" w14:textId="77777777" w:rsidR="008D3090" w:rsidRPr="008D3090" w:rsidRDefault="008D3090" w:rsidP="00AE7FA9">
      <w:p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The causes of this skills abundance problem are multifaceted, spanning systemic, institutional, and pedagogical dimensions. A fundamental cause is the prioritization of credentialing over capability building, as </w:t>
      </w:r>
      <w:proofErr w:type="spellStart"/>
      <w:r w:rsidRPr="008D3090">
        <w:rPr>
          <w:rFonts w:ascii="Times New Roman" w:eastAsia="Segoe UI" w:hAnsi="Times New Roman" w:cs="Times New Roman"/>
          <w:color w:val="0F1115"/>
          <w:kern w:val="0"/>
          <w:shd w:val="clear" w:color="auto" w:fill="FFFFFF"/>
          <w:lang w:eastAsia="zh-CN"/>
          <w14:ligatures w14:val="none"/>
        </w:rPr>
        <w:t>Omeiza</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(2025) argued that </w:t>
      </w:r>
      <w:r w:rsidRPr="008D3090">
        <w:rPr>
          <w:rFonts w:ascii="Times New Roman" w:eastAsia="Segoe UI" w:hAnsi="Times New Roman" w:cs="Times New Roman"/>
          <w:i/>
          <w:iCs/>
          <w:color w:val="0F1115"/>
          <w:kern w:val="0"/>
          <w:shd w:val="clear" w:color="auto" w:fill="FFFFFF"/>
          <w:lang w:eastAsia="zh-CN"/>
          <w14:ligatures w14:val="none"/>
        </w:rPr>
        <w:t>“the PhD has become "a hollow credential, awarded more for endurance than for intellectual merit, with doctoral education failing to emphasize rigorous research training, global engagement, and problem-solving”</w:t>
      </w:r>
      <w:r w:rsidRPr="008D3090">
        <w:rPr>
          <w:rFonts w:ascii="Times New Roman" w:eastAsia="Segoe UI" w:hAnsi="Times New Roman" w:cs="Times New Roman"/>
          <w:color w:val="0F1115"/>
          <w:kern w:val="0"/>
          <w:shd w:val="clear" w:color="auto" w:fill="FFFFFF"/>
          <w:lang w:eastAsia="zh-CN"/>
          <w14:ligatures w14:val="none"/>
        </w:rPr>
        <w:t xml:space="preserve">. This is exacerbated by what the same author describes as recruitment and promotion processes driven by "favoritism, tribalism, and patronage rather than merit," undermining the development of a research culture that prizes excellence. The institutional cause is severe underfunding: as Nigeria's education allocation stands at only 7.9% of the national budget, far below the 35% benchmark once achieved in the defunct Western Region between 1954 and 1959. This funding crisis manifests in university libraries being poorly equipped, laboratories lacking basic facilities for </w:t>
      </w:r>
      <w:proofErr w:type="spellStart"/>
      <w:r w:rsidRPr="008D3090">
        <w:rPr>
          <w:rFonts w:ascii="Times New Roman" w:eastAsia="Segoe UI" w:hAnsi="Times New Roman" w:cs="Times New Roman"/>
          <w:color w:val="0F1115"/>
          <w:kern w:val="0"/>
          <w:shd w:val="clear" w:color="auto" w:fill="FFFFFF"/>
          <w:lang w:eastAsia="zh-CN"/>
          <w14:ligatures w14:val="none"/>
        </w:rPr>
        <w:t>practicals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and staff welfare being shabby. Abdussalam (2025) adds that many universities lack basic infrastructure, resources, and facilities, hindering their ability to provide world-class </w:t>
      </w:r>
      <w:r w:rsidRPr="008D3090">
        <w:rPr>
          <w:rFonts w:ascii="Times New Roman" w:eastAsia="Segoe UI" w:hAnsi="Times New Roman" w:cs="Times New Roman"/>
          <w:color w:val="0F1115"/>
          <w:kern w:val="0"/>
          <w:shd w:val="clear" w:color="auto" w:fill="FFFFFF"/>
          <w:lang w:eastAsia="zh-CN"/>
          <w14:ligatures w14:val="none"/>
        </w:rPr>
        <w:lastRenderedPageBreak/>
        <w:t>education. The pedagogical cause is the dominance of syntax-oriented learning over capability accumulation, as learning remains focused on transmitting codified knowledge rather than cultivating judgement, synthesis, contextual awareness, and problem-framing. Akpan (2025) noted that qualitative methods are often introduced too late in students' academic journeys, if at all, whereas quantitative methods receive early and sustained attention, creating methodological imbalance. The effects of these causes are profound: Nigeria remains largely absent from the top 1,000 QS global university rankings over the past three years, the country's research and development expenditure remains at a very low percentage of GDP (Okeke, 2026); and Nigerian scholars are increasingly isolated from global academic networks and standards (</w:t>
      </w:r>
      <w:proofErr w:type="spellStart"/>
      <w:r w:rsidRPr="008D3090">
        <w:rPr>
          <w:rFonts w:ascii="Times New Roman" w:eastAsia="Segoe UI" w:hAnsi="Times New Roman" w:cs="Times New Roman"/>
          <w:color w:val="0F1115"/>
          <w:kern w:val="0"/>
          <w:shd w:val="clear" w:color="auto" w:fill="FFFFFF"/>
          <w:lang w:eastAsia="zh-CN"/>
          <w14:ligatures w14:val="none"/>
        </w:rPr>
        <w:t>Ebekozien</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et al., 2025). The ultimate effect, as </w:t>
      </w:r>
      <w:proofErr w:type="spellStart"/>
      <w:r w:rsidRPr="008D3090">
        <w:rPr>
          <w:rFonts w:ascii="Times New Roman" w:eastAsia="Segoe UI" w:hAnsi="Times New Roman" w:cs="Times New Roman"/>
          <w:color w:val="0F1115"/>
          <w:kern w:val="0"/>
          <w:shd w:val="clear" w:color="auto" w:fill="FFFFFF"/>
          <w:lang w:eastAsia="zh-CN"/>
          <w14:ligatures w14:val="none"/>
        </w:rPr>
        <w:t>Omeiza</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(2025) warns, is that "true national development is impossible without a strong, functional, and competitive higher education system."</w:t>
      </w:r>
    </w:p>
    <w:p w14:paraId="38A51927" w14:textId="77777777" w:rsidR="008D3090" w:rsidRPr="008D3090" w:rsidRDefault="008D3090" w:rsidP="00AE7FA9">
      <w:p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Scholars have proposed various solutions and identified predictors that can address the skills abundance problem in Nigerian research. A foundational solution, advocated by </w:t>
      </w:r>
      <w:proofErr w:type="spellStart"/>
      <w:r w:rsidRPr="008D3090">
        <w:rPr>
          <w:rFonts w:ascii="Times New Roman" w:eastAsia="Segoe UI" w:hAnsi="Times New Roman" w:cs="Times New Roman"/>
          <w:color w:val="0F1115"/>
          <w:kern w:val="0"/>
          <w:shd w:val="clear" w:color="auto" w:fill="FFFFFF"/>
          <w:lang w:eastAsia="zh-CN"/>
          <w14:ligatures w14:val="none"/>
        </w:rPr>
        <w:t>Omeiza</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(2025), is the complete overhaul of doctoral education to emphasize rigorous research training, global engagement, and problem-solving, while promotions should be tied to measurable scholarly contributions including publications in reputable journals, h-index growth, successful supervision of postgraduate students, patents, and grants won. Abdussalam (2025) proposed an immediate embargo on establishing new universities and instead recommends identifying six existing universities (one from each geopolitical zone) to serve as anchors for research institutes or centers of excellence, strategically located and properly funded to enable world-class research. He further suggested that master's students should be made to publish their work in Scopus-indexed journals and PhD candidates to publish at least two papers in high-impact journals, creating institutional incentives for research productivity. </w:t>
      </w:r>
      <w:proofErr w:type="spellStart"/>
      <w:r w:rsidRPr="008D3090">
        <w:rPr>
          <w:rFonts w:ascii="Times New Roman" w:eastAsia="Segoe UI" w:hAnsi="Times New Roman" w:cs="Times New Roman"/>
          <w:color w:val="0F1115"/>
          <w:kern w:val="0"/>
          <w:shd w:val="clear" w:color="auto" w:fill="FFFFFF"/>
          <w:lang w:eastAsia="zh-CN"/>
          <w14:ligatures w14:val="none"/>
        </w:rPr>
        <w:t>Ebekozien</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et al. (2025) developed a framework for young adult researcher training needs, identifying three clusters of measures: government/regulatory agency-related, higher education institution-related, and researcher-related measures. Their study recommended that regulatory agencies upgrade requirements for academic staff, making Scopus/Web of Science indexed publications compulsory for promotion, aligning Nigerian standards with global best practices. Likewise, the bioinformatics community-building initiative documented by Yehudi and Olufemi (2025) demonstrates how open science principles, effective mentoring, and community support documentation can address skills gaps, training 48 participants from 232 applicants and showing significant knowledge gains through pre- and post-training assessments. Their survey revealed that 62.7% of respondents lacked adequate access to resources and training, while 59.4% expressed strong need for more workshops, highlighting demand for capability-building interventions. </w:t>
      </w:r>
      <w:proofErr w:type="spellStart"/>
      <w:r w:rsidRPr="008D3090">
        <w:rPr>
          <w:rFonts w:ascii="Times New Roman" w:eastAsia="Segoe UI" w:hAnsi="Times New Roman" w:cs="Times New Roman"/>
          <w:color w:val="0F1115"/>
          <w:kern w:val="0"/>
          <w:shd w:val="clear" w:color="auto" w:fill="FFFFFF"/>
          <w:lang w:eastAsia="zh-CN"/>
          <w14:ligatures w14:val="none"/>
        </w:rPr>
        <w:t>Futhermore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Okeke (2026) advocates for increased domestic funding for research so that "Nigerian researchers will be writing grants to Nigerian funding agencies," reducing overdependence on donors and building a functioning research ecosystem that rewards competitive grant writing and strengthens institutional incentives. Furthermore, Akpan (2025) recommends introducing qualitative methods to students at the early stage of first-degree level, just as quantitative methods are introduced, ensuring that qualitative methods gain prominence alongside quantitative approaches. These scholarly contributions collectively point toward solutions that move beyond knowledge transfer to capability accumulation, creating conditions where researchers can develop the higher-order capabilities, by building judgement, synthesis, and contextual awareness capabilities needed to frame meaningful problems and generate knowledge that addresses Nigeria's developmental challenges. </w:t>
      </w:r>
    </w:p>
    <w:p w14:paraId="30C2C582" w14:textId="77777777" w:rsidR="008D3090" w:rsidRPr="008D3090" w:rsidRDefault="008D3090" w:rsidP="00AE7FA9">
      <w:pPr>
        <w:spacing w:before="120" w:after="120" w:line="240" w:lineRule="auto"/>
        <w:ind w:right="970"/>
        <w:contextualSpacing/>
        <w:rPr>
          <w:rFonts w:ascii="Times New Roman" w:eastAsia="Times New Roman" w:hAnsi="Times New Roman" w:cs="Times New Roman"/>
          <w:b/>
          <w:bCs/>
          <w:spacing w:val="1"/>
          <w:kern w:val="0"/>
          <w14:ligatures w14:val="none"/>
        </w:rPr>
      </w:pPr>
    </w:p>
    <w:p w14:paraId="3B1FEBFC" w14:textId="77777777" w:rsidR="008D3090" w:rsidRPr="008D3090" w:rsidRDefault="008D3090" w:rsidP="00AE7FA9">
      <w:pPr>
        <w:spacing w:before="120" w:after="120" w:line="240" w:lineRule="auto"/>
        <w:ind w:right="970"/>
        <w:contextualSpacing/>
        <w:rPr>
          <w:rFonts w:ascii="Times New Roman" w:eastAsia="Times New Roman" w:hAnsi="Times New Roman" w:cs="Times New Roman"/>
          <w:b/>
          <w:bCs/>
          <w:spacing w:val="1"/>
          <w:kern w:val="0"/>
          <w14:ligatures w14:val="none"/>
        </w:rPr>
      </w:pPr>
      <w:r w:rsidRPr="008D3090">
        <w:rPr>
          <w:rFonts w:ascii="Times New Roman" w:eastAsia="Times New Roman" w:hAnsi="Times New Roman" w:cs="Times New Roman"/>
          <w:b/>
          <w:bCs/>
          <w:spacing w:val="1"/>
          <w:kern w:val="0"/>
          <w14:ligatures w14:val="none"/>
        </w:rPr>
        <w:t>LITERATURE REVIEW</w:t>
      </w:r>
    </w:p>
    <w:p w14:paraId="52AD01A1" w14:textId="77777777" w:rsidR="008D3090" w:rsidRPr="008D3090" w:rsidRDefault="008D3090" w:rsidP="00AE7FA9">
      <w:pPr>
        <w:spacing w:beforeAutospacing="1" w:after="200" w:afterAutospacing="1" w:line="240" w:lineRule="auto"/>
        <w:jc w:val="both"/>
        <w:rPr>
          <w:rFonts w:ascii="Times New Roman" w:eastAsia="SimSun" w:hAnsi="Times New Roman" w:cs="Times New Roman"/>
          <w:kern w:val="0"/>
          <w:lang w:eastAsia="zh-CN"/>
          <w14:ligatures w14:val="none"/>
        </w:rPr>
      </w:pPr>
      <w:r w:rsidRPr="008D3090">
        <w:rPr>
          <w:rFonts w:ascii="Times New Roman" w:eastAsia="Times New Roman" w:hAnsi="Times New Roman" w:cs="Times New Roman"/>
          <w:b/>
          <w:bCs/>
          <w:spacing w:val="1"/>
          <w:kern w:val="0"/>
          <w:lang w:eastAsia="zh-CN"/>
          <w14:ligatures w14:val="none"/>
        </w:rPr>
        <w:t xml:space="preserve">THEORETICAL FRAMEWORK: </w:t>
      </w:r>
      <w:r w:rsidRPr="008D3090">
        <w:rPr>
          <w:rFonts w:ascii="Times New Roman" w:eastAsia="Times New Roman" w:hAnsi="Times New Roman" w:cs="Times New Roman"/>
          <w:spacing w:val="1"/>
          <w:kern w:val="0"/>
          <w:lang w:eastAsia="zh-CN"/>
          <w14:ligatures w14:val="none"/>
        </w:rPr>
        <w:t>The theories that underpinned this study are the Complexity Theory and the Dynamic Capabilities Theory</w:t>
      </w:r>
      <w:r w:rsidRPr="008D3090">
        <w:rPr>
          <w:rFonts w:ascii="Times New Roman" w:eastAsia="SimSun" w:hAnsi="Times New Roman" w:cs="Times New Roman"/>
          <w:kern w:val="0"/>
          <w:lang w:eastAsia="zh-CN"/>
          <w14:ligatures w14:val="none"/>
        </w:rPr>
        <w:t xml:space="preserve">. </w:t>
      </w:r>
    </w:p>
    <w:p w14:paraId="52246A95"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shd w:val="clear" w:color="auto" w:fill="FFFFFF"/>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 xml:space="preserve">Complexity Theory: </w:t>
      </w:r>
      <w:r w:rsidRPr="008D3090">
        <w:rPr>
          <w:rFonts w:ascii="Times New Roman" w:eastAsia="Segoe UI" w:hAnsi="Times New Roman" w:cs="Times New Roman"/>
          <w:color w:val="0F1115"/>
          <w:kern w:val="0"/>
          <w:shd w:val="clear" w:color="auto" w:fill="FFFFFF"/>
          <w:lang w:eastAsia="zh-CN"/>
          <w14:ligatures w14:val="none"/>
        </w:rPr>
        <w:t xml:space="preserve">The etymology of complexity theory derives from the Latin word "plexus," meaning interwoven, which intuitively suggests that something complex is composed of elements that are difficult to separate due to the relevant interactions that take place between components (Gershenson, 2011). Unlike a single propounded theory, the intellectual roots of the complexity theory can be traced to earlier works in general </w:t>
      </w:r>
      <w:r w:rsidRPr="008D3090">
        <w:rPr>
          <w:rFonts w:ascii="Times New Roman" w:eastAsia="Segoe UI" w:hAnsi="Times New Roman" w:cs="Times New Roman"/>
          <w:color w:val="0F1115"/>
          <w:kern w:val="0"/>
          <w:shd w:val="clear" w:color="auto" w:fill="FFFFFF"/>
          <w:lang w:eastAsia="zh-CN"/>
          <w14:ligatures w14:val="none"/>
        </w:rPr>
        <w:lastRenderedPageBreak/>
        <w:t xml:space="preserve">systems theory by Ludwig von Bertalanffy (1968), cybernetics by Norbert Wiener (1961), and the philosophy of organism by Alfred North Whitehead (1925). The meaning of complexity theory </w:t>
      </w:r>
      <w:proofErr w:type="spellStart"/>
      <w:r w:rsidRPr="008D3090">
        <w:rPr>
          <w:rFonts w:ascii="Times New Roman" w:eastAsia="Segoe UI" w:hAnsi="Times New Roman" w:cs="Times New Roman"/>
          <w:color w:val="0F1115"/>
          <w:kern w:val="0"/>
          <w:shd w:val="clear" w:color="auto" w:fill="FFFFFF"/>
          <w:lang w:eastAsia="zh-CN"/>
          <w14:ligatures w14:val="none"/>
        </w:rPr>
        <w:t>centres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on understanding how interactions among components of a system produce collective </w:t>
      </w:r>
      <w:proofErr w:type="spellStart"/>
      <w:r w:rsidRPr="008D3090">
        <w:rPr>
          <w:rFonts w:ascii="Times New Roman" w:eastAsia="Segoe UI" w:hAnsi="Times New Roman" w:cs="Times New Roman"/>
          <w:color w:val="0F1115"/>
          <w:kern w:val="0"/>
          <w:shd w:val="clear" w:color="auto" w:fill="FFFFFF"/>
          <w:lang w:eastAsia="zh-CN"/>
          <w14:ligatures w14:val="none"/>
        </w:rPr>
        <w:t>behaviour</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that cannot be easily predicted from the </w:t>
      </w:r>
      <w:proofErr w:type="spellStart"/>
      <w:r w:rsidRPr="008D3090">
        <w:rPr>
          <w:rFonts w:ascii="Times New Roman" w:eastAsia="Segoe UI" w:hAnsi="Times New Roman" w:cs="Times New Roman"/>
          <w:color w:val="0F1115"/>
          <w:kern w:val="0"/>
          <w:shd w:val="clear" w:color="auto" w:fill="FFFFFF"/>
          <w:lang w:eastAsia="zh-CN"/>
          <w14:ligatures w14:val="none"/>
        </w:rPr>
        <w:t>behaviour</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of individual components. Manson (2001) identifies three major divisions of complexity research: algorithmic complexity, which contends that the complexity of a system lies in the difficulty faced in describing system characteristics; deterministic complexity, which deals with chaos theory and catastrophe theory; and aggregate complexity, which concerns how individual elements work in concert to create systems with complex </w:t>
      </w:r>
      <w:proofErr w:type="spellStart"/>
      <w:r w:rsidRPr="008D3090">
        <w:rPr>
          <w:rFonts w:ascii="Times New Roman" w:eastAsia="Segoe UI" w:hAnsi="Times New Roman" w:cs="Times New Roman"/>
          <w:color w:val="0F1115"/>
          <w:kern w:val="0"/>
          <w:shd w:val="clear" w:color="auto" w:fill="FFFFFF"/>
          <w:lang w:eastAsia="zh-CN"/>
          <w14:ligatures w14:val="none"/>
        </w:rPr>
        <w:t>behaviour</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Alhadeff-Jones (2008) further explains that complexity theory challenges reductionist approaches by </w:t>
      </w:r>
      <w:proofErr w:type="spellStart"/>
      <w:r w:rsidRPr="008D3090">
        <w:rPr>
          <w:rFonts w:ascii="Times New Roman" w:eastAsia="Segoe UI" w:hAnsi="Times New Roman" w:cs="Times New Roman"/>
          <w:color w:val="0F1115"/>
          <w:kern w:val="0"/>
          <w:shd w:val="clear" w:color="auto" w:fill="FFFFFF"/>
          <w:lang w:eastAsia="zh-CN"/>
          <w14:ligatures w14:val="none"/>
        </w:rPr>
        <w:t>emphasising</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the recursive feedback loops and dynamics that constitute systems, making them difficult to separate into constituent parts without losing essential characteristics. Arguments about complexity theory in academic discourse reveal both enthusiasm and </w:t>
      </w:r>
      <w:proofErr w:type="spellStart"/>
      <w:r w:rsidRPr="008D3090">
        <w:rPr>
          <w:rFonts w:ascii="Times New Roman" w:eastAsia="Segoe UI" w:hAnsi="Times New Roman" w:cs="Times New Roman"/>
          <w:color w:val="0F1115"/>
          <w:kern w:val="0"/>
          <w:shd w:val="clear" w:color="auto" w:fill="FFFFFF"/>
          <w:lang w:eastAsia="zh-CN"/>
          <w14:ligatures w14:val="none"/>
        </w:rPr>
        <w:t>scepticism</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Proponents tout it as a dominant scientific trend capable of explaining any kind of complex system, from multinational corporations to ecosystems and human consciousness (Lewin, 1992, cited in Manson, 2001). However, critics express concern that complexity is an over-hyped fad, with Sarder and </w:t>
      </w:r>
      <w:proofErr w:type="spellStart"/>
      <w:r w:rsidRPr="008D3090">
        <w:rPr>
          <w:rFonts w:ascii="Times New Roman" w:eastAsia="Segoe UI" w:hAnsi="Times New Roman" w:cs="Times New Roman"/>
          <w:color w:val="0F1115"/>
          <w:kern w:val="0"/>
          <w:shd w:val="clear" w:color="auto" w:fill="FFFFFF"/>
          <w:lang w:eastAsia="zh-CN"/>
          <w14:ligatures w14:val="none"/>
        </w:rPr>
        <w:t>Ravetz</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(1994) cautioning against ill-advised researchers rushing to </w:t>
      </w:r>
      <w:proofErr w:type="spellStart"/>
      <w:r w:rsidRPr="008D3090">
        <w:rPr>
          <w:rFonts w:ascii="Times New Roman" w:eastAsia="Segoe UI" w:hAnsi="Times New Roman" w:cs="Times New Roman"/>
          <w:color w:val="0F1115"/>
          <w:kern w:val="0"/>
          <w:shd w:val="clear" w:color="auto" w:fill="FFFFFF"/>
          <w:lang w:eastAsia="zh-CN"/>
          <w14:ligatures w14:val="none"/>
        </w:rPr>
        <w:t>capitalise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on its cachet. Within the Nigerian context, Akilu, et al. (2016) apply complexity theory to understand the Nigerian educational system, </w:t>
      </w:r>
      <w:proofErr w:type="spellStart"/>
      <w:r w:rsidRPr="008D3090">
        <w:rPr>
          <w:rFonts w:ascii="Times New Roman" w:eastAsia="Segoe UI" w:hAnsi="Times New Roman" w:cs="Times New Roman"/>
          <w:color w:val="0F1115"/>
          <w:kern w:val="0"/>
          <w:shd w:val="clear" w:color="auto" w:fill="FFFFFF"/>
          <w:lang w:eastAsia="zh-CN"/>
          <w14:ligatures w14:val="none"/>
        </w:rPr>
        <w:t>conceptualising</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it as a Complex Adaptive System (CAS) by virtue of its complexity as a human and social system. They argue that the current educational system in Nigeria, which enacts vocational and </w:t>
      </w:r>
      <w:proofErr w:type="spellStart"/>
      <w:r w:rsidRPr="008D3090">
        <w:rPr>
          <w:rFonts w:ascii="Times New Roman" w:eastAsia="Segoe UI" w:hAnsi="Times New Roman" w:cs="Times New Roman"/>
          <w:color w:val="0F1115"/>
          <w:kern w:val="0"/>
          <w:shd w:val="clear" w:color="auto" w:fill="FFFFFF"/>
          <w:lang w:eastAsia="zh-CN"/>
          <w14:ligatures w14:val="none"/>
        </w:rPr>
        <w:t>socialising</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roles, has led to greater emphasis on paper qualifications and has made the system highly dysfunctional. Instead of strengthening the ideal of its intrinsic value worthy of its transformative essence, the system has cultivated instrumental values that further eroded its true purpose towards nation building. The strengths of complexity theory lie in its ability to address non-linear relationships between constantly changing entities, unlike systems theory which studies static entities linked by linear relationships defined by flows and stocks (Manson, 2001). Complexity theory also employs techniques to examine qualitative characteristics such as the symbolic content of communication. Furthermore, complexity theory concerns how complex </w:t>
      </w:r>
      <w:proofErr w:type="spellStart"/>
      <w:r w:rsidRPr="008D3090">
        <w:rPr>
          <w:rFonts w:ascii="Times New Roman" w:eastAsia="Segoe UI" w:hAnsi="Times New Roman" w:cs="Times New Roman"/>
          <w:color w:val="0F1115"/>
          <w:kern w:val="0"/>
          <w:shd w:val="clear" w:color="auto" w:fill="FFFFFF"/>
          <w:lang w:eastAsia="zh-CN"/>
          <w14:ligatures w14:val="none"/>
        </w:rPr>
        <w:t>behaviour</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evolves or emerges from relatively simple local interactions between system components over time, contending that systems have emergent or synergistic characteristics that cannot be understood without reference to sub-component relationships (Manson, 2001). However, the weaknesses of complexity theory include the challenge of defining what constitutes complexity, as any definition is beholden to the perspective brought to bear upon it (Alhadeff-Jones, 2008). In relation to the present study, complexity theory provides the framework for understanding why learning must move from being syntax-oriented to judgement, synthesis, context, and the ability to frame meaningful problems. As Gardiner (2019) explains, as capability at any skill increases, the need to adjust details of application to complexity of context and goals increases as well. By </w:t>
      </w:r>
      <w:proofErr w:type="spellStart"/>
      <w:r w:rsidRPr="008D3090">
        <w:rPr>
          <w:rFonts w:ascii="Times New Roman" w:eastAsia="Segoe UI" w:hAnsi="Times New Roman" w:cs="Times New Roman"/>
          <w:color w:val="0F1115"/>
          <w:kern w:val="0"/>
          <w:shd w:val="clear" w:color="auto" w:fill="FFFFFF"/>
          <w:lang w:eastAsia="zh-CN"/>
          <w14:ligatures w14:val="none"/>
        </w:rPr>
        <w:t>conceptualising</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the Nigerian research environment as a Complex Adaptive System, researchers and policymakers can appreciate how the interaction of various elements, such as funding mechanisms, supervisory relationships, institutional cultures, and policy frameworks, creates emergent outcomes that cannot be understood through reductionist approaches. Complexity theory justifies the shift from linear knowledge-transfer models to ecosystem approaches that </w:t>
      </w:r>
      <w:proofErr w:type="spellStart"/>
      <w:r w:rsidRPr="008D3090">
        <w:rPr>
          <w:rFonts w:ascii="Times New Roman" w:eastAsia="Segoe UI" w:hAnsi="Times New Roman" w:cs="Times New Roman"/>
          <w:color w:val="0F1115"/>
          <w:kern w:val="0"/>
          <w:shd w:val="clear" w:color="auto" w:fill="FFFFFF"/>
          <w:lang w:eastAsia="zh-CN"/>
          <w14:ligatures w14:val="none"/>
        </w:rPr>
        <w:t>recognise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the recursive feedback loops between capability development and research outcomes.</w:t>
      </w:r>
    </w:p>
    <w:p w14:paraId="5A19C1F3"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shd w:val="clear" w:color="auto" w:fill="FFFFFF"/>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 xml:space="preserve">Dynamic Capabilities Theory: </w:t>
      </w:r>
      <w:r w:rsidRPr="008D3090">
        <w:rPr>
          <w:rFonts w:ascii="Times New Roman" w:eastAsia="Segoe UI" w:hAnsi="Times New Roman" w:cs="Times New Roman"/>
          <w:color w:val="0F1115"/>
          <w:kern w:val="0"/>
          <w:shd w:val="clear" w:color="auto" w:fill="FFFFFF"/>
          <w:lang w:eastAsia="zh-CN"/>
          <w14:ligatures w14:val="none"/>
        </w:rPr>
        <w:t xml:space="preserve">was propounded by Teece et al. (1990), emerged from the need to address the limitations of earlier strategic theories, such as the Resource-Based View, which focused primarily on leveraging existing valuable resources rather than adapting them in fluid markets. The etymology of dynamic capabilities combines two concepts: "dynamic" refers to the capacity to renew competences to achieve congruence with the changing business environment, requiring responsiveness to rapidly changing technologies and markets; "capabilities" </w:t>
      </w:r>
      <w:proofErr w:type="spellStart"/>
      <w:r w:rsidRPr="008D3090">
        <w:rPr>
          <w:rFonts w:ascii="Times New Roman" w:eastAsia="Segoe UI" w:hAnsi="Times New Roman" w:cs="Times New Roman"/>
          <w:color w:val="0F1115"/>
          <w:kern w:val="0"/>
          <w:shd w:val="clear" w:color="auto" w:fill="FFFFFF"/>
          <w:lang w:eastAsia="zh-CN"/>
          <w14:ligatures w14:val="none"/>
        </w:rPr>
        <w:t>emphasises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the key role of strategic management in appropriately adapting, integrating, and reconfiguring internal and external </w:t>
      </w:r>
      <w:proofErr w:type="spellStart"/>
      <w:r w:rsidRPr="008D3090">
        <w:rPr>
          <w:rFonts w:ascii="Times New Roman" w:eastAsia="Segoe UI" w:hAnsi="Times New Roman" w:cs="Times New Roman"/>
          <w:color w:val="0F1115"/>
          <w:kern w:val="0"/>
          <w:shd w:val="clear" w:color="auto" w:fill="FFFFFF"/>
          <w:lang w:eastAsia="zh-CN"/>
          <w14:ligatures w14:val="none"/>
        </w:rPr>
        <w:t>organisational</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skills, resources, and functional competences to match the requirements of a changing environment (Teece et al. 1997). Teece, et al. define dynamic capabilities as the firm's ability to integrate, build, and reconfigure internal and external competences to address rapidly changing environments. Teece (2007) further explicates these capabilities, defining them as the distinct skills, processes, procedures, </w:t>
      </w:r>
      <w:proofErr w:type="spellStart"/>
      <w:r w:rsidRPr="008D3090">
        <w:rPr>
          <w:rFonts w:ascii="Times New Roman" w:eastAsia="Segoe UI" w:hAnsi="Times New Roman" w:cs="Times New Roman"/>
          <w:color w:val="0F1115"/>
          <w:kern w:val="0"/>
          <w:shd w:val="clear" w:color="auto" w:fill="FFFFFF"/>
          <w:lang w:eastAsia="zh-CN"/>
          <w14:ligatures w14:val="none"/>
        </w:rPr>
        <w:t>organisational</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structures, decision rules, and disciplines required for creating an entrepreneurial </w:t>
      </w:r>
      <w:r w:rsidRPr="008D3090">
        <w:rPr>
          <w:rFonts w:ascii="Times New Roman" w:eastAsia="Segoe UI" w:hAnsi="Times New Roman" w:cs="Times New Roman"/>
          <w:color w:val="0F1115"/>
          <w:kern w:val="0"/>
          <w:shd w:val="clear" w:color="auto" w:fill="FFFFFF"/>
          <w:lang w:eastAsia="zh-CN"/>
          <w14:ligatures w14:val="none"/>
        </w:rPr>
        <w:lastRenderedPageBreak/>
        <w:t>enterprise and achieving superior long-run business performance. However, some scholars argue that the theory is vague, tautological, or leads to infinite regress over levels of higher capabilities. As such, the use of the theory in its current state is difficult without being able to further specify, develop, and identify those capabilities (</w:t>
      </w:r>
      <w:proofErr w:type="spellStart"/>
      <w:r w:rsidRPr="008D3090">
        <w:rPr>
          <w:rFonts w:ascii="Times New Roman" w:eastAsia="Segoe UI" w:hAnsi="Times New Roman" w:cs="Times New Roman"/>
          <w:color w:val="0F1115"/>
          <w:kern w:val="0"/>
          <w:shd w:val="clear" w:color="auto" w:fill="FFFFFF"/>
          <w:lang w:eastAsia="zh-CN"/>
          <w14:ligatures w14:val="none"/>
        </w:rPr>
        <w:t>Basiouni</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et al., 2019). </w:t>
      </w:r>
    </w:p>
    <w:p w14:paraId="29326FBB"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The strengths of Dynamic Capabilities Theory lie in its focus on adaptation and renewal in rapidly changing environments. Unlike the Resource-Based View, which </w:t>
      </w:r>
      <w:proofErr w:type="spellStart"/>
      <w:r w:rsidRPr="008D3090">
        <w:rPr>
          <w:rFonts w:ascii="Times New Roman" w:eastAsia="Segoe UI" w:hAnsi="Times New Roman" w:cs="Times New Roman"/>
          <w:color w:val="0F1115"/>
          <w:kern w:val="0"/>
          <w:shd w:val="clear" w:color="auto" w:fill="FFFFFF"/>
          <w:lang w:eastAsia="zh-CN"/>
          <w14:ligatures w14:val="none"/>
        </w:rPr>
        <w:t>emphasises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sustainable competitive advantage through </w:t>
      </w:r>
      <w:r w:rsidRPr="008D3090">
        <w:rPr>
          <w:rFonts w:ascii="Times New Roman" w:eastAsia="Segoe UI" w:hAnsi="Times New Roman" w:cs="Times New Roman"/>
          <w:i/>
          <w:iCs/>
          <w:color w:val="0F1115"/>
          <w:kern w:val="0"/>
          <w:shd w:val="clear" w:color="auto" w:fill="FFFFFF"/>
          <w:lang w:eastAsia="zh-CN"/>
          <w14:ligatures w14:val="none"/>
        </w:rPr>
        <w:t>valuable, rare, inimitable, and non-substitutable</w:t>
      </w:r>
      <w:r w:rsidRPr="008D3090">
        <w:rPr>
          <w:rFonts w:ascii="Times New Roman" w:eastAsia="Segoe UI" w:hAnsi="Times New Roman" w:cs="Times New Roman"/>
          <w:color w:val="0F1115"/>
          <w:kern w:val="0"/>
          <w:shd w:val="clear" w:color="auto" w:fill="FFFFFF"/>
          <w:lang w:eastAsia="zh-CN"/>
          <w14:ligatures w14:val="none"/>
        </w:rPr>
        <w:t xml:space="preserve"> </w:t>
      </w:r>
      <w:r w:rsidRPr="008D3090">
        <w:rPr>
          <w:rFonts w:ascii="Times New Roman" w:eastAsia="Segoe UI" w:hAnsi="Times New Roman" w:cs="Times New Roman"/>
          <w:i/>
          <w:iCs/>
          <w:color w:val="0F1115"/>
          <w:kern w:val="0"/>
          <w:shd w:val="clear" w:color="auto" w:fill="FFFFFF"/>
          <w:lang w:eastAsia="zh-CN"/>
          <w14:ligatures w14:val="none"/>
        </w:rPr>
        <w:t>resources</w:t>
      </w:r>
      <w:r w:rsidRPr="008D3090">
        <w:rPr>
          <w:rFonts w:ascii="Times New Roman" w:eastAsia="Segoe UI" w:hAnsi="Times New Roman" w:cs="Times New Roman"/>
          <w:color w:val="0F1115"/>
          <w:kern w:val="0"/>
          <w:shd w:val="clear" w:color="auto" w:fill="FFFFFF"/>
          <w:lang w:eastAsia="zh-CN"/>
          <w14:ligatures w14:val="none"/>
        </w:rPr>
        <w:t xml:space="preserve">, the dynamic capabilities theory focuses on competitive survival in response to rapidly changing contemporary business conditions (Teece, et al. 1997). The theory provides a framework for understanding how </w:t>
      </w:r>
      <w:proofErr w:type="spellStart"/>
      <w:r w:rsidRPr="008D3090">
        <w:rPr>
          <w:rFonts w:ascii="Times New Roman" w:eastAsia="Segoe UI" w:hAnsi="Times New Roman" w:cs="Times New Roman"/>
          <w:color w:val="0F1115"/>
          <w:kern w:val="0"/>
          <w:shd w:val="clear" w:color="auto" w:fill="FFFFFF"/>
          <w:lang w:eastAsia="zh-CN"/>
          <w14:ligatures w14:val="none"/>
        </w:rPr>
        <w:t>organisations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can achieve and sustain competitive advantage by continuously aligning their core competencies with evolving market </w:t>
      </w:r>
      <w:proofErr w:type="gramStart"/>
      <w:r w:rsidRPr="008D3090">
        <w:rPr>
          <w:rFonts w:ascii="Times New Roman" w:eastAsia="Segoe UI" w:hAnsi="Times New Roman" w:cs="Times New Roman"/>
          <w:color w:val="0F1115"/>
          <w:kern w:val="0"/>
          <w:shd w:val="clear" w:color="auto" w:fill="FFFFFF"/>
          <w:lang w:eastAsia="zh-CN"/>
          <w14:ligatures w14:val="none"/>
        </w:rPr>
        <w:t>demands .</w:t>
      </w:r>
      <w:proofErr w:type="gramEnd"/>
      <w:r w:rsidRPr="008D3090">
        <w:rPr>
          <w:rFonts w:ascii="Times New Roman" w:eastAsia="Segoe UI" w:hAnsi="Times New Roman" w:cs="Times New Roman"/>
          <w:color w:val="0F1115"/>
          <w:kern w:val="0"/>
          <w:shd w:val="clear" w:color="auto" w:fill="FFFFFF"/>
          <w:lang w:eastAsia="zh-CN"/>
          <w14:ligatures w14:val="none"/>
        </w:rPr>
        <w:t xml:space="preserve"> Eisenhardt and Martin (2000) noted that dynamic capabilities are closely related to the concept of ordinary capabilities yet both are distinct in nature, with ordinary capabilities needed to exploit a firm's current strategic assets through day-to-day operations and higher-order dynamic capabilities required to alter a firm's resource base by integrating, building, and reconfiguring competences. However, the weaknesses of Dynamic Capabilities Theory include the challenge of pinpointing the specific </w:t>
      </w:r>
      <w:proofErr w:type="spellStart"/>
      <w:r w:rsidRPr="008D3090">
        <w:rPr>
          <w:rFonts w:ascii="Times New Roman" w:eastAsia="Segoe UI" w:hAnsi="Times New Roman" w:cs="Times New Roman"/>
          <w:color w:val="0F1115"/>
          <w:kern w:val="0"/>
          <w:shd w:val="clear" w:color="auto" w:fill="FFFFFF"/>
          <w:lang w:eastAsia="zh-CN"/>
          <w14:ligatures w14:val="none"/>
        </w:rPr>
        <w:t>microfoundations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or exact processes that constitute these capabilities in practice. Critics argue that dynamic capabilities can be substitutable, meaning that different firms might achieve similar adaptive outcomes through varying sets of capabilities. Furthermore, investments in specific dynamic capabilities may involve trade-offs, potentially limiting a firm's ability to pursue other strategic paths or acquire new capabilities simultaneously (Qaiyum &amp; Wang, </w:t>
      </w:r>
      <w:proofErr w:type="gramStart"/>
      <w:r w:rsidRPr="008D3090">
        <w:rPr>
          <w:rFonts w:ascii="Times New Roman" w:eastAsia="Segoe UI" w:hAnsi="Times New Roman" w:cs="Times New Roman"/>
          <w:color w:val="0F1115"/>
          <w:kern w:val="0"/>
          <w:shd w:val="clear" w:color="auto" w:fill="FFFFFF"/>
          <w:lang w:eastAsia="zh-CN"/>
          <w14:ligatures w14:val="none"/>
        </w:rPr>
        <w:t xml:space="preserve">2018;   </w:t>
      </w:r>
      <w:proofErr w:type="gramEnd"/>
      <w:r w:rsidRPr="008D3090">
        <w:rPr>
          <w:rFonts w:ascii="Times New Roman" w:eastAsia="Segoe UI" w:hAnsi="Times New Roman" w:cs="Times New Roman"/>
          <w:color w:val="0F1115"/>
          <w:kern w:val="0"/>
          <w:shd w:val="clear" w:color="auto" w:fill="FFFFFF"/>
          <w:lang w:eastAsia="zh-CN"/>
          <w14:ligatures w14:val="none"/>
        </w:rPr>
        <w:t xml:space="preserve">Ludwig &amp; Pemberton, 2011). This study's central argument, that we must transit from a knowledge-transfer model to a capability accumulation ecosystem, aligns directly with the dynamic </w:t>
      </w:r>
      <w:proofErr w:type="gramStart"/>
      <w:r w:rsidRPr="008D3090">
        <w:rPr>
          <w:rFonts w:ascii="Times New Roman" w:eastAsia="Segoe UI" w:hAnsi="Times New Roman" w:cs="Times New Roman"/>
          <w:color w:val="0F1115"/>
          <w:kern w:val="0"/>
          <w:shd w:val="clear" w:color="auto" w:fill="FFFFFF"/>
          <w:lang w:eastAsia="zh-CN"/>
          <w14:ligatures w14:val="none"/>
        </w:rPr>
        <w:t>capabilities</w:t>
      </w:r>
      <w:proofErr w:type="gramEnd"/>
      <w:r w:rsidRPr="008D3090">
        <w:rPr>
          <w:rFonts w:ascii="Times New Roman" w:eastAsia="Segoe UI" w:hAnsi="Times New Roman" w:cs="Times New Roman"/>
          <w:color w:val="0F1115"/>
          <w:kern w:val="0"/>
          <w:shd w:val="clear" w:color="auto" w:fill="FFFFFF"/>
          <w:lang w:eastAsia="zh-CN"/>
          <w14:ligatures w14:val="none"/>
        </w:rPr>
        <w:t xml:space="preserve"> framework. Just as firms must develop the capacity to sense, seize, and transform to maintain competitive advantage in changing environments, researchers and research institutions in Nigeria must develop dynamic capabilities to accumulate skills that remain relevant as knowledge frontiers shift. The study's concept that a skill becomes abundant when it loses its scarcity value resonates with the dynamic </w:t>
      </w:r>
      <w:proofErr w:type="gramStart"/>
      <w:r w:rsidRPr="008D3090">
        <w:rPr>
          <w:rFonts w:ascii="Times New Roman" w:eastAsia="Segoe UI" w:hAnsi="Times New Roman" w:cs="Times New Roman"/>
          <w:color w:val="0F1115"/>
          <w:kern w:val="0"/>
          <w:shd w:val="clear" w:color="auto" w:fill="FFFFFF"/>
          <w:lang w:eastAsia="zh-CN"/>
          <w14:ligatures w14:val="none"/>
        </w:rPr>
        <w:t>capabilities</w:t>
      </w:r>
      <w:proofErr w:type="gramEnd"/>
      <w:r w:rsidRPr="008D3090">
        <w:rPr>
          <w:rFonts w:ascii="Times New Roman" w:eastAsia="Segoe UI" w:hAnsi="Times New Roman" w:cs="Times New Roman"/>
          <w:color w:val="0F1115"/>
          <w:kern w:val="0"/>
          <w:shd w:val="clear" w:color="auto" w:fill="FFFFFF"/>
          <w:lang w:eastAsia="zh-CN"/>
          <w14:ligatures w14:val="none"/>
        </w:rPr>
        <w:t xml:space="preserve"> emphasis on continuous renewal, </w:t>
      </w:r>
      <w:proofErr w:type="gramStart"/>
      <w:r w:rsidRPr="008D3090">
        <w:rPr>
          <w:rFonts w:ascii="Times New Roman" w:eastAsia="Segoe UI" w:hAnsi="Times New Roman" w:cs="Times New Roman"/>
          <w:color w:val="0F1115"/>
          <w:kern w:val="0"/>
          <w:shd w:val="clear" w:color="auto" w:fill="FFFFFF"/>
          <w:lang w:eastAsia="zh-CN"/>
          <w14:ligatures w14:val="none"/>
        </w:rPr>
        <w:t>as  researchers</w:t>
      </w:r>
      <w:proofErr w:type="gramEnd"/>
      <w:r w:rsidRPr="008D3090">
        <w:rPr>
          <w:rFonts w:ascii="Times New Roman" w:eastAsia="Segoe UI" w:hAnsi="Times New Roman" w:cs="Times New Roman"/>
          <w:color w:val="0F1115"/>
          <w:kern w:val="0"/>
          <w:shd w:val="clear" w:color="auto" w:fill="FFFFFF"/>
          <w:lang w:eastAsia="zh-CN"/>
          <w14:ligatures w14:val="none"/>
        </w:rPr>
        <w:t xml:space="preserve"> cannot rely on static knowledge endowments but must continuously reconfigure their capability portfolios. </w:t>
      </w:r>
    </w:p>
    <w:p w14:paraId="0EF5145B" w14:textId="77777777" w:rsidR="008D3090" w:rsidRPr="008D3090" w:rsidRDefault="008D3090" w:rsidP="00AE7FA9">
      <w:pPr>
        <w:spacing w:beforeAutospacing="1" w:after="200" w:afterAutospacing="1" w:line="240" w:lineRule="auto"/>
        <w:jc w:val="both"/>
        <w:rPr>
          <w:rFonts w:ascii="Times New Roman" w:eastAsia="Times New Roman" w:hAnsi="Times New Roman" w:cs="Times New Roman"/>
          <w:b/>
          <w:bCs/>
          <w:spacing w:val="1"/>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CONCEPTUAL CLARIFICATION:</w:t>
      </w:r>
    </w:p>
    <w:p w14:paraId="6B1A9C1B" w14:textId="77777777" w:rsidR="008D3090" w:rsidRPr="008D3090" w:rsidRDefault="008D3090" w:rsidP="00AE7FA9">
      <w:pPr>
        <w:shd w:val="clear" w:color="auto" w:fill="FFFFFF"/>
        <w:spacing w:before="384" w:after="192" w:line="240" w:lineRule="auto"/>
        <w:jc w:val="both"/>
        <w:outlineLvl w:val="1"/>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 xml:space="preserve">Capability Accumulation: </w:t>
      </w:r>
      <w:r w:rsidRPr="008D3090">
        <w:rPr>
          <w:rFonts w:ascii="Times New Roman" w:eastAsia="Segoe UI" w:hAnsi="Times New Roman" w:cs="Times New Roman"/>
          <w:color w:val="0F1115"/>
          <w:kern w:val="0"/>
          <w:shd w:val="clear" w:color="auto" w:fill="FFFFFF"/>
          <w:lang w:eastAsia="zh-CN"/>
          <w14:ligatures w14:val="none"/>
        </w:rPr>
        <w:t xml:space="preserve">refers to the progressive development and layering of competencies, knowledge, and problem-solving abilities within individuals and </w:t>
      </w:r>
      <w:proofErr w:type="spellStart"/>
      <w:r w:rsidRPr="008D3090">
        <w:rPr>
          <w:rFonts w:ascii="Times New Roman" w:eastAsia="Segoe UI" w:hAnsi="Times New Roman" w:cs="Times New Roman"/>
          <w:color w:val="0F1115"/>
          <w:kern w:val="0"/>
          <w:shd w:val="clear" w:color="auto" w:fill="FFFFFF"/>
          <w:lang w:eastAsia="zh-CN"/>
          <w14:ligatures w14:val="none"/>
        </w:rPr>
        <w:t>organisations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over time. Ibe (2016) explains that human capital analysis deals with acquired capabilities which are developed through formal and informal education at school and at home, and through on-the-job training, experience, and mobility in the </w:t>
      </w:r>
      <w:proofErr w:type="spellStart"/>
      <w:r w:rsidRPr="008D3090">
        <w:rPr>
          <w:rFonts w:ascii="Times New Roman" w:eastAsia="Segoe UI" w:hAnsi="Times New Roman" w:cs="Times New Roman"/>
          <w:color w:val="0F1115"/>
          <w:kern w:val="0"/>
          <w:shd w:val="clear" w:color="auto" w:fill="FFFFFF"/>
          <w:lang w:eastAsia="zh-CN"/>
          <w14:ligatures w14:val="none"/>
        </w:rPr>
        <w:t>labour</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market. This process extends beyond mere knowledge acquisition to encompass the embedding of skills into practices, routines, and ways of working that enable effective action in diverse contexts. The concept </w:t>
      </w:r>
      <w:proofErr w:type="spellStart"/>
      <w:r w:rsidRPr="008D3090">
        <w:rPr>
          <w:rFonts w:ascii="Times New Roman" w:eastAsia="Segoe UI" w:hAnsi="Times New Roman" w:cs="Times New Roman"/>
          <w:color w:val="0F1115"/>
          <w:kern w:val="0"/>
          <w:shd w:val="clear" w:color="auto" w:fill="FFFFFF"/>
          <w:lang w:eastAsia="zh-CN"/>
          <w14:ligatures w14:val="none"/>
        </w:rPr>
        <w:t>recognises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that capabilities are not static endowments but are built incrementally through sustained engagement, reflection, and adaptation to changing circumstances. The concept of capability accumulation offers several strengths for understanding researcher development. First, it </w:t>
      </w:r>
      <w:proofErr w:type="spellStart"/>
      <w:r w:rsidRPr="008D3090">
        <w:rPr>
          <w:rFonts w:ascii="Times New Roman" w:eastAsia="Segoe UI" w:hAnsi="Times New Roman" w:cs="Times New Roman"/>
          <w:color w:val="0F1115"/>
          <w:kern w:val="0"/>
          <w:shd w:val="clear" w:color="auto" w:fill="FFFFFF"/>
          <w:lang w:eastAsia="zh-CN"/>
          <w14:ligatures w14:val="none"/>
        </w:rPr>
        <w:t>emphasises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the progressive and cumulative nature of skill development, </w:t>
      </w:r>
      <w:proofErr w:type="spellStart"/>
      <w:r w:rsidRPr="008D3090">
        <w:rPr>
          <w:rFonts w:ascii="Times New Roman" w:eastAsia="Segoe UI" w:hAnsi="Times New Roman" w:cs="Times New Roman"/>
          <w:color w:val="0F1115"/>
          <w:kern w:val="0"/>
          <w:shd w:val="clear" w:color="auto" w:fill="FFFFFF"/>
          <w:lang w:eastAsia="zh-CN"/>
          <w14:ligatures w14:val="none"/>
        </w:rPr>
        <w:t>recognising</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that capabilities are built over time through sustained engagement rather than acquired in discrete episodes (</w:t>
      </w:r>
      <w:proofErr w:type="spellStart"/>
      <w:r w:rsidRPr="008D3090">
        <w:rPr>
          <w:rFonts w:ascii="Times New Roman" w:eastAsia="Segoe UI" w:hAnsi="Times New Roman" w:cs="Times New Roman"/>
          <w:color w:val="0F1115"/>
          <w:kern w:val="0"/>
          <w:shd w:val="clear" w:color="auto" w:fill="FFFFFF"/>
          <w:lang w:eastAsia="zh-CN"/>
          <w14:ligatures w14:val="none"/>
        </w:rPr>
        <w:t>Adegbaye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2025). Second, the concept acknowledges the multidimensional nature of capabilities. Jinadu and </w:t>
      </w:r>
      <w:proofErr w:type="spellStart"/>
      <w:r w:rsidRPr="008D3090">
        <w:rPr>
          <w:rFonts w:ascii="Times New Roman" w:eastAsia="Segoe UI" w:hAnsi="Times New Roman" w:cs="Times New Roman"/>
          <w:color w:val="0F1115"/>
          <w:kern w:val="0"/>
          <w:shd w:val="clear" w:color="auto" w:fill="FFFFFF"/>
          <w:lang w:eastAsia="zh-CN"/>
          <w14:ligatures w14:val="none"/>
        </w:rPr>
        <w:t>Okwilagwe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(2025) </w:t>
      </w:r>
      <w:proofErr w:type="spellStart"/>
      <w:r w:rsidRPr="008D3090">
        <w:rPr>
          <w:rFonts w:ascii="Times New Roman" w:eastAsia="Segoe UI" w:hAnsi="Times New Roman" w:cs="Times New Roman"/>
          <w:color w:val="0F1115"/>
          <w:kern w:val="0"/>
          <w:shd w:val="clear" w:color="auto" w:fill="FFFFFF"/>
          <w:lang w:eastAsia="zh-CN"/>
          <w14:ligatures w14:val="none"/>
        </w:rPr>
        <w:t>identifiedy</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multiple dimensions of researcher capability including </w:t>
      </w:r>
      <w:r w:rsidRPr="008D3090">
        <w:rPr>
          <w:rFonts w:ascii="Times New Roman" w:eastAsia="Segoe UI" w:hAnsi="Times New Roman" w:cs="Times New Roman"/>
          <w:i/>
          <w:iCs/>
          <w:color w:val="0F1115"/>
          <w:kern w:val="0"/>
          <w:shd w:val="clear" w:color="auto" w:fill="FFFFFF"/>
          <w:lang w:eastAsia="zh-CN"/>
          <w14:ligatures w14:val="none"/>
        </w:rPr>
        <w:t xml:space="preserve">digital literacy, digital citizenship, statistical software knowledge, as well as qualitative and quantitative research undertaking, </w:t>
      </w:r>
      <w:r w:rsidRPr="008D3090">
        <w:rPr>
          <w:rFonts w:ascii="Times New Roman" w:eastAsia="Segoe UI" w:hAnsi="Times New Roman" w:cs="Times New Roman"/>
          <w:color w:val="0F1115"/>
          <w:kern w:val="0"/>
          <w:shd w:val="clear" w:color="auto" w:fill="FFFFFF"/>
          <w:lang w:eastAsia="zh-CN"/>
          <w14:ligatures w14:val="none"/>
        </w:rPr>
        <w:t xml:space="preserve">demonstrating that capabilities comprise interconnected competencies rather than isolated skills. Their finding that researchers undertaking studies without inputs from digital-technology constructs may not achieve sophisticated statistical software skills underscores the integrated nature of capability accumulation. Third, the concept </w:t>
      </w:r>
      <w:proofErr w:type="spellStart"/>
      <w:r w:rsidRPr="008D3090">
        <w:rPr>
          <w:rFonts w:ascii="Times New Roman" w:eastAsia="Segoe UI" w:hAnsi="Times New Roman" w:cs="Times New Roman"/>
          <w:color w:val="0F1115"/>
          <w:kern w:val="0"/>
          <w:shd w:val="clear" w:color="auto" w:fill="FFFFFF"/>
          <w:lang w:eastAsia="zh-CN"/>
          <w14:ligatures w14:val="none"/>
        </w:rPr>
        <w:t>recognises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that capabilities are developed through contextual engagement with mentors, peers, and practical research challenges. Participants engaged in interactive sessions on designing high-impact research, data management and analysis, academic writing and publishing, and leveraging artificial intelligence in research, illustrating how capability accumulation occurs through situated practice. Despite its strengths, the </w:t>
      </w:r>
      <w:r w:rsidRPr="008D3090">
        <w:rPr>
          <w:rFonts w:ascii="Times New Roman" w:eastAsia="Segoe UI" w:hAnsi="Times New Roman" w:cs="Times New Roman"/>
          <w:color w:val="0F1115"/>
          <w:kern w:val="0"/>
          <w:shd w:val="clear" w:color="auto" w:fill="FFFFFF"/>
          <w:lang w:eastAsia="zh-CN"/>
          <w14:ligatures w14:val="none"/>
        </w:rPr>
        <w:lastRenderedPageBreak/>
        <w:t xml:space="preserve">concept of capability accumulation has notable weaknesses. A primary criticism concerns its potential vagueness and difficulty in </w:t>
      </w:r>
      <w:proofErr w:type="spellStart"/>
      <w:r w:rsidRPr="008D3090">
        <w:rPr>
          <w:rFonts w:ascii="Times New Roman" w:eastAsia="Segoe UI" w:hAnsi="Times New Roman" w:cs="Times New Roman"/>
          <w:color w:val="0F1115"/>
          <w:kern w:val="0"/>
          <w:shd w:val="clear" w:color="auto" w:fill="FFFFFF"/>
          <w:lang w:eastAsia="zh-CN"/>
          <w14:ligatures w14:val="none"/>
        </w:rPr>
        <w:t>operationalisation</w:t>
      </w:r>
      <w:proofErr w:type="spellEnd"/>
      <w:r w:rsidRPr="008D3090">
        <w:rPr>
          <w:rFonts w:ascii="Times New Roman" w:eastAsia="Segoe UI" w:hAnsi="Times New Roman" w:cs="Times New Roman"/>
          <w:color w:val="0F1115"/>
          <w:kern w:val="0"/>
          <w:shd w:val="clear" w:color="auto" w:fill="FFFFFF"/>
          <w:lang w:eastAsia="zh-CN"/>
          <w14:ligatures w14:val="none"/>
        </w:rPr>
        <w:t>. While scholars agree that capability accumulation matters, precisely defining what constitutes a capability and measuring its accumulation remains challenging. The concept's emphasis on accumulation over time aligns with the study's concern with sustainable skill development rather than episodic knowledge transfer. Its focus on embedded, practiced capabilities supports the study's argument that learning must move beyond syntax to encompass judgement and synthesis (</w:t>
      </w:r>
      <w:proofErr w:type="spellStart"/>
      <w:r w:rsidRPr="008D3090">
        <w:rPr>
          <w:rFonts w:ascii="Times New Roman" w:eastAsia="Segoe UI" w:hAnsi="Times New Roman" w:cs="Times New Roman"/>
          <w:color w:val="0F1115"/>
          <w:kern w:val="0"/>
          <w:shd w:val="clear" w:color="auto" w:fill="FFFFFF"/>
          <w:lang w:eastAsia="zh-CN"/>
          <w14:ligatures w14:val="none"/>
        </w:rPr>
        <w:t>Adegbaye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2025). </w:t>
      </w:r>
    </w:p>
    <w:p w14:paraId="76E3A8B9"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 xml:space="preserve">Abundant Skills: </w:t>
      </w:r>
      <w:r w:rsidRPr="008D3090">
        <w:rPr>
          <w:rFonts w:ascii="Times New Roman" w:eastAsia="Segoe UI" w:hAnsi="Times New Roman" w:cs="Times New Roman"/>
          <w:color w:val="0F1115"/>
          <w:kern w:val="0"/>
          <w:shd w:val="clear" w:color="auto" w:fill="FFFFFF"/>
          <w:lang w:eastAsia="zh-CN"/>
          <w14:ligatures w14:val="none"/>
        </w:rPr>
        <w:t>refers to a condition where particular competencies are so widely distributed across a population, sector, or system that they lose their scarcity value and become commonplace expectations rather than rare advantages. The concept directly challenges scarcity-based models of skill valuation, suggesting that the goal of educational systems should be to make valuable skills widely available rather than to hoard them as exclusive commodities. In the context of technological change, the concept becomes particularly salient. When generative artificial intelligence can perform writing tasks that previously required extensive human training and practice, the skill of basic academic writing becomes abundant, as it is no longer a scarce competency that commands premium value but rather a baseline capability that can be automated or augmented. This does not mean writing becomes worthless, but rather that its scarcity value diminishes, and attention must shift to higher-order capabilities that machines cannot easily replicate, such as judgement, synthesis, contextual understanding, and the ability to frame meaningful problems. Moreso, the example of generative AI making writing, illustrates precisely how technological change can transform previously scarce competencies into commonplace capabilities, requiring education to shift focus to higher-order abilities that machines cannot easily replicate. This systemic perspective is essential for understanding how Nigeria can build the research capacity needed to address its developmental challenges, and this dynamic understanding of skill value ensures that educational systems remain responsive to changing circumstances rather than fixed in their curriculum.</w:t>
      </w:r>
    </w:p>
    <w:p w14:paraId="16CCB739" w14:textId="77777777" w:rsidR="008D3090" w:rsidRPr="008D3090" w:rsidRDefault="008D3090" w:rsidP="00AE7FA9">
      <w:pPr>
        <w:shd w:val="clear" w:color="auto" w:fill="FFFFFF"/>
        <w:spacing w:before="384" w:after="192" w:line="240" w:lineRule="auto"/>
        <w:jc w:val="both"/>
        <w:outlineLvl w:val="1"/>
        <w:rPr>
          <w:rFonts w:ascii="Times New Roman" w:eastAsia="Segoe UI" w:hAnsi="Times New Roman" w:cs="Times New Roman"/>
          <w:b/>
          <w:bCs/>
          <w:color w:val="0F1115"/>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FROM SYNTAX TO JUDGEMENT: REFRAMING RESEARCHER EDUCATION</w:t>
      </w:r>
    </w:p>
    <w:p w14:paraId="469DBC7B"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The transition from a knowledge-transfer model to a capability accumulation ecosystem implies a fundamental reframing of researcher education. The focus shifts from syntax, the rules and procedures of disciplinary practice, to judgement, synthesis, context, and the ability to frame meaningful problems. </w:t>
      </w:r>
      <w:r w:rsidRPr="008D3090">
        <w:rPr>
          <w:rFonts w:ascii="Times New Roman" w:eastAsia="Segoe UI" w:hAnsi="Times New Roman" w:cs="Times New Roman"/>
          <w:b/>
          <w:bCs/>
          <w:color w:val="0F1115"/>
          <w:kern w:val="0"/>
          <w:shd w:val="clear" w:color="auto" w:fill="FFFFFF"/>
          <w:lang w:eastAsia="zh-CN"/>
          <w14:ligatures w14:val="none"/>
        </w:rPr>
        <w:t>Syntax</w:t>
      </w:r>
      <w:r w:rsidRPr="008D3090">
        <w:rPr>
          <w:rFonts w:ascii="Times New Roman" w:eastAsia="Segoe UI" w:hAnsi="Times New Roman" w:cs="Times New Roman"/>
          <w:color w:val="0F1115"/>
          <w:kern w:val="0"/>
          <w:shd w:val="clear" w:color="auto" w:fill="FFFFFF"/>
          <w:lang w:eastAsia="zh-CN"/>
          <w14:ligatures w14:val="none"/>
        </w:rPr>
        <w:t> refers to the codified knowledge of a discipline: its theories, methods, and techniques. While syntax remains important, it is insufficient for effective research practice. Researchers must also develop </w:t>
      </w:r>
      <w:r w:rsidRPr="008D3090">
        <w:rPr>
          <w:rFonts w:ascii="Times New Roman" w:eastAsia="Segoe UI" w:hAnsi="Times New Roman" w:cs="Times New Roman"/>
          <w:b/>
          <w:bCs/>
          <w:color w:val="0F1115"/>
          <w:kern w:val="0"/>
          <w:shd w:val="clear" w:color="auto" w:fill="FFFFFF"/>
          <w:lang w:eastAsia="zh-CN"/>
          <w14:ligatures w14:val="none"/>
        </w:rPr>
        <w:t xml:space="preserve">judgement, </w:t>
      </w:r>
      <w:r w:rsidRPr="008D3090">
        <w:rPr>
          <w:rFonts w:ascii="Times New Roman" w:eastAsia="Segoe UI" w:hAnsi="Times New Roman" w:cs="Times New Roman"/>
          <w:color w:val="0F1115"/>
          <w:kern w:val="0"/>
          <w:shd w:val="clear" w:color="auto" w:fill="FFFFFF"/>
          <w:lang w:eastAsia="zh-CN"/>
          <w14:ligatures w14:val="none"/>
        </w:rPr>
        <w:t xml:space="preserve">the capacity to make sound decisions in situations characterized by uncertainty, ambiguity, and incomplete information. Judgement cannot be reduced to rules but must be cultivated through experience, reflection, and engagement with complex problems. </w:t>
      </w:r>
      <w:r w:rsidRPr="008D3090">
        <w:rPr>
          <w:rFonts w:ascii="Times New Roman" w:eastAsia="Segoe UI" w:hAnsi="Times New Roman" w:cs="Times New Roman"/>
          <w:b/>
          <w:bCs/>
          <w:color w:val="0F1115"/>
          <w:kern w:val="0"/>
          <w:shd w:val="clear" w:color="auto" w:fill="FFFFFF"/>
          <w:lang w:eastAsia="zh-CN"/>
          <w14:ligatures w14:val="none"/>
        </w:rPr>
        <w:t>Synthesis</w:t>
      </w:r>
      <w:r w:rsidRPr="008D3090">
        <w:rPr>
          <w:rFonts w:ascii="Times New Roman" w:eastAsia="Segoe UI" w:hAnsi="Times New Roman" w:cs="Times New Roman"/>
          <w:color w:val="0F1115"/>
          <w:kern w:val="0"/>
          <w:shd w:val="clear" w:color="auto" w:fill="FFFFFF"/>
          <w:lang w:eastAsia="zh-CN"/>
          <w14:ligatures w14:val="none"/>
        </w:rPr>
        <w:t xml:space="preserve"> involves the ability to integrate knowledge from multiple sources and disciplines. The most pressing challenges facing Nigerian society, from climate change to public health, from educational transformation to economic development, cut across traditional disciplinary boundaries. Addressing these challenges requires researchers capable of synthesizing insights from diverse fields rather than remaining within narrow disciplinary silos. </w:t>
      </w:r>
      <w:r w:rsidRPr="008D3090">
        <w:rPr>
          <w:rFonts w:ascii="Times New Roman" w:eastAsia="Segoe UI" w:hAnsi="Times New Roman" w:cs="Times New Roman"/>
          <w:b/>
          <w:bCs/>
          <w:color w:val="0F1115"/>
          <w:kern w:val="0"/>
          <w:shd w:val="clear" w:color="auto" w:fill="FFFFFF"/>
          <w:lang w:eastAsia="zh-CN"/>
          <w14:ligatures w14:val="none"/>
        </w:rPr>
        <w:t>Context</w:t>
      </w:r>
      <w:r w:rsidRPr="008D3090">
        <w:rPr>
          <w:rFonts w:ascii="Times New Roman" w:eastAsia="Segoe UI" w:hAnsi="Times New Roman" w:cs="Times New Roman"/>
          <w:color w:val="0F1115"/>
          <w:kern w:val="0"/>
          <w:shd w:val="clear" w:color="auto" w:fill="FFFFFF"/>
          <w:lang w:eastAsia="zh-CN"/>
          <w14:ligatures w14:val="none"/>
        </w:rPr>
        <w:t> refers to the specific circumstances within which research is conducted and applied. Knowledge that is valid in one context may not transfer straightforwardly to another. Nigerian researchers must develop the capacity to understand and engage with the specific contexts of their work, including cultural, social, economic, and political dimensions, and to adapt their approaches accordingly. Finally, and perhaps most importantly, researchers must develop the ability to </w:t>
      </w:r>
      <w:r w:rsidRPr="008D3090">
        <w:rPr>
          <w:rFonts w:ascii="Times New Roman" w:eastAsia="Segoe UI" w:hAnsi="Times New Roman" w:cs="Times New Roman"/>
          <w:b/>
          <w:bCs/>
          <w:color w:val="0F1115"/>
          <w:kern w:val="0"/>
          <w:shd w:val="clear" w:color="auto" w:fill="FFFFFF"/>
          <w:lang w:eastAsia="zh-CN"/>
          <w14:ligatures w14:val="none"/>
        </w:rPr>
        <w:t>frame meaningful problems</w:t>
      </w:r>
      <w:r w:rsidRPr="008D3090">
        <w:rPr>
          <w:rFonts w:ascii="Times New Roman" w:eastAsia="Segoe UI" w:hAnsi="Times New Roman" w:cs="Times New Roman"/>
          <w:color w:val="0F1115"/>
          <w:kern w:val="0"/>
          <w:shd w:val="clear" w:color="auto" w:fill="FFFFFF"/>
          <w:lang w:eastAsia="zh-CN"/>
          <w14:ligatures w14:val="none"/>
        </w:rPr>
        <w:t xml:space="preserve">. Problem-framing is distinct from problem-solving. It involves identifying which problems are worth addressing, how problems should be conceptualized, and what counts as progress toward their solution. In complex environments, problem-framing is often more consequential than problem-solving, yet it receives far less attention in traditional research education. The shift from syntax to these higher-order capabilities aligns with the observations of Gardiner (2019), who notes that even when students are presented with all the information needed for progress, some have not yet discovered how to make the most useful mental restructuring that is also needed. Developing judgement, synthesis, contextual awareness, and problem-framing </w:t>
      </w:r>
      <w:proofErr w:type="gramStart"/>
      <w:r w:rsidRPr="008D3090">
        <w:rPr>
          <w:rFonts w:ascii="Times New Roman" w:eastAsia="Segoe UI" w:hAnsi="Times New Roman" w:cs="Times New Roman"/>
          <w:color w:val="0F1115"/>
          <w:kern w:val="0"/>
          <w:shd w:val="clear" w:color="auto" w:fill="FFFFFF"/>
          <w:lang w:eastAsia="zh-CN"/>
          <w14:ligatures w14:val="none"/>
        </w:rPr>
        <w:t>requires</w:t>
      </w:r>
      <w:proofErr w:type="gramEnd"/>
      <w:r w:rsidRPr="008D3090">
        <w:rPr>
          <w:rFonts w:ascii="Times New Roman" w:eastAsia="Segoe UI" w:hAnsi="Times New Roman" w:cs="Times New Roman"/>
          <w:color w:val="0F1115"/>
          <w:kern w:val="0"/>
          <w:shd w:val="clear" w:color="auto" w:fill="FFFFFF"/>
          <w:lang w:eastAsia="zh-CN"/>
          <w14:ligatures w14:val="none"/>
        </w:rPr>
        <w:t xml:space="preserve"> pedagogical approaches that create </w:t>
      </w:r>
      <w:r w:rsidRPr="008D3090">
        <w:rPr>
          <w:rFonts w:ascii="Times New Roman" w:eastAsia="Segoe UI" w:hAnsi="Times New Roman" w:cs="Times New Roman"/>
          <w:color w:val="0F1115"/>
          <w:kern w:val="0"/>
          <w:shd w:val="clear" w:color="auto" w:fill="FFFFFF"/>
          <w:lang w:eastAsia="zh-CN"/>
          <w14:ligatures w14:val="none"/>
        </w:rPr>
        <w:lastRenderedPageBreak/>
        <w:t>opportunities for such mental restructuring, which are approaches that emphasize exploration, reflection, and engagement with authentic complexity.</w:t>
      </w:r>
    </w:p>
    <w:p w14:paraId="2C548C0F" w14:textId="77777777" w:rsidR="008D3090" w:rsidRPr="008D3090" w:rsidRDefault="008D3090" w:rsidP="00AE7FA9">
      <w:pPr>
        <w:shd w:val="clear" w:color="auto" w:fill="FFFFFF"/>
        <w:spacing w:before="384" w:after="192" w:line="240" w:lineRule="auto"/>
        <w:jc w:val="both"/>
        <w:outlineLvl w:val="1"/>
        <w:rPr>
          <w:rFonts w:ascii="Times New Roman" w:eastAsia="Segoe UI" w:hAnsi="Times New Roman" w:cs="Times New Roman"/>
          <w:b/>
          <w:bCs/>
          <w:color w:val="0F1115"/>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THE NIGERIAN CONTEXT: CHALLENGES AND OPPORTUNITIES</w:t>
      </w:r>
    </w:p>
    <w:p w14:paraId="428DD8F7"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The Nigerian research landscape presents both significant challenges and substantial opportunities for capability accumulation. The challenges facing Nigerian researcher development are well-documented. Oben, et al. (2025) note Nigeria's high unemployment rate of 33.3% and youth unemployment of 42.5%, which impede economic progress and reflect systemic challenges in human capacity development. </w:t>
      </w:r>
      <w:proofErr w:type="spellStart"/>
      <w:r w:rsidRPr="008D3090">
        <w:rPr>
          <w:rFonts w:ascii="Times New Roman" w:eastAsia="Segoe UI" w:hAnsi="Times New Roman" w:cs="Times New Roman"/>
          <w:color w:val="0F1115"/>
          <w:kern w:val="0"/>
          <w:shd w:val="clear" w:color="auto" w:fill="FFFFFF"/>
          <w:lang w:eastAsia="zh-CN"/>
          <w14:ligatures w14:val="none"/>
        </w:rPr>
        <w:t>Anowor</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et al. (2025) identified weak digital infrastructure, affordability constraints, poor literacy, and ineffective policy execution as barriers to youth employability and economic transformation. These challenges extend to the research sector, where funding constraints, infrastructural deficits, and institutional weaknesses constrain capability development. Yet, the Nigerian context also presents significant opportunities. The country's large and youthful population represents a substantial pool of potential researchers. The growing recognition of the importance of research for development, reflected in policy initiatives at national and institutional levels, creates a favorable environment for innovation in researcher development. The increasing connectivity and digital access, despite ongoing challenges, open new possibilities for collaborative learning and knowledge sharing. Moreover, Nigerian scholars are themselves contributing to the discourse on capability development. The work of Kontagora, et al. (2018) on the management of Nigerian primary school teachers, </w:t>
      </w:r>
      <w:proofErr w:type="spellStart"/>
      <w:r w:rsidRPr="008D3090">
        <w:rPr>
          <w:rFonts w:ascii="Times New Roman" w:eastAsia="Segoe UI" w:hAnsi="Times New Roman" w:cs="Times New Roman"/>
          <w:color w:val="0F1115"/>
          <w:kern w:val="0"/>
          <w:shd w:val="clear" w:color="auto" w:fill="FFFFFF"/>
          <w:lang w:eastAsia="zh-CN"/>
          <w14:ligatures w14:val="none"/>
        </w:rPr>
        <w:t>Ogundahunsi</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et al. (2015) on strengthening research capacity in low- and middle-income countries, and Watts and </w:t>
      </w:r>
      <w:proofErr w:type="spellStart"/>
      <w:r w:rsidRPr="008D3090">
        <w:rPr>
          <w:rFonts w:ascii="Times New Roman" w:eastAsia="Segoe UI" w:hAnsi="Times New Roman" w:cs="Times New Roman"/>
          <w:color w:val="0F1115"/>
          <w:kern w:val="0"/>
          <w:shd w:val="clear" w:color="auto" w:fill="FFFFFF"/>
          <w:lang w:eastAsia="zh-CN"/>
          <w14:ligatures w14:val="none"/>
        </w:rPr>
        <w:t>Akogun</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(2017) on research capacity strengthening strategies in northern Nigeria provides valuable insights into the processes and conditions that enable capability accumulation in the Nigerian context. The challenge, as Comim et al. (2024) suggest, is to create conditions under which social choices about educational and research priorities can be made and legitimized in contexts characterized by diverse perspectives and interests. This requires attention to the social processes through which capabilities are valued, developed, and deployed. These processes are shaped by identity, power, and institutional dynamics.</w:t>
      </w:r>
    </w:p>
    <w:p w14:paraId="56C95A70" w14:textId="77777777" w:rsidR="008D3090" w:rsidRPr="008D3090" w:rsidRDefault="008D3090" w:rsidP="00AE7FA9">
      <w:pPr>
        <w:shd w:val="clear" w:color="auto" w:fill="FFFFFF"/>
        <w:spacing w:before="384" w:after="192" w:line="240" w:lineRule="auto"/>
        <w:jc w:val="both"/>
        <w:outlineLvl w:val="1"/>
        <w:rPr>
          <w:rFonts w:ascii="Times New Roman" w:eastAsia="Segoe UI" w:hAnsi="Times New Roman" w:cs="Times New Roman"/>
          <w:b/>
          <w:bCs/>
          <w:color w:val="0F1115"/>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TOWARD A CAPABILITY ACCUMULATION ECOSYSTEM</w:t>
      </w:r>
    </w:p>
    <w:p w14:paraId="059F6B4F"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Transitioning from a knowledge-transfer model to a capability accumulation ecosystem requires coordinated action across multiple levels: individual, organizational, and institutional. At the individual level, researchers should develop the meta-cognitive capacities that enable them to manage their own learning and capability development. This includes the ability to reflect on their practice, to identify gaps in their knowledge and skills, and to pursue targeted learning opportunities. At the organizational level, universities and research institutions should create environments that support capability accumulation. This involves designing curricula and learning experiences that go beyond knowledge transmission to cultivate judgement, synthesis, contextual awareness, and problem-framing. It requires creating opportunities for researchers to engage with authentic complexity through problem-based learning, interdisciplinary collaboration, and engagement with external stakeholders. It also demands investment in supervisory capacity, mentoring relationships, and communities of practice that support ongoing learning and development. At the institutional level, policymakers and funding agencies must create frameworks that incentivize and enable capability accumulation. This includes aligning funding mechanisms with capability development goals, supporting institutional innovation in researcher education, and creating career pathways that recognize and reward diverse forms of research contribution. It also requires attention to the infrastructural and resource conditions that enable effective research practice. </w:t>
      </w:r>
      <w:proofErr w:type="spellStart"/>
      <w:r w:rsidRPr="008D3090">
        <w:rPr>
          <w:rFonts w:ascii="Times New Roman" w:eastAsia="Segoe UI" w:hAnsi="Times New Roman" w:cs="Times New Roman"/>
          <w:color w:val="0F1115"/>
          <w:kern w:val="0"/>
          <w:shd w:val="clear" w:color="auto" w:fill="FFFFFF"/>
          <w:lang w:eastAsia="zh-CN"/>
          <w14:ligatures w14:val="none"/>
        </w:rPr>
        <w:t>Dosi</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and Yu (2018) emphasized that the rates and directions of knowledge accumulation during catch-up processes are shaped by the economic and institutional framework in which such processes are embedded. For Nigeria, this suggests that researcher development cannot be separated from broader efforts to strengthen the research system, including investment in infrastructure, development of research governance frameworks, and cultivation of linkages between research and societal needs. The concept of a capability accumulation ecosystem also implies attention to the relationships and interactions among different actors and elements. Capabilities are not developed in </w:t>
      </w:r>
      <w:r w:rsidRPr="008D3090">
        <w:rPr>
          <w:rFonts w:ascii="Times New Roman" w:eastAsia="Segoe UI" w:hAnsi="Times New Roman" w:cs="Times New Roman"/>
          <w:color w:val="0F1115"/>
          <w:kern w:val="0"/>
          <w:shd w:val="clear" w:color="auto" w:fill="FFFFFF"/>
          <w:lang w:eastAsia="zh-CN"/>
          <w14:ligatures w14:val="none"/>
        </w:rPr>
        <w:lastRenderedPageBreak/>
        <w:t>isolation but through engagement with others, such as supervisors, mentors, peers, collaborators, and research users. Creating conditions for effective capability accumulation requires attention to the quality and nature of these interactions, as well as to the formal structures and processes that shape them.</w:t>
      </w:r>
    </w:p>
    <w:p w14:paraId="4FE46966" w14:textId="77777777" w:rsidR="008D3090" w:rsidRPr="008D3090" w:rsidRDefault="008D3090" w:rsidP="00AE7FA9">
      <w:pPr>
        <w:shd w:val="clear" w:color="auto" w:fill="FFFFFF"/>
        <w:spacing w:before="384" w:after="192" w:line="240" w:lineRule="auto"/>
        <w:jc w:val="both"/>
        <w:outlineLvl w:val="1"/>
        <w:rPr>
          <w:rFonts w:ascii="Times New Roman" w:eastAsia="Segoe UI" w:hAnsi="Times New Roman" w:cs="Times New Roman"/>
          <w:b/>
          <w:bCs/>
          <w:color w:val="0F1115"/>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IMPLICATIONS FOR RESEARCH POLICY AND PRACTICE</w:t>
      </w:r>
    </w:p>
    <w:p w14:paraId="08AC54A3"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The argument advanced in this paper has significant implications for research policy and practice in Nigeria. At the policy level, it suggests the need to move beyond narrow metrics of research output, numbers of publications, citation counts, grant income, to embrace broader conceptions of research capability and contribution. It calls for investment in the conditions that enable capability accumulation, including stable funding, institutional infrastructure (such as electricity and high-speed internet connectivity), and career pathways that support long-term development. At the institutional level, it implies the need for innovation in researcher education and development. This includes designing curricula that balance disciplinary depth with interdisciplinary breadth, creating opportunities for engagement with complex problems, and developing assessment approaches that capture higher-order capabilities. It also requires investment in supervisory capacity and the creation of supportive learning environments. At the individual level, it suggests the importance of cultivating meta-cognitive capabilities and a stance toward continuous learning. Researchers must develop the capacity to manage their own development, seek out learning opportunities, and to reflect critically on their practice. This requires not only technical skills but also the personal qualities, such as curiosity, persistence and humility, that enable sustained engagement with challenging problems. Furthermore, the work of </w:t>
      </w:r>
      <w:proofErr w:type="spellStart"/>
      <w:r w:rsidRPr="008D3090">
        <w:rPr>
          <w:rFonts w:ascii="Times New Roman" w:eastAsia="Segoe UI" w:hAnsi="Times New Roman" w:cs="Times New Roman"/>
          <w:color w:val="0F1115"/>
          <w:kern w:val="0"/>
          <w:shd w:val="clear" w:color="auto" w:fill="FFFFFF"/>
          <w:lang w:eastAsia="zh-CN"/>
          <w14:ligatures w14:val="none"/>
        </w:rPr>
        <w:t>Anowor</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et al. (2025) on digital skills acquisition highlights the importance of aligning capability development with emerging opportunities and challenges. Their finding that systematic digital training enhances productivity and job creation underscores the need for researcher development to remain responsive to changing technological and societal conditions. This requires ongoing attention to the evolving demands of research practice and the capabilities required to meet them.</w:t>
      </w:r>
    </w:p>
    <w:p w14:paraId="563797E0" w14:textId="77777777" w:rsidR="008D3090" w:rsidRPr="008D3090" w:rsidRDefault="008D3090" w:rsidP="00AE7FA9">
      <w:pPr>
        <w:shd w:val="clear" w:color="auto" w:fill="FFFFFF"/>
        <w:spacing w:before="384" w:after="192" w:line="240" w:lineRule="auto"/>
        <w:jc w:val="both"/>
        <w:outlineLvl w:val="1"/>
        <w:rPr>
          <w:rFonts w:ascii="Times New Roman" w:eastAsia="Segoe UI" w:hAnsi="Times New Roman" w:cs="Times New Roman"/>
          <w:b/>
          <w:bCs/>
          <w:color w:val="0F1115"/>
          <w:kern w:val="0"/>
          <w:lang w:eastAsia="zh-CN"/>
          <w14:ligatures w14:val="none"/>
        </w:rPr>
      </w:pPr>
      <w:r w:rsidRPr="008D3090">
        <w:rPr>
          <w:rFonts w:ascii="Times New Roman" w:eastAsia="Segoe UI" w:hAnsi="Times New Roman" w:cs="Times New Roman"/>
          <w:b/>
          <w:bCs/>
          <w:color w:val="0F1115"/>
          <w:kern w:val="0"/>
          <w:shd w:val="clear" w:color="auto" w:fill="FFFFFF"/>
          <w:lang w:eastAsia="zh-CN"/>
          <w14:ligatures w14:val="none"/>
        </w:rPr>
        <w:t>CONCLUSION</w:t>
      </w:r>
    </w:p>
    <w:p w14:paraId="2DCA6217" w14:textId="77777777" w:rsidR="008D3090" w:rsidRPr="008D3090" w:rsidRDefault="008D3090" w:rsidP="00AE7FA9">
      <w:pPr>
        <w:shd w:val="clear" w:color="auto" w:fill="FFFFFF"/>
        <w:spacing w:before="192" w:after="192" w:line="240" w:lineRule="auto"/>
        <w:jc w:val="both"/>
        <w:rPr>
          <w:rFonts w:ascii="Times New Roman" w:eastAsia="Segoe UI" w:hAnsi="Times New Roman" w:cs="Times New Roman"/>
          <w:color w:val="0F1115"/>
          <w:kern w:val="0"/>
          <w:shd w:val="clear" w:color="auto" w:fill="FFFFFF"/>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This paper concludes that transitioning from a knowledge-transfer model to a capability accumulation ecosystem offers a pathway toward developing abundant skills among Nigerian researchers. The argument is grounded in the recognition that a skill becomes abundant precisely when it loses its scarcity value. Resolving the issues with abundant skills, requires educational approaches that evolve in response to changing conditions, moving from syntax-oriented learning to the cultivation of judgement, synthesis, contextual awareness, and the ability to frame meaningful problems. The complexity theory illuminates why this transition is necessary: researchers operate in environments characterized by uncertainty, nonlinearity, and emergence, requiring capabilities that go beyond the application of fixed procedures. Moreso, dynamic capabilities theory explains how such capabilities can be accumulated: through processes of sensing, seizing, and transforming, that enable researchers to adapt and renew their knowledge and skills in response to changing circumstances. On the other hand, the Nigerian context presents both significant challenges and substantial opportunities for capability accumulation. Addressing the challenges such as funding constraints, infrastructural deficits, and institutional weaknesses, requires coordinated action across individual, organizational, and institutional levels. Seizing the opportunities, including Nigeria's youthful population, growing policy recognition of research importance, and contributions of Nigerian scholars to the discourse on capability development, requires innovation, investment, and sustained commitment. Therefore, as scarcity moves, education must also move. The path from knowledge transfer to capability accumulation is not merely a technical adjustment but a fundamental reorientation of how we conceive of researcher development. It is a path that leads from syntax to judgement, from procedure to synthesis, from abstraction to context, and from problem-solving to problem-framing. For Nigerian researchers and the </w:t>
      </w:r>
      <w:proofErr w:type="gramStart"/>
      <w:r w:rsidRPr="008D3090">
        <w:rPr>
          <w:rFonts w:ascii="Times New Roman" w:eastAsia="Segoe UI" w:hAnsi="Times New Roman" w:cs="Times New Roman"/>
          <w:color w:val="0F1115"/>
          <w:kern w:val="0"/>
          <w:shd w:val="clear" w:color="auto" w:fill="FFFFFF"/>
          <w:lang w:eastAsia="zh-CN"/>
          <w14:ligatures w14:val="none"/>
        </w:rPr>
        <w:t>society</w:t>
      </w:r>
      <w:proofErr w:type="gramEnd"/>
      <w:r w:rsidRPr="008D3090">
        <w:rPr>
          <w:rFonts w:ascii="Times New Roman" w:eastAsia="Segoe UI" w:hAnsi="Times New Roman" w:cs="Times New Roman"/>
          <w:color w:val="0F1115"/>
          <w:kern w:val="0"/>
          <w:shd w:val="clear" w:color="auto" w:fill="FFFFFF"/>
          <w:lang w:eastAsia="zh-CN"/>
          <w14:ligatures w14:val="none"/>
        </w:rPr>
        <w:t xml:space="preserve"> they serve, it is a path worth taking.</w:t>
      </w:r>
    </w:p>
    <w:p w14:paraId="4821CD8B" w14:textId="77777777" w:rsidR="008D3090" w:rsidRPr="008D3090" w:rsidRDefault="008D3090" w:rsidP="00AE7FA9">
      <w:pPr>
        <w:spacing w:after="0" w:line="240" w:lineRule="auto"/>
        <w:jc w:val="both"/>
        <w:rPr>
          <w:rFonts w:ascii="Times New Roman" w:eastAsia="Times New Roman" w:hAnsi="Times New Roman" w:cs="Times New Roman"/>
          <w:b/>
          <w:spacing w:val="-1"/>
          <w:kern w:val="0"/>
          <w:position w:val="-1"/>
          <w14:ligatures w14:val="none"/>
        </w:rPr>
      </w:pPr>
    </w:p>
    <w:p w14:paraId="53D72862" w14:textId="77777777" w:rsidR="008D3090" w:rsidRPr="008D3090" w:rsidRDefault="008D3090" w:rsidP="00AE7FA9">
      <w:pPr>
        <w:spacing w:after="0" w:line="240" w:lineRule="auto"/>
        <w:jc w:val="both"/>
        <w:rPr>
          <w:rFonts w:ascii="Times New Roman" w:eastAsia="Times New Roman" w:hAnsi="Times New Roman" w:cs="Times New Roman"/>
          <w:b/>
          <w:spacing w:val="-1"/>
          <w:kern w:val="0"/>
          <w:position w:val="-1"/>
          <w14:ligatures w14:val="none"/>
        </w:rPr>
      </w:pPr>
      <w:r w:rsidRPr="008D3090">
        <w:rPr>
          <w:rFonts w:ascii="Times New Roman" w:eastAsia="Times New Roman" w:hAnsi="Times New Roman" w:cs="Times New Roman"/>
          <w:b/>
          <w:spacing w:val="-1"/>
          <w:kern w:val="0"/>
          <w:position w:val="-1"/>
          <w14:ligatures w14:val="none"/>
        </w:rPr>
        <w:lastRenderedPageBreak/>
        <w:t>RECOMMENDATIONS</w:t>
      </w:r>
    </w:p>
    <w:p w14:paraId="00351E1C" w14:textId="77777777" w:rsidR="008D3090" w:rsidRPr="008D3090" w:rsidRDefault="008D3090" w:rsidP="00AE7FA9">
      <w:pPr>
        <w:spacing w:after="0" w:line="240" w:lineRule="auto"/>
        <w:jc w:val="both"/>
        <w:rPr>
          <w:rFonts w:ascii="Times New Roman" w:eastAsia="Times New Roman" w:hAnsi="Times New Roman" w:cs="Times New Roman"/>
          <w:b/>
          <w:spacing w:val="-1"/>
          <w:kern w:val="0"/>
          <w:position w:val="-1"/>
          <w14:ligatures w14:val="none"/>
        </w:rPr>
      </w:pPr>
    </w:p>
    <w:p w14:paraId="10D0B7DF" w14:textId="77777777" w:rsidR="008D3090" w:rsidRPr="008D3090" w:rsidRDefault="008D3090" w:rsidP="00AE7FA9">
      <w:pPr>
        <w:numPr>
          <w:ilvl w:val="0"/>
          <w:numId w:val="50"/>
        </w:num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Nigerian universities should fundamentally shift their pedagogical focus from transmitting syntax (disciplinary rules, theories, and procedures) to deliberately cultivating higher-order capabilities. Curricula and learning experiences should be redesigned to develop judgement, through reflective practice and engagement with complex problems. Furthermore, programs must emphasize synthesis, enabling researchers to integrate knowledge across disciplinary boundaries that cut across traditional silos. Most importantly, researcher education must prioritize problem-framing, teaching scholars to identify which problems are worth addressing and how to conceptualize them.</w:t>
      </w:r>
    </w:p>
    <w:p w14:paraId="322A931F" w14:textId="77777777" w:rsidR="008D3090" w:rsidRPr="008D3090" w:rsidRDefault="008D3090" w:rsidP="00AE7FA9">
      <w:pPr>
        <w:numPr>
          <w:ilvl w:val="0"/>
          <w:numId w:val="50"/>
        </w:numPr>
        <w:spacing w:before="192" w:after="192" w:line="240" w:lineRule="auto"/>
        <w:jc w:val="both"/>
        <w:rPr>
          <w:rFonts w:ascii="Times New Roman" w:eastAsia="Segoe UI" w:hAnsi="Times New Roman" w:cs="Times New Roman"/>
          <w:color w:val="0F1115"/>
          <w:kern w:val="0"/>
          <w:shd w:val="clear" w:color="auto" w:fill="FFFFFF"/>
          <w:lang w:eastAsia="zh-CN"/>
          <w14:ligatures w14:val="none"/>
        </w:rPr>
      </w:pPr>
      <w:r w:rsidRPr="008D3090">
        <w:rPr>
          <w:rFonts w:ascii="Segoe UI" w:eastAsia="Segoe UI" w:hAnsi="Segoe UI" w:cs="Segoe UI"/>
          <w:b/>
          <w:bCs/>
          <w:color w:val="0F1115"/>
          <w:kern w:val="0"/>
          <w:sz w:val="19"/>
          <w:szCs w:val="19"/>
          <w:lang w:eastAsia="zh-CN"/>
          <w14:ligatures w14:val="none"/>
        </w:rPr>
        <w:t xml:space="preserve"> </w:t>
      </w:r>
      <w:r w:rsidRPr="008D3090">
        <w:rPr>
          <w:rFonts w:ascii="Times New Roman" w:eastAsia="Segoe UI" w:hAnsi="Times New Roman" w:cs="Times New Roman"/>
          <w:color w:val="0F1115"/>
          <w:kern w:val="0"/>
          <w:lang w:eastAsia="zh-CN"/>
          <w14:ligatures w14:val="none"/>
        </w:rPr>
        <w:t xml:space="preserve">The Nigerian Government and University administrators should address the systemic infrastructural weaknesses in order to encourage research, by making substantial and sustained investments in stable electricity, high-speed internet facilities, well-equipped laboratories, and digital libraries within the Universities.  </w:t>
      </w:r>
    </w:p>
    <w:p w14:paraId="265ADB72" w14:textId="77777777" w:rsidR="008D3090" w:rsidRPr="008D3090" w:rsidRDefault="008D3090" w:rsidP="00AE7FA9">
      <w:pPr>
        <w:numPr>
          <w:ilvl w:val="0"/>
          <w:numId w:val="50"/>
        </w:num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Nigerian Universities should </w:t>
      </w:r>
      <w:r w:rsidRPr="008D3090">
        <w:rPr>
          <w:rFonts w:ascii="Times New Roman" w:eastAsia="Segoe UI" w:hAnsi="Times New Roman" w:cs="Times New Roman"/>
          <w:color w:val="0F1115"/>
          <w:kern w:val="0"/>
          <w:lang w:eastAsia="zh-CN"/>
          <w14:ligatures w14:val="none"/>
        </w:rPr>
        <w:t>mainstream interdisciplinary and methodological diversity from the undergraduate level, in order to build researchers capable of addressing multifaceted societal problems. This early exposure, combined with interdisciplinary projects, will develop the capacity for synthesis and contextual understanding, breaking down the silos that limit innovation and ensuring that researchers are equipped to frame and investigate problems from multiple perspectives.</w:t>
      </w:r>
    </w:p>
    <w:p w14:paraId="06A15F89" w14:textId="77777777" w:rsidR="008D3090" w:rsidRPr="008D3090" w:rsidRDefault="008D3090" w:rsidP="00AE7FA9">
      <w:pPr>
        <w:numPr>
          <w:ilvl w:val="0"/>
          <w:numId w:val="50"/>
        </w:num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The Nigerian research community, through the coordinated action of Universities, regulatory agencies such as the National Universities Commission, and research funding bodies, should  embed both qualitative and quantitative paradigms into every stage of researcher development, by establishing a National Mandate for Methodological Pluralism, operationalized through the creation of a "National Centre for Integrated Research Capabilities" (NCIRC) with regional hubs across the six geopolitical zones.</w:t>
      </w:r>
    </w:p>
    <w:p w14:paraId="77DACA4E" w14:textId="77777777" w:rsidR="008D3090" w:rsidRPr="008D3090" w:rsidRDefault="008D3090" w:rsidP="00AE7FA9">
      <w:pPr>
        <w:numPr>
          <w:ilvl w:val="0"/>
          <w:numId w:val="50"/>
        </w:num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At the individual level, researchers should be equipped with meta-cognitive capacities that enable them to manage their own learning and capability development throughout their careers. They should be trained to become self-directed learners who can continuously assess their capability portfolios and adapt to evolving research demands. This meta-cognitive foundation ensures that capability accumulation becomes an ongoing, internally motivated process rather than a one-time credentialing exercise, enabling researchers to remain responsive as knowledge frontiers shift and new challenges emerge.</w:t>
      </w:r>
    </w:p>
    <w:p w14:paraId="1F9013BD" w14:textId="77777777" w:rsidR="008D3090" w:rsidRPr="008D3090" w:rsidRDefault="008D3090" w:rsidP="00AE7FA9">
      <w:pPr>
        <w:numPr>
          <w:ilvl w:val="0"/>
          <w:numId w:val="50"/>
        </w:numPr>
        <w:spacing w:before="192" w:after="192" w:line="240" w:lineRule="auto"/>
        <w:jc w:val="both"/>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Nigerian institutions should actively foster communities of practice, mentoring circles, and collaborative networks, both locally and internationally. These platforms should provide structured opportunities for peer learning and effective mentoring. Such communities enable the transfer of tacit knowledge, offer support for navigating research challenges, and help integrate Nigerian scholars into global academic networks, thereby accelerating the accumulation and diffusion of advanced skills across the research landscape.</w:t>
      </w:r>
    </w:p>
    <w:p w14:paraId="755207CF" w14:textId="77777777" w:rsidR="008D3090" w:rsidRPr="008D3090" w:rsidRDefault="008D3090" w:rsidP="00AE7FA9">
      <w:pPr>
        <w:tabs>
          <w:tab w:val="left" w:pos="720"/>
        </w:tabs>
        <w:spacing w:after="200" w:line="240" w:lineRule="auto"/>
        <w:ind w:left="482" w:hangingChars="200" w:hanging="482"/>
        <w:jc w:val="center"/>
        <w:rPr>
          <w:rFonts w:ascii="Times New Roman" w:eastAsia="TimesNewRomanPS-BoldMT" w:hAnsi="Times New Roman" w:cs="Times New Roman"/>
          <w:b/>
          <w:bCs/>
          <w:color w:val="000000"/>
          <w:kern w:val="0"/>
          <w:lang w:eastAsia="zh-CN" w:bidi="ar"/>
          <w14:ligatures w14:val="none"/>
        </w:rPr>
      </w:pPr>
      <w:r w:rsidRPr="008D3090">
        <w:rPr>
          <w:rFonts w:ascii="Times New Roman" w:eastAsia="TimesNewRomanPS-BoldMT" w:hAnsi="Times New Roman" w:cs="Times New Roman"/>
          <w:b/>
          <w:bCs/>
          <w:color w:val="000000"/>
          <w:kern w:val="0"/>
          <w:lang w:eastAsia="zh-CN" w:bidi="ar"/>
          <w14:ligatures w14:val="none"/>
        </w:rPr>
        <w:t>REFERENCES</w:t>
      </w:r>
    </w:p>
    <w:p w14:paraId="67027B58" w14:textId="77777777" w:rsidR="008D3090" w:rsidRPr="008D3090" w:rsidRDefault="008D3090" w:rsidP="00AE7FA9">
      <w:pPr>
        <w:spacing w:before="192" w:after="192" w:line="240" w:lineRule="auto"/>
        <w:ind w:left="480" w:right="528"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 xml:space="preserve">Abdullahi, I. A. (2024). </w:t>
      </w:r>
      <w:r w:rsidRPr="008D3090">
        <w:rPr>
          <w:rFonts w:ascii="Times New Roman" w:eastAsia="Segoe UI" w:hAnsi="Times New Roman" w:cs="Times New Roman"/>
          <w:i/>
          <w:iCs/>
          <w:color w:val="0F1115"/>
          <w:kern w:val="0"/>
          <w:lang w:eastAsia="zh-CN"/>
          <w14:ligatures w14:val="none"/>
        </w:rPr>
        <w:t>Managing mega infrastructure complexity: A study on digital construction adoption in Nigeria</w:t>
      </w:r>
      <w:r w:rsidRPr="008D3090">
        <w:rPr>
          <w:rFonts w:ascii="Times New Roman" w:eastAsia="Segoe UI" w:hAnsi="Times New Roman" w:cs="Times New Roman"/>
          <w:color w:val="0F1115"/>
          <w:kern w:val="0"/>
          <w:lang w:eastAsia="zh-CN"/>
          <w14:ligatures w14:val="none"/>
        </w:rPr>
        <w:t xml:space="preserve"> [Doctoral thesis, University of Nottingham]. University of Nottingham Ningbo China.</w:t>
      </w:r>
    </w:p>
    <w:p w14:paraId="6542D594"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Adegbaye, S. I. (2025). Improving research productivity of early-career academics through knowledge acquisition and sharing </w:t>
      </w:r>
      <w:proofErr w:type="spellStart"/>
      <w:r w:rsidRPr="008D3090">
        <w:rPr>
          <w:rFonts w:ascii="Times New Roman" w:eastAsia="Segoe UI" w:hAnsi="Times New Roman" w:cs="Times New Roman"/>
          <w:color w:val="0F1115"/>
          <w:kern w:val="0"/>
          <w:shd w:val="clear" w:color="auto" w:fill="FFFFFF"/>
          <w:lang w:eastAsia="zh-CN"/>
          <w14:ligatures w14:val="none"/>
        </w:rPr>
        <w:t>behaviours</w:t>
      </w:r>
      <w:proofErr w:type="spellEnd"/>
      <w:r w:rsidRPr="008D3090">
        <w:rPr>
          <w:rFonts w:ascii="Times New Roman" w:eastAsia="Segoe UI" w:hAnsi="Times New Roman" w:cs="Times New Roman"/>
          <w:color w:val="0F1115"/>
          <w:kern w:val="0"/>
          <w:shd w:val="clear" w:color="auto" w:fill="FFFFFF"/>
          <w:lang w:eastAsia="zh-CN"/>
          <w14:ligatures w14:val="none"/>
        </w:rPr>
        <w:t>. </w:t>
      </w:r>
      <w:proofErr w:type="spellStart"/>
      <w:r w:rsidRPr="008D3090">
        <w:rPr>
          <w:rFonts w:ascii="Times New Roman" w:eastAsia="Segoe UI" w:hAnsi="Times New Roman" w:cs="Times New Roman"/>
          <w:i/>
          <w:iCs/>
          <w:color w:val="0F1115"/>
          <w:kern w:val="0"/>
          <w:shd w:val="clear" w:color="auto" w:fill="FFFFFF"/>
          <w:lang w:eastAsia="zh-CN"/>
          <w14:ligatures w14:val="none"/>
        </w:rPr>
        <w:t>Unizik</w:t>
      </w:r>
      <w:proofErr w:type="spellEnd"/>
      <w:r w:rsidRPr="008D3090">
        <w:rPr>
          <w:rFonts w:ascii="Times New Roman" w:eastAsia="Segoe UI" w:hAnsi="Times New Roman" w:cs="Times New Roman"/>
          <w:i/>
          <w:iCs/>
          <w:color w:val="0F1115"/>
          <w:kern w:val="0"/>
          <w:shd w:val="clear" w:color="auto" w:fill="FFFFFF"/>
          <w:lang w:eastAsia="zh-CN"/>
          <w14:ligatures w14:val="none"/>
        </w:rPr>
        <w:t xml:space="preserve"> Journal of Library and Information Science, 4</w:t>
      </w:r>
      <w:r w:rsidRPr="008D3090">
        <w:rPr>
          <w:rFonts w:ascii="Times New Roman" w:eastAsia="Segoe UI" w:hAnsi="Times New Roman" w:cs="Times New Roman"/>
          <w:color w:val="0F1115"/>
          <w:kern w:val="0"/>
          <w:shd w:val="clear" w:color="auto" w:fill="FFFFFF"/>
          <w:lang w:eastAsia="zh-CN"/>
          <w14:ligatures w14:val="none"/>
        </w:rPr>
        <w:t>(1), 1-15.</w:t>
      </w:r>
    </w:p>
    <w:p w14:paraId="50087D36" w14:textId="77777777" w:rsidR="008D3090" w:rsidRPr="008D3090" w:rsidRDefault="008D3090" w:rsidP="00AE7FA9">
      <w:pPr>
        <w:spacing w:before="192" w:after="192" w:line="240" w:lineRule="auto"/>
        <w:ind w:left="480" w:right="528"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 xml:space="preserve">Adekunle, A. E. (2024). </w:t>
      </w:r>
      <w:r w:rsidRPr="008D3090">
        <w:rPr>
          <w:rFonts w:ascii="Times New Roman" w:eastAsia="Segoe UI" w:hAnsi="Times New Roman" w:cs="Times New Roman"/>
          <w:i/>
          <w:iCs/>
          <w:color w:val="0F1115"/>
          <w:kern w:val="0"/>
          <w:lang w:eastAsia="zh-CN"/>
          <w14:ligatures w14:val="none"/>
        </w:rPr>
        <w:t>Strategic agility, cultural intelligence, and sustainability of medium-sized enterprises in Ogun State, Nigeria</w:t>
      </w:r>
      <w:r w:rsidRPr="008D3090">
        <w:rPr>
          <w:rFonts w:ascii="Times New Roman" w:eastAsia="Segoe UI" w:hAnsi="Times New Roman" w:cs="Times New Roman"/>
          <w:color w:val="0F1115"/>
          <w:kern w:val="0"/>
          <w:lang w:eastAsia="zh-CN"/>
          <w14:ligatures w14:val="none"/>
        </w:rPr>
        <w:t xml:space="preserve"> [Doctoral thesis, Lead City University]. Lead City University Repository.</w:t>
      </w:r>
    </w:p>
    <w:p w14:paraId="70B8506A"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proofErr w:type="spellStart"/>
      <w:r w:rsidRPr="008D3090">
        <w:rPr>
          <w:rFonts w:ascii="Times New Roman" w:eastAsia="Segoe UI" w:hAnsi="Times New Roman" w:cs="Times New Roman"/>
          <w:color w:val="0F1115"/>
          <w:kern w:val="0"/>
          <w:shd w:val="clear" w:color="auto" w:fill="FFFFFF"/>
          <w:lang w:eastAsia="zh-CN"/>
          <w14:ligatures w14:val="none"/>
        </w:rPr>
        <w:lastRenderedPageBreak/>
        <w:t>Akilu</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N. S., </w:t>
      </w:r>
      <w:proofErr w:type="spellStart"/>
      <w:r w:rsidRPr="008D3090">
        <w:rPr>
          <w:rFonts w:ascii="Times New Roman" w:eastAsia="Segoe UI" w:hAnsi="Times New Roman" w:cs="Times New Roman"/>
          <w:color w:val="0F1115"/>
          <w:kern w:val="0"/>
          <w:shd w:val="clear" w:color="auto" w:fill="FFFFFF"/>
          <w:lang w:eastAsia="zh-CN"/>
          <w14:ligatures w14:val="none"/>
        </w:rPr>
        <w:t>Kirfi</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M. M. W., &amp; Musa, M. (2016). </w:t>
      </w:r>
      <w:r w:rsidRPr="008D3090">
        <w:rPr>
          <w:rFonts w:ascii="Times New Roman" w:eastAsia="Segoe UI" w:hAnsi="Times New Roman" w:cs="Times New Roman"/>
          <w:i/>
          <w:iCs/>
          <w:color w:val="0F1115"/>
          <w:kern w:val="0"/>
          <w:shd w:val="clear" w:color="auto" w:fill="FFFFFF"/>
          <w:lang w:eastAsia="zh-CN"/>
          <w14:ligatures w14:val="none"/>
        </w:rPr>
        <w:t>Application of complexity theory as recipe for the chaotic Nigerian educational system: Exploration in the context of sustainability. In Springer Proceedings in Complexity</w:t>
      </w:r>
      <w:r w:rsidRPr="008D3090">
        <w:rPr>
          <w:rFonts w:ascii="Times New Roman" w:eastAsia="Segoe UI" w:hAnsi="Times New Roman" w:cs="Times New Roman"/>
          <w:color w:val="0F1115"/>
          <w:kern w:val="0"/>
          <w:shd w:val="clear" w:color="auto" w:fill="FFFFFF"/>
          <w:lang w:eastAsia="zh-CN"/>
          <w14:ligatures w14:val="none"/>
        </w:rPr>
        <w:t> (pp. 403–415). Springer.</w:t>
      </w:r>
    </w:p>
    <w:p w14:paraId="69F1DD81" w14:textId="77777777" w:rsidR="008D3090" w:rsidRPr="008D3090" w:rsidRDefault="008D3090" w:rsidP="00AE7FA9">
      <w:pPr>
        <w:spacing w:before="192" w:after="192" w:line="240" w:lineRule="auto"/>
        <w:ind w:left="480"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Akpan, L. O. (2025). Dearth of qualitative practitioners in conducting qualitative methods in Nigerian universities: Need for paradigm shift. </w:t>
      </w:r>
      <w:r w:rsidRPr="008D3090">
        <w:rPr>
          <w:rFonts w:ascii="Times New Roman" w:eastAsia="Segoe UI" w:hAnsi="Times New Roman" w:cs="Times New Roman"/>
          <w:i/>
          <w:iCs/>
          <w:color w:val="0F1115"/>
          <w:kern w:val="0"/>
          <w:shd w:val="clear" w:color="auto" w:fill="FFFFFF"/>
          <w:lang w:eastAsia="zh-CN"/>
          <w14:ligatures w14:val="none"/>
        </w:rPr>
        <w:t>Journal of Theoretical and Empirical Studies in Education, 8</w:t>
      </w:r>
      <w:r w:rsidRPr="008D3090">
        <w:rPr>
          <w:rFonts w:ascii="Times New Roman" w:eastAsia="Segoe UI" w:hAnsi="Times New Roman" w:cs="Times New Roman"/>
          <w:color w:val="0F1115"/>
          <w:kern w:val="0"/>
          <w:shd w:val="clear" w:color="auto" w:fill="FFFFFF"/>
          <w:lang w:eastAsia="zh-CN"/>
          <w14:ligatures w14:val="none"/>
        </w:rPr>
        <w:t>(1), 45-62. </w:t>
      </w:r>
    </w:p>
    <w:p w14:paraId="7ECB8662"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Alhadeff-Jones, M. (2008). Three generations of complexity theories: Nuances and ambiguities. </w:t>
      </w:r>
      <w:r w:rsidRPr="008D3090">
        <w:rPr>
          <w:rFonts w:ascii="Times New Roman" w:eastAsia="Segoe UI" w:hAnsi="Times New Roman" w:cs="Times New Roman"/>
          <w:i/>
          <w:iCs/>
          <w:color w:val="0F1115"/>
          <w:kern w:val="0"/>
          <w:shd w:val="clear" w:color="auto" w:fill="FFFFFF"/>
          <w:lang w:eastAsia="zh-CN"/>
          <w14:ligatures w14:val="none"/>
        </w:rPr>
        <w:t>Educational Philosophy and Theory, 40</w:t>
      </w:r>
      <w:r w:rsidRPr="008D3090">
        <w:rPr>
          <w:rFonts w:ascii="Times New Roman" w:eastAsia="Segoe UI" w:hAnsi="Times New Roman" w:cs="Times New Roman"/>
          <w:color w:val="0F1115"/>
          <w:kern w:val="0"/>
          <w:shd w:val="clear" w:color="auto" w:fill="FFFFFF"/>
          <w:lang w:eastAsia="zh-CN"/>
          <w14:ligatures w14:val="none"/>
        </w:rPr>
        <w:t>(1), 66-82.</w:t>
      </w:r>
    </w:p>
    <w:p w14:paraId="60EF6CB7" w14:textId="77777777" w:rsidR="008D3090" w:rsidRPr="008D3090" w:rsidRDefault="008D3090" w:rsidP="00AE7FA9">
      <w:pPr>
        <w:spacing w:before="192" w:after="192" w:line="240" w:lineRule="auto"/>
        <w:ind w:left="480" w:right="528"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Amaka, N. L. (2024). Interrogating the nexus between human capital development and insecurity in South East Nigeria (2010-2023). </w:t>
      </w:r>
      <w:r w:rsidRPr="008D3090">
        <w:rPr>
          <w:rFonts w:ascii="Times New Roman" w:eastAsia="Segoe UI" w:hAnsi="Times New Roman" w:cs="Times New Roman"/>
          <w:i/>
          <w:iCs/>
          <w:color w:val="0F1115"/>
          <w:kern w:val="0"/>
          <w:lang w:eastAsia="zh-CN"/>
          <w14:ligatures w14:val="none"/>
        </w:rPr>
        <w:t>Journal of Policy and Development Studies</w:t>
      </w:r>
      <w:r w:rsidRPr="008D3090">
        <w:rPr>
          <w:rFonts w:ascii="Times New Roman" w:eastAsia="Segoe UI" w:hAnsi="Times New Roman" w:cs="Times New Roman"/>
          <w:color w:val="0F1115"/>
          <w:kern w:val="0"/>
          <w:lang w:eastAsia="zh-CN"/>
          <w14:ligatures w14:val="none"/>
        </w:rPr>
        <w:t xml:space="preserve">, </w:t>
      </w:r>
      <w:r w:rsidRPr="008D3090">
        <w:rPr>
          <w:rFonts w:ascii="Times New Roman" w:eastAsia="Segoe UI" w:hAnsi="Times New Roman" w:cs="Times New Roman"/>
          <w:i/>
          <w:iCs/>
          <w:color w:val="0F1115"/>
          <w:kern w:val="0"/>
          <w:lang w:eastAsia="zh-CN"/>
          <w14:ligatures w14:val="none"/>
        </w:rPr>
        <w:t>16</w:t>
      </w:r>
      <w:r w:rsidRPr="008D3090">
        <w:rPr>
          <w:rFonts w:ascii="Times New Roman" w:eastAsia="Segoe UI" w:hAnsi="Times New Roman" w:cs="Times New Roman"/>
          <w:color w:val="0F1115"/>
          <w:kern w:val="0"/>
          <w:lang w:eastAsia="zh-CN"/>
          <w14:ligatures w14:val="none"/>
        </w:rPr>
        <w:t>(1), 1-18.</w:t>
      </w:r>
    </w:p>
    <w:p w14:paraId="5C2A7FEC" w14:textId="77777777" w:rsidR="008D3090" w:rsidRPr="008D3090" w:rsidRDefault="008D3090" w:rsidP="00AE7FA9">
      <w:pPr>
        <w:spacing w:before="192" w:after="192" w:line="240" w:lineRule="auto"/>
        <w:ind w:left="480" w:right="528" w:hangingChars="200" w:hanging="480"/>
        <w:rPr>
          <w:rFonts w:ascii="Times New Roman" w:eastAsia="SimSun" w:hAnsi="Times New Roman" w:cs="Times New Roman"/>
          <w:kern w:val="0"/>
          <w:lang w:eastAsia="zh-CN"/>
          <w14:ligatures w14:val="none"/>
        </w:rPr>
      </w:pPr>
      <w:proofErr w:type="spellStart"/>
      <w:r w:rsidRPr="008D3090">
        <w:rPr>
          <w:rFonts w:ascii="Times New Roman" w:eastAsia="Segoe UI" w:hAnsi="Times New Roman" w:cs="Times New Roman"/>
          <w:color w:val="0F1115"/>
          <w:kern w:val="0"/>
          <w:lang w:eastAsia="zh-CN"/>
          <w14:ligatures w14:val="none"/>
        </w:rPr>
        <w:t>Anowor</w:t>
      </w:r>
      <w:proofErr w:type="spellEnd"/>
      <w:r w:rsidRPr="008D3090">
        <w:rPr>
          <w:rFonts w:ascii="Times New Roman" w:eastAsia="Segoe UI" w:hAnsi="Times New Roman" w:cs="Times New Roman"/>
          <w:color w:val="0F1115"/>
          <w:kern w:val="0"/>
          <w:lang w:eastAsia="zh-CN"/>
          <w14:ligatures w14:val="none"/>
        </w:rPr>
        <w:t xml:space="preserve">, O. F., Chibuzo, A. C., </w:t>
      </w:r>
      <w:proofErr w:type="spellStart"/>
      <w:r w:rsidRPr="008D3090">
        <w:rPr>
          <w:rFonts w:ascii="Times New Roman" w:eastAsia="Segoe UI" w:hAnsi="Times New Roman" w:cs="Times New Roman"/>
          <w:color w:val="0F1115"/>
          <w:kern w:val="0"/>
          <w:lang w:eastAsia="zh-CN"/>
          <w14:ligatures w14:val="none"/>
        </w:rPr>
        <w:t>Anigbo</w:t>
      </w:r>
      <w:proofErr w:type="spellEnd"/>
      <w:r w:rsidRPr="008D3090">
        <w:rPr>
          <w:rFonts w:ascii="Times New Roman" w:eastAsia="Segoe UI" w:hAnsi="Times New Roman" w:cs="Times New Roman"/>
          <w:color w:val="0F1115"/>
          <w:kern w:val="0"/>
          <w:lang w:eastAsia="zh-CN"/>
          <w14:ligatures w14:val="none"/>
        </w:rPr>
        <w:t xml:space="preserve">, C. G., &amp; </w:t>
      </w:r>
      <w:proofErr w:type="spellStart"/>
      <w:r w:rsidRPr="008D3090">
        <w:rPr>
          <w:rFonts w:ascii="Times New Roman" w:eastAsia="Segoe UI" w:hAnsi="Times New Roman" w:cs="Times New Roman"/>
          <w:color w:val="0F1115"/>
          <w:kern w:val="0"/>
          <w:lang w:eastAsia="zh-CN"/>
          <w14:ligatures w14:val="none"/>
        </w:rPr>
        <w:t>Ukpere</w:t>
      </w:r>
      <w:proofErr w:type="spellEnd"/>
      <w:r w:rsidRPr="008D3090">
        <w:rPr>
          <w:rFonts w:ascii="Times New Roman" w:eastAsia="Segoe UI" w:hAnsi="Times New Roman" w:cs="Times New Roman"/>
          <w:color w:val="0F1115"/>
          <w:kern w:val="0"/>
          <w:lang w:eastAsia="zh-CN"/>
          <w14:ligatures w14:val="none"/>
        </w:rPr>
        <w:t>, W. I. (2025). Expanding the youth employability in Nigeria through digital skills acquisitions as pathways in advancing sustainable development goals. </w:t>
      </w:r>
      <w:r w:rsidRPr="008D3090">
        <w:rPr>
          <w:rFonts w:ascii="Times New Roman" w:eastAsia="Segoe UI" w:hAnsi="Times New Roman" w:cs="Times New Roman"/>
          <w:i/>
          <w:iCs/>
          <w:color w:val="0F1115"/>
          <w:kern w:val="0"/>
          <w:lang w:eastAsia="zh-CN"/>
          <w14:ligatures w14:val="none"/>
        </w:rPr>
        <w:t>Journal of Lifestyle &amp; SDG's Review</w:t>
      </w:r>
      <w:r w:rsidRPr="008D3090">
        <w:rPr>
          <w:rFonts w:ascii="Times New Roman" w:eastAsia="Segoe UI" w:hAnsi="Times New Roman" w:cs="Times New Roman"/>
          <w:color w:val="0F1115"/>
          <w:kern w:val="0"/>
          <w:lang w:eastAsia="zh-CN"/>
          <w14:ligatures w14:val="none"/>
        </w:rPr>
        <w:t>, 5, 1-22.</w:t>
      </w:r>
    </w:p>
    <w:p w14:paraId="657A5999"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Arthur, W. B. (1994). Inductive reasoning and bounded rationality.</w:t>
      </w:r>
      <w:r w:rsidRPr="008D3090">
        <w:rPr>
          <w:rFonts w:ascii="Times New Roman" w:eastAsia="Segoe UI" w:hAnsi="Times New Roman" w:cs="Times New Roman"/>
          <w:i/>
          <w:iCs/>
          <w:color w:val="0F1115"/>
          <w:kern w:val="0"/>
          <w:shd w:val="clear" w:color="auto" w:fill="FFFFFF"/>
          <w:lang w:eastAsia="zh-CN"/>
          <w14:ligatures w14:val="none"/>
        </w:rPr>
        <w:t> American Economic Review, Papers and Proceedings, 84</w:t>
      </w:r>
      <w:r w:rsidRPr="008D3090">
        <w:rPr>
          <w:rFonts w:ascii="Times New Roman" w:eastAsia="Segoe UI" w:hAnsi="Times New Roman" w:cs="Times New Roman"/>
          <w:color w:val="0F1115"/>
          <w:kern w:val="0"/>
          <w:shd w:val="clear" w:color="auto" w:fill="FFFFFF"/>
          <w:lang w:eastAsia="zh-CN"/>
          <w14:ligatures w14:val="none"/>
        </w:rPr>
        <w:t>(2), 406-411.</w:t>
      </w:r>
    </w:p>
    <w:p w14:paraId="21CC2CC2"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Arthur, W. B. (1999). Complexity and the economy. </w:t>
      </w:r>
      <w:r w:rsidRPr="008D3090">
        <w:rPr>
          <w:rFonts w:ascii="Times New Roman" w:eastAsia="Segoe UI" w:hAnsi="Times New Roman" w:cs="Times New Roman"/>
          <w:i/>
          <w:iCs/>
          <w:color w:val="0F1115"/>
          <w:kern w:val="0"/>
          <w:shd w:val="clear" w:color="auto" w:fill="FFFFFF"/>
          <w:lang w:eastAsia="zh-CN"/>
          <w14:ligatures w14:val="none"/>
        </w:rPr>
        <w:t>Science, 284</w:t>
      </w:r>
      <w:r w:rsidRPr="008D3090">
        <w:rPr>
          <w:rFonts w:ascii="Times New Roman" w:eastAsia="Segoe UI" w:hAnsi="Times New Roman" w:cs="Times New Roman"/>
          <w:color w:val="0F1115"/>
          <w:kern w:val="0"/>
          <w:shd w:val="clear" w:color="auto" w:fill="FFFFFF"/>
          <w:lang w:eastAsia="zh-CN"/>
          <w14:ligatures w14:val="none"/>
        </w:rPr>
        <w:t>(5411), 107-109.</w:t>
      </w:r>
    </w:p>
    <w:p w14:paraId="30DDD0B7" w14:textId="77777777" w:rsidR="008D3090" w:rsidRPr="008D3090" w:rsidRDefault="008D3090" w:rsidP="00AE7FA9">
      <w:pPr>
        <w:spacing w:beforeAutospacing="1" w:after="200" w:afterAutospacing="1" w:line="240" w:lineRule="auto"/>
        <w:ind w:left="480" w:hangingChars="200" w:hanging="480"/>
        <w:rPr>
          <w:rFonts w:ascii="Times New Roman" w:eastAsia="SimSun" w:hAnsi="Times New Roman" w:cs="Times New Roman"/>
          <w:kern w:val="0"/>
          <w:lang w:eastAsia="zh-CN"/>
          <w14:ligatures w14:val="none"/>
        </w:rPr>
      </w:pPr>
      <w:r w:rsidRPr="008D3090">
        <w:rPr>
          <w:rFonts w:ascii="Times New Roman" w:eastAsia="SimSun" w:hAnsi="Times New Roman" w:cs="Times New Roman"/>
          <w:kern w:val="0"/>
          <w:lang w:eastAsia="zh-CN"/>
          <w14:ligatures w14:val="none"/>
        </w:rPr>
        <w:t xml:space="preserve">Ashiru, F., Adegbite, E., </w:t>
      </w:r>
      <w:proofErr w:type="spellStart"/>
      <w:r w:rsidRPr="008D3090">
        <w:rPr>
          <w:rFonts w:ascii="Times New Roman" w:eastAsia="SimSun" w:hAnsi="Times New Roman" w:cs="Times New Roman"/>
          <w:kern w:val="0"/>
          <w:lang w:eastAsia="zh-CN"/>
          <w14:ligatures w14:val="none"/>
        </w:rPr>
        <w:t>Nakpodia</w:t>
      </w:r>
      <w:proofErr w:type="spellEnd"/>
      <w:r w:rsidRPr="008D3090">
        <w:rPr>
          <w:rFonts w:ascii="Times New Roman" w:eastAsia="SimSun" w:hAnsi="Times New Roman" w:cs="Times New Roman"/>
          <w:kern w:val="0"/>
          <w:lang w:eastAsia="zh-CN"/>
          <w14:ligatures w14:val="none"/>
        </w:rPr>
        <w:t xml:space="preserve">, F., &amp; </w:t>
      </w:r>
      <w:proofErr w:type="spellStart"/>
      <w:r w:rsidRPr="008D3090">
        <w:rPr>
          <w:rFonts w:ascii="Times New Roman" w:eastAsia="SimSun" w:hAnsi="Times New Roman" w:cs="Times New Roman"/>
          <w:kern w:val="0"/>
          <w:lang w:eastAsia="zh-CN"/>
          <w14:ligatures w14:val="none"/>
        </w:rPr>
        <w:t>Koporcic</w:t>
      </w:r>
      <w:proofErr w:type="spellEnd"/>
      <w:r w:rsidRPr="008D3090">
        <w:rPr>
          <w:rFonts w:ascii="Times New Roman" w:eastAsia="SimSun" w:hAnsi="Times New Roman" w:cs="Times New Roman"/>
          <w:kern w:val="0"/>
          <w:lang w:eastAsia="zh-CN"/>
          <w14:ligatures w14:val="none"/>
        </w:rPr>
        <w:t xml:space="preserve">, N. (2022). Relational governance mechanisms as enablers of dynamic capabilities in Nigerian SMEs during the COVID-19 crisis. </w:t>
      </w:r>
      <w:r w:rsidRPr="008D3090">
        <w:rPr>
          <w:rFonts w:ascii="Times New Roman" w:eastAsia="SimSun" w:hAnsi="Times New Roman" w:cs="Times New Roman"/>
          <w:i/>
          <w:iCs/>
          <w:kern w:val="0"/>
          <w:lang w:eastAsia="zh-CN"/>
          <w14:ligatures w14:val="none"/>
        </w:rPr>
        <w:t>Industrial Marketing Management</w:t>
      </w:r>
      <w:r w:rsidRPr="008D3090">
        <w:rPr>
          <w:rFonts w:ascii="Times New Roman" w:eastAsia="SimSun" w:hAnsi="Times New Roman" w:cs="Times New Roman"/>
          <w:kern w:val="0"/>
          <w:lang w:eastAsia="zh-CN"/>
          <w14:ligatures w14:val="none"/>
        </w:rPr>
        <w:t>, 105, 18-32.</w:t>
      </w:r>
    </w:p>
    <w:p w14:paraId="489CC5D6" w14:textId="77777777" w:rsidR="008D3090" w:rsidRPr="008D3090" w:rsidRDefault="008D3090" w:rsidP="00AE7FA9">
      <w:pPr>
        <w:spacing w:beforeAutospacing="1" w:after="200" w:afterAutospacing="1" w:line="240" w:lineRule="auto"/>
        <w:ind w:left="480" w:hangingChars="200" w:hanging="480"/>
        <w:rPr>
          <w:rFonts w:ascii="Times New Roman" w:eastAsia="SimSun" w:hAnsi="Times New Roman" w:cs="Times New Roman"/>
          <w:kern w:val="0"/>
          <w:lang w:eastAsia="zh-CN"/>
          <w14:ligatures w14:val="none"/>
        </w:rPr>
      </w:pPr>
      <w:proofErr w:type="spellStart"/>
      <w:r w:rsidRPr="008D3090">
        <w:rPr>
          <w:rFonts w:ascii="Times New Roman" w:eastAsia="SimSun" w:hAnsi="Times New Roman" w:cs="Times New Roman"/>
          <w:kern w:val="0"/>
          <w:lang w:eastAsia="zh-CN"/>
          <w14:ligatures w14:val="none"/>
        </w:rPr>
        <w:t>Asiyai</w:t>
      </w:r>
      <w:proofErr w:type="spellEnd"/>
      <w:r w:rsidRPr="008D3090">
        <w:rPr>
          <w:rFonts w:ascii="Times New Roman" w:eastAsia="SimSun" w:hAnsi="Times New Roman" w:cs="Times New Roman"/>
          <w:kern w:val="0"/>
          <w:lang w:eastAsia="zh-CN"/>
          <w14:ligatures w14:val="none"/>
        </w:rPr>
        <w:t xml:space="preserve">, R. I. (2013). Challenges of quality in higher education in Nigeria in the 21st century. </w:t>
      </w:r>
      <w:r w:rsidRPr="008D3090">
        <w:rPr>
          <w:rFonts w:ascii="Times New Roman" w:eastAsia="SimSun" w:hAnsi="Times New Roman" w:cs="Times New Roman"/>
          <w:i/>
          <w:iCs/>
          <w:kern w:val="0"/>
          <w:lang w:eastAsia="zh-CN"/>
          <w14:ligatures w14:val="none"/>
        </w:rPr>
        <w:t>International Journal of Educational Planning &amp; Administration</w:t>
      </w:r>
      <w:r w:rsidRPr="008D3090">
        <w:rPr>
          <w:rFonts w:ascii="Times New Roman" w:eastAsia="SimSun" w:hAnsi="Times New Roman" w:cs="Times New Roman"/>
          <w:kern w:val="0"/>
          <w:lang w:eastAsia="zh-CN"/>
          <w14:ligatures w14:val="none"/>
        </w:rPr>
        <w:t>, 3(2), 77-84.</w:t>
      </w:r>
    </w:p>
    <w:p w14:paraId="415E75EA" w14:textId="77777777" w:rsidR="008D3090" w:rsidRPr="008D3090" w:rsidRDefault="008D3090" w:rsidP="00AE7FA9">
      <w:pPr>
        <w:spacing w:before="192" w:after="192" w:line="240" w:lineRule="auto"/>
        <w:ind w:left="480" w:right="528"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Babagana, A., Daura, A. H., &amp; Bukar, H. M. (2025). Skills acquisition and its impact on education and poverty reduction in Nigeria. </w:t>
      </w:r>
      <w:r w:rsidRPr="008D3090">
        <w:rPr>
          <w:rFonts w:ascii="Times New Roman" w:eastAsia="Segoe UI" w:hAnsi="Times New Roman" w:cs="Times New Roman"/>
          <w:i/>
          <w:iCs/>
          <w:color w:val="0F1115"/>
          <w:kern w:val="0"/>
          <w:lang w:eastAsia="zh-CN"/>
          <w14:ligatures w14:val="none"/>
        </w:rPr>
        <w:t>Zaria Journal of Educational Studies</w:t>
      </w:r>
      <w:r w:rsidRPr="008D3090">
        <w:rPr>
          <w:rFonts w:ascii="Times New Roman" w:eastAsia="Segoe UI" w:hAnsi="Times New Roman" w:cs="Times New Roman"/>
          <w:color w:val="0F1115"/>
          <w:kern w:val="0"/>
          <w:lang w:eastAsia="zh-CN"/>
          <w14:ligatures w14:val="none"/>
        </w:rPr>
        <w:t>, 25(2), 1-15.</w:t>
      </w:r>
    </w:p>
    <w:p w14:paraId="5FDE5D4F"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proofErr w:type="spellStart"/>
      <w:r w:rsidRPr="008D3090">
        <w:rPr>
          <w:rFonts w:ascii="Times New Roman" w:eastAsia="Segoe UI" w:hAnsi="Times New Roman" w:cs="Times New Roman"/>
          <w:color w:val="0F1115"/>
          <w:kern w:val="0"/>
          <w:shd w:val="clear" w:color="auto" w:fill="FFFFFF"/>
          <w:lang w:eastAsia="zh-CN"/>
          <w14:ligatures w14:val="none"/>
        </w:rPr>
        <w:t>Basiouni</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A., Hafizi, A., Akhtar, N., &amp; </w:t>
      </w:r>
      <w:proofErr w:type="spellStart"/>
      <w:r w:rsidRPr="008D3090">
        <w:rPr>
          <w:rFonts w:ascii="Times New Roman" w:eastAsia="Segoe UI" w:hAnsi="Times New Roman" w:cs="Times New Roman"/>
          <w:color w:val="0F1115"/>
          <w:kern w:val="0"/>
          <w:shd w:val="clear" w:color="auto" w:fill="FFFFFF"/>
          <w:lang w:eastAsia="zh-CN"/>
          <w14:ligatures w14:val="none"/>
        </w:rPr>
        <w:t>Alojairi</w:t>
      </w:r>
      <w:proofErr w:type="spellEnd"/>
      <w:r w:rsidRPr="008D3090">
        <w:rPr>
          <w:rFonts w:ascii="Times New Roman" w:eastAsia="Segoe UI" w:hAnsi="Times New Roman" w:cs="Times New Roman"/>
          <w:color w:val="0F1115"/>
          <w:kern w:val="0"/>
          <w:shd w:val="clear" w:color="auto" w:fill="FFFFFF"/>
          <w:lang w:eastAsia="zh-CN"/>
          <w14:ligatures w14:val="none"/>
        </w:rPr>
        <w:t>, A. (2019). Assessing Canadian business IT capabilities for online selling adoption: A Net-Enabled Business Innovation Cycle (NEBIC) perspective. </w:t>
      </w:r>
      <w:r w:rsidRPr="008D3090">
        <w:rPr>
          <w:rFonts w:ascii="Times New Roman" w:eastAsia="Segoe UI" w:hAnsi="Times New Roman" w:cs="Times New Roman"/>
          <w:i/>
          <w:iCs/>
          <w:color w:val="0F1115"/>
          <w:kern w:val="0"/>
          <w:shd w:val="clear" w:color="auto" w:fill="FFFFFF"/>
          <w:lang w:eastAsia="zh-CN"/>
          <w14:ligatures w14:val="none"/>
        </w:rPr>
        <w:t>Sustainability, 11</w:t>
      </w:r>
      <w:r w:rsidRPr="008D3090">
        <w:rPr>
          <w:rFonts w:ascii="Times New Roman" w:eastAsia="Segoe UI" w:hAnsi="Times New Roman" w:cs="Times New Roman"/>
          <w:color w:val="0F1115"/>
          <w:kern w:val="0"/>
          <w:shd w:val="clear" w:color="auto" w:fill="FFFFFF"/>
          <w:lang w:eastAsia="zh-CN"/>
          <w14:ligatures w14:val="none"/>
        </w:rPr>
        <w:t>(13), 3662.</w:t>
      </w:r>
    </w:p>
    <w:p w14:paraId="70AE8E97" w14:textId="77777777" w:rsidR="008D3090" w:rsidRPr="008D3090" w:rsidRDefault="008D3090" w:rsidP="00AE7FA9">
      <w:pPr>
        <w:spacing w:beforeAutospacing="1" w:after="200" w:afterAutospacing="1" w:line="240" w:lineRule="auto"/>
        <w:ind w:left="480" w:hangingChars="200" w:hanging="480"/>
        <w:rPr>
          <w:rFonts w:ascii="Times New Roman" w:eastAsia="SimSun" w:hAnsi="Times New Roman" w:cs="Times New Roman"/>
          <w:kern w:val="0"/>
          <w:lang w:eastAsia="zh-CN"/>
          <w14:ligatures w14:val="none"/>
        </w:rPr>
      </w:pPr>
      <w:proofErr w:type="spellStart"/>
      <w:r w:rsidRPr="008D3090">
        <w:rPr>
          <w:rFonts w:ascii="Times New Roman" w:eastAsia="SimSun" w:hAnsi="Times New Roman" w:cs="Times New Roman"/>
          <w:kern w:val="0"/>
          <w:lang w:eastAsia="zh-CN"/>
          <w14:ligatures w14:val="none"/>
        </w:rPr>
        <w:t>Bleady</w:t>
      </w:r>
      <w:proofErr w:type="spellEnd"/>
      <w:r w:rsidRPr="008D3090">
        <w:rPr>
          <w:rFonts w:ascii="Times New Roman" w:eastAsia="SimSun" w:hAnsi="Times New Roman" w:cs="Times New Roman"/>
          <w:kern w:val="0"/>
          <w:lang w:eastAsia="zh-CN"/>
          <w14:ligatures w14:val="none"/>
        </w:rPr>
        <w:t xml:space="preserve">, A., Ali, A. H., &amp; Ibrahim, S. B. (2018). Dynamic capabilities theory: Pinning down a shifting concept. </w:t>
      </w:r>
      <w:r w:rsidRPr="008D3090">
        <w:rPr>
          <w:rFonts w:ascii="Times New Roman" w:eastAsia="SimSun" w:hAnsi="Times New Roman" w:cs="Times New Roman"/>
          <w:i/>
          <w:iCs/>
          <w:kern w:val="0"/>
          <w:lang w:eastAsia="zh-CN"/>
          <w14:ligatures w14:val="none"/>
        </w:rPr>
        <w:t>Academy of Accounting and Financial Studies Journal</w:t>
      </w:r>
      <w:r w:rsidRPr="008D3090">
        <w:rPr>
          <w:rFonts w:ascii="Times New Roman" w:eastAsia="SimSun" w:hAnsi="Times New Roman" w:cs="Times New Roman"/>
          <w:kern w:val="0"/>
          <w:lang w:eastAsia="zh-CN"/>
          <w14:ligatures w14:val="none"/>
        </w:rPr>
        <w:t>,</w:t>
      </w:r>
      <w:r w:rsidRPr="008D3090">
        <w:rPr>
          <w:rFonts w:ascii="Times New Roman" w:eastAsia="SimSun" w:hAnsi="Times New Roman" w:cs="Times New Roman"/>
          <w:i/>
          <w:iCs/>
          <w:kern w:val="0"/>
          <w:lang w:eastAsia="zh-CN"/>
          <w14:ligatures w14:val="none"/>
        </w:rPr>
        <w:t xml:space="preserve"> 22</w:t>
      </w:r>
      <w:r w:rsidRPr="008D3090">
        <w:rPr>
          <w:rFonts w:ascii="Times New Roman" w:eastAsia="SimSun" w:hAnsi="Times New Roman" w:cs="Times New Roman"/>
          <w:kern w:val="0"/>
          <w:lang w:eastAsia="zh-CN"/>
          <w14:ligatures w14:val="none"/>
        </w:rPr>
        <w:t>(2), 1-16.</w:t>
      </w:r>
    </w:p>
    <w:p w14:paraId="73A13076" w14:textId="77777777" w:rsidR="008D3090" w:rsidRPr="008D3090" w:rsidRDefault="008D3090" w:rsidP="00AE7FA9">
      <w:pPr>
        <w:spacing w:beforeAutospacing="1" w:after="200" w:afterAutospacing="1" w:line="240" w:lineRule="auto"/>
        <w:ind w:left="480" w:hangingChars="200" w:hanging="480"/>
        <w:rPr>
          <w:rFonts w:ascii="Times New Roman" w:eastAsia="SimSun" w:hAnsi="Times New Roman" w:cs="Times New Roman"/>
          <w:kern w:val="0"/>
          <w:lang w:eastAsia="zh-CN"/>
          <w14:ligatures w14:val="none"/>
        </w:rPr>
      </w:pPr>
      <w:r w:rsidRPr="008D3090">
        <w:rPr>
          <w:rFonts w:ascii="Times New Roman" w:eastAsia="SimSun" w:hAnsi="Times New Roman" w:cs="Times New Roman"/>
          <w:kern w:val="0"/>
          <w:lang w:eastAsia="zh-CN"/>
          <w14:ligatures w14:val="none"/>
        </w:rPr>
        <w:t xml:space="preserve">Bolaji, S. D., Campbell-Evans, G., &amp; Gray, J. (2017). The perils of bureaucratic complexity: Education for all in Nigeria. </w:t>
      </w:r>
      <w:r w:rsidRPr="008D3090">
        <w:rPr>
          <w:rFonts w:ascii="Times New Roman" w:eastAsia="SimSun" w:hAnsi="Times New Roman" w:cs="Times New Roman"/>
          <w:i/>
          <w:iCs/>
          <w:kern w:val="0"/>
          <w:lang w:eastAsia="zh-CN"/>
          <w14:ligatures w14:val="none"/>
        </w:rPr>
        <w:t>International Journal of Educational Administration and Policy Studies</w:t>
      </w:r>
      <w:r w:rsidRPr="008D3090">
        <w:rPr>
          <w:rFonts w:ascii="Times New Roman" w:eastAsia="SimSun" w:hAnsi="Times New Roman" w:cs="Times New Roman"/>
          <w:kern w:val="0"/>
          <w:lang w:eastAsia="zh-CN"/>
          <w14:ligatures w14:val="none"/>
        </w:rPr>
        <w:t xml:space="preserve">, </w:t>
      </w:r>
      <w:r w:rsidRPr="008D3090">
        <w:rPr>
          <w:rFonts w:ascii="Times New Roman" w:eastAsia="SimSun" w:hAnsi="Times New Roman" w:cs="Times New Roman"/>
          <w:i/>
          <w:iCs/>
          <w:kern w:val="0"/>
          <w:lang w:eastAsia="zh-CN"/>
          <w14:ligatures w14:val="none"/>
        </w:rPr>
        <w:t>9</w:t>
      </w:r>
      <w:r w:rsidRPr="008D3090">
        <w:rPr>
          <w:rFonts w:ascii="Times New Roman" w:eastAsia="SimSun" w:hAnsi="Times New Roman" w:cs="Times New Roman"/>
          <w:kern w:val="0"/>
          <w:lang w:eastAsia="zh-CN"/>
          <w14:ligatures w14:val="none"/>
        </w:rPr>
        <w:t>(1), 1-9.</w:t>
      </w:r>
    </w:p>
    <w:p w14:paraId="09CD1795"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Comim, F., Anand, P. B., &amp; Fennell, S. (2024). </w:t>
      </w:r>
      <w:r w:rsidRPr="008D3090">
        <w:rPr>
          <w:rFonts w:ascii="Times New Roman" w:eastAsia="Segoe UI" w:hAnsi="Times New Roman" w:cs="Times New Roman"/>
          <w:i/>
          <w:iCs/>
          <w:color w:val="0F1115"/>
          <w:kern w:val="0"/>
          <w:shd w:val="clear" w:color="auto" w:fill="FFFFFF"/>
          <w:lang w:eastAsia="zh-CN"/>
          <w14:ligatures w14:val="none"/>
        </w:rPr>
        <w:t>Social choice and research capacity strengthening in Nigeria: Insights from the field. In F. Comim, P. B. Anand, &amp; S. Fennell (Eds.), Social choice, agency, inclusiveness and capabilities.</w:t>
      </w:r>
      <w:r w:rsidRPr="008D3090">
        <w:rPr>
          <w:rFonts w:ascii="Times New Roman" w:eastAsia="Segoe UI" w:hAnsi="Times New Roman" w:cs="Times New Roman"/>
          <w:color w:val="0F1115"/>
          <w:kern w:val="0"/>
          <w:shd w:val="clear" w:color="auto" w:fill="FFFFFF"/>
          <w:lang w:eastAsia="zh-CN"/>
          <w14:ligatures w14:val="none"/>
        </w:rPr>
        <w:t xml:space="preserve"> Cambridge University Press.</w:t>
      </w:r>
    </w:p>
    <w:p w14:paraId="1C0E5439"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Compensation &amp; Benefits Review. (2025). From compensation to commitment: Dynamic capabilities as bridges to ethical climates in Nigerian private education.</w:t>
      </w:r>
      <w:r w:rsidRPr="008D3090">
        <w:rPr>
          <w:rFonts w:ascii="Times New Roman" w:eastAsia="Segoe UI" w:hAnsi="Times New Roman" w:cs="Times New Roman"/>
          <w:i/>
          <w:iCs/>
          <w:color w:val="0F1115"/>
          <w:kern w:val="0"/>
          <w:shd w:val="clear" w:color="auto" w:fill="FFFFFF"/>
          <w:lang w:eastAsia="zh-CN"/>
          <w14:ligatures w14:val="none"/>
        </w:rPr>
        <w:t> Compensation &amp; Benefits Review, 57</w:t>
      </w:r>
      <w:r w:rsidRPr="008D3090">
        <w:rPr>
          <w:rFonts w:ascii="Times New Roman" w:eastAsia="Segoe UI" w:hAnsi="Times New Roman" w:cs="Times New Roman"/>
          <w:color w:val="0F1115"/>
          <w:kern w:val="0"/>
          <w:shd w:val="clear" w:color="auto" w:fill="FFFFFF"/>
          <w:lang w:eastAsia="zh-CN"/>
          <w14:ligatures w14:val="none"/>
        </w:rPr>
        <w:t>(2), 147-173.</w:t>
      </w:r>
    </w:p>
    <w:p w14:paraId="6CC1BECF" w14:textId="77777777" w:rsidR="008D3090" w:rsidRPr="008D3090" w:rsidRDefault="008D3090" w:rsidP="00AE7FA9">
      <w:pPr>
        <w:spacing w:before="192" w:after="192" w:line="240" w:lineRule="auto"/>
        <w:ind w:left="480" w:hangingChars="200" w:hanging="480"/>
        <w:rPr>
          <w:rFonts w:ascii="Times New Roman" w:eastAsia="SimSun" w:hAnsi="Times New Roman" w:cs="Times New Roman"/>
          <w:kern w:val="0"/>
          <w:lang w:eastAsia="zh-CN"/>
          <w14:ligatures w14:val="none"/>
        </w:rPr>
      </w:pPr>
      <w:proofErr w:type="spellStart"/>
      <w:r w:rsidRPr="008D3090">
        <w:rPr>
          <w:rFonts w:ascii="Times New Roman" w:eastAsia="Segoe UI" w:hAnsi="Times New Roman" w:cs="Times New Roman"/>
          <w:color w:val="0F1115"/>
          <w:kern w:val="0"/>
          <w:shd w:val="clear" w:color="auto" w:fill="FFFFFF"/>
          <w:lang w:eastAsia="zh-CN"/>
          <w14:ligatures w14:val="none"/>
        </w:rPr>
        <w:t>Ebekozien</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A., </w:t>
      </w:r>
      <w:proofErr w:type="spellStart"/>
      <w:r w:rsidRPr="008D3090">
        <w:rPr>
          <w:rFonts w:ascii="Times New Roman" w:eastAsia="Segoe UI" w:hAnsi="Times New Roman" w:cs="Times New Roman"/>
          <w:color w:val="0F1115"/>
          <w:kern w:val="0"/>
          <w:shd w:val="clear" w:color="auto" w:fill="FFFFFF"/>
          <w:lang w:eastAsia="zh-CN"/>
          <w14:ligatures w14:val="none"/>
        </w:rPr>
        <w:t>Aigbavboa</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C., Ahmed, M. A. H., </w:t>
      </w:r>
      <w:proofErr w:type="spellStart"/>
      <w:r w:rsidRPr="008D3090">
        <w:rPr>
          <w:rFonts w:ascii="Times New Roman" w:eastAsia="Segoe UI" w:hAnsi="Times New Roman" w:cs="Times New Roman"/>
          <w:color w:val="0F1115"/>
          <w:kern w:val="0"/>
          <w:shd w:val="clear" w:color="auto" w:fill="FFFFFF"/>
          <w:lang w:eastAsia="zh-CN"/>
          <w14:ligatures w14:val="none"/>
        </w:rPr>
        <w:t>Samsurijan</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M. S., Aliu, J. O., Ikuabe, M., &amp; </w:t>
      </w:r>
      <w:proofErr w:type="spellStart"/>
      <w:r w:rsidRPr="008D3090">
        <w:rPr>
          <w:rFonts w:ascii="Times New Roman" w:eastAsia="Segoe UI" w:hAnsi="Times New Roman" w:cs="Times New Roman"/>
          <w:color w:val="0F1115"/>
          <w:kern w:val="0"/>
          <w:shd w:val="clear" w:color="auto" w:fill="FFFFFF"/>
          <w:lang w:eastAsia="zh-CN"/>
          <w14:ligatures w14:val="none"/>
        </w:rPr>
        <w:t>Nwaole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A. N. C. (2025). </w:t>
      </w:r>
      <w:r w:rsidRPr="008D3090">
        <w:rPr>
          <w:rFonts w:ascii="Times New Roman" w:eastAsia="Segoe UI" w:hAnsi="Times New Roman" w:cs="Times New Roman"/>
          <w:i/>
          <w:iCs/>
          <w:color w:val="0F1115"/>
          <w:kern w:val="0"/>
          <w:shd w:val="clear" w:color="auto" w:fill="FFFFFF"/>
          <w:lang w:eastAsia="zh-CN"/>
          <w14:ligatures w14:val="none"/>
        </w:rPr>
        <w:t xml:space="preserve">Appraising young </w:t>
      </w:r>
      <w:proofErr w:type="gramStart"/>
      <w:r w:rsidRPr="008D3090">
        <w:rPr>
          <w:rFonts w:ascii="Times New Roman" w:eastAsia="Segoe UI" w:hAnsi="Times New Roman" w:cs="Times New Roman"/>
          <w:i/>
          <w:iCs/>
          <w:color w:val="0F1115"/>
          <w:kern w:val="0"/>
          <w:shd w:val="clear" w:color="auto" w:fill="FFFFFF"/>
          <w:lang w:eastAsia="zh-CN"/>
          <w14:ligatures w14:val="none"/>
        </w:rPr>
        <w:t>adult built</w:t>
      </w:r>
      <w:proofErr w:type="gramEnd"/>
      <w:r w:rsidRPr="008D3090">
        <w:rPr>
          <w:rFonts w:ascii="Times New Roman" w:eastAsia="Segoe UI" w:hAnsi="Times New Roman" w:cs="Times New Roman"/>
          <w:i/>
          <w:iCs/>
          <w:color w:val="0F1115"/>
          <w:kern w:val="0"/>
          <w:shd w:val="clear" w:color="auto" w:fill="FFFFFF"/>
          <w:lang w:eastAsia="zh-CN"/>
          <w14:ligatures w14:val="none"/>
        </w:rPr>
        <w:t xml:space="preserve"> environment researchers training needs in a developing </w:t>
      </w:r>
      <w:r w:rsidRPr="008D3090">
        <w:rPr>
          <w:rFonts w:ascii="Times New Roman" w:eastAsia="Segoe UI" w:hAnsi="Times New Roman" w:cs="Times New Roman"/>
          <w:i/>
          <w:iCs/>
          <w:color w:val="0F1115"/>
          <w:kern w:val="0"/>
          <w:shd w:val="clear" w:color="auto" w:fill="FFFFFF"/>
          <w:lang w:eastAsia="zh-CN"/>
          <w14:ligatures w14:val="none"/>
        </w:rPr>
        <w:lastRenderedPageBreak/>
        <w:t>economy: A perspective from stakeholders. Higher Education, Skills and Work-based Learning, 15</w:t>
      </w:r>
      <w:r w:rsidRPr="008D3090">
        <w:rPr>
          <w:rFonts w:ascii="Times New Roman" w:eastAsia="Segoe UI" w:hAnsi="Times New Roman" w:cs="Times New Roman"/>
          <w:color w:val="0F1115"/>
          <w:kern w:val="0"/>
          <w:shd w:val="clear" w:color="auto" w:fill="FFFFFF"/>
          <w:lang w:eastAsia="zh-CN"/>
          <w14:ligatures w14:val="none"/>
        </w:rPr>
        <w:t>(7), 110-126. </w:t>
      </w:r>
      <w:hyperlink r:id="rId266" w:tgtFrame="https://chat.deepseek.com/a/chat/s/_blank" w:history="1">
        <w:r w:rsidRPr="008D3090">
          <w:rPr>
            <w:rFonts w:ascii="Times New Roman" w:eastAsia="Segoe UI" w:hAnsi="Times New Roman" w:cs="Times New Roman"/>
            <w:color w:val="3964FE"/>
            <w:kern w:val="0"/>
            <w:shd w:val="clear" w:color="auto" w:fill="FFFFFF"/>
            <w:lang w:eastAsia="zh-CN"/>
            <w14:ligatures w14:val="none"/>
          </w:rPr>
          <w:t>https://doi.org/10.1108/HESWBL-07-2024-0209</w:t>
        </w:r>
      </w:hyperlink>
    </w:p>
    <w:p w14:paraId="5FC1FC90" w14:textId="77777777" w:rsidR="008D3090" w:rsidRPr="008D3090" w:rsidRDefault="008D3090" w:rsidP="00AE7FA9">
      <w:pPr>
        <w:spacing w:beforeAutospacing="1" w:after="200" w:afterAutospacing="1" w:line="240" w:lineRule="auto"/>
        <w:ind w:left="480" w:hangingChars="200" w:hanging="480"/>
        <w:rPr>
          <w:rFonts w:ascii="Times New Roman" w:eastAsia="SimSun" w:hAnsi="Times New Roman" w:cs="Times New Roman"/>
          <w:kern w:val="0"/>
          <w:lang w:eastAsia="zh-CN"/>
          <w14:ligatures w14:val="none"/>
        </w:rPr>
      </w:pPr>
      <w:r w:rsidRPr="008D3090">
        <w:rPr>
          <w:rFonts w:ascii="Times New Roman" w:eastAsia="SimSun" w:hAnsi="Times New Roman" w:cs="Times New Roman"/>
          <w:kern w:val="0"/>
          <w:lang w:eastAsia="zh-CN"/>
          <w14:ligatures w14:val="none"/>
        </w:rPr>
        <w:t xml:space="preserve">Eze, S. C., Chinedu-Eze, V. C., &amp; Bello, A. O. (2018). The </w:t>
      </w:r>
      <w:proofErr w:type="spellStart"/>
      <w:r w:rsidRPr="008D3090">
        <w:rPr>
          <w:rFonts w:ascii="Times New Roman" w:eastAsia="SimSun" w:hAnsi="Times New Roman" w:cs="Times New Roman"/>
          <w:kern w:val="0"/>
          <w:lang w:eastAsia="zh-CN"/>
          <w14:ligatures w14:val="none"/>
        </w:rPr>
        <w:t>utilisation</w:t>
      </w:r>
      <w:proofErr w:type="spellEnd"/>
      <w:r w:rsidRPr="008D3090">
        <w:rPr>
          <w:rFonts w:ascii="Times New Roman" w:eastAsia="SimSun" w:hAnsi="Times New Roman" w:cs="Times New Roman"/>
          <w:kern w:val="0"/>
          <w:lang w:eastAsia="zh-CN"/>
          <w14:ligatures w14:val="none"/>
        </w:rPr>
        <w:t xml:space="preserve"> of e-learning facilities in the educational delivery system of Nigeria: A study of M-University. </w:t>
      </w:r>
      <w:r w:rsidRPr="008D3090">
        <w:rPr>
          <w:rFonts w:ascii="Times New Roman" w:eastAsia="SimSun" w:hAnsi="Times New Roman" w:cs="Times New Roman"/>
          <w:i/>
          <w:iCs/>
          <w:kern w:val="0"/>
          <w:lang w:eastAsia="zh-CN"/>
          <w14:ligatures w14:val="none"/>
        </w:rPr>
        <w:t>International Journal of Educational Technology in Higher Education</w:t>
      </w:r>
      <w:r w:rsidRPr="008D3090">
        <w:rPr>
          <w:rFonts w:ascii="Times New Roman" w:eastAsia="SimSun" w:hAnsi="Times New Roman" w:cs="Times New Roman"/>
          <w:kern w:val="0"/>
          <w:lang w:eastAsia="zh-CN"/>
          <w14:ligatures w14:val="none"/>
        </w:rPr>
        <w:t xml:space="preserve">, </w:t>
      </w:r>
      <w:r w:rsidRPr="008D3090">
        <w:rPr>
          <w:rFonts w:ascii="Times New Roman" w:eastAsia="SimSun" w:hAnsi="Times New Roman" w:cs="Times New Roman"/>
          <w:i/>
          <w:iCs/>
          <w:kern w:val="0"/>
          <w:lang w:eastAsia="zh-CN"/>
          <w14:ligatures w14:val="none"/>
        </w:rPr>
        <w:t>15</w:t>
      </w:r>
      <w:r w:rsidRPr="008D3090">
        <w:rPr>
          <w:rFonts w:ascii="Times New Roman" w:eastAsia="SimSun" w:hAnsi="Times New Roman" w:cs="Times New Roman"/>
          <w:kern w:val="0"/>
          <w:lang w:eastAsia="zh-CN"/>
          <w14:ligatures w14:val="none"/>
        </w:rPr>
        <w:t>(1), 34.</w:t>
      </w:r>
    </w:p>
    <w:p w14:paraId="300319C6" w14:textId="77777777" w:rsidR="008D3090" w:rsidRPr="008D3090" w:rsidRDefault="008D3090" w:rsidP="00AE7FA9">
      <w:pPr>
        <w:spacing w:before="192" w:after="192" w:line="240" w:lineRule="auto"/>
        <w:ind w:left="480" w:right="528"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 xml:space="preserve">Jinadu, A., &amp; </w:t>
      </w:r>
      <w:proofErr w:type="spellStart"/>
      <w:r w:rsidRPr="008D3090">
        <w:rPr>
          <w:rFonts w:ascii="Times New Roman" w:eastAsia="Segoe UI" w:hAnsi="Times New Roman" w:cs="Times New Roman"/>
          <w:color w:val="0F1115"/>
          <w:kern w:val="0"/>
          <w:lang w:eastAsia="zh-CN"/>
          <w14:ligatures w14:val="none"/>
        </w:rPr>
        <w:t>Okwilagwe</w:t>
      </w:r>
      <w:proofErr w:type="spellEnd"/>
      <w:r w:rsidRPr="008D3090">
        <w:rPr>
          <w:rFonts w:ascii="Times New Roman" w:eastAsia="Segoe UI" w:hAnsi="Times New Roman" w:cs="Times New Roman"/>
          <w:color w:val="0F1115"/>
          <w:kern w:val="0"/>
          <w:lang w:eastAsia="zh-CN"/>
          <w14:ligatures w14:val="none"/>
        </w:rPr>
        <w:t>, E. (2025). Assessment and modelling of research undertaking, digital-technology construct and researchers' statistical software skills. </w:t>
      </w:r>
      <w:r w:rsidRPr="008D3090">
        <w:rPr>
          <w:rFonts w:ascii="Times New Roman" w:eastAsia="Segoe UI" w:hAnsi="Times New Roman" w:cs="Times New Roman"/>
          <w:i/>
          <w:iCs/>
          <w:color w:val="0F1115"/>
          <w:kern w:val="0"/>
          <w:lang w:eastAsia="zh-CN"/>
          <w14:ligatures w14:val="none"/>
        </w:rPr>
        <w:t>International Journal of Research in Education and Science</w:t>
      </w:r>
      <w:r w:rsidRPr="008D3090">
        <w:rPr>
          <w:rFonts w:ascii="Times New Roman" w:eastAsia="Segoe UI" w:hAnsi="Times New Roman" w:cs="Times New Roman"/>
          <w:color w:val="0F1115"/>
          <w:kern w:val="0"/>
          <w:lang w:eastAsia="zh-CN"/>
          <w14:ligatures w14:val="none"/>
        </w:rPr>
        <w:t>,</w:t>
      </w:r>
      <w:r w:rsidRPr="008D3090">
        <w:rPr>
          <w:rFonts w:ascii="Times New Roman" w:eastAsia="Segoe UI" w:hAnsi="Times New Roman" w:cs="Times New Roman"/>
          <w:i/>
          <w:iCs/>
          <w:color w:val="0F1115"/>
          <w:kern w:val="0"/>
          <w:lang w:eastAsia="zh-CN"/>
          <w14:ligatures w14:val="none"/>
        </w:rPr>
        <w:t xml:space="preserve"> 11</w:t>
      </w:r>
      <w:r w:rsidRPr="008D3090">
        <w:rPr>
          <w:rFonts w:ascii="Times New Roman" w:eastAsia="Segoe UI" w:hAnsi="Times New Roman" w:cs="Times New Roman"/>
          <w:color w:val="0F1115"/>
          <w:kern w:val="0"/>
          <w:lang w:eastAsia="zh-CN"/>
          <w14:ligatures w14:val="none"/>
        </w:rPr>
        <w:t>(4), 759-778.</w:t>
      </w:r>
    </w:p>
    <w:p w14:paraId="02008545"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Kontagora, H. L., Watts, M., &amp; Allsop, T. (2018). The management of Nigerian primary school teachers. </w:t>
      </w:r>
      <w:r w:rsidRPr="008D3090">
        <w:rPr>
          <w:rFonts w:ascii="Times New Roman" w:eastAsia="Segoe UI" w:hAnsi="Times New Roman" w:cs="Times New Roman"/>
          <w:i/>
          <w:iCs/>
          <w:color w:val="0F1115"/>
          <w:kern w:val="0"/>
          <w:shd w:val="clear" w:color="auto" w:fill="FFFFFF"/>
          <w:lang w:eastAsia="zh-CN"/>
          <w14:ligatures w14:val="none"/>
        </w:rPr>
        <w:t>International Journal of Educational Development,</w:t>
      </w:r>
      <w:r w:rsidRPr="008D3090">
        <w:rPr>
          <w:rFonts w:ascii="Times New Roman" w:eastAsia="Segoe UI" w:hAnsi="Times New Roman" w:cs="Times New Roman"/>
          <w:color w:val="0F1115"/>
          <w:kern w:val="0"/>
          <w:shd w:val="clear" w:color="auto" w:fill="FFFFFF"/>
          <w:lang w:eastAsia="zh-CN"/>
          <w14:ligatures w14:val="none"/>
        </w:rPr>
        <w:t> 59, 128-135.</w:t>
      </w:r>
    </w:p>
    <w:p w14:paraId="69054E5A" w14:textId="77777777" w:rsidR="008D3090" w:rsidRPr="008D3090" w:rsidRDefault="008D3090" w:rsidP="00AE7FA9">
      <w:pPr>
        <w:spacing w:before="192" w:after="192" w:line="240" w:lineRule="auto"/>
        <w:ind w:left="480" w:right="528"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Lange, T. (2024). ICT growth and the fintech boom: A mismatched capability perspective from Nigeria. </w:t>
      </w:r>
      <w:r w:rsidRPr="008D3090">
        <w:rPr>
          <w:rFonts w:ascii="Times New Roman" w:eastAsia="Segoe UI" w:hAnsi="Times New Roman" w:cs="Times New Roman"/>
          <w:i/>
          <w:iCs/>
          <w:color w:val="0F1115"/>
          <w:kern w:val="0"/>
          <w:lang w:eastAsia="zh-CN"/>
          <w14:ligatures w14:val="none"/>
        </w:rPr>
        <w:t>ASQ</w:t>
      </w:r>
      <w:r w:rsidRPr="008D3090">
        <w:rPr>
          <w:rFonts w:ascii="Times New Roman" w:eastAsia="Segoe UI" w:hAnsi="Times New Roman" w:cs="Times New Roman"/>
          <w:color w:val="0F1115"/>
          <w:kern w:val="0"/>
          <w:lang w:eastAsia="zh-CN"/>
          <w14:ligatures w14:val="none"/>
        </w:rPr>
        <w:t xml:space="preserve">, </w:t>
      </w:r>
      <w:r w:rsidRPr="008D3090">
        <w:rPr>
          <w:rFonts w:ascii="Times New Roman" w:eastAsia="Segoe UI" w:hAnsi="Times New Roman" w:cs="Times New Roman"/>
          <w:i/>
          <w:iCs/>
          <w:color w:val="0F1115"/>
          <w:kern w:val="0"/>
          <w:lang w:eastAsia="zh-CN"/>
          <w14:ligatures w14:val="none"/>
        </w:rPr>
        <w:t>22</w:t>
      </w:r>
      <w:r w:rsidRPr="008D3090">
        <w:rPr>
          <w:rFonts w:ascii="Times New Roman" w:eastAsia="Segoe UI" w:hAnsi="Times New Roman" w:cs="Times New Roman"/>
          <w:color w:val="0F1115"/>
          <w:kern w:val="0"/>
          <w:lang w:eastAsia="zh-CN"/>
          <w14:ligatures w14:val="none"/>
        </w:rPr>
        <w:t>(3), 1-12.</w:t>
      </w:r>
    </w:p>
    <w:p w14:paraId="0B9BCBEF"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Lewin, R. (1992).</w:t>
      </w:r>
      <w:r w:rsidRPr="008D3090">
        <w:rPr>
          <w:rFonts w:ascii="Times New Roman" w:eastAsia="Segoe UI" w:hAnsi="Times New Roman" w:cs="Times New Roman"/>
          <w:i/>
          <w:iCs/>
          <w:color w:val="0F1115"/>
          <w:kern w:val="0"/>
          <w:shd w:val="clear" w:color="auto" w:fill="FFFFFF"/>
          <w:lang w:eastAsia="zh-CN"/>
          <w14:ligatures w14:val="none"/>
        </w:rPr>
        <w:t> Complexity: Life at the edge of chaos.</w:t>
      </w:r>
      <w:r w:rsidRPr="008D3090">
        <w:rPr>
          <w:rFonts w:ascii="Times New Roman" w:eastAsia="Segoe UI" w:hAnsi="Times New Roman" w:cs="Times New Roman"/>
          <w:color w:val="0F1115"/>
          <w:kern w:val="0"/>
          <w:shd w:val="clear" w:color="auto" w:fill="FFFFFF"/>
          <w:lang w:eastAsia="zh-CN"/>
          <w14:ligatures w14:val="none"/>
        </w:rPr>
        <w:t xml:space="preserve"> Macmillan Publishing Company.</w:t>
      </w:r>
    </w:p>
    <w:p w14:paraId="72EB5641"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Ludwig, G., &amp; Pemberton, J. (2011). A managerial perspective of dynamic capabilities in emerging markets: The case of the Russian steel industry. </w:t>
      </w:r>
      <w:r w:rsidRPr="008D3090">
        <w:rPr>
          <w:rFonts w:ascii="Times New Roman" w:eastAsia="Segoe UI" w:hAnsi="Times New Roman" w:cs="Times New Roman"/>
          <w:i/>
          <w:iCs/>
          <w:color w:val="0F1115"/>
          <w:kern w:val="0"/>
          <w:shd w:val="clear" w:color="auto" w:fill="FFFFFF"/>
          <w:lang w:eastAsia="zh-CN"/>
          <w14:ligatures w14:val="none"/>
        </w:rPr>
        <w:t>Journal of East European Management Studies, 16</w:t>
      </w:r>
      <w:r w:rsidRPr="008D3090">
        <w:rPr>
          <w:rFonts w:ascii="Times New Roman" w:eastAsia="Segoe UI" w:hAnsi="Times New Roman" w:cs="Times New Roman"/>
          <w:color w:val="0F1115"/>
          <w:kern w:val="0"/>
          <w:shd w:val="clear" w:color="auto" w:fill="FFFFFF"/>
          <w:lang w:eastAsia="zh-CN"/>
          <w14:ligatures w14:val="none"/>
        </w:rPr>
        <w:t>(3), 215-236.</w:t>
      </w:r>
    </w:p>
    <w:p w14:paraId="4958F1ED"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Manson, S. M. (2001). Simplifying complexity: A review of complexity theory. </w:t>
      </w:r>
      <w:proofErr w:type="spellStart"/>
      <w:r w:rsidRPr="008D3090">
        <w:rPr>
          <w:rFonts w:ascii="Times New Roman" w:eastAsia="Segoe UI" w:hAnsi="Times New Roman" w:cs="Times New Roman"/>
          <w:i/>
          <w:iCs/>
          <w:color w:val="0F1115"/>
          <w:kern w:val="0"/>
          <w:shd w:val="clear" w:color="auto" w:fill="FFFFFF"/>
          <w:lang w:eastAsia="zh-CN"/>
          <w14:ligatures w14:val="none"/>
        </w:rPr>
        <w:t>Geoforum</w:t>
      </w:r>
      <w:proofErr w:type="spellEnd"/>
      <w:r w:rsidRPr="008D3090">
        <w:rPr>
          <w:rFonts w:ascii="Times New Roman" w:eastAsia="Segoe UI" w:hAnsi="Times New Roman" w:cs="Times New Roman"/>
          <w:i/>
          <w:iCs/>
          <w:color w:val="0F1115"/>
          <w:kern w:val="0"/>
          <w:shd w:val="clear" w:color="auto" w:fill="FFFFFF"/>
          <w:lang w:eastAsia="zh-CN"/>
          <w14:ligatures w14:val="none"/>
        </w:rPr>
        <w:t>, 32</w:t>
      </w:r>
      <w:r w:rsidRPr="008D3090">
        <w:rPr>
          <w:rFonts w:ascii="Times New Roman" w:eastAsia="Segoe UI" w:hAnsi="Times New Roman" w:cs="Times New Roman"/>
          <w:color w:val="0F1115"/>
          <w:kern w:val="0"/>
          <w:shd w:val="clear" w:color="auto" w:fill="FFFFFF"/>
          <w:lang w:eastAsia="zh-CN"/>
          <w14:ligatures w14:val="none"/>
        </w:rPr>
        <w:t>(3), 405-414.</w:t>
      </w:r>
    </w:p>
    <w:p w14:paraId="7445E3BE"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Nigerian Journal of Educational Philosophy. (2024). Debunking the myth of certification over talents/skills and sustainable development in Nigeria. </w:t>
      </w:r>
      <w:r w:rsidRPr="008D3090">
        <w:rPr>
          <w:rFonts w:ascii="Times New Roman" w:eastAsia="Segoe UI" w:hAnsi="Times New Roman" w:cs="Times New Roman"/>
          <w:i/>
          <w:iCs/>
          <w:color w:val="0F1115"/>
          <w:kern w:val="0"/>
          <w:shd w:val="clear" w:color="auto" w:fill="FFFFFF"/>
          <w:lang w:eastAsia="zh-CN"/>
          <w14:ligatures w14:val="none"/>
        </w:rPr>
        <w:t>Nigerian Journal of Educational Philosophy, 2</w:t>
      </w:r>
      <w:r w:rsidRPr="008D3090">
        <w:rPr>
          <w:rFonts w:ascii="Times New Roman" w:eastAsia="Segoe UI" w:hAnsi="Times New Roman" w:cs="Times New Roman"/>
          <w:color w:val="0F1115"/>
          <w:kern w:val="0"/>
          <w:shd w:val="clear" w:color="auto" w:fill="FFFFFF"/>
          <w:lang w:eastAsia="zh-CN"/>
          <w14:ligatures w14:val="none"/>
        </w:rPr>
        <w:t>(1), 45-62.</w:t>
      </w:r>
    </w:p>
    <w:p w14:paraId="383ED747"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Oben, P. K., </w:t>
      </w:r>
      <w:proofErr w:type="spellStart"/>
      <w:r w:rsidRPr="008D3090">
        <w:rPr>
          <w:rFonts w:ascii="Times New Roman" w:eastAsia="Segoe UI" w:hAnsi="Times New Roman" w:cs="Times New Roman"/>
          <w:color w:val="0F1115"/>
          <w:kern w:val="0"/>
          <w:shd w:val="clear" w:color="auto" w:fill="FFFFFF"/>
          <w:lang w:eastAsia="zh-CN"/>
          <w14:ligatures w14:val="none"/>
        </w:rPr>
        <w:t>Ushie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P. U., &amp; </w:t>
      </w:r>
      <w:proofErr w:type="spellStart"/>
      <w:r w:rsidRPr="008D3090">
        <w:rPr>
          <w:rFonts w:ascii="Times New Roman" w:eastAsia="Segoe UI" w:hAnsi="Times New Roman" w:cs="Times New Roman"/>
          <w:color w:val="0F1115"/>
          <w:kern w:val="0"/>
          <w:shd w:val="clear" w:color="auto" w:fill="FFFFFF"/>
          <w:lang w:eastAsia="zh-CN"/>
          <w14:ligatures w14:val="none"/>
        </w:rPr>
        <w:t>Ushie</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E. M. (2025). Enhancing human capacity and productivity for sustainable economic </w:t>
      </w:r>
      <w:proofErr w:type="spellStart"/>
      <w:r w:rsidRPr="008D3090">
        <w:rPr>
          <w:rFonts w:ascii="Times New Roman" w:eastAsia="Segoe UI" w:hAnsi="Times New Roman" w:cs="Times New Roman"/>
          <w:color w:val="0F1115"/>
          <w:kern w:val="0"/>
          <w:shd w:val="clear" w:color="auto" w:fill="FFFFFF"/>
          <w:lang w:eastAsia="zh-CN"/>
          <w14:ligatures w14:val="none"/>
        </w:rPr>
        <w:t>revitalisation</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in Nigeria. </w:t>
      </w:r>
      <w:r w:rsidRPr="008D3090">
        <w:rPr>
          <w:rFonts w:ascii="Times New Roman" w:eastAsia="Segoe UI" w:hAnsi="Times New Roman" w:cs="Times New Roman"/>
          <w:i/>
          <w:iCs/>
          <w:color w:val="0F1115"/>
          <w:kern w:val="0"/>
          <w:shd w:val="clear" w:color="auto" w:fill="FFFFFF"/>
          <w:lang w:eastAsia="zh-CN"/>
          <w14:ligatures w14:val="none"/>
        </w:rPr>
        <w:t>The Nigerian Journal of Sociology and Anthropology, 23</w:t>
      </w:r>
      <w:r w:rsidRPr="008D3090">
        <w:rPr>
          <w:rFonts w:ascii="Times New Roman" w:eastAsia="Segoe UI" w:hAnsi="Times New Roman" w:cs="Times New Roman"/>
          <w:color w:val="0F1115"/>
          <w:kern w:val="0"/>
          <w:shd w:val="clear" w:color="auto" w:fill="FFFFFF"/>
          <w:lang w:eastAsia="zh-CN"/>
          <w14:ligatures w14:val="none"/>
        </w:rPr>
        <w:t>(1), 165-176.</w:t>
      </w:r>
    </w:p>
    <w:p w14:paraId="5DD57DF5"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proofErr w:type="spellStart"/>
      <w:r w:rsidRPr="008D3090">
        <w:rPr>
          <w:rFonts w:ascii="Times New Roman" w:eastAsia="Segoe UI" w:hAnsi="Times New Roman" w:cs="Times New Roman"/>
          <w:color w:val="0F1115"/>
          <w:kern w:val="0"/>
          <w:shd w:val="clear" w:color="auto" w:fill="FFFFFF"/>
          <w:lang w:eastAsia="zh-CN"/>
          <w14:ligatures w14:val="none"/>
        </w:rPr>
        <w:t>Ogundahunsi</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 T., Vahedi, M., Kamau, E. M., Aslanyan, G., Terry, R. F., Zicker, F., &amp; </w:t>
      </w:r>
      <w:proofErr w:type="spellStart"/>
      <w:r w:rsidRPr="008D3090">
        <w:rPr>
          <w:rFonts w:ascii="Times New Roman" w:eastAsia="Segoe UI" w:hAnsi="Times New Roman" w:cs="Times New Roman"/>
          <w:color w:val="0F1115"/>
          <w:kern w:val="0"/>
          <w:shd w:val="clear" w:color="auto" w:fill="FFFFFF"/>
          <w:lang w:eastAsia="zh-CN"/>
          <w14:ligatures w14:val="none"/>
        </w:rPr>
        <w:t>Launois</w:t>
      </w:r>
      <w:proofErr w:type="spellEnd"/>
      <w:r w:rsidRPr="008D3090">
        <w:rPr>
          <w:rFonts w:ascii="Times New Roman" w:eastAsia="Segoe UI" w:hAnsi="Times New Roman" w:cs="Times New Roman"/>
          <w:color w:val="0F1115"/>
          <w:kern w:val="0"/>
          <w:shd w:val="clear" w:color="auto" w:fill="FFFFFF"/>
          <w:lang w:eastAsia="zh-CN"/>
          <w14:ligatures w14:val="none"/>
        </w:rPr>
        <w:t>, P. (2015). Strengthening research capacity: TDR's evolving experience in low- and middle-income countries. </w:t>
      </w:r>
      <w:proofErr w:type="spellStart"/>
      <w:r w:rsidRPr="008D3090">
        <w:rPr>
          <w:rFonts w:ascii="Times New Roman" w:eastAsia="Segoe UI" w:hAnsi="Times New Roman" w:cs="Times New Roman"/>
          <w:i/>
          <w:iCs/>
          <w:color w:val="0F1115"/>
          <w:kern w:val="0"/>
          <w:shd w:val="clear" w:color="auto" w:fill="FFFFFF"/>
          <w:lang w:eastAsia="zh-CN"/>
          <w14:ligatures w14:val="none"/>
        </w:rPr>
        <w:t>PLoS</w:t>
      </w:r>
      <w:proofErr w:type="spellEnd"/>
      <w:r w:rsidRPr="008D3090">
        <w:rPr>
          <w:rFonts w:ascii="Times New Roman" w:eastAsia="Segoe UI" w:hAnsi="Times New Roman" w:cs="Times New Roman"/>
          <w:i/>
          <w:iCs/>
          <w:color w:val="0F1115"/>
          <w:kern w:val="0"/>
          <w:shd w:val="clear" w:color="auto" w:fill="FFFFFF"/>
          <w:lang w:eastAsia="zh-CN"/>
          <w14:ligatures w14:val="none"/>
        </w:rPr>
        <w:t xml:space="preserve"> Neglected Tropical Diseases, 9</w:t>
      </w:r>
      <w:r w:rsidRPr="008D3090">
        <w:rPr>
          <w:rFonts w:ascii="Times New Roman" w:eastAsia="Segoe UI" w:hAnsi="Times New Roman" w:cs="Times New Roman"/>
          <w:color w:val="0F1115"/>
          <w:kern w:val="0"/>
          <w:shd w:val="clear" w:color="auto" w:fill="FFFFFF"/>
          <w:lang w:eastAsia="zh-CN"/>
          <w14:ligatures w14:val="none"/>
        </w:rPr>
        <w:t>(1), 1-6.</w:t>
      </w:r>
    </w:p>
    <w:p w14:paraId="624DFE90" w14:textId="77777777" w:rsidR="008D3090" w:rsidRPr="008D3090" w:rsidRDefault="008D3090" w:rsidP="00AE7FA9">
      <w:pPr>
        <w:spacing w:beforeAutospacing="1" w:after="200" w:afterAutospacing="1" w:line="240" w:lineRule="auto"/>
        <w:ind w:left="480" w:hangingChars="200" w:hanging="480"/>
        <w:rPr>
          <w:rFonts w:ascii="Times New Roman" w:eastAsia="SimSun" w:hAnsi="Times New Roman" w:cs="Times New Roman"/>
          <w:kern w:val="0"/>
          <w:lang w:eastAsia="zh-CN"/>
          <w14:ligatures w14:val="none"/>
        </w:rPr>
      </w:pPr>
      <w:r w:rsidRPr="008D3090">
        <w:rPr>
          <w:rFonts w:ascii="Times New Roman" w:eastAsia="SimSun" w:hAnsi="Times New Roman" w:cs="Times New Roman"/>
          <w:kern w:val="0"/>
          <w:lang w:eastAsia="zh-CN"/>
          <w14:ligatures w14:val="none"/>
        </w:rPr>
        <w:t xml:space="preserve">Ogunlana, M. O., &amp; Ogunlana, O. A. (2025). Challenges of doctoral education in Nigeria: A qualitative exploratory study. </w:t>
      </w:r>
      <w:r w:rsidRPr="008D3090">
        <w:rPr>
          <w:rFonts w:ascii="Times New Roman" w:eastAsia="SimSun" w:hAnsi="Times New Roman" w:cs="Times New Roman"/>
          <w:i/>
          <w:iCs/>
          <w:kern w:val="0"/>
          <w:lang w:eastAsia="zh-CN"/>
          <w14:ligatures w14:val="none"/>
        </w:rPr>
        <w:t>Cogent Education</w:t>
      </w:r>
      <w:r w:rsidRPr="008D3090">
        <w:rPr>
          <w:rFonts w:ascii="Times New Roman" w:eastAsia="SimSun" w:hAnsi="Times New Roman" w:cs="Times New Roman"/>
          <w:kern w:val="0"/>
          <w:lang w:eastAsia="zh-CN"/>
          <w14:ligatures w14:val="none"/>
        </w:rPr>
        <w:t>, 12(1), 2477375.</w:t>
      </w:r>
    </w:p>
    <w:p w14:paraId="652BBCFE" w14:textId="77777777" w:rsidR="008D3090" w:rsidRPr="008D3090" w:rsidRDefault="008D3090" w:rsidP="00AE7FA9">
      <w:pPr>
        <w:spacing w:before="192" w:after="0" w:line="240" w:lineRule="auto"/>
        <w:ind w:left="480" w:right="528" w:hangingChars="200" w:hanging="480"/>
        <w:rPr>
          <w:rFonts w:ascii="Times New Roman" w:eastAsia="SimSun" w:hAnsi="Times New Roman" w:cs="Times New Roman"/>
          <w:kern w:val="0"/>
          <w:lang w:eastAsia="zh-CN"/>
          <w14:ligatures w14:val="none"/>
        </w:rPr>
      </w:pPr>
      <w:r w:rsidRPr="008D3090">
        <w:rPr>
          <w:rFonts w:ascii="Times New Roman" w:eastAsia="Segoe UI" w:hAnsi="Times New Roman" w:cs="Times New Roman"/>
          <w:color w:val="0F1115"/>
          <w:kern w:val="0"/>
          <w:lang w:eastAsia="zh-CN"/>
          <w14:ligatures w14:val="none"/>
        </w:rPr>
        <w:t xml:space="preserve">Onuoha, R. (2025). </w:t>
      </w:r>
      <w:r w:rsidRPr="008D3090">
        <w:rPr>
          <w:rFonts w:ascii="Times New Roman" w:eastAsia="Segoe UI" w:hAnsi="Times New Roman" w:cs="Times New Roman"/>
          <w:i/>
          <w:iCs/>
          <w:color w:val="0F1115"/>
          <w:kern w:val="0"/>
          <w:lang w:eastAsia="zh-CN"/>
          <w14:ligatures w14:val="none"/>
        </w:rPr>
        <w:t>Knowledge development and exchange within the Lagos innovation ecosystem: Imperatives of cluster structure</w:t>
      </w:r>
      <w:r w:rsidRPr="008D3090">
        <w:rPr>
          <w:rFonts w:ascii="Times New Roman" w:eastAsia="Segoe UI" w:hAnsi="Times New Roman" w:cs="Times New Roman"/>
          <w:color w:val="0F1115"/>
          <w:kern w:val="0"/>
          <w:lang w:eastAsia="zh-CN"/>
          <w14:ligatures w14:val="none"/>
        </w:rPr>
        <w:t>. In </w:t>
      </w:r>
      <w:r w:rsidRPr="008D3090">
        <w:rPr>
          <w:rFonts w:ascii="Times New Roman" w:eastAsia="Segoe UI" w:hAnsi="Times New Roman" w:cs="Times New Roman"/>
          <w:i/>
          <w:iCs/>
          <w:color w:val="0F1115"/>
          <w:kern w:val="0"/>
          <w:lang w:eastAsia="zh-CN"/>
          <w14:ligatures w14:val="none"/>
        </w:rPr>
        <w:t>Knowledge Production and Management in Africa</w:t>
      </w:r>
      <w:r w:rsidRPr="008D3090">
        <w:rPr>
          <w:rFonts w:ascii="Times New Roman" w:eastAsia="Segoe UI" w:hAnsi="Times New Roman" w:cs="Times New Roman"/>
          <w:color w:val="0F1115"/>
          <w:kern w:val="0"/>
          <w:lang w:eastAsia="zh-CN"/>
          <w14:ligatures w14:val="none"/>
        </w:rPr>
        <w:t> (pp. 117-131). Springer.</w:t>
      </w:r>
    </w:p>
    <w:p w14:paraId="59FE3E94"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Pandža, K., Polajnar, A., </w:t>
      </w:r>
      <w:proofErr w:type="spellStart"/>
      <w:r w:rsidRPr="008D3090">
        <w:rPr>
          <w:rFonts w:ascii="Times New Roman" w:eastAsia="Segoe UI" w:hAnsi="Times New Roman" w:cs="Times New Roman"/>
          <w:color w:val="0F1115"/>
          <w:kern w:val="0"/>
          <w:shd w:val="clear" w:color="auto" w:fill="FFFFFF"/>
          <w:lang w:eastAsia="zh-CN"/>
          <w14:ligatures w14:val="none"/>
        </w:rPr>
        <w:t>Buchmeister</w:t>
      </w:r>
      <w:proofErr w:type="spellEnd"/>
      <w:r w:rsidRPr="008D3090">
        <w:rPr>
          <w:rFonts w:ascii="Times New Roman" w:eastAsia="Segoe UI" w:hAnsi="Times New Roman" w:cs="Times New Roman"/>
          <w:color w:val="0F1115"/>
          <w:kern w:val="0"/>
          <w:shd w:val="clear" w:color="auto" w:fill="FFFFFF"/>
          <w:lang w:eastAsia="zh-CN"/>
          <w14:ligatures w14:val="none"/>
        </w:rPr>
        <w:t>, B., &amp; Thorpe, R. (2003). Evolutionary perspectives on the capability accumulation process. </w:t>
      </w:r>
      <w:r w:rsidRPr="008D3090">
        <w:rPr>
          <w:rFonts w:ascii="Times New Roman" w:eastAsia="Segoe UI" w:hAnsi="Times New Roman" w:cs="Times New Roman"/>
          <w:i/>
          <w:iCs/>
          <w:color w:val="0F1115"/>
          <w:kern w:val="0"/>
          <w:shd w:val="clear" w:color="auto" w:fill="FFFFFF"/>
          <w:lang w:eastAsia="zh-CN"/>
          <w14:ligatures w14:val="none"/>
        </w:rPr>
        <w:t>International Journal of Operations &amp; Production Management, 23</w:t>
      </w:r>
      <w:r w:rsidRPr="008D3090">
        <w:rPr>
          <w:rFonts w:ascii="Times New Roman" w:eastAsia="Segoe UI" w:hAnsi="Times New Roman" w:cs="Times New Roman"/>
          <w:color w:val="0F1115"/>
          <w:kern w:val="0"/>
          <w:shd w:val="clear" w:color="auto" w:fill="FFFFFF"/>
          <w:lang w:eastAsia="zh-CN"/>
          <w14:ligatures w14:val="none"/>
        </w:rPr>
        <w:t>(8), 822-849.</w:t>
      </w:r>
    </w:p>
    <w:p w14:paraId="09B39999"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Sarder, Z., &amp; </w:t>
      </w:r>
      <w:proofErr w:type="spellStart"/>
      <w:r w:rsidRPr="008D3090">
        <w:rPr>
          <w:rFonts w:ascii="Times New Roman" w:eastAsia="Segoe UI" w:hAnsi="Times New Roman" w:cs="Times New Roman"/>
          <w:color w:val="0F1115"/>
          <w:kern w:val="0"/>
          <w:shd w:val="clear" w:color="auto" w:fill="FFFFFF"/>
          <w:lang w:eastAsia="zh-CN"/>
          <w14:ligatures w14:val="none"/>
        </w:rPr>
        <w:t>Ravetz</w:t>
      </w:r>
      <w:proofErr w:type="spellEnd"/>
      <w:r w:rsidRPr="008D3090">
        <w:rPr>
          <w:rFonts w:ascii="Times New Roman" w:eastAsia="Segoe UI" w:hAnsi="Times New Roman" w:cs="Times New Roman"/>
          <w:color w:val="0F1115"/>
          <w:kern w:val="0"/>
          <w:shd w:val="clear" w:color="auto" w:fill="FFFFFF"/>
          <w:lang w:eastAsia="zh-CN"/>
          <w14:ligatures w14:val="none"/>
        </w:rPr>
        <w:t>, J. R. (1994). Complexity: Fad or future? Futures, 26(6), 563-567.</w:t>
      </w:r>
    </w:p>
    <w:p w14:paraId="4A18304A"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Teece, D. J. (2007). Explicating dynamic capabilities: The nature and </w:t>
      </w:r>
      <w:proofErr w:type="spellStart"/>
      <w:r w:rsidRPr="008D3090">
        <w:rPr>
          <w:rFonts w:ascii="Times New Roman" w:eastAsia="Segoe UI" w:hAnsi="Times New Roman" w:cs="Times New Roman"/>
          <w:color w:val="0F1115"/>
          <w:kern w:val="0"/>
          <w:shd w:val="clear" w:color="auto" w:fill="FFFFFF"/>
          <w:lang w:eastAsia="zh-CN"/>
          <w14:ligatures w14:val="none"/>
        </w:rPr>
        <w:t>microfoundations</w:t>
      </w:r>
      <w:proofErr w:type="spellEnd"/>
      <w:r w:rsidRPr="008D3090">
        <w:rPr>
          <w:rFonts w:ascii="Times New Roman" w:eastAsia="Segoe UI" w:hAnsi="Times New Roman" w:cs="Times New Roman"/>
          <w:color w:val="0F1115"/>
          <w:kern w:val="0"/>
          <w:shd w:val="clear" w:color="auto" w:fill="FFFFFF"/>
          <w:lang w:eastAsia="zh-CN"/>
          <w14:ligatures w14:val="none"/>
        </w:rPr>
        <w:t xml:space="preserve"> of (sustainable) enterprise performance. </w:t>
      </w:r>
      <w:r w:rsidRPr="008D3090">
        <w:rPr>
          <w:rFonts w:ascii="Times New Roman" w:eastAsia="Segoe UI" w:hAnsi="Times New Roman" w:cs="Times New Roman"/>
          <w:i/>
          <w:iCs/>
          <w:color w:val="0F1115"/>
          <w:kern w:val="0"/>
          <w:shd w:val="clear" w:color="auto" w:fill="FFFFFF"/>
          <w:lang w:eastAsia="zh-CN"/>
          <w14:ligatures w14:val="none"/>
        </w:rPr>
        <w:t>Strategic Management Journal, 28</w:t>
      </w:r>
      <w:r w:rsidRPr="008D3090">
        <w:rPr>
          <w:rFonts w:ascii="Times New Roman" w:eastAsia="Segoe UI" w:hAnsi="Times New Roman" w:cs="Times New Roman"/>
          <w:color w:val="0F1115"/>
          <w:kern w:val="0"/>
          <w:shd w:val="clear" w:color="auto" w:fill="FFFFFF"/>
          <w:lang w:eastAsia="zh-CN"/>
          <w14:ligatures w14:val="none"/>
        </w:rPr>
        <w:t>(13), 1319-1350.</w:t>
      </w:r>
    </w:p>
    <w:p w14:paraId="1D015915" w14:textId="77777777" w:rsidR="008D3090" w:rsidRPr="008D3090" w:rsidRDefault="008D3090" w:rsidP="00AE7FA9">
      <w:pPr>
        <w:shd w:val="clear" w:color="auto" w:fill="FFFFFF"/>
        <w:spacing w:before="192" w:after="192" w:line="240" w:lineRule="auto"/>
        <w:ind w:left="480" w:hangingChars="200" w:hanging="480"/>
        <w:rPr>
          <w:rFonts w:ascii="Times New Roman" w:eastAsia="Segoe UI" w:hAnsi="Times New Roman" w:cs="Times New Roman"/>
          <w:color w:val="0F1115"/>
          <w:kern w:val="0"/>
          <w:lang w:eastAsia="zh-CN"/>
          <w14:ligatures w14:val="none"/>
        </w:rPr>
      </w:pPr>
      <w:r w:rsidRPr="008D3090">
        <w:rPr>
          <w:rFonts w:ascii="Times New Roman" w:eastAsia="Segoe UI" w:hAnsi="Times New Roman" w:cs="Times New Roman"/>
          <w:color w:val="0F1115"/>
          <w:kern w:val="0"/>
          <w:shd w:val="clear" w:color="auto" w:fill="FFFFFF"/>
          <w:lang w:eastAsia="zh-CN"/>
          <w14:ligatures w14:val="none"/>
        </w:rPr>
        <w:t xml:space="preserve">Teece, D. J., Pisano, G., &amp; </w:t>
      </w:r>
      <w:proofErr w:type="spellStart"/>
      <w:r w:rsidRPr="008D3090">
        <w:rPr>
          <w:rFonts w:ascii="Times New Roman" w:eastAsia="Segoe UI" w:hAnsi="Times New Roman" w:cs="Times New Roman"/>
          <w:color w:val="0F1115"/>
          <w:kern w:val="0"/>
          <w:shd w:val="clear" w:color="auto" w:fill="FFFFFF"/>
          <w:lang w:eastAsia="zh-CN"/>
          <w14:ligatures w14:val="none"/>
        </w:rPr>
        <w:t>Shuen</w:t>
      </w:r>
      <w:proofErr w:type="spellEnd"/>
      <w:r w:rsidRPr="008D3090">
        <w:rPr>
          <w:rFonts w:ascii="Times New Roman" w:eastAsia="Segoe UI" w:hAnsi="Times New Roman" w:cs="Times New Roman"/>
          <w:color w:val="0F1115"/>
          <w:kern w:val="0"/>
          <w:shd w:val="clear" w:color="auto" w:fill="FFFFFF"/>
          <w:lang w:eastAsia="zh-CN"/>
          <w14:ligatures w14:val="none"/>
        </w:rPr>
        <w:t>, A. (1997). Dynamic capabilities and strategic management. </w:t>
      </w:r>
      <w:r w:rsidRPr="008D3090">
        <w:rPr>
          <w:rFonts w:ascii="Times New Roman" w:eastAsia="Segoe UI" w:hAnsi="Times New Roman" w:cs="Times New Roman"/>
          <w:i/>
          <w:iCs/>
          <w:color w:val="0F1115"/>
          <w:kern w:val="0"/>
          <w:shd w:val="clear" w:color="auto" w:fill="FFFFFF"/>
          <w:lang w:eastAsia="zh-CN"/>
          <w14:ligatures w14:val="none"/>
        </w:rPr>
        <w:t>Strategic Management Journal, 18</w:t>
      </w:r>
      <w:r w:rsidRPr="008D3090">
        <w:rPr>
          <w:rFonts w:ascii="Times New Roman" w:eastAsia="Segoe UI" w:hAnsi="Times New Roman" w:cs="Times New Roman"/>
          <w:color w:val="0F1115"/>
          <w:kern w:val="0"/>
          <w:shd w:val="clear" w:color="auto" w:fill="FFFFFF"/>
          <w:lang w:eastAsia="zh-CN"/>
          <w14:ligatures w14:val="none"/>
        </w:rPr>
        <w:t>(7), 509-533.</w:t>
      </w:r>
    </w:p>
    <w:p w14:paraId="4A348B5D" w14:textId="6FBA3263" w:rsidR="00832FF3" w:rsidRPr="00832FF3" w:rsidRDefault="00832FF3" w:rsidP="00832FF3">
      <w:pPr>
        <w:spacing w:before="100" w:beforeAutospacing="1" w:after="100" w:afterAutospacing="1" w:line="240" w:lineRule="auto"/>
        <w:jc w:val="center"/>
        <w:rPr>
          <w:rFonts w:ascii="Times New Roman" w:eastAsia="SimSun" w:hAnsi="Times New Roman" w:cs="Times New Roman"/>
          <w:b/>
          <w:bCs/>
          <w:kern w:val="0"/>
          <w:lang w:eastAsia="zh-CN"/>
          <w14:ligatures w14:val="none"/>
        </w:rPr>
      </w:pPr>
      <w:r w:rsidRPr="00832FF3">
        <w:rPr>
          <w:rFonts w:ascii="Times New Roman" w:eastAsia="SimSun" w:hAnsi="Times New Roman" w:cs="Times New Roman"/>
          <w:b/>
          <w:bCs/>
          <w:kern w:val="0"/>
          <w:lang w:eastAsia="zh-CN"/>
          <w14:ligatures w14:val="none"/>
        </w:rPr>
        <w:t>Cyber Risk-Management Capabilities and Customer Trust in E-commerce Start-ups Platforms in Nigeria</w:t>
      </w:r>
    </w:p>
    <w:p w14:paraId="5CD3591B" w14:textId="77777777" w:rsidR="00832FF3" w:rsidRPr="00832FF3" w:rsidRDefault="00832FF3" w:rsidP="00832FF3">
      <w:pPr>
        <w:spacing w:after="0" w:line="240" w:lineRule="auto"/>
        <w:jc w:val="center"/>
        <w:rPr>
          <w:rFonts w:ascii="Times New Roman" w:eastAsia="SimSun" w:hAnsi="Times New Roman" w:cs="Times New Roman"/>
          <w:b/>
          <w:bCs/>
          <w:kern w:val="0"/>
          <w:lang w:eastAsia="zh-CN"/>
          <w14:ligatures w14:val="none"/>
        </w:rPr>
      </w:pPr>
      <w:r w:rsidRPr="00832FF3">
        <w:rPr>
          <w:rFonts w:ascii="Times New Roman" w:eastAsia="SimSun" w:hAnsi="Times New Roman" w:cs="Times New Roman"/>
          <w:b/>
          <w:bCs/>
          <w:kern w:val="0"/>
          <w:lang w:eastAsia="zh-CN"/>
          <w14:ligatures w14:val="none"/>
        </w:rPr>
        <w:lastRenderedPageBreak/>
        <w:t>Joseph, Roland Ikechukwu</w:t>
      </w:r>
    </w:p>
    <w:p w14:paraId="330E5759" w14:textId="77777777" w:rsidR="00832FF3" w:rsidRPr="00832FF3" w:rsidRDefault="00832FF3" w:rsidP="00832FF3">
      <w:pPr>
        <w:spacing w:after="0" w:line="240" w:lineRule="auto"/>
        <w:jc w:val="center"/>
        <w:rPr>
          <w:rFonts w:ascii="Times New Roman" w:eastAsia="SimSun" w:hAnsi="Times New Roman" w:cs="Times New Roman"/>
          <w:i/>
          <w:iCs/>
          <w:kern w:val="0"/>
          <w:lang w:eastAsia="zh-CN"/>
          <w14:ligatures w14:val="none"/>
        </w:rPr>
      </w:pPr>
      <w:proofErr w:type="spellStart"/>
      <w:proofErr w:type="gramStart"/>
      <w:r w:rsidRPr="00832FF3">
        <w:rPr>
          <w:rFonts w:ascii="Times New Roman" w:eastAsia="SimSun" w:hAnsi="Times New Roman" w:cs="Times New Roman"/>
          <w:i/>
          <w:iCs/>
          <w:kern w:val="0"/>
          <w:lang w:eastAsia="zh-CN"/>
          <w14:ligatures w14:val="none"/>
        </w:rPr>
        <w:t>B.Tech</w:t>
      </w:r>
      <w:proofErr w:type="spellEnd"/>
      <w:proofErr w:type="gramEnd"/>
      <w:r w:rsidRPr="00832FF3">
        <w:rPr>
          <w:rFonts w:ascii="Times New Roman" w:eastAsia="SimSun" w:hAnsi="Times New Roman" w:cs="Times New Roman"/>
          <w:i/>
          <w:iCs/>
          <w:kern w:val="0"/>
          <w:lang w:eastAsia="zh-CN"/>
          <w14:ligatures w14:val="none"/>
        </w:rPr>
        <w:t xml:space="preserve">, </w:t>
      </w:r>
      <w:proofErr w:type="spellStart"/>
      <w:proofErr w:type="gramStart"/>
      <w:r w:rsidRPr="00832FF3">
        <w:rPr>
          <w:rFonts w:ascii="Times New Roman" w:eastAsia="SimSun" w:hAnsi="Times New Roman" w:cs="Times New Roman"/>
          <w:i/>
          <w:iCs/>
          <w:kern w:val="0"/>
          <w:lang w:eastAsia="zh-CN"/>
          <w14:ligatures w14:val="none"/>
        </w:rPr>
        <w:t>M.Sc</w:t>
      </w:r>
      <w:proofErr w:type="spellEnd"/>
      <w:proofErr w:type="gramEnd"/>
      <w:r w:rsidRPr="00832FF3">
        <w:rPr>
          <w:rFonts w:ascii="Times New Roman" w:eastAsia="SimSun" w:hAnsi="Times New Roman" w:cs="Times New Roman"/>
          <w:i/>
          <w:iCs/>
          <w:kern w:val="0"/>
          <w:lang w:eastAsia="zh-CN"/>
          <w14:ligatures w14:val="none"/>
        </w:rPr>
        <w:t>, MBA, DBA, MNIM, MICSP</w:t>
      </w:r>
    </w:p>
    <w:p w14:paraId="4839B272" w14:textId="77777777" w:rsidR="00832FF3" w:rsidRPr="00832FF3" w:rsidRDefault="00832FF3" w:rsidP="00832FF3">
      <w:pPr>
        <w:spacing w:after="0" w:line="240" w:lineRule="auto"/>
        <w:jc w:val="center"/>
        <w:rPr>
          <w:rFonts w:ascii="Times New Roman" w:eastAsia="SimSun" w:hAnsi="Times New Roman" w:cs="Times New Roman"/>
          <w:kern w:val="0"/>
          <w:lang w:eastAsia="zh-CN"/>
          <w14:ligatures w14:val="none"/>
        </w:rPr>
      </w:pPr>
      <w:r w:rsidRPr="00832FF3">
        <w:rPr>
          <w:rFonts w:ascii="Times New Roman" w:eastAsia="SimSun" w:hAnsi="Times New Roman" w:cs="Times New Roman"/>
          <w:kern w:val="0"/>
          <w:lang w:eastAsia="zh-CN"/>
          <w14:ligatures w14:val="none"/>
        </w:rPr>
        <w:t>University of Port Harcourt Business School</w:t>
      </w:r>
    </w:p>
    <w:p w14:paraId="687F9355" w14:textId="77777777" w:rsidR="00832FF3" w:rsidRPr="00832FF3" w:rsidRDefault="00832FF3" w:rsidP="00832FF3">
      <w:pPr>
        <w:spacing w:after="0" w:line="240" w:lineRule="auto"/>
        <w:jc w:val="center"/>
        <w:rPr>
          <w:rFonts w:ascii="Times New Roman" w:eastAsia="Times New Roman" w:hAnsi="Times New Roman" w:cs="Times New Roman"/>
          <w:b/>
          <w:bCs/>
          <w:i/>
          <w:iCs/>
          <w:kern w:val="0"/>
          <w14:ligatures w14:val="none"/>
        </w:rPr>
      </w:pPr>
      <w:hyperlink r:id="rId267" w:history="1">
        <w:r w:rsidRPr="00832FF3">
          <w:rPr>
            <w:rFonts w:ascii="Times New Roman" w:eastAsia="SimSun" w:hAnsi="Times New Roman" w:cs="Times New Roman"/>
            <w:b/>
            <w:bCs/>
            <w:i/>
            <w:iCs/>
            <w:color w:val="0563C1"/>
            <w:kern w:val="0"/>
            <w:u w:val="single"/>
            <w:lang w:eastAsia="zh-CN"/>
            <w14:ligatures w14:val="none"/>
          </w:rPr>
          <w:t>enoughsorow@yahoo.com</w:t>
        </w:r>
      </w:hyperlink>
      <w:r w:rsidRPr="00832FF3">
        <w:rPr>
          <w:rFonts w:ascii="Times New Roman" w:eastAsia="SimSun" w:hAnsi="Times New Roman" w:cs="Times New Roman"/>
          <w:b/>
          <w:bCs/>
          <w:i/>
          <w:iCs/>
          <w:kern w:val="0"/>
          <w:lang w:eastAsia="zh-CN"/>
          <w14:ligatures w14:val="none"/>
        </w:rPr>
        <w:t>, 08022225203</w:t>
      </w:r>
    </w:p>
    <w:p w14:paraId="01440E82" w14:textId="77777777" w:rsidR="00832FF3" w:rsidRPr="00832FF3" w:rsidRDefault="00832FF3" w:rsidP="00832FF3">
      <w:pPr>
        <w:spacing w:before="100" w:beforeAutospacing="1" w:after="100" w:afterAutospacing="1" w:line="480" w:lineRule="auto"/>
        <w:jc w:val="center"/>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Abstract</w:t>
      </w:r>
      <w:bookmarkStart w:id="84" w:name="_Hlk224414707"/>
    </w:p>
    <w:p w14:paraId="2AED308C" w14:textId="77777777" w:rsidR="00832FF3" w:rsidRPr="00832FF3" w:rsidRDefault="00832FF3" w:rsidP="00832FF3">
      <w:pPr>
        <w:spacing w:before="100" w:beforeAutospacing="1" w:after="100" w:afterAutospacing="1" w:line="240" w:lineRule="auto"/>
        <w:jc w:val="both"/>
        <w:rPr>
          <w:rFonts w:ascii="Times New Roman" w:eastAsia="SimSun" w:hAnsi="Times New Roman" w:cs="Times New Roman"/>
          <w:kern w:val="0"/>
          <w:lang w:eastAsia="zh-CN"/>
          <w14:ligatures w14:val="none"/>
        </w:rPr>
      </w:pPr>
      <w:r w:rsidRPr="00832FF3">
        <w:rPr>
          <w:rFonts w:ascii="Times New Roman" w:eastAsia="SimSun" w:hAnsi="Times New Roman" w:cs="Times New Roman"/>
          <w:kern w:val="0"/>
          <w:lang w:eastAsia="zh-CN"/>
          <w14:ligatures w14:val="none"/>
        </w:rPr>
        <w:t xml:space="preserve">This study examined the relationship between cyber risk-management capabilities and customer trust in e-commerce start-up platforms in Nigeria. Using a cross-sectional survey of 212 knowledgeable respondents drawn from founders and information-technology managers, the paper operationalizes cyber risk-management capability as three continuous dimensions governance capability, technical control capability, and incident recovery capability to investigate customer digital trust. Pearson product-moment correlations indicated positive and statistically significant associations for governance (r = .307; r² ≈ 9.43%), technical control (r = .230; r² ≈ 5.29%), and incident recovery (r = .207; r² ≈ 4.29%), each significant at p &lt; .01. The findings suggest that governance signals account for the largest single share of explained variance in customer trust, while technical and recovery capabilities contribute smaller but meaningful effects. The results are interpreted against e-commerce start-ups and recent empirical work on governance signaling, technical perceptibility, and post-incident recovery. Practical implications for e-commerce start-ups leadership and policy priorities are discussed, and avenues for stronger causal inference through multilevel and longitudinal designs are recommended. </w:t>
      </w:r>
    </w:p>
    <w:p w14:paraId="686C41DA" w14:textId="77777777" w:rsidR="00832FF3" w:rsidRPr="00832FF3" w:rsidRDefault="00832FF3" w:rsidP="00832FF3">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SimSun" w:hAnsi="Times New Roman" w:cs="Times New Roman"/>
          <w:b/>
          <w:bCs/>
          <w:kern w:val="0"/>
          <w:lang w:eastAsia="zh-CN"/>
          <w14:ligatures w14:val="none"/>
        </w:rPr>
        <w:t>Keywords</w:t>
      </w:r>
      <w:r w:rsidRPr="00832FF3">
        <w:rPr>
          <w:rFonts w:ascii="Times New Roman" w:eastAsia="SimSun" w:hAnsi="Times New Roman" w:cs="Times New Roman"/>
          <w:kern w:val="0"/>
          <w:lang w:eastAsia="zh-CN"/>
          <w14:ligatures w14:val="none"/>
        </w:rPr>
        <w:t>: Cyber risk-management; Customer trust; E-commerce start-ups; Nigeria; Governance; Technical controls; Incident recovery.</w:t>
      </w:r>
    </w:p>
    <w:p w14:paraId="1C27291E" w14:textId="77777777" w:rsidR="00832FF3" w:rsidRPr="00832FF3" w:rsidRDefault="00832FF3" w:rsidP="00AE7FA9">
      <w:pPr>
        <w:numPr>
          <w:ilvl w:val="0"/>
          <w:numId w:val="61"/>
        </w:numPr>
        <w:spacing w:before="100" w:beforeAutospacing="1" w:after="100" w:afterAutospacing="1" w:line="240" w:lineRule="auto"/>
        <w:ind w:left="90" w:firstLine="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Introduction</w:t>
      </w:r>
    </w:p>
    <w:p w14:paraId="256128AF"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rapid expansion of the digital economy has transformed business operations across developing economies, and Nigeria is no exception. Growth in internet penetration, mobile connectivity, and digital entrepreneurship has fostered numerous digital start-ups offering services in e-commerce, financial technology, digital marketing, and online marketplaces; these ventures contribute to economic diversification, job creation, and technological innovation. At the same time, increasing reliance on digital technologies exposes these firms to significant cybersecurity risks, as cyber-attacks, data breaches, and system disruptions threaten both operational continuity and user confidence in digital platforms. For emerging digital firms, therefore, cybersecurity capabilities are an essential component of operational sustainability and market credibility.</w:t>
      </w:r>
    </w:p>
    <w:p w14:paraId="1B6291AD"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Digital start-ups frequently operate under conditions of resource scarcity that limit their ability to implement comprehensive cybersecurity infrastructures and often lack specialized cybersecurity expertise, dedicated information security departments, and sufficient financial resources to invest in advanced security technologies. Heidt, Gerlach, and </w:t>
      </w:r>
      <w:proofErr w:type="spellStart"/>
      <w:r w:rsidRPr="00832FF3">
        <w:rPr>
          <w:rFonts w:ascii="Times New Roman" w:eastAsia="Times New Roman" w:hAnsi="Times New Roman" w:cs="Times New Roman"/>
          <w:kern w:val="0"/>
          <w14:ligatures w14:val="none"/>
        </w:rPr>
        <w:t>Buxmann</w:t>
      </w:r>
      <w:proofErr w:type="spellEnd"/>
      <w:r w:rsidRPr="00832FF3">
        <w:rPr>
          <w:rFonts w:ascii="Times New Roman" w:eastAsia="Times New Roman" w:hAnsi="Times New Roman" w:cs="Times New Roman"/>
          <w:kern w:val="0"/>
          <w14:ligatures w14:val="none"/>
        </w:rPr>
        <w:t xml:space="preserve"> (2019) noted that small firms consistently allocate fewer resources to cybersecurity investments compared to larger organizations, thereby creating a security divide that elevates their cyber vulnerability. Kabanda et al., (2018) found that many small businesses in developing countries rely on informal security practices and limited security awareness, further increasing susceptibility to cyber threats. These structural vulnerabilities have direct implications for customer trust. McKnight et al., (2002) argued that trust in e-commerce platforms is strongly influenced by perceptions of institutional safeguards, technological reliability, and organizational competence, and when customers perceive platforms as secure and capable of protecting their information, they are more likely to transact and to continue using digital services.</w:t>
      </w:r>
    </w:p>
    <w:p w14:paraId="2F7B53FE"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The relationship between cybersecurity practices and consumer trust has therefore attracted growing attention in information systems and e-commerce research, with studies indicating that organizations demonstrating effective cybersecurity measures are better placed to build trust and sustain long-term customer relationships. Evidence </w:t>
      </w:r>
      <w:r w:rsidRPr="00832FF3">
        <w:rPr>
          <w:rFonts w:ascii="Times New Roman" w:eastAsia="Times New Roman" w:hAnsi="Times New Roman" w:cs="Times New Roman"/>
          <w:kern w:val="0"/>
          <w14:ligatures w14:val="none"/>
        </w:rPr>
        <w:lastRenderedPageBreak/>
        <w:t xml:space="preserve">from Sub-Saharan Africa suggests that perceived security and privacy protection significantly influence consumer trust and continuance intention on electronic retail platforms (Odusanya et al., 2022), while </w:t>
      </w:r>
      <w:proofErr w:type="spellStart"/>
      <w:r w:rsidRPr="00832FF3">
        <w:rPr>
          <w:rFonts w:ascii="Times New Roman" w:eastAsia="Times New Roman" w:hAnsi="Times New Roman" w:cs="Times New Roman"/>
          <w:kern w:val="0"/>
          <w14:ligatures w14:val="none"/>
        </w:rPr>
        <w:t>Kshetri</w:t>
      </w:r>
      <w:proofErr w:type="spellEnd"/>
      <w:r w:rsidRPr="00832FF3">
        <w:rPr>
          <w:rFonts w:ascii="Times New Roman" w:eastAsia="Times New Roman" w:hAnsi="Times New Roman" w:cs="Times New Roman"/>
          <w:kern w:val="0"/>
          <w14:ligatures w14:val="none"/>
        </w:rPr>
        <w:t xml:space="preserve"> (2019) highlights cybersecurity capability as a critical determinant of digital adoption across African markets were concerns about cybercrime and data protection shape user participation. Despite this interest, important gaps remain: much prior work addresses general cybersecurity awareness or consumer perceptions of online risk, but relatively little empirical research has examined how specific cyber risk-management capabilities within e-commerce start-ups influence customer trust, and many studies privilege large or established firms over nascent ventures. Therefore, the aim of this paper was to examine the relationship between cyber risk-management capabilities and customer trust in e-commerce start-ups in Nigeria. </w:t>
      </w:r>
    </w:p>
    <w:p w14:paraId="29520F51" w14:textId="77777777" w:rsidR="00832FF3" w:rsidRPr="00832FF3" w:rsidRDefault="00832FF3" w:rsidP="00AE7FA9">
      <w:pPr>
        <w:numPr>
          <w:ilvl w:val="0"/>
          <w:numId w:val="61"/>
        </w:numPr>
        <w:spacing w:before="100" w:beforeAutospacing="1" w:after="100" w:afterAutospacing="1" w:line="240" w:lineRule="auto"/>
        <w:ind w:left="90" w:firstLine="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Literature Review</w:t>
      </w:r>
    </w:p>
    <w:p w14:paraId="4C225A4F"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2.1 Resource Based View Theory</w:t>
      </w:r>
    </w:p>
    <w:p w14:paraId="5CEF7844"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RBV posits that firms achieve competitive advantage when they possess valuable, rare, inimitable, and non-substitutable resources and capabilities that enable them to implement strategies more effectively than competitors (Barney, 1991). Rather than focusing primarily on external market conditions, RBV emphasizes the strategic importance of internal organizational resources and capabilities as determinants of firm performance and sustainability. Within the RBV perspective, capabilities represent the firm’s ability to deploy and coordinate resources to achieve desired outcomes. Bharadwaj (2000) argues that information technology capabilities, when effectively integrated with organizational processes and managerial practices, can create strategic value and influence firm performance outcomes.</w:t>
      </w:r>
    </w:p>
    <w:p w14:paraId="69E5B44C"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In e-commerce start-ups, where operations are heavily dependent on information systems and digital infrastructures, cyber risk- management capabilities can become particularly important strategic resources. Start-ups typically operate under conditions of limited financial resources, limited specialized expertise, and rapidly evolving technological environments. These constraints may limit their ability to deploy sophisticated cybersecurity infrastructure. However, RBV suggests that even e-commerce platforms can develop valuable capabilities by strategically integrating governance structures, technical safeguards, and response mechanisms that collectively strengthen their ability to manage cyber risks.</w:t>
      </w:r>
    </w:p>
    <w:p w14:paraId="2C42C185"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Cyber risk-management capabilities can therefore be interpreted as a bundle of organizational processes and technological resources that enhance a firm's ability to prevent, detect, and respond to cyber threats. McKnight et al (2002) noted that trust in digital platforms is often shaped by perceptions of security and reliability embedded in technological systems and organizational practices. The RBV framework therefore provides a useful lens for explaining the relationship between cyber risk-management capabilities and customer trust. By developing and deploying cybersecurity capabilities, e-commerce start-ups can create organizational conditions that foster customer confidence in the safety and reliability of their platforms. These capabilities may therefore function as strategic assets that support trust formation and long-term digital service adoption.</w:t>
      </w:r>
    </w:p>
    <w:p w14:paraId="1806D31A" w14:textId="77777777" w:rsidR="00832FF3" w:rsidRPr="00832FF3" w:rsidRDefault="00832FF3" w:rsidP="00AE7FA9">
      <w:pPr>
        <w:numPr>
          <w:ilvl w:val="1"/>
          <w:numId w:val="61"/>
        </w:numPr>
        <w:spacing w:before="100" w:beforeAutospacing="1" w:after="100" w:afterAutospacing="1" w:line="240" w:lineRule="auto"/>
        <w:ind w:left="90" w:firstLine="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Cyber Risk-Management Capability</w:t>
      </w:r>
    </w:p>
    <w:p w14:paraId="58DD405F"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Cyber risk-management has become a central concern for organizations operating in digital environments. As businesses increasingly rely on information systems, cloud infrastructures, and digital platforms, the risks associated with cyber threats have intensified. Cyber risk-management refers to the systematic processes’ organizations adopt to identify, assess, mitigate, and respond to cyber threats that may compromise digital assets and operational continuity. Von Solms and Van Niekerk (2013) describe cybersecurity management as a combination of technical safeguards, organizational processes, and governance structures designed to protect information systems from unauthorized access, disruption, and misuse.</w:t>
      </w:r>
    </w:p>
    <w:p w14:paraId="3AFB51A2"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lastRenderedPageBreak/>
        <w:t>For e-commerce start-ups, effective cyber risk-management capabilities are essential because their operations often depend almost entirely on digital infrastructures and online interactions with customers. At the same time, start-ups frequently face resource limitations that constrain their ability to invest in sophisticated security technologies or specialized cybersecurity expertise. Consequently, cyber risk-management capabilities in such contexts often rely on a combination of governance mechanisms, technical control systems, and response strategies that collectively protect organizational systems and customer data.</w:t>
      </w:r>
    </w:p>
    <w:p w14:paraId="56777483" w14:textId="77777777" w:rsidR="00832FF3" w:rsidRPr="00832FF3" w:rsidRDefault="00832FF3" w:rsidP="00AE7FA9">
      <w:pPr>
        <w:numPr>
          <w:ilvl w:val="2"/>
          <w:numId w:val="61"/>
        </w:numPr>
        <w:spacing w:before="100" w:beforeAutospacing="1" w:after="100" w:afterAutospacing="1" w:line="240" w:lineRule="auto"/>
        <w:ind w:left="90" w:firstLine="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Governance Capability</w:t>
      </w:r>
    </w:p>
    <w:p w14:paraId="3FBDBC6D"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Cybersecurity governance refers to the structures, policies, and managerial processes that guide how organizations manage cyber risks and protect digital assets. Governance mechanisms establish accountability structures, define cybersecurity responsibilities, and ensure that risk-management practices are integrated into broader organizational strategies. According to Von Solms and Van Niekerk (2013), effective cybersecurity governance requires clear policies, leadership commitment, and organizational awareness that collectively support the implementation of cybersecurity practices.</w:t>
      </w:r>
    </w:p>
    <w:p w14:paraId="6CF27E95"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Governance capability is particularly important for resource-constrained organizations because it enables firms to coordinate cybersecurity efforts even when financial and technological resources are limited. Through well-defined policies, risk-assessment procedures, and employee awareness programs, organizations can establish basic security practices that reduce vulnerability to cyber threats. Furthermore, governance mechanisms provide signals of organizational reliability and responsibility that may strengthen stakeholder confidence. When customers perceive that an organization follows structured policies for protecting personal data and managing digital risks, they are more likely to develop trust in the organization's digital services.</w:t>
      </w:r>
    </w:p>
    <w:p w14:paraId="2DEF03EE" w14:textId="77777777" w:rsidR="00832FF3" w:rsidRPr="00832FF3" w:rsidRDefault="00832FF3" w:rsidP="00AE7FA9">
      <w:pPr>
        <w:numPr>
          <w:ilvl w:val="2"/>
          <w:numId w:val="61"/>
        </w:numPr>
        <w:spacing w:before="100" w:beforeAutospacing="1" w:after="100" w:afterAutospacing="1" w:line="240" w:lineRule="auto"/>
        <w:ind w:left="90" w:firstLine="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Technical Control Capability</w:t>
      </w:r>
    </w:p>
    <w:p w14:paraId="45768738"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Technical controls represent the technological mechanisms implemented to protect e-commerce systems from cyber threats. These controls include security technologies such as authentication systems, encryption mechanisms, firewalls, intrusion detection systems, and vulnerability management processes. Technical controls function as the first line of defense against cyber-attacks and play a central role in protecting information assets and maintaining system integrity.</w:t>
      </w:r>
    </w:p>
    <w:p w14:paraId="6F2E4D4D"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literature on information security consistently emphasizes the importance of technical safeguards in reducing cyber vulnerabilities. Von Solms and Van Niekerk (2013) argue that technical controls are essential components of cybersecurity frameworks because they directly prevent unauthorized access, data breaches, and system disruptions. In digital service environments, where sensitive customer data is processed and stored, strong technical controls provide assurance that digital platforms are secure and reliable.</w:t>
      </w:r>
    </w:p>
    <w:p w14:paraId="5E587AA2" w14:textId="77777777" w:rsidR="00832FF3" w:rsidRPr="00832FF3" w:rsidRDefault="00832FF3" w:rsidP="00AE7FA9">
      <w:pPr>
        <w:numPr>
          <w:ilvl w:val="2"/>
          <w:numId w:val="61"/>
        </w:numPr>
        <w:spacing w:before="100" w:beforeAutospacing="1" w:after="100" w:afterAutospacing="1" w:line="240" w:lineRule="auto"/>
        <w:ind w:left="90" w:firstLine="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Incident Recovery Capability</w:t>
      </w:r>
    </w:p>
    <w:p w14:paraId="036575D7"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Recovery capability refers to an organization's ability to respond effectively to cyber incidents and restore normal operations following security breaches or system disruptions. While preventive controls aim to minimize the likelihood of cyber-attacks, recovery capabilities ensure that organizations can respond rapidly and limit the consequences of successful attacks. Cyber incident response and recovery have become essential components of modern cybersecurity strategies. Organizations that lack recovery plans may experience prolonged operational disruptions, data loss, and reputational damage following cyber incidents. Von Solms and Van Niekerk (2013) emphasize that effective cybersecurity management requires organizations to develop incident response procedures, data backup systems, and business continuity strategies that allow rapid restoration of services.</w:t>
      </w:r>
    </w:p>
    <w:p w14:paraId="66667C8A"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lastRenderedPageBreak/>
        <w:t>For e-commerce start-ups, recovery capability can be particularly important for maintaining customer trust. In digital environments, service disruptions or security breaches can quickly erode user confidence and lead to customer attrition. When organizations demonstrate the ability to respond quickly to incidents and restore services with minimal disruption, customers may perceive the organization as reliable and resilient. Consequently, recovery capability plays a critical role in sustaining trust relationships between digital service providers and their customers.</w:t>
      </w:r>
    </w:p>
    <w:p w14:paraId="04C4A642"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2.3 Customer Trust</w:t>
      </w:r>
    </w:p>
    <w:p w14:paraId="072AE994"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Customer trust in e-commerce denotes the belief that a vendor will perform as promised and protect the customer’s interests, encompassing a willingness to rely on the vendor despite uncertainty (Lee &amp; Turban, 2001; Mayer et al., 1995; McKnight et al., 2002). Trust in e-commerce platforms reduces perceived transaction risk associated with non-delivery, poor quality, or misuse of personal information, and therefore functions as a central antecedent to engagement and repeated use (</w:t>
      </w:r>
      <w:proofErr w:type="spellStart"/>
      <w:r w:rsidRPr="00832FF3">
        <w:rPr>
          <w:rFonts w:ascii="Times New Roman" w:eastAsia="Times New Roman" w:hAnsi="Times New Roman" w:cs="Times New Roman"/>
          <w:kern w:val="0"/>
          <w14:ligatures w14:val="none"/>
        </w:rPr>
        <w:t>Elumah</w:t>
      </w:r>
      <w:proofErr w:type="spellEnd"/>
      <w:r w:rsidRPr="00832FF3">
        <w:rPr>
          <w:rFonts w:ascii="Times New Roman" w:eastAsia="Times New Roman" w:hAnsi="Times New Roman" w:cs="Times New Roman"/>
          <w:kern w:val="0"/>
          <w14:ligatures w14:val="none"/>
        </w:rPr>
        <w:t xml:space="preserve"> et al., 2015; Usman &amp; Kumar, 2020). Conceptually, trust combines judgments about competence, benevolence, and integrity; when these perceptions are positive customers are more likely to transact and disclose information necessary for service delivery (Mayer et al., 1995; McKnight et al., 2002).</w:t>
      </w:r>
    </w:p>
    <w:p w14:paraId="144F7DB4"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For e-commerce start-ups, building that trust is especially challenging because limited resources restrict investments in reputation-building, advanced security infrastructure, and customer service. In such firms, trust must often be earned through visible, low-cost signals clear policies, responsive communication, reliable fulfilment, and transparent dispute mechanisms rather than by legacy reputation or large marketing outlays. Empirical work in the Nigerian e-commerce context stresses that start-ups need to prioritize trust-building actions including product quality, dependable service, and transparent communication to overcome baseline consumer skepticism (Chimezie et al., 2025).</w:t>
      </w:r>
      <w:bookmarkStart w:id="85" w:name="_Hlk224412272"/>
    </w:p>
    <w:p w14:paraId="489618F0"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Empirical Review: The Relationship between Cyber Risk-Management Capabilities and Customer Trust</w:t>
      </w:r>
    </w:p>
    <w:p w14:paraId="41479205"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hint="eastAsia"/>
          <w:kern w:val="0"/>
          <w14:ligatures w14:val="none"/>
        </w:rPr>
        <w:t>Wang et al. (2024) investigated governance on a Chinese cross-border e-commerce platform. Surveying 391 platform sellers, they used SEM to test how formal governance mechanisms (contractual norms, monitoring, reward–punishment) and relational mechanisms (community building) influence seller trust. They found that robust governance (normative rules and community forums) reduced perceived risk and thereby boosted</w:t>
      </w:r>
      <w:r w:rsidRPr="00832FF3">
        <w:rPr>
          <w:rFonts w:ascii="Times New Roman" w:eastAsia="Times New Roman" w:hAnsi="Times New Roman" w:cs="Times New Roman"/>
          <w:kern w:val="0"/>
          <w14:ligatures w14:val="none"/>
        </w:rPr>
        <w:t xml:space="preserve"> trust in the platform. Goel and </w:t>
      </w:r>
      <w:proofErr w:type="spellStart"/>
      <w:r w:rsidRPr="00832FF3">
        <w:rPr>
          <w:rFonts w:ascii="Times New Roman" w:eastAsia="Times New Roman" w:hAnsi="Times New Roman" w:cs="Times New Roman"/>
          <w:kern w:val="0"/>
          <w14:ligatures w14:val="none"/>
        </w:rPr>
        <w:t>Chengalur</w:t>
      </w:r>
      <w:proofErr w:type="spellEnd"/>
      <w:r w:rsidRPr="00832FF3">
        <w:rPr>
          <w:rFonts w:ascii="Times New Roman" w:eastAsia="Times New Roman" w:hAnsi="Times New Roman" w:cs="Times New Roman"/>
          <w:kern w:val="0"/>
          <w14:ligatures w14:val="none"/>
        </w:rPr>
        <w:t>-Smith (2019) examined the influence of institutional governance on protection motivation and planned security compliance behavior among employees in higher education institutions. The study was conducted in the higher education industry in Ghana, a developing country context. Using a quantitative survey design, data were gathered from 376 IT users selected through purposive sampling. Partial least squares structural equation modeling constituted the main analysis method. Principal findings revealed that institutional governance significantly motivated protection behaviors, thereby positively shaping compliance intentions and suggesting augmented intention to use governed digital systems in resource-constrained settings.</w:t>
      </w:r>
    </w:p>
    <w:p w14:paraId="71B993B1"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Knapp et al. (2014) explored behavioral information security governance from a behavioral perspective, examining governance's influence on attitudes and willingness to share personal information in organizational systems. The study was framed in a general business and organizational context in the United States. It utilized a survey design, sampling 250 employees through snowball method with 220 valid responses reported. Hierarchical regression analysis was applied. Findings indicated that behavioral governance factors enhanced willingness to disclose data by mitigating perceived vulnerabilities, positioning governance as pivotal for data-sharing behaviors in digital start-ups. Goel and </w:t>
      </w:r>
      <w:proofErr w:type="spellStart"/>
      <w:r w:rsidRPr="00832FF3">
        <w:rPr>
          <w:rFonts w:ascii="Times New Roman" w:eastAsia="Times New Roman" w:hAnsi="Times New Roman" w:cs="Times New Roman"/>
          <w:kern w:val="0"/>
          <w14:ligatures w14:val="none"/>
        </w:rPr>
        <w:t>Chengalur</w:t>
      </w:r>
      <w:proofErr w:type="spellEnd"/>
      <w:r w:rsidRPr="00832FF3">
        <w:rPr>
          <w:rFonts w:ascii="Times New Roman" w:eastAsia="Times New Roman" w:hAnsi="Times New Roman" w:cs="Times New Roman"/>
          <w:kern w:val="0"/>
          <w14:ligatures w14:val="none"/>
        </w:rPr>
        <w:t xml:space="preserve">-Smith (2019) also addressed institutional governance's role in protection motivation leading to secure behaviors including data handling compliance in higher education, linking governance to willingness to disclose under policy frameworks. Conducted in Ghana's higher education </w:t>
      </w:r>
      <w:r w:rsidRPr="00832FF3">
        <w:rPr>
          <w:rFonts w:ascii="Times New Roman" w:eastAsia="Times New Roman" w:hAnsi="Times New Roman" w:cs="Times New Roman"/>
          <w:kern w:val="0"/>
          <w14:ligatures w14:val="none"/>
        </w:rPr>
        <w:lastRenderedPageBreak/>
        <w:t>sector. Survey of 376 purposively sampled IT users. PLS-SEM analysis. The study found governance cultivated motivations that supported data disclosure compliance, enhancing willingness in digital contexts.</w:t>
      </w:r>
    </w:p>
    <w:p w14:paraId="7763F13F"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Hadlington</w:t>
      </w:r>
      <w:proofErr w:type="spellEnd"/>
      <w:r w:rsidRPr="00832FF3">
        <w:rPr>
          <w:rFonts w:ascii="Times New Roman" w:eastAsia="Times New Roman" w:hAnsi="Times New Roman" w:cs="Times New Roman"/>
          <w:kern w:val="0"/>
          <w14:ligatures w14:val="none"/>
        </w:rPr>
        <w:t xml:space="preserve"> et al. (2021) developed a trust in technical controls scale to assess how perceptions of safeguards like antivirus and firewalls shape perceived trust in cyber protections. General business workers in Australia. Online survey design randomly sampled 607 via panels, convenience method noted. Confirmatory factor analysis and regression. Findings established that trust in technical controls positively related to overall perceived security trust, vital for digital reliance (</w:t>
      </w:r>
      <w:proofErr w:type="spellStart"/>
      <w:r w:rsidRPr="00832FF3">
        <w:rPr>
          <w:rFonts w:ascii="Times New Roman" w:eastAsia="Times New Roman" w:hAnsi="Times New Roman" w:cs="Times New Roman"/>
          <w:kern w:val="0"/>
          <w14:ligatures w14:val="none"/>
        </w:rPr>
        <w:t>Hadlington</w:t>
      </w:r>
      <w:proofErr w:type="spellEnd"/>
      <w:r w:rsidRPr="00832FF3">
        <w:rPr>
          <w:rFonts w:ascii="Times New Roman" w:eastAsia="Times New Roman" w:hAnsi="Times New Roman" w:cs="Times New Roman"/>
          <w:kern w:val="0"/>
          <w14:ligatures w14:val="none"/>
        </w:rPr>
        <w:t xml:space="preserve"> et al., 2021). Malik and </w:t>
      </w:r>
      <w:proofErr w:type="spellStart"/>
      <w:r w:rsidRPr="00832FF3">
        <w:rPr>
          <w:rFonts w:ascii="Times New Roman" w:eastAsia="Times New Roman" w:hAnsi="Times New Roman" w:cs="Times New Roman"/>
          <w:kern w:val="0"/>
          <w14:ligatures w14:val="none"/>
        </w:rPr>
        <w:t>Akaileh</w:t>
      </w:r>
      <w:proofErr w:type="spellEnd"/>
      <w:r w:rsidRPr="00832FF3">
        <w:rPr>
          <w:rFonts w:ascii="Times New Roman" w:eastAsia="Times New Roman" w:hAnsi="Times New Roman" w:cs="Times New Roman"/>
          <w:kern w:val="0"/>
          <w14:ligatures w14:val="none"/>
        </w:rPr>
        <w:t xml:space="preserve"> (2020) studied online retail adoption in Jordan. In a survey of roughly 500 internet users in Jordanian market, they applied PLS-SEM to examine how perceived security protection measured with authentication, encryption, etc. affect</w:t>
      </w:r>
      <w:r w:rsidRPr="00832FF3">
        <w:rPr>
          <w:rFonts w:ascii="Times New Roman" w:eastAsia="Times New Roman" w:hAnsi="Times New Roman" w:cs="Times New Roman" w:hint="eastAsia"/>
          <w:kern w:val="0"/>
          <w14:ligatures w14:val="none"/>
        </w:rPr>
        <w:t>s online shopping intention. Their findings indicated that higher perceived technical security led to higher customer trust and satisfaction, which in turn increased purchase intention.</w:t>
      </w:r>
    </w:p>
    <w:p w14:paraId="502AF925"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Netshirando</w:t>
      </w:r>
      <w:proofErr w:type="spellEnd"/>
      <w:r w:rsidRPr="00832FF3">
        <w:rPr>
          <w:rFonts w:ascii="Times New Roman" w:eastAsia="Times New Roman" w:hAnsi="Times New Roman" w:cs="Times New Roman"/>
          <w:kern w:val="0"/>
          <w14:ligatures w14:val="none"/>
        </w:rPr>
        <w:t xml:space="preserve"> et al. (2024) surveyed rural consumers in South Africa (e-commerce services context). Using a quantitative questionnaire (sample size not reported), they analyzed how cybersecurity and trust issues influence non-users’ intention to adopt e-co</w:t>
      </w:r>
      <w:r w:rsidRPr="00832FF3">
        <w:rPr>
          <w:rFonts w:ascii="Times New Roman" w:eastAsia="Times New Roman" w:hAnsi="Times New Roman" w:cs="Times New Roman" w:hint="eastAsia"/>
          <w:kern w:val="0"/>
          <w14:ligatures w14:val="none"/>
        </w:rPr>
        <w:t>mmerce. Results showed that perceived security and trust were the primary factors affecting adoption intention. In particular, both current users and non-users remained concerned about security; those perceiving stronger security controls e</w:t>
      </w:r>
      <w:r w:rsidRPr="00832FF3">
        <w:rPr>
          <w:rFonts w:ascii="Times New Roman" w:eastAsia="Times New Roman" w:hAnsi="Times New Roman" w:cs="Times New Roman"/>
          <w:kern w:val="0"/>
          <w14:ligatures w14:val="none"/>
        </w:rPr>
        <w:t>xpressed greater intention to use online channels. Xu et al. (2020) explored security and privacy mechanisms' impact on data sharing in sharing economy platforms. Digital services like ride-sharing, China. Survey of 389 users, convenience sampling. SEM. Key findings confirmed technical controls boosted disclosure willingness through trust mediation. Goode et al. (2025) examined trust trajectories following cyber events, evaluating recovery efforts' role in trust restoration. Business management post-breach, international review. Systematic literature review with empirical synthesis, 64 studies, not applicable sampling. Thematic analysis. Findings highlighted recovery processes rebuild perceived trust post-incident.</w:t>
      </w:r>
    </w:p>
    <w:p w14:paraId="1BA4D2A4"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Sipone</w:t>
      </w:r>
      <w:proofErr w:type="spellEnd"/>
      <w:r w:rsidRPr="00832FF3">
        <w:rPr>
          <w:rFonts w:ascii="Times New Roman" w:eastAsia="Times New Roman" w:hAnsi="Times New Roman" w:cs="Times New Roman"/>
          <w:kern w:val="0"/>
          <w14:ligatures w14:val="none"/>
        </w:rPr>
        <w:t xml:space="preserve"> (2020) empirically assessed cybersecurity readiness including recovery and trust perceptions in small businesses. SME perspective, US. Survey of 216 businesses, random sampling. Regression. Findings linked recovery capacity to improved perceived trust. Chen et al. (2021) explored post-breach recovery strategies' effects on repurchase intentions in e-commerce. Retail e-commerce, Taiwan. Survey of 412 consumers, convenience sampling. PLS-SEM. Results confirmed recovery efforts positively affected intention to reuse platforms.</w:t>
      </w:r>
    </w:p>
    <w:p w14:paraId="1D319B06"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Luo et al. (2024) examined mobile banking in China. In a survey of 450 banking app users (SEM analysis), they tested how privacy and design features influence disclosure. They found that strong privacy protection (including encryption and control fea</w:t>
      </w:r>
      <w:r w:rsidRPr="00832FF3">
        <w:rPr>
          <w:rFonts w:ascii="Times New Roman" w:eastAsia="Times New Roman" w:hAnsi="Times New Roman" w:cs="Times New Roman" w:hint="eastAsia"/>
          <w:kern w:val="0"/>
          <w14:ligatures w14:val="none"/>
        </w:rPr>
        <w:t>tures in the app) enhanced consumer empowerment and reduced privacy concerns, thereby increasing willingness to disclose informatio</w:t>
      </w:r>
      <w:r w:rsidRPr="00832FF3">
        <w:rPr>
          <w:rFonts w:ascii="Times New Roman" w:eastAsia="Times New Roman" w:hAnsi="Times New Roman" w:cs="Times New Roman"/>
          <w:kern w:val="0"/>
          <w14:ligatures w14:val="none"/>
        </w:rPr>
        <w:t>n</w:t>
      </w:r>
      <w:r w:rsidRPr="00832FF3">
        <w:rPr>
          <w:rFonts w:ascii="Times New Roman" w:eastAsia="Times New Roman" w:hAnsi="Times New Roman" w:cs="Times New Roman" w:hint="eastAsia"/>
          <w:kern w:val="0"/>
          <w14:ligatures w14:val="none"/>
        </w:rPr>
        <w:t xml:space="preserve">. Conversely, higher privacy concerns directly reduced disclosure. </w:t>
      </w:r>
      <w:r w:rsidRPr="00832FF3">
        <w:rPr>
          <w:rFonts w:ascii="Times New Roman" w:eastAsia="Times New Roman" w:hAnsi="Times New Roman" w:cs="Times New Roman"/>
          <w:kern w:val="0"/>
          <w14:ligatures w14:val="none"/>
        </w:rPr>
        <w:t xml:space="preserve">Saglam et al., (2022) conducted an experiment in South African banking chatbots. Two groups of internet bank users interacted with a trusted vs. fictitious banking brand’s chatbot. They found that brand and cognitive/emotional trust factors </w:t>
      </w:r>
      <w:r w:rsidRPr="00832FF3">
        <w:rPr>
          <w:rFonts w:ascii="Times New Roman" w:eastAsia="Times New Roman" w:hAnsi="Times New Roman" w:cs="Times New Roman" w:hint="eastAsia"/>
          <w:kern w:val="0"/>
          <w14:ligatures w14:val="none"/>
        </w:rPr>
        <w:t>strongly influenced self-disclosure to chatbot.</w:t>
      </w:r>
    </w:p>
    <w:bookmarkEnd w:id="85"/>
    <w:p w14:paraId="1314E68F" w14:textId="77777777" w:rsidR="00832FF3" w:rsidRPr="00832FF3" w:rsidRDefault="00832FF3" w:rsidP="00AE7FA9">
      <w:pPr>
        <w:numPr>
          <w:ilvl w:val="0"/>
          <w:numId w:val="61"/>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Methodology</w:t>
      </w:r>
    </w:p>
    <w:p w14:paraId="23DDCA54"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This study adopts a cross sectional, quantitative approach and uses Pearson’s product moment correlation coefficient to test the hypothesized bivariate relationships between cybersecurity risk-management capabilities and customer trust. </w:t>
      </w:r>
      <w:r w:rsidRPr="00832FF3">
        <w:rPr>
          <w:rFonts w:ascii="Times New Roman" w:eastAsia="SimSun" w:hAnsi="Times New Roman" w:cs="Times New Roman"/>
          <w:kern w:val="0"/>
          <w:lang w:eastAsia="zh-CN"/>
          <w14:ligatures w14:val="none"/>
        </w:rPr>
        <w:t xml:space="preserve">Data were collected from 212 knowledgeable respondents within Nigerian e-commerce platforms. Out of this number, 22 copies of the research instrument were administered to key personnel specifically founders, IT managers, and operations managers across selected e-commerce platforms (Wakanow.com, Olx.com, Jiji.com, Konga.com, Supermart.com, Pointek, </w:t>
      </w:r>
      <w:proofErr w:type="spellStart"/>
      <w:r w:rsidRPr="00832FF3">
        <w:rPr>
          <w:rFonts w:ascii="Times New Roman" w:eastAsia="SimSun" w:hAnsi="Times New Roman" w:cs="Times New Roman"/>
          <w:kern w:val="0"/>
          <w:lang w:eastAsia="zh-CN"/>
          <w14:ligatures w14:val="none"/>
        </w:rPr>
        <w:t>Payporte</w:t>
      </w:r>
      <w:proofErr w:type="spellEnd"/>
      <w:r w:rsidRPr="00832FF3">
        <w:rPr>
          <w:rFonts w:ascii="Times New Roman" w:eastAsia="SimSun" w:hAnsi="Times New Roman" w:cs="Times New Roman"/>
          <w:kern w:val="0"/>
          <w:lang w:eastAsia="zh-CN"/>
          <w14:ligatures w14:val="none"/>
        </w:rPr>
        <w:t xml:space="preserve">, </w:t>
      </w:r>
      <w:proofErr w:type="spellStart"/>
      <w:r w:rsidRPr="00832FF3">
        <w:rPr>
          <w:rFonts w:ascii="Times New Roman" w:eastAsia="SimSun" w:hAnsi="Times New Roman" w:cs="Times New Roman"/>
          <w:kern w:val="0"/>
          <w:lang w:eastAsia="zh-CN"/>
          <w14:ligatures w14:val="none"/>
        </w:rPr>
        <w:t>Olist</w:t>
      </w:r>
      <w:proofErr w:type="spellEnd"/>
      <w:r w:rsidRPr="00832FF3">
        <w:rPr>
          <w:rFonts w:ascii="Times New Roman" w:eastAsia="SimSun" w:hAnsi="Times New Roman" w:cs="Times New Roman"/>
          <w:kern w:val="0"/>
          <w:lang w:eastAsia="zh-CN"/>
          <w14:ligatures w14:val="none"/>
        </w:rPr>
        <w:t xml:space="preserve">, Jara Nigeria, </w:t>
      </w:r>
      <w:proofErr w:type="spellStart"/>
      <w:r w:rsidRPr="00832FF3">
        <w:rPr>
          <w:rFonts w:ascii="Times New Roman" w:eastAsia="SimSun" w:hAnsi="Times New Roman" w:cs="Times New Roman"/>
          <w:kern w:val="0"/>
          <w:lang w:eastAsia="zh-CN"/>
          <w14:ligatures w14:val="none"/>
        </w:rPr>
        <w:t>Kilimall</w:t>
      </w:r>
      <w:proofErr w:type="spellEnd"/>
      <w:r w:rsidRPr="00832FF3">
        <w:rPr>
          <w:rFonts w:ascii="Times New Roman" w:eastAsia="SimSun" w:hAnsi="Times New Roman" w:cs="Times New Roman"/>
          <w:kern w:val="0"/>
          <w:lang w:eastAsia="zh-CN"/>
          <w14:ligatures w14:val="none"/>
        </w:rPr>
        <w:t xml:space="preserve">, and </w:t>
      </w:r>
      <w:proofErr w:type="spellStart"/>
      <w:r w:rsidRPr="00832FF3">
        <w:rPr>
          <w:rFonts w:ascii="Times New Roman" w:eastAsia="SimSun" w:hAnsi="Times New Roman" w:cs="Times New Roman"/>
          <w:kern w:val="0"/>
          <w:lang w:eastAsia="zh-CN"/>
          <w14:ligatures w14:val="none"/>
        </w:rPr>
        <w:t>Hubmart</w:t>
      </w:r>
      <w:proofErr w:type="spellEnd"/>
      <w:r w:rsidRPr="00832FF3">
        <w:rPr>
          <w:rFonts w:ascii="Times New Roman" w:eastAsia="SimSun" w:hAnsi="Times New Roman" w:cs="Times New Roman"/>
          <w:kern w:val="0"/>
          <w:lang w:eastAsia="zh-CN"/>
          <w14:ligatures w14:val="none"/>
        </w:rPr>
        <w:t xml:space="preserve"> Online). This implies that two copies of the questionnaire were administered to each of </w:t>
      </w:r>
      <w:r w:rsidRPr="00832FF3">
        <w:rPr>
          <w:rFonts w:ascii="Times New Roman" w:eastAsia="SimSun" w:hAnsi="Times New Roman" w:cs="Times New Roman"/>
          <w:kern w:val="0"/>
          <w:lang w:eastAsia="zh-CN"/>
          <w14:ligatures w14:val="none"/>
        </w:rPr>
        <w:lastRenderedPageBreak/>
        <w:t>the selected e-commerce platforms. Furthermore, 190 copies of the instrument were evenly distributed to customers who patronize these e-commerce platforms.</w:t>
      </w:r>
      <w:r w:rsidRPr="00832FF3">
        <w:rPr>
          <w:rFonts w:ascii="Calibri" w:eastAsia="SimSun" w:hAnsi="Calibri" w:cs="Times New Roman"/>
          <w:kern w:val="0"/>
          <w:sz w:val="22"/>
          <w:szCs w:val="22"/>
          <w:lang w:eastAsia="zh-CN"/>
          <w14:ligatures w14:val="none"/>
        </w:rPr>
        <w:t xml:space="preserve"> </w:t>
      </w:r>
      <w:r w:rsidRPr="00832FF3">
        <w:rPr>
          <w:rFonts w:ascii="Times New Roman" w:eastAsia="Times New Roman" w:hAnsi="Times New Roman" w:cs="Times New Roman"/>
          <w:kern w:val="0"/>
          <w14:ligatures w14:val="none"/>
        </w:rPr>
        <w:t xml:space="preserve">Cyber risk-management capabilities </w:t>
      </w:r>
      <w:proofErr w:type="gramStart"/>
      <w:r w:rsidRPr="00832FF3">
        <w:rPr>
          <w:rFonts w:ascii="Times New Roman" w:eastAsia="Times New Roman" w:hAnsi="Times New Roman" w:cs="Times New Roman"/>
          <w:kern w:val="0"/>
          <w14:ligatures w14:val="none"/>
        </w:rPr>
        <w:t>is</w:t>
      </w:r>
      <w:proofErr w:type="gramEnd"/>
      <w:r w:rsidRPr="00832FF3">
        <w:rPr>
          <w:rFonts w:ascii="Times New Roman" w:eastAsia="Times New Roman" w:hAnsi="Times New Roman" w:cs="Times New Roman"/>
          <w:kern w:val="0"/>
          <w14:ligatures w14:val="none"/>
        </w:rPr>
        <w:t xml:space="preserve"> operationalized as three continuous composite scores (governance, technical controls, recovery) created by averaging validated Likert items; customer trust in terms of perceived trust, intention to use, willingness to disclose personal data) similarly using a validated scale. Likert responses were treated as interval for the purposes of correlation analysis, a common and accepted practice when scales contain multiple items and approximate continuity. Purposive sampling was used to target respondents with direct responsibility for digital operations. Prior to computing Pearson’s </w:t>
      </w:r>
      <w:proofErr w:type="gramStart"/>
      <w:r w:rsidRPr="00832FF3">
        <w:rPr>
          <w:rFonts w:ascii="Times New Roman" w:eastAsia="Times New Roman" w:hAnsi="Times New Roman" w:cs="Times New Roman"/>
          <w:kern w:val="0"/>
          <w14:ligatures w14:val="none"/>
        </w:rPr>
        <w:t>r</w:t>
      </w:r>
      <w:proofErr w:type="gramEnd"/>
      <w:r w:rsidRPr="00832FF3">
        <w:rPr>
          <w:rFonts w:ascii="Times New Roman" w:eastAsia="Times New Roman" w:hAnsi="Times New Roman" w:cs="Times New Roman"/>
          <w:kern w:val="0"/>
          <w14:ligatures w14:val="none"/>
        </w:rPr>
        <w:t xml:space="preserve"> the dataset was screened for missing values and handled according to the pattern of missingness: if missingness is minimal and roughly random (under 5 percent) listwise deletion was used, otherwise multiple imputation was applied to avoid bias.</w:t>
      </w:r>
    </w:p>
    <w:p w14:paraId="0EA7ABD8" w14:textId="77777777" w:rsidR="00832FF3" w:rsidRPr="00832FF3" w:rsidRDefault="00832FF3" w:rsidP="00AE7FA9">
      <w:pPr>
        <w:spacing w:before="100" w:beforeAutospacing="1" w:after="100" w:afterAutospacing="1" w:line="240" w:lineRule="auto"/>
        <w:ind w:left="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Bivariate Pearson correlations were computed separately for each hypothesis (governance versus trust, technical controls versus trust, recovery versus trust). All analyses were conducted in standard statistical software such as SPSS, R, or Stata. Ethical procedures including informed consent, respondent anonymity, and secure storage of data will be observed throughout the study.</w:t>
      </w:r>
    </w:p>
    <w:p w14:paraId="51784134" w14:textId="77777777" w:rsidR="00832FF3" w:rsidRPr="00832FF3" w:rsidRDefault="00832FF3" w:rsidP="00AE7FA9">
      <w:pPr>
        <w:numPr>
          <w:ilvl w:val="0"/>
          <w:numId w:val="61"/>
        </w:numPr>
        <w:spacing w:before="100" w:beforeAutospacing="1" w:after="100" w:afterAutospacing="1" w:line="240" w:lineRule="auto"/>
        <w:contextualSpacing/>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Results and Discussion of Findings</w:t>
      </w:r>
    </w:p>
    <w:p w14:paraId="0D6A4987"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Table 1: The Relationship between Governance Capability and Customer Trust</w:t>
      </w:r>
    </w:p>
    <w:tbl>
      <w:tblPr>
        <w:tblW w:w="7358" w:type="dxa"/>
        <w:tblInd w:w="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1974"/>
        <w:gridCol w:w="1468"/>
        <w:gridCol w:w="1468"/>
      </w:tblGrid>
      <w:tr w:rsidR="00832FF3" w:rsidRPr="00832FF3" w14:paraId="4EE93C54" w14:textId="77777777" w:rsidTr="00483C28">
        <w:trPr>
          <w:cantSplit/>
        </w:trPr>
        <w:tc>
          <w:tcPr>
            <w:tcW w:w="7358" w:type="dxa"/>
            <w:gridSpan w:val="4"/>
            <w:tcBorders>
              <w:top w:val="nil"/>
              <w:left w:val="nil"/>
              <w:bottom w:val="nil"/>
              <w:right w:val="nil"/>
            </w:tcBorders>
            <w:shd w:val="clear" w:color="auto" w:fill="FFFFFF"/>
          </w:tcPr>
          <w:p w14:paraId="41936728"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b/>
                <w:bCs/>
                <w:color w:val="000000"/>
                <w:kern w:val="0"/>
                <w:lang w:eastAsia="zh-CN"/>
                <w14:ligatures w14:val="none"/>
              </w:rPr>
              <w:t>Correlations</w:t>
            </w:r>
          </w:p>
        </w:tc>
      </w:tr>
      <w:tr w:rsidR="00832FF3" w:rsidRPr="00832FF3" w14:paraId="7B307391" w14:textId="77777777" w:rsidTr="00483C28">
        <w:trPr>
          <w:cantSplit/>
        </w:trPr>
        <w:tc>
          <w:tcPr>
            <w:tcW w:w="4422" w:type="dxa"/>
            <w:gridSpan w:val="2"/>
            <w:tcBorders>
              <w:top w:val="single" w:sz="16" w:space="0" w:color="000000"/>
              <w:left w:val="single" w:sz="16" w:space="0" w:color="000000"/>
              <w:bottom w:val="single" w:sz="16" w:space="0" w:color="000000"/>
              <w:right w:val="nil"/>
            </w:tcBorders>
            <w:shd w:val="clear" w:color="auto" w:fill="FFFFFF"/>
          </w:tcPr>
          <w:p w14:paraId="64BC3157"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p>
        </w:tc>
        <w:tc>
          <w:tcPr>
            <w:tcW w:w="1468" w:type="dxa"/>
            <w:tcBorders>
              <w:top w:val="single" w:sz="16" w:space="0" w:color="000000"/>
              <w:left w:val="single" w:sz="16" w:space="0" w:color="000000"/>
              <w:bottom w:val="single" w:sz="16" w:space="0" w:color="000000"/>
            </w:tcBorders>
            <w:shd w:val="clear" w:color="auto" w:fill="FFFFFF"/>
          </w:tcPr>
          <w:p w14:paraId="22BDB3BE"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Governance Capability</w:t>
            </w:r>
          </w:p>
        </w:tc>
        <w:tc>
          <w:tcPr>
            <w:tcW w:w="1468" w:type="dxa"/>
            <w:tcBorders>
              <w:top w:val="single" w:sz="16" w:space="0" w:color="000000"/>
              <w:bottom w:val="single" w:sz="16" w:space="0" w:color="000000"/>
              <w:right w:val="single" w:sz="16" w:space="0" w:color="000000"/>
            </w:tcBorders>
            <w:shd w:val="clear" w:color="auto" w:fill="FFFFFF"/>
          </w:tcPr>
          <w:p w14:paraId="62A55165"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Customer Trust</w:t>
            </w:r>
          </w:p>
        </w:tc>
      </w:tr>
      <w:tr w:rsidR="00832FF3" w:rsidRPr="00832FF3" w14:paraId="1EA48D60" w14:textId="77777777" w:rsidTr="00483C28">
        <w:trPr>
          <w:cantSplit/>
        </w:trPr>
        <w:tc>
          <w:tcPr>
            <w:tcW w:w="2448" w:type="dxa"/>
            <w:vMerge w:val="restart"/>
            <w:tcBorders>
              <w:top w:val="single" w:sz="16" w:space="0" w:color="000000"/>
              <w:left w:val="single" w:sz="16" w:space="0" w:color="000000"/>
              <w:bottom w:val="nil"/>
              <w:right w:val="nil"/>
            </w:tcBorders>
            <w:shd w:val="clear" w:color="auto" w:fill="FFFFFF"/>
            <w:vAlign w:val="center"/>
          </w:tcPr>
          <w:p w14:paraId="0CCE86C0"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Governance Capability</w:t>
            </w:r>
          </w:p>
        </w:tc>
        <w:tc>
          <w:tcPr>
            <w:tcW w:w="1974" w:type="dxa"/>
            <w:tcBorders>
              <w:top w:val="single" w:sz="16" w:space="0" w:color="000000"/>
              <w:left w:val="nil"/>
              <w:bottom w:val="nil"/>
              <w:right w:val="single" w:sz="16" w:space="0" w:color="000000"/>
            </w:tcBorders>
            <w:shd w:val="clear" w:color="auto" w:fill="FFFFFF"/>
            <w:vAlign w:val="center"/>
          </w:tcPr>
          <w:p w14:paraId="6A143E00"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Pearson Correlation</w:t>
            </w:r>
          </w:p>
        </w:tc>
        <w:tc>
          <w:tcPr>
            <w:tcW w:w="1468" w:type="dxa"/>
            <w:tcBorders>
              <w:top w:val="single" w:sz="16" w:space="0" w:color="000000"/>
              <w:left w:val="single" w:sz="16" w:space="0" w:color="000000"/>
              <w:bottom w:val="nil"/>
            </w:tcBorders>
            <w:shd w:val="clear" w:color="auto" w:fill="FFFFFF"/>
            <w:vAlign w:val="center"/>
          </w:tcPr>
          <w:p w14:paraId="259B866E"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1</w:t>
            </w:r>
          </w:p>
        </w:tc>
        <w:tc>
          <w:tcPr>
            <w:tcW w:w="1468" w:type="dxa"/>
            <w:tcBorders>
              <w:top w:val="single" w:sz="16" w:space="0" w:color="000000"/>
              <w:bottom w:val="nil"/>
              <w:right w:val="single" w:sz="16" w:space="0" w:color="000000"/>
            </w:tcBorders>
            <w:shd w:val="clear" w:color="auto" w:fill="FFFFFF"/>
            <w:vAlign w:val="center"/>
          </w:tcPr>
          <w:p w14:paraId="5A80EA2C"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.307</w:t>
            </w:r>
            <w:r w:rsidRPr="00832FF3">
              <w:rPr>
                <w:rFonts w:ascii="Times New Roman" w:eastAsia="SimSun" w:hAnsi="Times New Roman" w:cs="Times New Roman"/>
                <w:color w:val="000000"/>
                <w:kern w:val="0"/>
                <w:vertAlign w:val="superscript"/>
                <w:lang w:eastAsia="zh-CN"/>
                <w14:ligatures w14:val="none"/>
              </w:rPr>
              <w:t>**</w:t>
            </w:r>
          </w:p>
        </w:tc>
      </w:tr>
      <w:tr w:rsidR="00832FF3" w:rsidRPr="00832FF3" w14:paraId="3D4B4271" w14:textId="77777777" w:rsidTr="00483C28">
        <w:trPr>
          <w:cantSplit/>
        </w:trPr>
        <w:tc>
          <w:tcPr>
            <w:tcW w:w="2448" w:type="dxa"/>
            <w:vMerge/>
            <w:tcBorders>
              <w:top w:val="single" w:sz="16" w:space="0" w:color="000000"/>
              <w:left w:val="single" w:sz="16" w:space="0" w:color="000000"/>
              <w:bottom w:val="nil"/>
              <w:right w:val="nil"/>
            </w:tcBorders>
            <w:shd w:val="clear" w:color="auto" w:fill="FFFFFF"/>
            <w:vAlign w:val="center"/>
          </w:tcPr>
          <w:p w14:paraId="29D06B3A"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3BAE5142"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Sig. (2-tailed)</w:t>
            </w:r>
          </w:p>
        </w:tc>
        <w:tc>
          <w:tcPr>
            <w:tcW w:w="1468" w:type="dxa"/>
            <w:tcBorders>
              <w:top w:val="nil"/>
              <w:left w:val="single" w:sz="16" w:space="0" w:color="000000"/>
              <w:bottom w:val="nil"/>
            </w:tcBorders>
            <w:shd w:val="clear" w:color="auto" w:fill="FFFFFF"/>
          </w:tcPr>
          <w:p w14:paraId="29702BDE"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c>
          <w:tcPr>
            <w:tcW w:w="1468" w:type="dxa"/>
            <w:tcBorders>
              <w:top w:val="nil"/>
              <w:bottom w:val="nil"/>
              <w:right w:val="single" w:sz="16" w:space="0" w:color="000000"/>
            </w:tcBorders>
            <w:shd w:val="clear" w:color="auto" w:fill="FFFFFF"/>
            <w:vAlign w:val="center"/>
          </w:tcPr>
          <w:p w14:paraId="4F4FA3C9"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.000</w:t>
            </w:r>
          </w:p>
        </w:tc>
      </w:tr>
      <w:tr w:rsidR="00832FF3" w:rsidRPr="00832FF3" w14:paraId="59B5A479" w14:textId="77777777" w:rsidTr="00483C28">
        <w:trPr>
          <w:cantSplit/>
        </w:trPr>
        <w:tc>
          <w:tcPr>
            <w:tcW w:w="2448" w:type="dxa"/>
            <w:vMerge/>
            <w:tcBorders>
              <w:top w:val="single" w:sz="16" w:space="0" w:color="000000"/>
              <w:left w:val="single" w:sz="16" w:space="0" w:color="000000"/>
              <w:bottom w:val="nil"/>
              <w:right w:val="nil"/>
            </w:tcBorders>
            <w:shd w:val="clear" w:color="auto" w:fill="FFFFFF"/>
            <w:vAlign w:val="center"/>
          </w:tcPr>
          <w:p w14:paraId="0B40BC86"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4D8D217E"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N</w:t>
            </w:r>
          </w:p>
        </w:tc>
        <w:tc>
          <w:tcPr>
            <w:tcW w:w="1468" w:type="dxa"/>
            <w:tcBorders>
              <w:top w:val="nil"/>
              <w:left w:val="single" w:sz="16" w:space="0" w:color="000000"/>
              <w:bottom w:val="nil"/>
            </w:tcBorders>
            <w:shd w:val="clear" w:color="auto" w:fill="FFFFFF"/>
            <w:vAlign w:val="center"/>
          </w:tcPr>
          <w:p w14:paraId="3A4ABD2F"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c>
          <w:tcPr>
            <w:tcW w:w="1468" w:type="dxa"/>
            <w:tcBorders>
              <w:top w:val="nil"/>
              <w:bottom w:val="nil"/>
              <w:right w:val="single" w:sz="16" w:space="0" w:color="000000"/>
            </w:tcBorders>
            <w:shd w:val="clear" w:color="auto" w:fill="FFFFFF"/>
            <w:vAlign w:val="center"/>
          </w:tcPr>
          <w:p w14:paraId="604888D1"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r>
      <w:tr w:rsidR="00832FF3" w:rsidRPr="00832FF3" w14:paraId="0748D978" w14:textId="77777777" w:rsidTr="00483C28">
        <w:trPr>
          <w:cantSplit/>
        </w:trPr>
        <w:tc>
          <w:tcPr>
            <w:tcW w:w="2448" w:type="dxa"/>
            <w:vMerge w:val="restart"/>
            <w:tcBorders>
              <w:top w:val="nil"/>
              <w:left w:val="single" w:sz="16" w:space="0" w:color="000000"/>
              <w:bottom w:val="single" w:sz="16" w:space="0" w:color="000000"/>
              <w:right w:val="nil"/>
            </w:tcBorders>
            <w:shd w:val="clear" w:color="auto" w:fill="FFFFFF"/>
            <w:vAlign w:val="center"/>
          </w:tcPr>
          <w:p w14:paraId="28739B09"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Customer Trust</w:t>
            </w:r>
          </w:p>
        </w:tc>
        <w:tc>
          <w:tcPr>
            <w:tcW w:w="1974" w:type="dxa"/>
            <w:tcBorders>
              <w:top w:val="nil"/>
              <w:left w:val="nil"/>
              <w:bottom w:val="nil"/>
              <w:right w:val="single" w:sz="16" w:space="0" w:color="000000"/>
            </w:tcBorders>
            <w:shd w:val="clear" w:color="auto" w:fill="FFFFFF"/>
            <w:vAlign w:val="center"/>
          </w:tcPr>
          <w:p w14:paraId="760F8361"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Pearson Correlation</w:t>
            </w:r>
          </w:p>
        </w:tc>
        <w:tc>
          <w:tcPr>
            <w:tcW w:w="1468" w:type="dxa"/>
            <w:tcBorders>
              <w:top w:val="nil"/>
              <w:left w:val="single" w:sz="16" w:space="0" w:color="000000"/>
              <w:bottom w:val="nil"/>
            </w:tcBorders>
            <w:shd w:val="clear" w:color="auto" w:fill="FFFFFF"/>
            <w:vAlign w:val="center"/>
          </w:tcPr>
          <w:p w14:paraId="4C301BA5"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.307</w:t>
            </w:r>
            <w:r w:rsidRPr="00832FF3">
              <w:rPr>
                <w:rFonts w:ascii="Times New Roman" w:eastAsia="SimSun" w:hAnsi="Times New Roman" w:cs="Times New Roman"/>
                <w:color w:val="000000"/>
                <w:kern w:val="0"/>
                <w:vertAlign w:val="superscript"/>
                <w:lang w:eastAsia="zh-CN"/>
                <w14:ligatures w14:val="none"/>
              </w:rPr>
              <w:t>**</w:t>
            </w:r>
          </w:p>
        </w:tc>
        <w:tc>
          <w:tcPr>
            <w:tcW w:w="1468" w:type="dxa"/>
            <w:tcBorders>
              <w:top w:val="nil"/>
              <w:bottom w:val="nil"/>
              <w:right w:val="single" w:sz="16" w:space="0" w:color="000000"/>
            </w:tcBorders>
            <w:shd w:val="clear" w:color="auto" w:fill="FFFFFF"/>
            <w:vAlign w:val="center"/>
          </w:tcPr>
          <w:p w14:paraId="6CA16912"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1</w:t>
            </w:r>
          </w:p>
        </w:tc>
      </w:tr>
      <w:tr w:rsidR="00832FF3" w:rsidRPr="00832FF3" w14:paraId="09D0E97E" w14:textId="77777777" w:rsidTr="00483C28">
        <w:trPr>
          <w:cantSplit/>
        </w:trPr>
        <w:tc>
          <w:tcPr>
            <w:tcW w:w="2448" w:type="dxa"/>
            <w:vMerge/>
            <w:tcBorders>
              <w:top w:val="nil"/>
              <w:left w:val="single" w:sz="16" w:space="0" w:color="000000"/>
              <w:bottom w:val="single" w:sz="16" w:space="0" w:color="000000"/>
              <w:right w:val="nil"/>
            </w:tcBorders>
            <w:shd w:val="clear" w:color="auto" w:fill="FFFFFF"/>
            <w:vAlign w:val="center"/>
          </w:tcPr>
          <w:p w14:paraId="10CB82E0"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6A687A47"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Sig. (2-tailed)</w:t>
            </w:r>
          </w:p>
        </w:tc>
        <w:tc>
          <w:tcPr>
            <w:tcW w:w="1468" w:type="dxa"/>
            <w:tcBorders>
              <w:top w:val="nil"/>
              <w:left w:val="single" w:sz="16" w:space="0" w:color="000000"/>
              <w:bottom w:val="nil"/>
            </w:tcBorders>
            <w:shd w:val="clear" w:color="auto" w:fill="FFFFFF"/>
            <w:vAlign w:val="center"/>
          </w:tcPr>
          <w:p w14:paraId="4527EAC2"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.000</w:t>
            </w:r>
          </w:p>
        </w:tc>
        <w:tc>
          <w:tcPr>
            <w:tcW w:w="1468" w:type="dxa"/>
            <w:tcBorders>
              <w:top w:val="nil"/>
              <w:bottom w:val="nil"/>
              <w:right w:val="single" w:sz="16" w:space="0" w:color="000000"/>
            </w:tcBorders>
            <w:shd w:val="clear" w:color="auto" w:fill="FFFFFF"/>
          </w:tcPr>
          <w:p w14:paraId="2765DCB6"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r>
      <w:tr w:rsidR="00832FF3" w:rsidRPr="00832FF3" w14:paraId="3671B9DC" w14:textId="77777777" w:rsidTr="00483C28">
        <w:trPr>
          <w:cantSplit/>
        </w:trPr>
        <w:tc>
          <w:tcPr>
            <w:tcW w:w="2448" w:type="dxa"/>
            <w:vMerge/>
            <w:tcBorders>
              <w:top w:val="nil"/>
              <w:left w:val="single" w:sz="16" w:space="0" w:color="000000"/>
              <w:bottom w:val="single" w:sz="16" w:space="0" w:color="000000"/>
              <w:right w:val="nil"/>
            </w:tcBorders>
            <w:shd w:val="clear" w:color="auto" w:fill="FFFFFF"/>
            <w:vAlign w:val="center"/>
          </w:tcPr>
          <w:p w14:paraId="2E9A432B"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c>
          <w:tcPr>
            <w:tcW w:w="1974" w:type="dxa"/>
            <w:tcBorders>
              <w:top w:val="nil"/>
              <w:left w:val="nil"/>
              <w:bottom w:val="single" w:sz="16" w:space="0" w:color="000000"/>
              <w:right w:val="single" w:sz="16" w:space="0" w:color="000000"/>
            </w:tcBorders>
            <w:shd w:val="clear" w:color="auto" w:fill="FFFFFF"/>
            <w:vAlign w:val="center"/>
          </w:tcPr>
          <w:p w14:paraId="6F0F8B8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N</w:t>
            </w:r>
          </w:p>
        </w:tc>
        <w:tc>
          <w:tcPr>
            <w:tcW w:w="1468" w:type="dxa"/>
            <w:tcBorders>
              <w:top w:val="nil"/>
              <w:left w:val="single" w:sz="16" w:space="0" w:color="000000"/>
              <w:bottom w:val="single" w:sz="16" w:space="0" w:color="000000"/>
            </w:tcBorders>
            <w:shd w:val="clear" w:color="auto" w:fill="FFFFFF"/>
            <w:vAlign w:val="center"/>
          </w:tcPr>
          <w:p w14:paraId="4268C21D"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c>
          <w:tcPr>
            <w:tcW w:w="1468" w:type="dxa"/>
            <w:tcBorders>
              <w:top w:val="nil"/>
              <w:bottom w:val="single" w:sz="16" w:space="0" w:color="000000"/>
              <w:right w:val="single" w:sz="16" w:space="0" w:color="000000"/>
            </w:tcBorders>
            <w:shd w:val="clear" w:color="auto" w:fill="FFFFFF"/>
            <w:vAlign w:val="center"/>
          </w:tcPr>
          <w:p w14:paraId="47EBA6FB"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r>
      <w:tr w:rsidR="00832FF3" w:rsidRPr="00832FF3" w14:paraId="021C0AE1" w14:textId="77777777" w:rsidTr="00483C28">
        <w:trPr>
          <w:cantSplit/>
        </w:trPr>
        <w:tc>
          <w:tcPr>
            <w:tcW w:w="7358" w:type="dxa"/>
            <w:gridSpan w:val="4"/>
            <w:tcBorders>
              <w:top w:val="nil"/>
              <w:left w:val="nil"/>
              <w:bottom w:val="nil"/>
              <w:right w:val="nil"/>
            </w:tcBorders>
            <w:shd w:val="clear" w:color="auto" w:fill="FFFFFF"/>
          </w:tcPr>
          <w:p w14:paraId="43F3FC1F"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 Correlation is significant at the 0.01 level (2-tailed).</w:t>
            </w:r>
          </w:p>
        </w:tc>
      </w:tr>
    </w:tbl>
    <w:p w14:paraId="08DA168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Governance Capability versus Customer Trust yields a moderate positive relationship (r = .307). Interpreting this magnitude alongside the r² indicates governance is a meaningful predictor: governance explains nearly one in ten units of variance in trust. This aligns with empirical arguments in the review that visible governance signals and formal oversight reduce perceived risk and increase confidence. For example, the cross-border e-commerce work by Wang et al. argues that formal governance mechanisms reduce perceived transactional risk and raise platform trust; the present finding agrees with that assertion because higher governance scores map to higher customer trust. The fact that governance explains a larger share of variance than the other two dimensions suggests customers respond strongly to governance cues that they can perceive or infer (clear policies, designated responsibility, and governance statements), which is consistent with the review’s emphasis on signaling and institutional legitimacy as trust builders.</w:t>
      </w:r>
    </w:p>
    <w:p w14:paraId="319E389F" w14:textId="77777777" w:rsidR="00832FF3" w:rsidRDefault="00832FF3" w:rsidP="00AE7FA9">
      <w:pPr>
        <w:autoSpaceDE w:val="0"/>
        <w:autoSpaceDN w:val="0"/>
        <w:adjustRightInd w:val="0"/>
        <w:spacing w:after="0" w:line="240" w:lineRule="auto"/>
        <w:jc w:val="both"/>
        <w:rPr>
          <w:rFonts w:ascii="Times New Roman" w:eastAsia="Times New Roman" w:hAnsi="Times New Roman" w:cs="Times New Roman"/>
          <w:b/>
          <w:bCs/>
          <w:kern w:val="0"/>
          <w14:ligatures w14:val="none"/>
        </w:rPr>
      </w:pPr>
    </w:p>
    <w:p w14:paraId="2B6B04F7" w14:textId="77777777" w:rsidR="00AE7FA9" w:rsidRPr="00832FF3" w:rsidRDefault="00AE7FA9" w:rsidP="00AE7FA9">
      <w:pPr>
        <w:autoSpaceDE w:val="0"/>
        <w:autoSpaceDN w:val="0"/>
        <w:adjustRightInd w:val="0"/>
        <w:spacing w:after="0" w:line="240" w:lineRule="auto"/>
        <w:jc w:val="both"/>
        <w:rPr>
          <w:rFonts w:ascii="Times New Roman" w:eastAsia="Times New Roman" w:hAnsi="Times New Roman" w:cs="Times New Roman"/>
          <w:b/>
          <w:bCs/>
          <w:kern w:val="0"/>
          <w14:ligatures w14:val="none"/>
        </w:rPr>
      </w:pPr>
    </w:p>
    <w:p w14:paraId="1DEEE97F"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r w:rsidRPr="00832FF3">
        <w:rPr>
          <w:rFonts w:ascii="Times New Roman" w:eastAsia="Times New Roman" w:hAnsi="Times New Roman" w:cs="Times New Roman"/>
          <w:b/>
          <w:bCs/>
          <w:kern w:val="0"/>
          <w14:ligatures w14:val="none"/>
        </w:rPr>
        <w:t>Table 2: The Relationship between Technical Control Capability and Customer Trust</w:t>
      </w:r>
    </w:p>
    <w:p w14:paraId="71806B23"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bl>
      <w:tblPr>
        <w:tblW w:w="7358" w:type="dxa"/>
        <w:tblInd w:w="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1974"/>
        <w:gridCol w:w="1468"/>
        <w:gridCol w:w="1468"/>
      </w:tblGrid>
      <w:tr w:rsidR="00832FF3" w:rsidRPr="00832FF3" w14:paraId="66BC6EE4" w14:textId="77777777" w:rsidTr="00483C28">
        <w:trPr>
          <w:cantSplit/>
        </w:trPr>
        <w:tc>
          <w:tcPr>
            <w:tcW w:w="7358" w:type="dxa"/>
            <w:gridSpan w:val="4"/>
            <w:tcBorders>
              <w:top w:val="nil"/>
              <w:left w:val="nil"/>
              <w:bottom w:val="nil"/>
              <w:right w:val="nil"/>
            </w:tcBorders>
            <w:shd w:val="clear" w:color="auto" w:fill="FFFFFF"/>
          </w:tcPr>
          <w:p w14:paraId="669B1689"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b/>
                <w:bCs/>
                <w:color w:val="000000"/>
                <w:kern w:val="0"/>
                <w:lang w:eastAsia="zh-CN"/>
                <w14:ligatures w14:val="none"/>
              </w:rPr>
              <w:t>Correlations</w:t>
            </w:r>
          </w:p>
        </w:tc>
      </w:tr>
      <w:tr w:rsidR="00832FF3" w:rsidRPr="00832FF3" w14:paraId="7441C054" w14:textId="77777777" w:rsidTr="00483C28">
        <w:trPr>
          <w:cantSplit/>
        </w:trPr>
        <w:tc>
          <w:tcPr>
            <w:tcW w:w="4422" w:type="dxa"/>
            <w:gridSpan w:val="2"/>
            <w:tcBorders>
              <w:top w:val="single" w:sz="16" w:space="0" w:color="000000"/>
              <w:left w:val="single" w:sz="16" w:space="0" w:color="000000"/>
              <w:bottom w:val="single" w:sz="16" w:space="0" w:color="000000"/>
              <w:right w:val="nil"/>
            </w:tcBorders>
            <w:shd w:val="clear" w:color="auto" w:fill="FFFFFF"/>
          </w:tcPr>
          <w:p w14:paraId="65F71AF6"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p>
        </w:tc>
        <w:tc>
          <w:tcPr>
            <w:tcW w:w="1468" w:type="dxa"/>
            <w:tcBorders>
              <w:top w:val="single" w:sz="16" w:space="0" w:color="000000"/>
              <w:left w:val="single" w:sz="16" w:space="0" w:color="000000"/>
              <w:bottom w:val="single" w:sz="16" w:space="0" w:color="000000"/>
            </w:tcBorders>
            <w:shd w:val="clear" w:color="auto" w:fill="FFFFFF"/>
          </w:tcPr>
          <w:p w14:paraId="53D22C0D"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Technical Control</w:t>
            </w:r>
          </w:p>
        </w:tc>
        <w:tc>
          <w:tcPr>
            <w:tcW w:w="1468" w:type="dxa"/>
            <w:tcBorders>
              <w:top w:val="single" w:sz="16" w:space="0" w:color="000000"/>
              <w:bottom w:val="single" w:sz="16" w:space="0" w:color="000000"/>
              <w:right w:val="single" w:sz="16" w:space="0" w:color="000000"/>
            </w:tcBorders>
            <w:shd w:val="clear" w:color="auto" w:fill="FFFFFF"/>
          </w:tcPr>
          <w:p w14:paraId="40F0E303"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Customer Trust</w:t>
            </w:r>
          </w:p>
        </w:tc>
      </w:tr>
      <w:tr w:rsidR="00832FF3" w:rsidRPr="00832FF3" w14:paraId="5751353C" w14:textId="77777777" w:rsidTr="00483C28">
        <w:trPr>
          <w:cantSplit/>
        </w:trPr>
        <w:tc>
          <w:tcPr>
            <w:tcW w:w="2448" w:type="dxa"/>
            <w:vMerge w:val="restart"/>
            <w:tcBorders>
              <w:top w:val="single" w:sz="16" w:space="0" w:color="000000"/>
              <w:left w:val="single" w:sz="16" w:space="0" w:color="000000"/>
              <w:bottom w:val="nil"/>
              <w:right w:val="nil"/>
            </w:tcBorders>
            <w:shd w:val="clear" w:color="auto" w:fill="FFFFFF"/>
            <w:vAlign w:val="center"/>
          </w:tcPr>
          <w:p w14:paraId="197C595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Technical Control</w:t>
            </w:r>
          </w:p>
        </w:tc>
        <w:tc>
          <w:tcPr>
            <w:tcW w:w="1974" w:type="dxa"/>
            <w:tcBorders>
              <w:top w:val="single" w:sz="16" w:space="0" w:color="000000"/>
              <w:left w:val="nil"/>
              <w:bottom w:val="nil"/>
              <w:right w:val="single" w:sz="16" w:space="0" w:color="000000"/>
            </w:tcBorders>
            <w:shd w:val="clear" w:color="auto" w:fill="FFFFFF"/>
            <w:vAlign w:val="center"/>
          </w:tcPr>
          <w:p w14:paraId="527C3E23"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Pearson Correlation</w:t>
            </w:r>
          </w:p>
        </w:tc>
        <w:tc>
          <w:tcPr>
            <w:tcW w:w="1468" w:type="dxa"/>
            <w:tcBorders>
              <w:top w:val="single" w:sz="16" w:space="0" w:color="000000"/>
              <w:left w:val="single" w:sz="16" w:space="0" w:color="000000"/>
              <w:bottom w:val="nil"/>
            </w:tcBorders>
            <w:shd w:val="clear" w:color="auto" w:fill="FFFFFF"/>
            <w:vAlign w:val="center"/>
          </w:tcPr>
          <w:p w14:paraId="0368B543"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1</w:t>
            </w:r>
          </w:p>
        </w:tc>
        <w:tc>
          <w:tcPr>
            <w:tcW w:w="1468" w:type="dxa"/>
            <w:tcBorders>
              <w:top w:val="single" w:sz="16" w:space="0" w:color="000000"/>
              <w:bottom w:val="nil"/>
              <w:right w:val="single" w:sz="16" w:space="0" w:color="000000"/>
            </w:tcBorders>
            <w:shd w:val="clear" w:color="auto" w:fill="FFFFFF"/>
            <w:vAlign w:val="center"/>
          </w:tcPr>
          <w:p w14:paraId="62FE7812"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.230</w:t>
            </w:r>
            <w:r w:rsidRPr="00832FF3">
              <w:rPr>
                <w:rFonts w:ascii="Times New Roman" w:eastAsia="SimSun" w:hAnsi="Times New Roman" w:cs="Times New Roman"/>
                <w:color w:val="000000"/>
                <w:kern w:val="0"/>
                <w:vertAlign w:val="superscript"/>
                <w:lang w:eastAsia="zh-CN"/>
                <w14:ligatures w14:val="none"/>
              </w:rPr>
              <w:t>**</w:t>
            </w:r>
          </w:p>
        </w:tc>
      </w:tr>
      <w:tr w:rsidR="00832FF3" w:rsidRPr="00832FF3" w14:paraId="4700ACC1" w14:textId="77777777" w:rsidTr="00483C28">
        <w:trPr>
          <w:cantSplit/>
        </w:trPr>
        <w:tc>
          <w:tcPr>
            <w:tcW w:w="2448" w:type="dxa"/>
            <w:vMerge/>
            <w:tcBorders>
              <w:top w:val="single" w:sz="16" w:space="0" w:color="000000"/>
              <w:left w:val="single" w:sz="16" w:space="0" w:color="000000"/>
              <w:bottom w:val="nil"/>
              <w:right w:val="nil"/>
            </w:tcBorders>
            <w:shd w:val="clear" w:color="auto" w:fill="FFFFFF"/>
            <w:vAlign w:val="center"/>
          </w:tcPr>
          <w:p w14:paraId="617431CF"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41A7CB6F"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Sig. (2-tailed)</w:t>
            </w:r>
          </w:p>
        </w:tc>
        <w:tc>
          <w:tcPr>
            <w:tcW w:w="1468" w:type="dxa"/>
            <w:tcBorders>
              <w:top w:val="nil"/>
              <w:left w:val="single" w:sz="16" w:space="0" w:color="000000"/>
              <w:bottom w:val="nil"/>
            </w:tcBorders>
            <w:shd w:val="clear" w:color="auto" w:fill="FFFFFF"/>
          </w:tcPr>
          <w:p w14:paraId="5D34371E"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c>
          <w:tcPr>
            <w:tcW w:w="1468" w:type="dxa"/>
            <w:tcBorders>
              <w:top w:val="nil"/>
              <w:bottom w:val="nil"/>
              <w:right w:val="single" w:sz="16" w:space="0" w:color="000000"/>
            </w:tcBorders>
            <w:shd w:val="clear" w:color="auto" w:fill="FFFFFF"/>
            <w:vAlign w:val="center"/>
          </w:tcPr>
          <w:p w14:paraId="373352EA"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.000</w:t>
            </w:r>
          </w:p>
        </w:tc>
      </w:tr>
      <w:tr w:rsidR="00832FF3" w:rsidRPr="00832FF3" w14:paraId="0572EDE6" w14:textId="77777777" w:rsidTr="00483C28">
        <w:trPr>
          <w:cantSplit/>
        </w:trPr>
        <w:tc>
          <w:tcPr>
            <w:tcW w:w="2448" w:type="dxa"/>
            <w:vMerge/>
            <w:tcBorders>
              <w:top w:val="single" w:sz="16" w:space="0" w:color="000000"/>
              <w:left w:val="single" w:sz="16" w:space="0" w:color="000000"/>
              <w:bottom w:val="nil"/>
              <w:right w:val="nil"/>
            </w:tcBorders>
            <w:shd w:val="clear" w:color="auto" w:fill="FFFFFF"/>
            <w:vAlign w:val="center"/>
          </w:tcPr>
          <w:p w14:paraId="7FF04878"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40191410"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N</w:t>
            </w:r>
          </w:p>
        </w:tc>
        <w:tc>
          <w:tcPr>
            <w:tcW w:w="1468" w:type="dxa"/>
            <w:tcBorders>
              <w:top w:val="nil"/>
              <w:left w:val="single" w:sz="16" w:space="0" w:color="000000"/>
              <w:bottom w:val="nil"/>
            </w:tcBorders>
            <w:shd w:val="clear" w:color="auto" w:fill="FFFFFF"/>
            <w:vAlign w:val="center"/>
          </w:tcPr>
          <w:p w14:paraId="1D237604"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c>
          <w:tcPr>
            <w:tcW w:w="1468" w:type="dxa"/>
            <w:tcBorders>
              <w:top w:val="nil"/>
              <w:bottom w:val="nil"/>
              <w:right w:val="single" w:sz="16" w:space="0" w:color="000000"/>
            </w:tcBorders>
            <w:shd w:val="clear" w:color="auto" w:fill="FFFFFF"/>
            <w:vAlign w:val="center"/>
          </w:tcPr>
          <w:p w14:paraId="747346E0"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r>
      <w:tr w:rsidR="00832FF3" w:rsidRPr="00832FF3" w14:paraId="6F794A56" w14:textId="77777777" w:rsidTr="00483C28">
        <w:trPr>
          <w:cantSplit/>
        </w:trPr>
        <w:tc>
          <w:tcPr>
            <w:tcW w:w="2448" w:type="dxa"/>
            <w:vMerge w:val="restart"/>
            <w:tcBorders>
              <w:top w:val="nil"/>
              <w:left w:val="single" w:sz="16" w:space="0" w:color="000000"/>
              <w:bottom w:val="single" w:sz="16" w:space="0" w:color="000000"/>
              <w:right w:val="nil"/>
            </w:tcBorders>
            <w:shd w:val="clear" w:color="auto" w:fill="FFFFFF"/>
            <w:vAlign w:val="center"/>
          </w:tcPr>
          <w:p w14:paraId="251D4109"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Customer Trust</w:t>
            </w:r>
          </w:p>
        </w:tc>
        <w:tc>
          <w:tcPr>
            <w:tcW w:w="1974" w:type="dxa"/>
            <w:tcBorders>
              <w:top w:val="nil"/>
              <w:left w:val="nil"/>
              <w:bottom w:val="nil"/>
              <w:right w:val="single" w:sz="16" w:space="0" w:color="000000"/>
            </w:tcBorders>
            <w:shd w:val="clear" w:color="auto" w:fill="FFFFFF"/>
            <w:vAlign w:val="center"/>
          </w:tcPr>
          <w:p w14:paraId="6E54BDC0"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Pearson Correlation</w:t>
            </w:r>
          </w:p>
        </w:tc>
        <w:tc>
          <w:tcPr>
            <w:tcW w:w="1468" w:type="dxa"/>
            <w:tcBorders>
              <w:top w:val="nil"/>
              <w:left w:val="single" w:sz="16" w:space="0" w:color="000000"/>
              <w:bottom w:val="nil"/>
            </w:tcBorders>
            <w:shd w:val="clear" w:color="auto" w:fill="FFFFFF"/>
            <w:vAlign w:val="center"/>
          </w:tcPr>
          <w:p w14:paraId="44005387"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.230</w:t>
            </w:r>
            <w:r w:rsidRPr="00832FF3">
              <w:rPr>
                <w:rFonts w:ascii="Times New Roman" w:eastAsia="SimSun" w:hAnsi="Times New Roman" w:cs="Times New Roman"/>
                <w:color w:val="000000"/>
                <w:kern w:val="0"/>
                <w:vertAlign w:val="superscript"/>
                <w:lang w:eastAsia="zh-CN"/>
                <w14:ligatures w14:val="none"/>
              </w:rPr>
              <w:t>**</w:t>
            </w:r>
          </w:p>
        </w:tc>
        <w:tc>
          <w:tcPr>
            <w:tcW w:w="1468" w:type="dxa"/>
            <w:tcBorders>
              <w:top w:val="nil"/>
              <w:bottom w:val="nil"/>
              <w:right w:val="single" w:sz="16" w:space="0" w:color="000000"/>
            </w:tcBorders>
            <w:shd w:val="clear" w:color="auto" w:fill="FFFFFF"/>
            <w:vAlign w:val="center"/>
          </w:tcPr>
          <w:p w14:paraId="5B9147B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1</w:t>
            </w:r>
          </w:p>
        </w:tc>
      </w:tr>
      <w:tr w:rsidR="00832FF3" w:rsidRPr="00832FF3" w14:paraId="4C2E69EC" w14:textId="77777777" w:rsidTr="00483C28">
        <w:trPr>
          <w:cantSplit/>
        </w:trPr>
        <w:tc>
          <w:tcPr>
            <w:tcW w:w="2448" w:type="dxa"/>
            <w:vMerge/>
            <w:tcBorders>
              <w:top w:val="nil"/>
              <w:left w:val="single" w:sz="16" w:space="0" w:color="000000"/>
              <w:bottom w:val="single" w:sz="16" w:space="0" w:color="000000"/>
              <w:right w:val="nil"/>
            </w:tcBorders>
            <w:shd w:val="clear" w:color="auto" w:fill="FFFFFF"/>
            <w:vAlign w:val="center"/>
          </w:tcPr>
          <w:p w14:paraId="1B25C60C"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132B7721"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Sig. (2-tailed)</w:t>
            </w:r>
          </w:p>
        </w:tc>
        <w:tc>
          <w:tcPr>
            <w:tcW w:w="1468" w:type="dxa"/>
            <w:tcBorders>
              <w:top w:val="nil"/>
              <w:left w:val="single" w:sz="16" w:space="0" w:color="000000"/>
              <w:bottom w:val="nil"/>
            </w:tcBorders>
            <w:shd w:val="clear" w:color="auto" w:fill="FFFFFF"/>
            <w:vAlign w:val="center"/>
          </w:tcPr>
          <w:p w14:paraId="0585EC62"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.000</w:t>
            </w:r>
          </w:p>
        </w:tc>
        <w:tc>
          <w:tcPr>
            <w:tcW w:w="1468" w:type="dxa"/>
            <w:tcBorders>
              <w:top w:val="nil"/>
              <w:bottom w:val="nil"/>
              <w:right w:val="single" w:sz="16" w:space="0" w:color="000000"/>
            </w:tcBorders>
            <w:shd w:val="clear" w:color="auto" w:fill="FFFFFF"/>
          </w:tcPr>
          <w:p w14:paraId="7DCA1256"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r>
      <w:tr w:rsidR="00832FF3" w:rsidRPr="00832FF3" w14:paraId="076CB6F2" w14:textId="77777777" w:rsidTr="00483C28">
        <w:trPr>
          <w:cantSplit/>
        </w:trPr>
        <w:tc>
          <w:tcPr>
            <w:tcW w:w="2448" w:type="dxa"/>
            <w:vMerge/>
            <w:tcBorders>
              <w:top w:val="nil"/>
              <w:left w:val="single" w:sz="16" w:space="0" w:color="000000"/>
              <w:bottom w:val="single" w:sz="16" w:space="0" w:color="000000"/>
              <w:right w:val="nil"/>
            </w:tcBorders>
            <w:shd w:val="clear" w:color="auto" w:fill="FFFFFF"/>
            <w:vAlign w:val="center"/>
          </w:tcPr>
          <w:p w14:paraId="2BA2662A"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c>
          <w:tcPr>
            <w:tcW w:w="1974" w:type="dxa"/>
            <w:tcBorders>
              <w:top w:val="nil"/>
              <w:left w:val="nil"/>
              <w:bottom w:val="single" w:sz="16" w:space="0" w:color="000000"/>
              <w:right w:val="single" w:sz="16" w:space="0" w:color="000000"/>
            </w:tcBorders>
            <w:shd w:val="clear" w:color="auto" w:fill="FFFFFF"/>
            <w:vAlign w:val="center"/>
          </w:tcPr>
          <w:p w14:paraId="10363486"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N</w:t>
            </w:r>
          </w:p>
        </w:tc>
        <w:tc>
          <w:tcPr>
            <w:tcW w:w="1468" w:type="dxa"/>
            <w:tcBorders>
              <w:top w:val="nil"/>
              <w:left w:val="single" w:sz="16" w:space="0" w:color="000000"/>
              <w:bottom w:val="single" w:sz="16" w:space="0" w:color="000000"/>
            </w:tcBorders>
            <w:shd w:val="clear" w:color="auto" w:fill="FFFFFF"/>
            <w:vAlign w:val="center"/>
          </w:tcPr>
          <w:p w14:paraId="0A89B54D"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c>
          <w:tcPr>
            <w:tcW w:w="1468" w:type="dxa"/>
            <w:tcBorders>
              <w:top w:val="nil"/>
              <w:bottom w:val="single" w:sz="16" w:space="0" w:color="000000"/>
              <w:right w:val="single" w:sz="16" w:space="0" w:color="000000"/>
            </w:tcBorders>
            <w:shd w:val="clear" w:color="auto" w:fill="FFFFFF"/>
            <w:vAlign w:val="center"/>
          </w:tcPr>
          <w:p w14:paraId="5FFCFC6C"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r>
      <w:tr w:rsidR="00832FF3" w:rsidRPr="00832FF3" w14:paraId="20A49660" w14:textId="77777777" w:rsidTr="00483C28">
        <w:trPr>
          <w:cantSplit/>
        </w:trPr>
        <w:tc>
          <w:tcPr>
            <w:tcW w:w="7358" w:type="dxa"/>
            <w:gridSpan w:val="4"/>
            <w:tcBorders>
              <w:top w:val="nil"/>
              <w:left w:val="nil"/>
              <w:bottom w:val="nil"/>
              <w:right w:val="nil"/>
            </w:tcBorders>
            <w:shd w:val="clear" w:color="auto" w:fill="FFFFFF"/>
          </w:tcPr>
          <w:p w14:paraId="70B3111E"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 Correlation is significant at the 0.01 level (2-tailed).</w:t>
            </w:r>
          </w:p>
        </w:tc>
      </w:tr>
    </w:tbl>
    <w:p w14:paraId="652998B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Technical Control versus Customer Trust) shows a smaller but significant positive association (r = .230). The corresponding r² implies technical controls account for roughly five percent of trust variance when considered alone. This result concurs in direction with studies that emphasize technical safeguards raise perceived security competence but often have modest direct effects on global trust measures because many technical controls are invisible to end users unless actively communicated. The review’s measurement and perception scholarship, exemplified by </w:t>
      </w:r>
      <w:proofErr w:type="spellStart"/>
      <w:r w:rsidRPr="00832FF3">
        <w:rPr>
          <w:rFonts w:ascii="Times New Roman" w:eastAsia="Times New Roman" w:hAnsi="Times New Roman" w:cs="Times New Roman"/>
          <w:kern w:val="0"/>
          <w14:ligatures w14:val="none"/>
        </w:rPr>
        <w:t>Hadlington</w:t>
      </w:r>
      <w:proofErr w:type="spellEnd"/>
      <w:r w:rsidRPr="00832FF3">
        <w:rPr>
          <w:rFonts w:ascii="Times New Roman" w:eastAsia="Times New Roman" w:hAnsi="Times New Roman" w:cs="Times New Roman"/>
          <w:kern w:val="0"/>
          <w14:ligatures w14:val="none"/>
        </w:rPr>
        <w:t xml:space="preserve">, suggests that users’ trust reacts more strongly when technical measures are both implemented and signposted; the current results therefore agree with </w:t>
      </w:r>
      <w:proofErr w:type="spellStart"/>
      <w:r w:rsidRPr="00832FF3">
        <w:rPr>
          <w:rFonts w:ascii="Times New Roman" w:eastAsia="Times New Roman" w:hAnsi="Times New Roman" w:cs="Times New Roman"/>
          <w:kern w:val="0"/>
          <w14:ligatures w14:val="none"/>
        </w:rPr>
        <w:t>Hadlington’s</w:t>
      </w:r>
      <w:proofErr w:type="spellEnd"/>
      <w:r w:rsidRPr="00832FF3">
        <w:rPr>
          <w:rFonts w:ascii="Times New Roman" w:eastAsia="Times New Roman" w:hAnsi="Times New Roman" w:cs="Times New Roman"/>
          <w:kern w:val="0"/>
          <w14:ligatures w14:val="none"/>
        </w:rPr>
        <w:t xml:space="preserve"> implication that communication and perceptibility moderate the technical control and trust link. A plausible interpretation is that technical investments produce greater trust dividends when translated into user-facing signals such as security badges, simple privacy explanations, or visible authentication flows.</w:t>
      </w:r>
    </w:p>
    <w:p w14:paraId="07D3CADF"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r w:rsidRPr="00832FF3">
        <w:rPr>
          <w:rFonts w:ascii="Times New Roman" w:eastAsia="Times New Roman" w:hAnsi="Times New Roman" w:cs="Times New Roman"/>
          <w:b/>
          <w:bCs/>
          <w:kern w:val="0"/>
          <w14:ligatures w14:val="none"/>
        </w:rPr>
        <w:t>Table 3: The Relationship between Incident Recovery Capability and Customer Trust</w:t>
      </w:r>
    </w:p>
    <w:p w14:paraId="631A7732"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bl>
      <w:tblPr>
        <w:tblW w:w="7358" w:type="dxa"/>
        <w:tblInd w:w="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1974"/>
        <w:gridCol w:w="1468"/>
        <w:gridCol w:w="1468"/>
      </w:tblGrid>
      <w:tr w:rsidR="00832FF3" w:rsidRPr="00832FF3" w14:paraId="1AA76D94" w14:textId="77777777" w:rsidTr="00483C28">
        <w:trPr>
          <w:cantSplit/>
        </w:trPr>
        <w:tc>
          <w:tcPr>
            <w:tcW w:w="7358" w:type="dxa"/>
            <w:gridSpan w:val="4"/>
            <w:tcBorders>
              <w:top w:val="nil"/>
              <w:left w:val="nil"/>
              <w:bottom w:val="nil"/>
              <w:right w:val="nil"/>
            </w:tcBorders>
            <w:shd w:val="clear" w:color="auto" w:fill="FFFFFF"/>
          </w:tcPr>
          <w:p w14:paraId="095B9D1F"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b/>
                <w:bCs/>
                <w:color w:val="000000"/>
                <w:kern w:val="0"/>
                <w:lang w:eastAsia="zh-CN"/>
                <w14:ligatures w14:val="none"/>
              </w:rPr>
              <w:t>Correlations</w:t>
            </w:r>
          </w:p>
        </w:tc>
      </w:tr>
      <w:tr w:rsidR="00832FF3" w:rsidRPr="00832FF3" w14:paraId="20B3114E" w14:textId="77777777" w:rsidTr="00483C28">
        <w:trPr>
          <w:cantSplit/>
        </w:trPr>
        <w:tc>
          <w:tcPr>
            <w:tcW w:w="4422" w:type="dxa"/>
            <w:gridSpan w:val="2"/>
            <w:tcBorders>
              <w:top w:val="single" w:sz="16" w:space="0" w:color="000000"/>
              <w:left w:val="single" w:sz="16" w:space="0" w:color="000000"/>
              <w:bottom w:val="single" w:sz="16" w:space="0" w:color="000000"/>
              <w:right w:val="nil"/>
            </w:tcBorders>
            <w:shd w:val="clear" w:color="auto" w:fill="FFFFFF"/>
          </w:tcPr>
          <w:p w14:paraId="24238CE7"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p>
        </w:tc>
        <w:tc>
          <w:tcPr>
            <w:tcW w:w="1468" w:type="dxa"/>
            <w:tcBorders>
              <w:top w:val="single" w:sz="16" w:space="0" w:color="000000"/>
              <w:left w:val="single" w:sz="16" w:space="0" w:color="000000"/>
              <w:bottom w:val="single" w:sz="16" w:space="0" w:color="000000"/>
            </w:tcBorders>
            <w:shd w:val="clear" w:color="auto" w:fill="FFFFFF"/>
          </w:tcPr>
          <w:p w14:paraId="02E12DFF"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Incident Recovery</w:t>
            </w:r>
          </w:p>
        </w:tc>
        <w:tc>
          <w:tcPr>
            <w:tcW w:w="1468" w:type="dxa"/>
            <w:tcBorders>
              <w:top w:val="single" w:sz="16" w:space="0" w:color="000000"/>
              <w:bottom w:val="single" w:sz="16" w:space="0" w:color="000000"/>
              <w:right w:val="single" w:sz="16" w:space="0" w:color="000000"/>
            </w:tcBorders>
            <w:shd w:val="clear" w:color="auto" w:fill="FFFFFF"/>
          </w:tcPr>
          <w:p w14:paraId="13AE4C55" w14:textId="77777777" w:rsidR="00832FF3" w:rsidRPr="00832FF3" w:rsidRDefault="00832FF3" w:rsidP="00AE7FA9">
            <w:pPr>
              <w:autoSpaceDE w:val="0"/>
              <w:autoSpaceDN w:val="0"/>
              <w:adjustRightInd w:val="0"/>
              <w:spacing w:after="0" w:line="240" w:lineRule="auto"/>
              <w:ind w:left="60" w:right="60"/>
              <w:jc w:val="center"/>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Customer Trust</w:t>
            </w:r>
          </w:p>
        </w:tc>
      </w:tr>
      <w:tr w:rsidR="00832FF3" w:rsidRPr="00832FF3" w14:paraId="3E4ABF5C" w14:textId="77777777" w:rsidTr="00483C28">
        <w:trPr>
          <w:cantSplit/>
        </w:trPr>
        <w:tc>
          <w:tcPr>
            <w:tcW w:w="2448" w:type="dxa"/>
            <w:vMerge w:val="restart"/>
            <w:tcBorders>
              <w:top w:val="single" w:sz="16" w:space="0" w:color="000000"/>
              <w:left w:val="single" w:sz="16" w:space="0" w:color="000000"/>
              <w:bottom w:val="nil"/>
              <w:right w:val="nil"/>
            </w:tcBorders>
            <w:shd w:val="clear" w:color="auto" w:fill="FFFFFF"/>
            <w:vAlign w:val="center"/>
          </w:tcPr>
          <w:p w14:paraId="10AB9F33"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Incident Recovery</w:t>
            </w:r>
          </w:p>
        </w:tc>
        <w:tc>
          <w:tcPr>
            <w:tcW w:w="1974" w:type="dxa"/>
            <w:tcBorders>
              <w:top w:val="single" w:sz="16" w:space="0" w:color="000000"/>
              <w:left w:val="nil"/>
              <w:bottom w:val="nil"/>
              <w:right w:val="single" w:sz="16" w:space="0" w:color="000000"/>
            </w:tcBorders>
            <w:shd w:val="clear" w:color="auto" w:fill="FFFFFF"/>
            <w:vAlign w:val="center"/>
          </w:tcPr>
          <w:p w14:paraId="2307346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Pearson Correlation</w:t>
            </w:r>
          </w:p>
        </w:tc>
        <w:tc>
          <w:tcPr>
            <w:tcW w:w="1468" w:type="dxa"/>
            <w:tcBorders>
              <w:top w:val="single" w:sz="16" w:space="0" w:color="000000"/>
              <w:left w:val="single" w:sz="16" w:space="0" w:color="000000"/>
              <w:bottom w:val="nil"/>
            </w:tcBorders>
            <w:shd w:val="clear" w:color="auto" w:fill="FFFFFF"/>
            <w:vAlign w:val="center"/>
          </w:tcPr>
          <w:p w14:paraId="66723B31"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1</w:t>
            </w:r>
          </w:p>
        </w:tc>
        <w:tc>
          <w:tcPr>
            <w:tcW w:w="1468" w:type="dxa"/>
            <w:tcBorders>
              <w:top w:val="single" w:sz="16" w:space="0" w:color="000000"/>
              <w:bottom w:val="nil"/>
              <w:right w:val="single" w:sz="16" w:space="0" w:color="000000"/>
            </w:tcBorders>
            <w:shd w:val="clear" w:color="auto" w:fill="FFFFFF"/>
            <w:vAlign w:val="center"/>
          </w:tcPr>
          <w:p w14:paraId="4755B69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.207</w:t>
            </w:r>
            <w:r w:rsidRPr="00832FF3">
              <w:rPr>
                <w:rFonts w:ascii="Times New Roman" w:eastAsia="SimSun" w:hAnsi="Times New Roman" w:cs="Times New Roman"/>
                <w:color w:val="000000"/>
                <w:kern w:val="0"/>
                <w:vertAlign w:val="superscript"/>
                <w:lang w:eastAsia="zh-CN"/>
                <w14:ligatures w14:val="none"/>
              </w:rPr>
              <w:t>**</w:t>
            </w:r>
          </w:p>
        </w:tc>
      </w:tr>
      <w:tr w:rsidR="00832FF3" w:rsidRPr="00832FF3" w14:paraId="39A8E585" w14:textId="77777777" w:rsidTr="00483C28">
        <w:trPr>
          <w:cantSplit/>
        </w:trPr>
        <w:tc>
          <w:tcPr>
            <w:tcW w:w="2448" w:type="dxa"/>
            <w:vMerge/>
            <w:tcBorders>
              <w:top w:val="single" w:sz="16" w:space="0" w:color="000000"/>
              <w:left w:val="single" w:sz="16" w:space="0" w:color="000000"/>
              <w:bottom w:val="nil"/>
              <w:right w:val="nil"/>
            </w:tcBorders>
            <w:shd w:val="clear" w:color="auto" w:fill="FFFFFF"/>
            <w:vAlign w:val="center"/>
          </w:tcPr>
          <w:p w14:paraId="549BF39A"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7DDD4A36"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Sig. (2-tailed)</w:t>
            </w:r>
          </w:p>
        </w:tc>
        <w:tc>
          <w:tcPr>
            <w:tcW w:w="1468" w:type="dxa"/>
            <w:tcBorders>
              <w:top w:val="nil"/>
              <w:left w:val="single" w:sz="16" w:space="0" w:color="000000"/>
              <w:bottom w:val="nil"/>
            </w:tcBorders>
            <w:shd w:val="clear" w:color="auto" w:fill="FFFFFF"/>
          </w:tcPr>
          <w:p w14:paraId="2D74EFB5"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c>
          <w:tcPr>
            <w:tcW w:w="1468" w:type="dxa"/>
            <w:tcBorders>
              <w:top w:val="nil"/>
              <w:bottom w:val="nil"/>
              <w:right w:val="single" w:sz="16" w:space="0" w:color="000000"/>
            </w:tcBorders>
            <w:shd w:val="clear" w:color="auto" w:fill="FFFFFF"/>
            <w:vAlign w:val="center"/>
          </w:tcPr>
          <w:p w14:paraId="7A1CB06B"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.000</w:t>
            </w:r>
          </w:p>
        </w:tc>
      </w:tr>
      <w:tr w:rsidR="00832FF3" w:rsidRPr="00832FF3" w14:paraId="309DF7C1" w14:textId="77777777" w:rsidTr="00483C28">
        <w:trPr>
          <w:cantSplit/>
        </w:trPr>
        <w:tc>
          <w:tcPr>
            <w:tcW w:w="2448" w:type="dxa"/>
            <w:vMerge/>
            <w:tcBorders>
              <w:top w:val="single" w:sz="16" w:space="0" w:color="000000"/>
              <w:left w:val="single" w:sz="16" w:space="0" w:color="000000"/>
              <w:bottom w:val="nil"/>
              <w:right w:val="nil"/>
            </w:tcBorders>
            <w:shd w:val="clear" w:color="auto" w:fill="FFFFFF"/>
            <w:vAlign w:val="center"/>
          </w:tcPr>
          <w:p w14:paraId="1F79E17B"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21CBEE12"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N</w:t>
            </w:r>
          </w:p>
        </w:tc>
        <w:tc>
          <w:tcPr>
            <w:tcW w:w="1468" w:type="dxa"/>
            <w:tcBorders>
              <w:top w:val="nil"/>
              <w:left w:val="single" w:sz="16" w:space="0" w:color="000000"/>
              <w:bottom w:val="nil"/>
            </w:tcBorders>
            <w:shd w:val="clear" w:color="auto" w:fill="FFFFFF"/>
            <w:vAlign w:val="center"/>
          </w:tcPr>
          <w:p w14:paraId="2778FFD5"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c>
          <w:tcPr>
            <w:tcW w:w="1468" w:type="dxa"/>
            <w:tcBorders>
              <w:top w:val="nil"/>
              <w:bottom w:val="nil"/>
              <w:right w:val="single" w:sz="16" w:space="0" w:color="000000"/>
            </w:tcBorders>
            <w:shd w:val="clear" w:color="auto" w:fill="FFFFFF"/>
            <w:vAlign w:val="center"/>
          </w:tcPr>
          <w:p w14:paraId="67FB594E"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r>
      <w:tr w:rsidR="00832FF3" w:rsidRPr="00832FF3" w14:paraId="300456FB" w14:textId="77777777" w:rsidTr="00483C28">
        <w:trPr>
          <w:cantSplit/>
        </w:trPr>
        <w:tc>
          <w:tcPr>
            <w:tcW w:w="2448" w:type="dxa"/>
            <w:vMerge w:val="restart"/>
            <w:tcBorders>
              <w:top w:val="nil"/>
              <w:left w:val="single" w:sz="16" w:space="0" w:color="000000"/>
              <w:bottom w:val="single" w:sz="16" w:space="0" w:color="000000"/>
              <w:right w:val="nil"/>
            </w:tcBorders>
            <w:shd w:val="clear" w:color="auto" w:fill="FFFFFF"/>
            <w:vAlign w:val="center"/>
          </w:tcPr>
          <w:p w14:paraId="3736689A"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Customer Trust</w:t>
            </w:r>
          </w:p>
        </w:tc>
        <w:tc>
          <w:tcPr>
            <w:tcW w:w="1974" w:type="dxa"/>
            <w:tcBorders>
              <w:top w:val="nil"/>
              <w:left w:val="nil"/>
              <w:bottom w:val="nil"/>
              <w:right w:val="single" w:sz="16" w:space="0" w:color="000000"/>
            </w:tcBorders>
            <w:shd w:val="clear" w:color="auto" w:fill="FFFFFF"/>
            <w:vAlign w:val="center"/>
          </w:tcPr>
          <w:p w14:paraId="3D57AC5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Pearson Correlation</w:t>
            </w:r>
          </w:p>
        </w:tc>
        <w:tc>
          <w:tcPr>
            <w:tcW w:w="1468" w:type="dxa"/>
            <w:tcBorders>
              <w:top w:val="nil"/>
              <w:left w:val="single" w:sz="16" w:space="0" w:color="000000"/>
              <w:bottom w:val="nil"/>
            </w:tcBorders>
            <w:shd w:val="clear" w:color="auto" w:fill="FFFFFF"/>
            <w:vAlign w:val="center"/>
          </w:tcPr>
          <w:p w14:paraId="677B81FC"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.207</w:t>
            </w:r>
            <w:r w:rsidRPr="00832FF3">
              <w:rPr>
                <w:rFonts w:ascii="Times New Roman" w:eastAsia="SimSun" w:hAnsi="Times New Roman" w:cs="Times New Roman"/>
                <w:color w:val="000000"/>
                <w:kern w:val="0"/>
                <w:vertAlign w:val="superscript"/>
                <w:lang w:eastAsia="zh-CN"/>
                <w14:ligatures w14:val="none"/>
              </w:rPr>
              <w:t>**</w:t>
            </w:r>
          </w:p>
        </w:tc>
        <w:tc>
          <w:tcPr>
            <w:tcW w:w="1468" w:type="dxa"/>
            <w:tcBorders>
              <w:top w:val="nil"/>
              <w:bottom w:val="nil"/>
              <w:right w:val="single" w:sz="16" w:space="0" w:color="000000"/>
            </w:tcBorders>
            <w:shd w:val="clear" w:color="auto" w:fill="FFFFFF"/>
            <w:vAlign w:val="center"/>
          </w:tcPr>
          <w:p w14:paraId="08368E7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1</w:t>
            </w:r>
          </w:p>
        </w:tc>
      </w:tr>
      <w:tr w:rsidR="00832FF3" w:rsidRPr="00832FF3" w14:paraId="0FBD9576" w14:textId="77777777" w:rsidTr="00483C28">
        <w:trPr>
          <w:cantSplit/>
        </w:trPr>
        <w:tc>
          <w:tcPr>
            <w:tcW w:w="2448" w:type="dxa"/>
            <w:vMerge/>
            <w:tcBorders>
              <w:top w:val="nil"/>
              <w:left w:val="single" w:sz="16" w:space="0" w:color="000000"/>
              <w:bottom w:val="single" w:sz="16" w:space="0" w:color="000000"/>
              <w:right w:val="nil"/>
            </w:tcBorders>
            <w:shd w:val="clear" w:color="auto" w:fill="FFFFFF"/>
            <w:vAlign w:val="center"/>
          </w:tcPr>
          <w:p w14:paraId="3189964E"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color w:val="000000"/>
                <w:kern w:val="0"/>
                <w:lang w:eastAsia="zh-CN"/>
                <w14:ligatures w14:val="none"/>
              </w:rPr>
            </w:pPr>
          </w:p>
        </w:tc>
        <w:tc>
          <w:tcPr>
            <w:tcW w:w="1974" w:type="dxa"/>
            <w:tcBorders>
              <w:top w:val="nil"/>
              <w:left w:val="nil"/>
              <w:bottom w:val="nil"/>
              <w:right w:val="single" w:sz="16" w:space="0" w:color="000000"/>
            </w:tcBorders>
            <w:shd w:val="clear" w:color="auto" w:fill="FFFFFF"/>
            <w:vAlign w:val="center"/>
          </w:tcPr>
          <w:p w14:paraId="0657EDE1"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Sig. (2-tailed)</w:t>
            </w:r>
          </w:p>
        </w:tc>
        <w:tc>
          <w:tcPr>
            <w:tcW w:w="1468" w:type="dxa"/>
            <w:tcBorders>
              <w:top w:val="nil"/>
              <w:left w:val="single" w:sz="16" w:space="0" w:color="000000"/>
              <w:bottom w:val="nil"/>
            </w:tcBorders>
            <w:shd w:val="clear" w:color="auto" w:fill="FFFFFF"/>
            <w:vAlign w:val="center"/>
          </w:tcPr>
          <w:p w14:paraId="764D8569"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.000</w:t>
            </w:r>
          </w:p>
        </w:tc>
        <w:tc>
          <w:tcPr>
            <w:tcW w:w="1468" w:type="dxa"/>
            <w:tcBorders>
              <w:top w:val="nil"/>
              <w:bottom w:val="nil"/>
              <w:right w:val="single" w:sz="16" w:space="0" w:color="000000"/>
            </w:tcBorders>
            <w:shd w:val="clear" w:color="auto" w:fill="FFFFFF"/>
          </w:tcPr>
          <w:p w14:paraId="17040196"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r>
      <w:tr w:rsidR="00832FF3" w:rsidRPr="00832FF3" w14:paraId="14A99D44" w14:textId="77777777" w:rsidTr="00483C28">
        <w:trPr>
          <w:cantSplit/>
        </w:trPr>
        <w:tc>
          <w:tcPr>
            <w:tcW w:w="2448" w:type="dxa"/>
            <w:vMerge/>
            <w:tcBorders>
              <w:top w:val="nil"/>
              <w:left w:val="single" w:sz="16" w:space="0" w:color="000000"/>
              <w:bottom w:val="single" w:sz="16" w:space="0" w:color="000000"/>
              <w:right w:val="nil"/>
            </w:tcBorders>
            <w:shd w:val="clear" w:color="auto" w:fill="FFFFFF"/>
            <w:vAlign w:val="center"/>
          </w:tcPr>
          <w:p w14:paraId="771B8BA8" w14:textId="77777777" w:rsidR="00832FF3" w:rsidRPr="00832FF3" w:rsidRDefault="00832FF3" w:rsidP="00AE7FA9">
            <w:pPr>
              <w:autoSpaceDE w:val="0"/>
              <w:autoSpaceDN w:val="0"/>
              <w:adjustRightInd w:val="0"/>
              <w:spacing w:after="0" w:line="240" w:lineRule="auto"/>
              <w:jc w:val="both"/>
              <w:rPr>
                <w:rFonts w:ascii="Times New Roman" w:eastAsia="SimSun" w:hAnsi="Times New Roman" w:cs="Times New Roman"/>
                <w:kern w:val="0"/>
                <w:lang w:eastAsia="zh-CN"/>
                <w14:ligatures w14:val="none"/>
              </w:rPr>
            </w:pPr>
          </w:p>
        </w:tc>
        <w:tc>
          <w:tcPr>
            <w:tcW w:w="1974" w:type="dxa"/>
            <w:tcBorders>
              <w:top w:val="nil"/>
              <w:left w:val="nil"/>
              <w:bottom w:val="single" w:sz="16" w:space="0" w:color="000000"/>
              <w:right w:val="single" w:sz="16" w:space="0" w:color="000000"/>
            </w:tcBorders>
            <w:shd w:val="clear" w:color="auto" w:fill="FFFFFF"/>
            <w:vAlign w:val="center"/>
          </w:tcPr>
          <w:p w14:paraId="76C9AA4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N</w:t>
            </w:r>
          </w:p>
        </w:tc>
        <w:tc>
          <w:tcPr>
            <w:tcW w:w="1468" w:type="dxa"/>
            <w:tcBorders>
              <w:top w:val="nil"/>
              <w:left w:val="single" w:sz="16" w:space="0" w:color="000000"/>
              <w:bottom w:val="single" w:sz="16" w:space="0" w:color="000000"/>
            </w:tcBorders>
            <w:shd w:val="clear" w:color="auto" w:fill="FFFFFF"/>
            <w:vAlign w:val="center"/>
          </w:tcPr>
          <w:p w14:paraId="31968EE8"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c>
          <w:tcPr>
            <w:tcW w:w="1468" w:type="dxa"/>
            <w:tcBorders>
              <w:top w:val="nil"/>
              <w:bottom w:val="single" w:sz="16" w:space="0" w:color="000000"/>
              <w:right w:val="single" w:sz="16" w:space="0" w:color="000000"/>
            </w:tcBorders>
            <w:shd w:val="clear" w:color="auto" w:fill="FFFFFF"/>
            <w:vAlign w:val="center"/>
          </w:tcPr>
          <w:p w14:paraId="77F532C5"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212</w:t>
            </w:r>
          </w:p>
        </w:tc>
      </w:tr>
      <w:tr w:rsidR="00832FF3" w:rsidRPr="00832FF3" w14:paraId="6CDED48E" w14:textId="77777777" w:rsidTr="00483C28">
        <w:trPr>
          <w:cantSplit/>
        </w:trPr>
        <w:tc>
          <w:tcPr>
            <w:tcW w:w="7358" w:type="dxa"/>
            <w:gridSpan w:val="4"/>
            <w:tcBorders>
              <w:top w:val="nil"/>
              <w:left w:val="nil"/>
              <w:bottom w:val="nil"/>
              <w:right w:val="nil"/>
            </w:tcBorders>
            <w:shd w:val="clear" w:color="auto" w:fill="FFFFFF"/>
          </w:tcPr>
          <w:p w14:paraId="4A02EA2E" w14:textId="77777777" w:rsidR="00832FF3" w:rsidRPr="00832FF3" w:rsidRDefault="00832FF3" w:rsidP="00AE7FA9">
            <w:pPr>
              <w:autoSpaceDE w:val="0"/>
              <w:autoSpaceDN w:val="0"/>
              <w:adjustRightInd w:val="0"/>
              <w:spacing w:after="0" w:line="240" w:lineRule="auto"/>
              <w:ind w:left="60" w:right="60"/>
              <w:jc w:val="both"/>
              <w:rPr>
                <w:rFonts w:ascii="Times New Roman" w:eastAsia="SimSun" w:hAnsi="Times New Roman" w:cs="Times New Roman"/>
                <w:color w:val="000000"/>
                <w:kern w:val="0"/>
                <w:lang w:eastAsia="zh-CN"/>
                <w14:ligatures w14:val="none"/>
              </w:rPr>
            </w:pPr>
            <w:r w:rsidRPr="00832FF3">
              <w:rPr>
                <w:rFonts w:ascii="Times New Roman" w:eastAsia="SimSun" w:hAnsi="Times New Roman" w:cs="Times New Roman"/>
                <w:color w:val="000000"/>
                <w:kern w:val="0"/>
                <w:lang w:eastAsia="zh-CN"/>
                <w14:ligatures w14:val="none"/>
              </w:rPr>
              <w:t>**. Correlation is significant at the 0.01 level (2-tailed).</w:t>
            </w:r>
          </w:p>
        </w:tc>
      </w:tr>
    </w:tbl>
    <w:p w14:paraId="3B8D305D"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Incident Recovery versus Customer Trust also shows a positive but small association (r = .207), with an r² around 4.29 percent. The direction of this relationship accords with literature that highlights the importance of recovery capability for trust restoration, but the modest size reflects the conditional relevance of recovery: preparedness matters most when an incident occurs or when customers are made explicitly aware of recovery plans. The review’s synthesis of post-incident trust dynamics, including work by Chen et al., indicates that recovery procedures and transparent incident communication can substantially influence repurchase intention and reputation after a breach. The present cross-sectional result agrees with Chen et al. on the value of recovery, but it also underscores that pre-incident perceptions of recovery capacity contribute less to baseline trust than governance signals, likely because customers seldom observe recovery capability in routine usage.</w:t>
      </w:r>
      <w:bookmarkEnd w:id="84"/>
    </w:p>
    <w:p w14:paraId="32854577" w14:textId="77777777" w:rsidR="00832FF3" w:rsidRPr="00832FF3" w:rsidRDefault="00832FF3" w:rsidP="00AE7FA9">
      <w:pPr>
        <w:numPr>
          <w:ilvl w:val="0"/>
          <w:numId w:val="61"/>
        </w:numPr>
        <w:spacing w:before="100" w:beforeAutospacing="1" w:after="100" w:afterAutospacing="1" w:line="240" w:lineRule="auto"/>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lastRenderedPageBreak/>
        <w:t>Conclusion</w:t>
      </w:r>
    </w:p>
    <w:p w14:paraId="3DC6AC5D"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empirical pattern observed in the present dataset supports a positive but nuanced relationship between cyber risk-management capability and customer digital trust. Governance capability emerges as the most influential single predictor in this sample, explaining approximately 9.4% of variance in customer trust, while technical controls and incident recovery explain roughly 5.3% and 4.3% respectively. These magnitudes indicate that cybersecurity capability matters for trust formation, but that trust is multi-determined and that the majority of variance in trust remains attributable to other organizational, market and experiential factors. The findings accord with recent cross-platform governance research that highlights the signaling value of formal rules and oversight for trust formation (Wang et al.), and they are consistent with evidence that technical safeguards raise perceived security primarily when they are both present and made perceptible to users (</w:t>
      </w:r>
      <w:proofErr w:type="spellStart"/>
      <w:r w:rsidRPr="00832FF3">
        <w:rPr>
          <w:rFonts w:ascii="Times New Roman" w:eastAsia="Times New Roman" w:hAnsi="Times New Roman" w:cs="Times New Roman"/>
          <w:kern w:val="0"/>
          <w14:ligatures w14:val="none"/>
        </w:rPr>
        <w:t>Hadlington</w:t>
      </w:r>
      <w:proofErr w:type="spellEnd"/>
      <w:r w:rsidRPr="00832FF3">
        <w:rPr>
          <w:rFonts w:ascii="Times New Roman" w:eastAsia="Times New Roman" w:hAnsi="Times New Roman" w:cs="Times New Roman"/>
          <w:kern w:val="0"/>
          <w14:ligatures w14:val="none"/>
        </w:rPr>
        <w:t xml:space="preserve"> et al.). The modest contribution of recovery capability aligns with studies showing that recovery yields its strongest reputational returns in post-incident contexts and when recovery practices are visible to customers (Chen et al.). Taken together, the results lend empirical support to a resource-based reading that treats cyber risk-management capability as a firm resource that can enhance competitive positioning through trust formation, while also underscoring the limits of any single capability in explaining complex customer beliefs and intentions.</w:t>
      </w:r>
    </w:p>
    <w:p w14:paraId="6FC5DBC2" w14:textId="77777777" w:rsidR="00832FF3" w:rsidRPr="00832FF3" w:rsidRDefault="00832FF3" w:rsidP="00AE7FA9">
      <w:pPr>
        <w:numPr>
          <w:ilvl w:val="0"/>
          <w:numId w:val="61"/>
        </w:numPr>
        <w:spacing w:before="100" w:beforeAutospacing="1" w:after="100" w:afterAutospacing="1" w:line="240" w:lineRule="auto"/>
        <w:contextualSpacing/>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Practical Implication</w:t>
      </w:r>
    </w:p>
    <w:p w14:paraId="148CA6A1"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The practical implications flow directly from these empirical patterns and from established conceptual work on cybersecurity practice. First, e-commerce founders and leaders should prioritize the development and public communication of governance arrangements clear privacy and data-use policies, designated responsibility for information security, and concise customer-facing governance statements; because governance cues yield comparatively larger perceptual gains among customers. </w:t>
      </w:r>
    </w:p>
    <w:p w14:paraId="72E1196B"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Second, technical controls remain essential but produce larger trust dividends when surfaced to users; therefore, start-ups should combine necessary backend measures (authentication, encryption, vulnerability management) with explicit, intelligible user cues (security badges, simple privacy explanations, and transaction-level security messages). </w:t>
      </w:r>
    </w:p>
    <w:p w14:paraId="40992125"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Third, incident recovery capability should be institutionalized and rehearsed; while its effect on baseline trust is modest, recovery procedures and transparent post-incident communication materially support trust restoration, a conclusion echoed by regional e-retail evidence on trust and continuance intention. </w:t>
      </w:r>
    </w:p>
    <w:p w14:paraId="4D996B45"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Practically, these steps are feasible for resource-constrained firms because they emphasize governance clarity, low-cost communication, and tested recovery playbooks rather than expensive bespoke technologies.</w:t>
      </w:r>
    </w:p>
    <w:p w14:paraId="11B52650" w14:textId="77777777" w:rsidR="00832FF3" w:rsidRPr="00832FF3" w:rsidRDefault="00832FF3" w:rsidP="00AE7FA9">
      <w:pPr>
        <w:numPr>
          <w:ilvl w:val="0"/>
          <w:numId w:val="61"/>
        </w:numPr>
        <w:spacing w:before="100" w:beforeAutospacing="1" w:after="100" w:afterAutospacing="1" w:line="240" w:lineRule="auto"/>
        <w:contextualSpacing/>
        <w:jc w:val="both"/>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Recommendations</w:t>
      </w:r>
    </w:p>
    <w:p w14:paraId="6D8B8248"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Finally, the paper offers several recommendations for research and practice. </w:t>
      </w:r>
    </w:p>
    <w:p w14:paraId="1C11FF57"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For scholars, future work should employ multilevel and longitudinal designs to unpack causal sequencing and to capture post-incident trust dynamics more directly; such designs would help determine whether governance and technical investments produce persistent changes in customer </w:t>
      </w:r>
      <w:proofErr w:type="spellStart"/>
      <w:r w:rsidRPr="00832FF3">
        <w:rPr>
          <w:rFonts w:ascii="Times New Roman" w:eastAsia="Times New Roman" w:hAnsi="Times New Roman" w:cs="Times New Roman"/>
          <w:kern w:val="0"/>
          <w14:ligatures w14:val="none"/>
        </w:rPr>
        <w:t>behaviour</w:t>
      </w:r>
      <w:proofErr w:type="spellEnd"/>
      <w:r w:rsidRPr="00832FF3">
        <w:rPr>
          <w:rFonts w:ascii="Times New Roman" w:eastAsia="Times New Roman" w:hAnsi="Times New Roman" w:cs="Times New Roman"/>
          <w:kern w:val="0"/>
          <w14:ligatures w14:val="none"/>
        </w:rPr>
        <w:t xml:space="preserve"> or whether their effects depend on episodic events. </w:t>
      </w:r>
    </w:p>
    <w:p w14:paraId="797D77C1"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For practitioners and policymakers, incubators, industry associations and regulators should prioritize capacity building that helps start-ups formalize basic governance structures, access shared technical resources (for example through subsidized security toolkits or shared SOC services), and adopt standard incident disclosure protocols; these measures would amplify the trust benefits of limited investments and reduce systemic vulnerability in nascent digital markets. Broader comparative studies across African e-commerce ecosystems would also be valuable to test the generalizability of these findings across varying institutional environments. </w:t>
      </w:r>
      <w:r w:rsidRPr="00832FF3">
        <w:rPr>
          <w:rFonts w:ascii="Times New Roman" w:eastAsia="Times New Roman" w:hAnsi="Times New Roman" w:cs="Times New Roman"/>
          <w:kern w:val="0"/>
          <w14:ligatures w14:val="none"/>
        </w:rPr>
        <w:lastRenderedPageBreak/>
        <w:t>Together, these recommendations aim to align scarce firm resources with the highest-impact trust levers identified in the present study and the supporting literature.</w:t>
      </w:r>
    </w:p>
    <w:p w14:paraId="099ACCEB" w14:textId="77777777" w:rsidR="00832FF3" w:rsidRPr="00832FF3" w:rsidRDefault="00832FF3" w:rsidP="00AE7FA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References</w:t>
      </w:r>
    </w:p>
    <w:p w14:paraId="12B40115"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Adelola, T., Dawson, R., &amp; Batmaz, F. (2015). Nigerians’ perceptions of personal data protection and privacy. </w:t>
      </w:r>
      <w:r w:rsidRPr="00832FF3">
        <w:rPr>
          <w:rFonts w:ascii="Times New Roman" w:eastAsia="Times New Roman" w:hAnsi="Times New Roman" w:cs="Times New Roman"/>
          <w:i/>
          <w:iCs/>
          <w:kern w:val="0"/>
          <w14:ligatures w14:val="none"/>
        </w:rPr>
        <w:t>International Journal of African and Asian Studies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11</w:t>
      </w:r>
      <w:r w:rsidRPr="00832FF3">
        <w:rPr>
          <w:rFonts w:ascii="Times New Roman" w:eastAsia="Times New Roman" w:hAnsi="Times New Roman" w:cs="Times New Roman"/>
          <w:kern w:val="0"/>
          <w14:ligatures w14:val="none"/>
        </w:rPr>
        <w:t>, 13–23.</w:t>
      </w:r>
    </w:p>
    <w:p w14:paraId="1E9A2E77"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Akinola, O., &amp; </w:t>
      </w:r>
      <w:proofErr w:type="spellStart"/>
      <w:r w:rsidRPr="00832FF3">
        <w:rPr>
          <w:rFonts w:ascii="Times New Roman" w:eastAsia="Times New Roman" w:hAnsi="Times New Roman" w:cs="Times New Roman"/>
          <w:kern w:val="0"/>
          <w14:ligatures w14:val="none"/>
        </w:rPr>
        <w:t>Asaolu</w:t>
      </w:r>
      <w:proofErr w:type="spellEnd"/>
      <w:r w:rsidRPr="00832FF3">
        <w:rPr>
          <w:rFonts w:ascii="Times New Roman" w:eastAsia="Times New Roman" w:hAnsi="Times New Roman" w:cs="Times New Roman"/>
          <w:kern w:val="0"/>
          <w14:ligatures w14:val="none"/>
        </w:rPr>
        <w:t xml:space="preserve">, O. (2023). A trust, privacy and security model for e-commerce in Nigeria. </w:t>
      </w:r>
      <w:r w:rsidRPr="00832FF3">
        <w:rPr>
          <w:rFonts w:ascii="Times New Roman" w:eastAsia="Times New Roman" w:hAnsi="Times New Roman" w:cs="Times New Roman"/>
          <w:i/>
          <w:iCs/>
          <w:kern w:val="0"/>
          <w14:ligatures w14:val="none"/>
        </w:rPr>
        <w:t>Nigerian Journal of Technology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42</w:t>
      </w:r>
      <w:r w:rsidRPr="00832FF3">
        <w:rPr>
          <w:rFonts w:ascii="Times New Roman" w:eastAsia="Times New Roman" w:hAnsi="Times New Roman" w:cs="Times New Roman"/>
          <w:kern w:val="0"/>
          <w14:ligatures w14:val="none"/>
        </w:rPr>
        <w:t>(1), 152–159.</w:t>
      </w:r>
    </w:p>
    <w:p w14:paraId="1BF548AD"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Ali, Q., &amp; Khan, M. T. (2021). Impact of cybersecurity breaches and recovery on consumer trust in banking. </w:t>
      </w:r>
      <w:r w:rsidRPr="00832FF3">
        <w:rPr>
          <w:rFonts w:ascii="Times New Roman" w:eastAsia="Times New Roman" w:hAnsi="Times New Roman" w:cs="Times New Roman"/>
          <w:i/>
          <w:iCs/>
          <w:kern w:val="0"/>
          <w14:ligatures w14:val="none"/>
        </w:rPr>
        <w:t>Journal of Financial Services Marketing</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26</w:t>
      </w:r>
      <w:r w:rsidRPr="00832FF3">
        <w:rPr>
          <w:rFonts w:ascii="Times New Roman" w:eastAsia="Times New Roman" w:hAnsi="Times New Roman" w:cs="Times New Roman"/>
          <w:kern w:val="0"/>
          <w14:ligatures w14:val="none"/>
        </w:rPr>
        <w:t>(3), 145–158.</w:t>
      </w:r>
    </w:p>
    <w:p w14:paraId="2BF1C63A"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Barney, J. (1991). Firm resources and sustained competitive advantage. </w:t>
      </w:r>
      <w:r w:rsidRPr="00832FF3">
        <w:rPr>
          <w:rFonts w:ascii="Times New Roman" w:eastAsia="Times New Roman" w:hAnsi="Times New Roman" w:cs="Times New Roman"/>
          <w:i/>
          <w:iCs/>
          <w:kern w:val="0"/>
          <w14:ligatures w14:val="none"/>
        </w:rPr>
        <w:t>Journal of Management</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17</w:t>
      </w:r>
      <w:r w:rsidRPr="00832FF3">
        <w:rPr>
          <w:rFonts w:ascii="Times New Roman" w:eastAsia="Times New Roman" w:hAnsi="Times New Roman" w:cs="Times New Roman"/>
          <w:kern w:val="0"/>
          <w14:ligatures w14:val="none"/>
        </w:rPr>
        <w:t>(1), 99–120.</w:t>
      </w:r>
    </w:p>
    <w:p w14:paraId="754E6D71"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Bharadwaj, A. S. (2000). A resource-based perspective on information technology capability and firm performance. </w:t>
      </w:r>
      <w:r w:rsidRPr="00832FF3">
        <w:rPr>
          <w:rFonts w:ascii="Times New Roman" w:eastAsia="Times New Roman" w:hAnsi="Times New Roman" w:cs="Times New Roman"/>
          <w:i/>
          <w:iCs/>
          <w:kern w:val="0"/>
          <w14:ligatures w14:val="none"/>
        </w:rPr>
        <w:t>MIS Quarterly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24</w:t>
      </w:r>
      <w:r w:rsidRPr="00832FF3">
        <w:rPr>
          <w:rFonts w:ascii="Times New Roman" w:eastAsia="Times New Roman" w:hAnsi="Times New Roman" w:cs="Times New Roman"/>
          <w:kern w:val="0"/>
          <w14:ligatures w14:val="none"/>
        </w:rPr>
        <w:t>(1), 169–196.</w:t>
      </w:r>
    </w:p>
    <w:p w14:paraId="5CC9881A"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Chen, C. C., &amp; Chang, Y. L. (2021). Post-data breach recovery and repurchase intention in e-commerce. </w:t>
      </w:r>
      <w:r w:rsidRPr="00832FF3">
        <w:rPr>
          <w:rFonts w:ascii="Times New Roman" w:eastAsia="Times New Roman" w:hAnsi="Times New Roman" w:cs="Times New Roman"/>
          <w:i/>
          <w:iCs/>
          <w:kern w:val="0"/>
          <w14:ligatures w14:val="none"/>
        </w:rPr>
        <w:t>Electronic Commerce Research and Applications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45</w:t>
      </w:r>
      <w:r w:rsidRPr="00832FF3">
        <w:rPr>
          <w:rFonts w:ascii="Times New Roman" w:eastAsia="Times New Roman" w:hAnsi="Times New Roman" w:cs="Times New Roman"/>
          <w:kern w:val="0"/>
          <w14:ligatures w14:val="none"/>
        </w:rPr>
        <w:t>, 101–115.</w:t>
      </w:r>
    </w:p>
    <w:p w14:paraId="3A77379F"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Chimezie, M., </w:t>
      </w:r>
      <w:proofErr w:type="spellStart"/>
      <w:r w:rsidRPr="00832FF3">
        <w:rPr>
          <w:rFonts w:ascii="Times New Roman" w:eastAsia="Times New Roman" w:hAnsi="Times New Roman" w:cs="Times New Roman"/>
          <w:kern w:val="0"/>
          <w14:ligatures w14:val="none"/>
        </w:rPr>
        <w:t>Benyeogor</w:t>
      </w:r>
      <w:proofErr w:type="spellEnd"/>
      <w:r w:rsidRPr="00832FF3">
        <w:rPr>
          <w:rFonts w:ascii="Times New Roman" w:eastAsia="Times New Roman" w:hAnsi="Times New Roman" w:cs="Times New Roman"/>
          <w:kern w:val="0"/>
          <w14:ligatures w14:val="none"/>
        </w:rPr>
        <w:t xml:space="preserve">, A., </w:t>
      </w:r>
      <w:proofErr w:type="spellStart"/>
      <w:r w:rsidRPr="00832FF3">
        <w:rPr>
          <w:rFonts w:ascii="Times New Roman" w:eastAsia="Times New Roman" w:hAnsi="Times New Roman" w:cs="Times New Roman"/>
          <w:kern w:val="0"/>
          <w14:ligatures w14:val="none"/>
        </w:rPr>
        <w:t>Nkamnebe</w:t>
      </w:r>
      <w:proofErr w:type="spellEnd"/>
      <w:r w:rsidRPr="00832FF3">
        <w:rPr>
          <w:rFonts w:ascii="Times New Roman" w:eastAsia="Times New Roman" w:hAnsi="Times New Roman" w:cs="Times New Roman"/>
          <w:kern w:val="0"/>
          <w14:ligatures w14:val="none"/>
        </w:rPr>
        <w:t xml:space="preserve">, A., &amp; Liu, Y. (2025). Trust as a mediator in Nigerian e-commerce: Impacts on consumer behavior, product quality, and convenience. </w:t>
      </w:r>
      <w:r w:rsidRPr="00832FF3">
        <w:rPr>
          <w:rFonts w:ascii="Times New Roman" w:eastAsia="Times New Roman" w:hAnsi="Times New Roman" w:cs="Times New Roman"/>
          <w:i/>
          <w:iCs/>
          <w:kern w:val="0"/>
          <w14:ligatures w14:val="none"/>
        </w:rPr>
        <w:t>Open Journal of Business and Management</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13</w:t>
      </w:r>
      <w:r w:rsidRPr="00832FF3">
        <w:rPr>
          <w:rFonts w:ascii="Times New Roman" w:eastAsia="Times New Roman" w:hAnsi="Times New Roman" w:cs="Times New Roman"/>
          <w:kern w:val="0"/>
          <w14:ligatures w14:val="none"/>
        </w:rPr>
        <w:t>(1), 258–277.</w:t>
      </w:r>
    </w:p>
    <w:p w14:paraId="0A9D9100"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Creswell, J. W., &amp; Creswell, J. D. (2018). </w:t>
      </w:r>
      <w:r w:rsidRPr="00832FF3">
        <w:rPr>
          <w:rFonts w:ascii="Times New Roman" w:eastAsia="Times New Roman" w:hAnsi="Times New Roman" w:cs="Times New Roman"/>
          <w:i/>
          <w:iCs/>
          <w:kern w:val="0"/>
          <w14:ligatures w14:val="none"/>
        </w:rPr>
        <w:t xml:space="preserve">Research design: Qualitative, quantitative, and mixed methods </w:t>
      </w:r>
      <w:proofErr w:type="gramStart"/>
      <w:r w:rsidRPr="00832FF3">
        <w:rPr>
          <w:rFonts w:ascii="Times New Roman" w:eastAsia="Times New Roman" w:hAnsi="Times New Roman" w:cs="Times New Roman"/>
          <w:i/>
          <w:iCs/>
          <w:kern w:val="0"/>
          <w14:ligatures w14:val="none"/>
        </w:rPr>
        <w:t>approaches</w:t>
      </w:r>
      <w:proofErr w:type="gramEnd"/>
      <w:r w:rsidRPr="00832FF3">
        <w:rPr>
          <w:rFonts w:ascii="Times New Roman" w:eastAsia="Times New Roman" w:hAnsi="Times New Roman" w:cs="Times New Roman"/>
          <w:kern w:val="0"/>
          <w14:ligatures w14:val="none"/>
        </w:rPr>
        <w:t xml:space="preserve"> (5th ed.). Sage.</w:t>
      </w:r>
    </w:p>
    <w:p w14:paraId="59D0765B"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Davis, F. D. (1989). Perceived usefulness, perceived ease of use, and user acceptance of information technology. </w:t>
      </w:r>
      <w:r w:rsidRPr="00832FF3">
        <w:rPr>
          <w:rFonts w:ascii="Times New Roman" w:eastAsia="Times New Roman" w:hAnsi="Times New Roman" w:cs="Times New Roman"/>
          <w:i/>
          <w:iCs/>
          <w:kern w:val="0"/>
          <w14:ligatures w14:val="none"/>
        </w:rPr>
        <w:t>MIS Quarterly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13</w:t>
      </w:r>
      <w:r w:rsidRPr="00832FF3">
        <w:rPr>
          <w:rFonts w:ascii="Times New Roman" w:eastAsia="Times New Roman" w:hAnsi="Times New Roman" w:cs="Times New Roman"/>
          <w:kern w:val="0"/>
          <w14:ligatures w14:val="none"/>
        </w:rPr>
        <w:t>(3), 319–340.</w:t>
      </w:r>
    </w:p>
    <w:p w14:paraId="2D59543B"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Degutis, M., Urbonavičius, S., </w:t>
      </w:r>
      <w:proofErr w:type="spellStart"/>
      <w:r w:rsidRPr="00832FF3">
        <w:rPr>
          <w:rFonts w:ascii="Times New Roman" w:eastAsia="Times New Roman" w:hAnsi="Times New Roman" w:cs="Times New Roman"/>
          <w:kern w:val="0"/>
          <w14:ligatures w14:val="none"/>
        </w:rPr>
        <w:t>Hollebeek</w:t>
      </w:r>
      <w:proofErr w:type="spellEnd"/>
      <w:r w:rsidRPr="00832FF3">
        <w:rPr>
          <w:rFonts w:ascii="Times New Roman" w:eastAsia="Times New Roman" w:hAnsi="Times New Roman" w:cs="Times New Roman"/>
          <w:kern w:val="0"/>
          <w14:ligatures w14:val="none"/>
        </w:rPr>
        <w:t xml:space="preserve">, L., &amp; Anselmsson, J. (2023). Consumers’ willingness to disclose their personal data in e-commerce: A reciprocity-based social exchange perspective. </w:t>
      </w:r>
      <w:r w:rsidRPr="00832FF3">
        <w:rPr>
          <w:rFonts w:ascii="Times New Roman" w:eastAsia="Times New Roman" w:hAnsi="Times New Roman" w:cs="Times New Roman"/>
          <w:i/>
          <w:iCs/>
          <w:kern w:val="0"/>
          <w14:ligatures w14:val="none"/>
        </w:rPr>
        <w:t>Journal of Retailing and Consumer Services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74</w:t>
      </w:r>
      <w:r w:rsidRPr="00832FF3">
        <w:rPr>
          <w:rFonts w:ascii="Times New Roman" w:eastAsia="Times New Roman" w:hAnsi="Times New Roman" w:cs="Times New Roman"/>
          <w:kern w:val="0"/>
          <w14:ligatures w14:val="none"/>
        </w:rPr>
        <w:t>, Article 103385.</w:t>
      </w:r>
    </w:p>
    <w:p w14:paraId="570126BC"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Dinev, T., &amp; Hart, P. (2006). An extended privacy calculus model for e-commerce transactions. </w:t>
      </w:r>
      <w:r w:rsidRPr="00832FF3">
        <w:rPr>
          <w:rFonts w:ascii="Times New Roman" w:eastAsia="Times New Roman" w:hAnsi="Times New Roman" w:cs="Times New Roman"/>
          <w:i/>
          <w:iCs/>
          <w:kern w:val="0"/>
          <w14:ligatures w14:val="none"/>
        </w:rPr>
        <w:t>Information Systems Research</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17</w:t>
      </w:r>
      <w:r w:rsidRPr="00832FF3">
        <w:rPr>
          <w:rFonts w:ascii="Times New Roman" w:eastAsia="Times New Roman" w:hAnsi="Times New Roman" w:cs="Times New Roman"/>
          <w:kern w:val="0"/>
          <w14:ligatures w14:val="none"/>
        </w:rPr>
        <w:t>(1), 61–90.</w:t>
      </w:r>
    </w:p>
    <w:p w14:paraId="6237E930"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Dickson, B. U., Osuagwu, O. B., Nwosu, S. N., &amp; Otika, U. S. (2021). Integrating trust into Technology Acceptance Model (TAM): A conceptual framework for e-payment platform acceptance. </w:t>
      </w:r>
      <w:r w:rsidRPr="00832FF3">
        <w:rPr>
          <w:rFonts w:ascii="Times New Roman" w:eastAsia="Times New Roman" w:hAnsi="Times New Roman" w:cs="Times New Roman"/>
          <w:i/>
          <w:iCs/>
          <w:kern w:val="0"/>
          <w14:ligatures w14:val="none"/>
        </w:rPr>
        <w:t>British Journal of Management and Marketing Studies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4</w:t>
      </w:r>
      <w:r w:rsidRPr="00832FF3">
        <w:rPr>
          <w:rFonts w:ascii="Times New Roman" w:eastAsia="Times New Roman" w:hAnsi="Times New Roman" w:cs="Times New Roman"/>
          <w:kern w:val="0"/>
          <w14:ligatures w14:val="none"/>
        </w:rPr>
        <w:t>(4), 34–56.</w:t>
      </w:r>
    </w:p>
    <w:p w14:paraId="15F9D00D"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Elumah</w:t>
      </w:r>
      <w:proofErr w:type="spellEnd"/>
      <w:r w:rsidRPr="00832FF3">
        <w:rPr>
          <w:rFonts w:ascii="Times New Roman" w:eastAsia="Times New Roman" w:hAnsi="Times New Roman" w:cs="Times New Roman"/>
          <w:kern w:val="0"/>
          <w14:ligatures w14:val="none"/>
        </w:rPr>
        <w:t xml:space="preserve">, L. O., George, O. J., &amp; </w:t>
      </w:r>
      <w:proofErr w:type="spellStart"/>
      <w:r w:rsidRPr="00832FF3">
        <w:rPr>
          <w:rFonts w:ascii="Times New Roman" w:eastAsia="Times New Roman" w:hAnsi="Times New Roman" w:cs="Times New Roman"/>
          <w:kern w:val="0"/>
          <w14:ligatures w14:val="none"/>
        </w:rPr>
        <w:t>Ogunkoya</w:t>
      </w:r>
      <w:proofErr w:type="spellEnd"/>
      <w:r w:rsidRPr="00832FF3">
        <w:rPr>
          <w:rFonts w:ascii="Times New Roman" w:eastAsia="Times New Roman" w:hAnsi="Times New Roman" w:cs="Times New Roman"/>
          <w:kern w:val="0"/>
          <w14:ligatures w14:val="none"/>
        </w:rPr>
        <w:t xml:space="preserve">, O. A. (2015). Risk and trust in online shopping: Experience from Nigeria. </w:t>
      </w:r>
      <w:r w:rsidRPr="00832FF3">
        <w:rPr>
          <w:rFonts w:ascii="Times New Roman" w:eastAsia="Times New Roman" w:hAnsi="Times New Roman" w:cs="Times New Roman"/>
          <w:i/>
          <w:iCs/>
          <w:kern w:val="0"/>
          <w14:ligatures w14:val="none"/>
        </w:rPr>
        <w:t>International Journal of African and Asian Studies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11</w:t>
      </w:r>
      <w:r w:rsidRPr="00832FF3">
        <w:rPr>
          <w:rFonts w:ascii="Times New Roman" w:eastAsia="Times New Roman" w:hAnsi="Times New Roman" w:cs="Times New Roman"/>
          <w:kern w:val="0"/>
          <w14:ligatures w14:val="none"/>
        </w:rPr>
        <w:t>, 1–9.</w:t>
      </w:r>
    </w:p>
    <w:p w14:paraId="2BAF2EA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Etikan</w:t>
      </w:r>
      <w:proofErr w:type="spellEnd"/>
      <w:r w:rsidRPr="00832FF3">
        <w:rPr>
          <w:rFonts w:ascii="Times New Roman" w:eastAsia="Times New Roman" w:hAnsi="Times New Roman" w:cs="Times New Roman"/>
          <w:kern w:val="0"/>
          <w14:ligatures w14:val="none"/>
        </w:rPr>
        <w:t xml:space="preserve">, I., Musa, S. A., &amp; Alkassim, R. S. (2016). Comparison of convenience sampling and purposive sampling. </w:t>
      </w:r>
      <w:r w:rsidRPr="00832FF3">
        <w:rPr>
          <w:rFonts w:ascii="Times New Roman" w:eastAsia="Times New Roman" w:hAnsi="Times New Roman" w:cs="Times New Roman"/>
          <w:i/>
          <w:iCs/>
          <w:kern w:val="0"/>
          <w14:ligatures w14:val="none"/>
        </w:rPr>
        <w:t>American Journal of Theoretical and Applied Statistics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5</w:t>
      </w:r>
      <w:r w:rsidRPr="00832FF3">
        <w:rPr>
          <w:rFonts w:ascii="Times New Roman" w:eastAsia="Times New Roman" w:hAnsi="Times New Roman" w:cs="Times New Roman"/>
          <w:kern w:val="0"/>
          <w14:ligatures w14:val="none"/>
        </w:rPr>
        <w:t>(1), 1–4.</w:t>
      </w:r>
    </w:p>
    <w:p w14:paraId="7A9CC14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lastRenderedPageBreak/>
        <w:t xml:space="preserve">Goel, S., &amp; </w:t>
      </w:r>
      <w:proofErr w:type="spellStart"/>
      <w:r w:rsidRPr="00832FF3">
        <w:rPr>
          <w:rFonts w:ascii="Times New Roman" w:eastAsia="Times New Roman" w:hAnsi="Times New Roman" w:cs="Times New Roman"/>
          <w:kern w:val="0"/>
          <w14:ligatures w14:val="none"/>
        </w:rPr>
        <w:t>Chengalur</w:t>
      </w:r>
      <w:proofErr w:type="spellEnd"/>
      <w:r w:rsidRPr="00832FF3">
        <w:rPr>
          <w:rFonts w:ascii="Times New Roman" w:eastAsia="Times New Roman" w:hAnsi="Times New Roman" w:cs="Times New Roman"/>
          <w:kern w:val="0"/>
          <w14:ligatures w14:val="none"/>
        </w:rPr>
        <w:t xml:space="preserve">-Smith, I. (2019). Institutional governance and protection motivation: Theoretical insights into shaping employees’ security compliance behavior in higher education institutions in the developing world. </w:t>
      </w:r>
      <w:r w:rsidRPr="00832FF3">
        <w:rPr>
          <w:rFonts w:ascii="Times New Roman" w:eastAsia="Times New Roman" w:hAnsi="Times New Roman" w:cs="Times New Roman"/>
          <w:i/>
          <w:iCs/>
          <w:kern w:val="0"/>
          <w14:ligatures w14:val="none"/>
        </w:rPr>
        <w:t>Computers &amp; Security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85</w:t>
      </w:r>
      <w:r w:rsidRPr="00832FF3">
        <w:rPr>
          <w:rFonts w:ascii="Times New Roman" w:eastAsia="Times New Roman" w:hAnsi="Times New Roman" w:cs="Times New Roman"/>
          <w:kern w:val="0"/>
          <w14:ligatures w14:val="none"/>
        </w:rPr>
        <w:t>, 142–157.</w:t>
      </w:r>
    </w:p>
    <w:p w14:paraId="6AAEFAF5"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Goode, S., Hoehle, H., Venkatesh, V., &amp; Brown, I. (2025). A decade of cybersecurity research in business, management, and accounting: A bibliometric review. </w:t>
      </w:r>
      <w:r w:rsidRPr="00832FF3">
        <w:rPr>
          <w:rFonts w:ascii="Times New Roman" w:eastAsia="Times New Roman" w:hAnsi="Times New Roman" w:cs="Times New Roman"/>
          <w:i/>
          <w:iCs/>
          <w:kern w:val="0"/>
          <w14:ligatures w14:val="none"/>
        </w:rPr>
        <w:t>Cogent Business &amp; Management</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12</w:t>
      </w:r>
      <w:r w:rsidRPr="00832FF3">
        <w:rPr>
          <w:rFonts w:ascii="Times New Roman" w:eastAsia="Times New Roman" w:hAnsi="Times New Roman" w:cs="Times New Roman"/>
          <w:kern w:val="0"/>
          <w14:ligatures w14:val="none"/>
        </w:rPr>
        <w:t>(1), Article 2544230.</w:t>
      </w:r>
    </w:p>
    <w:p w14:paraId="55DE7E1E"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Hadlington</w:t>
      </w:r>
      <w:proofErr w:type="spellEnd"/>
      <w:r w:rsidRPr="00832FF3">
        <w:rPr>
          <w:rFonts w:ascii="Times New Roman" w:eastAsia="Times New Roman" w:hAnsi="Times New Roman" w:cs="Times New Roman"/>
          <w:kern w:val="0"/>
          <w14:ligatures w14:val="none"/>
        </w:rPr>
        <w:t xml:space="preserve">, L., Jones, K., &amp; Wang, L. (2021). When believing in technology leads to poor cyber security: Development of a trust in technical controls scale. </w:t>
      </w:r>
      <w:r w:rsidRPr="00832FF3">
        <w:rPr>
          <w:rFonts w:ascii="Times New Roman" w:eastAsia="Times New Roman" w:hAnsi="Times New Roman" w:cs="Times New Roman"/>
          <w:i/>
          <w:iCs/>
          <w:kern w:val="0"/>
          <w14:ligatures w14:val="none"/>
        </w:rPr>
        <w:t>Computers &amp; Security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99</w:t>
      </w:r>
      <w:r w:rsidRPr="00832FF3">
        <w:rPr>
          <w:rFonts w:ascii="Times New Roman" w:eastAsia="Times New Roman" w:hAnsi="Times New Roman" w:cs="Times New Roman"/>
          <w:kern w:val="0"/>
          <w14:ligatures w14:val="none"/>
        </w:rPr>
        <w:t>, Article 102035.</w:t>
      </w:r>
    </w:p>
    <w:p w14:paraId="53991B11"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Hair, J. F., Black, W. C., Babin, B. J., &amp; Anderson, R. E. (2019). </w:t>
      </w:r>
      <w:r w:rsidRPr="00832FF3">
        <w:rPr>
          <w:rFonts w:ascii="Times New Roman" w:eastAsia="Times New Roman" w:hAnsi="Times New Roman" w:cs="Times New Roman"/>
          <w:i/>
          <w:iCs/>
          <w:kern w:val="0"/>
          <w14:ligatures w14:val="none"/>
        </w:rPr>
        <w:t>Multivariate data analysis</w:t>
      </w:r>
      <w:r w:rsidRPr="00832FF3">
        <w:rPr>
          <w:rFonts w:ascii="Times New Roman" w:eastAsia="Times New Roman" w:hAnsi="Times New Roman" w:cs="Times New Roman"/>
          <w:kern w:val="0"/>
          <w14:ligatures w14:val="none"/>
        </w:rPr>
        <w:t xml:space="preserve"> (8th ed.). Cengage Learning.</w:t>
      </w:r>
    </w:p>
    <w:p w14:paraId="33B030AC"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Heidt, M., Gerlach, J. P., &amp; </w:t>
      </w:r>
      <w:proofErr w:type="spellStart"/>
      <w:r w:rsidRPr="00832FF3">
        <w:rPr>
          <w:rFonts w:ascii="Times New Roman" w:eastAsia="Times New Roman" w:hAnsi="Times New Roman" w:cs="Times New Roman"/>
          <w:kern w:val="0"/>
          <w14:ligatures w14:val="none"/>
        </w:rPr>
        <w:t>Buxmann</w:t>
      </w:r>
      <w:proofErr w:type="spellEnd"/>
      <w:r w:rsidRPr="00832FF3">
        <w:rPr>
          <w:rFonts w:ascii="Times New Roman" w:eastAsia="Times New Roman" w:hAnsi="Times New Roman" w:cs="Times New Roman"/>
          <w:kern w:val="0"/>
          <w14:ligatures w14:val="none"/>
        </w:rPr>
        <w:t xml:space="preserve">, P. (2019). Investigating the security divide between SME and large companies: How SME characteristics influence organizational IT security investments. </w:t>
      </w:r>
      <w:r w:rsidRPr="00832FF3">
        <w:rPr>
          <w:rFonts w:ascii="Times New Roman" w:eastAsia="Times New Roman" w:hAnsi="Times New Roman" w:cs="Times New Roman"/>
          <w:i/>
          <w:iCs/>
          <w:kern w:val="0"/>
          <w14:ligatures w14:val="none"/>
        </w:rPr>
        <w:t>Information Systems Frontiers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21</w:t>
      </w:r>
      <w:r w:rsidRPr="00832FF3">
        <w:rPr>
          <w:rFonts w:ascii="Times New Roman" w:eastAsia="Times New Roman" w:hAnsi="Times New Roman" w:cs="Times New Roman"/>
          <w:kern w:val="0"/>
          <w14:ligatures w14:val="none"/>
        </w:rPr>
        <w:t>(6), 1285–1305.</w:t>
      </w:r>
    </w:p>
    <w:p w14:paraId="0947F3A1"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Ifinedo</w:t>
      </w:r>
      <w:proofErr w:type="spellEnd"/>
      <w:r w:rsidRPr="00832FF3">
        <w:rPr>
          <w:rFonts w:ascii="Times New Roman" w:eastAsia="Times New Roman" w:hAnsi="Times New Roman" w:cs="Times New Roman"/>
          <w:kern w:val="0"/>
          <w14:ligatures w14:val="none"/>
        </w:rPr>
        <w:t xml:space="preserve">, P. (2012). Understanding information systems security policy compliance: An integration of the theory of planned behavior and the protection motivation theory. </w:t>
      </w:r>
      <w:r w:rsidRPr="00832FF3">
        <w:rPr>
          <w:rFonts w:ascii="Times New Roman" w:eastAsia="Times New Roman" w:hAnsi="Times New Roman" w:cs="Times New Roman"/>
          <w:i/>
          <w:iCs/>
          <w:kern w:val="0"/>
          <w14:ligatures w14:val="none"/>
        </w:rPr>
        <w:t>Computers &amp; Security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31</w:t>
      </w:r>
      <w:r w:rsidRPr="00832FF3">
        <w:rPr>
          <w:rFonts w:ascii="Times New Roman" w:eastAsia="Times New Roman" w:hAnsi="Times New Roman" w:cs="Times New Roman"/>
          <w:kern w:val="0"/>
          <w14:ligatures w14:val="none"/>
        </w:rPr>
        <w:t>(1), 83–95.</w:t>
      </w:r>
    </w:p>
    <w:p w14:paraId="285A235C"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Johnston, A. C., &amp; Warkentin, M. (2010). Fear appeals and information security behaviors: An empirical study. </w:t>
      </w:r>
      <w:r w:rsidRPr="00832FF3">
        <w:rPr>
          <w:rFonts w:ascii="Times New Roman" w:eastAsia="Times New Roman" w:hAnsi="Times New Roman" w:cs="Times New Roman"/>
          <w:i/>
          <w:iCs/>
          <w:kern w:val="0"/>
          <w14:ligatures w14:val="none"/>
        </w:rPr>
        <w:t>MIS Quarterly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34</w:t>
      </w:r>
      <w:r w:rsidRPr="00832FF3">
        <w:rPr>
          <w:rFonts w:ascii="Times New Roman" w:eastAsia="Times New Roman" w:hAnsi="Times New Roman" w:cs="Times New Roman"/>
          <w:kern w:val="0"/>
          <w14:ligatures w14:val="none"/>
        </w:rPr>
        <w:t>(3), 549–566.</w:t>
      </w:r>
    </w:p>
    <w:p w14:paraId="250B38EB"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Kabanda, S., Tanner, M., &amp; Kent, C. (2018). Exploring SME cybersecurity practices in developing countries. </w:t>
      </w:r>
      <w:r w:rsidRPr="00832FF3">
        <w:rPr>
          <w:rFonts w:ascii="Times New Roman" w:eastAsia="Times New Roman" w:hAnsi="Times New Roman" w:cs="Times New Roman"/>
          <w:i/>
          <w:iCs/>
          <w:kern w:val="0"/>
          <w14:ligatures w14:val="none"/>
        </w:rPr>
        <w:t>Journal of Organizational Computing and Electronic Commerce</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28</w:t>
      </w:r>
      <w:r w:rsidRPr="00832FF3">
        <w:rPr>
          <w:rFonts w:ascii="Times New Roman" w:eastAsia="Times New Roman" w:hAnsi="Times New Roman" w:cs="Times New Roman"/>
          <w:kern w:val="0"/>
          <w14:ligatures w14:val="none"/>
        </w:rPr>
        <w:t>(3), 269–282.</w:t>
      </w:r>
    </w:p>
    <w:p w14:paraId="3A936790"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Knapp, K. J., Morris, R. F., Jr., Marshall, T. E., &amp; Byrd, T. A. (2014). Information security policy compliance: An empirical study of rationality-based beliefs and information security awareness. </w:t>
      </w:r>
      <w:r w:rsidRPr="00832FF3">
        <w:rPr>
          <w:rFonts w:ascii="Times New Roman" w:eastAsia="Times New Roman" w:hAnsi="Times New Roman" w:cs="Times New Roman"/>
          <w:i/>
          <w:iCs/>
          <w:kern w:val="0"/>
          <w14:ligatures w14:val="none"/>
        </w:rPr>
        <w:t>MIS Quarterly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34</w:t>
      </w:r>
      <w:r w:rsidRPr="00832FF3">
        <w:rPr>
          <w:rFonts w:ascii="Times New Roman" w:eastAsia="Times New Roman" w:hAnsi="Times New Roman" w:cs="Times New Roman"/>
          <w:kern w:val="0"/>
          <w14:ligatures w14:val="none"/>
        </w:rPr>
        <w:t>(3), 523–548.</w:t>
      </w:r>
    </w:p>
    <w:p w14:paraId="43F8D12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Krombholz, K., Frühwirt, B., Kapsalis, I., Katt, J., &amp; Smith, P. (2019). If you see something, swipe something? Adolescents' awareness and behavioral response to phishing. </w:t>
      </w:r>
      <w:r w:rsidRPr="00832FF3">
        <w:rPr>
          <w:rFonts w:ascii="Times New Roman" w:eastAsia="Times New Roman" w:hAnsi="Times New Roman" w:cs="Times New Roman"/>
          <w:i/>
          <w:iCs/>
          <w:kern w:val="0"/>
          <w14:ligatures w14:val="none"/>
        </w:rPr>
        <w:t>Computers in Human Behavior</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98</w:t>
      </w:r>
      <w:r w:rsidRPr="00832FF3">
        <w:rPr>
          <w:rFonts w:ascii="Times New Roman" w:eastAsia="Times New Roman" w:hAnsi="Times New Roman" w:cs="Times New Roman"/>
          <w:kern w:val="0"/>
          <w14:ligatures w14:val="none"/>
        </w:rPr>
        <w:t>, 202–213.</w:t>
      </w:r>
    </w:p>
    <w:p w14:paraId="3B7BECAE"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Kshetri</w:t>
      </w:r>
      <w:proofErr w:type="spellEnd"/>
      <w:r w:rsidRPr="00832FF3">
        <w:rPr>
          <w:rFonts w:ascii="Times New Roman" w:eastAsia="Times New Roman" w:hAnsi="Times New Roman" w:cs="Times New Roman"/>
          <w:kern w:val="0"/>
          <w14:ligatures w14:val="none"/>
        </w:rPr>
        <w:t xml:space="preserve">, N. (2019). Cybercrime and cybersecurity in Africa. </w:t>
      </w:r>
      <w:r w:rsidRPr="00832FF3">
        <w:rPr>
          <w:rFonts w:ascii="Times New Roman" w:eastAsia="Times New Roman" w:hAnsi="Times New Roman" w:cs="Times New Roman"/>
          <w:i/>
          <w:iCs/>
          <w:kern w:val="0"/>
          <w14:ligatures w14:val="none"/>
        </w:rPr>
        <w:t>Journal of Global Information Technology Management</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22</w:t>
      </w:r>
      <w:r w:rsidRPr="00832FF3">
        <w:rPr>
          <w:rFonts w:ascii="Times New Roman" w:eastAsia="Times New Roman" w:hAnsi="Times New Roman" w:cs="Times New Roman"/>
          <w:kern w:val="0"/>
          <w14:ligatures w14:val="none"/>
        </w:rPr>
        <w:t>(2), 77–81.</w:t>
      </w:r>
    </w:p>
    <w:p w14:paraId="1C33953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Kwadade</w:t>
      </w:r>
      <w:proofErr w:type="spellEnd"/>
      <w:r w:rsidRPr="00832FF3">
        <w:rPr>
          <w:rFonts w:ascii="Times New Roman" w:eastAsia="Times New Roman" w:hAnsi="Times New Roman" w:cs="Times New Roman"/>
          <w:kern w:val="0"/>
          <w14:ligatures w14:val="none"/>
        </w:rPr>
        <w:t xml:space="preserve">-Cudjoe, F. (2025). Assessing consumer trust in e-commerce strategy for sustaining the emerging commerce market: A case of Accra-Tema Metropolis, Ghana. </w:t>
      </w:r>
      <w:r w:rsidRPr="00832FF3">
        <w:rPr>
          <w:rFonts w:ascii="Times New Roman" w:eastAsia="Times New Roman" w:hAnsi="Times New Roman" w:cs="Times New Roman"/>
          <w:i/>
          <w:iCs/>
          <w:kern w:val="0"/>
          <w14:ligatures w14:val="none"/>
        </w:rPr>
        <w:t>British Journal of Marketing Studies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13</w:t>
      </w:r>
      <w:r w:rsidRPr="00832FF3">
        <w:rPr>
          <w:rFonts w:ascii="Times New Roman" w:eastAsia="Times New Roman" w:hAnsi="Times New Roman" w:cs="Times New Roman"/>
          <w:kern w:val="0"/>
          <w14:ligatures w14:val="none"/>
        </w:rPr>
        <w:t>(1), 41–72.</w:t>
      </w:r>
    </w:p>
    <w:p w14:paraId="01EF6BAC"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Lee, M. K. O., &amp; Turban, E. (2001). A trust model for consumer internet shopping. </w:t>
      </w:r>
      <w:r w:rsidRPr="00832FF3">
        <w:rPr>
          <w:rFonts w:ascii="Times New Roman" w:eastAsia="Times New Roman" w:hAnsi="Times New Roman" w:cs="Times New Roman"/>
          <w:i/>
          <w:iCs/>
          <w:kern w:val="0"/>
          <w14:ligatures w14:val="none"/>
        </w:rPr>
        <w:t>International Journal of Electronic Commerce</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6</w:t>
      </w:r>
      <w:r w:rsidRPr="00832FF3">
        <w:rPr>
          <w:rFonts w:ascii="Times New Roman" w:eastAsia="Times New Roman" w:hAnsi="Times New Roman" w:cs="Times New Roman"/>
          <w:kern w:val="0"/>
          <w14:ligatures w14:val="none"/>
        </w:rPr>
        <w:t>(1), 75–91.</w:t>
      </w:r>
    </w:p>
    <w:p w14:paraId="5902440E"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Lowry, P. B., Zhang, J., Wang, C., &amp; Siponen, M. (2015). Why do adults engage in cyberbullying on social media? An integration of online disinhibition and deindividuation effects with the social structure and social learning model. </w:t>
      </w:r>
      <w:r w:rsidRPr="00832FF3">
        <w:rPr>
          <w:rFonts w:ascii="Times New Roman" w:eastAsia="Times New Roman" w:hAnsi="Times New Roman" w:cs="Times New Roman"/>
          <w:i/>
          <w:iCs/>
          <w:kern w:val="0"/>
          <w14:ligatures w14:val="none"/>
        </w:rPr>
        <w:t>Information Systems Research</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27</w:t>
      </w:r>
      <w:r w:rsidRPr="00832FF3">
        <w:rPr>
          <w:rFonts w:ascii="Times New Roman" w:eastAsia="Times New Roman" w:hAnsi="Times New Roman" w:cs="Times New Roman"/>
          <w:kern w:val="0"/>
          <w14:ligatures w14:val="none"/>
        </w:rPr>
        <w:t>(4), 962–986.</w:t>
      </w:r>
    </w:p>
    <w:p w14:paraId="46F9AB20"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McKnight, D. H., Choudhury, V., &amp; Kacmar, C. (2002). Developing and validating trust measures for e-commerce: An integrative typology. </w:t>
      </w:r>
      <w:r w:rsidRPr="00832FF3">
        <w:rPr>
          <w:rFonts w:ascii="Times New Roman" w:eastAsia="Times New Roman" w:hAnsi="Times New Roman" w:cs="Times New Roman"/>
          <w:i/>
          <w:iCs/>
          <w:kern w:val="0"/>
          <w14:ligatures w14:val="none"/>
        </w:rPr>
        <w:t>Information Systems Research</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13</w:t>
      </w:r>
      <w:r w:rsidRPr="00832FF3">
        <w:rPr>
          <w:rFonts w:ascii="Times New Roman" w:eastAsia="Times New Roman" w:hAnsi="Times New Roman" w:cs="Times New Roman"/>
          <w:kern w:val="0"/>
          <w14:ligatures w14:val="none"/>
        </w:rPr>
        <w:t>(3), 334–359.</w:t>
      </w:r>
    </w:p>
    <w:p w14:paraId="7326B387"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lastRenderedPageBreak/>
        <w:t xml:space="preserve">Odusanya, K., Aluko, O., &amp; Lal, B. (2022). Building consumers’ trust in electronic retail platforms in Sub-Saharan Africa: Drivers and impact on continuance intention. </w:t>
      </w:r>
      <w:r w:rsidRPr="00832FF3">
        <w:rPr>
          <w:rFonts w:ascii="Times New Roman" w:eastAsia="Times New Roman" w:hAnsi="Times New Roman" w:cs="Times New Roman"/>
          <w:i/>
          <w:iCs/>
          <w:kern w:val="0"/>
          <w14:ligatures w14:val="none"/>
        </w:rPr>
        <w:t>Information Systems Frontiers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24</w:t>
      </w:r>
      <w:r w:rsidRPr="00832FF3">
        <w:rPr>
          <w:rFonts w:ascii="Times New Roman" w:eastAsia="Times New Roman" w:hAnsi="Times New Roman" w:cs="Times New Roman"/>
          <w:kern w:val="0"/>
          <w14:ligatures w14:val="none"/>
        </w:rPr>
        <w:t>(2), 377–391.</w:t>
      </w:r>
    </w:p>
    <w:p w14:paraId="2EC2382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Rhee, H.-S., Ryu, Y. U., &amp; Kim, C.-T. (2012). Unrealistic relative performance goals and employee compliance with information security policies. </w:t>
      </w:r>
      <w:r w:rsidRPr="00832FF3">
        <w:rPr>
          <w:rFonts w:ascii="Times New Roman" w:eastAsia="Times New Roman" w:hAnsi="Times New Roman" w:cs="Times New Roman"/>
          <w:i/>
          <w:iCs/>
          <w:kern w:val="0"/>
          <w14:ligatures w14:val="none"/>
        </w:rPr>
        <w:t>Information &amp; Management</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49</w:t>
      </w:r>
      <w:r w:rsidRPr="00832FF3">
        <w:rPr>
          <w:rFonts w:ascii="Times New Roman" w:eastAsia="Times New Roman" w:hAnsi="Times New Roman" w:cs="Times New Roman"/>
          <w:kern w:val="0"/>
          <w14:ligatures w14:val="none"/>
        </w:rPr>
        <w:t>(2), 96–104.</w:t>
      </w:r>
    </w:p>
    <w:p w14:paraId="6BF02E04"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Sipone</w:t>
      </w:r>
      <w:proofErr w:type="spellEnd"/>
      <w:r w:rsidRPr="00832FF3">
        <w:rPr>
          <w:rFonts w:ascii="Times New Roman" w:eastAsia="Times New Roman" w:hAnsi="Times New Roman" w:cs="Times New Roman"/>
          <w:kern w:val="0"/>
          <w14:ligatures w14:val="none"/>
        </w:rPr>
        <w:t xml:space="preserve">, B. (2020). An empirical assessment of cybersecurity readiness and resilience in small businesses [Doctoral dissertation, Nova Southeastern University]. </w:t>
      </w:r>
      <w:proofErr w:type="spellStart"/>
      <w:r w:rsidRPr="00832FF3">
        <w:rPr>
          <w:rFonts w:ascii="Times New Roman" w:eastAsia="Times New Roman" w:hAnsi="Times New Roman" w:cs="Times New Roman"/>
          <w:kern w:val="0"/>
          <w14:ligatures w14:val="none"/>
        </w:rPr>
        <w:t>NSUWorks</w:t>
      </w:r>
      <w:proofErr w:type="spellEnd"/>
      <w:r w:rsidRPr="00832FF3">
        <w:rPr>
          <w:rFonts w:ascii="Times New Roman" w:eastAsia="Times New Roman" w:hAnsi="Times New Roman" w:cs="Times New Roman"/>
          <w:kern w:val="0"/>
          <w14:ligatures w14:val="none"/>
        </w:rPr>
        <w:t>.</w:t>
      </w:r>
    </w:p>
    <w:p w14:paraId="78223C19"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Usman, M. U., &amp; Kumar, P. (2020). Factors influencing consumer intention to shop online in Nigeria: A conceptual study. </w:t>
      </w:r>
      <w:r w:rsidRPr="00832FF3">
        <w:rPr>
          <w:rFonts w:ascii="Times New Roman" w:eastAsia="Times New Roman" w:hAnsi="Times New Roman" w:cs="Times New Roman"/>
          <w:i/>
          <w:iCs/>
          <w:kern w:val="0"/>
          <w14:ligatures w14:val="none"/>
        </w:rPr>
        <w:t>Vision: The Journal of Business Perspective</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25</w:t>
      </w:r>
      <w:r w:rsidRPr="00832FF3">
        <w:rPr>
          <w:rFonts w:ascii="Times New Roman" w:eastAsia="Times New Roman" w:hAnsi="Times New Roman" w:cs="Times New Roman"/>
          <w:kern w:val="0"/>
          <w14:ligatures w14:val="none"/>
        </w:rPr>
        <w:t>(2), 104–112.</w:t>
      </w:r>
    </w:p>
    <w:p w14:paraId="5468739B"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Vance, A., Siponen, M., &amp; </w:t>
      </w:r>
      <w:proofErr w:type="spellStart"/>
      <w:r w:rsidRPr="00832FF3">
        <w:rPr>
          <w:rFonts w:ascii="Times New Roman" w:eastAsia="Times New Roman" w:hAnsi="Times New Roman" w:cs="Times New Roman"/>
          <w:kern w:val="0"/>
          <w14:ligatures w14:val="none"/>
        </w:rPr>
        <w:t>Pahnila</w:t>
      </w:r>
      <w:proofErr w:type="spellEnd"/>
      <w:r w:rsidRPr="00832FF3">
        <w:rPr>
          <w:rFonts w:ascii="Times New Roman" w:eastAsia="Times New Roman" w:hAnsi="Times New Roman" w:cs="Times New Roman"/>
          <w:kern w:val="0"/>
          <w14:ligatures w14:val="none"/>
        </w:rPr>
        <w:t xml:space="preserve">, S. (2015). Motivating IS security compliance: Insights from habit and protection motivation theory. </w:t>
      </w:r>
      <w:r w:rsidRPr="00832FF3">
        <w:rPr>
          <w:rFonts w:ascii="Times New Roman" w:eastAsia="Times New Roman" w:hAnsi="Times New Roman" w:cs="Times New Roman"/>
          <w:i/>
          <w:iCs/>
          <w:kern w:val="0"/>
          <w14:ligatures w14:val="none"/>
        </w:rPr>
        <w:t>Information &amp; Management</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49</w:t>
      </w:r>
      <w:r w:rsidRPr="00832FF3">
        <w:rPr>
          <w:rFonts w:ascii="Times New Roman" w:eastAsia="Times New Roman" w:hAnsi="Times New Roman" w:cs="Times New Roman"/>
          <w:kern w:val="0"/>
          <w14:ligatures w14:val="none"/>
        </w:rPr>
        <w:t>(3–4), 190–198.</w:t>
      </w:r>
    </w:p>
    <w:p w14:paraId="4627EA22"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Von Solms, R., &amp; Van Niekerk, J. (2013). From information security to cyber security. </w:t>
      </w:r>
      <w:r w:rsidRPr="00832FF3">
        <w:rPr>
          <w:rFonts w:ascii="Times New Roman" w:eastAsia="Times New Roman" w:hAnsi="Times New Roman" w:cs="Times New Roman"/>
          <w:i/>
          <w:iCs/>
          <w:kern w:val="0"/>
          <w14:ligatures w14:val="none"/>
        </w:rPr>
        <w:t>Computers &amp; Security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38</w:t>
      </w:r>
      <w:r w:rsidRPr="00832FF3">
        <w:rPr>
          <w:rFonts w:ascii="Times New Roman" w:eastAsia="Times New Roman" w:hAnsi="Times New Roman" w:cs="Times New Roman"/>
          <w:kern w:val="0"/>
          <w14:ligatures w14:val="none"/>
        </w:rPr>
        <w:t>, 97–102.</w:t>
      </w:r>
    </w:p>
    <w:p w14:paraId="044DF89E"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Xu, H., Luo, X. R., </w:t>
      </w:r>
      <w:proofErr w:type="spellStart"/>
      <w:r w:rsidRPr="00832FF3">
        <w:rPr>
          <w:rFonts w:ascii="Times New Roman" w:eastAsia="Times New Roman" w:hAnsi="Times New Roman" w:cs="Times New Roman"/>
          <w:kern w:val="0"/>
          <w14:ligatures w14:val="none"/>
        </w:rPr>
        <w:t>Akkoyunlu</w:t>
      </w:r>
      <w:proofErr w:type="spellEnd"/>
      <w:r w:rsidRPr="00832FF3">
        <w:rPr>
          <w:rFonts w:ascii="Times New Roman" w:eastAsia="Times New Roman" w:hAnsi="Times New Roman" w:cs="Times New Roman"/>
          <w:kern w:val="0"/>
          <w14:ligatures w14:val="none"/>
        </w:rPr>
        <w:t xml:space="preserve">-Wigley, M., &amp; Bao, Y. (2020). Open displays versus anti-features: The effects of platform design on willingness to share personal information. </w:t>
      </w:r>
      <w:r w:rsidRPr="00832FF3">
        <w:rPr>
          <w:rFonts w:ascii="Times New Roman" w:eastAsia="Times New Roman" w:hAnsi="Times New Roman" w:cs="Times New Roman"/>
          <w:i/>
          <w:iCs/>
          <w:kern w:val="0"/>
          <w14:ligatures w14:val="none"/>
        </w:rPr>
        <w:t>Decision Support Systems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135</w:t>
      </w:r>
      <w:r w:rsidRPr="00832FF3">
        <w:rPr>
          <w:rFonts w:ascii="Times New Roman" w:eastAsia="Times New Roman" w:hAnsi="Times New Roman" w:cs="Times New Roman"/>
          <w:kern w:val="0"/>
          <w14:ligatures w14:val="none"/>
        </w:rPr>
        <w:t>, Article 113328.</w:t>
      </w:r>
    </w:p>
    <w:p w14:paraId="3E4765D8" w14:textId="77777777" w:rsidR="00832FF3" w:rsidRPr="00832FF3" w:rsidRDefault="00832FF3" w:rsidP="00AE7FA9">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Yaokumah</w:t>
      </w:r>
      <w:proofErr w:type="spellEnd"/>
      <w:r w:rsidRPr="00832FF3">
        <w:rPr>
          <w:rFonts w:ascii="Times New Roman" w:eastAsia="Times New Roman" w:hAnsi="Times New Roman" w:cs="Times New Roman"/>
          <w:kern w:val="0"/>
          <w14:ligatures w14:val="none"/>
        </w:rPr>
        <w:t xml:space="preserve">, W. (2017). Corporate governance factors and information security governance effectiveness. </w:t>
      </w:r>
      <w:r w:rsidRPr="00832FF3">
        <w:rPr>
          <w:rFonts w:ascii="Times New Roman" w:eastAsia="Times New Roman" w:hAnsi="Times New Roman" w:cs="Times New Roman"/>
          <w:i/>
          <w:iCs/>
          <w:kern w:val="0"/>
          <w14:ligatures w14:val="none"/>
        </w:rPr>
        <w:t>Journal of Information Privacy and Security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iCs/>
          <w:kern w:val="0"/>
          <w14:ligatures w14:val="none"/>
        </w:rPr>
        <w:t>13</w:t>
      </w:r>
      <w:r w:rsidRPr="00832FF3">
        <w:rPr>
          <w:rFonts w:ascii="Times New Roman" w:eastAsia="Times New Roman" w:hAnsi="Times New Roman" w:cs="Times New Roman"/>
          <w:kern w:val="0"/>
          <w14:ligatures w14:val="none"/>
        </w:rPr>
        <w:t>(2), 79–99.</w:t>
      </w:r>
    </w:p>
    <w:p w14:paraId="2E472AF8" w14:textId="77777777" w:rsidR="00641746" w:rsidRDefault="00641746" w:rsidP="00A60822">
      <w:pPr>
        <w:spacing w:after="0" w:line="240" w:lineRule="auto"/>
        <w:jc w:val="both"/>
        <w:rPr>
          <w:rFonts w:ascii="Times New Roman" w:hAnsi="Times New Roman" w:cs="Times New Roman"/>
          <w:b/>
          <w:bCs/>
          <w:sz w:val="36"/>
          <w:szCs w:val="36"/>
        </w:rPr>
      </w:pPr>
    </w:p>
    <w:p w14:paraId="6D386472" w14:textId="77777777" w:rsidR="00E30D1B" w:rsidRDefault="00E30D1B"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6B0B66FD" w14:textId="77777777" w:rsidR="00E30D1B" w:rsidRDefault="00E30D1B"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18DE411E" w14:textId="77777777" w:rsidR="00E30D1B" w:rsidRDefault="00E30D1B"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1D12DBB5" w14:textId="77777777" w:rsidR="00E30D1B" w:rsidRDefault="00E30D1B"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766A3255"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70A3C653"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4DED7888"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6EE47ED2"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58EE94A9"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054C7B91"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79200330"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6A0C2E0B"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2EED0992"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2DCFE4E9"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20BB2EC2"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644F3CE1"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6A2CC767" w14:textId="77777777" w:rsidR="00AE7FA9" w:rsidRDefault="00AE7FA9"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p>
    <w:p w14:paraId="5E0AA59A" w14:textId="2A49980F" w:rsidR="00832FF3" w:rsidRPr="00832FF3" w:rsidRDefault="00832FF3" w:rsidP="00832FF3">
      <w:pPr>
        <w:widowControl w:val="0"/>
        <w:autoSpaceDE w:val="0"/>
        <w:autoSpaceDN w:val="0"/>
        <w:spacing w:before="60" w:after="0" w:line="240" w:lineRule="auto"/>
        <w:ind w:right="1052"/>
        <w:jc w:val="center"/>
        <w:rPr>
          <w:rFonts w:ascii="Times New Roman" w:eastAsia="Times New Roman" w:hAnsi="Times New Roman" w:cs="Times New Roman"/>
          <w:b/>
          <w:bCs/>
          <w:kern w:val="0"/>
          <w:sz w:val="28"/>
          <w:szCs w:val="28"/>
          <w14:ligatures w14:val="none"/>
        </w:rPr>
      </w:pPr>
      <w:r w:rsidRPr="00832FF3">
        <w:rPr>
          <w:rFonts w:ascii="Times New Roman" w:eastAsia="Times New Roman" w:hAnsi="Times New Roman" w:cs="Times New Roman"/>
          <w:b/>
          <w:bCs/>
          <w:kern w:val="0"/>
          <w:sz w:val="28"/>
          <w:szCs w:val="28"/>
          <w14:ligatures w14:val="none"/>
        </w:rPr>
        <w:lastRenderedPageBreak/>
        <w:t>LEVERAGING DIGITAL TECHNOLOGIES FOR SUSTAINABILITY AND GREEN</w:t>
      </w:r>
      <w:r w:rsidRPr="00832FF3">
        <w:rPr>
          <w:rFonts w:ascii="Times New Roman" w:eastAsia="Times New Roman" w:hAnsi="Times New Roman" w:cs="Times New Roman"/>
          <w:b/>
          <w:bCs/>
          <w:spacing w:val="-20"/>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OPERATIONS:</w:t>
      </w:r>
      <w:r w:rsidRPr="00832FF3">
        <w:rPr>
          <w:rFonts w:ascii="Times New Roman" w:eastAsia="Times New Roman" w:hAnsi="Times New Roman" w:cs="Times New Roman"/>
          <w:b/>
          <w:bCs/>
          <w:spacing w:val="-18"/>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A</w:t>
      </w:r>
      <w:r w:rsidRPr="00832FF3">
        <w:rPr>
          <w:rFonts w:ascii="Times New Roman" w:eastAsia="Times New Roman" w:hAnsi="Times New Roman" w:cs="Times New Roman"/>
          <w:b/>
          <w:bCs/>
          <w:spacing w:val="-17"/>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STUDY</w:t>
      </w:r>
      <w:r w:rsidRPr="00832FF3">
        <w:rPr>
          <w:rFonts w:ascii="Times New Roman" w:eastAsia="Times New Roman" w:hAnsi="Times New Roman" w:cs="Times New Roman"/>
          <w:b/>
          <w:bCs/>
          <w:spacing w:val="-19"/>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OF</w:t>
      </w:r>
      <w:r w:rsidRPr="00832FF3">
        <w:rPr>
          <w:rFonts w:ascii="Times New Roman" w:eastAsia="Times New Roman" w:hAnsi="Times New Roman" w:cs="Times New Roman"/>
          <w:b/>
          <w:bCs/>
          <w:spacing w:val="-19"/>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CIRCULAR</w:t>
      </w:r>
      <w:r w:rsidRPr="00832FF3">
        <w:rPr>
          <w:rFonts w:ascii="Times New Roman" w:eastAsia="Times New Roman" w:hAnsi="Times New Roman" w:cs="Times New Roman"/>
          <w:b/>
          <w:bCs/>
          <w:spacing w:val="-18"/>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ECONOMY</w:t>
      </w:r>
      <w:r w:rsidRPr="00832FF3">
        <w:rPr>
          <w:rFonts w:ascii="Times New Roman" w:eastAsia="Times New Roman" w:hAnsi="Times New Roman" w:cs="Times New Roman"/>
          <w:b/>
          <w:bCs/>
          <w:spacing w:val="-18"/>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PRACTICES</w:t>
      </w:r>
      <w:r w:rsidRPr="00832FF3">
        <w:rPr>
          <w:rFonts w:ascii="Times New Roman" w:eastAsia="Times New Roman" w:hAnsi="Times New Roman" w:cs="Times New Roman"/>
          <w:b/>
          <w:bCs/>
          <w:spacing w:val="-17"/>
          <w:kern w:val="0"/>
          <w:sz w:val="28"/>
          <w:szCs w:val="28"/>
          <w14:ligatures w14:val="none"/>
        </w:rPr>
        <w:t xml:space="preserve"> </w:t>
      </w:r>
      <w:r w:rsidRPr="00832FF3">
        <w:rPr>
          <w:rFonts w:ascii="Times New Roman" w:eastAsia="Times New Roman" w:hAnsi="Times New Roman" w:cs="Times New Roman"/>
          <w:b/>
          <w:bCs/>
          <w:kern w:val="0"/>
          <w:sz w:val="28"/>
          <w:szCs w:val="28"/>
          <w14:ligatures w14:val="none"/>
        </w:rPr>
        <w:t>IN NIGERIAN MANUFACTURING FIRMS</w:t>
      </w:r>
    </w:p>
    <w:p w14:paraId="597FE9CC" w14:textId="77777777" w:rsidR="00832FF3" w:rsidRPr="00832FF3" w:rsidRDefault="00832FF3" w:rsidP="00832FF3">
      <w:pPr>
        <w:widowControl w:val="0"/>
        <w:autoSpaceDE w:val="0"/>
        <w:autoSpaceDN w:val="0"/>
        <w:spacing w:after="0" w:line="240" w:lineRule="auto"/>
        <w:rPr>
          <w:rFonts w:ascii="Times New Roman" w:eastAsia="Times New Roman" w:hAnsi="Times New Roman" w:cs="Times New Roman"/>
          <w:b/>
          <w:kern w:val="0"/>
          <w:sz w:val="28"/>
          <w14:ligatures w14:val="none"/>
        </w:rPr>
      </w:pPr>
    </w:p>
    <w:p w14:paraId="1B3923AF" w14:textId="77777777" w:rsidR="00832FF3" w:rsidRPr="00832FF3" w:rsidRDefault="00832FF3" w:rsidP="00832FF3">
      <w:pPr>
        <w:widowControl w:val="0"/>
        <w:autoSpaceDE w:val="0"/>
        <w:autoSpaceDN w:val="0"/>
        <w:spacing w:before="158" w:after="0" w:line="240" w:lineRule="auto"/>
        <w:rPr>
          <w:rFonts w:ascii="Times New Roman" w:eastAsia="Times New Roman" w:hAnsi="Times New Roman" w:cs="Times New Roman"/>
          <w:b/>
          <w:kern w:val="0"/>
          <w:sz w:val="28"/>
          <w14:ligatures w14:val="none"/>
        </w:rPr>
      </w:pPr>
    </w:p>
    <w:p w14:paraId="7A1AAB9D" w14:textId="77777777" w:rsidR="00832FF3" w:rsidRPr="00832FF3" w:rsidRDefault="00832FF3" w:rsidP="00832FF3">
      <w:pPr>
        <w:widowControl w:val="0"/>
        <w:autoSpaceDE w:val="0"/>
        <w:autoSpaceDN w:val="0"/>
        <w:spacing w:after="0" w:line="240" w:lineRule="auto"/>
        <w:jc w:val="center"/>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Orokor</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Florence</w:t>
      </w:r>
      <w:r w:rsidRPr="00832FF3">
        <w:rPr>
          <w:rFonts w:ascii="Times New Roman" w:eastAsia="Times New Roman" w:hAnsi="Times New Roman" w:cs="Times New Roman"/>
          <w:spacing w:val="-16"/>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(PhD)</w:t>
      </w:r>
      <w:r w:rsidRPr="00832FF3">
        <w:rPr>
          <w:rFonts w:ascii="Times New Roman" w:eastAsia="Times New Roman" w:hAnsi="Times New Roman" w:cs="Times New Roman"/>
          <w:kern w:val="0"/>
          <w:vertAlign w:val="superscript"/>
          <w14:ligatures w14:val="none"/>
        </w:rPr>
        <w:t>1</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Diboye-Suku,</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Zion</w:t>
      </w:r>
      <w:r w:rsidRPr="00832FF3">
        <w:rPr>
          <w:rFonts w:ascii="Times New Roman" w:eastAsia="Times New Roman" w:hAnsi="Times New Roman" w:cs="Times New Roman"/>
          <w:spacing w:val="-15"/>
          <w:kern w:val="0"/>
          <w14:ligatures w14:val="none"/>
        </w:rPr>
        <w:t xml:space="preserve"> </w:t>
      </w:r>
      <w:proofErr w:type="spellStart"/>
      <w:r w:rsidRPr="00832FF3">
        <w:rPr>
          <w:rFonts w:ascii="Times New Roman" w:eastAsia="Times New Roman" w:hAnsi="Times New Roman" w:cs="Times New Roman"/>
          <w:kern w:val="0"/>
          <w14:ligatures w14:val="none"/>
        </w:rPr>
        <w:t>Alaso</w:t>
      </w:r>
      <w:proofErr w:type="spellEnd"/>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spacing w:val="-2"/>
          <w:kern w:val="0"/>
          <w14:ligatures w14:val="none"/>
        </w:rPr>
        <w:t>(PhD)</w:t>
      </w:r>
      <w:r w:rsidRPr="00832FF3">
        <w:rPr>
          <w:rFonts w:ascii="Times New Roman" w:eastAsia="Times New Roman" w:hAnsi="Times New Roman" w:cs="Times New Roman"/>
          <w:spacing w:val="-2"/>
          <w:kern w:val="0"/>
          <w:vertAlign w:val="superscript"/>
          <w14:ligatures w14:val="none"/>
        </w:rPr>
        <w:t>2</w:t>
      </w:r>
    </w:p>
    <w:p w14:paraId="6C36AB55" w14:textId="77777777" w:rsidR="00832FF3" w:rsidRPr="00832FF3" w:rsidRDefault="00832FF3" w:rsidP="00832FF3">
      <w:pPr>
        <w:widowControl w:val="0"/>
        <w:autoSpaceDE w:val="0"/>
        <w:autoSpaceDN w:val="0"/>
        <w:spacing w:before="2" w:after="0" w:line="240" w:lineRule="auto"/>
        <w:jc w:val="center"/>
        <w:rPr>
          <w:rFonts w:ascii="Times New Roman" w:eastAsia="Times New Roman" w:hAnsi="Times New Roman" w:cs="Times New Roman"/>
          <w:kern w:val="0"/>
          <w14:ligatures w14:val="none"/>
        </w:rPr>
      </w:pPr>
    </w:p>
    <w:p w14:paraId="0857BB1E" w14:textId="77777777" w:rsidR="00832FF3" w:rsidRPr="00832FF3" w:rsidRDefault="00832FF3" w:rsidP="00832FF3">
      <w:pPr>
        <w:widowControl w:val="0"/>
        <w:autoSpaceDE w:val="0"/>
        <w:autoSpaceDN w:val="0"/>
        <w:spacing w:before="1" w:after="0" w:line="240" w:lineRule="auto"/>
        <w:jc w:val="center"/>
        <w:rPr>
          <w:rFonts w:ascii="Times New Roman" w:eastAsia="Times New Roman" w:hAnsi="Times New Roman" w:cs="Times New Roman"/>
          <w:spacing w:val="-2"/>
          <w:kern w:val="0"/>
          <w14:ligatures w14:val="none"/>
        </w:rPr>
      </w:pPr>
      <w:r w:rsidRPr="00832FF3">
        <w:rPr>
          <w:rFonts w:ascii="Times New Roman" w:eastAsia="Times New Roman" w:hAnsi="Times New Roman" w:cs="Times New Roman"/>
          <w:kern w:val="0"/>
          <w:vertAlign w:val="superscript"/>
          <w14:ligatures w14:val="none"/>
        </w:rPr>
        <w:t>1</w:t>
      </w:r>
      <w:r w:rsidRPr="00832FF3">
        <w:rPr>
          <w:rFonts w:ascii="Times New Roman" w:eastAsia="Times New Roman" w:hAnsi="Times New Roman" w:cs="Times New Roman"/>
          <w:kern w:val="0"/>
          <w14:ligatures w14:val="none"/>
        </w:rPr>
        <w:t>Research</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Student,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Rivers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State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University</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Business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School,</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Port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Harcourt,</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Rivers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State,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spacing w:val="-2"/>
          <w:kern w:val="0"/>
          <w14:ligatures w14:val="none"/>
        </w:rPr>
        <w:t>Nigeria.</w:t>
      </w:r>
    </w:p>
    <w:p w14:paraId="28B21C48" w14:textId="77777777" w:rsidR="00832FF3" w:rsidRPr="00832FF3" w:rsidRDefault="00832FF3" w:rsidP="00832FF3">
      <w:pPr>
        <w:widowControl w:val="0"/>
        <w:autoSpaceDE w:val="0"/>
        <w:autoSpaceDN w:val="0"/>
        <w:spacing w:before="1" w:after="0" w:line="240" w:lineRule="auto"/>
        <w:jc w:val="center"/>
        <w:rPr>
          <w:rFonts w:ascii="Times New Roman" w:eastAsia="Times New Roman" w:hAnsi="Times New Roman" w:cs="Times New Roman"/>
          <w:spacing w:val="-2"/>
          <w:kern w:val="0"/>
          <w14:ligatures w14:val="none"/>
        </w:rPr>
      </w:pPr>
      <w:r w:rsidRPr="00832FF3">
        <w:rPr>
          <w:rFonts w:ascii="Times New Roman" w:eastAsia="Times New Roman" w:hAnsi="Times New Roman" w:cs="Times New Roman"/>
          <w:kern w:val="0"/>
          <w:vertAlign w:val="superscript"/>
          <w14:ligatures w14:val="none"/>
        </w:rPr>
        <w:t>2</w:t>
      </w:r>
      <w:r w:rsidRPr="00832FF3">
        <w:rPr>
          <w:rFonts w:ascii="Times New Roman" w:eastAsia="Times New Roman" w:hAnsi="Times New Roman" w:cs="Times New Roman"/>
          <w:kern w:val="0"/>
          <w14:ligatures w14:val="none"/>
        </w:rPr>
        <w:t>Department</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Management,</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University</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Port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Harcourt,</w:t>
      </w:r>
      <w:r w:rsidRPr="00832FF3">
        <w:rPr>
          <w:rFonts w:ascii="Times New Roman" w:eastAsia="Times New Roman" w:hAnsi="Times New Roman" w:cs="Times New Roman"/>
          <w:spacing w:val="-1"/>
          <w:kern w:val="0"/>
          <w14:ligatures w14:val="none"/>
        </w:rPr>
        <w:t xml:space="preserve"> </w:t>
      </w:r>
      <w:proofErr w:type="spellStart"/>
      <w:r w:rsidRPr="00832FF3">
        <w:rPr>
          <w:rFonts w:ascii="Times New Roman" w:eastAsia="Times New Roman" w:hAnsi="Times New Roman" w:cs="Times New Roman"/>
          <w:kern w:val="0"/>
          <w14:ligatures w14:val="none"/>
        </w:rPr>
        <w:t>Choba</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Rivers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State,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spacing w:val="-2"/>
          <w:kern w:val="0"/>
          <w14:ligatures w14:val="none"/>
        </w:rPr>
        <w:t>Nigeria.</w:t>
      </w:r>
    </w:p>
    <w:p w14:paraId="53F3BA57" w14:textId="77777777" w:rsidR="00832FF3" w:rsidRPr="00832FF3" w:rsidRDefault="00832FF3" w:rsidP="00832FF3">
      <w:pPr>
        <w:widowControl w:val="0"/>
        <w:autoSpaceDE w:val="0"/>
        <w:autoSpaceDN w:val="0"/>
        <w:spacing w:before="1" w:after="0" w:line="240" w:lineRule="auto"/>
        <w:jc w:val="center"/>
        <w:rPr>
          <w:rFonts w:ascii="Times New Roman" w:eastAsia="Times New Roman" w:hAnsi="Times New Roman" w:cs="Times New Roman"/>
          <w:kern w:val="0"/>
          <w14:ligatures w14:val="none"/>
        </w:rPr>
      </w:pPr>
      <w:r w:rsidRPr="00832FF3">
        <w:rPr>
          <w:rFonts w:ascii="Times New Roman" w:eastAsia="Times New Roman" w:hAnsi="Times New Roman" w:cs="Times New Roman"/>
          <w:spacing w:val="-2"/>
          <w:kern w:val="0"/>
          <w:sz w:val="22"/>
          <w14:ligatures w14:val="none"/>
        </w:rPr>
        <w:t>Corresponding</w:t>
      </w:r>
      <w:r w:rsidRPr="00832FF3">
        <w:rPr>
          <w:rFonts w:ascii="Times New Roman" w:eastAsia="Times New Roman" w:hAnsi="Times New Roman" w:cs="Times New Roman"/>
          <w:spacing w:val="-4"/>
          <w:kern w:val="0"/>
          <w:sz w:val="22"/>
          <w14:ligatures w14:val="none"/>
        </w:rPr>
        <w:t xml:space="preserve"> </w:t>
      </w:r>
      <w:r w:rsidRPr="00832FF3">
        <w:rPr>
          <w:rFonts w:ascii="Times New Roman" w:eastAsia="Times New Roman" w:hAnsi="Times New Roman" w:cs="Times New Roman"/>
          <w:spacing w:val="-2"/>
          <w:kern w:val="0"/>
          <w:sz w:val="22"/>
          <w14:ligatures w14:val="none"/>
        </w:rPr>
        <w:t>Author:</w:t>
      </w:r>
      <w:r w:rsidRPr="00832FF3">
        <w:rPr>
          <w:rFonts w:ascii="Times New Roman" w:eastAsia="Times New Roman" w:hAnsi="Times New Roman" w:cs="Times New Roman"/>
          <w:spacing w:val="15"/>
          <w:kern w:val="0"/>
          <w:sz w:val="22"/>
          <w14:ligatures w14:val="none"/>
        </w:rPr>
        <w:t xml:space="preserve"> </w:t>
      </w:r>
      <w:hyperlink r:id="rId268">
        <w:r w:rsidRPr="00832FF3">
          <w:rPr>
            <w:rFonts w:ascii="Times New Roman" w:eastAsia="Times New Roman" w:hAnsi="Times New Roman" w:cs="Times New Roman"/>
            <w:spacing w:val="-2"/>
            <w:kern w:val="0"/>
            <w14:ligatures w14:val="none"/>
          </w:rPr>
          <w:t>zion.diboye-suku@uniport.edu.ng</w:t>
        </w:r>
      </w:hyperlink>
    </w:p>
    <w:p w14:paraId="484080AF" w14:textId="77777777" w:rsidR="00832FF3" w:rsidRPr="00832FF3" w:rsidRDefault="00832FF3" w:rsidP="00832FF3">
      <w:pPr>
        <w:widowControl w:val="0"/>
        <w:autoSpaceDE w:val="0"/>
        <w:autoSpaceDN w:val="0"/>
        <w:spacing w:after="0" w:line="240" w:lineRule="auto"/>
        <w:rPr>
          <w:rFonts w:ascii="Times New Roman" w:eastAsia="Times New Roman" w:hAnsi="Times New Roman" w:cs="Times New Roman"/>
          <w:kern w:val="0"/>
          <w14:ligatures w14:val="none"/>
        </w:rPr>
      </w:pPr>
    </w:p>
    <w:p w14:paraId="6D9594AF" w14:textId="77777777" w:rsidR="00832FF3" w:rsidRPr="00832FF3" w:rsidRDefault="00832FF3" w:rsidP="00832FF3">
      <w:pPr>
        <w:widowControl w:val="0"/>
        <w:autoSpaceDE w:val="0"/>
        <w:autoSpaceDN w:val="0"/>
        <w:spacing w:before="231" w:after="0" w:line="240" w:lineRule="auto"/>
        <w:rPr>
          <w:rFonts w:ascii="Times New Roman" w:eastAsia="Times New Roman" w:hAnsi="Times New Roman" w:cs="Times New Roman"/>
          <w:kern w:val="0"/>
          <w14:ligatures w14:val="none"/>
        </w:rPr>
      </w:pPr>
    </w:p>
    <w:p w14:paraId="1E75F8FC" w14:textId="77777777" w:rsidR="00832FF3" w:rsidRPr="00832FF3" w:rsidRDefault="00832FF3" w:rsidP="00832FF3">
      <w:pPr>
        <w:widowControl w:val="0"/>
        <w:autoSpaceDE w:val="0"/>
        <w:autoSpaceDN w:val="0"/>
        <w:spacing w:after="0" w:line="240" w:lineRule="auto"/>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spacing w:val="-2"/>
          <w:kern w:val="0"/>
          <w14:ligatures w14:val="none"/>
        </w:rPr>
        <w:t>Abstract</w:t>
      </w:r>
    </w:p>
    <w:p w14:paraId="2EDD9551" w14:textId="77777777" w:rsidR="00832FF3" w:rsidRPr="00832FF3" w:rsidRDefault="00832FF3" w:rsidP="00832FF3">
      <w:pPr>
        <w:widowControl w:val="0"/>
        <w:autoSpaceDE w:val="0"/>
        <w:autoSpaceDN w:val="0"/>
        <w:spacing w:after="0" w:line="240" w:lineRule="auto"/>
        <w:rPr>
          <w:rFonts w:ascii="Times New Roman" w:eastAsia="Times New Roman" w:hAnsi="Times New Roman" w:cs="Times New Roman"/>
          <w:b/>
          <w:kern w:val="0"/>
          <w14:ligatures w14:val="none"/>
        </w:rPr>
      </w:pPr>
    </w:p>
    <w:p w14:paraId="05B61FFE" w14:textId="77777777" w:rsidR="00832FF3" w:rsidRPr="00832FF3" w:rsidRDefault="00832FF3" w:rsidP="00832FF3">
      <w:pPr>
        <w:widowControl w:val="0"/>
        <w:autoSpaceDE w:val="0"/>
        <w:autoSpaceDN w:val="0"/>
        <w:spacing w:after="0" w:line="240" w:lineRule="auto"/>
        <w:ind w:right="98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This study examined the effect of digital technologies for sustainability and green operations on operational performance in Nigerian manufacturing firms. The study investigated how artificial intelligence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data</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analytics, Internet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Things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(IoT)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smart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monitoring</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systems,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as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well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digital twin and cyber-physical systems influence operational performance. A cross-sectional survey research design was adopted for the study. The population comprised manufacturing firms operating in Nigeria, while the accessible population consisted of manufacturing firms located in Rivers State. Data was collected</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through</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structured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questionnaire,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administered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373</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respondents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comprising;</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managers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and operational</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personnel</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selected</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data</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were</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analyzed</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using</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Structural</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Equation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Modelling. The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findings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revealed</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artificial</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intelligence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data</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analytics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significantly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improve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product/process quality and cost efficiency by enhancing data-driven decision making and predictive maintenance in production processes. Overall, the results demonstrate that digital technologies for sustainability play a significant role in enhancing operational performance within manufacturing firms. Hence, the study concluded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integration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advanced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into</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operations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is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essential for achieving sustainable and efficient production systems. The study therefore, recommended that manufacturing firms should invest in digital infrastructure, strengthen employee digital competencies, and adopt integrated digital transformation strategies that align technological innovation with sustainability objectives.</w:t>
      </w:r>
    </w:p>
    <w:p w14:paraId="36F60567" w14:textId="77777777" w:rsidR="00832FF3" w:rsidRPr="00832FF3" w:rsidRDefault="00832FF3" w:rsidP="00832FF3">
      <w:pPr>
        <w:widowControl w:val="0"/>
        <w:autoSpaceDE w:val="0"/>
        <w:autoSpaceDN w:val="0"/>
        <w:spacing w:after="0" w:line="240" w:lineRule="auto"/>
        <w:rPr>
          <w:rFonts w:ascii="Times New Roman" w:eastAsia="Times New Roman" w:hAnsi="Times New Roman" w:cs="Times New Roman"/>
          <w:kern w:val="0"/>
          <w14:ligatures w14:val="none"/>
        </w:rPr>
      </w:pPr>
    </w:p>
    <w:p w14:paraId="173A07C1" w14:textId="77777777" w:rsidR="00832FF3" w:rsidRPr="00832FF3" w:rsidRDefault="00832FF3" w:rsidP="00832FF3">
      <w:pPr>
        <w:widowControl w:val="0"/>
        <w:autoSpaceDE w:val="0"/>
        <w:autoSpaceDN w:val="0"/>
        <w:spacing w:before="1" w:after="0" w:line="259" w:lineRule="auto"/>
        <w:ind w:right="883"/>
        <w:rPr>
          <w:rFonts w:ascii="Times New Roman" w:eastAsia="Times New Roman" w:hAnsi="Times New Roman" w:cs="Times New Roman"/>
          <w:i/>
          <w:kern w:val="0"/>
          <w:szCs w:val="22"/>
          <w14:ligatures w14:val="none"/>
        </w:rPr>
      </w:pPr>
      <w:r w:rsidRPr="00832FF3">
        <w:rPr>
          <w:rFonts w:ascii="Times New Roman" w:eastAsia="Times New Roman" w:hAnsi="Times New Roman" w:cs="Times New Roman"/>
          <w:b/>
          <w:i/>
          <w:kern w:val="0"/>
          <w:szCs w:val="22"/>
          <w14:ligatures w14:val="none"/>
        </w:rPr>
        <w:t>Keywords:</w:t>
      </w:r>
      <w:r w:rsidRPr="00832FF3">
        <w:rPr>
          <w:rFonts w:ascii="Times New Roman" w:eastAsia="Times New Roman" w:hAnsi="Times New Roman" w:cs="Times New Roman"/>
          <w:b/>
          <w:i/>
          <w:spacing w:val="-15"/>
          <w:kern w:val="0"/>
          <w:szCs w:val="22"/>
          <w14:ligatures w14:val="none"/>
        </w:rPr>
        <w:t xml:space="preserve"> </w:t>
      </w:r>
      <w:r w:rsidRPr="00832FF3">
        <w:rPr>
          <w:rFonts w:ascii="Times New Roman" w:eastAsia="Times New Roman" w:hAnsi="Times New Roman" w:cs="Times New Roman"/>
          <w:i/>
          <w:kern w:val="0"/>
          <w:szCs w:val="22"/>
          <w14:ligatures w14:val="none"/>
        </w:rPr>
        <w:t>Digital</w:t>
      </w:r>
      <w:r w:rsidRPr="00832FF3">
        <w:rPr>
          <w:rFonts w:ascii="Times New Roman" w:eastAsia="Times New Roman" w:hAnsi="Times New Roman" w:cs="Times New Roman"/>
          <w:i/>
          <w:spacing w:val="-15"/>
          <w:kern w:val="0"/>
          <w:szCs w:val="22"/>
          <w14:ligatures w14:val="none"/>
        </w:rPr>
        <w:t xml:space="preserve"> </w:t>
      </w:r>
      <w:r w:rsidRPr="00832FF3">
        <w:rPr>
          <w:rFonts w:ascii="Times New Roman" w:eastAsia="Times New Roman" w:hAnsi="Times New Roman" w:cs="Times New Roman"/>
          <w:i/>
          <w:kern w:val="0"/>
          <w:szCs w:val="22"/>
          <w14:ligatures w14:val="none"/>
        </w:rPr>
        <w:t>technologies,</w:t>
      </w:r>
      <w:r w:rsidRPr="00832FF3">
        <w:rPr>
          <w:rFonts w:ascii="Times New Roman" w:eastAsia="Times New Roman" w:hAnsi="Times New Roman" w:cs="Times New Roman"/>
          <w:i/>
          <w:spacing w:val="-14"/>
          <w:kern w:val="0"/>
          <w:szCs w:val="22"/>
          <w14:ligatures w14:val="none"/>
        </w:rPr>
        <w:t xml:space="preserve"> </w:t>
      </w:r>
      <w:r w:rsidRPr="00832FF3">
        <w:rPr>
          <w:rFonts w:ascii="Times New Roman" w:eastAsia="Times New Roman" w:hAnsi="Times New Roman" w:cs="Times New Roman"/>
          <w:i/>
          <w:kern w:val="0"/>
          <w:szCs w:val="22"/>
          <w14:ligatures w14:val="none"/>
        </w:rPr>
        <w:t>sustainability,</w:t>
      </w:r>
      <w:r w:rsidRPr="00832FF3">
        <w:rPr>
          <w:rFonts w:ascii="Times New Roman" w:eastAsia="Times New Roman" w:hAnsi="Times New Roman" w:cs="Times New Roman"/>
          <w:i/>
          <w:spacing w:val="-15"/>
          <w:kern w:val="0"/>
          <w:szCs w:val="22"/>
          <w14:ligatures w14:val="none"/>
        </w:rPr>
        <w:t xml:space="preserve"> </w:t>
      </w:r>
      <w:r w:rsidRPr="00832FF3">
        <w:rPr>
          <w:rFonts w:ascii="Times New Roman" w:eastAsia="Times New Roman" w:hAnsi="Times New Roman" w:cs="Times New Roman"/>
          <w:i/>
          <w:kern w:val="0"/>
          <w:szCs w:val="22"/>
          <w14:ligatures w14:val="none"/>
        </w:rPr>
        <w:t>green</w:t>
      </w:r>
      <w:r w:rsidRPr="00832FF3">
        <w:rPr>
          <w:rFonts w:ascii="Times New Roman" w:eastAsia="Times New Roman" w:hAnsi="Times New Roman" w:cs="Times New Roman"/>
          <w:i/>
          <w:spacing w:val="-15"/>
          <w:kern w:val="0"/>
          <w:szCs w:val="22"/>
          <w14:ligatures w14:val="none"/>
        </w:rPr>
        <w:t xml:space="preserve"> </w:t>
      </w:r>
      <w:r w:rsidRPr="00832FF3">
        <w:rPr>
          <w:rFonts w:ascii="Times New Roman" w:eastAsia="Times New Roman" w:hAnsi="Times New Roman" w:cs="Times New Roman"/>
          <w:i/>
          <w:kern w:val="0"/>
          <w:szCs w:val="22"/>
          <w14:ligatures w14:val="none"/>
        </w:rPr>
        <w:t>operations,</w:t>
      </w:r>
      <w:r w:rsidRPr="00832FF3">
        <w:rPr>
          <w:rFonts w:ascii="Times New Roman" w:eastAsia="Times New Roman" w:hAnsi="Times New Roman" w:cs="Times New Roman"/>
          <w:i/>
          <w:spacing w:val="-15"/>
          <w:kern w:val="0"/>
          <w:szCs w:val="22"/>
          <w14:ligatures w14:val="none"/>
        </w:rPr>
        <w:t xml:space="preserve"> </w:t>
      </w:r>
      <w:r w:rsidRPr="00832FF3">
        <w:rPr>
          <w:rFonts w:ascii="Times New Roman" w:eastAsia="Times New Roman" w:hAnsi="Times New Roman" w:cs="Times New Roman"/>
          <w:i/>
          <w:kern w:val="0"/>
          <w:szCs w:val="22"/>
          <w14:ligatures w14:val="none"/>
        </w:rPr>
        <w:t>operational</w:t>
      </w:r>
      <w:r w:rsidRPr="00832FF3">
        <w:rPr>
          <w:rFonts w:ascii="Times New Roman" w:eastAsia="Times New Roman" w:hAnsi="Times New Roman" w:cs="Times New Roman"/>
          <w:i/>
          <w:spacing w:val="-14"/>
          <w:kern w:val="0"/>
          <w:szCs w:val="22"/>
          <w14:ligatures w14:val="none"/>
        </w:rPr>
        <w:t xml:space="preserve"> </w:t>
      </w:r>
      <w:r w:rsidRPr="00832FF3">
        <w:rPr>
          <w:rFonts w:ascii="Times New Roman" w:eastAsia="Times New Roman" w:hAnsi="Times New Roman" w:cs="Times New Roman"/>
          <w:i/>
          <w:kern w:val="0"/>
          <w:szCs w:val="22"/>
          <w14:ligatures w14:val="none"/>
        </w:rPr>
        <w:t>performance, manufacturing firms, circular economy.</w:t>
      </w:r>
    </w:p>
    <w:p w14:paraId="7323B9B3" w14:textId="77777777" w:rsidR="00832FF3" w:rsidRPr="00832FF3" w:rsidRDefault="00832FF3" w:rsidP="00AE7FA9">
      <w:pPr>
        <w:widowControl w:val="0"/>
        <w:numPr>
          <w:ilvl w:val="0"/>
          <w:numId w:val="63"/>
        </w:numPr>
        <w:tabs>
          <w:tab w:val="left" w:pos="900"/>
        </w:tabs>
        <w:autoSpaceDE w:val="0"/>
        <w:autoSpaceDN w:val="0"/>
        <w:spacing w:before="77" w:after="0" w:line="240" w:lineRule="auto"/>
        <w:outlineLvl w:val="0"/>
        <w:rPr>
          <w:rFonts w:ascii="Times New Roman" w:eastAsia="Times New Roman" w:hAnsi="Times New Roman" w:cs="Times New Roman"/>
          <w:b/>
          <w:bCs/>
          <w:kern w:val="0"/>
          <w:sz w:val="22"/>
          <w14:ligatures w14:val="none"/>
        </w:rPr>
      </w:pPr>
      <w:r w:rsidRPr="00832FF3">
        <w:rPr>
          <w:rFonts w:ascii="Times New Roman" w:eastAsia="Times New Roman" w:hAnsi="Times New Roman" w:cs="Times New Roman"/>
          <w:b/>
          <w:bCs/>
          <w:spacing w:val="-2"/>
          <w:kern w:val="0"/>
          <w14:ligatures w14:val="none"/>
        </w:rPr>
        <w:t>Introduction</w:t>
      </w:r>
    </w:p>
    <w:p w14:paraId="3C97ECC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33AE173D" w14:textId="6E98CB4E" w:rsidR="00832FF3" w:rsidRPr="00832FF3" w:rsidRDefault="00832FF3" w:rsidP="00AE7FA9">
      <w:pPr>
        <w:widowControl w:val="0"/>
        <w:autoSpaceDE w:val="0"/>
        <w:autoSpaceDN w:val="0"/>
        <w:spacing w:after="0" w:line="240" w:lineRule="auto"/>
        <w:ind w:right="976"/>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rapid proliferation of digital technologies has fundamentally transformed the global manufacturing landscape, compelling firms to rethink how they manage production, optimize processes, and deliver value while minimizing environmental impact (</w:t>
      </w:r>
      <w:proofErr w:type="spellStart"/>
      <w:r w:rsidRPr="00832FF3">
        <w:rPr>
          <w:rFonts w:ascii="Times New Roman" w:eastAsia="Times New Roman" w:hAnsi="Times New Roman" w:cs="Times New Roman"/>
          <w:kern w:val="0"/>
          <w14:ligatures w14:val="none"/>
        </w:rPr>
        <w:t>Schöggl</w:t>
      </w:r>
      <w:proofErr w:type="spellEnd"/>
      <w:r w:rsidRPr="00832FF3">
        <w:rPr>
          <w:rFonts w:ascii="Times New Roman" w:eastAsia="Times New Roman" w:hAnsi="Times New Roman" w:cs="Times New Roman"/>
          <w:kern w:val="0"/>
          <w14:ligatures w14:val="none"/>
        </w:rPr>
        <w:t xml:space="preserve"> et al., 2023). In recent years, digital tools such as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artificial</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intelligence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(AI),</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Internet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Things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(IoT),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big</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data</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analytics,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cyber-physical</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systems have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emerged</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as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critical enablers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sustainable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efficient</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operations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w:t>
      </w:r>
      <w:proofErr w:type="spellStart"/>
      <w:r w:rsidRPr="00832FF3">
        <w:rPr>
          <w:rFonts w:ascii="Times New Roman" w:eastAsia="Times New Roman" w:hAnsi="Times New Roman" w:cs="Times New Roman"/>
          <w:kern w:val="0"/>
          <w14:ligatures w14:val="none"/>
        </w:rPr>
        <w:t>Olurinola</w:t>
      </w:r>
      <w:proofErr w:type="spellEnd"/>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et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al., 2021;</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McKenzie,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2025).</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These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offer</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capabilities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extend</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beyond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traditional</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automation –</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from</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real-time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monitoring</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predictive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analytics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advanced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process</w:t>
      </w:r>
      <w:r w:rsidRPr="00832FF3">
        <w:rPr>
          <w:rFonts w:ascii="Times New Roman" w:eastAsia="Times New Roman" w:hAnsi="Times New Roman" w:cs="Times New Roman"/>
          <w:spacing w:val="-7"/>
          <w:kern w:val="0"/>
          <w14:ligatures w14:val="none"/>
        </w:rPr>
        <w:t xml:space="preserve"> </w:t>
      </w:r>
      <w:proofErr w:type="spellStart"/>
      <w:r w:rsidRPr="00832FF3">
        <w:rPr>
          <w:rFonts w:ascii="Times New Roman" w:eastAsia="Times New Roman" w:hAnsi="Times New Roman" w:cs="Times New Roman"/>
          <w:kern w:val="0"/>
          <w14:ligatures w14:val="none"/>
        </w:rPr>
        <w:t>optimisation</w:t>
      </w:r>
      <w:proofErr w:type="spellEnd"/>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integration</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of circular economy principles in production systems (</w:t>
      </w:r>
      <w:proofErr w:type="spellStart"/>
      <w:r w:rsidRPr="00832FF3">
        <w:rPr>
          <w:rFonts w:ascii="Times New Roman" w:eastAsia="Times New Roman" w:hAnsi="Times New Roman" w:cs="Times New Roman"/>
          <w:kern w:val="0"/>
          <w14:ligatures w14:val="none"/>
        </w:rPr>
        <w:t>Olomu</w:t>
      </w:r>
      <w:proofErr w:type="spellEnd"/>
      <w:r w:rsidRPr="00832FF3">
        <w:rPr>
          <w:rFonts w:ascii="Times New Roman" w:eastAsia="Times New Roman" w:hAnsi="Times New Roman" w:cs="Times New Roman"/>
          <w:kern w:val="0"/>
          <w14:ligatures w14:val="none"/>
        </w:rPr>
        <w:t xml:space="preserve"> et al., 2023). Within the Nigerian context, where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 xml:space="preserve">the manufacturing sector remains a pivotal driver of employment and economic growth yet faces recurrent challenges such as inefficiencies, high operational costs, and limited competitiveness, digital adoption is increasingly </w:t>
      </w:r>
      <w:r w:rsidRPr="00832FF3">
        <w:rPr>
          <w:rFonts w:ascii="Times New Roman" w:eastAsia="Times New Roman" w:hAnsi="Times New Roman" w:cs="Times New Roman"/>
          <w:kern w:val="0"/>
          <w14:ligatures w14:val="none"/>
        </w:rPr>
        <w:lastRenderedPageBreak/>
        <w:t xml:space="preserve">viewed as a strategic imperative for both sustainability and operational performance enhancement (Chukwudi, 2024). Empirical research conducted in Nigeria suggests that </w:t>
      </w:r>
      <w:proofErr w:type="spellStart"/>
      <w:r w:rsidRPr="00832FF3">
        <w:rPr>
          <w:rFonts w:ascii="Times New Roman" w:eastAsia="Times New Roman" w:hAnsi="Times New Roman" w:cs="Times New Roman"/>
          <w:kern w:val="0"/>
          <w14:ligatures w14:val="none"/>
        </w:rPr>
        <w:t>digitalisation</w:t>
      </w:r>
      <w:proofErr w:type="spellEnd"/>
      <w:r w:rsidRPr="00832FF3">
        <w:rPr>
          <w:rFonts w:ascii="Times New Roman" w:eastAsia="Times New Roman" w:hAnsi="Times New Roman" w:cs="Times New Roman"/>
          <w:kern w:val="0"/>
          <w14:ligatures w14:val="none"/>
        </w:rPr>
        <w:t xml:space="preserve"> significantly improves operational efficiency and supports decision-making processes, though the adoption of high-end digital technologies remains limited and uneven across manufacturing firms (Olatunji et al., 2025). Globally, literature on digital transformation in manufacturing underscores its</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role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enabling</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circular</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economy</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practices,</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whereby</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tools</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help</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track</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resource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use,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 xml:space="preserve">reduce waste, and design systems that extend product life cycles and </w:t>
      </w:r>
      <w:proofErr w:type="spellStart"/>
      <w:r w:rsidRPr="00832FF3">
        <w:rPr>
          <w:rFonts w:ascii="Times New Roman" w:eastAsia="Times New Roman" w:hAnsi="Times New Roman" w:cs="Times New Roman"/>
          <w:kern w:val="0"/>
          <w14:ligatures w14:val="none"/>
        </w:rPr>
        <w:t>minimise</w:t>
      </w:r>
      <w:proofErr w:type="spellEnd"/>
      <w:r w:rsidRPr="00832FF3">
        <w:rPr>
          <w:rFonts w:ascii="Times New Roman" w:eastAsia="Times New Roman" w:hAnsi="Times New Roman" w:cs="Times New Roman"/>
          <w:kern w:val="0"/>
          <w14:ligatures w14:val="none"/>
        </w:rPr>
        <w:t xml:space="preserve"> environmental externalities (Adewusi &amp; Jegede, 2022). Despite this growing interest, there remains a gap in understanding the specific links between digital technologies for sustainability and operational performance outcomes, particularly in emerging economies like Nigeria, where empirical insight into these relationships is still </w:t>
      </w:r>
      <w:proofErr w:type="spellStart"/>
      <w:r w:rsidRPr="00832FF3">
        <w:rPr>
          <w:rFonts w:ascii="Times New Roman" w:eastAsia="Times New Roman" w:hAnsi="Times New Roman" w:cs="Times New Roman"/>
          <w:spacing w:val="-2"/>
          <w:kern w:val="0"/>
          <w14:ligatures w14:val="none"/>
        </w:rPr>
        <w:t>nascent.</w:t>
      </w:r>
      <w:r w:rsidRPr="00832FF3">
        <w:rPr>
          <w:rFonts w:ascii="Times New Roman" w:eastAsia="Times New Roman" w:hAnsi="Times New Roman" w:cs="Times New Roman"/>
          <w:kern w:val="0"/>
          <w14:ligatures w14:val="none"/>
        </w:rPr>
        <w:t>lthough</w:t>
      </w:r>
      <w:proofErr w:type="spellEnd"/>
      <w:r w:rsidRPr="00832FF3">
        <w:rPr>
          <w:rFonts w:ascii="Times New Roman" w:eastAsia="Times New Roman" w:hAnsi="Times New Roman" w:cs="Times New Roman"/>
          <w:kern w:val="0"/>
          <w14:ligatures w14:val="none"/>
        </w:rPr>
        <w:t xml:space="preserve"> digital technologies are widely </w:t>
      </w:r>
      <w:proofErr w:type="spellStart"/>
      <w:r w:rsidRPr="00832FF3">
        <w:rPr>
          <w:rFonts w:ascii="Times New Roman" w:eastAsia="Times New Roman" w:hAnsi="Times New Roman" w:cs="Times New Roman"/>
          <w:kern w:val="0"/>
          <w14:ligatures w14:val="none"/>
        </w:rPr>
        <w:t>recognised</w:t>
      </w:r>
      <w:proofErr w:type="spellEnd"/>
      <w:r w:rsidRPr="00832FF3">
        <w:rPr>
          <w:rFonts w:ascii="Times New Roman" w:eastAsia="Times New Roman" w:hAnsi="Times New Roman" w:cs="Times New Roman"/>
          <w:kern w:val="0"/>
          <w14:ligatures w14:val="none"/>
        </w:rPr>
        <w:t xml:space="preserve"> as key drivers of innovation and sustainable operational efficiency, their adoption in manufacturing, especially in developing economies, has been fraught with historical and structural challenges. Historically, manufacturing firms in Nigeria have grappled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with</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declining</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productivity,</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inefficiencies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production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processes,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limited</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competitiveness on the global stage, issues often attributed to outdated technologies, poor infrastructure, and inadequate investment in digital capabilities (Wako &amp; Mwanzia, 2024). While digital transformation offers promising pathways for addressing these problems, empirical evidence suggests that many Nigerian manufacturers have struggled with the widespread integration of advanced digital tools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such as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 xml:space="preserve">AI, IoT, and cyber-physical systems. Studies have shown that although </w:t>
      </w:r>
      <w:proofErr w:type="spellStart"/>
      <w:r w:rsidRPr="00832FF3">
        <w:rPr>
          <w:rFonts w:ascii="Times New Roman" w:eastAsia="Times New Roman" w:hAnsi="Times New Roman" w:cs="Times New Roman"/>
          <w:kern w:val="0"/>
          <w14:ligatures w14:val="none"/>
        </w:rPr>
        <w:t>digitalisation</w:t>
      </w:r>
      <w:proofErr w:type="spellEnd"/>
      <w:r w:rsidRPr="00832FF3">
        <w:rPr>
          <w:rFonts w:ascii="Times New Roman" w:eastAsia="Times New Roman" w:hAnsi="Times New Roman" w:cs="Times New Roman"/>
          <w:kern w:val="0"/>
          <w14:ligatures w14:val="none"/>
        </w:rPr>
        <w:t xml:space="preserve"> can enhance operational efficiency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spur</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innovation</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(Chukwudi,</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2024),</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its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actual</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implementation</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frequently</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constrained</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by infrastructural deficits, limited digital skills, and resource limitations (</w:t>
      </w:r>
      <w:proofErr w:type="spellStart"/>
      <w:r w:rsidRPr="00832FF3">
        <w:rPr>
          <w:rFonts w:ascii="Times New Roman" w:eastAsia="Times New Roman" w:hAnsi="Times New Roman" w:cs="Times New Roman"/>
          <w:kern w:val="0"/>
          <w14:ligatures w14:val="none"/>
        </w:rPr>
        <w:t>Adetowubo</w:t>
      </w:r>
      <w:proofErr w:type="spellEnd"/>
      <w:r w:rsidRPr="00832FF3">
        <w:rPr>
          <w:rFonts w:ascii="Times New Roman" w:eastAsia="Times New Roman" w:hAnsi="Times New Roman" w:cs="Times New Roman"/>
          <w:kern w:val="0"/>
          <w14:ligatures w14:val="none"/>
        </w:rPr>
        <w:t xml:space="preserve">-King et al., 2023). These constraints not only hinder the </w:t>
      </w:r>
      <w:proofErr w:type="spellStart"/>
      <w:r w:rsidRPr="00832FF3">
        <w:rPr>
          <w:rFonts w:ascii="Times New Roman" w:eastAsia="Times New Roman" w:hAnsi="Times New Roman" w:cs="Times New Roman"/>
          <w:kern w:val="0"/>
          <w14:ligatures w14:val="none"/>
        </w:rPr>
        <w:t>realisation</w:t>
      </w:r>
      <w:proofErr w:type="spellEnd"/>
      <w:r w:rsidRPr="00832FF3">
        <w:rPr>
          <w:rFonts w:ascii="Times New Roman" w:eastAsia="Times New Roman" w:hAnsi="Times New Roman" w:cs="Times New Roman"/>
          <w:kern w:val="0"/>
          <w14:ligatures w14:val="none"/>
        </w:rPr>
        <w:t xml:space="preserve"> of the full benefits of digital technologies but also exacerbate existing performance disparities between firms that have the resources to adopt such technologies</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those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do</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not.</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Additionally,</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while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research</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highlights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potential</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tools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to support sustainability and circular economy practices (Chukwudi, 2024), there is limited empirical understanding of how these technologies translate into measurable improvements in operational performance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indicators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such</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product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quality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cost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efficiency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within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Nigerian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firms. Theoretical contentions in the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literature further</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complicate</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problem. On</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one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hand, proponents of</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 xml:space="preserve">the Resource-Based View argue that digital technologies can function as strategic assets that generate sustainable competitive advantage when firms develop unique technological capabilities. On the other hand, critics highlight that without the necessary </w:t>
      </w:r>
      <w:proofErr w:type="spellStart"/>
      <w:r w:rsidRPr="00832FF3">
        <w:rPr>
          <w:rFonts w:ascii="Times New Roman" w:eastAsia="Times New Roman" w:hAnsi="Times New Roman" w:cs="Times New Roman"/>
          <w:kern w:val="0"/>
          <w14:ligatures w14:val="none"/>
        </w:rPr>
        <w:t>organisational</w:t>
      </w:r>
      <w:proofErr w:type="spellEnd"/>
      <w:r w:rsidRPr="00832FF3">
        <w:rPr>
          <w:rFonts w:ascii="Times New Roman" w:eastAsia="Times New Roman" w:hAnsi="Times New Roman" w:cs="Times New Roman"/>
          <w:kern w:val="0"/>
          <w14:ligatures w14:val="none"/>
        </w:rPr>
        <w:t xml:space="preserve"> readiness and external support, such technologies may not deliver expected operational gains, particularly in resource-constrained environments.</w:t>
      </w:r>
      <w:r w:rsidRPr="00832FF3">
        <w:rPr>
          <w:rFonts w:ascii="Times New Roman" w:eastAsia="Times New Roman" w:hAnsi="Times New Roman" w:cs="Times New Roman"/>
          <w:spacing w:val="-17"/>
          <w:kern w:val="0"/>
          <w14:ligatures w14:val="none"/>
        </w:rPr>
        <w:t xml:space="preserve"> </w:t>
      </w:r>
      <w:r w:rsidRPr="00832FF3">
        <w:rPr>
          <w:rFonts w:ascii="Times New Roman" w:eastAsia="Times New Roman" w:hAnsi="Times New Roman" w:cs="Times New Roman"/>
          <w:kern w:val="0"/>
          <w14:ligatures w14:val="none"/>
        </w:rPr>
        <w:t>These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conflicting</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views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raise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important</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questions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about</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conditions</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under</w:t>
      </w:r>
      <w:r w:rsidRPr="00832FF3">
        <w:rPr>
          <w:rFonts w:ascii="Times New Roman" w:eastAsia="Times New Roman" w:hAnsi="Times New Roman" w:cs="Times New Roman"/>
          <w:spacing w:val="-16"/>
          <w:kern w:val="0"/>
          <w14:ligatures w14:val="none"/>
        </w:rPr>
        <w:t xml:space="preserve"> </w:t>
      </w:r>
      <w:r w:rsidRPr="00832FF3">
        <w:rPr>
          <w:rFonts w:ascii="Times New Roman" w:eastAsia="Times New Roman" w:hAnsi="Times New Roman" w:cs="Times New Roman"/>
          <w:kern w:val="0"/>
          <w14:ligatures w14:val="none"/>
        </w:rPr>
        <w:t>which</w:t>
      </w:r>
      <w:r w:rsidRPr="00832FF3">
        <w:rPr>
          <w:rFonts w:ascii="Times New Roman" w:eastAsia="Times New Roman" w:hAnsi="Times New Roman" w:cs="Times New Roman"/>
          <w:spacing w:val="-14"/>
          <w:kern w:val="0"/>
          <w14:ligatures w14:val="none"/>
        </w:rPr>
        <w:t xml:space="preserve"> </w:t>
      </w:r>
      <w:proofErr w:type="spellStart"/>
      <w:r w:rsidRPr="00832FF3">
        <w:rPr>
          <w:rFonts w:ascii="Times New Roman" w:eastAsia="Times New Roman" w:hAnsi="Times New Roman" w:cs="Times New Roman"/>
          <w:kern w:val="0"/>
          <w14:ligatures w14:val="none"/>
        </w:rPr>
        <w:t>digitaltechnologies</w:t>
      </w:r>
      <w:proofErr w:type="spellEnd"/>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contribute</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sustainability</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outcomes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contexts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differ markedly from advanced economies. The lack of comprehensive empirical studies that integrate both sustainability and operational performance dimensions, especially within the Nigerian manufacturing sector,</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creates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contextual</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research</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gap.</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Therefore,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this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study</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seeks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address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these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gaps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by</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 xml:space="preserve">empirically examining the effects of digital technologies for sustainability and green operations on operational performance in Nigerian manufacturing firms, thereby providing evidence to inform both theory and </w:t>
      </w:r>
      <w:r w:rsidRPr="00832FF3">
        <w:rPr>
          <w:rFonts w:ascii="Times New Roman" w:eastAsia="Times New Roman" w:hAnsi="Times New Roman" w:cs="Times New Roman"/>
          <w:spacing w:val="-2"/>
          <w:kern w:val="0"/>
          <w14:ligatures w14:val="none"/>
        </w:rPr>
        <w:t>practice.</w:t>
      </w:r>
    </w:p>
    <w:p w14:paraId="38BE507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p>
    <w:p w14:paraId="78217569" w14:textId="77777777" w:rsidR="00832FF3" w:rsidRPr="00832FF3" w:rsidRDefault="00832FF3" w:rsidP="00AE7FA9">
      <w:pPr>
        <w:widowControl w:val="0"/>
        <w:autoSpaceDE w:val="0"/>
        <w:autoSpaceDN w:val="0"/>
        <w:spacing w:before="1" w:after="0" w:line="240" w:lineRule="auto"/>
        <w:rPr>
          <w:rFonts w:ascii="Times New Roman" w:eastAsia="Times New Roman" w:hAnsi="Times New Roman" w:cs="Times New Roman"/>
          <w:kern w:val="0"/>
          <w14:ligatures w14:val="none"/>
        </w:rPr>
      </w:pPr>
    </w:p>
    <w:p w14:paraId="36A24657" w14:textId="77777777" w:rsidR="00832FF3" w:rsidRPr="00832FF3" w:rsidRDefault="00832FF3" w:rsidP="00AE7FA9">
      <w:pPr>
        <w:widowControl w:val="0"/>
        <w:numPr>
          <w:ilvl w:val="0"/>
          <w:numId w:val="63"/>
        </w:numPr>
        <w:tabs>
          <w:tab w:val="left" w:pos="900"/>
        </w:tabs>
        <w:autoSpaceDE w:val="0"/>
        <w:autoSpaceDN w:val="0"/>
        <w:spacing w:after="0" w:line="240" w:lineRule="auto"/>
        <w:ind w:left="180" w:right="8401" w:firstLine="0"/>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spacing w:val="-2"/>
          <w:kern w:val="0"/>
          <w14:ligatures w14:val="none"/>
        </w:rPr>
        <w:t>Literature</w:t>
      </w:r>
      <w:r w:rsidRPr="00832FF3">
        <w:rPr>
          <w:rFonts w:ascii="Times New Roman" w:eastAsia="Times New Roman" w:hAnsi="Times New Roman" w:cs="Times New Roman"/>
          <w:b/>
          <w:bCs/>
          <w:spacing w:val="-17"/>
          <w:kern w:val="0"/>
          <w14:ligatures w14:val="none"/>
        </w:rPr>
        <w:t xml:space="preserve"> </w:t>
      </w:r>
      <w:r w:rsidRPr="00832FF3">
        <w:rPr>
          <w:rFonts w:ascii="Times New Roman" w:eastAsia="Times New Roman" w:hAnsi="Times New Roman" w:cs="Times New Roman"/>
          <w:b/>
          <w:bCs/>
          <w:spacing w:val="-2"/>
          <w:kern w:val="0"/>
          <w14:ligatures w14:val="none"/>
        </w:rPr>
        <w:t xml:space="preserve">Review </w:t>
      </w:r>
      <w:r w:rsidRPr="00832FF3">
        <w:rPr>
          <w:rFonts w:ascii="Times New Roman" w:eastAsia="Times New Roman" w:hAnsi="Times New Roman" w:cs="Times New Roman"/>
          <w:b/>
          <w:bCs/>
          <w:kern w:val="0"/>
          <w14:ligatures w14:val="none"/>
        </w:rPr>
        <w:t>Theoretical Framework</w:t>
      </w:r>
    </w:p>
    <w:p w14:paraId="0A714190"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7"/>
          <w:kern w:val="0"/>
          <w14:ligatures w14:val="none"/>
        </w:rPr>
        <w:t xml:space="preserve"> </w:t>
      </w:r>
      <w:r w:rsidRPr="00832FF3">
        <w:rPr>
          <w:rFonts w:ascii="Times New Roman" w:eastAsia="Times New Roman" w:hAnsi="Times New Roman" w:cs="Times New Roman"/>
          <w:kern w:val="0"/>
          <w14:ligatures w14:val="none"/>
        </w:rPr>
        <w:t>study</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is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anchored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Natural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Resource-Based</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View</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theory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Dynamic</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Capabilities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spacing w:val="-2"/>
          <w:kern w:val="0"/>
          <w14:ligatures w14:val="none"/>
        </w:rPr>
        <w:t>theory;</w:t>
      </w:r>
    </w:p>
    <w:p w14:paraId="35ECEF81"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p>
    <w:p w14:paraId="5DACF88F" w14:textId="77777777" w:rsidR="00832FF3" w:rsidRPr="00832FF3" w:rsidRDefault="00832FF3" w:rsidP="00AE7FA9">
      <w:pPr>
        <w:widowControl w:val="0"/>
        <w:autoSpaceDE w:val="0"/>
        <w:autoSpaceDN w:val="0"/>
        <w:spacing w:after="0" w:line="240" w:lineRule="auto"/>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The</w:t>
      </w:r>
      <w:r w:rsidRPr="00832FF3">
        <w:rPr>
          <w:rFonts w:ascii="Times New Roman" w:eastAsia="Times New Roman" w:hAnsi="Times New Roman" w:cs="Times New Roman"/>
          <w:b/>
          <w:bCs/>
          <w:spacing w:val="-11"/>
          <w:kern w:val="0"/>
          <w14:ligatures w14:val="none"/>
        </w:rPr>
        <w:t xml:space="preserve"> </w:t>
      </w:r>
      <w:r w:rsidRPr="00832FF3">
        <w:rPr>
          <w:rFonts w:ascii="Times New Roman" w:eastAsia="Times New Roman" w:hAnsi="Times New Roman" w:cs="Times New Roman"/>
          <w:b/>
          <w:bCs/>
          <w:kern w:val="0"/>
          <w14:ligatures w14:val="none"/>
        </w:rPr>
        <w:t>Natural</w:t>
      </w:r>
      <w:r w:rsidRPr="00832FF3">
        <w:rPr>
          <w:rFonts w:ascii="Times New Roman" w:eastAsia="Times New Roman" w:hAnsi="Times New Roman" w:cs="Times New Roman"/>
          <w:b/>
          <w:bCs/>
          <w:spacing w:val="-9"/>
          <w:kern w:val="0"/>
          <w14:ligatures w14:val="none"/>
        </w:rPr>
        <w:t xml:space="preserve"> </w:t>
      </w:r>
      <w:r w:rsidRPr="00832FF3">
        <w:rPr>
          <w:rFonts w:ascii="Times New Roman" w:eastAsia="Times New Roman" w:hAnsi="Times New Roman" w:cs="Times New Roman"/>
          <w:b/>
          <w:bCs/>
          <w:kern w:val="0"/>
          <w14:ligatures w14:val="none"/>
        </w:rPr>
        <w:t>Resource-Based</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View</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spacing w:val="-2"/>
          <w:kern w:val="0"/>
          <w14:ligatures w14:val="none"/>
        </w:rPr>
        <w:t>(NRBV)</w:t>
      </w:r>
    </w:p>
    <w:p w14:paraId="4FC877D7"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7E1B7BA1" w14:textId="3435884B" w:rsidR="00832FF3" w:rsidRPr="00832FF3" w:rsidRDefault="00832FF3" w:rsidP="00AE7FA9">
      <w:pPr>
        <w:widowControl w:val="0"/>
        <w:autoSpaceDE w:val="0"/>
        <w:autoSpaceDN w:val="0"/>
        <w:spacing w:after="0" w:line="240" w:lineRule="auto"/>
        <w:ind w:right="98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The Natural Resource-Based View extends the traditional RBV framework by incorporating </w:t>
      </w:r>
      <w:r w:rsidRPr="00832FF3">
        <w:rPr>
          <w:rFonts w:ascii="Times New Roman" w:eastAsia="Times New Roman" w:hAnsi="Times New Roman" w:cs="Times New Roman"/>
          <w:kern w:val="0"/>
          <w14:ligatures w14:val="none"/>
        </w:rPr>
        <w:lastRenderedPageBreak/>
        <w:t>environmental sustainability considerations into strategic management theory. Hart argued that environmental challenges such as resource scarcity, pollution, and ecological degradation would increasingly shape the competitive landscape of firms, thereby requiring organizations to develop capabilities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support</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sustainable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resource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utilization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(Hart,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1995).</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NRBV</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theory</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emphasizes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that firms can achieve competitive advantage by developing environmental capabilities such as pollution prevention,</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product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stewardship,</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sustainable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development.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These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capabilities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allow</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organizations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to minimize environmental impact while simultaneously improving operational efficiency and market competitiveness (Hart, 1995). Within the context of this research, the NRBV theory provides a strong conceptual foundation for explaining the relationship between digital technologies, sustainability practices, and operational performance (Hart &amp; Dowell, 2011). The integration of digital technologies</w:t>
      </w:r>
      <w:r w:rsidR="00AE7FA9">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kern w:val="0"/>
          <w14:ligatures w14:val="none"/>
        </w:rPr>
        <w:t>into</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processes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enables</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develop</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advanced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environmental</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management</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capabilities (</w:t>
      </w:r>
      <w:proofErr w:type="spellStart"/>
      <w:r w:rsidRPr="00832FF3">
        <w:rPr>
          <w:rFonts w:ascii="Times New Roman" w:eastAsia="Times New Roman" w:hAnsi="Times New Roman" w:cs="Times New Roman"/>
          <w:kern w:val="0"/>
          <w14:ligatures w14:val="none"/>
        </w:rPr>
        <w:t>Geissdoerfer</w:t>
      </w:r>
      <w:proofErr w:type="spellEnd"/>
      <w:r w:rsidRPr="00832FF3">
        <w:rPr>
          <w:rFonts w:ascii="Times New Roman" w:eastAsia="Times New Roman" w:hAnsi="Times New Roman" w:cs="Times New Roman"/>
          <w:kern w:val="0"/>
          <w14:ligatures w14:val="none"/>
        </w:rPr>
        <w:t xml:space="preserve"> et al., 2017; </w:t>
      </w:r>
      <w:proofErr w:type="spellStart"/>
      <w:r w:rsidRPr="00832FF3">
        <w:rPr>
          <w:rFonts w:ascii="Times New Roman" w:eastAsia="Times New Roman" w:hAnsi="Times New Roman" w:cs="Times New Roman"/>
          <w:kern w:val="0"/>
          <w14:ligatures w14:val="none"/>
        </w:rPr>
        <w:t>Bressanelli</w:t>
      </w:r>
      <w:proofErr w:type="spellEnd"/>
      <w:r w:rsidRPr="00832FF3">
        <w:rPr>
          <w:rFonts w:ascii="Times New Roman" w:eastAsia="Times New Roman" w:hAnsi="Times New Roman" w:cs="Times New Roman"/>
          <w:kern w:val="0"/>
          <w14:ligatures w14:val="none"/>
        </w:rPr>
        <w:t xml:space="preserve"> et al., 2018).</w:t>
      </w:r>
    </w:p>
    <w:p w14:paraId="7F62D60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p>
    <w:p w14:paraId="552F74A0" w14:textId="77777777" w:rsidR="00832FF3" w:rsidRPr="00832FF3" w:rsidRDefault="00832FF3" w:rsidP="00AE7FA9">
      <w:pPr>
        <w:widowControl w:val="0"/>
        <w:autoSpaceDE w:val="0"/>
        <w:autoSpaceDN w:val="0"/>
        <w:spacing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Dynamic</w:t>
      </w:r>
      <w:r w:rsidRPr="00832FF3">
        <w:rPr>
          <w:rFonts w:ascii="Times New Roman" w:eastAsia="Times New Roman" w:hAnsi="Times New Roman" w:cs="Times New Roman"/>
          <w:b/>
          <w:bCs/>
          <w:spacing w:val="-9"/>
          <w:kern w:val="0"/>
          <w14:ligatures w14:val="none"/>
        </w:rPr>
        <w:t xml:space="preserve"> </w:t>
      </w:r>
      <w:r w:rsidRPr="00832FF3">
        <w:rPr>
          <w:rFonts w:ascii="Times New Roman" w:eastAsia="Times New Roman" w:hAnsi="Times New Roman" w:cs="Times New Roman"/>
          <w:b/>
          <w:bCs/>
          <w:kern w:val="0"/>
          <w14:ligatures w14:val="none"/>
        </w:rPr>
        <w:t>Capabilities</w:t>
      </w:r>
      <w:r w:rsidRPr="00832FF3">
        <w:rPr>
          <w:rFonts w:ascii="Times New Roman" w:eastAsia="Times New Roman" w:hAnsi="Times New Roman" w:cs="Times New Roman"/>
          <w:b/>
          <w:bCs/>
          <w:spacing w:val="-9"/>
          <w:kern w:val="0"/>
          <w14:ligatures w14:val="none"/>
        </w:rPr>
        <w:t xml:space="preserve"> </w:t>
      </w:r>
      <w:r w:rsidRPr="00832FF3">
        <w:rPr>
          <w:rFonts w:ascii="Times New Roman" w:eastAsia="Times New Roman" w:hAnsi="Times New Roman" w:cs="Times New Roman"/>
          <w:b/>
          <w:bCs/>
          <w:spacing w:val="-2"/>
          <w:kern w:val="0"/>
          <w14:ligatures w14:val="none"/>
        </w:rPr>
        <w:t>Theory</w:t>
      </w:r>
    </w:p>
    <w:p w14:paraId="189A132A"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69DE0174" w14:textId="77777777" w:rsidR="00832FF3" w:rsidRDefault="00832FF3"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Dynamic Capabilities theory emerged as an extension of the Resource-Based View and focuses on the ability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adapt,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integrate,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reconfigure</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internal</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external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resources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response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rapidly changing business environments. The theory emphasizes that in dynamic and technologically evolving environments,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competitive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advantage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depends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not only</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possessing</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valuable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resources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but also</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the ability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continuously</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renew</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reconfigure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these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resources.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According</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Teece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et</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al.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(1997)</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dynamic capabilities involve processes such as sensing opportunities, seizing technological innovations, and transforming organizational structures to maintain competitiveness (Teece et al., 1997). This theory is particularly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relevant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because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transformation</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sustainability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initiatives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require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organizations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to continuously adapt their operational processes and technological infrastructures. The integration of digital technologies into manufacturing systems involves organizational learning, technological experimentation, and strategic reconfiguration of production processes. Firms that possess strong dynamic capabilities are better able to adopt emerging digital technologies, integrate them into sustainable production systems, and leverage them to enhance operational performance (Teece, 2018; Warner &amp; Wäger, 2019).</w:t>
      </w:r>
    </w:p>
    <w:p w14:paraId="021D3B7F"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6C296F24"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7DB8B113"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66F86B50"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3BDE243B"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090EB6AA"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6664A4C4"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514F12FB"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1DF94589"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756F868F"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14647894"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5B65B3E9"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78FC556C"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7A6C8EA4"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4321BF0E"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465FEA0A"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37936E7B"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27BAE5A1"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79036EC2"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5533D645"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37E0324A"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33DECC32"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61CBB35E"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31184535"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76C598A9"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2F9C4256" w14:textId="77777777" w:rsidR="00AE7FA9"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41A51504" w14:textId="77777777" w:rsidR="00AE7FA9" w:rsidRPr="00832FF3" w:rsidRDefault="00AE7FA9"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p>
    <w:p w14:paraId="04EABF1F" w14:textId="77777777" w:rsidR="00832FF3" w:rsidRPr="00832FF3" w:rsidRDefault="00832FF3" w:rsidP="00AE7FA9">
      <w:pPr>
        <w:widowControl w:val="0"/>
        <w:autoSpaceDE w:val="0"/>
        <w:autoSpaceDN w:val="0"/>
        <w:spacing w:before="2"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noProof/>
          <w:kern w:val="0"/>
          <w14:ligatures w14:val="none"/>
        </w:rPr>
        <mc:AlternateContent>
          <mc:Choice Requires="wps">
            <w:drawing>
              <wp:anchor distT="0" distB="0" distL="0" distR="0" simplePos="0" relativeHeight="251726848" behindDoc="1" locked="0" layoutInCell="1" allowOverlap="1" wp14:anchorId="56CF4EEA" wp14:editId="6A133DFF">
                <wp:simplePos x="0" y="0"/>
                <wp:positionH relativeFrom="page">
                  <wp:posOffset>800100</wp:posOffset>
                </wp:positionH>
                <wp:positionV relativeFrom="paragraph">
                  <wp:posOffset>207545</wp:posOffset>
                </wp:positionV>
                <wp:extent cx="1894205" cy="450850"/>
                <wp:effectExtent l="0" t="0" r="0" b="0"/>
                <wp:wrapTopAndBottom/>
                <wp:docPr id="205630527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4205" cy="450850"/>
                        </a:xfrm>
                        <a:prstGeom prst="rect">
                          <a:avLst/>
                        </a:prstGeom>
                        <a:ln w="6350">
                          <a:solidFill>
                            <a:srgbClr val="000000"/>
                          </a:solidFill>
                          <a:prstDash val="solid"/>
                        </a:ln>
                      </wps:spPr>
                      <wps:txbx>
                        <w:txbxContent>
                          <w:p w14:paraId="0E4AD946" w14:textId="77777777" w:rsidR="00832FF3" w:rsidRDefault="00832FF3" w:rsidP="00832FF3">
                            <w:pPr>
                              <w:spacing w:before="72"/>
                              <w:ind w:right="238"/>
                              <w:rPr>
                                <w:rFonts w:ascii="Calibri"/>
                              </w:rPr>
                            </w:pPr>
                            <w:r>
                              <w:rPr>
                                <w:rFonts w:ascii="Calibri"/>
                                <w:spacing w:val="-2"/>
                                <w:sz w:val="22"/>
                              </w:rPr>
                              <w:t>Digital</w:t>
                            </w:r>
                            <w:r>
                              <w:rPr>
                                <w:rFonts w:ascii="Calibri"/>
                                <w:spacing w:val="-11"/>
                                <w:sz w:val="22"/>
                              </w:rPr>
                              <w:t xml:space="preserve"> </w:t>
                            </w:r>
                            <w:r>
                              <w:rPr>
                                <w:rFonts w:ascii="Calibri"/>
                                <w:spacing w:val="-2"/>
                                <w:sz w:val="22"/>
                              </w:rPr>
                              <w:t>Tech</w:t>
                            </w:r>
                            <w:r>
                              <w:rPr>
                                <w:rFonts w:ascii="Calibri"/>
                                <w:spacing w:val="-10"/>
                                <w:sz w:val="22"/>
                              </w:rPr>
                              <w:t xml:space="preserve"> </w:t>
                            </w:r>
                            <w:r>
                              <w:rPr>
                                <w:rFonts w:ascii="Calibri"/>
                                <w:spacing w:val="-2"/>
                                <w:sz w:val="22"/>
                              </w:rPr>
                              <w:t>for</w:t>
                            </w:r>
                            <w:r>
                              <w:rPr>
                                <w:rFonts w:ascii="Calibri"/>
                                <w:spacing w:val="-11"/>
                                <w:sz w:val="22"/>
                              </w:rPr>
                              <w:t xml:space="preserve"> </w:t>
                            </w:r>
                            <w:r>
                              <w:rPr>
                                <w:rFonts w:ascii="Calibri"/>
                                <w:spacing w:val="-2"/>
                                <w:sz w:val="22"/>
                              </w:rPr>
                              <w:t xml:space="preserve">Sustainability </w:t>
                            </w:r>
                            <w:r>
                              <w:rPr>
                                <w:rFonts w:ascii="Calibri"/>
                                <w:sz w:val="22"/>
                              </w:rPr>
                              <w:t>and Green Operation</w:t>
                            </w:r>
                          </w:p>
                        </w:txbxContent>
                      </wps:txbx>
                      <wps:bodyPr wrap="square" lIns="0" tIns="0" rIns="0" bIns="0" rtlCol="0">
                        <a:noAutofit/>
                      </wps:bodyPr>
                    </wps:wsp>
                  </a:graphicData>
                </a:graphic>
              </wp:anchor>
            </w:drawing>
          </mc:Choice>
          <mc:Fallback>
            <w:pict>
              <v:shape w14:anchorId="56CF4EEA" id="Textbox 2" o:spid="_x0000_s1040" type="#_x0000_t202" style="position:absolute;left:0;text-align:left;margin-left:63pt;margin-top:16.35pt;width:149.15pt;height:35.5pt;z-index:-2515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" filled="f" strokeweight=".5pt">
                <v:path arrowok="t"/>
                <v:textbox inset="0,0,0,0">
                  <w:txbxContent>
                    <w:p w14:paraId="0E4AD946" w14:textId="77777777" w:rsidR="00832FF3" w:rsidRDefault="00832FF3" w:rsidP="00832FF3">
                      <w:pPr>
                        <w:spacing w:before="72"/>
                        <w:ind w:right="238"/>
                        <w:rPr>
                          <w:rFonts w:ascii="Calibri"/>
                        </w:rPr>
                      </w:pPr>
                      <w:r>
                        <w:rPr>
                          <w:rFonts w:ascii="Calibri"/>
                          <w:spacing w:val="-2"/>
                          <w:sz w:val="22"/>
                        </w:rPr>
                        <w:t>Digital</w:t>
                      </w:r>
                      <w:r>
                        <w:rPr>
                          <w:rFonts w:ascii="Calibri"/>
                          <w:spacing w:val="-11"/>
                          <w:sz w:val="22"/>
                        </w:rPr>
                        <w:t xml:space="preserve"> </w:t>
                      </w:r>
                      <w:r>
                        <w:rPr>
                          <w:rFonts w:ascii="Calibri"/>
                          <w:spacing w:val="-2"/>
                          <w:sz w:val="22"/>
                        </w:rPr>
                        <w:t>Tech</w:t>
                      </w:r>
                      <w:r>
                        <w:rPr>
                          <w:rFonts w:ascii="Calibri"/>
                          <w:spacing w:val="-10"/>
                          <w:sz w:val="22"/>
                        </w:rPr>
                        <w:t xml:space="preserve"> </w:t>
                      </w:r>
                      <w:r>
                        <w:rPr>
                          <w:rFonts w:ascii="Calibri"/>
                          <w:spacing w:val="-2"/>
                          <w:sz w:val="22"/>
                        </w:rPr>
                        <w:t>for</w:t>
                      </w:r>
                      <w:r>
                        <w:rPr>
                          <w:rFonts w:ascii="Calibri"/>
                          <w:spacing w:val="-11"/>
                          <w:sz w:val="22"/>
                        </w:rPr>
                        <w:t xml:space="preserve"> </w:t>
                      </w:r>
                      <w:r>
                        <w:rPr>
                          <w:rFonts w:ascii="Calibri"/>
                          <w:spacing w:val="-2"/>
                          <w:sz w:val="22"/>
                        </w:rPr>
                        <w:t xml:space="preserve">Sustainability </w:t>
                      </w:r>
                      <w:r>
                        <w:rPr>
                          <w:rFonts w:ascii="Calibri"/>
                          <w:sz w:val="22"/>
                        </w:rPr>
                        <w:t>and Green Operation</w:t>
                      </w:r>
                    </w:p>
                  </w:txbxContent>
                </v:textbox>
                <w10:wrap type="topAndBottom" anchorx="page"/>
              </v:shape>
            </w:pict>
          </mc:Fallback>
        </mc:AlternateContent>
      </w:r>
      <w:r w:rsidRPr="00832FF3">
        <w:rPr>
          <w:rFonts w:ascii="Times New Roman" w:eastAsia="Times New Roman" w:hAnsi="Times New Roman" w:cs="Times New Roman"/>
          <w:b/>
          <w:bCs/>
          <w:noProof/>
          <w:kern w:val="0"/>
          <w14:ligatures w14:val="none"/>
        </w:rPr>
        <mc:AlternateContent>
          <mc:Choice Requires="wps">
            <w:drawing>
              <wp:anchor distT="0" distB="0" distL="0" distR="0" simplePos="0" relativeHeight="251727872" behindDoc="1" locked="0" layoutInCell="1" allowOverlap="1" wp14:anchorId="7F3E5B6A" wp14:editId="1645F469">
                <wp:simplePos x="0" y="0"/>
                <wp:positionH relativeFrom="page">
                  <wp:posOffset>4798695</wp:posOffset>
                </wp:positionH>
                <wp:positionV relativeFrom="paragraph">
                  <wp:posOffset>206275</wp:posOffset>
                </wp:positionV>
                <wp:extent cx="1732280" cy="450850"/>
                <wp:effectExtent l="0" t="0" r="0" b="0"/>
                <wp:wrapTopAndBottom/>
                <wp:docPr id="115039653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280" cy="450850"/>
                        </a:xfrm>
                        <a:prstGeom prst="rect">
                          <a:avLst/>
                        </a:prstGeom>
                        <a:ln w="6350">
                          <a:solidFill>
                            <a:srgbClr val="000000"/>
                          </a:solidFill>
                          <a:prstDash val="solid"/>
                        </a:ln>
                      </wps:spPr>
                      <wps:txbx>
                        <w:txbxContent>
                          <w:p w14:paraId="47C36F49" w14:textId="77777777" w:rsidR="00832FF3" w:rsidRDefault="00832FF3" w:rsidP="00832FF3">
                            <w:pPr>
                              <w:spacing w:before="76"/>
                              <w:rPr>
                                <w:rFonts w:ascii="Calibri"/>
                              </w:rPr>
                            </w:pPr>
                            <w:r>
                              <w:rPr>
                                <w:rFonts w:ascii="Calibri"/>
                                <w:spacing w:val="-2"/>
                                <w:sz w:val="22"/>
                              </w:rPr>
                              <w:t>Employee</w:t>
                            </w:r>
                            <w:r>
                              <w:rPr>
                                <w:rFonts w:ascii="Calibri"/>
                                <w:spacing w:val="3"/>
                                <w:sz w:val="22"/>
                              </w:rPr>
                              <w:t xml:space="preserve"> </w:t>
                            </w:r>
                            <w:r>
                              <w:rPr>
                                <w:rFonts w:ascii="Calibri"/>
                                <w:spacing w:val="-2"/>
                                <w:sz w:val="22"/>
                              </w:rPr>
                              <w:t>Engagement</w:t>
                            </w:r>
                          </w:p>
                        </w:txbxContent>
                      </wps:txbx>
                      <wps:bodyPr wrap="square" lIns="0" tIns="0" rIns="0" bIns="0" rtlCol="0">
                        <a:noAutofit/>
                      </wps:bodyPr>
                    </wps:wsp>
                  </a:graphicData>
                </a:graphic>
              </wp:anchor>
            </w:drawing>
          </mc:Choice>
          <mc:Fallback>
            <w:pict>
              <v:shape w14:anchorId="7F3E5B6A" id="Textbox 3" o:spid="_x0000_s1041" type="#_x0000_t202" style="position:absolute;left:0;text-align:left;margin-left:377.85pt;margin-top:16.25pt;width:136.4pt;height:35.5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" filled="f" strokeweight=".5pt">
                <v:path arrowok="t"/>
                <v:textbox inset="0,0,0,0">
                  <w:txbxContent>
                    <w:p w14:paraId="47C36F49" w14:textId="77777777" w:rsidR="00832FF3" w:rsidRDefault="00832FF3" w:rsidP="00832FF3">
                      <w:pPr>
                        <w:spacing w:before="76"/>
                        <w:rPr>
                          <w:rFonts w:ascii="Calibri"/>
                        </w:rPr>
                      </w:pPr>
                      <w:r>
                        <w:rPr>
                          <w:rFonts w:ascii="Calibri"/>
                          <w:spacing w:val="-2"/>
                          <w:sz w:val="22"/>
                        </w:rPr>
                        <w:t>Employee</w:t>
                      </w:r>
                      <w:r>
                        <w:rPr>
                          <w:rFonts w:ascii="Calibri"/>
                          <w:spacing w:val="3"/>
                          <w:sz w:val="22"/>
                        </w:rPr>
                        <w:t xml:space="preserve"> </w:t>
                      </w:r>
                      <w:r>
                        <w:rPr>
                          <w:rFonts w:ascii="Calibri"/>
                          <w:spacing w:val="-2"/>
                          <w:sz w:val="22"/>
                        </w:rPr>
                        <w:t>Engagement</w:t>
                      </w:r>
                    </w:p>
                  </w:txbxContent>
                </v:textbox>
                <w10:wrap type="topAndBottom" anchorx="page"/>
              </v:shape>
            </w:pict>
          </mc:Fallback>
        </mc:AlternateContent>
      </w:r>
      <w:r w:rsidRPr="00832FF3">
        <w:rPr>
          <w:rFonts w:ascii="Times New Roman" w:eastAsia="Times New Roman" w:hAnsi="Times New Roman" w:cs="Times New Roman"/>
          <w:b/>
          <w:bCs/>
          <w:noProof/>
          <w:kern w:val="0"/>
          <w14:ligatures w14:val="none"/>
        </w:rPr>
        <mc:AlternateContent>
          <mc:Choice Requires="wps">
            <w:drawing>
              <wp:anchor distT="0" distB="0" distL="0" distR="0" simplePos="0" relativeHeight="251723776" behindDoc="1" locked="0" layoutInCell="1" allowOverlap="1" wp14:anchorId="14BE2036" wp14:editId="5CE676B5">
                <wp:simplePos x="0" y="0"/>
                <wp:positionH relativeFrom="page">
                  <wp:posOffset>880110</wp:posOffset>
                </wp:positionH>
                <wp:positionV relativeFrom="paragraph">
                  <wp:posOffset>882677</wp:posOffset>
                </wp:positionV>
                <wp:extent cx="1732280" cy="450850"/>
                <wp:effectExtent l="0" t="0" r="0" b="0"/>
                <wp:wrapNone/>
                <wp:docPr id="1228480398"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2280" cy="450850"/>
                        </a:xfrm>
                        <a:custGeom>
                          <a:avLst/>
                          <a:gdLst/>
                          <a:ahLst/>
                          <a:cxnLst/>
                          <a:rect l="l" t="t" r="r" b="b"/>
                          <a:pathLst>
                            <a:path w="1732280" h="450850">
                              <a:moveTo>
                                <a:pt x="0" y="450849"/>
                              </a:moveTo>
                              <a:lnTo>
                                <a:pt x="1732279" y="450849"/>
                              </a:lnTo>
                              <a:lnTo>
                                <a:pt x="1732279" y="0"/>
                              </a:lnTo>
                              <a:lnTo>
                                <a:pt x="0" y="0"/>
                              </a:lnTo>
                              <a:lnTo>
                                <a:pt x="0" y="450849"/>
                              </a:lnTo>
                              <a:close/>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63F580" id="Graphic 4" o:spid="_x0000_s1026" style="position:absolute;margin-left:69.3pt;margin-top:69.5pt;width:136.4pt;height:35.5pt;z-index:-251592704;visibility:visible;mso-wrap-style:square;mso-wrap-distance-left:0;mso-wrap-distance-top:0;mso-wrap-distance-right:0;mso-wrap-distance-bottom:0;mso-position-horizontal:absolute;mso-position-horizontal-relative:page;mso-position-vertical:absolute;mso-position-vertical-relative:text;v-text-anchor:top" coordsize="1732280,45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" path="m,450849r1732279,l1732279,,,,,450849xe" filled="f" strokeweight=".17633mm">
                <v:path arrowok="t"/>
                <w10:wrap anchorx="page"/>
              </v:shape>
            </w:pict>
          </mc:Fallback>
        </mc:AlternateContent>
      </w:r>
      <w:r w:rsidRPr="00832FF3">
        <w:rPr>
          <w:rFonts w:ascii="Times New Roman" w:eastAsia="Times New Roman" w:hAnsi="Times New Roman" w:cs="Times New Roman"/>
          <w:b/>
          <w:bCs/>
          <w:noProof/>
          <w:kern w:val="0"/>
          <w14:ligatures w14:val="none"/>
        </w:rPr>
        <mc:AlternateContent>
          <mc:Choice Requires="wps">
            <w:drawing>
              <wp:anchor distT="0" distB="0" distL="0" distR="0" simplePos="0" relativeHeight="251724800" behindDoc="1" locked="0" layoutInCell="1" allowOverlap="1" wp14:anchorId="1064D559" wp14:editId="075977C6">
                <wp:simplePos x="0" y="0"/>
                <wp:positionH relativeFrom="page">
                  <wp:posOffset>892175</wp:posOffset>
                </wp:positionH>
                <wp:positionV relativeFrom="paragraph">
                  <wp:posOffset>1433197</wp:posOffset>
                </wp:positionV>
                <wp:extent cx="1732280" cy="450850"/>
                <wp:effectExtent l="0" t="0" r="0" b="0"/>
                <wp:wrapNone/>
                <wp:docPr id="87194891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2280" cy="450850"/>
                        </a:xfrm>
                        <a:custGeom>
                          <a:avLst/>
                          <a:gdLst/>
                          <a:ahLst/>
                          <a:cxnLst/>
                          <a:rect l="l" t="t" r="r" b="b"/>
                          <a:pathLst>
                            <a:path w="1732280" h="450850">
                              <a:moveTo>
                                <a:pt x="0" y="450850"/>
                              </a:moveTo>
                              <a:lnTo>
                                <a:pt x="1732280" y="450850"/>
                              </a:lnTo>
                              <a:lnTo>
                                <a:pt x="1732280" y="0"/>
                              </a:lnTo>
                              <a:lnTo>
                                <a:pt x="0" y="0"/>
                              </a:lnTo>
                              <a:lnTo>
                                <a:pt x="0" y="45085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DC5FE" id="Graphic 5" o:spid="_x0000_s1026" style="position:absolute;margin-left:70.25pt;margin-top:112.85pt;width:136.4pt;height:35.5pt;z-index:-251591680;visibility:visible;mso-wrap-style:square;mso-wrap-distance-left:0;mso-wrap-distance-top:0;mso-wrap-distance-right:0;mso-wrap-distance-bottom:0;mso-position-horizontal:absolute;mso-position-horizontal-relative:page;mso-position-vertical:absolute;mso-position-vertical-relative:text;v-text-anchor:top" coordsize="1732280,45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" path="m,450850r1732280,l1732280,,,,,450850xe" filled="f" strokeweight=".5pt">
                <v:path arrowok="t"/>
                <w10:wrap anchorx="page"/>
              </v:shape>
            </w:pict>
          </mc:Fallback>
        </mc:AlternateContent>
      </w:r>
      <w:r w:rsidRPr="00832FF3">
        <w:rPr>
          <w:rFonts w:ascii="Times New Roman" w:eastAsia="Times New Roman" w:hAnsi="Times New Roman" w:cs="Times New Roman"/>
          <w:b/>
          <w:bCs/>
          <w:noProof/>
          <w:kern w:val="0"/>
          <w14:ligatures w14:val="none"/>
        </w:rPr>
        <w:drawing>
          <wp:anchor distT="0" distB="0" distL="0" distR="0" simplePos="0" relativeHeight="251725824" behindDoc="1" locked="0" layoutInCell="1" allowOverlap="1" wp14:anchorId="0E54A280" wp14:editId="5FEACB7C">
            <wp:simplePos x="0" y="0"/>
            <wp:positionH relativeFrom="page">
              <wp:posOffset>1699895</wp:posOffset>
            </wp:positionH>
            <wp:positionV relativeFrom="paragraph">
              <wp:posOffset>702971</wp:posOffset>
            </wp:positionV>
            <wp:extent cx="76710" cy="95250"/>
            <wp:effectExtent l="0" t="0" r="0" b="0"/>
            <wp:wrapNone/>
            <wp:docPr id="205066800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69" cstate="print"/>
                    <a:stretch>
                      <a:fillRect/>
                    </a:stretch>
                  </pic:blipFill>
                  <pic:spPr>
                    <a:xfrm>
                      <a:off x="0" y="0"/>
                      <a:ext cx="76710" cy="95250"/>
                    </a:xfrm>
                    <a:prstGeom prst="rect">
                      <a:avLst/>
                    </a:prstGeom>
                  </pic:spPr>
                </pic:pic>
              </a:graphicData>
            </a:graphic>
          </wp:anchor>
        </w:drawing>
      </w:r>
      <w:r w:rsidRPr="00832FF3">
        <w:rPr>
          <w:rFonts w:ascii="Times New Roman" w:eastAsia="Times New Roman" w:hAnsi="Times New Roman" w:cs="Times New Roman"/>
          <w:b/>
          <w:bCs/>
          <w:kern w:val="0"/>
          <w14:ligatures w14:val="none"/>
        </w:rPr>
        <w:t>Conceptual</w:t>
      </w:r>
      <w:r w:rsidRPr="00832FF3">
        <w:rPr>
          <w:rFonts w:ascii="Times New Roman" w:eastAsia="Times New Roman" w:hAnsi="Times New Roman" w:cs="Times New Roman"/>
          <w:b/>
          <w:bCs/>
          <w:spacing w:val="-4"/>
          <w:kern w:val="0"/>
          <w14:ligatures w14:val="none"/>
        </w:rPr>
        <w:t xml:space="preserve"> </w:t>
      </w:r>
      <w:r w:rsidRPr="00832FF3">
        <w:rPr>
          <w:rFonts w:ascii="Times New Roman" w:eastAsia="Times New Roman" w:hAnsi="Times New Roman" w:cs="Times New Roman"/>
          <w:b/>
          <w:bCs/>
          <w:spacing w:val="-2"/>
          <w:kern w:val="0"/>
          <w14:ligatures w14:val="none"/>
        </w:rPr>
        <w:t>Framework</w:t>
      </w:r>
    </w:p>
    <w:p w14:paraId="3CB2C507" w14:textId="77777777" w:rsidR="00832FF3" w:rsidRPr="00832FF3" w:rsidRDefault="00832FF3" w:rsidP="00AE7FA9">
      <w:pPr>
        <w:widowControl w:val="0"/>
        <w:autoSpaceDE w:val="0"/>
        <w:autoSpaceDN w:val="0"/>
        <w:spacing w:before="5" w:after="0" w:line="240" w:lineRule="auto"/>
        <w:rPr>
          <w:rFonts w:ascii="Times New Roman" w:eastAsia="Times New Roman" w:hAnsi="Times New Roman" w:cs="Times New Roman"/>
          <w:b/>
          <w:kern w:val="0"/>
          <w:sz w:val="4"/>
          <w14:ligatures w14:val="none"/>
        </w:rPr>
      </w:pPr>
    </w:p>
    <w:p w14:paraId="313D834C" w14:textId="597D275C" w:rsidR="00832FF3" w:rsidRPr="00832FF3" w:rsidRDefault="00832FF3" w:rsidP="00AE7FA9">
      <w:pPr>
        <w:widowControl w:val="0"/>
        <w:tabs>
          <w:tab w:val="left" w:pos="6378"/>
        </w:tabs>
        <w:autoSpaceDE w:val="0"/>
        <w:autoSpaceDN w:val="0"/>
        <w:spacing w:after="0" w:line="240" w:lineRule="auto"/>
        <w:rPr>
          <w:rFonts w:ascii="Times New Roman" w:eastAsia="Times New Roman" w:hAnsi="Times New Roman" w:cs="Times New Roman"/>
          <w:kern w:val="0"/>
          <w:position w:val="40"/>
          <w:sz w:val="20"/>
          <w:szCs w:val="22"/>
          <w14:ligatures w14:val="none"/>
        </w:rPr>
      </w:pPr>
      <w:r w:rsidRPr="00832FF3">
        <w:rPr>
          <w:rFonts w:ascii="Times New Roman" w:eastAsia="Times New Roman" w:hAnsi="Times New Roman" w:cs="Times New Roman"/>
          <w:noProof/>
          <w:kern w:val="0"/>
          <w:sz w:val="20"/>
          <w:szCs w:val="22"/>
          <w14:ligatures w14:val="none"/>
        </w:rPr>
        <mc:AlternateContent>
          <mc:Choice Requires="wps">
            <w:drawing>
              <wp:inline distT="0" distB="0" distL="0" distR="0" wp14:anchorId="4D8D3CB9" wp14:editId="3E5F5588">
                <wp:extent cx="1889125" cy="1661795"/>
                <wp:effectExtent l="0" t="0" r="0" b="0"/>
                <wp:docPr id="111849824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125" cy="1661795"/>
                        </a:xfrm>
                        <a:prstGeom prst="rect">
                          <a:avLst/>
                        </a:prstGeom>
                      </wps:spPr>
                      <wps:txbx>
                        <w:txbxContent>
                          <w:tbl>
                            <w:tblPr>
                              <w:tblW w:w="0" w:type="auto"/>
                              <w:tblInd w:w="10" w:type="dxa"/>
                              <w:tblBorders>
                                <w:top w:val="single" w:sz="8" w:space="0" w:color="00AEEE"/>
                                <w:left w:val="single" w:sz="8" w:space="0" w:color="00AEEE"/>
                                <w:bottom w:val="single" w:sz="8" w:space="0" w:color="00AEEE"/>
                                <w:right w:val="single" w:sz="8" w:space="0" w:color="00AEEE"/>
                                <w:insideH w:val="single" w:sz="8" w:space="0" w:color="00AEEE"/>
                                <w:insideV w:val="single" w:sz="8" w:space="0" w:color="00AEEE"/>
                              </w:tblBorders>
                              <w:tblLayout w:type="fixed"/>
                              <w:tblCellMar>
                                <w:left w:w="0" w:type="dxa"/>
                                <w:right w:w="0" w:type="dxa"/>
                              </w:tblCellMar>
                              <w:tblLook w:val="01E0" w:firstRow="1" w:lastRow="1" w:firstColumn="1" w:lastColumn="1" w:noHBand="0" w:noVBand="0"/>
                            </w:tblPr>
                            <w:tblGrid>
                              <w:gridCol w:w="127"/>
                              <w:gridCol w:w="2729"/>
                              <w:gridCol w:w="98"/>
                            </w:tblGrid>
                            <w:tr w:rsidR="00832FF3" w14:paraId="325137E9" w14:textId="77777777">
                              <w:trPr>
                                <w:trHeight w:val="1873"/>
                              </w:trPr>
                              <w:tc>
                                <w:tcPr>
                                  <w:tcW w:w="2954" w:type="dxa"/>
                                  <w:gridSpan w:val="3"/>
                                  <w:tcBorders>
                                    <w:bottom w:val="single" w:sz="4" w:space="0" w:color="000000"/>
                                  </w:tcBorders>
                                </w:tcPr>
                                <w:p w14:paraId="6F05EE3C" w14:textId="77777777" w:rsidR="00832FF3" w:rsidRDefault="00832FF3">
                                  <w:pPr>
                                    <w:pStyle w:val="TableParagraph"/>
                                    <w:spacing w:before="219"/>
                                    <w:ind w:right="291"/>
                                    <w:jc w:val="center"/>
                                    <w:rPr>
                                      <w:rFonts w:ascii="Calibri"/>
                                    </w:rPr>
                                  </w:pPr>
                                  <w:r>
                                    <w:rPr>
                                      <w:rFonts w:ascii="Calibri"/>
                                      <w:spacing w:val="-2"/>
                                    </w:rPr>
                                    <w:t>Artificial</w:t>
                                  </w:r>
                                  <w:r>
                                    <w:rPr>
                                      <w:rFonts w:ascii="Calibri"/>
                                      <w:spacing w:val="-7"/>
                                    </w:rPr>
                                    <w:t xml:space="preserve"> </w:t>
                                  </w:r>
                                  <w:r>
                                    <w:rPr>
                                      <w:rFonts w:ascii="Calibri"/>
                                      <w:spacing w:val="-2"/>
                                    </w:rPr>
                                    <w:t>Intelligence</w:t>
                                  </w:r>
                                  <w:r>
                                    <w:rPr>
                                      <w:rFonts w:ascii="Calibri"/>
                                      <w:spacing w:val="-8"/>
                                    </w:rPr>
                                    <w:t xml:space="preserve"> </w:t>
                                  </w:r>
                                  <w:r>
                                    <w:rPr>
                                      <w:rFonts w:ascii="Calibri"/>
                                      <w:spacing w:val="-2"/>
                                    </w:rPr>
                                    <w:t xml:space="preserve">&amp; </w:t>
                                  </w:r>
                                  <w:r>
                                    <w:rPr>
                                      <w:rFonts w:ascii="Calibri"/>
                                    </w:rPr>
                                    <w:t>Data Analytics</w:t>
                                  </w:r>
                                </w:p>
                                <w:p w14:paraId="51916DA1" w14:textId="77777777" w:rsidR="00832FF3" w:rsidRDefault="00832FF3">
                                  <w:pPr>
                                    <w:pStyle w:val="TableParagraph"/>
                                    <w:spacing w:before="76"/>
                                    <w:rPr>
                                      <w:b/>
                                    </w:rPr>
                                  </w:pPr>
                                </w:p>
                                <w:p w14:paraId="5327A0D0" w14:textId="77777777" w:rsidR="00832FF3" w:rsidRDefault="00832FF3">
                                  <w:pPr>
                                    <w:pStyle w:val="TableParagraph"/>
                                    <w:spacing w:before="1"/>
                                    <w:ind w:right="291"/>
                                    <w:jc w:val="center"/>
                                    <w:rPr>
                                      <w:rFonts w:ascii="Calibri"/>
                                    </w:rPr>
                                  </w:pPr>
                                  <w:r>
                                    <w:rPr>
                                      <w:rFonts w:ascii="Calibri"/>
                                    </w:rPr>
                                    <w:t>Internet</w:t>
                                  </w:r>
                                  <w:r>
                                    <w:rPr>
                                      <w:rFonts w:ascii="Calibri"/>
                                      <w:spacing w:val="-13"/>
                                    </w:rPr>
                                    <w:t xml:space="preserve"> </w:t>
                                  </w:r>
                                  <w:r>
                                    <w:rPr>
                                      <w:rFonts w:ascii="Calibri"/>
                                    </w:rPr>
                                    <w:t>of</w:t>
                                  </w:r>
                                  <w:r>
                                    <w:rPr>
                                      <w:rFonts w:ascii="Calibri"/>
                                      <w:spacing w:val="-14"/>
                                    </w:rPr>
                                    <w:t xml:space="preserve"> </w:t>
                                  </w:r>
                                  <w:r>
                                    <w:rPr>
                                      <w:rFonts w:ascii="Calibri"/>
                                    </w:rPr>
                                    <w:t>Things</w:t>
                                  </w:r>
                                  <w:r>
                                    <w:rPr>
                                      <w:rFonts w:ascii="Calibri"/>
                                      <w:spacing w:val="-13"/>
                                    </w:rPr>
                                    <w:t xml:space="preserve"> </w:t>
                                  </w:r>
                                  <w:r>
                                    <w:rPr>
                                      <w:rFonts w:ascii="Calibri"/>
                                    </w:rPr>
                                    <w:t>(IoT)</w:t>
                                  </w:r>
                                  <w:r>
                                    <w:rPr>
                                      <w:rFonts w:ascii="Calibri"/>
                                      <w:spacing w:val="-13"/>
                                    </w:rPr>
                                    <w:t xml:space="preserve"> </w:t>
                                  </w:r>
                                  <w:r>
                                    <w:rPr>
                                      <w:rFonts w:ascii="Calibri"/>
                                    </w:rPr>
                                    <w:t>/ Smart Monitoring</w:t>
                                  </w:r>
                                </w:p>
                              </w:tc>
                            </w:tr>
                            <w:tr w:rsidR="00832FF3" w14:paraId="483014EE" w14:textId="77777777">
                              <w:trPr>
                                <w:trHeight w:val="693"/>
                              </w:trPr>
                              <w:tc>
                                <w:tcPr>
                                  <w:tcW w:w="127" w:type="dxa"/>
                                  <w:tcBorders>
                                    <w:top w:val="single" w:sz="4" w:space="0" w:color="000000"/>
                                    <w:right w:val="single" w:sz="4" w:space="0" w:color="000000"/>
                                  </w:tcBorders>
                                </w:tcPr>
                                <w:p w14:paraId="70DAB225" w14:textId="77777777" w:rsidR="00832FF3" w:rsidRDefault="00832FF3">
                                  <w:pPr>
                                    <w:pStyle w:val="TableParagraph"/>
                                  </w:pPr>
                                </w:p>
                              </w:tc>
                              <w:tc>
                                <w:tcPr>
                                  <w:tcW w:w="2729" w:type="dxa"/>
                                  <w:tcBorders>
                                    <w:top w:val="single" w:sz="4" w:space="0" w:color="000000"/>
                                    <w:left w:val="single" w:sz="4" w:space="0" w:color="000000"/>
                                    <w:right w:val="single" w:sz="4" w:space="0" w:color="000000"/>
                                  </w:tcBorders>
                                </w:tcPr>
                                <w:p w14:paraId="10F120BE" w14:textId="77777777" w:rsidR="00832FF3" w:rsidRDefault="00832FF3">
                                  <w:pPr>
                                    <w:pStyle w:val="TableParagraph"/>
                                    <w:spacing w:before="71" w:line="242" w:lineRule="auto"/>
                                    <w:rPr>
                                      <w:rFonts w:ascii="Calibri"/>
                                    </w:rPr>
                                  </w:pPr>
                                  <w:r>
                                    <w:rPr>
                                      <w:rFonts w:ascii="Calibri"/>
                                      <w:spacing w:val="-2"/>
                                    </w:rPr>
                                    <w:t>Digital</w:t>
                                  </w:r>
                                  <w:r>
                                    <w:rPr>
                                      <w:rFonts w:ascii="Calibri"/>
                                      <w:spacing w:val="-14"/>
                                    </w:rPr>
                                    <w:t xml:space="preserve"> </w:t>
                                  </w:r>
                                  <w:r>
                                    <w:rPr>
                                      <w:rFonts w:ascii="Calibri"/>
                                      <w:spacing w:val="-2"/>
                                    </w:rPr>
                                    <w:t>Twin</w:t>
                                  </w:r>
                                  <w:r>
                                    <w:rPr>
                                      <w:rFonts w:ascii="Calibri"/>
                                      <w:spacing w:val="-14"/>
                                    </w:rPr>
                                    <w:t xml:space="preserve"> </w:t>
                                  </w:r>
                                  <w:r>
                                    <w:rPr>
                                      <w:rFonts w:ascii="Calibri"/>
                                      <w:spacing w:val="-2"/>
                                    </w:rPr>
                                    <w:t>&amp;</w:t>
                                  </w:r>
                                  <w:r>
                                    <w:rPr>
                                      <w:rFonts w:ascii="Calibri"/>
                                      <w:spacing w:val="-13"/>
                                    </w:rPr>
                                    <w:t xml:space="preserve"> </w:t>
                                  </w:r>
                                  <w:r>
                                    <w:rPr>
                                      <w:rFonts w:ascii="Calibri"/>
                                      <w:spacing w:val="-2"/>
                                    </w:rPr>
                                    <w:t xml:space="preserve">Cyber- </w:t>
                                  </w:r>
                                  <w:r>
                                    <w:rPr>
                                      <w:rFonts w:ascii="Calibri"/>
                                    </w:rPr>
                                    <w:t>Physical Systems</w:t>
                                  </w:r>
                                </w:p>
                              </w:tc>
                              <w:tc>
                                <w:tcPr>
                                  <w:tcW w:w="98" w:type="dxa"/>
                                  <w:tcBorders>
                                    <w:top w:val="single" w:sz="4" w:space="0" w:color="000000"/>
                                    <w:left w:val="single" w:sz="4" w:space="0" w:color="000000"/>
                                  </w:tcBorders>
                                </w:tcPr>
                                <w:p w14:paraId="0D81D0B3" w14:textId="77777777" w:rsidR="00832FF3" w:rsidRDefault="00832FF3">
                                  <w:pPr>
                                    <w:pStyle w:val="TableParagraph"/>
                                  </w:pPr>
                                </w:p>
                              </w:tc>
                            </w:tr>
                          </w:tbl>
                          <w:p w14:paraId="779FC73F" w14:textId="77777777" w:rsidR="00832FF3" w:rsidRDefault="00832FF3" w:rsidP="00832FF3">
                            <w:pPr>
                              <w:pStyle w:val="BodyText"/>
                              <w:ind w:left="0"/>
                            </w:pPr>
                          </w:p>
                        </w:txbxContent>
                      </wps:txbx>
                      <wps:bodyPr wrap="square" lIns="0" tIns="0" rIns="0" bIns="0" rtlCol="0">
                        <a:noAutofit/>
                      </wps:bodyPr>
                    </wps:wsp>
                  </a:graphicData>
                </a:graphic>
              </wp:inline>
            </w:drawing>
          </mc:Choice>
          <mc:Fallback>
            <w:pict>
              <v:shape w14:anchorId="4D8D3CB9" id="Textbox 7" o:spid="_x0000_s1042" type="#_x0000_t202" style="width:148.75pt;height:1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" filled="f" stroked="f">
                <v:textbox inset="0,0,0,0">
                  <w:txbxContent>
                    <w:tbl>
                      <w:tblPr>
                        <w:tblW w:w="0" w:type="auto"/>
                        <w:tblInd w:w="10" w:type="dxa"/>
                        <w:tblBorders>
                          <w:top w:val="single" w:sz="8" w:space="0" w:color="00AEEE"/>
                          <w:left w:val="single" w:sz="8" w:space="0" w:color="00AEEE"/>
                          <w:bottom w:val="single" w:sz="8" w:space="0" w:color="00AEEE"/>
                          <w:right w:val="single" w:sz="8" w:space="0" w:color="00AEEE"/>
                          <w:insideH w:val="single" w:sz="8" w:space="0" w:color="00AEEE"/>
                          <w:insideV w:val="single" w:sz="8" w:space="0" w:color="00AEEE"/>
                        </w:tblBorders>
                        <w:tblLayout w:type="fixed"/>
                        <w:tblCellMar>
                          <w:left w:w="0" w:type="dxa"/>
                          <w:right w:w="0" w:type="dxa"/>
                        </w:tblCellMar>
                        <w:tblLook w:val="01E0" w:firstRow="1" w:lastRow="1" w:firstColumn="1" w:lastColumn="1" w:noHBand="0" w:noVBand="0"/>
                      </w:tblPr>
                      <w:tblGrid>
                        <w:gridCol w:w="127"/>
                        <w:gridCol w:w="2729"/>
                        <w:gridCol w:w="98"/>
                      </w:tblGrid>
                      <w:tr w:rsidR="00832FF3" w14:paraId="325137E9" w14:textId="77777777">
                        <w:trPr>
                          <w:trHeight w:val="1873"/>
                        </w:trPr>
                        <w:tc>
                          <w:tcPr>
                            <w:tcW w:w="2954" w:type="dxa"/>
                            <w:gridSpan w:val="3"/>
                            <w:tcBorders>
                              <w:bottom w:val="single" w:sz="4" w:space="0" w:color="000000"/>
                            </w:tcBorders>
                          </w:tcPr>
                          <w:p w14:paraId="6F05EE3C" w14:textId="77777777" w:rsidR="00832FF3" w:rsidRDefault="00832FF3">
                            <w:pPr>
                              <w:pStyle w:val="TableParagraph"/>
                              <w:spacing w:before="219"/>
                              <w:ind w:right="291"/>
                              <w:jc w:val="center"/>
                              <w:rPr>
                                <w:rFonts w:ascii="Calibri"/>
                              </w:rPr>
                            </w:pPr>
                            <w:r>
                              <w:rPr>
                                <w:rFonts w:ascii="Calibri"/>
                                <w:spacing w:val="-2"/>
                              </w:rPr>
                              <w:t>Artificial</w:t>
                            </w:r>
                            <w:r>
                              <w:rPr>
                                <w:rFonts w:ascii="Calibri"/>
                                <w:spacing w:val="-7"/>
                              </w:rPr>
                              <w:t xml:space="preserve"> </w:t>
                            </w:r>
                            <w:r>
                              <w:rPr>
                                <w:rFonts w:ascii="Calibri"/>
                                <w:spacing w:val="-2"/>
                              </w:rPr>
                              <w:t>Intelligence</w:t>
                            </w:r>
                            <w:r>
                              <w:rPr>
                                <w:rFonts w:ascii="Calibri"/>
                                <w:spacing w:val="-8"/>
                              </w:rPr>
                              <w:t xml:space="preserve"> </w:t>
                            </w:r>
                            <w:r>
                              <w:rPr>
                                <w:rFonts w:ascii="Calibri"/>
                                <w:spacing w:val="-2"/>
                              </w:rPr>
                              <w:t xml:space="preserve">&amp; </w:t>
                            </w:r>
                            <w:r>
                              <w:rPr>
                                <w:rFonts w:ascii="Calibri"/>
                              </w:rPr>
                              <w:t>Data Analytics</w:t>
                            </w:r>
                          </w:p>
                          <w:p w14:paraId="51916DA1" w14:textId="77777777" w:rsidR="00832FF3" w:rsidRDefault="00832FF3">
                            <w:pPr>
                              <w:pStyle w:val="TableParagraph"/>
                              <w:spacing w:before="76"/>
                              <w:rPr>
                                <w:b/>
                              </w:rPr>
                            </w:pPr>
                          </w:p>
                          <w:p w14:paraId="5327A0D0" w14:textId="77777777" w:rsidR="00832FF3" w:rsidRDefault="00832FF3">
                            <w:pPr>
                              <w:pStyle w:val="TableParagraph"/>
                              <w:spacing w:before="1"/>
                              <w:ind w:right="291"/>
                              <w:jc w:val="center"/>
                              <w:rPr>
                                <w:rFonts w:ascii="Calibri"/>
                              </w:rPr>
                            </w:pPr>
                            <w:r>
                              <w:rPr>
                                <w:rFonts w:ascii="Calibri"/>
                              </w:rPr>
                              <w:t>Internet</w:t>
                            </w:r>
                            <w:r>
                              <w:rPr>
                                <w:rFonts w:ascii="Calibri"/>
                                <w:spacing w:val="-13"/>
                              </w:rPr>
                              <w:t xml:space="preserve"> </w:t>
                            </w:r>
                            <w:r>
                              <w:rPr>
                                <w:rFonts w:ascii="Calibri"/>
                              </w:rPr>
                              <w:t>of</w:t>
                            </w:r>
                            <w:r>
                              <w:rPr>
                                <w:rFonts w:ascii="Calibri"/>
                                <w:spacing w:val="-14"/>
                              </w:rPr>
                              <w:t xml:space="preserve"> </w:t>
                            </w:r>
                            <w:r>
                              <w:rPr>
                                <w:rFonts w:ascii="Calibri"/>
                              </w:rPr>
                              <w:t>Things</w:t>
                            </w:r>
                            <w:r>
                              <w:rPr>
                                <w:rFonts w:ascii="Calibri"/>
                                <w:spacing w:val="-13"/>
                              </w:rPr>
                              <w:t xml:space="preserve"> </w:t>
                            </w:r>
                            <w:r>
                              <w:rPr>
                                <w:rFonts w:ascii="Calibri"/>
                              </w:rPr>
                              <w:t>(IoT)</w:t>
                            </w:r>
                            <w:r>
                              <w:rPr>
                                <w:rFonts w:ascii="Calibri"/>
                                <w:spacing w:val="-13"/>
                              </w:rPr>
                              <w:t xml:space="preserve"> </w:t>
                            </w:r>
                            <w:r>
                              <w:rPr>
                                <w:rFonts w:ascii="Calibri"/>
                              </w:rPr>
                              <w:t>/ Smart Monitoring</w:t>
                            </w:r>
                          </w:p>
                        </w:tc>
                      </w:tr>
                      <w:tr w:rsidR="00832FF3" w14:paraId="483014EE" w14:textId="77777777">
                        <w:trPr>
                          <w:trHeight w:val="693"/>
                        </w:trPr>
                        <w:tc>
                          <w:tcPr>
                            <w:tcW w:w="127" w:type="dxa"/>
                            <w:tcBorders>
                              <w:top w:val="single" w:sz="4" w:space="0" w:color="000000"/>
                              <w:right w:val="single" w:sz="4" w:space="0" w:color="000000"/>
                            </w:tcBorders>
                          </w:tcPr>
                          <w:p w14:paraId="70DAB225" w14:textId="77777777" w:rsidR="00832FF3" w:rsidRDefault="00832FF3">
                            <w:pPr>
                              <w:pStyle w:val="TableParagraph"/>
                            </w:pPr>
                          </w:p>
                        </w:tc>
                        <w:tc>
                          <w:tcPr>
                            <w:tcW w:w="2729" w:type="dxa"/>
                            <w:tcBorders>
                              <w:top w:val="single" w:sz="4" w:space="0" w:color="000000"/>
                              <w:left w:val="single" w:sz="4" w:space="0" w:color="000000"/>
                              <w:right w:val="single" w:sz="4" w:space="0" w:color="000000"/>
                            </w:tcBorders>
                          </w:tcPr>
                          <w:p w14:paraId="10F120BE" w14:textId="77777777" w:rsidR="00832FF3" w:rsidRDefault="00832FF3">
                            <w:pPr>
                              <w:pStyle w:val="TableParagraph"/>
                              <w:spacing w:before="71" w:line="242" w:lineRule="auto"/>
                              <w:rPr>
                                <w:rFonts w:ascii="Calibri"/>
                              </w:rPr>
                            </w:pPr>
                            <w:r>
                              <w:rPr>
                                <w:rFonts w:ascii="Calibri"/>
                                <w:spacing w:val="-2"/>
                              </w:rPr>
                              <w:t>Digital</w:t>
                            </w:r>
                            <w:r>
                              <w:rPr>
                                <w:rFonts w:ascii="Calibri"/>
                                <w:spacing w:val="-14"/>
                              </w:rPr>
                              <w:t xml:space="preserve"> </w:t>
                            </w:r>
                            <w:r>
                              <w:rPr>
                                <w:rFonts w:ascii="Calibri"/>
                                <w:spacing w:val="-2"/>
                              </w:rPr>
                              <w:t>Twin</w:t>
                            </w:r>
                            <w:r>
                              <w:rPr>
                                <w:rFonts w:ascii="Calibri"/>
                                <w:spacing w:val="-14"/>
                              </w:rPr>
                              <w:t xml:space="preserve"> </w:t>
                            </w:r>
                            <w:r>
                              <w:rPr>
                                <w:rFonts w:ascii="Calibri"/>
                                <w:spacing w:val="-2"/>
                              </w:rPr>
                              <w:t>&amp;</w:t>
                            </w:r>
                            <w:r>
                              <w:rPr>
                                <w:rFonts w:ascii="Calibri"/>
                                <w:spacing w:val="-13"/>
                              </w:rPr>
                              <w:t xml:space="preserve"> </w:t>
                            </w:r>
                            <w:r>
                              <w:rPr>
                                <w:rFonts w:ascii="Calibri"/>
                                <w:spacing w:val="-2"/>
                              </w:rPr>
                              <w:t xml:space="preserve">Cyber- </w:t>
                            </w:r>
                            <w:r>
                              <w:rPr>
                                <w:rFonts w:ascii="Calibri"/>
                              </w:rPr>
                              <w:t>Physical Systems</w:t>
                            </w:r>
                          </w:p>
                        </w:tc>
                        <w:tc>
                          <w:tcPr>
                            <w:tcW w:w="98" w:type="dxa"/>
                            <w:tcBorders>
                              <w:top w:val="single" w:sz="4" w:space="0" w:color="000000"/>
                              <w:left w:val="single" w:sz="4" w:space="0" w:color="000000"/>
                            </w:tcBorders>
                          </w:tcPr>
                          <w:p w14:paraId="0D81D0B3" w14:textId="77777777" w:rsidR="00832FF3" w:rsidRDefault="00832FF3">
                            <w:pPr>
                              <w:pStyle w:val="TableParagraph"/>
                            </w:pPr>
                          </w:p>
                        </w:tc>
                      </w:tr>
                    </w:tbl>
                    <w:p w14:paraId="779FC73F" w14:textId="77777777" w:rsidR="00832FF3" w:rsidRDefault="00832FF3" w:rsidP="00832FF3">
                      <w:pPr>
                        <w:pStyle w:val="BodyText"/>
                        <w:ind w:left="0"/>
                      </w:pPr>
                    </w:p>
                  </w:txbxContent>
                </v:textbox>
                <w10:anchorlock/>
              </v:shape>
            </w:pict>
          </mc:Fallback>
        </mc:AlternateContent>
      </w:r>
      <w:r w:rsidR="00AE7FA9" w:rsidRPr="00832FF3">
        <w:rPr>
          <w:rFonts w:ascii="Times New Roman" w:eastAsia="Times New Roman" w:hAnsi="Times New Roman" w:cs="Times New Roman"/>
          <w:noProof/>
          <w:kern w:val="0"/>
          <w:position w:val="40"/>
          <w:sz w:val="20"/>
          <w:szCs w:val="22"/>
          <w14:ligatures w14:val="none"/>
        </w:rPr>
        <mc:AlternateContent>
          <mc:Choice Requires="wpg">
            <w:drawing>
              <wp:inline distT="0" distB="0" distL="0" distR="0" wp14:anchorId="315BD53B" wp14:editId="2B1005FC">
                <wp:extent cx="1887855" cy="1503045"/>
                <wp:effectExtent l="0" t="0" r="0" b="1905"/>
                <wp:docPr id="1820326840" name="Group 1820326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7855" cy="1503045"/>
                          <a:chOff x="0" y="0"/>
                          <a:chExt cx="1887855" cy="1503045"/>
                        </a:xfrm>
                      </wpg:grpSpPr>
                      <wps:wsp>
                        <wps:cNvPr id="113688949" name="Graphic 9"/>
                        <wps:cNvSpPr/>
                        <wps:spPr>
                          <a:xfrm>
                            <a:off x="6350" y="154317"/>
                            <a:ext cx="1875155" cy="1341755"/>
                          </a:xfrm>
                          <a:custGeom>
                            <a:avLst/>
                            <a:gdLst/>
                            <a:ahLst/>
                            <a:cxnLst/>
                            <a:rect l="l" t="t" r="r" b="b"/>
                            <a:pathLst>
                              <a:path w="1875155" h="1341755">
                                <a:moveTo>
                                  <a:pt x="0" y="1341755"/>
                                </a:moveTo>
                                <a:lnTo>
                                  <a:pt x="1875154" y="1341755"/>
                                </a:lnTo>
                                <a:lnTo>
                                  <a:pt x="1875154" y="0"/>
                                </a:lnTo>
                                <a:lnTo>
                                  <a:pt x="0" y="0"/>
                                </a:lnTo>
                                <a:lnTo>
                                  <a:pt x="0" y="1341755"/>
                                </a:lnTo>
                                <a:close/>
                              </a:path>
                            </a:pathLst>
                          </a:custGeom>
                          <a:ln w="12700">
                            <a:solidFill>
                              <a:srgbClr val="EB7B2F"/>
                            </a:solidFill>
                            <a:prstDash val="solid"/>
                          </a:ln>
                        </wps:spPr>
                        <wps:bodyPr wrap="square" lIns="0" tIns="0" rIns="0" bIns="0" rtlCol="0">
                          <a:prstTxWarp prst="textNoShape">
                            <a:avLst/>
                          </a:prstTxWarp>
                          <a:noAutofit/>
                        </wps:bodyPr>
                      </wps:wsp>
                      <pic:pic xmlns:pic="http://schemas.openxmlformats.org/drawingml/2006/picture">
                        <pic:nvPicPr>
                          <pic:cNvPr id="1350756255" name="Image 10"/>
                          <pic:cNvPicPr/>
                        </pic:nvPicPr>
                        <pic:blipFill>
                          <a:blip r:embed="rId270" cstate="print"/>
                          <a:stretch>
                            <a:fillRect/>
                          </a:stretch>
                        </pic:blipFill>
                        <pic:spPr>
                          <a:xfrm>
                            <a:off x="870966" y="0"/>
                            <a:ext cx="76173" cy="154305"/>
                          </a:xfrm>
                          <a:prstGeom prst="rect">
                            <a:avLst/>
                          </a:prstGeom>
                        </pic:spPr>
                      </pic:pic>
                      <wps:wsp>
                        <wps:cNvPr id="1930236920" name="Textbox 11"/>
                        <wps:cNvSpPr txBox="1"/>
                        <wps:spPr>
                          <a:xfrm>
                            <a:off x="75564" y="921054"/>
                            <a:ext cx="1732280" cy="450850"/>
                          </a:xfrm>
                          <a:prstGeom prst="rect">
                            <a:avLst/>
                          </a:prstGeom>
                          <a:ln w="6350">
                            <a:solidFill>
                              <a:srgbClr val="000000"/>
                            </a:solidFill>
                            <a:prstDash val="solid"/>
                          </a:ln>
                        </wps:spPr>
                        <wps:txbx>
                          <w:txbxContent>
                            <w:p w14:paraId="5E245F26" w14:textId="77777777" w:rsidR="00AE7FA9" w:rsidRDefault="00AE7FA9" w:rsidP="00AE7FA9">
                              <w:pPr>
                                <w:spacing w:before="73"/>
                                <w:rPr>
                                  <w:rFonts w:ascii="Calibri"/>
                                </w:rPr>
                              </w:pPr>
                              <w:r>
                                <w:rPr>
                                  <w:rFonts w:ascii="Calibri"/>
                                  <w:sz w:val="22"/>
                                </w:rPr>
                                <w:t>Cost</w:t>
                              </w:r>
                              <w:r>
                                <w:rPr>
                                  <w:rFonts w:ascii="Calibri"/>
                                  <w:spacing w:val="-10"/>
                                  <w:sz w:val="22"/>
                                </w:rPr>
                                <w:t xml:space="preserve"> </w:t>
                              </w:r>
                              <w:r>
                                <w:rPr>
                                  <w:rFonts w:ascii="Calibri"/>
                                  <w:spacing w:val="-2"/>
                                  <w:sz w:val="22"/>
                                </w:rPr>
                                <w:t>Efficiency</w:t>
                              </w:r>
                            </w:p>
                          </w:txbxContent>
                        </wps:txbx>
                        <wps:bodyPr wrap="square" lIns="0" tIns="0" rIns="0" bIns="0" rtlCol="0">
                          <a:noAutofit/>
                        </wps:bodyPr>
                      </wps:wsp>
                      <wps:wsp>
                        <wps:cNvPr id="1042079854" name="Textbox 12"/>
                        <wps:cNvSpPr txBox="1"/>
                        <wps:spPr>
                          <a:xfrm>
                            <a:off x="73660" y="264033"/>
                            <a:ext cx="1732280" cy="450850"/>
                          </a:xfrm>
                          <a:prstGeom prst="rect">
                            <a:avLst/>
                          </a:prstGeom>
                          <a:ln w="6350">
                            <a:solidFill>
                              <a:srgbClr val="000000"/>
                            </a:solidFill>
                            <a:prstDash val="solid"/>
                          </a:ln>
                        </wps:spPr>
                        <wps:txbx>
                          <w:txbxContent>
                            <w:p w14:paraId="34631DDB" w14:textId="77777777" w:rsidR="00AE7FA9" w:rsidRDefault="00AE7FA9" w:rsidP="00AE7FA9">
                              <w:pPr>
                                <w:spacing w:before="73"/>
                                <w:rPr>
                                  <w:rFonts w:ascii="Calibri"/>
                                </w:rPr>
                              </w:pPr>
                              <w:r>
                                <w:rPr>
                                  <w:rFonts w:ascii="Calibri"/>
                                  <w:spacing w:val="-2"/>
                                  <w:sz w:val="22"/>
                                </w:rPr>
                                <w:t>Product/Process</w:t>
                              </w:r>
                              <w:r>
                                <w:rPr>
                                  <w:rFonts w:ascii="Calibri"/>
                                  <w:spacing w:val="-1"/>
                                  <w:sz w:val="22"/>
                                </w:rPr>
                                <w:t xml:space="preserve"> </w:t>
                              </w:r>
                              <w:r>
                                <w:rPr>
                                  <w:rFonts w:ascii="Calibri"/>
                                  <w:spacing w:val="-2"/>
                                  <w:sz w:val="22"/>
                                </w:rPr>
                                <w:t>Quality</w:t>
                              </w:r>
                            </w:p>
                          </w:txbxContent>
                        </wps:txbx>
                        <wps:bodyPr wrap="square" lIns="0" tIns="0" rIns="0" bIns="0" rtlCol="0">
                          <a:noAutofit/>
                        </wps:bodyPr>
                      </wps:wsp>
                    </wpg:wgp>
                  </a:graphicData>
                </a:graphic>
              </wp:inline>
            </w:drawing>
          </mc:Choice>
          <mc:Fallback>
            <w:pict>
              <v:group w14:anchorId="315BD53B" id="Group 1820326840" o:spid="_x0000_s1043" style="width:148.65pt;height:118.35pt;mso-position-horizontal-relative:char;mso-position-vertical-relative:line" coordsize="18878,15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">
                <v:shape id="Graphic 9" o:spid="_x0000_s1044" style="position:absolute;left:63;top:1543;width:18752;height:13417;visibility:visible;mso-wrap-style:square;v-text-anchor:top" coordsize="1875155,134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" path="m,1341755r1875154,l1875154,,,,,1341755xe" filled="f" strokecolor="#eb7b2f" strokeweight="1pt">
                  <v:path arrowok="t"/>
                </v:shape>
                <v:shape id="Image 10" o:spid="_x0000_s1045" type="#_x0000_t75" style="position:absolute;left:8709;width:762;height:1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">
                  <v:imagedata r:id="rId271" o:title=""/>
                </v:shape>
                <v:shape id="Textbox 11" o:spid="_x0000_s1046" type="#_x0000_t202" style="position:absolute;left:755;top:9210;width:17323;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" filled="f" strokeweight=".5pt">
                  <v:textbox inset="0,0,0,0">
                    <w:txbxContent>
                      <w:p w14:paraId="5E245F26" w14:textId="77777777" w:rsidR="00AE7FA9" w:rsidRDefault="00AE7FA9" w:rsidP="00AE7FA9">
                        <w:pPr>
                          <w:spacing w:before="73"/>
                          <w:rPr>
                            <w:rFonts w:ascii="Calibri"/>
                          </w:rPr>
                        </w:pPr>
                        <w:r>
                          <w:rPr>
                            <w:rFonts w:ascii="Calibri"/>
                            <w:sz w:val="22"/>
                          </w:rPr>
                          <w:t>Cost</w:t>
                        </w:r>
                        <w:r>
                          <w:rPr>
                            <w:rFonts w:ascii="Calibri"/>
                            <w:spacing w:val="-10"/>
                            <w:sz w:val="22"/>
                          </w:rPr>
                          <w:t xml:space="preserve"> </w:t>
                        </w:r>
                        <w:r>
                          <w:rPr>
                            <w:rFonts w:ascii="Calibri"/>
                            <w:spacing w:val="-2"/>
                            <w:sz w:val="22"/>
                          </w:rPr>
                          <w:t>Efficiency</w:t>
                        </w:r>
                      </w:p>
                    </w:txbxContent>
                  </v:textbox>
                </v:shape>
                <v:shape id="Textbox 12" o:spid="_x0000_s1047" type="#_x0000_t202" style="position:absolute;left:736;top:2640;width:17323;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" filled="f" strokeweight=".5pt">
                  <v:textbox inset="0,0,0,0">
                    <w:txbxContent>
                      <w:p w14:paraId="34631DDB" w14:textId="77777777" w:rsidR="00AE7FA9" w:rsidRDefault="00AE7FA9" w:rsidP="00AE7FA9">
                        <w:pPr>
                          <w:spacing w:before="73"/>
                          <w:rPr>
                            <w:rFonts w:ascii="Calibri"/>
                          </w:rPr>
                        </w:pPr>
                        <w:r>
                          <w:rPr>
                            <w:rFonts w:ascii="Calibri"/>
                            <w:spacing w:val="-2"/>
                            <w:sz w:val="22"/>
                          </w:rPr>
                          <w:t>Product/Process</w:t>
                        </w:r>
                        <w:r>
                          <w:rPr>
                            <w:rFonts w:ascii="Calibri"/>
                            <w:spacing w:val="-1"/>
                            <w:sz w:val="22"/>
                          </w:rPr>
                          <w:t xml:space="preserve"> </w:t>
                        </w:r>
                        <w:r>
                          <w:rPr>
                            <w:rFonts w:ascii="Calibri"/>
                            <w:spacing w:val="-2"/>
                            <w:sz w:val="22"/>
                          </w:rPr>
                          <w:t>Quality</w:t>
                        </w:r>
                      </w:p>
                    </w:txbxContent>
                  </v:textbox>
                </v:shape>
                <w10:anchorlock/>
              </v:group>
            </w:pict>
          </mc:Fallback>
        </mc:AlternateContent>
      </w:r>
      <w:r w:rsidRPr="00832FF3">
        <w:rPr>
          <w:rFonts w:ascii="Times New Roman" w:eastAsia="Times New Roman" w:hAnsi="Times New Roman" w:cs="Times New Roman"/>
          <w:kern w:val="0"/>
          <w:sz w:val="20"/>
          <w:szCs w:val="22"/>
          <w14:ligatures w14:val="none"/>
        </w:rPr>
        <w:tab/>
      </w:r>
      <w:r w:rsidR="00AE7FA9" w:rsidRPr="00832FF3">
        <w:rPr>
          <w:rFonts w:ascii="Times New Roman" w:eastAsia="Times New Roman" w:hAnsi="Times New Roman" w:cs="Times New Roman"/>
          <w:noProof/>
          <w:kern w:val="0"/>
          <w:sz w:val="20"/>
          <w14:ligatures w14:val="none"/>
        </w:rPr>
        <mc:AlternateContent>
          <mc:Choice Requires="wpg">
            <w:drawing>
              <wp:inline distT="0" distB="0" distL="0" distR="0" wp14:anchorId="56B03BD1" wp14:editId="41F3A88D">
                <wp:extent cx="4018915" cy="394970"/>
                <wp:effectExtent l="0" t="0" r="0" b="507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8915" cy="394970"/>
                          <a:chOff x="0" y="0"/>
                          <a:chExt cx="4018915" cy="394970"/>
                        </a:xfrm>
                      </wpg:grpSpPr>
                      <wps:wsp>
                        <wps:cNvPr id="14" name="Graphic 14"/>
                        <wps:cNvSpPr/>
                        <wps:spPr>
                          <a:xfrm>
                            <a:off x="3175" y="261620"/>
                            <a:ext cx="3977640" cy="130175"/>
                          </a:xfrm>
                          <a:custGeom>
                            <a:avLst/>
                            <a:gdLst/>
                            <a:ahLst/>
                            <a:cxnLst/>
                            <a:rect l="l" t="t" r="r" b="b"/>
                            <a:pathLst>
                              <a:path w="3977640" h="130175">
                                <a:moveTo>
                                  <a:pt x="0" y="0"/>
                                </a:moveTo>
                                <a:lnTo>
                                  <a:pt x="0" y="130175"/>
                                </a:lnTo>
                              </a:path>
                              <a:path w="3977640" h="130175">
                                <a:moveTo>
                                  <a:pt x="0" y="130175"/>
                                </a:moveTo>
                                <a:lnTo>
                                  <a:pt x="3977640" y="130175"/>
                                </a:lnTo>
                              </a:path>
                            </a:pathLst>
                          </a:custGeom>
                          <a:ln w="6350">
                            <a:solidFill>
                              <a:srgbClr val="4470C4"/>
                            </a:solidFill>
                            <a:prstDash val="solid"/>
                          </a:ln>
                        </wps:spPr>
                        <wps:bodyPr wrap="square" lIns="0" tIns="0" rIns="0" bIns="0" rtlCol="0">
                          <a:prstTxWarp prst="textNoShape">
                            <a:avLst/>
                          </a:prstTxWarp>
                          <a:noAutofit/>
                        </wps:bodyPr>
                      </wps:wsp>
                      <wps:wsp>
                        <wps:cNvPr id="15" name="Graphic 15"/>
                        <wps:cNvSpPr/>
                        <wps:spPr>
                          <a:xfrm>
                            <a:off x="3942715" y="0"/>
                            <a:ext cx="76200" cy="391795"/>
                          </a:xfrm>
                          <a:custGeom>
                            <a:avLst/>
                            <a:gdLst/>
                            <a:ahLst/>
                            <a:cxnLst/>
                            <a:rect l="l" t="t" r="r" b="b"/>
                            <a:pathLst>
                              <a:path w="76200" h="391795">
                                <a:moveTo>
                                  <a:pt x="76200" y="76200"/>
                                </a:moveTo>
                                <a:lnTo>
                                  <a:pt x="69850" y="63500"/>
                                </a:lnTo>
                                <a:lnTo>
                                  <a:pt x="38100" y="0"/>
                                </a:lnTo>
                                <a:lnTo>
                                  <a:pt x="0" y="76200"/>
                                </a:lnTo>
                                <a:lnTo>
                                  <a:pt x="34925" y="76200"/>
                                </a:lnTo>
                                <a:lnTo>
                                  <a:pt x="34925" y="391795"/>
                                </a:lnTo>
                                <a:lnTo>
                                  <a:pt x="41275" y="391795"/>
                                </a:lnTo>
                                <a:lnTo>
                                  <a:pt x="41275" y="76200"/>
                                </a:lnTo>
                                <a:lnTo>
                                  <a:pt x="76200" y="76200"/>
                                </a:lnTo>
                                <a:close/>
                              </a:path>
                            </a:pathLst>
                          </a:custGeom>
                          <a:solidFill>
                            <a:srgbClr val="4470C4"/>
                          </a:solidFill>
                        </wps:spPr>
                        <wps:bodyPr wrap="square" lIns="0" tIns="0" rIns="0" bIns="0" rtlCol="0">
                          <a:prstTxWarp prst="textNoShape">
                            <a:avLst/>
                          </a:prstTxWarp>
                          <a:noAutofit/>
                        </wps:bodyPr>
                      </wps:wsp>
                    </wpg:wgp>
                  </a:graphicData>
                </a:graphic>
              </wp:inline>
            </w:drawing>
          </mc:Choice>
          <mc:Fallback>
            <w:pict>
              <v:group w14:anchorId="3C67AEED" id="Group 13" o:spid="_x0000_s1026" style="width:316.45pt;height:31.1pt;mso-position-horizontal-relative:char;mso-position-vertical-relative:line" coordsize="40189,3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">
                <v:shape id="Graphic 14" o:spid="_x0000_s1027" style="position:absolute;left:31;top:2616;width:39777;height:1301;visibility:visible;mso-wrap-style:square;v-text-anchor:top" coordsize="397764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" path="m,l,130175em,130175r3977640,e" filled="f" strokecolor="#4470c4" strokeweight=".5pt">
                  <v:path arrowok="t"/>
                </v:shape>
                <v:shape id="Graphic 15" o:spid="_x0000_s1028" style="position:absolute;left:39427;width:762;height:3917;visibility:visible;mso-wrap-style:square;v-text-anchor:top" coordsize="7620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" path="m76200,76200l69850,63500,38100,,,76200r34925,l34925,391795r6350,l41275,76200r34925,xe" fillcolor="#4470c4" stroked="f">
                  <v:path arrowok="t"/>
                </v:shape>
                <w10:anchorlock/>
              </v:group>
            </w:pict>
          </mc:Fallback>
        </mc:AlternateContent>
      </w:r>
    </w:p>
    <w:p w14:paraId="1FE2C7B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position w:val="40"/>
          <w:sz w:val="20"/>
          <w:szCs w:val="22"/>
          <w14:ligatures w14:val="none"/>
        </w:rPr>
        <w:sectPr w:rsidR="00832FF3" w:rsidRPr="00832FF3" w:rsidSect="00186526">
          <w:footerReference w:type="default" r:id="rId272"/>
          <w:pgSz w:w="12240" w:h="15840"/>
          <w:pgMar w:top="1360" w:right="450" w:bottom="540" w:left="1080" w:header="0" w:footer="346" w:gutter="0"/>
          <w:cols w:space="720"/>
        </w:sectPr>
      </w:pPr>
    </w:p>
    <w:p w14:paraId="5BD0F0C1" w14:textId="77777777" w:rsidR="00832FF3" w:rsidRPr="00832FF3" w:rsidRDefault="00832FF3" w:rsidP="00AE7FA9">
      <w:pPr>
        <w:widowControl w:val="0"/>
        <w:autoSpaceDE w:val="0"/>
        <w:autoSpaceDN w:val="0"/>
        <w:spacing w:before="98" w:after="0" w:line="240" w:lineRule="auto"/>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b/>
          <w:kern w:val="0"/>
          <w:szCs w:val="22"/>
          <w14:ligatures w14:val="none"/>
        </w:rPr>
        <w:lastRenderedPageBreak/>
        <w:t>Figure</w:t>
      </w:r>
      <w:r w:rsidRPr="00832FF3">
        <w:rPr>
          <w:rFonts w:ascii="Times New Roman" w:eastAsia="Times New Roman" w:hAnsi="Times New Roman" w:cs="Times New Roman"/>
          <w:b/>
          <w:spacing w:val="-8"/>
          <w:kern w:val="0"/>
          <w:szCs w:val="22"/>
          <w14:ligatures w14:val="none"/>
        </w:rPr>
        <w:t xml:space="preserve"> </w:t>
      </w:r>
      <w:r w:rsidRPr="00832FF3">
        <w:rPr>
          <w:rFonts w:ascii="Times New Roman" w:eastAsia="Times New Roman" w:hAnsi="Times New Roman" w:cs="Times New Roman"/>
          <w:b/>
          <w:kern w:val="0"/>
          <w:szCs w:val="22"/>
          <w14:ligatures w14:val="none"/>
        </w:rPr>
        <w:t>1:</w:t>
      </w:r>
      <w:r w:rsidRPr="00832FF3">
        <w:rPr>
          <w:rFonts w:ascii="Times New Roman" w:eastAsia="Times New Roman" w:hAnsi="Times New Roman" w:cs="Times New Roman"/>
          <w:b/>
          <w:spacing w:val="-7"/>
          <w:kern w:val="0"/>
          <w:szCs w:val="22"/>
          <w14:ligatures w14:val="none"/>
        </w:rPr>
        <w:t xml:space="preserve"> </w:t>
      </w:r>
      <w:r w:rsidRPr="00832FF3">
        <w:rPr>
          <w:rFonts w:ascii="Times New Roman" w:eastAsia="Times New Roman" w:hAnsi="Times New Roman" w:cs="Times New Roman"/>
          <w:kern w:val="0"/>
          <w:szCs w:val="22"/>
          <w14:ligatures w14:val="none"/>
        </w:rPr>
        <w:t>Conceptual</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Framework</w:t>
      </w:r>
    </w:p>
    <w:p w14:paraId="79B0F75F" w14:textId="77777777" w:rsidR="00832FF3" w:rsidRPr="00832FF3" w:rsidRDefault="00832FF3" w:rsidP="00AE7FA9">
      <w:pPr>
        <w:widowControl w:val="0"/>
        <w:tabs>
          <w:tab w:val="left" w:pos="1620"/>
        </w:tabs>
        <w:autoSpaceDE w:val="0"/>
        <w:autoSpaceDN w:val="0"/>
        <w:spacing w:before="21" w:after="0" w:line="240" w:lineRule="auto"/>
        <w:ind w:right="98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b/>
          <w:spacing w:val="-2"/>
          <w:kern w:val="0"/>
          <w14:ligatures w14:val="none"/>
        </w:rPr>
        <w:t>Source:</w:t>
      </w:r>
      <w:r w:rsidRPr="00832FF3">
        <w:rPr>
          <w:rFonts w:ascii="Times New Roman" w:eastAsia="Times New Roman" w:hAnsi="Times New Roman" w:cs="Times New Roman"/>
          <w:b/>
          <w:kern w:val="0"/>
          <w14:ligatures w14:val="none"/>
        </w:rPr>
        <w:tab/>
      </w:r>
      <w:r w:rsidRPr="00832FF3">
        <w:rPr>
          <w:rFonts w:ascii="Times New Roman" w:eastAsia="Times New Roman" w:hAnsi="Times New Roman" w:cs="Times New Roman"/>
          <w:b/>
          <w:kern w:val="0"/>
          <w14:ligatures w14:val="none"/>
        </w:rPr>
        <w:tab/>
      </w:r>
      <w:r w:rsidRPr="00832FF3">
        <w:rPr>
          <w:rFonts w:ascii="Times New Roman" w:eastAsia="Times New Roman" w:hAnsi="Times New Roman" w:cs="Times New Roman"/>
          <w:kern w:val="0"/>
          <w14:ligatures w14:val="none"/>
        </w:rPr>
        <w:t>Digital Technologies for Sustainability and Green Operations as measured by Artificial Intelligence &amp; Data Analytics, Internet of Things (IoT)/Smart Monitoring, Digital Twin &amp; Cyber-Physical</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Systems (</w:t>
      </w:r>
      <w:proofErr w:type="spellStart"/>
      <w:r w:rsidRPr="00832FF3">
        <w:rPr>
          <w:rFonts w:ascii="Times New Roman" w:eastAsia="Times New Roman" w:hAnsi="Times New Roman" w:cs="Times New Roman"/>
          <w:kern w:val="0"/>
          <w14:ligatures w14:val="none"/>
        </w:rPr>
        <w:t>Scholtysik</w:t>
      </w:r>
      <w:proofErr w:type="spellEnd"/>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et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2025;</w:t>
      </w:r>
      <w:r w:rsidRPr="00832FF3">
        <w:rPr>
          <w:rFonts w:ascii="Times New Roman" w:eastAsia="Times New Roman" w:hAnsi="Times New Roman" w:cs="Times New Roman"/>
          <w:spacing w:val="-3"/>
          <w:kern w:val="0"/>
          <w14:ligatures w14:val="none"/>
        </w:rPr>
        <w:t xml:space="preserve"> </w:t>
      </w:r>
      <w:proofErr w:type="spellStart"/>
      <w:r w:rsidRPr="00832FF3">
        <w:rPr>
          <w:rFonts w:ascii="Times New Roman" w:eastAsia="Times New Roman" w:hAnsi="Times New Roman" w:cs="Times New Roman"/>
          <w:kern w:val="0"/>
          <w14:ligatures w14:val="none"/>
        </w:rPr>
        <w:t>Timperi</w:t>
      </w:r>
      <w:proofErr w:type="spellEnd"/>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al.,</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2024;</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Trevisan</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et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2021;</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 xml:space="preserve">Liu et al., 2024), and Operational Performance as measured by Product/Process Quality and Cost Efficiency (Flynn et al., 2010; Prajogo and </w:t>
      </w:r>
      <w:proofErr w:type="spellStart"/>
      <w:r w:rsidRPr="00832FF3">
        <w:rPr>
          <w:rFonts w:ascii="Times New Roman" w:eastAsia="Times New Roman" w:hAnsi="Times New Roman" w:cs="Times New Roman"/>
          <w:kern w:val="0"/>
          <w14:ligatures w14:val="none"/>
        </w:rPr>
        <w:t>Olhager</w:t>
      </w:r>
      <w:proofErr w:type="spellEnd"/>
      <w:r w:rsidRPr="00832FF3">
        <w:rPr>
          <w:rFonts w:ascii="Times New Roman" w:eastAsia="Times New Roman" w:hAnsi="Times New Roman" w:cs="Times New Roman"/>
          <w:kern w:val="0"/>
          <w14:ligatures w14:val="none"/>
        </w:rPr>
        <w:t>, 2012).</w:t>
      </w:r>
    </w:p>
    <w:p w14:paraId="150F00DC" w14:textId="77777777" w:rsidR="00832FF3" w:rsidRPr="00832FF3" w:rsidRDefault="00832FF3" w:rsidP="00AE7FA9">
      <w:pPr>
        <w:widowControl w:val="0"/>
        <w:autoSpaceDE w:val="0"/>
        <w:autoSpaceDN w:val="0"/>
        <w:spacing w:before="20" w:after="0" w:line="240" w:lineRule="auto"/>
        <w:rPr>
          <w:rFonts w:ascii="Times New Roman" w:eastAsia="Times New Roman" w:hAnsi="Times New Roman" w:cs="Times New Roman"/>
          <w:kern w:val="0"/>
          <w14:ligatures w14:val="none"/>
        </w:rPr>
      </w:pPr>
    </w:p>
    <w:p w14:paraId="7BA0A972" w14:textId="77777777" w:rsidR="00832FF3" w:rsidRPr="00832FF3" w:rsidRDefault="00832FF3" w:rsidP="00AE7FA9">
      <w:pPr>
        <w:widowControl w:val="0"/>
        <w:autoSpaceDE w:val="0"/>
        <w:autoSpaceDN w:val="0"/>
        <w:spacing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Empirical</w:t>
      </w:r>
      <w:r w:rsidRPr="00832FF3">
        <w:rPr>
          <w:rFonts w:ascii="Times New Roman" w:eastAsia="Times New Roman" w:hAnsi="Times New Roman" w:cs="Times New Roman"/>
          <w:b/>
          <w:bCs/>
          <w:spacing w:val="-4"/>
          <w:kern w:val="0"/>
          <w14:ligatures w14:val="none"/>
        </w:rPr>
        <w:t xml:space="preserve"> </w:t>
      </w:r>
      <w:r w:rsidRPr="00832FF3">
        <w:rPr>
          <w:rFonts w:ascii="Times New Roman" w:eastAsia="Times New Roman" w:hAnsi="Times New Roman" w:cs="Times New Roman"/>
          <w:b/>
          <w:bCs/>
          <w:spacing w:val="-2"/>
          <w:kern w:val="0"/>
          <w14:ligatures w14:val="none"/>
        </w:rPr>
        <w:t>Review</w:t>
      </w:r>
    </w:p>
    <w:p w14:paraId="5D917D1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3178ACCE" w14:textId="77777777" w:rsidR="00832FF3" w:rsidRPr="00832FF3" w:rsidRDefault="00832FF3" w:rsidP="00AE7FA9">
      <w:pPr>
        <w:widowControl w:val="0"/>
        <w:autoSpaceDE w:val="0"/>
        <w:autoSpaceDN w:val="0"/>
        <w:spacing w:after="0" w:line="240" w:lineRule="auto"/>
        <w:ind w:right="978"/>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Chen and Wang (2024) investigated the relationship between digital transformation and sustainable organizational outcomes in manufacturing small and medium enterprises. The study examined how digital transformation capabilities influence environmental, social, and governance (ESG) performance through the mediating roles of innovation capabilities and </w:t>
      </w:r>
      <w:proofErr w:type="spellStart"/>
      <w:r w:rsidRPr="00832FF3">
        <w:rPr>
          <w:rFonts w:ascii="Times New Roman" w:eastAsia="Times New Roman" w:hAnsi="Times New Roman" w:cs="Times New Roman"/>
          <w:kern w:val="0"/>
          <w14:ligatures w14:val="none"/>
        </w:rPr>
        <w:t>servitization</w:t>
      </w:r>
      <w:proofErr w:type="spellEnd"/>
      <w:r w:rsidRPr="00832FF3">
        <w:rPr>
          <w:rFonts w:ascii="Times New Roman" w:eastAsia="Times New Roman" w:hAnsi="Times New Roman" w:cs="Times New Roman"/>
          <w:kern w:val="0"/>
          <w14:ligatures w14:val="none"/>
        </w:rPr>
        <w:t xml:space="preserve">. The researchers adopted a quantitative research design and collected data from 215 manufacturing SME executives. The study employed partial least squares structural equation modeling and fuzzy-set qualitative comparative analysis to test the hypothesized relationships among the variables. The key independent variable was digital transformation, while the dependent variable was ESG performance, and innovation capability and </w:t>
      </w:r>
      <w:proofErr w:type="spellStart"/>
      <w:r w:rsidRPr="00832FF3">
        <w:rPr>
          <w:rFonts w:ascii="Times New Roman" w:eastAsia="Times New Roman" w:hAnsi="Times New Roman" w:cs="Times New Roman"/>
          <w:kern w:val="0"/>
          <w14:ligatures w14:val="none"/>
        </w:rPr>
        <w:t>servitization</w:t>
      </w:r>
      <w:proofErr w:type="spellEnd"/>
      <w:r w:rsidRPr="00832FF3">
        <w:rPr>
          <w:rFonts w:ascii="Times New Roman" w:eastAsia="Times New Roman" w:hAnsi="Times New Roman" w:cs="Times New Roman"/>
          <w:kern w:val="0"/>
          <w14:ligatures w14:val="none"/>
        </w:rPr>
        <w:t xml:space="preserve"> served as mediating variables. The findings revealed that digital transformation significantly improves sustainability performance through enhanced innovation and service-oriented capabilities. The results demonstrate that the integration of digital technologies into manufacturing operations can strengthen environmental management and operational processes, thereby improving sustainability outcomes.</w:t>
      </w:r>
    </w:p>
    <w:p w14:paraId="59EABEF1" w14:textId="5C9A4678" w:rsidR="00832FF3" w:rsidRPr="00832FF3" w:rsidRDefault="00832FF3" w:rsidP="00AE7FA9">
      <w:pPr>
        <w:widowControl w:val="0"/>
        <w:autoSpaceDE w:val="0"/>
        <w:autoSpaceDN w:val="0"/>
        <w:spacing w:before="2" w:after="0" w:line="240" w:lineRule="auto"/>
        <w:ind w:right="986"/>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Duman Altan et al. (2024) examined the relationship between digital technology adoption and sustainability performance within the context of circular economy practices and supply chain management. The study focused on how digital technologies support circular economy initiatives and supply</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chain</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traceability,</w:t>
      </w:r>
      <w:r w:rsidRPr="00832FF3">
        <w:rPr>
          <w:rFonts w:ascii="Times New Roman" w:eastAsia="Times New Roman" w:hAnsi="Times New Roman" w:cs="Times New Roman"/>
          <w:spacing w:val="66"/>
          <w:kern w:val="0"/>
          <w14:ligatures w14:val="none"/>
        </w:rPr>
        <w:t xml:space="preserve"> </w:t>
      </w:r>
      <w:r w:rsidRPr="00832FF3">
        <w:rPr>
          <w:rFonts w:ascii="Times New Roman" w:eastAsia="Times New Roman" w:hAnsi="Times New Roman" w:cs="Times New Roman"/>
          <w:kern w:val="0"/>
          <w14:ligatures w14:val="none"/>
        </w:rPr>
        <w:t>which</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ultimately</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influence</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sustainability</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manufacturing</w:t>
      </w:r>
      <w:r w:rsidR="00AE7FA9">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kern w:val="0"/>
          <w14:ligatures w14:val="none"/>
        </w:rPr>
        <w:t>systems. The researchers used a quantitative survey methodology and analyzed data collected from manufacturing</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using</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structural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equation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modeling</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techniques.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key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independent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variable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the study</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was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technology</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adoption,</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while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dependent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variable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was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sustainability</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 circular economy practices and supply chain traceability were examined as mediating variables. The results of the study indicated that digital technologies significantly enhance sustainability performance by enabling improved traceability, resource monitoring, and circular production processes.</w:t>
      </w:r>
    </w:p>
    <w:p w14:paraId="1DAC0110" w14:textId="77777777" w:rsidR="00832FF3" w:rsidRPr="00832FF3" w:rsidRDefault="00832FF3" w:rsidP="00AE7FA9">
      <w:pPr>
        <w:widowControl w:val="0"/>
        <w:autoSpaceDE w:val="0"/>
        <w:autoSpaceDN w:val="0"/>
        <w:spacing w:after="0" w:line="240" w:lineRule="auto"/>
        <w:ind w:right="98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Khan et al. (2024) examined the relationship between digitalization, circular economy practices, and organizational performance. The study focused on the mediating role of circular economy practices in the relationship between digital leadership and organizational performance. The researchers adopted a dual-study quantitative approach involving survey data collected from manufacturing organizations. Structural</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equation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modeling</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techniques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were</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used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analyze</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relationships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among</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leadership, circular</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economy</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practices,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technological</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innovation,</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organizational</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independent variable in the study was digital leadership, while circular economy practices served as a mediating variable and organizational performance represented the dependent variable. The results of the analysis indicated that digital leadership significantly promotes circular economy practices and technological innovation, which subsequently improve organizational performance.</w:t>
      </w:r>
    </w:p>
    <w:p w14:paraId="7386A87C" w14:textId="258E45C2" w:rsidR="00832FF3" w:rsidRPr="00832FF3" w:rsidRDefault="00832FF3" w:rsidP="00AE7FA9">
      <w:pPr>
        <w:widowControl w:val="0"/>
        <w:autoSpaceDE w:val="0"/>
        <w:autoSpaceDN w:val="0"/>
        <w:spacing w:before="2" w:after="0" w:line="240" w:lineRule="auto"/>
        <w:ind w:right="980"/>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Judijanto</w:t>
      </w:r>
      <w:proofErr w:type="spellEnd"/>
      <w:r w:rsidRPr="00832FF3">
        <w:rPr>
          <w:rFonts w:ascii="Times New Roman" w:eastAsia="Times New Roman" w:hAnsi="Times New Roman" w:cs="Times New Roman"/>
          <w:kern w:val="0"/>
          <w14:ligatures w14:val="none"/>
        </w:rPr>
        <w:t xml:space="preserve"> et al. (2024) examined the influence of green technology implementation and cleaner production practices on productivity and sustainability among small and</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medium enterprises.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The study adopted a quantitative survey research design in which data were collected from 50 SMEs using structured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questionnaires measured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five-point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Likert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scale.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Statistical</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analysis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was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conducted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 xml:space="preserve">using SPSS to evaluate the relationships among the study variables. The independent variables in the study included green technology implementation and cleaner production practices, while the dependent variables were </w:t>
      </w:r>
      <w:r w:rsidRPr="00832FF3">
        <w:rPr>
          <w:rFonts w:ascii="Times New Roman" w:eastAsia="Times New Roman" w:hAnsi="Times New Roman" w:cs="Times New Roman"/>
          <w:kern w:val="0"/>
          <w14:ligatures w14:val="none"/>
        </w:rPr>
        <w:lastRenderedPageBreak/>
        <w:t xml:space="preserve">productivity and sustainability performance. The findings of the study revealed that </w:t>
      </w:r>
      <w:proofErr w:type="spellStart"/>
      <w:r w:rsidRPr="00832FF3">
        <w:rPr>
          <w:rFonts w:ascii="Times New Roman" w:eastAsia="Times New Roman" w:hAnsi="Times New Roman" w:cs="Times New Roman"/>
          <w:kern w:val="0"/>
          <w14:ligatures w14:val="none"/>
        </w:rPr>
        <w:t>theadoption</w:t>
      </w:r>
      <w:proofErr w:type="spellEnd"/>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green</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cleaner</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production</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practices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significantly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improves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productivity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and sustainability outcomes in organizations. The study demonstrates that environmentally oriented technologies enable firms to enhance operational efficiency while reducing environmental impact. This empirical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evidence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supports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argument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technological</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innovation</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plays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crucial</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role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promoting sustainable production systems and improved operational outcomes.</w:t>
      </w:r>
    </w:p>
    <w:p w14:paraId="0FFAA26C" w14:textId="77777777" w:rsidR="00832FF3" w:rsidRPr="00832FF3" w:rsidRDefault="00832FF3" w:rsidP="00AE7FA9">
      <w:pPr>
        <w:widowControl w:val="0"/>
        <w:autoSpaceDE w:val="0"/>
        <w:autoSpaceDN w:val="0"/>
        <w:spacing w:after="0" w:line="240" w:lineRule="auto"/>
        <w:ind w:right="978"/>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empirical literature demonstrates that digital technologies and sustainability-oriented operational practices are increasingly recognized as key drivers of improved environmental and operational performance, yet, many studies gloss over key variables of digital technology. These studies have been observed to be concentrated in foreign economies with low focus in the Nigerian space. Therefore, the findings collectively provide strong empirical support for examining how digital technologies for sustainability and green operations influence operational performance within the context of Nigerian manufacturing firms.</w:t>
      </w:r>
    </w:p>
    <w:p w14:paraId="1D35C900" w14:textId="77777777" w:rsidR="00832FF3" w:rsidRPr="00832FF3" w:rsidRDefault="00832FF3" w:rsidP="00AE7FA9">
      <w:pPr>
        <w:widowControl w:val="0"/>
        <w:autoSpaceDE w:val="0"/>
        <w:autoSpaceDN w:val="0"/>
        <w:spacing w:before="93" w:after="0" w:line="240" w:lineRule="auto"/>
        <w:rPr>
          <w:rFonts w:ascii="Times New Roman" w:eastAsia="Times New Roman" w:hAnsi="Times New Roman" w:cs="Times New Roman"/>
          <w:kern w:val="0"/>
          <w14:ligatures w14:val="none"/>
        </w:rPr>
      </w:pPr>
    </w:p>
    <w:p w14:paraId="336CCE95" w14:textId="77777777" w:rsidR="00832FF3" w:rsidRPr="00832FF3" w:rsidRDefault="00832FF3" w:rsidP="00AE7FA9">
      <w:pPr>
        <w:widowControl w:val="0"/>
        <w:numPr>
          <w:ilvl w:val="0"/>
          <w:numId w:val="63"/>
        </w:numPr>
        <w:tabs>
          <w:tab w:val="left" w:pos="900"/>
        </w:tabs>
        <w:autoSpaceDE w:val="0"/>
        <w:autoSpaceDN w:val="0"/>
        <w:spacing w:after="0" w:line="240" w:lineRule="auto"/>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spacing w:val="-2"/>
          <w:kern w:val="0"/>
          <w14:ligatures w14:val="none"/>
        </w:rPr>
        <w:t>Methodology</w:t>
      </w:r>
    </w:p>
    <w:p w14:paraId="703DEBD7"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39E82E27" w14:textId="2FA844A3" w:rsidR="00832FF3" w:rsidRPr="00832FF3" w:rsidRDefault="00832FF3" w:rsidP="00AE7FA9">
      <w:pPr>
        <w:widowControl w:val="0"/>
        <w:autoSpaceDE w:val="0"/>
        <w:autoSpaceDN w:val="0"/>
        <w:spacing w:after="0" w:line="240" w:lineRule="auto"/>
        <w:ind w:right="981"/>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study adopts a cross-sectional survey research design.</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cross-sectional survey design involves the collection of data from respondents at a single point in time in order to examine relationships among variables within a defined population (Saunders et al., 2019). The population of the study comprises all manufacturing firms operating in Nigeria. The manufacturing sector represents a significant component of</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Nigerian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economy,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contributing</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about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14.55</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percent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country’s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Gross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Domestic</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Product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and employing approximately 12 percent of the national workforce according to the National Bureau of Statistics and recent statistical reports on Nigeria’s industrial structure (National Bureau of Statistics, 2025; Statista, 2025). Historically, Nigeria’s formal manufacturing sector has been estimated to consist of roughly 16,000 registered firms operating across different subsectors including food and beverage processing,</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cement</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production,</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textile</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pharmaceuticals,</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plastics,</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metal</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products</w:t>
      </w:r>
      <w:r w:rsidR="00AE7FA9">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kern w:val="0"/>
          <w14:ligatures w14:val="none"/>
        </w:rPr>
        <w:t>(World Bank, 2002). Based on these statistics, the estimated population for this study is therefore approximately 16,000 manufacturing firms in Nigeria. The accessible population for the study consists of</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firms located</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Rivers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State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that are</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registered</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with</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Manufacturers</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Association of Nigeria</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(MAN).</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Rivers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State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was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selected</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because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researcher’s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proximity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ease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of accessibility for data collection, which is a common practical consideration in survey-based organizational studies.</w:t>
      </w:r>
    </w:p>
    <w:p w14:paraId="1B3F6F5A" w14:textId="77777777" w:rsidR="00832FF3" w:rsidRPr="00832FF3" w:rsidRDefault="00832FF3" w:rsidP="00AE7FA9">
      <w:pPr>
        <w:widowControl w:val="0"/>
        <w:autoSpaceDE w:val="0"/>
        <w:autoSpaceDN w:val="0"/>
        <w:spacing w:after="0" w:line="240" w:lineRule="auto"/>
        <w:ind w:right="992"/>
        <w:jc w:val="both"/>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Cs w:val="22"/>
          <w14:ligatures w14:val="none"/>
        </w:rPr>
        <w:t>The sample size for the study was determined using the Taro Yamane (1967) formula for sample size determination.</w:t>
      </w:r>
      <w:r w:rsidRPr="00832FF3">
        <w:rPr>
          <w:rFonts w:ascii="Times New Roman" w:eastAsia="Times New Roman" w:hAnsi="Times New Roman" w:cs="Times New Roman"/>
          <w:spacing w:val="40"/>
          <w:kern w:val="0"/>
          <w:szCs w:val="22"/>
          <w14:ligatures w14:val="none"/>
        </w:rPr>
        <w:t xml:space="preserve"> </w:t>
      </w:r>
      <w:r w:rsidRPr="00832FF3">
        <w:rPr>
          <w:rFonts w:ascii="Times New Roman" w:eastAsia="Times New Roman" w:hAnsi="Times New Roman" w:cs="Times New Roman"/>
          <w:kern w:val="0"/>
          <w:sz w:val="22"/>
          <w:szCs w:val="22"/>
          <w14:ligatures w14:val="none"/>
        </w:rPr>
        <w:t xml:space="preserve">Therefore, the study adopts a sample size of 390 manufacturing firms. This sample size is considered adequate for survey research and structural equation modeling because it ensures sufficient representation of the study population and improves the reliability of statistical estimates (Hair </w:t>
      </w:r>
      <w:r w:rsidRPr="00832FF3">
        <w:rPr>
          <w:rFonts w:ascii="Times New Roman" w:eastAsia="Times New Roman" w:hAnsi="Times New Roman" w:cs="Times New Roman"/>
          <w:kern w:val="0"/>
          <w:szCs w:val="22"/>
          <w14:ligatures w14:val="none"/>
        </w:rPr>
        <w:t xml:space="preserve">et al., </w:t>
      </w:r>
      <w:r w:rsidRPr="00832FF3">
        <w:rPr>
          <w:rFonts w:ascii="Times New Roman" w:eastAsia="Times New Roman" w:hAnsi="Times New Roman" w:cs="Times New Roman"/>
          <w:kern w:val="0"/>
          <w:sz w:val="22"/>
          <w:szCs w:val="22"/>
          <w14:ligatures w14:val="none"/>
        </w:rPr>
        <w:t>2019).</w:t>
      </w:r>
    </w:p>
    <w:p w14:paraId="6B9F99B9" w14:textId="77777777" w:rsidR="00832FF3" w:rsidRPr="00832FF3" w:rsidRDefault="00832FF3" w:rsidP="00AE7FA9">
      <w:pPr>
        <w:widowControl w:val="0"/>
        <w:autoSpaceDE w:val="0"/>
        <w:autoSpaceDN w:val="0"/>
        <w:spacing w:before="6" w:after="0" w:line="240" w:lineRule="auto"/>
        <w:ind w:right="975"/>
        <w:jc w:val="both"/>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The</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nature</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data</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used</w:t>
      </w:r>
      <w:r w:rsidRPr="00832FF3">
        <w:rPr>
          <w:rFonts w:ascii="Times New Roman" w:eastAsia="Times New Roman" w:hAnsi="Times New Roman" w:cs="Times New Roman"/>
          <w:spacing w:val="-1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this</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study</w:t>
      </w:r>
      <w:r w:rsidRPr="00832FF3">
        <w:rPr>
          <w:rFonts w:ascii="Times New Roman" w:eastAsia="Times New Roman" w:hAnsi="Times New Roman" w:cs="Times New Roman"/>
          <w:spacing w:val="-1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is</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primary</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data.</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Primary</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data</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are</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collected</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directly</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from</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respondents</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to</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obtain first-hand information regarding the variables under investigation (Sekaran &amp; Bougie, 2016). The source of the primary data for this study is a structured closed-ended questionnaire administered to respondents within the selected</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manufacturing</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firms.</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The</w:t>
      </w:r>
      <w:r w:rsidRPr="00832FF3">
        <w:rPr>
          <w:rFonts w:ascii="Times New Roman" w:eastAsia="Times New Roman" w:hAnsi="Times New Roman" w:cs="Times New Roman"/>
          <w:spacing w:val="-1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questionnaire</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format</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is</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suitable</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because</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it</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enables</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the</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collection</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standardized responses that can be easily quantified and analyzed statistically.</w:t>
      </w:r>
    </w:p>
    <w:p w14:paraId="64D939BA" w14:textId="77777777" w:rsidR="00832FF3" w:rsidRPr="00832FF3" w:rsidRDefault="00832FF3" w:rsidP="00AE7FA9">
      <w:pPr>
        <w:widowControl w:val="0"/>
        <w:autoSpaceDE w:val="0"/>
        <w:autoSpaceDN w:val="0"/>
        <w:spacing w:after="10" w:line="240" w:lineRule="auto"/>
        <w:ind w:right="980"/>
        <w:jc w:val="both"/>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The validity of the research instrument was established through content and face validity procedures. The questionnaire</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items</w:t>
      </w:r>
      <w:r w:rsidRPr="00832FF3">
        <w:rPr>
          <w:rFonts w:ascii="Times New Roman" w:eastAsia="Times New Roman" w:hAnsi="Times New Roman" w:cs="Times New Roman"/>
          <w:spacing w:val="-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were</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reviewed</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by</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experts</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operations</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management</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and</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sustainability</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research</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to</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ensure</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that they adequately captured the constructs of digital technologies for sustainability and green operations as well as operational performance. Reliability of the research instrument was assessed using Cronbach’s alpha coefficient, which</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measures</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the</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internal</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consistency</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measurement</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scales.</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Cronbach’s</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alpha</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values</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above</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0.70</w:t>
      </w:r>
      <w:r w:rsidRPr="00832FF3">
        <w:rPr>
          <w:rFonts w:ascii="Times New Roman" w:eastAsia="Times New Roman" w:hAnsi="Times New Roman" w:cs="Times New Roman"/>
          <w:spacing w:val="-1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are</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generally considered</w:t>
      </w:r>
      <w:r w:rsidRPr="00832FF3">
        <w:rPr>
          <w:rFonts w:ascii="Times New Roman" w:eastAsia="Times New Roman" w:hAnsi="Times New Roman" w:cs="Times New Roman"/>
          <w:spacing w:val="3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acceptable</w:t>
      </w:r>
      <w:r w:rsidRPr="00832FF3">
        <w:rPr>
          <w:rFonts w:ascii="Times New Roman" w:eastAsia="Times New Roman" w:hAnsi="Times New Roman" w:cs="Times New Roman"/>
          <w:spacing w:val="3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for</w:t>
      </w:r>
      <w:r w:rsidRPr="00832FF3">
        <w:rPr>
          <w:rFonts w:ascii="Times New Roman" w:eastAsia="Times New Roman" w:hAnsi="Times New Roman" w:cs="Times New Roman"/>
          <w:spacing w:val="3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social</w:t>
      </w:r>
      <w:r w:rsidRPr="00832FF3">
        <w:rPr>
          <w:rFonts w:ascii="Times New Roman" w:eastAsia="Times New Roman" w:hAnsi="Times New Roman" w:cs="Times New Roman"/>
          <w:spacing w:val="3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science</w:t>
      </w:r>
      <w:r w:rsidRPr="00832FF3">
        <w:rPr>
          <w:rFonts w:ascii="Times New Roman" w:eastAsia="Times New Roman" w:hAnsi="Times New Roman" w:cs="Times New Roman"/>
          <w:spacing w:val="3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research,</w:t>
      </w:r>
      <w:r w:rsidRPr="00832FF3">
        <w:rPr>
          <w:rFonts w:ascii="Times New Roman" w:eastAsia="Times New Roman" w:hAnsi="Times New Roman" w:cs="Times New Roman"/>
          <w:spacing w:val="3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indicating</w:t>
      </w:r>
      <w:r w:rsidRPr="00832FF3">
        <w:rPr>
          <w:rFonts w:ascii="Times New Roman" w:eastAsia="Times New Roman" w:hAnsi="Times New Roman" w:cs="Times New Roman"/>
          <w:spacing w:val="3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that</w:t>
      </w:r>
      <w:r w:rsidRPr="00832FF3">
        <w:rPr>
          <w:rFonts w:ascii="Times New Roman" w:eastAsia="Times New Roman" w:hAnsi="Times New Roman" w:cs="Times New Roman"/>
          <w:spacing w:val="3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the</w:t>
      </w:r>
      <w:r w:rsidRPr="00832FF3">
        <w:rPr>
          <w:rFonts w:ascii="Times New Roman" w:eastAsia="Times New Roman" w:hAnsi="Times New Roman" w:cs="Times New Roman"/>
          <w:spacing w:val="3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measurement</w:t>
      </w:r>
      <w:r w:rsidRPr="00832FF3">
        <w:rPr>
          <w:rFonts w:ascii="Times New Roman" w:eastAsia="Times New Roman" w:hAnsi="Times New Roman" w:cs="Times New Roman"/>
          <w:spacing w:val="3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items</w:t>
      </w:r>
      <w:r w:rsidRPr="00832FF3">
        <w:rPr>
          <w:rFonts w:ascii="Times New Roman" w:eastAsia="Times New Roman" w:hAnsi="Times New Roman" w:cs="Times New Roman"/>
          <w:spacing w:val="3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reliably</w:t>
      </w:r>
      <w:r w:rsidRPr="00832FF3">
        <w:rPr>
          <w:rFonts w:ascii="Times New Roman" w:eastAsia="Times New Roman" w:hAnsi="Times New Roman" w:cs="Times New Roman"/>
          <w:spacing w:val="3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capture</w:t>
      </w:r>
      <w:r w:rsidRPr="00832FF3">
        <w:rPr>
          <w:rFonts w:ascii="Times New Roman" w:eastAsia="Times New Roman" w:hAnsi="Times New Roman" w:cs="Times New Roman"/>
          <w:spacing w:val="3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the</w:t>
      </w:r>
    </w:p>
    <w:tbl>
      <w:tblPr>
        <w:tblW w:w="0" w:type="auto"/>
        <w:tblInd w:w="195" w:type="dxa"/>
        <w:tblLayout w:type="fixed"/>
        <w:tblCellMar>
          <w:left w:w="0" w:type="dxa"/>
          <w:right w:w="0" w:type="dxa"/>
        </w:tblCellMar>
        <w:tblLook w:val="01E0" w:firstRow="1" w:lastRow="1" w:firstColumn="1" w:lastColumn="1" w:noHBand="0" w:noVBand="0"/>
      </w:tblPr>
      <w:tblGrid>
        <w:gridCol w:w="4364"/>
        <w:gridCol w:w="2793"/>
        <w:gridCol w:w="2234"/>
      </w:tblGrid>
      <w:tr w:rsidR="00832FF3" w:rsidRPr="00832FF3" w14:paraId="1BD36F86" w14:textId="77777777" w:rsidTr="00483C28">
        <w:trPr>
          <w:trHeight w:val="798"/>
        </w:trPr>
        <w:tc>
          <w:tcPr>
            <w:tcW w:w="4364" w:type="dxa"/>
            <w:tcBorders>
              <w:bottom w:val="single" w:sz="4" w:space="0" w:color="000000"/>
            </w:tcBorders>
          </w:tcPr>
          <w:p w14:paraId="7C88879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lastRenderedPageBreak/>
              <w:t>intended</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constructs</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(Hair</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et</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al.,</w:t>
            </w:r>
            <w:r w:rsidRPr="00832FF3">
              <w:rPr>
                <w:rFonts w:ascii="Times New Roman" w:eastAsia="Times New Roman" w:hAnsi="Times New Roman" w:cs="Times New Roman"/>
                <w:spacing w:val="-4"/>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2019).</w:t>
            </w:r>
          </w:p>
          <w:p w14:paraId="1CC6585E" w14:textId="77777777" w:rsidR="00832FF3" w:rsidRPr="00832FF3" w:rsidRDefault="00832FF3" w:rsidP="00AE7FA9">
            <w:pPr>
              <w:widowControl w:val="0"/>
              <w:autoSpaceDE w:val="0"/>
              <w:autoSpaceDN w:val="0"/>
              <w:spacing w:before="251"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Reliability</w:t>
            </w:r>
            <w:r w:rsidRPr="00832FF3">
              <w:rPr>
                <w:rFonts w:ascii="Times New Roman" w:eastAsia="Times New Roman" w:hAnsi="Times New Roman" w:cs="Times New Roman"/>
                <w:b/>
                <w:spacing w:val="4"/>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Statistics</w:t>
            </w:r>
          </w:p>
        </w:tc>
        <w:tc>
          <w:tcPr>
            <w:tcW w:w="5027" w:type="dxa"/>
            <w:gridSpan w:val="2"/>
            <w:tcBorders>
              <w:bottom w:val="single" w:sz="4" w:space="0" w:color="000000"/>
            </w:tcBorders>
          </w:tcPr>
          <w:p w14:paraId="0038BDB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7AE28A00" w14:textId="77777777" w:rsidTr="00483C28">
        <w:trPr>
          <w:trHeight w:val="278"/>
        </w:trPr>
        <w:tc>
          <w:tcPr>
            <w:tcW w:w="4364" w:type="dxa"/>
            <w:tcBorders>
              <w:top w:val="single" w:sz="4" w:space="0" w:color="000000"/>
              <w:bottom w:val="single" w:sz="4" w:space="0" w:color="000000"/>
            </w:tcBorders>
          </w:tcPr>
          <w:p w14:paraId="196A3130" w14:textId="77777777" w:rsidR="00832FF3" w:rsidRPr="00832FF3" w:rsidRDefault="00832FF3" w:rsidP="00AE7FA9">
            <w:pPr>
              <w:widowControl w:val="0"/>
              <w:autoSpaceDE w:val="0"/>
              <w:autoSpaceDN w:val="0"/>
              <w:spacing w:before="3"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Variable</w:t>
            </w:r>
          </w:p>
        </w:tc>
        <w:tc>
          <w:tcPr>
            <w:tcW w:w="2793" w:type="dxa"/>
            <w:tcBorders>
              <w:top w:val="single" w:sz="4" w:space="0" w:color="000000"/>
              <w:bottom w:val="single" w:sz="4" w:space="0" w:color="000000"/>
            </w:tcBorders>
          </w:tcPr>
          <w:p w14:paraId="19EDC792" w14:textId="77777777" w:rsidR="00832FF3" w:rsidRPr="00832FF3" w:rsidRDefault="00832FF3" w:rsidP="00AE7FA9">
            <w:pPr>
              <w:widowControl w:val="0"/>
              <w:autoSpaceDE w:val="0"/>
              <w:autoSpaceDN w:val="0"/>
              <w:spacing w:before="3" w:after="0" w:line="240" w:lineRule="auto"/>
              <w:ind w:right="5"/>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Number</w:t>
            </w:r>
            <w:r w:rsidRPr="00832FF3">
              <w:rPr>
                <w:rFonts w:ascii="Times New Roman" w:eastAsia="Times New Roman" w:hAnsi="Times New Roman" w:cs="Times New Roman"/>
                <w:b/>
                <w:spacing w:val="-12"/>
                <w:kern w:val="0"/>
                <w:sz w:val="22"/>
                <w:szCs w:val="22"/>
                <w14:ligatures w14:val="none"/>
              </w:rPr>
              <w:t xml:space="preserve"> </w:t>
            </w:r>
            <w:r w:rsidRPr="00832FF3">
              <w:rPr>
                <w:rFonts w:ascii="Times New Roman" w:eastAsia="Times New Roman" w:hAnsi="Times New Roman" w:cs="Times New Roman"/>
                <w:b/>
                <w:kern w:val="0"/>
                <w:sz w:val="22"/>
                <w:szCs w:val="22"/>
                <w14:ligatures w14:val="none"/>
              </w:rPr>
              <w:t>of</w:t>
            </w:r>
            <w:r w:rsidRPr="00832FF3">
              <w:rPr>
                <w:rFonts w:ascii="Times New Roman" w:eastAsia="Times New Roman" w:hAnsi="Times New Roman" w:cs="Times New Roman"/>
                <w:b/>
                <w:spacing w:val="-4"/>
                <w:kern w:val="0"/>
                <w:sz w:val="22"/>
                <w:szCs w:val="22"/>
                <w14:ligatures w14:val="none"/>
              </w:rPr>
              <w:t xml:space="preserve"> Items</w:t>
            </w:r>
          </w:p>
        </w:tc>
        <w:tc>
          <w:tcPr>
            <w:tcW w:w="2234" w:type="dxa"/>
            <w:tcBorders>
              <w:top w:val="single" w:sz="4" w:space="0" w:color="000000"/>
              <w:bottom w:val="single" w:sz="4" w:space="0" w:color="000000"/>
            </w:tcBorders>
          </w:tcPr>
          <w:p w14:paraId="520DEA4E" w14:textId="77777777" w:rsidR="00832FF3" w:rsidRPr="00832FF3" w:rsidRDefault="00832FF3" w:rsidP="00AE7FA9">
            <w:pPr>
              <w:widowControl w:val="0"/>
              <w:autoSpaceDE w:val="0"/>
              <w:autoSpaceDN w:val="0"/>
              <w:spacing w:before="3" w:after="0" w:line="240" w:lineRule="auto"/>
              <w:ind w:right="14"/>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4"/>
                <w:kern w:val="0"/>
                <w:sz w:val="22"/>
                <w:szCs w:val="22"/>
                <w14:ligatures w14:val="none"/>
              </w:rPr>
              <w:t>Cronbach</w:t>
            </w:r>
            <w:r w:rsidRPr="00832FF3">
              <w:rPr>
                <w:rFonts w:ascii="Times New Roman" w:eastAsia="Times New Roman" w:hAnsi="Times New Roman" w:cs="Times New Roman"/>
                <w:b/>
                <w:spacing w:val="2"/>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Alpha</w:t>
            </w:r>
          </w:p>
        </w:tc>
      </w:tr>
      <w:tr w:rsidR="00832FF3" w:rsidRPr="00832FF3" w14:paraId="1BDCDEA1" w14:textId="77777777" w:rsidTr="00483C28">
        <w:trPr>
          <w:trHeight w:val="323"/>
        </w:trPr>
        <w:tc>
          <w:tcPr>
            <w:tcW w:w="4364" w:type="dxa"/>
            <w:tcBorders>
              <w:top w:val="single" w:sz="4" w:space="0" w:color="000000"/>
            </w:tcBorders>
          </w:tcPr>
          <w:p w14:paraId="5FD50FC5" w14:textId="77777777" w:rsidR="00832FF3" w:rsidRPr="00832FF3" w:rsidRDefault="00832FF3" w:rsidP="00AE7FA9">
            <w:pPr>
              <w:widowControl w:val="0"/>
              <w:autoSpaceDE w:val="0"/>
              <w:autoSpaceDN w:val="0"/>
              <w:spacing w:before="4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Artificial</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Intelligence</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&amp;</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Data</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Analytics</w:t>
            </w:r>
          </w:p>
        </w:tc>
        <w:tc>
          <w:tcPr>
            <w:tcW w:w="2793" w:type="dxa"/>
            <w:tcBorders>
              <w:top w:val="single" w:sz="4" w:space="0" w:color="000000"/>
            </w:tcBorders>
          </w:tcPr>
          <w:p w14:paraId="0BCAD674" w14:textId="77777777" w:rsidR="00832FF3" w:rsidRPr="00832FF3" w:rsidRDefault="00832FF3" w:rsidP="00AE7FA9">
            <w:pPr>
              <w:widowControl w:val="0"/>
              <w:autoSpaceDE w:val="0"/>
              <w:autoSpaceDN w:val="0"/>
              <w:spacing w:before="46"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10"/>
                <w:kern w:val="0"/>
                <w:sz w:val="22"/>
                <w:szCs w:val="22"/>
                <w14:ligatures w14:val="none"/>
              </w:rPr>
              <w:t>5</w:t>
            </w:r>
          </w:p>
        </w:tc>
        <w:tc>
          <w:tcPr>
            <w:tcW w:w="2234" w:type="dxa"/>
            <w:tcBorders>
              <w:top w:val="single" w:sz="4" w:space="0" w:color="000000"/>
            </w:tcBorders>
          </w:tcPr>
          <w:p w14:paraId="7F91EA77" w14:textId="77777777" w:rsidR="00832FF3" w:rsidRPr="00832FF3" w:rsidRDefault="00832FF3" w:rsidP="00AE7FA9">
            <w:pPr>
              <w:widowControl w:val="0"/>
              <w:autoSpaceDE w:val="0"/>
              <w:autoSpaceDN w:val="0"/>
              <w:spacing w:before="46" w:after="0" w:line="240" w:lineRule="auto"/>
              <w:ind w:right="1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0.84</w:t>
            </w:r>
          </w:p>
        </w:tc>
      </w:tr>
      <w:tr w:rsidR="00832FF3" w:rsidRPr="00832FF3" w14:paraId="474AECF3" w14:textId="77777777" w:rsidTr="00483C28">
        <w:trPr>
          <w:trHeight w:val="268"/>
        </w:trPr>
        <w:tc>
          <w:tcPr>
            <w:tcW w:w="4364" w:type="dxa"/>
          </w:tcPr>
          <w:p w14:paraId="035582A9" w14:textId="77777777" w:rsidR="00832FF3" w:rsidRPr="00832FF3" w:rsidRDefault="00832FF3" w:rsidP="00AE7FA9">
            <w:pPr>
              <w:widowControl w:val="0"/>
              <w:autoSpaceDE w:val="0"/>
              <w:autoSpaceDN w:val="0"/>
              <w:spacing w:before="1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Internet</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Things</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(IoT)</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Monitoring</w:t>
            </w:r>
          </w:p>
        </w:tc>
        <w:tc>
          <w:tcPr>
            <w:tcW w:w="2793" w:type="dxa"/>
          </w:tcPr>
          <w:p w14:paraId="02823B68" w14:textId="77777777" w:rsidR="00832FF3" w:rsidRPr="00832FF3" w:rsidRDefault="00832FF3" w:rsidP="00AE7FA9">
            <w:pPr>
              <w:widowControl w:val="0"/>
              <w:autoSpaceDE w:val="0"/>
              <w:autoSpaceDN w:val="0"/>
              <w:spacing w:before="15"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10"/>
                <w:kern w:val="0"/>
                <w:sz w:val="22"/>
                <w:szCs w:val="22"/>
                <w14:ligatures w14:val="none"/>
              </w:rPr>
              <w:t>5</w:t>
            </w:r>
          </w:p>
        </w:tc>
        <w:tc>
          <w:tcPr>
            <w:tcW w:w="2234" w:type="dxa"/>
          </w:tcPr>
          <w:p w14:paraId="592DA620" w14:textId="77777777" w:rsidR="00832FF3" w:rsidRPr="00832FF3" w:rsidRDefault="00832FF3" w:rsidP="00AE7FA9">
            <w:pPr>
              <w:widowControl w:val="0"/>
              <w:autoSpaceDE w:val="0"/>
              <w:autoSpaceDN w:val="0"/>
              <w:spacing w:before="15" w:after="0" w:line="240" w:lineRule="auto"/>
              <w:ind w:right="1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0.82</w:t>
            </w:r>
          </w:p>
        </w:tc>
      </w:tr>
    </w:tbl>
    <w:p w14:paraId="2070F029"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 w:val="22"/>
          <w:szCs w:val="22"/>
          <w14:ligatures w14:val="none"/>
        </w:rPr>
        <w:sectPr w:rsidR="00832FF3" w:rsidRPr="00832FF3" w:rsidSect="00832FF3">
          <w:pgSz w:w="12240" w:h="15840"/>
          <w:pgMar w:top="1360" w:right="0" w:bottom="1200" w:left="1080" w:header="0" w:footer="346" w:gutter="0"/>
          <w:cols w:space="720"/>
        </w:sectPr>
      </w:pPr>
    </w:p>
    <w:p w14:paraId="27BA0C1E" w14:textId="77777777" w:rsidR="00832FF3" w:rsidRPr="00832FF3" w:rsidRDefault="00832FF3" w:rsidP="00AE7FA9">
      <w:pPr>
        <w:widowControl w:val="0"/>
        <w:autoSpaceDE w:val="0"/>
        <w:autoSpaceDN w:val="0"/>
        <w:spacing w:before="1" w:after="0" w:line="240" w:lineRule="auto"/>
        <w:rPr>
          <w:rFonts w:ascii="Times New Roman" w:eastAsia="Times New Roman" w:hAnsi="Times New Roman" w:cs="Times New Roman"/>
          <w:kern w:val="0"/>
          <w:sz w:val="2"/>
          <w14:ligatures w14:val="none"/>
        </w:rPr>
      </w:pPr>
    </w:p>
    <w:tbl>
      <w:tblPr>
        <w:tblW w:w="0" w:type="auto"/>
        <w:tblInd w:w="187" w:type="dxa"/>
        <w:tblLayout w:type="fixed"/>
        <w:tblCellMar>
          <w:left w:w="0" w:type="dxa"/>
          <w:right w:w="0" w:type="dxa"/>
        </w:tblCellMar>
        <w:tblLook w:val="01E0" w:firstRow="1" w:lastRow="1" w:firstColumn="1" w:lastColumn="1" w:noHBand="0" w:noVBand="0"/>
      </w:tblPr>
      <w:tblGrid>
        <w:gridCol w:w="3923"/>
        <w:gridCol w:w="3241"/>
        <w:gridCol w:w="2234"/>
      </w:tblGrid>
      <w:tr w:rsidR="00832FF3" w:rsidRPr="00832FF3" w14:paraId="575D6DB5" w14:textId="77777777" w:rsidTr="00483C28">
        <w:trPr>
          <w:trHeight w:val="280"/>
        </w:trPr>
        <w:tc>
          <w:tcPr>
            <w:tcW w:w="3923" w:type="dxa"/>
            <w:tcBorders>
              <w:top w:val="single" w:sz="4" w:space="0" w:color="000000"/>
              <w:bottom w:val="single" w:sz="4" w:space="0" w:color="000000"/>
            </w:tcBorders>
          </w:tcPr>
          <w:p w14:paraId="276FAFB8" w14:textId="77777777" w:rsidR="00832FF3" w:rsidRPr="00832FF3" w:rsidRDefault="00832FF3" w:rsidP="00AE7FA9">
            <w:pPr>
              <w:widowControl w:val="0"/>
              <w:autoSpaceDE w:val="0"/>
              <w:autoSpaceDN w:val="0"/>
              <w:spacing w:before="6"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Variable</w:t>
            </w:r>
          </w:p>
        </w:tc>
        <w:tc>
          <w:tcPr>
            <w:tcW w:w="3241" w:type="dxa"/>
            <w:tcBorders>
              <w:top w:val="single" w:sz="4" w:space="0" w:color="000000"/>
              <w:bottom w:val="single" w:sz="4" w:space="0" w:color="000000"/>
            </w:tcBorders>
          </w:tcPr>
          <w:p w14:paraId="02B4F100" w14:textId="77777777" w:rsidR="00832FF3" w:rsidRPr="00832FF3" w:rsidRDefault="00832FF3" w:rsidP="00AE7FA9">
            <w:pPr>
              <w:widowControl w:val="0"/>
              <w:autoSpaceDE w:val="0"/>
              <w:autoSpaceDN w:val="0"/>
              <w:spacing w:before="6" w:after="0" w:line="240" w:lineRule="auto"/>
              <w:ind w:right="6"/>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Number</w:t>
            </w:r>
            <w:r w:rsidRPr="00832FF3">
              <w:rPr>
                <w:rFonts w:ascii="Times New Roman" w:eastAsia="Times New Roman" w:hAnsi="Times New Roman" w:cs="Times New Roman"/>
                <w:b/>
                <w:spacing w:val="-12"/>
                <w:kern w:val="0"/>
                <w:sz w:val="22"/>
                <w:szCs w:val="22"/>
                <w14:ligatures w14:val="none"/>
              </w:rPr>
              <w:t xml:space="preserve"> </w:t>
            </w:r>
            <w:r w:rsidRPr="00832FF3">
              <w:rPr>
                <w:rFonts w:ascii="Times New Roman" w:eastAsia="Times New Roman" w:hAnsi="Times New Roman" w:cs="Times New Roman"/>
                <w:b/>
                <w:kern w:val="0"/>
                <w:sz w:val="22"/>
                <w:szCs w:val="22"/>
                <w14:ligatures w14:val="none"/>
              </w:rPr>
              <w:t>of</w:t>
            </w:r>
            <w:r w:rsidRPr="00832FF3">
              <w:rPr>
                <w:rFonts w:ascii="Times New Roman" w:eastAsia="Times New Roman" w:hAnsi="Times New Roman" w:cs="Times New Roman"/>
                <w:b/>
                <w:spacing w:val="-4"/>
                <w:kern w:val="0"/>
                <w:sz w:val="22"/>
                <w:szCs w:val="22"/>
                <w14:ligatures w14:val="none"/>
              </w:rPr>
              <w:t xml:space="preserve"> Items</w:t>
            </w:r>
          </w:p>
        </w:tc>
        <w:tc>
          <w:tcPr>
            <w:tcW w:w="2234" w:type="dxa"/>
            <w:tcBorders>
              <w:top w:val="single" w:sz="4" w:space="0" w:color="000000"/>
              <w:bottom w:val="single" w:sz="4" w:space="0" w:color="000000"/>
            </w:tcBorders>
          </w:tcPr>
          <w:p w14:paraId="728E4797" w14:textId="77777777" w:rsidR="00832FF3" w:rsidRPr="00832FF3" w:rsidRDefault="00832FF3" w:rsidP="00AE7FA9">
            <w:pPr>
              <w:widowControl w:val="0"/>
              <w:autoSpaceDE w:val="0"/>
              <w:autoSpaceDN w:val="0"/>
              <w:spacing w:before="6" w:after="0" w:line="240" w:lineRule="auto"/>
              <w:ind w:right="14"/>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4"/>
                <w:kern w:val="0"/>
                <w:sz w:val="22"/>
                <w:szCs w:val="22"/>
                <w14:ligatures w14:val="none"/>
              </w:rPr>
              <w:t>Cronbach</w:t>
            </w:r>
            <w:r w:rsidRPr="00832FF3">
              <w:rPr>
                <w:rFonts w:ascii="Times New Roman" w:eastAsia="Times New Roman" w:hAnsi="Times New Roman" w:cs="Times New Roman"/>
                <w:b/>
                <w:spacing w:val="2"/>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Alpha</w:t>
            </w:r>
          </w:p>
        </w:tc>
      </w:tr>
      <w:tr w:rsidR="00832FF3" w:rsidRPr="00832FF3" w14:paraId="01CA4051" w14:textId="77777777" w:rsidTr="00483C28">
        <w:trPr>
          <w:trHeight w:val="332"/>
        </w:trPr>
        <w:tc>
          <w:tcPr>
            <w:tcW w:w="3923" w:type="dxa"/>
            <w:tcBorders>
              <w:top w:val="single" w:sz="4" w:space="0" w:color="000000"/>
            </w:tcBorders>
          </w:tcPr>
          <w:p w14:paraId="3646A148" w14:textId="77777777" w:rsidR="00832FF3" w:rsidRPr="00832FF3" w:rsidRDefault="00832FF3" w:rsidP="00AE7FA9">
            <w:pPr>
              <w:widowControl w:val="0"/>
              <w:autoSpaceDE w:val="0"/>
              <w:autoSpaceDN w:val="0"/>
              <w:spacing w:before="44"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Digital</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Twin</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Systems</w:t>
            </w:r>
          </w:p>
        </w:tc>
        <w:tc>
          <w:tcPr>
            <w:tcW w:w="3241" w:type="dxa"/>
            <w:tcBorders>
              <w:top w:val="single" w:sz="4" w:space="0" w:color="000000"/>
            </w:tcBorders>
          </w:tcPr>
          <w:p w14:paraId="4EA6098B" w14:textId="77777777" w:rsidR="00832FF3" w:rsidRPr="00832FF3" w:rsidRDefault="00832FF3" w:rsidP="00AE7FA9">
            <w:pPr>
              <w:widowControl w:val="0"/>
              <w:autoSpaceDE w:val="0"/>
              <w:autoSpaceDN w:val="0"/>
              <w:spacing w:before="44"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10"/>
                <w:kern w:val="0"/>
                <w:sz w:val="22"/>
                <w:szCs w:val="22"/>
                <w14:ligatures w14:val="none"/>
              </w:rPr>
              <w:t>5</w:t>
            </w:r>
          </w:p>
        </w:tc>
        <w:tc>
          <w:tcPr>
            <w:tcW w:w="2234" w:type="dxa"/>
            <w:tcBorders>
              <w:top w:val="single" w:sz="4" w:space="0" w:color="000000"/>
            </w:tcBorders>
          </w:tcPr>
          <w:p w14:paraId="52C8F0C9" w14:textId="77777777" w:rsidR="00832FF3" w:rsidRPr="00832FF3" w:rsidRDefault="00832FF3" w:rsidP="00AE7FA9">
            <w:pPr>
              <w:widowControl w:val="0"/>
              <w:autoSpaceDE w:val="0"/>
              <w:autoSpaceDN w:val="0"/>
              <w:spacing w:before="44" w:after="0" w:line="240" w:lineRule="auto"/>
              <w:ind w:right="1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0.86</w:t>
            </w:r>
          </w:p>
        </w:tc>
      </w:tr>
      <w:tr w:rsidR="00832FF3" w:rsidRPr="00832FF3" w14:paraId="3469F91A" w14:textId="77777777" w:rsidTr="00483C28">
        <w:trPr>
          <w:trHeight w:val="310"/>
        </w:trPr>
        <w:tc>
          <w:tcPr>
            <w:tcW w:w="3923" w:type="dxa"/>
          </w:tcPr>
          <w:p w14:paraId="4712091D"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Operational</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Cost</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Efficiency</w:t>
            </w:r>
          </w:p>
        </w:tc>
        <w:tc>
          <w:tcPr>
            <w:tcW w:w="3241" w:type="dxa"/>
          </w:tcPr>
          <w:p w14:paraId="19F48564" w14:textId="77777777" w:rsidR="00832FF3" w:rsidRPr="00832FF3" w:rsidRDefault="00832FF3" w:rsidP="00AE7FA9">
            <w:pPr>
              <w:widowControl w:val="0"/>
              <w:autoSpaceDE w:val="0"/>
              <w:autoSpaceDN w:val="0"/>
              <w:spacing w:before="26"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10"/>
                <w:kern w:val="0"/>
                <w:sz w:val="22"/>
                <w:szCs w:val="22"/>
                <w14:ligatures w14:val="none"/>
              </w:rPr>
              <w:t>5</w:t>
            </w:r>
          </w:p>
        </w:tc>
        <w:tc>
          <w:tcPr>
            <w:tcW w:w="2234" w:type="dxa"/>
          </w:tcPr>
          <w:p w14:paraId="54AE0E5D" w14:textId="77777777" w:rsidR="00832FF3" w:rsidRPr="00832FF3" w:rsidRDefault="00832FF3" w:rsidP="00AE7FA9">
            <w:pPr>
              <w:widowControl w:val="0"/>
              <w:autoSpaceDE w:val="0"/>
              <w:autoSpaceDN w:val="0"/>
              <w:spacing w:before="26" w:after="0" w:line="240" w:lineRule="auto"/>
              <w:ind w:right="1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0.81</w:t>
            </w:r>
          </w:p>
        </w:tc>
      </w:tr>
      <w:tr w:rsidR="00832FF3" w:rsidRPr="00832FF3" w14:paraId="155B49C9" w14:textId="77777777" w:rsidTr="00483C28">
        <w:trPr>
          <w:trHeight w:val="297"/>
        </w:trPr>
        <w:tc>
          <w:tcPr>
            <w:tcW w:w="3923" w:type="dxa"/>
            <w:tcBorders>
              <w:bottom w:val="single" w:sz="4" w:space="0" w:color="000000"/>
            </w:tcBorders>
          </w:tcPr>
          <w:p w14:paraId="608622D3" w14:textId="77777777" w:rsidR="00832FF3" w:rsidRPr="00832FF3" w:rsidRDefault="00832FF3" w:rsidP="00AE7FA9">
            <w:pPr>
              <w:widowControl w:val="0"/>
              <w:autoSpaceDE w:val="0"/>
              <w:autoSpaceDN w:val="0"/>
              <w:spacing w:before="22"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Product</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Quality</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Performance</w:t>
            </w:r>
          </w:p>
        </w:tc>
        <w:tc>
          <w:tcPr>
            <w:tcW w:w="3241" w:type="dxa"/>
            <w:tcBorders>
              <w:bottom w:val="single" w:sz="4" w:space="0" w:color="000000"/>
            </w:tcBorders>
          </w:tcPr>
          <w:p w14:paraId="14F2E454" w14:textId="77777777" w:rsidR="00832FF3" w:rsidRPr="00832FF3" w:rsidRDefault="00832FF3" w:rsidP="00AE7FA9">
            <w:pPr>
              <w:widowControl w:val="0"/>
              <w:autoSpaceDE w:val="0"/>
              <w:autoSpaceDN w:val="0"/>
              <w:spacing w:before="22"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10"/>
                <w:kern w:val="0"/>
                <w:sz w:val="22"/>
                <w:szCs w:val="22"/>
                <w14:ligatures w14:val="none"/>
              </w:rPr>
              <w:t>5</w:t>
            </w:r>
          </w:p>
        </w:tc>
        <w:tc>
          <w:tcPr>
            <w:tcW w:w="2234" w:type="dxa"/>
            <w:tcBorders>
              <w:bottom w:val="single" w:sz="4" w:space="0" w:color="000000"/>
            </w:tcBorders>
          </w:tcPr>
          <w:p w14:paraId="452E1EAA" w14:textId="77777777" w:rsidR="00832FF3" w:rsidRPr="00832FF3" w:rsidRDefault="00832FF3" w:rsidP="00AE7FA9">
            <w:pPr>
              <w:widowControl w:val="0"/>
              <w:autoSpaceDE w:val="0"/>
              <w:autoSpaceDN w:val="0"/>
              <w:spacing w:before="22" w:after="0" w:line="240" w:lineRule="auto"/>
              <w:ind w:right="1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0.83</w:t>
            </w:r>
          </w:p>
        </w:tc>
      </w:tr>
    </w:tbl>
    <w:p w14:paraId="6A2A5851" w14:textId="77777777" w:rsidR="00832FF3" w:rsidRPr="00832FF3" w:rsidRDefault="00832FF3" w:rsidP="00AE7FA9">
      <w:pPr>
        <w:widowControl w:val="0"/>
        <w:autoSpaceDE w:val="0"/>
        <w:autoSpaceDN w:val="0"/>
        <w:spacing w:before="59" w:after="0" w:line="240" w:lineRule="auto"/>
        <w:rPr>
          <w:rFonts w:ascii="Times New Roman" w:eastAsia="Times New Roman" w:hAnsi="Times New Roman" w:cs="Times New Roman"/>
          <w:kern w:val="0"/>
          <w:sz w:val="22"/>
          <w14:ligatures w14:val="none"/>
        </w:rPr>
      </w:pPr>
    </w:p>
    <w:p w14:paraId="758B1362" w14:textId="77777777" w:rsidR="00832FF3" w:rsidRPr="00832FF3" w:rsidRDefault="00832FF3" w:rsidP="00AE7FA9">
      <w:pPr>
        <w:widowControl w:val="0"/>
        <w:autoSpaceDE w:val="0"/>
        <w:autoSpaceDN w:val="0"/>
        <w:spacing w:after="0" w:line="240" w:lineRule="auto"/>
        <w:ind w:right="992"/>
        <w:jc w:val="both"/>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The reliability results indicate that all constructs exhibit Cronbach alpha coefficients above the recommended threshold of 0.70, demonstrating adequate internal consistency of the measurement items. This implies that the questionnaire items reliably measure the underlying constructs of digital technologies for sustainability and operational performance.</w:t>
      </w:r>
    </w:p>
    <w:p w14:paraId="73738F62" w14:textId="77777777" w:rsidR="00832FF3" w:rsidRPr="00832FF3" w:rsidRDefault="00832FF3" w:rsidP="00AE7FA9">
      <w:pPr>
        <w:widowControl w:val="0"/>
        <w:autoSpaceDE w:val="0"/>
        <w:autoSpaceDN w:val="0"/>
        <w:spacing w:before="5" w:after="0" w:line="240" w:lineRule="auto"/>
        <w:ind w:right="988"/>
        <w:jc w:val="both"/>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The method of data analysis adopted for this study is the Structural Equation Model (SEM). Structural equation modeling is a multivariate statistical technique that allows researchers to examine complex relationships among multiple independent and dependent variables simultaneously. The technique allows researchers to test causal relationships, evaluate model fit, and assess both direct and indirect effects among variables.</w:t>
      </w:r>
    </w:p>
    <w:p w14:paraId="33509B50" w14:textId="77777777" w:rsidR="00832FF3" w:rsidRPr="00832FF3" w:rsidRDefault="00832FF3" w:rsidP="00AE7FA9">
      <w:pPr>
        <w:widowControl w:val="0"/>
        <w:autoSpaceDE w:val="0"/>
        <w:autoSpaceDN w:val="0"/>
        <w:spacing w:before="17" w:after="0" w:line="240" w:lineRule="auto"/>
        <w:rPr>
          <w:rFonts w:ascii="Times New Roman" w:eastAsia="Times New Roman" w:hAnsi="Times New Roman" w:cs="Times New Roman"/>
          <w:kern w:val="0"/>
          <w:sz w:val="22"/>
          <w14:ligatures w14:val="none"/>
        </w:rPr>
      </w:pPr>
    </w:p>
    <w:p w14:paraId="36631784" w14:textId="77777777" w:rsidR="00832FF3" w:rsidRPr="00832FF3" w:rsidRDefault="00832FF3" w:rsidP="00AE7FA9">
      <w:pPr>
        <w:widowControl w:val="0"/>
        <w:numPr>
          <w:ilvl w:val="0"/>
          <w:numId w:val="63"/>
        </w:numPr>
        <w:tabs>
          <w:tab w:val="left" w:pos="900"/>
        </w:tabs>
        <w:autoSpaceDE w:val="0"/>
        <w:autoSpaceDN w:val="0"/>
        <w:spacing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Results</w:t>
      </w:r>
      <w:r w:rsidRPr="00832FF3">
        <w:rPr>
          <w:rFonts w:ascii="Times New Roman" w:eastAsia="Times New Roman" w:hAnsi="Times New Roman" w:cs="Times New Roman"/>
          <w:b/>
          <w:spacing w:val="-6"/>
          <w:kern w:val="0"/>
          <w:sz w:val="22"/>
          <w:szCs w:val="22"/>
          <w14:ligatures w14:val="none"/>
        </w:rPr>
        <w:t xml:space="preserve"> </w:t>
      </w:r>
      <w:r w:rsidRPr="00832FF3">
        <w:rPr>
          <w:rFonts w:ascii="Times New Roman" w:eastAsia="Times New Roman" w:hAnsi="Times New Roman" w:cs="Times New Roman"/>
          <w:b/>
          <w:kern w:val="0"/>
          <w:sz w:val="22"/>
          <w:szCs w:val="22"/>
          <w14:ligatures w14:val="none"/>
        </w:rPr>
        <w:t>and</w:t>
      </w:r>
      <w:r w:rsidRPr="00832FF3">
        <w:rPr>
          <w:rFonts w:ascii="Times New Roman" w:eastAsia="Times New Roman" w:hAnsi="Times New Roman" w:cs="Times New Roman"/>
          <w:b/>
          <w:spacing w:val="-8"/>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Discussion</w:t>
      </w:r>
    </w:p>
    <w:p w14:paraId="1289F96C" w14:textId="77777777" w:rsidR="00832FF3" w:rsidRPr="00832FF3" w:rsidRDefault="00832FF3" w:rsidP="00AE7FA9">
      <w:pPr>
        <w:widowControl w:val="0"/>
        <w:autoSpaceDE w:val="0"/>
        <w:autoSpaceDN w:val="0"/>
        <w:spacing w:before="37" w:after="0" w:line="240" w:lineRule="auto"/>
        <w:rPr>
          <w:rFonts w:ascii="Times New Roman" w:eastAsia="Times New Roman" w:hAnsi="Times New Roman" w:cs="Times New Roman"/>
          <w:b/>
          <w:kern w:val="0"/>
          <w:sz w:val="22"/>
          <w14:ligatures w14:val="none"/>
        </w:rPr>
      </w:pPr>
    </w:p>
    <w:p w14:paraId="52326F3D" w14:textId="77777777" w:rsidR="00832FF3" w:rsidRPr="00832FF3" w:rsidRDefault="00832FF3" w:rsidP="00AE7FA9">
      <w:pPr>
        <w:widowControl w:val="0"/>
        <w:autoSpaceDE w:val="0"/>
        <w:autoSpaceDN w:val="0"/>
        <w:spacing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Response</w:t>
      </w:r>
      <w:r w:rsidRPr="00832FF3">
        <w:rPr>
          <w:rFonts w:ascii="Times New Roman" w:eastAsia="Times New Roman" w:hAnsi="Times New Roman" w:cs="Times New Roman"/>
          <w:b/>
          <w:bCs/>
          <w:spacing w:val="-12"/>
          <w:kern w:val="0"/>
          <w14:ligatures w14:val="none"/>
        </w:rPr>
        <w:t xml:space="preserve"> </w:t>
      </w:r>
      <w:r w:rsidRPr="00832FF3">
        <w:rPr>
          <w:rFonts w:ascii="Times New Roman" w:eastAsia="Times New Roman" w:hAnsi="Times New Roman" w:cs="Times New Roman"/>
          <w:b/>
          <w:bCs/>
          <w:kern w:val="0"/>
          <w14:ligatures w14:val="none"/>
        </w:rPr>
        <w:t>Rate</w:t>
      </w:r>
      <w:r w:rsidRPr="00832FF3">
        <w:rPr>
          <w:rFonts w:ascii="Times New Roman" w:eastAsia="Times New Roman" w:hAnsi="Times New Roman" w:cs="Times New Roman"/>
          <w:b/>
          <w:bCs/>
          <w:spacing w:val="-8"/>
          <w:kern w:val="0"/>
          <w14:ligatures w14:val="none"/>
        </w:rPr>
        <w:t xml:space="preserve"> </w:t>
      </w:r>
      <w:r w:rsidRPr="00832FF3">
        <w:rPr>
          <w:rFonts w:ascii="Times New Roman" w:eastAsia="Times New Roman" w:hAnsi="Times New Roman" w:cs="Times New Roman"/>
          <w:b/>
          <w:bCs/>
          <w:kern w:val="0"/>
          <w14:ligatures w14:val="none"/>
        </w:rPr>
        <w:t>of</w:t>
      </w:r>
      <w:r w:rsidRPr="00832FF3">
        <w:rPr>
          <w:rFonts w:ascii="Times New Roman" w:eastAsia="Times New Roman" w:hAnsi="Times New Roman" w:cs="Times New Roman"/>
          <w:b/>
          <w:bCs/>
          <w:spacing w:val="-5"/>
          <w:kern w:val="0"/>
          <w14:ligatures w14:val="none"/>
        </w:rPr>
        <w:t xml:space="preserve"> </w:t>
      </w:r>
      <w:r w:rsidRPr="00832FF3">
        <w:rPr>
          <w:rFonts w:ascii="Times New Roman" w:eastAsia="Times New Roman" w:hAnsi="Times New Roman" w:cs="Times New Roman"/>
          <w:b/>
          <w:bCs/>
          <w:kern w:val="0"/>
          <w14:ligatures w14:val="none"/>
        </w:rPr>
        <w:t>Questionnaire</w:t>
      </w:r>
      <w:r w:rsidRPr="00832FF3">
        <w:rPr>
          <w:rFonts w:ascii="Times New Roman" w:eastAsia="Times New Roman" w:hAnsi="Times New Roman" w:cs="Times New Roman"/>
          <w:b/>
          <w:bCs/>
          <w:spacing w:val="-17"/>
          <w:kern w:val="0"/>
          <w14:ligatures w14:val="none"/>
        </w:rPr>
        <w:t xml:space="preserve"> </w:t>
      </w:r>
      <w:r w:rsidRPr="00832FF3">
        <w:rPr>
          <w:rFonts w:ascii="Times New Roman" w:eastAsia="Times New Roman" w:hAnsi="Times New Roman" w:cs="Times New Roman"/>
          <w:b/>
          <w:bCs/>
          <w:spacing w:val="-2"/>
          <w:kern w:val="0"/>
          <w14:ligatures w14:val="none"/>
        </w:rPr>
        <w:t>Administered</w:t>
      </w:r>
    </w:p>
    <w:p w14:paraId="73E24A2E" w14:textId="77777777" w:rsidR="00832FF3" w:rsidRPr="00832FF3" w:rsidRDefault="00832FF3" w:rsidP="00AE7FA9">
      <w:pPr>
        <w:widowControl w:val="0"/>
        <w:autoSpaceDE w:val="0"/>
        <w:autoSpaceDN w:val="0"/>
        <w:spacing w:before="1" w:after="0" w:line="240" w:lineRule="auto"/>
        <w:rPr>
          <w:rFonts w:ascii="Times New Roman" w:eastAsia="Times New Roman" w:hAnsi="Times New Roman" w:cs="Times New Roman"/>
          <w:b/>
          <w:kern w:val="0"/>
          <w14:ligatures w14:val="none"/>
        </w:rPr>
      </w:pPr>
    </w:p>
    <w:p w14:paraId="4B44AA71" w14:textId="77777777" w:rsidR="00832FF3" w:rsidRPr="00832FF3" w:rsidRDefault="00832FF3" w:rsidP="00AE7FA9">
      <w:pPr>
        <w:widowControl w:val="0"/>
        <w:autoSpaceDE w:val="0"/>
        <w:autoSpaceDN w:val="0"/>
        <w:spacing w:after="0"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This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section</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presents</w:t>
      </w:r>
      <w:r w:rsidRPr="00832FF3">
        <w:rPr>
          <w:rFonts w:ascii="Times New Roman" w:eastAsia="Times New Roman" w:hAnsi="Times New Roman" w:cs="Times New Roman"/>
          <w:spacing w:val="18"/>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9"/>
          <w:kern w:val="0"/>
          <w14:ligatures w14:val="none"/>
        </w:rPr>
        <w:t xml:space="preserve"> </w:t>
      </w:r>
      <w:r w:rsidRPr="00832FF3">
        <w:rPr>
          <w:rFonts w:ascii="Times New Roman" w:eastAsia="Times New Roman" w:hAnsi="Times New Roman" w:cs="Times New Roman"/>
          <w:kern w:val="0"/>
          <w14:ligatures w14:val="none"/>
        </w:rPr>
        <w:t>response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rate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1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questionnaires</w:t>
      </w:r>
      <w:r w:rsidRPr="00832FF3">
        <w:rPr>
          <w:rFonts w:ascii="Times New Roman" w:eastAsia="Times New Roman" w:hAnsi="Times New Roman" w:cs="Times New Roman"/>
          <w:spacing w:val="18"/>
          <w:kern w:val="0"/>
          <w14:ligatures w14:val="none"/>
        </w:rPr>
        <w:t xml:space="preserve"> </w:t>
      </w:r>
      <w:r w:rsidRPr="00832FF3">
        <w:rPr>
          <w:rFonts w:ascii="Times New Roman" w:eastAsia="Times New Roman" w:hAnsi="Times New Roman" w:cs="Times New Roman"/>
          <w:kern w:val="0"/>
          <w14:ligatures w14:val="none"/>
        </w:rPr>
        <w:t>distributed</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respondents</w:t>
      </w:r>
      <w:r w:rsidRPr="00832FF3">
        <w:rPr>
          <w:rFonts w:ascii="Times New Roman" w:eastAsia="Times New Roman" w:hAnsi="Times New Roman" w:cs="Times New Roman"/>
          <w:spacing w:val="19"/>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18"/>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spacing w:val="-2"/>
          <w:kern w:val="0"/>
          <w14:ligatures w14:val="none"/>
        </w:rPr>
        <w:t>selected</w:t>
      </w:r>
    </w:p>
    <w:p w14:paraId="244B81E7" w14:textId="77777777" w:rsidR="00832FF3" w:rsidRPr="00832FF3" w:rsidRDefault="00832FF3" w:rsidP="00AE7FA9">
      <w:pPr>
        <w:widowControl w:val="0"/>
        <w:autoSpaceDE w:val="0"/>
        <w:autoSpaceDN w:val="0"/>
        <w:spacing w:before="56" w:after="0" w:line="240" w:lineRule="auto"/>
        <w:rPr>
          <w:rFonts w:ascii="Times New Roman" w:eastAsia="Times New Roman" w:hAnsi="Times New Roman" w:cs="Times New Roman"/>
          <w:kern w:val="0"/>
          <w:sz w:val="20"/>
          <w14:ligatures w14:val="none"/>
        </w:rPr>
      </w:pPr>
    </w:p>
    <w:tbl>
      <w:tblPr>
        <w:tblW w:w="0" w:type="auto"/>
        <w:tblInd w:w="180" w:type="dxa"/>
        <w:tblLayout w:type="fixed"/>
        <w:tblCellMar>
          <w:left w:w="0" w:type="dxa"/>
          <w:right w:w="0" w:type="dxa"/>
        </w:tblCellMar>
        <w:tblLook w:val="01E0" w:firstRow="1" w:lastRow="1" w:firstColumn="1" w:lastColumn="1" w:noHBand="0" w:noVBand="0"/>
      </w:tblPr>
      <w:tblGrid>
        <w:gridCol w:w="5476"/>
        <w:gridCol w:w="1788"/>
        <w:gridCol w:w="2380"/>
      </w:tblGrid>
      <w:tr w:rsidR="00832FF3" w:rsidRPr="00832FF3" w14:paraId="2E4F79CC" w14:textId="77777777" w:rsidTr="00483C28">
        <w:trPr>
          <w:trHeight w:val="404"/>
        </w:trPr>
        <w:tc>
          <w:tcPr>
            <w:tcW w:w="5476" w:type="dxa"/>
          </w:tcPr>
          <w:p w14:paraId="7FC32E04"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manufacturing</w:t>
            </w:r>
            <w:r w:rsidRPr="00832FF3">
              <w:rPr>
                <w:rFonts w:ascii="Times New Roman" w:eastAsia="Times New Roman" w:hAnsi="Times New Roman" w:cs="Times New Roman"/>
                <w:spacing w:val="-8"/>
                <w:kern w:val="0"/>
                <w:szCs w:val="22"/>
                <w14:ligatures w14:val="none"/>
              </w:rPr>
              <w:t xml:space="preserve"> </w:t>
            </w:r>
            <w:r w:rsidRPr="00832FF3">
              <w:rPr>
                <w:rFonts w:ascii="Times New Roman" w:eastAsia="Times New Roman" w:hAnsi="Times New Roman" w:cs="Times New Roman"/>
                <w:kern w:val="0"/>
                <w:szCs w:val="22"/>
                <w14:ligatures w14:val="none"/>
              </w:rPr>
              <w:t>firms</w:t>
            </w:r>
            <w:r w:rsidRPr="00832FF3">
              <w:rPr>
                <w:rFonts w:ascii="Times New Roman" w:eastAsia="Times New Roman" w:hAnsi="Times New Roman" w:cs="Times New Roman"/>
                <w:spacing w:val="-2"/>
                <w:kern w:val="0"/>
                <w:szCs w:val="22"/>
                <w14:ligatures w14:val="none"/>
              </w:rPr>
              <w:t xml:space="preserve"> </w:t>
            </w:r>
            <w:r w:rsidRPr="00832FF3">
              <w:rPr>
                <w:rFonts w:ascii="Times New Roman" w:eastAsia="Times New Roman" w:hAnsi="Times New Roman" w:cs="Times New Roman"/>
                <w:kern w:val="0"/>
                <w:szCs w:val="22"/>
                <w14:ligatures w14:val="none"/>
              </w:rPr>
              <w:t>(Saunders</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kern w:val="0"/>
                <w:szCs w:val="22"/>
                <w14:ligatures w14:val="none"/>
              </w:rPr>
              <w:t>et</w:t>
            </w:r>
            <w:r w:rsidRPr="00832FF3">
              <w:rPr>
                <w:rFonts w:ascii="Times New Roman" w:eastAsia="Times New Roman" w:hAnsi="Times New Roman" w:cs="Times New Roman"/>
                <w:spacing w:val="-2"/>
                <w:kern w:val="0"/>
                <w:szCs w:val="22"/>
                <w14:ligatures w14:val="none"/>
              </w:rPr>
              <w:t xml:space="preserve"> </w:t>
            </w:r>
            <w:r w:rsidRPr="00832FF3">
              <w:rPr>
                <w:rFonts w:ascii="Times New Roman" w:eastAsia="Times New Roman" w:hAnsi="Times New Roman" w:cs="Times New Roman"/>
                <w:kern w:val="0"/>
                <w:szCs w:val="22"/>
                <w14:ligatures w14:val="none"/>
              </w:rPr>
              <w:t>al.,</w:t>
            </w:r>
            <w:r w:rsidRPr="00832FF3">
              <w:rPr>
                <w:rFonts w:ascii="Times New Roman" w:eastAsia="Times New Roman" w:hAnsi="Times New Roman" w:cs="Times New Roman"/>
                <w:spacing w:val="-2"/>
                <w:kern w:val="0"/>
                <w:szCs w:val="22"/>
                <w14:ligatures w14:val="none"/>
              </w:rPr>
              <w:t xml:space="preserve"> 2019).</w:t>
            </w:r>
          </w:p>
        </w:tc>
        <w:tc>
          <w:tcPr>
            <w:tcW w:w="4168" w:type="dxa"/>
            <w:gridSpan w:val="2"/>
            <w:vMerge w:val="restart"/>
            <w:tcBorders>
              <w:bottom w:val="single" w:sz="4" w:space="0" w:color="000000"/>
            </w:tcBorders>
          </w:tcPr>
          <w:p w14:paraId="7DC94B02"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30598012" w14:textId="77777777" w:rsidTr="00483C28">
        <w:trPr>
          <w:trHeight w:val="433"/>
        </w:trPr>
        <w:tc>
          <w:tcPr>
            <w:tcW w:w="5476" w:type="dxa"/>
            <w:tcBorders>
              <w:bottom w:val="single" w:sz="4" w:space="0" w:color="000000"/>
            </w:tcBorders>
          </w:tcPr>
          <w:p w14:paraId="3A005A81" w14:textId="77777777" w:rsidR="00832FF3" w:rsidRPr="00832FF3" w:rsidRDefault="00832FF3" w:rsidP="00AE7FA9">
            <w:pPr>
              <w:widowControl w:val="0"/>
              <w:autoSpaceDE w:val="0"/>
              <w:autoSpaceDN w:val="0"/>
              <w:spacing w:before="129"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Table</w:t>
            </w:r>
            <w:r w:rsidRPr="00832FF3">
              <w:rPr>
                <w:rFonts w:ascii="Times New Roman" w:eastAsia="Times New Roman" w:hAnsi="Times New Roman" w:cs="Times New Roman"/>
                <w:b/>
                <w:spacing w:val="-8"/>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1: Response Rate</w:t>
            </w:r>
            <w:r w:rsidRPr="00832FF3">
              <w:rPr>
                <w:rFonts w:ascii="Times New Roman" w:eastAsia="Times New Roman" w:hAnsi="Times New Roman" w:cs="Times New Roman"/>
                <w:b/>
                <w:spacing w:val="-1"/>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of</w:t>
            </w:r>
            <w:r w:rsidRPr="00832FF3">
              <w:rPr>
                <w:rFonts w:ascii="Times New Roman" w:eastAsia="Times New Roman" w:hAnsi="Times New Roman" w:cs="Times New Roman"/>
                <w:b/>
                <w:spacing w:val="-4"/>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Questionnaire</w:t>
            </w:r>
            <w:r w:rsidRPr="00832FF3">
              <w:rPr>
                <w:rFonts w:ascii="Times New Roman" w:eastAsia="Times New Roman" w:hAnsi="Times New Roman" w:cs="Times New Roman"/>
                <w:b/>
                <w:spacing w:val="-4"/>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Administered</w:t>
            </w:r>
          </w:p>
        </w:tc>
        <w:tc>
          <w:tcPr>
            <w:tcW w:w="4168" w:type="dxa"/>
            <w:gridSpan w:val="2"/>
            <w:vMerge/>
            <w:tcBorders>
              <w:top w:val="nil"/>
              <w:bottom w:val="single" w:sz="4" w:space="0" w:color="000000"/>
            </w:tcBorders>
          </w:tcPr>
          <w:p w14:paraId="3A9CE712"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
                <w:szCs w:val="2"/>
                <w14:ligatures w14:val="none"/>
              </w:rPr>
            </w:pPr>
          </w:p>
        </w:tc>
      </w:tr>
      <w:tr w:rsidR="00832FF3" w:rsidRPr="00832FF3" w14:paraId="4DEB4290" w14:textId="77777777" w:rsidTr="00483C28">
        <w:trPr>
          <w:trHeight w:val="280"/>
        </w:trPr>
        <w:tc>
          <w:tcPr>
            <w:tcW w:w="5476" w:type="dxa"/>
            <w:tcBorders>
              <w:top w:val="single" w:sz="4" w:space="0" w:color="000000"/>
              <w:bottom w:val="single" w:sz="4" w:space="0" w:color="000000"/>
            </w:tcBorders>
          </w:tcPr>
          <w:p w14:paraId="749306E8" w14:textId="77777777" w:rsidR="00832FF3" w:rsidRPr="00832FF3" w:rsidRDefault="00832FF3" w:rsidP="00AE7FA9">
            <w:pPr>
              <w:widowControl w:val="0"/>
              <w:autoSpaceDE w:val="0"/>
              <w:autoSpaceDN w:val="0"/>
              <w:spacing w:before="5"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Questionnaire</w:t>
            </w:r>
          </w:p>
        </w:tc>
        <w:tc>
          <w:tcPr>
            <w:tcW w:w="1788" w:type="dxa"/>
            <w:tcBorders>
              <w:top w:val="single" w:sz="4" w:space="0" w:color="000000"/>
              <w:bottom w:val="single" w:sz="4" w:space="0" w:color="000000"/>
            </w:tcBorders>
          </w:tcPr>
          <w:p w14:paraId="477CE05A" w14:textId="77777777" w:rsidR="00832FF3" w:rsidRPr="00832FF3" w:rsidRDefault="00832FF3" w:rsidP="00AE7FA9">
            <w:pPr>
              <w:widowControl w:val="0"/>
              <w:autoSpaceDE w:val="0"/>
              <w:autoSpaceDN w:val="0"/>
              <w:spacing w:before="5" w:after="0" w:line="240" w:lineRule="auto"/>
              <w:ind w:right="54"/>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Frequency</w:t>
            </w:r>
          </w:p>
        </w:tc>
        <w:tc>
          <w:tcPr>
            <w:tcW w:w="2380" w:type="dxa"/>
            <w:tcBorders>
              <w:top w:val="single" w:sz="4" w:space="0" w:color="000000"/>
              <w:bottom w:val="single" w:sz="4" w:space="0" w:color="000000"/>
            </w:tcBorders>
          </w:tcPr>
          <w:p w14:paraId="1CB7B018" w14:textId="77777777" w:rsidR="00832FF3" w:rsidRPr="00832FF3" w:rsidRDefault="00832FF3" w:rsidP="00AE7FA9">
            <w:pPr>
              <w:widowControl w:val="0"/>
              <w:autoSpaceDE w:val="0"/>
              <w:autoSpaceDN w:val="0"/>
              <w:spacing w:before="5" w:after="0" w:line="240" w:lineRule="auto"/>
              <w:ind w:right="86"/>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Percentage</w:t>
            </w:r>
            <w:r w:rsidRPr="00832FF3">
              <w:rPr>
                <w:rFonts w:ascii="Times New Roman" w:eastAsia="Times New Roman" w:hAnsi="Times New Roman" w:cs="Times New Roman"/>
                <w:b/>
                <w:spacing w:val="6"/>
                <w:kern w:val="0"/>
                <w:sz w:val="22"/>
                <w:szCs w:val="22"/>
                <w14:ligatures w14:val="none"/>
              </w:rPr>
              <w:t xml:space="preserve"> </w:t>
            </w:r>
            <w:r w:rsidRPr="00832FF3">
              <w:rPr>
                <w:rFonts w:ascii="Times New Roman" w:eastAsia="Times New Roman" w:hAnsi="Times New Roman" w:cs="Times New Roman"/>
                <w:b/>
                <w:spacing w:val="-5"/>
                <w:kern w:val="0"/>
                <w:sz w:val="22"/>
                <w:szCs w:val="22"/>
                <w14:ligatures w14:val="none"/>
              </w:rPr>
              <w:t>(%)</w:t>
            </w:r>
          </w:p>
        </w:tc>
      </w:tr>
      <w:tr w:rsidR="00832FF3" w:rsidRPr="00832FF3" w14:paraId="654013E1" w14:textId="77777777" w:rsidTr="00483C28">
        <w:trPr>
          <w:trHeight w:val="344"/>
        </w:trPr>
        <w:tc>
          <w:tcPr>
            <w:tcW w:w="5476" w:type="dxa"/>
            <w:tcBorders>
              <w:top w:val="single" w:sz="4" w:space="0" w:color="000000"/>
            </w:tcBorders>
          </w:tcPr>
          <w:p w14:paraId="556570D8" w14:textId="77777777" w:rsidR="00832FF3" w:rsidRPr="00832FF3" w:rsidRDefault="00832FF3" w:rsidP="00AE7FA9">
            <w:pPr>
              <w:widowControl w:val="0"/>
              <w:autoSpaceDE w:val="0"/>
              <w:autoSpaceDN w:val="0"/>
              <w:spacing w:before="51"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Number</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administered</w:t>
            </w:r>
          </w:p>
        </w:tc>
        <w:tc>
          <w:tcPr>
            <w:tcW w:w="1788" w:type="dxa"/>
            <w:tcBorders>
              <w:top w:val="single" w:sz="4" w:space="0" w:color="000000"/>
            </w:tcBorders>
          </w:tcPr>
          <w:p w14:paraId="2FA6E2D7" w14:textId="77777777" w:rsidR="00832FF3" w:rsidRPr="00832FF3" w:rsidRDefault="00832FF3" w:rsidP="00AE7FA9">
            <w:pPr>
              <w:widowControl w:val="0"/>
              <w:autoSpaceDE w:val="0"/>
              <w:autoSpaceDN w:val="0"/>
              <w:spacing w:before="51" w:after="0" w:line="240" w:lineRule="auto"/>
              <w:ind w:right="5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390</w:t>
            </w:r>
          </w:p>
        </w:tc>
        <w:tc>
          <w:tcPr>
            <w:tcW w:w="2380" w:type="dxa"/>
            <w:tcBorders>
              <w:top w:val="single" w:sz="4" w:space="0" w:color="000000"/>
            </w:tcBorders>
          </w:tcPr>
          <w:p w14:paraId="305919D0" w14:textId="77777777" w:rsidR="00832FF3" w:rsidRPr="00832FF3" w:rsidRDefault="00832FF3" w:rsidP="00AE7FA9">
            <w:pPr>
              <w:widowControl w:val="0"/>
              <w:autoSpaceDE w:val="0"/>
              <w:autoSpaceDN w:val="0"/>
              <w:spacing w:before="51" w:after="0" w:line="240" w:lineRule="auto"/>
              <w:ind w:right="86"/>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100</w:t>
            </w:r>
          </w:p>
        </w:tc>
      </w:tr>
      <w:tr w:rsidR="00832FF3" w:rsidRPr="00832FF3" w14:paraId="7C001CAF" w14:textId="77777777" w:rsidTr="00483C28">
        <w:trPr>
          <w:trHeight w:val="322"/>
        </w:trPr>
        <w:tc>
          <w:tcPr>
            <w:tcW w:w="5476" w:type="dxa"/>
          </w:tcPr>
          <w:p w14:paraId="66479E57" w14:textId="77777777" w:rsidR="00832FF3" w:rsidRPr="00832FF3" w:rsidRDefault="00832FF3" w:rsidP="00AE7FA9">
            <w:pPr>
              <w:widowControl w:val="0"/>
              <w:autoSpaceDE w:val="0"/>
              <w:autoSpaceDN w:val="0"/>
              <w:spacing w:before="31"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Number</w:t>
            </w:r>
            <w:r w:rsidRPr="00832FF3">
              <w:rPr>
                <w:rFonts w:ascii="Times New Roman" w:eastAsia="Times New Roman" w:hAnsi="Times New Roman" w:cs="Times New Roman"/>
                <w:spacing w:val="-1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12"/>
                <w:kern w:val="0"/>
                <w:sz w:val="22"/>
                <w:szCs w:val="22"/>
                <w14:ligatures w14:val="none"/>
              </w:rPr>
              <w:t xml:space="preserve"> </w:t>
            </w:r>
            <w:proofErr w:type="gramStart"/>
            <w:r w:rsidRPr="00832FF3">
              <w:rPr>
                <w:rFonts w:ascii="Times New Roman" w:eastAsia="Times New Roman" w:hAnsi="Times New Roman" w:cs="Times New Roman"/>
                <w:kern w:val="0"/>
                <w:sz w:val="22"/>
                <w:szCs w:val="22"/>
                <w14:ligatures w14:val="none"/>
              </w:rPr>
              <w:t>questionnaire</w:t>
            </w:r>
            <w:proofErr w:type="gramEnd"/>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returned</w:t>
            </w:r>
          </w:p>
        </w:tc>
        <w:tc>
          <w:tcPr>
            <w:tcW w:w="1788" w:type="dxa"/>
          </w:tcPr>
          <w:p w14:paraId="64925641" w14:textId="77777777" w:rsidR="00832FF3" w:rsidRPr="00832FF3" w:rsidRDefault="00832FF3" w:rsidP="00AE7FA9">
            <w:pPr>
              <w:widowControl w:val="0"/>
              <w:autoSpaceDE w:val="0"/>
              <w:autoSpaceDN w:val="0"/>
              <w:spacing w:before="31" w:after="0" w:line="240" w:lineRule="auto"/>
              <w:ind w:right="5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384</w:t>
            </w:r>
          </w:p>
        </w:tc>
        <w:tc>
          <w:tcPr>
            <w:tcW w:w="2380" w:type="dxa"/>
          </w:tcPr>
          <w:p w14:paraId="5D03F5F8" w14:textId="77777777" w:rsidR="00832FF3" w:rsidRPr="00832FF3" w:rsidRDefault="00832FF3" w:rsidP="00AE7FA9">
            <w:pPr>
              <w:widowControl w:val="0"/>
              <w:autoSpaceDE w:val="0"/>
              <w:autoSpaceDN w:val="0"/>
              <w:spacing w:before="31" w:after="0" w:line="240" w:lineRule="auto"/>
              <w:ind w:right="86"/>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98.46</w:t>
            </w:r>
          </w:p>
        </w:tc>
      </w:tr>
      <w:tr w:rsidR="00832FF3" w:rsidRPr="00832FF3" w14:paraId="7F2598AD" w14:textId="77777777" w:rsidTr="00483C28">
        <w:trPr>
          <w:trHeight w:val="321"/>
        </w:trPr>
        <w:tc>
          <w:tcPr>
            <w:tcW w:w="5476" w:type="dxa"/>
          </w:tcPr>
          <w:p w14:paraId="2B594D80" w14:textId="77777777" w:rsidR="00832FF3" w:rsidRPr="00832FF3" w:rsidRDefault="00832FF3" w:rsidP="00AE7FA9">
            <w:pPr>
              <w:widowControl w:val="0"/>
              <w:autoSpaceDE w:val="0"/>
              <w:autoSpaceDN w:val="0"/>
              <w:spacing w:before="30"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Number</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11"/>
                <w:kern w:val="0"/>
                <w:sz w:val="22"/>
                <w:szCs w:val="22"/>
                <w14:ligatures w14:val="none"/>
              </w:rPr>
              <w:t xml:space="preserve"> </w:t>
            </w:r>
            <w:proofErr w:type="gramStart"/>
            <w:r w:rsidRPr="00832FF3">
              <w:rPr>
                <w:rFonts w:ascii="Times New Roman" w:eastAsia="Times New Roman" w:hAnsi="Times New Roman" w:cs="Times New Roman"/>
                <w:kern w:val="0"/>
                <w:sz w:val="22"/>
                <w:szCs w:val="22"/>
                <w14:ligatures w14:val="none"/>
              </w:rPr>
              <w:t>questionnaire</w:t>
            </w:r>
            <w:proofErr w:type="gramEnd"/>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not</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returned</w:t>
            </w:r>
          </w:p>
        </w:tc>
        <w:tc>
          <w:tcPr>
            <w:tcW w:w="1788" w:type="dxa"/>
          </w:tcPr>
          <w:p w14:paraId="1BFEFEF2" w14:textId="77777777" w:rsidR="00832FF3" w:rsidRPr="00832FF3" w:rsidRDefault="00832FF3" w:rsidP="00AE7FA9">
            <w:pPr>
              <w:widowControl w:val="0"/>
              <w:autoSpaceDE w:val="0"/>
              <w:autoSpaceDN w:val="0"/>
              <w:spacing w:before="30" w:after="0" w:line="240" w:lineRule="auto"/>
              <w:ind w:right="5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10"/>
                <w:kern w:val="0"/>
                <w:sz w:val="22"/>
                <w:szCs w:val="22"/>
                <w14:ligatures w14:val="none"/>
              </w:rPr>
              <w:t>6</w:t>
            </w:r>
          </w:p>
        </w:tc>
        <w:tc>
          <w:tcPr>
            <w:tcW w:w="2380" w:type="dxa"/>
          </w:tcPr>
          <w:p w14:paraId="20873C6B" w14:textId="77777777" w:rsidR="00832FF3" w:rsidRPr="00832FF3" w:rsidRDefault="00832FF3" w:rsidP="00AE7FA9">
            <w:pPr>
              <w:widowControl w:val="0"/>
              <w:autoSpaceDE w:val="0"/>
              <w:autoSpaceDN w:val="0"/>
              <w:spacing w:before="30" w:after="0" w:line="240" w:lineRule="auto"/>
              <w:ind w:right="86"/>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1.54</w:t>
            </w:r>
          </w:p>
        </w:tc>
      </w:tr>
      <w:tr w:rsidR="00832FF3" w:rsidRPr="00832FF3" w14:paraId="3C6BD4CD" w14:textId="77777777" w:rsidTr="00483C28">
        <w:trPr>
          <w:trHeight w:val="314"/>
        </w:trPr>
        <w:tc>
          <w:tcPr>
            <w:tcW w:w="5476" w:type="dxa"/>
          </w:tcPr>
          <w:p w14:paraId="605F33CF" w14:textId="77777777" w:rsidR="00832FF3" w:rsidRPr="00832FF3" w:rsidRDefault="00832FF3" w:rsidP="00AE7FA9">
            <w:pPr>
              <w:widowControl w:val="0"/>
              <w:autoSpaceDE w:val="0"/>
              <w:autoSpaceDN w:val="0"/>
              <w:spacing w:before="30"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Number</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invalid</w:t>
            </w:r>
            <w:r w:rsidRPr="00832FF3">
              <w:rPr>
                <w:rFonts w:ascii="Times New Roman" w:eastAsia="Times New Roman" w:hAnsi="Times New Roman" w:cs="Times New Roman"/>
                <w:spacing w:val="-5"/>
                <w:kern w:val="0"/>
                <w:sz w:val="22"/>
                <w:szCs w:val="22"/>
                <w14:ligatures w14:val="none"/>
              </w:rPr>
              <w:t xml:space="preserve"> </w:t>
            </w:r>
            <w:proofErr w:type="gramStart"/>
            <w:r w:rsidRPr="00832FF3">
              <w:rPr>
                <w:rFonts w:ascii="Times New Roman" w:eastAsia="Times New Roman" w:hAnsi="Times New Roman" w:cs="Times New Roman"/>
                <w:spacing w:val="-2"/>
                <w:kern w:val="0"/>
                <w:sz w:val="22"/>
                <w:szCs w:val="22"/>
                <w14:ligatures w14:val="none"/>
              </w:rPr>
              <w:t>questionnaire</w:t>
            </w:r>
            <w:proofErr w:type="gramEnd"/>
          </w:p>
        </w:tc>
        <w:tc>
          <w:tcPr>
            <w:tcW w:w="1788" w:type="dxa"/>
          </w:tcPr>
          <w:p w14:paraId="3F537BEB" w14:textId="77777777" w:rsidR="00832FF3" w:rsidRPr="00832FF3" w:rsidRDefault="00832FF3" w:rsidP="00AE7FA9">
            <w:pPr>
              <w:widowControl w:val="0"/>
              <w:autoSpaceDE w:val="0"/>
              <w:autoSpaceDN w:val="0"/>
              <w:spacing w:before="30" w:after="0" w:line="240" w:lineRule="auto"/>
              <w:ind w:right="5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11</w:t>
            </w:r>
          </w:p>
        </w:tc>
        <w:tc>
          <w:tcPr>
            <w:tcW w:w="2380" w:type="dxa"/>
          </w:tcPr>
          <w:p w14:paraId="00C5B98C" w14:textId="77777777" w:rsidR="00832FF3" w:rsidRPr="00832FF3" w:rsidRDefault="00832FF3" w:rsidP="00AE7FA9">
            <w:pPr>
              <w:widowControl w:val="0"/>
              <w:autoSpaceDE w:val="0"/>
              <w:autoSpaceDN w:val="0"/>
              <w:spacing w:before="30" w:after="0" w:line="240" w:lineRule="auto"/>
              <w:ind w:right="86"/>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2.82</w:t>
            </w:r>
          </w:p>
        </w:tc>
      </w:tr>
      <w:tr w:rsidR="00832FF3" w:rsidRPr="00832FF3" w14:paraId="64D29598" w14:textId="77777777" w:rsidTr="00483C28">
        <w:trPr>
          <w:trHeight w:val="297"/>
        </w:trPr>
        <w:tc>
          <w:tcPr>
            <w:tcW w:w="5476" w:type="dxa"/>
            <w:tcBorders>
              <w:bottom w:val="single" w:sz="4" w:space="0" w:color="000000"/>
            </w:tcBorders>
          </w:tcPr>
          <w:p w14:paraId="0FCF8502" w14:textId="77777777" w:rsidR="00832FF3" w:rsidRPr="00832FF3" w:rsidRDefault="00832FF3" w:rsidP="00AE7FA9">
            <w:pPr>
              <w:widowControl w:val="0"/>
              <w:autoSpaceDE w:val="0"/>
              <w:autoSpaceDN w:val="0"/>
              <w:spacing w:before="23"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Number</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valid</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questionnaires</w:t>
            </w:r>
          </w:p>
        </w:tc>
        <w:tc>
          <w:tcPr>
            <w:tcW w:w="1788" w:type="dxa"/>
            <w:tcBorders>
              <w:bottom w:val="single" w:sz="4" w:space="0" w:color="000000"/>
            </w:tcBorders>
          </w:tcPr>
          <w:p w14:paraId="272E5613" w14:textId="77777777" w:rsidR="00832FF3" w:rsidRPr="00832FF3" w:rsidRDefault="00832FF3" w:rsidP="00AE7FA9">
            <w:pPr>
              <w:widowControl w:val="0"/>
              <w:autoSpaceDE w:val="0"/>
              <w:autoSpaceDN w:val="0"/>
              <w:spacing w:before="23" w:after="0" w:line="240" w:lineRule="auto"/>
              <w:ind w:right="54"/>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373</w:t>
            </w:r>
          </w:p>
        </w:tc>
        <w:tc>
          <w:tcPr>
            <w:tcW w:w="2380" w:type="dxa"/>
            <w:tcBorders>
              <w:bottom w:val="single" w:sz="4" w:space="0" w:color="000000"/>
            </w:tcBorders>
          </w:tcPr>
          <w:p w14:paraId="37A8E128" w14:textId="77777777" w:rsidR="00832FF3" w:rsidRPr="00832FF3" w:rsidRDefault="00832FF3" w:rsidP="00AE7FA9">
            <w:pPr>
              <w:widowControl w:val="0"/>
              <w:autoSpaceDE w:val="0"/>
              <w:autoSpaceDN w:val="0"/>
              <w:spacing w:before="23" w:after="0" w:line="240" w:lineRule="auto"/>
              <w:ind w:right="86"/>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95.64</w:t>
            </w:r>
          </w:p>
        </w:tc>
      </w:tr>
    </w:tbl>
    <w:p w14:paraId="7DC1CECB" w14:textId="77777777" w:rsidR="00832FF3" w:rsidRPr="00832FF3" w:rsidRDefault="00832FF3" w:rsidP="00AE7FA9">
      <w:pPr>
        <w:widowControl w:val="0"/>
        <w:autoSpaceDE w:val="0"/>
        <w:autoSpaceDN w:val="0"/>
        <w:spacing w:before="33" w:after="0" w:line="240" w:lineRule="auto"/>
        <w:rPr>
          <w:rFonts w:ascii="Times New Roman" w:eastAsia="Times New Roman" w:hAnsi="Times New Roman" w:cs="Times New Roman"/>
          <w:kern w:val="0"/>
          <w14:ligatures w14:val="none"/>
        </w:rPr>
      </w:pPr>
    </w:p>
    <w:p w14:paraId="0F273524" w14:textId="77777777" w:rsidR="00832FF3" w:rsidRPr="00832FF3" w:rsidRDefault="00832FF3" w:rsidP="00AE7FA9">
      <w:pPr>
        <w:widowControl w:val="0"/>
        <w:autoSpaceDE w:val="0"/>
        <w:autoSpaceDN w:val="0"/>
        <w:spacing w:before="1" w:after="0" w:line="240" w:lineRule="auto"/>
        <w:ind w:right="981"/>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table shows that a total of 390 questionnaires were administered to respondents across the selected manufacturing</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Out</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this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number,</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384</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questionnaires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were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returned,</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representing</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response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rate of</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98.46</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percent,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while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6</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questionnaires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were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not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returned,</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accounting</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for</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1.54</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percent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distributed questionnaires.</w:t>
      </w:r>
      <w:r w:rsidRPr="00832FF3">
        <w:rPr>
          <w:rFonts w:ascii="Times New Roman" w:eastAsia="Times New Roman" w:hAnsi="Times New Roman" w:cs="Times New Roman"/>
          <w:spacing w:val="67"/>
          <w:kern w:val="0"/>
          <w14:ligatures w14:val="none"/>
        </w:rPr>
        <w:t xml:space="preserve"> </w:t>
      </w:r>
      <w:r w:rsidRPr="00832FF3">
        <w:rPr>
          <w:rFonts w:ascii="Times New Roman" w:eastAsia="Times New Roman" w:hAnsi="Times New Roman" w:cs="Times New Roman"/>
          <w:kern w:val="0"/>
          <w14:ligatures w14:val="none"/>
        </w:rPr>
        <w:t>However,</w:t>
      </w:r>
      <w:r w:rsidRPr="00832FF3">
        <w:rPr>
          <w:rFonts w:ascii="Times New Roman" w:eastAsia="Times New Roman" w:hAnsi="Times New Roman" w:cs="Times New Roman"/>
          <w:spacing w:val="71"/>
          <w:kern w:val="0"/>
          <w14:ligatures w14:val="none"/>
        </w:rPr>
        <w:t xml:space="preserve"> </w:t>
      </w:r>
      <w:r w:rsidRPr="00832FF3">
        <w:rPr>
          <w:rFonts w:ascii="Times New Roman" w:eastAsia="Times New Roman" w:hAnsi="Times New Roman" w:cs="Times New Roman"/>
          <w:kern w:val="0"/>
          <w14:ligatures w14:val="none"/>
        </w:rPr>
        <w:t>among</w:t>
      </w:r>
      <w:r w:rsidRPr="00832FF3">
        <w:rPr>
          <w:rFonts w:ascii="Times New Roman" w:eastAsia="Times New Roman" w:hAnsi="Times New Roman" w:cs="Times New Roman"/>
          <w:spacing w:val="70"/>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67"/>
          <w:kern w:val="0"/>
          <w14:ligatures w14:val="none"/>
        </w:rPr>
        <w:t xml:space="preserve"> </w:t>
      </w:r>
      <w:r w:rsidRPr="00832FF3">
        <w:rPr>
          <w:rFonts w:ascii="Times New Roman" w:eastAsia="Times New Roman" w:hAnsi="Times New Roman" w:cs="Times New Roman"/>
          <w:kern w:val="0"/>
          <w14:ligatures w14:val="none"/>
        </w:rPr>
        <w:t>returned</w:t>
      </w:r>
      <w:r w:rsidRPr="00832FF3">
        <w:rPr>
          <w:rFonts w:ascii="Times New Roman" w:eastAsia="Times New Roman" w:hAnsi="Times New Roman" w:cs="Times New Roman"/>
          <w:spacing w:val="72"/>
          <w:kern w:val="0"/>
          <w14:ligatures w14:val="none"/>
        </w:rPr>
        <w:t xml:space="preserve"> </w:t>
      </w:r>
      <w:r w:rsidRPr="00832FF3">
        <w:rPr>
          <w:rFonts w:ascii="Times New Roman" w:eastAsia="Times New Roman" w:hAnsi="Times New Roman" w:cs="Times New Roman"/>
          <w:kern w:val="0"/>
          <w14:ligatures w14:val="none"/>
        </w:rPr>
        <w:t>questionnaires,</w:t>
      </w:r>
      <w:r w:rsidRPr="00832FF3">
        <w:rPr>
          <w:rFonts w:ascii="Times New Roman" w:eastAsia="Times New Roman" w:hAnsi="Times New Roman" w:cs="Times New Roman"/>
          <w:spacing w:val="70"/>
          <w:kern w:val="0"/>
          <w14:ligatures w14:val="none"/>
        </w:rPr>
        <w:t xml:space="preserve"> </w:t>
      </w:r>
      <w:r w:rsidRPr="00832FF3">
        <w:rPr>
          <w:rFonts w:ascii="Times New Roman" w:eastAsia="Times New Roman" w:hAnsi="Times New Roman" w:cs="Times New Roman"/>
          <w:kern w:val="0"/>
          <w14:ligatures w14:val="none"/>
        </w:rPr>
        <w:t>11</w:t>
      </w:r>
      <w:r w:rsidRPr="00832FF3">
        <w:rPr>
          <w:rFonts w:ascii="Times New Roman" w:eastAsia="Times New Roman" w:hAnsi="Times New Roman" w:cs="Times New Roman"/>
          <w:spacing w:val="70"/>
          <w:kern w:val="0"/>
          <w14:ligatures w14:val="none"/>
        </w:rPr>
        <w:t xml:space="preserve"> </w:t>
      </w:r>
      <w:r w:rsidRPr="00832FF3">
        <w:rPr>
          <w:rFonts w:ascii="Times New Roman" w:eastAsia="Times New Roman" w:hAnsi="Times New Roman" w:cs="Times New Roman"/>
          <w:kern w:val="0"/>
          <w14:ligatures w14:val="none"/>
        </w:rPr>
        <w:t>were</w:t>
      </w:r>
      <w:r w:rsidRPr="00832FF3">
        <w:rPr>
          <w:rFonts w:ascii="Times New Roman" w:eastAsia="Times New Roman" w:hAnsi="Times New Roman" w:cs="Times New Roman"/>
          <w:spacing w:val="71"/>
          <w:kern w:val="0"/>
          <w14:ligatures w14:val="none"/>
        </w:rPr>
        <w:t xml:space="preserve"> </w:t>
      </w:r>
      <w:r w:rsidRPr="00832FF3">
        <w:rPr>
          <w:rFonts w:ascii="Times New Roman" w:eastAsia="Times New Roman" w:hAnsi="Times New Roman" w:cs="Times New Roman"/>
          <w:kern w:val="0"/>
          <w14:ligatures w14:val="none"/>
        </w:rPr>
        <w:t>considered</w:t>
      </w:r>
      <w:r w:rsidRPr="00832FF3">
        <w:rPr>
          <w:rFonts w:ascii="Times New Roman" w:eastAsia="Times New Roman" w:hAnsi="Times New Roman" w:cs="Times New Roman"/>
          <w:spacing w:val="73"/>
          <w:kern w:val="0"/>
          <w14:ligatures w14:val="none"/>
        </w:rPr>
        <w:t xml:space="preserve"> </w:t>
      </w:r>
      <w:r w:rsidRPr="00832FF3">
        <w:rPr>
          <w:rFonts w:ascii="Times New Roman" w:eastAsia="Times New Roman" w:hAnsi="Times New Roman" w:cs="Times New Roman"/>
          <w:kern w:val="0"/>
          <w14:ligatures w14:val="none"/>
        </w:rPr>
        <w:t>invalid</w:t>
      </w:r>
      <w:r w:rsidRPr="00832FF3">
        <w:rPr>
          <w:rFonts w:ascii="Times New Roman" w:eastAsia="Times New Roman" w:hAnsi="Times New Roman" w:cs="Times New Roman"/>
          <w:spacing w:val="70"/>
          <w:kern w:val="0"/>
          <w14:ligatures w14:val="none"/>
        </w:rPr>
        <w:t xml:space="preserve"> </w:t>
      </w:r>
      <w:r w:rsidRPr="00832FF3">
        <w:rPr>
          <w:rFonts w:ascii="Times New Roman" w:eastAsia="Times New Roman" w:hAnsi="Times New Roman" w:cs="Times New Roman"/>
          <w:kern w:val="0"/>
          <w14:ligatures w14:val="none"/>
        </w:rPr>
        <w:t>due</w:t>
      </w:r>
      <w:r w:rsidRPr="00832FF3">
        <w:rPr>
          <w:rFonts w:ascii="Times New Roman" w:eastAsia="Times New Roman" w:hAnsi="Times New Roman" w:cs="Times New Roman"/>
          <w:spacing w:val="69"/>
          <w:kern w:val="0"/>
          <w14:ligatures w14:val="none"/>
        </w:rPr>
        <w:t xml:space="preserve"> </w:t>
      </w:r>
      <w:r w:rsidRPr="00832FF3">
        <w:rPr>
          <w:rFonts w:ascii="Times New Roman" w:eastAsia="Times New Roman" w:hAnsi="Times New Roman" w:cs="Times New Roman"/>
          <w:kern w:val="0"/>
          <w14:ligatures w14:val="none"/>
        </w:rPr>
        <w:t>to</w:t>
      </w:r>
    </w:p>
    <w:p w14:paraId="6E2E4F10" w14:textId="77777777" w:rsidR="00832FF3" w:rsidRPr="00832FF3" w:rsidRDefault="00832FF3" w:rsidP="00AE7FA9">
      <w:pPr>
        <w:widowControl w:val="0"/>
        <w:autoSpaceDE w:val="0"/>
        <w:autoSpaceDN w:val="0"/>
        <w:spacing w:after="0" w:line="240" w:lineRule="auto"/>
        <w:jc w:val="both"/>
        <w:rPr>
          <w:rFonts w:ascii="Times New Roman" w:eastAsia="Times New Roman" w:hAnsi="Times New Roman" w:cs="Times New Roman"/>
          <w:kern w:val="0"/>
          <w14:ligatures w14:val="none"/>
        </w:rPr>
        <w:sectPr w:rsidR="00832FF3" w:rsidRPr="00832FF3" w:rsidSect="00832FF3">
          <w:pgSz w:w="12240" w:h="15840"/>
          <w:pgMar w:top="1440" w:right="0" w:bottom="1200" w:left="1080" w:header="0" w:footer="346" w:gutter="0"/>
          <w:cols w:space="720"/>
        </w:sectPr>
      </w:pPr>
    </w:p>
    <w:p w14:paraId="019C005E" w14:textId="77777777" w:rsidR="00832FF3" w:rsidRPr="00832FF3" w:rsidRDefault="00832FF3" w:rsidP="00AE7FA9">
      <w:pPr>
        <w:widowControl w:val="0"/>
        <w:autoSpaceDE w:val="0"/>
        <w:autoSpaceDN w:val="0"/>
        <w:spacing w:before="79" w:after="0" w:line="240" w:lineRule="auto"/>
        <w:ind w:right="992"/>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lastRenderedPageBreak/>
        <w:t>incomplete responses or inconsistent information. After removing the invalid questionnaires, 373 questionnaires were considered valid and suitable for analysis, representing 95.64 percent of the total questionnaires administered.</w:t>
      </w:r>
    </w:p>
    <w:p w14:paraId="58C6CAD2" w14:textId="77777777" w:rsidR="00832FF3" w:rsidRPr="00832FF3" w:rsidRDefault="00832FF3" w:rsidP="00AE7FA9">
      <w:pPr>
        <w:widowControl w:val="0"/>
        <w:autoSpaceDE w:val="0"/>
        <w:autoSpaceDN w:val="0"/>
        <w:spacing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spacing w:val="-2"/>
          <w:kern w:val="0"/>
          <w14:ligatures w14:val="none"/>
        </w:rPr>
        <w:t>Demographic</w:t>
      </w:r>
      <w:r w:rsidRPr="00832FF3">
        <w:rPr>
          <w:rFonts w:ascii="Times New Roman" w:eastAsia="Times New Roman" w:hAnsi="Times New Roman" w:cs="Times New Roman"/>
          <w:b/>
          <w:bCs/>
          <w:spacing w:val="-6"/>
          <w:kern w:val="0"/>
          <w14:ligatures w14:val="none"/>
        </w:rPr>
        <w:t xml:space="preserve"> </w:t>
      </w:r>
      <w:r w:rsidRPr="00832FF3">
        <w:rPr>
          <w:rFonts w:ascii="Times New Roman" w:eastAsia="Times New Roman" w:hAnsi="Times New Roman" w:cs="Times New Roman"/>
          <w:b/>
          <w:bCs/>
          <w:spacing w:val="-2"/>
          <w:kern w:val="0"/>
          <w14:ligatures w14:val="none"/>
        </w:rPr>
        <w:t>Analysis</w:t>
      </w:r>
    </w:p>
    <w:p w14:paraId="5D5FCEBA"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3F8AA537" w14:textId="77777777" w:rsidR="00832FF3" w:rsidRPr="00832FF3" w:rsidRDefault="00832FF3" w:rsidP="00AE7FA9">
      <w:pPr>
        <w:widowControl w:val="0"/>
        <w:autoSpaceDE w:val="0"/>
        <w:autoSpaceDN w:val="0"/>
        <w:spacing w:after="0" w:line="240" w:lineRule="auto"/>
        <w:ind w:right="982"/>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This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section</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presents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the demographic</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characteristics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respondents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order</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provide</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background information</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about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participants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involved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study.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Demographic</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analysis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is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useful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because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it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helps to</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understand</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composition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respondents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ensures</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data</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reflect</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diverse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perspectives</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within the manufacturing sector.</w:t>
      </w:r>
    </w:p>
    <w:p w14:paraId="44F0FB2F" w14:textId="77777777" w:rsidR="00832FF3" w:rsidRPr="00832FF3" w:rsidRDefault="00832FF3" w:rsidP="00AE7FA9">
      <w:pPr>
        <w:widowControl w:val="0"/>
        <w:autoSpaceDE w:val="0"/>
        <w:autoSpaceDN w:val="0"/>
        <w:spacing w:before="1" w:after="42"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Table</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3:</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Demographic</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Characteristics</w:t>
      </w:r>
      <w:r w:rsidRPr="00832FF3">
        <w:rPr>
          <w:rFonts w:ascii="Times New Roman" w:eastAsia="Times New Roman" w:hAnsi="Times New Roman" w:cs="Times New Roman"/>
          <w:b/>
          <w:bCs/>
          <w:spacing w:val="-8"/>
          <w:kern w:val="0"/>
          <w14:ligatures w14:val="none"/>
        </w:rPr>
        <w:t xml:space="preserve"> </w:t>
      </w:r>
      <w:r w:rsidRPr="00832FF3">
        <w:rPr>
          <w:rFonts w:ascii="Times New Roman" w:eastAsia="Times New Roman" w:hAnsi="Times New Roman" w:cs="Times New Roman"/>
          <w:b/>
          <w:bCs/>
          <w:kern w:val="0"/>
          <w14:ligatures w14:val="none"/>
        </w:rPr>
        <w:t>of</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Respondents</w:t>
      </w:r>
      <w:r w:rsidRPr="00832FF3">
        <w:rPr>
          <w:rFonts w:ascii="Times New Roman" w:eastAsia="Times New Roman" w:hAnsi="Times New Roman" w:cs="Times New Roman"/>
          <w:b/>
          <w:bCs/>
          <w:spacing w:val="-9"/>
          <w:kern w:val="0"/>
          <w14:ligatures w14:val="none"/>
        </w:rPr>
        <w:t xml:space="preserve"> </w:t>
      </w:r>
      <w:r w:rsidRPr="00832FF3">
        <w:rPr>
          <w:rFonts w:ascii="Times New Roman" w:eastAsia="Times New Roman" w:hAnsi="Times New Roman" w:cs="Times New Roman"/>
          <w:b/>
          <w:bCs/>
          <w:kern w:val="0"/>
          <w14:ligatures w14:val="none"/>
        </w:rPr>
        <w:t>(N</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w:t>
      </w:r>
      <w:r w:rsidRPr="00832FF3">
        <w:rPr>
          <w:rFonts w:ascii="Times New Roman" w:eastAsia="Times New Roman" w:hAnsi="Times New Roman" w:cs="Times New Roman"/>
          <w:b/>
          <w:bCs/>
          <w:spacing w:val="-6"/>
          <w:kern w:val="0"/>
          <w14:ligatures w14:val="none"/>
        </w:rPr>
        <w:t xml:space="preserve"> </w:t>
      </w:r>
      <w:r w:rsidRPr="00832FF3">
        <w:rPr>
          <w:rFonts w:ascii="Times New Roman" w:eastAsia="Times New Roman" w:hAnsi="Times New Roman" w:cs="Times New Roman"/>
          <w:b/>
          <w:bCs/>
          <w:spacing w:val="-4"/>
          <w:kern w:val="0"/>
          <w14:ligatures w14:val="none"/>
        </w:rPr>
        <w:t>373)</w:t>
      </w:r>
    </w:p>
    <w:tbl>
      <w:tblPr>
        <w:tblW w:w="0" w:type="auto"/>
        <w:tblInd w:w="195" w:type="dxa"/>
        <w:tblLayout w:type="fixed"/>
        <w:tblCellMar>
          <w:left w:w="0" w:type="dxa"/>
          <w:right w:w="0" w:type="dxa"/>
        </w:tblCellMar>
        <w:tblLook w:val="01E0" w:firstRow="1" w:lastRow="1" w:firstColumn="1" w:lastColumn="1" w:noHBand="0" w:noVBand="0"/>
      </w:tblPr>
      <w:tblGrid>
        <w:gridCol w:w="2543"/>
        <w:gridCol w:w="3144"/>
        <w:gridCol w:w="1423"/>
        <w:gridCol w:w="1619"/>
      </w:tblGrid>
      <w:tr w:rsidR="00832FF3" w:rsidRPr="00832FF3" w14:paraId="794A3055" w14:textId="77777777" w:rsidTr="00483C28">
        <w:trPr>
          <w:trHeight w:val="280"/>
        </w:trPr>
        <w:tc>
          <w:tcPr>
            <w:tcW w:w="2543" w:type="dxa"/>
            <w:tcBorders>
              <w:top w:val="single" w:sz="4" w:space="0" w:color="000000"/>
              <w:bottom w:val="single" w:sz="4" w:space="0" w:color="000000"/>
            </w:tcBorders>
          </w:tcPr>
          <w:p w14:paraId="6BE1097F" w14:textId="77777777" w:rsidR="00832FF3" w:rsidRPr="00832FF3" w:rsidRDefault="00832FF3" w:rsidP="00AE7FA9">
            <w:pPr>
              <w:widowControl w:val="0"/>
              <w:autoSpaceDE w:val="0"/>
              <w:autoSpaceDN w:val="0"/>
              <w:spacing w:before="5"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Demographic</w:t>
            </w:r>
            <w:r w:rsidRPr="00832FF3">
              <w:rPr>
                <w:rFonts w:ascii="Times New Roman" w:eastAsia="Times New Roman" w:hAnsi="Times New Roman" w:cs="Times New Roman"/>
                <w:b/>
                <w:spacing w:val="2"/>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Variable</w:t>
            </w:r>
          </w:p>
        </w:tc>
        <w:tc>
          <w:tcPr>
            <w:tcW w:w="3144" w:type="dxa"/>
            <w:tcBorders>
              <w:top w:val="single" w:sz="4" w:space="0" w:color="000000"/>
              <w:bottom w:val="single" w:sz="4" w:space="0" w:color="000000"/>
            </w:tcBorders>
          </w:tcPr>
          <w:p w14:paraId="33363BA8" w14:textId="77777777" w:rsidR="00832FF3" w:rsidRPr="00832FF3" w:rsidRDefault="00832FF3" w:rsidP="00AE7FA9">
            <w:pPr>
              <w:widowControl w:val="0"/>
              <w:autoSpaceDE w:val="0"/>
              <w:autoSpaceDN w:val="0"/>
              <w:spacing w:before="5"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Category</w:t>
            </w:r>
          </w:p>
        </w:tc>
        <w:tc>
          <w:tcPr>
            <w:tcW w:w="1423" w:type="dxa"/>
            <w:tcBorders>
              <w:top w:val="single" w:sz="4" w:space="0" w:color="000000"/>
              <w:bottom w:val="single" w:sz="4" w:space="0" w:color="000000"/>
            </w:tcBorders>
          </w:tcPr>
          <w:p w14:paraId="429B72E0" w14:textId="77777777" w:rsidR="00832FF3" w:rsidRPr="00832FF3" w:rsidRDefault="00832FF3" w:rsidP="00AE7FA9">
            <w:pPr>
              <w:widowControl w:val="0"/>
              <w:autoSpaceDE w:val="0"/>
              <w:autoSpaceDN w:val="0"/>
              <w:spacing w:before="5" w:after="0" w:line="240" w:lineRule="auto"/>
              <w:ind w:right="3"/>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Frequency</w:t>
            </w:r>
          </w:p>
        </w:tc>
        <w:tc>
          <w:tcPr>
            <w:tcW w:w="1619" w:type="dxa"/>
            <w:tcBorders>
              <w:top w:val="single" w:sz="4" w:space="0" w:color="000000"/>
              <w:bottom w:val="single" w:sz="4" w:space="0" w:color="000000"/>
            </w:tcBorders>
          </w:tcPr>
          <w:p w14:paraId="6092C2DB" w14:textId="77777777" w:rsidR="00832FF3" w:rsidRPr="00832FF3" w:rsidRDefault="00832FF3" w:rsidP="00AE7FA9">
            <w:pPr>
              <w:widowControl w:val="0"/>
              <w:autoSpaceDE w:val="0"/>
              <w:autoSpaceDN w:val="0"/>
              <w:spacing w:before="5" w:after="0" w:line="240" w:lineRule="auto"/>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Percentage</w:t>
            </w:r>
            <w:r w:rsidRPr="00832FF3">
              <w:rPr>
                <w:rFonts w:ascii="Times New Roman" w:eastAsia="Times New Roman" w:hAnsi="Times New Roman" w:cs="Times New Roman"/>
                <w:b/>
                <w:spacing w:val="6"/>
                <w:kern w:val="0"/>
                <w:sz w:val="22"/>
                <w:szCs w:val="22"/>
                <w14:ligatures w14:val="none"/>
              </w:rPr>
              <w:t xml:space="preserve"> </w:t>
            </w:r>
            <w:r w:rsidRPr="00832FF3">
              <w:rPr>
                <w:rFonts w:ascii="Times New Roman" w:eastAsia="Times New Roman" w:hAnsi="Times New Roman" w:cs="Times New Roman"/>
                <w:b/>
                <w:spacing w:val="-5"/>
                <w:kern w:val="0"/>
                <w:sz w:val="22"/>
                <w:szCs w:val="22"/>
                <w14:ligatures w14:val="none"/>
              </w:rPr>
              <w:t>(%)</w:t>
            </w:r>
          </w:p>
        </w:tc>
      </w:tr>
      <w:tr w:rsidR="00832FF3" w:rsidRPr="00832FF3" w14:paraId="361DA4C7" w14:textId="77777777" w:rsidTr="00483C28">
        <w:trPr>
          <w:trHeight w:val="332"/>
        </w:trPr>
        <w:tc>
          <w:tcPr>
            <w:tcW w:w="2543" w:type="dxa"/>
            <w:tcBorders>
              <w:top w:val="single" w:sz="4" w:space="0" w:color="000000"/>
            </w:tcBorders>
          </w:tcPr>
          <w:p w14:paraId="2E2D38D9" w14:textId="77777777" w:rsidR="00832FF3" w:rsidRPr="00832FF3" w:rsidRDefault="00832FF3" w:rsidP="00AE7FA9">
            <w:pPr>
              <w:widowControl w:val="0"/>
              <w:autoSpaceDE w:val="0"/>
              <w:autoSpaceDN w:val="0"/>
              <w:spacing w:before="44"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Gender</w:t>
            </w:r>
          </w:p>
        </w:tc>
        <w:tc>
          <w:tcPr>
            <w:tcW w:w="3144" w:type="dxa"/>
            <w:tcBorders>
              <w:top w:val="single" w:sz="4" w:space="0" w:color="000000"/>
            </w:tcBorders>
          </w:tcPr>
          <w:p w14:paraId="17EA9C00" w14:textId="77777777" w:rsidR="00832FF3" w:rsidRPr="00832FF3" w:rsidRDefault="00832FF3" w:rsidP="00AE7FA9">
            <w:pPr>
              <w:widowControl w:val="0"/>
              <w:autoSpaceDE w:val="0"/>
              <w:autoSpaceDN w:val="0"/>
              <w:spacing w:before="44"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Male</w:t>
            </w:r>
          </w:p>
        </w:tc>
        <w:tc>
          <w:tcPr>
            <w:tcW w:w="1423" w:type="dxa"/>
            <w:tcBorders>
              <w:top w:val="single" w:sz="4" w:space="0" w:color="000000"/>
            </w:tcBorders>
          </w:tcPr>
          <w:p w14:paraId="1E6F6433" w14:textId="77777777" w:rsidR="00832FF3" w:rsidRPr="00832FF3" w:rsidRDefault="00832FF3" w:rsidP="00AE7FA9">
            <w:pPr>
              <w:widowControl w:val="0"/>
              <w:autoSpaceDE w:val="0"/>
              <w:autoSpaceDN w:val="0"/>
              <w:spacing w:before="44"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234</w:t>
            </w:r>
          </w:p>
        </w:tc>
        <w:tc>
          <w:tcPr>
            <w:tcW w:w="1619" w:type="dxa"/>
            <w:tcBorders>
              <w:top w:val="single" w:sz="4" w:space="0" w:color="000000"/>
            </w:tcBorders>
          </w:tcPr>
          <w:p w14:paraId="3263B4D9" w14:textId="77777777" w:rsidR="00832FF3" w:rsidRPr="00832FF3" w:rsidRDefault="00832FF3" w:rsidP="00AE7FA9">
            <w:pPr>
              <w:widowControl w:val="0"/>
              <w:autoSpaceDE w:val="0"/>
              <w:autoSpaceDN w:val="0"/>
              <w:spacing w:before="44"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62.7</w:t>
            </w:r>
          </w:p>
        </w:tc>
      </w:tr>
      <w:tr w:rsidR="00832FF3" w:rsidRPr="00832FF3" w14:paraId="77653691" w14:textId="77777777" w:rsidTr="00483C28">
        <w:trPr>
          <w:trHeight w:val="313"/>
        </w:trPr>
        <w:tc>
          <w:tcPr>
            <w:tcW w:w="2543" w:type="dxa"/>
          </w:tcPr>
          <w:p w14:paraId="2A4725C2"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0680578D"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Female</w:t>
            </w:r>
          </w:p>
        </w:tc>
        <w:tc>
          <w:tcPr>
            <w:tcW w:w="1423" w:type="dxa"/>
          </w:tcPr>
          <w:p w14:paraId="04AB680F"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132</w:t>
            </w:r>
          </w:p>
        </w:tc>
        <w:tc>
          <w:tcPr>
            <w:tcW w:w="1619" w:type="dxa"/>
          </w:tcPr>
          <w:p w14:paraId="3EC3C4E4"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35.4</w:t>
            </w:r>
          </w:p>
        </w:tc>
      </w:tr>
      <w:tr w:rsidR="00832FF3" w:rsidRPr="00832FF3" w14:paraId="480A1A8D" w14:textId="77777777" w:rsidTr="00483C28">
        <w:trPr>
          <w:trHeight w:val="312"/>
        </w:trPr>
        <w:tc>
          <w:tcPr>
            <w:tcW w:w="2543" w:type="dxa"/>
          </w:tcPr>
          <w:p w14:paraId="00EB4D6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5E05B558"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Prefer</w:t>
            </w:r>
            <w:r w:rsidRPr="00832FF3">
              <w:rPr>
                <w:rFonts w:ascii="Times New Roman" w:eastAsia="Times New Roman" w:hAnsi="Times New Roman" w:cs="Times New Roman"/>
                <w:spacing w:val="-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not</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to</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5"/>
                <w:kern w:val="0"/>
                <w:sz w:val="22"/>
                <w:szCs w:val="22"/>
                <w14:ligatures w14:val="none"/>
              </w:rPr>
              <w:t>say</w:t>
            </w:r>
          </w:p>
        </w:tc>
        <w:tc>
          <w:tcPr>
            <w:tcW w:w="1423" w:type="dxa"/>
          </w:tcPr>
          <w:p w14:paraId="1C0AE902"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10"/>
                <w:kern w:val="0"/>
                <w:sz w:val="22"/>
                <w:szCs w:val="22"/>
                <w14:ligatures w14:val="none"/>
              </w:rPr>
              <w:t>7</w:t>
            </w:r>
          </w:p>
        </w:tc>
        <w:tc>
          <w:tcPr>
            <w:tcW w:w="1619" w:type="dxa"/>
          </w:tcPr>
          <w:p w14:paraId="6999B037" w14:textId="77777777" w:rsidR="00832FF3" w:rsidRPr="00832FF3" w:rsidRDefault="00832FF3" w:rsidP="00AE7FA9">
            <w:pPr>
              <w:widowControl w:val="0"/>
              <w:autoSpaceDE w:val="0"/>
              <w:autoSpaceDN w:val="0"/>
              <w:spacing w:before="25" w:after="0" w:line="240" w:lineRule="auto"/>
              <w:ind w:right="3"/>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1.9</w:t>
            </w:r>
          </w:p>
        </w:tc>
      </w:tr>
      <w:tr w:rsidR="00832FF3" w:rsidRPr="00832FF3" w14:paraId="430280C5" w14:textId="77777777" w:rsidTr="00483C28">
        <w:trPr>
          <w:trHeight w:val="313"/>
        </w:trPr>
        <w:tc>
          <w:tcPr>
            <w:tcW w:w="2543" w:type="dxa"/>
          </w:tcPr>
          <w:p w14:paraId="46A974A1"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Age</w:t>
            </w:r>
            <w:r w:rsidRPr="00832FF3">
              <w:rPr>
                <w:rFonts w:ascii="Times New Roman" w:eastAsia="Times New Roman" w:hAnsi="Times New Roman" w:cs="Times New Roman"/>
                <w:b/>
                <w:spacing w:val="-9"/>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Group</w:t>
            </w:r>
          </w:p>
        </w:tc>
        <w:tc>
          <w:tcPr>
            <w:tcW w:w="3144" w:type="dxa"/>
          </w:tcPr>
          <w:p w14:paraId="6DEC236C"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20–30</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423" w:type="dxa"/>
          </w:tcPr>
          <w:p w14:paraId="1717C565"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71</w:t>
            </w:r>
          </w:p>
        </w:tc>
        <w:tc>
          <w:tcPr>
            <w:tcW w:w="1619" w:type="dxa"/>
          </w:tcPr>
          <w:p w14:paraId="05FC818C"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19.0</w:t>
            </w:r>
          </w:p>
        </w:tc>
      </w:tr>
      <w:tr w:rsidR="00832FF3" w:rsidRPr="00832FF3" w14:paraId="6F2B41D0" w14:textId="77777777" w:rsidTr="00483C28">
        <w:trPr>
          <w:trHeight w:val="313"/>
        </w:trPr>
        <w:tc>
          <w:tcPr>
            <w:tcW w:w="2543" w:type="dxa"/>
          </w:tcPr>
          <w:p w14:paraId="5212E62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3A141ED0"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31–40</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423" w:type="dxa"/>
          </w:tcPr>
          <w:p w14:paraId="30EEF7B1"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152</w:t>
            </w:r>
          </w:p>
        </w:tc>
        <w:tc>
          <w:tcPr>
            <w:tcW w:w="1619" w:type="dxa"/>
          </w:tcPr>
          <w:p w14:paraId="5AA10AE1"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40.8</w:t>
            </w:r>
          </w:p>
        </w:tc>
      </w:tr>
      <w:tr w:rsidR="00832FF3" w:rsidRPr="00832FF3" w14:paraId="60B90D3E" w14:textId="77777777" w:rsidTr="00483C28">
        <w:trPr>
          <w:trHeight w:val="312"/>
        </w:trPr>
        <w:tc>
          <w:tcPr>
            <w:tcW w:w="2543" w:type="dxa"/>
          </w:tcPr>
          <w:p w14:paraId="6988ADDD"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3B82E74E"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41–50</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423" w:type="dxa"/>
          </w:tcPr>
          <w:p w14:paraId="27F06405"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108</w:t>
            </w:r>
          </w:p>
        </w:tc>
        <w:tc>
          <w:tcPr>
            <w:tcW w:w="1619" w:type="dxa"/>
          </w:tcPr>
          <w:p w14:paraId="4C39CEA2"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29.0</w:t>
            </w:r>
          </w:p>
        </w:tc>
      </w:tr>
      <w:tr w:rsidR="00832FF3" w:rsidRPr="00832FF3" w14:paraId="7B4D092B" w14:textId="77777777" w:rsidTr="00483C28">
        <w:trPr>
          <w:trHeight w:val="312"/>
        </w:trPr>
        <w:tc>
          <w:tcPr>
            <w:tcW w:w="2543" w:type="dxa"/>
          </w:tcPr>
          <w:p w14:paraId="363DEF0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01086BF1"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51</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years</w:t>
            </w:r>
            <w:r w:rsidRPr="00832FF3">
              <w:rPr>
                <w:rFonts w:ascii="Times New Roman" w:eastAsia="Times New Roman" w:hAnsi="Times New Roman" w:cs="Times New Roman"/>
                <w:spacing w:val="-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and</w:t>
            </w:r>
            <w:r w:rsidRPr="00832FF3">
              <w:rPr>
                <w:rFonts w:ascii="Times New Roman" w:eastAsia="Times New Roman" w:hAnsi="Times New Roman" w:cs="Times New Roman"/>
                <w:spacing w:val="-1"/>
                <w:kern w:val="0"/>
                <w:sz w:val="22"/>
                <w:szCs w:val="22"/>
                <w14:ligatures w14:val="none"/>
              </w:rPr>
              <w:t xml:space="preserve"> </w:t>
            </w:r>
            <w:r w:rsidRPr="00832FF3">
              <w:rPr>
                <w:rFonts w:ascii="Times New Roman" w:eastAsia="Times New Roman" w:hAnsi="Times New Roman" w:cs="Times New Roman"/>
                <w:spacing w:val="-4"/>
                <w:kern w:val="0"/>
                <w:sz w:val="22"/>
                <w:szCs w:val="22"/>
                <w14:ligatures w14:val="none"/>
              </w:rPr>
              <w:t>above</w:t>
            </w:r>
          </w:p>
        </w:tc>
        <w:tc>
          <w:tcPr>
            <w:tcW w:w="1423" w:type="dxa"/>
          </w:tcPr>
          <w:p w14:paraId="3B21A217"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42</w:t>
            </w:r>
          </w:p>
        </w:tc>
        <w:tc>
          <w:tcPr>
            <w:tcW w:w="1619" w:type="dxa"/>
          </w:tcPr>
          <w:p w14:paraId="14542646"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11.3</w:t>
            </w:r>
          </w:p>
        </w:tc>
      </w:tr>
      <w:tr w:rsidR="00832FF3" w:rsidRPr="00832FF3" w14:paraId="7A8C702B" w14:textId="77777777" w:rsidTr="00483C28">
        <w:trPr>
          <w:trHeight w:val="313"/>
        </w:trPr>
        <w:tc>
          <w:tcPr>
            <w:tcW w:w="2543" w:type="dxa"/>
          </w:tcPr>
          <w:p w14:paraId="5565AA3C"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Educational</w:t>
            </w:r>
            <w:r w:rsidRPr="00832FF3">
              <w:rPr>
                <w:rFonts w:ascii="Times New Roman" w:eastAsia="Times New Roman" w:hAnsi="Times New Roman" w:cs="Times New Roman"/>
                <w:b/>
                <w:spacing w:val="-11"/>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Qualification</w:t>
            </w:r>
          </w:p>
        </w:tc>
        <w:tc>
          <w:tcPr>
            <w:tcW w:w="3144" w:type="dxa"/>
          </w:tcPr>
          <w:p w14:paraId="3840A420"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Diploma</w:t>
            </w:r>
          </w:p>
        </w:tc>
        <w:tc>
          <w:tcPr>
            <w:tcW w:w="1423" w:type="dxa"/>
          </w:tcPr>
          <w:p w14:paraId="22E541C8"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64</w:t>
            </w:r>
          </w:p>
        </w:tc>
        <w:tc>
          <w:tcPr>
            <w:tcW w:w="1619" w:type="dxa"/>
          </w:tcPr>
          <w:p w14:paraId="50196D8C"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17.2</w:t>
            </w:r>
          </w:p>
        </w:tc>
      </w:tr>
      <w:tr w:rsidR="00832FF3" w:rsidRPr="00832FF3" w14:paraId="3B5851BA" w14:textId="77777777" w:rsidTr="00483C28">
        <w:trPr>
          <w:trHeight w:val="313"/>
        </w:trPr>
        <w:tc>
          <w:tcPr>
            <w:tcW w:w="2543" w:type="dxa"/>
          </w:tcPr>
          <w:p w14:paraId="78B8196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49B47BE2"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Bachelor’s</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Degree</w:t>
            </w:r>
          </w:p>
        </w:tc>
        <w:tc>
          <w:tcPr>
            <w:tcW w:w="1423" w:type="dxa"/>
          </w:tcPr>
          <w:p w14:paraId="2C016EBC"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187</w:t>
            </w:r>
          </w:p>
        </w:tc>
        <w:tc>
          <w:tcPr>
            <w:tcW w:w="1619" w:type="dxa"/>
          </w:tcPr>
          <w:p w14:paraId="4E01EFC6"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50.1</w:t>
            </w:r>
          </w:p>
        </w:tc>
      </w:tr>
      <w:tr w:rsidR="00832FF3" w:rsidRPr="00832FF3" w14:paraId="74B03E2D" w14:textId="77777777" w:rsidTr="00483C28">
        <w:trPr>
          <w:trHeight w:val="311"/>
        </w:trPr>
        <w:tc>
          <w:tcPr>
            <w:tcW w:w="2543" w:type="dxa"/>
          </w:tcPr>
          <w:p w14:paraId="46441B6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3DDBCED4"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Master’s</w:t>
            </w:r>
            <w:r w:rsidRPr="00832FF3">
              <w:rPr>
                <w:rFonts w:ascii="Times New Roman" w:eastAsia="Times New Roman" w:hAnsi="Times New Roman" w:cs="Times New Roman"/>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Degree</w:t>
            </w:r>
          </w:p>
        </w:tc>
        <w:tc>
          <w:tcPr>
            <w:tcW w:w="1423" w:type="dxa"/>
          </w:tcPr>
          <w:p w14:paraId="349A6C64"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94</w:t>
            </w:r>
          </w:p>
        </w:tc>
        <w:tc>
          <w:tcPr>
            <w:tcW w:w="1619" w:type="dxa"/>
          </w:tcPr>
          <w:p w14:paraId="233CF5D9"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25.2</w:t>
            </w:r>
          </w:p>
        </w:tc>
      </w:tr>
      <w:tr w:rsidR="00832FF3" w:rsidRPr="00832FF3" w14:paraId="368C5443" w14:textId="77777777" w:rsidTr="00483C28">
        <w:trPr>
          <w:trHeight w:val="312"/>
        </w:trPr>
        <w:tc>
          <w:tcPr>
            <w:tcW w:w="2543" w:type="dxa"/>
          </w:tcPr>
          <w:p w14:paraId="284E34F7"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5B52C1DE"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Doctorate</w:t>
            </w:r>
          </w:p>
        </w:tc>
        <w:tc>
          <w:tcPr>
            <w:tcW w:w="1423" w:type="dxa"/>
          </w:tcPr>
          <w:p w14:paraId="10E44F32"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12</w:t>
            </w:r>
          </w:p>
        </w:tc>
        <w:tc>
          <w:tcPr>
            <w:tcW w:w="1619" w:type="dxa"/>
          </w:tcPr>
          <w:p w14:paraId="21BEFA12" w14:textId="77777777" w:rsidR="00832FF3" w:rsidRPr="00832FF3" w:rsidRDefault="00832FF3" w:rsidP="00AE7FA9">
            <w:pPr>
              <w:widowControl w:val="0"/>
              <w:autoSpaceDE w:val="0"/>
              <w:autoSpaceDN w:val="0"/>
              <w:spacing w:before="25" w:after="0" w:line="240" w:lineRule="auto"/>
              <w:ind w:right="3"/>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3.2</w:t>
            </w:r>
          </w:p>
        </w:tc>
      </w:tr>
      <w:tr w:rsidR="00832FF3" w:rsidRPr="00832FF3" w14:paraId="0BA2284F" w14:textId="77777777" w:rsidTr="00483C28">
        <w:trPr>
          <w:trHeight w:val="313"/>
        </w:trPr>
        <w:tc>
          <w:tcPr>
            <w:tcW w:w="2543" w:type="dxa"/>
          </w:tcPr>
          <w:p w14:paraId="4089725F"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73F56CCB"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Other</w:t>
            </w:r>
          </w:p>
        </w:tc>
        <w:tc>
          <w:tcPr>
            <w:tcW w:w="1423" w:type="dxa"/>
          </w:tcPr>
          <w:p w14:paraId="295B901F"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16</w:t>
            </w:r>
          </w:p>
        </w:tc>
        <w:tc>
          <w:tcPr>
            <w:tcW w:w="1619" w:type="dxa"/>
          </w:tcPr>
          <w:p w14:paraId="38B4D027" w14:textId="77777777" w:rsidR="00832FF3" w:rsidRPr="00832FF3" w:rsidRDefault="00832FF3" w:rsidP="00AE7FA9">
            <w:pPr>
              <w:widowControl w:val="0"/>
              <w:autoSpaceDE w:val="0"/>
              <w:autoSpaceDN w:val="0"/>
              <w:spacing w:before="25" w:after="0" w:line="240" w:lineRule="auto"/>
              <w:ind w:right="3"/>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4.3</w:t>
            </w:r>
          </w:p>
        </w:tc>
      </w:tr>
      <w:tr w:rsidR="00832FF3" w:rsidRPr="00832FF3" w14:paraId="2964E3F3" w14:textId="77777777" w:rsidTr="00483C28">
        <w:trPr>
          <w:trHeight w:val="313"/>
        </w:trPr>
        <w:tc>
          <w:tcPr>
            <w:tcW w:w="2543" w:type="dxa"/>
          </w:tcPr>
          <w:p w14:paraId="66F124C1"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Position</w:t>
            </w:r>
            <w:r w:rsidRPr="00832FF3">
              <w:rPr>
                <w:rFonts w:ascii="Times New Roman" w:eastAsia="Times New Roman" w:hAnsi="Times New Roman" w:cs="Times New Roman"/>
                <w:b/>
                <w:spacing w:val="-10"/>
                <w:kern w:val="0"/>
                <w:sz w:val="22"/>
                <w:szCs w:val="22"/>
                <w14:ligatures w14:val="none"/>
              </w:rPr>
              <w:t xml:space="preserve"> </w:t>
            </w:r>
            <w:r w:rsidRPr="00832FF3">
              <w:rPr>
                <w:rFonts w:ascii="Times New Roman" w:eastAsia="Times New Roman" w:hAnsi="Times New Roman" w:cs="Times New Roman"/>
                <w:b/>
                <w:kern w:val="0"/>
                <w:sz w:val="22"/>
                <w:szCs w:val="22"/>
                <w14:ligatures w14:val="none"/>
              </w:rPr>
              <w:t>in</w:t>
            </w:r>
            <w:r w:rsidRPr="00832FF3">
              <w:rPr>
                <w:rFonts w:ascii="Times New Roman" w:eastAsia="Times New Roman" w:hAnsi="Times New Roman" w:cs="Times New Roman"/>
                <w:b/>
                <w:spacing w:val="-6"/>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Organization</w:t>
            </w:r>
          </w:p>
        </w:tc>
        <w:tc>
          <w:tcPr>
            <w:tcW w:w="3144" w:type="dxa"/>
          </w:tcPr>
          <w:p w14:paraId="4C1BF9F2"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Production</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Manager</w:t>
            </w:r>
          </w:p>
        </w:tc>
        <w:tc>
          <w:tcPr>
            <w:tcW w:w="1423" w:type="dxa"/>
          </w:tcPr>
          <w:p w14:paraId="6850A017"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126</w:t>
            </w:r>
          </w:p>
        </w:tc>
        <w:tc>
          <w:tcPr>
            <w:tcW w:w="1619" w:type="dxa"/>
          </w:tcPr>
          <w:p w14:paraId="781A70C3"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33.8</w:t>
            </w:r>
          </w:p>
        </w:tc>
      </w:tr>
      <w:tr w:rsidR="00832FF3" w:rsidRPr="00832FF3" w14:paraId="46DCD9EB" w14:textId="77777777" w:rsidTr="00483C28">
        <w:trPr>
          <w:trHeight w:val="313"/>
        </w:trPr>
        <w:tc>
          <w:tcPr>
            <w:tcW w:w="2543" w:type="dxa"/>
          </w:tcPr>
          <w:p w14:paraId="1E89A58A"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21A064D1"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Operations</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Manager</w:t>
            </w:r>
          </w:p>
        </w:tc>
        <w:tc>
          <w:tcPr>
            <w:tcW w:w="1423" w:type="dxa"/>
          </w:tcPr>
          <w:p w14:paraId="21487CEB"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104</w:t>
            </w:r>
          </w:p>
        </w:tc>
        <w:tc>
          <w:tcPr>
            <w:tcW w:w="1619" w:type="dxa"/>
          </w:tcPr>
          <w:p w14:paraId="74ED18C9"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27.9</w:t>
            </w:r>
          </w:p>
        </w:tc>
      </w:tr>
      <w:tr w:rsidR="00832FF3" w:rsidRPr="00832FF3" w14:paraId="1C9D50C7" w14:textId="77777777" w:rsidTr="00483C28">
        <w:trPr>
          <w:trHeight w:val="312"/>
        </w:trPr>
        <w:tc>
          <w:tcPr>
            <w:tcW w:w="2543" w:type="dxa"/>
          </w:tcPr>
          <w:p w14:paraId="21A0F2CD"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368F6190"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IT</w:t>
            </w:r>
            <w:r w:rsidRPr="00832FF3">
              <w:rPr>
                <w:rFonts w:ascii="Times New Roman" w:eastAsia="Times New Roman" w:hAnsi="Times New Roman" w:cs="Times New Roman"/>
                <w:spacing w:val="-12"/>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Manager</w:t>
            </w:r>
          </w:p>
        </w:tc>
        <w:tc>
          <w:tcPr>
            <w:tcW w:w="1423" w:type="dxa"/>
          </w:tcPr>
          <w:p w14:paraId="359EA8E8"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63</w:t>
            </w:r>
          </w:p>
        </w:tc>
        <w:tc>
          <w:tcPr>
            <w:tcW w:w="1619" w:type="dxa"/>
          </w:tcPr>
          <w:p w14:paraId="22C28CB9"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16.9</w:t>
            </w:r>
          </w:p>
        </w:tc>
      </w:tr>
      <w:tr w:rsidR="00832FF3" w:rsidRPr="00832FF3" w14:paraId="3D6EFCEA" w14:textId="77777777" w:rsidTr="00483C28">
        <w:trPr>
          <w:trHeight w:val="312"/>
        </w:trPr>
        <w:tc>
          <w:tcPr>
            <w:tcW w:w="2543" w:type="dxa"/>
          </w:tcPr>
          <w:p w14:paraId="5A30A547"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17417D78" w14:textId="77777777" w:rsidR="00832FF3" w:rsidRPr="00832FF3" w:rsidRDefault="00832FF3" w:rsidP="00AE7FA9">
            <w:pPr>
              <w:widowControl w:val="0"/>
              <w:autoSpaceDE w:val="0"/>
              <w:autoSpaceDN w:val="0"/>
              <w:spacing w:before="24"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Sustainability</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Officer</w:t>
            </w:r>
          </w:p>
        </w:tc>
        <w:tc>
          <w:tcPr>
            <w:tcW w:w="1423" w:type="dxa"/>
          </w:tcPr>
          <w:p w14:paraId="467734EB" w14:textId="77777777" w:rsidR="00832FF3" w:rsidRPr="00832FF3" w:rsidRDefault="00832FF3" w:rsidP="00AE7FA9">
            <w:pPr>
              <w:widowControl w:val="0"/>
              <w:autoSpaceDE w:val="0"/>
              <w:autoSpaceDN w:val="0"/>
              <w:spacing w:before="24"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46</w:t>
            </w:r>
          </w:p>
        </w:tc>
        <w:tc>
          <w:tcPr>
            <w:tcW w:w="1619" w:type="dxa"/>
          </w:tcPr>
          <w:p w14:paraId="6635EA6B" w14:textId="77777777" w:rsidR="00832FF3" w:rsidRPr="00832FF3" w:rsidRDefault="00832FF3" w:rsidP="00AE7FA9">
            <w:pPr>
              <w:widowControl w:val="0"/>
              <w:autoSpaceDE w:val="0"/>
              <w:autoSpaceDN w:val="0"/>
              <w:spacing w:before="24"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12.3</w:t>
            </w:r>
          </w:p>
        </w:tc>
      </w:tr>
      <w:tr w:rsidR="00832FF3" w:rsidRPr="00832FF3" w14:paraId="2FB5C447" w14:textId="77777777" w:rsidTr="00483C28">
        <w:trPr>
          <w:trHeight w:val="313"/>
        </w:trPr>
        <w:tc>
          <w:tcPr>
            <w:tcW w:w="2543" w:type="dxa"/>
          </w:tcPr>
          <w:p w14:paraId="65E96204"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45621875"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Other</w:t>
            </w:r>
          </w:p>
        </w:tc>
        <w:tc>
          <w:tcPr>
            <w:tcW w:w="1423" w:type="dxa"/>
          </w:tcPr>
          <w:p w14:paraId="5F5114A6"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34</w:t>
            </w:r>
          </w:p>
        </w:tc>
        <w:tc>
          <w:tcPr>
            <w:tcW w:w="1619" w:type="dxa"/>
          </w:tcPr>
          <w:p w14:paraId="4491FD78" w14:textId="77777777" w:rsidR="00832FF3" w:rsidRPr="00832FF3" w:rsidRDefault="00832FF3" w:rsidP="00AE7FA9">
            <w:pPr>
              <w:widowControl w:val="0"/>
              <w:autoSpaceDE w:val="0"/>
              <w:autoSpaceDN w:val="0"/>
              <w:spacing w:before="26" w:after="0" w:line="240" w:lineRule="auto"/>
              <w:ind w:right="3"/>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9.1</w:t>
            </w:r>
          </w:p>
        </w:tc>
      </w:tr>
      <w:tr w:rsidR="00832FF3" w:rsidRPr="00832FF3" w14:paraId="1C579283" w14:textId="77777777" w:rsidTr="00483C28">
        <w:trPr>
          <w:trHeight w:val="313"/>
        </w:trPr>
        <w:tc>
          <w:tcPr>
            <w:tcW w:w="2543" w:type="dxa"/>
          </w:tcPr>
          <w:p w14:paraId="6B37AFE8"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Work</w:t>
            </w:r>
            <w:r w:rsidRPr="00832FF3">
              <w:rPr>
                <w:rFonts w:ascii="Times New Roman" w:eastAsia="Times New Roman" w:hAnsi="Times New Roman" w:cs="Times New Roman"/>
                <w:b/>
                <w:spacing w:val="-10"/>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Experience</w:t>
            </w:r>
          </w:p>
        </w:tc>
        <w:tc>
          <w:tcPr>
            <w:tcW w:w="3144" w:type="dxa"/>
          </w:tcPr>
          <w:p w14:paraId="5264487F"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 xml:space="preserve">1–5 </w:t>
            </w:r>
            <w:r w:rsidRPr="00832FF3">
              <w:rPr>
                <w:rFonts w:ascii="Times New Roman" w:eastAsia="Times New Roman" w:hAnsi="Times New Roman" w:cs="Times New Roman"/>
                <w:spacing w:val="-2"/>
                <w:kern w:val="0"/>
                <w:sz w:val="22"/>
                <w:szCs w:val="22"/>
                <w14:ligatures w14:val="none"/>
              </w:rPr>
              <w:t>years</w:t>
            </w:r>
          </w:p>
        </w:tc>
        <w:tc>
          <w:tcPr>
            <w:tcW w:w="1423" w:type="dxa"/>
          </w:tcPr>
          <w:p w14:paraId="6C3E1BA8"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79</w:t>
            </w:r>
          </w:p>
        </w:tc>
        <w:tc>
          <w:tcPr>
            <w:tcW w:w="1619" w:type="dxa"/>
          </w:tcPr>
          <w:p w14:paraId="25B7EEF9"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21.2</w:t>
            </w:r>
          </w:p>
        </w:tc>
      </w:tr>
      <w:tr w:rsidR="00832FF3" w:rsidRPr="00832FF3" w14:paraId="2A5B1495" w14:textId="77777777" w:rsidTr="00483C28">
        <w:trPr>
          <w:trHeight w:val="313"/>
        </w:trPr>
        <w:tc>
          <w:tcPr>
            <w:tcW w:w="2543" w:type="dxa"/>
          </w:tcPr>
          <w:p w14:paraId="669C6D1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1A1168AB"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6–10</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423" w:type="dxa"/>
          </w:tcPr>
          <w:p w14:paraId="28E917C7"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138</w:t>
            </w:r>
          </w:p>
        </w:tc>
        <w:tc>
          <w:tcPr>
            <w:tcW w:w="1619" w:type="dxa"/>
          </w:tcPr>
          <w:p w14:paraId="1141F4DA"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37.0</w:t>
            </w:r>
          </w:p>
        </w:tc>
      </w:tr>
      <w:tr w:rsidR="00832FF3" w:rsidRPr="00832FF3" w14:paraId="0166AD2E" w14:textId="77777777" w:rsidTr="00483C28">
        <w:trPr>
          <w:trHeight w:val="310"/>
        </w:trPr>
        <w:tc>
          <w:tcPr>
            <w:tcW w:w="2543" w:type="dxa"/>
          </w:tcPr>
          <w:p w14:paraId="03315340"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16537DCB"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11–15</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423" w:type="dxa"/>
          </w:tcPr>
          <w:p w14:paraId="1C0D896D"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97</w:t>
            </w:r>
          </w:p>
        </w:tc>
        <w:tc>
          <w:tcPr>
            <w:tcW w:w="1619" w:type="dxa"/>
          </w:tcPr>
          <w:p w14:paraId="4E5DD950"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26.0</w:t>
            </w:r>
          </w:p>
        </w:tc>
      </w:tr>
      <w:tr w:rsidR="00832FF3" w:rsidRPr="00832FF3" w14:paraId="4488788B" w14:textId="77777777" w:rsidTr="00483C28">
        <w:trPr>
          <w:trHeight w:val="311"/>
        </w:trPr>
        <w:tc>
          <w:tcPr>
            <w:tcW w:w="2543" w:type="dxa"/>
          </w:tcPr>
          <w:p w14:paraId="5B0E6C64"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53611863" w14:textId="77777777" w:rsidR="00832FF3" w:rsidRPr="00832FF3" w:rsidRDefault="00832FF3" w:rsidP="00AE7FA9">
            <w:pPr>
              <w:widowControl w:val="0"/>
              <w:autoSpaceDE w:val="0"/>
              <w:autoSpaceDN w:val="0"/>
              <w:spacing w:before="24"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16</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years</w:t>
            </w:r>
            <w:r w:rsidRPr="00832FF3">
              <w:rPr>
                <w:rFonts w:ascii="Times New Roman" w:eastAsia="Times New Roman" w:hAnsi="Times New Roman" w:cs="Times New Roman"/>
                <w:spacing w:val="-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and</w:t>
            </w:r>
            <w:r w:rsidRPr="00832FF3">
              <w:rPr>
                <w:rFonts w:ascii="Times New Roman" w:eastAsia="Times New Roman" w:hAnsi="Times New Roman" w:cs="Times New Roman"/>
                <w:spacing w:val="-1"/>
                <w:kern w:val="0"/>
                <w:sz w:val="22"/>
                <w:szCs w:val="22"/>
                <w14:ligatures w14:val="none"/>
              </w:rPr>
              <w:t xml:space="preserve"> </w:t>
            </w:r>
            <w:r w:rsidRPr="00832FF3">
              <w:rPr>
                <w:rFonts w:ascii="Times New Roman" w:eastAsia="Times New Roman" w:hAnsi="Times New Roman" w:cs="Times New Roman"/>
                <w:spacing w:val="-4"/>
                <w:kern w:val="0"/>
                <w:sz w:val="22"/>
                <w:szCs w:val="22"/>
                <w14:ligatures w14:val="none"/>
              </w:rPr>
              <w:t>above</w:t>
            </w:r>
          </w:p>
        </w:tc>
        <w:tc>
          <w:tcPr>
            <w:tcW w:w="1423" w:type="dxa"/>
          </w:tcPr>
          <w:p w14:paraId="4EF16E06" w14:textId="77777777" w:rsidR="00832FF3" w:rsidRPr="00832FF3" w:rsidRDefault="00832FF3" w:rsidP="00AE7FA9">
            <w:pPr>
              <w:widowControl w:val="0"/>
              <w:autoSpaceDE w:val="0"/>
              <w:autoSpaceDN w:val="0"/>
              <w:spacing w:before="24"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59</w:t>
            </w:r>
          </w:p>
        </w:tc>
        <w:tc>
          <w:tcPr>
            <w:tcW w:w="1619" w:type="dxa"/>
          </w:tcPr>
          <w:p w14:paraId="1F16B0C7" w14:textId="77777777" w:rsidR="00832FF3" w:rsidRPr="00832FF3" w:rsidRDefault="00832FF3" w:rsidP="00AE7FA9">
            <w:pPr>
              <w:widowControl w:val="0"/>
              <w:autoSpaceDE w:val="0"/>
              <w:autoSpaceDN w:val="0"/>
              <w:spacing w:before="24"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15.8</w:t>
            </w:r>
          </w:p>
        </w:tc>
      </w:tr>
      <w:tr w:rsidR="00832FF3" w:rsidRPr="00832FF3" w14:paraId="0DDB53ED" w14:textId="77777777" w:rsidTr="00483C28">
        <w:trPr>
          <w:trHeight w:val="313"/>
        </w:trPr>
        <w:tc>
          <w:tcPr>
            <w:tcW w:w="2543" w:type="dxa"/>
          </w:tcPr>
          <w:p w14:paraId="42853374"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Manufacturing</w:t>
            </w:r>
            <w:r w:rsidRPr="00832FF3">
              <w:rPr>
                <w:rFonts w:ascii="Times New Roman" w:eastAsia="Times New Roman" w:hAnsi="Times New Roman" w:cs="Times New Roman"/>
                <w:b/>
                <w:spacing w:val="-9"/>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Sector</w:t>
            </w:r>
          </w:p>
        </w:tc>
        <w:tc>
          <w:tcPr>
            <w:tcW w:w="3144" w:type="dxa"/>
          </w:tcPr>
          <w:p w14:paraId="0B13C382"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 xml:space="preserve">Food &amp; </w:t>
            </w:r>
            <w:r w:rsidRPr="00832FF3">
              <w:rPr>
                <w:rFonts w:ascii="Times New Roman" w:eastAsia="Times New Roman" w:hAnsi="Times New Roman" w:cs="Times New Roman"/>
                <w:spacing w:val="-2"/>
                <w:kern w:val="0"/>
                <w:sz w:val="22"/>
                <w:szCs w:val="22"/>
                <w14:ligatures w14:val="none"/>
              </w:rPr>
              <w:t>Beverage</w:t>
            </w:r>
          </w:p>
        </w:tc>
        <w:tc>
          <w:tcPr>
            <w:tcW w:w="1423" w:type="dxa"/>
          </w:tcPr>
          <w:p w14:paraId="104007F4"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123</w:t>
            </w:r>
          </w:p>
        </w:tc>
        <w:tc>
          <w:tcPr>
            <w:tcW w:w="1619" w:type="dxa"/>
          </w:tcPr>
          <w:p w14:paraId="037DD830"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33.0</w:t>
            </w:r>
          </w:p>
        </w:tc>
      </w:tr>
      <w:tr w:rsidR="00832FF3" w:rsidRPr="00832FF3" w14:paraId="6AC974F0" w14:textId="77777777" w:rsidTr="00483C28">
        <w:trPr>
          <w:trHeight w:val="313"/>
        </w:trPr>
        <w:tc>
          <w:tcPr>
            <w:tcW w:w="2543" w:type="dxa"/>
          </w:tcPr>
          <w:p w14:paraId="322F5E3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5E3D9FB8"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Chemicals/Pharmaceuticals</w:t>
            </w:r>
          </w:p>
        </w:tc>
        <w:tc>
          <w:tcPr>
            <w:tcW w:w="1423" w:type="dxa"/>
          </w:tcPr>
          <w:p w14:paraId="7D2543D6" w14:textId="77777777" w:rsidR="00832FF3" w:rsidRPr="00832FF3" w:rsidRDefault="00832FF3" w:rsidP="00AE7FA9">
            <w:pPr>
              <w:widowControl w:val="0"/>
              <w:autoSpaceDE w:val="0"/>
              <w:autoSpaceDN w:val="0"/>
              <w:spacing w:before="2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78</w:t>
            </w:r>
          </w:p>
        </w:tc>
        <w:tc>
          <w:tcPr>
            <w:tcW w:w="1619" w:type="dxa"/>
          </w:tcPr>
          <w:p w14:paraId="19A85B76"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20.9</w:t>
            </w:r>
          </w:p>
        </w:tc>
      </w:tr>
      <w:tr w:rsidR="00832FF3" w:rsidRPr="00832FF3" w14:paraId="24ABAF77" w14:textId="77777777" w:rsidTr="00483C28">
        <w:trPr>
          <w:trHeight w:val="303"/>
        </w:trPr>
        <w:tc>
          <w:tcPr>
            <w:tcW w:w="2543" w:type="dxa"/>
          </w:tcPr>
          <w:p w14:paraId="4D98086F"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3144" w:type="dxa"/>
          </w:tcPr>
          <w:p w14:paraId="5C885DDE"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Textile</w:t>
            </w:r>
            <w:r w:rsidRPr="00832FF3">
              <w:rPr>
                <w:rFonts w:ascii="Times New Roman" w:eastAsia="Times New Roman" w:hAnsi="Times New Roman" w:cs="Times New Roman"/>
                <w:spacing w:val="-1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&amp;</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Garments</w:t>
            </w:r>
          </w:p>
        </w:tc>
        <w:tc>
          <w:tcPr>
            <w:tcW w:w="1423" w:type="dxa"/>
          </w:tcPr>
          <w:p w14:paraId="7685FBCA" w14:textId="77777777" w:rsidR="00832FF3" w:rsidRPr="00832FF3" w:rsidRDefault="00832FF3" w:rsidP="00AE7FA9">
            <w:pPr>
              <w:widowControl w:val="0"/>
              <w:autoSpaceDE w:val="0"/>
              <w:autoSpaceDN w:val="0"/>
              <w:spacing w:before="26"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66</w:t>
            </w:r>
          </w:p>
        </w:tc>
        <w:tc>
          <w:tcPr>
            <w:tcW w:w="1619" w:type="dxa"/>
          </w:tcPr>
          <w:p w14:paraId="0D19750A"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17.7</w:t>
            </w:r>
          </w:p>
        </w:tc>
      </w:tr>
      <w:tr w:rsidR="00832FF3" w:rsidRPr="00832FF3" w14:paraId="66DA0EBA" w14:textId="77777777" w:rsidTr="00483C28">
        <w:trPr>
          <w:trHeight w:val="268"/>
        </w:trPr>
        <w:tc>
          <w:tcPr>
            <w:tcW w:w="2543" w:type="dxa"/>
          </w:tcPr>
          <w:p w14:paraId="69772FD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18"/>
                <w:szCs w:val="22"/>
                <w14:ligatures w14:val="none"/>
              </w:rPr>
            </w:pPr>
          </w:p>
        </w:tc>
        <w:tc>
          <w:tcPr>
            <w:tcW w:w="3144" w:type="dxa"/>
          </w:tcPr>
          <w:p w14:paraId="1C73FDA4" w14:textId="77777777" w:rsidR="00832FF3" w:rsidRPr="00832FF3" w:rsidRDefault="00832FF3" w:rsidP="00AE7FA9">
            <w:pPr>
              <w:widowControl w:val="0"/>
              <w:autoSpaceDE w:val="0"/>
              <w:autoSpaceDN w:val="0"/>
              <w:spacing w:before="1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Cement/Construction</w:t>
            </w:r>
            <w:r w:rsidRPr="00832FF3">
              <w:rPr>
                <w:rFonts w:ascii="Times New Roman" w:eastAsia="Times New Roman" w:hAnsi="Times New Roman" w:cs="Times New Roman"/>
                <w:spacing w:val="15"/>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Materials</w:t>
            </w:r>
          </w:p>
        </w:tc>
        <w:tc>
          <w:tcPr>
            <w:tcW w:w="1423" w:type="dxa"/>
          </w:tcPr>
          <w:p w14:paraId="28D63394" w14:textId="77777777" w:rsidR="00832FF3" w:rsidRPr="00832FF3" w:rsidRDefault="00832FF3" w:rsidP="00AE7FA9">
            <w:pPr>
              <w:widowControl w:val="0"/>
              <w:autoSpaceDE w:val="0"/>
              <w:autoSpaceDN w:val="0"/>
              <w:spacing w:before="15" w:after="0" w:line="240" w:lineRule="auto"/>
              <w:ind w:right="10"/>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54</w:t>
            </w:r>
          </w:p>
        </w:tc>
        <w:tc>
          <w:tcPr>
            <w:tcW w:w="1619" w:type="dxa"/>
          </w:tcPr>
          <w:p w14:paraId="3C8574AE" w14:textId="77777777" w:rsidR="00832FF3" w:rsidRPr="00832FF3" w:rsidRDefault="00832FF3" w:rsidP="00AE7FA9">
            <w:pPr>
              <w:widowControl w:val="0"/>
              <w:autoSpaceDE w:val="0"/>
              <w:autoSpaceDN w:val="0"/>
              <w:spacing w:before="1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14.5</w:t>
            </w:r>
          </w:p>
        </w:tc>
      </w:tr>
    </w:tbl>
    <w:p w14:paraId="5673D567"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 w:val="22"/>
          <w:szCs w:val="22"/>
          <w14:ligatures w14:val="none"/>
        </w:rPr>
        <w:sectPr w:rsidR="00832FF3" w:rsidRPr="00832FF3" w:rsidSect="00832FF3">
          <w:pgSz w:w="12240" w:h="15840"/>
          <w:pgMar w:top="1360" w:right="0" w:bottom="1200" w:left="1080" w:header="0" w:footer="346" w:gutter="0"/>
          <w:cols w:space="720"/>
        </w:sectPr>
      </w:pPr>
    </w:p>
    <w:p w14:paraId="34CEB679" w14:textId="77777777" w:rsidR="00832FF3" w:rsidRPr="00832FF3" w:rsidRDefault="00832FF3" w:rsidP="00AE7FA9">
      <w:pPr>
        <w:widowControl w:val="0"/>
        <w:autoSpaceDE w:val="0"/>
        <w:autoSpaceDN w:val="0"/>
        <w:spacing w:before="1" w:after="0" w:line="240" w:lineRule="auto"/>
        <w:rPr>
          <w:rFonts w:ascii="Times New Roman" w:eastAsia="Times New Roman" w:hAnsi="Times New Roman" w:cs="Times New Roman"/>
          <w:b/>
          <w:kern w:val="0"/>
          <w:sz w:val="2"/>
          <w14:ligatures w14:val="none"/>
        </w:rPr>
      </w:pPr>
    </w:p>
    <w:tbl>
      <w:tblPr>
        <w:tblW w:w="0" w:type="auto"/>
        <w:tblInd w:w="187" w:type="dxa"/>
        <w:tblLayout w:type="fixed"/>
        <w:tblCellMar>
          <w:left w:w="0" w:type="dxa"/>
          <w:right w:w="0" w:type="dxa"/>
        </w:tblCellMar>
        <w:tblLook w:val="01E0" w:firstRow="1" w:lastRow="1" w:firstColumn="1" w:lastColumn="1" w:noHBand="0" w:noVBand="0"/>
      </w:tblPr>
      <w:tblGrid>
        <w:gridCol w:w="2496"/>
        <w:gridCol w:w="2700"/>
        <w:gridCol w:w="1921"/>
        <w:gridCol w:w="1624"/>
      </w:tblGrid>
      <w:tr w:rsidR="00832FF3" w:rsidRPr="00832FF3" w14:paraId="19B0A5DC" w14:textId="77777777" w:rsidTr="00483C28">
        <w:trPr>
          <w:trHeight w:val="280"/>
        </w:trPr>
        <w:tc>
          <w:tcPr>
            <w:tcW w:w="2496" w:type="dxa"/>
            <w:tcBorders>
              <w:top w:val="single" w:sz="4" w:space="0" w:color="000000"/>
              <w:bottom w:val="single" w:sz="4" w:space="0" w:color="000000"/>
            </w:tcBorders>
          </w:tcPr>
          <w:p w14:paraId="793B0291" w14:textId="77777777" w:rsidR="00832FF3" w:rsidRPr="00832FF3" w:rsidRDefault="00832FF3" w:rsidP="00AE7FA9">
            <w:pPr>
              <w:widowControl w:val="0"/>
              <w:autoSpaceDE w:val="0"/>
              <w:autoSpaceDN w:val="0"/>
              <w:spacing w:before="6"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Demographic</w:t>
            </w:r>
            <w:r w:rsidRPr="00832FF3">
              <w:rPr>
                <w:rFonts w:ascii="Times New Roman" w:eastAsia="Times New Roman" w:hAnsi="Times New Roman" w:cs="Times New Roman"/>
                <w:b/>
                <w:spacing w:val="2"/>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Variable</w:t>
            </w:r>
          </w:p>
        </w:tc>
        <w:tc>
          <w:tcPr>
            <w:tcW w:w="2700" w:type="dxa"/>
            <w:tcBorders>
              <w:top w:val="single" w:sz="4" w:space="0" w:color="000000"/>
              <w:bottom w:val="single" w:sz="4" w:space="0" w:color="000000"/>
            </w:tcBorders>
          </w:tcPr>
          <w:p w14:paraId="67DE60DF" w14:textId="77777777" w:rsidR="00832FF3" w:rsidRPr="00832FF3" w:rsidRDefault="00832FF3" w:rsidP="00AE7FA9">
            <w:pPr>
              <w:widowControl w:val="0"/>
              <w:autoSpaceDE w:val="0"/>
              <w:autoSpaceDN w:val="0"/>
              <w:spacing w:before="6"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Category</w:t>
            </w:r>
          </w:p>
        </w:tc>
        <w:tc>
          <w:tcPr>
            <w:tcW w:w="1921" w:type="dxa"/>
            <w:tcBorders>
              <w:top w:val="single" w:sz="4" w:space="0" w:color="000000"/>
              <w:bottom w:val="single" w:sz="4" w:space="0" w:color="000000"/>
            </w:tcBorders>
          </w:tcPr>
          <w:p w14:paraId="59372FF0" w14:textId="77777777" w:rsidR="00832FF3" w:rsidRPr="00832FF3" w:rsidRDefault="00832FF3" w:rsidP="00AE7FA9">
            <w:pPr>
              <w:widowControl w:val="0"/>
              <w:autoSpaceDE w:val="0"/>
              <w:autoSpaceDN w:val="0"/>
              <w:spacing w:before="6" w:after="0" w:line="240" w:lineRule="auto"/>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Frequency</w:t>
            </w:r>
          </w:p>
        </w:tc>
        <w:tc>
          <w:tcPr>
            <w:tcW w:w="1624" w:type="dxa"/>
            <w:tcBorders>
              <w:top w:val="single" w:sz="4" w:space="0" w:color="000000"/>
              <w:bottom w:val="single" w:sz="4" w:space="0" w:color="000000"/>
            </w:tcBorders>
          </w:tcPr>
          <w:p w14:paraId="3536FDBA" w14:textId="77777777" w:rsidR="00832FF3" w:rsidRPr="00832FF3" w:rsidRDefault="00832FF3" w:rsidP="00AE7FA9">
            <w:pPr>
              <w:widowControl w:val="0"/>
              <w:autoSpaceDE w:val="0"/>
              <w:autoSpaceDN w:val="0"/>
              <w:spacing w:before="6" w:after="0" w:line="240" w:lineRule="auto"/>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Percentage</w:t>
            </w:r>
            <w:r w:rsidRPr="00832FF3">
              <w:rPr>
                <w:rFonts w:ascii="Times New Roman" w:eastAsia="Times New Roman" w:hAnsi="Times New Roman" w:cs="Times New Roman"/>
                <w:b/>
                <w:spacing w:val="6"/>
                <w:kern w:val="0"/>
                <w:sz w:val="22"/>
                <w:szCs w:val="22"/>
                <w14:ligatures w14:val="none"/>
              </w:rPr>
              <w:t xml:space="preserve"> </w:t>
            </w:r>
            <w:r w:rsidRPr="00832FF3">
              <w:rPr>
                <w:rFonts w:ascii="Times New Roman" w:eastAsia="Times New Roman" w:hAnsi="Times New Roman" w:cs="Times New Roman"/>
                <w:b/>
                <w:spacing w:val="-5"/>
                <w:kern w:val="0"/>
                <w:sz w:val="22"/>
                <w:szCs w:val="22"/>
                <w14:ligatures w14:val="none"/>
              </w:rPr>
              <w:t>(%)</w:t>
            </w:r>
          </w:p>
        </w:tc>
      </w:tr>
      <w:tr w:rsidR="00832FF3" w:rsidRPr="00832FF3" w14:paraId="6BEB31A6" w14:textId="77777777" w:rsidTr="00483C28">
        <w:trPr>
          <w:trHeight w:val="332"/>
        </w:trPr>
        <w:tc>
          <w:tcPr>
            <w:tcW w:w="2496" w:type="dxa"/>
            <w:tcBorders>
              <w:top w:val="single" w:sz="4" w:space="0" w:color="000000"/>
            </w:tcBorders>
          </w:tcPr>
          <w:p w14:paraId="28D7A1D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700" w:type="dxa"/>
            <w:tcBorders>
              <w:top w:val="single" w:sz="4" w:space="0" w:color="000000"/>
            </w:tcBorders>
          </w:tcPr>
          <w:p w14:paraId="73699D48" w14:textId="77777777" w:rsidR="00832FF3" w:rsidRPr="00832FF3" w:rsidRDefault="00832FF3" w:rsidP="00AE7FA9">
            <w:pPr>
              <w:widowControl w:val="0"/>
              <w:autoSpaceDE w:val="0"/>
              <w:autoSpaceDN w:val="0"/>
              <w:spacing w:before="44"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Other</w:t>
            </w:r>
          </w:p>
        </w:tc>
        <w:tc>
          <w:tcPr>
            <w:tcW w:w="1921" w:type="dxa"/>
            <w:tcBorders>
              <w:top w:val="single" w:sz="4" w:space="0" w:color="000000"/>
            </w:tcBorders>
          </w:tcPr>
          <w:p w14:paraId="35C3D8FB" w14:textId="77777777" w:rsidR="00832FF3" w:rsidRPr="00832FF3" w:rsidRDefault="00832FF3" w:rsidP="00AE7FA9">
            <w:pPr>
              <w:widowControl w:val="0"/>
              <w:autoSpaceDE w:val="0"/>
              <w:autoSpaceDN w:val="0"/>
              <w:spacing w:before="44"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52</w:t>
            </w:r>
          </w:p>
        </w:tc>
        <w:tc>
          <w:tcPr>
            <w:tcW w:w="1624" w:type="dxa"/>
            <w:tcBorders>
              <w:top w:val="single" w:sz="4" w:space="0" w:color="000000"/>
            </w:tcBorders>
          </w:tcPr>
          <w:p w14:paraId="3567D88C" w14:textId="77777777" w:rsidR="00832FF3" w:rsidRPr="00832FF3" w:rsidRDefault="00832FF3" w:rsidP="00AE7FA9">
            <w:pPr>
              <w:widowControl w:val="0"/>
              <w:autoSpaceDE w:val="0"/>
              <w:autoSpaceDN w:val="0"/>
              <w:spacing w:before="44"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13.9</w:t>
            </w:r>
          </w:p>
        </w:tc>
      </w:tr>
      <w:tr w:rsidR="00832FF3" w:rsidRPr="00832FF3" w14:paraId="12476D2A" w14:textId="77777777" w:rsidTr="00483C28">
        <w:trPr>
          <w:trHeight w:val="313"/>
        </w:trPr>
        <w:tc>
          <w:tcPr>
            <w:tcW w:w="2496" w:type="dxa"/>
          </w:tcPr>
          <w:p w14:paraId="38DC8F63"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Organization</w:t>
            </w:r>
            <w:r w:rsidRPr="00832FF3">
              <w:rPr>
                <w:rFonts w:ascii="Times New Roman" w:eastAsia="Times New Roman" w:hAnsi="Times New Roman" w:cs="Times New Roman"/>
                <w:b/>
                <w:spacing w:val="1"/>
                <w:kern w:val="0"/>
                <w:sz w:val="22"/>
                <w:szCs w:val="22"/>
                <w14:ligatures w14:val="none"/>
              </w:rPr>
              <w:t xml:space="preserve"> </w:t>
            </w:r>
            <w:r w:rsidRPr="00832FF3">
              <w:rPr>
                <w:rFonts w:ascii="Times New Roman" w:eastAsia="Times New Roman" w:hAnsi="Times New Roman" w:cs="Times New Roman"/>
                <w:b/>
                <w:spacing w:val="-4"/>
                <w:kern w:val="0"/>
                <w:sz w:val="22"/>
                <w:szCs w:val="22"/>
                <w14:ligatures w14:val="none"/>
              </w:rPr>
              <w:t>Size</w:t>
            </w:r>
          </w:p>
        </w:tc>
        <w:tc>
          <w:tcPr>
            <w:tcW w:w="2700" w:type="dxa"/>
          </w:tcPr>
          <w:p w14:paraId="007599F7"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 xml:space="preserve">1–49 </w:t>
            </w:r>
            <w:r w:rsidRPr="00832FF3">
              <w:rPr>
                <w:rFonts w:ascii="Times New Roman" w:eastAsia="Times New Roman" w:hAnsi="Times New Roman" w:cs="Times New Roman"/>
                <w:spacing w:val="-2"/>
                <w:kern w:val="0"/>
                <w:sz w:val="22"/>
                <w:szCs w:val="22"/>
                <w14:ligatures w14:val="none"/>
              </w:rPr>
              <w:t>employees</w:t>
            </w:r>
          </w:p>
        </w:tc>
        <w:tc>
          <w:tcPr>
            <w:tcW w:w="1921" w:type="dxa"/>
          </w:tcPr>
          <w:p w14:paraId="3AA059C5" w14:textId="77777777" w:rsidR="00832FF3" w:rsidRPr="00832FF3" w:rsidRDefault="00832FF3" w:rsidP="00AE7FA9">
            <w:pPr>
              <w:widowControl w:val="0"/>
              <w:autoSpaceDE w:val="0"/>
              <w:autoSpaceDN w:val="0"/>
              <w:spacing w:before="26"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74</w:t>
            </w:r>
          </w:p>
        </w:tc>
        <w:tc>
          <w:tcPr>
            <w:tcW w:w="1624" w:type="dxa"/>
          </w:tcPr>
          <w:p w14:paraId="34A0A785"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19.8</w:t>
            </w:r>
          </w:p>
        </w:tc>
      </w:tr>
      <w:tr w:rsidR="00832FF3" w:rsidRPr="00832FF3" w14:paraId="0F4E0886" w14:textId="77777777" w:rsidTr="00483C28">
        <w:trPr>
          <w:trHeight w:val="312"/>
        </w:trPr>
        <w:tc>
          <w:tcPr>
            <w:tcW w:w="2496" w:type="dxa"/>
          </w:tcPr>
          <w:p w14:paraId="5933A18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700" w:type="dxa"/>
          </w:tcPr>
          <w:p w14:paraId="2CC96807"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50–199</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employees</w:t>
            </w:r>
          </w:p>
        </w:tc>
        <w:tc>
          <w:tcPr>
            <w:tcW w:w="1921" w:type="dxa"/>
          </w:tcPr>
          <w:p w14:paraId="45A8AB29" w14:textId="77777777" w:rsidR="00832FF3" w:rsidRPr="00832FF3" w:rsidRDefault="00832FF3" w:rsidP="00AE7FA9">
            <w:pPr>
              <w:widowControl w:val="0"/>
              <w:autoSpaceDE w:val="0"/>
              <w:autoSpaceDN w:val="0"/>
              <w:spacing w:before="25" w:after="0" w:line="240" w:lineRule="auto"/>
              <w:ind w:right="2"/>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156</w:t>
            </w:r>
          </w:p>
        </w:tc>
        <w:tc>
          <w:tcPr>
            <w:tcW w:w="1624" w:type="dxa"/>
          </w:tcPr>
          <w:p w14:paraId="72BB1CD5"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41.8</w:t>
            </w:r>
          </w:p>
        </w:tc>
      </w:tr>
      <w:tr w:rsidR="00832FF3" w:rsidRPr="00832FF3" w14:paraId="73393C5B" w14:textId="77777777" w:rsidTr="00483C28">
        <w:trPr>
          <w:trHeight w:val="313"/>
        </w:trPr>
        <w:tc>
          <w:tcPr>
            <w:tcW w:w="2496" w:type="dxa"/>
          </w:tcPr>
          <w:p w14:paraId="3FA9BAF2"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700" w:type="dxa"/>
          </w:tcPr>
          <w:p w14:paraId="6D75AD94"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200–499</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employees</w:t>
            </w:r>
          </w:p>
        </w:tc>
        <w:tc>
          <w:tcPr>
            <w:tcW w:w="1921" w:type="dxa"/>
          </w:tcPr>
          <w:p w14:paraId="5690F489" w14:textId="77777777" w:rsidR="00832FF3" w:rsidRPr="00832FF3" w:rsidRDefault="00832FF3" w:rsidP="00AE7FA9">
            <w:pPr>
              <w:widowControl w:val="0"/>
              <w:autoSpaceDE w:val="0"/>
              <w:autoSpaceDN w:val="0"/>
              <w:spacing w:before="25"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92</w:t>
            </w:r>
          </w:p>
        </w:tc>
        <w:tc>
          <w:tcPr>
            <w:tcW w:w="1624" w:type="dxa"/>
          </w:tcPr>
          <w:p w14:paraId="120209A8"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24.7</w:t>
            </w:r>
          </w:p>
        </w:tc>
      </w:tr>
      <w:tr w:rsidR="00832FF3" w:rsidRPr="00832FF3" w14:paraId="349396EA" w14:textId="77777777" w:rsidTr="00483C28">
        <w:trPr>
          <w:trHeight w:val="313"/>
        </w:trPr>
        <w:tc>
          <w:tcPr>
            <w:tcW w:w="2496" w:type="dxa"/>
          </w:tcPr>
          <w:p w14:paraId="75CD767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700" w:type="dxa"/>
          </w:tcPr>
          <w:p w14:paraId="664622AB"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500</w:t>
            </w:r>
            <w:r w:rsidRPr="00832FF3">
              <w:rPr>
                <w:rFonts w:ascii="Times New Roman" w:eastAsia="Times New Roman" w:hAnsi="Times New Roman" w:cs="Times New Roman"/>
                <w:spacing w:val="-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and</w:t>
            </w:r>
            <w:r w:rsidRPr="00832FF3">
              <w:rPr>
                <w:rFonts w:ascii="Times New Roman" w:eastAsia="Times New Roman" w:hAnsi="Times New Roman" w:cs="Times New Roman"/>
                <w:spacing w:val="-2"/>
                <w:kern w:val="0"/>
                <w:sz w:val="22"/>
                <w:szCs w:val="22"/>
                <w14:ligatures w14:val="none"/>
              </w:rPr>
              <w:t xml:space="preserve"> above</w:t>
            </w:r>
          </w:p>
        </w:tc>
        <w:tc>
          <w:tcPr>
            <w:tcW w:w="1921" w:type="dxa"/>
          </w:tcPr>
          <w:p w14:paraId="2BACF4EE" w14:textId="77777777" w:rsidR="00832FF3" w:rsidRPr="00832FF3" w:rsidRDefault="00832FF3" w:rsidP="00AE7FA9">
            <w:pPr>
              <w:widowControl w:val="0"/>
              <w:autoSpaceDE w:val="0"/>
              <w:autoSpaceDN w:val="0"/>
              <w:spacing w:before="26"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51</w:t>
            </w:r>
          </w:p>
        </w:tc>
        <w:tc>
          <w:tcPr>
            <w:tcW w:w="1624" w:type="dxa"/>
          </w:tcPr>
          <w:p w14:paraId="253D1D23"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13.7</w:t>
            </w:r>
          </w:p>
        </w:tc>
      </w:tr>
      <w:tr w:rsidR="00832FF3" w:rsidRPr="00832FF3" w14:paraId="2877B0C1" w14:textId="77777777" w:rsidTr="00483C28">
        <w:trPr>
          <w:trHeight w:val="313"/>
        </w:trPr>
        <w:tc>
          <w:tcPr>
            <w:tcW w:w="2496" w:type="dxa"/>
          </w:tcPr>
          <w:p w14:paraId="1D1168A0"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Years</w:t>
            </w:r>
            <w:r w:rsidRPr="00832FF3">
              <w:rPr>
                <w:rFonts w:ascii="Times New Roman" w:eastAsia="Times New Roman" w:hAnsi="Times New Roman" w:cs="Times New Roman"/>
                <w:b/>
                <w:spacing w:val="-13"/>
                <w:kern w:val="0"/>
                <w:sz w:val="22"/>
                <w:szCs w:val="22"/>
                <w14:ligatures w14:val="none"/>
              </w:rPr>
              <w:t xml:space="preserve"> </w:t>
            </w:r>
            <w:r w:rsidRPr="00832FF3">
              <w:rPr>
                <w:rFonts w:ascii="Times New Roman" w:eastAsia="Times New Roman" w:hAnsi="Times New Roman" w:cs="Times New Roman"/>
                <w:b/>
                <w:kern w:val="0"/>
                <w:sz w:val="22"/>
                <w:szCs w:val="22"/>
                <w14:ligatures w14:val="none"/>
              </w:rPr>
              <w:t>of</w:t>
            </w:r>
            <w:r w:rsidRPr="00832FF3">
              <w:rPr>
                <w:rFonts w:ascii="Times New Roman" w:eastAsia="Times New Roman" w:hAnsi="Times New Roman" w:cs="Times New Roman"/>
                <w:b/>
                <w:spacing w:val="-13"/>
                <w:kern w:val="0"/>
                <w:sz w:val="22"/>
                <w:szCs w:val="22"/>
                <w14:ligatures w14:val="none"/>
              </w:rPr>
              <w:t xml:space="preserve"> </w:t>
            </w:r>
            <w:r w:rsidRPr="00832FF3">
              <w:rPr>
                <w:rFonts w:ascii="Times New Roman" w:eastAsia="Times New Roman" w:hAnsi="Times New Roman" w:cs="Times New Roman"/>
                <w:b/>
                <w:kern w:val="0"/>
                <w:sz w:val="22"/>
                <w:szCs w:val="22"/>
                <w14:ligatures w14:val="none"/>
              </w:rPr>
              <w:t>Firm</w:t>
            </w:r>
            <w:r w:rsidRPr="00832FF3">
              <w:rPr>
                <w:rFonts w:ascii="Times New Roman" w:eastAsia="Times New Roman" w:hAnsi="Times New Roman" w:cs="Times New Roman"/>
                <w:b/>
                <w:spacing w:val="-13"/>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Operation</w:t>
            </w:r>
          </w:p>
        </w:tc>
        <w:tc>
          <w:tcPr>
            <w:tcW w:w="2700" w:type="dxa"/>
          </w:tcPr>
          <w:p w14:paraId="3FE77EE4"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 xml:space="preserve">1–5 </w:t>
            </w:r>
            <w:r w:rsidRPr="00832FF3">
              <w:rPr>
                <w:rFonts w:ascii="Times New Roman" w:eastAsia="Times New Roman" w:hAnsi="Times New Roman" w:cs="Times New Roman"/>
                <w:spacing w:val="-2"/>
                <w:kern w:val="0"/>
                <w:sz w:val="22"/>
                <w:szCs w:val="22"/>
                <w14:ligatures w14:val="none"/>
              </w:rPr>
              <w:t>years</w:t>
            </w:r>
          </w:p>
        </w:tc>
        <w:tc>
          <w:tcPr>
            <w:tcW w:w="1921" w:type="dxa"/>
          </w:tcPr>
          <w:p w14:paraId="2EFBD695" w14:textId="77777777" w:rsidR="00832FF3" w:rsidRPr="00832FF3" w:rsidRDefault="00832FF3" w:rsidP="00AE7FA9">
            <w:pPr>
              <w:widowControl w:val="0"/>
              <w:autoSpaceDE w:val="0"/>
              <w:autoSpaceDN w:val="0"/>
              <w:spacing w:before="25"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58</w:t>
            </w:r>
          </w:p>
        </w:tc>
        <w:tc>
          <w:tcPr>
            <w:tcW w:w="1624" w:type="dxa"/>
          </w:tcPr>
          <w:p w14:paraId="0E63DF3C"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15.5</w:t>
            </w:r>
          </w:p>
        </w:tc>
      </w:tr>
      <w:tr w:rsidR="00832FF3" w:rsidRPr="00832FF3" w14:paraId="3F5EF935" w14:textId="77777777" w:rsidTr="00483C28">
        <w:trPr>
          <w:trHeight w:val="313"/>
        </w:trPr>
        <w:tc>
          <w:tcPr>
            <w:tcW w:w="2496" w:type="dxa"/>
          </w:tcPr>
          <w:p w14:paraId="12C4992F"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700" w:type="dxa"/>
          </w:tcPr>
          <w:p w14:paraId="1B3554FA"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6–10</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921" w:type="dxa"/>
          </w:tcPr>
          <w:p w14:paraId="6809B76F" w14:textId="77777777" w:rsidR="00832FF3" w:rsidRPr="00832FF3" w:rsidRDefault="00832FF3" w:rsidP="00AE7FA9">
            <w:pPr>
              <w:widowControl w:val="0"/>
              <w:autoSpaceDE w:val="0"/>
              <w:autoSpaceDN w:val="0"/>
              <w:spacing w:before="26" w:after="0" w:line="240" w:lineRule="auto"/>
              <w:ind w:right="2"/>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104</w:t>
            </w:r>
          </w:p>
        </w:tc>
        <w:tc>
          <w:tcPr>
            <w:tcW w:w="1624" w:type="dxa"/>
          </w:tcPr>
          <w:p w14:paraId="57CF1B81" w14:textId="77777777" w:rsidR="00832FF3" w:rsidRPr="00832FF3" w:rsidRDefault="00832FF3" w:rsidP="00AE7FA9">
            <w:pPr>
              <w:widowControl w:val="0"/>
              <w:autoSpaceDE w:val="0"/>
              <w:autoSpaceDN w:val="0"/>
              <w:spacing w:before="26"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27.9</w:t>
            </w:r>
          </w:p>
        </w:tc>
      </w:tr>
      <w:tr w:rsidR="00832FF3" w:rsidRPr="00832FF3" w14:paraId="76FD5641" w14:textId="77777777" w:rsidTr="00483C28">
        <w:trPr>
          <w:trHeight w:val="308"/>
        </w:trPr>
        <w:tc>
          <w:tcPr>
            <w:tcW w:w="2496" w:type="dxa"/>
          </w:tcPr>
          <w:p w14:paraId="398B3BD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700" w:type="dxa"/>
          </w:tcPr>
          <w:p w14:paraId="2D82D1C3"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11–20</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921" w:type="dxa"/>
          </w:tcPr>
          <w:p w14:paraId="0EB603F4" w14:textId="77777777" w:rsidR="00832FF3" w:rsidRPr="00832FF3" w:rsidRDefault="00832FF3" w:rsidP="00AE7FA9">
            <w:pPr>
              <w:widowControl w:val="0"/>
              <w:autoSpaceDE w:val="0"/>
              <w:autoSpaceDN w:val="0"/>
              <w:spacing w:before="25" w:after="0" w:line="240" w:lineRule="auto"/>
              <w:ind w:right="2"/>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142</w:t>
            </w:r>
          </w:p>
        </w:tc>
        <w:tc>
          <w:tcPr>
            <w:tcW w:w="1624" w:type="dxa"/>
          </w:tcPr>
          <w:p w14:paraId="77C26082" w14:textId="77777777" w:rsidR="00832FF3" w:rsidRPr="00832FF3" w:rsidRDefault="00832FF3" w:rsidP="00AE7FA9">
            <w:pPr>
              <w:widowControl w:val="0"/>
              <w:autoSpaceDE w:val="0"/>
              <w:autoSpaceDN w:val="0"/>
              <w:spacing w:before="25"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38.1</w:t>
            </w:r>
          </w:p>
        </w:tc>
      </w:tr>
      <w:tr w:rsidR="00832FF3" w:rsidRPr="00832FF3" w14:paraId="2319A200" w14:textId="77777777" w:rsidTr="00483C28">
        <w:trPr>
          <w:trHeight w:val="296"/>
        </w:trPr>
        <w:tc>
          <w:tcPr>
            <w:tcW w:w="2496" w:type="dxa"/>
            <w:tcBorders>
              <w:bottom w:val="single" w:sz="4" w:space="0" w:color="000000"/>
            </w:tcBorders>
          </w:tcPr>
          <w:p w14:paraId="6FE305B4"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700" w:type="dxa"/>
            <w:tcBorders>
              <w:bottom w:val="single" w:sz="4" w:space="0" w:color="000000"/>
            </w:tcBorders>
          </w:tcPr>
          <w:p w14:paraId="735EC199" w14:textId="77777777" w:rsidR="00832FF3" w:rsidRPr="00832FF3" w:rsidRDefault="00832FF3" w:rsidP="00AE7FA9">
            <w:pPr>
              <w:widowControl w:val="0"/>
              <w:autoSpaceDE w:val="0"/>
              <w:autoSpaceDN w:val="0"/>
              <w:spacing w:before="21"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Above</w:t>
            </w:r>
            <w:r w:rsidRPr="00832FF3">
              <w:rPr>
                <w:rFonts w:ascii="Times New Roman" w:eastAsia="Times New Roman" w:hAnsi="Times New Roman" w:cs="Times New Roman"/>
                <w:spacing w:val="-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20</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years</w:t>
            </w:r>
          </w:p>
        </w:tc>
        <w:tc>
          <w:tcPr>
            <w:tcW w:w="1921" w:type="dxa"/>
            <w:tcBorders>
              <w:bottom w:val="single" w:sz="4" w:space="0" w:color="000000"/>
            </w:tcBorders>
          </w:tcPr>
          <w:p w14:paraId="15360A7D" w14:textId="77777777" w:rsidR="00832FF3" w:rsidRPr="00832FF3" w:rsidRDefault="00832FF3" w:rsidP="00AE7FA9">
            <w:pPr>
              <w:widowControl w:val="0"/>
              <w:autoSpaceDE w:val="0"/>
              <w:autoSpaceDN w:val="0"/>
              <w:spacing w:before="21"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69</w:t>
            </w:r>
          </w:p>
        </w:tc>
        <w:tc>
          <w:tcPr>
            <w:tcW w:w="1624" w:type="dxa"/>
            <w:tcBorders>
              <w:bottom w:val="single" w:sz="4" w:space="0" w:color="000000"/>
            </w:tcBorders>
          </w:tcPr>
          <w:p w14:paraId="553D1348" w14:textId="77777777" w:rsidR="00832FF3" w:rsidRPr="00832FF3" w:rsidRDefault="00832FF3" w:rsidP="00AE7FA9">
            <w:pPr>
              <w:widowControl w:val="0"/>
              <w:autoSpaceDE w:val="0"/>
              <w:autoSpaceDN w:val="0"/>
              <w:spacing w:before="21" w:after="0" w:line="240" w:lineRule="auto"/>
              <w:ind w:right="8"/>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18.5</w:t>
            </w:r>
          </w:p>
        </w:tc>
      </w:tr>
    </w:tbl>
    <w:p w14:paraId="2968A29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2E32EE86" w14:textId="77777777" w:rsidR="00832FF3" w:rsidRPr="00832FF3" w:rsidRDefault="00832FF3" w:rsidP="00AE7FA9">
      <w:pPr>
        <w:widowControl w:val="0"/>
        <w:autoSpaceDE w:val="0"/>
        <w:autoSpaceDN w:val="0"/>
        <w:spacing w:before="42" w:after="0" w:line="240" w:lineRule="auto"/>
        <w:rPr>
          <w:rFonts w:ascii="Times New Roman" w:eastAsia="Times New Roman" w:hAnsi="Times New Roman" w:cs="Times New Roman"/>
          <w:b/>
          <w:kern w:val="0"/>
          <w14:ligatures w14:val="none"/>
        </w:rPr>
      </w:pPr>
    </w:p>
    <w:p w14:paraId="72F558D4" w14:textId="77777777" w:rsidR="00832FF3" w:rsidRPr="00832FF3" w:rsidRDefault="00832FF3" w:rsidP="00AE7FA9">
      <w:pPr>
        <w:widowControl w:val="0"/>
        <w:autoSpaceDE w:val="0"/>
        <w:autoSpaceDN w:val="0"/>
        <w:spacing w:after="0" w:line="240" w:lineRule="auto"/>
        <w:ind w:right="98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results show that male respondents constituted the majority of participants, accounting for 62.7 percent, while female respondents represented 35.4 percent, indicating that manufacturing management roles remain male-dominated but still include a notable proportion of female professionals. In terms of age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distribution,</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31–40</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years</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age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group</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recorded</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highest</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representation</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(40.8</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percent),</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suggesting that most respondents are in their mid-career stage and possess significant industry experience.</w:t>
      </w:r>
    </w:p>
    <w:p w14:paraId="495DA82A" w14:textId="77777777" w:rsidR="00832FF3" w:rsidRPr="00832FF3" w:rsidRDefault="00832FF3" w:rsidP="00AE7FA9">
      <w:pPr>
        <w:widowControl w:val="0"/>
        <w:autoSpaceDE w:val="0"/>
        <w:autoSpaceDN w:val="0"/>
        <w:spacing w:before="1" w:after="0" w:line="240" w:lineRule="auto"/>
        <w:ind w:right="983"/>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Educational qualifications show that Bachelor’s degree holders formed the majority (50.1 percent), followed by Master’s degree holders (25.2 percent), indicating that most respondents possess adequate educational backgrounds to understand technological and operational issues within manufacturing organizations. Regarding organizational position, production managers represented the largest group (33.8</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percent),</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followed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by</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operations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managers</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(27.9</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percent),</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which</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implies</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many</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respondents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are directly involved in production and operational decision-making.</w:t>
      </w:r>
    </w:p>
    <w:p w14:paraId="29092382" w14:textId="77777777" w:rsidR="00832FF3" w:rsidRPr="00832FF3" w:rsidRDefault="00832FF3" w:rsidP="00AE7FA9">
      <w:pPr>
        <w:widowControl w:val="0"/>
        <w:autoSpaceDE w:val="0"/>
        <w:autoSpaceDN w:val="0"/>
        <w:spacing w:after="0" w:line="240" w:lineRule="auto"/>
        <w:ind w:right="981"/>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analysis of work experience indicates that 37.0 percent of respondents had between 6 and 10 years of experience, suggesting a workforce with substantial practical exposure to manufacturing operations. In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terms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sector</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distribution,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food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beverage manufacturing</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recorded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highest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representation</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(33 percent), reflecting the dominance of this subsector within the Nigerian manufacturing industry. The results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further</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show</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that 41.8</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percent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 firms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employed</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between</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50 and</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199</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employees,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indicating</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that medium-sized</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constituted</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39"/>
          <w:kern w:val="0"/>
          <w14:ligatures w14:val="none"/>
        </w:rPr>
        <w:t xml:space="preserve"> </w:t>
      </w:r>
      <w:r w:rsidRPr="00832FF3">
        <w:rPr>
          <w:rFonts w:ascii="Times New Roman" w:eastAsia="Times New Roman" w:hAnsi="Times New Roman" w:cs="Times New Roman"/>
          <w:kern w:val="0"/>
          <w14:ligatures w14:val="none"/>
        </w:rPr>
        <w:t>largest</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proportion</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participating</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organizations.</w:t>
      </w:r>
    </w:p>
    <w:p w14:paraId="53C6787F" w14:textId="77777777" w:rsidR="00832FF3" w:rsidRPr="00832FF3" w:rsidRDefault="00832FF3" w:rsidP="00AE7FA9">
      <w:pPr>
        <w:widowControl w:val="0"/>
        <w:autoSpaceDE w:val="0"/>
        <w:autoSpaceDN w:val="0"/>
        <w:spacing w:before="79" w:after="0" w:line="240" w:lineRule="auto"/>
        <w:ind w:right="994"/>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Finally, the analysis of years of firm operation shows that 38.1 percent of the firms had operated for between 11 and 20 years, suggesting that most participating firms have relatively stable operational </w:t>
      </w:r>
      <w:r w:rsidRPr="00832FF3">
        <w:rPr>
          <w:rFonts w:ascii="Times New Roman" w:eastAsia="Times New Roman" w:hAnsi="Times New Roman" w:cs="Times New Roman"/>
          <w:spacing w:val="-2"/>
          <w:kern w:val="0"/>
          <w14:ligatures w14:val="none"/>
        </w:rPr>
        <w:t>histories.</w:t>
      </w:r>
    </w:p>
    <w:p w14:paraId="00098B23" w14:textId="77777777" w:rsidR="00832FF3" w:rsidRPr="00832FF3" w:rsidRDefault="00832FF3" w:rsidP="00AE7FA9">
      <w:pPr>
        <w:widowControl w:val="0"/>
        <w:autoSpaceDE w:val="0"/>
        <w:autoSpaceDN w:val="0"/>
        <w:spacing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4.3</w:t>
      </w:r>
      <w:r w:rsidRPr="00832FF3">
        <w:rPr>
          <w:rFonts w:ascii="Times New Roman" w:eastAsia="Times New Roman" w:hAnsi="Times New Roman" w:cs="Times New Roman"/>
          <w:b/>
          <w:bCs/>
          <w:spacing w:val="-6"/>
          <w:kern w:val="0"/>
          <w14:ligatures w14:val="none"/>
        </w:rPr>
        <w:t xml:space="preserve"> </w:t>
      </w:r>
      <w:r w:rsidRPr="00832FF3">
        <w:rPr>
          <w:rFonts w:ascii="Times New Roman" w:eastAsia="Times New Roman" w:hAnsi="Times New Roman" w:cs="Times New Roman"/>
          <w:b/>
          <w:bCs/>
          <w:kern w:val="0"/>
          <w14:ligatures w14:val="none"/>
        </w:rPr>
        <w:t>Descriptive</w:t>
      </w:r>
      <w:r w:rsidRPr="00832FF3">
        <w:rPr>
          <w:rFonts w:ascii="Times New Roman" w:eastAsia="Times New Roman" w:hAnsi="Times New Roman" w:cs="Times New Roman"/>
          <w:b/>
          <w:bCs/>
          <w:spacing w:val="-5"/>
          <w:kern w:val="0"/>
          <w14:ligatures w14:val="none"/>
        </w:rPr>
        <w:t xml:space="preserve"> </w:t>
      </w:r>
      <w:r w:rsidRPr="00832FF3">
        <w:rPr>
          <w:rFonts w:ascii="Times New Roman" w:eastAsia="Times New Roman" w:hAnsi="Times New Roman" w:cs="Times New Roman"/>
          <w:b/>
          <w:bCs/>
          <w:spacing w:val="-2"/>
          <w:kern w:val="0"/>
          <w14:ligatures w14:val="none"/>
        </w:rPr>
        <w:t>Statistics</w:t>
      </w:r>
    </w:p>
    <w:p w14:paraId="092B7FE1" w14:textId="77777777" w:rsidR="00832FF3" w:rsidRPr="00832FF3" w:rsidRDefault="00832FF3" w:rsidP="00AE7FA9">
      <w:pPr>
        <w:widowControl w:val="0"/>
        <w:autoSpaceDE w:val="0"/>
        <w:autoSpaceDN w:val="0"/>
        <w:spacing w:before="274" w:after="0"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This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section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presents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descriptive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statistics</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study</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variables (Hair</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et al.,</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spacing w:val="-2"/>
          <w:kern w:val="0"/>
          <w14:ligatures w14:val="none"/>
        </w:rPr>
        <w:t>2019).</w:t>
      </w:r>
    </w:p>
    <w:p w14:paraId="64D59D20"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p>
    <w:p w14:paraId="71F9B992" w14:textId="77777777" w:rsidR="00832FF3" w:rsidRPr="00832FF3" w:rsidRDefault="00832FF3" w:rsidP="00AE7FA9">
      <w:pPr>
        <w:widowControl w:val="0"/>
        <w:autoSpaceDE w:val="0"/>
        <w:autoSpaceDN w:val="0"/>
        <w:spacing w:after="44"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Table</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4:</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Summary</w:t>
      </w:r>
      <w:r w:rsidRPr="00832FF3">
        <w:rPr>
          <w:rFonts w:ascii="Times New Roman" w:eastAsia="Times New Roman" w:hAnsi="Times New Roman" w:cs="Times New Roman"/>
          <w:b/>
          <w:bCs/>
          <w:spacing w:val="-9"/>
          <w:kern w:val="0"/>
          <w14:ligatures w14:val="none"/>
        </w:rPr>
        <w:t xml:space="preserve"> </w:t>
      </w:r>
      <w:r w:rsidRPr="00832FF3">
        <w:rPr>
          <w:rFonts w:ascii="Times New Roman" w:eastAsia="Times New Roman" w:hAnsi="Times New Roman" w:cs="Times New Roman"/>
          <w:b/>
          <w:bCs/>
          <w:kern w:val="0"/>
          <w14:ligatures w14:val="none"/>
        </w:rPr>
        <w:t>of</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Descriptive</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Statistics</w:t>
      </w:r>
      <w:r w:rsidRPr="00832FF3">
        <w:rPr>
          <w:rFonts w:ascii="Times New Roman" w:eastAsia="Times New Roman" w:hAnsi="Times New Roman" w:cs="Times New Roman"/>
          <w:b/>
          <w:bCs/>
          <w:spacing w:val="-7"/>
          <w:kern w:val="0"/>
          <w14:ligatures w14:val="none"/>
        </w:rPr>
        <w:t xml:space="preserve"> </w:t>
      </w:r>
      <w:r w:rsidRPr="00832FF3">
        <w:rPr>
          <w:rFonts w:ascii="Times New Roman" w:eastAsia="Times New Roman" w:hAnsi="Times New Roman" w:cs="Times New Roman"/>
          <w:b/>
          <w:bCs/>
          <w:kern w:val="0"/>
          <w14:ligatures w14:val="none"/>
        </w:rPr>
        <w:t>for</w:t>
      </w:r>
      <w:r w:rsidRPr="00832FF3">
        <w:rPr>
          <w:rFonts w:ascii="Times New Roman" w:eastAsia="Times New Roman" w:hAnsi="Times New Roman" w:cs="Times New Roman"/>
          <w:b/>
          <w:bCs/>
          <w:spacing w:val="-11"/>
          <w:kern w:val="0"/>
          <w14:ligatures w14:val="none"/>
        </w:rPr>
        <w:t xml:space="preserve"> </w:t>
      </w:r>
      <w:r w:rsidRPr="00832FF3">
        <w:rPr>
          <w:rFonts w:ascii="Times New Roman" w:eastAsia="Times New Roman" w:hAnsi="Times New Roman" w:cs="Times New Roman"/>
          <w:b/>
          <w:bCs/>
          <w:kern w:val="0"/>
          <w14:ligatures w14:val="none"/>
        </w:rPr>
        <w:t>Study</w:t>
      </w:r>
      <w:r w:rsidRPr="00832FF3">
        <w:rPr>
          <w:rFonts w:ascii="Times New Roman" w:eastAsia="Times New Roman" w:hAnsi="Times New Roman" w:cs="Times New Roman"/>
          <w:b/>
          <w:bCs/>
          <w:spacing w:val="-11"/>
          <w:kern w:val="0"/>
          <w14:ligatures w14:val="none"/>
        </w:rPr>
        <w:t xml:space="preserve"> </w:t>
      </w:r>
      <w:r w:rsidRPr="00832FF3">
        <w:rPr>
          <w:rFonts w:ascii="Times New Roman" w:eastAsia="Times New Roman" w:hAnsi="Times New Roman" w:cs="Times New Roman"/>
          <w:b/>
          <w:bCs/>
          <w:kern w:val="0"/>
          <w14:ligatures w14:val="none"/>
        </w:rPr>
        <w:t>Variables</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(N</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w:t>
      </w:r>
      <w:r w:rsidRPr="00832FF3">
        <w:rPr>
          <w:rFonts w:ascii="Times New Roman" w:eastAsia="Times New Roman" w:hAnsi="Times New Roman" w:cs="Times New Roman"/>
          <w:b/>
          <w:bCs/>
          <w:spacing w:val="-9"/>
          <w:kern w:val="0"/>
          <w14:ligatures w14:val="none"/>
        </w:rPr>
        <w:t xml:space="preserve"> </w:t>
      </w:r>
      <w:r w:rsidRPr="00832FF3">
        <w:rPr>
          <w:rFonts w:ascii="Times New Roman" w:eastAsia="Times New Roman" w:hAnsi="Times New Roman" w:cs="Times New Roman"/>
          <w:b/>
          <w:bCs/>
          <w:spacing w:val="-4"/>
          <w:kern w:val="0"/>
          <w14:ligatures w14:val="none"/>
        </w:rPr>
        <w:t>373)</w:t>
      </w:r>
    </w:p>
    <w:tbl>
      <w:tblPr>
        <w:tblW w:w="0" w:type="auto"/>
        <w:tblInd w:w="187" w:type="dxa"/>
        <w:tblLayout w:type="fixed"/>
        <w:tblCellMar>
          <w:left w:w="0" w:type="dxa"/>
          <w:right w:w="0" w:type="dxa"/>
        </w:tblCellMar>
        <w:tblLook w:val="01E0" w:firstRow="1" w:lastRow="1" w:firstColumn="1" w:lastColumn="1" w:noHBand="0" w:noVBand="0"/>
      </w:tblPr>
      <w:tblGrid>
        <w:gridCol w:w="4480"/>
        <w:gridCol w:w="921"/>
        <w:gridCol w:w="2189"/>
        <w:gridCol w:w="1144"/>
        <w:gridCol w:w="1037"/>
      </w:tblGrid>
      <w:tr w:rsidR="00832FF3" w:rsidRPr="00832FF3" w14:paraId="2186C7B5" w14:textId="77777777" w:rsidTr="00483C28">
        <w:trPr>
          <w:trHeight w:val="302"/>
        </w:trPr>
        <w:tc>
          <w:tcPr>
            <w:tcW w:w="4480" w:type="dxa"/>
            <w:tcBorders>
              <w:top w:val="single" w:sz="4" w:space="0" w:color="000000"/>
              <w:bottom w:val="single" w:sz="4" w:space="0" w:color="000000"/>
            </w:tcBorders>
          </w:tcPr>
          <w:p w14:paraId="145101B7" w14:textId="77777777" w:rsidR="00832FF3" w:rsidRPr="00832FF3" w:rsidRDefault="00832FF3" w:rsidP="00AE7FA9">
            <w:pPr>
              <w:widowControl w:val="0"/>
              <w:autoSpaceDE w:val="0"/>
              <w:autoSpaceDN w:val="0"/>
              <w:spacing w:before="3" w:after="0" w:line="240" w:lineRule="auto"/>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2"/>
                <w:kern w:val="0"/>
                <w:szCs w:val="22"/>
                <w14:ligatures w14:val="none"/>
              </w:rPr>
              <w:t>Variable</w:t>
            </w:r>
          </w:p>
        </w:tc>
        <w:tc>
          <w:tcPr>
            <w:tcW w:w="921" w:type="dxa"/>
            <w:tcBorders>
              <w:top w:val="single" w:sz="4" w:space="0" w:color="000000"/>
              <w:bottom w:val="single" w:sz="4" w:space="0" w:color="000000"/>
            </w:tcBorders>
          </w:tcPr>
          <w:p w14:paraId="02BB7DB6" w14:textId="77777777" w:rsidR="00832FF3" w:rsidRPr="00832FF3" w:rsidRDefault="00832FF3" w:rsidP="00AE7FA9">
            <w:pPr>
              <w:widowControl w:val="0"/>
              <w:autoSpaceDE w:val="0"/>
              <w:autoSpaceDN w:val="0"/>
              <w:spacing w:before="3" w:after="0" w:line="240" w:lineRule="auto"/>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4"/>
                <w:kern w:val="0"/>
                <w:szCs w:val="22"/>
                <w14:ligatures w14:val="none"/>
              </w:rPr>
              <w:t>Mean</w:t>
            </w:r>
          </w:p>
        </w:tc>
        <w:tc>
          <w:tcPr>
            <w:tcW w:w="2189" w:type="dxa"/>
            <w:tcBorders>
              <w:top w:val="single" w:sz="4" w:space="0" w:color="000000"/>
              <w:bottom w:val="single" w:sz="4" w:space="0" w:color="000000"/>
            </w:tcBorders>
          </w:tcPr>
          <w:p w14:paraId="6DD25361" w14:textId="77777777" w:rsidR="00832FF3" w:rsidRPr="00832FF3" w:rsidRDefault="00832FF3" w:rsidP="00AE7FA9">
            <w:pPr>
              <w:widowControl w:val="0"/>
              <w:autoSpaceDE w:val="0"/>
              <w:autoSpaceDN w:val="0"/>
              <w:spacing w:before="3" w:after="0" w:line="240" w:lineRule="auto"/>
              <w:ind w:right="6"/>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kern w:val="0"/>
                <w:szCs w:val="22"/>
                <w14:ligatures w14:val="none"/>
              </w:rPr>
              <w:t>Standard</w:t>
            </w:r>
            <w:r w:rsidRPr="00832FF3">
              <w:rPr>
                <w:rFonts w:ascii="Times New Roman" w:eastAsia="Times New Roman" w:hAnsi="Times New Roman" w:cs="Times New Roman"/>
                <w:b/>
                <w:spacing w:val="-8"/>
                <w:kern w:val="0"/>
                <w:szCs w:val="22"/>
                <w14:ligatures w14:val="none"/>
              </w:rPr>
              <w:t xml:space="preserve"> </w:t>
            </w:r>
            <w:r w:rsidRPr="00832FF3">
              <w:rPr>
                <w:rFonts w:ascii="Times New Roman" w:eastAsia="Times New Roman" w:hAnsi="Times New Roman" w:cs="Times New Roman"/>
                <w:b/>
                <w:spacing w:val="-2"/>
                <w:kern w:val="0"/>
                <w:szCs w:val="22"/>
                <w14:ligatures w14:val="none"/>
              </w:rPr>
              <w:t>Deviation</w:t>
            </w:r>
          </w:p>
        </w:tc>
        <w:tc>
          <w:tcPr>
            <w:tcW w:w="1144" w:type="dxa"/>
            <w:tcBorders>
              <w:top w:val="single" w:sz="4" w:space="0" w:color="000000"/>
              <w:bottom w:val="single" w:sz="4" w:space="0" w:color="000000"/>
            </w:tcBorders>
          </w:tcPr>
          <w:p w14:paraId="38D5AD26" w14:textId="77777777" w:rsidR="00832FF3" w:rsidRPr="00832FF3" w:rsidRDefault="00832FF3" w:rsidP="00AE7FA9">
            <w:pPr>
              <w:widowControl w:val="0"/>
              <w:autoSpaceDE w:val="0"/>
              <w:autoSpaceDN w:val="0"/>
              <w:spacing w:before="3" w:after="0" w:line="240" w:lineRule="auto"/>
              <w:ind w:right="4"/>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2"/>
                <w:kern w:val="0"/>
                <w:szCs w:val="22"/>
                <w14:ligatures w14:val="none"/>
              </w:rPr>
              <w:t>Skewness</w:t>
            </w:r>
          </w:p>
        </w:tc>
        <w:tc>
          <w:tcPr>
            <w:tcW w:w="1037" w:type="dxa"/>
            <w:tcBorders>
              <w:top w:val="single" w:sz="4" w:space="0" w:color="000000"/>
              <w:bottom w:val="single" w:sz="4" w:space="0" w:color="000000"/>
            </w:tcBorders>
          </w:tcPr>
          <w:p w14:paraId="78604D6A" w14:textId="77777777" w:rsidR="00832FF3" w:rsidRPr="00832FF3" w:rsidRDefault="00832FF3" w:rsidP="00AE7FA9">
            <w:pPr>
              <w:widowControl w:val="0"/>
              <w:autoSpaceDE w:val="0"/>
              <w:autoSpaceDN w:val="0"/>
              <w:spacing w:before="3" w:after="0" w:line="240" w:lineRule="auto"/>
              <w:ind w:right="12"/>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2"/>
                <w:kern w:val="0"/>
                <w:szCs w:val="22"/>
                <w14:ligatures w14:val="none"/>
              </w:rPr>
              <w:t>Kurtosis</w:t>
            </w:r>
          </w:p>
        </w:tc>
      </w:tr>
      <w:tr w:rsidR="00832FF3" w:rsidRPr="00832FF3" w14:paraId="536BF3C7" w14:textId="77777777" w:rsidTr="00483C28">
        <w:trPr>
          <w:trHeight w:val="358"/>
        </w:trPr>
        <w:tc>
          <w:tcPr>
            <w:tcW w:w="4480" w:type="dxa"/>
            <w:tcBorders>
              <w:top w:val="single" w:sz="4" w:space="0" w:color="000000"/>
            </w:tcBorders>
          </w:tcPr>
          <w:p w14:paraId="4AA82952" w14:textId="77777777" w:rsidR="00832FF3" w:rsidRPr="00832FF3" w:rsidRDefault="00832FF3" w:rsidP="00AE7FA9">
            <w:pPr>
              <w:widowControl w:val="0"/>
              <w:autoSpaceDE w:val="0"/>
              <w:autoSpaceDN w:val="0"/>
              <w:spacing w:before="47"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Artificial</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kern w:val="0"/>
                <w:szCs w:val="22"/>
                <w14:ligatures w14:val="none"/>
              </w:rPr>
              <w:t>Intelligence</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kern w:val="0"/>
                <w:szCs w:val="22"/>
                <w14:ligatures w14:val="none"/>
              </w:rPr>
              <w:t>Data</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spacing w:val="-2"/>
                <w:kern w:val="0"/>
                <w:szCs w:val="22"/>
                <w14:ligatures w14:val="none"/>
              </w:rPr>
              <w:t>Analytics</w:t>
            </w:r>
          </w:p>
        </w:tc>
        <w:tc>
          <w:tcPr>
            <w:tcW w:w="921" w:type="dxa"/>
            <w:tcBorders>
              <w:top w:val="single" w:sz="4" w:space="0" w:color="000000"/>
            </w:tcBorders>
          </w:tcPr>
          <w:p w14:paraId="3045FBF7" w14:textId="77777777" w:rsidR="00832FF3" w:rsidRPr="00832FF3" w:rsidRDefault="00832FF3" w:rsidP="00AE7FA9">
            <w:pPr>
              <w:widowControl w:val="0"/>
              <w:autoSpaceDE w:val="0"/>
              <w:autoSpaceDN w:val="0"/>
              <w:spacing w:before="47" w:after="0" w:line="240" w:lineRule="auto"/>
              <w:ind w:right="4"/>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3.90</w:t>
            </w:r>
          </w:p>
        </w:tc>
        <w:tc>
          <w:tcPr>
            <w:tcW w:w="2189" w:type="dxa"/>
            <w:tcBorders>
              <w:top w:val="single" w:sz="4" w:space="0" w:color="000000"/>
            </w:tcBorders>
          </w:tcPr>
          <w:p w14:paraId="07E01005" w14:textId="77777777" w:rsidR="00832FF3" w:rsidRPr="00832FF3" w:rsidRDefault="00832FF3" w:rsidP="00AE7FA9">
            <w:pPr>
              <w:widowControl w:val="0"/>
              <w:autoSpaceDE w:val="0"/>
              <w:autoSpaceDN w:val="0"/>
              <w:spacing w:before="47" w:after="0" w:line="240" w:lineRule="auto"/>
              <w:ind w:right="6"/>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0.88</w:t>
            </w:r>
          </w:p>
        </w:tc>
        <w:tc>
          <w:tcPr>
            <w:tcW w:w="1144" w:type="dxa"/>
            <w:tcBorders>
              <w:top w:val="single" w:sz="4" w:space="0" w:color="000000"/>
            </w:tcBorders>
          </w:tcPr>
          <w:p w14:paraId="39D348C3" w14:textId="77777777" w:rsidR="00832FF3" w:rsidRPr="00832FF3" w:rsidRDefault="00832FF3" w:rsidP="00AE7FA9">
            <w:pPr>
              <w:widowControl w:val="0"/>
              <w:autoSpaceDE w:val="0"/>
              <w:autoSpaceDN w:val="0"/>
              <w:spacing w:before="47" w:after="0" w:line="240" w:lineRule="auto"/>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-0.66</w:t>
            </w:r>
          </w:p>
        </w:tc>
        <w:tc>
          <w:tcPr>
            <w:tcW w:w="1037" w:type="dxa"/>
            <w:tcBorders>
              <w:top w:val="single" w:sz="4" w:space="0" w:color="000000"/>
            </w:tcBorders>
          </w:tcPr>
          <w:p w14:paraId="799B3C79" w14:textId="77777777" w:rsidR="00832FF3" w:rsidRPr="00832FF3" w:rsidRDefault="00832FF3" w:rsidP="00AE7FA9">
            <w:pPr>
              <w:widowControl w:val="0"/>
              <w:autoSpaceDE w:val="0"/>
              <w:autoSpaceDN w:val="0"/>
              <w:spacing w:before="47" w:after="0" w:line="240" w:lineRule="auto"/>
              <w:ind w:right="12"/>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0.77</w:t>
            </w:r>
          </w:p>
        </w:tc>
      </w:tr>
      <w:tr w:rsidR="00832FF3" w:rsidRPr="00832FF3" w14:paraId="10A50C0E" w14:textId="77777777" w:rsidTr="00483C28">
        <w:trPr>
          <w:trHeight w:val="334"/>
        </w:trPr>
        <w:tc>
          <w:tcPr>
            <w:tcW w:w="4480" w:type="dxa"/>
          </w:tcPr>
          <w:p w14:paraId="6F740304"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Internet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of</w:t>
            </w:r>
            <w:r w:rsidRPr="00832FF3">
              <w:rPr>
                <w:rFonts w:ascii="Times New Roman" w:eastAsia="Times New Roman" w:hAnsi="Times New Roman" w:cs="Times New Roman"/>
                <w:spacing w:val="-8"/>
                <w:kern w:val="0"/>
                <w:szCs w:val="22"/>
                <w14:ligatures w14:val="none"/>
              </w:rPr>
              <w:t xml:space="preserve"> </w:t>
            </w:r>
            <w:r w:rsidRPr="00832FF3">
              <w:rPr>
                <w:rFonts w:ascii="Times New Roman" w:eastAsia="Times New Roman" w:hAnsi="Times New Roman" w:cs="Times New Roman"/>
                <w:kern w:val="0"/>
                <w:szCs w:val="22"/>
                <w14:ligatures w14:val="none"/>
              </w:rPr>
              <w:t>Things</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(IoT)</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kern w:val="0"/>
                <w:szCs w:val="22"/>
                <w14:ligatures w14:val="none"/>
              </w:rPr>
              <w:t>/</w:t>
            </w:r>
            <w:r w:rsidRPr="00832FF3">
              <w:rPr>
                <w:rFonts w:ascii="Times New Roman" w:eastAsia="Times New Roman" w:hAnsi="Times New Roman" w:cs="Times New Roman"/>
                <w:spacing w:val="-2"/>
                <w:kern w:val="0"/>
                <w:szCs w:val="22"/>
                <w14:ligatures w14:val="none"/>
              </w:rPr>
              <w:t xml:space="preserve"> </w:t>
            </w:r>
            <w:r w:rsidRPr="00832FF3">
              <w:rPr>
                <w:rFonts w:ascii="Times New Roman" w:eastAsia="Times New Roman" w:hAnsi="Times New Roman" w:cs="Times New Roman"/>
                <w:kern w:val="0"/>
                <w:szCs w:val="22"/>
                <w14:ligatures w14:val="none"/>
              </w:rPr>
              <w:t>Smart</w:t>
            </w:r>
            <w:r w:rsidRPr="00832FF3">
              <w:rPr>
                <w:rFonts w:ascii="Times New Roman" w:eastAsia="Times New Roman" w:hAnsi="Times New Roman" w:cs="Times New Roman"/>
                <w:spacing w:val="-2"/>
                <w:kern w:val="0"/>
                <w:szCs w:val="22"/>
                <w14:ligatures w14:val="none"/>
              </w:rPr>
              <w:t xml:space="preserve"> Monitoring</w:t>
            </w:r>
          </w:p>
        </w:tc>
        <w:tc>
          <w:tcPr>
            <w:tcW w:w="921" w:type="dxa"/>
          </w:tcPr>
          <w:p w14:paraId="50A4959B" w14:textId="77777777" w:rsidR="00832FF3" w:rsidRPr="00832FF3" w:rsidRDefault="00832FF3" w:rsidP="00AE7FA9">
            <w:pPr>
              <w:widowControl w:val="0"/>
              <w:autoSpaceDE w:val="0"/>
              <w:autoSpaceDN w:val="0"/>
              <w:spacing w:before="25" w:after="0" w:line="240" w:lineRule="auto"/>
              <w:ind w:right="4"/>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3.87</w:t>
            </w:r>
          </w:p>
        </w:tc>
        <w:tc>
          <w:tcPr>
            <w:tcW w:w="2189" w:type="dxa"/>
          </w:tcPr>
          <w:p w14:paraId="550C3D8A" w14:textId="77777777" w:rsidR="00832FF3" w:rsidRPr="00832FF3" w:rsidRDefault="00832FF3" w:rsidP="00AE7FA9">
            <w:pPr>
              <w:widowControl w:val="0"/>
              <w:autoSpaceDE w:val="0"/>
              <w:autoSpaceDN w:val="0"/>
              <w:spacing w:before="25" w:after="0" w:line="240" w:lineRule="auto"/>
              <w:ind w:right="6"/>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0.88</w:t>
            </w:r>
          </w:p>
        </w:tc>
        <w:tc>
          <w:tcPr>
            <w:tcW w:w="1144" w:type="dxa"/>
          </w:tcPr>
          <w:p w14:paraId="51A1B5FE"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-0.62</w:t>
            </w:r>
          </w:p>
        </w:tc>
        <w:tc>
          <w:tcPr>
            <w:tcW w:w="1037" w:type="dxa"/>
          </w:tcPr>
          <w:p w14:paraId="43CFA977" w14:textId="77777777" w:rsidR="00832FF3" w:rsidRPr="00832FF3" w:rsidRDefault="00832FF3" w:rsidP="00AE7FA9">
            <w:pPr>
              <w:widowControl w:val="0"/>
              <w:autoSpaceDE w:val="0"/>
              <w:autoSpaceDN w:val="0"/>
              <w:spacing w:before="25" w:after="0" w:line="240" w:lineRule="auto"/>
              <w:ind w:right="12"/>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0.71</w:t>
            </w:r>
          </w:p>
        </w:tc>
      </w:tr>
      <w:tr w:rsidR="00832FF3" w:rsidRPr="00832FF3" w14:paraId="4360C5C6" w14:textId="77777777" w:rsidTr="00483C28">
        <w:trPr>
          <w:trHeight w:val="334"/>
        </w:trPr>
        <w:tc>
          <w:tcPr>
            <w:tcW w:w="4480" w:type="dxa"/>
          </w:tcPr>
          <w:p w14:paraId="26CC360D" w14:textId="77777777" w:rsidR="00832FF3" w:rsidRPr="00832FF3" w:rsidRDefault="00832FF3" w:rsidP="00AE7FA9">
            <w:pPr>
              <w:widowControl w:val="0"/>
              <w:autoSpaceDE w:val="0"/>
              <w:autoSpaceDN w:val="0"/>
              <w:spacing w:before="23"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Digital</w:t>
            </w:r>
            <w:r w:rsidRPr="00832FF3">
              <w:rPr>
                <w:rFonts w:ascii="Times New Roman" w:eastAsia="Times New Roman" w:hAnsi="Times New Roman" w:cs="Times New Roman"/>
                <w:spacing w:val="-14"/>
                <w:kern w:val="0"/>
                <w:szCs w:val="22"/>
                <w14:ligatures w14:val="none"/>
              </w:rPr>
              <w:t xml:space="preserve"> </w:t>
            </w:r>
            <w:r w:rsidRPr="00832FF3">
              <w:rPr>
                <w:rFonts w:ascii="Times New Roman" w:eastAsia="Times New Roman" w:hAnsi="Times New Roman" w:cs="Times New Roman"/>
                <w:kern w:val="0"/>
                <w:szCs w:val="22"/>
                <w14:ligatures w14:val="none"/>
              </w:rPr>
              <w:t>Twin</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Cyber-Physical</w:t>
            </w:r>
            <w:r w:rsidRPr="00832FF3">
              <w:rPr>
                <w:rFonts w:ascii="Times New Roman" w:eastAsia="Times New Roman" w:hAnsi="Times New Roman" w:cs="Times New Roman"/>
                <w:spacing w:val="-8"/>
                <w:kern w:val="0"/>
                <w:szCs w:val="22"/>
                <w14:ligatures w14:val="none"/>
              </w:rPr>
              <w:t xml:space="preserve"> </w:t>
            </w:r>
            <w:r w:rsidRPr="00832FF3">
              <w:rPr>
                <w:rFonts w:ascii="Times New Roman" w:eastAsia="Times New Roman" w:hAnsi="Times New Roman" w:cs="Times New Roman"/>
                <w:spacing w:val="-2"/>
                <w:kern w:val="0"/>
                <w:szCs w:val="22"/>
                <w14:ligatures w14:val="none"/>
              </w:rPr>
              <w:t>Systems</w:t>
            </w:r>
          </w:p>
        </w:tc>
        <w:tc>
          <w:tcPr>
            <w:tcW w:w="921" w:type="dxa"/>
          </w:tcPr>
          <w:p w14:paraId="034256B6" w14:textId="77777777" w:rsidR="00832FF3" w:rsidRPr="00832FF3" w:rsidRDefault="00832FF3" w:rsidP="00AE7FA9">
            <w:pPr>
              <w:widowControl w:val="0"/>
              <w:autoSpaceDE w:val="0"/>
              <w:autoSpaceDN w:val="0"/>
              <w:spacing w:before="23" w:after="0" w:line="240" w:lineRule="auto"/>
              <w:ind w:right="4"/>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3.79</w:t>
            </w:r>
          </w:p>
        </w:tc>
        <w:tc>
          <w:tcPr>
            <w:tcW w:w="2189" w:type="dxa"/>
          </w:tcPr>
          <w:p w14:paraId="23052A42" w14:textId="77777777" w:rsidR="00832FF3" w:rsidRPr="00832FF3" w:rsidRDefault="00832FF3" w:rsidP="00AE7FA9">
            <w:pPr>
              <w:widowControl w:val="0"/>
              <w:autoSpaceDE w:val="0"/>
              <w:autoSpaceDN w:val="0"/>
              <w:spacing w:before="23" w:after="0" w:line="240" w:lineRule="auto"/>
              <w:ind w:right="6"/>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0.91</w:t>
            </w:r>
          </w:p>
        </w:tc>
        <w:tc>
          <w:tcPr>
            <w:tcW w:w="1144" w:type="dxa"/>
          </w:tcPr>
          <w:p w14:paraId="1832EAEA" w14:textId="77777777" w:rsidR="00832FF3" w:rsidRPr="00832FF3" w:rsidRDefault="00832FF3" w:rsidP="00AE7FA9">
            <w:pPr>
              <w:widowControl w:val="0"/>
              <w:autoSpaceDE w:val="0"/>
              <w:autoSpaceDN w:val="0"/>
              <w:spacing w:before="23" w:after="0" w:line="240" w:lineRule="auto"/>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-0.55</w:t>
            </w:r>
          </w:p>
        </w:tc>
        <w:tc>
          <w:tcPr>
            <w:tcW w:w="1037" w:type="dxa"/>
          </w:tcPr>
          <w:p w14:paraId="746AE1AE" w14:textId="77777777" w:rsidR="00832FF3" w:rsidRPr="00832FF3" w:rsidRDefault="00832FF3" w:rsidP="00AE7FA9">
            <w:pPr>
              <w:widowControl w:val="0"/>
              <w:autoSpaceDE w:val="0"/>
              <w:autoSpaceDN w:val="0"/>
              <w:spacing w:before="23" w:after="0" w:line="240" w:lineRule="auto"/>
              <w:ind w:right="12"/>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0.68</w:t>
            </w:r>
          </w:p>
        </w:tc>
      </w:tr>
      <w:tr w:rsidR="00832FF3" w:rsidRPr="00832FF3" w14:paraId="2B932F92" w14:textId="77777777" w:rsidTr="00483C28">
        <w:trPr>
          <w:trHeight w:val="332"/>
        </w:trPr>
        <w:tc>
          <w:tcPr>
            <w:tcW w:w="4480" w:type="dxa"/>
          </w:tcPr>
          <w:p w14:paraId="7290169E"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Product</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kern w:val="0"/>
                <w:szCs w:val="22"/>
                <w14:ligatures w14:val="none"/>
              </w:rPr>
              <w: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Process</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Quality</w:t>
            </w:r>
          </w:p>
        </w:tc>
        <w:tc>
          <w:tcPr>
            <w:tcW w:w="921" w:type="dxa"/>
          </w:tcPr>
          <w:p w14:paraId="1CC09580" w14:textId="77777777" w:rsidR="00832FF3" w:rsidRPr="00832FF3" w:rsidRDefault="00832FF3" w:rsidP="00AE7FA9">
            <w:pPr>
              <w:widowControl w:val="0"/>
              <w:autoSpaceDE w:val="0"/>
              <w:autoSpaceDN w:val="0"/>
              <w:spacing w:before="25" w:after="0" w:line="240" w:lineRule="auto"/>
              <w:ind w:right="4"/>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3.97</w:t>
            </w:r>
          </w:p>
        </w:tc>
        <w:tc>
          <w:tcPr>
            <w:tcW w:w="2189" w:type="dxa"/>
          </w:tcPr>
          <w:p w14:paraId="23340AC5" w14:textId="77777777" w:rsidR="00832FF3" w:rsidRPr="00832FF3" w:rsidRDefault="00832FF3" w:rsidP="00AE7FA9">
            <w:pPr>
              <w:widowControl w:val="0"/>
              <w:autoSpaceDE w:val="0"/>
              <w:autoSpaceDN w:val="0"/>
              <w:spacing w:before="25" w:after="0" w:line="240" w:lineRule="auto"/>
              <w:ind w:right="6"/>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0.85</w:t>
            </w:r>
          </w:p>
        </w:tc>
        <w:tc>
          <w:tcPr>
            <w:tcW w:w="1144" w:type="dxa"/>
          </w:tcPr>
          <w:p w14:paraId="1E8DF50B"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-0.72</w:t>
            </w:r>
          </w:p>
        </w:tc>
        <w:tc>
          <w:tcPr>
            <w:tcW w:w="1037" w:type="dxa"/>
          </w:tcPr>
          <w:p w14:paraId="46FE79CB" w14:textId="77777777" w:rsidR="00832FF3" w:rsidRPr="00832FF3" w:rsidRDefault="00832FF3" w:rsidP="00AE7FA9">
            <w:pPr>
              <w:widowControl w:val="0"/>
              <w:autoSpaceDE w:val="0"/>
              <w:autoSpaceDN w:val="0"/>
              <w:spacing w:before="25" w:after="0" w:line="240" w:lineRule="auto"/>
              <w:ind w:right="12"/>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0.83</w:t>
            </w:r>
          </w:p>
        </w:tc>
      </w:tr>
      <w:tr w:rsidR="00832FF3" w:rsidRPr="00832FF3" w14:paraId="57D14A30" w14:textId="77777777" w:rsidTr="00483C28">
        <w:trPr>
          <w:trHeight w:val="319"/>
        </w:trPr>
        <w:tc>
          <w:tcPr>
            <w:tcW w:w="4480" w:type="dxa"/>
            <w:tcBorders>
              <w:bottom w:val="single" w:sz="4" w:space="0" w:color="000000"/>
            </w:tcBorders>
          </w:tcPr>
          <w:p w14:paraId="4894D12D" w14:textId="77777777" w:rsidR="00832FF3" w:rsidRPr="00832FF3" w:rsidRDefault="00832FF3" w:rsidP="00AE7FA9">
            <w:pPr>
              <w:widowControl w:val="0"/>
              <w:autoSpaceDE w:val="0"/>
              <w:autoSpaceDN w:val="0"/>
              <w:spacing w:before="21"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Cost </w:t>
            </w:r>
            <w:r w:rsidRPr="00832FF3">
              <w:rPr>
                <w:rFonts w:ascii="Times New Roman" w:eastAsia="Times New Roman" w:hAnsi="Times New Roman" w:cs="Times New Roman"/>
                <w:spacing w:val="-2"/>
                <w:kern w:val="0"/>
                <w:szCs w:val="22"/>
                <w14:ligatures w14:val="none"/>
              </w:rPr>
              <w:t>Efficiency</w:t>
            </w:r>
          </w:p>
        </w:tc>
        <w:tc>
          <w:tcPr>
            <w:tcW w:w="921" w:type="dxa"/>
            <w:tcBorders>
              <w:bottom w:val="single" w:sz="4" w:space="0" w:color="000000"/>
            </w:tcBorders>
          </w:tcPr>
          <w:p w14:paraId="10297CB9" w14:textId="77777777" w:rsidR="00832FF3" w:rsidRPr="00832FF3" w:rsidRDefault="00832FF3" w:rsidP="00AE7FA9">
            <w:pPr>
              <w:widowControl w:val="0"/>
              <w:autoSpaceDE w:val="0"/>
              <w:autoSpaceDN w:val="0"/>
              <w:spacing w:before="21" w:after="0" w:line="240" w:lineRule="auto"/>
              <w:ind w:right="4"/>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3.98</w:t>
            </w:r>
          </w:p>
        </w:tc>
        <w:tc>
          <w:tcPr>
            <w:tcW w:w="2189" w:type="dxa"/>
            <w:tcBorders>
              <w:bottom w:val="single" w:sz="4" w:space="0" w:color="000000"/>
            </w:tcBorders>
          </w:tcPr>
          <w:p w14:paraId="22A282BA" w14:textId="77777777" w:rsidR="00832FF3" w:rsidRPr="00832FF3" w:rsidRDefault="00832FF3" w:rsidP="00AE7FA9">
            <w:pPr>
              <w:widowControl w:val="0"/>
              <w:autoSpaceDE w:val="0"/>
              <w:autoSpaceDN w:val="0"/>
              <w:spacing w:before="21" w:after="0" w:line="240" w:lineRule="auto"/>
              <w:ind w:right="6"/>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0.84</w:t>
            </w:r>
          </w:p>
        </w:tc>
        <w:tc>
          <w:tcPr>
            <w:tcW w:w="1144" w:type="dxa"/>
            <w:tcBorders>
              <w:bottom w:val="single" w:sz="4" w:space="0" w:color="000000"/>
            </w:tcBorders>
          </w:tcPr>
          <w:p w14:paraId="4F7DD1EA" w14:textId="77777777" w:rsidR="00832FF3" w:rsidRPr="00832FF3" w:rsidRDefault="00832FF3" w:rsidP="00AE7FA9">
            <w:pPr>
              <w:widowControl w:val="0"/>
              <w:autoSpaceDE w:val="0"/>
              <w:autoSpaceDN w:val="0"/>
              <w:spacing w:before="21" w:after="0" w:line="240" w:lineRule="auto"/>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-0.75</w:t>
            </w:r>
          </w:p>
        </w:tc>
        <w:tc>
          <w:tcPr>
            <w:tcW w:w="1037" w:type="dxa"/>
            <w:tcBorders>
              <w:bottom w:val="single" w:sz="4" w:space="0" w:color="000000"/>
            </w:tcBorders>
          </w:tcPr>
          <w:p w14:paraId="28EAEEA0" w14:textId="77777777" w:rsidR="00832FF3" w:rsidRPr="00832FF3" w:rsidRDefault="00832FF3" w:rsidP="00AE7FA9">
            <w:pPr>
              <w:widowControl w:val="0"/>
              <w:autoSpaceDE w:val="0"/>
              <w:autoSpaceDN w:val="0"/>
              <w:spacing w:before="21" w:after="0" w:line="240" w:lineRule="auto"/>
              <w:ind w:right="12"/>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0.85</w:t>
            </w:r>
          </w:p>
        </w:tc>
      </w:tr>
    </w:tbl>
    <w:p w14:paraId="1317FA04" w14:textId="77777777" w:rsidR="00832FF3" w:rsidRPr="00832FF3" w:rsidRDefault="00832FF3" w:rsidP="00AE7FA9">
      <w:pPr>
        <w:widowControl w:val="0"/>
        <w:autoSpaceDE w:val="0"/>
        <w:autoSpaceDN w:val="0"/>
        <w:spacing w:before="26" w:after="0" w:line="240" w:lineRule="auto"/>
        <w:ind w:right="975"/>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results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presented</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Table</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4</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indicate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the mean</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values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for</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all</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variables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are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above</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midpoint</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 xml:space="preserve">of </w:t>
      </w:r>
      <w:r w:rsidRPr="00832FF3">
        <w:rPr>
          <w:rFonts w:ascii="Times New Roman" w:eastAsia="Times New Roman" w:hAnsi="Times New Roman" w:cs="Times New Roman"/>
          <w:kern w:val="0"/>
          <w14:ligatures w14:val="none"/>
        </w:rPr>
        <w:lastRenderedPageBreak/>
        <w:t>the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five-point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Likert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scale,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ranging</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from</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3.79</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3.98.</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This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suggests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respondents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generally</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agree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that digital technologies are being utilized to support sustainability and green operations within manufacturing</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these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contribute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positively</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operational</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Among the digital technology dimensions, artificial intelligence and data analytics recorded the highest mean score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(3.90),</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indicating</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relatively</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strong</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adoption</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perceived</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usefulness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optimizing</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production</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and sustainability practices. The digital twin and cyber-physical systems variable recorded the lowest mean score (3.79), suggesting that while these technologies are recognized, their implementation may still be relatively emerging compared with other digital tools. The standard deviation values, which range between 0.84 and 0.91, indicate moderate variability in responses among the participants, implying a reasonable level of agreement across respondents. The skewness values are all negative, showing that responses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are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slightly</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skewed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toward</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agreement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categories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Likert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scale.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Additionally,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kurtosis values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fall within acceptable thresholds, indicating that the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data distributions are approximately normal.</w:t>
      </w:r>
    </w:p>
    <w:p w14:paraId="23869609" w14:textId="77777777" w:rsidR="00832FF3" w:rsidRPr="00832FF3" w:rsidRDefault="00832FF3" w:rsidP="00AE7FA9">
      <w:pPr>
        <w:widowControl w:val="0"/>
        <w:autoSpaceDE w:val="0"/>
        <w:autoSpaceDN w:val="0"/>
        <w:spacing w:before="79" w:after="0" w:line="240" w:lineRule="auto"/>
        <w:ind w:right="985"/>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Overall,</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descriptive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statistics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demonstrate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respondents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perceive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important drivers of sustainability and operational performance within manufacturing firms.</w:t>
      </w:r>
    </w:p>
    <w:p w14:paraId="7D369874" w14:textId="77777777" w:rsidR="00832FF3" w:rsidRPr="00832FF3" w:rsidRDefault="00832FF3" w:rsidP="00AE7FA9">
      <w:pPr>
        <w:widowControl w:val="0"/>
        <w:autoSpaceDE w:val="0"/>
        <w:autoSpaceDN w:val="0"/>
        <w:spacing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Measurement</w:t>
      </w:r>
      <w:r w:rsidRPr="00832FF3">
        <w:rPr>
          <w:rFonts w:ascii="Times New Roman" w:eastAsia="Times New Roman" w:hAnsi="Times New Roman" w:cs="Times New Roman"/>
          <w:b/>
          <w:bCs/>
          <w:spacing w:val="-10"/>
          <w:kern w:val="0"/>
          <w14:ligatures w14:val="none"/>
        </w:rPr>
        <w:t xml:space="preserve"> </w:t>
      </w:r>
      <w:r w:rsidRPr="00832FF3">
        <w:rPr>
          <w:rFonts w:ascii="Times New Roman" w:eastAsia="Times New Roman" w:hAnsi="Times New Roman" w:cs="Times New Roman"/>
          <w:b/>
          <w:bCs/>
          <w:kern w:val="0"/>
          <w14:ligatures w14:val="none"/>
        </w:rPr>
        <w:t>Model</w:t>
      </w:r>
      <w:r w:rsidRPr="00832FF3">
        <w:rPr>
          <w:rFonts w:ascii="Times New Roman" w:eastAsia="Times New Roman" w:hAnsi="Times New Roman" w:cs="Times New Roman"/>
          <w:b/>
          <w:bCs/>
          <w:spacing w:val="-5"/>
          <w:kern w:val="0"/>
          <w14:ligatures w14:val="none"/>
        </w:rPr>
        <w:t xml:space="preserve"> </w:t>
      </w:r>
      <w:r w:rsidRPr="00832FF3">
        <w:rPr>
          <w:rFonts w:ascii="Times New Roman" w:eastAsia="Times New Roman" w:hAnsi="Times New Roman" w:cs="Times New Roman"/>
          <w:b/>
          <w:bCs/>
          <w:kern w:val="0"/>
          <w14:ligatures w14:val="none"/>
        </w:rPr>
        <w:t>and</w:t>
      </w:r>
      <w:r w:rsidRPr="00832FF3">
        <w:rPr>
          <w:rFonts w:ascii="Times New Roman" w:eastAsia="Times New Roman" w:hAnsi="Times New Roman" w:cs="Times New Roman"/>
          <w:b/>
          <w:bCs/>
          <w:spacing w:val="-6"/>
          <w:kern w:val="0"/>
          <w14:ligatures w14:val="none"/>
        </w:rPr>
        <w:t xml:space="preserve"> </w:t>
      </w:r>
      <w:r w:rsidRPr="00832FF3">
        <w:rPr>
          <w:rFonts w:ascii="Times New Roman" w:eastAsia="Times New Roman" w:hAnsi="Times New Roman" w:cs="Times New Roman"/>
          <w:b/>
          <w:bCs/>
          <w:kern w:val="0"/>
          <w14:ligatures w14:val="none"/>
        </w:rPr>
        <w:t>Structural</w:t>
      </w:r>
      <w:r w:rsidRPr="00832FF3">
        <w:rPr>
          <w:rFonts w:ascii="Times New Roman" w:eastAsia="Times New Roman" w:hAnsi="Times New Roman" w:cs="Times New Roman"/>
          <w:b/>
          <w:bCs/>
          <w:spacing w:val="-5"/>
          <w:kern w:val="0"/>
          <w14:ligatures w14:val="none"/>
        </w:rPr>
        <w:t xml:space="preserve"> </w:t>
      </w:r>
      <w:r w:rsidRPr="00832FF3">
        <w:rPr>
          <w:rFonts w:ascii="Times New Roman" w:eastAsia="Times New Roman" w:hAnsi="Times New Roman" w:cs="Times New Roman"/>
          <w:b/>
          <w:bCs/>
          <w:kern w:val="0"/>
          <w14:ligatures w14:val="none"/>
        </w:rPr>
        <w:t>Model</w:t>
      </w:r>
      <w:r w:rsidRPr="00832FF3">
        <w:rPr>
          <w:rFonts w:ascii="Times New Roman" w:eastAsia="Times New Roman" w:hAnsi="Times New Roman" w:cs="Times New Roman"/>
          <w:b/>
          <w:bCs/>
          <w:spacing w:val="-4"/>
          <w:kern w:val="0"/>
          <w14:ligatures w14:val="none"/>
        </w:rPr>
        <w:t xml:space="preserve"> </w:t>
      </w:r>
      <w:r w:rsidRPr="00832FF3">
        <w:rPr>
          <w:rFonts w:ascii="Times New Roman" w:eastAsia="Times New Roman" w:hAnsi="Times New Roman" w:cs="Times New Roman"/>
          <w:b/>
          <w:bCs/>
          <w:spacing w:val="-2"/>
          <w:kern w:val="0"/>
          <w14:ligatures w14:val="none"/>
        </w:rPr>
        <w:t>Evaluation</w:t>
      </w:r>
    </w:p>
    <w:p w14:paraId="32839B6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7DED31E7" w14:textId="77777777" w:rsidR="00832FF3" w:rsidRPr="00832FF3" w:rsidRDefault="00832FF3" w:rsidP="00AE7FA9">
      <w:pPr>
        <w:widowControl w:val="0"/>
        <w:autoSpaceDE w:val="0"/>
        <w:autoSpaceDN w:val="0"/>
        <w:spacing w:after="42" w:line="240" w:lineRule="auto"/>
        <w:jc w:val="both"/>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kern w:val="0"/>
          <w:szCs w:val="22"/>
          <w14:ligatures w14:val="none"/>
        </w:rPr>
        <w:t>Table</w:t>
      </w:r>
      <w:r w:rsidRPr="00832FF3">
        <w:rPr>
          <w:rFonts w:ascii="Times New Roman" w:eastAsia="Times New Roman" w:hAnsi="Times New Roman" w:cs="Times New Roman"/>
          <w:b/>
          <w:spacing w:val="-19"/>
          <w:kern w:val="0"/>
          <w:szCs w:val="22"/>
          <w14:ligatures w14:val="none"/>
        </w:rPr>
        <w:t xml:space="preserve"> </w:t>
      </w:r>
      <w:r w:rsidRPr="00832FF3">
        <w:rPr>
          <w:rFonts w:ascii="Times New Roman" w:eastAsia="Times New Roman" w:hAnsi="Times New Roman" w:cs="Times New Roman"/>
          <w:b/>
          <w:kern w:val="0"/>
          <w:szCs w:val="22"/>
          <w14:ligatures w14:val="none"/>
        </w:rPr>
        <w:t>5:</w:t>
      </w:r>
      <w:r w:rsidRPr="00832FF3">
        <w:rPr>
          <w:rFonts w:ascii="Times New Roman" w:eastAsia="Times New Roman" w:hAnsi="Times New Roman" w:cs="Times New Roman"/>
          <w:b/>
          <w:spacing w:val="-14"/>
          <w:kern w:val="0"/>
          <w:szCs w:val="22"/>
          <w14:ligatures w14:val="none"/>
        </w:rPr>
        <w:t xml:space="preserve"> </w:t>
      </w:r>
      <w:r w:rsidRPr="00832FF3">
        <w:rPr>
          <w:rFonts w:ascii="Times New Roman" w:eastAsia="Times New Roman" w:hAnsi="Times New Roman" w:cs="Times New Roman"/>
          <w:b/>
          <w:kern w:val="0"/>
          <w:szCs w:val="22"/>
          <w14:ligatures w14:val="none"/>
        </w:rPr>
        <w:t>Confirmatory</w:t>
      </w:r>
      <w:r w:rsidRPr="00832FF3">
        <w:rPr>
          <w:rFonts w:ascii="Times New Roman" w:eastAsia="Times New Roman" w:hAnsi="Times New Roman" w:cs="Times New Roman"/>
          <w:b/>
          <w:spacing w:val="-4"/>
          <w:kern w:val="0"/>
          <w:szCs w:val="22"/>
          <w14:ligatures w14:val="none"/>
        </w:rPr>
        <w:t xml:space="preserve"> </w:t>
      </w:r>
      <w:r w:rsidRPr="00832FF3">
        <w:rPr>
          <w:rFonts w:ascii="Times New Roman" w:eastAsia="Times New Roman" w:hAnsi="Times New Roman" w:cs="Times New Roman"/>
          <w:b/>
          <w:kern w:val="0"/>
          <w:szCs w:val="22"/>
          <w14:ligatures w14:val="none"/>
        </w:rPr>
        <w:t>Factor</w:t>
      </w:r>
      <w:r w:rsidRPr="00832FF3">
        <w:rPr>
          <w:rFonts w:ascii="Times New Roman" w:eastAsia="Times New Roman" w:hAnsi="Times New Roman" w:cs="Times New Roman"/>
          <w:b/>
          <w:spacing w:val="-21"/>
          <w:kern w:val="0"/>
          <w:szCs w:val="22"/>
          <w14:ligatures w14:val="none"/>
        </w:rPr>
        <w:t xml:space="preserve"> </w:t>
      </w:r>
      <w:r w:rsidRPr="00832FF3">
        <w:rPr>
          <w:rFonts w:ascii="Times New Roman" w:eastAsia="Times New Roman" w:hAnsi="Times New Roman" w:cs="Times New Roman"/>
          <w:b/>
          <w:kern w:val="0"/>
          <w:szCs w:val="22"/>
          <w14:ligatures w14:val="none"/>
        </w:rPr>
        <w:t>Analysis</w:t>
      </w:r>
      <w:r w:rsidRPr="00832FF3">
        <w:rPr>
          <w:rFonts w:ascii="Times New Roman" w:eastAsia="Times New Roman" w:hAnsi="Times New Roman" w:cs="Times New Roman"/>
          <w:b/>
          <w:spacing w:val="-9"/>
          <w:kern w:val="0"/>
          <w:szCs w:val="22"/>
          <w14:ligatures w14:val="none"/>
        </w:rPr>
        <w:t xml:space="preserve"> </w:t>
      </w:r>
      <w:r w:rsidRPr="00832FF3">
        <w:rPr>
          <w:rFonts w:ascii="Times New Roman" w:eastAsia="Times New Roman" w:hAnsi="Times New Roman" w:cs="Times New Roman"/>
          <w:b/>
          <w:kern w:val="0"/>
          <w:szCs w:val="22"/>
          <w14:ligatures w14:val="none"/>
        </w:rPr>
        <w:t>(CFA)</w:t>
      </w:r>
      <w:r w:rsidRPr="00832FF3">
        <w:rPr>
          <w:rFonts w:ascii="Times New Roman" w:eastAsia="Times New Roman" w:hAnsi="Times New Roman" w:cs="Times New Roman"/>
          <w:b/>
          <w:spacing w:val="-5"/>
          <w:kern w:val="0"/>
          <w:szCs w:val="22"/>
          <w14:ligatures w14:val="none"/>
        </w:rPr>
        <w:t xml:space="preserve"> </w:t>
      </w:r>
      <w:r w:rsidRPr="00832FF3">
        <w:rPr>
          <w:rFonts w:ascii="Times New Roman" w:eastAsia="Times New Roman" w:hAnsi="Times New Roman" w:cs="Times New Roman"/>
          <w:b/>
          <w:kern w:val="0"/>
          <w:szCs w:val="22"/>
          <w14:ligatures w14:val="none"/>
        </w:rPr>
        <w:t>–</w:t>
      </w:r>
      <w:r w:rsidRPr="00832FF3">
        <w:rPr>
          <w:rFonts w:ascii="Times New Roman" w:eastAsia="Times New Roman" w:hAnsi="Times New Roman" w:cs="Times New Roman"/>
          <w:b/>
          <w:spacing w:val="-10"/>
          <w:kern w:val="0"/>
          <w:szCs w:val="22"/>
          <w14:ligatures w14:val="none"/>
        </w:rPr>
        <w:t xml:space="preserve"> </w:t>
      </w:r>
      <w:r w:rsidRPr="00832FF3">
        <w:rPr>
          <w:rFonts w:ascii="Times New Roman" w:eastAsia="Times New Roman" w:hAnsi="Times New Roman" w:cs="Times New Roman"/>
          <w:b/>
          <w:kern w:val="0"/>
          <w:szCs w:val="22"/>
          <w14:ligatures w14:val="none"/>
        </w:rPr>
        <w:t>Factor</w:t>
      </w:r>
      <w:r w:rsidRPr="00832FF3">
        <w:rPr>
          <w:rFonts w:ascii="Times New Roman" w:eastAsia="Times New Roman" w:hAnsi="Times New Roman" w:cs="Times New Roman"/>
          <w:b/>
          <w:spacing w:val="-14"/>
          <w:kern w:val="0"/>
          <w:szCs w:val="22"/>
          <w14:ligatures w14:val="none"/>
        </w:rPr>
        <w:t xml:space="preserve"> </w:t>
      </w:r>
      <w:r w:rsidRPr="00832FF3">
        <w:rPr>
          <w:rFonts w:ascii="Times New Roman" w:eastAsia="Times New Roman" w:hAnsi="Times New Roman" w:cs="Times New Roman"/>
          <w:b/>
          <w:kern w:val="0"/>
          <w:szCs w:val="22"/>
          <w14:ligatures w14:val="none"/>
        </w:rPr>
        <w:t>Loadings,</w:t>
      </w:r>
      <w:r w:rsidRPr="00832FF3">
        <w:rPr>
          <w:rFonts w:ascii="Times New Roman" w:eastAsia="Times New Roman" w:hAnsi="Times New Roman" w:cs="Times New Roman"/>
          <w:b/>
          <w:spacing w:val="-8"/>
          <w:kern w:val="0"/>
          <w:szCs w:val="22"/>
          <w14:ligatures w14:val="none"/>
        </w:rPr>
        <w:t xml:space="preserve"> </w:t>
      </w:r>
      <w:r w:rsidRPr="00832FF3">
        <w:rPr>
          <w:rFonts w:ascii="Times New Roman" w:eastAsia="Times New Roman" w:hAnsi="Times New Roman" w:cs="Times New Roman"/>
          <w:b/>
          <w:kern w:val="0"/>
          <w:szCs w:val="22"/>
          <w14:ligatures w14:val="none"/>
        </w:rPr>
        <w:t>Composite</w:t>
      </w:r>
      <w:r w:rsidRPr="00832FF3">
        <w:rPr>
          <w:rFonts w:ascii="Times New Roman" w:eastAsia="Times New Roman" w:hAnsi="Times New Roman" w:cs="Times New Roman"/>
          <w:b/>
          <w:spacing w:val="-10"/>
          <w:kern w:val="0"/>
          <w:szCs w:val="22"/>
          <w14:ligatures w14:val="none"/>
        </w:rPr>
        <w:t xml:space="preserve"> </w:t>
      </w:r>
      <w:r w:rsidRPr="00832FF3">
        <w:rPr>
          <w:rFonts w:ascii="Times New Roman" w:eastAsia="Times New Roman" w:hAnsi="Times New Roman" w:cs="Times New Roman"/>
          <w:b/>
          <w:kern w:val="0"/>
          <w:szCs w:val="22"/>
          <w14:ligatures w14:val="none"/>
        </w:rPr>
        <w:t>Reliability</w:t>
      </w:r>
      <w:r w:rsidRPr="00832FF3">
        <w:rPr>
          <w:rFonts w:ascii="Times New Roman" w:eastAsia="Times New Roman" w:hAnsi="Times New Roman" w:cs="Times New Roman"/>
          <w:b/>
          <w:spacing w:val="-6"/>
          <w:kern w:val="0"/>
          <w:szCs w:val="22"/>
          <w14:ligatures w14:val="none"/>
        </w:rPr>
        <w:t xml:space="preserve"> </w:t>
      </w:r>
      <w:r w:rsidRPr="00832FF3">
        <w:rPr>
          <w:rFonts w:ascii="Times New Roman" w:eastAsia="Times New Roman" w:hAnsi="Times New Roman" w:cs="Times New Roman"/>
          <w:b/>
          <w:kern w:val="0"/>
          <w:szCs w:val="22"/>
          <w14:ligatures w14:val="none"/>
        </w:rPr>
        <w:t>and</w:t>
      </w:r>
      <w:r w:rsidRPr="00832FF3">
        <w:rPr>
          <w:rFonts w:ascii="Times New Roman" w:eastAsia="Times New Roman" w:hAnsi="Times New Roman" w:cs="Times New Roman"/>
          <w:b/>
          <w:spacing w:val="-16"/>
          <w:kern w:val="0"/>
          <w:szCs w:val="22"/>
          <w14:ligatures w14:val="none"/>
        </w:rPr>
        <w:t xml:space="preserve"> </w:t>
      </w:r>
      <w:r w:rsidRPr="00832FF3">
        <w:rPr>
          <w:rFonts w:ascii="Times New Roman" w:eastAsia="Times New Roman" w:hAnsi="Times New Roman" w:cs="Times New Roman"/>
          <w:b/>
          <w:spacing w:val="-5"/>
          <w:kern w:val="0"/>
          <w:szCs w:val="22"/>
          <w14:ligatures w14:val="none"/>
        </w:rPr>
        <w:t>AVE</w:t>
      </w:r>
    </w:p>
    <w:tbl>
      <w:tblPr>
        <w:tblW w:w="0" w:type="auto"/>
        <w:tblInd w:w="187" w:type="dxa"/>
        <w:tblLayout w:type="fixed"/>
        <w:tblCellMar>
          <w:left w:w="0" w:type="dxa"/>
          <w:right w:w="0" w:type="dxa"/>
        </w:tblCellMar>
        <w:tblLook w:val="01E0" w:firstRow="1" w:lastRow="1" w:firstColumn="1" w:lastColumn="1" w:noHBand="0" w:noVBand="0"/>
      </w:tblPr>
      <w:tblGrid>
        <w:gridCol w:w="4558"/>
        <w:gridCol w:w="1208"/>
        <w:gridCol w:w="2521"/>
        <w:gridCol w:w="2364"/>
      </w:tblGrid>
      <w:tr w:rsidR="00832FF3" w:rsidRPr="00832FF3" w14:paraId="5B555FE8" w14:textId="77777777" w:rsidTr="00483C28">
        <w:trPr>
          <w:trHeight w:val="255"/>
        </w:trPr>
        <w:tc>
          <w:tcPr>
            <w:tcW w:w="4558" w:type="dxa"/>
            <w:tcBorders>
              <w:top w:val="single" w:sz="4" w:space="0" w:color="000000"/>
            </w:tcBorders>
          </w:tcPr>
          <w:p w14:paraId="0FA05E50"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Construct</w:t>
            </w:r>
          </w:p>
        </w:tc>
        <w:tc>
          <w:tcPr>
            <w:tcW w:w="1208" w:type="dxa"/>
            <w:tcBorders>
              <w:top w:val="single" w:sz="4" w:space="0" w:color="000000"/>
            </w:tcBorders>
          </w:tcPr>
          <w:p w14:paraId="164ECC0D"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Factor</w:t>
            </w:r>
          </w:p>
        </w:tc>
        <w:tc>
          <w:tcPr>
            <w:tcW w:w="2521" w:type="dxa"/>
            <w:tcBorders>
              <w:top w:val="single" w:sz="4" w:space="0" w:color="000000"/>
            </w:tcBorders>
          </w:tcPr>
          <w:p w14:paraId="67F6CFE8" w14:textId="77777777" w:rsidR="00832FF3" w:rsidRPr="00832FF3" w:rsidRDefault="00832FF3" w:rsidP="00AE7FA9">
            <w:pPr>
              <w:widowControl w:val="0"/>
              <w:autoSpaceDE w:val="0"/>
              <w:autoSpaceDN w:val="0"/>
              <w:spacing w:after="0" w:line="240" w:lineRule="auto"/>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Composite</w:t>
            </w:r>
            <w:r w:rsidRPr="00832FF3">
              <w:rPr>
                <w:rFonts w:ascii="Times New Roman" w:eastAsia="Times New Roman" w:hAnsi="Times New Roman" w:cs="Times New Roman"/>
                <w:b/>
                <w:spacing w:val="-13"/>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Reliability</w:t>
            </w:r>
          </w:p>
        </w:tc>
        <w:tc>
          <w:tcPr>
            <w:tcW w:w="2364" w:type="dxa"/>
            <w:tcBorders>
              <w:top w:val="single" w:sz="4" w:space="0" w:color="000000"/>
            </w:tcBorders>
          </w:tcPr>
          <w:p w14:paraId="0292F889" w14:textId="77777777" w:rsidR="00832FF3" w:rsidRPr="00832FF3" w:rsidRDefault="00832FF3" w:rsidP="00AE7FA9">
            <w:pPr>
              <w:widowControl w:val="0"/>
              <w:autoSpaceDE w:val="0"/>
              <w:autoSpaceDN w:val="0"/>
              <w:spacing w:after="0" w:line="240" w:lineRule="auto"/>
              <w:ind w:right="215"/>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4"/>
                <w:kern w:val="0"/>
                <w:sz w:val="22"/>
                <w:szCs w:val="22"/>
                <w14:ligatures w14:val="none"/>
              </w:rPr>
              <w:t>Average</w:t>
            </w:r>
            <w:r w:rsidRPr="00832FF3">
              <w:rPr>
                <w:rFonts w:ascii="Times New Roman" w:eastAsia="Times New Roman" w:hAnsi="Times New Roman" w:cs="Times New Roman"/>
                <w:b/>
                <w:spacing w:val="-1"/>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Variance</w:t>
            </w:r>
          </w:p>
        </w:tc>
      </w:tr>
      <w:tr w:rsidR="00832FF3" w:rsidRPr="00832FF3" w14:paraId="569B0DA8" w14:textId="77777777" w:rsidTr="00483C28">
        <w:trPr>
          <w:trHeight w:val="277"/>
        </w:trPr>
        <w:tc>
          <w:tcPr>
            <w:tcW w:w="4558" w:type="dxa"/>
            <w:tcBorders>
              <w:bottom w:val="single" w:sz="4" w:space="0" w:color="000000"/>
            </w:tcBorders>
          </w:tcPr>
          <w:p w14:paraId="754D33B4" w14:textId="77777777" w:rsidR="00832FF3" w:rsidRPr="00832FF3" w:rsidRDefault="00832FF3" w:rsidP="00AE7FA9">
            <w:pPr>
              <w:widowControl w:val="0"/>
              <w:autoSpaceDE w:val="0"/>
              <w:autoSpaceDN w:val="0"/>
              <w:spacing w:after="0" w:line="240" w:lineRule="auto"/>
              <w:ind w:right="262"/>
              <w:jc w:val="right"/>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4"/>
                <w:kern w:val="0"/>
                <w:sz w:val="22"/>
                <w:szCs w:val="22"/>
                <w14:ligatures w14:val="none"/>
              </w:rPr>
              <w:t>Code</w:t>
            </w:r>
          </w:p>
        </w:tc>
        <w:tc>
          <w:tcPr>
            <w:tcW w:w="1208" w:type="dxa"/>
            <w:tcBorders>
              <w:bottom w:val="single" w:sz="4" w:space="0" w:color="000000"/>
            </w:tcBorders>
          </w:tcPr>
          <w:p w14:paraId="2DC56ADD"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Loading</w:t>
            </w:r>
          </w:p>
        </w:tc>
        <w:tc>
          <w:tcPr>
            <w:tcW w:w="2521" w:type="dxa"/>
            <w:tcBorders>
              <w:bottom w:val="single" w:sz="4" w:space="0" w:color="000000"/>
            </w:tcBorders>
          </w:tcPr>
          <w:p w14:paraId="09A17E79" w14:textId="77777777" w:rsidR="00832FF3" w:rsidRPr="00832FF3" w:rsidRDefault="00832FF3" w:rsidP="00AE7FA9">
            <w:pPr>
              <w:widowControl w:val="0"/>
              <w:autoSpaceDE w:val="0"/>
              <w:autoSpaceDN w:val="0"/>
              <w:spacing w:after="0" w:line="240" w:lineRule="auto"/>
              <w:ind w:right="6"/>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4"/>
                <w:kern w:val="0"/>
                <w:sz w:val="22"/>
                <w:szCs w:val="22"/>
                <w14:ligatures w14:val="none"/>
              </w:rPr>
              <w:t>(CR)</w:t>
            </w:r>
          </w:p>
        </w:tc>
        <w:tc>
          <w:tcPr>
            <w:tcW w:w="2364" w:type="dxa"/>
            <w:tcBorders>
              <w:bottom w:val="single" w:sz="4" w:space="0" w:color="000000"/>
            </w:tcBorders>
          </w:tcPr>
          <w:p w14:paraId="137DA7CD" w14:textId="77777777" w:rsidR="00832FF3" w:rsidRPr="00832FF3" w:rsidRDefault="00832FF3" w:rsidP="00AE7FA9">
            <w:pPr>
              <w:widowControl w:val="0"/>
              <w:autoSpaceDE w:val="0"/>
              <w:autoSpaceDN w:val="0"/>
              <w:spacing w:after="0" w:line="240" w:lineRule="auto"/>
              <w:ind w:right="215"/>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kern w:val="0"/>
                <w:sz w:val="22"/>
                <w:szCs w:val="22"/>
                <w14:ligatures w14:val="none"/>
              </w:rPr>
              <w:t>Extracted</w:t>
            </w:r>
            <w:r w:rsidRPr="00832FF3">
              <w:rPr>
                <w:rFonts w:ascii="Times New Roman" w:eastAsia="Times New Roman" w:hAnsi="Times New Roman" w:cs="Times New Roman"/>
                <w:b/>
                <w:spacing w:val="-13"/>
                <w:kern w:val="0"/>
                <w:sz w:val="22"/>
                <w:szCs w:val="22"/>
                <w14:ligatures w14:val="none"/>
              </w:rPr>
              <w:t xml:space="preserve"> </w:t>
            </w:r>
            <w:r w:rsidRPr="00832FF3">
              <w:rPr>
                <w:rFonts w:ascii="Times New Roman" w:eastAsia="Times New Roman" w:hAnsi="Times New Roman" w:cs="Times New Roman"/>
                <w:b/>
                <w:spacing w:val="-4"/>
                <w:kern w:val="0"/>
                <w:sz w:val="22"/>
                <w:szCs w:val="22"/>
                <w14:ligatures w14:val="none"/>
              </w:rPr>
              <w:t>(AVE)</w:t>
            </w:r>
          </w:p>
        </w:tc>
      </w:tr>
      <w:tr w:rsidR="00832FF3" w:rsidRPr="00832FF3" w14:paraId="2A6C3F93" w14:textId="77777777" w:rsidTr="00483C28">
        <w:trPr>
          <w:trHeight w:val="333"/>
        </w:trPr>
        <w:tc>
          <w:tcPr>
            <w:tcW w:w="4558" w:type="dxa"/>
            <w:tcBorders>
              <w:top w:val="single" w:sz="4" w:space="0" w:color="000000"/>
            </w:tcBorders>
          </w:tcPr>
          <w:p w14:paraId="1567C9FD" w14:textId="77777777" w:rsidR="00832FF3" w:rsidRPr="00832FF3" w:rsidRDefault="00832FF3" w:rsidP="00AE7FA9">
            <w:pPr>
              <w:widowControl w:val="0"/>
              <w:tabs>
                <w:tab w:val="left" w:pos="3818"/>
              </w:tabs>
              <w:autoSpaceDE w:val="0"/>
              <w:autoSpaceDN w:val="0"/>
              <w:spacing w:before="4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Artificial</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Intelligence</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&amp;</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Data</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Analytics</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AID1</w:t>
            </w:r>
          </w:p>
        </w:tc>
        <w:tc>
          <w:tcPr>
            <w:tcW w:w="1208" w:type="dxa"/>
            <w:tcBorders>
              <w:top w:val="single" w:sz="4" w:space="0" w:color="000000"/>
            </w:tcBorders>
          </w:tcPr>
          <w:p w14:paraId="49BCAE39" w14:textId="77777777" w:rsidR="00832FF3" w:rsidRPr="00832FF3" w:rsidRDefault="00832FF3" w:rsidP="00AE7FA9">
            <w:pPr>
              <w:widowControl w:val="0"/>
              <w:autoSpaceDE w:val="0"/>
              <w:autoSpaceDN w:val="0"/>
              <w:spacing w:before="4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0.78</w:t>
            </w:r>
          </w:p>
        </w:tc>
        <w:tc>
          <w:tcPr>
            <w:tcW w:w="2521" w:type="dxa"/>
            <w:tcBorders>
              <w:top w:val="single" w:sz="4" w:space="0" w:color="000000"/>
            </w:tcBorders>
          </w:tcPr>
          <w:p w14:paraId="6674AD34" w14:textId="77777777" w:rsidR="00832FF3" w:rsidRPr="00832FF3" w:rsidRDefault="00832FF3" w:rsidP="00AE7FA9">
            <w:pPr>
              <w:widowControl w:val="0"/>
              <w:autoSpaceDE w:val="0"/>
              <w:autoSpaceDN w:val="0"/>
              <w:spacing w:before="46"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0.90</w:t>
            </w:r>
          </w:p>
        </w:tc>
        <w:tc>
          <w:tcPr>
            <w:tcW w:w="2364" w:type="dxa"/>
            <w:tcBorders>
              <w:top w:val="single" w:sz="4" w:space="0" w:color="000000"/>
            </w:tcBorders>
          </w:tcPr>
          <w:p w14:paraId="25257E55" w14:textId="77777777" w:rsidR="00832FF3" w:rsidRPr="00832FF3" w:rsidRDefault="00832FF3" w:rsidP="00AE7FA9">
            <w:pPr>
              <w:widowControl w:val="0"/>
              <w:autoSpaceDE w:val="0"/>
              <w:autoSpaceDN w:val="0"/>
              <w:spacing w:before="46" w:after="0" w:line="240" w:lineRule="auto"/>
              <w:ind w:right="215"/>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0.64</w:t>
            </w:r>
          </w:p>
        </w:tc>
      </w:tr>
      <w:tr w:rsidR="00832FF3" w:rsidRPr="00832FF3" w14:paraId="717140BE" w14:textId="77777777" w:rsidTr="00483C28">
        <w:trPr>
          <w:trHeight w:val="312"/>
        </w:trPr>
        <w:tc>
          <w:tcPr>
            <w:tcW w:w="4558" w:type="dxa"/>
          </w:tcPr>
          <w:p w14:paraId="15CFA2D4" w14:textId="77777777" w:rsidR="00832FF3" w:rsidRPr="00832FF3" w:rsidRDefault="00832FF3" w:rsidP="00AE7FA9">
            <w:pPr>
              <w:widowControl w:val="0"/>
              <w:autoSpaceDE w:val="0"/>
              <w:autoSpaceDN w:val="0"/>
              <w:spacing w:before="25"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AID2</w:t>
            </w:r>
          </w:p>
        </w:tc>
        <w:tc>
          <w:tcPr>
            <w:tcW w:w="1208" w:type="dxa"/>
          </w:tcPr>
          <w:p w14:paraId="59A649E0"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0.82</w:t>
            </w:r>
          </w:p>
        </w:tc>
        <w:tc>
          <w:tcPr>
            <w:tcW w:w="2521" w:type="dxa"/>
          </w:tcPr>
          <w:p w14:paraId="5B6CEC51"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7CB2C660"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2D3EE290" w14:textId="77777777" w:rsidTr="00483C28">
        <w:trPr>
          <w:trHeight w:val="312"/>
        </w:trPr>
        <w:tc>
          <w:tcPr>
            <w:tcW w:w="4558" w:type="dxa"/>
          </w:tcPr>
          <w:p w14:paraId="20CD9A35" w14:textId="77777777" w:rsidR="00832FF3" w:rsidRPr="00832FF3" w:rsidRDefault="00832FF3" w:rsidP="00AE7FA9">
            <w:pPr>
              <w:widowControl w:val="0"/>
              <w:autoSpaceDE w:val="0"/>
              <w:autoSpaceDN w:val="0"/>
              <w:spacing w:before="25"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AID3</w:t>
            </w:r>
          </w:p>
        </w:tc>
        <w:tc>
          <w:tcPr>
            <w:tcW w:w="1208" w:type="dxa"/>
          </w:tcPr>
          <w:p w14:paraId="0AA1AD5D"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0.80</w:t>
            </w:r>
          </w:p>
        </w:tc>
        <w:tc>
          <w:tcPr>
            <w:tcW w:w="2521" w:type="dxa"/>
          </w:tcPr>
          <w:p w14:paraId="77846E8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2E91DFA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06D8B1E2" w14:textId="77777777" w:rsidTr="00483C28">
        <w:trPr>
          <w:trHeight w:val="312"/>
        </w:trPr>
        <w:tc>
          <w:tcPr>
            <w:tcW w:w="4558" w:type="dxa"/>
          </w:tcPr>
          <w:p w14:paraId="60868BAC" w14:textId="77777777" w:rsidR="00832FF3" w:rsidRPr="00832FF3" w:rsidRDefault="00832FF3" w:rsidP="00AE7FA9">
            <w:pPr>
              <w:widowControl w:val="0"/>
              <w:autoSpaceDE w:val="0"/>
              <w:autoSpaceDN w:val="0"/>
              <w:spacing w:before="25"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AID4</w:t>
            </w:r>
          </w:p>
        </w:tc>
        <w:tc>
          <w:tcPr>
            <w:tcW w:w="1208" w:type="dxa"/>
          </w:tcPr>
          <w:p w14:paraId="24A92BC3"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0.84</w:t>
            </w:r>
          </w:p>
        </w:tc>
        <w:tc>
          <w:tcPr>
            <w:tcW w:w="2521" w:type="dxa"/>
          </w:tcPr>
          <w:p w14:paraId="0900AF5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7A5415E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792F30CC" w14:textId="77777777" w:rsidTr="00483C28">
        <w:trPr>
          <w:trHeight w:val="313"/>
        </w:trPr>
        <w:tc>
          <w:tcPr>
            <w:tcW w:w="4558" w:type="dxa"/>
          </w:tcPr>
          <w:p w14:paraId="422CEDDD" w14:textId="77777777" w:rsidR="00832FF3" w:rsidRPr="00832FF3" w:rsidRDefault="00832FF3" w:rsidP="00AE7FA9">
            <w:pPr>
              <w:widowControl w:val="0"/>
              <w:autoSpaceDE w:val="0"/>
              <w:autoSpaceDN w:val="0"/>
              <w:spacing w:before="25"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AID5</w:t>
            </w:r>
          </w:p>
        </w:tc>
        <w:tc>
          <w:tcPr>
            <w:tcW w:w="1208" w:type="dxa"/>
          </w:tcPr>
          <w:p w14:paraId="50AE0B0E"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0.79</w:t>
            </w:r>
          </w:p>
        </w:tc>
        <w:tc>
          <w:tcPr>
            <w:tcW w:w="2521" w:type="dxa"/>
          </w:tcPr>
          <w:p w14:paraId="3FEAF4C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33BD1DD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2F4A7468" w14:textId="77777777" w:rsidTr="00483C28">
        <w:trPr>
          <w:trHeight w:val="313"/>
        </w:trPr>
        <w:tc>
          <w:tcPr>
            <w:tcW w:w="4558" w:type="dxa"/>
          </w:tcPr>
          <w:p w14:paraId="227004F0" w14:textId="77777777" w:rsidR="00832FF3" w:rsidRPr="00832FF3" w:rsidRDefault="00832FF3" w:rsidP="00AE7FA9">
            <w:pPr>
              <w:widowControl w:val="0"/>
              <w:tabs>
                <w:tab w:val="left" w:pos="3818"/>
              </w:tabs>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Internet</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of</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Things</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Smart</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Monitoring</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IOT6</w:t>
            </w:r>
          </w:p>
        </w:tc>
        <w:tc>
          <w:tcPr>
            <w:tcW w:w="1208" w:type="dxa"/>
          </w:tcPr>
          <w:p w14:paraId="3E7A245C"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0.77</w:t>
            </w:r>
          </w:p>
        </w:tc>
        <w:tc>
          <w:tcPr>
            <w:tcW w:w="2521" w:type="dxa"/>
          </w:tcPr>
          <w:p w14:paraId="6ED1A799" w14:textId="77777777" w:rsidR="00832FF3" w:rsidRPr="00832FF3" w:rsidRDefault="00832FF3" w:rsidP="00AE7FA9">
            <w:pPr>
              <w:widowControl w:val="0"/>
              <w:autoSpaceDE w:val="0"/>
              <w:autoSpaceDN w:val="0"/>
              <w:spacing w:before="26"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0.89</w:t>
            </w:r>
          </w:p>
        </w:tc>
        <w:tc>
          <w:tcPr>
            <w:tcW w:w="2364" w:type="dxa"/>
          </w:tcPr>
          <w:p w14:paraId="7C17920A" w14:textId="77777777" w:rsidR="00832FF3" w:rsidRPr="00832FF3" w:rsidRDefault="00832FF3" w:rsidP="00AE7FA9">
            <w:pPr>
              <w:widowControl w:val="0"/>
              <w:autoSpaceDE w:val="0"/>
              <w:autoSpaceDN w:val="0"/>
              <w:spacing w:before="26" w:after="0" w:line="240" w:lineRule="auto"/>
              <w:ind w:right="215"/>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0.61</w:t>
            </w:r>
          </w:p>
        </w:tc>
      </w:tr>
      <w:tr w:rsidR="00832FF3" w:rsidRPr="00832FF3" w14:paraId="0C6CD041" w14:textId="77777777" w:rsidTr="00483C28">
        <w:trPr>
          <w:trHeight w:val="313"/>
        </w:trPr>
        <w:tc>
          <w:tcPr>
            <w:tcW w:w="4558" w:type="dxa"/>
          </w:tcPr>
          <w:p w14:paraId="56608D7A" w14:textId="77777777" w:rsidR="00832FF3" w:rsidRPr="00832FF3" w:rsidRDefault="00832FF3" w:rsidP="00AE7FA9">
            <w:pPr>
              <w:widowControl w:val="0"/>
              <w:autoSpaceDE w:val="0"/>
              <w:autoSpaceDN w:val="0"/>
              <w:spacing w:before="25" w:after="0" w:line="240" w:lineRule="auto"/>
              <w:ind w:right="273"/>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IOT7</w:t>
            </w:r>
          </w:p>
        </w:tc>
        <w:tc>
          <w:tcPr>
            <w:tcW w:w="1208" w:type="dxa"/>
          </w:tcPr>
          <w:p w14:paraId="5120570A"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0.81</w:t>
            </w:r>
          </w:p>
        </w:tc>
        <w:tc>
          <w:tcPr>
            <w:tcW w:w="2521" w:type="dxa"/>
          </w:tcPr>
          <w:p w14:paraId="60B7ECAD"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0AFFA51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2C9A5268" w14:textId="77777777" w:rsidTr="00483C28">
        <w:trPr>
          <w:trHeight w:val="313"/>
        </w:trPr>
        <w:tc>
          <w:tcPr>
            <w:tcW w:w="4558" w:type="dxa"/>
          </w:tcPr>
          <w:p w14:paraId="457DF4E0" w14:textId="77777777" w:rsidR="00832FF3" w:rsidRPr="00832FF3" w:rsidRDefault="00832FF3" w:rsidP="00AE7FA9">
            <w:pPr>
              <w:widowControl w:val="0"/>
              <w:autoSpaceDE w:val="0"/>
              <w:autoSpaceDN w:val="0"/>
              <w:spacing w:before="26" w:after="0" w:line="240" w:lineRule="auto"/>
              <w:ind w:right="273"/>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IOT8</w:t>
            </w:r>
          </w:p>
        </w:tc>
        <w:tc>
          <w:tcPr>
            <w:tcW w:w="1208" w:type="dxa"/>
          </w:tcPr>
          <w:p w14:paraId="0C28161C"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0.80</w:t>
            </w:r>
          </w:p>
        </w:tc>
        <w:tc>
          <w:tcPr>
            <w:tcW w:w="2521" w:type="dxa"/>
          </w:tcPr>
          <w:p w14:paraId="78E4F6C0"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02DB2801"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517EC492" w14:textId="77777777" w:rsidTr="00483C28">
        <w:trPr>
          <w:trHeight w:val="312"/>
        </w:trPr>
        <w:tc>
          <w:tcPr>
            <w:tcW w:w="4558" w:type="dxa"/>
          </w:tcPr>
          <w:p w14:paraId="3758216C" w14:textId="77777777" w:rsidR="00832FF3" w:rsidRPr="00832FF3" w:rsidRDefault="00832FF3" w:rsidP="00AE7FA9">
            <w:pPr>
              <w:widowControl w:val="0"/>
              <w:autoSpaceDE w:val="0"/>
              <w:autoSpaceDN w:val="0"/>
              <w:spacing w:before="25" w:after="0" w:line="240" w:lineRule="auto"/>
              <w:ind w:right="273"/>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IOT9</w:t>
            </w:r>
          </w:p>
        </w:tc>
        <w:tc>
          <w:tcPr>
            <w:tcW w:w="1208" w:type="dxa"/>
          </w:tcPr>
          <w:p w14:paraId="4B06FB35"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0.76</w:t>
            </w:r>
          </w:p>
        </w:tc>
        <w:tc>
          <w:tcPr>
            <w:tcW w:w="2521" w:type="dxa"/>
          </w:tcPr>
          <w:p w14:paraId="65E00B5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5F1F5EA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279275B1" w14:textId="77777777" w:rsidTr="00483C28">
        <w:trPr>
          <w:trHeight w:val="311"/>
        </w:trPr>
        <w:tc>
          <w:tcPr>
            <w:tcW w:w="4558" w:type="dxa"/>
          </w:tcPr>
          <w:p w14:paraId="0747ECB5" w14:textId="77777777" w:rsidR="00832FF3" w:rsidRPr="00832FF3" w:rsidRDefault="00832FF3" w:rsidP="00AE7FA9">
            <w:pPr>
              <w:widowControl w:val="0"/>
              <w:autoSpaceDE w:val="0"/>
              <w:autoSpaceDN w:val="0"/>
              <w:spacing w:before="25" w:after="0" w:line="240" w:lineRule="auto"/>
              <w:ind w:right="168"/>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IOT10</w:t>
            </w:r>
          </w:p>
        </w:tc>
        <w:tc>
          <w:tcPr>
            <w:tcW w:w="1208" w:type="dxa"/>
          </w:tcPr>
          <w:p w14:paraId="6D50A328"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0.78</w:t>
            </w:r>
          </w:p>
        </w:tc>
        <w:tc>
          <w:tcPr>
            <w:tcW w:w="2521" w:type="dxa"/>
          </w:tcPr>
          <w:p w14:paraId="499039B4"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3D02981D"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679866C0" w14:textId="77777777" w:rsidTr="00483C28">
        <w:trPr>
          <w:trHeight w:val="312"/>
        </w:trPr>
        <w:tc>
          <w:tcPr>
            <w:tcW w:w="4558" w:type="dxa"/>
          </w:tcPr>
          <w:p w14:paraId="38B9C305" w14:textId="77777777" w:rsidR="00832FF3" w:rsidRPr="00832FF3" w:rsidRDefault="00832FF3" w:rsidP="00AE7FA9">
            <w:pPr>
              <w:widowControl w:val="0"/>
              <w:tabs>
                <w:tab w:val="left" w:pos="3818"/>
              </w:tabs>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Digital</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Twin</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&amp;</w:t>
            </w:r>
            <w:r w:rsidRPr="00832FF3">
              <w:rPr>
                <w:rFonts w:ascii="Times New Roman" w:eastAsia="Times New Roman" w:hAnsi="Times New Roman" w:cs="Times New Roman"/>
                <w:spacing w:val="2"/>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Cyber-Physical</w:t>
            </w:r>
            <w:r w:rsidRPr="00832FF3">
              <w:rPr>
                <w:rFonts w:ascii="Times New Roman" w:eastAsia="Times New Roman" w:hAnsi="Times New Roman" w:cs="Times New Roman"/>
                <w:spacing w:val="2"/>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Systems</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DT11</w:t>
            </w:r>
          </w:p>
        </w:tc>
        <w:tc>
          <w:tcPr>
            <w:tcW w:w="1208" w:type="dxa"/>
          </w:tcPr>
          <w:p w14:paraId="497B67BD"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0.74</w:t>
            </w:r>
          </w:p>
        </w:tc>
        <w:tc>
          <w:tcPr>
            <w:tcW w:w="2521" w:type="dxa"/>
          </w:tcPr>
          <w:p w14:paraId="1E479E18" w14:textId="77777777" w:rsidR="00832FF3" w:rsidRPr="00832FF3" w:rsidRDefault="00832FF3" w:rsidP="00AE7FA9">
            <w:pPr>
              <w:widowControl w:val="0"/>
              <w:autoSpaceDE w:val="0"/>
              <w:autoSpaceDN w:val="0"/>
              <w:spacing w:before="25"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0.88</w:t>
            </w:r>
          </w:p>
        </w:tc>
        <w:tc>
          <w:tcPr>
            <w:tcW w:w="2364" w:type="dxa"/>
          </w:tcPr>
          <w:p w14:paraId="3C88CFCB" w14:textId="77777777" w:rsidR="00832FF3" w:rsidRPr="00832FF3" w:rsidRDefault="00832FF3" w:rsidP="00AE7FA9">
            <w:pPr>
              <w:widowControl w:val="0"/>
              <w:autoSpaceDE w:val="0"/>
              <w:autoSpaceDN w:val="0"/>
              <w:spacing w:before="25" w:after="0" w:line="240" w:lineRule="auto"/>
              <w:ind w:right="215"/>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0.59</w:t>
            </w:r>
          </w:p>
        </w:tc>
      </w:tr>
      <w:tr w:rsidR="00832FF3" w:rsidRPr="00832FF3" w14:paraId="7AF38C23" w14:textId="77777777" w:rsidTr="00483C28">
        <w:trPr>
          <w:trHeight w:val="313"/>
        </w:trPr>
        <w:tc>
          <w:tcPr>
            <w:tcW w:w="4558" w:type="dxa"/>
          </w:tcPr>
          <w:p w14:paraId="5CAAC2F1" w14:textId="77777777" w:rsidR="00832FF3" w:rsidRPr="00832FF3" w:rsidRDefault="00832FF3" w:rsidP="00AE7FA9">
            <w:pPr>
              <w:widowControl w:val="0"/>
              <w:autoSpaceDE w:val="0"/>
              <w:autoSpaceDN w:val="0"/>
              <w:spacing w:before="25" w:after="0" w:line="240" w:lineRule="auto"/>
              <w:ind w:right="237"/>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DT12</w:t>
            </w:r>
          </w:p>
        </w:tc>
        <w:tc>
          <w:tcPr>
            <w:tcW w:w="1208" w:type="dxa"/>
          </w:tcPr>
          <w:p w14:paraId="1E0586AC"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0.79</w:t>
            </w:r>
          </w:p>
        </w:tc>
        <w:tc>
          <w:tcPr>
            <w:tcW w:w="2521" w:type="dxa"/>
          </w:tcPr>
          <w:p w14:paraId="550C364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508AE15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678BFCDC" w14:textId="77777777" w:rsidTr="00483C28">
        <w:trPr>
          <w:trHeight w:val="313"/>
        </w:trPr>
        <w:tc>
          <w:tcPr>
            <w:tcW w:w="4558" w:type="dxa"/>
          </w:tcPr>
          <w:p w14:paraId="6C540A21" w14:textId="77777777" w:rsidR="00832FF3" w:rsidRPr="00832FF3" w:rsidRDefault="00832FF3" w:rsidP="00AE7FA9">
            <w:pPr>
              <w:widowControl w:val="0"/>
              <w:autoSpaceDE w:val="0"/>
              <w:autoSpaceDN w:val="0"/>
              <w:spacing w:before="26" w:after="0" w:line="240" w:lineRule="auto"/>
              <w:ind w:right="237"/>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DT13</w:t>
            </w:r>
          </w:p>
        </w:tc>
        <w:tc>
          <w:tcPr>
            <w:tcW w:w="1208" w:type="dxa"/>
          </w:tcPr>
          <w:p w14:paraId="6F159816"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0.77</w:t>
            </w:r>
          </w:p>
        </w:tc>
        <w:tc>
          <w:tcPr>
            <w:tcW w:w="2521" w:type="dxa"/>
          </w:tcPr>
          <w:p w14:paraId="2A7866D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680D769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2E6FF5C3" w14:textId="77777777" w:rsidTr="00483C28">
        <w:trPr>
          <w:trHeight w:val="313"/>
        </w:trPr>
        <w:tc>
          <w:tcPr>
            <w:tcW w:w="4558" w:type="dxa"/>
          </w:tcPr>
          <w:p w14:paraId="00707AFD" w14:textId="77777777" w:rsidR="00832FF3" w:rsidRPr="00832FF3" w:rsidRDefault="00832FF3" w:rsidP="00AE7FA9">
            <w:pPr>
              <w:widowControl w:val="0"/>
              <w:autoSpaceDE w:val="0"/>
              <w:autoSpaceDN w:val="0"/>
              <w:spacing w:before="25" w:after="0" w:line="240" w:lineRule="auto"/>
              <w:ind w:right="237"/>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DT14</w:t>
            </w:r>
          </w:p>
        </w:tc>
        <w:tc>
          <w:tcPr>
            <w:tcW w:w="1208" w:type="dxa"/>
          </w:tcPr>
          <w:p w14:paraId="762AE112"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0.75</w:t>
            </w:r>
          </w:p>
        </w:tc>
        <w:tc>
          <w:tcPr>
            <w:tcW w:w="2521" w:type="dxa"/>
          </w:tcPr>
          <w:p w14:paraId="6609735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139AA31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07B2BE3F" w14:textId="77777777" w:rsidTr="00483C28">
        <w:trPr>
          <w:trHeight w:val="313"/>
        </w:trPr>
        <w:tc>
          <w:tcPr>
            <w:tcW w:w="4558" w:type="dxa"/>
          </w:tcPr>
          <w:p w14:paraId="18340119" w14:textId="77777777" w:rsidR="00832FF3" w:rsidRPr="00832FF3" w:rsidRDefault="00832FF3" w:rsidP="00AE7FA9">
            <w:pPr>
              <w:widowControl w:val="0"/>
              <w:autoSpaceDE w:val="0"/>
              <w:autoSpaceDN w:val="0"/>
              <w:spacing w:before="26" w:after="0" w:line="240" w:lineRule="auto"/>
              <w:ind w:right="237"/>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DT15</w:t>
            </w:r>
          </w:p>
        </w:tc>
        <w:tc>
          <w:tcPr>
            <w:tcW w:w="1208" w:type="dxa"/>
          </w:tcPr>
          <w:p w14:paraId="1E1AEBF5"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0.80</w:t>
            </w:r>
          </w:p>
        </w:tc>
        <w:tc>
          <w:tcPr>
            <w:tcW w:w="2521" w:type="dxa"/>
          </w:tcPr>
          <w:p w14:paraId="09DAE19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2D0DDBB7"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7590747E" w14:textId="77777777" w:rsidTr="00483C28">
        <w:trPr>
          <w:trHeight w:val="312"/>
        </w:trPr>
        <w:tc>
          <w:tcPr>
            <w:tcW w:w="4558" w:type="dxa"/>
          </w:tcPr>
          <w:p w14:paraId="6F39244A" w14:textId="77777777" w:rsidR="00832FF3" w:rsidRPr="00832FF3" w:rsidRDefault="00832FF3" w:rsidP="00AE7FA9">
            <w:pPr>
              <w:widowControl w:val="0"/>
              <w:tabs>
                <w:tab w:val="left" w:pos="3818"/>
              </w:tabs>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Product</w:t>
            </w:r>
            <w:r w:rsidRPr="00832FF3">
              <w:rPr>
                <w:rFonts w:ascii="Times New Roman" w:eastAsia="Times New Roman" w:hAnsi="Times New Roman" w:cs="Times New Roman"/>
                <w:spacing w:val="-5"/>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Process</w:t>
            </w:r>
            <w:r w:rsidRPr="00832FF3">
              <w:rPr>
                <w:rFonts w:ascii="Times New Roman" w:eastAsia="Times New Roman" w:hAnsi="Times New Roman" w:cs="Times New Roman"/>
                <w:spacing w:val="-4"/>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Quality</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PQ16</w:t>
            </w:r>
          </w:p>
        </w:tc>
        <w:tc>
          <w:tcPr>
            <w:tcW w:w="1208" w:type="dxa"/>
          </w:tcPr>
          <w:p w14:paraId="7E322DEE"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0.83</w:t>
            </w:r>
          </w:p>
        </w:tc>
        <w:tc>
          <w:tcPr>
            <w:tcW w:w="2521" w:type="dxa"/>
          </w:tcPr>
          <w:p w14:paraId="6618F7D3" w14:textId="77777777" w:rsidR="00832FF3" w:rsidRPr="00832FF3" w:rsidRDefault="00832FF3" w:rsidP="00AE7FA9">
            <w:pPr>
              <w:widowControl w:val="0"/>
              <w:autoSpaceDE w:val="0"/>
              <w:autoSpaceDN w:val="0"/>
              <w:spacing w:before="25"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0.92</w:t>
            </w:r>
          </w:p>
        </w:tc>
        <w:tc>
          <w:tcPr>
            <w:tcW w:w="2364" w:type="dxa"/>
          </w:tcPr>
          <w:p w14:paraId="66E836F0" w14:textId="77777777" w:rsidR="00832FF3" w:rsidRPr="00832FF3" w:rsidRDefault="00832FF3" w:rsidP="00AE7FA9">
            <w:pPr>
              <w:widowControl w:val="0"/>
              <w:autoSpaceDE w:val="0"/>
              <w:autoSpaceDN w:val="0"/>
              <w:spacing w:before="25" w:after="0" w:line="240" w:lineRule="auto"/>
              <w:ind w:right="215"/>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0.70</w:t>
            </w:r>
          </w:p>
        </w:tc>
      </w:tr>
      <w:tr w:rsidR="00832FF3" w:rsidRPr="00832FF3" w14:paraId="2BD346DC" w14:textId="77777777" w:rsidTr="00483C28">
        <w:trPr>
          <w:trHeight w:val="313"/>
        </w:trPr>
        <w:tc>
          <w:tcPr>
            <w:tcW w:w="4558" w:type="dxa"/>
          </w:tcPr>
          <w:p w14:paraId="41D207C6" w14:textId="77777777" w:rsidR="00832FF3" w:rsidRPr="00832FF3" w:rsidRDefault="00832FF3" w:rsidP="00AE7FA9">
            <w:pPr>
              <w:widowControl w:val="0"/>
              <w:autoSpaceDE w:val="0"/>
              <w:autoSpaceDN w:val="0"/>
              <w:spacing w:before="25"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PQ17</w:t>
            </w:r>
          </w:p>
        </w:tc>
        <w:tc>
          <w:tcPr>
            <w:tcW w:w="1208" w:type="dxa"/>
          </w:tcPr>
          <w:p w14:paraId="31811677"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0.86</w:t>
            </w:r>
          </w:p>
        </w:tc>
        <w:tc>
          <w:tcPr>
            <w:tcW w:w="2521" w:type="dxa"/>
          </w:tcPr>
          <w:p w14:paraId="40479D69"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166E983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616DC0F4" w14:textId="77777777" w:rsidTr="00483C28">
        <w:trPr>
          <w:trHeight w:val="313"/>
        </w:trPr>
        <w:tc>
          <w:tcPr>
            <w:tcW w:w="4558" w:type="dxa"/>
          </w:tcPr>
          <w:p w14:paraId="63523292" w14:textId="77777777" w:rsidR="00832FF3" w:rsidRPr="00832FF3" w:rsidRDefault="00832FF3" w:rsidP="00AE7FA9">
            <w:pPr>
              <w:widowControl w:val="0"/>
              <w:autoSpaceDE w:val="0"/>
              <w:autoSpaceDN w:val="0"/>
              <w:spacing w:before="26"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PQ18</w:t>
            </w:r>
          </w:p>
        </w:tc>
        <w:tc>
          <w:tcPr>
            <w:tcW w:w="1208" w:type="dxa"/>
          </w:tcPr>
          <w:p w14:paraId="636B0445"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0.84</w:t>
            </w:r>
          </w:p>
        </w:tc>
        <w:tc>
          <w:tcPr>
            <w:tcW w:w="2521" w:type="dxa"/>
          </w:tcPr>
          <w:p w14:paraId="1B8FC73A"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75DAAEB8"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5D488296" w14:textId="77777777" w:rsidTr="00483C28">
        <w:trPr>
          <w:trHeight w:val="313"/>
        </w:trPr>
        <w:tc>
          <w:tcPr>
            <w:tcW w:w="4558" w:type="dxa"/>
          </w:tcPr>
          <w:p w14:paraId="4A903113" w14:textId="77777777" w:rsidR="00832FF3" w:rsidRPr="00832FF3" w:rsidRDefault="00832FF3" w:rsidP="00AE7FA9">
            <w:pPr>
              <w:widowControl w:val="0"/>
              <w:autoSpaceDE w:val="0"/>
              <w:autoSpaceDN w:val="0"/>
              <w:spacing w:before="25"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PQ19</w:t>
            </w:r>
          </w:p>
        </w:tc>
        <w:tc>
          <w:tcPr>
            <w:tcW w:w="1208" w:type="dxa"/>
          </w:tcPr>
          <w:p w14:paraId="18B776FA"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0.82</w:t>
            </w:r>
          </w:p>
        </w:tc>
        <w:tc>
          <w:tcPr>
            <w:tcW w:w="2521" w:type="dxa"/>
          </w:tcPr>
          <w:p w14:paraId="515C1CD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55CAB9D8"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15D36493" w14:textId="77777777" w:rsidTr="00483C28">
        <w:trPr>
          <w:trHeight w:val="313"/>
        </w:trPr>
        <w:tc>
          <w:tcPr>
            <w:tcW w:w="4558" w:type="dxa"/>
          </w:tcPr>
          <w:p w14:paraId="41C69CA5" w14:textId="77777777" w:rsidR="00832FF3" w:rsidRPr="00832FF3" w:rsidRDefault="00832FF3" w:rsidP="00AE7FA9">
            <w:pPr>
              <w:widowControl w:val="0"/>
              <w:autoSpaceDE w:val="0"/>
              <w:autoSpaceDN w:val="0"/>
              <w:spacing w:before="26" w:after="0" w:line="240" w:lineRule="auto"/>
              <w:ind w:right="249"/>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PQ20</w:t>
            </w:r>
          </w:p>
        </w:tc>
        <w:tc>
          <w:tcPr>
            <w:tcW w:w="1208" w:type="dxa"/>
          </w:tcPr>
          <w:p w14:paraId="7B742BD9"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0.85</w:t>
            </w:r>
          </w:p>
        </w:tc>
        <w:tc>
          <w:tcPr>
            <w:tcW w:w="2521" w:type="dxa"/>
          </w:tcPr>
          <w:p w14:paraId="32C30FB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003F41F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2FF38856" w14:textId="77777777" w:rsidTr="00483C28">
        <w:trPr>
          <w:trHeight w:val="312"/>
        </w:trPr>
        <w:tc>
          <w:tcPr>
            <w:tcW w:w="4558" w:type="dxa"/>
          </w:tcPr>
          <w:p w14:paraId="69C610D3" w14:textId="77777777" w:rsidR="00832FF3" w:rsidRPr="00832FF3" w:rsidRDefault="00832FF3" w:rsidP="00AE7FA9">
            <w:pPr>
              <w:widowControl w:val="0"/>
              <w:tabs>
                <w:tab w:val="left" w:pos="3818"/>
              </w:tabs>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t xml:space="preserve">Cost </w:t>
            </w:r>
            <w:r w:rsidRPr="00832FF3">
              <w:rPr>
                <w:rFonts w:ascii="Times New Roman" w:eastAsia="Times New Roman" w:hAnsi="Times New Roman" w:cs="Times New Roman"/>
                <w:spacing w:val="-2"/>
                <w:kern w:val="0"/>
                <w:sz w:val="22"/>
                <w:szCs w:val="22"/>
                <w14:ligatures w14:val="none"/>
              </w:rPr>
              <w:t>Efficiency</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CE21</w:t>
            </w:r>
          </w:p>
        </w:tc>
        <w:tc>
          <w:tcPr>
            <w:tcW w:w="1208" w:type="dxa"/>
          </w:tcPr>
          <w:p w14:paraId="6E806A6A"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0.81</w:t>
            </w:r>
          </w:p>
        </w:tc>
        <w:tc>
          <w:tcPr>
            <w:tcW w:w="2521" w:type="dxa"/>
          </w:tcPr>
          <w:p w14:paraId="4F7F48E9" w14:textId="77777777" w:rsidR="00832FF3" w:rsidRPr="00832FF3" w:rsidRDefault="00832FF3" w:rsidP="00AE7FA9">
            <w:pPr>
              <w:widowControl w:val="0"/>
              <w:autoSpaceDE w:val="0"/>
              <w:autoSpaceDN w:val="0"/>
              <w:spacing w:before="25" w:after="0" w:line="240" w:lineRule="auto"/>
              <w:ind w:right="7"/>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0.91</w:t>
            </w:r>
          </w:p>
        </w:tc>
        <w:tc>
          <w:tcPr>
            <w:tcW w:w="2364" w:type="dxa"/>
          </w:tcPr>
          <w:p w14:paraId="611CFBC4" w14:textId="77777777" w:rsidR="00832FF3" w:rsidRPr="00832FF3" w:rsidRDefault="00832FF3" w:rsidP="00AE7FA9">
            <w:pPr>
              <w:widowControl w:val="0"/>
              <w:autoSpaceDE w:val="0"/>
              <w:autoSpaceDN w:val="0"/>
              <w:spacing w:before="25" w:after="0" w:line="240" w:lineRule="auto"/>
              <w:ind w:right="215"/>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0.68</w:t>
            </w:r>
          </w:p>
        </w:tc>
      </w:tr>
      <w:tr w:rsidR="00832FF3" w:rsidRPr="00832FF3" w14:paraId="68BFFFDD" w14:textId="77777777" w:rsidTr="00483C28">
        <w:trPr>
          <w:trHeight w:val="312"/>
        </w:trPr>
        <w:tc>
          <w:tcPr>
            <w:tcW w:w="4558" w:type="dxa"/>
          </w:tcPr>
          <w:p w14:paraId="2CC227EE" w14:textId="77777777" w:rsidR="00832FF3" w:rsidRPr="00832FF3" w:rsidRDefault="00832FF3" w:rsidP="00AE7FA9">
            <w:pPr>
              <w:widowControl w:val="0"/>
              <w:autoSpaceDE w:val="0"/>
              <w:autoSpaceDN w:val="0"/>
              <w:spacing w:before="25" w:after="0" w:line="240" w:lineRule="auto"/>
              <w:ind w:right="251"/>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CE22</w:t>
            </w:r>
          </w:p>
        </w:tc>
        <w:tc>
          <w:tcPr>
            <w:tcW w:w="1208" w:type="dxa"/>
          </w:tcPr>
          <w:p w14:paraId="2F82A363"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0.84</w:t>
            </w:r>
          </w:p>
        </w:tc>
        <w:tc>
          <w:tcPr>
            <w:tcW w:w="2521" w:type="dxa"/>
          </w:tcPr>
          <w:p w14:paraId="41C2E33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6C9344B7"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3CD7195D" w14:textId="77777777" w:rsidTr="00483C28">
        <w:trPr>
          <w:trHeight w:val="313"/>
        </w:trPr>
        <w:tc>
          <w:tcPr>
            <w:tcW w:w="4558" w:type="dxa"/>
          </w:tcPr>
          <w:p w14:paraId="28C7A3F8" w14:textId="77777777" w:rsidR="00832FF3" w:rsidRPr="00832FF3" w:rsidRDefault="00832FF3" w:rsidP="00AE7FA9">
            <w:pPr>
              <w:widowControl w:val="0"/>
              <w:autoSpaceDE w:val="0"/>
              <w:autoSpaceDN w:val="0"/>
              <w:spacing w:before="25" w:after="0" w:line="240" w:lineRule="auto"/>
              <w:ind w:right="251"/>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CE23</w:t>
            </w:r>
          </w:p>
        </w:tc>
        <w:tc>
          <w:tcPr>
            <w:tcW w:w="1208" w:type="dxa"/>
          </w:tcPr>
          <w:p w14:paraId="0DEA1D0A"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0.82</w:t>
            </w:r>
          </w:p>
        </w:tc>
        <w:tc>
          <w:tcPr>
            <w:tcW w:w="2521" w:type="dxa"/>
          </w:tcPr>
          <w:p w14:paraId="6968C818"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73D13B2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4C012AC5" w14:textId="77777777" w:rsidTr="00483C28">
        <w:trPr>
          <w:trHeight w:val="309"/>
        </w:trPr>
        <w:tc>
          <w:tcPr>
            <w:tcW w:w="4558" w:type="dxa"/>
          </w:tcPr>
          <w:p w14:paraId="22F4E8AB" w14:textId="77777777" w:rsidR="00832FF3" w:rsidRPr="00832FF3" w:rsidRDefault="00832FF3" w:rsidP="00AE7FA9">
            <w:pPr>
              <w:widowControl w:val="0"/>
              <w:autoSpaceDE w:val="0"/>
              <w:autoSpaceDN w:val="0"/>
              <w:spacing w:before="26" w:after="0" w:line="240" w:lineRule="auto"/>
              <w:ind w:right="251"/>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CE24</w:t>
            </w:r>
          </w:p>
        </w:tc>
        <w:tc>
          <w:tcPr>
            <w:tcW w:w="1208" w:type="dxa"/>
          </w:tcPr>
          <w:p w14:paraId="288EA078" w14:textId="77777777" w:rsidR="00832FF3" w:rsidRPr="00832FF3" w:rsidRDefault="00832FF3" w:rsidP="00AE7FA9">
            <w:pPr>
              <w:widowControl w:val="0"/>
              <w:autoSpaceDE w:val="0"/>
              <w:autoSpaceDN w:val="0"/>
              <w:spacing w:before="26"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0.86</w:t>
            </w:r>
          </w:p>
        </w:tc>
        <w:tc>
          <w:tcPr>
            <w:tcW w:w="2521" w:type="dxa"/>
          </w:tcPr>
          <w:p w14:paraId="02AEE5DA"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Pr>
          <w:p w14:paraId="0AB48FE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329C9DCB" w14:textId="77777777" w:rsidTr="00483C28">
        <w:trPr>
          <w:trHeight w:val="298"/>
        </w:trPr>
        <w:tc>
          <w:tcPr>
            <w:tcW w:w="4558" w:type="dxa"/>
            <w:tcBorders>
              <w:bottom w:val="single" w:sz="4" w:space="0" w:color="000000"/>
            </w:tcBorders>
          </w:tcPr>
          <w:p w14:paraId="63D2AB96" w14:textId="77777777" w:rsidR="00832FF3" w:rsidRPr="00832FF3" w:rsidRDefault="00832FF3" w:rsidP="00AE7FA9">
            <w:pPr>
              <w:widowControl w:val="0"/>
              <w:autoSpaceDE w:val="0"/>
              <w:autoSpaceDN w:val="0"/>
              <w:spacing w:before="22" w:after="0" w:line="240" w:lineRule="auto"/>
              <w:ind w:right="251"/>
              <w:jc w:val="right"/>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CE25</w:t>
            </w:r>
          </w:p>
        </w:tc>
        <w:tc>
          <w:tcPr>
            <w:tcW w:w="1208" w:type="dxa"/>
            <w:tcBorders>
              <w:bottom w:val="single" w:sz="4" w:space="0" w:color="000000"/>
            </w:tcBorders>
          </w:tcPr>
          <w:p w14:paraId="240D76DB" w14:textId="77777777" w:rsidR="00832FF3" w:rsidRPr="00832FF3" w:rsidRDefault="00832FF3" w:rsidP="00AE7FA9">
            <w:pPr>
              <w:widowControl w:val="0"/>
              <w:autoSpaceDE w:val="0"/>
              <w:autoSpaceDN w:val="0"/>
              <w:spacing w:before="22"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0.83</w:t>
            </w:r>
          </w:p>
        </w:tc>
        <w:tc>
          <w:tcPr>
            <w:tcW w:w="2521" w:type="dxa"/>
            <w:tcBorders>
              <w:bottom w:val="single" w:sz="4" w:space="0" w:color="000000"/>
            </w:tcBorders>
          </w:tcPr>
          <w:p w14:paraId="33956F79"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2364" w:type="dxa"/>
            <w:tcBorders>
              <w:bottom w:val="single" w:sz="4" w:space="0" w:color="000000"/>
            </w:tcBorders>
          </w:tcPr>
          <w:p w14:paraId="06E24C7A"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bl>
    <w:p w14:paraId="3D5E3470" w14:textId="77777777" w:rsidR="00832FF3" w:rsidRPr="00832FF3" w:rsidRDefault="00832FF3" w:rsidP="00AE7FA9">
      <w:pPr>
        <w:widowControl w:val="0"/>
        <w:autoSpaceDE w:val="0"/>
        <w:autoSpaceDN w:val="0"/>
        <w:spacing w:before="123" w:after="0" w:line="240" w:lineRule="auto"/>
        <w:rPr>
          <w:rFonts w:ascii="Times New Roman" w:eastAsia="Times New Roman" w:hAnsi="Times New Roman" w:cs="Times New Roman"/>
          <w:b/>
          <w:kern w:val="0"/>
          <w14:ligatures w14:val="none"/>
        </w:rPr>
      </w:pPr>
    </w:p>
    <w:p w14:paraId="05029DC5" w14:textId="655DFB0D" w:rsidR="00832FF3" w:rsidRPr="00832FF3" w:rsidRDefault="00832FF3" w:rsidP="00AE7FA9">
      <w:pPr>
        <w:widowControl w:val="0"/>
        <w:autoSpaceDE w:val="0"/>
        <w:autoSpaceDN w:val="0"/>
        <w:spacing w:after="0" w:line="240" w:lineRule="auto"/>
        <w:ind w:right="9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confirmatory factor analysis results in Table 5 indicate that all measurement items exhibit factor loadings above the recommended threshold of 0.50, ranging from 0.74 to 0.86, suggesting that the observed indicators adequately represent their respective latent constructs. Composite reliability values for</w:t>
      </w:r>
      <w:r w:rsidRPr="00832FF3">
        <w:rPr>
          <w:rFonts w:ascii="Times New Roman" w:eastAsia="Times New Roman" w:hAnsi="Times New Roman" w:cs="Times New Roman"/>
          <w:spacing w:val="26"/>
          <w:kern w:val="0"/>
          <w14:ligatures w14:val="none"/>
        </w:rPr>
        <w:t xml:space="preserve"> </w:t>
      </w:r>
      <w:r w:rsidRPr="00832FF3">
        <w:rPr>
          <w:rFonts w:ascii="Times New Roman" w:eastAsia="Times New Roman" w:hAnsi="Times New Roman" w:cs="Times New Roman"/>
          <w:kern w:val="0"/>
          <w14:ligatures w14:val="none"/>
        </w:rPr>
        <w:t>all</w:t>
      </w:r>
      <w:r w:rsidRPr="00832FF3">
        <w:rPr>
          <w:rFonts w:ascii="Times New Roman" w:eastAsia="Times New Roman" w:hAnsi="Times New Roman" w:cs="Times New Roman"/>
          <w:spacing w:val="35"/>
          <w:kern w:val="0"/>
          <w14:ligatures w14:val="none"/>
        </w:rPr>
        <w:t xml:space="preserve"> </w:t>
      </w:r>
      <w:r w:rsidRPr="00832FF3">
        <w:rPr>
          <w:rFonts w:ascii="Times New Roman" w:eastAsia="Times New Roman" w:hAnsi="Times New Roman" w:cs="Times New Roman"/>
          <w:kern w:val="0"/>
          <w14:ligatures w14:val="none"/>
        </w:rPr>
        <w:t>constructs</w:t>
      </w:r>
      <w:r w:rsidRPr="00832FF3">
        <w:rPr>
          <w:rFonts w:ascii="Times New Roman" w:eastAsia="Times New Roman" w:hAnsi="Times New Roman" w:cs="Times New Roman"/>
          <w:spacing w:val="32"/>
          <w:kern w:val="0"/>
          <w14:ligatures w14:val="none"/>
        </w:rPr>
        <w:t xml:space="preserve"> </w:t>
      </w:r>
      <w:r w:rsidRPr="00832FF3">
        <w:rPr>
          <w:rFonts w:ascii="Times New Roman" w:eastAsia="Times New Roman" w:hAnsi="Times New Roman" w:cs="Times New Roman"/>
          <w:kern w:val="0"/>
          <w14:ligatures w14:val="none"/>
        </w:rPr>
        <w:t>range</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from</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0.88</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31"/>
          <w:kern w:val="0"/>
          <w14:ligatures w14:val="none"/>
        </w:rPr>
        <w:t xml:space="preserve"> </w:t>
      </w:r>
      <w:r w:rsidRPr="00832FF3">
        <w:rPr>
          <w:rFonts w:ascii="Times New Roman" w:eastAsia="Times New Roman" w:hAnsi="Times New Roman" w:cs="Times New Roman"/>
          <w:kern w:val="0"/>
          <w14:ligatures w14:val="none"/>
        </w:rPr>
        <w:t>0.92,</w:t>
      </w:r>
      <w:r w:rsidRPr="00832FF3">
        <w:rPr>
          <w:rFonts w:ascii="Times New Roman" w:eastAsia="Times New Roman" w:hAnsi="Times New Roman" w:cs="Times New Roman"/>
          <w:spacing w:val="31"/>
          <w:kern w:val="0"/>
          <w14:ligatures w14:val="none"/>
        </w:rPr>
        <w:t xml:space="preserve"> </w:t>
      </w:r>
      <w:r w:rsidRPr="00832FF3">
        <w:rPr>
          <w:rFonts w:ascii="Times New Roman" w:eastAsia="Times New Roman" w:hAnsi="Times New Roman" w:cs="Times New Roman"/>
          <w:kern w:val="0"/>
          <w14:ligatures w14:val="none"/>
        </w:rPr>
        <w:t>exceeding</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29"/>
          <w:kern w:val="0"/>
          <w14:ligatures w14:val="none"/>
        </w:rPr>
        <w:t xml:space="preserve"> </w:t>
      </w:r>
      <w:r w:rsidRPr="00832FF3">
        <w:rPr>
          <w:rFonts w:ascii="Times New Roman" w:eastAsia="Times New Roman" w:hAnsi="Times New Roman" w:cs="Times New Roman"/>
          <w:kern w:val="0"/>
          <w14:ligatures w14:val="none"/>
        </w:rPr>
        <w:t>recommended</w:t>
      </w:r>
      <w:r w:rsidRPr="00832FF3">
        <w:rPr>
          <w:rFonts w:ascii="Times New Roman" w:eastAsia="Times New Roman" w:hAnsi="Times New Roman" w:cs="Times New Roman"/>
          <w:spacing w:val="34"/>
          <w:kern w:val="0"/>
          <w14:ligatures w14:val="none"/>
        </w:rPr>
        <w:t xml:space="preserve"> </w:t>
      </w:r>
      <w:r w:rsidRPr="00832FF3">
        <w:rPr>
          <w:rFonts w:ascii="Times New Roman" w:eastAsia="Times New Roman" w:hAnsi="Times New Roman" w:cs="Times New Roman"/>
          <w:kern w:val="0"/>
          <w14:ligatures w14:val="none"/>
        </w:rPr>
        <w:t>benchmark</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29"/>
          <w:kern w:val="0"/>
          <w14:ligatures w14:val="none"/>
        </w:rPr>
        <w:t xml:space="preserve"> </w:t>
      </w:r>
      <w:r w:rsidRPr="00832FF3">
        <w:rPr>
          <w:rFonts w:ascii="Times New Roman" w:eastAsia="Times New Roman" w:hAnsi="Times New Roman" w:cs="Times New Roman"/>
          <w:kern w:val="0"/>
          <w14:ligatures w14:val="none"/>
        </w:rPr>
        <w:t>0.70,</w:t>
      </w:r>
      <w:r w:rsidRPr="00832FF3">
        <w:rPr>
          <w:rFonts w:ascii="Times New Roman" w:eastAsia="Times New Roman" w:hAnsi="Times New Roman" w:cs="Times New Roman"/>
          <w:spacing w:val="34"/>
          <w:kern w:val="0"/>
          <w14:ligatures w14:val="none"/>
        </w:rPr>
        <w:t xml:space="preserve"> </w:t>
      </w:r>
      <w:proofErr w:type="spellStart"/>
      <w:r w:rsidRPr="00832FF3">
        <w:rPr>
          <w:rFonts w:ascii="Times New Roman" w:eastAsia="Times New Roman" w:hAnsi="Times New Roman" w:cs="Times New Roman"/>
          <w:kern w:val="0"/>
          <w14:ligatures w14:val="none"/>
        </w:rPr>
        <w:t>thereby</w:t>
      </w:r>
      <w:r w:rsidRPr="00832FF3">
        <w:rPr>
          <w:rFonts w:ascii="Times New Roman" w:eastAsia="Times New Roman" w:hAnsi="Times New Roman" w:cs="Times New Roman"/>
          <w:spacing w:val="-2"/>
          <w:kern w:val="0"/>
          <w14:ligatures w14:val="none"/>
        </w:rPr>
        <w:t>confirming</w:t>
      </w:r>
      <w:proofErr w:type="spellEnd"/>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spacing w:val="-2"/>
          <w:kern w:val="0"/>
          <w14:ligatures w14:val="none"/>
        </w:rPr>
        <w:t>the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spacing w:val="-2"/>
          <w:kern w:val="0"/>
          <w14:ligatures w14:val="none"/>
        </w:rPr>
        <w:t>internal consistency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spacing w:val="-2"/>
          <w:kern w:val="0"/>
          <w14:ligatures w14:val="none"/>
        </w:rPr>
        <w:t>of the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spacing w:val="-2"/>
          <w:kern w:val="0"/>
          <w14:ligatures w14:val="none"/>
        </w:rPr>
        <w:t>measurement scales.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spacing w:val="-2"/>
          <w:kern w:val="0"/>
          <w14:ligatures w14:val="none"/>
        </w:rPr>
        <w:t>Similarly,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spacing w:val="-2"/>
          <w:kern w:val="0"/>
          <w14:ligatures w14:val="none"/>
        </w:rPr>
        <w:t>the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spacing w:val="-2"/>
          <w:kern w:val="0"/>
          <w14:ligatures w14:val="none"/>
        </w:rPr>
        <w:t>Average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spacing w:val="-2"/>
          <w:kern w:val="0"/>
          <w14:ligatures w14:val="none"/>
        </w:rPr>
        <w:t>Variance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spacing w:val="-2"/>
          <w:kern w:val="0"/>
          <w14:ligatures w14:val="none"/>
        </w:rPr>
        <w:t xml:space="preserve">Extracted </w:t>
      </w:r>
      <w:r w:rsidRPr="00832FF3">
        <w:rPr>
          <w:rFonts w:ascii="Times New Roman" w:eastAsia="Times New Roman" w:hAnsi="Times New Roman" w:cs="Times New Roman"/>
          <w:kern w:val="0"/>
          <w14:ligatures w14:val="none"/>
        </w:rPr>
        <w:t>(AVE) values fall between 0.59 and 0.70, which are higher than the acceptable threshold of 0.50, indicating</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satisfactory convergent</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validity.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These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findings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imply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measurement</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items</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effectively capture the constructs of digital technologies for sustainability and operational performance within the manufacturing sector.</w:t>
      </w:r>
    </w:p>
    <w:p w14:paraId="506B3561" w14:textId="77777777" w:rsidR="00832FF3" w:rsidRPr="00832FF3" w:rsidRDefault="00832FF3" w:rsidP="00AE7FA9">
      <w:pPr>
        <w:widowControl w:val="0"/>
        <w:autoSpaceDE w:val="0"/>
        <w:autoSpaceDN w:val="0"/>
        <w:spacing w:after="45"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spacing w:val="-2"/>
          <w:kern w:val="0"/>
          <w14:ligatures w14:val="none"/>
        </w:rPr>
        <w:t>Table</w:t>
      </w:r>
      <w:r w:rsidRPr="00832FF3">
        <w:rPr>
          <w:rFonts w:ascii="Times New Roman" w:eastAsia="Times New Roman" w:hAnsi="Times New Roman" w:cs="Times New Roman"/>
          <w:b/>
          <w:bCs/>
          <w:spacing w:val="-5"/>
          <w:kern w:val="0"/>
          <w14:ligatures w14:val="none"/>
        </w:rPr>
        <w:t xml:space="preserve"> </w:t>
      </w:r>
      <w:r w:rsidRPr="00832FF3">
        <w:rPr>
          <w:rFonts w:ascii="Times New Roman" w:eastAsia="Times New Roman" w:hAnsi="Times New Roman" w:cs="Times New Roman"/>
          <w:b/>
          <w:bCs/>
          <w:spacing w:val="-2"/>
          <w:kern w:val="0"/>
          <w14:ligatures w14:val="none"/>
        </w:rPr>
        <w:t>6:</w:t>
      </w:r>
      <w:r w:rsidRPr="00832FF3">
        <w:rPr>
          <w:rFonts w:ascii="Times New Roman" w:eastAsia="Times New Roman" w:hAnsi="Times New Roman" w:cs="Times New Roman"/>
          <w:b/>
          <w:bCs/>
          <w:kern w:val="0"/>
          <w14:ligatures w14:val="none"/>
        </w:rPr>
        <w:t xml:space="preserve"> </w:t>
      </w:r>
      <w:r w:rsidRPr="00832FF3">
        <w:rPr>
          <w:rFonts w:ascii="Times New Roman" w:eastAsia="Times New Roman" w:hAnsi="Times New Roman" w:cs="Times New Roman"/>
          <w:b/>
          <w:bCs/>
          <w:spacing w:val="-2"/>
          <w:kern w:val="0"/>
          <w14:ligatures w14:val="none"/>
        </w:rPr>
        <w:t>Discriminant Validity</w:t>
      </w:r>
      <w:r w:rsidRPr="00832FF3">
        <w:rPr>
          <w:rFonts w:ascii="Times New Roman" w:eastAsia="Times New Roman" w:hAnsi="Times New Roman" w:cs="Times New Roman"/>
          <w:b/>
          <w:bCs/>
          <w:spacing w:val="2"/>
          <w:kern w:val="0"/>
          <w14:ligatures w14:val="none"/>
        </w:rPr>
        <w:t xml:space="preserve"> </w:t>
      </w:r>
      <w:r w:rsidRPr="00832FF3">
        <w:rPr>
          <w:rFonts w:ascii="Times New Roman" w:eastAsia="Times New Roman" w:hAnsi="Times New Roman" w:cs="Times New Roman"/>
          <w:b/>
          <w:bCs/>
          <w:spacing w:val="-2"/>
          <w:kern w:val="0"/>
          <w14:ligatures w14:val="none"/>
        </w:rPr>
        <w:t>using</w:t>
      </w:r>
      <w:r w:rsidRPr="00832FF3">
        <w:rPr>
          <w:rFonts w:ascii="Times New Roman" w:eastAsia="Times New Roman" w:hAnsi="Times New Roman" w:cs="Times New Roman"/>
          <w:b/>
          <w:bCs/>
          <w:spacing w:val="1"/>
          <w:kern w:val="0"/>
          <w14:ligatures w14:val="none"/>
        </w:rPr>
        <w:t xml:space="preserve"> </w:t>
      </w:r>
      <w:r w:rsidRPr="00832FF3">
        <w:rPr>
          <w:rFonts w:ascii="Times New Roman" w:eastAsia="Times New Roman" w:hAnsi="Times New Roman" w:cs="Times New Roman"/>
          <w:b/>
          <w:bCs/>
          <w:spacing w:val="-2"/>
          <w:kern w:val="0"/>
          <w14:ligatures w14:val="none"/>
        </w:rPr>
        <w:t>Fornell–Larcker</w:t>
      </w:r>
      <w:r w:rsidRPr="00832FF3">
        <w:rPr>
          <w:rFonts w:ascii="Times New Roman" w:eastAsia="Times New Roman" w:hAnsi="Times New Roman" w:cs="Times New Roman"/>
          <w:b/>
          <w:bCs/>
          <w:spacing w:val="1"/>
          <w:kern w:val="0"/>
          <w14:ligatures w14:val="none"/>
        </w:rPr>
        <w:t xml:space="preserve"> </w:t>
      </w:r>
      <w:r w:rsidRPr="00832FF3">
        <w:rPr>
          <w:rFonts w:ascii="Times New Roman" w:eastAsia="Times New Roman" w:hAnsi="Times New Roman" w:cs="Times New Roman"/>
          <w:b/>
          <w:bCs/>
          <w:spacing w:val="-2"/>
          <w:kern w:val="0"/>
          <w14:ligatures w14:val="none"/>
        </w:rPr>
        <w:t>Criterion</w:t>
      </w:r>
    </w:p>
    <w:tbl>
      <w:tblPr>
        <w:tblW w:w="0" w:type="auto"/>
        <w:tblInd w:w="187" w:type="dxa"/>
        <w:tblLayout w:type="fixed"/>
        <w:tblCellMar>
          <w:left w:w="0" w:type="dxa"/>
          <w:right w:w="0" w:type="dxa"/>
        </w:tblCellMar>
        <w:tblLook w:val="01E0" w:firstRow="1" w:lastRow="1" w:firstColumn="1" w:lastColumn="1" w:noHBand="0" w:noVBand="0"/>
      </w:tblPr>
      <w:tblGrid>
        <w:gridCol w:w="5442"/>
        <w:gridCol w:w="1521"/>
        <w:gridCol w:w="687"/>
        <w:gridCol w:w="665"/>
        <w:gridCol w:w="666"/>
        <w:gridCol w:w="776"/>
      </w:tblGrid>
      <w:tr w:rsidR="00832FF3" w:rsidRPr="00832FF3" w14:paraId="23D1A93D" w14:textId="77777777" w:rsidTr="00483C28">
        <w:trPr>
          <w:trHeight w:val="302"/>
        </w:trPr>
        <w:tc>
          <w:tcPr>
            <w:tcW w:w="5442" w:type="dxa"/>
            <w:tcBorders>
              <w:top w:val="single" w:sz="4" w:space="0" w:color="000000"/>
              <w:bottom w:val="single" w:sz="4" w:space="0" w:color="000000"/>
            </w:tcBorders>
          </w:tcPr>
          <w:p w14:paraId="3BEBA786" w14:textId="77777777" w:rsidR="00832FF3" w:rsidRPr="00832FF3" w:rsidRDefault="00832FF3" w:rsidP="00AE7FA9">
            <w:pPr>
              <w:widowControl w:val="0"/>
              <w:autoSpaceDE w:val="0"/>
              <w:autoSpaceDN w:val="0"/>
              <w:spacing w:before="3" w:after="0" w:line="240" w:lineRule="auto"/>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2"/>
                <w:kern w:val="0"/>
                <w:szCs w:val="22"/>
                <w14:ligatures w14:val="none"/>
              </w:rPr>
              <w:t>Constructs</w:t>
            </w:r>
          </w:p>
        </w:tc>
        <w:tc>
          <w:tcPr>
            <w:tcW w:w="1521" w:type="dxa"/>
            <w:tcBorders>
              <w:top w:val="single" w:sz="4" w:space="0" w:color="000000"/>
              <w:bottom w:val="single" w:sz="4" w:space="0" w:color="000000"/>
            </w:tcBorders>
          </w:tcPr>
          <w:p w14:paraId="5A869EFD" w14:textId="77777777" w:rsidR="00832FF3" w:rsidRPr="00832FF3" w:rsidRDefault="00832FF3" w:rsidP="00AE7FA9">
            <w:pPr>
              <w:widowControl w:val="0"/>
              <w:autoSpaceDE w:val="0"/>
              <w:autoSpaceDN w:val="0"/>
              <w:spacing w:before="3" w:after="0" w:line="240" w:lineRule="auto"/>
              <w:ind w:right="124"/>
              <w:jc w:val="right"/>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5"/>
                <w:kern w:val="0"/>
                <w:szCs w:val="22"/>
                <w14:ligatures w14:val="none"/>
              </w:rPr>
              <w:t>AID</w:t>
            </w:r>
          </w:p>
        </w:tc>
        <w:tc>
          <w:tcPr>
            <w:tcW w:w="687" w:type="dxa"/>
            <w:tcBorders>
              <w:top w:val="single" w:sz="4" w:space="0" w:color="000000"/>
              <w:bottom w:val="single" w:sz="4" w:space="0" w:color="000000"/>
            </w:tcBorders>
          </w:tcPr>
          <w:p w14:paraId="798E2B8B" w14:textId="77777777" w:rsidR="00832FF3" w:rsidRPr="00832FF3" w:rsidRDefault="00832FF3" w:rsidP="00AE7FA9">
            <w:pPr>
              <w:widowControl w:val="0"/>
              <w:autoSpaceDE w:val="0"/>
              <w:autoSpaceDN w:val="0"/>
              <w:spacing w:before="3" w:after="0" w:line="240" w:lineRule="auto"/>
              <w:ind w:right="29"/>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5"/>
                <w:kern w:val="0"/>
                <w:szCs w:val="22"/>
                <w14:ligatures w14:val="none"/>
              </w:rPr>
              <w:t>IOT</w:t>
            </w:r>
          </w:p>
        </w:tc>
        <w:tc>
          <w:tcPr>
            <w:tcW w:w="665" w:type="dxa"/>
            <w:tcBorders>
              <w:top w:val="single" w:sz="4" w:space="0" w:color="000000"/>
              <w:bottom w:val="single" w:sz="4" w:space="0" w:color="000000"/>
            </w:tcBorders>
          </w:tcPr>
          <w:p w14:paraId="5E297951" w14:textId="77777777" w:rsidR="00832FF3" w:rsidRPr="00832FF3" w:rsidRDefault="00832FF3" w:rsidP="00AE7FA9">
            <w:pPr>
              <w:widowControl w:val="0"/>
              <w:autoSpaceDE w:val="0"/>
              <w:autoSpaceDN w:val="0"/>
              <w:spacing w:before="3" w:after="0" w:line="240" w:lineRule="auto"/>
              <w:ind w:right="85"/>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5"/>
                <w:kern w:val="0"/>
                <w:szCs w:val="22"/>
                <w14:ligatures w14:val="none"/>
              </w:rPr>
              <w:t>DT</w:t>
            </w:r>
          </w:p>
        </w:tc>
        <w:tc>
          <w:tcPr>
            <w:tcW w:w="666" w:type="dxa"/>
            <w:tcBorders>
              <w:top w:val="single" w:sz="4" w:space="0" w:color="000000"/>
              <w:bottom w:val="single" w:sz="4" w:space="0" w:color="000000"/>
            </w:tcBorders>
          </w:tcPr>
          <w:p w14:paraId="78200226" w14:textId="77777777" w:rsidR="00832FF3" w:rsidRPr="00832FF3" w:rsidRDefault="00832FF3" w:rsidP="00AE7FA9">
            <w:pPr>
              <w:widowControl w:val="0"/>
              <w:autoSpaceDE w:val="0"/>
              <w:autoSpaceDN w:val="0"/>
              <w:spacing w:before="3" w:after="0" w:line="240" w:lineRule="auto"/>
              <w:ind w:right="79"/>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5"/>
                <w:kern w:val="0"/>
                <w:szCs w:val="22"/>
                <w14:ligatures w14:val="none"/>
              </w:rPr>
              <w:t>PQ</w:t>
            </w:r>
          </w:p>
        </w:tc>
        <w:tc>
          <w:tcPr>
            <w:tcW w:w="776" w:type="dxa"/>
            <w:tcBorders>
              <w:top w:val="single" w:sz="4" w:space="0" w:color="000000"/>
              <w:bottom w:val="single" w:sz="4" w:space="0" w:color="000000"/>
            </w:tcBorders>
          </w:tcPr>
          <w:p w14:paraId="7EFF50F4" w14:textId="77777777" w:rsidR="00832FF3" w:rsidRPr="00832FF3" w:rsidRDefault="00832FF3" w:rsidP="00AE7FA9">
            <w:pPr>
              <w:widowControl w:val="0"/>
              <w:autoSpaceDE w:val="0"/>
              <w:autoSpaceDN w:val="0"/>
              <w:spacing w:before="3" w:after="0" w:line="240" w:lineRule="auto"/>
              <w:ind w:right="203"/>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5"/>
                <w:kern w:val="0"/>
                <w:szCs w:val="22"/>
                <w14:ligatures w14:val="none"/>
              </w:rPr>
              <w:t>CE</w:t>
            </w:r>
          </w:p>
        </w:tc>
      </w:tr>
      <w:tr w:rsidR="00832FF3" w:rsidRPr="00832FF3" w14:paraId="50B56EAA" w14:textId="77777777" w:rsidTr="00483C28">
        <w:trPr>
          <w:trHeight w:val="358"/>
        </w:trPr>
        <w:tc>
          <w:tcPr>
            <w:tcW w:w="5442" w:type="dxa"/>
            <w:tcBorders>
              <w:top w:val="single" w:sz="4" w:space="0" w:color="000000"/>
            </w:tcBorders>
          </w:tcPr>
          <w:p w14:paraId="3D5641BB" w14:textId="77777777" w:rsidR="00832FF3" w:rsidRPr="00832FF3" w:rsidRDefault="00832FF3" w:rsidP="00AE7FA9">
            <w:pPr>
              <w:widowControl w:val="0"/>
              <w:autoSpaceDE w:val="0"/>
              <w:autoSpaceDN w:val="0"/>
              <w:spacing w:before="47"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Artificial</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kern w:val="0"/>
                <w:szCs w:val="22"/>
                <w14:ligatures w14:val="none"/>
              </w:rPr>
              <w:t>Intelligence</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kern w:val="0"/>
                <w:szCs w:val="22"/>
                <w14:ligatures w14:val="none"/>
              </w:rPr>
              <w:t>Data</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Analytics</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spacing w:val="-4"/>
                <w:kern w:val="0"/>
                <w:szCs w:val="22"/>
                <w14:ligatures w14:val="none"/>
              </w:rPr>
              <w:t>(AID)</w:t>
            </w:r>
          </w:p>
        </w:tc>
        <w:tc>
          <w:tcPr>
            <w:tcW w:w="1521" w:type="dxa"/>
            <w:tcBorders>
              <w:top w:val="single" w:sz="4" w:space="0" w:color="000000"/>
            </w:tcBorders>
          </w:tcPr>
          <w:p w14:paraId="31248218" w14:textId="77777777" w:rsidR="00832FF3" w:rsidRPr="00832FF3" w:rsidRDefault="00832FF3" w:rsidP="00AE7FA9">
            <w:pPr>
              <w:widowControl w:val="0"/>
              <w:autoSpaceDE w:val="0"/>
              <w:autoSpaceDN w:val="0"/>
              <w:spacing w:before="47" w:after="0" w:line="240" w:lineRule="auto"/>
              <w:ind w:right="153"/>
              <w:jc w:val="right"/>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4"/>
                <w:kern w:val="0"/>
                <w:szCs w:val="22"/>
                <w14:ligatures w14:val="none"/>
              </w:rPr>
              <w:t>0.80</w:t>
            </w:r>
          </w:p>
        </w:tc>
        <w:tc>
          <w:tcPr>
            <w:tcW w:w="687" w:type="dxa"/>
            <w:tcBorders>
              <w:top w:val="single" w:sz="4" w:space="0" w:color="000000"/>
            </w:tcBorders>
          </w:tcPr>
          <w:p w14:paraId="609FA06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665" w:type="dxa"/>
            <w:tcBorders>
              <w:top w:val="single" w:sz="4" w:space="0" w:color="000000"/>
            </w:tcBorders>
          </w:tcPr>
          <w:p w14:paraId="66DA1092"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666" w:type="dxa"/>
            <w:tcBorders>
              <w:top w:val="single" w:sz="4" w:space="0" w:color="000000"/>
            </w:tcBorders>
          </w:tcPr>
          <w:p w14:paraId="56BA99DD"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776" w:type="dxa"/>
            <w:tcBorders>
              <w:top w:val="single" w:sz="4" w:space="0" w:color="000000"/>
            </w:tcBorders>
          </w:tcPr>
          <w:p w14:paraId="4FAD918B"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06CC7BA0" w14:textId="77777777" w:rsidTr="00483C28">
        <w:trPr>
          <w:trHeight w:val="334"/>
        </w:trPr>
        <w:tc>
          <w:tcPr>
            <w:tcW w:w="5442" w:type="dxa"/>
          </w:tcPr>
          <w:p w14:paraId="5B63628C"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Internet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of</w:t>
            </w:r>
            <w:r w:rsidRPr="00832FF3">
              <w:rPr>
                <w:rFonts w:ascii="Times New Roman" w:eastAsia="Times New Roman" w:hAnsi="Times New Roman" w:cs="Times New Roman"/>
                <w:spacing w:val="-8"/>
                <w:kern w:val="0"/>
                <w:szCs w:val="22"/>
                <w14:ligatures w14:val="none"/>
              </w:rPr>
              <w:t xml:space="preserve"> </w:t>
            </w:r>
            <w:r w:rsidRPr="00832FF3">
              <w:rPr>
                <w:rFonts w:ascii="Times New Roman" w:eastAsia="Times New Roman" w:hAnsi="Times New Roman" w:cs="Times New Roman"/>
                <w:kern w:val="0"/>
                <w:szCs w:val="22"/>
                <w14:ligatures w14:val="none"/>
              </w:rPr>
              <w:t>Things</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kern w:val="0"/>
                <w:szCs w:val="22"/>
                <w14:ligatures w14:val="none"/>
              </w:rPr>
              <w: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Smart</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kern w:val="0"/>
                <w:szCs w:val="22"/>
                <w14:ligatures w14:val="none"/>
              </w:rPr>
              <w:t>Monitoring</w:t>
            </w:r>
            <w:r w:rsidRPr="00832FF3">
              <w:rPr>
                <w:rFonts w:ascii="Times New Roman" w:eastAsia="Times New Roman" w:hAnsi="Times New Roman" w:cs="Times New Roman"/>
                <w:spacing w:val="-1"/>
                <w:kern w:val="0"/>
                <w:szCs w:val="22"/>
                <w14:ligatures w14:val="none"/>
              </w:rPr>
              <w:t xml:space="preserve"> </w:t>
            </w:r>
            <w:r w:rsidRPr="00832FF3">
              <w:rPr>
                <w:rFonts w:ascii="Times New Roman" w:eastAsia="Times New Roman" w:hAnsi="Times New Roman" w:cs="Times New Roman"/>
                <w:spacing w:val="-2"/>
                <w:kern w:val="0"/>
                <w:szCs w:val="22"/>
                <w14:ligatures w14:val="none"/>
              </w:rPr>
              <w:t>(IOT)</w:t>
            </w:r>
          </w:p>
        </w:tc>
        <w:tc>
          <w:tcPr>
            <w:tcW w:w="1521" w:type="dxa"/>
          </w:tcPr>
          <w:p w14:paraId="0EC87931" w14:textId="77777777" w:rsidR="00832FF3" w:rsidRPr="00832FF3" w:rsidRDefault="00832FF3" w:rsidP="00AE7FA9">
            <w:pPr>
              <w:widowControl w:val="0"/>
              <w:autoSpaceDE w:val="0"/>
              <w:autoSpaceDN w:val="0"/>
              <w:spacing w:before="25" w:after="0" w:line="240" w:lineRule="auto"/>
              <w:ind w:right="153"/>
              <w:jc w:val="right"/>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0.54</w:t>
            </w:r>
          </w:p>
        </w:tc>
        <w:tc>
          <w:tcPr>
            <w:tcW w:w="687" w:type="dxa"/>
          </w:tcPr>
          <w:p w14:paraId="3BDE0898" w14:textId="77777777" w:rsidR="00832FF3" w:rsidRPr="00832FF3" w:rsidRDefault="00832FF3" w:rsidP="00AE7FA9">
            <w:pPr>
              <w:widowControl w:val="0"/>
              <w:autoSpaceDE w:val="0"/>
              <w:autoSpaceDN w:val="0"/>
              <w:spacing w:before="25" w:after="0" w:line="240" w:lineRule="auto"/>
              <w:ind w:right="29"/>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4"/>
                <w:kern w:val="0"/>
                <w:szCs w:val="22"/>
                <w14:ligatures w14:val="none"/>
              </w:rPr>
              <w:t>0.78</w:t>
            </w:r>
          </w:p>
        </w:tc>
        <w:tc>
          <w:tcPr>
            <w:tcW w:w="665" w:type="dxa"/>
          </w:tcPr>
          <w:p w14:paraId="4FFC871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666" w:type="dxa"/>
          </w:tcPr>
          <w:p w14:paraId="25D8197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776" w:type="dxa"/>
          </w:tcPr>
          <w:p w14:paraId="6E567B7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06B93415" w14:textId="77777777" w:rsidTr="00483C28">
        <w:trPr>
          <w:trHeight w:val="334"/>
        </w:trPr>
        <w:tc>
          <w:tcPr>
            <w:tcW w:w="5442" w:type="dxa"/>
          </w:tcPr>
          <w:p w14:paraId="6DAF5D7F" w14:textId="77777777" w:rsidR="00832FF3" w:rsidRPr="00832FF3" w:rsidRDefault="00832FF3" w:rsidP="00AE7FA9">
            <w:pPr>
              <w:widowControl w:val="0"/>
              <w:autoSpaceDE w:val="0"/>
              <w:autoSpaceDN w:val="0"/>
              <w:spacing w:before="23"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Digital</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Twin</w:t>
            </w:r>
            <w:r w:rsidRPr="00832FF3">
              <w:rPr>
                <w:rFonts w:ascii="Times New Roman" w:eastAsia="Times New Roman" w:hAnsi="Times New Roman" w:cs="Times New Roman"/>
                <w:spacing w:val="-10"/>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Cyber-Physical</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Systems</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spacing w:val="-4"/>
                <w:kern w:val="0"/>
                <w:szCs w:val="22"/>
                <w14:ligatures w14:val="none"/>
              </w:rPr>
              <w:t>(DT)</w:t>
            </w:r>
          </w:p>
        </w:tc>
        <w:tc>
          <w:tcPr>
            <w:tcW w:w="1521" w:type="dxa"/>
          </w:tcPr>
          <w:p w14:paraId="7BA2D010" w14:textId="77777777" w:rsidR="00832FF3" w:rsidRPr="00832FF3" w:rsidRDefault="00832FF3" w:rsidP="00AE7FA9">
            <w:pPr>
              <w:widowControl w:val="0"/>
              <w:autoSpaceDE w:val="0"/>
              <w:autoSpaceDN w:val="0"/>
              <w:spacing w:before="23" w:after="0" w:line="240" w:lineRule="auto"/>
              <w:ind w:right="153"/>
              <w:jc w:val="right"/>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0.49</w:t>
            </w:r>
          </w:p>
        </w:tc>
        <w:tc>
          <w:tcPr>
            <w:tcW w:w="687" w:type="dxa"/>
          </w:tcPr>
          <w:p w14:paraId="3014EAA1" w14:textId="77777777" w:rsidR="00832FF3" w:rsidRPr="00832FF3" w:rsidRDefault="00832FF3" w:rsidP="00AE7FA9">
            <w:pPr>
              <w:widowControl w:val="0"/>
              <w:autoSpaceDE w:val="0"/>
              <w:autoSpaceDN w:val="0"/>
              <w:spacing w:before="23" w:after="0" w:line="240" w:lineRule="auto"/>
              <w:ind w:right="29"/>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0.52</w:t>
            </w:r>
          </w:p>
        </w:tc>
        <w:tc>
          <w:tcPr>
            <w:tcW w:w="665" w:type="dxa"/>
          </w:tcPr>
          <w:p w14:paraId="2D79DCDC" w14:textId="77777777" w:rsidR="00832FF3" w:rsidRPr="00832FF3" w:rsidRDefault="00832FF3" w:rsidP="00AE7FA9">
            <w:pPr>
              <w:widowControl w:val="0"/>
              <w:autoSpaceDE w:val="0"/>
              <w:autoSpaceDN w:val="0"/>
              <w:spacing w:before="23" w:after="0" w:line="240" w:lineRule="auto"/>
              <w:ind w:right="85"/>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4"/>
                <w:kern w:val="0"/>
                <w:szCs w:val="22"/>
                <w14:ligatures w14:val="none"/>
              </w:rPr>
              <w:t>0.77</w:t>
            </w:r>
          </w:p>
        </w:tc>
        <w:tc>
          <w:tcPr>
            <w:tcW w:w="666" w:type="dxa"/>
          </w:tcPr>
          <w:p w14:paraId="371AAA81"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776" w:type="dxa"/>
          </w:tcPr>
          <w:p w14:paraId="150BF4C0"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5BD17EB5" w14:textId="77777777" w:rsidTr="00483C28">
        <w:trPr>
          <w:trHeight w:val="332"/>
        </w:trPr>
        <w:tc>
          <w:tcPr>
            <w:tcW w:w="5442" w:type="dxa"/>
          </w:tcPr>
          <w:p w14:paraId="0A0FC44D"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Product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Process</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Quality</w:t>
            </w:r>
            <w:r w:rsidRPr="00832FF3">
              <w:rPr>
                <w:rFonts w:ascii="Times New Roman" w:eastAsia="Times New Roman" w:hAnsi="Times New Roman" w:cs="Times New Roman"/>
                <w:spacing w:val="-2"/>
                <w:kern w:val="0"/>
                <w:szCs w:val="22"/>
                <w14:ligatures w14:val="none"/>
              </w:rPr>
              <w:t xml:space="preserve"> </w:t>
            </w:r>
            <w:r w:rsidRPr="00832FF3">
              <w:rPr>
                <w:rFonts w:ascii="Times New Roman" w:eastAsia="Times New Roman" w:hAnsi="Times New Roman" w:cs="Times New Roman"/>
                <w:spacing w:val="-4"/>
                <w:kern w:val="0"/>
                <w:szCs w:val="22"/>
                <w14:ligatures w14:val="none"/>
              </w:rPr>
              <w:t>(PQ)</w:t>
            </w:r>
          </w:p>
        </w:tc>
        <w:tc>
          <w:tcPr>
            <w:tcW w:w="1521" w:type="dxa"/>
          </w:tcPr>
          <w:p w14:paraId="19EA7A11" w14:textId="77777777" w:rsidR="00832FF3" w:rsidRPr="00832FF3" w:rsidRDefault="00832FF3" w:rsidP="00AE7FA9">
            <w:pPr>
              <w:widowControl w:val="0"/>
              <w:autoSpaceDE w:val="0"/>
              <w:autoSpaceDN w:val="0"/>
              <w:spacing w:before="25" w:after="0" w:line="240" w:lineRule="auto"/>
              <w:ind w:right="153"/>
              <w:jc w:val="right"/>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0.58</w:t>
            </w:r>
          </w:p>
        </w:tc>
        <w:tc>
          <w:tcPr>
            <w:tcW w:w="687" w:type="dxa"/>
          </w:tcPr>
          <w:p w14:paraId="5359AB93" w14:textId="77777777" w:rsidR="00832FF3" w:rsidRPr="00832FF3" w:rsidRDefault="00832FF3" w:rsidP="00AE7FA9">
            <w:pPr>
              <w:widowControl w:val="0"/>
              <w:autoSpaceDE w:val="0"/>
              <w:autoSpaceDN w:val="0"/>
              <w:spacing w:before="25" w:after="0" w:line="240" w:lineRule="auto"/>
              <w:ind w:right="29"/>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0.55</w:t>
            </w:r>
          </w:p>
        </w:tc>
        <w:tc>
          <w:tcPr>
            <w:tcW w:w="665" w:type="dxa"/>
          </w:tcPr>
          <w:p w14:paraId="32181898" w14:textId="77777777" w:rsidR="00832FF3" w:rsidRPr="00832FF3" w:rsidRDefault="00832FF3" w:rsidP="00AE7FA9">
            <w:pPr>
              <w:widowControl w:val="0"/>
              <w:autoSpaceDE w:val="0"/>
              <w:autoSpaceDN w:val="0"/>
              <w:spacing w:before="25" w:after="0" w:line="240" w:lineRule="auto"/>
              <w:ind w:right="85"/>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0.51</w:t>
            </w:r>
          </w:p>
        </w:tc>
        <w:tc>
          <w:tcPr>
            <w:tcW w:w="666" w:type="dxa"/>
          </w:tcPr>
          <w:p w14:paraId="6174522A" w14:textId="77777777" w:rsidR="00832FF3" w:rsidRPr="00832FF3" w:rsidRDefault="00832FF3" w:rsidP="00AE7FA9">
            <w:pPr>
              <w:widowControl w:val="0"/>
              <w:autoSpaceDE w:val="0"/>
              <w:autoSpaceDN w:val="0"/>
              <w:spacing w:before="25" w:after="0" w:line="240" w:lineRule="auto"/>
              <w:ind w:right="76"/>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4"/>
                <w:kern w:val="0"/>
                <w:szCs w:val="22"/>
                <w14:ligatures w14:val="none"/>
              </w:rPr>
              <w:t>0.84</w:t>
            </w:r>
          </w:p>
        </w:tc>
        <w:tc>
          <w:tcPr>
            <w:tcW w:w="776" w:type="dxa"/>
          </w:tcPr>
          <w:p w14:paraId="4680F205"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832FF3" w:rsidRPr="00832FF3" w14:paraId="6BB63D43" w14:textId="77777777" w:rsidTr="00483C28">
        <w:trPr>
          <w:trHeight w:val="319"/>
        </w:trPr>
        <w:tc>
          <w:tcPr>
            <w:tcW w:w="5442" w:type="dxa"/>
            <w:tcBorders>
              <w:bottom w:val="single" w:sz="4" w:space="0" w:color="000000"/>
            </w:tcBorders>
          </w:tcPr>
          <w:p w14:paraId="0EF6DE3E" w14:textId="77777777" w:rsidR="00832FF3" w:rsidRPr="00832FF3" w:rsidRDefault="00832FF3" w:rsidP="00AE7FA9">
            <w:pPr>
              <w:widowControl w:val="0"/>
              <w:autoSpaceDE w:val="0"/>
              <w:autoSpaceDN w:val="0"/>
              <w:spacing w:before="21"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Cost</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Efficiency</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spacing w:val="-4"/>
                <w:kern w:val="0"/>
                <w:szCs w:val="22"/>
                <w14:ligatures w14:val="none"/>
              </w:rPr>
              <w:t>(CE)</w:t>
            </w:r>
          </w:p>
        </w:tc>
        <w:tc>
          <w:tcPr>
            <w:tcW w:w="1521" w:type="dxa"/>
            <w:tcBorders>
              <w:bottom w:val="single" w:sz="4" w:space="0" w:color="000000"/>
            </w:tcBorders>
          </w:tcPr>
          <w:p w14:paraId="2FB8A6FF" w14:textId="77777777" w:rsidR="00832FF3" w:rsidRPr="00832FF3" w:rsidRDefault="00832FF3" w:rsidP="00AE7FA9">
            <w:pPr>
              <w:widowControl w:val="0"/>
              <w:autoSpaceDE w:val="0"/>
              <w:autoSpaceDN w:val="0"/>
              <w:spacing w:before="21" w:after="0" w:line="240" w:lineRule="auto"/>
              <w:ind w:right="153"/>
              <w:jc w:val="right"/>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0.56</w:t>
            </w:r>
          </w:p>
        </w:tc>
        <w:tc>
          <w:tcPr>
            <w:tcW w:w="687" w:type="dxa"/>
            <w:tcBorders>
              <w:bottom w:val="single" w:sz="4" w:space="0" w:color="000000"/>
            </w:tcBorders>
          </w:tcPr>
          <w:p w14:paraId="59EB607F" w14:textId="77777777" w:rsidR="00832FF3" w:rsidRPr="00832FF3" w:rsidRDefault="00832FF3" w:rsidP="00AE7FA9">
            <w:pPr>
              <w:widowControl w:val="0"/>
              <w:autoSpaceDE w:val="0"/>
              <w:autoSpaceDN w:val="0"/>
              <w:spacing w:before="21" w:after="0" w:line="240" w:lineRule="auto"/>
              <w:ind w:right="29"/>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0.53</w:t>
            </w:r>
          </w:p>
        </w:tc>
        <w:tc>
          <w:tcPr>
            <w:tcW w:w="665" w:type="dxa"/>
            <w:tcBorders>
              <w:bottom w:val="single" w:sz="4" w:space="0" w:color="000000"/>
            </w:tcBorders>
          </w:tcPr>
          <w:p w14:paraId="35E1DC80" w14:textId="77777777" w:rsidR="00832FF3" w:rsidRPr="00832FF3" w:rsidRDefault="00832FF3" w:rsidP="00AE7FA9">
            <w:pPr>
              <w:widowControl w:val="0"/>
              <w:autoSpaceDE w:val="0"/>
              <w:autoSpaceDN w:val="0"/>
              <w:spacing w:before="21" w:after="0" w:line="240" w:lineRule="auto"/>
              <w:ind w:right="85"/>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0.48</w:t>
            </w:r>
          </w:p>
        </w:tc>
        <w:tc>
          <w:tcPr>
            <w:tcW w:w="666" w:type="dxa"/>
            <w:tcBorders>
              <w:bottom w:val="single" w:sz="4" w:space="0" w:color="000000"/>
            </w:tcBorders>
          </w:tcPr>
          <w:p w14:paraId="34D4F7B6" w14:textId="77777777" w:rsidR="00832FF3" w:rsidRPr="00832FF3" w:rsidRDefault="00832FF3" w:rsidP="00AE7FA9">
            <w:pPr>
              <w:widowControl w:val="0"/>
              <w:autoSpaceDE w:val="0"/>
              <w:autoSpaceDN w:val="0"/>
              <w:spacing w:before="21" w:after="0" w:line="240" w:lineRule="auto"/>
              <w:ind w:right="76"/>
              <w:jc w:val="center"/>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4"/>
                <w:kern w:val="0"/>
                <w:szCs w:val="22"/>
                <w14:ligatures w14:val="none"/>
              </w:rPr>
              <w:t>0.60</w:t>
            </w:r>
          </w:p>
        </w:tc>
        <w:tc>
          <w:tcPr>
            <w:tcW w:w="776" w:type="dxa"/>
            <w:tcBorders>
              <w:bottom w:val="single" w:sz="4" w:space="0" w:color="000000"/>
            </w:tcBorders>
          </w:tcPr>
          <w:p w14:paraId="692FD975" w14:textId="77777777" w:rsidR="00832FF3" w:rsidRPr="00832FF3" w:rsidRDefault="00832FF3" w:rsidP="00AE7FA9">
            <w:pPr>
              <w:widowControl w:val="0"/>
              <w:autoSpaceDE w:val="0"/>
              <w:autoSpaceDN w:val="0"/>
              <w:spacing w:before="21" w:after="0" w:line="240" w:lineRule="auto"/>
              <w:ind w:right="203"/>
              <w:jc w:val="center"/>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spacing w:val="-4"/>
                <w:kern w:val="0"/>
                <w:szCs w:val="22"/>
                <w14:ligatures w14:val="none"/>
              </w:rPr>
              <w:t>0.82</w:t>
            </w:r>
          </w:p>
        </w:tc>
      </w:tr>
    </w:tbl>
    <w:p w14:paraId="4959126C"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14:ligatures w14:val="none"/>
        </w:rPr>
      </w:pPr>
    </w:p>
    <w:p w14:paraId="7924A667" w14:textId="77777777" w:rsidR="00832FF3" w:rsidRPr="00832FF3" w:rsidRDefault="00832FF3" w:rsidP="00AE7FA9">
      <w:pPr>
        <w:widowControl w:val="0"/>
        <w:autoSpaceDE w:val="0"/>
        <w:autoSpaceDN w:val="0"/>
        <w:spacing w:before="25" w:after="0" w:line="240" w:lineRule="auto"/>
        <w:rPr>
          <w:rFonts w:ascii="Times New Roman" w:eastAsia="Times New Roman" w:hAnsi="Times New Roman" w:cs="Times New Roman"/>
          <w:b/>
          <w:kern w:val="0"/>
          <w14:ligatures w14:val="none"/>
        </w:rPr>
      </w:pPr>
    </w:p>
    <w:p w14:paraId="0E10B036" w14:textId="77777777" w:rsidR="00832FF3" w:rsidRPr="00832FF3" w:rsidRDefault="00832FF3" w:rsidP="00AE7FA9">
      <w:pPr>
        <w:widowControl w:val="0"/>
        <w:autoSpaceDE w:val="0"/>
        <w:autoSpaceDN w:val="0"/>
        <w:spacing w:before="1" w:after="0" w:line="240" w:lineRule="auto"/>
        <w:ind w:right="977"/>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Fornell–Larcker criterion presented in Table 6 demonstrates that the square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root of the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AVE values (bold</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diagonal</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elements)</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is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greater</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than</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corresponding</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inter-construct</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correlations.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This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indicates</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that each construct shares more variance with its own indicators than with other constructs in the model. Consequently, the results confirm that the constructs used in the study possess adequate discriminant validity,</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meaning that</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constructs measuring artificial intelligence and data</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analytics, IoT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monitoring systems,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twin</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product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quality,</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cost</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efficiency</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are</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empirically</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distinct</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from</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 xml:space="preserve">each </w:t>
      </w:r>
      <w:r w:rsidRPr="00832FF3">
        <w:rPr>
          <w:rFonts w:ascii="Times New Roman" w:eastAsia="Times New Roman" w:hAnsi="Times New Roman" w:cs="Times New Roman"/>
          <w:spacing w:val="-2"/>
          <w:kern w:val="0"/>
          <w14:ligatures w14:val="none"/>
        </w:rPr>
        <w:t>other.</w:t>
      </w:r>
    </w:p>
    <w:p w14:paraId="3144C596" w14:textId="77777777" w:rsidR="00832FF3" w:rsidRPr="00832FF3" w:rsidRDefault="00832FF3" w:rsidP="00AE7FA9">
      <w:pPr>
        <w:widowControl w:val="0"/>
        <w:autoSpaceDE w:val="0"/>
        <w:autoSpaceDN w:val="0"/>
        <w:spacing w:after="0" w:line="240" w:lineRule="auto"/>
        <w:jc w:val="both"/>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kern w:val="0"/>
          <w14:ligatures w14:val="none"/>
        </w:rPr>
        <w:t>Structural</w:t>
      </w:r>
      <w:r w:rsidRPr="00832FF3">
        <w:rPr>
          <w:rFonts w:ascii="Times New Roman" w:eastAsia="Times New Roman" w:hAnsi="Times New Roman" w:cs="Times New Roman"/>
          <w:b/>
          <w:bCs/>
          <w:spacing w:val="-11"/>
          <w:kern w:val="0"/>
          <w14:ligatures w14:val="none"/>
        </w:rPr>
        <w:t xml:space="preserve"> </w:t>
      </w:r>
      <w:r w:rsidRPr="00832FF3">
        <w:rPr>
          <w:rFonts w:ascii="Times New Roman" w:eastAsia="Times New Roman" w:hAnsi="Times New Roman" w:cs="Times New Roman"/>
          <w:b/>
          <w:bCs/>
          <w:kern w:val="0"/>
          <w14:ligatures w14:val="none"/>
        </w:rPr>
        <w:t>Model</w:t>
      </w:r>
      <w:r w:rsidRPr="00832FF3">
        <w:rPr>
          <w:rFonts w:ascii="Times New Roman" w:eastAsia="Times New Roman" w:hAnsi="Times New Roman" w:cs="Times New Roman"/>
          <w:b/>
          <w:bCs/>
          <w:spacing w:val="-15"/>
          <w:kern w:val="0"/>
          <w14:ligatures w14:val="none"/>
        </w:rPr>
        <w:t xml:space="preserve"> </w:t>
      </w:r>
      <w:r w:rsidRPr="00832FF3">
        <w:rPr>
          <w:rFonts w:ascii="Times New Roman" w:eastAsia="Times New Roman" w:hAnsi="Times New Roman" w:cs="Times New Roman"/>
          <w:b/>
          <w:bCs/>
          <w:spacing w:val="-2"/>
          <w:kern w:val="0"/>
          <w14:ligatures w14:val="none"/>
        </w:rPr>
        <w:t>Assessment</w:t>
      </w:r>
    </w:p>
    <w:p w14:paraId="365CC749" w14:textId="77777777" w:rsidR="00832FF3" w:rsidRPr="00832FF3" w:rsidRDefault="00832FF3" w:rsidP="00AE7FA9">
      <w:pPr>
        <w:widowControl w:val="0"/>
        <w:autoSpaceDE w:val="0"/>
        <w:autoSpaceDN w:val="0"/>
        <w:spacing w:before="3" w:after="0" w:line="240" w:lineRule="auto"/>
        <w:rPr>
          <w:rFonts w:ascii="Times New Roman" w:eastAsia="Times New Roman" w:hAnsi="Times New Roman" w:cs="Times New Roman"/>
          <w:b/>
          <w:kern w:val="0"/>
          <w14:ligatures w14:val="none"/>
        </w:rPr>
      </w:pPr>
    </w:p>
    <w:p w14:paraId="2056136A" w14:textId="77777777" w:rsidR="00832FF3" w:rsidRPr="00832FF3" w:rsidRDefault="00832FF3" w:rsidP="00AE7FA9">
      <w:pPr>
        <w:widowControl w:val="0"/>
        <w:autoSpaceDE w:val="0"/>
        <w:autoSpaceDN w:val="0"/>
        <w:spacing w:after="38" w:line="240" w:lineRule="auto"/>
        <w:jc w:val="both"/>
        <w:rPr>
          <w:rFonts w:ascii="Times New Roman" w:eastAsia="Times New Roman" w:hAnsi="Times New Roman" w:cs="Times New Roman"/>
          <w:b/>
          <w:kern w:val="0"/>
          <w:szCs w:val="22"/>
          <w14:ligatures w14:val="none"/>
        </w:rPr>
      </w:pPr>
      <w:r w:rsidRPr="00832FF3">
        <w:rPr>
          <w:rFonts w:ascii="Times New Roman" w:eastAsia="Times New Roman" w:hAnsi="Times New Roman" w:cs="Times New Roman"/>
          <w:b/>
          <w:kern w:val="0"/>
          <w:szCs w:val="22"/>
          <w14:ligatures w14:val="none"/>
        </w:rPr>
        <w:t>Table</w:t>
      </w:r>
      <w:r w:rsidRPr="00832FF3">
        <w:rPr>
          <w:rFonts w:ascii="Times New Roman" w:eastAsia="Times New Roman" w:hAnsi="Times New Roman" w:cs="Times New Roman"/>
          <w:b/>
          <w:spacing w:val="-14"/>
          <w:kern w:val="0"/>
          <w:szCs w:val="22"/>
          <w14:ligatures w14:val="none"/>
        </w:rPr>
        <w:t xml:space="preserve"> </w:t>
      </w:r>
      <w:r w:rsidRPr="00832FF3">
        <w:rPr>
          <w:rFonts w:ascii="Times New Roman" w:eastAsia="Times New Roman" w:hAnsi="Times New Roman" w:cs="Times New Roman"/>
          <w:b/>
          <w:kern w:val="0"/>
          <w:szCs w:val="22"/>
          <w14:ligatures w14:val="none"/>
        </w:rPr>
        <w:t>7:</w:t>
      </w:r>
      <w:r w:rsidRPr="00832FF3">
        <w:rPr>
          <w:rFonts w:ascii="Times New Roman" w:eastAsia="Times New Roman" w:hAnsi="Times New Roman" w:cs="Times New Roman"/>
          <w:b/>
          <w:spacing w:val="-9"/>
          <w:kern w:val="0"/>
          <w:szCs w:val="22"/>
          <w14:ligatures w14:val="none"/>
        </w:rPr>
        <w:t xml:space="preserve"> </w:t>
      </w:r>
      <w:r w:rsidRPr="00832FF3">
        <w:rPr>
          <w:rFonts w:ascii="Times New Roman" w:eastAsia="Times New Roman" w:hAnsi="Times New Roman" w:cs="Times New Roman"/>
          <w:b/>
          <w:kern w:val="0"/>
          <w:szCs w:val="22"/>
          <w14:ligatures w14:val="none"/>
        </w:rPr>
        <w:t>Structural</w:t>
      </w:r>
      <w:r w:rsidRPr="00832FF3">
        <w:rPr>
          <w:rFonts w:ascii="Times New Roman" w:eastAsia="Times New Roman" w:hAnsi="Times New Roman" w:cs="Times New Roman"/>
          <w:b/>
          <w:spacing w:val="-9"/>
          <w:kern w:val="0"/>
          <w:szCs w:val="22"/>
          <w14:ligatures w14:val="none"/>
        </w:rPr>
        <w:t xml:space="preserve"> </w:t>
      </w:r>
      <w:r w:rsidRPr="00832FF3">
        <w:rPr>
          <w:rFonts w:ascii="Times New Roman" w:eastAsia="Times New Roman" w:hAnsi="Times New Roman" w:cs="Times New Roman"/>
          <w:b/>
          <w:kern w:val="0"/>
          <w:szCs w:val="22"/>
          <w14:ligatures w14:val="none"/>
        </w:rPr>
        <w:t>Path</w:t>
      </w:r>
      <w:r w:rsidRPr="00832FF3">
        <w:rPr>
          <w:rFonts w:ascii="Times New Roman" w:eastAsia="Times New Roman" w:hAnsi="Times New Roman" w:cs="Times New Roman"/>
          <w:b/>
          <w:spacing w:val="-7"/>
          <w:kern w:val="0"/>
          <w:szCs w:val="22"/>
          <w14:ligatures w14:val="none"/>
        </w:rPr>
        <w:t xml:space="preserve"> </w:t>
      </w:r>
      <w:r w:rsidRPr="00832FF3">
        <w:rPr>
          <w:rFonts w:ascii="Times New Roman" w:eastAsia="Times New Roman" w:hAnsi="Times New Roman" w:cs="Times New Roman"/>
          <w:b/>
          <w:kern w:val="0"/>
          <w:szCs w:val="22"/>
          <w14:ligatures w14:val="none"/>
        </w:rPr>
        <w:t>Coefficients</w:t>
      </w:r>
      <w:r w:rsidRPr="00832FF3">
        <w:rPr>
          <w:rFonts w:ascii="Times New Roman" w:eastAsia="Times New Roman" w:hAnsi="Times New Roman" w:cs="Times New Roman"/>
          <w:b/>
          <w:spacing w:val="-9"/>
          <w:kern w:val="0"/>
          <w:szCs w:val="22"/>
          <w14:ligatures w14:val="none"/>
        </w:rPr>
        <w:t xml:space="preserve"> </w:t>
      </w:r>
      <w:r w:rsidRPr="00832FF3">
        <w:rPr>
          <w:rFonts w:ascii="Times New Roman" w:eastAsia="Times New Roman" w:hAnsi="Times New Roman" w:cs="Times New Roman"/>
          <w:b/>
          <w:kern w:val="0"/>
          <w:szCs w:val="22"/>
          <w14:ligatures w14:val="none"/>
        </w:rPr>
        <w:t>(Bootstrapping</w:t>
      </w:r>
      <w:r w:rsidRPr="00832FF3">
        <w:rPr>
          <w:rFonts w:ascii="Times New Roman" w:eastAsia="Times New Roman" w:hAnsi="Times New Roman" w:cs="Times New Roman"/>
          <w:b/>
          <w:spacing w:val="-7"/>
          <w:kern w:val="0"/>
          <w:szCs w:val="22"/>
          <w14:ligatures w14:val="none"/>
        </w:rPr>
        <w:t xml:space="preserve"> </w:t>
      </w:r>
      <w:r w:rsidRPr="00832FF3">
        <w:rPr>
          <w:rFonts w:ascii="Times New Roman" w:eastAsia="Times New Roman" w:hAnsi="Times New Roman" w:cs="Times New Roman"/>
          <w:b/>
          <w:spacing w:val="-2"/>
          <w:kern w:val="0"/>
          <w:szCs w:val="22"/>
          <w14:ligatures w14:val="none"/>
        </w:rPr>
        <w:t>Results)</w:t>
      </w:r>
    </w:p>
    <w:tbl>
      <w:tblPr>
        <w:tblW w:w="0" w:type="auto"/>
        <w:tblInd w:w="180" w:type="dxa"/>
        <w:tblLayout w:type="fixed"/>
        <w:tblCellMar>
          <w:left w:w="0" w:type="dxa"/>
          <w:right w:w="0" w:type="dxa"/>
        </w:tblCellMar>
        <w:tblLook w:val="01E0" w:firstRow="1" w:lastRow="1" w:firstColumn="1" w:lastColumn="1" w:noHBand="0" w:noVBand="0"/>
      </w:tblPr>
      <w:tblGrid>
        <w:gridCol w:w="7671"/>
        <w:gridCol w:w="955"/>
        <w:gridCol w:w="718"/>
        <w:gridCol w:w="1025"/>
      </w:tblGrid>
      <w:tr w:rsidR="00832FF3" w:rsidRPr="00832FF3" w14:paraId="2E465A37" w14:textId="77777777" w:rsidTr="00483C28">
        <w:trPr>
          <w:trHeight w:val="532"/>
        </w:trPr>
        <w:tc>
          <w:tcPr>
            <w:tcW w:w="7671" w:type="dxa"/>
            <w:tcBorders>
              <w:top w:val="single" w:sz="4" w:space="0" w:color="000000"/>
              <w:bottom w:val="single" w:sz="4" w:space="0" w:color="000000"/>
            </w:tcBorders>
          </w:tcPr>
          <w:p w14:paraId="21337F75" w14:textId="77777777" w:rsidR="00832FF3" w:rsidRPr="00832FF3" w:rsidRDefault="00832FF3" w:rsidP="00AE7FA9">
            <w:pPr>
              <w:widowControl w:val="0"/>
              <w:tabs>
                <w:tab w:val="left" w:pos="6063"/>
              </w:tabs>
              <w:autoSpaceDE w:val="0"/>
              <w:autoSpaceDN w:val="0"/>
              <w:spacing w:before="17" w:after="0" w:line="240" w:lineRule="auto"/>
              <w:rPr>
                <w:rFonts w:ascii="Times New Roman" w:eastAsia="Times New Roman" w:hAnsi="Times New Roman" w:cs="Times New Roman"/>
                <w:b/>
                <w:kern w:val="0"/>
                <w:position w:val="12"/>
                <w:sz w:val="22"/>
                <w:szCs w:val="22"/>
                <w14:ligatures w14:val="none"/>
              </w:rPr>
            </w:pPr>
            <w:r w:rsidRPr="00832FF3">
              <w:rPr>
                <w:rFonts w:ascii="Times New Roman" w:eastAsia="Times New Roman" w:hAnsi="Times New Roman" w:cs="Times New Roman"/>
                <w:b/>
                <w:kern w:val="0"/>
                <w:sz w:val="22"/>
                <w:szCs w:val="22"/>
                <w14:ligatures w14:val="none"/>
              </w:rPr>
              <w:t>Hypothesis</w:t>
            </w:r>
            <w:r w:rsidRPr="00832FF3">
              <w:rPr>
                <w:rFonts w:ascii="Times New Roman" w:eastAsia="Times New Roman" w:hAnsi="Times New Roman" w:cs="Times New Roman"/>
                <w:b/>
                <w:spacing w:val="-8"/>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Relationship</w:t>
            </w:r>
            <w:r w:rsidRPr="00832FF3">
              <w:rPr>
                <w:rFonts w:ascii="Times New Roman" w:eastAsia="Times New Roman" w:hAnsi="Times New Roman" w:cs="Times New Roman"/>
                <w:b/>
                <w:kern w:val="0"/>
                <w:sz w:val="22"/>
                <w:szCs w:val="22"/>
                <w14:ligatures w14:val="none"/>
              </w:rPr>
              <w:tab/>
            </w:r>
            <w:r w:rsidRPr="00832FF3">
              <w:rPr>
                <w:rFonts w:ascii="Times New Roman" w:eastAsia="Times New Roman" w:hAnsi="Times New Roman" w:cs="Times New Roman"/>
                <w:b/>
                <w:spacing w:val="-2"/>
                <w:kern w:val="0"/>
                <w:position w:val="12"/>
                <w:sz w:val="22"/>
                <w:szCs w:val="22"/>
                <w14:ligatures w14:val="none"/>
              </w:rPr>
              <w:t>Path</w:t>
            </w:r>
            <w:r w:rsidRPr="00832FF3">
              <w:rPr>
                <w:rFonts w:ascii="Times New Roman" w:eastAsia="Times New Roman" w:hAnsi="Times New Roman" w:cs="Times New Roman"/>
                <w:b/>
                <w:spacing w:val="-12"/>
                <w:kern w:val="0"/>
                <w:position w:val="12"/>
                <w:sz w:val="22"/>
                <w:szCs w:val="22"/>
                <w14:ligatures w14:val="none"/>
              </w:rPr>
              <w:t xml:space="preserve"> </w:t>
            </w:r>
            <w:r w:rsidRPr="00832FF3">
              <w:rPr>
                <w:rFonts w:ascii="Times New Roman" w:eastAsia="Times New Roman" w:hAnsi="Times New Roman" w:cs="Times New Roman"/>
                <w:b/>
                <w:spacing w:val="-2"/>
                <w:kern w:val="0"/>
                <w:position w:val="12"/>
                <w:sz w:val="22"/>
                <w:szCs w:val="22"/>
                <w14:ligatures w14:val="none"/>
              </w:rPr>
              <w:t>Coefficient</w:t>
            </w:r>
          </w:p>
          <w:p w14:paraId="4FAD7CF3" w14:textId="77777777" w:rsidR="00832FF3" w:rsidRPr="00832FF3" w:rsidRDefault="00832FF3" w:rsidP="00AE7FA9">
            <w:pPr>
              <w:widowControl w:val="0"/>
              <w:autoSpaceDE w:val="0"/>
              <w:autoSpaceDN w:val="0"/>
              <w:spacing w:after="0" w:line="240" w:lineRule="auto"/>
              <w:ind w:right="718"/>
              <w:jc w:val="right"/>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5"/>
                <w:kern w:val="0"/>
                <w:sz w:val="22"/>
                <w:szCs w:val="22"/>
                <w14:ligatures w14:val="none"/>
              </w:rPr>
              <w:t>(β)</w:t>
            </w:r>
          </w:p>
        </w:tc>
        <w:tc>
          <w:tcPr>
            <w:tcW w:w="955" w:type="dxa"/>
            <w:tcBorders>
              <w:top w:val="single" w:sz="4" w:space="0" w:color="000000"/>
              <w:bottom w:val="single" w:sz="4" w:space="0" w:color="000000"/>
            </w:tcBorders>
          </w:tcPr>
          <w:p w14:paraId="4D9F6120" w14:textId="77777777" w:rsidR="00832FF3" w:rsidRPr="00832FF3" w:rsidRDefault="00832FF3" w:rsidP="00AE7FA9">
            <w:pPr>
              <w:widowControl w:val="0"/>
              <w:autoSpaceDE w:val="0"/>
              <w:autoSpaceDN w:val="0"/>
              <w:spacing w:before="3"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6"/>
                <w:kern w:val="0"/>
                <w:sz w:val="22"/>
                <w:szCs w:val="22"/>
                <w14:ligatures w14:val="none"/>
              </w:rPr>
              <w:t xml:space="preserve">t– </w:t>
            </w:r>
            <w:r w:rsidRPr="00832FF3">
              <w:rPr>
                <w:rFonts w:ascii="Times New Roman" w:eastAsia="Times New Roman" w:hAnsi="Times New Roman" w:cs="Times New Roman"/>
                <w:b/>
                <w:spacing w:val="-4"/>
                <w:kern w:val="0"/>
                <w:sz w:val="22"/>
                <w:szCs w:val="22"/>
                <w14:ligatures w14:val="none"/>
              </w:rPr>
              <w:t>Statistic</w:t>
            </w:r>
          </w:p>
        </w:tc>
        <w:tc>
          <w:tcPr>
            <w:tcW w:w="718" w:type="dxa"/>
            <w:tcBorders>
              <w:top w:val="single" w:sz="4" w:space="0" w:color="000000"/>
              <w:bottom w:val="single" w:sz="4" w:space="0" w:color="000000"/>
            </w:tcBorders>
          </w:tcPr>
          <w:p w14:paraId="765DE336" w14:textId="77777777" w:rsidR="00832FF3" w:rsidRPr="00832FF3" w:rsidRDefault="00832FF3" w:rsidP="00AE7FA9">
            <w:pPr>
              <w:widowControl w:val="0"/>
              <w:autoSpaceDE w:val="0"/>
              <w:autoSpaceDN w:val="0"/>
              <w:spacing w:before="3" w:after="0" w:line="240" w:lineRule="auto"/>
              <w:ind w:right="77"/>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6"/>
                <w:kern w:val="0"/>
                <w:sz w:val="22"/>
                <w:szCs w:val="22"/>
                <w14:ligatures w14:val="none"/>
              </w:rPr>
              <w:t xml:space="preserve">p– </w:t>
            </w:r>
            <w:r w:rsidRPr="00832FF3">
              <w:rPr>
                <w:rFonts w:ascii="Times New Roman" w:eastAsia="Times New Roman" w:hAnsi="Times New Roman" w:cs="Times New Roman"/>
                <w:b/>
                <w:spacing w:val="-8"/>
                <w:kern w:val="0"/>
                <w:sz w:val="22"/>
                <w:szCs w:val="22"/>
                <w14:ligatures w14:val="none"/>
              </w:rPr>
              <w:t>Value</w:t>
            </w:r>
          </w:p>
        </w:tc>
        <w:tc>
          <w:tcPr>
            <w:tcW w:w="1025" w:type="dxa"/>
            <w:tcBorders>
              <w:top w:val="single" w:sz="4" w:space="0" w:color="000000"/>
              <w:bottom w:val="single" w:sz="4" w:space="0" w:color="000000"/>
            </w:tcBorders>
          </w:tcPr>
          <w:p w14:paraId="0AE27F9D" w14:textId="77777777" w:rsidR="00832FF3" w:rsidRPr="00832FF3" w:rsidRDefault="00832FF3" w:rsidP="00AE7FA9">
            <w:pPr>
              <w:widowControl w:val="0"/>
              <w:autoSpaceDE w:val="0"/>
              <w:autoSpaceDN w:val="0"/>
              <w:spacing w:before="135" w:after="0" w:line="240" w:lineRule="auto"/>
              <w:ind w:right="2"/>
              <w:jc w:val="center"/>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spacing w:val="-2"/>
                <w:kern w:val="0"/>
                <w:sz w:val="22"/>
                <w:szCs w:val="22"/>
                <w14:ligatures w14:val="none"/>
              </w:rPr>
              <w:t>Decision</w:t>
            </w:r>
          </w:p>
        </w:tc>
      </w:tr>
      <w:tr w:rsidR="00832FF3" w:rsidRPr="00832FF3" w14:paraId="2E2A933E" w14:textId="77777777" w:rsidTr="00483C28">
        <w:trPr>
          <w:trHeight w:val="519"/>
        </w:trPr>
        <w:tc>
          <w:tcPr>
            <w:tcW w:w="7671" w:type="dxa"/>
            <w:tcBorders>
              <w:top w:val="single" w:sz="4" w:space="0" w:color="000000"/>
            </w:tcBorders>
          </w:tcPr>
          <w:p w14:paraId="5BFFC1F3" w14:textId="77777777" w:rsidR="00832FF3" w:rsidRPr="00832FF3" w:rsidRDefault="00832FF3" w:rsidP="00AE7FA9">
            <w:pPr>
              <w:widowControl w:val="0"/>
              <w:tabs>
                <w:tab w:val="left" w:pos="1159"/>
                <w:tab w:val="right" w:pos="7018"/>
              </w:tabs>
              <w:autoSpaceDE w:val="0"/>
              <w:autoSpaceDN w:val="0"/>
              <w:spacing w:before="78" w:after="0" w:line="240" w:lineRule="auto"/>
              <w:rPr>
                <w:rFonts w:ascii="Times New Roman" w:eastAsia="Times New Roman" w:hAnsi="Times New Roman" w:cs="Times New Roman"/>
                <w:kern w:val="0"/>
                <w:position w:val="-10"/>
                <w:sz w:val="22"/>
                <w:szCs w:val="22"/>
                <w14:ligatures w14:val="none"/>
              </w:rPr>
            </w:pPr>
            <w:r w:rsidRPr="00832FF3">
              <w:rPr>
                <w:rFonts w:ascii="Times New Roman" w:eastAsia="Times New Roman" w:hAnsi="Times New Roman" w:cs="Times New Roman"/>
                <w:spacing w:val="-5"/>
                <w:kern w:val="0"/>
                <w:position w:val="-10"/>
                <w:sz w:val="22"/>
                <w:szCs w:val="22"/>
                <w14:ligatures w14:val="none"/>
              </w:rPr>
              <w:t>H1</w:t>
            </w:r>
            <w:r w:rsidRPr="00832FF3">
              <w:rPr>
                <w:rFonts w:ascii="Times New Roman" w:eastAsia="Times New Roman" w:hAnsi="Times New Roman" w:cs="Times New Roman"/>
                <w:kern w:val="0"/>
                <w:position w:val="-10"/>
                <w:sz w:val="22"/>
                <w:szCs w:val="22"/>
                <w14:ligatures w14:val="none"/>
              </w:rPr>
              <w:tab/>
            </w:r>
            <w:r w:rsidRPr="00832FF3">
              <w:rPr>
                <w:rFonts w:ascii="Times New Roman" w:eastAsia="Times New Roman" w:hAnsi="Times New Roman" w:cs="Times New Roman"/>
                <w:kern w:val="0"/>
                <w:sz w:val="22"/>
                <w:szCs w:val="22"/>
                <w14:ligatures w14:val="none"/>
              </w:rPr>
              <w:t>Artificial</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Intelligence</w:t>
            </w:r>
            <w:r w:rsidRPr="00832FF3">
              <w:rPr>
                <w:rFonts w:ascii="Times New Roman" w:eastAsia="Times New Roman" w:hAnsi="Times New Roman" w:cs="Times New Roman"/>
                <w:spacing w:val="-12"/>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&amp;</w:t>
            </w:r>
            <w:r w:rsidRPr="00832FF3">
              <w:rPr>
                <w:rFonts w:ascii="Times New Roman" w:eastAsia="Times New Roman" w:hAnsi="Times New Roman" w:cs="Times New Roman"/>
                <w:spacing w:val="-8"/>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Data</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Analytics</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Product</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spacing w:val="-10"/>
                <w:kern w:val="0"/>
                <w:sz w:val="22"/>
                <w:szCs w:val="22"/>
                <w14:ligatures w14:val="none"/>
              </w:rPr>
              <w:t>/</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position w:val="-10"/>
                <w:sz w:val="22"/>
                <w:szCs w:val="22"/>
                <w14:ligatures w14:val="none"/>
              </w:rPr>
              <w:t>0.31</w:t>
            </w:r>
          </w:p>
          <w:p w14:paraId="7DC07C89"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Process</w:t>
            </w:r>
            <w:r w:rsidRPr="00832FF3">
              <w:rPr>
                <w:rFonts w:ascii="Times New Roman" w:eastAsia="Times New Roman" w:hAnsi="Times New Roman" w:cs="Times New Roman"/>
                <w:spacing w:val="-3"/>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Quality</w:t>
            </w:r>
          </w:p>
        </w:tc>
        <w:tc>
          <w:tcPr>
            <w:tcW w:w="955" w:type="dxa"/>
            <w:tcBorders>
              <w:top w:val="single" w:sz="4" w:space="0" w:color="000000"/>
            </w:tcBorders>
          </w:tcPr>
          <w:p w14:paraId="5C769E3C" w14:textId="77777777" w:rsidR="00832FF3" w:rsidRPr="00832FF3" w:rsidRDefault="00832FF3" w:rsidP="00AE7FA9">
            <w:pPr>
              <w:widowControl w:val="0"/>
              <w:autoSpaceDE w:val="0"/>
              <w:autoSpaceDN w:val="0"/>
              <w:spacing w:before="169"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5.42</w:t>
            </w:r>
          </w:p>
        </w:tc>
        <w:tc>
          <w:tcPr>
            <w:tcW w:w="718" w:type="dxa"/>
            <w:tcBorders>
              <w:top w:val="single" w:sz="4" w:space="0" w:color="000000"/>
            </w:tcBorders>
          </w:tcPr>
          <w:p w14:paraId="4DA15769" w14:textId="77777777" w:rsidR="00832FF3" w:rsidRPr="00832FF3" w:rsidRDefault="00832FF3" w:rsidP="00AE7FA9">
            <w:pPr>
              <w:widowControl w:val="0"/>
              <w:autoSpaceDE w:val="0"/>
              <w:autoSpaceDN w:val="0"/>
              <w:spacing w:before="169"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0.000</w:t>
            </w:r>
          </w:p>
        </w:tc>
        <w:tc>
          <w:tcPr>
            <w:tcW w:w="1025" w:type="dxa"/>
            <w:tcBorders>
              <w:top w:val="single" w:sz="4" w:space="0" w:color="000000"/>
            </w:tcBorders>
          </w:tcPr>
          <w:p w14:paraId="41A33B66" w14:textId="77777777" w:rsidR="00832FF3" w:rsidRPr="00832FF3" w:rsidRDefault="00832FF3" w:rsidP="00AE7FA9">
            <w:pPr>
              <w:widowControl w:val="0"/>
              <w:autoSpaceDE w:val="0"/>
              <w:autoSpaceDN w:val="0"/>
              <w:spacing w:before="169"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Supported</w:t>
            </w:r>
          </w:p>
        </w:tc>
      </w:tr>
      <w:tr w:rsidR="00832FF3" w:rsidRPr="00832FF3" w14:paraId="33F3DA64" w14:textId="77777777" w:rsidTr="00483C28">
        <w:trPr>
          <w:trHeight w:val="566"/>
        </w:trPr>
        <w:tc>
          <w:tcPr>
            <w:tcW w:w="7671" w:type="dxa"/>
          </w:tcPr>
          <w:p w14:paraId="325F8D89" w14:textId="77777777" w:rsidR="00832FF3" w:rsidRPr="00832FF3" w:rsidRDefault="00832FF3" w:rsidP="00AE7FA9">
            <w:pPr>
              <w:widowControl w:val="0"/>
              <w:tabs>
                <w:tab w:val="left" w:pos="1159"/>
                <w:tab w:val="right" w:pos="7018"/>
              </w:tabs>
              <w:autoSpaceDE w:val="0"/>
              <w:autoSpaceDN w:val="0"/>
              <w:spacing w:before="119" w:after="0" w:line="240" w:lineRule="auto"/>
              <w:rPr>
                <w:rFonts w:ascii="Times New Roman" w:eastAsia="Times New Roman" w:hAnsi="Times New Roman" w:cs="Times New Roman"/>
                <w:kern w:val="0"/>
                <w:position w:val="-11"/>
                <w:sz w:val="22"/>
                <w:szCs w:val="22"/>
                <w14:ligatures w14:val="none"/>
              </w:rPr>
            </w:pPr>
            <w:r w:rsidRPr="00832FF3">
              <w:rPr>
                <w:rFonts w:ascii="Times New Roman" w:eastAsia="Times New Roman" w:hAnsi="Times New Roman" w:cs="Times New Roman"/>
                <w:spacing w:val="-5"/>
                <w:kern w:val="0"/>
                <w:position w:val="-11"/>
                <w:sz w:val="22"/>
                <w:szCs w:val="22"/>
                <w14:ligatures w14:val="none"/>
              </w:rPr>
              <w:t>H2</w:t>
            </w:r>
            <w:r w:rsidRPr="00832FF3">
              <w:rPr>
                <w:rFonts w:ascii="Times New Roman" w:eastAsia="Times New Roman" w:hAnsi="Times New Roman" w:cs="Times New Roman"/>
                <w:kern w:val="0"/>
                <w:position w:val="-11"/>
                <w:sz w:val="22"/>
                <w:szCs w:val="22"/>
                <w14:ligatures w14:val="none"/>
              </w:rPr>
              <w:tab/>
            </w:r>
            <w:r w:rsidRPr="00832FF3">
              <w:rPr>
                <w:rFonts w:ascii="Times New Roman" w:eastAsia="Times New Roman" w:hAnsi="Times New Roman" w:cs="Times New Roman"/>
                <w:kern w:val="0"/>
                <w:sz w:val="22"/>
                <w:szCs w:val="22"/>
                <w14:ligatures w14:val="none"/>
              </w:rPr>
              <w:t>Artificial</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Intelligence</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&amp;</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Data</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Analytics</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9"/>
                <w:kern w:val="0"/>
                <w:sz w:val="22"/>
                <w:szCs w:val="22"/>
                <w14:ligatures w14:val="none"/>
              </w:rPr>
              <w:t xml:space="preserve"> </w:t>
            </w:r>
            <w:r w:rsidRPr="00832FF3">
              <w:rPr>
                <w:rFonts w:ascii="Times New Roman" w:eastAsia="Times New Roman" w:hAnsi="Times New Roman" w:cs="Times New Roman"/>
                <w:spacing w:val="-4"/>
                <w:kern w:val="0"/>
                <w:sz w:val="22"/>
                <w:szCs w:val="22"/>
                <w14:ligatures w14:val="none"/>
              </w:rPr>
              <w:t>Cost</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position w:val="-11"/>
                <w:sz w:val="22"/>
                <w:szCs w:val="22"/>
                <w14:ligatures w14:val="none"/>
              </w:rPr>
              <w:t>0.28</w:t>
            </w:r>
          </w:p>
          <w:p w14:paraId="16C59CB6"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Efficiency</w:t>
            </w:r>
          </w:p>
        </w:tc>
        <w:tc>
          <w:tcPr>
            <w:tcW w:w="955" w:type="dxa"/>
          </w:tcPr>
          <w:p w14:paraId="3619A0B9" w14:textId="77777777" w:rsidR="00832FF3" w:rsidRPr="00832FF3" w:rsidRDefault="00832FF3" w:rsidP="00AE7FA9">
            <w:pPr>
              <w:widowControl w:val="0"/>
              <w:autoSpaceDE w:val="0"/>
              <w:autoSpaceDN w:val="0"/>
              <w:spacing w:before="216"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4.98</w:t>
            </w:r>
          </w:p>
        </w:tc>
        <w:tc>
          <w:tcPr>
            <w:tcW w:w="718" w:type="dxa"/>
          </w:tcPr>
          <w:p w14:paraId="1037B24D" w14:textId="77777777" w:rsidR="00832FF3" w:rsidRPr="00832FF3" w:rsidRDefault="00832FF3" w:rsidP="00AE7FA9">
            <w:pPr>
              <w:widowControl w:val="0"/>
              <w:autoSpaceDE w:val="0"/>
              <w:autoSpaceDN w:val="0"/>
              <w:spacing w:before="216"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0.000</w:t>
            </w:r>
          </w:p>
        </w:tc>
        <w:tc>
          <w:tcPr>
            <w:tcW w:w="1025" w:type="dxa"/>
          </w:tcPr>
          <w:p w14:paraId="43BFE653" w14:textId="77777777" w:rsidR="00832FF3" w:rsidRPr="00832FF3" w:rsidRDefault="00832FF3" w:rsidP="00AE7FA9">
            <w:pPr>
              <w:widowControl w:val="0"/>
              <w:autoSpaceDE w:val="0"/>
              <w:autoSpaceDN w:val="0"/>
              <w:spacing w:before="216"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Supported</w:t>
            </w:r>
          </w:p>
        </w:tc>
      </w:tr>
      <w:tr w:rsidR="00832FF3" w:rsidRPr="00832FF3" w14:paraId="6225D028" w14:textId="77777777" w:rsidTr="00483C28">
        <w:trPr>
          <w:trHeight w:val="375"/>
        </w:trPr>
        <w:tc>
          <w:tcPr>
            <w:tcW w:w="7671" w:type="dxa"/>
          </w:tcPr>
          <w:p w14:paraId="2D0DF8CF" w14:textId="77777777" w:rsidR="00832FF3" w:rsidRPr="00832FF3" w:rsidRDefault="00832FF3" w:rsidP="00AE7FA9">
            <w:pPr>
              <w:widowControl w:val="0"/>
              <w:tabs>
                <w:tab w:val="left" w:pos="1159"/>
                <w:tab w:val="right" w:pos="7018"/>
              </w:tabs>
              <w:autoSpaceDE w:val="0"/>
              <w:autoSpaceDN w:val="0"/>
              <w:spacing w:before="88"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H3</w:t>
            </w:r>
            <w:r w:rsidRPr="00832FF3">
              <w:rPr>
                <w:rFonts w:ascii="Times New Roman" w:eastAsia="Times New Roman" w:hAnsi="Times New Roman" w:cs="Times New Roman"/>
                <w:kern w:val="0"/>
                <w:sz w:val="22"/>
                <w:szCs w:val="22"/>
                <w14:ligatures w14:val="none"/>
              </w:rPr>
              <w:tab/>
              <w:t>IoT</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Smart</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Monitoring</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Product</w:t>
            </w:r>
            <w:r w:rsidRPr="00832FF3">
              <w:rPr>
                <w:rFonts w:ascii="Times New Roman" w:eastAsia="Times New Roman" w:hAnsi="Times New Roman" w:cs="Times New Roman"/>
                <w:spacing w:val="-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Process</w:t>
            </w:r>
            <w:r w:rsidRPr="00832FF3">
              <w:rPr>
                <w:rFonts w:ascii="Times New Roman" w:eastAsia="Times New Roman" w:hAnsi="Times New Roman" w:cs="Times New Roman"/>
                <w:spacing w:val="-4"/>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Quality</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0.26</w:t>
            </w:r>
          </w:p>
        </w:tc>
        <w:tc>
          <w:tcPr>
            <w:tcW w:w="955" w:type="dxa"/>
          </w:tcPr>
          <w:p w14:paraId="0C0EE5CF" w14:textId="77777777" w:rsidR="00832FF3" w:rsidRPr="00832FF3" w:rsidRDefault="00832FF3" w:rsidP="00AE7FA9">
            <w:pPr>
              <w:widowControl w:val="0"/>
              <w:autoSpaceDE w:val="0"/>
              <w:autoSpaceDN w:val="0"/>
              <w:spacing w:before="88"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4.21</w:t>
            </w:r>
          </w:p>
        </w:tc>
        <w:tc>
          <w:tcPr>
            <w:tcW w:w="718" w:type="dxa"/>
          </w:tcPr>
          <w:p w14:paraId="3292EA0D" w14:textId="77777777" w:rsidR="00832FF3" w:rsidRPr="00832FF3" w:rsidRDefault="00832FF3" w:rsidP="00AE7FA9">
            <w:pPr>
              <w:widowControl w:val="0"/>
              <w:autoSpaceDE w:val="0"/>
              <w:autoSpaceDN w:val="0"/>
              <w:spacing w:before="88"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0.000</w:t>
            </w:r>
          </w:p>
        </w:tc>
        <w:tc>
          <w:tcPr>
            <w:tcW w:w="1025" w:type="dxa"/>
          </w:tcPr>
          <w:p w14:paraId="4929C2DF" w14:textId="77777777" w:rsidR="00832FF3" w:rsidRPr="00832FF3" w:rsidRDefault="00832FF3" w:rsidP="00AE7FA9">
            <w:pPr>
              <w:widowControl w:val="0"/>
              <w:autoSpaceDE w:val="0"/>
              <w:autoSpaceDN w:val="0"/>
              <w:spacing w:before="88"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Supported</w:t>
            </w:r>
          </w:p>
        </w:tc>
      </w:tr>
      <w:tr w:rsidR="00832FF3" w:rsidRPr="00832FF3" w14:paraId="58EAFC15" w14:textId="77777777" w:rsidTr="00483C28">
        <w:trPr>
          <w:trHeight w:val="278"/>
        </w:trPr>
        <w:tc>
          <w:tcPr>
            <w:tcW w:w="7671" w:type="dxa"/>
          </w:tcPr>
          <w:p w14:paraId="5FAF84FE" w14:textId="77777777" w:rsidR="00832FF3" w:rsidRPr="00832FF3" w:rsidRDefault="00832FF3" w:rsidP="00AE7FA9">
            <w:pPr>
              <w:widowControl w:val="0"/>
              <w:tabs>
                <w:tab w:val="left" w:pos="1159"/>
                <w:tab w:val="right" w:pos="7018"/>
              </w:tabs>
              <w:autoSpaceDE w:val="0"/>
              <w:autoSpaceDN w:val="0"/>
              <w:spacing w:before="2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sz w:val="22"/>
                <w:szCs w:val="22"/>
                <w14:ligatures w14:val="none"/>
              </w:rPr>
              <w:t>H4</w:t>
            </w:r>
            <w:r w:rsidRPr="00832FF3">
              <w:rPr>
                <w:rFonts w:ascii="Times New Roman" w:eastAsia="Times New Roman" w:hAnsi="Times New Roman" w:cs="Times New Roman"/>
                <w:kern w:val="0"/>
                <w:sz w:val="22"/>
                <w:szCs w:val="22"/>
                <w14:ligatures w14:val="none"/>
              </w:rPr>
              <w:tab/>
              <w:t>IoT</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Smart</w:t>
            </w:r>
            <w:r w:rsidRPr="00832FF3">
              <w:rPr>
                <w:rFonts w:ascii="Times New Roman" w:eastAsia="Times New Roman" w:hAnsi="Times New Roman" w:cs="Times New Roman"/>
                <w:spacing w:val="-7"/>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Monitoring</w:t>
            </w:r>
            <w:r w:rsidRPr="00832FF3">
              <w:rPr>
                <w:rFonts w:ascii="Times New Roman" w:eastAsia="Times New Roman" w:hAnsi="Times New Roman" w:cs="Times New Roman"/>
                <w:spacing w:val="-6"/>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Cost</w:t>
            </w:r>
            <w:r w:rsidRPr="00832FF3">
              <w:rPr>
                <w:rFonts w:ascii="Times New Roman" w:eastAsia="Times New Roman" w:hAnsi="Times New Roman" w:cs="Times New Roman"/>
                <w:spacing w:val="-1"/>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Efficiency</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0.29</w:t>
            </w:r>
          </w:p>
        </w:tc>
        <w:tc>
          <w:tcPr>
            <w:tcW w:w="955" w:type="dxa"/>
          </w:tcPr>
          <w:p w14:paraId="6B8DE4C7"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4.65</w:t>
            </w:r>
          </w:p>
        </w:tc>
        <w:tc>
          <w:tcPr>
            <w:tcW w:w="718" w:type="dxa"/>
          </w:tcPr>
          <w:p w14:paraId="3D8EA4B3"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0.000</w:t>
            </w:r>
          </w:p>
        </w:tc>
        <w:tc>
          <w:tcPr>
            <w:tcW w:w="1025" w:type="dxa"/>
          </w:tcPr>
          <w:p w14:paraId="24512AFD"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2"/>
                <w:kern w:val="0"/>
                <w:sz w:val="22"/>
                <w:szCs w:val="22"/>
                <w14:ligatures w14:val="none"/>
              </w:rPr>
              <w:t>Supported</w:t>
            </w:r>
          </w:p>
        </w:tc>
      </w:tr>
    </w:tbl>
    <w:p w14:paraId="49D5991B" w14:textId="77777777" w:rsidR="00832FF3" w:rsidRPr="00832FF3" w:rsidRDefault="00832FF3" w:rsidP="00AE7FA9">
      <w:pPr>
        <w:widowControl w:val="0"/>
        <w:autoSpaceDE w:val="0"/>
        <w:autoSpaceDN w:val="0"/>
        <w:spacing w:before="25" w:after="0" w:line="240" w:lineRule="auto"/>
        <w:jc w:val="center"/>
        <w:rPr>
          <w:rFonts w:ascii="Times New Roman" w:eastAsia="Times New Roman" w:hAnsi="Times New Roman" w:cs="Times New Roman"/>
          <w:kern w:val="0"/>
          <w:sz w:val="22"/>
          <w:szCs w:val="22"/>
          <w14:ligatures w14:val="none"/>
        </w:rPr>
        <w:sectPr w:rsidR="00832FF3" w:rsidRPr="00832FF3" w:rsidSect="00832FF3">
          <w:pgSz w:w="12240" w:h="15840"/>
          <w:pgMar w:top="1360" w:right="0" w:bottom="1200" w:left="1080" w:header="0" w:footer="346" w:gutter="0"/>
          <w:cols w:space="720"/>
        </w:sectPr>
      </w:pPr>
    </w:p>
    <w:p w14:paraId="225F74BB" w14:textId="77777777" w:rsidR="00832FF3" w:rsidRPr="00832FF3" w:rsidRDefault="00832FF3" w:rsidP="00AE7FA9">
      <w:pPr>
        <w:widowControl w:val="0"/>
        <w:tabs>
          <w:tab w:val="left" w:pos="6229"/>
        </w:tabs>
        <w:autoSpaceDE w:val="0"/>
        <w:autoSpaceDN w:val="0"/>
        <w:spacing w:before="71" w:after="0" w:line="240" w:lineRule="auto"/>
        <w:rPr>
          <w:rFonts w:ascii="Times New Roman" w:eastAsia="Times New Roman" w:hAnsi="Times New Roman" w:cs="Times New Roman"/>
          <w:b/>
          <w:kern w:val="0"/>
          <w:position w:val="13"/>
          <w:sz w:val="22"/>
          <w:szCs w:val="22"/>
          <w14:ligatures w14:val="none"/>
        </w:rPr>
      </w:pPr>
      <w:r w:rsidRPr="00832FF3">
        <w:rPr>
          <w:rFonts w:ascii="Times New Roman" w:eastAsia="Times New Roman" w:hAnsi="Times New Roman" w:cs="Times New Roman"/>
          <w:b/>
          <w:noProof/>
          <w:kern w:val="0"/>
          <w:position w:val="13"/>
          <w:sz w:val="22"/>
          <w:szCs w:val="22"/>
          <w14:ligatures w14:val="none"/>
        </w:rPr>
        <w:lastRenderedPageBreak/>
        <mc:AlternateContent>
          <mc:Choice Requires="wps">
            <w:drawing>
              <wp:anchor distT="0" distB="0" distL="0" distR="0" simplePos="0" relativeHeight="251721728" behindDoc="0" locked="0" layoutInCell="1" allowOverlap="1" wp14:anchorId="60E091FF" wp14:editId="224DBCCE">
                <wp:simplePos x="0" y="0"/>
                <wp:positionH relativeFrom="page">
                  <wp:posOffset>800100</wp:posOffset>
                </wp:positionH>
                <wp:positionV relativeFrom="paragraph">
                  <wp:posOffset>32384</wp:posOffset>
                </wp:positionV>
                <wp:extent cx="657161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1615" cy="6350"/>
                        </a:xfrm>
                        <a:custGeom>
                          <a:avLst/>
                          <a:gdLst/>
                          <a:ahLst/>
                          <a:cxnLst/>
                          <a:rect l="l" t="t" r="r" b="b"/>
                          <a:pathLst>
                            <a:path w="6571615" h="6350">
                              <a:moveTo>
                                <a:pt x="5465953" y="0"/>
                              </a:moveTo>
                              <a:lnTo>
                                <a:pt x="0" y="0"/>
                              </a:lnTo>
                              <a:lnTo>
                                <a:pt x="0" y="6096"/>
                              </a:lnTo>
                              <a:lnTo>
                                <a:pt x="5465953" y="6096"/>
                              </a:lnTo>
                              <a:lnTo>
                                <a:pt x="5465953" y="0"/>
                              </a:lnTo>
                              <a:close/>
                            </a:path>
                            <a:path w="6571615" h="6350">
                              <a:moveTo>
                                <a:pt x="6571234" y="0"/>
                              </a:moveTo>
                              <a:lnTo>
                                <a:pt x="5466080" y="0"/>
                              </a:lnTo>
                              <a:lnTo>
                                <a:pt x="5466080" y="6096"/>
                              </a:lnTo>
                              <a:lnTo>
                                <a:pt x="6571234" y="6096"/>
                              </a:lnTo>
                              <a:lnTo>
                                <a:pt x="6571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2A943" id="Graphic 16" o:spid="_x0000_s1026" style="position:absolute;margin-left:63pt;margin-top:2.55pt;width:517.45pt;height:.5pt;z-index:251721728;visibility:visible;mso-wrap-style:square;mso-wrap-distance-left:0;mso-wrap-distance-top:0;mso-wrap-distance-right:0;mso-wrap-distance-bottom:0;mso-position-horizontal:absolute;mso-position-horizontal-relative:page;mso-position-vertical:absolute;mso-position-vertical-relative:text;v-text-anchor:top" coordsize="6571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" path="m5465953,l,,,6096r5465953,l5465953,xem6571234,l5466080,r,6096l6571234,6096r,-6096xe" fillcolor="black" stroked="f">
                <v:path arrowok="t"/>
                <w10:wrap anchorx="page"/>
              </v:shape>
            </w:pict>
          </mc:Fallback>
        </mc:AlternateContent>
      </w:r>
      <w:r w:rsidRPr="00832FF3">
        <w:rPr>
          <w:rFonts w:ascii="Times New Roman" w:eastAsia="Times New Roman" w:hAnsi="Times New Roman" w:cs="Times New Roman"/>
          <w:b/>
          <w:kern w:val="0"/>
          <w:sz w:val="22"/>
          <w:szCs w:val="22"/>
          <w14:ligatures w14:val="none"/>
        </w:rPr>
        <w:t>Hypothesis</w:t>
      </w:r>
      <w:r w:rsidRPr="00832FF3">
        <w:rPr>
          <w:rFonts w:ascii="Times New Roman" w:eastAsia="Times New Roman" w:hAnsi="Times New Roman" w:cs="Times New Roman"/>
          <w:b/>
          <w:spacing w:val="-8"/>
          <w:kern w:val="0"/>
          <w:sz w:val="22"/>
          <w:szCs w:val="22"/>
          <w14:ligatures w14:val="none"/>
        </w:rPr>
        <w:t xml:space="preserve"> </w:t>
      </w:r>
      <w:r w:rsidRPr="00832FF3">
        <w:rPr>
          <w:rFonts w:ascii="Times New Roman" w:eastAsia="Times New Roman" w:hAnsi="Times New Roman" w:cs="Times New Roman"/>
          <w:b/>
          <w:spacing w:val="-2"/>
          <w:kern w:val="0"/>
          <w:sz w:val="22"/>
          <w:szCs w:val="22"/>
          <w14:ligatures w14:val="none"/>
        </w:rPr>
        <w:t>Relationship</w:t>
      </w:r>
      <w:r w:rsidRPr="00832FF3">
        <w:rPr>
          <w:rFonts w:ascii="Times New Roman" w:eastAsia="Times New Roman" w:hAnsi="Times New Roman" w:cs="Times New Roman"/>
          <w:b/>
          <w:kern w:val="0"/>
          <w:sz w:val="22"/>
          <w:szCs w:val="22"/>
          <w14:ligatures w14:val="none"/>
        </w:rPr>
        <w:tab/>
      </w:r>
      <w:r w:rsidRPr="00832FF3">
        <w:rPr>
          <w:rFonts w:ascii="Times New Roman" w:eastAsia="Times New Roman" w:hAnsi="Times New Roman" w:cs="Times New Roman"/>
          <w:b/>
          <w:spacing w:val="-2"/>
          <w:kern w:val="0"/>
          <w:position w:val="13"/>
          <w:sz w:val="22"/>
          <w:szCs w:val="22"/>
          <w14:ligatures w14:val="none"/>
        </w:rPr>
        <w:t>Path</w:t>
      </w:r>
      <w:r w:rsidRPr="00832FF3">
        <w:rPr>
          <w:rFonts w:ascii="Times New Roman" w:eastAsia="Times New Roman" w:hAnsi="Times New Roman" w:cs="Times New Roman"/>
          <w:b/>
          <w:spacing w:val="-12"/>
          <w:kern w:val="0"/>
          <w:position w:val="13"/>
          <w:sz w:val="22"/>
          <w:szCs w:val="22"/>
          <w14:ligatures w14:val="none"/>
        </w:rPr>
        <w:t xml:space="preserve"> </w:t>
      </w:r>
      <w:r w:rsidRPr="00832FF3">
        <w:rPr>
          <w:rFonts w:ascii="Times New Roman" w:eastAsia="Times New Roman" w:hAnsi="Times New Roman" w:cs="Times New Roman"/>
          <w:b/>
          <w:spacing w:val="-2"/>
          <w:kern w:val="0"/>
          <w:position w:val="13"/>
          <w:sz w:val="22"/>
          <w:szCs w:val="22"/>
          <w14:ligatures w14:val="none"/>
        </w:rPr>
        <w:t>Coefficient</w:t>
      </w:r>
    </w:p>
    <w:p w14:paraId="430DEE32" w14:textId="77777777" w:rsidR="00832FF3" w:rsidRPr="00832FF3" w:rsidRDefault="00832FF3" w:rsidP="00AE7FA9">
      <w:pPr>
        <w:widowControl w:val="0"/>
        <w:autoSpaceDE w:val="0"/>
        <w:autoSpaceDN w:val="0"/>
        <w:spacing w:after="0" w:line="240" w:lineRule="auto"/>
        <w:ind w:right="619"/>
        <w:jc w:val="right"/>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b/>
          <w:noProof/>
          <w:kern w:val="0"/>
          <w:sz w:val="22"/>
          <w:szCs w:val="22"/>
          <w14:ligatures w14:val="none"/>
        </w:rPr>
        <mc:AlternateContent>
          <mc:Choice Requires="wps">
            <w:drawing>
              <wp:anchor distT="0" distB="0" distL="0" distR="0" simplePos="0" relativeHeight="251722752" behindDoc="0" locked="0" layoutInCell="1" allowOverlap="1" wp14:anchorId="1B50E429" wp14:editId="094DAAA7">
                <wp:simplePos x="0" y="0"/>
                <wp:positionH relativeFrom="page">
                  <wp:posOffset>800100</wp:posOffset>
                </wp:positionH>
                <wp:positionV relativeFrom="paragraph">
                  <wp:posOffset>128974</wp:posOffset>
                </wp:positionV>
                <wp:extent cx="657161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1615" cy="6350"/>
                        </a:xfrm>
                        <a:custGeom>
                          <a:avLst/>
                          <a:gdLst/>
                          <a:ahLst/>
                          <a:cxnLst/>
                          <a:rect l="l" t="t" r="r" b="b"/>
                          <a:pathLst>
                            <a:path w="6571615" h="6350">
                              <a:moveTo>
                                <a:pt x="5465953" y="0"/>
                              </a:moveTo>
                              <a:lnTo>
                                <a:pt x="0" y="0"/>
                              </a:lnTo>
                              <a:lnTo>
                                <a:pt x="0" y="6096"/>
                              </a:lnTo>
                              <a:lnTo>
                                <a:pt x="5465953" y="6096"/>
                              </a:lnTo>
                              <a:lnTo>
                                <a:pt x="5465953" y="0"/>
                              </a:lnTo>
                              <a:close/>
                            </a:path>
                            <a:path w="6571615" h="6350">
                              <a:moveTo>
                                <a:pt x="6571234" y="0"/>
                              </a:moveTo>
                              <a:lnTo>
                                <a:pt x="5466080" y="0"/>
                              </a:lnTo>
                              <a:lnTo>
                                <a:pt x="5466080" y="6096"/>
                              </a:lnTo>
                              <a:lnTo>
                                <a:pt x="6571234" y="6096"/>
                              </a:lnTo>
                              <a:lnTo>
                                <a:pt x="6571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F74F06" id="Graphic 17" o:spid="_x0000_s1026" style="position:absolute;margin-left:63pt;margin-top:10.15pt;width:517.45pt;height:.5pt;z-index:251722752;visibility:visible;mso-wrap-style:square;mso-wrap-distance-left:0;mso-wrap-distance-top:0;mso-wrap-distance-right:0;mso-wrap-distance-bottom:0;mso-position-horizontal:absolute;mso-position-horizontal-relative:page;mso-position-vertical:absolute;mso-position-vertical-relative:text;v-text-anchor:top" coordsize="6571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" path="m5465953,l,,,6096r5465953,l5465953,xem6571234,l5466080,r,6096l6571234,6096r,-6096xe" fillcolor="black" stroked="f">
                <v:path arrowok="t"/>
                <w10:wrap anchorx="page"/>
              </v:shape>
            </w:pict>
          </mc:Fallback>
        </mc:AlternateContent>
      </w:r>
      <w:r w:rsidRPr="00832FF3">
        <w:rPr>
          <w:rFonts w:ascii="Times New Roman" w:eastAsia="Times New Roman" w:hAnsi="Times New Roman" w:cs="Times New Roman"/>
          <w:b/>
          <w:spacing w:val="-5"/>
          <w:kern w:val="0"/>
          <w:sz w:val="22"/>
          <w:szCs w:val="22"/>
          <w14:ligatures w14:val="none"/>
        </w:rPr>
        <w:t>(β)</w:t>
      </w:r>
    </w:p>
    <w:p w14:paraId="0877B9DA" w14:textId="77777777" w:rsidR="00832FF3" w:rsidRPr="00832FF3" w:rsidRDefault="00832FF3" w:rsidP="00AE7FA9">
      <w:pPr>
        <w:widowControl w:val="0"/>
        <w:autoSpaceDE w:val="0"/>
        <w:autoSpaceDN w:val="0"/>
        <w:spacing w:before="74"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kern w:val="0"/>
          <w:sz w:val="22"/>
          <w:szCs w:val="22"/>
          <w14:ligatures w14:val="none"/>
        </w:rPr>
        <w:br w:type="column"/>
      </w:r>
      <w:r w:rsidRPr="00832FF3">
        <w:rPr>
          <w:rFonts w:ascii="Times New Roman" w:eastAsia="Times New Roman" w:hAnsi="Times New Roman" w:cs="Times New Roman"/>
          <w:b/>
          <w:spacing w:val="-6"/>
          <w:kern w:val="0"/>
          <w:sz w:val="22"/>
          <w:szCs w:val="22"/>
          <w14:ligatures w14:val="none"/>
        </w:rPr>
        <w:t xml:space="preserve">t– </w:t>
      </w:r>
      <w:r w:rsidRPr="00832FF3">
        <w:rPr>
          <w:rFonts w:ascii="Times New Roman" w:eastAsia="Times New Roman" w:hAnsi="Times New Roman" w:cs="Times New Roman"/>
          <w:b/>
          <w:spacing w:val="-4"/>
          <w:kern w:val="0"/>
          <w:sz w:val="22"/>
          <w:szCs w:val="22"/>
          <w14:ligatures w14:val="none"/>
        </w:rPr>
        <w:t>Statistic</w:t>
      </w:r>
    </w:p>
    <w:p w14:paraId="742190D2" w14:textId="77777777" w:rsidR="00832FF3" w:rsidRPr="00832FF3" w:rsidRDefault="00832FF3" w:rsidP="00AE7FA9">
      <w:pPr>
        <w:widowControl w:val="0"/>
        <w:autoSpaceDE w:val="0"/>
        <w:autoSpaceDN w:val="0"/>
        <w:spacing w:before="74"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kern w:val="0"/>
          <w:sz w:val="22"/>
          <w:szCs w:val="22"/>
          <w14:ligatures w14:val="none"/>
        </w:rPr>
        <w:br w:type="column"/>
      </w:r>
      <w:r w:rsidRPr="00832FF3">
        <w:rPr>
          <w:rFonts w:ascii="Times New Roman" w:eastAsia="Times New Roman" w:hAnsi="Times New Roman" w:cs="Times New Roman"/>
          <w:b/>
          <w:spacing w:val="-6"/>
          <w:kern w:val="0"/>
          <w:sz w:val="22"/>
          <w:szCs w:val="22"/>
          <w14:ligatures w14:val="none"/>
        </w:rPr>
        <w:t xml:space="preserve">p– </w:t>
      </w:r>
      <w:r w:rsidRPr="00832FF3">
        <w:rPr>
          <w:rFonts w:ascii="Times New Roman" w:eastAsia="Times New Roman" w:hAnsi="Times New Roman" w:cs="Times New Roman"/>
          <w:b/>
          <w:spacing w:val="-8"/>
          <w:kern w:val="0"/>
          <w:sz w:val="22"/>
          <w:szCs w:val="22"/>
          <w14:ligatures w14:val="none"/>
        </w:rPr>
        <w:t>Value</w:t>
      </w:r>
    </w:p>
    <w:p w14:paraId="46BDC412" w14:textId="77777777" w:rsidR="00832FF3" w:rsidRPr="00832FF3" w:rsidRDefault="00832FF3" w:rsidP="00AE7FA9">
      <w:pPr>
        <w:widowControl w:val="0"/>
        <w:autoSpaceDE w:val="0"/>
        <w:autoSpaceDN w:val="0"/>
        <w:spacing w:before="201" w:after="0" w:line="240" w:lineRule="auto"/>
        <w:rPr>
          <w:rFonts w:ascii="Times New Roman" w:eastAsia="Times New Roman" w:hAnsi="Times New Roman" w:cs="Times New Roman"/>
          <w:b/>
          <w:kern w:val="0"/>
          <w:sz w:val="22"/>
          <w:szCs w:val="22"/>
          <w14:ligatures w14:val="none"/>
        </w:rPr>
      </w:pPr>
      <w:r w:rsidRPr="00832FF3">
        <w:rPr>
          <w:rFonts w:ascii="Times New Roman" w:eastAsia="Times New Roman" w:hAnsi="Times New Roman" w:cs="Times New Roman"/>
          <w:kern w:val="0"/>
          <w:sz w:val="22"/>
          <w:szCs w:val="22"/>
          <w14:ligatures w14:val="none"/>
        </w:rPr>
        <w:br w:type="column"/>
      </w:r>
      <w:r w:rsidRPr="00832FF3">
        <w:rPr>
          <w:rFonts w:ascii="Times New Roman" w:eastAsia="Times New Roman" w:hAnsi="Times New Roman" w:cs="Times New Roman"/>
          <w:b/>
          <w:spacing w:val="-2"/>
          <w:kern w:val="0"/>
          <w:sz w:val="22"/>
          <w:szCs w:val="22"/>
          <w14:ligatures w14:val="none"/>
        </w:rPr>
        <w:t>Decision</w:t>
      </w:r>
    </w:p>
    <w:p w14:paraId="7917C313"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b/>
          <w:kern w:val="0"/>
          <w:sz w:val="22"/>
          <w:szCs w:val="22"/>
          <w14:ligatures w14:val="none"/>
        </w:rPr>
        <w:sectPr w:rsidR="00832FF3" w:rsidRPr="00832FF3" w:rsidSect="00832FF3">
          <w:pgSz w:w="12240" w:h="15840"/>
          <w:pgMar w:top="1420" w:right="0" w:bottom="1200" w:left="1080" w:header="0" w:footer="346" w:gutter="0"/>
          <w:cols w:num="4" w:space="720" w:equalWidth="0">
            <w:col w:w="7738" w:space="40"/>
            <w:col w:w="903" w:space="39"/>
            <w:col w:w="710" w:space="39"/>
            <w:col w:w="1691"/>
          </w:cols>
        </w:sectPr>
      </w:pPr>
    </w:p>
    <w:p w14:paraId="1FA39642" w14:textId="77777777" w:rsidR="00832FF3" w:rsidRPr="00832FF3" w:rsidRDefault="00832FF3" w:rsidP="00AE7FA9">
      <w:pPr>
        <w:widowControl w:val="0"/>
        <w:tabs>
          <w:tab w:val="left" w:pos="1325"/>
        </w:tabs>
        <w:autoSpaceDE w:val="0"/>
        <w:autoSpaceDN w:val="0"/>
        <w:spacing w:before="94" w:after="0" w:line="240" w:lineRule="auto"/>
        <w:ind w:right="38"/>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6"/>
          <w:kern w:val="0"/>
          <w:position w:val="-11"/>
          <w:sz w:val="22"/>
          <w:szCs w:val="22"/>
          <w14:ligatures w14:val="none"/>
        </w:rPr>
        <w:t>H5</w:t>
      </w:r>
      <w:r w:rsidRPr="00832FF3">
        <w:rPr>
          <w:rFonts w:ascii="Times New Roman" w:eastAsia="Times New Roman" w:hAnsi="Times New Roman" w:cs="Times New Roman"/>
          <w:kern w:val="0"/>
          <w:position w:val="-11"/>
          <w:sz w:val="22"/>
          <w:szCs w:val="22"/>
          <w14:ligatures w14:val="none"/>
        </w:rPr>
        <w:tab/>
      </w:r>
      <w:r w:rsidRPr="00832FF3">
        <w:rPr>
          <w:rFonts w:ascii="Times New Roman" w:eastAsia="Times New Roman" w:hAnsi="Times New Roman" w:cs="Times New Roman"/>
          <w:kern w:val="0"/>
          <w:sz w:val="22"/>
          <w:szCs w:val="22"/>
          <w14:ligatures w14:val="none"/>
        </w:rPr>
        <w:t>Digital</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Twin</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&amp;</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Cyber-Physical</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Systems</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Product</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 Process Quality</w:t>
      </w:r>
    </w:p>
    <w:p w14:paraId="61C81A3F" w14:textId="77777777" w:rsidR="00832FF3" w:rsidRPr="00832FF3" w:rsidRDefault="00832FF3" w:rsidP="00AE7FA9">
      <w:pPr>
        <w:widowControl w:val="0"/>
        <w:tabs>
          <w:tab w:val="left" w:pos="1325"/>
        </w:tabs>
        <w:autoSpaceDE w:val="0"/>
        <w:autoSpaceDN w:val="0"/>
        <w:spacing w:before="120"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5"/>
          <w:kern w:val="0"/>
          <w:position w:val="-10"/>
          <w:sz w:val="22"/>
          <w:szCs w:val="22"/>
          <w14:ligatures w14:val="none"/>
        </w:rPr>
        <w:t>H6</w:t>
      </w:r>
      <w:r w:rsidRPr="00832FF3">
        <w:rPr>
          <w:rFonts w:ascii="Times New Roman" w:eastAsia="Times New Roman" w:hAnsi="Times New Roman" w:cs="Times New Roman"/>
          <w:kern w:val="0"/>
          <w:position w:val="-10"/>
          <w:sz w:val="22"/>
          <w:szCs w:val="22"/>
          <w14:ligatures w14:val="none"/>
        </w:rPr>
        <w:tab/>
      </w:r>
      <w:r w:rsidRPr="00832FF3">
        <w:rPr>
          <w:rFonts w:ascii="Times New Roman" w:eastAsia="Times New Roman" w:hAnsi="Times New Roman" w:cs="Times New Roman"/>
          <w:kern w:val="0"/>
          <w:sz w:val="22"/>
          <w:szCs w:val="22"/>
          <w14:ligatures w14:val="none"/>
        </w:rPr>
        <w:t>Digital</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Twin</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&amp;</w:t>
      </w:r>
      <w:r w:rsidRPr="00832FF3">
        <w:rPr>
          <w:rFonts w:ascii="Times New Roman" w:eastAsia="Times New Roman" w:hAnsi="Times New Roman" w:cs="Times New Roman"/>
          <w:spacing w:val="-14"/>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Cyber-Physical</w:t>
      </w:r>
      <w:r w:rsidRPr="00832FF3">
        <w:rPr>
          <w:rFonts w:ascii="Times New Roman" w:eastAsia="Times New Roman" w:hAnsi="Times New Roman" w:cs="Times New Roman"/>
          <w:spacing w:val="-11"/>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Systems</w:t>
      </w:r>
      <w:r w:rsidRPr="00832FF3">
        <w:rPr>
          <w:rFonts w:ascii="Times New Roman" w:eastAsia="Times New Roman" w:hAnsi="Times New Roman" w:cs="Times New Roman"/>
          <w:spacing w:val="-13"/>
          <w:kern w:val="0"/>
          <w:sz w:val="22"/>
          <w:szCs w:val="22"/>
          <w14:ligatures w14:val="none"/>
        </w:rPr>
        <w:t xml:space="preserve"> </w:t>
      </w:r>
      <w:r w:rsidRPr="00832FF3">
        <w:rPr>
          <w:rFonts w:ascii="Times New Roman" w:eastAsia="Times New Roman" w:hAnsi="Times New Roman" w:cs="Times New Roman"/>
          <w:kern w:val="0"/>
          <w:sz w:val="22"/>
          <w:szCs w:val="22"/>
          <w14:ligatures w14:val="none"/>
        </w:rPr>
        <w:t>→</w:t>
      </w:r>
      <w:r w:rsidRPr="00832FF3">
        <w:rPr>
          <w:rFonts w:ascii="Times New Roman" w:eastAsia="Times New Roman" w:hAnsi="Times New Roman" w:cs="Times New Roman"/>
          <w:spacing w:val="-10"/>
          <w:kern w:val="0"/>
          <w:sz w:val="22"/>
          <w:szCs w:val="22"/>
          <w14:ligatures w14:val="none"/>
        </w:rPr>
        <w:t xml:space="preserve"> </w:t>
      </w:r>
      <w:r w:rsidRPr="00832FF3">
        <w:rPr>
          <w:rFonts w:ascii="Times New Roman" w:eastAsia="Times New Roman" w:hAnsi="Times New Roman" w:cs="Times New Roman"/>
          <w:spacing w:val="-4"/>
          <w:kern w:val="0"/>
          <w:sz w:val="22"/>
          <w:szCs w:val="22"/>
          <w14:ligatures w14:val="none"/>
        </w:rPr>
        <w:t>Cost</w:t>
      </w:r>
    </w:p>
    <w:p w14:paraId="54A3CC89" w14:textId="77777777" w:rsidR="00832FF3" w:rsidRPr="00832FF3" w:rsidRDefault="00832FF3" w:rsidP="00AE7FA9">
      <w:pPr>
        <w:widowControl w:val="0"/>
        <w:tabs>
          <w:tab w:val="left" w:pos="1546"/>
          <w:tab w:val="left" w:pos="2345"/>
        </w:tabs>
        <w:autoSpaceDE w:val="0"/>
        <w:autoSpaceDN w:val="0"/>
        <w:spacing w:before="195"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14:ligatures w14:val="none"/>
        </w:rPr>
        <w:br w:type="column"/>
      </w:r>
      <w:r w:rsidRPr="00832FF3">
        <w:rPr>
          <w:rFonts w:ascii="Times New Roman" w:eastAsia="Times New Roman" w:hAnsi="Times New Roman" w:cs="Times New Roman"/>
          <w:spacing w:val="-4"/>
          <w:kern w:val="0"/>
          <w:sz w:val="22"/>
          <w:szCs w:val="22"/>
          <w14:ligatures w14:val="none"/>
        </w:rPr>
        <w:t>0.22</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3.87</w:t>
      </w:r>
      <w:r w:rsidRPr="00832FF3">
        <w:rPr>
          <w:rFonts w:ascii="Times New Roman" w:eastAsia="Times New Roman" w:hAnsi="Times New Roman" w:cs="Times New Roman"/>
          <w:kern w:val="0"/>
          <w:sz w:val="22"/>
          <w:szCs w:val="22"/>
          <w14:ligatures w14:val="none"/>
        </w:rPr>
        <w:tab/>
        <w:t>0.001</w:t>
      </w:r>
      <w:r w:rsidRPr="00832FF3">
        <w:rPr>
          <w:rFonts w:ascii="Times New Roman" w:eastAsia="Times New Roman" w:hAnsi="Times New Roman" w:cs="Times New Roman"/>
          <w:spacing w:val="75"/>
          <w:w w:val="150"/>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Supported</w:t>
      </w:r>
    </w:p>
    <w:p w14:paraId="2AEA81F5" w14:textId="77777777" w:rsidR="00832FF3" w:rsidRPr="00832FF3" w:rsidRDefault="00832FF3" w:rsidP="00AE7FA9">
      <w:pPr>
        <w:widowControl w:val="0"/>
        <w:tabs>
          <w:tab w:val="left" w:pos="1546"/>
          <w:tab w:val="left" w:pos="2345"/>
        </w:tabs>
        <w:autoSpaceDE w:val="0"/>
        <w:autoSpaceDN w:val="0"/>
        <w:spacing w:before="217"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spacing w:val="-4"/>
          <w:kern w:val="0"/>
          <w:sz w:val="22"/>
          <w:szCs w:val="22"/>
          <w14:ligatures w14:val="none"/>
        </w:rPr>
        <w:t>0.24</w:t>
      </w:r>
      <w:r w:rsidRPr="00832FF3">
        <w:rPr>
          <w:rFonts w:ascii="Times New Roman" w:eastAsia="Times New Roman" w:hAnsi="Times New Roman" w:cs="Times New Roman"/>
          <w:kern w:val="0"/>
          <w:sz w:val="22"/>
          <w:szCs w:val="22"/>
          <w14:ligatures w14:val="none"/>
        </w:rPr>
        <w:tab/>
      </w:r>
      <w:r w:rsidRPr="00832FF3">
        <w:rPr>
          <w:rFonts w:ascii="Times New Roman" w:eastAsia="Times New Roman" w:hAnsi="Times New Roman" w:cs="Times New Roman"/>
          <w:spacing w:val="-4"/>
          <w:kern w:val="0"/>
          <w:sz w:val="22"/>
          <w:szCs w:val="22"/>
          <w14:ligatures w14:val="none"/>
        </w:rPr>
        <w:t>4.03</w:t>
      </w:r>
      <w:r w:rsidRPr="00832FF3">
        <w:rPr>
          <w:rFonts w:ascii="Times New Roman" w:eastAsia="Times New Roman" w:hAnsi="Times New Roman" w:cs="Times New Roman"/>
          <w:kern w:val="0"/>
          <w:sz w:val="22"/>
          <w:szCs w:val="22"/>
          <w14:ligatures w14:val="none"/>
        </w:rPr>
        <w:tab/>
        <w:t>0.000</w:t>
      </w:r>
      <w:r w:rsidRPr="00832FF3">
        <w:rPr>
          <w:rFonts w:ascii="Times New Roman" w:eastAsia="Times New Roman" w:hAnsi="Times New Roman" w:cs="Times New Roman"/>
          <w:spacing w:val="75"/>
          <w:w w:val="150"/>
          <w:kern w:val="0"/>
          <w:sz w:val="22"/>
          <w:szCs w:val="22"/>
          <w14:ligatures w14:val="none"/>
        </w:rPr>
        <w:t xml:space="preserve"> </w:t>
      </w:r>
      <w:r w:rsidRPr="00832FF3">
        <w:rPr>
          <w:rFonts w:ascii="Times New Roman" w:eastAsia="Times New Roman" w:hAnsi="Times New Roman" w:cs="Times New Roman"/>
          <w:spacing w:val="-2"/>
          <w:kern w:val="0"/>
          <w:sz w:val="22"/>
          <w:szCs w:val="22"/>
          <w14:ligatures w14:val="none"/>
        </w:rPr>
        <w:t>Supported</w:t>
      </w:r>
    </w:p>
    <w:p w14:paraId="018853D9"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 w:val="22"/>
          <w:szCs w:val="22"/>
          <w14:ligatures w14:val="none"/>
        </w:rPr>
        <w:sectPr w:rsidR="00832FF3" w:rsidRPr="00832FF3" w:rsidSect="00832FF3">
          <w:type w:val="continuous"/>
          <w:pgSz w:w="12240" w:h="15840"/>
          <w:pgMar w:top="1380" w:right="0" w:bottom="540" w:left="1080" w:header="0" w:footer="346" w:gutter="0"/>
          <w:cols w:num="2" w:space="720" w:equalWidth="0">
            <w:col w:w="5993" w:space="584"/>
            <w:col w:w="4583"/>
          </w:cols>
        </w:sectPr>
      </w:pPr>
    </w:p>
    <w:p w14:paraId="66055604" w14:textId="77777777" w:rsidR="00832FF3" w:rsidRPr="00832FF3" w:rsidRDefault="00832FF3" w:rsidP="00AE7FA9">
      <w:pPr>
        <w:widowControl w:val="0"/>
        <w:tabs>
          <w:tab w:val="left" w:pos="1325"/>
          <w:tab w:val="left" w:pos="10530"/>
        </w:tabs>
        <w:autoSpaceDE w:val="0"/>
        <w:autoSpaceDN w:val="0"/>
        <w:spacing w:after="0" w:line="240" w:lineRule="auto"/>
        <w:rPr>
          <w:rFonts w:ascii="Times New Roman" w:eastAsia="Times New Roman" w:hAnsi="Times New Roman" w:cs="Times New Roman"/>
          <w:kern w:val="0"/>
          <w:sz w:val="22"/>
          <w:szCs w:val="22"/>
          <w14:ligatures w14:val="none"/>
        </w:rPr>
      </w:pPr>
      <w:r w:rsidRPr="00832FF3">
        <w:rPr>
          <w:rFonts w:ascii="Times New Roman" w:eastAsia="Times New Roman" w:hAnsi="Times New Roman" w:cs="Times New Roman"/>
          <w:kern w:val="0"/>
          <w:sz w:val="22"/>
          <w:szCs w:val="22"/>
          <w:u w:val="single"/>
          <w14:ligatures w14:val="none"/>
        </w:rPr>
        <w:lastRenderedPageBreak/>
        <w:tab/>
      </w:r>
      <w:r w:rsidRPr="00832FF3">
        <w:rPr>
          <w:rFonts w:ascii="Times New Roman" w:eastAsia="Times New Roman" w:hAnsi="Times New Roman" w:cs="Times New Roman"/>
          <w:spacing w:val="-2"/>
          <w:kern w:val="0"/>
          <w:sz w:val="22"/>
          <w:szCs w:val="22"/>
          <w:u w:val="single"/>
          <w14:ligatures w14:val="none"/>
        </w:rPr>
        <w:t>Efficiency</w:t>
      </w:r>
      <w:r w:rsidRPr="00832FF3">
        <w:rPr>
          <w:rFonts w:ascii="Times New Roman" w:eastAsia="Times New Roman" w:hAnsi="Times New Roman" w:cs="Times New Roman"/>
          <w:kern w:val="0"/>
          <w:sz w:val="22"/>
          <w:szCs w:val="22"/>
          <w:u w:val="single"/>
          <w14:ligatures w14:val="none"/>
        </w:rPr>
        <w:tab/>
      </w:r>
    </w:p>
    <w:p w14:paraId="75C1BB68"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p>
    <w:p w14:paraId="243F75ED" w14:textId="77777777" w:rsidR="00832FF3" w:rsidRPr="00832FF3" w:rsidRDefault="00832FF3" w:rsidP="00AE7FA9">
      <w:pPr>
        <w:widowControl w:val="0"/>
        <w:autoSpaceDE w:val="0"/>
        <w:autoSpaceDN w:val="0"/>
        <w:spacing w:before="52" w:after="0" w:line="240" w:lineRule="auto"/>
        <w:rPr>
          <w:rFonts w:ascii="Times New Roman" w:eastAsia="Times New Roman" w:hAnsi="Times New Roman" w:cs="Times New Roman"/>
          <w:kern w:val="0"/>
          <w14:ligatures w14:val="none"/>
        </w:rPr>
      </w:pPr>
    </w:p>
    <w:p w14:paraId="319BC35D" w14:textId="77777777" w:rsidR="00832FF3" w:rsidRPr="00832FF3" w:rsidRDefault="00832FF3" w:rsidP="00AE7FA9">
      <w:pPr>
        <w:widowControl w:val="0"/>
        <w:autoSpaceDE w:val="0"/>
        <w:autoSpaceDN w:val="0"/>
        <w:spacing w:after="0" w:line="240" w:lineRule="auto"/>
        <w:ind w:right="977"/>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results presented in Table 8 indicate that all structural relationships between the independent and dependent variables are positive and statistically significant. The path coefficients range between 0.22 and</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0.31,</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suggesting</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moderate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but</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meaningful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effects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operational</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performance outcomes.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t-statistics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values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exceed</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critical</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threshold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1.96,</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while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p-values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are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below</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0.05, confirming that the relationships are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statistically significant at the 5%</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significance level. These findings suggest that the adoption of artificial intelligence, IoT-based monitoring systems, and digital twin technologies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significantly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contributes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improving</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product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quality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cost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efficiency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in</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manufacturing firms. The path coefficients are presented in figure 2 below as follows;</w:t>
      </w:r>
    </w:p>
    <w:p w14:paraId="3FA29E74" w14:textId="77777777" w:rsidR="00832FF3" w:rsidRPr="00832FF3" w:rsidRDefault="00832FF3" w:rsidP="00AE7FA9">
      <w:pPr>
        <w:widowControl w:val="0"/>
        <w:autoSpaceDE w:val="0"/>
        <w:autoSpaceDN w:val="0"/>
        <w:spacing w:before="11" w:after="0" w:line="240" w:lineRule="auto"/>
        <w:rPr>
          <w:rFonts w:ascii="Times New Roman" w:eastAsia="Times New Roman" w:hAnsi="Times New Roman" w:cs="Times New Roman"/>
          <w:kern w:val="0"/>
          <w:sz w:val="7"/>
          <w14:ligatures w14:val="none"/>
        </w:rPr>
      </w:pPr>
      <w:r w:rsidRPr="00832FF3">
        <w:rPr>
          <w:rFonts w:ascii="Times New Roman" w:eastAsia="Times New Roman" w:hAnsi="Times New Roman" w:cs="Times New Roman"/>
          <w:noProof/>
          <w:kern w:val="0"/>
          <w:sz w:val="7"/>
          <w14:ligatures w14:val="none"/>
        </w:rPr>
        <mc:AlternateContent>
          <mc:Choice Requires="wpg">
            <w:drawing>
              <wp:anchor distT="0" distB="0" distL="0" distR="0" simplePos="0" relativeHeight="251728896" behindDoc="1" locked="0" layoutInCell="1" allowOverlap="1" wp14:anchorId="03986D29" wp14:editId="09A082FB">
                <wp:simplePos x="0" y="0"/>
                <wp:positionH relativeFrom="page">
                  <wp:posOffset>2013585</wp:posOffset>
                </wp:positionH>
                <wp:positionV relativeFrom="paragraph">
                  <wp:posOffset>73554</wp:posOffset>
                </wp:positionV>
                <wp:extent cx="3950970" cy="297878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0970" cy="2978785"/>
                          <a:chOff x="0" y="0"/>
                          <a:chExt cx="3950970" cy="2978785"/>
                        </a:xfrm>
                      </wpg:grpSpPr>
                      <pic:pic xmlns:pic="http://schemas.openxmlformats.org/drawingml/2006/picture">
                        <pic:nvPicPr>
                          <pic:cNvPr id="19" name="Image 19"/>
                          <pic:cNvPicPr/>
                        </pic:nvPicPr>
                        <pic:blipFill>
                          <a:blip r:embed="rId273" cstate="print"/>
                          <a:stretch>
                            <a:fillRect/>
                          </a:stretch>
                        </pic:blipFill>
                        <pic:spPr>
                          <a:xfrm>
                            <a:off x="0" y="0"/>
                            <a:ext cx="3950462" cy="2978530"/>
                          </a:xfrm>
                          <a:prstGeom prst="rect">
                            <a:avLst/>
                          </a:prstGeom>
                        </pic:spPr>
                      </pic:pic>
                      <wps:wsp>
                        <wps:cNvPr id="20" name="Graphic 20"/>
                        <wps:cNvSpPr/>
                        <wps:spPr>
                          <a:xfrm>
                            <a:off x="1528191" y="2238882"/>
                            <a:ext cx="184785" cy="50165"/>
                          </a:xfrm>
                          <a:custGeom>
                            <a:avLst/>
                            <a:gdLst/>
                            <a:ahLst/>
                            <a:cxnLst/>
                            <a:rect l="l" t="t" r="r" b="b"/>
                            <a:pathLst>
                              <a:path w="184785" h="50165">
                                <a:moveTo>
                                  <a:pt x="30479" y="0"/>
                                </a:moveTo>
                                <a:lnTo>
                                  <a:pt x="20954" y="0"/>
                                </a:lnTo>
                                <a:lnTo>
                                  <a:pt x="17018" y="635"/>
                                </a:lnTo>
                                <a:lnTo>
                                  <a:pt x="0" y="28956"/>
                                </a:lnTo>
                                <a:lnTo>
                                  <a:pt x="340" y="32131"/>
                                </a:lnTo>
                                <a:lnTo>
                                  <a:pt x="381" y="32512"/>
                                </a:lnTo>
                                <a:lnTo>
                                  <a:pt x="1714" y="37846"/>
                                </a:lnTo>
                                <a:lnTo>
                                  <a:pt x="1809" y="38227"/>
                                </a:lnTo>
                                <a:lnTo>
                                  <a:pt x="12446" y="48133"/>
                                </a:lnTo>
                                <a:lnTo>
                                  <a:pt x="15621" y="49276"/>
                                </a:lnTo>
                                <a:lnTo>
                                  <a:pt x="19558" y="49911"/>
                                </a:lnTo>
                                <a:lnTo>
                                  <a:pt x="28956" y="49911"/>
                                </a:lnTo>
                                <a:lnTo>
                                  <a:pt x="33020" y="49276"/>
                                </a:lnTo>
                                <a:lnTo>
                                  <a:pt x="36195" y="48133"/>
                                </a:lnTo>
                                <a:lnTo>
                                  <a:pt x="39130" y="47117"/>
                                </a:lnTo>
                                <a:lnTo>
                                  <a:pt x="39291" y="47117"/>
                                </a:lnTo>
                                <a:lnTo>
                                  <a:pt x="41958" y="45466"/>
                                </a:lnTo>
                                <a:lnTo>
                                  <a:pt x="45032" y="42164"/>
                                </a:lnTo>
                                <a:lnTo>
                                  <a:pt x="22987" y="42164"/>
                                </a:lnTo>
                                <a:lnTo>
                                  <a:pt x="21336" y="41783"/>
                                </a:lnTo>
                                <a:lnTo>
                                  <a:pt x="20065" y="41275"/>
                                </a:lnTo>
                                <a:lnTo>
                                  <a:pt x="18669" y="40767"/>
                                </a:lnTo>
                                <a:lnTo>
                                  <a:pt x="17652" y="39878"/>
                                </a:lnTo>
                                <a:lnTo>
                                  <a:pt x="16844" y="38608"/>
                                </a:lnTo>
                                <a:lnTo>
                                  <a:pt x="15875" y="37211"/>
                                </a:lnTo>
                                <a:lnTo>
                                  <a:pt x="15475" y="35814"/>
                                </a:lnTo>
                                <a:lnTo>
                                  <a:pt x="15366" y="35433"/>
                                </a:lnTo>
                                <a:lnTo>
                                  <a:pt x="14859" y="33147"/>
                                </a:lnTo>
                                <a:lnTo>
                                  <a:pt x="14477" y="30861"/>
                                </a:lnTo>
                                <a:lnTo>
                                  <a:pt x="14522" y="19177"/>
                                </a:lnTo>
                                <a:lnTo>
                                  <a:pt x="14746" y="17907"/>
                                </a:lnTo>
                                <a:lnTo>
                                  <a:pt x="14836" y="17399"/>
                                </a:lnTo>
                                <a:lnTo>
                                  <a:pt x="15023" y="15875"/>
                                </a:lnTo>
                                <a:lnTo>
                                  <a:pt x="15112" y="15113"/>
                                </a:lnTo>
                                <a:lnTo>
                                  <a:pt x="15748" y="13462"/>
                                </a:lnTo>
                                <a:lnTo>
                                  <a:pt x="20929" y="8255"/>
                                </a:lnTo>
                                <a:lnTo>
                                  <a:pt x="20616" y="8255"/>
                                </a:lnTo>
                                <a:lnTo>
                                  <a:pt x="22394" y="7874"/>
                                </a:lnTo>
                                <a:lnTo>
                                  <a:pt x="46078" y="7874"/>
                                </a:lnTo>
                                <a:lnTo>
                                  <a:pt x="45070" y="6731"/>
                                </a:lnTo>
                                <a:lnTo>
                                  <a:pt x="43284" y="4572"/>
                                </a:lnTo>
                                <a:lnTo>
                                  <a:pt x="40835" y="2921"/>
                                </a:lnTo>
                                <a:lnTo>
                                  <a:pt x="40978" y="2921"/>
                                </a:lnTo>
                                <a:lnTo>
                                  <a:pt x="37930" y="1778"/>
                                </a:lnTo>
                                <a:lnTo>
                                  <a:pt x="34416" y="635"/>
                                </a:lnTo>
                                <a:lnTo>
                                  <a:pt x="30479" y="0"/>
                                </a:lnTo>
                                <a:close/>
                              </a:path>
                              <a:path w="184785" h="50165">
                                <a:moveTo>
                                  <a:pt x="46078" y="7874"/>
                                </a:moveTo>
                                <a:lnTo>
                                  <a:pt x="27432" y="7874"/>
                                </a:lnTo>
                                <a:lnTo>
                                  <a:pt x="28955" y="8255"/>
                                </a:lnTo>
                                <a:lnTo>
                                  <a:pt x="29463" y="8255"/>
                                </a:lnTo>
                                <a:lnTo>
                                  <a:pt x="30352" y="8636"/>
                                </a:lnTo>
                                <a:lnTo>
                                  <a:pt x="31114" y="9271"/>
                                </a:lnTo>
                                <a:lnTo>
                                  <a:pt x="31876" y="9779"/>
                                </a:lnTo>
                                <a:lnTo>
                                  <a:pt x="32591" y="10541"/>
                                </a:lnTo>
                                <a:lnTo>
                                  <a:pt x="35178" y="17399"/>
                                </a:lnTo>
                                <a:lnTo>
                                  <a:pt x="35088" y="33147"/>
                                </a:lnTo>
                                <a:lnTo>
                                  <a:pt x="34798" y="34671"/>
                                </a:lnTo>
                                <a:lnTo>
                                  <a:pt x="34628" y="35179"/>
                                </a:lnTo>
                                <a:lnTo>
                                  <a:pt x="34543" y="35433"/>
                                </a:lnTo>
                                <a:lnTo>
                                  <a:pt x="34416" y="35814"/>
                                </a:lnTo>
                                <a:lnTo>
                                  <a:pt x="33909" y="36957"/>
                                </a:lnTo>
                                <a:lnTo>
                                  <a:pt x="33400" y="37846"/>
                                </a:lnTo>
                                <a:lnTo>
                                  <a:pt x="33210" y="38227"/>
                                </a:lnTo>
                                <a:lnTo>
                                  <a:pt x="33083" y="38481"/>
                                </a:lnTo>
                                <a:lnTo>
                                  <a:pt x="33020" y="38608"/>
                                </a:lnTo>
                                <a:lnTo>
                                  <a:pt x="32893" y="38862"/>
                                </a:lnTo>
                                <a:lnTo>
                                  <a:pt x="32258" y="39624"/>
                                </a:lnTo>
                                <a:lnTo>
                                  <a:pt x="31369" y="40259"/>
                                </a:lnTo>
                                <a:lnTo>
                                  <a:pt x="30607" y="40894"/>
                                </a:lnTo>
                                <a:lnTo>
                                  <a:pt x="28575" y="41656"/>
                                </a:lnTo>
                                <a:lnTo>
                                  <a:pt x="26288" y="42164"/>
                                </a:lnTo>
                                <a:lnTo>
                                  <a:pt x="45032" y="42164"/>
                                </a:lnTo>
                                <a:lnTo>
                                  <a:pt x="49911" y="20955"/>
                                </a:lnTo>
                                <a:lnTo>
                                  <a:pt x="49584" y="17907"/>
                                </a:lnTo>
                                <a:lnTo>
                                  <a:pt x="49529" y="17399"/>
                                </a:lnTo>
                                <a:lnTo>
                                  <a:pt x="49053" y="15113"/>
                                </a:lnTo>
                                <a:lnTo>
                                  <a:pt x="48974" y="14732"/>
                                </a:lnTo>
                                <a:lnTo>
                                  <a:pt x="48895" y="14351"/>
                                </a:lnTo>
                                <a:lnTo>
                                  <a:pt x="48387" y="12319"/>
                                </a:lnTo>
                                <a:lnTo>
                                  <a:pt x="48291" y="11938"/>
                                </a:lnTo>
                                <a:lnTo>
                                  <a:pt x="48164" y="11430"/>
                                </a:lnTo>
                                <a:lnTo>
                                  <a:pt x="47751" y="10541"/>
                                </a:lnTo>
                                <a:lnTo>
                                  <a:pt x="47243" y="9525"/>
                                </a:lnTo>
                                <a:lnTo>
                                  <a:pt x="47116" y="9271"/>
                                </a:lnTo>
                                <a:lnTo>
                                  <a:pt x="46989" y="9017"/>
                                </a:lnTo>
                                <a:lnTo>
                                  <a:pt x="46862" y="8763"/>
                                </a:lnTo>
                                <a:lnTo>
                                  <a:pt x="46078" y="7874"/>
                                </a:lnTo>
                                <a:close/>
                              </a:path>
                              <a:path w="184785" h="50165">
                                <a:moveTo>
                                  <a:pt x="68072" y="37973"/>
                                </a:moveTo>
                                <a:lnTo>
                                  <a:pt x="62102" y="37973"/>
                                </a:lnTo>
                                <a:lnTo>
                                  <a:pt x="59944" y="38354"/>
                                </a:lnTo>
                                <a:lnTo>
                                  <a:pt x="58800" y="39243"/>
                                </a:lnTo>
                                <a:lnTo>
                                  <a:pt x="57658" y="40005"/>
                                </a:lnTo>
                                <a:lnTo>
                                  <a:pt x="57023" y="41529"/>
                                </a:lnTo>
                                <a:lnTo>
                                  <a:pt x="57023" y="46101"/>
                                </a:lnTo>
                                <a:lnTo>
                                  <a:pt x="57658" y="47498"/>
                                </a:lnTo>
                                <a:lnTo>
                                  <a:pt x="58800" y="48387"/>
                                </a:lnTo>
                                <a:lnTo>
                                  <a:pt x="59944" y="49149"/>
                                </a:lnTo>
                                <a:lnTo>
                                  <a:pt x="61975" y="49530"/>
                                </a:lnTo>
                                <a:lnTo>
                                  <a:pt x="68072" y="49530"/>
                                </a:lnTo>
                                <a:lnTo>
                                  <a:pt x="70103" y="49149"/>
                                </a:lnTo>
                                <a:lnTo>
                                  <a:pt x="71083" y="48387"/>
                                </a:lnTo>
                                <a:lnTo>
                                  <a:pt x="72516" y="47498"/>
                                </a:lnTo>
                                <a:lnTo>
                                  <a:pt x="72982" y="46101"/>
                                </a:lnTo>
                                <a:lnTo>
                                  <a:pt x="73025" y="41529"/>
                                </a:lnTo>
                                <a:lnTo>
                                  <a:pt x="72516" y="40005"/>
                                </a:lnTo>
                                <a:lnTo>
                                  <a:pt x="71374" y="39243"/>
                                </a:lnTo>
                                <a:lnTo>
                                  <a:pt x="70231" y="38354"/>
                                </a:lnTo>
                                <a:lnTo>
                                  <a:pt x="68072" y="37973"/>
                                </a:lnTo>
                                <a:close/>
                              </a:path>
                              <a:path w="184785" h="50165">
                                <a:moveTo>
                                  <a:pt x="128016" y="48768"/>
                                </a:moveTo>
                                <a:lnTo>
                                  <a:pt x="84327" y="48768"/>
                                </a:lnTo>
                                <a:lnTo>
                                  <a:pt x="84836" y="48895"/>
                                </a:lnTo>
                                <a:lnTo>
                                  <a:pt x="127762" y="48895"/>
                                </a:lnTo>
                                <a:lnTo>
                                  <a:pt x="128016" y="48768"/>
                                </a:lnTo>
                                <a:close/>
                              </a:path>
                              <a:path w="184785" h="50165">
                                <a:moveTo>
                                  <a:pt x="126081" y="9017"/>
                                </a:moveTo>
                                <a:lnTo>
                                  <a:pt x="103504" y="9017"/>
                                </a:lnTo>
                                <a:lnTo>
                                  <a:pt x="104648" y="9271"/>
                                </a:lnTo>
                                <a:lnTo>
                                  <a:pt x="107018" y="10160"/>
                                </a:lnTo>
                                <a:lnTo>
                                  <a:pt x="106835" y="10160"/>
                                </a:lnTo>
                                <a:lnTo>
                                  <a:pt x="108076" y="11176"/>
                                </a:lnTo>
                                <a:lnTo>
                                  <a:pt x="108712" y="11811"/>
                                </a:lnTo>
                                <a:lnTo>
                                  <a:pt x="109093" y="12446"/>
                                </a:lnTo>
                                <a:lnTo>
                                  <a:pt x="109474" y="13208"/>
                                </a:lnTo>
                                <a:lnTo>
                                  <a:pt x="109474" y="16637"/>
                                </a:lnTo>
                                <a:lnTo>
                                  <a:pt x="109093" y="17653"/>
                                </a:lnTo>
                                <a:lnTo>
                                  <a:pt x="108775" y="18796"/>
                                </a:lnTo>
                                <a:lnTo>
                                  <a:pt x="108331" y="19685"/>
                                </a:lnTo>
                                <a:lnTo>
                                  <a:pt x="107441" y="20955"/>
                                </a:lnTo>
                                <a:lnTo>
                                  <a:pt x="106679" y="22098"/>
                                </a:lnTo>
                                <a:lnTo>
                                  <a:pt x="102488" y="26289"/>
                                </a:lnTo>
                                <a:lnTo>
                                  <a:pt x="100411" y="27940"/>
                                </a:lnTo>
                                <a:lnTo>
                                  <a:pt x="86106" y="38481"/>
                                </a:lnTo>
                                <a:lnTo>
                                  <a:pt x="85344" y="38989"/>
                                </a:lnTo>
                                <a:lnTo>
                                  <a:pt x="84836" y="39497"/>
                                </a:lnTo>
                                <a:lnTo>
                                  <a:pt x="84327" y="39878"/>
                                </a:lnTo>
                                <a:lnTo>
                                  <a:pt x="83820" y="40386"/>
                                </a:lnTo>
                                <a:lnTo>
                                  <a:pt x="83565" y="40767"/>
                                </a:lnTo>
                                <a:lnTo>
                                  <a:pt x="83185" y="41275"/>
                                </a:lnTo>
                                <a:lnTo>
                                  <a:pt x="82994" y="41656"/>
                                </a:lnTo>
                                <a:lnTo>
                                  <a:pt x="82867" y="42037"/>
                                </a:lnTo>
                                <a:lnTo>
                                  <a:pt x="82803" y="42291"/>
                                </a:lnTo>
                                <a:lnTo>
                                  <a:pt x="82676" y="46990"/>
                                </a:lnTo>
                                <a:lnTo>
                                  <a:pt x="82829" y="47371"/>
                                </a:lnTo>
                                <a:lnTo>
                                  <a:pt x="82931" y="47625"/>
                                </a:lnTo>
                                <a:lnTo>
                                  <a:pt x="83185" y="48006"/>
                                </a:lnTo>
                                <a:lnTo>
                                  <a:pt x="83947" y="48768"/>
                                </a:lnTo>
                                <a:lnTo>
                                  <a:pt x="128354" y="48768"/>
                                </a:lnTo>
                                <a:lnTo>
                                  <a:pt x="128777" y="48133"/>
                                </a:lnTo>
                                <a:lnTo>
                                  <a:pt x="128904" y="47752"/>
                                </a:lnTo>
                                <a:lnTo>
                                  <a:pt x="128947" y="47625"/>
                                </a:lnTo>
                                <a:lnTo>
                                  <a:pt x="129032" y="42672"/>
                                </a:lnTo>
                                <a:lnTo>
                                  <a:pt x="128904" y="42291"/>
                                </a:lnTo>
                                <a:lnTo>
                                  <a:pt x="128650" y="42037"/>
                                </a:lnTo>
                                <a:lnTo>
                                  <a:pt x="128481" y="41783"/>
                                </a:lnTo>
                                <a:lnTo>
                                  <a:pt x="128397" y="41656"/>
                                </a:lnTo>
                                <a:lnTo>
                                  <a:pt x="127888" y="41275"/>
                                </a:lnTo>
                                <a:lnTo>
                                  <a:pt x="99137" y="41275"/>
                                </a:lnTo>
                                <a:lnTo>
                                  <a:pt x="107441" y="35306"/>
                                </a:lnTo>
                                <a:lnTo>
                                  <a:pt x="111633" y="32512"/>
                                </a:lnTo>
                                <a:lnTo>
                                  <a:pt x="114935" y="30099"/>
                                </a:lnTo>
                                <a:lnTo>
                                  <a:pt x="117348" y="27940"/>
                                </a:lnTo>
                                <a:lnTo>
                                  <a:pt x="119887" y="25781"/>
                                </a:lnTo>
                                <a:lnTo>
                                  <a:pt x="126491" y="14224"/>
                                </a:lnTo>
                                <a:lnTo>
                                  <a:pt x="126462" y="10668"/>
                                </a:lnTo>
                                <a:lnTo>
                                  <a:pt x="126345" y="10160"/>
                                </a:lnTo>
                                <a:lnTo>
                                  <a:pt x="126257" y="9779"/>
                                </a:lnTo>
                                <a:lnTo>
                                  <a:pt x="126140" y="9271"/>
                                </a:lnTo>
                                <a:lnTo>
                                  <a:pt x="126081" y="9017"/>
                                </a:lnTo>
                                <a:close/>
                              </a:path>
                              <a:path w="184785" h="50165">
                                <a:moveTo>
                                  <a:pt x="108458" y="0"/>
                                </a:moveTo>
                                <a:lnTo>
                                  <a:pt x="102615" y="0"/>
                                </a:lnTo>
                                <a:lnTo>
                                  <a:pt x="100329" y="127"/>
                                </a:lnTo>
                                <a:lnTo>
                                  <a:pt x="98171" y="508"/>
                                </a:lnTo>
                                <a:lnTo>
                                  <a:pt x="96138" y="762"/>
                                </a:lnTo>
                                <a:lnTo>
                                  <a:pt x="94107" y="1143"/>
                                </a:lnTo>
                                <a:lnTo>
                                  <a:pt x="92456" y="1524"/>
                                </a:lnTo>
                                <a:lnTo>
                                  <a:pt x="90677" y="2032"/>
                                </a:lnTo>
                                <a:lnTo>
                                  <a:pt x="88646" y="2540"/>
                                </a:lnTo>
                                <a:lnTo>
                                  <a:pt x="88836" y="2540"/>
                                </a:lnTo>
                                <a:lnTo>
                                  <a:pt x="87884" y="2921"/>
                                </a:lnTo>
                                <a:lnTo>
                                  <a:pt x="86740" y="3302"/>
                                </a:lnTo>
                                <a:lnTo>
                                  <a:pt x="85851" y="3683"/>
                                </a:lnTo>
                                <a:lnTo>
                                  <a:pt x="85471" y="4064"/>
                                </a:lnTo>
                                <a:lnTo>
                                  <a:pt x="84962" y="4318"/>
                                </a:lnTo>
                                <a:lnTo>
                                  <a:pt x="84645" y="4699"/>
                                </a:lnTo>
                                <a:lnTo>
                                  <a:pt x="84518" y="4953"/>
                                </a:lnTo>
                                <a:lnTo>
                                  <a:pt x="84454" y="11811"/>
                                </a:lnTo>
                                <a:lnTo>
                                  <a:pt x="84582" y="12065"/>
                                </a:lnTo>
                                <a:lnTo>
                                  <a:pt x="84962" y="12446"/>
                                </a:lnTo>
                                <a:lnTo>
                                  <a:pt x="86444" y="12446"/>
                                </a:lnTo>
                                <a:lnTo>
                                  <a:pt x="87884" y="11811"/>
                                </a:lnTo>
                                <a:lnTo>
                                  <a:pt x="89408" y="11049"/>
                                </a:lnTo>
                                <a:lnTo>
                                  <a:pt x="90677" y="10668"/>
                                </a:lnTo>
                                <a:lnTo>
                                  <a:pt x="91948" y="10160"/>
                                </a:lnTo>
                                <a:lnTo>
                                  <a:pt x="93345" y="9779"/>
                                </a:lnTo>
                                <a:lnTo>
                                  <a:pt x="96647" y="9017"/>
                                </a:lnTo>
                                <a:lnTo>
                                  <a:pt x="126036" y="9017"/>
                                </a:lnTo>
                                <a:lnTo>
                                  <a:pt x="124333" y="6096"/>
                                </a:lnTo>
                                <a:lnTo>
                                  <a:pt x="111633" y="381"/>
                                </a:lnTo>
                                <a:lnTo>
                                  <a:pt x="108458" y="0"/>
                                </a:lnTo>
                                <a:close/>
                              </a:path>
                              <a:path w="184785" h="50165">
                                <a:moveTo>
                                  <a:pt x="172974" y="49149"/>
                                </a:moveTo>
                                <a:lnTo>
                                  <a:pt x="166370" y="49149"/>
                                </a:lnTo>
                                <a:lnTo>
                                  <a:pt x="167259" y="49276"/>
                                </a:lnTo>
                                <a:lnTo>
                                  <a:pt x="172085" y="49276"/>
                                </a:lnTo>
                                <a:lnTo>
                                  <a:pt x="172974" y="49149"/>
                                </a:lnTo>
                                <a:close/>
                              </a:path>
                              <a:path w="184785" h="50165">
                                <a:moveTo>
                                  <a:pt x="175514" y="48768"/>
                                </a:moveTo>
                                <a:lnTo>
                                  <a:pt x="163702" y="48768"/>
                                </a:lnTo>
                                <a:lnTo>
                                  <a:pt x="165226" y="49149"/>
                                </a:lnTo>
                                <a:lnTo>
                                  <a:pt x="173989" y="49149"/>
                                </a:lnTo>
                                <a:lnTo>
                                  <a:pt x="175514" y="48768"/>
                                </a:lnTo>
                                <a:close/>
                              </a:path>
                              <a:path w="184785" h="50165">
                                <a:moveTo>
                                  <a:pt x="176149" y="48387"/>
                                </a:moveTo>
                                <a:lnTo>
                                  <a:pt x="163195" y="48387"/>
                                </a:lnTo>
                                <a:lnTo>
                                  <a:pt x="163385" y="48768"/>
                                </a:lnTo>
                                <a:lnTo>
                                  <a:pt x="175768" y="48768"/>
                                </a:lnTo>
                                <a:lnTo>
                                  <a:pt x="176149" y="48387"/>
                                </a:lnTo>
                                <a:close/>
                              </a:path>
                              <a:path w="184785" h="50165">
                                <a:moveTo>
                                  <a:pt x="176529" y="38989"/>
                                </a:moveTo>
                                <a:lnTo>
                                  <a:pt x="162813" y="38989"/>
                                </a:lnTo>
                                <a:lnTo>
                                  <a:pt x="162942" y="48387"/>
                                </a:lnTo>
                                <a:lnTo>
                                  <a:pt x="176401" y="48387"/>
                                </a:lnTo>
                                <a:lnTo>
                                  <a:pt x="176529" y="38989"/>
                                </a:lnTo>
                                <a:close/>
                              </a:path>
                              <a:path w="184785" h="50165">
                                <a:moveTo>
                                  <a:pt x="183642" y="38862"/>
                                </a:moveTo>
                                <a:lnTo>
                                  <a:pt x="134747" y="38862"/>
                                </a:lnTo>
                                <a:lnTo>
                                  <a:pt x="135127" y="38989"/>
                                </a:lnTo>
                                <a:lnTo>
                                  <a:pt x="183387" y="38989"/>
                                </a:lnTo>
                                <a:lnTo>
                                  <a:pt x="183642" y="38862"/>
                                </a:lnTo>
                                <a:close/>
                              </a:path>
                              <a:path w="184785" h="50165">
                                <a:moveTo>
                                  <a:pt x="172719" y="762"/>
                                </a:moveTo>
                                <a:lnTo>
                                  <a:pt x="160909" y="762"/>
                                </a:lnTo>
                                <a:lnTo>
                                  <a:pt x="158369" y="1143"/>
                                </a:lnTo>
                                <a:lnTo>
                                  <a:pt x="133858" y="29718"/>
                                </a:lnTo>
                                <a:lnTo>
                                  <a:pt x="133603" y="30099"/>
                                </a:lnTo>
                                <a:lnTo>
                                  <a:pt x="133476" y="37973"/>
                                </a:lnTo>
                                <a:lnTo>
                                  <a:pt x="133731" y="38354"/>
                                </a:lnTo>
                                <a:lnTo>
                                  <a:pt x="134492" y="38862"/>
                                </a:lnTo>
                                <a:lnTo>
                                  <a:pt x="183819" y="38862"/>
                                </a:lnTo>
                                <a:lnTo>
                                  <a:pt x="184658" y="37465"/>
                                </a:lnTo>
                                <a:lnTo>
                                  <a:pt x="184785" y="33782"/>
                                </a:lnTo>
                                <a:lnTo>
                                  <a:pt x="184531" y="32766"/>
                                </a:lnTo>
                                <a:lnTo>
                                  <a:pt x="183769" y="31496"/>
                                </a:lnTo>
                                <a:lnTo>
                                  <a:pt x="183261" y="31242"/>
                                </a:lnTo>
                                <a:lnTo>
                                  <a:pt x="144399" y="31242"/>
                                </a:lnTo>
                                <a:lnTo>
                                  <a:pt x="162813" y="9144"/>
                                </a:lnTo>
                                <a:lnTo>
                                  <a:pt x="176529" y="9144"/>
                                </a:lnTo>
                                <a:lnTo>
                                  <a:pt x="176402" y="1905"/>
                                </a:lnTo>
                                <a:lnTo>
                                  <a:pt x="175895" y="1524"/>
                                </a:lnTo>
                                <a:lnTo>
                                  <a:pt x="175006" y="1143"/>
                                </a:lnTo>
                                <a:lnTo>
                                  <a:pt x="172719" y="762"/>
                                </a:lnTo>
                                <a:close/>
                              </a:path>
                              <a:path w="184785" h="50165">
                                <a:moveTo>
                                  <a:pt x="176529" y="9144"/>
                                </a:moveTo>
                                <a:lnTo>
                                  <a:pt x="162813" y="9144"/>
                                </a:lnTo>
                                <a:lnTo>
                                  <a:pt x="162813" y="31242"/>
                                </a:lnTo>
                                <a:lnTo>
                                  <a:pt x="176529" y="31242"/>
                                </a:lnTo>
                                <a:lnTo>
                                  <a:pt x="176529"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5F4141" id="Group 18" o:spid="_x0000_s1026" style="position:absolute;margin-left:158.55pt;margin-top:5.8pt;width:311.1pt;height:234.55pt;z-index:-251587584;mso-wrap-distance-left:0;mso-wrap-distance-right:0;mso-position-horizontal-relative:page" coordsize="39509,29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">
                <v:shape id="Image 19" o:spid="_x0000_s1027" type="#_x0000_t75" style="position:absolute;width:39504;height:29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">
                  <v:imagedata r:id="rId274" o:title=""/>
                </v:shape>
                <v:shape id="Graphic 20" o:spid="_x0000_s1028" style="position:absolute;left:15281;top:22388;width:1848;height:502;visibility:visible;mso-wrap-style:square;v-text-anchor:top" coordsize="18478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" path="m30479,l20954,,17018,635,,28956r340,3175l381,32512r1333,5334l1809,38227r10637,9906l15621,49276r3937,635l28956,49911r4064,-635l36195,48133r2935,-1016l39291,47117r2667,-1651l45032,42164r-22045,l21336,41783r-1271,-508l18669,40767r-1017,-889l16844,38608r-969,-1397l15475,35814r-109,-381l14859,33147r-382,-2286l14522,19177r224,-1270l14836,17399r187,-1524l15112,15113r636,-1651l20929,8255r-313,l22394,7874r23684,l45070,6731,43284,4572,40835,2921r143,l37930,1778,34416,635,30479,xem46078,7874r-18646,l28955,8255r508,l30352,8636r762,635l31876,9779r715,762l35178,17399r-90,15748l34798,34671r-170,508l34543,35433r-127,381l33909,36957r-509,889l33210,38227r-127,254l33020,38608r-127,254l32258,39624r-889,635l30607,40894r-2032,762l26288,42164r18744,l49911,20955r-327,-3048l49529,17399r-476,-2286l48974,14732r-79,-381l48387,12319r-96,-381l48164,11430r-413,-889l47243,9525r-127,-254l46989,9017r-127,-254l46078,7874xem68072,37973r-5970,l59944,38354r-1144,889l57658,40005r-635,1524l57023,46101r635,1397l58800,48387r1144,762l61975,49530r6097,l70103,49149r980,-762l72516,47498r466,-1397l73025,41529r-509,-1524l71374,39243r-1143,-889l68072,37973xem128016,48768r-43689,l84836,48895r42926,l128016,48768xem126081,9017r-22577,l104648,9271r2370,889l106835,10160r1241,1016l108712,11811r381,635l109474,13208r,3429l109093,17653r-318,1143l108331,19685r-890,1270l106679,22098r-4191,4191l100411,27940,86106,38481r-762,508l84836,39497r-509,381l83820,40386r-255,381l83185,41275r-191,381l82867,42037r-64,254l82676,46990r153,381l82931,47625r254,381l83947,48768r44407,l128777,48133r127,-381l128947,47625r85,-4953l128904,42291r-254,-254l128481,41783r-84,-127l127888,41275r-28751,l107441,35306r4192,-2794l114935,30099r2413,-2159l119887,25781r6604,-11557l126462,10668r-117,-508l126257,9779r-117,-508l126081,9017xem108458,r-5843,l100329,127,98171,508,96138,762r-2031,381l92456,1524r-1779,508l88646,2540r190,l87884,2921r-1144,381l85851,3683r-380,381l84962,4318r-317,381l84518,4953r-64,6858l84582,12065r380,381l86444,12446r1440,-635l89408,11049r1269,-381l91948,10160r1397,-381l96647,9017r29389,l124333,6096,111633,381,108458,xem172974,49149r-6604,l167259,49276r4826,l172974,49149xem175514,48768r-11812,l165226,49149r8763,l175514,48768xem176149,48387r-12954,l163385,48768r12383,l176149,48387xem176529,38989r-13716,l162942,48387r13459,l176529,38989xem183642,38862r-48895,l135127,38989r48260,l183642,38862xem172719,762r-11810,l158369,1143,133858,29718r-255,381l133476,37973r255,381l134492,38862r49327,l184658,37465r127,-3683l184531,32766r-762,-1270l183261,31242r-38862,l162813,9144r13716,l176402,1905r-507,-381l175006,1143,172719,762xem176529,9144r-13716,l162813,31242r13716,l176529,9144xe" fillcolor="black" stroked="f">
                  <v:path arrowok="t"/>
                </v:shape>
                <w10:wrap type="topAndBottom" anchorx="page"/>
              </v:group>
            </w:pict>
          </mc:Fallback>
        </mc:AlternateContent>
      </w:r>
    </w:p>
    <w:p w14:paraId="5CA58F8C" w14:textId="77777777" w:rsidR="00832FF3" w:rsidRPr="00832FF3" w:rsidRDefault="00832FF3" w:rsidP="00AE7FA9">
      <w:pPr>
        <w:widowControl w:val="0"/>
        <w:autoSpaceDE w:val="0"/>
        <w:autoSpaceDN w:val="0"/>
        <w:spacing w:before="111"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b/>
          <w:kern w:val="0"/>
          <w:szCs w:val="22"/>
          <w14:ligatures w14:val="none"/>
        </w:rPr>
        <w:t>Figure</w:t>
      </w:r>
      <w:r w:rsidRPr="00832FF3">
        <w:rPr>
          <w:rFonts w:ascii="Times New Roman" w:eastAsia="Times New Roman" w:hAnsi="Times New Roman" w:cs="Times New Roman"/>
          <w:b/>
          <w:spacing w:val="-8"/>
          <w:kern w:val="0"/>
          <w:szCs w:val="22"/>
          <w14:ligatures w14:val="none"/>
        </w:rPr>
        <w:t xml:space="preserve"> </w:t>
      </w:r>
      <w:r w:rsidRPr="00832FF3">
        <w:rPr>
          <w:rFonts w:ascii="Times New Roman" w:eastAsia="Times New Roman" w:hAnsi="Times New Roman" w:cs="Times New Roman"/>
          <w:b/>
          <w:kern w:val="0"/>
          <w:szCs w:val="22"/>
          <w14:ligatures w14:val="none"/>
        </w:rPr>
        <w:t>2:</w:t>
      </w:r>
      <w:r w:rsidRPr="00832FF3">
        <w:rPr>
          <w:rFonts w:ascii="Times New Roman" w:eastAsia="Times New Roman" w:hAnsi="Times New Roman" w:cs="Times New Roman"/>
          <w:b/>
          <w:spacing w:val="-7"/>
          <w:kern w:val="0"/>
          <w:szCs w:val="22"/>
          <w14:ligatures w14:val="none"/>
        </w:rPr>
        <w:t xml:space="preserve"> </w:t>
      </w:r>
      <w:r w:rsidRPr="00832FF3">
        <w:rPr>
          <w:rFonts w:ascii="Times New Roman" w:eastAsia="Times New Roman" w:hAnsi="Times New Roman" w:cs="Times New Roman"/>
          <w:kern w:val="0"/>
          <w:szCs w:val="22"/>
          <w14:ligatures w14:val="none"/>
        </w:rPr>
        <w:t>SEM</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kern w:val="0"/>
          <w:szCs w:val="22"/>
          <w14:ligatures w14:val="none"/>
        </w:rPr>
        <w:t>path</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kern w:val="0"/>
          <w:szCs w:val="22"/>
          <w14:ligatures w14:val="none"/>
        </w:rPr>
        <w:t>coefficient</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kern w:val="0"/>
          <w:szCs w:val="22"/>
          <w14:ligatures w14:val="none"/>
        </w:rPr>
        <w:t>of</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spacing w:val="-2"/>
          <w:kern w:val="0"/>
          <w:szCs w:val="22"/>
          <w14:ligatures w14:val="none"/>
        </w:rPr>
        <w:t>variables</w:t>
      </w:r>
    </w:p>
    <w:p w14:paraId="5680CBAB" w14:textId="77777777" w:rsidR="00832FF3" w:rsidRPr="00832FF3" w:rsidRDefault="00832FF3" w:rsidP="00AE7FA9">
      <w:pPr>
        <w:widowControl w:val="0"/>
        <w:autoSpaceDE w:val="0"/>
        <w:autoSpaceDN w:val="0"/>
        <w:spacing w:before="19" w:after="0" w:line="240" w:lineRule="auto"/>
        <w:rPr>
          <w:rFonts w:ascii="Times New Roman" w:eastAsia="Times New Roman" w:hAnsi="Times New Roman" w:cs="Times New Roman"/>
          <w:kern w:val="0"/>
          <w14:ligatures w14:val="none"/>
        </w:rPr>
      </w:pPr>
    </w:p>
    <w:p w14:paraId="4E0A94D8" w14:textId="5B84A9C9" w:rsidR="00832FF3" w:rsidRPr="00832FF3" w:rsidRDefault="00832FF3" w:rsidP="00AE7FA9">
      <w:pPr>
        <w:widowControl w:val="0"/>
        <w:numPr>
          <w:ilvl w:val="0"/>
          <w:numId w:val="62"/>
        </w:numPr>
        <w:tabs>
          <w:tab w:val="left" w:pos="900"/>
        </w:tabs>
        <w:autoSpaceDE w:val="0"/>
        <w:autoSpaceDN w:val="0"/>
        <w:spacing w:before="79" w:after="0" w:line="240" w:lineRule="auto"/>
        <w:ind w:right="979"/>
        <w:outlineLvl w:val="0"/>
        <w:rPr>
          <w:rFonts w:ascii="Times New Roman" w:eastAsia="Times New Roman" w:hAnsi="Times New Roman" w:cs="Times New Roman"/>
          <w:kern w:val="0"/>
          <w14:ligatures w14:val="none"/>
        </w:rPr>
      </w:pPr>
      <w:r w:rsidRPr="00832FF3">
        <w:rPr>
          <w:rFonts w:ascii="Times New Roman" w:eastAsia="Times New Roman" w:hAnsi="Times New Roman" w:cs="Times New Roman"/>
          <w:b/>
          <w:bCs/>
          <w:kern w:val="0"/>
          <w14:ligatures w14:val="none"/>
        </w:rPr>
        <w:t>Conclusion</w:t>
      </w:r>
      <w:r w:rsidRPr="00832FF3">
        <w:rPr>
          <w:rFonts w:ascii="Times New Roman" w:eastAsia="Times New Roman" w:hAnsi="Times New Roman" w:cs="Times New Roman"/>
          <w:b/>
          <w:bCs/>
          <w:spacing w:val="-9"/>
          <w:kern w:val="0"/>
          <w14:ligatures w14:val="none"/>
        </w:rPr>
        <w:t xml:space="preserve"> </w:t>
      </w:r>
      <w:r w:rsidRPr="00832FF3">
        <w:rPr>
          <w:rFonts w:ascii="Times New Roman" w:eastAsia="Times New Roman" w:hAnsi="Times New Roman" w:cs="Times New Roman"/>
          <w:b/>
          <w:bCs/>
          <w:kern w:val="0"/>
          <w14:ligatures w14:val="none"/>
        </w:rPr>
        <w:t>and</w:t>
      </w:r>
      <w:r w:rsidRPr="00832FF3">
        <w:rPr>
          <w:rFonts w:ascii="Times New Roman" w:eastAsia="Times New Roman" w:hAnsi="Times New Roman" w:cs="Times New Roman"/>
          <w:b/>
          <w:bCs/>
          <w:spacing w:val="-9"/>
          <w:kern w:val="0"/>
          <w14:ligatures w14:val="none"/>
        </w:rPr>
        <w:t xml:space="preserve"> </w:t>
      </w:r>
      <w:proofErr w:type="spellStart"/>
      <w:r w:rsidRPr="00832FF3">
        <w:rPr>
          <w:rFonts w:ascii="Times New Roman" w:eastAsia="Times New Roman" w:hAnsi="Times New Roman" w:cs="Times New Roman"/>
          <w:b/>
          <w:bCs/>
          <w:spacing w:val="-2"/>
          <w:kern w:val="0"/>
          <w14:ligatures w14:val="none"/>
        </w:rPr>
        <w:t>Recommendations</w:t>
      </w:r>
      <w:r w:rsidRPr="00832FF3">
        <w:rPr>
          <w:rFonts w:ascii="Times New Roman" w:eastAsia="Times New Roman" w:hAnsi="Times New Roman" w:cs="Times New Roman"/>
          <w:kern w:val="0"/>
          <w14:ligatures w14:val="none"/>
        </w:rPr>
        <w:t>The</w:t>
      </w:r>
      <w:proofErr w:type="spellEnd"/>
      <w:r w:rsidRPr="00832FF3">
        <w:rPr>
          <w:rFonts w:ascii="Times New Roman" w:eastAsia="Times New Roman" w:hAnsi="Times New Roman" w:cs="Times New Roman"/>
          <w:kern w:val="0"/>
          <w14:ligatures w14:val="none"/>
        </w:rPr>
        <w:t xml:space="preserve"> findings indicate that digital technologies such as artificial intelligence and data analytics, Internet of Things (IoT) monitoring systems, and digital twin or cyber-physical systems significantly improve product and process quality as well as cost efficiency in manufacturing operations. These findings reinforce the central assumptions of the Resource-Based View (RBV) proposed by Barney (1991) and the</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Dynamic</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Capabilities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Theory</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advanced</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by</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Teece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et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al.</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(1997).</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Specifically,</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research</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investigated the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effects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artificial</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intelligence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data</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analytics,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Internet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Things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monitoring</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systems,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digital twin or cyber-physical systems on product and process quality as well as cost efficiency.</w:t>
      </w:r>
    </w:p>
    <w:p w14:paraId="06FCF365" w14:textId="77777777" w:rsidR="00832FF3" w:rsidRPr="00832FF3" w:rsidRDefault="00832FF3" w:rsidP="00AE7FA9">
      <w:pPr>
        <w:widowControl w:val="0"/>
        <w:autoSpaceDE w:val="0"/>
        <w:autoSpaceDN w:val="0"/>
        <w:spacing w:after="0" w:line="240" w:lineRule="auto"/>
        <w:ind w:right="982"/>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findings demonstrate that the integration of artificial intelligence and advanced data analytics improves production optimization, predictive maintenance, and sustainability decision-making processes.</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Likewise,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IoT-based</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monitoring</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systems</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enable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real-time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tracking</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equipment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performance and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resource</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utilization,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thereby</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enhancing</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operational</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efficiency</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environmental</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monitoring.</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 xml:space="preserve">Digital twin and cyber-physical systems also contribute to improved operational outcomes by allowing organizations to simulate </w:t>
      </w:r>
      <w:r w:rsidRPr="00832FF3">
        <w:rPr>
          <w:rFonts w:ascii="Times New Roman" w:eastAsia="Times New Roman" w:hAnsi="Times New Roman" w:cs="Times New Roman"/>
          <w:kern w:val="0"/>
          <w14:ligatures w14:val="none"/>
        </w:rPr>
        <w:lastRenderedPageBreak/>
        <w:t>production processes and test operational improvements before implementation. Collectively, these technologies support more efficient, sustainable, and adaptive manufacturing systems.</w:t>
      </w:r>
    </w:p>
    <w:p w14:paraId="311223C3" w14:textId="77777777" w:rsidR="00832FF3" w:rsidRPr="00832FF3" w:rsidRDefault="00832FF3" w:rsidP="00AE7FA9">
      <w:pPr>
        <w:widowControl w:val="0"/>
        <w:autoSpaceDE w:val="0"/>
        <w:autoSpaceDN w:val="0"/>
        <w:spacing w:before="2" w:after="0" w:line="240" w:lineRule="auto"/>
        <w:ind w:right="983"/>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 results further confirm that digital technologies play a significant role in improving both product quality and cost efficiency within manufacturing firms. Firms that adopt these technologies are better able to minimize production defects, optimize resource utilization, and reduce operational costs. Consequently,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transformation emerges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 critical driver</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sustainable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operational performance in modern manufacturing environments.</w:t>
      </w:r>
    </w:p>
    <w:p w14:paraId="22FDF749" w14:textId="646A00DD" w:rsidR="00832FF3" w:rsidRPr="00832FF3" w:rsidRDefault="00832FF3" w:rsidP="00AE7FA9">
      <w:pPr>
        <w:widowControl w:val="0"/>
        <w:autoSpaceDE w:val="0"/>
        <w:autoSpaceDN w:val="0"/>
        <w:spacing w:before="1" w:after="0" w:line="240" w:lineRule="auto"/>
        <w:ind w:right="983"/>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study</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concludes</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that</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adoption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is</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essential</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for</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firms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seeking to</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remain</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competitive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while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pursuing</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sustainability</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circular</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economy</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objectives.</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Organizations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that</w:t>
      </w:r>
      <w:r w:rsidR="00AE7FA9">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kern w:val="0"/>
          <w14:ligatures w14:val="none"/>
        </w:rPr>
        <w:t>strategically</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integrate</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39"/>
          <w:kern w:val="0"/>
          <w14:ligatures w14:val="none"/>
        </w:rPr>
        <w:t xml:space="preserve"> </w:t>
      </w:r>
      <w:r w:rsidRPr="00832FF3">
        <w:rPr>
          <w:rFonts w:ascii="Times New Roman" w:eastAsia="Times New Roman" w:hAnsi="Times New Roman" w:cs="Times New Roman"/>
          <w:kern w:val="0"/>
          <w14:ligatures w14:val="none"/>
        </w:rPr>
        <w:t>solutions</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into</w:t>
      </w:r>
      <w:r w:rsidRPr="00832FF3">
        <w:rPr>
          <w:rFonts w:ascii="Times New Roman" w:eastAsia="Times New Roman" w:hAnsi="Times New Roman" w:cs="Times New Roman"/>
          <w:spacing w:val="35"/>
          <w:kern w:val="0"/>
          <w14:ligatures w14:val="none"/>
        </w:rPr>
        <w:t xml:space="preserve"> </w:t>
      </w:r>
      <w:r w:rsidRPr="00832FF3">
        <w:rPr>
          <w:rFonts w:ascii="Times New Roman" w:eastAsia="Times New Roman" w:hAnsi="Times New Roman" w:cs="Times New Roman"/>
          <w:kern w:val="0"/>
          <w14:ligatures w14:val="none"/>
        </w:rPr>
        <w:t>their</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operational</w:t>
      </w:r>
      <w:r w:rsidRPr="00832FF3">
        <w:rPr>
          <w:rFonts w:ascii="Times New Roman" w:eastAsia="Times New Roman" w:hAnsi="Times New Roman" w:cs="Times New Roman"/>
          <w:spacing w:val="38"/>
          <w:kern w:val="0"/>
          <w14:ligatures w14:val="none"/>
        </w:rPr>
        <w:t xml:space="preserve"> </w:t>
      </w:r>
      <w:r w:rsidRPr="00832FF3">
        <w:rPr>
          <w:rFonts w:ascii="Times New Roman" w:eastAsia="Times New Roman" w:hAnsi="Times New Roman" w:cs="Times New Roman"/>
          <w:kern w:val="0"/>
          <w14:ligatures w14:val="none"/>
        </w:rPr>
        <w:t>processes</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are</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more</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likely</w:t>
      </w:r>
      <w:r w:rsidRPr="00832FF3">
        <w:rPr>
          <w:rFonts w:ascii="Times New Roman" w:eastAsia="Times New Roman" w:hAnsi="Times New Roman" w:cs="Times New Roman"/>
          <w:spacing w:val="38"/>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achieve improved productivity, reduced environmental impact, and enhanced long-term competitiveness.</w:t>
      </w:r>
    </w:p>
    <w:p w14:paraId="04047447" w14:textId="77777777" w:rsidR="00832FF3" w:rsidRPr="00832FF3" w:rsidRDefault="00832FF3" w:rsidP="00AE7FA9">
      <w:pPr>
        <w:widowControl w:val="0"/>
        <w:autoSpaceDE w:val="0"/>
        <w:autoSpaceDN w:val="0"/>
        <w:spacing w:after="0" w:line="240" w:lineRule="auto"/>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spacing w:val="-2"/>
          <w:kern w:val="0"/>
          <w14:ligatures w14:val="none"/>
        </w:rPr>
        <w:t>Recommendations</w:t>
      </w:r>
    </w:p>
    <w:p w14:paraId="39ED8995" w14:textId="77777777" w:rsidR="00832FF3" w:rsidRPr="00832FF3" w:rsidRDefault="00832FF3" w:rsidP="00AE7FA9">
      <w:pPr>
        <w:widowControl w:val="0"/>
        <w:autoSpaceDE w:val="0"/>
        <w:autoSpaceDN w:val="0"/>
        <w:spacing w:after="0" w:line="240" w:lineRule="auto"/>
        <w:jc w:val="both"/>
        <w:rPr>
          <w:rFonts w:ascii="Times New Roman" w:eastAsia="Times New Roman" w:hAnsi="Times New Roman" w:cs="Times New Roman"/>
          <w:b/>
          <w:kern w:val="0"/>
          <w14:ligatures w14:val="none"/>
        </w:rPr>
      </w:pPr>
    </w:p>
    <w:p w14:paraId="68C3DF09" w14:textId="77777777" w:rsidR="00832FF3" w:rsidRPr="00832FF3" w:rsidRDefault="00832FF3" w:rsidP="00AE7FA9">
      <w:pPr>
        <w:widowControl w:val="0"/>
        <w:numPr>
          <w:ilvl w:val="1"/>
          <w:numId w:val="62"/>
        </w:numPr>
        <w:tabs>
          <w:tab w:val="left" w:pos="895"/>
          <w:tab w:val="left" w:pos="900"/>
        </w:tabs>
        <w:autoSpaceDE w:val="0"/>
        <w:autoSpaceDN w:val="0"/>
        <w:spacing w:after="0" w:line="240" w:lineRule="auto"/>
        <w:ind w:right="991" w:hanging="488"/>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Manufacturing firms should prioritize investments in artificial intelligence and data analytics systems that support data-driven decision making in production processes. These technologies enable organizations to optimize operational efficiency, reduce waste, and improve product quality through predictive analytics and real-time performance monitoring.</w:t>
      </w:r>
    </w:p>
    <w:p w14:paraId="3D50482B" w14:textId="77777777" w:rsidR="00832FF3" w:rsidRPr="00832FF3" w:rsidRDefault="00832FF3" w:rsidP="00AE7FA9">
      <w:pPr>
        <w:widowControl w:val="0"/>
        <w:numPr>
          <w:ilvl w:val="1"/>
          <w:numId w:val="62"/>
        </w:numPr>
        <w:tabs>
          <w:tab w:val="left" w:pos="895"/>
          <w:tab w:val="left" w:pos="900"/>
        </w:tabs>
        <w:autoSpaceDE w:val="0"/>
        <w:autoSpaceDN w:val="0"/>
        <w:spacing w:after="0" w:line="240" w:lineRule="auto"/>
        <w:ind w:right="980" w:hanging="555"/>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2"/>
          <w:kern w:val="0"/>
          <w:szCs w:val="22"/>
          <w14:ligatures w14:val="none"/>
        </w:rPr>
        <w:t>Managers</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spacing w:val="-2"/>
          <w:kern w:val="0"/>
          <w:szCs w:val="22"/>
          <w14:ligatures w14:val="none"/>
        </w:rPr>
        <w:t>in manufacturing</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organizations</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spacing w:val="-2"/>
          <w:kern w:val="0"/>
          <w:szCs w:val="22"/>
          <w14:ligatures w14:val="none"/>
        </w:rPr>
        <w:t>should</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implement IoT-based</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spacing w:val="-2"/>
          <w:kern w:val="0"/>
          <w:szCs w:val="22"/>
          <w14:ligatures w14:val="none"/>
        </w:rPr>
        <w:t>monitoring</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 xml:space="preserve">systems across </w:t>
      </w:r>
      <w:r w:rsidRPr="00832FF3">
        <w:rPr>
          <w:rFonts w:ascii="Times New Roman" w:eastAsia="Times New Roman" w:hAnsi="Times New Roman" w:cs="Times New Roman"/>
          <w:kern w:val="0"/>
          <w:szCs w:val="22"/>
          <w14:ligatures w14:val="none"/>
        </w:rPr>
        <w:t>production facilities in order to improve resource tracking, equipment monitoring, and environmental performance assessment.</w:t>
      </w:r>
    </w:p>
    <w:p w14:paraId="4BED62AD" w14:textId="77777777" w:rsidR="00832FF3" w:rsidRPr="00832FF3" w:rsidRDefault="00832FF3" w:rsidP="00AE7FA9">
      <w:pPr>
        <w:widowControl w:val="0"/>
        <w:numPr>
          <w:ilvl w:val="1"/>
          <w:numId w:val="62"/>
        </w:numPr>
        <w:tabs>
          <w:tab w:val="left" w:pos="895"/>
          <w:tab w:val="left" w:pos="900"/>
        </w:tabs>
        <w:autoSpaceDE w:val="0"/>
        <w:autoSpaceDN w:val="0"/>
        <w:spacing w:before="1" w:after="0" w:line="240" w:lineRule="auto"/>
        <w:ind w:right="986" w:hanging="620"/>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Organizations should increase the adoption of digital twin and cyber-physical technologies that enable simulation and modelling of manufacturing processes before physical implementation.</w:t>
      </w:r>
    </w:p>
    <w:p w14:paraId="6CEF6481" w14:textId="77777777" w:rsidR="00832FF3" w:rsidRPr="00832FF3" w:rsidRDefault="00832FF3" w:rsidP="00AE7FA9">
      <w:pPr>
        <w:widowControl w:val="0"/>
        <w:numPr>
          <w:ilvl w:val="1"/>
          <w:numId w:val="62"/>
        </w:numPr>
        <w:tabs>
          <w:tab w:val="left" w:pos="896"/>
          <w:tab w:val="left" w:pos="900"/>
        </w:tabs>
        <w:autoSpaceDE w:val="0"/>
        <w:autoSpaceDN w:val="0"/>
        <w:spacing w:after="0" w:line="240" w:lineRule="auto"/>
        <w:ind w:right="994" w:hanging="608"/>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Manufacturing firms should strengthen employee digital competencies through continuous training and capacity-building </w:t>
      </w:r>
      <w:proofErr w:type="spellStart"/>
      <w:r w:rsidRPr="00832FF3">
        <w:rPr>
          <w:rFonts w:ascii="Times New Roman" w:eastAsia="Times New Roman" w:hAnsi="Times New Roman" w:cs="Times New Roman"/>
          <w:kern w:val="0"/>
          <w:szCs w:val="22"/>
          <w14:ligatures w14:val="none"/>
        </w:rPr>
        <w:t>programmes</w:t>
      </w:r>
      <w:proofErr w:type="spellEnd"/>
      <w:r w:rsidRPr="00832FF3">
        <w:rPr>
          <w:rFonts w:ascii="Times New Roman" w:eastAsia="Times New Roman" w:hAnsi="Times New Roman" w:cs="Times New Roman"/>
          <w:kern w:val="0"/>
          <w:szCs w:val="22"/>
          <w14:ligatures w14:val="none"/>
        </w:rPr>
        <w:t xml:space="preserve"> focused on emerging digital technologies.</w:t>
      </w:r>
    </w:p>
    <w:p w14:paraId="36EFAB04" w14:textId="77777777" w:rsidR="00832FF3" w:rsidRPr="00832FF3" w:rsidRDefault="00832FF3" w:rsidP="00AE7FA9">
      <w:pPr>
        <w:widowControl w:val="0"/>
        <w:numPr>
          <w:ilvl w:val="1"/>
          <w:numId w:val="62"/>
        </w:numPr>
        <w:tabs>
          <w:tab w:val="left" w:pos="900"/>
        </w:tabs>
        <w:autoSpaceDE w:val="0"/>
        <w:autoSpaceDN w:val="0"/>
        <w:spacing w:before="1" w:after="0" w:line="240" w:lineRule="auto"/>
        <w:ind w:right="986" w:hanging="540"/>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Management should develop comprehensive digital transformation strategies that align technological investments with sustainability and operational performance objectives.</w:t>
      </w:r>
    </w:p>
    <w:p w14:paraId="23807F90" w14:textId="77777777" w:rsidR="00832FF3" w:rsidRPr="00832FF3" w:rsidRDefault="00832FF3" w:rsidP="00AE7FA9">
      <w:pPr>
        <w:widowControl w:val="0"/>
        <w:numPr>
          <w:ilvl w:val="1"/>
          <w:numId w:val="62"/>
        </w:numPr>
        <w:tabs>
          <w:tab w:val="left" w:pos="896"/>
          <w:tab w:val="left" w:pos="900"/>
        </w:tabs>
        <w:autoSpaceDE w:val="0"/>
        <w:autoSpaceDN w:val="0"/>
        <w:spacing w:after="0" w:line="240" w:lineRule="auto"/>
        <w:ind w:right="984" w:hanging="608"/>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Government</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agencies</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and</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industry</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associations</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should</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provide</w:t>
      </w:r>
      <w:r w:rsidRPr="00832FF3">
        <w:rPr>
          <w:rFonts w:ascii="Times New Roman" w:eastAsia="Times New Roman" w:hAnsi="Times New Roman" w:cs="Times New Roman"/>
          <w:spacing w:val="-13"/>
          <w:kern w:val="0"/>
          <w:szCs w:val="22"/>
          <w14:ligatures w14:val="none"/>
        </w:rPr>
        <w:t xml:space="preserve"> </w:t>
      </w:r>
      <w:r w:rsidRPr="00832FF3">
        <w:rPr>
          <w:rFonts w:ascii="Times New Roman" w:eastAsia="Times New Roman" w:hAnsi="Times New Roman" w:cs="Times New Roman"/>
          <w:kern w:val="0"/>
          <w:szCs w:val="22"/>
          <w14:ligatures w14:val="none"/>
        </w:rPr>
        <w:t>policy</w:t>
      </w:r>
      <w:r w:rsidRPr="00832FF3">
        <w:rPr>
          <w:rFonts w:ascii="Times New Roman" w:eastAsia="Times New Roman" w:hAnsi="Times New Roman" w:cs="Times New Roman"/>
          <w:spacing w:val="-12"/>
          <w:kern w:val="0"/>
          <w:szCs w:val="22"/>
          <w14:ligatures w14:val="none"/>
        </w:rPr>
        <w:t xml:space="preserve"> </w:t>
      </w:r>
      <w:r w:rsidRPr="00832FF3">
        <w:rPr>
          <w:rFonts w:ascii="Times New Roman" w:eastAsia="Times New Roman" w:hAnsi="Times New Roman" w:cs="Times New Roman"/>
          <w:kern w:val="0"/>
          <w:szCs w:val="22"/>
          <w14:ligatures w14:val="none"/>
        </w:rPr>
        <w:t>support</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and</w:t>
      </w:r>
      <w:r w:rsidRPr="00832FF3">
        <w:rPr>
          <w:rFonts w:ascii="Times New Roman" w:eastAsia="Times New Roman" w:hAnsi="Times New Roman" w:cs="Times New Roman"/>
          <w:spacing w:val="-12"/>
          <w:kern w:val="0"/>
          <w:szCs w:val="22"/>
          <w14:ligatures w14:val="none"/>
        </w:rPr>
        <w:t xml:space="preserve"> </w:t>
      </w:r>
      <w:r w:rsidRPr="00832FF3">
        <w:rPr>
          <w:rFonts w:ascii="Times New Roman" w:eastAsia="Times New Roman" w:hAnsi="Times New Roman" w:cs="Times New Roman"/>
          <w:kern w:val="0"/>
          <w:szCs w:val="22"/>
          <w14:ligatures w14:val="none"/>
        </w:rPr>
        <w:t>incentives</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that encourage the adoption of advanced digital technologies within the manufacturing sector.</w:t>
      </w:r>
    </w:p>
    <w:p w14:paraId="13AA7941" w14:textId="77777777" w:rsidR="00832FF3" w:rsidRPr="00832FF3" w:rsidRDefault="00832FF3" w:rsidP="00AE7FA9">
      <w:pPr>
        <w:widowControl w:val="0"/>
        <w:numPr>
          <w:ilvl w:val="1"/>
          <w:numId w:val="62"/>
        </w:numPr>
        <w:tabs>
          <w:tab w:val="left" w:pos="895"/>
          <w:tab w:val="left" w:pos="900"/>
        </w:tabs>
        <w:autoSpaceDE w:val="0"/>
        <w:autoSpaceDN w:val="0"/>
        <w:spacing w:after="0" w:line="240" w:lineRule="auto"/>
        <w:ind w:right="991" w:hanging="675"/>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Manufacturing firms should foster collaborative partnerships with technology providers, academic institutions, and research organizations in order to facilitate knowledge sharing and access to advanced digital innovations.</w:t>
      </w:r>
    </w:p>
    <w:p w14:paraId="59455C5F" w14:textId="77777777" w:rsidR="00832FF3" w:rsidRPr="00832FF3" w:rsidRDefault="00832FF3" w:rsidP="00AE7FA9">
      <w:pPr>
        <w:widowControl w:val="0"/>
        <w:numPr>
          <w:ilvl w:val="1"/>
          <w:numId w:val="62"/>
        </w:numPr>
        <w:tabs>
          <w:tab w:val="left" w:pos="895"/>
          <w:tab w:val="left" w:pos="900"/>
        </w:tabs>
        <w:autoSpaceDE w:val="0"/>
        <w:autoSpaceDN w:val="0"/>
        <w:spacing w:before="79" w:after="0" w:line="240" w:lineRule="auto"/>
        <w:ind w:right="994" w:hanging="740"/>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Finally, organizations should integrate digital technologies into broader circular economy strategies aimed at minimizing resource consumption and promoting sustainable manufacturing </w:t>
      </w:r>
      <w:r w:rsidRPr="00832FF3">
        <w:rPr>
          <w:rFonts w:ascii="Times New Roman" w:eastAsia="Times New Roman" w:hAnsi="Times New Roman" w:cs="Times New Roman"/>
          <w:spacing w:val="-2"/>
          <w:kern w:val="0"/>
          <w:szCs w:val="22"/>
          <w14:ligatures w14:val="none"/>
        </w:rPr>
        <w:t>practices.</w:t>
      </w:r>
    </w:p>
    <w:p w14:paraId="54F598AE"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p>
    <w:p w14:paraId="6CEF21D3" w14:textId="77777777" w:rsidR="00832FF3" w:rsidRPr="00832FF3" w:rsidRDefault="00832FF3" w:rsidP="00AE7FA9">
      <w:pPr>
        <w:widowControl w:val="0"/>
        <w:autoSpaceDE w:val="0"/>
        <w:autoSpaceDN w:val="0"/>
        <w:spacing w:after="0" w:line="240" w:lineRule="auto"/>
        <w:outlineLvl w:val="0"/>
        <w:rPr>
          <w:rFonts w:ascii="Times New Roman" w:eastAsia="Times New Roman" w:hAnsi="Times New Roman" w:cs="Times New Roman"/>
          <w:b/>
          <w:bCs/>
          <w:kern w:val="0"/>
          <w14:ligatures w14:val="none"/>
        </w:rPr>
      </w:pPr>
      <w:r w:rsidRPr="00832FF3">
        <w:rPr>
          <w:rFonts w:ascii="Times New Roman" w:eastAsia="Times New Roman" w:hAnsi="Times New Roman" w:cs="Times New Roman"/>
          <w:b/>
          <w:bCs/>
          <w:spacing w:val="-2"/>
          <w:kern w:val="0"/>
          <w14:ligatures w14:val="none"/>
        </w:rPr>
        <w:t>References</w:t>
      </w:r>
    </w:p>
    <w:p w14:paraId="2CF19AF5" w14:textId="77777777" w:rsidR="00832FF3" w:rsidRPr="00832FF3" w:rsidRDefault="00832FF3" w:rsidP="00AE7FA9">
      <w:pPr>
        <w:widowControl w:val="0"/>
        <w:autoSpaceDE w:val="0"/>
        <w:autoSpaceDN w:val="0"/>
        <w:spacing w:before="43" w:after="0" w:line="240" w:lineRule="auto"/>
        <w:rPr>
          <w:rFonts w:ascii="Times New Roman" w:eastAsia="Times New Roman" w:hAnsi="Times New Roman" w:cs="Times New Roman"/>
          <w:b/>
          <w:kern w:val="0"/>
          <w14:ligatures w14:val="none"/>
        </w:rPr>
      </w:pPr>
    </w:p>
    <w:p w14:paraId="4BD273DB" w14:textId="77777777" w:rsidR="00832FF3" w:rsidRPr="00832FF3" w:rsidRDefault="00832FF3" w:rsidP="00AE7FA9">
      <w:pPr>
        <w:widowControl w:val="0"/>
        <w:autoSpaceDE w:val="0"/>
        <w:autoSpaceDN w:val="0"/>
        <w:spacing w:before="1" w:after="0" w:line="240" w:lineRule="auto"/>
        <w:ind w:right="988"/>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Adetowubo</w:t>
      </w:r>
      <w:proofErr w:type="spellEnd"/>
      <w:r w:rsidRPr="00832FF3">
        <w:rPr>
          <w:rFonts w:ascii="Times New Roman" w:eastAsia="Times New Roman" w:hAnsi="Times New Roman" w:cs="Times New Roman"/>
          <w:kern w:val="0"/>
          <w14:ligatures w14:val="none"/>
        </w:rPr>
        <w:t xml:space="preserve">-King, S. A., Oladipo, O. T., &amp; </w:t>
      </w:r>
      <w:proofErr w:type="spellStart"/>
      <w:r w:rsidRPr="00832FF3">
        <w:rPr>
          <w:rFonts w:ascii="Times New Roman" w:eastAsia="Times New Roman" w:hAnsi="Times New Roman" w:cs="Times New Roman"/>
          <w:kern w:val="0"/>
          <w14:ligatures w14:val="none"/>
        </w:rPr>
        <w:t>Olatoye</w:t>
      </w:r>
      <w:proofErr w:type="spellEnd"/>
      <w:r w:rsidRPr="00832FF3">
        <w:rPr>
          <w:rFonts w:ascii="Times New Roman" w:eastAsia="Times New Roman" w:hAnsi="Times New Roman" w:cs="Times New Roman"/>
          <w:kern w:val="0"/>
          <w14:ligatures w14:val="none"/>
        </w:rPr>
        <w:t xml:space="preserve">, A. O. (2023). Strengthening the Impact of Technological Changes on the Performance of Small and Medium Enterprises in Lagos State, Nigeria: Strengthening the Impact of Technological Changes on the Performance of Small and Medium Enterprises. </w:t>
      </w:r>
      <w:r w:rsidRPr="00832FF3">
        <w:rPr>
          <w:rFonts w:ascii="Times New Roman" w:eastAsia="Times New Roman" w:hAnsi="Times New Roman" w:cs="Times New Roman"/>
          <w:i/>
          <w:kern w:val="0"/>
          <w14:ligatures w14:val="none"/>
        </w:rPr>
        <w:t>Covenant Journal of Business and Social Sciences</w:t>
      </w:r>
      <w:r w:rsidRPr="00832FF3">
        <w:rPr>
          <w:rFonts w:ascii="Times New Roman" w:eastAsia="Times New Roman" w:hAnsi="Times New Roman" w:cs="Times New Roman"/>
          <w:kern w:val="0"/>
          <w14:ligatures w14:val="none"/>
        </w:rPr>
        <w:t>, 16-16.</w:t>
      </w:r>
    </w:p>
    <w:p w14:paraId="63B38401" w14:textId="77777777" w:rsidR="00832FF3" w:rsidRPr="00832FF3" w:rsidRDefault="00832FF3" w:rsidP="00AE7FA9">
      <w:pPr>
        <w:widowControl w:val="0"/>
        <w:autoSpaceDE w:val="0"/>
        <w:autoSpaceDN w:val="0"/>
        <w:spacing w:after="0" w:line="240" w:lineRule="auto"/>
        <w:ind w:right="980"/>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spacing w:val="-2"/>
          <w:kern w:val="0"/>
          <w:szCs w:val="22"/>
          <w14:ligatures w14:val="none"/>
        </w:rPr>
        <w:lastRenderedPageBreak/>
        <w:t>Adewusi,</w:t>
      </w:r>
      <w:r w:rsidRPr="00832FF3">
        <w:rPr>
          <w:rFonts w:ascii="Times New Roman" w:eastAsia="Times New Roman" w:hAnsi="Times New Roman" w:cs="Times New Roman"/>
          <w:spacing w:val="-13"/>
          <w:kern w:val="0"/>
          <w:szCs w:val="22"/>
          <w14:ligatures w14:val="none"/>
        </w:rPr>
        <w:t xml:space="preserve"> </w:t>
      </w:r>
      <w:r w:rsidRPr="00832FF3">
        <w:rPr>
          <w:rFonts w:ascii="Times New Roman" w:eastAsia="Times New Roman" w:hAnsi="Times New Roman" w:cs="Times New Roman"/>
          <w:spacing w:val="-2"/>
          <w:kern w:val="0"/>
          <w:szCs w:val="22"/>
          <w14:ligatures w14:val="none"/>
        </w:rPr>
        <w:t>B.</w:t>
      </w:r>
      <w:r w:rsidRPr="00832FF3">
        <w:rPr>
          <w:rFonts w:ascii="Times New Roman" w:eastAsia="Times New Roman" w:hAnsi="Times New Roman" w:cs="Times New Roman"/>
          <w:spacing w:val="-13"/>
          <w:kern w:val="0"/>
          <w:szCs w:val="22"/>
          <w14:ligatures w14:val="none"/>
        </w:rPr>
        <w:t xml:space="preserve"> </w:t>
      </w:r>
      <w:r w:rsidRPr="00832FF3">
        <w:rPr>
          <w:rFonts w:ascii="Times New Roman" w:eastAsia="Times New Roman" w:hAnsi="Times New Roman" w:cs="Times New Roman"/>
          <w:spacing w:val="-2"/>
          <w:kern w:val="0"/>
          <w:szCs w:val="22"/>
          <w14:ligatures w14:val="none"/>
        </w:rPr>
        <w:t>A.,</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spacing w:val="-2"/>
          <w:kern w:val="0"/>
          <w:szCs w:val="22"/>
          <w14:ligatures w14:val="none"/>
        </w:rPr>
        <w:t>&amp;</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spacing w:val="-2"/>
          <w:kern w:val="0"/>
          <w:szCs w:val="22"/>
          <w14:ligatures w14:val="none"/>
        </w:rPr>
        <w:t>Jegede,</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spacing w:val="-2"/>
          <w:kern w:val="0"/>
          <w:szCs w:val="22"/>
          <w14:ligatures w14:val="none"/>
        </w:rPr>
        <w:t>O.</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O.</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(2022).</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spacing w:val="-2"/>
          <w:kern w:val="0"/>
          <w:szCs w:val="22"/>
          <w14:ligatures w14:val="none"/>
        </w:rPr>
        <w:t>Assessing Research</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spacing w:val="-2"/>
          <w:kern w:val="0"/>
          <w:szCs w:val="22"/>
          <w14:ligatures w14:val="none"/>
        </w:rPr>
        <w:t>Collaboration</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for</w:t>
      </w:r>
      <w:r w:rsidRPr="00832FF3">
        <w:rPr>
          <w:rFonts w:ascii="Times New Roman" w:eastAsia="Times New Roman" w:hAnsi="Times New Roman" w:cs="Times New Roman"/>
          <w:spacing w:val="-12"/>
          <w:kern w:val="0"/>
          <w:szCs w:val="22"/>
          <w14:ligatures w14:val="none"/>
        </w:rPr>
        <w:t xml:space="preserve"> </w:t>
      </w:r>
      <w:r w:rsidRPr="00832FF3">
        <w:rPr>
          <w:rFonts w:ascii="Times New Roman" w:eastAsia="Times New Roman" w:hAnsi="Times New Roman" w:cs="Times New Roman"/>
          <w:spacing w:val="-2"/>
          <w:kern w:val="0"/>
          <w:szCs w:val="22"/>
          <w14:ligatures w14:val="none"/>
        </w:rPr>
        <w:t xml:space="preserve">Technological Innovations </w:t>
      </w:r>
      <w:r w:rsidRPr="00832FF3">
        <w:rPr>
          <w:rFonts w:ascii="Times New Roman" w:eastAsia="Times New Roman" w:hAnsi="Times New Roman" w:cs="Times New Roman"/>
          <w:kern w:val="0"/>
          <w:szCs w:val="22"/>
          <w14:ligatures w14:val="none"/>
        </w:rPr>
        <w:t>in</w:t>
      </w:r>
      <w:r w:rsidRPr="00832FF3">
        <w:rPr>
          <w:rFonts w:ascii="Times New Roman" w:eastAsia="Times New Roman" w:hAnsi="Times New Roman" w:cs="Times New Roman"/>
          <w:spacing w:val="-12"/>
          <w:kern w:val="0"/>
          <w:szCs w:val="22"/>
          <w14:ligatures w14:val="none"/>
        </w:rPr>
        <w:t xml:space="preserve"> </w:t>
      </w:r>
      <w:r w:rsidRPr="00832FF3">
        <w:rPr>
          <w:rFonts w:ascii="Times New Roman" w:eastAsia="Times New Roman" w:hAnsi="Times New Roman" w:cs="Times New Roman"/>
          <w:kern w:val="0"/>
          <w:szCs w:val="22"/>
          <w14:ligatures w14:val="none"/>
        </w:rPr>
        <w:t>ICT</w:t>
      </w:r>
      <w:r w:rsidRPr="00832FF3">
        <w:rPr>
          <w:rFonts w:ascii="Times New Roman" w:eastAsia="Times New Roman" w:hAnsi="Times New Roman" w:cs="Times New Roman"/>
          <w:spacing w:val="-14"/>
          <w:kern w:val="0"/>
          <w:szCs w:val="22"/>
          <w14:ligatures w14:val="none"/>
        </w:rPr>
        <w:t xml:space="preserve"> </w:t>
      </w:r>
      <w:r w:rsidRPr="00832FF3">
        <w:rPr>
          <w:rFonts w:ascii="Times New Roman" w:eastAsia="Times New Roman" w:hAnsi="Times New Roman" w:cs="Times New Roman"/>
          <w:kern w:val="0"/>
          <w:szCs w:val="22"/>
          <w14:ligatures w14:val="none"/>
        </w:rPr>
        <w:t>Institutions</w:t>
      </w:r>
      <w:r w:rsidRPr="00832FF3">
        <w:rPr>
          <w:rFonts w:ascii="Times New Roman" w:eastAsia="Times New Roman" w:hAnsi="Times New Roman" w:cs="Times New Roman"/>
          <w:spacing w:val="-8"/>
          <w:kern w:val="0"/>
          <w:szCs w:val="22"/>
          <w14:ligatures w14:val="none"/>
        </w:rPr>
        <w:t xml:space="preserve"> </w:t>
      </w:r>
      <w:r w:rsidRPr="00832FF3">
        <w:rPr>
          <w:rFonts w:ascii="Times New Roman" w:eastAsia="Times New Roman" w:hAnsi="Times New Roman" w:cs="Times New Roman"/>
          <w:kern w:val="0"/>
          <w:szCs w:val="22"/>
          <w14:ligatures w14:val="none"/>
        </w:rPr>
        <w:t>in</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Nigeria.</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i/>
          <w:kern w:val="0"/>
          <w:szCs w:val="22"/>
          <w14:ligatures w14:val="none"/>
        </w:rPr>
        <w:t>International</w:t>
      </w:r>
      <w:r w:rsidRPr="00832FF3">
        <w:rPr>
          <w:rFonts w:ascii="Times New Roman" w:eastAsia="Times New Roman" w:hAnsi="Times New Roman" w:cs="Times New Roman"/>
          <w:i/>
          <w:spacing w:val="-8"/>
          <w:kern w:val="0"/>
          <w:szCs w:val="22"/>
          <w14:ligatures w14:val="none"/>
        </w:rPr>
        <w:t xml:space="preserve"> </w:t>
      </w:r>
      <w:r w:rsidRPr="00832FF3">
        <w:rPr>
          <w:rFonts w:ascii="Times New Roman" w:eastAsia="Times New Roman" w:hAnsi="Times New Roman" w:cs="Times New Roman"/>
          <w:i/>
          <w:kern w:val="0"/>
          <w:szCs w:val="22"/>
          <w14:ligatures w14:val="none"/>
        </w:rPr>
        <w:t>Journal</w:t>
      </w:r>
      <w:r w:rsidRPr="00832FF3">
        <w:rPr>
          <w:rFonts w:ascii="Times New Roman" w:eastAsia="Times New Roman" w:hAnsi="Times New Roman" w:cs="Times New Roman"/>
          <w:i/>
          <w:spacing w:val="-8"/>
          <w:kern w:val="0"/>
          <w:szCs w:val="22"/>
          <w14:ligatures w14:val="none"/>
        </w:rPr>
        <w:t xml:space="preserve"> </w:t>
      </w:r>
      <w:r w:rsidRPr="00832FF3">
        <w:rPr>
          <w:rFonts w:ascii="Times New Roman" w:eastAsia="Times New Roman" w:hAnsi="Times New Roman" w:cs="Times New Roman"/>
          <w:i/>
          <w:kern w:val="0"/>
          <w:szCs w:val="22"/>
          <w14:ligatures w14:val="none"/>
        </w:rPr>
        <w:t>of</w:t>
      </w:r>
      <w:r w:rsidRPr="00832FF3">
        <w:rPr>
          <w:rFonts w:ascii="Times New Roman" w:eastAsia="Times New Roman" w:hAnsi="Times New Roman" w:cs="Times New Roman"/>
          <w:i/>
          <w:spacing w:val="-11"/>
          <w:kern w:val="0"/>
          <w:szCs w:val="22"/>
          <w14:ligatures w14:val="none"/>
        </w:rPr>
        <w:t xml:space="preserve"> </w:t>
      </w:r>
      <w:r w:rsidRPr="00832FF3">
        <w:rPr>
          <w:rFonts w:ascii="Times New Roman" w:eastAsia="Times New Roman" w:hAnsi="Times New Roman" w:cs="Times New Roman"/>
          <w:i/>
          <w:kern w:val="0"/>
          <w:szCs w:val="22"/>
          <w14:ligatures w14:val="none"/>
        </w:rPr>
        <w:t>Innovation,</w:t>
      </w:r>
      <w:r w:rsidRPr="00832FF3">
        <w:rPr>
          <w:rFonts w:ascii="Times New Roman" w:eastAsia="Times New Roman" w:hAnsi="Times New Roman" w:cs="Times New Roman"/>
          <w:i/>
          <w:spacing w:val="-12"/>
          <w:kern w:val="0"/>
          <w:szCs w:val="22"/>
          <w14:ligatures w14:val="none"/>
        </w:rPr>
        <w:t xml:space="preserve"> </w:t>
      </w:r>
      <w:r w:rsidRPr="00832FF3">
        <w:rPr>
          <w:rFonts w:ascii="Times New Roman" w:eastAsia="Times New Roman" w:hAnsi="Times New Roman" w:cs="Times New Roman"/>
          <w:i/>
          <w:kern w:val="0"/>
          <w:szCs w:val="22"/>
          <w14:ligatures w14:val="none"/>
        </w:rPr>
        <w:t>Creativity</w:t>
      </w:r>
      <w:r w:rsidRPr="00832FF3">
        <w:rPr>
          <w:rFonts w:ascii="Times New Roman" w:eastAsia="Times New Roman" w:hAnsi="Times New Roman" w:cs="Times New Roman"/>
          <w:i/>
          <w:spacing w:val="-11"/>
          <w:kern w:val="0"/>
          <w:szCs w:val="22"/>
          <w14:ligatures w14:val="none"/>
        </w:rPr>
        <w:t xml:space="preserve"> </w:t>
      </w:r>
      <w:r w:rsidRPr="00832FF3">
        <w:rPr>
          <w:rFonts w:ascii="Times New Roman" w:eastAsia="Times New Roman" w:hAnsi="Times New Roman" w:cs="Times New Roman"/>
          <w:i/>
          <w:kern w:val="0"/>
          <w:szCs w:val="22"/>
          <w14:ligatures w14:val="none"/>
        </w:rPr>
        <w:t>and</w:t>
      </w:r>
      <w:r w:rsidRPr="00832FF3">
        <w:rPr>
          <w:rFonts w:ascii="Times New Roman" w:eastAsia="Times New Roman" w:hAnsi="Times New Roman" w:cs="Times New Roman"/>
          <w:i/>
          <w:spacing w:val="-12"/>
          <w:kern w:val="0"/>
          <w:szCs w:val="22"/>
          <w14:ligatures w14:val="none"/>
        </w:rPr>
        <w:t xml:space="preserve"> </w:t>
      </w:r>
      <w:r w:rsidRPr="00832FF3">
        <w:rPr>
          <w:rFonts w:ascii="Times New Roman" w:eastAsia="Times New Roman" w:hAnsi="Times New Roman" w:cs="Times New Roman"/>
          <w:i/>
          <w:kern w:val="0"/>
          <w:szCs w:val="22"/>
          <w14:ligatures w14:val="none"/>
        </w:rPr>
        <w:t>Change</w:t>
      </w:r>
      <w:r w:rsidRPr="00832FF3">
        <w:rPr>
          <w:rFonts w:ascii="Times New Roman" w:eastAsia="Times New Roman" w:hAnsi="Times New Roman" w:cs="Times New Roman"/>
          <w:kern w:val="0"/>
          <w:szCs w:val="22"/>
          <w14:ligatures w14:val="none"/>
        </w:rPr>
        <w: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i/>
          <w:kern w:val="0"/>
          <w:szCs w:val="22"/>
          <w14:ligatures w14:val="none"/>
        </w:rPr>
        <w:t>16</w:t>
      </w:r>
      <w:r w:rsidRPr="00832FF3">
        <w:rPr>
          <w:rFonts w:ascii="Times New Roman" w:eastAsia="Times New Roman" w:hAnsi="Times New Roman" w:cs="Times New Roman"/>
          <w:kern w:val="0"/>
          <w:szCs w:val="22"/>
          <w14:ligatures w14:val="none"/>
        </w:rPr>
        <w:t xml:space="preserve">(2), </w:t>
      </w:r>
      <w:r w:rsidRPr="00832FF3">
        <w:rPr>
          <w:rFonts w:ascii="Times New Roman" w:eastAsia="Times New Roman" w:hAnsi="Times New Roman" w:cs="Times New Roman"/>
          <w:spacing w:val="-2"/>
          <w:kern w:val="0"/>
          <w:szCs w:val="22"/>
          <w14:ligatures w14:val="none"/>
        </w:rPr>
        <w:t>140-164.</w:t>
      </w:r>
    </w:p>
    <w:p w14:paraId="78DC0655" w14:textId="77777777" w:rsidR="00832FF3" w:rsidRPr="00832FF3" w:rsidRDefault="00832FF3" w:rsidP="00AE7FA9">
      <w:pPr>
        <w:widowControl w:val="0"/>
        <w:autoSpaceDE w:val="0"/>
        <w:autoSpaceDN w:val="0"/>
        <w:spacing w:before="1" w:after="0" w:line="240" w:lineRule="auto"/>
        <w:ind w:right="982"/>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Barney, J. (1991). Firm resources and sustained competitive advantage. </w:t>
      </w:r>
      <w:r w:rsidRPr="00832FF3">
        <w:rPr>
          <w:rFonts w:ascii="Times New Roman" w:eastAsia="Times New Roman" w:hAnsi="Times New Roman" w:cs="Times New Roman"/>
          <w:i/>
          <w:kern w:val="0"/>
          <w:szCs w:val="22"/>
          <w14:ligatures w14:val="none"/>
        </w:rPr>
        <w:t>Journal of Management, 17</w:t>
      </w:r>
      <w:r w:rsidRPr="00832FF3">
        <w:rPr>
          <w:rFonts w:ascii="Times New Roman" w:eastAsia="Times New Roman" w:hAnsi="Times New Roman" w:cs="Times New Roman"/>
          <w:kern w:val="0"/>
          <w:szCs w:val="22"/>
          <w14:ligatures w14:val="none"/>
        </w:rPr>
        <w:t xml:space="preserve">(1), </w:t>
      </w:r>
      <w:r w:rsidRPr="00832FF3">
        <w:rPr>
          <w:rFonts w:ascii="Times New Roman" w:eastAsia="Times New Roman" w:hAnsi="Times New Roman" w:cs="Times New Roman"/>
          <w:spacing w:val="-2"/>
          <w:kern w:val="0"/>
          <w:szCs w:val="22"/>
          <w14:ligatures w14:val="none"/>
        </w:rPr>
        <w:t>99–120.</w:t>
      </w:r>
    </w:p>
    <w:p w14:paraId="2BEBE144" w14:textId="77777777" w:rsidR="00832FF3" w:rsidRPr="00832FF3" w:rsidRDefault="00832FF3" w:rsidP="00AE7FA9">
      <w:pPr>
        <w:widowControl w:val="0"/>
        <w:autoSpaceDE w:val="0"/>
        <w:autoSpaceDN w:val="0"/>
        <w:spacing w:after="0" w:line="240" w:lineRule="auto"/>
        <w:ind w:right="980"/>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Bressanelli</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G.,</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Adrodegari,</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F.,</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Perona,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M.,</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15"/>
          <w:kern w:val="0"/>
          <w14:ligatures w14:val="none"/>
        </w:rPr>
        <w:t xml:space="preserve"> </w:t>
      </w:r>
      <w:proofErr w:type="spellStart"/>
      <w:r w:rsidRPr="00832FF3">
        <w:rPr>
          <w:rFonts w:ascii="Times New Roman" w:eastAsia="Times New Roman" w:hAnsi="Times New Roman" w:cs="Times New Roman"/>
          <w:kern w:val="0"/>
          <w14:ligatures w14:val="none"/>
        </w:rPr>
        <w:t>Saccani</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N.</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(2018).</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Exploring</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how</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usage-focused</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 xml:space="preserve">business models enable circular economy through digital technologies. </w:t>
      </w:r>
      <w:r w:rsidRPr="00832FF3">
        <w:rPr>
          <w:rFonts w:ascii="Times New Roman" w:eastAsia="Times New Roman" w:hAnsi="Times New Roman" w:cs="Times New Roman"/>
          <w:i/>
          <w:kern w:val="0"/>
          <w14:ligatures w14:val="none"/>
        </w:rPr>
        <w:t>Sustainability, 10</w:t>
      </w:r>
      <w:r w:rsidRPr="00832FF3">
        <w:rPr>
          <w:rFonts w:ascii="Times New Roman" w:eastAsia="Times New Roman" w:hAnsi="Times New Roman" w:cs="Times New Roman"/>
          <w:kern w:val="0"/>
          <w14:ligatures w14:val="none"/>
        </w:rPr>
        <w:t>(3), 639.</w:t>
      </w:r>
    </w:p>
    <w:p w14:paraId="132DC73F" w14:textId="77777777" w:rsidR="00832FF3" w:rsidRPr="00832FF3" w:rsidRDefault="00832FF3" w:rsidP="00AE7FA9">
      <w:pPr>
        <w:widowControl w:val="0"/>
        <w:autoSpaceDE w:val="0"/>
        <w:autoSpaceDN w:val="0"/>
        <w:spacing w:after="0" w:line="240" w:lineRule="auto"/>
        <w:ind w:right="984"/>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Chen,</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D.,</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Wang,</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S.</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(2024).</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transformation,</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innovation</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capabilities,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9"/>
          <w:kern w:val="0"/>
          <w14:ligatures w14:val="none"/>
        </w:rPr>
        <w:t xml:space="preserve"> </w:t>
      </w:r>
      <w:proofErr w:type="spellStart"/>
      <w:r w:rsidRPr="00832FF3">
        <w:rPr>
          <w:rFonts w:ascii="Times New Roman" w:eastAsia="Times New Roman" w:hAnsi="Times New Roman" w:cs="Times New Roman"/>
          <w:kern w:val="0"/>
          <w14:ligatures w14:val="none"/>
        </w:rPr>
        <w:t>servitization</w:t>
      </w:r>
      <w:proofErr w:type="spellEnd"/>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as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 xml:space="preserve">drivers of ESG performance in manufacturing SMEs. </w:t>
      </w:r>
      <w:r w:rsidRPr="00832FF3">
        <w:rPr>
          <w:rFonts w:ascii="Times New Roman" w:eastAsia="Times New Roman" w:hAnsi="Times New Roman" w:cs="Times New Roman"/>
          <w:i/>
          <w:kern w:val="0"/>
          <w14:ligatures w14:val="none"/>
        </w:rPr>
        <w:t>Scientific Reports</w:t>
      </w:r>
      <w:r w:rsidRPr="00832FF3">
        <w:rPr>
          <w:rFonts w:ascii="Times New Roman" w:eastAsia="Times New Roman" w:hAnsi="Times New Roman" w:cs="Times New Roman"/>
          <w:kern w:val="0"/>
          <w14:ligatures w14:val="none"/>
        </w:rPr>
        <w:t>, 14, 24516.</w:t>
      </w:r>
    </w:p>
    <w:p w14:paraId="5E4171AF" w14:textId="77777777" w:rsidR="00832FF3" w:rsidRPr="00832FF3" w:rsidRDefault="00832FF3" w:rsidP="00AE7FA9">
      <w:pPr>
        <w:widowControl w:val="0"/>
        <w:autoSpaceDE w:val="0"/>
        <w:autoSpaceDN w:val="0"/>
        <w:spacing w:after="0" w:line="240" w:lineRule="auto"/>
        <w:ind w:right="991"/>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Chukwudi, N. (2024). Impact of digitalization on firm performance in the manufacturing sector:</w:t>
      </w:r>
      <w:r w:rsidRPr="00832FF3">
        <w:rPr>
          <w:rFonts w:ascii="Times New Roman" w:eastAsia="Times New Roman" w:hAnsi="Times New Roman" w:cs="Times New Roman"/>
          <w:spacing w:val="-2"/>
          <w:kern w:val="0"/>
          <w:szCs w:val="22"/>
          <w14:ligatures w14:val="none"/>
        </w:rPr>
        <w:t xml:space="preserve"> </w:t>
      </w:r>
      <w:r w:rsidRPr="00832FF3">
        <w:rPr>
          <w:rFonts w:ascii="Times New Roman" w:eastAsia="Times New Roman" w:hAnsi="Times New Roman" w:cs="Times New Roman"/>
          <w:kern w:val="0"/>
          <w:szCs w:val="22"/>
          <w14:ligatures w14:val="none"/>
        </w:rPr>
        <w:t>A</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kern w:val="0"/>
          <w:szCs w:val="22"/>
          <w14:ligatures w14:val="none"/>
        </w:rPr>
        <w:t xml:space="preserve">case study of Nigeria. </w:t>
      </w:r>
      <w:r w:rsidRPr="00832FF3">
        <w:rPr>
          <w:rFonts w:ascii="Times New Roman" w:eastAsia="Times New Roman" w:hAnsi="Times New Roman" w:cs="Times New Roman"/>
          <w:i/>
          <w:kern w:val="0"/>
          <w:szCs w:val="22"/>
          <w14:ligatures w14:val="none"/>
        </w:rPr>
        <w:t>International Journal of Strategic Management</w:t>
      </w:r>
      <w:r w:rsidRPr="00832FF3">
        <w:rPr>
          <w:rFonts w:ascii="Times New Roman" w:eastAsia="Times New Roman" w:hAnsi="Times New Roman" w:cs="Times New Roman"/>
          <w:kern w:val="0"/>
          <w:szCs w:val="22"/>
          <w14:ligatures w14:val="none"/>
        </w:rPr>
        <w:t xml:space="preserve">, </w:t>
      </w:r>
      <w:r w:rsidRPr="00832FF3">
        <w:rPr>
          <w:rFonts w:ascii="Times New Roman" w:eastAsia="Times New Roman" w:hAnsi="Times New Roman" w:cs="Times New Roman"/>
          <w:i/>
          <w:kern w:val="0"/>
          <w:szCs w:val="22"/>
          <w14:ligatures w14:val="none"/>
        </w:rPr>
        <w:t>3</w:t>
      </w:r>
      <w:r w:rsidRPr="00832FF3">
        <w:rPr>
          <w:rFonts w:ascii="Times New Roman" w:eastAsia="Times New Roman" w:hAnsi="Times New Roman" w:cs="Times New Roman"/>
          <w:kern w:val="0"/>
          <w:szCs w:val="22"/>
          <w14:ligatures w14:val="none"/>
        </w:rPr>
        <w:t>(1), 17-29.</w:t>
      </w:r>
    </w:p>
    <w:p w14:paraId="0FB33073" w14:textId="77777777" w:rsidR="00832FF3" w:rsidRPr="00832FF3" w:rsidRDefault="00832FF3" w:rsidP="00AE7FA9">
      <w:pPr>
        <w:widowControl w:val="0"/>
        <w:autoSpaceDE w:val="0"/>
        <w:autoSpaceDN w:val="0"/>
        <w:spacing w:after="0" w:line="240" w:lineRule="auto"/>
        <w:ind w:right="99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Duman Altan, A., </w:t>
      </w:r>
      <w:proofErr w:type="spellStart"/>
      <w:r w:rsidRPr="00832FF3">
        <w:rPr>
          <w:rFonts w:ascii="Times New Roman" w:eastAsia="Times New Roman" w:hAnsi="Times New Roman" w:cs="Times New Roman"/>
          <w:kern w:val="0"/>
          <w14:ligatures w14:val="none"/>
        </w:rPr>
        <w:t>Beyca</w:t>
      </w:r>
      <w:proofErr w:type="spellEnd"/>
      <w:r w:rsidRPr="00832FF3">
        <w:rPr>
          <w:rFonts w:ascii="Times New Roman" w:eastAsia="Times New Roman" w:hAnsi="Times New Roman" w:cs="Times New Roman"/>
          <w:kern w:val="0"/>
          <w14:ligatures w14:val="none"/>
        </w:rPr>
        <w:t>, Ö. F., &amp; Zaim, S. (2024). Link between digital technologies adoption and sustainability</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supply</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chain</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traceability/resilience</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or</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circular</w:t>
      </w:r>
      <w:r w:rsidRPr="00832FF3">
        <w:rPr>
          <w:rFonts w:ascii="Times New Roman" w:eastAsia="Times New Roman" w:hAnsi="Times New Roman" w:cs="Times New Roman"/>
          <w:spacing w:val="40"/>
          <w:kern w:val="0"/>
          <w14:ligatures w14:val="none"/>
        </w:rPr>
        <w:t xml:space="preserve"> </w:t>
      </w:r>
      <w:r w:rsidRPr="00832FF3">
        <w:rPr>
          <w:rFonts w:ascii="Times New Roman" w:eastAsia="Times New Roman" w:hAnsi="Times New Roman" w:cs="Times New Roman"/>
          <w:kern w:val="0"/>
          <w14:ligatures w14:val="none"/>
        </w:rPr>
        <w:t>economy</w:t>
      </w:r>
      <w:r w:rsidRPr="00832FF3">
        <w:rPr>
          <w:rFonts w:ascii="Times New Roman" w:eastAsia="Times New Roman" w:hAnsi="Times New Roman" w:cs="Times New Roman"/>
          <w:spacing w:val="80"/>
          <w:kern w:val="0"/>
          <w14:ligatures w14:val="none"/>
        </w:rPr>
        <w:t xml:space="preserve"> </w:t>
      </w:r>
      <w:r w:rsidRPr="00832FF3">
        <w:rPr>
          <w:rFonts w:ascii="Times New Roman" w:eastAsia="Times New Roman" w:hAnsi="Times New Roman" w:cs="Times New Roman"/>
          <w:kern w:val="0"/>
          <w14:ligatures w14:val="none"/>
        </w:rPr>
        <w:t xml:space="preserve">practices. </w:t>
      </w:r>
      <w:r w:rsidRPr="00832FF3">
        <w:rPr>
          <w:rFonts w:ascii="Times New Roman" w:eastAsia="Times New Roman" w:hAnsi="Times New Roman" w:cs="Times New Roman"/>
          <w:i/>
          <w:kern w:val="0"/>
          <w14:ligatures w14:val="none"/>
        </w:rPr>
        <w:t>Sustainability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16</w:t>
      </w:r>
      <w:r w:rsidRPr="00832FF3">
        <w:rPr>
          <w:rFonts w:ascii="Times New Roman" w:eastAsia="Times New Roman" w:hAnsi="Times New Roman" w:cs="Times New Roman"/>
          <w:kern w:val="0"/>
          <w14:ligatures w14:val="none"/>
        </w:rPr>
        <w:t>(19), 8694.</w:t>
      </w:r>
    </w:p>
    <w:p w14:paraId="68567880" w14:textId="77777777" w:rsidR="00832FF3" w:rsidRPr="00832FF3" w:rsidRDefault="00832FF3" w:rsidP="00AE7FA9">
      <w:pPr>
        <w:widowControl w:val="0"/>
        <w:autoSpaceDE w:val="0"/>
        <w:autoSpaceDN w:val="0"/>
        <w:spacing w:after="0"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Flynn,</w:t>
      </w:r>
      <w:r w:rsidRPr="00832FF3">
        <w:rPr>
          <w:rFonts w:ascii="Times New Roman" w:eastAsia="Times New Roman" w:hAnsi="Times New Roman" w:cs="Times New Roman"/>
          <w:spacing w:val="28"/>
          <w:kern w:val="0"/>
          <w14:ligatures w14:val="none"/>
        </w:rPr>
        <w:t xml:space="preserve"> </w:t>
      </w:r>
      <w:r w:rsidRPr="00832FF3">
        <w:rPr>
          <w:rFonts w:ascii="Times New Roman" w:eastAsia="Times New Roman" w:hAnsi="Times New Roman" w:cs="Times New Roman"/>
          <w:kern w:val="0"/>
          <w14:ligatures w14:val="none"/>
        </w:rPr>
        <w:t>B.</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B.,</w:t>
      </w:r>
      <w:r w:rsidRPr="00832FF3">
        <w:rPr>
          <w:rFonts w:ascii="Times New Roman" w:eastAsia="Times New Roman" w:hAnsi="Times New Roman" w:cs="Times New Roman"/>
          <w:spacing w:val="32"/>
          <w:kern w:val="0"/>
          <w14:ligatures w14:val="none"/>
        </w:rPr>
        <w:t xml:space="preserve"> </w:t>
      </w:r>
      <w:r w:rsidRPr="00832FF3">
        <w:rPr>
          <w:rFonts w:ascii="Times New Roman" w:eastAsia="Times New Roman" w:hAnsi="Times New Roman" w:cs="Times New Roman"/>
          <w:kern w:val="0"/>
          <w14:ligatures w14:val="none"/>
        </w:rPr>
        <w:t>Huo,</w:t>
      </w:r>
      <w:r w:rsidRPr="00832FF3">
        <w:rPr>
          <w:rFonts w:ascii="Times New Roman" w:eastAsia="Times New Roman" w:hAnsi="Times New Roman" w:cs="Times New Roman"/>
          <w:spacing w:val="29"/>
          <w:kern w:val="0"/>
          <w14:ligatures w14:val="none"/>
        </w:rPr>
        <w:t xml:space="preserve"> </w:t>
      </w:r>
      <w:r w:rsidRPr="00832FF3">
        <w:rPr>
          <w:rFonts w:ascii="Times New Roman" w:eastAsia="Times New Roman" w:hAnsi="Times New Roman" w:cs="Times New Roman"/>
          <w:kern w:val="0"/>
          <w14:ligatures w14:val="none"/>
        </w:rPr>
        <w:t>B.,</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34"/>
          <w:kern w:val="0"/>
          <w14:ligatures w14:val="none"/>
        </w:rPr>
        <w:t xml:space="preserve"> </w:t>
      </w:r>
      <w:r w:rsidRPr="00832FF3">
        <w:rPr>
          <w:rFonts w:ascii="Times New Roman" w:eastAsia="Times New Roman" w:hAnsi="Times New Roman" w:cs="Times New Roman"/>
          <w:kern w:val="0"/>
          <w14:ligatures w14:val="none"/>
        </w:rPr>
        <w:t>Zhao,</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X.</w:t>
      </w:r>
      <w:r w:rsidRPr="00832FF3">
        <w:rPr>
          <w:rFonts w:ascii="Times New Roman" w:eastAsia="Times New Roman" w:hAnsi="Times New Roman" w:cs="Times New Roman"/>
          <w:spacing w:val="32"/>
          <w:kern w:val="0"/>
          <w14:ligatures w14:val="none"/>
        </w:rPr>
        <w:t xml:space="preserve"> </w:t>
      </w:r>
      <w:r w:rsidRPr="00832FF3">
        <w:rPr>
          <w:rFonts w:ascii="Times New Roman" w:eastAsia="Times New Roman" w:hAnsi="Times New Roman" w:cs="Times New Roman"/>
          <w:kern w:val="0"/>
          <w14:ligatures w14:val="none"/>
        </w:rPr>
        <w:t>(2010).</w:t>
      </w:r>
      <w:r w:rsidRPr="00832FF3">
        <w:rPr>
          <w:rFonts w:ascii="Times New Roman" w:eastAsia="Times New Roman" w:hAnsi="Times New Roman" w:cs="Times New Roman"/>
          <w:spacing w:val="2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33"/>
          <w:kern w:val="0"/>
          <w14:ligatures w14:val="none"/>
        </w:rPr>
        <w:t xml:space="preserve"> </w:t>
      </w:r>
      <w:r w:rsidRPr="00832FF3">
        <w:rPr>
          <w:rFonts w:ascii="Times New Roman" w:eastAsia="Times New Roman" w:hAnsi="Times New Roman" w:cs="Times New Roman"/>
          <w:kern w:val="0"/>
          <w14:ligatures w14:val="none"/>
        </w:rPr>
        <w:t>impact</w:t>
      </w:r>
      <w:r w:rsidRPr="00832FF3">
        <w:rPr>
          <w:rFonts w:ascii="Times New Roman" w:eastAsia="Times New Roman" w:hAnsi="Times New Roman" w:cs="Times New Roman"/>
          <w:spacing w:val="34"/>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31"/>
          <w:kern w:val="0"/>
          <w14:ligatures w14:val="none"/>
        </w:rPr>
        <w:t xml:space="preserve"> </w:t>
      </w:r>
      <w:r w:rsidRPr="00832FF3">
        <w:rPr>
          <w:rFonts w:ascii="Times New Roman" w:eastAsia="Times New Roman" w:hAnsi="Times New Roman" w:cs="Times New Roman"/>
          <w:kern w:val="0"/>
          <w14:ligatures w14:val="none"/>
        </w:rPr>
        <w:t>supply</w:t>
      </w:r>
      <w:r w:rsidRPr="00832FF3">
        <w:rPr>
          <w:rFonts w:ascii="Times New Roman" w:eastAsia="Times New Roman" w:hAnsi="Times New Roman" w:cs="Times New Roman"/>
          <w:spacing w:val="30"/>
          <w:kern w:val="0"/>
          <w14:ligatures w14:val="none"/>
        </w:rPr>
        <w:t xml:space="preserve"> </w:t>
      </w:r>
      <w:r w:rsidRPr="00832FF3">
        <w:rPr>
          <w:rFonts w:ascii="Times New Roman" w:eastAsia="Times New Roman" w:hAnsi="Times New Roman" w:cs="Times New Roman"/>
          <w:kern w:val="0"/>
          <w14:ligatures w14:val="none"/>
        </w:rPr>
        <w:t>chain</w:t>
      </w:r>
      <w:r w:rsidRPr="00832FF3">
        <w:rPr>
          <w:rFonts w:ascii="Times New Roman" w:eastAsia="Times New Roman" w:hAnsi="Times New Roman" w:cs="Times New Roman"/>
          <w:spacing w:val="35"/>
          <w:kern w:val="0"/>
          <w14:ligatures w14:val="none"/>
        </w:rPr>
        <w:t xml:space="preserve"> </w:t>
      </w:r>
      <w:r w:rsidRPr="00832FF3">
        <w:rPr>
          <w:rFonts w:ascii="Times New Roman" w:eastAsia="Times New Roman" w:hAnsi="Times New Roman" w:cs="Times New Roman"/>
          <w:kern w:val="0"/>
          <w14:ligatures w14:val="none"/>
        </w:rPr>
        <w:t>integration</w:t>
      </w:r>
      <w:r w:rsidRPr="00832FF3">
        <w:rPr>
          <w:rFonts w:ascii="Times New Roman" w:eastAsia="Times New Roman" w:hAnsi="Times New Roman" w:cs="Times New Roman"/>
          <w:spacing w:val="31"/>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33"/>
          <w:kern w:val="0"/>
          <w14:ligatures w14:val="none"/>
        </w:rPr>
        <w:t xml:space="preserve"> </w:t>
      </w:r>
      <w:r w:rsidRPr="00832FF3">
        <w:rPr>
          <w:rFonts w:ascii="Times New Roman" w:eastAsia="Times New Roman" w:hAnsi="Times New Roman" w:cs="Times New Roman"/>
          <w:spacing w:val="-2"/>
          <w:kern w:val="0"/>
          <w14:ligatures w14:val="none"/>
        </w:rPr>
        <w:t>performance.</w:t>
      </w:r>
    </w:p>
    <w:p w14:paraId="5859C6B3" w14:textId="77777777" w:rsidR="00832FF3" w:rsidRPr="00832FF3" w:rsidRDefault="00832FF3" w:rsidP="00AE7FA9">
      <w:pPr>
        <w:widowControl w:val="0"/>
        <w:autoSpaceDE w:val="0"/>
        <w:autoSpaceDN w:val="0"/>
        <w:spacing w:before="15" w:after="0" w:line="240" w:lineRule="auto"/>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i/>
          <w:kern w:val="0"/>
          <w:szCs w:val="22"/>
          <w14:ligatures w14:val="none"/>
        </w:rPr>
        <w:t>Journal</w:t>
      </w:r>
      <w:r w:rsidRPr="00832FF3">
        <w:rPr>
          <w:rFonts w:ascii="Times New Roman" w:eastAsia="Times New Roman" w:hAnsi="Times New Roman" w:cs="Times New Roman"/>
          <w:i/>
          <w:spacing w:val="-3"/>
          <w:kern w:val="0"/>
          <w:szCs w:val="22"/>
          <w14:ligatures w14:val="none"/>
        </w:rPr>
        <w:t xml:space="preserve"> </w:t>
      </w:r>
      <w:r w:rsidRPr="00832FF3">
        <w:rPr>
          <w:rFonts w:ascii="Times New Roman" w:eastAsia="Times New Roman" w:hAnsi="Times New Roman" w:cs="Times New Roman"/>
          <w:i/>
          <w:kern w:val="0"/>
          <w:szCs w:val="22"/>
          <w14:ligatures w14:val="none"/>
        </w:rPr>
        <w:t>of</w:t>
      </w:r>
      <w:r w:rsidRPr="00832FF3">
        <w:rPr>
          <w:rFonts w:ascii="Times New Roman" w:eastAsia="Times New Roman" w:hAnsi="Times New Roman" w:cs="Times New Roman"/>
          <w:i/>
          <w:spacing w:val="-3"/>
          <w:kern w:val="0"/>
          <w:szCs w:val="22"/>
          <w14:ligatures w14:val="none"/>
        </w:rPr>
        <w:t xml:space="preserve"> </w:t>
      </w:r>
      <w:r w:rsidRPr="00832FF3">
        <w:rPr>
          <w:rFonts w:ascii="Times New Roman" w:eastAsia="Times New Roman" w:hAnsi="Times New Roman" w:cs="Times New Roman"/>
          <w:i/>
          <w:kern w:val="0"/>
          <w:szCs w:val="22"/>
          <w14:ligatures w14:val="none"/>
        </w:rPr>
        <w:t>Operations</w:t>
      </w:r>
      <w:r w:rsidRPr="00832FF3">
        <w:rPr>
          <w:rFonts w:ascii="Times New Roman" w:eastAsia="Times New Roman" w:hAnsi="Times New Roman" w:cs="Times New Roman"/>
          <w:i/>
          <w:spacing w:val="-3"/>
          <w:kern w:val="0"/>
          <w:szCs w:val="22"/>
          <w14:ligatures w14:val="none"/>
        </w:rPr>
        <w:t xml:space="preserve"> </w:t>
      </w:r>
      <w:r w:rsidRPr="00832FF3">
        <w:rPr>
          <w:rFonts w:ascii="Times New Roman" w:eastAsia="Times New Roman" w:hAnsi="Times New Roman" w:cs="Times New Roman"/>
          <w:i/>
          <w:kern w:val="0"/>
          <w:szCs w:val="22"/>
          <w14:ligatures w14:val="none"/>
        </w:rPr>
        <w:t>Management</w:t>
      </w:r>
      <w:r w:rsidRPr="00832FF3">
        <w:rPr>
          <w:rFonts w:ascii="Times New Roman" w:eastAsia="Times New Roman" w:hAnsi="Times New Roman" w:cs="Times New Roman"/>
          <w:kern w:val="0"/>
          <w:szCs w:val="22"/>
          <w14:ligatures w14:val="none"/>
        </w:rPr>
        <w:t>,</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28(1),</w:t>
      </w:r>
      <w:r w:rsidRPr="00832FF3">
        <w:rPr>
          <w:rFonts w:ascii="Times New Roman" w:eastAsia="Times New Roman" w:hAnsi="Times New Roman" w:cs="Times New Roman"/>
          <w:spacing w:val="-2"/>
          <w:kern w:val="0"/>
          <w:szCs w:val="22"/>
          <w14:ligatures w14:val="none"/>
        </w:rPr>
        <w:t xml:space="preserve"> 58–71.</w:t>
      </w:r>
    </w:p>
    <w:p w14:paraId="0728B911" w14:textId="77777777" w:rsidR="00832FF3" w:rsidRPr="00832FF3" w:rsidRDefault="00832FF3" w:rsidP="00AE7FA9">
      <w:pPr>
        <w:widowControl w:val="0"/>
        <w:autoSpaceDE w:val="0"/>
        <w:autoSpaceDN w:val="0"/>
        <w:spacing w:before="22" w:after="0" w:line="240" w:lineRule="auto"/>
        <w:ind w:right="996"/>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Geissdoerfer, M., </w:t>
      </w:r>
      <w:proofErr w:type="spellStart"/>
      <w:r w:rsidRPr="00832FF3">
        <w:rPr>
          <w:rFonts w:ascii="Times New Roman" w:eastAsia="Times New Roman" w:hAnsi="Times New Roman" w:cs="Times New Roman"/>
          <w:kern w:val="0"/>
          <w:szCs w:val="22"/>
          <w14:ligatures w14:val="none"/>
        </w:rPr>
        <w:t>Savaget</w:t>
      </w:r>
      <w:proofErr w:type="spellEnd"/>
      <w:r w:rsidRPr="00832FF3">
        <w:rPr>
          <w:rFonts w:ascii="Times New Roman" w:eastAsia="Times New Roman" w:hAnsi="Times New Roman" w:cs="Times New Roman"/>
          <w:kern w:val="0"/>
          <w:szCs w:val="22"/>
          <w14:ligatures w14:val="none"/>
        </w:rPr>
        <w:t xml:space="preserve">, P., Bocken, N., &amp; </w:t>
      </w:r>
      <w:proofErr w:type="spellStart"/>
      <w:r w:rsidRPr="00832FF3">
        <w:rPr>
          <w:rFonts w:ascii="Times New Roman" w:eastAsia="Times New Roman" w:hAnsi="Times New Roman" w:cs="Times New Roman"/>
          <w:kern w:val="0"/>
          <w:szCs w:val="22"/>
          <w14:ligatures w14:val="none"/>
        </w:rPr>
        <w:t>Hultink</w:t>
      </w:r>
      <w:proofErr w:type="spellEnd"/>
      <w:r w:rsidRPr="00832FF3">
        <w:rPr>
          <w:rFonts w:ascii="Times New Roman" w:eastAsia="Times New Roman" w:hAnsi="Times New Roman" w:cs="Times New Roman"/>
          <w:kern w:val="0"/>
          <w:szCs w:val="22"/>
          <w14:ligatures w14:val="none"/>
        </w:rPr>
        <w:t xml:space="preserve">, E. (2017). The circular economy: A new sustainability paradigm? </w:t>
      </w:r>
      <w:r w:rsidRPr="00832FF3">
        <w:rPr>
          <w:rFonts w:ascii="Times New Roman" w:eastAsia="Times New Roman" w:hAnsi="Times New Roman" w:cs="Times New Roman"/>
          <w:i/>
          <w:kern w:val="0"/>
          <w:szCs w:val="22"/>
          <w14:ligatures w14:val="none"/>
        </w:rPr>
        <w:t>Journal of Cleaner Production, 143</w:t>
      </w:r>
      <w:r w:rsidRPr="00832FF3">
        <w:rPr>
          <w:rFonts w:ascii="Times New Roman" w:eastAsia="Times New Roman" w:hAnsi="Times New Roman" w:cs="Times New Roman"/>
          <w:kern w:val="0"/>
          <w:szCs w:val="22"/>
          <w14:ligatures w14:val="none"/>
        </w:rPr>
        <w:t>, 757–768.</w:t>
      </w:r>
    </w:p>
    <w:p w14:paraId="40507434" w14:textId="77777777" w:rsidR="00832FF3" w:rsidRPr="00832FF3" w:rsidRDefault="00832FF3" w:rsidP="00AE7FA9">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Hair,</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kern w:val="0"/>
          <w:szCs w:val="22"/>
          <w14:ligatures w14:val="none"/>
        </w:rPr>
        <w:t>J.</w:t>
      </w:r>
      <w:r w:rsidRPr="00832FF3">
        <w:rPr>
          <w:rFonts w:ascii="Times New Roman" w:eastAsia="Times New Roman" w:hAnsi="Times New Roman" w:cs="Times New Roman"/>
          <w:spacing w:val="10"/>
          <w:kern w:val="0"/>
          <w:szCs w:val="22"/>
          <w14:ligatures w14:val="none"/>
        </w:rPr>
        <w:t xml:space="preserve"> </w:t>
      </w:r>
      <w:r w:rsidRPr="00832FF3">
        <w:rPr>
          <w:rFonts w:ascii="Times New Roman" w:eastAsia="Times New Roman" w:hAnsi="Times New Roman" w:cs="Times New Roman"/>
          <w:kern w:val="0"/>
          <w:szCs w:val="22"/>
          <w14:ligatures w14:val="none"/>
        </w:rPr>
        <w:t>F.,</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Black,</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kern w:val="0"/>
          <w:szCs w:val="22"/>
          <w14:ligatures w14:val="none"/>
        </w:rPr>
        <w:t>W.</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C.,</w:t>
      </w:r>
      <w:r w:rsidRPr="00832FF3">
        <w:rPr>
          <w:rFonts w:ascii="Times New Roman" w:eastAsia="Times New Roman" w:hAnsi="Times New Roman" w:cs="Times New Roman"/>
          <w:spacing w:val="13"/>
          <w:kern w:val="0"/>
          <w:szCs w:val="22"/>
          <w14:ligatures w14:val="none"/>
        </w:rPr>
        <w:t xml:space="preserve"> </w:t>
      </w:r>
      <w:r w:rsidRPr="00832FF3">
        <w:rPr>
          <w:rFonts w:ascii="Times New Roman" w:eastAsia="Times New Roman" w:hAnsi="Times New Roman" w:cs="Times New Roman"/>
          <w:kern w:val="0"/>
          <w:szCs w:val="22"/>
          <w14:ligatures w14:val="none"/>
        </w:rPr>
        <w:t>Babin,</w:t>
      </w:r>
      <w:r w:rsidRPr="00832FF3">
        <w:rPr>
          <w:rFonts w:ascii="Times New Roman" w:eastAsia="Times New Roman" w:hAnsi="Times New Roman" w:cs="Times New Roman"/>
          <w:spacing w:val="12"/>
          <w:kern w:val="0"/>
          <w:szCs w:val="22"/>
          <w14:ligatures w14:val="none"/>
        </w:rPr>
        <w:t xml:space="preserve"> </w:t>
      </w:r>
      <w:r w:rsidRPr="00832FF3">
        <w:rPr>
          <w:rFonts w:ascii="Times New Roman" w:eastAsia="Times New Roman" w:hAnsi="Times New Roman" w:cs="Times New Roman"/>
          <w:kern w:val="0"/>
          <w:szCs w:val="22"/>
          <w14:ligatures w14:val="none"/>
        </w:rPr>
        <w:t>B.</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J.,</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kern w:val="0"/>
          <w:szCs w:val="22"/>
          <w14:ligatures w14:val="none"/>
        </w:rPr>
        <w:t>Anderson,</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R.</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E.</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(2019).</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i/>
          <w:kern w:val="0"/>
          <w:szCs w:val="22"/>
          <w14:ligatures w14:val="none"/>
        </w:rPr>
        <w:t>Multivariate</w:t>
      </w:r>
      <w:r w:rsidRPr="00832FF3">
        <w:rPr>
          <w:rFonts w:ascii="Times New Roman" w:eastAsia="Times New Roman" w:hAnsi="Times New Roman" w:cs="Times New Roman"/>
          <w:i/>
          <w:spacing w:val="10"/>
          <w:kern w:val="0"/>
          <w:szCs w:val="22"/>
          <w14:ligatures w14:val="none"/>
        </w:rPr>
        <w:t xml:space="preserve"> </w:t>
      </w:r>
      <w:r w:rsidRPr="00832FF3">
        <w:rPr>
          <w:rFonts w:ascii="Times New Roman" w:eastAsia="Times New Roman" w:hAnsi="Times New Roman" w:cs="Times New Roman"/>
          <w:i/>
          <w:kern w:val="0"/>
          <w:szCs w:val="22"/>
          <w14:ligatures w14:val="none"/>
        </w:rPr>
        <w:t>data</w:t>
      </w:r>
      <w:r w:rsidRPr="00832FF3">
        <w:rPr>
          <w:rFonts w:ascii="Times New Roman" w:eastAsia="Times New Roman" w:hAnsi="Times New Roman" w:cs="Times New Roman"/>
          <w:i/>
          <w:spacing w:val="12"/>
          <w:kern w:val="0"/>
          <w:szCs w:val="22"/>
          <w14:ligatures w14:val="none"/>
        </w:rPr>
        <w:t xml:space="preserve"> </w:t>
      </w:r>
      <w:r w:rsidRPr="00832FF3">
        <w:rPr>
          <w:rFonts w:ascii="Times New Roman" w:eastAsia="Times New Roman" w:hAnsi="Times New Roman" w:cs="Times New Roman"/>
          <w:i/>
          <w:kern w:val="0"/>
          <w:szCs w:val="22"/>
          <w14:ligatures w14:val="none"/>
        </w:rPr>
        <w:t>analysis</w:t>
      </w:r>
      <w:r w:rsidRPr="00832FF3">
        <w:rPr>
          <w:rFonts w:ascii="Times New Roman" w:eastAsia="Times New Roman" w:hAnsi="Times New Roman" w:cs="Times New Roman"/>
          <w:i/>
          <w:spacing w:val="14"/>
          <w:kern w:val="0"/>
          <w:szCs w:val="22"/>
          <w14:ligatures w14:val="none"/>
        </w:rPr>
        <w:t xml:space="preserve"> </w:t>
      </w:r>
      <w:r w:rsidRPr="00832FF3">
        <w:rPr>
          <w:rFonts w:ascii="Times New Roman" w:eastAsia="Times New Roman" w:hAnsi="Times New Roman" w:cs="Times New Roman"/>
          <w:kern w:val="0"/>
          <w:szCs w:val="22"/>
          <w14:ligatures w14:val="none"/>
        </w:rPr>
        <w:t>(8th</w:t>
      </w:r>
      <w:r w:rsidRPr="00832FF3">
        <w:rPr>
          <w:rFonts w:ascii="Times New Roman" w:eastAsia="Times New Roman" w:hAnsi="Times New Roman" w:cs="Times New Roman"/>
          <w:spacing w:val="10"/>
          <w:kern w:val="0"/>
          <w:szCs w:val="22"/>
          <w14:ligatures w14:val="none"/>
        </w:rPr>
        <w:t xml:space="preserve"> </w:t>
      </w:r>
      <w:r w:rsidRPr="00832FF3">
        <w:rPr>
          <w:rFonts w:ascii="Times New Roman" w:eastAsia="Times New Roman" w:hAnsi="Times New Roman" w:cs="Times New Roman"/>
          <w:spacing w:val="-2"/>
          <w:kern w:val="0"/>
          <w:szCs w:val="22"/>
          <w14:ligatures w14:val="none"/>
        </w:rPr>
        <w:t>ed.).</w:t>
      </w:r>
    </w:p>
    <w:p w14:paraId="6986BD1D" w14:textId="77777777" w:rsidR="00832FF3" w:rsidRPr="00832FF3" w:rsidRDefault="00832FF3" w:rsidP="00AE7FA9">
      <w:pPr>
        <w:widowControl w:val="0"/>
        <w:autoSpaceDE w:val="0"/>
        <w:autoSpaceDN w:val="0"/>
        <w:spacing w:before="24" w:after="0"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Cengage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spacing w:val="-2"/>
          <w:kern w:val="0"/>
          <w14:ligatures w14:val="none"/>
        </w:rPr>
        <w:t>Learning.</w:t>
      </w:r>
    </w:p>
    <w:p w14:paraId="7111F3A6" w14:textId="77777777" w:rsidR="00832FF3" w:rsidRPr="00832FF3" w:rsidRDefault="00832FF3" w:rsidP="00AE7FA9">
      <w:pPr>
        <w:widowControl w:val="0"/>
        <w:autoSpaceDE w:val="0"/>
        <w:autoSpaceDN w:val="0"/>
        <w:spacing w:before="22" w:after="0" w:line="240" w:lineRule="auto"/>
        <w:ind w:right="982"/>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Hart, S. L. (1995). A natural resource-based view of the firm. </w:t>
      </w:r>
      <w:r w:rsidRPr="00832FF3">
        <w:rPr>
          <w:rFonts w:ascii="Times New Roman" w:eastAsia="Times New Roman" w:hAnsi="Times New Roman" w:cs="Times New Roman"/>
          <w:i/>
          <w:kern w:val="0"/>
          <w:szCs w:val="22"/>
          <w14:ligatures w14:val="none"/>
        </w:rPr>
        <w:t>Academy of Management Review, 20</w:t>
      </w:r>
      <w:r w:rsidRPr="00832FF3">
        <w:rPr>
          <w:rFonts w:ascii="Times New Roman" w:eastAsia="Times New Roman" w:hAnsi="Times New Roman" w:cs="Times New Roman"/>
          <w:kern w:val="0"/>
          <w:szCs w:val="22"/>
          <w14:ligatures w14:val="none"/>
        </w:rPr>
        <w:t xml:space="preserve">(4), </w:t>
      </w:r>
      <w:r w:rsidRPr="00832FF3">
        <w:rPr>
          <w:rFonts w:ascii="Times New Roman" w:eastAsia="Times New Roman" w:hAnsi="Times New Roman" w:cs="Times New Roman"/>
          <w:spacing w:val="-2"/>
          <w:kern w:val="0"/>
          <w:szCs w:val="22"/>
          <w14:ligatures w14:val="none"/>
        </w:rPr>
        <w:t>986–1014.</w:t>
      </w:r>
    </w:p>
    <w:p w14:paraId="58BD19A5" w14:textId="77777777" w:rsidR="00832FF3" w:rsidRPr="00832FF3" w:rsidRDefault="00832FF3" w:rsidP="00AE7FA9">
      <w:pPr>
        <w:widowControl w:val="0"/>
        <w:autoSpaceDE w:val="0"/>
        <w:autoSpaceDN w:val="0"/>
        <w:spacing w:before="2" w:after="0" w:line="240" w:lineRule="auto"/>
        <w:ind w:right="98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Hart,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Dowell,</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G. (2011).</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natural-resource-based</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view</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firm:</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Fifteen</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years after.</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i/>
          <w:kern w:val="0"/>
          <w14:ligatures w14:val="none"/>
        </w:rPr>
        <w:t>Journal of Management, 37</w:t>
      </w:r>
      <w:r w:rsidRPr="00832FF3">
        <w:rPr>
          <w:rFonts w:ascii="Times New Roman" w:eastAsia="Times New Roman" w:hAnsi="Times New Roman" w:cs="Times New Roman"/>
          <w:kern w:val="0"/>
          <w14:ligatures w14:val="none"/>
        </w:rPr>
        <w:t>(5), 1464–1479.</w:t>
      </w:r>
    </w:p>
    <w:p w14:paraId="698DAFF9" w14:textId="77777777" w:rsidR="00832FF3" w:rsidRPr="00832FF3" w:rsidRDefault="00832FF3" w:rsidP="00AE7FA9">
      <w:pPr>
        <w:widowControl w:val="0"/>
        <w:autoSpaceDE w:val="0"/>
        <w:autoSpaceDN w:val="0"/>
        <w:spacing w:after="0" w:line="240" w:lineRule="auto"/>
        <w:ind w:right="982"/>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Judijanto</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L.,</w:t>
      </w:r>
      <w:r w:rsidRPr="00832FF3">
        <w:rPr>
          <w:rFonts w:ascii="Times New Roman" w:eastAsia="Times New Roman" w:hAnsi="Times New Roman" w:cs="Times New Roman"/>
          <w:spacing w:val="-7"/>
          <w:kern w:val="0"/>
          <w14:ligatures w14:val="none"/>
        </w:rPr>
        <w:t xml:space="preserve"> </w:t>
      </w:r>
      <w:proofErr w:type="spellStart"/>
      <w:r w:rsidRPr="00832FF3">
        <w:rPr>
          <w:rFonts w:ascii="Times New Roman" w:eastAsia="Times New Roman" w:hAnsi="Times New Roman" w:cs="Times New Roman"/>
          <w:kern w:val="0"/>
          <w14:ligatures w14:val="none"/>
        </w:rPr>
        <w:t>Rizani</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
          <w:kern w:val="0"/>
          <w14:ligatures w14:val="none"/>
        </w:rPr>
        <w:t xml:space="preserve"> </w:t>
      </w:r>
      <w:proofErr w:type="spellStart"/>
      <w:r w:rsidRPr="00832FF3">
        <w:rPr>
          <w:rFonts w:ascii="Times New Roman" w:eastAsia="Times New Roman" w:hAnsi="Times New Roman" w:cs="Times New Roman"/>
          <w:kern w:val="0"/>
          <w14:ligatures w14:val="none"/>
        </w:rPr>
        <w:t>Latuconsina</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Z.,</w:t>
      </w:r>
      <w:r w:rsidRPr="00832FF3">
        <w:rPr>
          <w:rFonts w:ascii="Times New Roman" w:eastAsia="Times New Roman" w:hAnsi="Times New Roman" w:cs="Times New Roman"/>
          <w:spacing w:val="-7"/>
          <w:kern w:val="0"/>
          <w14:ligatures w14:val="none"/>
        </w:rPr>
        <w:t xml:space="preserve"> </w:t>
      </w:r>
      <w:proofErr w:type="spellStart"/>
      <w:r w:rsidRPr="00832FF3">
        <w:rPr>
          <w:rFonts w:ascii="Times New Roman" w:eastAsia="Times New Roman" w:hAnsi="Times New Roman" w:cs="Times New Roman"/>
          <w:kern w:val="0"/>
          <w14:ligatures w14:val="none"/>
        </w:rPr>
        <w:t>Suparwata</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D.</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O.,</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4"/>
          <w:kern w:val="0"/>
          <w14:ligatures w14:val="none"/>
        </w:rPr>
        <w:t xml:space="preserve"> </w:t>
      </w:r>
      <w:proofErr w:type="spellStart"/>
      <w:r w:rsidRPr="00832FF3">
        <w:rPr>
          <w:rFonts w:ascii="Times New Roman" w:eastAsia="Times New Roman" w:hAnsi="Times New Roman" w:cs="Times New Roman"/>
          <w:kern w:val="0"/>
          <w14:ligatures w14:val="none"/>
        </w:rPr>
        <w:t>Murthada</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M.</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(2024).</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effect</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green technology</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implementation</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cleaner</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production</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practices</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productivity</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sustainability</w:t>
      </w:r>
      <w:r w:rsidRPr="00832FF3">
        <w:rPr>
          <w:rFonts w:ascii="Times New Roman" w:eastAsia="Times New Roman" w:hAnsi="Times New Roman" w:cs="Times New Roman"/>
          <w:spacing w:val="-11"/>
          <w:kern w:val="0"/>
          <w14:ligatures w14:val="none"/>
        </w:rPr>
        <w:t xml:space="preserve"> </w:t>
      </w:r>
      <w:r w:rsidRPr="00832FF3">
        <w:rPr>
          <w:rFonts w:ascii="Times New Roman" w:eastAsia="Times New Roman" w:hAnsi="Times New Roman" w:cs="Times New Roman"/>
          <w:kern w:val="0"/>
          <w14:ligatures w14:val="none"/>
        </w:rPr>
        <w:t xml:space="preserve">of SMEs. </w:t>
      </w:r>
      <w:r w:rsidRPr="00832FF3">
        <w:rPr>
          <w:rFonts w:ascii="Times New Roman" w:eastAsia="Times New Roman" w:hAnsi="Times New Roman" w:cs="Times New Roman"/>
          <w:i/>
          <w:kern w:val="0"/>
          <w14:ligatures w14:val="none"/>
        </w:rPr>
        <w:t>Sustainable Development Insights</w:t>
      </w:r>
      <w:r w:rsidRPr="00832FF3">
        <w:rPr>
          <w:rFonts w:ascii="Times New Roman" w:eastAsia="Times New Roman" w:hAnsi="Times New Roman" w:cs="Times New Roman"/>
          <w:kern w:val="0"/>
          <w14:ligatures w14:val="none"/>
        </w:rPr>
        <w:t>.</w:t>
      </w:r>
    </w:p>
    <w:p w14:paraId="7BA4C5E9" w14:textId="77777777" w:rsidR="00832FF3" w:rsidRPr="00832FF3" w:rsidRDefault="00832FF3" w:rsidP="00AE7FA9">
      <w:pPr>
        <w:widowControl w:val="0"/>
        <w:autoSpaceDE w:val="0"/>
        <w:autoSpaceDN w:val="0"/>
        <w:spacing w:after="0" w:line="240" w:lineRule="auto"/>
        <w:ind w:right="980"/>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Khan,</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Y.,</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Akhtar,</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M.,</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Khan,</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Y.</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(2024).</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Digitalization</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for</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2"/>
          <w:kern w:val="0"/>
          <w14:ligatures w14:val="none"/>
        </w:rPr>
        <w:t xml:space="preserve"> </w:t>
      </w:r>
      <w:r w:rsidRPr="00832FF3">
        <w:rPr>
          <w:rFonts w:ascii="Times New Roman" w:eastAsia="Times New Roman" w:hAnsi="Times New Roman" w:cs="Times New Roman"/>
          <w:kern w:val="0"/>
          <w14:ligatures w14:val="none"/>
        </w:rPr>
        <w:t>sustainable</w:t>
      </w:r>
      <w:r w:rsidRPr="00832FF3">
        <w:rPr>
          <w:rFonts w:ascii="Times New Roman" w:eastAsia="Times New Roman" w:hAnsi="Times New Roman" w:cs="Times New Roman"/>
          <w:spacing w:val="-9"/>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 xml:space="preserve">Dual-study </w:t>
      </w:r>
      <w:proofErr w:type="gramStart"/>
      <w:r w:rsidRPr="00832FF3">
        <w:rPr>
          <w:rFonts w:ascii="Times New Roman" w:eastAsia="Times New Roman" w:hAnsi="Times New Roman" w:cs="Times New Roman"/>
          <w:kern w:val="0"/>
          <w14:ligatures w14:val="none"/>
        </w:rPr>
        <w:t>analysis</w:t>
      </w:r>
      <w:r w:rsidRPr="00832FF3">
        <w:rPr>
          <w:rFonts w:ascii="Times New Roman" w:eastAsia="Times New Roman" w:hAnsi="Times New Roman" w:cs="Times New Roman"/>
          <w:spacing w:val="80"/>
          <w:w w:val="150"/>
          <w:kern w:val="0"/>
          <w14:ligatures w14:val="none"/>
        </w:rPr>
        <w:t xml:space="preserve">  </w:t>
      </w:r>
      <w:r w:rsidRPr="00832FF3">
        <w:rPr>
          <w:rFonts w:ascii="Times New Roman" w:eastAsia="Times New Roman" w:hAnsi="Times New Roman" w:cs="Times New Roman"/>
          <w:kern w:val="0"/>
          <w14:ligatures w14:val="none"/>
        </w:rPr>
        <w:t>of</w:t>
      </w:r>
      <w:proofErr w:type="gramEnd"/>
      <w:r w:rsidRPr="00832FF3">
        <w:rPr>
          <w:rFonts w:ascii="Times New Roman" w:eastAsia="Times New Roman" w:hAnsi="Times New Roman" w:cs="Times New Roman"/>
          <w:spacing w:val="80"/>
          <w:w w:val="150"/>
          <w:kern w:val="0"/>
          <w14:ligatures w14:val="none"/>
        </w:rPr>
        <w:t xml:space="preserve">  </w:t>
      </w:r>
      <w:proofErr w:type="gramStart"/>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80"/>
          <w:w w:val="150"/>
          <w:kern w:val="0"/>
          <w14:ligatures w14:val="none"/>
        </w:rPr>
        <w:t xml:space="preserve">  </w:t>
      </w:r>
      <w:r w:rsidRPr="00832FF3">
        <w:rPr>
          <w:rFonts w:ascii="Times New Roman" w:eastAsia="Times New Roman" w:hAnsi="Times New Roman" w:cs="Times New Roman"/>
          <w:kern w:val="0"/>
          <w14:ligatures w14:val="none"/>
        </w:rPr>
        <w:t>leadership,</w:t>
      </w:r>
      <w:r w:rsidRPr="00832FF3">
        <w:rPr>
          <w:rFonts w:ascii="Times New Roman" w:eastAsia="Times New Roman" w:hAnsi="Times New Roman" w:cs="Times New Roman"/>
          <w:spacing w:val="80"/>
          <w:w w:val="150"/>
          <w:kern w:val="0"/>
          <w14:ligatures w14:val="none"/>
        </w:rPr>
        <w:t xml:space="preserve">  </w:t>
      </w:r>
      <w:r w:rsidRPr="00832FF3">
        <w:rPr>
          <w:rFonts w:ascii="Times New Roman" w:eastAsia="Times New Roman" w:hAnsi="Times New Roman" w:cs="Times New Roman"/>
          <w:kern w:val="0"/>
          <w14:ligatures w14:val="none"/>
        </w:rPr>
        <w:t>circular</w:t>
      </w:r>
      <w:proofErr w:type="gramEnd"/>
      <w:r w:rsidRPr="00832FF3">
        <w:rPr>
          <w:rFonts w:ascii="Times New Roman" w:eastAsia="Times New Roman" w:hAnsi="Times New Roman" w:cs="Times New Roman"/>
          <w:spacing w:val="80"/>
          <w:w w:val="150"/>
          <w:kern w:val="0"/>
          <w14:ligatures w14:val="none"/>
        </w:rPr>
        <w:t xml:space="preserve">  </w:t>
      </w:r>
      <w:proofErr w:type="gramStart"/>
      <w:r w:rsidRPr="00832FF3">
        <w:rPr>
          <w:rFonts w:ascii="Times New Roman" w:eastAsia="Times New Roman" w:hAnsi="Times New Roman" w:cs="Times New Roman"/>
          <w:kern w:val="0"/>
          <w14:ligatures w14:val="none"/>
        </w:rPr>
        <w:t>economy,</w:t>
      </w:r>
      <w:r w:rsidRPr="00832FF3">
        <w:rPr>
          <w:rFonts w:ascii="Times New Roman" w:eastAsia="Times New Roman" w:hAnsi="Times New Roman" w:cs="Times New Roman"/>
          <w:spacing w:val="80"/>
          <w:w w:val="150"/>
          <w:kern w:val="0"/>
          <w14:ligatures w14:val="none"/>
        </w:rPr>
        <w:t xml:space="preserve">  </w:t>
      </w:r>
      <w:r w:rsidRPr="00832FF3">
        <w:rPr>
          <w:rFonts w:ascii="Times New Roman" w:eastAsia="Times New Roman" w:hAnsi="Times New Roman" w:cs="Times New Roman"/>
          <w:kern w:val="0"/>
          <w14:ligatures w14:val="none"/>
        </w:rPr>
        <w:t>and</w:t>
      </w:r>
      <w:proofErr w:type="gramEnd"/>
      <w:r w:rsidRPr="00832FF3">
        <w:rPr>
          <w:rFonts w:ascii="Times New Roman" w:eastAsia="Times New Roman" w:hAnsi="Times New Roman" w:cs="Times New Roman"/>
          <w:spacing w:val="80"/>
          <w:w w:val="150"/>
          <w:kern w:val="0"/>
          <w14:ligatures w14:val="none"/>
        </w:rPr>
        <w:t xml:space="preserve">  </w:t>
      </w:r>
      <w:r w:rsidRPr="00832FF3">
        <w:rPr>
          <w:rFonts w:ascii="Times New Roman" w:eastAsia="Times New Roman" w:hAnsi="Times New Roman" w:cs="Times New Roman"/>
          <w:kern w:val="0"/>
          <w14:ligatures w14:val="none"/>
        </w:rPr>
        <w:t xml:space="preserve">technological innovation. </w:t>
      </w:r>
      <w:r w:rsidRPr="00832FF3">
        <w:rPr>
          <w:rFonts w:ascii="Times New Roman" w:eastAsia="Times New Roman" w:hAnsi="Times New Roman" w:cs="Times New Roman"/>
          <w:i/>
          <w:kern w:val="0"/>
          <w14:ligatures w14:val="none"/>
        </w:rPr>
        <w:t>Sustainability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16</w:t>
      </w:r>
      <w:r w:rsidRPr="00832FF3">
        <w:rPr>
          <w:rFonts w:ascii="Times New Roman" w:eastAsia="Times New Roman" w:hAnsi="Times New Roman" w:cs="Times New Roman"/>
          <w:kern w:val="0"/>
          <w14:ligatures w14:val="none"/>
        </w:rPr>
        <w:t>(23), 10465.</w:t>
      </w:r>
    </w:p>
    <w:p w14:paraId="4B43DB0C" w14:textId="77777777" w:rsidR="00832FF3" w:rsidRPr="00832FF3" w:rsidRDefault="00832FF3" w:rsidP="00AE7FA9">
      <w:pPr>
        <w:widowControl w:val="0"/>
        <w:autoSpaceDE w:val="0"/>
        <w:autoSpaceDN w:val="0"/>
        <w:spacing w:before="79" w:after="0" w:line="240" w:lineRule="auto"/>
        <w:ind w:right="883"/>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Liu,</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Y.,</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Yang,</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Zhang,</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X.,</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Yang,</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Y.</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(2024).</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impact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technological</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innovation</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 xml:space="preserve">green digital economy and development strategies. </w:t>
      </w:r>
      <w:proofErr w:type="spellStart"/>
      <w:r w:rsidRPr="00832FF3">
        <w:rPr>
          <w:rFonts w:ascii="Times New Roman" w:eastAsia="Times New Roman" w:hAnsi="Times New Roman" w:cs="Times New Roman"/>
          <w:i/>
          <w:kern w:val="0"/>
          <w14:ligatures w14:val="none"/>
        </w:rPr>
        <w:t>Plos</w:t>
      </w:r>
      <w:proofErr w:type="spellEnd"/>
      <w:r w:rsidRPr="00832FF3">
        <w:rPr>
          <w:rFonts w:ascii="Times New Roman" w:eastAsia="Times New Roman" w:hAnsi="Times New Roman" w:cs="Times New Roman"/>
          <w:i/>
          <w:kern w:val="0"/>
          <w14:ligatures w14:val="none"/>
        </w:rPr>
        <w:t xml:space="preserve"> one</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19</w:t>
      </w:r>
      <w:r w:rsidRPr="00832FF3">
        <w:rPr>
          <w:rFonts w:ascii="Times New Roman" w:eastAsia="Times New Roman" w:hAnsi="Times New Roman" w:cs="Times New Roman"/>
          <w:kern w:val="0"/>
          <w14:ligatures w14:val="none"/>
        </w:rPr>
        <w:t>(4), e0301051.</w:t>
      </w:r>
    </w:p>
    <w:p w14:paraId="0537355A"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McKenzie,</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Curtis.</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(2025).</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comprehensive</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review</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36"/>
          <w:kern w:val="0"/>
          <w14:ligatures w14:val="none"/>
        </w:rPr>
        <w:t xml:space="preserve"> </w:t>
      </w:r>
      <w:r w:rsidRPr="00832FF3">
        <w:rPr>
          <w:rFonts w:ascii="Times New Roman" w:eastAsia="Times New Roman" w:hAnsi="Times New Roman" w:cs="Times New Roman"/>
          <w:kern w:val="0"/>
          <w14:ligatures w14:val="none"/>
        </w:rPr>
        <w:t>digital</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technologies</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enhancing</w:t>
      </w:r>
      <w:r w:rsidRPr="00832FF3">
        <w:rPr>
          <w:rFonts w:ascii="Times New Roman" w:eastAsia="Times New Roman" w:hAnsi="Times New Roman" w:cs="Times New Roman"/>
          <w:spacing w:val="37"/>
          <w:kern w:val="0"/>
          <w14:ligatures w14:val="none"/>
        </w:rPr>
        <w:t xml:space="preserve"> </w:t>
      </w:r>
      <w:r w:rsidRPr="00832FF3">
        <w:rPr>
          <w:rFonts w:ascii="Times New Roman" w:eastAsia="Times New Roman" w:hAnsi="Times New Roman" w:cs="Times New Roman"/>
          <w:kern w:val="0"/>
          <w14:ligatures w14:val="none"/>
        </w:rPr>
        <w:t xml:space="preserve">sustainable manufacturing and environmental stewardship. </w:t>
      </w:r>
      <w:r w:rsidRPr="00832FF3">
        <w:rPr>
          <w:rFonts w:ascii="Times New Roman" w:eastAsia="Times New Roman" w:hAnsi="Times New Roman" w:cs="Times New Roman"/>
          <w:i/>
          <w:kern w:val="0"/>
          <w14:ligatures w14:val="none"/>
        </w:rPr>
        <w:t>Preprints.org</w:t>
      </w:r>
      <w:r w:rsidRPr="00832FF3">
        <w:rPr>
          <w:rFonts w:ascii="Times New Roman" w:eastAsia="Times New Roman" w:hAnsi="Times New Roman" w:cs="Times New Roman"/>
          <w:kern w:val="0"/>
          <w14:ligatures w14:val="none"/>
        </w:rPr>
        <w:t>.</w:t>
      </w:r>
    </w:p>
    <w:p w14:paraId="320676F1"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National</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Bureau</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kern w:val="0"/>
          <w:szCs w:val="22"/>
          <w14:ligatures w14:val="none"/>
        </w:rPr>
        <w:t>of</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kern w:val="0"/>
          <w:szCs w:val="22"/>
          <w14:ligatures w14:val="none"/>
        </w:rPr>
        <w:t>Statistics.</w:t>
      </w:r>
      <w:r w:rsidRPr="00832FF3">
        <w:rPr>
          <w:rFonts w:ascii="Times New Roman" w:eastAsia="Times New Roman" w:hAnsi="Times New Roman" w:cs="Times New Roman"/>
          <w:spacing w:val="-2"/>
          <w:kern w:val="0"/>
          <w:szCs w:val="22"/>
          <w14:ligatures w14:val="none"/>
        </w:rPr>
        <w:t xml:space="preserve"> </w:t>
      </w:r>
      <w:r w:rsidRPr="00832FF3">
        <w:rPr>
          <w:rFonts w:ascii="Times New Roman" w:eastAsia="Times New Roman" w:hAnsi="Times New Roman" w:cs="Times New Roman"/>
          <w:kern w:val="0"/>
          <w:szCs w:val="22"/>
          <w14:ligatures w14:val="none"/>
        </w:rPr>
        <w:t>(2025).</w:t>
      </w:r>
      <w:r w:rsidRPr="00832FF3">
        <w:rPr>
          <w:rFonts w:ascii="Times New Roman" w:eastAsia="Times New Roman" w:hAnsi="Times New Roman" w:cs="Times New Roman"/>
          <w:spacing w:val="-2"/>
          <w:kern w:val="0"/>
          <w:szCs w:val="22"/>
          <w14:ligatures w14:val="none"/>
        </w:rPr>
        <w:t xml:space="preserve"> </w:t>
      </w:r>
      <w:r w:rsidRPr="00832FF3">
        <w:rPr>
          <w:rFonts w:ascii="Times New Roman" w:eastAsia="Times New Roman" w:hAnsi="Times New Roman" w:cs="Times New Roman"/>
          <w:i/>
          <w:kern w:val="0"/>
          <w:szCs w:val="22"/>
          <w14:ligatures w14:val="none"/>
        </w:rPr>
        <w:t>Nigerian</w:t>
      </w:r>
      <w:r w:rsidRPr="00832FF3">
        <w:rPr>
          <w:rFonts w:ascii="Times New Roman" w:eastAsia="Times New Roman" w:hAnsi="Times New Roman" w:cs="Times New Roman"/>
          <w:i/>
          <w:spacing w:val="-3"/>
          <w:kern w:val="0"/>
          <w:szCs w:val="22"/>
          <w14:ligatures w14:val="none"/>
        </w:rPr>
        <w:t xml:space="preserve"> </w:t>
      </w:r>
      <w:r w:rsidRPr="00832FF3">
        <w:rPr>
          <w:rFonts w:ascii="Times New Roman" w:eastAsia="Times New Roman" w:hAnsi="Times New Roman" w:cs="Times New Roman"/>
          <w:i/>
          <w:kern w:val="0"/>
          <w:szCs w:val="22"/>
          <w14:ligatures w14:val="none"/>
        </w:rPr>
        <w:t>manufacturing</w:t>
      </w:r>
      <w:r w:rsidRPr="00832FF3">
        <w:rPr>
          <w:rFonts w:ascii="Times New Roman" w:eastAsia="Times New Roman" w:hAnsi="Times New Roman" w:cs="Times New Roman"/>
          <w:i/>
          <w:spacing w:val="-4"/>
          <w:kern w:val="0"/>
          <w:szCs w:val="22"/>
          <w14:ligatures w14:val="none"/>
        </w:rPr>
        <w:t xml:space="preserve"> </w:t>
      </w:r>
      <w:r w:rsidRPr="00832FF3">
        <w:rPr>
          <w:rFonts w:ascii="Times New Roman" w:eastAsia="Times New Roman" w:hAnsi="Times New Roman" w:cs="Times New Roman"/>
          <w:i/>
          <w:kern w:val="0"/>
          <w:szCs w:val="22"/>
          <w14:ligatures w14:val="none"/>
        </w:rPr>
        <w:t>sector</w:t>
      </w:r>
      <w:r w:rsidRPr="00832FF3">
        <w:rPr>
          <w:rFonts w:ascii="Times New Roman" w:eastAsia="Times New Roman" w:hAnsi="Times New Roman" w:cs="Times New Roman"/>
          <w:i/>
          <w:spacing w:val="-6"/>
          <w:kern w:val="0"/>
          <w:szCs w:val="22"/>
          <w14:ligatures w14:val="none"/>
        </w:rPr>
        <w:t xml:space="preserve"> </w:t>
      </w:r>
      <w:r w:rsidRPr="00832FF3">
        <w:rPr>
          <w:rFonts w:ascii="Times New Roman" w:eastAsia="Times New Roman" w:hAnsi="Times New Roman" w:cs="Times New Roman"/>
          <w:i/>
          <w:kern w:val="0"/>
          <w:szCs w:val="22"/>
          <w14:ligatures w14:val="none"/>
        </w:rPr>
        <w:t>statistics</w:t>
      </w:r>
      <w:r w:rsidRPr="00832FF3">
        <w:rPr>
          <w:rFonts w:ascii="Times New Roman" w:eastAsia="Times New Roman" w:hAnsi="Times New Roman" w:cs="Times New Roman"/>
          <w:i/>
          <w:spacing w:val="-4"/>
          <w:kern w:val="0"/>
          <w:szCs w:val="22"/>
          <w14:ligatures w14:val="none"/>
        </w:rPr>
        <w:t xml:space="preserve"> </w:t>
      </w:r>
      <w:r w:rsidRPr="00832FF3">
        <w:rPr>
          <w:rFonts w:ascii="Times New Roman" w:eastAsia="Times New Roman" w:hAnsi="Times New Roman" w:cs="Times New Roman"/>
          <w:i/>
          <w:kern w:val="0"/>
          <w:szCs w:val="22"/>
          <w14:ligatures w14:val="none"/>
        </w:rPr>
        <w:t>report</w:t>
      </w:r>
      <w:r w:rsidRPr="00832FF3">
        <w:rPr>
          <w:rFonts w:ascii="Times New Roman" w:eastAsia="Times New Roman" w:hAnsi="Times New Roman" w:cs="Times New Roman"/>
          <w:kern w:val="0"/>
          <w:szCs w:val="22"/>
          <w14:ligatures w14:val="none"/>
        </w:rPr>
        <w:t>.</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Abuja:</w:t>
      </w:r>
      <w:r w:rsidRPr="00832FF3">
        <w:rPr>
          <w:rFonts w:ascii="Times New Roman" w:eastAsia="Times New Roman" w:hAnsi="Times New Roman" w:cs="Times New Roman"/>
          <w:spacing w:val="-3"/>
          <w:kern w:val="0"/>
          <w:szCs w:val="22"/>
          <w14:ligatures w14:val="none"/>
        </w:rPr>
        <w:t xml:space="preserve"> </w:t>
      </w:r>
      <w:r w:rsidRPr="00832FF3">
        <w:rPr>
          <w:rFonts w:ascii="Times New Roman" w:eastAsia="Times New Roman" w:hAnsi="Times New Roman" w:cs="Times New Roman"/>
          <w:spacing w:val="-4"/>
          <w:kern w:val="0"/>
          <w:szCs w:val="22"/>
          <w14:ligatures w14:val="none"/>
        </w:rPr>
        <w:t>NBS.</w:t>
      </w:r>
    </w:p>
    <w:p w14:paraId="3D0DCCB3" w14:textId="77777777" w:rsidR="00832FF3" w:rsidRPr="00832FF3" w:rsidRDefault="00832FF3" w:rsidP="00AE7FA9">
      <w:pPr>
        <w:widowControl w:val="0"/>
        <w:autoSpaceDE w:val="0"/>
        <w:autoSpaceDN w:val="0"/>
        <w:spacing w:before="23" w:after="0" w:line="240" w:lineRule="auto"/>
        <w:ind w:right="979"/>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Olatunji,</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F.,</w:t>
      </w:r>
      <w:r w:rsidRPr="00832FF3">
        <w:rPr>
          <w:rFonts w:ascii="Times New Roman" w:eastAsia="Times New Roman" w:hAnsi="Times New Roman" w:cs="Times New Roman"/>
          <w:spacing w:val="-15"/>
          <w:kern w:val="0"/>
          <w14:ligatures w14:val="none"/>
        </w:rPr>
        <w:t xml:space="preserve"> </w:t>
      </w:r>
      <w:proofErr w:type="spellStart"/>
      <w:r w:rsidRPr="00832FF3">
        <w:rPr>
          <w:rFonts w:ascii="Times New Roman" w:eastAsia="Times New Roman" w:hAnsi="Times New Roman" w:cs="Times New Roman"/>
          <w:kern w:val="0"/>
          <w14:ligatures w14:val="none"/>
        </w:rPr>
        <w:t>Sajuyigbe</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S.,</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Tella,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R.</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Oke,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O.</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D.,</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Babalola,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O.</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Adebayo,</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W.</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(2025).</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 xml:space="preserve">Assessing the impact of financial service digitalization on SME businesses in Lagos, Nigeria. </w:t>
      </w:r>
      <w:r w:rsidRPr="00832FF3">
        <w:rPr>
          <w:rFonts w:ascii="Times New Roman" w:eastAsia="Times New Roman" w:hAnsi="Times New Roman" w:cs="Times New Roman"/>
          <w:i/>
          <w:kern w:val="0"/>
          <w14:ligatures w14:val="none"/>
        </w:rPr>
        <w:t>Journal of Entrepreneurship &amp; Business</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6</w:t>
      </w:r>
      <w:r w:rsidRPr="00832FF3">
        <w:rPr>
          <w:rFonts w:ascii="Times New Roman" w:eastAsia="Times New Roman" w:hAnsi="Times New Roman" w:cs="Times New Roman"/>
          <w:kern w:val="0"/>
          <w14:ligatures w14:val="none"/>
        </w:rPr>
        <w:t>(1), 94-118.</w:t>
      </w:r>
    </w:p>
    <w:p w14:paraId="5572BE00" w14:textId="77777777" w:rsidR="00832FF3" w:rsidRPr="00832FF3" w:rsidRDefault="00832FF3" w:rsidP="00AE7FA9">
      <w:pPr>
        <w:widowControl w:val="0"/>
        <w:autoSpaceDE w:val="0"/>
        <w:autoSpaceDN w:val="0"/>
        <w:spacing w:before="10" w:after="0" w:line="240" w:lineRule="auto"/>
        <w:ind w:right="978"/>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Olomu, M. O., </w:t>
      </w:r>
      <w:proofErr w:type="spellStart"/>
      <w:r w:rsidRPr="00832FF3">
        <w:rPr>
          <w:rFonts w:ascii="Times New Roman" w:eastAsia="Times New Roman" w:hAnsi="Times New Roman" w:cs="Times New Roman"/>
          <w:kern w:val="0"/>
          <w14:ligatures w14:val="none"/>
        </w:rPr>
        <w:t>Binuyo</w:t>
      </w:r>
      <w:proofErr w:type="spellEnd"/>
      <w:r w:rsidRPr="00832FF3">
        <w:rPr>
          <w:rFonts w:ascii="Times New Roman" w:eastAsia="Times New Roman" w:hAnsi="Times New Roman" w:cs="Times New Roman"/>
          <w:kern w:val="0"/>
          <w14:ligatures w14:val="none"/>
        </w:rPr>
        <w:t>, G. O., &amp; Oyebisi, T. O. (2023). The adoption and impact of Internet-based technological</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innovations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on</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performance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of</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the</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industrial</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cluster</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 xml:space="preserve">firms. </w:t>
      </w:r>
      <w:r w:rsidRPr="00832FF3">
        <w:rPr>
          <w:rFonts w:ascii="Times New Roman" w:eastAsia="Times New Roman" w:hAnsi="Times New Roman" w:cs="Times New Roman"/>
          <w:i/>
          <w:kern w:val="0"/>
          <w14:ligatures w14:val="none"/>
        </w:rPr>
        <w:t>Journal</w:t>
      </w:r>
      <w:r w:rsidRPr="00832FF3">
        <w:rPr>
          <w:rFonts w:ascii="Times New Roman" w:eastAsia="Times New Roman" w:hAnsi="Times New Roman" w:cs="Times New Roman"/>
          <w:i/>
          <w:spacing w:val="-6"/>
          <w:kern w:val="0"/>
          <w14:ligatures w14:val="none"/>
        </w:rPr>
        <w:t xml:space="preserve"> </w:t>
      </w:r>
      <w:r w:rsidRPr="00832FF3">
        <w:rPr>
          <w:rFonts w:ascii="Times New Roman" w:eastAsia="Times New Roman" w:hAnsi="Times New Roman" w:cs="Times New Roman"/>
          <w:i/>
          <w:kern w:val="0"/>
          <w14:ligatures w14:val="none"/>
        </w:rPr>
        <w:t>of</w:t>
      </w:r>
      <w:r w:rsidRPr="00832FF3">
        <w:rPr>
          <w:rFonts w:ascii="Times New Roman" w:eastAsia="Times New Roman" w:hAnsi="Times New Roman" w:cs="Times New Roman"/>
          <w:i/>
          <w:spacing w:val="-6"/>
          <w:kern w:val="0"/>
          <w14:ligatures w14:val="none"/>
        </w:rPr>
        <w:t xml:space="preserve"> </w:t>
      </w:r>
      <w:r w:rsidRPr="00832FF3">
        <w:rPr>
          <w:rFonts w:ascii="Times New Roman" w:eastAsia="Times New Roman" w:hAnsi="Times New Roman" w:cs="Times New Roman"/>
          <w:i/>
          <w:kern w:val="0"/>
          <w14:ligatures w14:val="none"/>
        </w:rPr>
        <w:t>Economy and Technology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1</w:t>
      </w:r>
      <w:r w:rsidRPr="00832FF3">
        <w:rPr>
          <w:rFonts w:ascii="Times New Roman" w:eastAsia="Times New Roman" w:hAnsi="Times New Roman" w:cs="Times New Roman"/>
          <w:kern w:val="0"/>
          <w14:ligatures w14:val="none"/>
        </w:rPr>
        <w:t>, 164-178.</w:t>
      </w:r>
    </w:p>
    <w:p w14:paraId="2DEFF113" w14:textId="77777777" w:rsidR="00832FF3" w:rsidRPr="00832FF3" w:rsidRDefault="00832FF3" w:rsidP="00AE7FA9">
      <w:pPr>
        <w:widowControl w:val="0"/>
        <w:autoSpaceDE w:val="0"/>
        <w:autoSpaceDN w:val="0"/>
        <w:spacing w:before="5" w:after="0" w:line="240" w:lineRule="auto"/>
        <w:ind w:right="979"/>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Olurinola, I., </w:t>
      </w:r>
      <w:proofErr w:type="spellStart"/>
      <w:r w:rsidRPr="00832FF3">
        <w:rPr>
          <w:rFonts w:ascii="Times New Roman" w:eastAsia="Times New Roman" w:hAnsi="Times New Roman" w:cs="Times New Roman"/>
          <w:kern w:val="0"/>
          <w14:ligatures w14:val="none"/>
        </w:rPr>
        <w:t>Osabohien</w:t>
      </w:r>
      <w:proofErr w:type="spellEnd"/>
      <w:r w:rsidRPr="00832FF3">
        <w:rPr>
          <w:rFonts w:ascii="Times New Roman" w:eastAsia="Times New Roman" w:hAnsi="Times New Roman" w:cs="Times New Roman"/>
          <w:kern w:val="0"/>
          <w14:ligatures w14:val="none"/>
        </w:rPr>
        <w:t xml:space="preserve">, R., Adeleye, B. N., </w:t>
      </w:r>
      <w:proofErr w:type="spellStart"/>
      <w:r w:rsidRPr="00832FF3">
        <w:rPr>
          <w:rFonts w:ascii="Times New Roman" w:eastAsia="Times New Roman" w:hAnsi="Times New Roman" w:cs="Times New Roman"/>
          <w:kern w:val="0"/>
          <w14:ligatures w14:val="none"/>
        </w:rPr>
        <w:t>Ogunrinola</w:t>
      </w:r>
      <w:proofErr w:type="spellEnd"/>
      <w:r w:rsidRPr="00832FF3">
        <w:rPr>
          <w:rFonts w:ascii="Times New Roman" w:eastAsia="Times New Roman" w:hAnsi="Times New Roman" w:cs="Times New Roman"/>
          <w:kern w:val="0"/>
          <w14:ligatures w14:val="none"/>
        </w:rPr>
        <w:t xml:space="preserve">, I., </w:t>
      </w:r>
      <w:proofErr w:type="spellStart"/>
      <w:r w:rsidRPr="00832FF3">
        <w:rPr>
          <w:rFonts w:ascii="Times New Roman" w:eastAsia="Times New Roman" w:hAnsi="Times New Roman" w:cs="Times New Roman"/>
          <w:kern w:val="0"/>
          <w14:ligatures w14:val="none"/>
        </w:rPr>
        <w:t>Omosimua</w:t>
      </w:r>
      <w:proofErr w:type="spellEnd"/>
      <w:r w:rsidRPr="00832FF3">
        <w:rPr>
          <w:rFonts w:ascii="Times New Roman" w:eastAsia="Times New Roman" w:hAnsi="Times New Roman" w:cs="Times New Roman"/>
          <w:kern w:val="0"/>
          <w14:ligatures w14:val="none"/>
        </w:rPr>
        <w:t xml:space="preserve">, J. I., &amp; De Alwis, T. (2021). Digitalization and innovation in Nigerian firms. </w:t>
      </w:r>
      <w:r w:rsidRPr="00832FF3">
        <w:rPr>
          <w:rFonts w:ascii="Times New Roman" w:eastAsia="Times New Roman" w:hAnsi="Times New Roman" w:cs="Times New Roman"/>
          <w:i/>
          <w:kern w:val="0"/>
          <w14:ligatures w14:val="none"/>
        </w:rPr>
        <w:t>Asian Economic and Financial Review</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11</w:t>
      </w:r>
      <w:r w:rsidRPr="00832FF3">
        <w:rPr>
          <w:rFonts w:ascii="Times New Roman" w:eastAsia="Times New Roman" w:hAnsi="Times New Roman" w:cs="Times New Roman"/>
          <w:kern w:val="0"/>
          <w14:ligatures w14:val="none"/>
        </w:rPr>
        <w:t xml:space="preserve">(3), </w:t>
      </w:r>
      <w:r w:rsidRPr="00832FF3">
        <w:rPr>
          <w:rFonts w:ascii="Times New Roman" w:eastAsia="Times New Roman" w:hAnsi="Times New Roman" w:cs="Times New Roman"/>
          <w:spacing w:val="-4"/>
          <w:kern w:val="0"/>
          <w14:ligatures w14:val="none"/>
        </w:rPr>
        <w:t>263.</w:t>
      </w:r>
    </w:p>
    <w:p w14:paraId="69002F08" w14:textId="77777777" w:rsidR="00832FF3" w:rsidRPr="00832FF3" w:rsidRDefault="00832FF3" w:rsidP="00AE7FA9">
      <w:pPr>
        <w:widowControl w:val="0"/>
        <w:autoSpaceDE w:val="0"/>
        <w:autoSpaceDN w:val="0"/>
        <w:spacing w:before="1" w:after="0" w:line="240" w:lineRule="auto"/>
        <w:ind w:right="986"/>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Prajogo, D., &amp; </w:t>
      </w:r>
      <w:proofErr w:type="spellStart"/>
      <w:r w:rsidRPr="00832FF3">
        <w:rPr>
          <w:rFonts w:ascii="Times New Roman" w:eastAsia="Times New Roman" w:hAnsi="Times New Roman" w:cs="Times New Roman"/>
          <w:kern w:val="0"/>
          <w:szCs w:val="22"/>
          <w14:ligatures w14:val="none"/>
        </w:rPr>
        <w:t>Olhager</w:t>
      </w:r>
      <w:proofErr w:type="spellEnd"/>
      <w:r w:rsidRPr="00832FF3">
        <w:rPr>
          <w:rFonts w:ascii="Times New Roman" w:eastAsia="Times New Roman" w:hAnsi="Times New Roman" w:cs="Times New Roman"/>
          <w:kern w:val="0"/>
          <w:szCs w:val="22"/>
          <w14:ligatures w14:val="none"/>
        </w:rPr>
        <w:t xml:space="preserve">, J. (2012). Supply chain integration and performance. </w:t>
      </w:r>
      <w:r w:rsidRPr="00832FF3">
        <w:rPr>
          <w:rFonts w:ascii="Times New Roman" w:eastAsia="Times New Roman" w:hAnsi="Times New Roman" w:cs="Times New Roman"/>
          <w:i/>
          <w:kern w:val="0"/>
          <w:szCs w:val="22"/>
          <w14:ligatures w14:val="none"/>
        </w:rPr>
        <w:lastRenderedPageBreak/>
        <w:t>International Journal of Production Economics</w:t>
      </w:r>
      <w:r w:rsidRPr="00832FF3">
        <w:rPr>
          <w:rFonts w:ascii="Times New Roman" w:eastAsia="Times New Roman" w:hAnsi="Times New Roman" w:cs="Times New Roman"/>
          <w:kern w:val="0"/>
          <w:szCs w:val="22"/>
          <w14:ligatures w14:val="none"/>
        </w:rPr>
        <w:t>, 135(1), 514–522.</w:t>
      </w:r>
    </w:p>
    <w:p w14:paraId="47192A89" w14:textId="77777777" w:rsidR="00832FF3" w:rsidRPr="00832FF3" w:rsidRDefault="00832FF3" w:rsidP="00AE7FA9">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Saunders,</w:t>
      </w:r>
      <w:r w:rsidRPr="00832FF3">
        <w:rPr>
          <w:rFonts w:ascii="Times New Roman" w:eastAsia="Times New Roman" w:hAnsi="Times New Roman" w:cs="Times New Roman"/>
          <w:spacing w:val="29"/>
          <w:kern w:val="0"/>
          <w:szCs w:val="22"/>
          <w14:ligatures w14:val="none"/>
        </w:rPr>
        <w:t xml:space="preserve"> </w:t>
      </w:r>
      <w:r w:rsidRPr="00832FF3">
        <w:rPr>
          <w:rFonts w:ascii="Times New Roman" w:eastAsia="Times New Roman" w:hAnsi="Times New Roman" w:cs="Times New Roman"/>
          <w:kern w:val="0"/>
          <w:szCs w:val="22"/>
          <w14:ligatures w14:val="none"/>
        </w:rPr>
        <w:t>M.,</w:t>
      </w:r>
      <w:r w:rsidRPr="00832FF3">
        <w:rPr>
          <w:rFonts w:ascii="Times New Roman" w:eastAsia="Times New Roman" w:hAnsi="Times New Roman" w:cs="Times New Roman"/>
          <w:spacing w:val="34"/>
          <w:kern w:val="0"/>
          <w:szCs w:val="22"/>
          <w14:ligatures w14:val="none"/>
        </w:rPr>
        <w:t xml:space="preserve"> </w:t>
      </w:r>
      <w:r w:rsidRPr="00832FF3">
        <w:rPr>
          <w:rFonts w:ascii="Times New Roman" w:eastAsia="Times New Roman" w:hAnsi="Times New Roman" w:cs="Times New Roman"/>
          <w:kern w:val="0"/>
          <w:szCs w:val="22"/>
          <w14:ligatures w14:val="none"/>
        </w:rPr>
        <w:t>Lewis,</w:t>
      </w:r>
      <w:r w:rsidRPr="00832FF3">
        <w:rPr>
          <w:rFonts w:ascii="Times New Roman" w:eastAsia="Times New Roman" w:hAnsi="Times New Roman" w:cs="Times New Roman"/>
          <w:spacing w:val="34"/>
          <w:kern w:val="0"/>
          <w:szCs w:val="22"/>
          <w14:ligatures w14:val="none"/>
        </w:rPr>
        <w:t xml:space="preserve"> </w:t>
      </w:r>
      <w:r w:rsidRPr="00832FF3">
        <w:rPr>
          <w:rFonts w:ascii="Times New Roman" w:eastAsia="Times New Roman" w:hAnsi="Times New Roman" w:cs="Times New Roman"/>
          <w:kern w:val="0"/>
          <w:szCs w:val="22"/>
          <w14:ligatures w14:val="none"/>
        </w:rPr>
        <w:t>P.,</w:t>
      </w:r>
      <w:r w:rsidRPr="00832FF3">
        <w:rPr>
          <w:rFonts w:ascii="Times New Roman" w:eastAsia="Times New Roman" w:hAnsi="Times New Roman" w:cs="Times New Roman"/>
          <w:spacing w:val="34"/>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28"/>
          <w:kern w:val="0"/>
          <w:szCs w:val="22"/>
          <w14:ligatures w14:val="none"/>
        </w:rPr>
        <w:t xml:space="preserve"> </w:t>
      </w:r>
      <w:r w:rsidRPr="00832FF3">
        <w:rPr>
          <w:rFonts w:ascii="Times New Roman" w:eastAsia="Times New Roman" w:hAnsi="Times New Roman" w:cs="Times New Roman"/>
          <w:kern w:val="0"/>
          <w:szCs w:val="22"/>
          <w14:ligatures w14:val="none"/>
        </w:rPr>
        <w:t>Thornhill,</w:t>
      </w:r>
      <w:r w:rsidRPr="00832FF3">
        <w:rPr>
          <w:rFonts w:ascii="Times New Roman" w:eastAsia="Times New Roman" w:hAnsi="Times New Roman" w:cs="Times New Roman"/>
          <w:spacing w:val="13"/>
          <w:kern w:val="0"/>
          <w:szCs w:val="22"/>
          <w14:ligatures w14:val="none"/>
        </w:rPr>
        <w:t xml:space="preserve"> </w:t>
      </w:r>
      <w:r w:rsidRPr="00832FF3">
        <w:rPr>
          <w:rFonts w:ascii="Times New Roman" w:eastAsia="Times New Roman" w:hAnsi="Times New Roman" w:cs="Times New Roman"/>
          <w:kern w:val="0"/>
          <w:szCs w:val="22"/>
          <w14:ligatures w14:val="none"/>
        </w:rPr>
        <w:t>A.</w:t>
      </w:r>
      <w:r w:rsidRPr="00832FF3">
        <w:rPr>
          <w:rFonts w:ascii="Times New Roman" w:eastAsia="Times New Roman" w:hAnsi="Times New Roman" w:cs="Times New Roman"/>
          <w:spacing w:val="33"/>
          <w:kern w:val="0"/>
          <w:szCs w:val="22"/>
          <w14:ligatures w14:val="none"/>
        </w:rPr>
        <w:t xml:space="preserve"> </w:t>
      </w:r>
      <w:r w:rsidRPr="00832FF3">
        <w:rPr>
          <w:rFonts w:ascii="Times New Roman" w:eastAsia="Times New Roman" w:hAnsi="Times New Roman" w:cs="Times New Roman"/>
          <w:kern w:val="0"/>
          <w:szCs w:val="22"/>
          <w14:ligatures w14:val="none"/>
        </w:rPr>
        <w:t>(2019).</w:t>
      </w:r>
      <w:r w:rsidRPr="00832FF3">
        <w:rPr>
          <w:rFonts w:ascii="Times New Roman" w:eastAsia="Times New Roman" w:hAnsi="Times New Roman" w:cs="Times New Roman"/>
          <w:spacing w:val="37"/>
          <w:kern w:val="0"/>
          <w:szCs w:val="22"/>
          <w14:ligatures w14:val="none"/>
        </w:rPr>
        <w:t xml:space="preserve"> </w:t>
      </w:r>
      <w:r w:rsidRPr="00832FF3">
        <w:rPr>
          <w:rFonts w:ascii="Times New Roman" w:eastAsia="Times New Roman" w:hAnsi="Times New Roman" w:cs="Times New Roman"/>
          <w:i/>
          <w:kern w:val="0"/>
          <w:szCs w:val="22"/>
          <w14:ligatures w14:val="none"/>
        </w:rPr>
        <w:t>Research</w:t>
      </w:r>
      <w:r w:rsidRPr="00832FF3">
        <w:rPr>
          <w:rFonts w:ascii="Times New Roman" w:eastAsia="Times New Roman" w:hAnsi="Times New Roman" w:cs="Times New Roman"/>
          <w:i/>
          <w:spacing w:val="34"/>
          <w:kern w:val="0"/>
          <w:szCs w:val="22"/>
          <w14:ligatures w14:val="none"/>
        </w:rPr>
        <w:t xml:space="preserve"> </w:t>
      </w:r>
      <w:r w:rsidRPr="00832FF3">
        <w:rPr>
          <w:rFonts w:ascii="Times New Roman" w:eastAsia="Times New Roman" w:hAnsi="Times New Roman" w:cs="Times New Roman"/>
          <w:i/>
          <w:kern w:val="0"/>
          <w:szCs w:val="22"/>
          <w14:ligatures w14:val="none"/>
        </w:rPr>
        <w:t>methods</w:t>
      </w:r>
      <w:r w:rsidRPr="00832FF3">
        <w:rPr>
          <w:rFonts w:ascii="Times New Roman" w:eastAsia="Times New Roman" w:hAnsi="Times New Roman" w:cs="Times New Roman"/>
          <w:i/>
          <w:spacing w:val="35"/>
          <w:kern w:val="0"/>
          <w:szCs w:val="22"/>
          <w14:ligatures w14:val="none"/>
        </w:rPr>
        <w:t xml:space="preserve"> </w:t>
      </w:r>
      <w:r w:rsidRPr="00832FF3">
        <w:rPr>
          <w:rFonts w:ascii="Times New Roman" w:eastAsia="Times New Roman" w:hAnsi="Times New Roman" w:cs="Times New Roman"/>
          <w:i/>
          <w:kern w:val="0"/>
          <w:szCs w:val="22"/>
          <w14:ligatures w14:val="none"/>
        </w:rPr>
        <w:t>for</w:t>
      </w:r>
      <w:r w:rsidRPr="00832FF3">
        <w:rPr>
          <w:rFonts w:ascii="Times New Roman" w:eastAsia="Times New Roman" w:hAnsi="Times New Roman" w:cs="Times New Roman"/>
          <w:i/>
          <w:spacing w:val="34"/>
          <w:kern w:val="0"/>
          <w:szCs w:val="22"/>
          <w14:ligatures w14:val="none"/>
        </w:rPr>
        <w:t xml:space="preserve"> </w:t>
      </w:r>
      <w:r w:rsidRPr="00832FF3">
        <w:rPr>
          <w:rFonts w:ascii="Times New Roman" w:eastAsia="Times New Roman" w:hAnsi="Times New Roman" w:cs="Times New Roman"/>
          <w:i/>
          <w:kern w:val="0"/>
          <w:szCs w:val="22"/>
          <w14:ligatures w14:val="none"/>
        </w:rPr>
        <w:t>business</w:t>
      </w:r>
      <w:r w:rsidRPr="00832FF3">
        <w:rPr>
          <w:rFonts w:ascii="Times New Roman" w:eastAsia="Times New Roman" w:hAnsi="Times New Roman" w:cs="Times New Roman"/>
          <w:i/>
          <w:spacing w:val="35"/>
          <w:kern w:val="0"/>
          <w:szCs w:val="22"/>
          <w14:ligatures w14:val="none"/>
        </w:rPr>
        <w:t xml:space="preserve"> </w:t>
      </w:r>
      <w:r w:rsidRPr="00832FF3">
        <w:rPr>
          <w:rFonts w:ascii="Times New Roman" w:eastAsia="Times New Roman" w:hAnsi="Times New Roman" w:cs="Times New Roman"/>
          <w:i/>
          <w:kern w:val="0"/>
          <w:szCs w:val="22"/>
          <w14:ligatures w14:val="none"/>
        </w:rPr>
        <w:t>students</w:t>
      </w:r>
      <w:r w:rsidRPr="00832FF3">
        <w:rPr>
          <w:rFonts w:ascii="Times New Roman" w:eastAsia="Times New Roman" w:hAnsi="Times New Roman" w:cs="Times New Roman"/>
          <w:i/>
          <w:spacing w:val="37"/>
          <w:kern w:val="0"/>
          <w:szCs w:val="22"/>
          <w14:ligatures w14:val="none"/>
        </w:rPr>
        <w:t xml:space="preserve"> </w:t>
      </w:r>
      <w:r w:rsidRPr="00832FF3">
        <w:rPr>
          <w:rFonts w:ascii="Times New Roman" w:eastAsia="Times New Roman" w:hAnsi="Times New Roman" w:cs="Times New Roman"/>
          <w:kern w:val="0"/>
          <w:szCs w:val="22"/>
          <w14:ligatures w14:val="none"/>
        </w:rPr>
        <w:t>(8th</w:t>
      </w:r>
      <w:r w:rsidRPr="00832FF3">
        <w:rPr>
          <w:rFonts w:ascii="Times New Roman" w:eastAsia="Times New Roman" w:hAnsi="Times New Roman" w:cs="Times New Roman"/>
          <w:spacing w:val="34"/>
          <w:kern w:val="0"/>
          <w:szCs w:val="22"/>
          <w14:ligatures w14:val="none"/>
        </w:rPr>
        <w:t xml:space="preserve"> </w:t>
      </w:r>
      <w:r w:rsidRPr="00832FF3">
        <w:rPr>
          <w:rFonts w:ascii="Times New Roman" w:eastAsia="Times New Roman" w:hAnsi="Times New Roman" w:cs="Times New Roman"/>
          <w:spacing w:val="-2"/>
          <w:kern w:val="0"/>
          <w:szCs w:val="22"/>
          <w14:ligatures w14:val="none"/>
        </w:rPr>
        <w:t>ed.).</w:t>
      </w:r>
    </w:p>
    <w:p w14:paraId="2B81A170" w14:textId="77777777" w:rsidR="00832FF3" w:rsidRPr="00832FF3" w:rsidRDefault="00832FF3" w:rsidP="00AE7FA9">
      <w:pPr>
        <w:widowControl w:val="0"/>
        <w:autoSpaceDE w:val="0"/>
        <w:autoSpaceDN w:val="0"/>
        <w:spacing w:before="19" w:after="0" w:line="240" w:lineRule="auto"/>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Pearson</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spacing w:val="-2"/>
          <w:kern w:val="0"/>
          <w14:ligatures w14:val="none"/>
        </w:rPr>
        <w:t>Education.</w:t>
      </w:r>
    </w:p>
    <w:p w14:paraId="271B0D19" w14:textId="77777777" w:rsidR="00832FF3" w:rsidRPr="00832FF3" w:rsidRDefault="00832FF3" w:rsidP="00AE7FA9">
      <w:pPr>
        <w:widowControl w:val="0"/>
        <w:autoSpaceDE w:val="0"/>
        <w:autoSpaceDN w:val="0"/>
        <w:spacing w:before="22" w:after="0" w:line="240" w:lineRule="auto"/>
        <w:ind w:right="992"/>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Schöggl, J. P., Rusch, M., Stumpf, L., &amp; Baumgartner, R. J. (2023). Implementation of digital technologies for a circular economy and sustainability management in the manufacturing</w:t>
      </w:r>
      <w:r w:rsidRPr="00832FF3">
        <w:rPr>
          <w:rFonts w:ascii="Times New Roman" w:eastAsia="Times New Roman" w:hAnsi="Times New Roman" w:cs="Times New Roman"/>
          <w:spacing w:val="80"/>
          <w:kern w:val="0"/>
          <w14:ligatures w14:val="none"/>
        </w:rPr>
        <w:t xml:space="preserve"> </w:t>
      </w:r>
      <w:r w:rsidRPr="00832FF3">
        <w:rPr>
          <w:rFonts w:ascii="Times New Roman" w:eastAsia="Times New Roman" w:hAnsi="Times New Roman" w:cs="Times New Roman"/>
          <w:kern w:val="0"/>
          <w14:ligatures w14:val="none"/>
        </w:rPr>
        <w:t xml:space="preserve">sector. </w:t>
      </w:r>
      <w:r w:rsidRPr="00832FF3">
        <w:rPr>
          <w:rFonts w:ascii="Times New Roman" w:eastAsia="Times New Roman" w:hAnsi="Times New Roman" w:cs="Times New Roman"/>
          <w:i/>
          <w:kern w:val="0"/>
          <w14:ligatures w14:val="none"/>
        </w:rPr>
        <w:t>Sustainable Production and Consumption</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35</w:t>
      </w:r>
      <w:r w:rsidRPr="00832FF3">
        <w:rPr>
          <w:rFonts w:ascii="Times New Roman" w:eastAsia="Times New Roman" w:hAnsi="Times New Roman" w:cs="Times New Roman"/>
          <w:kern w:val="0"/>
          <w14:ligatures w14:val="none"/>
        </w:rPr>
        <w:t>, 401-420.</w:t>
      </w:r>
    </w:p>
    <w:p w14:paraId="53D22F87" w14:textId="77777777" w:rsidR="00832FF3" w:rsidRPr="00832FF3" w:rsidRDefault="00832FF3" w:rsidP="00AE7FA9">
      <w:pPr>
        <w:widowControl w:val="0"/>
        <w:autoSpaceDE w:val="0"/>
        <w:autoSpaceDN w:val="0"/>
        <w:spacing w:before="1" w:after="0" w:line="240" w:lineRule="auto"/>
        <w:ind w:right="982"/>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Scholtysik</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M.,</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Rasor,</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Petzke,</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L.,</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Koldewey,</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C.,</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14"/>
          <w:kern w:val="0"/>
          <w14:ligatures w14:val="none"/>
        </w:rPr>
        <w:t xml:space="preserve"> </w:t>
      </w:r>
      <w:r w:rsidRPr="00832FF3">
        <w:rPr>
          <w:rFonts w:ascii="Times New Roman" w:eastAsia="Times New Roman" w:hAnsi="Times New Roman" w:cs="Times New Roman"/>
          <w:kern w:val="0"/>
          <w14:ligatures w14:val="none"/>
        </w:rPr>
        <w:t>Dumitrescu,</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R.</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(2025).</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An</w:t>
      </w:r>
      <w:r w:rsidRPr="00832FF3">
        <w:rPr>
          <w:rFonts w:ascii="Times New Roman" w:eastAsia="Times New Roman" w:hAnsi="Times New Roman" w:cs="Times New Roman"/>
          <w:spacing w:val="-13"/>
          <w:kern w:val="0"/>
          <w14:ligatures w14:val="none"/>
        </w:rPr>
        <w:t xml:space="preserve"> </w:t>
      </w:r>
      <w:r w:rsidRPr="00832FF3">
        <w:rPr>
          <w:rFonts w:ascii="Times New Roman" w:eastAsia="Times New Roman" w:hAnsi="Times New Roman" w:cs="Times New Roman"/>
          <w:kern w:val="0"/>
          <w14:ligatures w14:val="none"/>
        </w:rPr>
        <w:t>integrative</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 xml:space="preserve">perspective on digital technologies and circular economy: a systematic literature review. </w:t>
      </w:r>
      <w:r w:rsidRPr="00832FF3">
        <w:rPr>
          <w:rFonts w:ascii="Times New Roman" w:eastAsia="Times New Roman" w:hAnsi="Times New Roman" w:cs="Times New Roman"/>
          <w:i/>
          <w:kern w:val="0"/>
          <w14:ligatures w14:val="none"/>
        </w:rPr>
        <w:t>Proceedings of the Design Society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5</w:t>
      </w:r>
      <w:r w:rsidRPr="00832FF3">
        <w:rPr>
          <w:rFonts w:ascii="Times New Roman" w:eastAsia="Times New Roman" w:hAnsi="Times New Roman" w:cs="Times New Roman"/>
          <w:kern w:val="0"/>
          <w14:ligatures w14:val="none"/>
        </w:rPr>
        <w:t>, 541-550.</w:t>
      </w:r>
    </w:p>
    <w:p w14:paraId="417637C4" w14:textId="77777777" w:rsidR="00832FF3" w:rsidRPr="00832FF3" w:rsidRDefault="00832FF3" w:rsidP="00AE7FA9">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Sekaran,</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kern w:val="0"/>
          <w:szCs w:val="22"/>
          <w14:ligatures w14:val="none"/>
        </w:rPr>
        <w:t>U.,</w:t>
      </w:r>
      <w:r w:rsidRPr="00832FF3">
        <w:rPr>
          <w:rFonts w:ascii="Times New Roman" w:eastAsia="Times New Roman" w:hAnsi="Times New Roman" w:cs="Times New Roman"/>
          <w:spacing w:val="5"/>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Bougie,</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R.</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kern w:val="0"/>
          <w:szCs w:val="22"/>
          <w14:ligatures w14:val="none"/>
        </w:rPr>
        <w:t>(2016).</w:t>
      </w:r>
      <w:r w:rsidRPr="00832FF3">
        <w:rPr>
          <w:rFonts w:ascii="Times New Roman" w:eastAsia="Times New Roman" w:hAnsi="Times New Roman" w:cs="Times New Roman"/>
          <w:spacing w:val="10"/>
          <w:kern w:val="0"/>
          <w:szCs w:val="22"/>
          <w14:ligatures w14:val="none"/>
        </w:rPr>
        <w:t xml:space="preserve"> </w:t>
      </w:r>
      <w:r w:rsidRPr="00832FF3">
        <w:rPr>
          <w:rFonts w:ascii="Times New Roman" w:eastAsia="Times New Roman" w:hAnsi="Times New Roman" w:cs="Times New Roman"/>
          <w:i/>
          <w:kern w:val="0"/>
          <w:szCs w:val="22"/>
          <w14:ligatures w14:val="none"/>
        </w:rPr>
        <w:t>Research</w:t>
      </w:r>
      <w:r w:rsidRPr="00832FF3">
        <w:rPr>
          <w:rFonts w:ascii="Times New Roman" w:eastAsia="Times New Roman" w:hAnsi="Times New Roman" w:cs="Times New Roman"/>
          <w:i/>
          <w:spacing w:val="7"/>
          <w:kern w:val="0"/>
          <w:szCs w:val="22"/>
          <w14:ligatures w14:val="none"/>
        </w:rPr>
        <w:t xml:space="preserve"> </w:t>
      </w:r>
      <w:r w:rsidRPr="00832FF3">
        <w:rPr>
          <w:rFonts w:ascii="Times New Roman" w:eastAsia="Times New Roman" w:hAnsi="Times New Roman" w:cs="Times New Roman"/>
          <w:i/>
          <w:kern w:val="0"/>
          <w:szCs w:val="22"/>
          <w14:ligatures w14:val="none"/>
        </w:rPr>
        <w:t>methods</w:t>
      </w:r>
      <w:r w:rsidRPr="00832FF3">
        <w:rPr>
          <w:rFonts w:ascii="Times New Roman" w:eastAsia="Times New Roman" w:hAnsi="Times New Roman" w:cs="Times New Roman"/>
          <w:i/>
          <w:spacing w:val="7"/>
          <w:kern w:val="0"/>
          <w:szCs w:val="22"/>
          <w14:ligatures w14:val="none"/>
        </w:rPr>
        <w:t xml:space="preserve"> </w:t>
      </w:r>
      <w:r w:rsidRPr="00832FF3">
        <w:rPr>
          <w:rFonts w:ascii="Times New Roman" w:eastAsia="Times New Roman" w:hAnsi="Times New Roman" w:cs="Times New Roman"/>
          <w:i/>
          <w:kern w:val="0"/>
          <w:szCs w:val="22"/>
          <w14:ligatures w14:val="none"/>
        </w:rPr>
        <w:t>for</w:t>
      </w:r>
      <w:r w:rsidRPr="00832FF3">
        <w:rPr>
          <w:rFonts w:ascii="Times New Roman" w:eastAsia="Times New Roman" w:hAnsi="Times New Roman" w:cs="Times New Roman"/>
          <w:i/>
          <w:spacing w:val="9"/>
          <w:kern w:val="0"/>
          <w:szCs w:val="22"/>
          <w14:ligatures w14:val="none"/>
        </w:rPr>
        <w:t xml:space="preserve"> </w:t>
      </w:r>
      <w:r w:rsidRPr="00832FF3">
        <w:rPr>
          <w:rFonts w:ascii="Times New Roman" w:eastAsia="Times New Roman" w:hAnsi="Times New Roman" w:cs="Times New Roman"/>
          <w:i/>
          <w:kern w:val="0"/>
          <w:szCs w:val="22"/>
          <w14:ligatures w14:val="none"/>
        </w:rPr>
        <w:t>business:</w:t>
      </w:r>
      <w:r w:rsidRPr="00832FF3">
        <w:rPr>
          <w:rFonts w:ascii="Times New Roman" w:eastAsia="Times New Roman" w:hAnsi="Times New Roman" w:cs="Times New Roman"/>
          <w:i/>
          <w:spacing w:val="3"/>
          <w:kern w:val="0"/>
          <w:szCs w:val="22"/>
          <w14:ligatures w14:val="none"/>
        </w:rPr>
        <w:t xml:space="preserve"> </w:t>
      </w:r>
      <w:r w:rsidRPr="00832FF3">
        <w:rPr>
          <w:rFonts w:ascii="Times New Roman" w:eastAsia="Times New Roman" w:hAnsi="Times New Roman" w:cs="Times New Roman"/>
          <w:i/>
          <w:kern w:val="0"/>
          <w:szCs w:val="22"/>
          <w14:ligatures w14:val="none"/>
        </w:rPr>
        <w:t>A skill-building</w:t>
      </w:r>
      <w:r w:rsidRPr="00832FF3">
        <w:rPr>
          <w:rFonts w:ascii="Times New Roman" w:eastAsia="Times New Roman" w:hAnsi="Times New Roman" w:cs="Times New Roman"/>
          <w:i/>
          <w:spacing w:val="9"/>
          <w:kern w:val="0"/>
          <w:szCs w:val="22"/>
          <w14:ligatures w14:val="none"/>
        </w:rPr>
        <w:t xml:space="preserve"> </w:t>
      </w:r>
      <w:r w:rsidRPr="00832FF3">
        <w:rPr>
          <w:rFonts w:ascii="Times New Roman" w:eastAsia="Times New Roman" w:hAnsi="Times New Roman" w:cs="Times New Roman"/>
          <w:i/>
          <w:kern w:val="0"/>
          <w:szCs w:val="22"/>
          <w14:ligatures w14:val="none"/>
        </w:rPr>
        <w:t>approach</w:t>
      </w:r>
      <w:r w:rsidRPr="00832FF3">
        <w:rPr>
          <w:rFonts w:ascii="Times New Roman" w:eastAsia="Times New Roman" w:hAnsi="Times New Roman" w:cs="Times New Roman"/>
          <w:i/>
          <w:spacing w:val="8"/>
          <w:kern w:val="0"/>
          <w:szCs w:val="22"/>
          <w14:ligatures w14:val="none"/>
        </w:rPr>
        <w:t xml:space="preserve"> </w:t>
      </w:r>
      <w:r w:rsidRPr="00832FF3">
        <w:rPr>
          <w:rFonts w:ascii="Times New Roman" w:eastAsia="Times New Roman" w:hAnsi="Times New Roman" w:cs="Times New Roman"/>
          <w:kern w:val="0"/>
          <w:szCs w:val="22"/>
          <w14:ligatures w14:val="none"/>
        </w:rPr>
        <w:t>(7th</w:t>
      </w:r>
      <w:r w:rsidRPr="00832FF3">
        <w:rPr>
          <w:rFonts w:ascii="Times New Roman" w:eastAsia="Times New Roman" w:hAnsi="Times New Roman" w:cs="Times New Roman"/>
          <w:spacing w:val="8"/>
          <w:kern w:val="0"/>
          <w:szCs w:val="22"/>
          <w14:ligatures w14:val="none"/>
        </w:rPr>
        <w:t xml:space="preserve"> </w:t>
      </w:r>
      <w:r w:rsidRPr="00832FF3">
        <w:rPr>
          <w:rFonts w:ascii="Times New Roman" w:eastAsia="Times New Roman" w:hAnsi="Times New Roman" w:cs="Times New Roman"/>
          <w:spacing w:val="-2"/>
          <w:kern w:val="0"/>
          <w:szCs w:val="22"/>
          <w14:ligatures w14:val="none"/>
        </w:rPr>
        <w:t>ed.).</w:t>
      </w:r>
    </w:p>
    <w:p w14:paraId="6F463F5B" w14:textId="77777777" w:rsidR="00832FF3" w:rsidRPr="00832FF3" w:rsidRDefault="00832FF3" w:rsidP="00AE7FA9">
      <w:pPr>
        <w:widowControl w:val="0"/>
        <w:autoSpaceDE w:val="0"/>
        <w:autoSpaceDN w:val="0"/>
        <w:spacing w:before="21" w:after="0" w:line="240" w:lineRule="auto"/>
        <w:rPr>
          <w:rFonts w:ascii="Times New Roman" w:eastAsia="Times New Roman" w:hAnsi="Times New Roman" w:cs="Times New Roman"/>
          <w:kern w:val="0"/>
          <w14:ligatures w14:val="none"/>
        </w:rPr>
      </w:pPr>
      <w:r w:rsidRPr="00832FF3">
        <w:rPr>
          <w:rFonts w:ascii="Times New Roman" w:eastAsia="Times New Roman" w:hAnsi="Times New Roman" w:cs="Times New Roman"/>
          <w:spacing w:val="-2"/>
          <w:kern w:val="0"/>
          <w14:ligatures w14:val="none"/>
        </w:rPr>
        <w:t>Wiley.</w:t>
      </w:r>
    </w:p>
    <w:p w14:paraId="74F96823" w14:textId="77777777" w:rsidR="00832FF3" w:rsidRPr="00832FF3" w:rsidRDefault="00832FF3" w:rsidP="00AE7FA9">
      <w:pPr>
        <w:widowControl w:val="0"/>
        <w:autoSpaceDE w:val="0"/>
        <w:autoSpaceDN w:val="0"/>
        <w:spacing w:before="22" w:after="0" w:line="240" w:lineRule="auto"/>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Statista.</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(2025).</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contribution</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to</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GDP</w:t>
      </w:r>
      <w:r w:rsidRPr="00832FF3">
        <w:rPr>
          <w:rFonts w:ascii="Times New Roman" w:eastAsia="Times New Roman" w:hAnsi="Times New Roman" w:cs="Times New Roman"/>
          <w:spacing w:val="-10"/>
          <w:kern w:val="0"/>
          <w14:ligatures w14:val="none"/>
        </w:rPr>
        <w:t xml:space="preserve"> </w:t>
      </w:r>
      <w:r w:rsidRPr="00832FF3">
        <w:rPr>
          <w:rFonts w:ascii="Times New Roman" w:eastAsia="Times New Roman" w:hAnsi="Times New Roman" w:cs="Times New Roman"/>
          <w:kern w:val="0"/>
          <w14:ligatures w14:val="none"/>
        </w:rPr>
        <w:t xml:space="preserve">in </w:t>
      </w:r>
      <w:r w:rsidRPr="00832FF3">
        <w:rPr>
          <w:rFonts w:ascii="Times New Roman" w:eastAsia="Times New Roman" w:hAnsi="Times New Roman" w:cs="Times New Roman"/>
          <w:spacing w:val="-2"/>
          <w:kern w:val="0"/>
          <w14:ligatures w14:val="none"/>
        </w:rPr>
        <w:t>Nigeria.</w:t>
      </w:r>
    </w:p>
    <w:p w14:paraId="1F1CFE14" w14:textId="77777777" w:rsidR="00832FF3" w:rsidRPr="00832FF3" w:rsidRDefault="00832FF3" w:rsidP="00AE7FA9">
      <w:pPr>
        <w:widowControl w:val="0"/>
        <w:autoSpaceDE w:val="0"/>
        <w:autoSpaceDN w:val="0"/>
        <w:spacing w:before="26" w:after="0" w:line="240" w:lineRule="auto"/>
        <w:ind w:right="883"/>
        <w:rPr>
          <w:rFonts w:ascii="Times New Roman" w:eastAsia="Times New Roman" w:hAnsi="Times New Roman" w:cs="Times New Roman"/>
          <w:i/>
          <w:kern w:val="0"/>
          <w14:ligatures w14:val="none"/>
        </w:rPr>
      </w:pPr>
      <w:r w:rsidRPr="00832FF3">
        <w:rPr>
          <w:rFonts w:ascii="Times New Roman" w:eastAsia="Times New Roman" w:hAnsi="Times New Roman" w:cs="Times New Roman"/>
          <w:kern w:val="0"/>
          <w14:ligatures w14:val="none"/>
        </w:rPr>
        <w:t xml:space="preserve">Teece, D. J. (2018). Business models and dynamic capabilities. </w:t>
      </w:r>
      <w:r w:rsidRPr="00832FF3">
        <w:rPr>
          <w:rFonts w:ascii="Times New Roman" w:eastAsia="Times New Roman" w:hAnsi="Times New Roman" w:cs="Times New Roman"/>
          <w:i/>
          <w:kern w:val="0"/>
          <w14:ligatures w14:val="none"/>
        </w:rPr>
        <w:t>Long Range Planning, 51</w:t>
      </w:r>
      <w:r w:rsidRPr="00832FF3">
        <w:rPr>
          <w:rFonts w:ascii="Times New Roman" w:eastAsia="Times New Roman" w:hAnsi="Times New Roman" w:cs="Times New Roman"/>
          <w:kern w:val="0"/>
          <w14:ligatures w14:val="none"/>
        </w:rPr>
        <w:t>(1), 40–49. Teece,</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J.,</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Pisano,</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G.,</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kern w:val="0"/>
          <w14:ligatures w14:val="none"/>
        </w:rPr>
        <w:t>&amp;</w:t>
      </w:r>
      <w:r w:rsidRPr="00832FF3">
        <w:rPr>
          <w:rFonts w:ascii="Times New Roman" w:eastAsia="Times New Roman" w:hAnsi="Times New Roman" w:cs="Times New Roman"/>
          <w:spacing w:val="-5"/>
          <w:kern w:val="0"/>
          <w14:ligatures w14:val="none"/>
        </w:rPr>
        <w:t xml:space="preserve"> </w:t>
      </w:r>
      <w:proofErr w:type="spellStart"/>
      <w:r w:rsidRPr="00832FF3">
        <w:rPr>
          <w:rFonts w:ascii="Times New Roman" w:eastAsia="Times New Roman" w:hAnsi="Times New Roman" w:cs="Times New Roman"/>
          <w:kern w:val="0"/>
          <w14:ligatures w14:val="none"/>
        </w:rPr>
        <w:t>Shuen</w:t>
      </w:r>
      <w:proofErr w:type="spellEnd"/>
      <w:r w:rsidRPr="00832FF3">
        <w:rPr>
          <w:rFonts w:ascii="Times New Roman" w:eastAsia="Times New Roman" w:hAnsi="Times New Roman" w:cs="Times New Roman"/>
          <w:kern w:val="0"/>
          <w14:ligatures w14:val="none"/>
        </w:rPr>
        <w:t>,</w:t>
      </w:r>
      <w:r w:rsidRPr="00832FF3">
        <w:rPr>
          <w:rFonts w:ascii="Times New Roman" w:eastAsia="Times New Roman" w:hAnsi="Times New Roman" w:cs="Times New Roman"/>
          <w:spacing w:val="-15"/>
          <w:kern w:val="0"/>
          <w14:ligatures w14:val="none"/>
        </w:rPr>
        <w:t xml:space="preserve"> </w:t>
      </w:r>
      <w:r w:rsidRPr="00832FF3">
        <w:rPr>
          <w:rFonts w:ascii="Times New Roman" w:eastAsia="Times New Roman" w:hAnsi="Times New Roman" w:cs="Times New Roman"/>
          <w:kern w:val="0"/>
          <w14:ligatures w14:val="none"/>
        </w:rPr>
        <w:t>A.</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(1997).</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Dynamic</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capabilities</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and</w:t>
      </w:r>
      <w:r w:rsidRPr="00832FF3">
        <w:rPr>
          <w:rFonts w:ascii="Times New Roman" w:eastAsia="Times New Roman" w:hAnsi="Times New Roman" w:cs="Times New Roman"/>
          <w:spacing w:val="-6"/>
          <w:kern w:val="0"/>
          <w14:ligatures w14:val="none"/>
        </w:rPr>
        <w:t xml:space="preserve"> </w:t>
      </w:r>
      <w:r w:rsidRPr="00832FF3">
        <w:rPr>
          <w:rFonts w:ascii="Times New Roman" w:eastAsia="Times New Roman" w:hAnsi="Times New Roman" w:cs="Times New Roman"/>
          <w:kern w:val="0"/>
          <w14:ligatures w14:val="none"/>
        </w:rPr>
        <w:t>strategic</w:t>
      </w:r>
      <w:r w:rsidRPr="00832FF3">
        <w:rPr>
          <w:rFonts w:ascii="Times New Roman" w:eastAsia="Times New Roman" w:hAnsi="Times New Roman" w:cs="Times New Roman"/>
          <w:spacing w:val="-7"/>
          <w:kern w:val="0"/>
          <w14:ligatures w14:val="none"/>
        </w:rPr>
        <w:t xml:space="preserve"> </w:t>
      </w:r>
      <w:r w:rsidRPr="00832FF3">
        <w:rPr>
          <w:rFonts w:ascii="Times New Roman" w:eastAsia="Times New Roman" w:hAnsi="Times New Roman" w:cs="Times New Roman"/>
          <w:kern w:val="0"/>
          <w14:ligatures w14:val="none"/>
        </w:rPr>
        <w:t>management.</w:t>
      </w:r>
      <w:r w:rsidRPr="00832FF3">
        <w:rPr>
          <w:rFonts w:ascii="Times New Roman" w:eastAsia="Times New Roman" w:hAnsi="Times New Roman" w:cs="Times New Roman"/>
          <w:spacing w:val="-3"/>
          <w:kern w:val="0"/>
          <w14:ligatures w14:val="none"/>
        </w:rPr>
        <w:t xml:space="preserve"> </w:t>
      </w:r>
      <w:r w:rsidRPr="00832FF3">
        <w:rPr>
          <w:rFonts w:ascii="Times New Roman" w:eastAsia="Times New Roman" w:hAnsi="Times New Roman" w:cs="Times New Roman"/>
          <w:i/>
          <w:kern w:val="0"/>
          <w14:ligatures w14:val="none"/>
        </w:rPr>
        <w:t>Strategic</w:t>
      </w:r>
    </w:p>
    <w:p w14:paraId="364C0661" w14:textId="77777777" w:rsidR="00832FF3" w:rsidRPr="00832FF3" w:rsidRDefault="00832FF3" w:rsidP="00AE7FA9">
      <w:pPr>
        <w:widowControl w:val="0"/>
        <w:autoSpaceDE w:val="0"/>
        <w:autoSpaceDN w:val="0"/>
        <w:spacing w:after="0" w:line="240" w:lineRule="auto"/>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i/>
          <w:kern w:val="0"/>
          <w:szCs w:val="22"/>
          <w14:ligatures w14:val="none"/>
        </w:rPr>
        <w:t>Management</w:t>
      </w:r>
      <w:r w:rsidRPr="00832FF3">
        <w:rPr>
          <w:rFonts w:ascii="Times New Roman" w:eastAsia="Times New Roman" w:hAnsi="Times New Roman" w:cs="Times New Roman"/>
          <w:i/>
          <w:spacing w:val="-2"/>
          <w:kern w:val="0"/>
          <w:szCs w:val="22"/>
          <w14:ligatures w14:val="none"/>
        </w:rPr>
        <w:t xml:space="preserve"> </w:t>
      </w:r>
      <w:r w:rsidRPr="00832FF3">
        <w:rPr>
          <w:rFonts w:ascii="Times New Roman" w:eastAsia="Times New Roman" w:hAnsi="Times New Roman" w:cs="Times New Roman"/>
          <w:i/>
          <w:kern w:val="0"/>
          <w:szCs w:val="22"/>
          <w14:ligatures w14:val="none"/>
        </w:rPr>
        <w:t>Journal,</w:t>
      </w:r>
      <w:r w:rsidRPr="00832FF3">
        <w:rPr>
          <w:rFonts w:ascii="Times New Roman" w:eastAsia="Times New Roman" w:hAnsi="Times New Roman" w:cs="Times New Roman"/>
          <w:i/>
          <w:spacing w:val="-4"/>
          <w:kern w:val="0"/>
          <w:szCs w:val="22"/>
          <w14:ligatures w14:val="none"/>
        </w:rPr>
        <w:t xml:space="preserve"> </w:t>
      </w:r>
      <w:r w:rsidRPr="00832FF3">
        <w:rPr>
          <w:rFonts w:ascii="Times New Roman" w:eastAsia="Times New Roman" w:hAnsi="Times New Roman" w:cs="Times New Roman"/>
          <w:i/>
          <w:kern w:val="0"/>
          <w:szCs w:val="22"/>
          <w14:ligatures w14:val="none"/>
        </w:rPr>
        <w:t>18</w:t>
      </w:r>
      <w:r w:rsidRPr="00832FF3">
        <w:rPr>
          <w:rFonts w:ascii="Times New Roman" w:eastAsia="Times New Roman" w:hAnsi="Times New Roman" w:cs="Times New Roman"/>
          <w:kern w:val="0"/>
          <w:szCs w:val="22"/>
          <w14:ligatures w14:val="none"/>
        </w:rPr>
        <w:t>(7),</w:t>
      </w:r>
      <w:r w:rsidRPr="00832FF3">
        <w:rPr>
          <w:rFonts w:ascii="Times New Roman" w:eastAsia="Times New Roman" w:hAnsi="Times New Roman" w:cs="Times New Roman"/>
          <w:spacing w:val="-4"/>
          <w:kern w:val="0"/>
          <w:szCs w:val="22"/>
          <w14:ligatures w14:val="none"/>
        </w:rPr>
        <w:t xml:space="preserve"> </w:t>
      </w:r>
      <w:r w:rsidRPr="00832FF3">
        <w:rPr>
          <w:rFonts w:ascii="Times New Roman" w:eastAsia="Times New Roman" w:hAnsi="Times New Roman" w:cs="Times New Roman"/>
          <w:spacing w:val="-2"/>
          <w:kern w:val="0"/>
          <w:szCs w:val="22"/>
          <w14:ligatures w14:val="none"/>
        </w:rPr>
        <w:t>509–533.</w:t>
      </w:r>
    </w:p>
    <w:p w14:paraId="1D9D8B29" w14:textId="77777777" w:rsidR="00832FF3" w:rsidRPr="00832FF3" w:rsidRDefault="00832FF3" w:rsidP="00AE7FA9">
      <w:pPr>
        <w:widowControl w:val="0"/>
        <w:autoSpaceDE w:val="0"/>
        <w:autoSpaceDN w:val="0"/>
        <w:spacing w:before="24" w:after="0" w:line="240" w:lineRule="auto"/>
        <w:ind w:right="979"/>
        <w:jc w:val="both"/>
        <w:rPr>
          <w:rFonts w:ascii="Times New Roman" w:eastAsia="Times New Roman" w:hAnsi="Times New Roman" w:cs="Times New Roman"/>
          <w:kern w:val="0"/>
          <w14:ligatures w14:val="none"/>
        </w:rPr>
      </w:pPr>
      <w:proofErr w:type="spellStart"/>
      <w:r w:rsidRPr="00832FF3">
        <w:rPr>
          <w:rFonts w:ascii="Times New Roman" w:eastAsia="Times New Roman" w:hAnsi="Times New Roman" w:cs="Times New Roman"/>
          <w:kern w:val="0"/>
          <w14:ligatures w14:val="none"/>
        </w:rPr>
        <w:t>Timperi</w:t>
      </w:r>
      <w:proofErr w:type="spellEnd"/>
      <w:r w:rsidRPr="00832FF3">
        <w:rPr>
          <w:rFonts w:ascii="Times New Roman" w:eastAsia="Times New Roman" w:hAnsi="Times New Roman" w:cs="Times New Roman"/>
          <w:kern w:val="0"/>
          <w14:ligatures w14:val="none"/>
        </w:rPr>
        <w:t xml:space="preserve">, M., Kokkonen, K., &amp; </w:t>
      </w:r>
      <w:proofErr w:type="spellStart"/>
      <w:r w:rsidRPr="00832FF3">
        <w:rPr>
          <w:rFonts w:ascii="Times New Roman" w:eastAsia="Times New Roman" w:hAnsi="Times New Roman" w:cs="Times New Roman"/>
          <w:kern w:val="0"/>
          <w14:ligatures w14:val="none"/>
        </w:rPr>
        <w:t>Hannola</w:t>
      </w:r>
      <w:proofErr w:type="spellEnd"/>
      <w:r w:rsidRPr="00832FF3">
        <w:rPr>
          <w:rFonts w:ascii="Times New Roman" w:eastAsia="Times New Roman" w:hAnsi="Times New Roman" w:cs="Times New Roman"/>
          <w:kern w:val="0"/>
          <w14:ligatures w14:val="none"/>
        </w:rPr>
        <w:t>, L. (2024). Digital twins for environmentally sustainable and circular</w:t>
      </w:r>
      <w:r w:rsidRPr="00832FF3">
        <w:rPr>
          <w:rFonts w:ascii="Times New Roman" w:eastAsia="Times New Roman" w:hAnsi="Times New Roman" w:cs="Times New Roman"/>
          <w:spacing w:val="-8"/>
          <w:kern w:val="0"/>
          <w14:ligatures w14:val="none"/>
        </w:rPr>
        <w:t xml:space="preserve"> </w:t>
      </w:r>
      <w:r w:rsidRPr="00832FF3">
        <w:rPr>
          <w:rFonts w:ascii="Times New Roman" w:eastAsia="Times New Roman" w:hAnsi="Times New Roman" w:cs="Times New Roman"/>
          <w:kern w:val="0"/>
          <w14:ligatures w14:val="none"/>
        </w:rPr>
        <w:t>manufacturing</w:t>
      </w:r>
      <w:r w:rsidRPr="00832FF3">
        <w:rPr>
          <w:rFonts w:ascii="Times New Roman" w:eastAsia="Times New Roman" w:hAnsi="Times New Roman" w:cs="Times New Roman"/>
          <w:spacing w:val="-4"/>
          <w:kern w:val="0"/>
          <w14:ligatures w14:val="none"/>
        </w:rPr>
        <w:t xml:space="preserve"> </w:t>
      </w:r>
      <w:r w:rsidRPr="00832FF3">
        <w:rPr>
          <w:rFonts w:ascii="Times New Roman" w:eastAsia="Times New Roman" w:hAnsi="Times New Roman" w:cs="Times New Roman"/>
          <w:kern w:val="0"/>
          <w14:ligatures w14:val="none"/>
        </w:rPr>
        <w:t>sector:</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visions</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from</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industry</w:t>
      </w:r>
      <w:r w:rsidRPr="00832FF3">
        <w:rPr>
          <w:rFonts w:ascii="Times New Roman" w:eastAsia="Times New Roman" w:hAnsi="Times New Roman" w:cs="Times New Roman"/>
          <w:spacing w:val="-5"/>
          <w:kern w:val="0"/>
          <w14:ligatures w14:val="none"/>
        </w:rPr>
        <w:t xml:space="preserve"> </w:t>
      </w:r>
      <w:r w:rsidRPr="00832FF3">
        <w:rPr>
          <w:rFonts w:ascii="Times New Roman" w:eastAsia="Times New Roman" w:hAnsi="Times New Roman" w:cs="Times New Roman"/>
          <w:kern w:val="0"/>
          <w14:ligatures w14:val="none"/>
        </w:rPr>
        <w:t>professionals.</w:t>
      </w:r>
      <w:r w:rsidRPr="00832FF3">
        <w:rPr>
          <w:rFonts w:ascii="Times New Roman" w:eastAsia="Times New Roman" w:hAnsi="Times New Roman" w:cs="Times New Roman"/>
          <w:spacing w:val="-2"/>
          <w:kern w:val="0"/>
          <w14:ligatures w14:val="none"/>
        </w:rPr>
        <w:t xml:space="preserve"> </w:t>
      </w:r>
      <w:r w:rsidRPr="00832FF3">
        <w:rPr>
          <w:rFonts w:ascii="Times New Roman" w:eastAsia="Times New Roman" w:hAnsi="Times New Roman" w:cs="Times New Roman"/>
          <w:i/>
          <w:kern w:val="0"/>
          <w14:ligatures w14:val="none"/>
        </w:rPr>
        <w:t>Production</w:t>
      </w:r>
      <w:r w:rsidRPr="00832FF3">
        <w:rPr>
          <w:rFonts w:ascii="Times New Roman" w:eastAsia="Times New Roman" w:hAnsi="Times New Roman" w:cs="Times New Roman"/>
          <w:i/>
          <w:spacing w:val="-5"/>
          <w:kern w:val="0"/>
          <w14:ligatures w14:val="none"/>
        </w:rPr>
        <w:t xml:space="preserve"> </w:t>
      </w:r>
      <w:r w:rsidRPr="00832FF3">
        <w:rPr>
          <w:rFonts w:ascii="Times New Roman" w:eastAsia="Times New Roman" w:hAnsi="Times New Roman" w:cs="Times New Roman"/>
          <w:i/>
          <w:kern w:val="0"/>
          <w14:ligatures w14:val="none"/>
        </w:rPr>
        <w:t>&amp;</w:t>
      </w:r>
      <w:r w:rsidRPr="00832FF3">
        <w:rPr>
          <w:rFonts w:ascii="Times New Roman" w:eastAsia="Times New Roman" w:hAnsi="Times New Roman" w:cs="Times New Roman"/>
          <w:i/>
          <w:spacing w:val="-5"/>
          <w:kern w:val="0"/>
          <w14:ligatures w14:val="none"/>
        </w:rPr>
        <w:t xml:space="preserve"> </w:t>
      </w:r>
      <w:r w:rsidRPr="00832FF3">
        <w:rPr>
          <w:rFonts w:ascii="Times New Roman" w:eastAsia="Times New Roman" w:hAnsi="Times New Roman" w:cs="Times New Roman"/>
          <w:i/>
          <w:kern w:val="0"/>
          <w14:ligatures w14:val="none"/>
        </w:rPr>
        <w:t>Manufacturing Research</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12</w:t>
      </w:r>
      <w:r w:rsidRPr="00832FF3">
        <w:rPr>
          <w:rFonts w:ascii="Times New Roman" w:eastAsia="Times New Roman" w:hAnsi="Times New Roman" w:cs="Times New Roman"/>
          <w:kern w:val="0"/>
          <w14:ligatures w14:val="none"/>
        </w:rPr>
        <w:t>(1), 2428249.</w:t>
      </w:r>
    </w:p>
    <w:p w14:paraId="3FF06828" w14:textId="77777777" w:rsidR="00832FF3" w:rsidRPr="00832FF3" w:rsidRDefault="00832FF3" w:rsidP="00AE7FA9">
      <w:pPr>
        <w:widowControl w:val="0"/>
        <w:autoSpaceDE w:val="0"/>
        <w:autoSpaceDN w:val="0"/>
        <w:spacing w:after="0" w:line="240" w:lineRule="auto"/>
        <w:ind w:right="989"/>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 xml:space="preserve">Trevisan, A. H., Zacharias, I. S., Liu, Q., Yang, M., &amp; Mascarenhas, J. (2021). Circular economy and digital technologies: A review of the current research streams. </w:t>
      </w:r>
      <w:r w:rsidRPr="00832FF3">
        <w:rPr>
          <w:rFonts w:ascii="Times New Roman" w:eastAsia="Times New Roman" w:hAnsi="Times New Roman" w:cs="Times New Roman"/>
          <w:i/>
          <w:kern w:val="0"/>
          <w14:ligatures w14:val="none"/>
        </w:rPr>
        <w:t>Proceedings of the design</w:t>
      </w:r>
      <w:r w:rsidRPr="00832FF3">
        <w:rPr>
          <w:rFonts w:ascii="Times New Roman" w:eastAsia="Times New Roman" w:hAnsi="Times New Roman" w:cs="Times New Roman"/>
          <w:i/>
          <w:spacing w:val="40"/>
          <w:kern w:val="0"/>
          <w14:ligatures w14:val="none"/>
        </w:rPr>
        <w:t xml:space="preserve"> </w:t>
      </w:r>
      <w:r w:rsidRPr="00832FF3">
        <w:rPr>
          <w:rFonts w:ascii="Times New Roman" w:eastAsia="Times New Roman" w:hAnsi="Times New Roman" w:cs="Times New Roman"/>
          <w:i/>
          <w:kern w:val="0"/>
          <w14:ligatures w14:val="none"/>
        </w:rPr>
        <w:t>society</w:t>
      </w:r>
      <w:r w:rsidRPr="00832FF3">
        <w:rPr>
          <w:rFonts w:ascii="Times New Roman" w:eastAsia="Times New Roman" w:hAnsi="Times New Roman" w:cs="Times New Roman"/>
          <w:kern w:val="0"/>
          <w14:ligatures w14:val="none"/>
        </w:rPr>
        <w:t xml:space="preserve">, </w:t>
      </w:r>
      <w:r w:rsidRPr="00832FF3">
        <w:rPr>
          <w:rFonts w:ascii="Times New Roman" w:eastAsia="Times New Roman" w:hAnsi="Times New Roman" w:cs="Times New Roman"/>
          <w:i/>
          <w:kern w:val="0"/>
          <w14:ligatures w14:val="none"/>
        </w:rPr>
        <w:t>1</w:t>
      </w:r>
      <w:r w:rsidRPr="00832FF3">
        <w:rPr>
          <w:rFonts w:ascii="Times New Roman" w:eastAsia="Times New Roman" w:hAnsi="Times New Roman" w:cs="Times New Roman"/>
          <w:kern w:val="0"/>
          <w14:ligatures w14:val="none"/>
        </w:rPr>
        <w:t>, 621-630.</w:t>
      </w:r>
    </w:p>
    <w:p w14:paraId="04D88C38" w14:textId="77777777" w:rsidR="00832FF3" w:rsidRPr="00832FF3" w:rsidRDefault="00832FF3" w:rsidP="00AE7FA9">
      <w:pPr>
        <w:widowControl w:val="0"/>
        <w:autoSpaceDE w:val="0"/>
        <w:autoSpaceDN w:val="0"/>
        <w:spacing w:after="0" w:line="240" w:lineRule="auto"/>
        <w:ind w:right="983"/>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Wako,</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J.</w:t>
      </w:r>
      <w:r w:rsidRPr="00832FF3">
        <w:rPr>
          <w:rFonts w:ascii="Times New Roman" w:eastAsia="Times New Roman" w:hAnsi="Times New Roman" w:cs="Times New Roman"/>
          <w:spacing w:val="-13"/>
          <w:kern w:val="0"/>
          <w:szCs w:val="22"/>
          <w14:ligatures w14:val="none"/>
        </w:rPr>
        <w:t xml:space="preserve"> </w:t>
      </w:r>
      <w:r w:rsidRPr="00832FF3">
        <w:rPr>
          <w:rFonts w:ascii="Times New Roman" w:eastAsia="Times New Roman" w:hAnsi="Times New Roman" w:cs="Times New Roman"/>
          <w:kern w:val="0"/>
          <w:szCs w:val="22"/>
          <w14:ligatures w14:val="none"/>
        </w:rPr>
        <w:t>G.,</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&amp;</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Mwanzia,</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M.</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(2024).</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Digital</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innovation</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strategy</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and</w:t>
      </w:r>
      <w:r w:rsidRPr="00832FF3">
        <w:rPr>
          <w:rFonts w:ascii="Times New Roman" w:eastAsia="Times New Roman" w:hAnsi="Times New Roman" w:cs="Times New Roman"/>
          <w:spacing w:val="-13"/>
          <w:kern w:val="0"/>
          <w:szCs w:val="22"/>
          <w14:ligatures w14:val="none"/>
        </w:rPr>
        <w:t xml:space="preserve"> </w:t>
      </w:r>
      <w:r w:rsidRPr="00832FF3">
        <w:rPr>
          <w:rFonts w:ascii="Times New Roman" w:eastAsia="Times New Roman" w:hAnsi="Times New Roman" w:cs="Times New Roman"/>
          <w:kern w:val="0"/>
          <w:szCs w:val="22"/>
          <w14:ligatures w14:val="none"/>
        </w:rPr>
        <w:t>performance</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of</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manufacturing</w:t>
      </w:r>
      <w:r w:rsidRPr="00832FF3">
        <w:rPr>
          <w:rFonts w:ascii="Times New Roman" w:eastAsia="Times New Roman" w:hAnsi="Times New Roman" w:cs="Times New Roman"/>
          <w:spacing w:val="-15"/>
          <w:kern w:val="0"/>
          <w:szCs w:val="22"/>
          <w14:ligatures w14:val="none"/>
        </w:rPr>
        <w:t xml:space="preserve"> </w:t>
      </w:r>
      <w:r w:rsidRPr="00832FF3">
        <w:rPr>
          <w:rFonts w:ascii="Times New Roman" w:eastAsia="Times New Roman" w:hAnsi="Times New Roman" w:cs="Times New Roman"/>
          <w:kern w:val="0"/>
          <w:szCs w:val="22"/>
          <w14:ligatures w14:val="none"/>
        </w:rPr>
        <w:t xml:space="preserve">firms in </w:t>
      </w:r>
      <w:proofErr w:type="gramStart"/>
      <w:r w:rsidRPr="00832FF3">
        <w:rPr>
          <w:rFonts w:ascii="Times New Roman" w:eastAsia="Times New Roman" w:hAnsi="Times New Roman" w:cs="Times New Roman"/>
          <w:kern w:val="0"/>
          <w:szCs w:val="22"/>
          <w14:ligatures w14:val="none"/>
        </w:rPr>
        <w:t>Nairobi county</w:t>
      </w:r>
      <w:proofErr w:type="gramEnd"/>
      <w:r w:rsidRPr="00832FF3">
        <w:rPr>
          <w:rFonts w:ascii="Times New Roman" w:eastAsia="Times New Roman" w:hAnsi="Times New Roman" w:cs="Times New Roman"/>
          <w:kern w:val="0"/>
          <w:szCs w:val="22"/>
          <w14:ligatures w14:val="none"/>
        </w:rPr>
        <w:t xml:space="preserve">, Kenya. </w:t>
      </w:r>
      <w:r w:rsidRPr="00832FF3">
        <w:rPr>
          <w:rFonts w:ascii="Times New Roman" w:eastAsia="Times New Roman" w:hAnsi="Times New Roman" w:cs="Times New Roman"/>
          <w:i/>
          <w:kern w:val="0"/>
          <w:szCs w:val="22"/>
          <w14:ligatures w14:val="none"/>
        </w:rPr>
        <w:t>International Journal of Social Sciences Management and Entrepreneurship (IJSSME)</w:t>
      </w:r>
      <w:r w:rsidRPr="00832FF3">
        <w:rPr>
          <w:rFonts w:ascii="Times New Roman" w:eastAsia="Times New Roman" w:hAnsi="Times New Roman" w:cs="Times New Roman"/>
          <w:kern w:val="0"/>
          <w:szCs w:val="22"/>
          <w14:ligatures w14:val="none"/>
        </w:rPr>
        <w:t xml:space="preserve">, </w:t>
      </w:r>
      <w:r w:rsidRPr="00832FF3">
        <w:rPr>
          <w:rFonts w:ascii="Times New Roman" w:eastAsia="Times New Roman" w:hAnsi="Times New Roman" w:cs="Times New Roman"/>
          <w:i/>
          <w:kern w:val="0"/>
          <w:szCs w:val="22"/>
          <w14:ligatures w14:val="none"/>
        </w:rPr>
        <w:t>8</w:t>
      </w:r>
      <w:r w:rsidRPr="00832FF3">
        <w:rPr>
          <w:rFonts w:ascii="Times New Roman" w:eastAsia="Times New Roman" w:hAnsi="Times New Roman" w:cs="Times New Roman"/>
          <w:kern w:val="0"/>
          <w:szCs w:val="22"/>
          <w14:ligatures w14:val="none"/>
        </w:rPr>
        <w:t>(3).</w:t>
      </w:r>
    </w:p>
    <w:p w14:paraId="0287F0FA" w14:textId="77777777" w:rsidR="00832FF3" w:rsidRPr="00832FF3" w:rsidRDefault="00832FF3" w:rsidP="00AE7FA9">
      <w:pPr>
        <w:widowControl w:val="0"/>
        <w:autoSpaceDE w:val="0"/>
        <w:autoSpaceDN w:val="0"/>
        <w:spacing w:after="0" w:line="240" w:lineRule="auto"/>
        <w:ind w:right="981"/>
        <w:jc w:val="both"/>
        <w:rPr>
          <w:rFonts w:ascii="Times New Roman" w:eastAsia="Times New Roman" w:hAnsi="Times New Roman" w:cs="Times New Roman"/>
          <w:kern w:val="0"/>
          <w14:ligatures w14:val="none"/>
        </w:rPr>
      </w:pPr>
      <w:r w:rsidRPr="00832FF3">
        <w:rPr>
          <w:rFonts w:ascii="Times New Roman" w:eastAsia="Times New Roman" w:hAnsi="Times New Roman" w:cs="Times New Roman"/>
          <w:kern w:val="0"/>
          <w14:ligatures w14:val="none"/>
        </w:rPr>
        <w:t>Warner, K., &amp;</w:t>
      </w:r>
      <w:r w:rsidRPr="00832FF3">
        <w:rPr>
          <w:rFonts w:ascii="Times New Roman" w:eastAsia="Times New Roman" w:hAnsi="Times New Roman" w:cs="Times New Roman"/>
          <w:spacing w:val="-2"/>
          <w:kern w:val="0"/>
          <w14:ligatures w14:val="none"/>
        </w:rPr>
        <w:t xml:space="preserve"> </w:t>
      </w:r>
      <w:proofErr w:type="spellStart"/>
      <w:r w:rsidRPr="00832FF3">
        <w:rPr>
          <w:rFonts w:ascii="Times New Roman" w:eastAsia="Times New Roman" w:hAnsi="Times New Roman" w:cs="Times New Roman"/>
          <w:kern w:val="0"/>
          <w14:ligatures w14:val="none"/>
        </w:rPr>
        <w:t>Wäger</w:t>
      </w:r>
      <w:proofErr w:type="spellEnd"/>
      <w:r w:rsidRPr="00832FF3">
        <w:rPr>
          <w:rFonts w:ascii="Times New Roman" w:eastAsia="Times New Roman" w:hAnsi="Times New Roman" w:cs="Times New Roman"/>
          <w:kern w:val="0"/>
          <w14:ligatures w14:val="none"/>
        </w:rPr>
        <w:t>, M. (2019). Building dynamic capabilities for digital</w:t>
      </w:r>
      <w:r w:rsidRPr="00832FF3">
        <w:rPr>
          <w:rFonts w:ascii="Times New Roman" w:eastAsia="Times New Roman" w:hAnsi="Times New Roman" w:cs="Times New Roman"/>
          <w:spacing w:val="-1"/>
          <w:kern w:val="0"/>
          <w14:ligatures w14:val="none"/>
        </w:rPr>
        <w:t xml:space="preserve"> </w:t>
      </w:r>
      <w:r w:rsidRPr="00832FF3">
        <w:rPr>
          <w:rFonts w:ascii="Times New Roman" w:eastAsia="Times New Roman" w:hAnsi="Times New Roman" w:cs="Times New Roman"/>
          <w:kern w:val="0"/>
          <w14:ligatures w14:val="none"/>
        </w:rPr>
        <w:t xml:space="preserve">transformation. </w:t>
      </w:r>
      <w:r w:rsidRPr="00832FF3">
        <w:rPr>
          <w:rFonts w:ascii="Times New Roman" w:eastAsia="Times New Roman" w:hAnsi="Times New Roman" w:cs="Times New Roman"/>
          <w:i/>
          <w:kern w:val="0"/>
          <w14:ligatures w14:val="none"/>
        </w:rPr>
        <w:t>Long Range Planning, 52</w:t>
      </w:r>
      <w:r w:rsidRPr="00832FF3">
        <w:rPr>
          <w:rFonts w:ascii="Times New Roman" w:eastAsia="Times New Roman" w:hAnsi="Times New Roman" w:cs="Times New Roman"/>
          <w:kern w:val="0"/>
          <w14:ligatures w14:val="none"/>
        </w:rPr>
        <w:t>(3), 326–349.</w:t>
      </w:r>
    </w:p>
    <w:p w14:paraId="343455E0" w14:textId="77777777" w:rsidR="00832FF3" w:rsidRPr="00832FF3" w:rsidRDefault="00832FF3" w:rsidP="00AE7FA9">
      <w:pPr>
        <w:widowControl w:val="0"/>
        <w:autoSpaceDE w:val="0"/>
        <w:autoSpaceDN w:val="0"/>
        <w:spacing w:after="0" w:line="240" w:lineRule="auto"/>
        <w:ind w:right="3042"/>
        <w:jc w:val="both"/>
        <w:rPr>
          <w:rFonts w:ascii="Times New Roman" w:eastAsia="Times New Roman" w:hAnsi="Times New Roman" w:cs="Times New Roman"/>
          <w:kern w:val="0"/>
          <w:szCs w:val="22"/>
          <w14:ligatures w14:val="none"/>
        </w:rPr>
      </w:pPr>
      <w:r w:rsidRPr="00832FF3">
        <w:rPr>
          <w:rFonts w:ascii="Times New Roman" w:eastAsia="Times New Roman" w:hAnsi="Times New Roman" w:cs="Times New Roman"/>
          <w:kern w:val="0"/>
          <w:szCs w:val="22"/>
          <w14:ligatures w14:val="none"/>
        </w:rPr>
        <w:t xml:space="preserve">World Bank. (2002). </w:t>
      </w:r>
      <w:r w:rsidRPr="00832FF3">
        <w:rPr>
          <w:rFonts w:ascii="Times New Roman" w:eastAsia="Times New Roman" w:hAnsi="Times New Roman" w:cs="Times New Roman"/>
          <w:i/>
          <w:kern w:val="0"/>
          <w:szCs w:val="22"/>
          <w14:ligatures w14:val="none"/>
        </w:rPr>
        <w:t>Nigeria: Private sector assessment report</w:t>
      </w:r>
      <w:r w:rsidRPr="00832FF3">
        <w:rPr>
          <w:rFonts w:ascii="Times New Roman" w:eastAsia="Times New Roman" w:hAnsi="Times New Roman" w:cs="Times New Roman"/>
          <w:kern w:val="0"/>
          <w:szCs w:val="22"/>
          <w14:ligatures w14:val="none"/>
        </w:rPr>
        <w:t>. World Bank. Yamane,</w:t>
      </w:r>
      <w:r w:rsidRPr="00832FF3">
        <w:rPr>
          <w:rFonts w:ascii="Times New Roman" w:eastAsia="Times New Roman" w:hAnsi="Times New Roman" w:cs="Times New Roman"/>
          <w:spacing w:val="-11"/>
          <w:kern w:val="0"/>
          <w:szCs w:val="22"/>
          <w14:ligatures w14:val="none"/>
        </w:rPr>
        <w:t xml:space="preserve"> </w:t>
      </w:r>
      <w:r w:rsidRPr="00832FF3">
        <w:rPr>
          <w:rFonts w:ascii="Times New Roman" w:eastAsia="Times New Roman" w:hAnsi="Times New Roman" w:cs="Times New Roman"/>
          <w:kern w:val="0"/>
          <w:szCs w:val="22"/>
          <w14:ligatures w14:val="none"/>
        </w:rPr>
        <w:t>T.</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kern w:val="0"/>
          <w:szCs w:val="22"/>
          <w14:ligatures w14:val="none"/>
        </w:rPr>
        <w:t>(1967).</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i/>
          <w:kern w:val="0"/>
          <w:szCs w:val="22"/>
          <w14:ligatures w14:val="none"/>
        </w:rPr>
        <w:t>Statistics:</w:t>
      </w:r>
      <w:r w:rsidRPr="00832FF3">
        <w:rPr>
          <w:rFonts w:ascii="Times New Roman" w:eastAsia="Times New Roman" w:hAnsi="Times New Roman" w:cs="Times New Roman"/>
          <w:i/>
          <w:spacing w:val="-13"/>
          <w:kern w:val="0"/>
          <w:szCs w:val="22"/>
          <w14:ligatures w14:val="none"/>
        </w:rPr>
        <w:t xml:space="preserve"> </w:t>
      </w:r>
      <w:r w:rsidRPr="00832FF3">
        <w:rPr>
          <w:rFonts w:ascii="Times New Roman" w:eastAsia="Times New Roman" w:hAnsi="Times New Roman" w:cs="Times New Roman"/>
          <w:i/>
          <w:kern w:val="0"/>
          <w:szCs w:val="22"/>
          <w14:ligatures w14:val="none"/>
        </w:rPr>
        <w:t>An</w:t>
      </w:r>
      <w:r w:rsidRPr="00832FF3">
        <w:rPr>
          <w:rFonts w:ascii="Times New Roman" w:eastAsia="Times New Roman" w:hAnsi="Times New Roman" w:cs="Times New Roman"/>
          <w:i/>
          <w:spacing w:val="-6"/>
          <w:kern w:val="0"/>
          <w:szCs w:val="22"/>
          <w14:ligatures w14:val="none"/>
        </w:rPr>
        <w:t xml:space="preserve"> </w:t>
      </w:r>
      <w:r w:rsidRPr="00832FF3">
        <w:rPr>
          <w:rFonts w:ascii="Times New Roman" w:eastAsia="Times New Roman" w:hAnsi="Times New Roman" w:cs="Times New Roman"/>
          <w:i/>
          <w:kern w:val="0"/>
          <w:szCs w:val="22"/>
          <w14:ligatures w14:val="none"/>
        </w:rPr>
        <w:t>introductory</w:t>
      </w:r>
      <w:r w:rsidRPr="00832FF3">
        <w:rPr>
          <w:rFonts w:ascii="Times New Roman" w:eastAsia="Times New Roman" w:hAnsi="Times New Roman" w:cs="Times New Roman"/>
          <w:i/>
          <w:spacing w:val="-9"/>
          <w:kern w:val="0"/>
          <w:szCs w:val="22"/>
          <w14:ligatures w14:val="none"/>
        </w:rPr>
        <w:t xml:space="preserve"> </w:t>
      </w:r>
      <w:r w:rsidRPr="00832FF3">
        <w:rPr>
          <w:rFonts w:ascii="Times New Roman" w:eastAsia="Times New Roman" w:hAnsi="Times New Roman" w:cs="Times New Roman"/>
          <w:i/>
          <w:kern w:val="0"/>
          <w:szCs w:val="22"/>
          <w14:ligatures w14:val="none"/>
        </w:rPr>
        <w:t>analysis</w:t>
      </w:r>
      <w:r w:rsidRPr="00832FF3">
        <w:rPr>
          <w:rFonts w:ascii="Times New Roman" w:eastAsia="Times New Roman" w:hAnsi="Times New Roman" w:cs="Times New Roman"/>
          <w:i/>
          <w:spacing w:val="-3"/>
          <w:kern w:val="0"/>
          <w:szCs w:val="22"/>
          <w14:ligatures w14:val="none"/>
        </w:rPr>
        <w:t xml:space="preserve"> </w:t>
      </w:r>
      <w:r w:rsidRPr="00832FF3">
        <w:rPr>
          <w:rFonts w:ascii="Times New Roman" w:eastAsia="Times New Roman" w:hAnsi="Times New Roman" w:cs="Times New Roman"/>
          <w:kern w:val="0"/>
          <w:szCs w:val="22"/>
          <w14:ligatures w14:val="none"/>
        </w:rPr>
        <w:t>(2nd</w:t>
      </w:r>
      <w:r w:rsidRPr="00832FF3">
        <w:rPr>
          <w:rFonts w:ascii="Times New Roman" w:eastAsia="Times New Roman" w:hAnsi="Times New Roman" w:cs="Times New Roman"/>
          <w:spacing w:val="-9"/>
          <w:kern w:val="0"/>
          <w:szCs w:val="22"/>
          <w14:ligatures w14:val="none"/>
        </w:rPr>
        <w:t xml:space="preserve"> </w:t>
      </w:r>
      <w:r w:rsidRPr="00832FF3">
        <w:rPr>
          <w:rFonts w:ascii="Times New Roman" w:eastAsia="Times New Roman" w:hAnsi="Times New Roman" w:cs="Times New Roman"/>
          <w:kern w:val="0"/>
          <w:szCs w:val="22"/>
          <w14:ligatures w14:val="none"/>
        </w:rPr>
        <w:t>ed.).</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kern w:val="0"/>
          <w:szCs w:val="22"/>
          <w14:ligatures w14:val="none"/>
        </w:rPr>
        <w:t>Harper</w:t>
      </w:r>
      <w:r w:rsidRPr="00832FF3">
        <w:rPr>
          <w:rFonts w:ascii="Times New Roman" w:eastAsia="Times New Roman" w:hAnsi="Times New Roman" w:cs="Times New Roman"/>
          <w:spacing w:val="-7"/>
          <w:kern w:val="0"/>
          <w:szCs w:val="22"/>
          <w14:ligatures w14:val="none"/>
        </w:rPr>
        <w:t xml:space="preserve"> </w:t>
      </w:r>
      <w:r w:rsidRPr="00832FF3">
        <w:rPr>
          <w:rFonts w:ascii="Times New Roman" w:eastAsia="Times New Roman" w:hAnsi="Times New Roman" w:cs="Times New Roman"/>
          <w:kern w:val="0"/>
          <w:szCs w:val="22"/>
          <w14:ligatures w14:val="none"/>
        </w:rPr>
        <w:t>and</w:t>
      </w:r>
      <w:r w:rsidRPr="00832FF3">
        <w:rPr>
          <w:rFonts w:ascii="Times New Roman" w:eastAsia="Times New Roman" w:hAnsi="Times New Roman" w:cs="Times New Roman"/>
          <w:spacing w:val="-6"/>
          <w:kern w:val="0"/>
          <w:szCs w:val="22"/>
          <w14:ligatures w14:val="none"/>
        </w:rPr>
        <w:t xml:space="preserve"> </w:t>
      </w:r>
      <w:r w:rsidRPr="00832FF3">
        <w:rPr>
          <w:rFonts w:ascii="Times New Roman" w:eastAsia="Times New Roman" w:hAnsi="Times New Roman" w:cs="Times New Roman"/>
          <w:spacing w:val="-4"/>
          <w:kern w:val="0"/>
          <w:szCs w:val="22"/>
          <w14:ligatures w14:val="none"/>
        </w:rPr>
        <w:t>Row.</w:t>
      </w:r>
    </w:p>
    <w:p w14:paraId="1A5A256B" w14:textId="77777777" w:rsidR="00641746" w:rsidRDefault="00641746" w:rsidP="00A60822">
      <w:pPr>
        <w:spacing w:after="0" w:line="240" w:lineRule="auto"/>
        <w:jc w:val="both"/>
        <w:rPr>
          <w:rFonts w:ascii="Times New Roman" w:hAnsi="Times New Roman" w:cs="Times New Roman"/>
          <w:b/>
          <w:bCs/>
          <w:sz w:val="36"/>
          <w:szCs w:val="36"/>
        </w:rPr>
      </w:pPr>
    </w:p>
    <w:p w14:paraId="14256301" w14:textId="77777777" w:rsidR="00641746" w:rsidRDefault="00641746" w:rsidP="00A60822">
      <w:pPr>
        <w:spacing w:after="0" w:line="240" w:lineRule="auto"/>
        <w:jc w:val="both"/>
        <w:rPr>
          <w:rFonts w:ascii="Times New Roman" w:hAnsi="Times New Roman" w:cs="Times New Roman"/>
          <w:b/>
          <w:bCs/>
          <w:sz w:val="36"/>
          <w:szCs w:val="36"/>
        </w:rPr>
      </w:pPr>
    </w:p>
    <w:p w14:paraId="1FE15562" w14:textId="77777777" w:rsidR="00641746" w:rsidRDefault="00641746" w:rsidP="00A60822">
      <w:pPr>
        <w:spacing w:after="0" w:line="240" w:lineRule="auto"/>
        <w:jc w:val="both"/>
        <w:rPr>
          <w:rFonts w:ascii="Times New Roman" w:hAnsi="Times New Roman" w:cs="Times New Roman"/>
          <w:b/>
          <w:bCs/>
          <w:sz w:val="36"/>
          <w:szCs w:val="36"/>
        </w:rPr>
      </w:pPr>
    </w:p>
    <w:p w14:paraId="554FEEB1" w14:textId="77777777" w:rsidR="00641746" w:rsidRDefault="00641746" w:rsidP="00A60822">
      <w:pPr>
        <w:spacing w:after="0" w:line="240" w:lineRule="auto"/>
        <w:jc w:val="both"/>
        <w:rPr>
          <w:rFonts w:ascii="Times New Roman" w:hAnsi="Times New Roman" w:cs="Times New Roman"/>
          <w:b/>
          <w:bCs/>
          <w:sz w:val="36"/>
          <w:szCs w:val="36"/>
        </w:rPr>
      </w:pPr>
    </w:p>
    <w:p w14:paraId="640912DD" w14:textId="77777777" w:rsidR="00641746" w:rsidRDefault="00641746" w:rsidP="00A60822">
      <w:pPr>
        <w:spacing w:after="0" w:line="240" w:lineRule="auto"/>
        <w:jc w:val="both"/>
        <w:rPr>
          <w:rFonts w:ascii="Times New Roman" w:hAnsi="Times New Roman" w:cs="Times New Roman"/>
          <w:b/>
          <w:bCs/>
          <w:sz w:val="36"/>
          <w:szCs w:val="36"/>
        </w:rPr>
      </w:pPr>
    </w:p>
    <w:p w14:paraId="7DD79F6D" w14:textId="77777777" w:rsidR="00641746" w:rsidRDefault="00641746" w:rsidP="00A60822">
      <w:pPr>
        <w:spacing w:after="0" w:line="240" w:lineRule="auto"/>
        <w:jc w:val="both"/>
        <w:rPr>
          <w:rFonts w:ascii="Times New Roman" w:hAnsi="Times New Roman" w:cs="Times New Roman"/>
          <w:b/>
          <w:bCs/>
          <w:sz w:val="36"/>
          <w:szCs w:val="36"/>
        </w:rPr>
      </w:pPr>
    </w:p>
    <w:p w14:paraId="6CB91DE5" w14:textId="77777777" w:rsidR="00641746" w:rsidRDefault="00641746" w:rsidP="00A60822">
      <w:pPr>
        <w:spacing w:after="0" w:line="240" w:lineRule="auto"/>
        <w:jc w:val="both"/>
        <w:rPr>
          <w:rFonts w:ascii="Times New Roman" w:hAnsi="Times New Roman" w:cs="Times New Roman"/>
          <w:b/>
          <w:bCs/>
          <w:sz w:val="36"/>
          <w:szCs w:val="36"/>
        </w:rPr>
      </w:pPr>
    </w:p>
    <w:p w14:paraId="273C3E1B" w14:textId="77777777" w:rsidR="00641746" w:rsidRDefault="00641746" w:rsidP="00A60822">
      <w:pPr>
        <w:spacing w:after="0" w:line="240" w:lineRule="auto"/>
        <w:jc w:val="both"/>
        <w:rPr>
          <w:rFonts w:ascii="Times New Roman" w:hAnsi="Times New Roman" w:cs="Times New Roman"/>
          <w:b/>
          <w:bCs/>
          <w:sz w:val="36"/>
          <w:szCs w:val="36"/>
        </w:rPr>
      </w:pPr>
    </w:p>
    <w:p w14:paraId="7840602D" w14:textId="77777777" w:rsidR="00641746" w:rsidRDefault="00641746" w:rsidP="00A60822">
      <w:pPr>
        <w:spacing w:after="0" w:line="240" w:lineRule="auto"/>
        <w:jc w:val="both"/>
        <w:rPr>
          <w:rFonts w:ascii="Times New Roman" w:hAnsi="Times New Roman" w:cs="Times New Roman"/>
          <w:b/>
          <w:bCs/>
          <w:sz w:val="36"/>
          <w:szCs w:val="36"/>
        </w:rPr>
      </w:pPr>
    </w:p>
    <w:p w14:paraId="720FABD4" w14:textId="77777777" w:rsidR="00641746" w:rsidRDefault="00641746" w:rsidP="00A60822">
      <w:pPr>
        <w:spacing w:after="0" w:line="240" w:lineRule="auto"/>
        <w:jc w:val="both"/>
        <w:rPr>
          <w:rFonts w:ascii="Times New Roman" w:hAnsi="Times New Roman" w:cs="Times New Roman"/>
          <w:b/>
          <w:bCs/>
          <w:sz w:val="36"/>
          <w:szCs w:val="36"/>
        </w:rPr>
      </w:pPr>
    </w:p>
    <w:p w14:paraId="54EF20FB" w14:textId="77777777" w:rsidR="00641746" w:rsidRDefault="00641746" w:rsidP="00A60822">
      <w:pPr>
        <w:spacing w:after="0" w:line="240" w:lineRule="auto"/>
        <w:jc w:val="both"/>
        <w:rPr>
          <w:rFonts w:ascii="Times New Roman" w:hAnsi="Times New Roman" w:cs="Times New Roman"/>
          <w:b/>
          <w:bCs/>
          <w:sz w:val="36"/>
          <w:szCs w:val="36"/>
        </w:rPr>
      </w:pPr>
    </w:p>
    <w:p w14:paraId="189782E0" w14:textId="77777777" w:rsidR="00641746" w:rsidRDefault="00641746" w:rsidP="00A60822">
      <w:pPr>
        <w:spacing w:after="0" w:line="240" w:lineRule="auto"/>
        <w:jc w:val="both"/>
        <w:rPr>
          <w:rFonts w:ascii="Times New Roman" w:hAnsi="Times New Roman" w:cs="Times New Roman"/>
          <w:b/>
          <w:bCs/>
          <w:sz w:val="36"/>
          <w:szCs w:val="36"/>
        </w:rPr>
      </w:pPr>
    </w:p>
    <w:tbl>
      <w:tblPr>
        <w:tblStyle w:val="TableGrid8"/>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6"/>
      </w:tblGrid>
      <w:tr w:rsidR="00070085" w:rsidRPr="00070085" w14:paraId="28BFFCE1" w14:textId="77777777" w:rsidTr="005C4055">
        <w:trPr>
          <w:trHeight w:val="90"/>
        </w:trPr>
        <w:tc>
          <w:tcPr>
            <w:tcW w:w="9236" w:type="dxa"/>
          </w:tcPr>
          <w:p w14:paraId="32CD30FA" w14:textId="77777777" w:rsidR="00070085" w:rsidRPr="00070085" w:rsidRDefault="00070085" w:rsidP="00070085">
            <w:pPr>
              <w:spacing w:beforeAutospacing="1" w:afterAutospacing="1"/>
              <w:ind w:left="1215" w:hangingChars="550" w:hanging="1215"/>
              <w:jc w:val="center"/>
              <w:rPr>
                <w:b/>
                <w:bCs/>
                <w:sz w:val="22"/>
                <w:szCs w:val="22"/>
                <w:lang w:eastAsia="zh-CN"/>
              </w:rPr>
            </w:pPr>
            <w:r w:rsidRPr="00070085">
              <w:rPr>
                <w:b/>
                <w:bCs/>
                <w:sz w:val="22"/>
                <w:szCs w:val="22"/>
                <w:lang w:eastAsia="zh-CN"/>
              </w:rPr>
              <w:lastRenderedPageBreak/>
              <w:t>LEAN MANAGEMENT SYSTEMS AND ORGANIZATIONAL EFFECTIVENESS OF MIDSTREAM OIL AND GAS COMPANIES IN RIVERS STATE, NIGERIA</w:t>
            </w:r>
          </w:p>
          <w:p w14:paraId="04DCB965" w14:textId="77777777" w:rsidR="00070085" w:rsidRPr="00070085" w:rsidRDefault="00070085" w:rsidP="00070085">
            <w:pPr>
              <w:spacing w:beforeAutospacing="1" w:afterAutospacing="1"/>
              <w:jc w:val="center"/>
              <w:rPr>
                <w:b/>
                <w:color w:val="000000"/>
                <w:sz w:val="22"/>
                <w:szCs w:val="22"/>
                <w:shd w:val="clear" w:color="auto" w:fill="FFFFFF"/>
                <w:lang w:eastAsia="zh-CN"/>
              </w:rPr>
            </w:pPr>
            <w:r w:rsidRPr="00070085">
              <w:rPr>
                <w:b/>
                <w:bCs/>
                <w:sz w:val="22"/>
                <w:szCs w:val="22"/>
                <w:vertAlign w:val="superscript"/>
                <w:lang w:eastAsia="zh-CN"/>
              </w:rPr>
              <w:t>1</w:t>
            </w:r>
            <w:r w:rsidRPr="00070085">
              <w:rPr>
                <w:b/>
                <w:bCs/>
                <w:sz w:val="22"/>
                <w:szCs w:val="22"/>
                <w:lang w:eastAsia="zh-CN"/>
              </w:rPr>
              <w:t xml:space="preserve">Dr. OKOISAMA, Thomas Chinye </w:t>
            </w:r>
            <w:r w:rsidRPr="00070085">
              <w:rPr>
                <w:b/>
                <w:color w:val="000000"/>
                <w:sz w:val="22"/>
                <w:szCs w:val="22"/>
                <w:shd w:val="clear" w:color="auto" w:fill="FFFFFF"/>
                <w:lang w:eastAsia="zh-CN"/>
              </w:rPr>
              <w:t>(</w:t>
            </w:r>
            <w:proofErr w:type="gramStart"/>
            <w:r w:rsidRPr="00070085">
              <w:rPr>
                <w:b/>
                <w:color w:val="000000"/>
                <w:sz w:val="22"/>
                <w:szCs w:val="22"/>
                <w:shd w:val="clear" w:color="auto" w:fill="FFFFFF"/>
                <w:lang w:eastAsia="zh-CN"/>
              </w:rPr>
              <w:t>ORCID :</w:t>
            </w:r>
            <w:proofErr w:type="gramEnd"/>
            <w:r w:rsidRPr="00070085">
              <w:rPr>
                <w:b/>
                <w:color w:val="000000"/>
                <w:sz w:val="22"/>
                <w:szCs w:val="22"/>
                <w:shd w:val="clear" w:color="auto" w:fill="FFFFFF"/>
                <w:lang w:eastAsia="zh-CN"/>
              </w:rPr>
              <w:t xml:space="preserve"> 0009-0002-4628-5841); &amp;</w:t>
            </w:r>
            <w:r w:rsidRPr="00070085">
              <w:rPr>
                <w:b/>
                <w:bCs/>
                <w:sz w:val="22"/>
                <w:szCs w:val="22"/>
                <w:vertAlign w:val="superscript"/>
                <w:lang w:eastAsia="zh-CN"/>
              </w:rPr>
              <w:t>2</w:t>
            </w:r>
            <w:r w:rsidRPr="00070085">
              <w:rPr>
                <w:b/>
                <w:bCs/>
                <w:sz w:val="22"/>
                <w:szCs w:val="22"/>
                <w:lang w:eastAsia="zh-CN"/>
              </w:rPr>
              <w:t>Dr.</w:t>
            </w:r>
            <w:r w:rsidRPr="00070085">
              <w:rPr>
                <w:b/>
                <w:bCs/>
                <w:sz w:val="22"/>
                <w:szCs w:val="22"/>
                <w:vertAlign w:val="superscript"/>
                <w:lang w:eastAsia="zh-CN"/>
              </w:rPr>
              <w:t xml:space="preserve"> </w:t>
            </w:r>
            <w:proofErr w:type="gramStart"/>
            <w:r w:rsidRPr="00070085">
              <w:rPr>
                <w:b/>
                <w:bCs/>
                <w:sz w:val="22"/>
                <w:szCs w:val="22"/>
                <w:lang w:eastAsia="zh-CN"/>
              </w:rPr>
              <w:t>HETTEY</w:t>
            </w:r>
            <w:r w:rsidRPr="00070085">
              <w:rPr>
                <w:b/>
                <w:bCs/>
                <w:sz w:val="22"/>
                <w:szCs w:val="22"/>
                <w:vertAlign w:val="superscript"/>
                <w:lang w:eastAsia="zh-CN"/>
              </w:rPr>
              <w:t xml:space="preserve"> </w:t>
            </w:r>
            <w:r w:rsidRPr="00070085">
              <w:rPr>
                <w:b/>
                <w:bCs/>
                <w:sz w:val="22"/>
                <w:szCs w:val="22"/>
                <w:lang w:eastAsia="zh-CN"/>
              </w:rPr>
              <w:t>,</w:t>
            </w:r>
            <w:proofErr w:type="gramEnd"/>
            <w:r w:rsidRPr="00070085">
              <w:rPr>
                <w:b/>
                <w:bCs/>
                <w:sz w:val="22"/>
                <w:szCs w:val="22"/>
                <w:lang w:eastAsia="zh-CN"/>
              </w:rPr>
              <w:t xml:space="preserve"> Hubert Daniel </w:t>
            </w:r>
            <w:r w:rsidRPr="00070085">
              <w:rPr>
                <w:b/>
                <w:sz w:val="22"/>
                <w:szCs w:val="22"/>
                <w:lang w:eastAsia="zh-CN"/>
              </w:rPr>
              <w:t>(</w:t>
            </w:r>
            <w:proofErr w:type="gramStart"/>
            <w:r w:rsidRPr="00070085">
              <w:rPr>
                <w:b/>
                <w:sz w:val="22"/>
                <w:szCs w:val="22"/>
                <w:lang w:eastAsia="zh-CN"/>
              </w:rPr>
              <w:t>ORCID :</w:t>
            </w:r>
            <w:proofErr w:type="gramEnd"/>
            <w:r w:rsidRPr="00070085">
              <w:rPr>
                <w:b/>
                <w:sz w:val="22"/>
                <w:szCs w:val="22"/>
                <w:lang w:eastAsia="zh-CN"/>
              </w:rPr>
              <w:t xml:space="preserve"> 0009-0007-4203-5024)</w:t>
            </w:r>
          </w:p>
          <w:p w14:paraId="22C1119D" w14:textId="77777777" w:rsidR="00070085" w:rsidRPr="00070085" w:rsidRDefault="00070085" w:rsidP="00070085">
            <w:pPr>
              <w:spacing w:beforeAutospacing="1" w:afterAutospacing="1"/>
              <w:jc w:val="center"/>
              <w:rPr>
                <w:b/>
                <w:bCs/>
                <w:sz w:val="22"/>
                <w:szCs w:val="22"/>
                <w:lang w:eastAsia="zh-CN"/>
              </w:rPr>
            </w:pPr>
            <w:r w:rsidRPr="00070085">
              <w:rPr>
                <w:b/>
                <w:sz w:val="22"/>
                <w:szCs w:val="22"/>
                <w:vertAlign w:val="superscript"/>
                <w:lang w:eastAsia="zh-CN"/>
              </w:rPr>
              <w:t>1</w:t>
            </w:r>
            <w:r w:rsidRPr="00070085">
              <w:rPr>
                <w:b/>
                <w:bCs/>
                <w:sz w:val="22"/>
                <w:szCs w:val="22"/>
                <w:lang w:eastAsia="zh-CN"/>
              </w:rPr>
              <w:t>University of Port Harcourt, East West Road, Port Harcourt, Nigeria</w:t>
            </w:r>
          </w:p>
          <w:p w14:paraId="63CD772B" w14:textId="77777777" w:rsidR="00070085" w:rsidRPr="00070085" w:rsidRDefault="00070085" w:rsidP="00070085">
            <w:pPr>
              <w:ind w:firstLineChars="500" w:firstLine="1104"/>
              <w:jc w:val="center"/>
              <w:rPr>
                <w:b/>
                <w:bCs/>
                <w:sz w:val="22"/>
                <w:szCs w:val="22"/>
              </w:rPr>
            </w:pPr>
            <w:r w:rsidRPr="00070085">
              <w:rPr>
                <w:b/>
                <w:bCs/>
                <w:sz w:val="22"/>
                <w:szCs w:val="22"/>
                <w:vertAlign w:val="superscript"/>
              </w:rPr>
              <w:t>2</w:t>
            </w:r>
            <w:r w:rsidRPr="00070085">
              <w:rPr>
                <w:b/>
                <w:bCs/>
                <w:sz w:val="22"/>
                <w:szCs w:val="22"/>
              </w:rPr>
              <w:t xml:space="preserve">Ignatius </w:t>
            </w:r>
            <w:proofErr w:type="spellStart"/>
            <w:r w:rsidRPr="00070085">
              <w:rPr>
                <w:b/>
                <w:bCs/>
                <w:sz w:val="22"/>
                <w:szCs w:val="22"/>
              </w:rPr>
              <w:t>Aguru</w:t>
            </w:r>
            <w:proofErr w:type="spellEnd"/>
            <w:r w:rsidRPr="00070085">
              <w:rPr>
                <w:b/>
                <w:bCs/>
                <w:sz w:val="22"/>
                <w:szCs w:val="22"/>
              </w:rPr>
              <w:t xml:space="preserve"> University, </w:t>
            </w:r>
            <w:proofErr w:type="spellStart"/>
            <w:r w:rsidRPr="00070085">
              <w:rPr>
                <w:b/>
                <w:bCs/>
                <w:sz w:val="22"/>
                <w:szCs w:val="22"/>
              </w:rPr>
              <w:t>Rumuolumeni</w:t>
            </w:r>
            <w:proofErr w:type="spellEnd"/>
            <w:r w:rsidRPr="00070085">
              <w:rPr>
                <w:b/>
                <w:bCs/>
                <w:sz w:val="22"/>
                <w:szCs w:val="22"/>
              </w:rPr>
              <w:t>, Port Harcourt, Nigeria</w:t>
            </w:r>
          </w:p>
          <w:p w14:paraId="5C61A33B" w14:textId="77777777" w:rsidR="00070085" w:rsidRPr="00070085" w:rsidRDefault="00070085" w:rsidP="00070085">
            <w:pPr>
              <w:ind w:firstLineChars="400" w:firstLine="883"/>
              <w:jc w:val="center"/>
              <w:rPr>
                <w:b/>
                <w:bCs/>
                <w:sz w:val="22"/>
                <w:szCs w:val="22"/>
              </w:rPr>
            </w:pPr>
            <w:r w:rsidRPr="00070085">
              <w:rPr>
                <w:b/>
                <w:bCs/>
                <w:sz w:val="22"/>
                <w:szCs w:val="22"/>
              </w:rPr>
              <w:t xml:space="preserve">Corresponding Author: Email: </w:t>
            </w:r>
            <w:hyperlink r:id="rId275" w:history="1">
              <w:r w:rsidRPr="00070085">
                <w:rPr>
                  <w:b/>
                  <w:bCs/>
                  <w:color w:val="0563C1"/>
                  <w:sz w:val="22"/>
                  <w:szCs w:val="22"/>
                  <w:u w:val="single"/>
                </w:rPr>
                <w:t>huberthettey@gmail.com;</w:t>
              </w:r>
            </w:hyperlink>
            <w:r w:rsidRPr="00070085">
              <w:rPr>
                <w:b/>
                <w:bCs/>
                <w:sz w:val="22"/>
                <w:szCs w:val="22"/>
              </w:rPr>
              <w:t xml:space="preserve"> </w:t>
            </w:r>
            <w:r w:rsidRPr="00070085">
              <w:rPr>
                <w:i/>
                <w:iCs/>
                <w:sz w:val="22"/>
                <w:szCs w:val="22"/>
                <w:shd w:val="clear" w:color="auto" w:fill="FFFFFF"/>
              </w:rPr>
              <w:t>+2347030580330</w:t>
            </w:r>
          </w:p>
        </w:tc>
      </w:tr>
    </w:tbl>
    <w:p w14:paraId="68551389" w14:textId="77777777" w:rsidR="00070085" w:rsidRPr="00070085" w:rsidRDefault="00070085" w:rsidP="00070085">
      <w:pPr>
        <w:spacing w:before="120" w:after="120" w:line="240" w:lineRule="auto"/>
        <w:contextualSpacing/>
        <w:jc w:val="center"/>
        <w:rPr>
          <w:rFonts w:ascii="Times New Roman" w:eastAsia="SimSun" w:hAnsi="Times New Roman" w:cs="Times New Roman"/>
          <w:b/>
          <w:kern w:val="0"/>
          <w:sz w:val="28"/>
          <w:szCs w:val="28"/>
          <w14:ligatures w14:val="none"/>
        </w:rPr>
      </w:pPr>
    </w:p>
    <w:p w14:paraId="22DB59C5" w14:textId="77777777" w:rsidR="00070085" w:rsidRPr="00070085" w:rsidRDefault="00070085" w:rsidP="00070085">
      <w:pPr>
        <w:spacing w:after="0" w:line="240" w:lineRule="exact"/>
        <w:contextualSpacing/>
        <w:jc w:val="center"/>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 xml:space="preserve">ABSTRACT    </w:t>
      </w:r>
    </w:p>
    <w:p w14:paraId="540F9CBA" w14:textId="77777777" w:rsidR="00070085" w:rsidRPr="00070085" w:rsidRDefault="00070085" w:rsidP="00070085">
      <w:pPr>
        <w:spacing w:after="0" w:line="240" w:lineRule="exact"/>
        <w:contextualSpacing/>
        <w:jc w:val="both"/>
        <w:rPr>
          <w:rFonts w:ascii="Times New Roman" w:eastAsia="Times New Roma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The study assessed the nexus between lean management systems and organizational effectiveness of midstream oil and gas companies in Rivers State. The dimensions of lean management systems were continuous improvement and waste elimination, while the measures of organizational effectiveness were stakeholder satisfaction and operational efficiency. The study adopted a cross-sectional survey research design and the underpinning philosophy was positivism. The population of the study comprised all the 85 midstream oil and gas firms in Rivers State, Nigeria, registered with the Nigerian Midstream and Downstream Petroleum Regulatory Authority. The elements of the accessible population were 750 middle and top-level managers of the registered firms. A sample size of 254 respondents was determined using </w:t>
      </w:r>
      <w:proofErr w:type="spellStart"/>
      <w:r w:rsidRPr="00070085">
        <w:rPr>
          <w:rFonts w:ascii="Times New Roman" w:eastAsia="SimSun" w:hAnsi="Times New Roman" w:cs="Times New Roman"/>
          <w:kern w:val="0"/>
          <w:lang w:eastAsia="zh-CN"/>
          <w14:ligatures w14:val="none"/>
        </w:rPr>
        <w:t>Krejcie</w:t>
      </w:r>
      <w:proofErr w:type="spellEnd"/>
      <w:r w:rsidRPr="00070085">
        <w:rPr>
          <w:rFonts w:ascii="Times New Roman" w:eastAsia="SimSun" w:hAnsi="Times New Roman" w:cs="Times New Roman"/>
          <w:kern w:val="0"/>
          <w:lang w:eastAsia="zh-CN"/>
          <w14:ligatures w14:val="none"/>
        </w:rPr>
        <w:t xml:space="preserve"> and Morgan’s sample size determination table, while Bowley’s formula was applied to allocate the sample proportionally across the firms. Simple random sampling using random numbers was employed for respondent selection. Data were analyzed using Partial Least Squares Structural Equation Modeling (PLS-SEM) with </w:t>
      </w:r>
      <w:proofErr w:type="spellStart"/>
      <w:r w:rsidRPr="00070085">
        <w:rPr>
          <w:rFonts w:ascii="Times New Roman" w:eastAsia="SimSun" w:hAnsi="Times New Roman" w:cs="Times New Roman"/>
          <w:kern w:val="0"/>
          <w:lang w:eastAsia="zh-CN"/>
          <w14:ligatures w14:val="none"/>
        </w:rPr>
        <w:t>SmartPLS</w:t>
      </w:r>
      <w:proofErr w:type="spellEnd"/>
      <w:r w:rsidRPr="00070085">
        <w:rPr>
          <w:rFonts w:ascii="Times New Roman" w:eastAsia="SimSun" w:hAnsi="Times New Roman" w:cs="Times New Roman"/>
          <w:kern w:val="0"/>
          <w:lang w:eastAsia="zh-CN"/>
          <w14:ligatures w14:val="none"/>
        </w:rPr>
        <w:t xml:space="preserve"> 4.1.1.0 at a 0.05 significance level. The findings revealed that continuous improvement has a significant positive relationship with stakeholder satisfaction and operational efficiency. Waste elimination showed a significant positive relationship with operational </w:t>
      </w:r>
      <w:proofErr w:type="gramStart"/>
      <w:r w:rsidRPr="00070085">
        <w:rPr>
          <w:rFonts w:ascii="Times New Roman" w:eastAsia="SimSun" w:hAnsi="Times New Roman" w:cs="Times New Roman"/>
          <w:kern w:val="0"/>
          <w:lang w:eastAsia="zh-CN"/>
          <w14:ligatures w14:val="none"/>
        </w:rPr>
        <w:t>efficiency  but</w:t>
      </w:r>
      <w:proofErr w:type="gramEnd"/>
      <w:r w:rsidRPr="00070085">
        <w:rPr>
          <w:rFonts w:ascii="Times New Roman" w:eastAsia="SimSun" w:hAnsi="Times New Roman" w:cs="Times New Roman"/>
          <w:kern w:val="0"/>
          <w:lang w:eastAsia="zh-CN"/>
          <w14:ligatures w14:val="none"/>
        </w:rPr>
        <w:t xml:space="preserve"> had no significant relationship with stakeholder satisfaction. The study concludes that lean management practices, particularly continuous improvement, contribute significantly to improving operational processes and overall organizational effectiveness of midstream oil and gas companies. The study recommends that management institutionalize continuous improvement practices, strengthen stakeholder engagement alongside waste reduction initiatives, and intensify waste elimination and operational improvement systems to enhance efficiency and stakeholder outcomes.</w:t>
      </w:r>
    </w:p>
    <w:p w14:paraId="75FC7451" w14:textId="77777777" w:rsidR="00070085" w:rsidRPr="00070085" w:rsidRDefault="00070085" w:rsidP="00070085">
      <w:pPr>
        <w:spacing w:after="0" w:line="240" w:lineRule="exact"/>
        <w:contextualSpacing/>
        <w:jc w:val="both"/>
        <w:rPr>
          <w:rFonts w:ascii="Times New Roman" w:eastAsia="Times New Roman" w:hAnsi="Times New Roman" w:cs="Times New Roman"/>
          <w:kern w:val="0"/>
          <w:lang w:eastAsia="zh-CN"/>
          <w14:ligatures w14:val="none"/>
        </w:rPr>
      </w:pPr>
    </w:p>
    <w:p w14:paraId="71074514" w14:textId="77777777" w:rsidR="00070085" w:rsidRPr="00070085" w:rsidRDefault="00070085" w:rsidP="00070085">
      <w:pPr>
        <w:spacing w:after="0" w:line="240" w:lineRule="exact"/>
        <w:contextualSpacing/>
        <w:jc w:val="both"/>
        <w:rPr>
          <w:rFonts w:ascii="Times New Roman" w:eastAsia="Times New Roman" w:hAnsi="Times New Roman" w:cs="Times New Roman"/>
          <w:kern w:val="0"/>
          <w:lang w:eastAsia="zh-CN"/>
          <w14:ligatures w14:val="none"/>
        </w:rPr>
      </w:pPr>
      <w:r w:rsidRPr="00070085">
        <w:rPr>
          <w:rFonts w:ascii="Times New Roman" w:eastAsia="SimSun" w:hAnsi="Times New Roman" w:cs="Times New Roman"/>
          <w:b/>
          <w:i/>
          <w:iCs/>
          <w:color w:val="000000"/>
          <w:kern w:val="0"/>
          <w:lang w:eastAsia="zh-CN"/>
          <w14:ligatures w14:val="none"/>
        </w:rPr>
        <w:t>Keywords:</w:t>
      </w:r>
      <w:r w:rsidRPr="00070085">
        <w:rPr>
          <w:rFonts w:ascii="Times New Roman" w:eastAsia="SimSun" w:hAnsi="Times New Roman" w:cs="Times New Roman"/>
          <w:i/>
          <w:iCs/>
          <w:color w:val="000000"/>
          <w:kern w:val="0"/>
          <w:lang w:eastAsia="zh-CN"/>
          <w14:ligatures w14:val="none"/>
        </w:rPr>
        <w:t xml:space="preserve"> </w:t>
      </w:r>
      <w:r w:rsidRPr="00070085">
        <w:rPr>
          <w:rFonts w:ascii="Times New Roman" w:eastAsia="SimSun" w:hAnsi="Times New Roman" w:cs="Times New Roman"/>
          <w:iCs/>
          <w:color w:val="000000"/>
          <w:kern w:val="0"/>
          <w:lang w:eastAsia="zh-CN"/>
          <w14:ligatures w14:val="none"/>
        </w:rPr>
        <w:t xml:space="preserve">Lean Management Systems; </w:t>
      </w:r>
      <w:proofErr w:type="spellStart"/>
      <w:r w:rsidRPr="00070085">
        <w:rPr>
          <w:rFonts w:ascii="Times New Roman" w:eastAsia="SimSun" w:hAnsi="Times New Roman" w:cs="Times New Roman"/>
          <w:iCs/>
          <w:color w:val="000000"/>
          <w:kern w:val="0"/>
          <w:lang w:eastAsia="zh-CN"/>
          <w14:ligatures w14:val="none"/>
        </w:rPr>
        <w:t>Organisational</w:t>
      </w:r>
      <w:proofErr w:type="spellEnd"/>
      <w:r w:rsidRPr="00070085">
        <w:rPr>
          <w:rFonts w:ascii="Times New Roman" w:eastAsia="SimSun" w:hAnsi="Times New Roman" w:cs="Times New Roman"/>
          <w:iCs/>
          <w:color w:val="000000"/>
          <w:kern w:val="0"/>
          <w:lang w:eastAsia="zh-CN"/>
          <w14:ligatures w14:val="none"/>
        </w:rPr>
        <w:t xml:space="preserve"> Effectiveness; Midstream Oil &amp; Gas Companies</w:t>
      </w:r>
      <w:r w:rsidRPr="00070085">
        <w:rPr>
          <w:rFonts w:ascii="Times New Roman" w:eastAsia="SimSun" w:hAnsi="Times New Roman" w:cs="Times New Roman"/>
          <w:i/>
          <w:iCs/>
          <w:color w:val="000000"/>
          <w:kern w:val="0"/>
          <w:lang w:eastAsia="zh-CN"/>
          <w14:ligatures w14:val="none"/>
        </w:rPr>
        <w:tab/>
        <w:t xml:space="preserve"> </w:t>
      </w:r>
    </w:p>
    <w:p w14:paraId="3EF201A2" w14:textId="77777777" w:rsidR="00070085" w:rsidRPr="00070085" w:rsidRDefault="00070085" w:rsidP="00070085">
      <w:pPr>
        <w:spacing w:after="0" w:line="240" w:lineRule="auto"/>
        <w:rPr>
          <w:rFonts w:ascii="Times New Roman" w:eastAsia="SimSun" w:hAnsi="Times New Roman" w:cs="Times New Roman"/>
          <w:b/>
          <w:bCs/>
          <w:kern w:val="0"/>
          <w14:ligatures w14:val="none"/>
        </w:rPr>
      </w:pPr>
    </w:p>
    <w:p w14:paraId="653576F2" w14:textId="77777777" w:rsidR="00070085" w:rsidRPr="00070085" w:rsidRDefault="00070085" w:rsidP="00070085">
      <w:pPr>
        <w:spacing w:after="120" w:line="240" w:lineRule="exact"/>
        <w:rPr>
          <w:rFonts w:ascii="Times New Roman" w:eastAsia="SimSun" w:hAnsi="Times New Roman" w:cs="Times New Roman"/>
          <w:b/>
          <w:bCs/>
          <w:kern w:val="0"/>
          <w14:ligatures w14:val="none"/>
        </w:rPr>
      </w:pPr>
      <w:r w:rsidRPr="00070085">
        <w:rPr>
          <w:rFonts w:ascii="Times New Roman" w:eastAsia="SimSun" w:hAnsi="Times New Roman" w:cs="Times New Roman"/>
          <w:b/>
          <w:bCs/>
          <w:kern w:val="0"/>
          <w14:ligatures w14:val="none"/>
        </w:rPr>
        <w:t>1.0: INTRODUCTION</w:t>
      </w:r>
    </w:p>
    <w:p w14:paraId="4F210C9D"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color w:val="0F1115"/>
          <w:kern w:val="0"/>
          <w:lang w:eastAsia="zh-CN"/>
          <w14:ligatures w14:val="none"/>
        </w:rPr>
        <w:t xml:space="preserve">The oil and gas industry constitute the bedrock of the Nigerian economy, serving as the primary source of government revenue, foreign exchange earnings, and energy supply, while also contributing to employment generation and technological capacity development.  Scholars </w:t>
      </w:r>
      <w:r w:rsidRPr="00070085">
        <w:rPr>
          <w:rFonts w:ascii="Times New Roman" w:eastAsia="Segoe UI" w:hAnsi="Times New Roman" w:cs="Times New Roman"/>
          <w:color w:val="0F1115"/>
          <w:kern w:val="0"/>
          <w:shd w:val="clear" w:color="auto" w:fill="FFFFFF"/>
          <w:lang w:eastAsia="zh-CN"/>
          <w14:ligatures w14:val="none"/>
        </w:rPr>
        <w:t xml:space="preserve">(Amoo, 2024; </w:t>
      </w:r>
      <w:r w:rsidRPr="00070085">
        <w:rPr>
          <w:rFonts w:ascii="Times New Roman" w:eastAsia="Segoe UI" w:hAnsi="Times New Roman" w:cs="Times New Roman"/>
          <w:color w:val="0F1115"/>
          <w:kern w:val="0"/>
          <w:lang w:eastAsia="zh-CN"/>
          <w14:ligatures w14:val="none"/>
        </w:rPr>
        <w:t xml:space="preserve">Nwosu et al., 2020; </w:t>
      </w:r>
      <w:proofErr w:type="spellStart"/>
      <w:r w:rsidRPr="00070085">
        <w:rPr>
          <w:rFonts w:ascii="Times New Roman" w:eastAsia="Segoe UI" w:hAnsi="Times New Roman" w:cs="Times New Roman"/>
          <w:color w:val="0F1115"/>
          <w:kern w:val="0"/>
          <w:lang w:eastAsia="zh-CN"/>
          <w14:ligatures w14:val="none"/>
        </w:rPr>
        <w:t>Iledare</w:t>
      </w:r>
      <w:proofErr w:type="spellEnd"/>
      <w:r w:rsidRPr="00070085">
        <w:rPr>
          <w:rFonts w:ascii="Times New Roman" w:eastAsia="Segoe UI" w:hAnsi="Times New Roman" w:cs="Times New Roman"/>
          <w:color w:val="0F1115"/>
          <w:kern w:val="0"/>
          <w:lang w:eastAsia="zh-CN"/>
          <w14:ligatures w14:val="none"/>
        </w:rPr>
        <w:t xml:space="preserve"> &amp; Olatunji, 2019; </w:t>
      </w:r>
      <w:proofErr w:type="spellStart"/>
      <w:r w:rsidRPr="00070085">
        <w:rPr>
          <w:rFonts w:ascii="Times New Roman" w:eastAsia="Segoe UI" w:hAnsi="Times New Roman" w:cs="Times New Roman"/>
          <w:color w:val="0F1115"/>
          <w:kern w:val="0"/>
          <w:lang w:eastAsia="zh-CN"/>
          <w14:ligatures w14:val="none"/>
        </w:rPr>
        <w:t>Odularu</w:t>
      </w:r>
      <w:proofErr w:type="spellEnd"/>
      <w:r w:rsidRPr="00070085">
        <w:rPr>
          <w:rFonts w:ascii="Times New Roman" w:eastAsia="Segoe UI" w:hAnsi="Times New Roman" w:cs="Times New Roman"/>
          <w:color w:val="0F1115"/>
          <w:kern w:val="0"/>
          <w:lang w:eastAsia="zh-CN"/>
          <w14:ligatures w14:val="none"/>
        </w:rPr>
        <w:t xml:space="preserve">, 2008) have established that the sector contributes about 80% of Nigeria's government revenues and 95% of foreign exchange earnings, demonstrating the overwhelming dependence of the national economy on petroleum resources.  </w:t>
      </w:r>
      <w:r w:rsidRPr="00070085">
        <w:rPr>
          <w:rFonts w:ascii="Times New Roman" w:eastAsia="Segoe UI" w:hAnsi="Times New Roman" w:cs="Times New Roman"/>
          <w:color w:val="0F1115"/>
          <w:kern w:val="0"/>
          <w:shd w:val="clear" w:color="auto" w:fill="FFFFFF"/>
          <w:lang w:eastAsia="zh-CN"/>
          <w14:ligatures w14:val="none"/>
        </w:rPr>
        <w:t xml:space="preserve">Despite its immense contributions, the industry is besieged by a myriad of challenges that constrain its full potential. A persistent and devastating issue is oil theft and pipeline vandalism, particularly in the Niger Delta region. This is compounded by environmental degradation concerns, which fuel social unrest and demands for more sustainable practices and equitable revenue sharing (Okeke, 2025). Furthermore, the sector grapples with regulatory issues and the maintenance of aging infrastructure, which hinder production efficiency (Amoo, 2024). The complexities of the operating environment are exacerbated by human capital deficits, where inadequate training programs, skills gaps, and the hazardous nature of operations strain efforts to sustain productivity (Ogunyemi et al., 2015). These complexities have a negative effect on the </w:t>
      </w:r>
      <w:r w:rsidRPr="00070085">
        <w:rPr>
          <w:rFonts w:ascii="Times New Roman" w:eastAsia="SimSun" w:hAnsi="Times New Roman" w:cs="Times New Roman"/>
          <w:kern w:val="0"/>
          <w:lang w:eastAsia="zh-CN"/>
          <w14:ligatures w14:val="none"/>
        </w:rPr>
        <w:t xml:space="preserve">organizational effectiveness of midstream oil and gas companies in Rivers State, Nigeria. </w:t>
      </w:r>
    </w:p>
    <w:p w14:paraId="41EDAFB0" w14:textId="77777777" w:rsidR="00070085" w:rsidRPr="00070085" w:rsidRDefault="00070085" w:rsidP="00070085">
      <w:pPr>
        <w:spacing w:after="120" w:line="240" w:lineRule="exact"/>
        <w:jc w:val="both"/>
        <w:rPr>
          <w:rFonts w:ascii="Times New Roman" w:eastAsia="Segoe UI" w:hAnsi="Times New Roman" w:cs="Times New Roman"/>
          <w:color w:val="0F1115"/>
          <w:kern w:val="0"/>
          <w:shd w:val="clear" w:color="auto" w:fill="FFFFFF"/>
          <w:lang w:eastAsia="zh-CN"/>
          <w14:ligatures w14:val="none"/>
        </w:rPr>
      </w:pPr>
      <w:r w:rsidRPr="00070085">
        <w:rPr>
          <w:rFonts w:ascii="Times New Roman" w:eastAsia="Segoe UI" w:hAnsi="Times New Roman" w:cs="Times New Roman"/>
          <w:color w:val="0F1115"/>
          <w:kern w:val="0"/>
          <w:shd w:val="clear" w:color="auto" w:fill="FFFFFF"/>
          <w:lang w:eastAsia="zh-CN"/>
          <w14:ligatures w14:val="none"/>
        </w:rPr>
        <w:lastRenderedPageBreak/>
        <w:t>Organizational effectiveness is of paramount importance to the oil and gas industry in Nigeria, serving as the linchpin for survival, competitiveness, and sustainable development in a volatile global market. In the Nigerian context, where additional hurdles such as unstable infrastructure, fluctuating oil prices, and corruption exist, the pursuit of organizational effectiveness becomes even more critical (Amoo, 2024). It enables firms to navigate these complexities, ensuring they can deliver on their economic mandates while managing the expectations of a diverse group of stakeholders, from the federal government and host communities to employees and investors (Ehigiator, 2026; Okeke, 2025). Moreso, organizational effectiveness is a broad concept that refers to how well an organization achieves its stated goals and objectives. It is a measure of an organization's ability to survive, adapt, maintain itself, and grow over the long term (Seera, 2025). In the oil and gas industry, this concept is often assessed through key performance indicators, among which are stakeholder satisfaction and operational efficiency, where stakeholder satisfaction measures the extent to which an organization meets or exceeds the expectations of its various stakeholders. For oil and gas companies in Nigeria, these stakeholders are numerous and include the government (as a regulator and revenue collector), host communities, employees, customers, and investors. Engaging with stakeholders demonstrates an organization's commitment to transparency, accountability, and responsible practices (Okeke, 2025). It allows organizations to gather insights and diverse perspectives, which can improve decision-making and performance (Okeke, 2025). On the other hand, operational efficiency refers to the ability of an organization to deliver products or services to its customers in the most cost-effective manner while ensuring the highest quality and safety standards. It involves optimizing the use of resources, human, financial, and physical, to minimize waste and maximize output (</w:t>
      </w:r>
      <w:proofErr w:type="spellStart"/>
      <w:r w:rsidRPr="00070085">
        <w:rPr>
          <w:rFonts w:ascii="Times New Roman" w:eastAsia="Segoe UI" w:hAnsi="Times New Roman" w:cs="Times New Roman"/>
          <w:color w:val="0F1115"/>
          <w:kern w:val="0"/>
          <w:shd w:val="clear" w:color="auto" w:fill="FFFFFF"/>
          <w:lang w:eastAsia="zh-CN"/>
          <w14:ligatures w14:val="none"/>
        </w:rPr>
        <w:t>Obodoagu</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2025). </w:t>
      </w:r>
    </w:p>
    <w:p w14:paraId="5679C5CF" w14:textId="77777777" w:rsidR="00070085" w:rsidRPr="00070085" w:rsidRDefault="00070085" w:rsidP="00070085">
      <w:pPr>
        <w:spacing w:after="120" w:line="240" w:lineRule="exact"/>
        <w:jc w:val="both"/>
        <w:rPr>
          <w:rFonts w:ascii="Times New Roman" w:eastAsia="Segoe UI" w:hAnsi="Times New Roman" w:cs="Times New Roman"/>
          <w:color w:val="0F1115"/>
          <w:kern w:val="0"/>
          <w:shd w:val="clear" w:color="auto" w:fill="FFFFFF"/>
          <w:lang w:eastAsia="zh-CN"/>
          <w14:ligatures w14:val="none"/>
        </w:rPr>
      </w:pPr>
      <w:r w:rsidRPr="00070085">
        <w:rPr>
          <w:rFonts w:ascii="Times New Roman" w:eastAsia="Segoe UI" w:hAnsi="Times New Roman" w:cs="Times New Roman"/>
          <w:color w:val="0F1115"/>
          <w:kern w:val="0"/>
          <w:shd w:val="clear" w:color="auto" w:fill="FFFFFF"/>
          <w:lang w:eastAsia="zh-CN"/>
          <w14:ligatures w14:val="none"/>
        </w:rPr>
        <w:t xml:space="preserve">Several factors predict or influence the level of organizational effectiveness in firms. These predictors include: Human capital development practices (Amoo, 2024), </w:t>
      </w:r>
      <w:proofErr w:type="spellStart"/>
      <w:r w:rsidRPr="00070085">
        <w:rPr>
          <w:rFonts w:ascii="Times New Roman" w:eastAsia="Segoe UI" w:hAnsi="Times New Roman" w:cs="Times New Roman"/>
          <w:color w:val="0F1115"/>
          <w:kern w:val="0"/>
          <w:shd w:val="clear" w:color="auto" w:fill="FFFFFF"/>
          <w:lang w:eastAsia="zh-CN"/>
          <w14:ligatures w14:val="none"/>
        </w:rPr>
        <w:t>organisational</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culture (Ogunyemi et al., 2015). Work environment and stakeholder engagement (Ehigiator, 2026), and institutional pressure (Okeke, 2025). However, this study adopts lean management systems as a plausible predictor of organizational effectiveness. Lean management systems are comprehensive sets of principles, practices, and tools designed to create more value for customers with fewer resources by optimizing processes and eliminating waste (</w:t>
      </w:r>
      <w:proofErr w:type="spellStart"/>
      <w:r w:rsidRPr="00070085">
        <w:rPr>
          <w:rFonts w:ascii="Times New Roman" w:eastAsia="Segoe UI" w:hAnsi="Times New Roman" w:cs="Times New Roman"/>
          <w:color w:val="0F1115"/>
          <w:kern w:val="0"/>
          <w:shd w:val="clear" w:color="auto" w:fill="FFFFFF"/>
          <w:lang w:eastAsia="zh-CN"/>
          <w14:ligatures w14:val="none"/>
        </w:rPr>
        <w:t>Obodoagu</w:t>
      </w:r>
      <w:proofErr w:type="spellEnd"/>
      <w:r w:rsidRPr="00070085">
        <w:rPr>
          <w:rFonts w:ascii="Times New Roman" w:eastAsia="Segoe UI" w:hAnsi="Times New Roman" w:cs="Times New Roman"/>
          <w:color w:val="0F1115"/>
          <w:kern w:val="0"/>
          <w:shd w:val="clear" w:color="auto" w:fill="FFFFFF"/>
          <w:lang w:eastAsia="zh-CN"/>
          <w14:ligatures w14:val="none"/>
        </w:rPr>
        <w:t>, 2025). The core philosophy is to maximize customer value while minimizing waste. This study focuses on two primary dimensions of Lean Management: Continuous Improvement and Waste Elimination. Continuous Improvement, often associated with the Japanese term Kaizen, is a culture of sustained, incremental improvement in processes, products, and services. It involves every employee, from the shop floor to top management, in constantly looking for ways to enhance performance and achieve better results. This philosophy is deeply relevant to the Nigerian context, where companies are encouraged to adopt a mindset of making "small, consistent changes every day" that lead to major transformation over time (Okon, 2025). Waste elimination is the other foundational pillar of lean management. Waste, or Muda in Japanese, is defined as any activity that consumes resources but does not create value for the customer (</w:t>
      </w:r>
      <w:proofErr w:type="spellStart"/>
      <w:r w:rsidRPr="00070085">
        <w:rPr>
          <w:rFonts w:ascii="Times New Roman" w:eastAsia="Segoe UI" w:hAnsi="Times New Roman" w:cs="Times New Roman"/>
          <w:color w:val="0F1115"/>
          <w:kern w:val="0"/>
          <w:shd w:val="clear" w:color="auto" w:fill="FFFFFF"/>
          <w:lang w:eastAsia="zh-CN"/>
          <w14:ligatures w14:val="none"/>
        </w:rPr>
        <w:t>Obodoagu</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2025). </w:t>
      </w:r>
    </w:p>
    <w:p w14:paraId="18A66BFF" w14:textId="77777777" w:rsidR="00070085" w:rsidRPr="00070085" w:rsidRDefault="00070085" w:rsidP="00070085">
      <w:pPr>
        <w:spacing w:after="120" w:line="240" w:lineRule="exact"/>
        <w:jc w:val="both"/>
        <w:rPr>
          <w:rFonts w:ascii="Times New Roman" w:eastAsia="Segoe UI" w:hAnsi="Times New Roman" w:cs="Times New Roman"/>
          <w:color w:val="0F1115"/>
          <w:kern w:val="0"/>
          <w:lang w:eastAsia="zh-CN"/>
          <w14:ligatures w14:val="none"/>
        </w:rPr>
      </w:pPr>
      <w:r w:rsidRPr="00070085">
        <w:rPr>
          <w:rFonts w:ascii="Times New Roman" w:eastAsia="Segoe UI" w:hAnsi="Times New Roman" w:cs="Times New Roman"/>
          <w:color w:val="0F1115"/>
          <w:kern w:val="0"/>
          <w:shd w:val="clear" w:color="auto" w:fill="FFFFFF"/>
          <w:lang w:eastAsia="zh-CN"/>
          <w14:ligatures w14:val="none"/>
        </w:rPr>
        <w:t>In the oil and gas industry, waste can manifest in various forms, including excess inventory of pipes and equipment, unnecessary movement of materials or people, defects requiring rework, over-processing (doing more work than necessary), waiting time due to delays, and underutilized employee talent (Ehigiator, 2026). At the organizational level, eliminating waste is directly linked to improved operational efficiency and cost reduction. Similarly, the principles of the Toyota Production System, such as "Go See, Ask Why," encourage leaders to go to the frontlines to understand real challenges and identify systemic gaps that cause waste, thereby embedding efficiency into the organizational culture (Okon, 2025). By systematically identifying and removing non-value-adding activities, oil and gas companies in Nigeria can streamline their operations, reduce costs, improve safety, and enhance their overall effectiveness in a challenging and competitive environment (</w:t>
      </w:r>
      <w:proofErr w:type="spellStart"/>
      <w:r w:rsidRPr="00070085">
        <w:rPr>
          <w:rFonts w:ascii="Times New Roman" w:eastAsia="Segoe UI" w:hAnsi="Times New Roman" w:cs="Times New Roman"/>
          <w:color w:val="0F1115"/>
          <w:kern w:val="0"/>
          <w:shd w:val="clear" w:color="auto" w:fill="FFFFFF"/>
          <w:lang w:eastAsia="zh-CN"/>
          <w14:ligatures w14:val="none"/>
        </w:rPr>
        <w:t>Obodoagu</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2025). </w:t>
      </w:r>
      <w:r w:rsidRPr="00070085">
        <w:rPr>
          <w:rFonts w:ascii="Times New Roman" w:eastAsia="Segoe UI" w:hAnsi="Times New Roman" w:cs="Times New Roman"/>
          <w:color w:val="0F1115"/>
          <w:kern w:val="0"/>
          <w:lang w:eastAsia="zh-CN"/>
          <w14:ligatures w14:val="none"/>
        </w:rPr>
        <w:t xml:space="preserve">Therefore, this study sought to assess the relationship between lean management systems and organizational effectiveness of midstream oil and gas companies in Rivers State. </w:t>
      </w:r>
    </w:p>
    <w:p w14:paraId="4389C84A" w14:textId="77777777" w:rsidR="00070085" w:rsidRPr="00070085" w:rsidRDefault="00070085" w:rsidP="00070085">
      <w:pPr>
        <w:spacing w:after="120" w:line="240" w:lineRule="exact"/>
        <w:jc w:val="both"/>
        <w:rPr>
          <w:rFonts w:ascii="Times New Roman" w:eastAsia="Segoe UI" w:hAnsi="Times New Roman" w:cs="Times New Roman"/>
          <w:color w:val="0F1115"/>
          <w:kern w:val="0"/>
          <w:shd w:val="clear" w:color="auto" w:fill="FFFFFF"/>
          <w:lang w:eastAsia="zh-CN"/>
          <w14:ligatures w14:val="none"/>
        </w:rPr>
      </w:pPr>
    </w:p>
    <w:p w14:paraId="6AD0E720" w14:textId="77777777" w:rsidR="00AE7FA9" w:rsidRDefault="00AE7FA9" w:rsidP="00070085">
      <w:pPr>
        <w:spacing w:after="120" w:line="240" w:lineRule="exact"/>
        <w:jc w:val="both"/>
        <w:rPr>
          <w:rFonts w:ascii="Times New Roman" w:eastAsia="SimSun" w:hAnsi="Times New Roman" w:cs="Times New Roman"/>
          <w:b/>
          <w:bCs/>
          <w:kern w:val="0"/>
          <w14:ligatures w14:val="none"/>
        </w:rPr>
      </w:pPr>
    </w:p>
    <w:p w14:paraId="0441ECC4" w14:textId="77777777" w:rsidR="00AE7FA9" w:rsidRDefault="00AE7FA9" w:rsidP="00070085">
      <w:pPr>
        <w:spacing w:after="120" w:line="240" w:lineRule="exact"/>
        <w:jc w:val="both"/>
        <w:rPr>
          <w:rFonts w:ascii="Times New Roman" w:eastAsia="SimSun" w:hAnsi="Times New Roman" w:cs="Times New Roman"/>
          <w:b/>
          <w:bCs/>
          <w:kern w:val="0"/>
          <w14:ligatures w14:val="none"/>
        </w:rPr>
      </w:pPr>
    </w:p>
    <w:p w14:paraId="17D590A2" w14:textId="6B3FA8F7" w:rsidR="00070085" w:rsidRPr="00070085" w:rsidRDefault="00070085" w:rsidP="00070085">
      <w:pPr>
        <w:spacing w:after="120" w:line="240" w:lineRule="exact"/>
        <w:jc w:val="both"/>
        <w:rPr>
          <w:rFonts w:ascii="Times New Roman" w:eastAsia="SimSun" w:hAnsi="Times New Roman" w:cs="Times New Roman"/>
          <w:b/>
          <w:bCs/>
          <w:kern w:val="0"/>
          <w14:ligatures w14:val="none"/>
        </w:rPr>
      </w:pPr>
      <w:r w:rsidRPr="00070085">
        <w:rPr>
          <w:rFonts w:ascii="Times New Roman" w:eastAsia="SimSun" w:hAnsi="Times New Roman" w:cs="Times New Roman"/>
          <w:b/>
          <w:bCs/>
          <w:kern w:val="0"/>
          <w14:ligatures w14:val="none"/>
        </w:rPr>
        <w:lastRenderedPageBreak/>
        <w:t>1.1 STATEMENT OF THE PROBLEM</w:t>
      </w:r>
    </w:p>
    <w:p w14:paraId="771A50D8" w14:textId="77777777" w:rsidR="00070085" w:rsidRPr="00070085" w:rsidRDefault="00070085" w:rsidP="00070085">
      <w:pPr>
        <w:spacing w:after="120" w:line="240" w:lineRule="exact"/>
        <w:ind w:right="528"/>
        <w:jc w:val="both"/>
        <w:rPr>
          <w:rFonts w:ascii="Times New Roman" w:eastAsia="Segoe UI" w:hAnsi="Times New Roman" w:cs="Times New Roman"/>
          <w:color w:val="0F1115"/>
          <w:kern w:val="0"/>
          <w:lang w:eastAsia="zh-CN"/>
          <w14:ligatures w14:val="none"/>
        </w:rPr>
      </w:pPr>
      <w:r w:rsidRPr="00070085">
        <w:rPr>
          <w:rFonts w:ascii="Times New Roman" w:eastAsia="Segoe UI" w:hAnsi="Times New Roman" w:cs="Times New Roman"/>
          <w:color w:val="0F1115"/>
          <w:kern w:val="0"/>
          <w:lang w:eastAsia="zh-CN"/>
          <w14:ligatures w14:val="none"/>
        </w:rPr>
        <w:t>The problem of weak organizational effectiveness of midstream oil and gas companies in Rivers State, Nigeria, is a critical concern that threatens both corporate sustainability and the broader national economic interest. This weakness manifests in the inability of firms to consistently deliver projects within stipulated timelines and budgets, while simultaneously maintaining the high safety and environmental standards demanded by regulators and host communities (</w:t>
      </w:r>
      <w:proofErr w:type="spellStart"/>
      <w:r w:rsidRPr="00070085">
        <w:rPr>
          <w:rFonts w:ascii="Times New Roman" w:eastAsia="Segoe UI" w:hAnsi="Times New Roman" w:cs="Times New Roman"/>
          <w:color w:val="0F1115"/>
          <w:kern w:val="0"/>
          <w:lang w:eastAsia="zh-CN"/>
          <w14:ligatures w14:val="none"/>
        </w:rPr>
        <w:t>Achaka</w:t>
      </w:r>
      <w:proofErr w:type="spellEnd"/>
      <w:r w:rsidRPr="00070085">
        <w:rPr>
          <w:rFonts w:ascii="Times New Roman" w:eastAsia="Segoe UI" w:hAnsi="Times New Roman" w:cs="Times New Roman"/>
          <w:color w:val="0F1115"/>
          <w:kern w:val="0"/>
          <w:lang w:eastAsia="zh-CN"/>
          <w14:ligatures w14:val="none"/>
        </w:rPr>
        <w:t xml:space="preserve"> et al., 2024). The problem is particularly acute in Rivers State, which serves as the </w:t>
      </w:r>
      <w:proofErr w:type="spellStart"/>
      <w:r w:rsidRPr="00070085">
        <w:rPr>
          <w:rFonts w:ascii="Times New Roman" w:eastAsia="Segoe UI" w:hAnsi="Times New Roman" w:cs="Times New Roman"/>
          <w:color w:val="0F1115"/>
          <w:kern w:val="0"/>
          <w:lang w:eastAsia="zh-CN"/>
          <w14:ligatures w14:val="none"/>
        </w:rPr>
        <w:t>epicentre</w:t>
      </w:r>
      <w:proofErr w:type="spellEnd"/>
      <w:r w:rsidRPr="00070085">
        <w:rPr>
          <w:rFonts w:ascii="Times New Roman" w:eastAsia="Segoe UI" w:hAnsi="Times New Roman" w:cs="Times New Roman"/>
          <w:color w:val="0F1115"/>
          <w:kern w:val="0"/>
          <w:lang w:eastAsia="zh-CN"/>
          <w14:ligatures w14:val="none"/>
        </w:rPr>
        <w:t xml:space="preserve"> of onshore and offshore drilling activities in the Niger Delta region, where operational complexities are compounded by unique socio-political dynamics. From a stakeholder satisfaction perspective, the problem manifests in strained relationships with host communities, where environmental concerns fuel social unrest and periodic disruptions to operations (Okeke, 2025). The causes of weak organizational effectiveness of these midstream oil and gas companies are multifaceted, spanning technical, managerial, and institutional domains. A primary cause is the limited adoption and understanding of modern management philosophies, particularly lean thinking principles, among industry practitioners. Research indicates that many oil servicing companies face fundamental challenges in sustaining operations, with some unable to generate sufficient income to pay wages and meet operating obligations, thereby threatening their long-term viability. Furthermore, operational inefficiency manifests in frequent machine breakdowns, high overhead costs and wage bills relative to output, low worker morale, turnover intentions and depressed productivity levels (</w:t>
      </w:r>
      <w:proofErr w:type="spellStart"/>
      <w:r w:rsidRPr="00070085">
        <w:rPr>
          <w:rFonts w:ascii="Times New Roman" w:eastAsia="Segoe UI" w:hAnsi="Times New Roman" w:cs="Times New Roman"/>
          <w:color w:val="0F1115"/>
          <w:kern w:val="0"/>
          <w:lang w:eastAsia="zh-CN"/>
          <w14:ligatures w14:val="none"/>
        </w:rPr>
        <w:t>Achaka</w:t>
      </w:r>
      <w:proofErr w:type="spellEnd"/>
      <w:r w:rsidRPr="00070085">
        <w:rPr>
          <w:rFonts w:ascii="Times New Roman" w:eastAsia="Segoe UI" w:hAnsi="Times New Roman" w:cs="Times New Roman"/>
          <w:color w:val="0F1115"/>
          <w:kern w:val="0"/>
          <w:lang w:eastAsia="zh-CN"/>
          <w14:ligatures w14:val="none"/>
        </w:rPr>
        <w:t xml:space="preserve"> et al., 2024). Research by </w:t>
      </w:r>
      <w:proofErr w:type="spellStart"/>
      <w:r w:rsidRPr="00070085">
        <w:rPr>
          <w:rFonts w:ascii="Times New Roman" w:eastAsia="Segoe UI" w:hAnsi="Times New Roman" w:cs="Times New Roman"/>
          <w:color w:val="0F1115"/>
          <w:kern w:val="0"/>
          <w:lang w:eastAsia="zh-CN"/>
          <w14:ligatures w14:val="none"/>
        </w:rPr>
        <w:t>Achaka</w:t>
      </w:r>
      <w:proofErr w:type="spellEnd"/>
      <w:r w:rsidRPr="00070085">
        <w:rPr>
          <w:rFonts w:ascii="Times New Roman" w:eastAsia="Segoe UI" w:hAnsi="Times New Roman" w:cs="Times New Roman"/>
          <w:color w:val="0F1115"/>
          <w:kern w:val="0"/>
          <w:lang w:eastAsia="zh-CN"/>
          <w14:ligatures w14:val="none"/>
        </w:rPr>
        <w:t xml:space="preserve"> et al. (2024) reveals that a significant proportion of personnel in oil servicing companies possess either no knowledge or only marginal awareness of lean concepts and tools for waste reduction, with 19.48% of respondents completely unaware and 45.82% only slightly knowledgeable about lean in offshore facility maintenance contexts. This knowledge deficit prevents organizations from harnessing proven methodologies for enhancing efficiency and eliminating non-value-adding activities. </w:t>
      </w:r>
    </w:p>
    <w:p w14:paraId="479C5EF0" w14:textId="77777777" w:rsidR="00070085" w:rsidRPr="00070085" w:rsidRDefault="00070085" w:rsidP="00070085">
      <w:pPr>
        <w:spacing w:after="120" w:line="240" w:lineRule="exact"/>
        <w:ind w:right="528"/>
        <w:jc w:val="both"/>
        <w:rPr>
          <w:rFonts w:ascii="Times New Roman" w:eastAsia="Segoe UI" w:hAnsi="Times New Roman" w:cs="Times New Roman"/>
          <w:color w:val="0F1115"/>
          <w:kern w:val="0"/>
          <w:lang w:eastAsia="zh-CN"/>
          <w14:ligatures w14:val="none"/>
        </w:rPr>
      </w:pPr>
      <w:r w:rsidRPr="00070085">
        <w:rPr>
          <w:rFonts w:ascii="Times New Roman" w:eastAsia="Segoe UI" w:hAnsi="Times New Roman" w:cs="Times New Roman"/>
          <w:color w:val="0F1115"/>
          <w:kern w:val="0"/>
          <w:lang w:eastAsia="zh-CN"/>
          <w14:ligatures w14:val="none"/>
        </w:rPr>
        <w:t xml:space="preserve">Moreso, lack of robust governance structures creates conditions where inefficiencies persist and resources are mismanaged. Additionally, human capital deficits arising from inadequate training </w:t>
      </w:r>
      <w:proofErr w:type="spellStart"/>
      <w:r w:rsidRPr="00070085">
        <w:rPr>
          <w:rFonts w:ascii="Times New Roman" w:eastAsia="Segoe UI" w:hAnsi="Times New Roman" w:cs="Times New Roman"/>
          <w:color w:val="0F1115"/>
          <w:kern w:val="0"/>
          <w:lang w:eastAsia="zh-CN"/>
          <w14:ligatures w14:val="none"/>
        </w:rPr>
        <w:t>programmes</w:t>
      </w:r>
      <w:proofErr w:type="spellEnd"/>
      <w:r w:rsidRPr="00070085">
        <w:rPr>
          <w:rFonts w:ascii="Times New Roman" w:eastAsia="Segoe UI" w:hAnsi="Times New Roman" w:cs="Times New Roman"/>
          <w:color w:val="0F1115"/>
          <w:kern w:val="0"/>
          <w:lang w:eastAsia="zh-CN"/>
          <w14:ligatures w14:val="none"/>
        </w:rPr>
        <w:t xml:space="preserve"> and skills gaps constrain employee performance capabilities (Amoo, 2024). The effects of these causes are profound and mutually reinforcing. Operationally, companies experience reduced profitability, diminished competitiveness, and inability to secure new contracts, forcing management into downsizing and layoffs that perpetuate a cycle of decline (</w:t>
      </w:r>
      <w:proofErr w:type="spellStart"/>
      <w:r w:rsidRPr="00070085">
        <w:rPr>
          <w:rFonts w:ascii="Times New Roman" w:eastAsia="Segoe UI" w:hAnsi="Times New Roman" w:cs="Times New Roman"/>
          <w:color w:val="0F1115"/>
          <w:kern w:val="0"/>
          <w:lang w:eastAsia="zh-CN"/>
          <w14:ligatures w14:val="none"/>
        </w:rPr>
        <w:t>Achaka</w:t>
      </w:r>
      <w:proofErr w:type="spellEnd"/>
      <w:r w:rsidRPr="00070085">
        <w:rPr>
          <w:rFonts w:ascii="Times New Roman" w:eastAsia="Segoe UI" w:hAnsi="Times New Roman" w:cs="Times New Roman"/>
          <w:color w:val="0F1115"/>
          <w:kern w:val="0"/>
          <w:lang w:eastAsia="zh-CN"/>
          <w14:ligatures w14:val="none"/>
        </w:rPr>
        <w:t xml:space="preserve"> et al., 2024). Environmentally, weak effectiveness contributes to inadequate environmental stewardship, manifested in gas flaring and oil spill incidents that damage ecosystems and community relations (Kazeem &amp; </w:t>
      </w:r>
      <w:proofErr w:type="spellStart"/>
      <w:r w:rsidRPr="00070085">
        <w:rPr>
          <w:rFonts w:ascii="Times New Roman" w:eastAsia="Segoe UI" w:hAnsi="Times New Roman" w:cs="Times New Roman"/>
          <w:color w:val="0F1115"/>
          <w:kern w:val="0"/>
          <w:lang w:eastAsia="zh-CN"/>
          <w14:ligatures w14:val="none"/>
        </w:rPr>
        <w:t>Ologbon</w:t>
      </w:r>
      <w:proofErr w:type="spellEnd"/>
      <w:r w:rsidRPr="00070085">
        <w:rPr>
          <w:rFonts w:ascii="Times New Roman" w:eastAsia="Segoe UI" w:hAnsi="Times New Roman" w:cs="Times New Roman"/>
          <w:color w:val="0F1115"/>
          <w:kern w:val="0"/>
          <w:lang w:eastAsia="zh-CN"/>
          <w14:ligatures w14:val="none"/>
        </w:rPr>
        <w:t xml:space="preserve">, 2025). Scholars have proposed various solutions and identified predictors that can enhance organizational effectiveness in Nigeria's oil and gas sector, such as: strengthening corporate governance frameworks to improve transparency, accountability, and risk management practices (Andry et al., 2022), human capital development practices (Amoo, 2024), organizational culture and work environment (Ogunyemi et al., 2015), sustainable business practices and corporate social responsibility (Kazeem &amp; </w:t>
      </w:r>
      <w:proofErr w:type="spellStart"/>
      <w:r w:rsidRPr="00070085">
        <w:rPr>
          <w:rFonts w:ascii="Times New Roman" w:eastAsia="Segoe UI" w:hAnsi="Times New Roman" w:cs="Times New Roman"/>
          <w:color w:val="0F1115"/>
          <w:kern w:val="0"/>
          <w:lang w:eastAsia="zh-CN"/>
          <w14:ligatures w14:val="none"/>
        </w:rPr>
        <w:t>Ologbon</w:t>
      </w:r>
      <w:proofErr w:type="spellEnd"/>
      <w:r w:rsidRPr="00070085">
        <w:rPr>
          <w:rFonts w:ascii="Times New Roman" w:eastAsia="Segoe UI" w:hAnsi="Times New Roman" w:cs="Times New Roman"/>
          <w:color w:val="0F1115"/>
          <w:kern w:val="0"/>
          <w:lang w:eastAsia="zh-CN"/>
          <w14:ligatures w14:val="none"/>
        </w:rPr>
        <w:t>, 2025), technology adoption, particularly digital transformation (Eja et al., 2025), as well as strategic workforce development and supply chain optimization (</w:t>
      </w:r>
      <w:proofErr w:type="spellStart"/>
      <w:r w:rsidRPr="00070085">
        <w:rPr>
          <w:rFonts w:ascii="Times New Roman" w:eastAsia="Segoe UI" w:hAnsi="Times New Roman" w:cs="Times New Roman"/>
          <w:color w:val="0F1115"/>
          <w:kern w:val="0"/>
          <w:lang w:eastAsia="zh-CN"/>
          <w14:ligatures w14:val="none"/>
        </w:rPr>
        <w:t>Warislohner</w:t>
      </w:r>
      <w:proofErr w:type="spellEnd"/>
      <w:r w:rsidRPr="00070085">
        <w:rPr>
          <w:rFonts w:ascii="Times New Roman" w:eastAsia="Segoe UI" w:hAnsi="Times New Roman" w:cs="Times New Roman"/>
          <w:color w:val="0F1115"/>
          <w:kern w:val="0"/>
          <w:lang w:eastAsia="zh-CN"/>
          <w14:ligatures w14:val="none"/>
        </w:rPr>
        <w:t xml:space="preserve">, 2024a, 2024b). </w:t>
      </w:r>
      <w:r w:rsidRPr="00070085">
        <w:rPr>
          <w:rFonts w:ascii="Times New Roman" w:eastAsia="Segoe UI" w:hAnsi="Times New Roman" w:cs="Times New Roman"/>
          <w:color w:val="0F1115"/>
          <w:kern w:val="0"/>
          <w:shd w:val="clear" w:color="auto" w:fill="FFFFFF"/>
          <w:lang w:eastAsia="zh-CN"/>
          <w14:ligatures w14:val="none"/>
        </w:rPr>
        <w:t xml:space="preserve">However, despite the preponderance of suggested solutions, the </w:t>
      </w:r>
      <w:r w:rsidRPr="00070085">
        <w:rPr>
          <w:rFonts w:ascii="Times New Roman" w:eastAsia="Segoe UI" w:hAnsi="Times New Roman" w:cs="Times New Roman"/>
          <w:color w:val="0F1115"/>
          <w:kern w:val="0"/>
          <w:lang w:eastAsia="zh-CN"/>
          <w14:ligatures w14:val="none"/>
        </w:rPr>
        <w:t>problem of weak organizational effectiveness of midstream oil and gas companies in Rivers State, Nigeria, is still prevalent</w:t>
      </w:r>
      <w:r w:rsidRPr="00070085">
        <w:rPr>
          <w:rFonts w:ascii="Times New Roman" w:eastAsia="Segoe UI" w:hAnsi="Times New Roman" w:cs="Times New Roman"/>
          <w:color w:val="0F1115"/>
          <w:kern w:val="0"/>
          <w:shd w:val="clear" w:color="auto" w:fill="FFFFFF"/>
          <w:lang w:eastAsia="zh-CN"/>
          <w14:ligatures w14:val="none"/>
        </w:rPr>
        <w:t xml:space="preserve">. Therefore, this study sought to close the gap in literature by critically examining the nexus between lean management systems and </w:t>
      </w:r>
      <w:r w:rsidRPr="00070085">
        <w:rPr>
          <w:rFonts w:ascii="Times New Roman" w:eastAsia="Segoe UI" w:hAnsi="Times New Roman" w:cs="Times New Roman"/>
          <w:color w:val="0F1115"/>
          <w:kern w:val="0"/>
          <w:lang w:eastAsia="zh-CN"/>
          <w14:ligatures w14:val="none"/>
        </w:rPr>
        <w:t xml:space="preserve">organizational effectiveness of midstream oil and gas companies in Rivers State. </w:t>
      </w:r>
    </w:p>
    <w:p w14:paraId="54F2E963"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In view of the foregoing, the specific objectives of this study were to:</w:t>
      </w:r>
    </w:p>
    <w:p w14:paraId="05F070C2" w14:textId="77777777" w:rsidR="00070085" w:rsidRPr="00070085" w:rsidRDefault="00070085" w:rsidP="00070085">
      <w:pPr>
        <w:numPr>
          <w:ilvl w:val="0"/>
          <w:numId w:val="67"/>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bCs/>
          <w:kern w:val="0"/>
          <w:lang w:eastAsia="zh-CN"/>
          <w14:ligatures w14:val="none"/>
        </w:rPr>
        <w:t xml:space="preserve">Determine the relationship between continuous improvement and stakeholder satisfaction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imSun" w:hAnsi="Times New Roman" w:cs="Times New Roman"/>
          <w:kern w:val="0"/>
          <w:lang w:eastAsia="zh-CN"/>
          <w14:ligatures w14:val="none"/>
        </w:rPr>
        <w:t xml:space="preserve">. </w:t>
      </w:r>
    </w:p>
    <w:p w14:paraId="74226444" w14:textId="77777777" w:rsidR="00070085" w:rsidRPr="00070085" w:rsidRDefault="00070085" w:rsidP="00070085">
      <w:pPr>
        <w:numPr>
          <w:ilvl w:val="0"/>
          <w:numId w:val="67"/>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bCs/>
          <w:kern w:val="0"/>
          <w:lang w:eastAsia="zh-CN"/>
          <w14:ligatures w14:val="none"/>
        </w:rPr>
        <w:t xml:space="preserve">Investigate the relationship between waste elimination and stakeholder satisfaction of </w:t>
      </w:r>
      <w:r w:rsidRPr="00070085">
        <w:rPr>
          <w:rFonts w:ascii="Times New Roman" w:eastAsia="Segoe UI" w:hAnsi="Times New Roman" w:cs="Times New Roman"/>
          <w:color w:val="0F1115"/>
          <w:kern w:val="0"/>
          <w:lang w:eastAsia="zh-CN"/>
          <w14:ligatures w14:val="none"/>
        </w:rPr>
        <w:t>midstream oil and gas companies in Rivers State.</w:t>
      </w:r>
    </w:p>
    <w:p w14:paraId="666D81D5" w14:textId="77777777" w:rsidR="00070085" w:rsidRPr="00070085" w:rsidRDefault="00070085" w:rsidP="00070085">
      <w:pPr>
        <w:numPr>
          <w:ilvl w:val="0"/>
          <w:numId w:val="67"/>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Ascertain the </w:t>
      </w:r>
      <w:r w:rsidRPr="00070085">
        <w:rPr>
          <w:rFonts w:ascii="Times New Roman" w:eastAsia="SimSun" w:hAnsi="Times New Roman" w:cs="Times New Roman"/>
          <w:bCs/>
          <w:kern w:val="0"/>
          <w:lang w:eastAsia="zh-CN"/>
          <w14:ligatures w14:val="none"/>
        </w:rPr>
        <w:t xml:space="preserve">relationship between continuous improvement and operational efficiency of </w:t>
      </w:r>
      <w:r w:rsidRPr="00070085">
        <w:rPr>
          <w:rFonts w:ascii="Times New Roman" w:eastAsia="Segoe UI" w:hAnsi="Times New Roman" w:cs="Times New Roman"/>
          <w:color w:val="0F1115"/>
          <w:kern w:val="0"/>
          <w:lang w:eastAsia="zh-CN"/>
          <w14:ligatures w14:val="none"/>
        </w:rPr>
        <w:t xml:space="preserve">midstream oil and gas companies in Rivers State. </w:t>
      </w:r>
    </w:p>
    <w:p w14:paraId="121AAF69" w14:textId="77777777" w:rsidR="00070085" w:rsidRPr="00070085" w:rsidRDefault="00070085" w:rsidP="00070085">
      <w:pPr>
        <w:numPr>
          <w:ilvl w:val="0"/>
          <w:numId w:val="67"/>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bCs/>
          <w:kern w:val="0"/>
          <w:lang w:eastAsia="zh-CN"/>
          <w14:ligatures w14:val="none"/>
        </w:rPr>
        <w:lastRenderedPageBreak/>
        <w:t xml:space="preserve">Assess the relationship between waste elimination and operational efficiency of </w:t>
      </w:r>
      <w:r w:rsidRPr="00070085">
        <w:rPr>
          <w:rFonts w:ascii="Times New Roman" w:eastAsia="Segoe UI" w:hAnsi="Times New Roman" w:cs="Times New Roman"/>
          <w:color w:val="0F1115"/>
          <w:kern w:val="0"/>
          <w:lang w:eastAsia="zh-CN"/>
          <w14:ligatures w14:val="none"/>
        </w:rPr>
        <w:t>midstream oil and gas companies in Rivers State.</w:t>
      </w:r>
    </w:p>
    <w:p w14:paraId="24C7F942"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Accordingly, the following research questions were listed:</w:t>
      </w:r>
    </w:p>
    <w:p w14:paraId="26B20F9A" w14:textId="77777777" w:rsidR="00070085" w:rsidRPr="00070085" w:rsidRDefault="00070085" w:rsidP="00070085">
      <w:pPr>
        <w:numPr>
          <w:ilvl w:val="0"/>
          <w:numId w:val="68"/>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bCs/>
          <w:kern w:val="0"/>
          <w:lang w:eastAsia="zh-CN"/>
          <w14:ligatures w14:val="none"/>
        </w:rPr>
        <w:t xml:space="preserve">How does continuous improvement relate with stakeholder satisfaction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egoe UI" w:hAnsi="Times New Roman" w:cs="Times New Roman"/>
          <w:color w:val="0F1115"/>
          <w:kern w:val="0"/>
          <w:shd w:val="clear" w:color="auto" w:fill="FFFFFF"/>
          <w:lang w:eastAsia="zh-CN"/>
          <w14:ligatures w14:val="none"/>
        </w:rPr>
        <w:t>?</w:t>
      </w:r>
    </w:p>
    <w:p w14:paraId="180D4A62" w14:textId="77777777" w:rsidR="00070085" w:rsidRPr="00070085" w:rsidRDefault="00070085" w:rsidP="00070085">
      <w:pPr>
        <w:numPr>
          <w:ilvl w:val="0"/>
          <w:numId w:val="68"/>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color w:val="0F1115"/>
          <w:kern w:val="0"/>
          <w:shd w:val="clear" w:color="auto" w:fill="FFFFFF"/>
          <w:lang w:eastAsia="zh-CN"/>
          <w14:ligatures w14:val="none"/>
        </w:rPr>
        <w:t xml:space="preserve">How does </w:t>
      </w:r>
      <w:r w:rsidRPr="00070085">
        <w:rPr>
          <w:rFonts w:ascii="Times New Roman" w:eastAsia="SimSun" w:hAnsi="Times New Roman" w:cs="Times New Roman"/>
          <w:bCs/>
          <w:kern w:val="0"/>
          <w:lang w:eastAsia="zh-CN"/>
          <w14:ligatures w14:val="none"/>
        </w:rPr>
        <w:t xml:space="preserve">waste elimination relate with stakeholder satisfaction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egoe UI" w:hAnsi="Times New Roman" w:cs="Times New Roman"/>
          <w:color w:val="0F1115"/>
          <w:kern w:val="0"/>
          <w:shd w:val="clear" w:color="auto" w:fill="FFFFFF"/>
          <w:lang w:eastAsia="zh-CN"/>
          <w14:ligatures w14:val="none"/>
        </w:rPr>
        <w:t>?</w:t>
      </w:r>
    </w:p>
    <w:p w14:paraId="50EB575C" w14:textId="77777777" w:rsidR="00070085" w:rsidRPr="00070085" w:rsidRDefault="00070085" w:rsidP="00070085">
      <w:pPr>
        <w:numPr>
          <w:ilvl w:val="0"/>
          <w:numId w:val="68"/>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What is the </w:t>
      </w:r>
      <w:r w:rsidRPr="00070085">
        <w:rPr>
          <w:rFonts w:ascii="Times New Roman" w:eastAsia="SimSun" w:hAnsi="Times New Roman" w:cs="Times New Roman"/>
          <w:bCs/>
          <w:kern w:val="0"/>
          <w:lang w:eastAsia="zh-CN"/>
          <w14:ligatures w14:val="none"/>
        </w:rPr>
        <w:t xml:space="preserve">relationship between continuous improvement and operational efficiency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egoe UI" w:hAnsi="Times New Roman" w:cs="Times New Roman"/>
          <w:color w:val="0F1115"/>
          <w:kern w:val="0"/>
          <w:shd w:val="clear" w:color="auto" w:fill="FFFFFF"/>
          <w:lang w:eastAsia="zh-CN"/>
          <w14:ligatures w14:val="none"/>
        </w:rPr>
        <w:t>?</w:t>
      </w:r>
    </w:p>
    <w:p w14:paraId="6F834261" w14:textId="77777777" w:rsidR="00070085" w:rsidRPr="00070085" w:rsidRDefault="00070085" w:rsidP="00070085">
      <w:pPr>
        <w:numPr>
          <w:ilvl w:val="0"/>
          <w:numId w:val="68"/>
        </w:num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What is the </w:t>
      </w:r>
      <w:r w:rsidRPr="00070085">
        <w:rPr>
          <w:rFonts w:ascii="Times New Roman" w:eastAsia="SimSun" w:hAnsi="Times New Roman" w:cs="Times New Roman"/>
          <w:bCs/>
          <w:kern w:val="0"/>
          <w:lang w:eastAsia="zh-CN"/>
          <w14:ligatures w14:val="none"/>
        </w:rPr>
        <w:t xml:space="preserve">relationship between waste elimination and operational efficiency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egoe UI" w:hAnsi="Times New Roman" w:cs="Times New Roman"/>
          <w:color w:val="0F1115"/>
          <w:kern w:val="0"/>
          <w:shd w:val="clear" w:color="auto" w:fill="FFFFFF"/>
          <w:lang w:eastAsia="zh-CN"/>
          <w14:ligatures w14:val="none"/>
        </w:rPr>
        <w:t>?</w:t>
      </w:r>
    </w:p>
    <w:p w14:paraId="19967AE7" w14:textId="77777777" w:rsidR="00070085" w:rsidRPr="00070085" w:rsidRDefault="00070085" w:rsidP="00070085">
      <w:pPr>
        <w:spacing w:after="120" w:line="240" w:lineRule="exact"/>
        <w:jc w:val="both"/>
        <w:rPr>
          <w:rFonts w:ascii="Times New Roman" w:eastAsia="SimSun" w:hAnsi="Times New Roman" w:cs="Times New Roman"/>
          <w:bCs/>
          <w:kern w:val="0"/>
          <w14:ligatures w14:val="none"/>
        </w:rPr>
      </w:pPr>
      <w:r w:rsidRPr="00070085">
        <w:rPr>
          <w:rFonts w:ascii="Times New Roman" w:eastAsia="SimSun" w:hAnsi="Times New Roman" w:cs="Times New Roman"/>
          <w:bCs/>
          <w:kern w:val="0"/>
          <w14:ligatures w14:val="none"/>
        </w:rPr>
        <w:t>In view of the foregoing, the following null hypotheses were formulated:</w:t>
      </w:r>
    </w:p>
    <w:p w14:paraId="3CF5A68B" w14:textId="77777777" w:rsidR="00070085" w:rsidRPr="00070085" w:rsidRDefault="00070085" w:rsidP="00070085">
      <w:pPr>
        <w:spacing w:after="120" w:line="240" w:lineRule="exact"/>
        <w:jc w:val="both"/>
        <w:rPr>
          <w:rFonts w:ascii="Times New Roman" w:eastAsia="SimSun" w:hAnsi="Times New Roman" w:cs="Times New Roman"/>
          <w:bCs/>
          <w:kern w:val="0"/>
          <w14:ligatures w14:val="none"/>
        </w:rPr>
      </w:pPr>
      <w:r w:rsidRPr="00070085">
        <w:rPr>
          <w:rFonts w:ascii="Times New Roman" w:eastAsia="SimSun" w:hAnsi="Times New Roman" w:cs="Times New Roman"/>
          <w:b/>
          <w:bCs/>
          <w:kern w:val="0"/>
          <w14:ligatures w14:val="none"/>
        </w:rPr>
        <w:t>H</w:t>
      </w:r>
      <w:r w:rsidRPr="00070085">
        <w:rPr>
          <w:rFonts w:ascii="Times New Roman" w:eastAsia="SimSun" w:hAnsi="Times New Roman" w:cs="Times New Roman"/>
          <w:b/>
          <w:bCs/>
          <w:kern w:val="0"/>
          <w:vertAlign w:val="subscript"/>
          <w14:ligatures w14:val="none"/>
        </w:rPr>
        <w:t>01</w:t>
      </w:r>
      <w:r w:rsidRPr="00070085">
        <w:rPr>
          <w:rFonts w:ascii="Times New Roman" w:eastAsia="SimSun" w:hAnsi="Times New Roman" w:cs="Times New Roman"/>
          <w:b/>
          <w:bCs/>
          <w:kern w:val="0"/>
          <w14:ligatures w14:val="none"/>
        </w:rPr>
        <w:t>:</w:t>
      </w:r>
      <w:r w:rsidRPr="00070085">
        <w:rPr>
          <w:rFonts w:ascii="Times New Roman" w:eastAsia="SimSun" w:hAnsi="Times New Roman" w:cs="Times New Roman"/>
          <w:bCs/>
          <w:kern w:val="0"/>
          <w14:ligatures w14:val="none"/>
        </w:rPr>
        <w:t xml:space="preserve"> There is no significant relationship between continuous improvement and stakeholder satisfaction of </w:t>
      </w:r>
      <w:r w:rsidRPr="00070085">
        <w:rPr>
          <w:rFonts w:ascii="Times New Roman" w:eastAsia="Segoe UI" w:hAnsi="Times New Roman" w:cs="Times New Roman"/>
          <w:color w:val="0F1115"/>
          <w:kern w:val="0"/>
          <w14:ligatures w14:val="none"/>
        </w:rPr>
        <w:t>midstream oil and gas companies in Rivers State</w:t>
      </w:r>
      <w:r w:rsidRPr="00070085">
        <w:rPr>
          <w:rFonts w:ascii="Times New Roman" w:eastAsia="SimSun" w:hAnsi="Times New Roman" w:cs="Times New Roman"/>
          <w:kern w:val="0"/>
          <w14:ligatures w14:val="none"/>
        </w:rPr>
        <w:t>.</w:t>
      </w:r>
    </w:p>
    <w:p w14:paraId="3702E5EF"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b/>
          <w:bCs/>
          <w:kern w:val="0"/>
          <w:lang w:eastAsia="zh-CN"/>
          <w14:ligatures w14:val="none"/>
        </w:rPr>
        <w:t>H</w:t>
      </w:r>
      <w:r w:rsidRPr="00070085">
        <w:rPr>
          <w:rFonts w:ascii="Times New Roman" w:eastAsia="SimSun" w:hAnsi="Times New Roman" w:cs="Times New Roman"/>
          <w:b/>
          <w:bCs/>
          <w:kern w:val="0"/>
          <w:vertAlign w:val="subscript"/>
          <w:lang w:eastAsia="zh-CN"/>
          <w14:ligatures w14:val="none"/>
        </w:rPr>
        <w:t>02</w:t>
      </w:r>
      <w:r w:rsidRPr="00070085">
        <w:rPr>
          <w:rFonts w:ascii="Times New Roman" w:eastAsia="SimSun" w:hAnsi="Times New Roman" w:cs="Times New Roman"/>
          <w:b/>
          <w:bCs/>
          <w:kern w:val="0"/>
          <w:lang w:eastAsia="zh-CN"/>
          <w14:ligatures w14:val="none"/>
        </w:rPr>
        <w:t xml:space="preserve">: </w:t>
      </w:r>
      <w:r w:rsidRPr="00070085">
        <w:rPr>
          <w:rFonts w:ascii="Times New Roman" w:eastAsia="SimSun" w:hAnsi="Times New Roman" w:cs="Times New Roman"/>
          <w:bCs/>
          <w:kern w:val="0"/>
          <w:lang w:eastAsia="zh-CN"/>
          <w14:ligatures w14:val="none"/>
        </w:rPr>
        <w:t xml:space="preserve">There is no significant relationship between waste elimination and stakeholder satisfaction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egoe UI" w:hAnsi="Times New Roman" w:cs="Times New Roman"/>
          <w:color w:val="0F1115"/>
          <w:kern w:val="0"/>
          <w:shd w:val="clear" w:color="auto" w:fill="FFFFFF"/>
          <w:lang w:eastAsia="zh-CN"/>
          <w14:ligatures w14:val="none"/>
        </w:rPr>
        <w:t>.</w:t>
      </w:r>
    </w:p>
    <w:p w14:paraId="053BC796"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b/>
          <w:bCs/>
          <w:kern w:val="0"/>
          <w:lang w:eastAsia="zh-CN"/>
          <w14:ligatures w14:val="none"/>
        </w:rPr>
        <w:t>H</w:t>
      </w:r>
      <w:r w:rsidRPr="00070085">
        <w:rPr>
          <w:rFonts w:ascii="Times New Roman" w:eastAsia="SimSun" w:hAnsi="Times New Roman" w:cs="Times New Roman"/>
          <w:b/>
          <w:bCs/>
          <w:kern w:val="0"/>
          <w:vertAlign w:val="subscript"/>
          <w:lang w:eastAsia="zh-CN"/>
          <w14:ligatures w14:val="none"/>
        </w:rPr>
        <w:t>03</w:t>
      </w:r>
      <w:r w:rsidRPr="00070085">
        <w:rPr>
          <w:rFonts w:ascii="Times New Roman" w:eastAsia="SimSun" w:hAnsi="Times New Roman" w:cs="Times New Roman"/>
          <w:b/>
          <w:bCs/>
          <w:kern w:val="0"/>
          <w:lang w:eastAsia="zh-CN"/>
          <w14:ligatures w14:val="none"/>
        </w:rPr>
        <w:t xml:space="preserve">: </w:t>
      </w:r>
      <w:r w:rsidRPr="00070085">
        <w:rPr>
          <w:rFonts w:ascii="Times New Roman" w:eastAsia="SimSun" w:hAnsi="Times New Roman" w:cs="Times New Roman"/>
          <w:bCs/>
          <w:kern w:val="0"/>
          <w:lang w:eastAsia="zh-CN"/>
          <w14:ligatures w14:val="none"/>
        </w:rPr>
        <w:t xml:space="preserve">There is no significant relationship between continuous improvement and operational efficiency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egoe UI" w:hAnsi="Times New Roman" w:cs="Times New Roman"/>
          <w:color w:val="0F1115"/>
          <w:kern w:val="0"/>
          <w:shd w:val="clear" w:color="auto" w:fill="FFFFFF"/>
          <w:lang w:eastAsia="zh-CN"/>
          <w14:ligatures w14:val="none"/>
        </w:rPr>
        <w:t>.</w:t>
      </w:r>
    </w:p>
    <w:p w14:paraId="61647D16" w14:textId="77777777" w:rsidR="00070085" w:rsidRPr="00070085" w:rsidRDefault="00070085" w:rsidP="00070085">
      <w:pPr>
        <w:spacing w:after="120" w:line="240" w:lineRule="exact"/>
        <w:jc w:val="both"/>
        <w:rPr>
          <w:rFonts w:ascii="Times New Roman" w:eastAsia="Segoe UI" w:hAnsi="Times New Roman" w:cs="Times New Roman"/>
          <w:color w:val="0F1115"/>
          <w:kern w:val="0"/>
          <w:shd w:val="clear" w:color="auto" w:fill="FFFFFF"/>
          <w:lang w:eastAsia="zh-CN"/>
          <w14:ligatures w14:val="none"/>
        </w:rPr>
      </w:pPr>
      <w:r w:rsidRPr="00070085">
        <w:rPr>
          <w:rFonts w:ascii="Times New Roman" w:eastAsia="SimSun" w:hAnsi="Times New Roman" w:cs="Times New Roman"/>
          <w:b/>
          <w:bCs/>
          <w:kern w:val="0"/>
          <w:lang w:eastAsia="zh-CN"/>
          <w14:ligatures w14:val="none"/>
        </w:rPr>
        <w:t>H</w:t>
      </w:r>
      <w:r w:rsidRPr="00070085">
        <w:rPr>
          <w:rFonts w:ascii="Times New Roman" w:eastAsia="SimSun" w:hAnsi="Times New Roman" w:cs="Times New Roman"/>
          <w:b/>
          <w:bCs/>
          <w:kern w:val="0"/>
          <w:vertAlign w:val="subscript"/>
          <w:lang w:eastAsia="zh-CN"/>
          <w14:ligatures w14:val="none"/>
        </w:rPr>
        <w:t>04</w:t>
      </w:r>
      <w:r w:rsidRPr="00070085">
        <w:rPr>
          <w:rFonts w:ascii="Times New Roman" w:eastAsia="SimSun" w:hAnsi="Times New Roman" w:cs="Times New Roman"/>
          <w:b/>
          <w:bCs/>
          <w:kern w:val="0"/>
          <w:lang w:eastAsia="zh-CN"/>
          <w14:ligatures w14:val="none"/>
        </w:rPr>
        <w:t xml:space="preserve">: </w:t>
      </w:r>
      <w:r w:rsidRPr="00070085">
        <w:rPr>
          <w:rFonts w:ascii="Times New Roman" w:eastAsia="SimSun" w:hAnsi="Times New Roman" w:cs="Times New Roman"/>
          <w:bCs/>
          <w:kern w:val="0"/>
          <w:lang w:eastAsia="zh-CN"/>
          <w14:ligatures w14:val="none"/>
        </w:rPr>
        <w:t xml:space="preserve">There is no significant relationship between waste elimination and operational efficiency of </w:t>
      </w:r>
      <w:r w:rsidRPr="00070085">
        <w:rPr>
          <w:rFonts w:ascii="Times New Roman" w:eastAsia="Segoe UI" w:hAnsi="Times New Roman" w:cs="Times New Roman"/>
          <w:color w:val="0F1115"/>
          <w:kern w:val="0"/>
          <w:lang w:eastAsia="zh-CN"/>
          <w14:ligatures w14:val="none"/>
        </w:rPr>
        <w:t>midstream oil and gas companies in Rivers State</w:t>
      </w:r>
      <w:r w:rsidRPr="00070085">
        <w:rPr>
          <w:rFonts w:ascii="Times New Roman" w:eastAsia="Segoe UI" w:hAnsi="Times New Roman" w:cs="Times New Roman"/>
          <w:color w:val="0F1115"/>
          <w:kern w:val="0"/>
          <w:shd w:val="clear" w:color="auto" w:fill="FFFFFF"/>
          <w:lang w:eastAsia="zh-CN"/>
          <w14:ligatures w14:val="none"/>
        </w:rPr>
        <w:t>.</w:t>
      </w:r>
    </w:p>
    <w:p w14:paraId="671FACA7" w14:textId="77777777" w:rsidR="00070085" w:rsidRPr="00070085" w:rsidRDefault="00070085" w:rsidP="00070085">
      <w:pPr>
        <w:spacing w:after="120" w:line="240" w:lineRule="auto"/>
        <w:jc w:val="both"/>
        <w:rPr>
          <w:rFonts w:ascii="Times New Roman" w:eastAsia="SimSun" w:hAnsi="Times New Roman" w:cs="Times New Roman"/>
          <w:kern w:val="0"/>
          <w:lang w:eastAsia="zh-CN"/>
          <w14:ligatures w14:val="none"/>
        </w:rPr>
      </w:pPr>
    </w:p>
    <w:p w14:paraId="452F5F94" w14:textId="77777777" w:rsidR="00070085" w:rsidRPr="00070085" w:rsidRDefault="00070085" w:rsidP="00070085">
      <w:pPr>
        <w:spacing w:before="120" w:after="120" w:line="360" w:lineRule="auto"/>
        <w:ind w:right="970"/>
        <w:contextualSpacing/>
        <w:rPr>
          <w:rFonts w:ascii="Times New Roman" w:eastAsia="Times New Roman" w:hAnsi="Times New Roman" w:cs="Times New Roman"/>
          <w:b/>
          <w:bCs/>
          <w:spacing w:val="1"/>
          <w:kern w:val="0"/>
          <w14:ligatures w14:val="none"/>
        </w:rPr>
      </w:pPr>
      <w:r w:rsidRPr="00070085">
        <w:rPr>
          <w:rFonts w:ascii="Times New Roman" w:eastAsia="Times New Roman" w:hAnsi="Times New Roman" w:cs="Times New Roman"/>
          <w:b/>
          <w:bCs/>
          <w:spacing w:val="1"/>
          <w:kern w:val="0"/>
          <w14:ligatures w14:val="none"/>
        </w:rPr>
        <w:t>2.0 LITERATURE REVIEW</w:t>
      </w:r>
    </w:p>
    <w:p w14:paraId="45729399" w14:textId="77777777" w:rsidR="00070085" w:rsidRPr="00070085" w:rsidRDefault="00070085" w:rsidP="00070085">
      <w:pPr>
        <w:spacing w:after="0" w:line="480" w:lineRule="auto"/>
        <w:jc w:val="both"/>
        <w:rPr>
          <w:rFonts w:ascii="Times New Roman" w:eastAsia="SimSun" w:hAnsi="Times New Roman" w:cs="Times New Roman"/>
          <w:kern w:val="0"/>
          <w14:ligatures w14:val="none"/>
        </w:rPr>
      </w:pPr>
      <w:r w:rsidRPr="00070085">
        <w:rPr>
          <w:rFonts w:ascii="Times New Roman" w:eastAsia="Times New Roman" w:hAnsi="Times New Roman" w:cs="Times New Roman"/>
          <w:b/>
          <w:noProof/>
          <w:color w:val="000000"/>
          <w:kern w:val="0"/>
          <w:position w:val="-1"/>
          <w14:ligatures w14:val="none"/>
        </w:rPr>
        <mc:AlternateContent>
          <mc:Choice Requires="wpg">
            <w:drawing>
              <wp:anchor distT="0" distB="0" distL="114300" distR="114300" simplePos="0" relativeHeight="251730944" behindDoc="0" locked="0" layoutInCell="1" allowOverlap="1" wp14:anchorId="799B51DA" wp14:editId="56A01DA4">
                <wp:simplePos x="0" y="0"/>
                <wp:positionH relativeFrom="column">
                  <wp:posOffset>71755</wp:posOffset>
                </wp:positionH>
                <wp:positionV relativeFrom="paragraph">
                  <wp:posOffset>202565</wp:posOffset>
                </wp:positionV>
                <wp:extent cx="4868545" cy="2846705"/>
                <wp:effectExtent l="57150" t="38100" r="65405" b="29845"/>
                <wp:wrapNone/>
                <wp:docPr id="331463567" name="Group 331463567"/>
                <wp:cNvGraphicFramePr/>
                <a:graphic xmlns:a="http://schemas.openxmlformats.org/drawingml/2006/main">
                  <a:graphicData uri="http://schemas.microsoft.com/office/word/2010/wordprocessingGroup">
                    <wpg:wgp>
                      <wpg:cNvGrpSpPr/>
                      <wpg:grpSpPr>
                        <a:xfrm>
                          <a:off x="0" y="0"/>
                          <a:ext cx="4868704" cy="2846705"/>
                          <a:chOff x="0" y="0"/>
                          <a:chExt cx="4868704" cy="2846705"/>
                        </a:xfrm>
                      </wpg:grpSpPr>
                      <wps:wsp>
                        <wps:cNvPr id="757806617" name="Rounded Rectangle 6"/>
                        <wps:cNvSpPr/>
                        <wps:spPr>
                          <a:xfrm>
                            <a:off x="3308350" y="12700"/>
                            <a:ext cx="1560354" cy="742159"/>
                          </a:xfrm>
                          <a:prstGeom prst="roundRect">
                            <a:avLst/>
                          </a:prstGeom>
                          <a:solidFill>
                            <a:srgbClr val="70AD47">
                              <a:lumMod val="50000"/>
                            </a:srgbClr>
                          </a:solidFill>
                          <a:ln>
                            <a:noFill/>
                          </a:ln>
                          <a:effectLst>
                            <a:outerShdw blurRad="57150" dist="19050" dir="5400000" algn="ctr" rotWithShape="0">
                              <a:srgbClr val="000000">
                                <a:alpha val="63000"/>
                              </a:srgbClr>
                            </a:outerShdw>
                          </a:effectLst>
                        </wps:spPr>
                        <wps:txbx>
                          <w:txbxContent>
                            <w:p w14:paraId="7CF07C4A" w14:textId="77777777" w:rsidR="00070085" w:rsidRDefault="00070085" w:rsidP="00070085">
                              <w:pPr>
                                <w:jc w:val="center"/>
                                <w:rPr>
                                  <w:rFonts w:ascii="Times New Roman" w:hAnsi="Times New Roman" w:cs="Times New Roman"/>
                                  <w:b/>
                                  <w:bCs/>
                                </w:rPr>
                              </w:pPr>
                              <w:r>
                                <w:rPr>
                                  <w:rFonts w:ascii="Times New Roman" w:hAnsi="Times New Roman" w:cs="Times New Roman"/>
                                  <w:b/>
                                  <w:bCs/>
                                </w:rPr>
                                <w:t>Organizational Effectiveness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58822931" name="Rounded Rectangle 2"/>
                        <wps:cNvSpPr/>
                        <wps:spPr>
                          <a:xfrm>
                            <a:off x="0" y="0"/>
                            <a:ext cx="1472270" cy="917275"/>
                          </a:xfrm>
                          <a:prstGeom prst="roundRect">
                            <a:avLst/>
                          </a:prstGeom>
                          <a:solidFill>
                            <a:srgbClr val="70AD47">
                              <a:lumMod val="50000"/>
                            </a:srgbClr>
                          </a:solidFill>
                          <a:ln>
                            <a:noFill/>
                          </a:ln>
                          <a:effectLst>
                            <a:outerShdw blurRad="57150" dist="19050" dir="5400000" algn="ctr" rotWithShape="0">
                              <a:srgbClr val="000000">
                                <a:alpha val="63000"/>
                              </a:srgbClr>
                            </a:outerShdw>
                          </a:effectLst>
                        </wps:spPr>
                        <wps:txbx>
                          <w:txbxContent>
                            <w:p w14:paraId="2EE57153" w14:textId="77777777" w:rsidR="00070085" w:rsidRPr="00070085" w:rsidRDefault="00070085" w:rsidP="00070085">
                              <w:pPr>
                                <w:jc w:val="center"/>
                                <w:rPr>
                                  <w:rFonts w:ascii="Times New Roman" w:hAnsi="Times New Roman" w:cs="Times New Roman"/>
                                  <w:b/>
                                  <w:color w:val="FFFFFF"/>
                                </w:rPr>
                              </w:pPr>
                              <w:r w:rsidRPr="00070085">
                                <w:rPr>
                                  <w:rFonts w:ascii="Times New Roman" w:hAnsi="Times New Roman" w:cs="Times New Roman"/>
                                  <w:b/>
                                  <w:color w:val="FFFFFF"/>
                                </w:rPr>
                                <w:t>Lean Management Systems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9993858" name="Straight Connector 669993858"/>
                        <wps:cNvCnPr/>
                        <wps:spPr>
                          <a:xfrm flipV="1">
                            <a:off x="1473200" y="400050"/>
                            <a:ext cx="1843483" cy="0"/>
                          </a:xfrm>
                          <a:prstGeom prst="line">
                            <a:avLst/>
                          </a:prstGeom>
                          <a:noFill/>
                          <a:ln w="19050" cap="flat" cmpd="sng" algn="ctr">
                            <a:solidFill>
                              <a:sysClr val="windowText" lastClr="000000"/>
                            </a:solidFill>
                            <a:prstDash val="solid"/>
                            <a:miter lim="800000"/>
                            <a:headEnd type="none" w="med" len="med"/>
                            <a:tailEnd type="triangle" w="med" len="med"/>
                          </a:ln>
                          <a:effectLst/>
                        </wps:spPr>
                        <wps:bodyPr/>
                      </wps:wsp>
                      <wps:wsp>
                        <wps:cNvPr id="1966035468" name="Straight Connector 1966035468"/>
                        <wps:cNvCnPr/>
                        <wps:spPr>
                          <a:xfrm>
                            <a:off x="4086997" y="717550"/>
                            <a:ext cx="27669" cy="2129155"/>
                          </a:xfrm>
                          <a:prstGeom prst="line">
                            <a:avLst/>
                          </a:prstGeom>
                          <a:noFill/>
                          <a:ln w="19050" cap="flat" cmpd="sng" algn="ctr">
                            <a:solidFill>
                              <a:sysClr val="windowText" lastClr="000000"/>
                            </a:solidFill>
                            <a:prstDash val="solid"/>
                            <a:miter lim="800000"/>
                          </a:ln>
                          <a:effectLst/>
                        </wps:spPr>
                        <wps:bodyPr/>
                      </wps:wsp>
                      <wps:wsp>
                        <wps:cNvPr id="953514133" name="Rounded Rectangle 27"/>
                        <wps:cNvSpPr/>
                        <wps:spPr>
                          <a:xfrm>
                            <a:off x="12700" y="1174750"/>
                            <a:ext cx="1510079" cy="1506220"/>
                          </a:xfrm>
                          <a:prstGeom prst="roundRect">
                            <a:avLst/>
                          </a:prstGeom>
                          <a:solidFill>
                            <a:srgbClr val="002060"/>
                          </a:solidFill>
                          <a:ln>
                            <a:noFill/>
                          </a:ln>
                          <a:effectLst>
                            <a:outerShdw blurRad="57150" dist="19050" dir="5400000" algn="ctr" rotWithShape="0">
                              <a:srgbClr val="000000">
                                <a:alpha val="63000"/>
                              </a:srgbClr>
                            </a:outerShdw>
                          </a:effectLst>
                        </wps:spPr>
                        <wps:txbx>
                          <w:txbxContent>
                            <w:p w14:paraId="36A36449" w14:textId="77777777" w:rsidR="00070085" w:rsidRDefault="00070085" w:rsidP="00070085"/>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9392702" name="Straight Connector 1079392702"/>
                        <wps:cNvCnPr/>
                        <wps:spPr>
                          <a:xfrm>
                            <a:off x="736600" y="914400"/>
                            <a:ext cx="0" cy="258505"/>
                          </a:xfrm>
                          <a:prstGeom prst="line">
                            <a:avLst/>
                          </a:prstGeom>
                          <a:noFill/>
                          <a:ln w="19050" cap="flat" cmpd="sng" algn="ctr">
                            <a:solidFill>
                              <a:sysClr val="windowText" lastClr="000000"/>
                            </a:solidFill>
                            <a:prstDash val="solid"/>
                            <a:miter lim="800000"/>
                          </a:ln>
                          <a:effectLst/>
                        </wps:spPr>
                        <wps:bodyPr/>
                      </wps:wsp>
                      <wps:wsp>
                        <wps:cNvPr id="760629831" name="Straight Connector 760629831"/>
                        <wps:cNvCnPr/>
                        <wps:spPr>
                          <a:xfrm>
                            <a:off x="767715" y="2680970"/>
                            <a:ext cx="0" cy="165735"/>
                          </a:xfrm>
                          <a:prstGeom prst="line">
                            <a:avLst/>
                          </a:prstGeom>
                          <a:noFill/>
                          <a:ln w="19050" cap="flat" cmpd="sng" algn="ctr">
                            <a:solidFill>
                              <a:sysClr val="windowText" lastClr="000000"/>
                            </a:solidFill>
                            <a:prstDash val="solid"/>
                            <a:miter lim="800000"/>
                          </a:ln>
                          <a:effectLst/>
                        </wps:spPr>
                        <wps:bodyPr/>
                      </wps:wsp>
                      <wps:wsp>
                        <wps:cNvPr id="2055109884" name="Straight Connector 2055109884"/>
                        <wps:cNvCnPr/>
                        <wps:spPr>
                          <a:xfrm flipV="1">
                            <a:off x="762659" y="2846705"/>
                            <a:ext cx="3337437" cy="0"/>
                          </a:xfrm>
                          <a:prstGeom prst="line">
                            <a:avLst/>
                          </a:prstGeom>
                          <a:noFill/>
                          <a:ln w="19050" cap="flat" cmpd="sng" algn="ctr">
                            <a:solidFill>
                              <a:sysClr val="windowText" lastClr="000000"/>
                            </a:solidFill>
                            <a:prstDash val="solid"/>
                            <a:miter lim="800000"/>
                          </a:ln>
                          <a:effectLst/>
                        </wps:spPr>
                        <wps:bodyPr/>
                      </wps:wsp>
                      <wps:wsp>
                        <wps:cNvPr id="1402524438" name="Rounded Rectangle 29"/>
                        <wps:cNvSpPr/>
                        <wps:spPr>
                          <a:xfrm>
                            <a:off x="158750" y="1231900"/>
                            <a:ext cx="1266825" cy="568960"/>
                          </a:xfrm>
                          <a:prstGeom prst="roundRect">
                            <a:avLst/>
                          </a:prstGeom>
                          <a:solidFill>
                            <a:srgbClr val="44546A">
                              <a:lumMod val="20000"/>
                              <a:lumOff val="80000"/>
                            </a:srgbClr>
                          </a:solidFill>
                          <a:ln w="6350" cap="flat" cmpd="sng" algn="ctr">
                            <a:noFill/>
                            <a:prstDash val="solid"/>
                            <a:miter lim="800000"/>
                          </a:ln>
                          <a:effectLst/>
                        </wps:spPr>
                        <wps:txbx>
                          <w:txbxContent>
                            <w:p w14:paraId="1ED85596" w14:textId="77777777" w:rsidR="00070085" w:rsidRDefault="00070085" w:rsidP="00070085">
                              <w:pPr>
                                <w:jc w:val="center"/>
                                <w:rPr>
                                  <w:rFonts w:ascii="Times New Roman" w:hAnsi="Times New Roman" w:cs="Times New Roman"/>
                                </w:rPr>
                              </w:pPr>
                              <w:r>
                                <w:rPr>
                                  <w:rFonts w:ascii="Times New Roman" w:hAnsi="Times New Roman" w:cs="Times New Roman"/>
                                  <w:bCs/>
                                </w:rPr>
                                <w:t xml:space="preserve">Continuous Improvement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9710393" name="Rounded Rectangle 11"/>
                        <wps:cNvSpPr/>
                        <wps:spPr>
                          <a:xfrm>
                            <a:off x="184156" y="1958340"/>
                            <a:ext cx="1277027" cy="552450"/>
                          </a:xfrm>
                          <a:prstGeom prst="roundRect">
                            <a:avLst/>
                          </a:prstGeom>
                          <a:solidFill>
                            <a:srgbClr val="44546A">
                              <a:lumMod val="20000"/>
                              <a:lumOff val="80000"/>
                            </a:srgbClr>
                          </a:solidFill>
                          <a:ln w="6350" cap="flat" cmpd="sng" algn="ctr">
                            <a:noFill/>
                            <a:prstDash val="solid"/>
                            <a:miter lim="800000"/>
                          </a:ln>
                          <a:effectLst/>
                        </wps:spPr>
                        <wps:txbx>
                          <w:txbxContent>
                            <w:p w14:paraId="0BB89572" w14:textId="77777777" w:rsidR="00070085" w:rsidRDefault="00070085" w:rsidP="00070085">
                              <w:pPr>
                                <w:jc w:val="center"/>
                                <w:rPr>
                                  <w:rFonts w:ascii="Times New Roman" w:hAnsi="Times New Roman" w:cs="Times New Roman"/>
                                </w:rPr>
                              </w:pPr>
                              <w:r>
                                <w:rPr>
                                  <w:rFonts w:ascii="Times New Roman" w:hAnsi="Times New Roman" w:cs="Times New Roman"/>
                                </w:rPr>
                                <w:t>Waste Elimination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99B51DA" id="Group 331463567" o:spid="_x0000_s1048" style="position:absolute;left:0;text-align:left;margin-left:5.65pt;margin-top:15.95pt;width:383.35pt;height:224.15pt;z-index:251730944;mso-position-horizontal-relative:text;mso-position-vertical-relative:text" coordsize="48687,28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">
                <v:roundrect id="Rounded Rectangle 6" o:spid="_x0000_s1049" style="position:absolute;left:33083;top:127;width:15604;height:74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" fillcolor="#385723" stroked="f">
                  <v:shadow on="t" color="black" opacity="41287f" offset="0,1.5pt"/>
                  <v:textbox>
                    <w:txbxContent>
                      <w:p w14:paraId="7CF07C4A" w14:textId="77777777" w:rsidR="00070085" w:rsidRDefault="00070085" w:rsidP="00070085">
                        <w:pPr>
                          <w:jc w:val="center"/>
                          <w:rPr>
                            <w:rFonts w:ascii="Times New Roman" w:hAnsi="Times New Roman" w:cs="Times New Roman"/>
                            <w:b/>
                            <w:bCs/>
                          </w:rPr>
                        </w:pPr>
                        <w:r>
                          <w:rPr>
                            <w:rFonts w:ascii="Times New Roman" w:hAnsi="Times New Roman" w:cs="Times New Roman"/>
                            <w:b/>
                            <w:bCs/>
                          </w:rPr>
                          <w:t>Organizational Effectiveness</w:t>
                        </w:r>
                      </w:p>
                    </w:txbxContent>
                  </v:textbox>
                </v:roundrect>
                <v:roundrect id="Rounded Rectangle 2" o:spid="_x0000_s1050" style="position:absolute;width:14722;height:91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" fillcolor="#385723" stroked="f">
                  <v:shadow on="t" color="black" opacity="41287f" offset="0,1.5pt"/>
                  <v:textbox>
                    <w:txbxContent>
                      <w:p w14:paraId="2EE57153" w14:textId="77777777" w:rsidR="00070085" w:rsidRPr="00070085" w:rsidRDefault="00070085" w:rsidP="00070085">
                        <w:pPr>
                          <w:jc w:val="center"/>
                          <w:rPr>
                            <w:rFonts w:ascii="Times New Roman" w:hAnsi="Times New Roman" w:cs="Times New Roman"/>
                            <w:b/>
                            <w:color w:val="FFFFFF"/>
                          </w:rPr>
                        </w:pPr>
                        <w:r w:rsidRPr="00070085">
                          <w:rPr>
                            <w:rFonts w:ascii="Times New Roman" w:hAnsi="Times New Roman" w:cs="Times New Roman"/>
                            <w:b/>
                            <w:color w:val="FFFFFF"/>
                          </w:rPr>
                          <w:t>Lean Management Systems</w:t>
                        </w:r>
                      </w:p>
                    </w:txbxContent>
                  </v:textbox>
                </v:roundrect>
                <v:line id="Straight Connector 669993858" o:spid="_x0000_s1051" style="position:absolute;flip:y;visibility:visible;mso-wrap-style:square" from="14732,4000" to="3316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" strokecolor="windowText" strokeweight="1.5pt">
                  <v:stroke endarrow="block" joinstyle="miter"/>
                </v:line>
                <v:line id="Straight Connector 1966035468" o:spid="_x0000_s1052" style="position:absolute;visibility:visible;mso-wrap-style:square" from="40869,7175" to="41146,28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" strokecolor="windowText" strokeweight="1.5pt">
                  <v:stroke joinstyle="miter"/>
                </v:line>
                <v:roundrect id="Rounded Rectangle 27" o:spid="_x0000_s1053" style="position:absolute;left:127;top:11747;width:15100;height:150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" fillcolor="#002060" stroked="f">
                  <v:shadow on="t" color="black" opacity="41287f" offset="0,1.5pt"/>
                  <v:textbox>
                    <w:txbxContent>
                      <w:p w14:paraId="36A36449" w14:textId="77777777" w:rsidR="00070085" w:rsidRDefault="00070085" w:rsidP="00070085"/>
                    </w:txbxContent>
                  </v:textbox>
                </v:roundrect>
                <v:line id="Straight Connector 1079392702" o:spid="_x0000_s1054" style="position:absolute;visibility:visible;mso-wrap-style:square" from="7366,9144" to="7366,11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" strokecolor="windowText" strokeweight="1.5pt">
                  <v:stroke joinstyle="miter"/>
                </v:line>
                <v:line id="Straight Connector 760629831" o:spid="_x0000_s1055" style="position:absolute;visibility:visible;mso-wrap-style:square" from="7677,26809" to="7677,28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" strokecolor="windowText" strokeweight="1.5pt">
                  <v:stroke joinstyle="miter"/>
                </v:line>
                <v:line id="Straight Connector 2055109884" o:spid="_x0000_s1056" style="position:absolute;flip:y;visibility:visible;mso-wrap-style:square" from="7626,28467" to="41000,28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" strokecolor="windowText" strokeweight="1.5pt">
                  <v:stroke joinstyle="miter"/>
                </v:line>
                <v:roundrect id="Rounded Rectangle 29" o:spid="_x0000_s1057" style="position:absolute;left:1587;top:12319;width:12668;height:56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" fillcolor="#d6dce5" stroked="f" strokeweight=".5pt">
                  <v:stroke joinstyle="miter"/>
                  <v:textbox>
                    <w:txbxContent>
                      <w:p w14:paraId="1ED85596" w14:textId="77777777" w:rsidR="00070085" w:rsidRDefault="00070085" w:rsidP="00070085">
                        <w:pPr>
                          <w:jc w:val="center"/>
                          <w:rPr>
                            <w:rFonts w:ascii="Times New Roman" w:hAnsi="Times New Roman" w:cs="Times New Roman"/>
                          </w:rPr>
                        </w:pPr>
                        <w:r>
                          <w:rPr>
                            <w:rFonts w:ascii="Times New Roman" w:hAnsi="Times New Roman" w:cs="Times New Roman"/>
                            <w:bCs/>
                          </w:rPr>
                          <w:t xml:space="preserve">Continuous Improvement </w:t>
                        </w:r>
                      </w:p>
                    </w:txbxContent>
                  </v:textbox>
                </v:roundrect>
                <v:roundrect id="Rounded Rectangle 11" o:spid="_x0000_s1058" style="position:absolute;left:1841;top:19583;width:12770;height:55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" fillcolor="#d6dce5" stroked="f" strokeweight=".5pt">
                  <v:stroke joinstyle="miter"/>
                  <v:textbox>
                    <w:txbxContent>
                      <w:p w14:paraId="0BB89572" w14:textId="77777777" w:rsidR="00070085" w:rsidRDefault="00070085" w:rsidP="00070085">
                        <w:pPr>
                          <w:jc w:val="center"/>
                          <w:rPr>
                            <w:rFonts w:ascii="Times New Roman" w:hAnsi="Times New Roman" w:cs="Times New Roman"/>
                          </w:rPr>
                        </w:pPr>
                        <w:r>
                          <w:rPr>
                            <w:rFonts w:ascii="Times New Roman" w:hAnsi="Times New Roman" w:cs="Times New Roman"/>
                          </w:rPr>
                          <w:t>Waste Elimination</w:t>
                        </w:r>
                      </w:p>
                    </w:txbxContent>
                  </v:textbox>
                </v:roundrect>
              </v:group>
            </w:pict>
          </mc:Fallback>
        </mc:AlternateContent>
      </w:r>
      <w:r w:rsidRPr="00070085">
        <w:rPr>
          <w:rFonts w:ascii="Times New Roman" w:eastAsia="Times New Roman" w:hAnsi="Times New Roman" w:cs="Times New Roman"/>
          <w:b/>
          <w:color w:val="000000"/>
          <w:kern w:val="0"/>
          <w:position w:val="-1"/>
          <w14:ligatures w14:val="none"/>
        </w:rPr>
        <w:t>2.1 Conceptual Framework</w:t>
      </w:r>
    </w:p>
    <w:p w14:paraId="57951E76"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0EBE7275"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3B39A0F6" w14:textId="77777777" w:rsidR="00070085" w:rsidRPr="00070085" w:rsidRDefault="00070085" w:rsidP="00070085">
      <w:pPr>
        <w:spacing w:after="0" w:line="240" w:lineRule="auto"/>
        <w:ind w:right="970"/>
        <w:rPr>
          <w:rFonts w:ascii="Times New Roman" w:eastAsia="Times New Roman" w:hAnsi="Times New Roman" w:cs="Times New Roman"/>
          <w:b/>
          <w:bCs/>
          <w:spacing w:val="1"/>
          <w:kern w:val="0"/>
          <w14:ligatures w14:val="none"/>
        </w:rPr>
      </w:pPr>
    </w:p>
    <w:p w14:paraId="2CE0C886" w14:textId="77777777" w:rsidR="00070085" w:rsidRPr="00070085" w:rsidRDefault="00070085" w:rsidP="00070085">
      <w:pPr>
        <w:spacing w:after="0" w:line="240" w:lineRule="auto"/>
        <w:ind w:right="970"/>
        <w:rPr>
          <w:rFonts w:ascii="Times New Roman" w:eastAsia="Times New Roman" w:hAnsi="Times New Roman" w:cs="Times New Roman"/>
          <w:b/>
          <w:bCs/>
          <w:spacing w:val="1"/>
          <w:kern w:val="0"/>
          <w14:ligatures w14:val="none"/>
        </w:rPr>
      </w:pPr>
    </w:p>
    <w:p w14:paraId="46797746" w14:textId="77777777" w:rsidR="00070085" w:rsidRPr="00070085" w:rsidRDefault="00070085" w:rsidP="00070085">
      <w:pPr>
        <w:spacing w:after="0" w:line="240" w:lineRule="auto"/>
        <w:ind w:right="970"/>
        <w:rPr>
          <w:rFonts w:ascii="Times New Roman" w:eastAsia="Times New Roman" w:hAnsi="Times New Roman" w:cs="Times New Roman"/>
          <w:b/>
          <w:bCs/>
          <w:spacing w:val="1"/>
          <w:kern w:val="0"/>
          <w14:ligatures w14:val="none"/>
        </w:rPr>
      </w:pPr>
      <w:r w:rsidRPr="00070085">
        <w:rPr>
          <w:rFonts w:ascii="Times New Roman" w:eastAsia="SimSun" w:hAnsi="Times New Roman" w:cs="Times New Roman"/>
          <w:noProof/>
          <w:kern w:val="0"/>
          <w14:ligatures w14:val="none"/>
        </w:rPr>
        <mc:AlternateContent>
          <mc:Choice Requires="wps">
            <w:drawing>
              <wp:anchor distT="0" distB="0" distL="114300" distR="114300" simplePos="0" relativeHeight="251731968" behindDoc="0" locked="0" layoutInCell="1" allowOverlap="1" wp14:anchorId="579E09BF" wp14:editId="64E8D72D">
                <wp:simplePos x="0" y="0"/>
                <wp:positionH relativeFrom="column">
                  <wp:posOffset>3373755</wp:posOffset>
                </wp:positionH>
                <wp:positionV relativeFrom="paragraph">
                  <wp:posOffset>160655</wp:posOffset>
                </wp:positionV>
                <wp:extent cx="1510030" cy="1657985"/>
                <wp:effectExtent l="48260" t="29210" r="57150" b="80645"/>
                <wp:wrapNone/>
                <wp:docPr id="324876323" name="Rounded Rectangle 5"/>
                <wp:cNvGraphicFramePr/>
                <a:graphic xmlns:a="http://schemas.openxmlformats.org/drawingml/2006/main">
                  <a:graphicData uri="http://schemas.microsoft.com/office/word/2010/wordprocessingShape">
                    <wps:wsp>
                      <wps:cNvSpPr/>
                      <wps:spPr>
                        <a:xfrm>
                          <a:off x="0" y="0"/>
                          <a:ext cx="1510030" cy="1657985"/>
                        </a:xfrm>
                        <a:prstGeom prst="roundRect">
                          <a:avLst/>
                        </a:prstGeom>
                        <a:solidFill>
                          <a:srgbClr val="002060"/>
                        </a:solidFill>
                        <a:ln>
                          <a:noFill/>
                        </a:ln>
                        <a:effectLst>
                          <a:outerShdw blurRad="57150" dist="19050" dir="5400000" algn="ctr" rotWithShape="0">
                            <a:srgbClr val="000000">
                              <a:alpha val="63000"/>
                            </a:srgbClr>
                          </a:outerShdw>
                        </a:effectLst>
                      </wps:spPr>
                      <wps:txbx>
                        <w:txbxContent>
                          <w:p w14:paraId="084AC2B9" w14:textId="77777777" w:rsidR="00070085" w:rsidRDefault="00070085" w:rsidP="00070085"/>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9E09BF" id="Rounded Rectangle 5" o:spid="_x0000_s1059" style="position:absolute;margin-left:265.65pt;margin-top:12.65pt;width:118.9pt;height:130.55pt;z-index:251731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" fillcolor="#002060" stroked="f">
                <v:shadow on="t" color="black" opacity="41287f" offset="0,1.5pt"/>
                <v:textbox>
                  <w:txbxContent>
                    <w:p w14:paraId="084AC2B9" w14:textId="77777777" w:rsidR="00070085" w:rsidRDefault="00070085" w:rsidP="00070085"/>
                  </w:txbxContent>
                </v:textbox>
              </v:roundrect>
            </w:pict>
          </mc:Fallback>
        </mc:AlternateContent>
      </w:r>
    </w:p>
    <w:p w14:paraId="3CE193EB" w14:textId="77777777" w:rsidR="00070085" w:rsidRPr="00070085" w:rsidRDefault="00070085" w:rsidP="00070085">
      <w:pPr>
        <w:spacing w:after="0" w:line="240" w:lineRule="auto"/>
        <w:ind w:right="970"/>
        <w:rPr>
          <w:rFonts w:ascii="Times New Roman" w:eastAsia="Times New Roman" w:hAnsi="Times New Roman" w:cs="Times New Roman"/>
          <w:b/>
          <w:bCs/>
          <w:spacing w:val="1"/>
          <w:kern w:val="0"/>
          <w14:ligatures w14:val="none"/>
        </w:rPr>
      </w:pPr>
      <w:r w:rsidRPr="00070085">
        <w:rPr>
          <w:rFonts w:ascii="Times New Roman" w:eastAsia="SimSun" w:hAnsi="Times New Roman" w:cs="Times New Roman"/>
          <w:noProof/>
          <w:kern w:val="0"/>
          <w14:ligatures w14:val="none"/>
        </w:rPr>
        <mc:AlternateContent>
          <mc:Choice Requires="wps">
            <w:drawing>
              <wp:anchor distT="0" distB="0" distL="114300" distR="114300" simplePos="0" relativeHeight="251732992" behindDoc="0" locked="0" layoutInCell="1" allowOverlap="1" wp14:anchorId="5393BDAD" wp14:editId="65E07800">
                <wp:simplePos x="0" y="0"/>
                <wp:positionH relativeFrom="column">
                  <wp:posOffset>3509010</wp:posOffset>
                </wp:positionH>
                <wp:positionV relativeFrom="paragraph">
                  <wp:posOffset>103505</wp:posOffset>
                </wp:positionV>
                <wp:extent cx="1266825" cy="568960"/>
                <wp:effectExtent l="0" t="0" r="13335" b="10160"/>
                <wp:wrapNone/>
                <wp:docPr id="1201664210" name="Rounded Rectangle 7"/>
                <wp:cNvGraphicFramePr/>
                <a:graphic xmlns:a="http://schemas.openxmlformats.org/drawingml/2006/main">
                  <a:graphicData uri="http://schemas.microsoft.com/office/word/2010/wordprocessingShape">
                    <wps:wsp>
                      <wps:cNvSpPr/>
                      <wps:spPr>
                        <a:xfrm>
                          <a:off x="0" y="0"/>
                          <a:ext cx="1266825" cy="568960"/>
                        </a:xfrm>
                        <a:prstGeom prst="roundRect">
                          <a:avLst/>
                        </a:prstGeom>
                        <a:solidFill>
                          <a:srgbClr val="44546A">
                            <a:lumMod val="20000"/>
                            <a:lumOff val="80000"/>
                          </a:srgbClr>
                        </a:solidFill>
                        <a:ln w="6350" cap="flat" cmpd="sng" algn="ctr">
                          <a:noFill/>
                          <a:prstDash val="solid"/>
                          <a:miter lim="800000"/>
                        </a:ln>
                        <a:effectLst/>
                      </wps:spPr>
                      <wps:txbx>
                        <w:txbxContent>
                          <w:p w14:paraId="6D377D4F" w14:textId="77777777" w:rsidR="00070085" w:rsidRDefault="00070085" w:rsidP="00070085">
                            <w:pPr>
                              <w:jc w:val="center"/>
                              <w:rPr>
                                <w:rFonts w:ascii="Times New Roman" w:hAnsi="Times New Roman" w:cs="Times New Roman"/>
                              </w:rPr>
                            </w:pPr>
                            <w:r>
                              <w:rPr>
                                <w:rFonts w:ascii="Times New Roman" w:hAnsi="Times New Roman" w:cs="Times New Roman"/>
                              </w:rPr>
                              <w:t>Stakeholder Satisfaction</w:t>
                            </w:r>
                          </w:p>
                          <w:p w14:paraId="04CF37AA" w14:textId="77777777" w:rsidR="00070085" w:rsidRDefault="00070085" w:rsidP="00070085">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93BDAD" id="Rounded Rectangle 7" o:spid="_x0000_s1060" style="position:absolute;margin-left:276.3pt;margin-top:8.15pt;width:99.75pt;height:44.8pt;z-index:251732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" fillcolor="#d6dce5" stroked="f" strokeweight=".5pt">
                <v:stroke joinstyle="miter"/>
                <v:textbox>
                  <w:txbxContent>
                    <w:p w14:paraId="6D377D4F" w14:textId="77777777" w:rsidR="00070085" w:rsidRDefault="00070085" w:rsidP="00070085">
                      <w:pPr>
                        <w:jc w:val="center"/>
                        <w:rPr>
                          <w:rFonts w:ascii="Times New Roman" w:hAnsi="Times New Roman" w:cs="Times New Roman"/>
                        </w:rPr>
                      </w:pPr>
                      <w:r>
                        <w:rPr>
                          <w:rFonts w:ascii="Times New Roman" w:hAnsi="Times New Roman" w:cs="Times New Roman"/>
                        </w:rPr>
                        <w:t>Stakeholder Satisfaction</w:t>
                      </w:r>
                    </w:p>
                    <w:p w14:paraId="04CF37AA" w14:textId="77777777" w:rsidR="00070085" w:rsidRDefault="00070085" w:rsidP="00070085">
                      <w:pPr>
                        <w:jc w:val="center"/>
                        <w:rPr>
                          <w:rFonts w:ascii="Times New Roman" w:hAnsi="Times New Roman" w:cs="Times New Roman"/>
                        </w:rPr>
                      </w:pPr>
                    </w:p>
                  </w:txbxContent>
                </v:textbox>
              </v:roundrect>
            </w:pict>
          </mc:Fallback>
        </mc:AlternateContent>
      </w:r>
    </w:p>
    <w:p w14:paraId="34F46FE5" w14:textId="77777777" w:rsidR="00070085" w:rsidRPr="00070085" w:rsidRDefault="00070085" w:rsidP="00070085">
      <w:pPr>
        <w:spacing w:after="0" w:line="240" w:lineRule="auto"/>
        <w:ind w:right="970"/>
        <w:rPr>
          <w:rFonts w:ascii="Times New Roman" w:eastAsia="Times New Roman" w:hAnsi="Times New Roman" w:cs="Times New Roman"/>
          <w:b/>
          <w:bCs/>
          <w:spacing w:val="1"/>
          <w:kern w:val="0"/>
          <w14:ligatures w14:val="none"/>
        </w:rPr>
      </w:pPr>
    </w:p>
    <w:p w14:paraId="20756FA5" w14:textId="77777777" w:rsidR="00070085" w:rsidRPr="00070085" w:rsidRDefault="00070085" w:rsidP="00070085">
      <w:pPr>
        <w:spacing w:after="0" w:line="240" w:lineRule="auto"/>
        <w:ind w:right="970"/>
        <w:rPr>
          <w:rFonts w:ascii="Times New Roman" w:eastAsia="Times New Roman" w:hAnsi="Times New Roman" w:cs="Times New Roman"/>
          <w:b/>
          <w:bCs/>
          <w:spacing w:val="1"/>
          <w:kern w:val="0"/>
          <w14:ligatures w14:val="none"/>
        </w:rPr>
      </w:pPr>
    </w:p>
    <w:p w14:paraId="5448E368"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p>
    <w:p w14:paraId="0B48FE27"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r w:rsidRPr="00070085">
        <w:rPr>
          <w:rFonts w:ascii="Times New Roman" w:eastAsia="SimSun" w:hAnsi="Times New Roman" w:cs="Times New Roman"/>
          <w:noProof/>
          <w:kern w:val="0"/>
          <w:lang w:eastAsia="zh-CN"/>
          <w14:ligatures w14:val="none"/>
        </w:rPr>
        <mc:AlternateContent>
          <mc:Choice Requires="wps">
            <w:drawing>
              <wp:anchor distT="0" distB="0" distL="114300" distR="114300" simplePos="0" relativeHeight="251734016" behindDoc="0" locked="0" layoutInCell="1" allowOverlap="1" wp14:anchorId="6F689640" wp14:editId="1A5917ED">
                <wp:simplePos x="0" y="0"/>
                <wp:positionH relativeFrom="column">
                  <wp:posOffset>3525520</wp:posOffset>
                </wp:positionH>
                <wp:positionV relativeFrom="paragraph">
                  <wp:posOffset>125095</wp:posOffset>
                </wp:positionV>
                <wp:extent cx="1276985" cy="552450"/>
                <wp:effectExtent l="0" t="0" r="3175" b="11430"/>
                <wp:wrapNone/>
                <wp:docPr id="2116935538" name="Rounded Rectangle 10"/>
                <wp:cNvGraphicFramePr/>
                <a:graphic xmlns:a="http://schemas.openxmlformats.org/drawingml/2006/main">
                  <a:graphicData uri="http://schemas.microsoft.com/office/word/2010/wordprocessingShape">
                    <wps:wsp>
                      <wps:cNvSpPr/>
                      <wps:spPr>
                        <a:xfrm>
                          <a:off x="0" y="0"/>
                          <a:ext cx="1276985" cy="552450"/>
                        </a:xfrm>
                        <a:prstGeom prst="roundRect">
                          <a:avLst/>
                        </a:prstGeom>
                        <a:solidFill>
                          <a:srgbClr val="44546A">
                            <a:lumMod val="20000"/>
                            <a:lumOff val="80000"/>
                          </a:srgbClr>
                        </a:solidFill>
                        <a:ln w="6350" cap="flat" cmpd="sng" algn="ctr">
                          <a:noFill/>
                          <a:prstDash val="solid"/>
                          <a:miter lim="800000"/>
                        </a:ln>
                        <a:effectLst/>
                      </wps:spPr>
                      <wps:txbx>
                        <w:txbxContent>
                          <w:p w14:paraId="6CD5A424" w14:textId="77777777" w:rsidR="00070085" w:rsidRDefault="00070085" w:rsidP="00070085">
                            <w:pPr>
                              <w:jc w:val="center"/>
                              <w:rPr>
                                <w:rFonts w:ascii="Times New Roman" w:hAnsi="Times New Roman" w:cs="Times New Roman"/>
                              </w:rPr>
                            </w:pPr>
                            <w:r>
                              <w:rPr>
                                <w:rFonts w:ascii="Times New Roman" w:hAnsi="Times New Roman" w:cs="Times New Roman"/>
                              </w:rPr>
                              <w:t>Operational Efficiency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F689640" id="Rounded Rectangle 10" o:spid="_x0000_s1061" style="position:absolute;left:0;text-align:left;margin-left:277.6pt;margin-top:9.85pt;width:100.55pt;height:43.5pt;z-index:251734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" fillcolor="#d6dce5" stroked="f" strokeweight=".5pt">
                <v:stroke joinstyle="miter"/>
                <v:textbox>
                  <w:txbxContent>
                    <w:p w14:paraId="6CD5A424" w14:textId="77777777" w:rsidR="00070085" w:rsidRDefault="00070085" w:rsidP="00070085">
                      <w:pPr>
                        <w:jc w:val="center"/>
                        <w:rPr>
                          <w:rFonts w:ascii="Times New Roman" w:hAnsi="Times New Roman" w:cs="Times New Roman"/>
                        </w:rPr>
                      </w:pPr>
                      <w:r>
                        <w:rPr>
                          <w:rFonts w:ascii="Times New Roman" w:hAnsi="Times New Roman" w:cs="Times New Roman"/>
                        </w:rPr>
                        <w:t>Operational Efficiency</w:t>
                      </w:r>
                    </w:p>
                  </w:txbxContent>
                </v:textbox>
              </v:roundrect>
            </w:pict>
          </mc:Fallback>
        </mc:AlternateContent>
      </w:r>
    </w:p>
    <w:p w14:paraId="0A4ACAD4"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p>
    <w:p w14:paraId="7253E461"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p>
    <w:p w14:paraId="176D5461"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p>
    <w:p w14:paraId="584AB985"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p>
    <w:p w14:paraId="45BC0A91"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p>
    <w:p w14:paraId="59EE420D" w14:textId="77777777" w:rsidR="00070085" w:rsidRPr="00070085" w:rsidRDefault="00070085" w:rsidP="00070085">
      <w:pPr>
        <w:spacing w:after="0" w:line="240" w:lineRule="auto"/>
        <w:contextualSpacing/>
        <w:jc w:val="both"/>
        <w:rPr>
          <w:rFonts w:ascii="Times New Roman" w:eastAsia="SimSun" w:hAnsi="Times New Roman" w:cs="Times New Roman"/>
          <w:color w:val="000000"/>
          <w:kern w:val="0"/>
          <w14:ligatures w14:val="none"/>
        </w:rPr>
      </w:pPr>
      <w:r w:rsidRPr="00070085">
        <w:rPr>
          <w:rFonts w:ascii="Times New Roman" w:eastAsia="SimSun" w:hAnsi="Times New Roman" w:cs="Times New Roman"/>
          <w:b/>
          <w:color w:val="000000"/>
          <w:kern w:val="0"/>
          <w14:ligatures w14:val="none"/>
        </w:rPr>
        <w:t xml:space="preserve">Figure 1: </w:t>
      </w:r>
      <w:r w:rsidRPr="00070085">
        <w:rPr>
          <w:rFonts w:ascii="Times New Roman" w:eastAsia="SimSun" w:hAnsi="Times New Roman" w:cs="Times New Roman"/>
          <w:color w:val="000000"/>
          <w:kern w:val="0"/>
          <w14:ligatures w14:val="none"/>
        </w:rPr>
        <w:t>Conceptual Framework of Lean Management Systems and Organizational Effectiveness</w:t>
      </w:r>
    </w:p>
    <w:p w14:paraId="2468E3B6" w14:textId="77777777" w:rsidR="00070085" w:rsidRPr="00070085" w:rsidRDefault="00070085" w:rsidP="00070085">
      <w:pPr>
        <w:spacing w:after="0" w:line="240" w:lineRule="auto"/>
        <w:contextualSpacing/>
        <w:jc w:val="both"/>
        <w:rPr>
          <w:rFonts w:ascii="Times New Roman" w:eastAsia="SimSun" w:hAnsi="Times New Roman" w:cs="Times New Roman"/>
          <w:color w:val="000000"/>
          <w:kern w:val="0"/>
          <w14:ligatures w14:val="none"/>
        </w:rPr>
      </w:pPr>
      <w:r w:rsidRPr="00070085">
        <w:rPr>
          <w:rFonts w:ascii="Times New Roman" w:eastAsia="SimSun" w:hAnsi="Times New Roman" w:cs="Times New Roman"/>
          <w:b/>
          <w:color w:val="000000"/>
          <w:kern w:val="0"/>
          <w14:ligatures w14:val="none"/>
        </w:rPr>
        <w:t>Source:</w:t>
      </w:r>
      <w:r w:rsidRPr="00070085">
        <w:rPr>
          <w:rFonts w:ascii="Times New Roman" w:eastAsia="SimSun" w:hAnsi="Times New Roman" w:cs="Times New Roman"/>
          <w:bCs/>
          <w:color w:val="000000"/>
          <w:kern w:val="0"/>
          <w14:ligatures w14:val="none"/>
        </w:rPr>
        <w:t xml:space="preserve"> Conceptualized by the Researcher. Dimensions of </w:t>
      </w:r>
      <w:r w:rsidRPr="00070085">
        <w:rPr>
          <w:rFonts w:ascii="Times New Roman" w:eastAsia="SimSun" w:hAnsi="Times New Roman" w:cs="Times New Roman"/>
          <w:color w:val="000000"/>
          <w:kern w:val="0"/>
          <w14:ligatures w14:val="none"/>
        </w:rPr>
        <w:t>Lean Management Systems</w:t>
      </w:r>
      <w:r w:rsidRPr="00070085">
        <w:rPr>
          <w:rFonts w:ascii="Times New Roman" w:eastAsia="SimSun" w:hAnsi="Times New Roman" w:cs="Times New Roman"/>
          <w:bCs/>
          <w:color w:val="000000"/>
          <w:kern w:val="0"/>
          <w14:ligatures w14:val="none"/>
        </w:rPr>
        <w:t xml:space="preserve"> were adapted from Mady et al. (2020)</w:t>
      </w:r>
      <w:r w:rsidRPr="00070085">
        <w:rPr>
          <w:rFonts w:ascii="Times New Roman" w:eastAsia="SimSun" w:hAnsi="Times New Roman" w:cs="Times New Roman"/>
          <w:kern w:val="0"/>
          <w14:ligatures w14:val="none"/>
        </w:rPr>
        <w:t xml:space="preserve">, while measures of </w:t>
      </w:r>
      <w:proofErr w:type="spellStart"/>
      <w:r w:rsidRPr="00070085">
        <w:rPr>
          <w:rFonts w:ascii="Times New Roman" w:eastAsia="SimSun" w:hAnsi="Times New Roman" w:cs="Times New Roman"/>
          <w:kern w:val="0"/>
          <w14:ligatures w14:val="none"/>
        </w:rPr>
        <w:t>organisational</w:t>
      </w:r>
      <w:proofErr w:type="spellEnd"/>
      <w:r w:rsidRPr="00070085">
        <w:rPr>
          <w:rFonts w:ascii="Times New Roman" w:eastAsia="SimSun" w:hAnsi="Times New Roman" w:cs="Times New Roman"/>
          <w:kern w:val="0"/>
          <w14:ligatures w14:val="none"/>
        </w:rPr>
        <w:t xml:space="preserve"> effectiveness were adapted from Nel et al. (2023). </w:t>
      </w:r>
    </w:p>
    <w:p w14:paraId="66F481AD" w14:textId="77777777" w:rsidR="00070085" w:rsidRPr="00070085" w:rsidRDefault="00070085" w:rsidP="00070085">
      <w:pPr>
        <w:spacing w:after="120" w:line="240" w:lineRule="exact"/>
        <w:jc w:val="both"/>
        <w:rPr>
          <w:rFonts w:ascii="Times New Roman" w:eastAsia="Times New Roman" w:hAnsi="Times New Roman" w:cs="Times New Roman"/>
          <w:b/>
          <w:bCs/>
          <w:spacing w:val="1"/>
          <w:kern w:val="0"/>
          <w:lang w:eastAsia="zh-CN"/>
          <w14:ligatures w14:val="none"/>
        </w:rPr>
      </w:pPr>
    </w:p>
    <w:p w14:paraId="4D1FAB67"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Times New Roman" w:hAnsi="Times New Roman" w:cs="Times New Roman"/>
          <w:b/>
          <w:bCs/>
          <w:spacing w:val="1"/>
          <w:kern w:val="0"/>
          <w:lang w:eastAsia="zh-CN"/>
          <w14:ligatures w14:val="none"/>
        </w:rPr>
        <w:lastRenderedPageBreak/>
        <w:t xml:space="preserve">2.1.1 Lean Management Systems: </w:t>
      </w:r>
      <w:r w:rsidRPr="00070085">
        <w:rPr>
          <w:rFonts w:ascii="Times New Roman" w:eastAsia="Segoe UI" w:hAnsi="Times New Roman" w:cs="Times New Roman"/>
          <w:color w:val="0F1115"/>
          <w:kern w:val="0"/>
          <w:shd w:val="clear" w:color="auto" w:fill="FFFFFF"/>
          <w:lang w:eastAsia="zh-CN"/>
          <w14:ligatures w14:val="none"/>
        </w:rPr>
        <w:t xml:space="preserve">refer to comprehensive frameworks of principles, practices, and tools designed to create maximum customer value while minimizing waste across organizational processes. According to Levinson (2013), a Lean Management System represents a structured approach that promotes organizational self-audits and continuous improvement, integrating both the human and technological aspects of lean thinking into what Henry Ford called "a universal code for the achievement of world-class results in any enterprise." The system is built upon key performance indicators that track waste across four dimensions: waste of the time of things (cycle time), waste of the time of people, waste of energy, and waste of materials (Levinson, 2013). The Toyota Production System's seven wastes are all measurable through these four indicators, demonstrating the comprehensive nature of lean thinking. In the context of the oil and gas industry, </w:t>
      </w:r>
      <w:proofErr w:type="spellStart"/>
      <w:r w:rsidRPr="00070085">
        <w:rPr>
          <w:rFonts w:ascii="Times New Roman" w:eastAsia="Segoe UI" w:hAnsi="Times New Roman" w:cs="Times New Roman"/>
          <w:color w:val="0F1115"/>
          <w:kern w:val="0"/>
          <w:shd w:val="clear" w:color="auto" w:fill="FFFFFF"/>
          <w:lang w:eastAsia="zh-CN"/>
          <w14:ligatures w14:val="none"/>
        </w:rPr>
        <w:t>Achaka</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et al. (2024) describe lean management as a philosophy that addresses the shortcomings of traditional project management approaches, focusing on waste elimination and continuous improvement to enhance project delivery outcomes and operational efficiency in offshore facility maintenance projects.</w:t>
      </w:r>
    </w:p>
    <w:p w14:paraId="52FF7B4A"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Times New Roman" w:hAnsi="Times New Roman" w:cs="Times New Roman"/>
          <w:b/>
          <w:bCs/>
          <w:spacing w:val="1"/>
          <w:kern w:val="0"/>
          <w:lang w:eastAsia="zh-CN"/>
          <w14:ligatures w14:val="none"/>
        </w:rPr>
        <w:t xml:space="preserve">2.1.2 Continuous Improvement: </w:t>
      </w:r>
      <w:r w:rsidRPr="00070085">
        <w:rPr>
          <w:rFonts w:ascii="Times New Roman" w:eastAsia="Segoe UI" w:hAnsi="Times New Roman" w:cs="Times New Roman"/>
          <w:color w:val="0F1115"/>
          <w:kern w:val="0"/>
          <w:shd w:val="clear" w:color="auto" w:fill="FFFFFF"/>
          <w:lang w:eastAsia="zh-CN"/>
          <w14:ligatures w14:val="none"/>
        </w:rPr>
        <w:t>derived from the Japanese term Kaizen, refers to the disciplined practice of making small, frequent improvements driven by the people who do the work, guided by facts, and locked in with standardization (SG Systems Global, 2025). Unlike one-off projects, continuous improvement embeds a permanent cycle of observing processes, experimenting, learning, and updating standards. According to the Kaizen Institute (2022), continuous improvement is recognized worldwide as a crucial pillar of competitive strategy in organizations, aiming to engage everyone in the pursuit of improvement every day in all areas of the organization. The goal is to install a culture of continuous improvement by modifying people's behaviors and beliefs. In practical terms, continuous improvement connects the shop floor to business goals by turning every gap, such as missed targets, scrap, rework, delays, into actionable experiments governed by structured problem-solving methodologies (SG Systems Global, 2025). It is important to emphasize that continuous improvement is not about working harder but about changing work processes so that today's problems cannot recur tomorrow.</w:t>
      </w:r>
    </w:p>
    <w:p w14:paraId="2E299CCD"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Times New Roman" w:hAnsi="Times New Roman" w:cs="Times New Roman"/>
          <w:b/>
          <w:bCs/>
          <w:spacing w:val="1"/>
          <w:kern w:val="0"/>
          <w:lang w:eastAsia="zh-CN"/>
          <w14:ligatures w14:val="none"/>
        </w:rPr>
        <w:t xml:space="preserve">2.1.3 Waste Elimination: </w:t>
      </w:r>
      <w:r w:rsidRPr="00070085">
        <w:rPr>
          <w:rFonts w:ascii="Times New Roman" w:eastAsia="Times New Roman" w:hAnsi="Times New Roman" w:cs="Times New Roman"/>
          <w:spacing w:val="1"/>
          <w:kern w:val="0"/>
          <w:lang w:eastAsia="zh-CN"/>
          <w14:ligatures w14:val="none"/>
        </w:rPr>
        <w:t xml:space="preserve">refers </w:t>
      </w:r>
      <w:r w:rsidRPr="00070085">
        <w:rPr>
          <w:rFonts w:ascii="Times New Roman" w:eastAsia="Segoe UI" w:hAnsi="Times New Roman" w:cs="Times New Roman"/>
          <w:color w:val="0F1115"/>
          <w:kern w:val="0"/>
          <w:shd w:val="clear" w:color="auto" w:fill="FFFFFF"/>
          <w:lang w:eastAsia="zh-CN"/>
          <w14:ligatures w14:val="none"/>
        </w:rPr>
        <w:t>to the systematic identification and removal of activities that consume resources but do not create value for the customer. In the lean lexicon, waste is denoted by the Japanese term Muda, which encompasses seven distinct types: defects, overproduction, waiting, transportation, inventory, motion, and over-processing, with an eighth type, not utilizing talent, emerging more recently (Romero et al., 2019). According to the Kaizen Institute (2022), waste elimination regards decreasing waste by eliminating overproduction and reducing unnecessary activities across all organizational processes. The Toyota Production System's three MUs, Muda (waste), Mura (unevenness), and Muri (overburden), represent the three biggest enemies of lean production efficiency (Romero et al., 2019). Importantly, these three elements are interconnected in a vicious cycle where Mura creates Muri, and together they create Muda. Understanding these interconnections is essential for effective waste elimination, as focusing narrowly on removing waste without addressing underlying unevenness and overburden can lead to new forms of waste.</w:t>
      </w:r>
    </w:p>
    <w:p w14:paraId="0D7132ED"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Times New Roman" w:hAnsi="Times New Roman" w:cs="Times New Roman"/>
          <w:b/>
          <w:bCs/>
          <w:spacing w:val="1"/>
          <w:kern w:val="0"/>
          <w:lang w:eastAsia="zh-CN"/>
          <w14:ligatures w14:val="none"/>
        </w:rPr>
        <w:t xml:space="preserve">2.1.4 Organizational Effectiveness: </w:t>
      </w:r>
      <w:r w:rsidRPr="00070085">
        <w:rPr>
          <w:rFonts w:ascii="Times New Roman" w:eastAsia="Segoe UI" w:hAnsi="Times New Roman" w:cs="Times New Roman"/>
          <w:color w:val="0F1115"/>
          <w:kern w:val="0"/>
          <w:shd w:val="clear" w:color="auto" w:fill="FFFFFF"/>
          <w:lang w:eastAsia="zh-CN"/>
          <w14:ligatures w14:val="none"/>
        </w:rPr>
        <w:t>Organizational effectiveness (OE) is a complex, multidimensional construct that refers to how well an organization achieves its stated goals and objectives. With the onset of more systemic thinking, OE was considered as the intersection of profitability, societal values, and employee satisfaction (</w:t>
      </w:r>
      <w:proofErr w:type="spellStart"/>
      <w:r w:rsidRPr="00070085">
        <w:rPr>
          <w:rFonts w:ascii="Times New Roman" w:eastAsia="Segoe UI" w:hAnsi="Times New Roman" w:cs="Times New Roman"/>
          <w:color w:val="0F1115"/>
          <w:kern w:val="0"/>
          <w:shd w:val="clear" w:color="auto" w:fill="FFFFFF"/>
          <w:lang w:eastAsia="zh-CN"/>
          <w14:ligatures w14:val="none"/>
        </w:rPr>
        <w:t>Dhoopar</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et al., 2022). The implications of organizational effectiveness for oil and gas companies are significant. OE implies that these companies must attend to multiple performance dimensions simultaneously, including operational efficiency, financial performance, employee satisfaction, safety performance, environmental stewardship, and community relations (</w:t>
      </w:r>
      <w:proofErr w:type="spellStart"/>
      <w:r w:rsidRPr="00070085">
        <w:rPr>
          <w:rFonts w:ascii="Times New Roman" w:eastAsia="Segoe UI" w:hAnsi="Times New Roman" w:cs="Times New Roman"/>
          <w:color w:val="0F1115"/>
          <w:kern w:val="0"/>
          <w:shd w:val="clear" w:color="auto" w:fill="FFFFFF"/>
          <w:lang w:eastAsia="zh-CN"/>
          <w14:ligatures w14:val="none"/>
        </w:rPr>
        <w:t>Dhoopar</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et al., 2022). It implies the need for balanced scorecards or similar frameworks that track performance across these multiple dimensions. Moreso, OE implies addressing the unique challenges of the local operating environment, including regulatory compliance, host community relations, infrastructure constraints, governance factors and security concerns (Amoo, 2024; Ali &amp; Aminu, 2024). </w:t>
      </w:r>
    </w:p>
    <w:p w14:paraId="4ABB6864"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Times New Roman" w:hAnsi="Times New Roman" w:cs="Times New Roman"/>
          <w:b/>
          <w:bCs/>
          <w:spacing w:val="1"/>
          <w:kern w:val="0"/>
          <w:lang w:eastAsia="zh-CN"/>
          <w14:ligatures w14:val="none"/>
        </w:rPr>
        <w:t xml:space="preserve">2.1.5 Stakeholder Satisfaction: </w:t>
      </w:r>
      <w:r w:rsidRPr="00070085">
        <w:rPr>
          <w:rFonts w:ascii="Times New Roman" w:eastAsia="Segoe UI" w:hAnsi="Times New Roman" w:cs="Times New Roman"/>
          <w:color w:val="0F1115"/>
          <w:kern w:val="0"/>
          <w:shd w:val="clear" w:color="auto" w:fill="FFFFFF"/>
          <w:lang w:eastAsia="zh-CN"/>
          <w14:ligatures w14:val="none"/>
        </w:rPr>
        <w:t xml:space="preserve">refers to the extent to which an organization meets or exceeds the expectations of its various stakeholders, including customers, employees, strategic partners, government regulators, host communities, and investors. According to </w:t>
      </w:r>
      <w:proofErr w:type="spellStart"/>
      <w:r w:rsidRPr="00070085">
        <w:rPr>
          <w:rFonts w:ascii="Times New Roman" w:eastAsia="Segoe UI" w:hAnsi="Times New Roman" w:cs="Times New Roman"/>
          <w:color w:val="0F1115"/>
          <w:kern w:val="0"/>
          <w:shd w:val="clear" w:color="auto" w:fill="FFFFFF"/>
          <w:lang w:eastAsia="zh-CN"/>
          <w14:ligatures w14:val="none"/>
        </w:rPr>
        <w:t>Alimen</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et al. (2009), stakeholder satisfaction is considered the critical investigation of the experiences and views of sets of people who have vested interests in the products and services delivered by an organization. In the context of oil and gas companies in Nigeria, stakeholders include the federal government as regulator </w:t>
      </w:r>
      <w:r w:rsidRPr="00070085">
        <w:rPr>
          <w:rFonts w:ascii="Times New Roman" w:eastAsia="Segoe UI" w:hAnsi="Times New Roman" w:cs="Times New Roman"/>
          <w:color w:val="0F1115"/>
          <w:kern w:val="0"/>
          <w:shd w:val="clear" w:color="auto" w:fill="FFFFFF"/>
          <w:lang w:eastAsia="zh-CN"/>
          <w14:ligatures w14:val="none"/>
        </w:rPr>
        <w:lastRenderedPageBreak/>
        <w:t>and revenue collector, host communities affected by company operations, employees whose livelihoods depend on the industry, customers who purchase oil and gas products, and investors who provide capital for operations (Okeke, 2025).</w:t>
      </w:r>
    </w:p>
    <w:p w14:paraId="12A0AA4F" w14:textId="77777777" w:rsidR="00070085" w:rsidRPr="00070085" w:rsidRDefault="00070085" w:rsidP="00070085">
      <w:pPr>
        <w:spacing w:after="120" w:line="240" w:lineRule="exact"/>
        <w:jc w:val="both"/>
        <w:rPr>
          <w:rFonts w:ascii="Times New Roman" w:eastAsia="SimSun" w:hAnsi="Times New Roman" w:cs="Times New Roman"/>
          <w:kern w:val="0"/>
          <w:lang w:eastAsia="zh-CN"/>
          <w14:ligatures w14:val="none"/>
        </w:rPr>
      </w:pPr>
      <w:r w:rsidRPr="00070085">
        <w:rPr>
          <w:rFonts w:ascii="Times New Roman" w:eastAsia="Times New Roman" w:hAnsi="Times New Roman" w:cs="Times New Roman"/>
          <w:b/>
          <w:bCs/>
          <w:spacing w:val="1"/>
          <w:kern w:val="0"/>
          <w:lang w:eastAsia="zh-CN"/>
          <w14:ligatures w14:val="none"/>
        </w:rPr>
        <w:t xml:space="preserve">2.1.6 Operational Efficiency: </w:t>
      </w:r>
      <w:r w:rsidRPr="00070085">
        <w:rPr>
          <w:rFonts w:ascii="Times New Roman" w:eastAsia="Segoe UI" w:hAnsi="Times New Roman" w:cs="Times New Roman"/>
          <w:color w:val="0F1115"/>
          <w:kern w:val="0"/>
          <w:shd w:val="clear" w:color="auto" w:fill="FFFFFF"/>
          <w:lang w:eastAsia="zh-CN"/>
          <w14:ligatures w14:val="none"/>
        </w:rPr>
        <w:t>refers to how well an organization manages its resources and uses them to produce outputs, typically measured as the ratio of inputs to outputs or operating expenses to revenues (Hartman, 2011). According to the Kaizen Institute (2022), operational efficiency encompasses both flow efficiency (the proper movement of materials and information through processes), and resource efficiency (the utilization of people, equipment, and other resources). Flow efficiency focuses on the timeline from customer order to cash collection, reducing lead time by eliminating non-value-added waste, while resource efficiency focuses on maximizing the utilization of organizational resources. In the context of oil and gas companies, operational efficiency involves optimizing the use of human, financial, and physical resources to maximize output while minimizing costs and maintaining safety and quality standards (</w:t>
      </w:r>
      <w:proofErr w:type="spellStart"/>
      <w:r w:rsidRPr="00070085">
        <w:rPr>
          <w:rFonts w:ascii="Times New Roman" w:eastAsia="Segoe UI" w:hAnsi="Times New Roman" w:cs="Times New Roman"/>
          <w:color w:val="0F1115"/>
          <w:kern w:val="0"/>
          <w:shd w:val="clear" w:color="auto" w:fill="FFFFFF"/>
          <w:lang w:eastAsia="zh-CN"/>
          <w14:ligatures w14:val="none"/>
        </w:rPr>
        <w:t>Achaka</w:t>
      </w:r>
      <w:proofErr w:type="spellEnd"/>
      <w:r w:rsidRPr="00070085">
        <w:rPr>
          <w:rFonts w:ascii="Times New Roman" w:eastAsia="Segoe UI" w:hAnsi="Times New Roman" w:cs="Times New Roman"/>
          <w:color w:val="0F1115"/>
          <w:kern w:val="0"/>
          <w:shd w:val="clear" w:color="auto" w:fill="FFFFFF"/>
          <w:lang w:eastAsia="zh-CN"/>
          <w14:ligatures w14:val="none"/>
        </w:rPr>
        <w:t xml:space="preserve"> et al., 2024). Operational efficiency is not an absolute state but a relative concept, with organizations comparing their efficiency ratios to industry benchmarks, past performance, or theoretical models of maximum efficiency (Hartman, 2011).</w:t>
      </w:r>
    </w:p>
    <w:p w14:paraId="38B25458" w14:textId="77777777" w:rsidR="00070085" w:rsidRPr="00070085" w:rsidRDefault="00070085" w:rsidP="00070085">
      <w:pPr>
        <w:spacing w:after="120" w:line="240" w:lineRule="exact"/>
        <w:ind w:right="528"/>
        <w:jc w:val="both"/>
        <w:rPr>
          <w:rFonts w:ascii="Times New Roman" w:eastAsia="Times New Roman" w:hAnsi="Times New Roman" w:cs="Times New Roman"/>
          <w:b/>
          <w:bCs/>
          <w:spacing w:val="1"/>
          <w:kern w:val="0"/>
          <w:lang w:eastAsia="zh-CN"/>
          <w14:ligatures w14:val="none"/>
        </w:rPr>
      </w:pPr>
      <w:r w:rsidRPr="00070085">
        <w:rPr>
          <w:rFonts w:ascii="Times New Roman" w:eastAsia="Times New Roman" w:hAnsi="Times New Roman" w:cs="Times New Roman"/>
          <w:b/>
          <w:bCs/>
          <w:spacing w:val="1"/>
          <w:kern w:val="0"/>
          <w:lang w:eastAsia="zh-CN"/>
          <w14:ligatures w14:val="none"/>
        </w:rPr>
        <w:t>2.2 THEORETICAL FRAMEWORK</w:t>
      </w:r>
    </w:p>
    <w:p w14:paraId="2C5A7DED" w14:textId="77777777" w:rsidR="00070085" w:rsidRPr="00070085" w:rsidRDefault="00070085" w:rsidP="00070085">
      <w:pPr>
        <w:spacing w:after="120" w:line="240" w:lineRule="exact"/>
        <w:ind w:right="528"/>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b/>
          <w:bCs/>
          <w:color w:val="0F1115"/>
          <w:kern w:val="0"/>
          <w:lang w:eastAsia="zh-CN"/>
          <w14:ligatures w14:val="none"/>
        </w:rPr>
        <w:t>2.2.1 T</w:t>
      </w:r>
      <w:r w:rsidRPr="00070085">
        <w:rPr>
          <w:rFonts w:ascii="Times New Roman" w:eastAsia="Times New Roman" w:hAnsi="Times New Roman" w:cs="Times New Roman"/>
          <w:b/>
          <w:bCs/>
          <w:spacing w:val="1"/>
          <w:kern w:val="0"/>
          <w:lang w:eastAsia="zh-CN"/>
          <w14:ligatures w14:val="none"/>
        </w:rPr>
        <w:t xml:space="preserve">he </w:t>
      </w:r>
      <w:r w:rsidRPr="00070085">
        <w:rPr>
          <w:rFonts w:ascii="Times New Roman" w:eastAsia="Segoe UI" w:hAnsi="Times New Roman" w:cs="Times New Roman"/>
          <w:b/>
          <w:bCs/>
          <w:color w:val="0F1115"/>
          <w:kern w:val="0"/>
          <w:lang w:eastAsia="zh-CN"/>
          <w14:ligatures w14:val="none"/>
        </w:rPr>
        <w:t>Systems Theory (von Bertalanffy, 1968):</w:t>
      </w:r>
      <w:r w:rsidRPr="00070085">
        <w:rPr>
          <w:rFonts w:ascii="Times New Roman" w:eastAsia="Segoe UI" w:hAnsi="Times New Roman" w:cs="Times New Roman"/>
          <w:color w:val="0F1115"/>
          <w:kern w:val="0"/>
          <w:lang w:eastAsia="zh-CN"/>
          <w14:ligatures w14:val="none"/>
        </w:rPr>
        <w:t xml:space="preserve"> Systems Theory, also known as General Systems Theory, was propounded by Ludwig von Bertalanffy (1968). The theory emerged from </w:t>
      </w:r>
      <w:proofErr w:type="spellStart"/>
      <w:r w:rsidRPr="00070085">
        <w:rPr>
          <w:rFonts w:ascii="Times New Roman" w:eastAsia="Segoe UI" w:hAnsi="Times New Roman" w:cs="Times New Roman"/>
          <w:color w:val="0F1115"/>
          <w:kern w:val="0"/>
          <w:lang w:eastAsia="zh-CN"/>
          <w14:ligatures w14:val="none"/>
        </w:rPr>
        <w:t>Bertalanffy's</w:t>
      </w:r>
      <w:proofErr w:type="spellEnd"/>
      <w:r w:rsidRPr="00070085">
        <w:rPr>
          <w:rFonts w:ascii="Times New Roman" w:eastAsia="Segoe UI" w:hAnsi="Times New Roman" w:cs="Times New Roman"/>
          <w:color w:val="0F1115"/>
          <w:kern w:val="0"/>
          <w:lang w:eastAsia="zh-CN"/>
          <w14:ligatures w14:val="none"/>
        </w:rPr>
        <w:t xml:space="preserve"> dissatisfaction with the reductionist approaches prevalent in biological sciences, which he believed failed to account for the interconnectedness and holistic nature of living organisms (</w:t>
      </w:r>
      <w:proofErr w:type="spellStart"/>
      <w:r w:rsidRPr="00070085">
        <w:rPr>
          <w:rFonts w:ascii="Times New Roman" w:eastAsia="Segoe UI" w:hAnsi="Times New Roman" w:cs="Times New Roman"/>
          <w:color w:val="0F1115"/>
          <w:kern w:val="0"/>
          <w:lang w:eastAsia="zh-CN"/>
          <w14:ligatures w14:val="none"/>
        </w:rPr>
        <w:t>Skyttner</w:t>
      </w:r>
      <w:proofErr w:type="spellEnd"/>
      <w:r w:rsidRPr="00070085">
        <w:rPr>
          <w:rFonts w:ascii="Times New Roman" w:eastAsia="Segoe UI" w:hAnsi="Times New Roman" w:cs="Times New Roman"/>
          <w:color w:val="0F1115"/>
          <w:kern w:val="0"/>
          <w:lang w:eastAsia="zh-CN"/>
          <w14:ligatures w14:val="none"/>
        </w:rPr>
        <w:t xml:space="preserve">, 2005). The theory posits that a system is composed of interrelated and interdependent elements that work together to achieve a common purpose. At its core, the theory emphasizes that the whole is greater than the sum of its parts, meaning that systems possess emergent properties that cannot be understood by examining individual components in isolation. </w:t>
      </w:r>
      <w:proofErr w:type="spellStart"/>
      <w:r w:rsidRPr="00070085">
        <w:rPr>
          <w:rFonts w:ascii="Times New Roman" w:eastAsia="Segoe UI" w:hAnsi="Times New Roman" w:cs="Times New Roman"/>
          <w:color w:val="0F1115"/>
          <w:kern w:val="0"/>
          <w:lang w:eastAsia="zh-CN"/>
          <w14:ligatures w14:val="none"/>
        </w:rPr>
        <w:t>Bertalanffy</w:t>
      </w:r>
      <w:proofErr w:type="spellEnd"/>
      <w:r w:rsidRPr="00070085">
        <w:rPr>
          <w:rFonts w:ascii="Times New Roman" w:eastAsia="Segoe UI" w:hAnsi="Times New Roman" w:cs="Times New Roman"/>
          <w:color w:val="0F1115"/>
          <w:kern w:val="0"/>
          <w:lang w:eastAsia="zh-CN"/>
          <w14:ligatures w14:val="none"/>
        </w:rPr>
        <w:t xml:space="preserve"> defined a system as "a complex of interacting elements" characterized by organization, interaction, and interdependence. The theory distinguishes between open systems, which exchange energy, matter, and information with their environment, and closed systems, which do not (Kast &amp; Rosenzweig, 1972). </w:t>
      </w:r>
      <w:proofErr w:type="spellStart"/>
      <w:r w:rsidRPr="00070085">
        <w:rPr>
          <w:rFonts w:ascii="Times New Roman" w:eastAsia="Segoe UI" w:hAnsi="Times New Roman" w:cs="Times New Roman"/>
          <w:color w:val="0F1115"/>
          <w:kern w:val="0"/>
          <w:lang w:eastAsia="zh-CN"/>
          <w14:ligatures w14:val="none"/>
        </w:rPr>
        <w:t>Organisations</w:t>
      </w:r>
      <w:proofErr w:type="spellEnd"/>
      <w:r w:rsidRPr="00070085">
        <w:rPr>
          <w:rFonts w:ascii="Times New Roman" w:eastAsia="Segoe UI" w:hAnsi="Times New Roman" w:cs="Times New Roman"/>
          <w:color w:val="0F1115"/>
          <w:kern w:val="0"/>
          <w:lang w:eastAsia="zh-CN"/>
          <w14:ligatures w14:val="none"/>
        </w:rPr>
        <w:t xml:space="preserve">, including oil and gas are conceptualized as open systems that constantly interact with their external environment, receiving inputs, transforming them through internal processes, and producing outputs that are returned to the environment (Scott &amp; Davis, 2016). Despite its strengths, Systems Theory is not without limitations. Critics argue that the theory provides a useful way of thinking about organizations but lacks the specificity required for predictive theory. Second, the theory has been criticized for its conservative bias, with its emphasis on equilibrium and stability potentially overlooking issues of power, conflict, and radical change (Burrell &amp; Morgan, 2019). The theory's emphasis on interconnectedness is directly applicable to understanding how Lean practices, specifically continuous improvement and waste elimination, interact with operational efficiency outcomes. </w:t>
      </w:r>
    </w:p>
    <w:p w14:paraId="269DAB4A" w14:textId="77777777" w:rsidR="00070085" w:rsidRPr="00070085" w:rsidRDefault="00070085" w:rsidP="00070085">
      <w:pPr>
        <w:spacing w:after="120" w:line="240" w:lineRule="exact"/>
        <w:ind w:right="528"/>
        <w:jc w:val="both"/>
        <w:rPr>
          <w:rFonts w:ascii="Times New Roman" w:eastAsia="Segoe UI" w:hAnsi="Times New Roman" w:cs="Times New Roman"/>
          <w:color w:val="0F1115"/>
          <w:kern w:val="0"/>
          <w:lang w:eastAsia="zh-CN"/>
          <w14:ligatures w14:val="none"/>
        </w:rPr>
      </w:pPr>
      <w:r w:rsidRPr="00070085">
        <w:rPr>
          <w:rFonts w:ascii="Times New Roman" w:eastAsia="Segoe UI" w:hAnsi="Times New Roman" w:cs="Times New Roman"/>
          <w:b/>
          <w:bCs/>
          <w:color w:val="0F1115"/>
          <w:kern w:val="0"/>
          <w:lang w:eastAsia="zh-CN"/>
          <w14:ligatures w14:val="none"/>
        </w:rPr>
        <w:t xml:space="preserve">2.2.2 The Theory of Organizational Learning (Argyris &amp; Schon, 1978): </w:t>
      </w:r>
      <w:r w:rsidRPr="00070085">
        <w:rPr>
          <w:rFonts w:ascii="Times New Roman" w:eastAsia="Segoe UI" w:hAnsi="Times New Roman" w:cs="Times New Roman"/>
          <w:color w:val="0F1115"/>
          <w:kern w:val="0"/>
          <w:lang w:eastAsia="zh-CN"/>
          <w14:ligatures w14:val="none"/>
        </w:rPr>
        <w:t xml:space="preserve">Organizational Learning Theory refers to the systematic process by which organizations acquire, create, transfer, and retain knowledge to adapt, improve performance, and achieve long-term effectiveness (Argyris &amp; Schön, 1978). The theory posits that organizations, like individuals, can learn, and this learning is essential for survival and success in changing environments. Argyris and Schön defined organizational learning as "the process of detecting and correcting error," emphasizing that organizations learn when their members act as learning agents, responding to changes in the internal and external environment by detecting mismatches between expected and actual outcomes and correcting those mismatches. The theory distinguishes between two fundamental types of learning: single-loop learning and double-loop learning. Single-loop learning involves making incremental adjustments to improve performance without altering underlying policies, assumptions, or goals, essentially learning to do things better within existing frameworks. Double-loop learning, by contrast, involves questioning and modifying fundamental norms, policies, and objectives, learning to question whether the right things are being done. Senge (1990) expanded the theory by identifying five disciplines essential for creating learning organizations: systems thinking, personal mastery, mental models, building shared vision, and team learning. The theory emphasizes the </w:t>
      </w:r>
      <w:r w:rsidRPr="00070085">
        <w:rPr>
          <w:rFonts w:ascii="Times New Roman" w:eastAsia="Segoe UI" w:hAnsi="Times New Roman" w:cs="Times New Roman"/>
          <w:color w:val="0F1115"/>
          <w:kern w:val="0"/>
          <w:lang w:eastAsia="zh-CN"/>
          <w14:ligatures w14:val="none"/>
        </w:rPr>
        <w:lastRenderedPageBreak/>
        <w:t xml:space="preserve">importance of cognitive factors, such as mental models and assumptions, in shaping organizational </w:t>
      </w:r>
      <w:proofErr w:type="spellStart"/>
      <w:r w:rsidRPr="00070085">
        <w:rPr>
          <w:rFonts w:ascii="Times New Roman" w:eastAsia="Segoe UI" w:hAnsi="Times New Roman" w:cs="Times New Roman"/>
          <w:color w:val="0F1115"/>
          <w:kern w:val="0"/>
          <w:lang w:eastAsia="zh-CN"/>
          <w14:ligatures w14:val="none"/>
        </w:rPr>
        <w:t>behaviour</w:t>
      </w:r>
      <w:proofErr w:type="spellEnd"/>
      <w:r w:rsidRPr="00070085">
        <w:rPr>
          <w:rFonts w:ascii="Times New Roman" w:eastAsia="Segoe UI" w:hAnsi="Times New Roman" w:cs="Times New Roman"/>
          <w:color w:val="0F1115"/>
          <w:kern w:val="0"/>
          <w:lang w:eastAsia="zh-CN"/>
          <w14:ligatures w14:val="none"/>
        </w:rPr>
        <w:t xml:space="preserve"> (Kolawole et al. 2020). However, the theory has been criticized for its managerialist bias, focusing primarily on learning that serves organizational goals while neglecting broader social and ethical implications (Fenwick, 2003). Furthermore, the theory's emphasis on learning as a pathway to enhanced organizational effectiveness aligns with the study's outcome variables, suggesting that oil and gas companies that effectively learn from experience will demonstrate superior operational efficiency and stakeholder satisfaction. </w:t>
      </w:r>
    </w:p>
    <w:p w14:paraId="09C10696" w14:textId="77777777" w:rsidR="00070085" w:rsidRPr="00070085" w:rsidRDefault="00070085" w:rsidP="00070085">
      <w:pPr>
        <w:spacing w:after="120" w:line="240" w:lineRule="exact"/>
        <w:jc w:val="both"/>
        <w:outlineLvl w:val="1"/>
        <w:rPr>
          <w:rFonts w:ascii="Times New Roman" w:eastAsia="Segoe UI" w:hAnsi="Times New Roman" w:cs="Times New Roman"/>
          <w:b/>
          <w:bCs/>
          <w:kern w:val="0"/>
          <w:lang w:eastAsia="zh-CN"/>
          <w14:ligatures w14:val="none"/>
        </w:rPr>
      </w:pPr>
      <w:r w:rsidRPr="00070085">
        <w:rPr>
          <w:rFonts w:ascii="Times New Roman" w:eastAsia="Segoe UI" w:hAnsi="Times New Roman" w:cs="Times New Roman"/>
          <w:b/>
          <w:bCs/>
          <w:color w:val="0F1115"/>
          <w:kern w:val="0"/>
          <w:shd w:val="clear" w:color="auto" w:fill="FFFFFF"/>
          <w:lang w:eastAsia="zh-CN"/>
          <w14:ligatures w14:val="none"/>
        </w:rPr>
        <w:t>Relationship between Lean Management Systems and Organizational Effectiveness of Midstream Oil and Gas Drilling Companies</w:t>
      </w:r>
    </w:p>
    <w:p w14:paraId="4D264DA8" w14:textId="77777777" w:rsidR="00070085" w:rsidRPr="00070085" w:rsidRDefault="00070085" w:rsidP="00070085">
      <w:pPr>
        <w:spacing w:after="120" w:line="240" w:lineRule="exact"/>
        <w:jc w:val="both"/>
        <w:rPr>
          <w:rFonts w:ascii="Times New Roman" w:eastAsia="Times New Roman" w:hAnsi="Times New Roman" w:cs="Times New Roman"/>
          <w:spacing w:val="1"/>
          <w:kern w:val="0"/>
          <w:lang w:eastAsia="zh-CN"/>
          <w14:ligatures w14:val="none"/>
        </w:rPr>
        <w:sectPr w:rsidR="00070085" w:rsidRPr="00070085" w:rsidSect="00070085">
          <w:footerReference w:type="default" r:id="rId276"/>
          <w:pgSz w:w="11906" w:h="16838"/>
          <w:pgMar w:top="1440" w:right="1080" w:bottom="1440" w:left="1267" w:header="720" w:footer="720" w:gutter="0"/>
          <w:cols w:space="0"/>
          <w:docGrid w:linePitch="360"/>
        </w:sectPr>
      </w:pPr>
      <w:r w:rsidRPr="00070085">
        <w:rPr>
          <w:rFonts w:ascii="Times New Roman" w:eastAsia="Segoe UI" w:hAnsi="Times New Roman" w:cs="Times New Roman"/>
          <w:color w:val="0F1115"/>
          <w:kern w:val="0"/>
          <w:shd w:val="clear" w:color="auto" w:fill="FFFFFF"/>
          <w:lang w:eastAsia="zh-CN"/>
          <w14:ligatures w14:val="none"/>
        </w:rPr>
        <w:t>The relationship between Lean Management Systems and organizational effectiveness of midstream oil and gas drilling companies is theoretically grounded and empirically supported, with multiple mechanisms linking lean practices to enhanced organizational outcomes. Levinson (2013) emphasizes that lean success depends on organization-wide leverage of lean tools, creating synergy between human and technological aspects of operations. This systems perspective recognizes that oil and gas companies are composed of interconnected subsystems, exploration, drilling, logistics, maintenance, administration, whose performance depends on effective coordination and integration. Waste elimination practices, such as reducing inventory, minimizing waiting time, and streamlining material flow, improve the connectivity between subsystems, reducing friction and enhancing overall system performance (Romero et al., 2019). The proactive improvement cycles advocated by Levinson (2013), which isolate processes for analytical purposes and measure inputs against outputs, force all wastes to become visible, enabling systematic enhancement of system performance. Moreso, Kolawole et al. (2020) demonstrated in the Nigerian context how continuous improvement principles, combined with double-loop learning, could identify root causes of waste and promote improvement practices. Their finding that experiential learning, collaborative learning, and on-the-job training support continuous improvement initiatives provides empirical support for the learning-lean-effectiveness linkage in the Nigerian oil and gas context.</w:t>
      </w:r>
    </w:p>
    <w:p w14:paraId="517E0377" w14:textId="77777777" w:rsidR="00070085" w:rsidRPr="00070085" w:rsidRDefault="00070085" w:rsidP="00070085">
      <w:pPr>
        <w:spacing w:after="0" w:line="240" w:lineRule="auto"/>
        <w:contextualSpacing/>
        <w:jc w:val="both"/>
        <w:rPr>
          <w:rFonts w:ascii="Times New Roman" w:eastAsia="Times New Roman" w:hAnsi="Times New Roman" w:cs="Times New Roman"/>
          <w:b/>
          <w:spacing w:val="-1"/>
          <w:kern w:val="0"/>
          <w:position w:val="-1"/>
          <w14:ligatures w14:val="none"/>
        </w:rPr>
      </w:pPr>
      <w:r w:rsidRPr="00070085">
        <w:rPr>
          <w:rFonts w:ascii="Times New Roman" w:eastAsia="Times New Roman" w:hAnsi="Times New Roman" w:cs="Times New Roman"/>
          <w:b/>
          <w:spacing w:val="-1"/>
          <w:kern w:val="0"/>
          <w:position w:val="-1"/>
          <w14:ligatures w14:val="none"/>
        </w:rPr>
        <w:lastRenderedPageBreak/>
        <w:t>2.3: EMPIRICAL REVIEW</w:t>
      </w:r>
    </w:p>
    <w:p w14:paraId="6A57D979" w14:textId="77777777" w:rsidR="00070085" w:rsidRPr="00070085" w:rsidRDefault="00070085" w:rsidP="00070085">
      <w:pPr>
        <w:spacing w:after="0" w:line="240" w:lineRule="auto"/>
        <w:contextualSpacing/>
        <w:rPr>
          <w:rFonts w:ascii="Times New Roman" w:eastAsia="Times New Roman" w:hAnsi="Times New Roman" w:cs="Times New Roman"/>
          <w:b/>
          <w:spacing w:val="-1"/>
          <w:kern w:val="0"/>
          <w:position w:val="-1"/>
          <w14:ligatures w14:val="none"/>
        </w:rPr>
      </w:pPr>
      <w:r w:rsidRPr="00070085">
        <w:rPr>
          <w:rFonts w:ascii="Times New Roman" w:eastAsia="Times New Roman" w:hAnsi="Times New Roman" w:cs="Times New Roman"/>
          <w:b/>
          <w:spacing w:val="-1"/>
          <w:kern w:val="0"/>
          <w:position w:val="-1"/>
          <w14:ligatures w14:val="none"/>
        </w:rPr>
        <w:t>TABLE 2.1: WEBOMETRICS OF GAPS IN LITERATURE</w:t>
      </w:r>
    </w:p>
    <w:tbl>
      <w:tblPr>
        <w:tblStyle w:val="TableGrid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590"/>
        <w:gridCol w:w="1656"/>
        <w:gridCol w:w="2648"/>
        <w:gridCol w:w="1805"/>
        <w:gridCol w:w="3676"/>
        <w:gridCol w:w="3583"/>
      </w:tblGrid>
      <w:tr w:rsidR="00070085" w:rsidRPr="00070085" w14:paraId="61AEA19E" w14:textId="77777777" w:rsidTr="005C4055">
        <w:tc>
          <w:tcPr>
            <w:tcW w:w="208" w:type="pct"/>
            <w:tcBorders>
              <w:top w:val="single" w:sz="4" w:space="0" w:color="auto"/>
              <w:bottom w:val="single" w:sz="4" w:space="0" w:color="auto"/>
            </w:tcBorders>
          </w:tcPr>
          <w:p w14:paraId="473EF0B7"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S/N</w:t>
            </w:r>
          </w:p>
        </w:tc>
        <w:tc>
          <w:tcPr>
            <w:tcW w:w="594" w:type="pct"/>
            <w:tcBorders>
              <w:top w:val="single" w:sz="4" w:space="0" w:color="auto"/>
              <w:bottom w:val="single" w:sz="4" w:space="0" w:color="auto"/>
            </w:tcBorders>
          </w:tcPr>
          <w:p w14:paraId="54A57CB0"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NAME OF AUTHOR</w:t>
            </w:r>
          </w:p>
        </w:tc>
        <w:tc>
          <w:tcPr>
            <w:tcW w:w="949" w:type="pct"/>
            <w:tcBorders>
              <w:top w:val="single" w:sz="4" w:space="0" w:color="auto"/>
              <w:bottom w:val="single" w:sz="4" w:space="0" w:color="auto"/>
            </w:tcBorders>
          </w:tcPr>
          <w:p w14:paraId="6BAD4E77"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TOPIC</w:t>
            </w:r>
          </w:p>
        </w:tc>
        <w:tc>
          <w:tcPr>
            <w:tcW w:w="647" w:type="pct"/>
            <w:tcBorders>
              <w:top w:val="single" w:sz="4" w:space="0" w:color="auto"/>
              <w:bottom w:val="single" w:sz="4" w:space="0" w:color="auto"/>
            </w:tcBorders>
          </w:tcPr>
          <w:p w14:paraId="72A825F6"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METHOD OF DATA ANALYSIS</w:t>
            </w:r>
          </w:p>
        </w:tc>
        <w:tc>
          <w:tcPr>
            <w:tcW w:w="1317" w:type="pct"/>
            <w:tcBorders>
              <w:top w:val="single" w:sz="4" w:space="0" w:color="auto"/>
              <w:bottom w:val="single" w:sz="4" w:space="0" w:color="auto"/>
            </w:tcBorders>
          </w:tcPr>
          <w:p w14:paraId="37C53C96"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FINDING</w:t>
            </w:r>
          </w:p>
        </w:tc>
        <w:tc>
          <w:tcPr>
            <w:tcW w:w="1284" w:type="pct"/>
            <w:tcBorders>
              <w:top w:val="single" w:sz="4" w:space="0" w:color="auto"/>
              <w:bottom w:val="single" w:sz="4" w:space="0" w:color="auto"/>
            </w:tcBorders>
          </w:tcPr>
          <w:p w14:paraId="24B227D3"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COMPARISON WITH THE PRESENT STUDY</w:t>
            </w:r>
          </w:p>
        </w:tc>
      </w:tr>
      <w:tr w:rsidR="00070085" w:rsidRPr="00070085" w14:paraId="5A327589" w14:textId="77777777" w:rsidTr="005C4055">
        <w:tc>
          <w:tcPr>
            <w:tcW w:w="208" w:type="pct"/>
            <w:tcBorders>
              <w:top w:val="single" w:sz="4" w:space="0" w:color="auto"/>
            </w:tcBorders>
          </w:tcPr>
          <w:p w14:paraId="037B0DAF"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1</w:t>
            </w:r>
          </w:p>
        </w:tc>
        <w:tc>
          <w:tcPr>
            <w:tcW w:w="594" w:type="pct"/>
            <w:tcBorders>
              <w:top w:val="single" w:sz="4" w:space="0" w:color="auto"/>
            </w:tcBorders>
          </w:tcPr>
          <w:p w14:paraId="22C8998A"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Ofoegbu (2023)</w:t>
            </w:r>
          </w:p>
        </w:tc>
        <w:tc>
          <w:tcPr>
            <w:tcW w:w="949" w:type="pct"/>
            <w:tcBorders>
              <w:top w:val="single" w:sz="4" w:space="0" w:color="auto"/>
            </w:tcBorders>
          </w:tcPr>
          <w:p w14:paraId="04B707FF"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Capacity Planning and Operational Efficiency of Oil and Gas Firms in South-South Nigeria</w:t>
            </w:r>
          </w:p>
        </w:tc>
        <w:tc>
          <w:tcPr>
            <w:tcW w:w="647" w:type="pct"/>
            <w:tcBorders>
              <w:top w:val="single" w:sz="4" w:space="0" w:color="auto"/>
            </w:tcBorders>
          </w:tcPr>
          <w:p w14:paraId="7CBA7256"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Spearman's Rank Correlation Coefficient</w:t>
            </w:r>
          </w:p>
        </w:tc>
        <w:tc>
          <w:tcPr>
            <w:tcW w:w="1317" w:type="pct"/>
            <w:tcBorders>
              <w:top w:val="single" w:sz="4" w:space="0" w:color="auto"/>
            </w:tcBorders>
          </w:tcPr>
          <w:p w14:paraId="17C14FFF"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study found significant positive relationships between capacity planning and operational efficiency. Effective human resource capacity planning was associated with improved quality control and enhanced personnel productivity. Similarly, technological capacity planning positively influenced both quality control and personnel productivity.</w:t>
            </w:r>
          </w:p>
        </w:tc>
        <w:tc>
          <w:tcPr>
            <w:tcW w:w="1284" w:type="pct"/>
            <w:tcBorders>
              <w:top w:val="single" w:sz="4" w:space="0" w:color="auto"/>
            </w:tcBorders>
          </w:tcPr>
          <w:p w14:paraId="6E269BC3"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focuses on capacity planning while present study examines lean management systems (continuous improvement and waste elimination); both examine operational efficiency in same geographical context</w:t>
            </w:r>
          </w:p>
        </w:tc>
      </w:tr>
      <w:tr w:rsidR="00070085" w:rsidRPr="00070085" w14:paraId="3470E34D" w14:textId="77777777" w:rsidTr="005C4055">
        <w:tc>
          <w:tcPr>
            <w:tcW w:w="208" w:type="pct"/>
          </w:tcPr>
          <w:p w14:paraId="5CD3DF9C"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2</w:t>
            </w:r>
          </w:p>
        </w:tc>
        <w:tc>
          <w:tcPr>
            <w:tcW w:w="594" w:type="pct"/>
          </w:tcPr>
          <w:p w14:paraId="47365184" w14:textId="77777777" w:rsidR="00070085" w:rsidRPr="00070085" w:rsidRDefault="00070085" w:rsidP="00070085">
            <w:pPr>
              <w:spacing w:line="240" w:lineRule="exact"/>
              <w:contextualSpacing/>
              <w:rPr>
                <w:rFonts w:eastAsia="Times New Roman"/>
                <w:sz w:val="24"/>
                <w:szCs w:val="24"/>
              </w:rPr>
            </w:pPr>
            <w:proofErr w:type="spellStart"/>
            <w:r w:rsidRPr="00070085">
              <w:rPr>
                <w:rFonts w:eastAsia="Times New Roman"/>
                <w:sz w:val="24"/>
                <w:szCs w:val="24"/>
              </w:rPr>
              <w:t>Okoisama</w:t>
            </w:r>
            <w:proofErr w:type="spellEnd"/>
            <w:r w:rsidRPr="00070085">
              <w:rPr>
                <w:rFonts w:eastAsia="Times New Roman"/>
                <w:sz w:val="24"/>
                <w:szCs w:val="24"/>
              </w:rPr>
              <w:t xml:space="preserve"> and Bagshaw (2023)</w:t>
            </w:r>
          </w:p>
        </w:tc>
        <w:tc>
          <w:tcPr>
            <w:tcW w:w="949" w:type="pct"/>
          </w:tcPr>
          <w:p w14:paraId="09E219BC"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Information Technology Infrastructure and </w:t>
            </w:r>
            <w:proofErr w:type="spellStart"/>
            <w:r w:rsidRPr="00070085">
              <w:rPr>
                <w:rFonts w:eastAsia="Times New Roman"/>
                <w:sz w:val="24"/>
                <w:szCs w:val="24"/>
              </w:rPr>
              <w:t>Organisational</w:t>
            </w:r>
            <w:proofErr w:type="spellEnd"/>
            <w:r w:rsidRPr="00070085">
              <w:rPr>
                <w:rFonts w:eastAsia="Times New Roman"/>
                <w:sz w:val="24"/>
                <w:szCs w:val="24"/>
              </w:rPr>
              <w:t xml:space="preserve"> Sustainability of Petroleum Tank Farms in South-South, Nigeria</w:t>
            </w:r>
          </w:p>
        </w:tc>
        <w:tc>
          <w:tcPr>
            <w:tcW w:w="647" w:type="pct"/>
          </w:tcPr>
          <w:p w14:paraId="42020089"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Structural Equation Model (SEM)</w:t>
            </w:r>
          </w:p>
        </w:tc>
        <w:tc>
          <w:tcPr>
            <w:tcW w:w="1317" w:type="pct"/>
          </w:tcPr>
          <w:p w14:paraId="61DB6D4C"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analyses showed that information technology infrastructure has a positive significant relationship with the proxies of organizational sustainability. This underscores the need for managers to recognize the pivotal role of information technology infrastructure in boosting environmental sustainability and economic sustainability.</w:t>
            </w:r>
          </w:p>
        </w:tc>
        <w:tc>
          <w:tcPr>
            <w:tcW w:w="1284" w:type="pct"/>
          </w:tcPr>
          <w:p w14:paraId="39FCDB2B"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Previous study focuses on IT infrastructure while present study examines lean management systems; both examine </w:t>
            </w:r>
            <w:proofErr w:type="spellStart"/>
            <w:r w:rsidRPr="00070085">
              <w:rPr>
                <w:rFonts w:eastAsia="Times New Roman"/>
                <w:sz w:val="24"/>
                <w:szCs w:val="24"/>
              </w:rPr>
              <w:t>organisational</w:t>
            </w:r>
            <w:proofErr w:type="spellEnd"/>
            <w:r w:rsidRPr="00070085">
              <w:rPr>
                <w:rFonts w:eastAsia="Times New Roman"/>
                <w:sz w:val="24"/>
                <w:szCs w:val="24"/>
              </w:rPr>
              <w:t xml:space="preserve"> effectiveness-related outcomes in same region</w:t>
            </w:r>
          </w:p>
        </w:tc>
      </w:tr>
      <w:tr w:rsidR="00070085" w:rsidRPr="00070085" w14:paraId="3B6EE6CE" w14:textId="77777777" w:rsidTr="005C4055">
        <w:tc>
          <w:tcPr>
            <w:tcW w:w="208" w:type="pct"/>
          </w:tcPr>
          <w:p w14:paraId="69CCE347"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3</w:t>
            </w:r>
          </w:p>
        </w:tc>
        <w:tc>
          <w:tcPr>
            <w:tcW w:w="594" w:type="pct"/>
          </w:tcPr>
          <w:p w14:paraId="7438009E"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Ofoegbu (2022)</w:t>
            </w:r>
          </w:p>
        </w:tc>
        <w:tc>
          <w:tcPr>
            <w:tcW w:w="949" w:type="pct"/>
          </w:tcPr>
          <w:p w14:paraId="237CA7D5"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Workforce Diversity Management and Employee Performance in Oil and Gas Companies in Rivers State</w:t>
            </w:r>
          </w:p>
        </w:tc>
        <w:tc>
          <w:tcPr>
            <w:tcW w:w="647" w:type="pct"/>
          </w:tcPr>
          <w:p w14:paraId="003F68BB"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Pearson Product Moment Correlation Coefficient</w:t>
            </w:r>
          </w:p>
        </w:tc>
        <w:tc>
          <w:tcPr>
            <w:tcW w:w="1317" w:type="pct"/>
          </w:tcPr>
          <w:p w14:paraId="1BA172F3"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findings revealed significant positive relationships between all dimensions of workforce diversity management and employee performance.</w:t>
            </w:r>
          </w:p>
        </w:tc>
        <w:tc>
          <w:tcPr>
            <w:tcW w:w="1284" w:type="pct"/>
          </w:tcPr>
          <w:p w14:paraId="1BC3A3C8"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focuses on diversity management while present study examines lean systems; both examine employee performance as component of organizational effectiveness in Rivers State</w:t>
            </w:r>
          </w:p>
        </w:tc>
      </w:tr>
      <w:tr w:rsidR="00070085" w:rsidRPr="00070085" w14:paraId="5320666D" w14:textId="77777777" w:rsidTr="005C4055">
        <w:tc>
          <w:tcPr>
            <w:tcW w:w="208" w:type="pct"/>
          </w:tcPr>
          <w:p w14:paraId="28993AB0"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4</w:t>
            </w:r>
          </w:p>
        </w:tc>
        <w:tc>
          <w:tcPr>
            <w:tcW w:w="594" w:type="pct"/>
          </w:tcPr>
          <w:p w14:paraId="196D4137"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 xml:space="preserve">Agi and </w:t>
            </w:r>
            <w:proofErr w:type="spellStart"/>
            <w:r w:rsidRPr="00070085">
              <w:rPr>
                <w:rFonts w:eastAsia="Times New Roman"/>
                <w:sz w:val="24"/>
                <w:szCs w:val="24"/>
              </w:rPr>
              <w:t>Nwi-ue</w:t>
            </w:r>
            <w:proofErr w:type="spellEnd"/>
            <w:r w:rsidRPr="00070085">
              <w:rPr>
                <w:rFonts w:eastAsia="Times New Roman"/>
                <w:sz w:val="24"/>
                <w:szCs w:val="24"/>
              </w:rPr>
              <w:t xml:space="preserve"> (2023)</w:t>
            </w:r>
          </w:p>
        </w:tc>
        <w:tc>
          <w:tcPr>
            <w:tcW w:w="949" w:type="pct"/>
          </w:tcPr>
          <w:p w14:paraId="0F6B9534"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Total Quality Management Practices and Operational Performance of Oil and </w:t>
            </w:r>
            <w:r w:rsidRPr="00070085">
              <w:rPr>
                <w:rFonts w:eastAsia="Times New Roman"/>
                <w:sz w:val="24"/>
                <w:szCs w:val="24"/>
              </w:rPr>
              <w:lastRenderedPageBreak/>
              <w:t>Gas Companies in Port Harcourt</w:t>
            </w:r>
          </w:p>
        </w:tc>
        <w:tc>
          <w:tcPr>
            <w:tcW w:w="647" w:type="pct"/>
          </w:tcPr>
          <w:p w14:paraId="2D47A48A"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lastRenderedPageBreak/>
              <w:t>Pearson correlation and multiple regression analysis (SPSS)</w:t>
            </w:r>
          </w:p>
        </w:tc>
        <w:tc>
          <w:tcPr>
            <w:tcW w:w="1317" w:type="pct"/>
          </w:tcPr>
          <w:p w14:paraId="308001E6"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The findings revealed that TQM practices significantly influence operational performance dimensions. Specifically, continuous improvement had a </w:t>
            </w:r>
            <w:r w:rsidRPr="00070085">
              <w:rPr>
                <w:rFonts w:eastAsia="Times New Roman"/>
                <w:sz w:val="24"/>
                <w:szCs w:val="24"/>
              </w:rPr>
              <w:lastRenderedPageBreak/>
              <w:t>significant positive effect on operational efficiency and product quality. Process management also significantly predicted operational efficiency and product quality. Employee involvement showed positive relationships with both operational efficiency and product quality.</w:t>
            </w:r>
          </w:p>
        </w:tc>
        <w:tc>
          <w:tcPr>
            <w:tcW w:w="1284" w:type="pct"/>
          </w:tcPr>
          <w:p w14:paraId="39D59E23"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lastRenderedPageBreak/>
              <w:t xml:space="preserve">Previous study examines TQM practices including continuous improvement; present study specifically focuses on continuous improvement and waste </w:t>
            </w:r>
            <w:r w:rsidRPr="00070085">
              <w:rPr>
                <w:rFonts w:eastAsia="Times New Roman"/>
                <w:sz w:val="24"/>
                <w:szCs w:val="24"/>
              </w:rPr>
              <w:lastRenderedPageBreak/>
              <w:t>elimination as lean proxies; both examine operational efficiency in same context</w:t>
            </w:r>
          </w:p>
        </w:tc>
      </w:tr>
      <w:tr w:rsidR="00070085" w:rsidRPr="00070085" w14:paraId="4DF0DFD1" w14:textId="77777777" w:rsidTr="005C4055">
        <w:tc>
          <w:tcPr>
            <w:tcW w:w="208" w:type="pct"/>
          </w:tcPr>
          <w:p w14:paraId="1D0648E7"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lastRenderedPageBreak/>
              <w:t>5</w:t>
            </w:r>
          </w:p>
        </w:tc>
        <w:tc>
          <w:tcPr>
            <w:tcW w:w="594" w:type="pct"/>
          </w:tcPr>
          <w:p w14:paraId="15278F93"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 xml:space="preserve">Worlu and </w:t>
            </w:r>
            <w:proofErr w:type="spellStart"/>
            <w:r w:rsidRPr="00070085">
              <w:rPr>
                <w:rFonts w:eastAsia="Times New Roman"/>
                <w:sz w:val="24"/>
                <w:szCs w:val="24"/>
              </w:rPr>
              <w:t>Opute</w:t>
            </w:r>
            <w:proofErr w:type="spellEnd"/>
            <w:r w:rsidRPr="00070085">
              <w:rPr>
                <w:rFonts w:eastAsia="Times New Roman"/>
                <w:sz w:val="24"/>
                <w:szCs w:val="24"/>
              </w:rPr>
              <w:t xml:space="preserve"> (2022)</w:t>
            </w:r>
          </w:p>
        </w:tc>
        <w:tc>
          <w:tcPr>
            <w:tcW w:w="949" w:type="pct"/>
          </w:tcPr>
          <w:p w14:paraId="29BBC316"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Supply Chain Integration and Operational Efficiency of Downstream Oil and Gas Firms in Rivers State</w:t>
            </w:r>
          </w:p>
        </w:tc>
        <w:tc>
          <w:tcPr>
            <w:tcW w:w="647" w:type="pct"/>
          </w:tcPr>
          <w:p w14:paraId="2337DDD0"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Partial Least Squares Structural Equation Modeling (PLS-SEM)</w:t>
            </w:r>
          </w:p>
        </w:tc>
        <w:tc>
          <w:tcPr>
            <w:tcW w:w="1317" w:type="pct"/>
          </w:tcPr>
          <w:p w14:paraId="31453E98"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findings revealed that all three dimensions of supply chain integration significantly influenced operational efficiency. Internal integration had the strongest effect on cost efficiency, time efficiency, and process reliability. Supplier integration significantly predicted cost efficiency, time efficiency, and process reliability.</w:t>
            </w:r>
          </w:p>
        </w:tc>
        <w:tc>
          <w:tcPr>
            <w:tcW w:w="1284" w:type="pct"/>
          </w:tcPr>
          <w:p w14:paraId="487F1261"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focuses on supply chain integration while present study examines lean systems; both examine operational efficiency in Rivers State oil and gas firms with rigorous PLS-SEM methods.</w:t>
            </w:r>
          </w:p>
        </w:tc>
      </w:tr>
      <w:tr w:rsidR="00070085" w:rsidRPr="00070085" w14:paraId="73528CDB" w14:textId="77777777" w:rsidTr="005C4055">
        <w:tc>
          <w:tcPr>
            <w:tcW w:w="208" w:type="pct"/>
          </w:tcPr>
          <w:p w14:paraId="2CC720D4"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6</w:t>
            </w:r>
          </w:p>
        </w:tc>
        <w:tc>
          <w:tcPr>
            <w:tcW w:w="594" w:type="pct"/>
          </w:tcPr>
          <w:p w14:paraId="6E433EED"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Nwankwo and Ofoegbu (2024)</w:t>
            </w:r>
          </w:p>
        </w:tc>
        <w:tc>
          <w:tcPr>
            <w:tcW w:w="949" w:type="pct"/>
          </w:tcPr>
          <w:p w14:paraId="24D2091A"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Lean Practices and Organizational Performance of Indigenous Oil Servicing Companies in Rivers State</w:t>
            </w:r>
          </w:p>
        </w:tc>
        <w:tc>
          <w:tcPr>
            <w:tcW w:w="647" w:type="pct"/>
          </w:tcPr>
          <w:p w14:paraId="28B3FFCA"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PLS-SEM with </w:t>
            </w:r>
            <w:proofErr w:type="spellStart"/>
            <w:r w:rsidRPr="00070085">
              <w:rPr>
                <w:rFonts w:eastAsia="Times New Roman"/>
                <w:sz w:val="24"/>
                <w:szCs w:val="24"/>
              </w:rPr>
              <w:t>SmartPLS</w:t>
            </w:r>
            <w:proofErr w:type="spellEnd"/>
            <w:r w:rsidRPr="00070085">
              <w:rPr>
                <w:rFonts w:eastAsia="Times New Roman"/>
                <w:sz w:val="24"/>
                <w:szCs w:val="24"/>
              </w:rPr>
              <w:t xml:space="preserve"> 4</w:t>
            </w:r>
          </w:p>
        </w:tc>
        <w:tc>
          <w:tcPr>
            <w:tcW w:w="1317" w:type="pct"/>
          </w:tcPr>
          <w:p w14:paraId="1C68BDF4"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findings revealed that all lean practice dimensions significantly influenced organizational performance measures. Continuous improvement had the strongest effect on operational efficiency, cost reduction, and customer satisfaction. Total quality management significantly predicted operational efficiency, cost reduction, and customer satisfaction. Just-in-time practices showed significant relationships with operational efficiency, cost reduction, and customer satisfaction. Total productive maintenance also significantly influenced operational efficiency, cost reduction, and customer satisfaction.</w:t>
            </w:r>
          </w:p>
        </w:tc>
        <w:tc>
          <w:tcPr>
            <w:tcW w:w="1284" w:type="pct"/>
          </w:tcPr>
          <w:p w14:paraId="794BFDBF"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examines multiple lean practices including continuous improvement; present study specifically focuses on continuous improvement and waste elimination; both examine lean-performance relationships in same context with similar methodologies</w:t>
            </w:r>
          </w:p>
        </w:tc>
      </w:tr>
      <w:tr w:rsidR="00070085" w:rsidRPr="00070085" w14:paraId="2F862835" w14:textId="77777777" w:rsidTr="005C4055">
        <w:tc>
          <w:tcPr>
            <w:tcW w:w="208" w:type="pct"/>
          </w:tcPr>
          <w:p w14:paraId="40F2B328"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lastRenderedPageBreak/>
              <w:t>7</w:t>
            </w:r>
          </w:p>
        </w:tc>
        <w:tc>
          <w:tcPr>
            <w:tcW w:w="594" w:type="pct"/>
          </w:tcPr>
          <w:p w14:paraId="39CFDA47" w14:textId="77777777" w:rsidR="00070085" w:rsidRPr="00070085" w:rsidRDefault="00070085" w:rsidP="00070085">
            <w:pPr>
              <w:spacing w:line="240" w:lineRule="exact"/>
              <w:contextualSpacing/>
              <w:rPr>
                <w:rFonts w:eastAsia="Times New Roman"/>
                <w:sz w:val="24"/>
                <w:szCs w:val="24"/>
              </w:rPr>
            </w:pPr>
            <w:proofErr w:type="spellStart"/>
            <w:r w:rsidRPr="00070085">
              <w:rPr>
                <w:rFonts w:eastAsia="Times New Roman"/>
                <w:sz w:val="24"/>
                <w:szCs w:val="24"/>
              </w:rPr>
              <w:t>Achaka</w:t>
            </w:r>
            <w:proofErr w:type="spellEnd"/>
            <w:r w:rsidRPr="00070085">
              <w:rPr>
                <w:rFonts w:eastAsia="Times New Roman"/>
                <w:sz w:val="24"/>
                <w:szCs w:val="24"/>
              </w:rPr>
              <w:t>, Amade, Okorocha, and Ubani (2024)</w:t>
            </w:r>
          </w:p>
        </w:tc>
        <w:tc>
          <w:tcPr>
            <w:tcW w:w="949" w:type="pct"/>
          </w:tcPr>
          <w:p w14:paraId="75F599FA"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An Evaluation of the Extent of Adoption of Lean in Offshore Facility Maintenance Projects in the Oil and Gas Industry</w:t>
            </w:r>
          </w:p>
        </w:tc>
        <w:tc>
          <w:tcPr>
            <w:tcW w:w="647" w:type="pct"/>
          </w:tcPr>
          <w:p w14:paraId="6A20F0E5"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ANOVA; Cronbach's Alpha test; frequency distribution</w:t>
            </w:r>
          </w:p>
        </w:tc>
        <w:tc>
          <w:tcPr>
            <w:tcW w:w="1317" w:type="pct"/>
          </w:tcPr>
          <w:p w14:paraId="0CC682BF"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key findings revealed that a significant percentage of respondents were involved in major offshore facility maintenance projects, with the majority working on pipe and structural maintenance. The ANOVA results indicated significant differences in lean awareness based on years of experience and organizational size.</w:t>
            </w:r>
          </w:p>
        </w:tc>
        <w:tc>
          <w:tcPr>
            <w:tcW w:w="1284" w:type="pct"/>
          </w:tcPr>
          <w:p w14:paraId="36928F09"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establishes baseline lean awareness levels; present study extends by examining how continuous improvement and waste elimination influence operational efficiency and stakeholder satisfaction</w:t>
            </w:r>
          </w:p>
        </w:tc>
      </w:tr>
      <w:tr w:rsidR="00070085" w:rsidRPr="00070085" w14:paraId="656ADB8C" w14:textId="77777777" w:rsidTr="005C4055">
        <w:tc>
          <w:tcPr>
            <w:tcW w:w="208" w:type="pct"/>
          </w:tcPr>
          <w:p w14:paraId="48C14E39"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8</w:t>
            </w:r>
          </w:p>
        </w:tc>
        <w:tc>
          <w:tcPr>
            <w:tcW w:w="594" w:type="pct"/>
          </w:tcPr>
          <w:p w14:paraId="3AE2B9CC" w14:textId="77777777" w:rsidR="00070085" w:rsidRPr="00070085" w:rsidRDefault="00070085" w:rsidP="00070085">
            <w:pPr>
              <w:spacing w:line="240" w:lineRule="exact"/>
              <w:contextualSpacing/>
              <w:rPr>
                <w:rFonts w:eastAsia="Times New Roman"/>
                <w:sz w:val="24"/>
                <w:szCs w:val="24"/>
              </w:rPr>
            </w:pPr>
            <w:proofErr w:type="spellStart"/>
            <w:r w:rsidRPr="00070085">
              <w:rPr>
                <w:rFonts w:eastAsia="Times New Roman"/>
                <w:sz w:val="24"/>
                <w:szCs w:val="24"/>
              </w:rPr>
              <w:t>Ozumba</w:t>
            </w:r>
            <w:proofErr w:type="spellEnd"/>
            <w:r w:rsidRPr="00070085">
              <w:rPr>
                <w:rFonts w:eastAsia="Times New Roman"/>
                <w:sz w:val="24"/>
                <w:szCs w:val="24"/>
              </w:rPr>
              <w:t xml:space="preserve"> (2011)</w:t>
            </w:r>
          </w:p>
        </w:tc>
        <w:tc>
          <w:tcPr>
            <w:tcW w:w="949" w:type="pct"/>
          </w:tcPr>
          <w:p w14:paraId="26FE9FD4"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Organizational performance improvement in an oil producing facility in Nigeria through operational excellence</w:t>
            </w:r>
          </w:p>
        </w:tc>
        <w:tc>
          <w:tcPr>
            <w:tcW w:w="647" w:type="pct"/>
          </w:tcPr>
          <w:p w14:paraId="11463DE4"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Paired t-tests; Oliver Wight ABCD Checklist</w:t>
            </w:r>
          </w:p>
        </w:tc>
        <w:tc>
          <w:tcPr>
            <w:tcW w:w="1317" w:type="pct"/>
          </w:tcPr>
          <w:p w14:paraId="4EC11E4E"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key findings revealed that successful operational excellence implementation resulted in improved EH&amp;S performance, with targets of zero fatalities being achieved, surpassed, and sustained, along with reduced incident numbers and rates. The study also found improved reliability and efficiency performance through robust asset integrity, reliability, and optimization processes, successful cost reduction efforts in security, marine, and aviation services, and a flourishing relationship with host communities.</w:t>
            </w:r>
          </w:p>
        </w:tc>
        <w:tc>
          <w:tcPr>
            <w:tcW w:w="1284" w:type="pct"/>
          </w:tcPr>
          <w:p w14:paraId="61B4854E"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demonstrates operational excellence outcomes on efficiency and stakeholder satisfaction; present study specifically examines lean management systems with same outcome proxies in Nigerian context</w:t>
            </w:r>
          </w:p>
        </w:tc>
      </w:tr>
      <w:tr w:rsidR="00070085" w:rsidRPr="00070085" w14:paraId="68256BB6" w14:textId="77777777" w:rsidTr="005C4055">
        <w:tc>
          <w:tcPr>
            <w:tcW w:w="208" w:type="pct"/>
          </w:tcPr>
          <w:p w14:paraId="4F757E5F"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9</w:t>
            </w:r>
          </w:p>
        </w:tc>
        <w:tc>
          <w:tcPr>
            <w:tcW w:w="594" w:type="pct"/>
          </w:tcPr>
          <w:p w14:paraId="697DEDA8"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Nnadi and Oko (2021)</w:t>
            </w:r>
          </w:p>
        </w:tc>
        <w:tc>
          <w:tcPr>
            <w:tcW w:w="949" w:type="pct"/>
          </w:tcPr>
          <w:p w14:paraId="1F133C7F"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impact of Lean Inventory Management Practices on Firm Performance: A Study of Selected Oil and Gas Companies in Rivers State, Nigeria</w:t>
            </w:r>
          </w:p>
        </w:tc>
        <w:tc>
          <w:tcPr>
            <w:tcW w:w="647" w:type="pct"/>
          </w:tcPr>
          <w:p w14:paraId="40048E48"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Multiple regression; hierarchical regression; Pearson correlation</w:t>
            </w:r>
          </w:p>
        </w:tc>
        <w:tc>
          <w:tcPr>
            <w:tcW w:w="1317" w:type="pct"/>
          </w:tcPr>
          <w:p w14:paraId="09D33833"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The key findings revealed that both just in time and total quality management have positive and highly significant effects on both productivity and delivery performance. Both lean inventory strategies significantly accounted for substantial variance in firm productivity and delivery performance respectively. The study also established that organizational support has a positive moderating influence on the </w:t>
            </w:r>
            <w:r w:rsidRPr="00070085">
              <w:rPr>
                <w:rFonts w:eastAsia="Times New Roman"/>
                <w:sz w:val="24"/>
                <w:szCs w:val="24"/>
              </w:rPr>
              <w:lastRenderedPageBreak/>
              <w:t>relationship between inventory leanness and firm performance.</w:t>
            </w:r>
          </w:p>
        </w:tc>
        <w:tc>
          <w:tcPr>
            <w:tcW w:w="1284" w:type="pct"/>
          </w:tcPr>
          <w:p w14:paraId="071FC06B"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lastRenderedPageBreak/>
              <w:t>Previous study focuses on lean inventory practices (JIT and TQM); present study examines continuous improvement and waste elimination as lean proxies; both conducted in Rivers State oil and gas context</w:t>
            </w:r>
          </w:p>
        </w:tc>
      </w:tr>
      <w:tr w:rsidR="00070085" w:rsidRPr="00070085" w14:paraId="2F788DEE" w14:textId="77777777" w:rsidTr="005C4055">
        <w:tc>
          <w:tcPr>
            <w:tcW w:w="208" w:type="pct"/>
          </w:tcPr>
          <w:p w14:paraId="7EA210B6"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10</w:t>
            </w:r>
          </w:p>
        </w:tc>
        <w:tc>
          <w:tcPr>
            <w:tcW w:w="594" w:type="pct"/>
          </w:tcPr>
          <w:p w14:paraId="2A681007" w14:textId="77777777" w:rsidR="00070085" w:rsidRPr="00070085" w:rsidRDefault="00070085" w:rsidP="00070085">
            <w:pPr>
              <w:spacing w:line="240" w:lineRule="exact"/>
              <w:contextualSpacing/>
              <w:rPr>
                <w:rFonts w:eastAsia="Times New Roman"/>
                <w:sz w:val="24"/>
                <w:szCs w:val="24"/>
              </w:rPr>
            </w:pPr>
            <w:proofErr w:type="spellStart"/>
            <w:r w:rsidRPr="00070085">
              <w:rPr>
                <w:rFonts w:eastAsia="Times New Roman"/>
                <w:sz w:val="24"/>
                <w:szCs w:val="24"/>
              </w:rPr>
              <w:t>Achaka</w:t>
            </w:r>
            <w:proofErr w:type="spellEnd"/>
            <w:r w:rsidRPr="00070085">
              <w:rPr>
                <w:rFonts w:eastAsia="Times New Roman"/>
                <w:sz w:val="24"/>
                <w:szCs w:val="24"/>
              </w:rPr>
              <w:t>, Ubani, Amade, and Okorocha (2024)</w:t>
            </w:r>
          </w:p>
        </w:tc>
        <w:tc>
          <w:tcPr>
            <w:tcW w:w="949" w:type="pct"/>
          </w:tcPr>
          <w:p w14:paraId="753BA465"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An Evaluation of Barriers of Lean Implementation in Offshore Facility Maintenance Projects in the Oil and Gas Industry</w:t>
            </w:r>
          </w:p>
        </w:tc>
        <w:tc>
          <w:tcPr>
            <w:tcW w:w="647" w:type="pct"/>
          </w:tcPr>
          <w:p w14:paraId="0C1EBE51"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Exploratory Factor Analysis; Severity Index; one-sample t-tests</w:t>
            </w:r>
          </w:p>
        </w:tc>
        <w:tc>
          <w:tcPr>
            <w:tcW w:w="1317" w:type="pct"/>
          </w:tcPr>
          <w:p w14:paraId="1277D437"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The key findings revealed that the most significant barrier was a shortage of technical expertise, training, and familiarity with efficient principles. Other significant obstacles included lack of dedicated leadership, lengthy decision-making procedures caused by complex </w:t>
            </w:r>
            <w:proofErr w:type="spellStart"/>
            <w:r w:rsidRPr="00070085">
              <w:rPr>
                <w:rFonts w:eastAsia="Times New Roman"/>
                <w:sz w:val="24"/>
                <w:szCs w:val="24"/>
              </w:rPr>
              <w:t>organisational</w:t>
            </w:r>
            <w:proofErr w:type="spellEnd"/>
            <w:r w:rsidRPr="00070085">
              <w:rPr>
                <w:rFonts w:eastAsia="Times New Roman"/>
                <w:sz w:val="24"/>
                <w:szCs w:val="24"/>
              </w:rPr>
              <w:t xml:space="preserve"> structure, government bureaucracy, and resistance from employees towards change. The factor analysis revealed eleven underlying dimensions accounting for substantial total variance.</w:t>
            </w:r>
          </w:p>
        </w:tc>
        <w:tc>
          <w:tcPr>
            <w:tcW w:w="1284" w:type="pct"/>
          </w:tcPr>
          <w:p w14:paraId="1A14EA98"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identifies barriers to lean implementation; present study examines how lean systems affect organizational outcomes, providing understanding of implementation challenges in same context</w:t>
            </w:r>
          </w:p>
        </w:tc>
      </w:tr>
      <w:tr w:rsidR="00070085" w:rsidRPr="00070085" w14:paraId="26ABFC16" w14:textId="77777777" w:rsidTr="005C4055">
        <w:tc>
          <w:tcPr>
            <w:tcW w:w="208" w:type="pct"/>
          </w:tcPr>
          <w:p w14:paraId="3EE9AC97"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11</w:t>
            </w:r>
          </w:p>
        </w:tc>
        <w:tc>
          <w:tcPr>
            <w:tcW w:w="594" w:type="pct"/>
          </w:tcPr>
          <w:p w14:paraId="258F017C"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 xml:space="preserve">Kazeem and </w:t>
            </w:r>
            <w:proofErr w:type="spellStart"/>
            <w:r w:rsidRPr="00070085">
              <w:rPr>
                <w:rFonts w:eastAsia="Times New Roman"/>
                <w:sz w:val="24"/>
                <w:szCs w:val="24"/>
              </w:rPr>
              <w:t>Ologbon</w:t>
            </w:r>
            <w:proofErr w:type="spellEnd"/>
            <w:r w:rsidRPr="00070085">
              <w:rPr>
                <w:rFonts w:eastAsia="Times New Roman"/>
                <w:sz w:val="24"/>
                <w:szCs w:val="24"/>
              </w:rPr>
              <w:t xml:space="preserve"> (2025)</w:t>
            </w:r>
          </w:p>
        </w:tc>
        <w:tc>
          <w:tcPr>
            <w:tcW w:w="949" w:type="pct"/>
          </w:tcPr>
          <w:p w14:paraId="7A38C9B6"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Impact of Sustainable Business Practices and Corporate Social Responsibility on Organizational Outcomes: A Study of Selected Oil and Gas Firms in Lagos State, Nigeria</w:t>
            </w:r>
          </w:p>
        </w:tc>
        <w:tc>
          <w:tcPr>
            <w:tcW w:w="647" w:type="pct"/>
          </w:tcPr>
          <w:p w14:paraId="6F9F38E2"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Pearson correlation; multiple regression analysis (SPSS)</w:t>
            </w:r>
          </w:p>
        </w:tc>
        <w:tc>
          <w:tcPr>
            <w:tcW w:w="1317" w:type="pct"/>
          </w:tcPr>
          <w:p w14:paraId="4A563A5A"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key findings revealed that environmental stewardship, ethical engagement, and economically sustainable operations each make substantial contributions to strengthening organizational resilience and competitiveness. Firms that reduce gas flaring, prevent oil spills, adopt cleaner technologies, invest in transparent community relations, and integrate long-term cost efficiency into their operations are better positioned to withstand regulatory, market, and environmental shocks. The findings highlighted the interconnected role of environmental, social, and economic dimensions of sustainability in improving business outcomes.</w:t>
            </w:r>
          </w:p>
        </w:tc>
        <w:tc>
          <w:tcPr>
            <w:tcW w:w="1284" w:type="pct"/>
          </w:tcPr>
          <w:p w14:paraId="69095919"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examines sustainability practices and stakeholder satisfaction in Lagos; present study examines lean systems and stakeholder satisfaction in Rivers State, providing complementary regional evidence</w:t>
            </w:r>
          </w:p>
        </w:tc>
      </w:tr>
      <w:tr w:rsidR="00070085" w:rsidRPr="00070085" w14:paraId="447BA888" w14:textId="77777777" w:rsidTr="005C4055">
        <w:tc>
          <w:tcPr>
            <w:tcW w:w="208" w:type="pct"/>
          </w:tcPr>
          <w:p w14:paraId="2EF28FF7"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lastRenderedPageBreak/>
              <w:t>12</w:t>
            </w:r>
          </w:p>
        </w:tc>
        <w:tc>
          <w:tcPr>
            <w:tcW w:w="594" w:type="pct"/>
          </w:tcPr>
          <w:p w14:paraId="2A89C482" w14:textId="77777777" w:rsidR="00070085" w:rsidRPr="00070085" w:rsidRDefault="00070085" w:rsidP="00070085">
            <w:pPr>
              <w:spacing w:line="240" w:lineRule="exact"/>
              <w:contextualSpacing/>
              <w:rPr>
                <w:rFonts w:eastAsia="Times New Roman"/>
                <w:sz w:val="24"/>
                <w:szCs w:val="24"/>
              </w:rPr>
            </w:pPr>
            <w:proofErr w:type="spellStart"/>
            <w:r w:rsidRPr="00070085">
              <w:rPr>
                <w:rFonts w:eastAsia="Times New Roman"/>
                <w:sz w:val="24"/>
                <w:szCs w:val="24"/>
              </w:rPr>
              <w:t>Akintokunbo</w:t>
            </w:r>
            <w:proofErr w:type="spellEnd"/>
            <w:r w:rsidRPr="00070085">
              <w:rPr>
                <w:rFonts w:eastAsia="Times New Roman"/>
                <w:sz w:val="24"/>
                <w:szCs w:val="24"/>
              </w:rPr>
              <w:t xml:space="preserve"> and Oputa (2018)</w:t>
            </w:r>
          </w:p>
        </w:tc>
        <w:tc>
          <w:tcPr>
            <w:tcW w:w="949" w:type="pct"/>
          </w:tcPr>
          <w:p w14:paraId="02447789"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Synergistic Work System and Project Outcomes of Oil/Gas Firms in Rivers State: A Resource-based View Approach</w:t>
            </w:r>
          </w:p>
        </w:tc>
        <w:tc>
          <w:tcPr>
            <w:tcW w:w="647" w:type="pct"/>
          </w:tcPr>
          <w:p w14:paraId="17AA811D"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Confirmatory Factor Analysis; SEM with AMOS</w:t>
            </w:r>
          </w:p>
        </w:tc>
        <w:tc>
          <w:tcPr>
            <w:tcW w:w="1317" w:type="pct"/>
          </w:tcPr>
          <w:p w14:paraId="0327EDD0"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key findings revealed that all three dimensions of synergistic work systems had a high statistical significance on project schedule success. However, regarding project cost minimization, the effect of administrative integration was statistically insignificant while sequential integration and synergistic alignment had significant effects.</w:t>
            </w:r>
          </w:p>
        </w:tc>
        <w:tc>
          <w:tcPr>
            <w:tcW w:w="1284" w:type="pct"/>
          </w:tcPr>
          <w:p w14:paraId="2DDAF87D"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focuses on synergistic work systems while present study examines lean systems; both examine project outcomes/efficiency in Rivers State oil and gas firms with SEM methods</w:t>
            </w:r>
          </w:p>
        </w:tc>
      </w:tr>
      <w:tr w:rsidR="00070085" w:rsidRPr="00070085" w14:paraId="239304EC" w14:textId="77777777" w:rsidTr="005C4055">
        <w:tc>
          <w:tcPr>
            <w:tcW w:w="208" w:type="pct"/>
          </w:tcPr>
          <w:p w14:paraId="56FD4112"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13</w:t>
            </w:r>
          </w:p>
        </w:tc>
        <w:tc>
          <w:tcPr>
            <w:tcW w:w="594" w:type="pct"/>
          </w:tcPr>
          <w:p w14:paraId="4CB63D4F" w14:textId="77777777" w:rsidR="00070085" w:rsidRPr="00070085" w:rsidRDefault="00070085" w:rsidP="00070085">
            <w:pPr>
              <w:spacing w:line="240" w:lineRule="exact"/>
              <w:contextualSpacing/>
              <w:rPr>
                <w:rFonts w:eastAsia="Times New Roman"/>
                <w:sz w:val="24"/>
                <w:szCs w:val="24"/>
              </w:rPr>
            </w:pPr>
            <w:proofErr w:type="spellStart"/>
            <w:r w:rsidRPr="00070085">
              <w:rPr>
                <w:rFonts w:eastAsia="Times New Roman"/>
                <w:sz w:val="24"/>
                <w:szCs w:val="24"/>
              </w:rPr>
              <w:t>Ugolo</w:t>
            </w:r>
            <w:proofErr w:type="spellEnd"/>
            <w:r w:rsidRPr="00070085">
              <w:rPr>
                <w:rFonts w:eastAsia="Times New Roman"/>
                <w:sz w:val="24"/>
                <w:szCs w:val="24"/>
              </w:rPr>
              <w:t xml:space="preserve"> (2021)</w:t>
            </w:r>
          </w:p>
        </w:tc>
        <w:tc>
          <w:tcPr>
            <w:tcW w:w="949" w:type="pct"/>
          </w:tcPr>
          <w:p w14:paraId="065ADD83"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Application of LEAN supply chain management as a panacea to sustainable future profitability in the Nigerian oil and gas industry</w:t>
            </w:r>
          </w:p>
        </w:tc>
        <w:tc>
          <w:tcPr>
            <w:tcW w:w="647" w:type="pct"/>
          </w:tcPr>
          <w:p w14:paraId="66F0ADF3"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Pearson correlation; multiple regression; trend analysis</w:t>
            </w:r>
          </w:p>
        </w:tc>
        <w:tc>
          <w:tcPr>
            <w:tcW w:w="1317" w:type="pct"/>
          </w:tcPr>
          <w:p w14:paraId="3A4E286E"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The key findings revealed that the Nigerian oil and gas industry is highly capital intensive with possibility of high profit or great losses, and that management of costs including a lean supply chain that ensures material and services for production are available at the right price and time is critical for the profitability of future oil and gas supply. The study found that oil producing firms require an optimum supply level of material and services to competitively deliver their end-products.</w:t>
            </w:r>
          </w:p>
        </w:tc>
        <w:tc>
          <w:tcPr>
            <w:tcW w:w="1284" w:type="pct"/>
          </w:tcPr>
          <w:p w14:paraId="6371E60A"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Previous study directly examines lean processes and operational efficiency relationship in Nigerian oil and gas; present study extends by including waste elimination and stakeholder satisfaction as additional proxies</w:t>
            </w:r>
          </w:p>
        </w:tc>
      </w:tr>
      <w:tr w:rsidR="00070085" w:rsidRPr="00070085" w14:paraId="72FED7FB" w14:textId="77777777" w:rsidTr="005C4055">
        <w:trPr>
          <w:trHeight w:val="3205"/>
        </w:trPr>
        <w:tc>
          <w:tcPr>
            <w:tcW w:w="208" w:type="pct"/>
          </w:tcPr>
          <w:p w14:paraId="5A308BCD"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14</w:t>
            </w:r>
          </w:p>
        </w:tc>
        <w:tc>
          <w:tcPr>
            <w:tcW w:w="594" w:type="pct"/>
          </w:tcPr>
          <w:p w14:paraId="13702EE9"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Okeke (2025)</w:t>
            </w:r>
          </w:p>
        </w:tc>
        <w:tc>
          <w:tcPr>
            <w:tcW w:w="949" w:type="pct"/>
          </w:tcPr>
          <w:p w14:paraId="51C468A6"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Navigating institutional pressures: assessing sustainability and supply chain management practices in the oil and gas industry of a developing economy</w:t>
            </w:r>
          </w:p>
        </w:tc>
        <w:tc>
          <w:tcPr>
            <w:tcW w:w="647" w:type="pct"/>
          </w:tcPr>
          <w:p w14:paraId="76EF977F"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SEM with AMOS; Confirmatory Factor Analysis</w:t>
            </w:r>
          </w:p>
        </w:tc>
        <w:tc>
          <w:tcPr>
            <w:tcW w:w="1317" w:type="pct"/>
          </w:tcPr>
          <w:p w14:paraId="6093D241"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t xml:space="preserve">The key findings revealed that coercive pressures from government regulations and normative pressures from industry best practices significantly enhance the adoption of sustainability and supply chain management practices. The study also found that stakeholder engagement demonstrates an organization's commitment to transparency, accountability, and responsible practices, allowing organizations to gather insights and </w:t>
            </w:r>
            <w:r w:rsidRPr="00070085">
              <w:rPr>
                <w:rFonts w:eastAsia="Times New Roman"/>
                <w:sz w:val="24"/>
                <w:szCs w:val="24"/>
              </w:rPr>
              <w:lastRenderedPageBreak/>
              <w:t>diverse perspectives that improve decision-making and performance.</w:t>
            </w:r>
          </w:p>
        </w:tc>
        <w:tc>
          <w:tcPr>
            <w:tcW w:w="1284" w:type="pct"/>
          </w:tcPr>
          <w:p w14:paraId="21F5EFD7" w14:textId="77777777" w:rsidR="00070085" w:rsidRPr="00070085" w:rsidRDefault="00070085" w:rsidP="00070085">
            <w:pPr>
              <w:spacing w:line="240" w:lineRule="exact"/>
              <w:contextualSpacing/>
              <w:jc w:val="both"/>
              <w:rPr>
                <w:rFonts w:eastAsia="Times New Roman"/>
                <w:sz w:val="24"/>
                <w:szCs w:val="24"/>
              </w:rPr>
            </w:pPr>
            <w:r w:rsidRPr="00070085">
              <w:rPr>
                <w:rFonts w:eastAsia="Times New Roman"/>
                <w:sz w:val="24"/>
                <w:szCs w:val="24"/>
              </w:rPr>
              <w:lastRenderedPageBreak/>
              <w:t>Previous study examines sustainability practices and stakeholder satisfaction; present study examines lean systems and stakeholder satisfaction, providing complementary evidence on factors affecting stakeholder outcomes in Nigerian oil and gas</w:t>
            </w:r>
          </w:p>
        </w:tc>
      </w:tr>
    </w:tbl>
    <w:p w14:paraId="35B09FF6" w14:textId="77777777" w:rsidR="00070085" w:rsidRPr="00070085" w:rsidRDefault="00070085" w:rsidP="00070085">
      <w:pPr>
        <w:spacing w:after="0" w:line="240" w:lineRule="auto"/>
        <w:rPr>
          <w:rFonts w:ascii="Calibri" w:eastAsia="SimSun" w:hAnsi="Calibri" w:cs="Times New Roman"/>
          <w:kern w:val="0"/>
          <w:sz w:val="22"/>
          <w:szCs w:val="22"/>
          <w14:ligatures w14:val="none"/>
        </w:rPr>
        <w:sectPr w:rsidR="00070085" w:rsidRPr="00070085" w:rsidSect="00070085">
          <w:pgSz w:w="16838" w:h="11906" w:orient="landscape"/>
          <w:pgMar w:top="1267" w:right="1440" w:bottom="1080" w:left="1440" w:header="720" w:footer="720" w:gutter="0"/>
          <w:cols w:space="0"/>
          <w:docGrid w:linePitch="360"/>
        </w:sectPr>
      </w:pPr>
    </w:p>
    <w:p w14:paraId="53F569DF" w14:textId="77777777" w:rsidR="00070085" w:rsidRPr="00070085" w:rsidRDefault="00070085" w:rsidP="00070085">
      <w:pPr>
        <w:spacing w:after="120" w:line="240" w:lineRule="exact"/>
        <w:contextualSpacing/>
        <w:jc w:val="both"/>
        <w:rPr>
          <w:rFonts w:ascii="Times New Roman" w:eastAsia="SimSun" w:hAnsi="Times New Roman" w:cs="Times New Roman"/>
          <w:bCs/>
          <w:color w:val="000000"/>
          <w:kern w:val="0"/>
          <w14:ligatures w14:val="none"/>
        </w:rPr>
      </w:pPr>
      <w:r w:rsidRPr="00070085">
        <w:rPr>
          <w:rFonts w:ascii="Times New Roman" w:eastAsia="Times New Roman" w:hAnsi="Times New Roman" w:cs="Times New Roman"/>
          <w:b/>
          <w:spacing w:val="-1"/>
          <w:kern w:val="0"/>
          <w:position w:val="-1"/>
          <w14:ligatures w14:val="none"/>
        </w:rPr>
        <w:lastRenderedPageBreak/>
        <w:t>3.0 M</w:t>
      </w:r>
      <w:r w:rsidRPr="00070085">
        <w:rPr>
          <w:rFonts w:ascii="Times New Roman" w:eastAsia="Times New Roman" w:hAnsi="Times New Roman" w:cs="Times New Roman"/>
          <w:b/>
          <w:kern w:val="0"/>
          <w:position w:val="-1"/>
          <w14:ligatures w14:val="none"/>
        </w:rPr>
        <w:t>ETH</w:t>
      </w:r>
      <w:r w:rsidRPr="00070085">
        <w:rPr>
          <w:rFonts w:ascii="Times New Roman" w:eastAsia="Times New Roman" w:hAnsi="Times New Roman" w:cs="Times New Roman"/>
          <w:b/>
          <w:spacing w:val="1"/>
          <w:kern w:val="0"/>
          <w:position w:val="-1"/>
          <w14:ligatures w14:val="none"/>
        </w:rPr>
        <w:t>O</w:t>
      </w:r>
      <w:r w:rsidRPr="00070085">
        <w:rPr>
          <w:rFonts w:ascii="Times New Roman" w:eastAsia="Times New Roman" w:hAnsi="Times New Roman" w:cs="Times New Roman"/>
          <w:b/>
          <w:kern w:val="0"/>
          <w:position w:val="-1"/>
          <w14:ligatures w14:val="none"/>
        </w:rPr>
        <w:t>DOLO</w:t>
      </w:r>
      <w:r w:rsidRPr="00070085">
        <w:rPr>
          <w:rFonts w:ascii="Times New Roman" w:eastAsia="Times New Roman" w:hAnsi="Times New Roman" w:cs="Times New Roman"/>
          <w:b/>
          <w:spacing w:val="-1"/>
          <w:kern w:val="0"/>
          <w:position w:val="-1"/>
          <w14:ligatures w14:val="none"/>
        </w:rPr>
        <w:t>G</w:t>
      </w:r>
      <w:r w:rsidRPr="00070085">
        <w:rPr>
          <w:rFonts w:ascii="Times New Roman" w:eastAsia="Times New Roman" w:hAnsi="Times New Roman" w:cs="Times New Roman"/>
          <w:b/>
          <w:kern w:val="0"/>
          <w:position w:val="-1"/>
          <w14:ligatures w14:val="none"/>
        </w:rPr>
        <w:t xml:space="preserve">Y: </w:t>
      </w:r>
      <w:r w:rsidRPr="00070085">
        <w:rPr>
          <w:rFonts w:ascii="Times New Roman" w:eastAsia="Times New Roman" w:hAnsi="Times New Roman" w:cs="Times New Roman"/>
          <w:bCs/>
          <w:kern w:val="0"/>
          <w:position w:val="-1"/>
          <w14:ligatures w14:val="none"/>
        </w:rPr>
        <w:t xml:space="preserve">The </w:t>
      </w:r>
      <w:r w:rsidRPr="00070085">
        <w:rPr>
          <w:rFonts w:ascii="Times New Roman" w:eastAsia="SimSun" w:hAnsi="Times New Roman" w:cs="Times New Roman"/>
          <w:color w:val="000000"/>
          <w:kern w:val="0"/>
          <w:lang w:eastAsia="zh-CN" w:bidi="ar"/>
          <w14:ligatures w14:val="none"/>
        </w:rPr>
        <w:t xml:space="preserve">cross-sectional survey research design was adopted for this study and </w:t>
      </w:r>
      <w:r w:rsidRPr="00070085">
        <w:rPr>
          <w:rFonts w:ascii="Times New Roman" w:eastAsia="Times New Roman" w:hAnsi="Times New Roman" w:cs="Times New Roman"/>
          <w:bCs/>
          <w:kern w:val="0"/>
          <w:position w:val="-1"/>
          <w14:ligatures w14:val="none"/>
        </w:rPr>
        <w:t>underlying philosophy was positivism</w:t>
      </w:r>
      <w:r w:rsidRPr="00070085">
        <w:rPr>
          <w:rFonts w:ascii="Times New Roman" w:eastAsia="SimSun" w:hAnsi="Times New Roman" w:cs="Times New Roman"/>
          <w:color w:val="000000"/>
          <w:kern w:val="0"/>
          <w:lang w:eastAsia="zh-CN" w:bidi="ar"/>
          <w14:ligatures w14:val="none"/>
        </w:rPr>
        <w:t xml:space="preserve">. </w:t>
      </w:r>
      <w:r w:rsidRPr="00070085">
        <w:rPr>
          <w:rFonts w:ascii="Times New Roman" w:eastAsia="Calibri" w:hAnsi="Times New Roman" w:cs="Times New Roman"/>
          <w:color w:val="000000"/>
          <w:kern w:val="0"/>
          <w14:ligatures w14:val="none"/>
        </w:rPr>
        <w:t xml:space="preserve">The population of this study comprised all the 85 midstream </w:t>
      </w:r>
      <w:r w:rsidRPr="00070085">
        <w:rPr>
          <w:rFonts w:ascii="Times New Roman" w:eastAsia="SimSun" w:hAnsi="Times New Roman" w:cs="Times New Roman"/>
          <w:color w:val="000000"/>
          <w:kern w:val="0"/>
          <w14:ligatures w14:val="none"/>
        </w:rPr>
        <w:t>oil and gas firms in Rivers State, Nigeria, registered with</w:t>
      </w:r>
      <w:r w:rsidRPr="00070085">
        <w:rPr>
          <w:rFonts w:ascii="Times New Roman" w:eastAsia="sans-serif" w:hAnsi="Times New Roman" w:cs="Times New Roman"/>
          <w:color w:val="000000"/>
          <w:spacing w:val="6"/>
          <w:kern w:val="0"/>
          <w:shd w:val="clear" w:color="auto" w:fill="FFFFFF"/>
          <w14:ligatures w14:val="none"/>
        </w:rPr>
        <w:t xml:space="preserve"> the </w:t>
      </w:r>
      <w:r w:rsidRPr="00070085">
        <w:rPr>
          <w:rFonts w:ascii="Times New Roman" w:eastAsia="Helvetica" w:hAnsi="Times New Roman" w:cs="Times New Roman"/>
          <w:color w:val="000000"/>
          <w:kern w:val="0"/>
          <w:shd w:val="clear" w:color="auto" w:fill="FFFFFF"/>
          <w14:ligatures w14:val="none"/>
        </w:rPr>
        <w:t>Nigerian Midstream and Downstream Petroleum Regulatory Authority</w:t>
      </w:r>
      <w:r w:rsidRPr="00070085">
        <w:rPr>
          <w:rFonts w:ascii="Times New Roman" w:eastAsia="sans-serif" w:hAnsi="Times New Roman" w:cs="Times New Roman"/>
          <w:color w:val="000000"/>
          <w:spacing w:val="6"/>
          <w:kern w:val="0"/>
          <w:shd w:val="clear" w:color="auto" w:fill="FFFFFF"/>
          <w14:ligatures w14:val="none"/>
        </w:rPr>
        <w:t xml:space="preserve"> (retrieved from https://www.nmdpra.gov.ng) (See appendix I for list and addresses of the o</w:t>
      </w:r>
      <w:r w:rsidRPr="00070085">
        <w:rPr>
          <w:rFonts w:ascii="Times New Roman" w:eastAsia="SimSun" w:hAnsi="Times New Roman" w:cs="Times New Roman"/>
          <w:color w:val="000000"/>
          <w:kern w:val="0"/>
          <w14:ligatures w14:val="none"/>
        </w:rPr>
        <w:t>il and gas servicing firms</w:t>
      </w:r>
      <w:r w:rsidRPr="00070085">
        <w:rPr>
          <w:rFonts w:ascii="Times New Roman" w:eastAsia="sans-serif" w:hAnsi="Times New Roman" w:cs="Times New Roman"/>
          <w:color w:val="000000"/>
          <w:spacing w:val="6"/>
          <w:kern w:val="0"/>
          <w:shd w:val="clear" w:color="auto" w:fill="FFFFFF"/>
          <w14:ligatures w14:val="none"/>
        </w:rPr>
        <w:t xml:space="preserve">). </w:t>
      </w:r>
      <w:r w:rsidRPr="00070085">
        <w:rPr>
          <w:rFonts w:ascii="Times New Roman" w:eastAsia="Helvetica" w:hAnsi="Times New Roman" w:cs="Times New Roman"/>
          <w:color w:val="000000"/>
          <w:kern w:val="0"/>
          <w:shd w:val="clear" w:color="auto" w:fill="FFFFFF"/>
          <w14:ligatures w14:val="none"/>
        </w:rPr>
        <w:t>T</w:t>
      </w:r>
      <w:r w:rsidRPr="00070085">
        <w:rPr>
          <w:rFonts w:ascii="Times New Roman" w:eastAsia="SimSun" w:hAnsi="Times New Roman" w:cs="Times New Roman"/>
          <w:color w:val="000000"/>
          <w:kern w:val="0"/>
          <w14:ligatures w14:val="none"/>
        </w:rPr>
        <w:t>he elements of the accessible population were 750</w:t>
      </w:r>
      <w:r w:rsidRPr="00070085">
        <w:rPr>
          <w:rFonts w:ascii="Times New Roman" w:eastAsia="SimSun" w:hAnsi="Times New Roman" w:cs="Times New Roman"/>
          <w:b/>
          <w:bCs/>
          <w:color w:val="000000"/>
          <w:kern w:val="0"/>
          <w14:ligatures w14:val="none"/>
        </w:rPr>
        <w:t xml:space="preserve"> </w:t>
      </w:r>
      <w:r w:rsidRPr="00070085">
        <w:rPr>
          <w:rFonts w:ascii="Times New Roman" w:eastAsia="sans-serif" w:hAnsi="Times New Roman" w:cs="Times New Roman"/>
          <w:color w:val="000000"/>
          <w:spacing w:val="6"/>
          <w:kern w:val="0"/>
          <w:shd w:val="clear" w:color="auto" w:fill="FFFFFF"/>
          <w14:ligatures w14:val="none"/>
        </w:rPr>
        <w:t>m</w:t>
      </w:r>
      <w:r w:rsidRPr="00070085">
        <w:rPr>
          <w:rFonts w:ascii="Times New Roman" w:eastAsia="SimSun" w:hAnsi="Times New Roman" w:cs="Times New Roman"/>
          <w:color w:val="000000"/>
          <w:kern w:val="0"/>
          <w14:ligatures w14:val="none"/>
        </w:rPr>
        <w:t xml:space="preserve">iddle and top-level managers of the registered midstream </w:t>
      </w:r>
      <w:r w:rsidRPr="00070085">
        <w:rPr>
          <w:rFonts w:ascii="Times New Roman" w:eastAsia="sans-serif" w:hAnsi="Times New Roman" w:cs="Times New Roman"/>
          <w:color w:val="000000"/>
          <w:spacing w:val="6"/>
          <w:kern w:val="0"/>
          <w:shd w:val="clear" w:color="auto" w:fill="FFFFFF"/>
          <w14:ligatures w14:val="none"/>
        </w:rPr>
        <w:t>o</w:t>
      </w:r>
      <w:r w:rsidRPr="00070085">
        <w:rPr>
          <w:rFonts w:ascii="Times New Roman" w:eastAsia="SimSun" w:hAnsi="Times New Roman" w:cs="Times New Roman"/>
          <w:color w:val="000000"/>
          <w:kern w:val="0"/>
          <w14:ligatures w14:val="none"/>
        </w:rPr>
        <w:t xml:space="preserve">il and gas firms. </w:t>
      </w:r>
      <w:r w:rsidRPr="00070085">
        <w:rPr>
          <w:rFonts w:ascii="Times New Roman" w:eastAsia="Times New Roman" w:hAnsi="Times New Roman" w:cs="Times New Roman"/>
          <w:color w:val="0D0F1A"/>
          <w:spacing w:val="5"/>
          <w:kern w:val="0"/>
          <w14:ligatures w14:val="none"/>
        </w:rPr>
        <w:t xml:space="preserve">A sample size of 254 respondents was determined using the </w:t>
      </w:r>
      <w:proofErr w:type="spellStart"/>
      <w:r w:rsidRPr="00070085">
        <w:rPr>
          <w:rFonts w:ascii="Times New Roman" w:eastAsia="Times New Roman" w:hAnsi="Times New Roman" w:cs="Times New Roman"/>
          <w:color w:val="0D0F1A"/>
          <w:spacing w:val="5"/>
          <w:kern w:val="0"/>
          <w14:ligatures w14:val="none"/>
        </w:rPr>
        <w:t>Krejcie</w:t>
      </w:r>
      <w:proofErr w:type="spellEnd"/>
      <w:r w:rsidRPr="00070085">
        <w:rPr>
          <w:rFonts w:ascii="Times New Roman" w:eastAsia="Times New Roman" w:hAnsi="Times New Roman" w:cs="Times New Roman"/>
          <w:color w:val="0D0F1A"/>
          <w:spacing w:val="5"/>
          <w:kern w:val="0"/>
          <w14:ligatures w14:val="none"/>
        </w:rPr>
        <w:t xml:space="preserve"> and Morgan’s sample size determination table, and the </w:t>
      </w:r>
      <w:r w:rsidRPr="00070085">
        <w:rPr>
          <w:rFonts w:ascii="Times New Roman" w:eastAsia="SimSun" w:hAnsi="Times New Roman" w:cs="Times New Roman"/>
          <w:kern w:val="0"/>
          <w14:ligatures w14:val="none"/>
        </w:rPr>
        <w:t xml:space="preserve">Bowley’s formula was used to allocate the sample size proportionally based on the number of </w:t>
      </w:r>
      <w:r w:rsidRPr="00070085">
        <w:rPr>
          <w:rFonts w:ascii="Times New Roman" w:eastAsia="sans-serif" w:hAnsi="Times New Roman" w:cs="Times New Roman"/>
          <w:color w:val="000000"/>
          <w:spacing w:val="6"/>
          <w:kern w:val="0"/>
          <w:shd w:val="clear" w:color="auto" w:fill="FFFFFF"/>
          <w14:ligatures w14:val="none"/>
        </w:rPr>
        <w:t>m</w:t>
      </w:r>
      <w:r w:rsidRPr="00070085">
        <w:rPr>
          <w:rFonts w:ascii="Times New Roman" w:eastAsia="SimSun" w:hAnsi="Times New Roman" w:cs="Times New Roman"/>
          <w:color w:val="000000"/>
          <w:kern w:val="0"/>
          <w14:ligatures w14:val="none"/>
        </w:rPr>
        <w:t>iddle and top-level managers</w:t>
      </w:r>
      <w:r w:rsidRPr="00070085">
        <w:rPr>
          <w:rFonts w:ascii="Times New Roman" w:eastAsia="SimSun" w:hAnsi="Times New Roman" w:cs="Times New Roman"/>
          <w:kern w:val="0"/>
          <w14:ligatures w14:val="none"/>
        </w:rPr>
        <w:t xml:space="preserve"> in each oil and gas firm. T</w:t>
      </w:r>
      <w:r w:rsidRPr="00070085">
        <w:rPr>
          <w:rFonts w:ascii="Times New Roman" w:eastAsia="Times New Roman" w:hAnsi="Times New Roman" w:cs="Times New Roman"/>
          <w:color w:val="0D0F1A"/>
          <w:spacing w:val="5"/>
          <w:kern w:val="0"/>
          <w14:ligatures w14:val="none"/>
        </w:rPr>
        <w:t xml:space="preserve">he </w:t>
      </w:r>
      <w:r w:rsidRPr="00070085">
        <w:rPr>
          <w:rFonts w:ascii="Times New Roman" w:eastAsia="SimSun" w:hAnsi="Times New Roman" w:cs="Times New Roman"/>
          <w:kern w:val="0"/>
          <w14:ligatures w14:val="none"/>
        </w:rPr>
        <w:t>simple</w:t>
      </w:r>
      <w:r w:rsidRPr="00070085">
        <w:rPr>
          <w:rFonts w:ascii="Times New Roman" w:eastAsia="Times New Roman" w:hAnsi="Times New Roman" w:cs="Times New Roman"/>
          <w:color w:val="0D0F1A"/>
          <w:spacing w:val="5"/>
          <w:kern w:val="0"/>
          <w14:ligatures w14:val="none"/>
        </w:rPr>
        <w:t xml:space="preserve"> random sampling was adopted with the aid of random numbers. The hypotheses were tested </w:t>
      </w:r>
      <w:r w:rsidRPr="00070085">
        <w:rPr>
          <w:rFonts w:ascii="Times New Roman" w:eastAsia="SimSun" w:hAnsi="Times New Roman" w:cs="Times New Roman"/>
          <w:kern w:val="0"/>
          <w14:ligatures w14:val="none"/>
        </w:rPr>
        <w:t xml:space="preserve">at 0.05 significance level by deploying the </w:t>
      </w:r>
      <w:r w:rsidRPr="00070085">
        <w:rPr>
          <w:rFonts w:ascii="Times New Roman" w:eastAsia="Times New Roman" w:hAnsi="Times New Roman" w:cs="Times New Roman"/>
          <w:color w:val="0D0F1A"/>
          <w:spacing w:val="5"/>
          <w:kern w:val="0"/>
          <w14:ligatures w14:val="none"/>
        </w:rPr>
        <w:t>P</w:t>
      </w:r>
      <w:r w:rsidRPr="00070085">
        <w:rPr>
          <w:rFonts w:ascii="Times New Roman" w:eastAsia="SimSun" w:hAnsi="Times New Roman" w:cs="Times New Roman"/>
          <w:kern w:val="0"/>
          <w14:ligatures w14:val="none"/>
        </w:rPr>
        <w:t xml:space="preserve">artial least squares-structural equation modeling </w:t>
      </w:r>
      <w:r w:rsidRPr="00070085">
        <w:rPr>
          <w:rFonts w:ascii="Times New Roman" w:eastAsia="SimSun" w:hAnsi="Times New Roman" w:cs="Times New Roman"/>
          <w:bCs/>
          <w:color w:val="000000"/>
          <w:kern w:val="0"/>
          <w:lang w:bidi="ar"/>
          <w14:ligatures w14:val="none"/>
        </w:rPr>
        <w:t xml:space="preserve">via </w:t>
      </w:r>
      <w:proofErr w:type="spellStart"/>
      <w:r w:rsidRPr="00070085">
        <w:rPr>
          <w:rFonts w:ascii="Times New Roman" w:eastAsia="SimSun" w:hAnsi="Times New Roman" w:cs="Times New Roman"/>
          <w:bCs/>
          <w:color w:val="000000"/>
          <w:kern w:val="0"/>
          <w:lang w:bidi="ar"/>
          <w14:ligatures w14:val="none"/>
        </w:rPr>
        <w:t>SmartPLS</w:t>
      </w:r>
      <w:proofErr w:type="spellEnd"/>
      <w:r w:rsidRPr="00070085">
        <w:rPr>
          <w:rFonts w:ascii="Times New Roman" w:eastAsia="SimSun" w:hAnsi="Times New Roman" w:cs="Times New Roman"/>
          <w:bCs/>
          <w:color w:val="000000"/>
          <w:kern w:val="0"/>
          <w:lang w:bidi="ar"/>
          <w14:ligatures w14:val="none"/>
        </w:rPr>
        <w:t xml:space="preserve"> 4.1.1.0</w:t>
      </w:r>
      <w:r w:rsidRPr="00070085">
        <w:rPr>
          <w:rFonts w:ascii="Times New Roman" w:eastAsia="SimSun" w:hAnsi="Times New Roman" w:cs="Times New Roman"/>
          <w:kern w:val="0"/>
          <w14:ligatures w14:val="none"/>
        </w:rPr>
        <w:t>.</w:t>
      </w:r>
      <w:r w:rsidRPr="00070085">
        <w:rPr>
          <w:rFonts w:ascii="Times New Roman" w:eastAsia="Times New Roman" w:hAnsi="Times New Roman" w:cs="Times New Roman"/>
          <w:color w:val="0D0F1A"/>
          <w:spacing w:val="5"/>
          <w:kern w:val="0"/>
          <w14:ligatures w14:val="none"/>
        </w:rPr>
        <w:t xml:space="preserve"> Moreso, 254</w:t>
      </w:r>
      <w:r w:rsidRPr="00070085">
        <w:rPr>
          <w:rFonts w:ascii="Times New Roman" w:eastAsia="SimSun" w:hAnsi="Times New Roman" w:cs="Times New Roman"/>
          <w:kern w:val="0"/>
          <w:lang w:eastAsia="zh-CN" w:bidi="ar"/>
          <w14:ligatures w14:val="none"/>
        </w:rPr>
        <w:t xml:space="preserve"> copies of the questionnaire were distributed, but only 234 were retrieved, indicating </w:t>
      </w:r>
      <w:r w:rsidRPr="00070085">
        <w:rPr>
          <w:rFonts w:ascii="Times New Roman" w:eastAsia="SimSun" w:hAnsi="Times New Roman" w:cs="Times New Roman"/>
          <w:kern w:val="0"/>
          <w14:ligatures w14:val="none"/>
        </w:rPr>
        <w:t>a retrieval rate of 92.13%</w:t>
      </w:r>
      <w:r w:rsidRPr="00070085">
        <w:rPr>
          <w:rFonts w:ascii="Times New Roman" w:eastAsia="SimSun" w:hAnsi="Times New Roman" w:cs="Times New Roman"/>
          <w:kern w:val="0"/>
          <w:lang w:eastAsia="zh-CN" w:bidi="ar"/>
          <w14:ligatures w14:val="none"/>
        </w:rPr>
        <w:t xml:space="preserve">. Overall, 224 copies (88.19%) were found to be adequately completed and usable. </w:t>
      </w:r>
      <w:r w:rsidRPr="00070085">
        <w:rPr>
          <w:rFonts w:ascii="Times New Roman" w:eastAsia="SimSun" w:hAnsi="Times New Roman" w:cs="Times New Roman"/>
          <w:kern w:val="0"/>
          <w:lang w:eastAsia="zh-CN"/>
          <w14:ligatures w14:val="none"/>
        </w:rPr>
        <w:t xml:space="preserve">The study adopted the </w:t>
      </w:r>
      <w:proofErr w:type="gramStart"/>
      <w:r w:rsidRPr="00070085">
        <w:rPr>
          <w:rFonts w:ascii="Times New Roman" w:eastAsia="Times New Roman" w:hAnsi="Times New Roman" w:cs="Times New Roman"/>
          <w:kern w:val="0"/>
          <w14:ligatures w14:val="none"/>
        </w:rPr>
        <w:t>Cronb</w:t>
      </w:r>
      <w:r w:rsidRPr="00070085">
        <w:rPr>
          <w:rFonts w:ascii="Times New Roman" w:eastAsia="Times New Roman" w:hAnsi="Times New Roman" w:cs="Times New Roman"/>
          <w:spacing w:val="-2"/>
          <w:kern w:val="0"/>
          <w14:ligatures w14:val="none"/>
        </w:rPr>
        <w:t>a</w:t>
      </w:r>
      <w:r w:rsidRPr="00070085">
        <w:rPr>
          <w:rFonts w:ascii="Times New Roman" w:eastAsia="Times New Roman" w:hAnsi="Times New Roman" w:cs="Times New Roman"/>
          <w:spacing w:val="-1"/>
          <w:kern w:val="0"/>
          <w14:ligatures w14:val="none"/>
        </w:rPr>
        <w:t>c</w:t>
      </w:r>
      <w:r w:rsidRPr="00070085">
        <w:rPr>
          <w:rFonts w:ascii="Times New Roman" w:eastAsia="Times New Roman" w:hAnsi="Times New Roman" w:cs="Times New Roman"/>
          <w:kern w:val="0"/>
          <w14:ligatures w14:val="none"/>
        </w:rPr>
        <w:t>h</w:t>
      </w:r>
      <w:r w:rsidRPr="00070085">
        <w:rPr>
          <w:rFonts w:ascii="Times New Roman" w:eastAsia="Times New Roman" w:hAnsi="Times New Roman" w:cs="Times New Roman"/>
          <w:spacing w:val="-1"/>
          <w:kern w:val="0"/>
          <w14:ligatures w14:val="none"/>
        </w:rPr>
        <w:t>‘</w:t>
      </w:r>
      <w:proofErr w:type="gramEnd"/>
      <w:r w:rsidRPr="00070085">
        <w:rPr>
          <w:rFonts w:ascii="Times New Roman" w:eastAsia="Times New Roman" w:hAnsi="Times New Roman" w:cs="Times New Roman"/>
          <w:kern w:val="0"/>
          <w14:ligatures w14:val="none"/>
        </w:rPr>
        <w:t>s</w:t>
      </w:r>
      <w:r w:rsidRPr="00070085">
        <w:rPr>
          <w:rFonts w:ascii="Times New Roman" w:eastAsia="Times New Roman" w:hAnsi="Times New Roman" w:cs="Times New Roman"/>
          <w:spacing w:val="26"/>
          <w:kern w:val="0"/>
          <w14:ligatures w14:val="none"/>
        </w:rPr>
        <w:t xml:space="preserve"> </w:t>
      </w:r>
      <w:r w:rsidRPr="00070085">
        <w:rPr>
          <w:rFonts w:ascii="Times New Roman" w:eastAsia="Times New Roman" w:hAnsi="Times New Roman" w:cs="Times New Roman"/>
          <w:kern w:val="0"/>
          <w14:ligatures w14:val="none"/>
        </w:rPr>
        <w:t>Alpha</w:t>
      </w:r>
      <w:r w:rsidRPr="00070085">
        <w:rPr>
          <w:rFonts w:ascii="Times New Roman" w:eastAsia="Times New Roman" w:hAnsi="Times New Roman" w:cs="Times New Roman"/>
          <w:spacing w:val="25"/>
          <w:kern w:val="0"/>
          <w14:ligatures w14:val="none"/>
        </w:rPr>
        <w:t xml:space="preserve"> and composite reliability </w:t>
      </w:r>
      <w:r w:rsidRPr="00070085">
        <w:rPr>
          <w:rFonts w:ascii="Times New Roman" w:eastAsia="Times New Roman" w:hAnsi="Times New Roman" w:cs="Times New Roman"/>
          <w:kern w:val="0"/>
          <w14:ligatures w14:val="none"/>
        </w:rPr>
        <w:t>coefficients</w:t>
      </w:r>
      <w:r w:rsidRPr="00070085">
        <w:rPr>
          <w:rFonts w:ascii="Times New Roman" w:eastAsia="Times New Roman" w:hAnsi="Times New Roman" w:cs="Times New Roman"/>
          <w:spacing w:val="26"/>
          <w:kern w:val="0"/>
          <w14:ligatures w14:val="none"/>
        </w:rPr>
        <w:t xml:space="preserve"> </w:t>
      </w:r>
      <w:r w:rsidRPr="00070085">
        <w:rPr>
          <w:rFonts w:ascii="Times New Roman" w:eastAsia="Times New Roman" w:hAnsi="Times New Roman" w:cs="Times New Roman"/>
          <w:kern w:val="0"/>
          <w14:ligatures w14:val="none"/>
        </w:rPr>
        <w:t>of</w:t>
      </w:r>
      <w:r w:rsidRPr="00070085">
        <w:rPr>
          <w:rFonts w:ascii="Times New Roman" w:eastAsia="Times New Roman" w:hAnsi="Times New Roman" w:cs="Times New Roman"/>
          <w:spacing w:val="25"/>
          <w:kern w:val="0"/>
          <w14:ligatures w14:val="none"/>
        </w:rPr>
        <w:t xml:space="preserve"> </w:t>
      </w:r>
      <w:r w:rsidRPr="00070085">
        <w:rPr>
          <w:rFonts w:ascii="Times New Roman" w:eastAsia="Times New Roman" w:hAnsi="Times New Roman" w:cs="Times New Roman"/>
          <w:kern w:val="0"/>
          <w14:ligatures w14:val="none"/>
        </w:rPr>
        <w:t xml:space="preserve">0.7, </w:t>
      </w:r>
      <w:r w:rsidRPr="00070085">
        <w:rPr>
          <w:rFonts w:ascii="Times New Roman" w:eastAsia="SimSun" w:hAnsi="Times New Roman" w:cs="Times New Roman"/>
          <w:color w:val="000000"/>
          <w:kern w:val="0"/>
          <w14:ligatures w14:val="none"/>
        </w:rPr>
        <w:t>outer loadings (</w:t>
      </w:r>
      <w:r w:rsidRPr="00070085">
        <w:rPr>
          <w:rFonts w:ascii="Times New Roman" w:eastAsia="Calibri" w:hAnsi="Times New Roman" w:cs="Times New Roman"/>
          <w:b/>
          <w:bCs/>
          <w:kern w:val="0"/>
          <w14:ligatures w14:val="none"/>
        </w:rPr>
        <w:t xml:space="preserve">β) </w:t>
      </w:r>
      <w:r w:rsidRPr="00070085">
        <w:rPr>
          <w:rFonts w:ascii="Times New Roman" w:eastAsia="SimSun" w:hAnsi="Times New Roman" w:cs="Times New Roman"/>
          <w:color w:val="000000"/>
          <w:kern w:val="0"/>
          <w14:ligatures w14:val="none"/>
        </w:rPr>
        <w:t xml:space="preserve">values of 0.70 and indicator reliability </w:t>
      </w:r>
      <w:proofErr w:type="gramStart"/>
      <w:r w:rsidRPr="00070085">
        <w:rPr>
          <w:rFonts w:ascii="Times New Roman" w:eastAsia="SimSun" w:hAnsi="Times New Roman" w:cs="Times New Roman"/>
          <w:i/>
          <w:color w:val="000000"/>
          <w:kern w:val="0"/>
          <w14:ligatures w14:val="none"/>
        </w:rPr>
        <w:t xml:space="preserve">( </w:t>
      </w:r>
      <w:r w:rsidRPr="00070085">
        <w:rPr>
          <w:rFonts w:ascii="Times New Roman" w:eastAsia="Calibri" w:hAnsi="Times New Roman" w:cs="Times New Roman"/>
          <w:b/>
          <w:bCs/>
          <w:kern w:val="0"/>
          <w14:ligatures w14:val="none"/>
        </w:rPr>
        <w:t>β</w:t>
      </w:r>
      <w:r w:rsidRPr="00070085">
        <w:rPr>
          <w:rFonts w:ascii="Times New Roman" w:eastAsia="Calibri" w:hAnsi="Times New Roman" w:cs="Times New Roman"/>
          <w:color w:val="000000"/>
          <w:kern w:val="0"/>
          <w:vertAlign w:val="superscript"/>
          <w14:ligatures w14:val="none"/>
        </w:rPr>
        <w:t>2</w:t>
      </w:r>
      <w:r w:rsidRPr="00070085">
        <w:rPr>
          <w:rFonts w:ascii="Times New Roman" w:eastAsia="SimSun" w:hAnsi="Times New Roman" w:cs="Times New Roman"/>
          <w:color w:val="000000"/>
          <w:kern w:val="0"/>
          <w:vertAlign w:val="superscript"/>
          <w14:ligatures w14:val="none"/>
        </w:rPr>
        <w:t xml:space="preserve"> </w:t>
      </w:r>
      <w:r w:rsidRPr="00070085">
        <w:rPr>
          <w:rFonts w:ascii="Times New Roman" w:eastAsia="SimSun" w:hAnsi="Times New Roman" w:cs="Times New Roman"/>
          <w:color w:val="000000"/>
          <w:kern w:val="0"/>
          <w14:ligatures w14:val="none"/>
        </w:rPr>
        <w:t>)</w:t>
      </w:r>
      <w:proofErr w:type="gramEnd"/>
      <w:r w:rsidRPr="00070085">
        <w:rPr>
          <w:rFonts w:ascii="Times New Roman" w:eastAsia="SimSun" w:hAnsi="Times New Roman" w:cs="Times New Roman"/>
          <w:color w:val="000000"/>
          <w:kern w:val="0"/>
          <w14:ligatures w14:val="none"/>
        </w:rPr>
        <w:t xml:space="preserve"> values ≥ 0.50 </w:t>
      </w:r>
      <w:r w:rsidRPr="00070085">
        <w:rPr>
          <w:rFonts w:ascii="Times New Roman" w:eastAsia="Times New Roman" w:hAnsi="Times New Roman" w:cs="Times New Roman"/>
          <w:spacing w:val="7"/>
          <w:kern w:val="0"/>
          <w14:ligatures w14:val="none"/>
        </w:rPr>
        <w:t>as</w:t>
      </w:r>
      <w:r w:rsidRPr="00070085">
        <w:rPr>
          <w:rFonts w:ascii="Times New Roman" w:eastAsia="Times New Roman" w:hAnsi="Times New Roman" w:cs="Times New Roman"/>
          <w:kern w:val="0"/>
          <w14:ligatures w14:val="none"/>
        </w:rPr>
        <w:t xml:space="preserve"> benchmarks (</w:t>
      </w:r>
      <w:r w:rsidRPr="00070085">
        <w:rPr>
          <w:rFonts w:ascii="Times New Roman" w:eastAsia="SimSun" w:hAnsi="Times New Roman" w:cs="Times New Roman"/>
          <w:color w:val="000000"/>
          <w:kern w:val="0"/>
          <w14:ligatures w14:val="none"/>
        </w:rPr>
        <w:t xml:space="preserve">Hulland, 1999). </w:t>
      </w:r>
      <w:r w:rsidRPr="00070085">
        <w:rPr>
          <w:rFonts w:ascii="Times New Roman" w:eastAsia="Times New Roman" w:hAnsi="Times New Roman" w:cs="Times New Roman"/>
          <w:spacing w:val="-2"/>
          <w:kern w:val="0"/>
          <w14:ligatures w14:val="none"/>
        </w:rPr>
        <w:t>F</w:t>
      </w:r>
      <w:r w:rsidRPr="00070085">
        <w:rPr>
          <w:rFonts w:ascii="Times New Roman" w:eastAsia="Times New Roman" w:hAnsi="Times New Roman" w:cs="Times New Roman"/>
          <w:kern w:val="0"/>
          <w14:ligatures w14:val="none"/>
        </w:rPr>
        <w:t>o</w:t>
      </w:r>
      <w:r w:rsidRPr="00070085">
        <w:rPr>
          <w:rFonts w:ascii="Times New Roman" w:eastAsia="Times New Roman" w:hAnsi="Times New Roman" w:cs="Times New Roman"/>
          <w:spacing w:val="1"/>
          <w:kern w:val="0"/>
          <w14:ligatures w14:val="none"/>
        </w:rPr>
        <w:t>r</w:t>
      </w:r>
      <w:r w:rsidRPr="00070085">
        <w:rPr>
          <w:rFonts w:ascii="Times New Roman" w:eastAsia="Times New Roman" w:hAnsi="Times New Roman" w:cs="Times New Roman"/>
          <w:kern w:val="0"/>
          <w14:ligatures w14:val="none"/>
        </w:rPr>
        <w:t>n</w:t>
      </w:r>
      <w:r w:rsidRPr="00070085">
        <w:rPr>
          <w:rFonts w:ascii="Times New Roman" w:eastAsia="Times New Roman" w:hAnsi="Times New Roman" w:cs="Times New Roman"/>
          <w:spacing w:val="-1"/>
          <w:kern w:val="0"/>
          <w14:ligatures w14:val="none"/>
        </w:rPr>
        <w:t>e</w:t>
      </w:r>
      <w:r w:rsidRPr="00070085">
        <w:rPr>
          <w:rFonts w:ascii="Times New Roman" w:eastAsia="Times New Roman" w:hAnsi="Times New Roman" w:cs="Times New Roman"/>
          <w:kern w:val="0"/>
          <w14:ligatures w14:val="none"/>
        </w:rPr>
        <w:t>ll</w:t>
      </w:r>
      <w:r w:rsidRPr="00070085">
        <w:rPr>
          <w:rFonts w:ascii="Times New Roman" w:eastAsia="Times New Roman" w:hAnsi="Times New Roman" w:cs="Times New Roman"/>
          <w:spacing w:val="8"/>
          <w:kern w:val="0"/>
          <w14:ligatures w14:val="none"/>
        </w:rPr>
        <w:t xml:space="preserve"> and</w:t>
      </w:r>
      <w:r w:rsidRPr="00070085">
        <w:rPr>
          <w:rFonts w:ascii="Times New Roman" w:eastAsia="Times New Roman" w:hAnsi="Times New Roman" w:cs="Times New Roman"/>
          <w:kern w:val="0"/>
          <w14:ligatures w14:val="none"/>
        </w:rPr>
        <w:t xml:space="preserve"> </w:t>
      </w:r>
      <w:r w:rsidRPr="00070085">
        <w:rPr>
          <w:rFonts w:ascii="Times New Roman" w:eastAsia="Times New Roman" w:hAnsi="Times New Roman" w:cs="Times New Roman"/>
          <w:spacing w:val="-3"/>
          <w:kern w:val="0"/>
          <w14:ligatures w14:val="none"/>
        </w:rPr>
        <w:t>L</w:t>
      </w:r>
      <w:r w:rsidRPr="00070085">
        <w:rPr>
          <w:rFonts w:ascii="Times New Roman" w:eastAsia="Times New Roman" w:hAnsi="Times New Roman" w:cs="Times New Roman"/>
          <w:spacing w:val="1"/>
          <w:kern w:val="0"/>
          <w14:ligatures w14:val="none"/>
        </w:rPr>
        <w:t>a</w:t>
      </w:r>
      <w:r w:rsidRPr="00070085">
        <w:rPr>
          <w:rFonts w:ascii="Times New Roman" w:eastAsia="Times New Roman" w:hAnsi="Times New Roman" w:cs="Times New Roman"/>
          <w:kern w:val="0"/>
          <w14:ligatures w14:val="none"/>
        </w:rPr>
        <w:t>r</w:t>
      </w:r>
      <w:r w:rsidRPr="00070085">
        <w:rPr>
          <w:rFonts w:ascii="Times New Roman" w:eastAsia="Times New Roman" w:hAnsi="Times New Roman" w:cs="Times New Roman"/>
          <w:spacing w:val="-2"/>
          <w:kern w:val="0"/>
          <w14:ligatures w14:val="none"/>
        </w:rPr>
        <w:t>c</w:t>
      </w:r>
      <w:r w:rsidRPr="00070085">
        <w:rPr>
          <w:rFonts w:ascii="Times New Roman" w:eastAsia="Times New Roman" w:hAnsi="Times New Roman" w:cs="Times New Roman"/>
          <w:spacing w:val="2"/>
          <w:kern w:val="0"/>
          <w14:ligatures w14:val="none"/>
        </w:rPr>
        <w:t>k</w:t>
      </w:r>
      <w:r w:rsidRPr="00070085">
        <w:rPr>
          <w:rFonts w:ascii="Times New Roman" w:eastAsia="Times New Roman" w:hAnsi="Times New Roman" w:cs="Times New Roman"/>
          <w:spacing w:val="-1"/>
          <w:kern w:val="0"/>
          <w14:ligatures w14:val="none"/>
        </w:rPr>
        <w:t>e</w:t>
      </w:r>
      <w:r w:rsidRPr="00070085">
        <w:rPr>
          <w:rFonts w:ascii="Times New Roman" w:eastAsia="Times New Roman" w:hAnsi="Times New Roman" w:cs="Times New Roman"/>
          <w:kern w:val="0"/>
          <w14:ligatures w14:val="none"/>
        </w:rPr>
        <w:t>r</w:t>
      </w:r>
      <w:r w:rsidRPr="00070085">
        <w:rPr>
          <w:rFonts w:ascii="Times New Roman" w:eastAsia="Times New Roman" w:hAnsi="Times New Roman" w:cs="Times New Roman"/>
          <w:spacing w:val="1"/>
          <w:kern w:val="0"/>
          <w14:ligatures w14:val="none"/>
        </w:rPr>
        <w:t xml:space="preserve"> (</w:t>
      </w:r>
      <w:r w:rsidRPr="00070085">
        <w:rPr>
          <w:rFonts w:ascii="Times New Roman" w:eastAsia="Times New Roman" w:hAnsi="Times New Roman" w:cs="Times New Roman"/>
          <w:kern w:val="0"/>
          <w14:ligatures w14:val="none"/>
        </w:rPr>
        <w:t>1981) recommended an average variance extracted (A</w:t>
      </w:r>
      <w:r w:rsidRPr="00070085">
        <w:rPr>
          <w:rFonts w:ascii="Times New Roman" w:eastAsia="Times New Roman" w:hAnsi="Times New Roman" w:cs="Times New Roman"/>
          <w:spacing w:val="-1"/>
          <w:kern w:val="0"/>
          <w14:ligatures w14:val="none"/>
        </w:rPr>
        <w:t>V</w:t>
      </w:r>
      <w:r w:rsidRPr="00070085">
        <w:rPr>
          <w:rFonts w:ascii="Times New Roman" w:eastAsia="Times New Roman" w:hAnsi="Times New Roman" w:cs="Times New Roman"/>
          <w:kern w:val="0"/>
          <w14:ligatures w14:val="none"/>
        </w:rPr>
        <w:t>E)</w:t>
      </w:r>
      <w:r w:rsidRPr="00070085">
        <w:rPr>
          <w:rFonts w:ascii="Times New Roman" w:eastAsia="Times New Roman" w:hAnsi="Times New Roman" w:cs="Times New Roman"/>
          <w:spacing w:val="6"/>
          <w:kern w:val="0"/>
          <w14:ligatures w14:val="none"/>
        </w:rPr>
        <w:t xml:space="preserve"> </w:t>
      </w:r>
      <w:r w:rsidRPr="00070085">
        <w:rPr>
          <w:rFonts w:ascii="Times New Roman" w:eastAsia="Times New Roman" w:hAnsi="Times New Roman" w:cs="Times New Roman"/>
          <w:kern w:val="0"/>
          <w14:ligatures w14:val="none"/>
        </w:rPr>
        <w:t>of</w:t>
      </w:r>
      <w:r w:rsidRPr="00070085">
        <w:rPr>
          <w:rFonts w:ascii="Times New Roman" w:eastAsia="Times New Roman" w:hAnsi="Times New Roman" w:cs="Times New Roman"/>
          <w:spacing w:val="4"/>
          <w:kern w:val="0"/>
          <w14:ligatures w14:val="none"/>
        </w:rPr>
        <w:t xml:space="preserve"> </w:t>
      </w:r>
      <w:r w:rsidRPr="00070085">
        <w:rPr>
          <w:rFonts w:ascii="Times New Roman" w:eastAsia="Times New Roman" w:hAnsi="Times New Roman" w:cs="Times New Roman"/>
          <w:kern w:val="0"/>
          <w14:ligatures w14:val="none"/>
        </w:rPr>
        <w:t>0.5</w:t>
      </w:r>
      <w:r w:rsidRPr="00070085">
        <w:rPr>
          <w:rFonts w:ascii="Times New Roman" w:eastAsia="Times New Roman" w:hAnsi="Times New Roman" w:cs="Times New Roman"/>
          <w:spacing w:val="7"/>
          <w:kern w:val="0"/>
          <w14:ligatures w14:val="none"/>
        </w:rPr>
        <w:t xml:space="preserve"> </w:t>
      </w:r>
      <w:r w:rsidRPr="00070085">
        <w:rPr>
          <w:rFonts w:ascii="Times New Roman" w:eastAsia="Times New Roman" w:hAnsi="Times New Roman" w:cs="Times New Roman"/>
          <w:spacing w:val="-1"/>
          <w:kern w:val="0"/>
          <w14:ligatures w14:val="none"/>
        </w:rPr>
        <w:t>a</w:t>
      </w:r>
      <w:r w:rsidRPr="00070085">
        <w:rPr>
          <w:rFonts w:ascii="Times New Roman" w:eastAsia="Times New Roman" w:hAnsi="Times New Roman" w:cs="Times New Roman"/>
          <w:kern w:val="0"/>
          <w14:ligatures w14:val="none"/>
        </w:rPr>
        <w:t>nd</w:t>
      </w:r>
      <w:r w:rsidRPr="00070085">
        <w:rPr>
          <w:rFonts w:ascii="Times New Roman" w:eastAsia="Times New Roman" w:hAnsi="Times New Roman" w:cs="Times New Roman"/>
          <w:spacing w:val="7"/>
          <w:kern w:val="0"/>
          <w14:ligatures w14:val="none"/>
        </w:rPr>
        <w:t xml:space="preserve"> </w:t>
      </w:r>
      <w:r w:rsidRPr="00070085">
        <w:rPr>
          <w:rFonts w:ascii="Times New Roman" w:eastAsia="Times New Roman" w:hAnsi="Times New Roman" w:cs="Times New Roman"/>
          <w:spacing w:val="-1"/>
          <w:kern w:val="0"/>
          <w14:ligatures w14:val="none"/>
        </w:rPr>
        <w:t>a</w:t>
      </w:r>
      <w:r w:rsidRPr="00070085">
        <w:rPr>
          <w:rFonts w:ascii="Times New Roman" w:eastAsia="Times New Roman" w:hAnsi="Times New Roman" w:cs="Times New Roman"/>
          <w:kern w:val="0"/>
          <w14:ligatures w14:val="none"/>
        </w:rPr>
        <w:t>b</w:t>
      </w:r>
      <w:r w:rsidRPr="00070085">
        <w:rPr>
          <w:rFonts w:ascii="Times New Roman" w:eastAsia="Times New Roman" w:hAnsi="Times New Roman" w:cs="Times New Roman"/>
          <w:spacing w:val="2"/>
          <w:kern w:val="0"/>
          <w14:ligatures w14:val="none"/>
        </w:rPr>
        <w:t>o</w:t>
      </w:r>
      <w:r w:rsidRPr="00070085">
        <w:rPr>
          <w:rFonts w:ascii="Times New Roman" w:eastAsia="Times New Roman" w:hAnsi="Times New Roman" w:cs="Times New Roman"/>
          <w:kern w:val="0"/>
          <w14:ligatures w14:val="none"/>
        </w:rPr>
        <w:t>ve</w:t>
      </w:r>
      <w:r w:rsidRPr="00070085">
        <w:rPr>
          <w:rFonts w:ascii="Times New Roman" w:eastAsia="Times New Roman" w:hAnsi="Times New Roman" w:cs="Times New Roman"/>
          <w:spacing w:val="4"/>
          <w:kern w:val="0"/>
          <w14:ligatures w14:val="none"/>
        </w:rPr>
        <w:t xml:space="preserve"> </w:t>
      </w:r>
      <w:r w:rsidRPr="00070085">
        <w:rPr>
          <w:rFonts w:ascii="Times New Roman" w:eastAsia="Times New Roman" w:hAnsi="Times New Roman" w:cs="Times New Roman"/>
          <w:kern w:val="0"/>
          <w14:ligatures w14:val="none"/>
        </w:rPr>
        <w:t>as indication of</w:t>
      </w:r>
      <w:r w:rsidRPr="00070085">
        <w:rPr>
          <w:rFonts w:ascii="Times New Roman" w:eastAsia="Times New Roman" w:hAnsi="Times New Roman" w:cs="Times New Roman"/>
          <w:spacing w:val="6"/>
          <w:kern w:val="0"/>
          <w14:ligatures w14:val="none"/>
        </w:rPr>
        <w:t xml:space="preserve"> </w:t>
      </w:r>
      <w:r w:rsidRPr="00070085">
        <w:rPr>
          <w:rFonts w:ascii="Times New Roman" w:eastAsia="Times New Roman" w:hAnsi="Times New Roman" w:cs="Times New Roman"/>
          <w:kern w:val="0"/>
          <w14:ligatures w14:val="none"/>
        </w:rPr>
        <w:t>suf</w:t>
      </w:r>
      <w:r w:rsidRPr="00070085">
        <w:rPr>
          <w:rFonts w:ascii="Times New Roman" w:eastAsia="Times New Roman" w:hAnsi="Times New Roman" w:cs="Times New Roman"/>
          <w:spacing w:val="-1"/>
          <w:kern w:val="0"/>
          <w14:ligatures w14:val="none"/>
        </w:rPr>
        <w:t>f</w:t>
      </w:r>
      <w:r w:rsidRPr="00070085">
        <w:rPr>
          <w:rFonts w:ascii="Times New Roman" w:eastAsia="Times New Roman" w:hAnsi="Times New Roman" w:cs="Times New Roman"/>
          <w:kern w:val="0"/>
          <w14:ligatures w14:val="none"/>
        </w:rPr>
        <w:t>ic</w:t>
      </w:r>
      <w:r w:rsidRPr="00070085">
        <w:rPr>
          <w:rFonts w:ascii="Times New Roman" w:eastAsia="Times New Roman" w:hAnsi="Times New Roman" w:cs="Times New Roman"/>
          <w:spacing w:val="2"/>
          <w:kern w:val="0"/>
          <w14:ligatures w14:val="none"/>
        </w:rPr>
        <w:t>i</w:t>
      </w:r>
      <w:r w:rsidRPr="00070085">
        <w:rPr>
          <w:rFonts w:ascii="Times New Roman" w:eastAsia="Times New Roman" w:hAnsi="Times New Roman" w:cs="Times New Roman"/>
          <w:spacing w:val="-1"/>
          <w:kern w:val="0"/>
          <w14:ligatures w14:val="none"/>
        </w:rPr>
        <w:t>e</w:t>
      </w:r>
      <w:r w:rsidRPr="00070085">
        <w:rPr>
          <w:rFonts w:ascii="Times New Roman" w:eastAsia="Times New Roman" w:hAnsi="Times New Roman" w:cs="Times New Roman"/>
          <w:kern w:val="0"/>
          <w14:ligatures w14:val="none"/>
        </w:rPr>
        <w:t>nt</w:t>
      </w:r>
      <w:r w:rsidRPr="00070085">
        <w:rPr>
          <w:rFonts w:ascii="Times New Roman" w:eastAsia="Times New Roman" w:hAnsi="Times New Roman" w:cs="Times New Roman"/>
          <w:spacing w:val="6"/>
          <w:kern w:val="0"/>
          <w14:ligatures w14:val="none"/>
        </w:rPr>
        <w:t xml:space="preserve"> </w:t>
      </w:r>
      <w:r w:rsidRPr="00070085">
        <w:rPr>
          <w:rFonts w:ascii="Times New Roman" w:eastAsia="Times New Roman" w:hAnsi="Times New Roman" w:cs="Times New Roman"/>
          <w:spacing w:val="-1"/>
          <w:kern w:val="0"/>
          <w14:ligatures w14:val="none"/>
        </w:rPr>
        <w:t>c</w:t>
      </w:r>
      <w:r w:rsidRPr="00070085">
        <w:rPr>
          <w:rFonts w:ascii="Times New Roman" w:eastAsia="Times New Roman" w:hAnsi="Times New Roman" w:cs="Times New Roman"/>
          <w:kern w:val="0"/>
          <w14:ligatures w14:val="none"/>
        </w:rPr>
        <w:t>onv</w:t>
      </w:r>
      <w:r w:rsidRPr="00070085">
        <w:rPr>
          <w:rFonts w:ascii="Times New Roman" w:eastAsia="Times New Roman" w:hAnsi="Times New Roman" w:cs="Times New Roman"/>
          <w:spacing w:val="1"/>
          <w:kern w:val="0"/>
          <w14:ligatures w14:val="none"/>
        </w:rPr>
        <w:t>er</w:t>
      </w:r>
      <w:r w:rsidRPr="00070085">
        <w:rPr>
          <w:rFonts w:ascii="Times New Roman" w:eastAsia="Times New Roman" w:hAnsi="Times New Roman" w:cs="Times New Roman"/>
          <w:spacing w:val="-2"/>
          <w:kern w:val="0"/>
          <w14:ligatures w14:val="none"/>
        </w:rPr>
        <w:t>g</w:t>
      </w:r>
      <w:r w:rsidRPr="00070085">
        <w:rPr>
          <w:rFonts w:ascii="Times New Roman" w:eastAsia="Times New Roman" w:hAnsi="Times New Roman" w:cs="Times New Roman"/>
          <w:spacing w:val="1"/>
          <w:kern w:val="0"/>
          <w14:ligatures w14:val="none"/>
        </w:rPr>
        <w:t>e</w:t>
      </w:r>
      <w:r w:rsidRPr="00070085">
        <w:rPr>
          <w:rFonts w:ascii="Times New Roman" w:eastAsia="Times New Roman" w:hAnsi="Times New Roman" w:cs="Times New Roman"/>
          <w:kern w:val="0"/>
          <w14:ligatures w14:val="none"/>
        </w:rPr>
        <w:t>nt</w:t>
      </w:r>
      <w:r w:rsidRPr="00070085">
        <w:rPr>
          <w:rFonts w:ascii="Times New Roman" w:eastAsia="Times New Roman" w:hAnsi="Times New Roman" w:cs="Times New Roman"/>
          <w:spacing w:val="5"/>
          <w:kern w:val="0"/>
          <w14:ligatures w14:val="none"/>
        </w:rPr>
        <w:t xml:space="preserve"> </w:t>
      </w:r>
      <w:r w:rsidRPr="00070085">
        <w:rPr>
          <w:rFonts w:ascii="Times New Roman" w:eastAsia="Times New Roman" w:hAnsi="Times New Roman" w:cs="Times New Roman"/>
          <w:kern w:val="0"/>
          <w14:ligatures w14:val="none"/>
        </w:rPr>
        <w:t>v</w:t>
      </w:r>
      <w:r w:rsidRPr="00070085">
        <w:rPr>
          <w:rFonts w:ascii="Times New Roman" w:eastAsia="Times New Roman" w:hAnsi="Times New Roman" w:cs="Times New Roman"/>
          <w:spacing w:val="-1"/>
          <w:kern w:val="0"/>
          <w14:ligatures w14:val="none"/>
        </w:rPr>
        <w:t>a</w:t>
      </w:r>
      <w:r w:rsidRPr="00070085">
        <w:rPr>
          <w:rFonts w:ascii="Times New Roman" w:eastAsia="Times New Roman" w:hAnsi="Times New Roman" w:cs="Times New Roman"/>
          <w:kern w:val="0"/>
          <w14:ligatures w14:val="none"/>
        </w:rPr>
        <w:t>l</w:t>
      </w:r>
      <w:r w:rsidRPr="00070085">
        <w:rPr>
          <w:rFonts w:ascii="Times New Roman" w:eastAsia="Times New Roman" w:hAnsi="Times New Roman" w:cs="Times New Roman"/>
          <w:spacing w:val="1"/>
          <w:kern w:val="0"/>
          <w14:ligatures w14:val="none"/>
        </w:rPr>
        <w:t>i</w:t>
      </w:r>
      <w:r w:rsidRPr="00070085">
        <w:rPr>
          <w:rFonts w:ascii="Times New Roman" w:eastAsia="Times New Roman" w:hAnsi="Times New Roman" w:cs="Times New Roman"/>
          <w:kern w:val="0"/>
          <w14:ligatures w14:val="none"/>
        </w:rPr>
        <w:t>di</w:t>
      </w:r>
      <w:r w:rsidRPr="00070085">
        <w:rPr>
          <w:rFonts w:ascii="Times New Roman" w:eastAsia="Times New Roman" w:hAnsi="Times New Roman" w:cs="Times New Roman"/>
          <w:spacing w:val="3"/>
          <w:kern w:val="0"/>
          <w14:ligatures w14:val="none"/>
        </w:rPr>
        <w:t>t</w:t>
      </w:r>
      <w:r w:rsidRPr="00070085">
        <w:rPr>
          <w:rFonts w:ascii="Times New Roman" w:eastAsia="Times New Roman" w:hAnsi="Times New Roman" w:cs="Times New Roman"/>
          <w:kern w:val="0"/>
          <w14:ligatures w14:val="none"/>
        </w:rPr>
        <w:t>y</w:t>
      </w:r>
      <w:r w:rsidRPr="00070085">
        <w:rPr>
          <w:rFonts w:ascii="Times New Roman" w:eastAsia="Times New Roman" w:hAnsi="Times New Roman" w:cs="Times New Roman"/>
          <w:spacing w:val="-1"/>
          <w:kern w:val="0"/>
          <w14:ligatures w14:val="none"/>
        </w:rPr>
        <w:t xml:space="preserve">, while </w:t>
      </w:r>
      <w:r w:rsidRPr="00070085">
        <w:rPr>
          <w:rFonts w:ascii="Times New Roman" w:eastAsia="Times New Roman" w:hAnsi="Times New Roman" w:cs="Times New Roman"/>
          <w:kern w:val="0"/>
          <w14:ligatures w14:val="none"/>
        </w:rPr>
        <w:t>disc</w:t>
      </w:r>
      <w:r w:rsidRPr="00070085">
        <w:rPr>
          <w:rFonts w:ascii="Times New Roman" w:eastAsia="Times New Roman" w:hAnsi="Times New Roman" w:cs="Times New Roman"/>
          <w:spacing w:val="-1"/>
          <w:kern w:val="0"/>
          <w14:ligatures w14:val="none"/>
        </w:rPr>
        <w:t>r</w:t>
      </w:r>
      <w:r w:rsidRPr="00070085">
        <w:rPr>
          <w:rFonts w:ascii="Times New Roman" w:eastAsia="Times New Roman" w:hAnsi="Times New Roman" w:cs="Times New Roman"/>
          <w:kern w:val="0"/>
          <w14:ligatures w14:val="none"/>
        </w:rPr>
        <w:t>i</w:t>
      </w:r>
      <w:r w:rsidRPr="00070085">
        <w:rPr>
          <w:rFonts w:ascii="Times New Roman" w:eastAsia="Times New Roman" w:hAnsi="Times New Roman" w:cs="Times New Roman"/>
          <w:spacing w:val="1"/>
          <w:kern w:val="0"/>
          <w14:ligatures w14:val="none"/>
        </w:rPr>
        <w:t>m</w:t>
      </w:r>
      <w:r w:rsidRPr="00070085">
        <w:rPr>
          <w:rFonts w:ascii="Times New Roman" w:eastAsia="Times New Roman" w:hAnsi="Times New Roman" w:cs="Times New Roman"/>
          <w:kern w:val="0"/>
          <w14:ligatures w14:val="none"/>
        </w:rPr>
        <w:t>inant</w:t>
      </w:r>
      <w:r w:rsidRPr="00070085">
        <w:rPr>
          <w:rFonts w:ascii="Times New Roman" w:eastAsia="Times New Roman" w:hAnsi="Times New Roman" w:cs="Times New Roman"/>
          <w:spacing w:val="2"/>
          <w:kern w:val="0"/>
          <w14:ligatures w14:val="none"/>
        </w:rPr>
        <w:t xml:space="preserve"> </w:t>
      </w:r>
      <w:r w:rsidRPr="00070085">
        <w:rPr>
          <w:rFonts w:ascii="Times New Roman" w:eastAsia="Times New Roman" w:hAnsi="Times New Roman" w:cs="Times New Roman"/>
          <w:kern w:val="0"/>
          <w14:ligatures w14:val="none"/>
        </w:rPr>
        <w:t>v</w:t>
      </w:r>
      <w:r w:rsidRPr="00070085">
        <w:rPr>
          <w:rFonts w:ascii="Times New Roman" w:eastAsia="Times New Roman" w:hAnsi="Times New Roman" w:cs="Times New Roman"/>
          <w:spacing w:val="-1"/>
          <w:kern w:val="0"/>
          <w14:ligatures w14:val="none"/>
        </w:rPr>
        <w:t>a</w:t>
      </w:r>
      <w:r w:rsidRPr="00070085">
        <w:rPr>
          <w:rFonts w:ascii="Times New Roman" w:eastAsia="Times New Roman" w:hAnsi="Times New Roman" w:cs="Times New Roman"/>
          <w:kern w:val="0"/>
          <w14:ligatures w14:val="none"/>
        </w:rPr>
        <w:t>l</w:t>
      </w:r>
      <w:r w:rsidRPr="00070085">
        <w:rPr>
          <w:rFonts w:ascii="Times New Roman" w:eastAsia="Times New Roman" w:hAnsi="Times New Roman" w:cs="Times New Roman"/>
          <w:spacing w:val="1"/>
          <w:kern w:val="0"/>
          <w14:ligatures w14:val="none"/>
        </w:rPr>
        <w:t>i</w:t>
      </w:r>
      <w:r w:rsidRPr="00070085">
        <w:rPr>
          <w:rFonts w:ascii="Times New Roman" w:eastAsia="Times New Roman" w:hAnsi="Times New Roman" w:cs="Times New Roman"/>
          <w:kern w:val="0"/>
          <w14:ligatures w14:val="none"/>
        </w:rPr>
        <w:t>di</w:t>
      </w:r>
      <w:r w:rsidRPr="00070085">
        <w:rPr>
          <w:rFonts w:ascii="Times New Roman" w:eastAsia="Times New Roman" w:hAnsi="Times New Roman" w:cs="Times New Roman"/>
          <w:spacing w:val="3"/>
          <w:kern w:val="0"/>
          <w14:ligatures w14:val="none"/>
        </w:rPr>
        <w:t>t</w:t>
      </w:r>
      <w:r w:rsidRPr="00070085">
        <w:rPr>
          <w:rFonts w:ascii="Times New Roman" w:eastAsia="Times New Roman" w:hAnsi="Times New Roman" w:cs="Times New Roman"/>
          <w:kern w:val="0"/>
          <w14:ligatures w14:val="none"/>
        </w:rPr>
        <w:t>y</w:t>
      </w:r>
      <w:r w:rsidRPr="00070085">
        <w:rPr>
          <w:rFonts w:ascii="Times New Roman" w:eastAsia="Times New Roman" w:hAnsi="Times New Roman" w:cs="Times New Roman"/>
          <w:spacing w:val="-3"/>
          <w:kern w:val="0"/>
          <w14:ligatures w14:val="none"/>
        </w:rPr>
        <w:t xml:space="preserve"> was confirmed</w:t>
      </w:r>
      <w:r w:rsidRPr="00070085">
        <w:rPr>
          <w:rFonts w:ascii="Times New Roman" w:eastAsia="Times New Roman" w:hAnsi="Times New Roman" w:cs="Times New Roman"/>
          <w:spacing w:val="2"/>
          <w:kern w:val="0"/>
          <w14:ligatures w14:val="none"/>
        </w:rPr>
        <w:t xml:space="preserve"> when</w:t>
      </w:r>
      <w:r w:rsidRPr="00070085">
        <w:rPr>
          <w:rFonts w:ascii="Times New Roman" w:eastAsia="Times New Roman" w:hAnsi="Times New Roman" w:cs="Times New Roman"/>
          <w:spacing w:val="28"/>
          <w:kern w:val="0"/>
          <w14:ligatures w14:val="none"/>
        </w:rPr>
        <w:t xml:space="preserve"> </w:t>
      </w:r>
      <w:r w:rsidRPr="00070085">
        <w:rPr>
          <w:rFonts w:ascii="Times New Roman" w:eastAsia="Times New Roman" w:hAnsi="Times New Roman" w:cs="Times New Roman"/>
          <w:kern w:val="0"/>
          <w14:ligatures w14:val="none"/>
        </w:rPr>
        <w:t>the</w:t>
      </w:r>
      <w:r w:rsidRPr="00070085">
        <w:rPr>
          <w:rFonts w:ascii="Times New Roman" w:eastAsia="Times New Roman" w:hAnsi="Times New Roman" w:cs="Times New Roman"/>
          <w:spacing w:val="30"/>
          <w:kern w:val="0"/>
          <w14:ligatures w14:val="none"/>
        </w:rPr>
        <w:t xml:space="preserve"> </w:t>
      </w:r>
      <w:r w:rsidRPr="00070085">
        <w:rPr>
          <w:rFonts w:ascii="Times New Roman" w:eastAsia="Times New Roman" w:hAnsi="Times New Roman" w:cs="Times New Roman"/>
          <w:kern w:val="0"/>
          <w14:ligatures w14:val="none"/>
        </w:rPr>
        <w:t>squa</w:t>
      </w:r>
      <w:r w:rsidRPr="00070085">
        <w:rPr>
          <w:rFonts w:ascii="Times New Roman" w:eastAsia="Times New Roman" w:hAnsi="Times New Roman" w:cs="Times New Roman"/>
          <w:spacing w:val="1"/>
          <w:kern w:val="0"/>
          <w14:ligatures w14:val="none"/>
        </w:rPr>
        <w:t>r</w:t>
      </w:r>
      <w:r w:rsidRPr="00070085">
        <w:rPr>
          <w:rFonts w:ascii="Times New Roman" w:eastAsia="Times New Roman" w:hAnsi="Times New Roman" w:cs="Times New Roman"/>
          <w:kern w:val="0"/>
          <w14:ligatures w14:val="none"/>
        </w:rPr>
        <w:t xml:space="preserve">e root </w:t>
      </w:r>
      <w:r w:rsidRPr="00070085">
        <w:rPr>
          <w:rFonts w:ascii="Times New Roman" w:eastAsia="Times New Roman" w:hAnsi="Times New Roman" w:cs="Times New Roman"/>
          <w:spacing w:val="1"/>
          <w:kern w:val="0"/>
          <w14:ligatures w14:val="none"/>
        </w:rPr>
        <w:t>of</w:t>
      </w:r>
      <w:r w:rsidRPr="00070085">
        <w:rPr>
          <w:rFonts w:ascii="Times New Roman" w:eastAsia="Times New Roman" w:hAnsi="Times New Roman" w:cs="Times New Roman"/>
          <w:kern w:val="0"/>
          <w14:ligatures w14:val="none"/>
        </w:rPr>
        <w:t xml:space="preserve"> a </w:t>
      </w:r>
      <w:proofErr w:type="gramStart"/>
      <w:r w:rsidRPr="00070085">
        <w:rPr>
          <w:rFonts w:ascii="Times New Roman" w:eastAsia="Times New Roman" w:hAnsi="Times New Roman" w:cs="Times New Roman"/>
          <w:kern w:val="0"/>
          <w14:ligatures w14:val="none"/>
        </w:rPr>
        <w:t>construct‘</w:t>
      </w:r>
      <w:proofErr w:type="gramEnd"/>
      <w:r w:rsidRPr="00070085">
        <w:rPr>
          <w:rFonts w:ascii="Times New Roman" w:eastAsia="Times New Roman" w:hAnsi="Times New Roman" w:cs="Times New Roman"/>
          <w:kern w:val="0"/>
          <w14:ligatures w14:val="none"/>
        </w:rPr>
        <w:t xml:space="preserve">s </w:t>
      </w:r>
      <w:r w:rsidRPr="00070085">
        <w:rPr>
          <w:rFonts w:ascii="Times New Roman" w:eastAsia="Times New Roman" w:hAnsi="Times New Roman" w:cs="Times New Roman"/>
          <w:spacing w:val="3"/>
          <w:kern w:val="0"/>
          <w14:ligatures w14:val="none"/>
        </w:rPr>
        <w:t>AVE</w:t>
      </w:r>
      <w:r w:rsidRPr="00070085">
        <w:rPr>
          <w:rFonts w:ascii="Times New Roman" w:eastAsia="Times New Roman" w:hAnsi="Times New Roman" w:cs="Times New Roman"/>
          <w:kern w:val="0"/>
          <w14:ligatures w14:val="none"/>
        </w:rPr>
        <w:t xml:space="preserve"> was </w:t>
      </w:r>
      <w:r w:rsidRPr="00070085">
        <w:rPr>
          <w:rFonts w:ascii="Times New Roman" w:eastAsia="Times New Roman" w:hAnsi="Times New Roman" w:cs="Times New Roman"/>
          <w:spacing w:val="1"/>
          <w:kern w:val="0"/>
          <w14:ligatures w14:val="none"/>
        </w:rPr>
        <w:t>greater</w:t>
      </w:r>
      <w:r w:rsidRPr="00070085">
        <w:rPr>
          <w:rFonts w:ascii="Times New Roman" w:eastAsia="Times New Roman" w:hAnsi="Times New Roman" w:cs="Times New Roman"/>
          <w:kern w:val="0"/>
          <w14:ligatures w14:val="none"/>
        </w:rPr>
        <w:t xml:space="preserve"> than the construct correlations. Furthermore, </w:t>
      </w:r>
      <w:r w:rsidRPr="00070085">
        <w:rPr>
          <w:rFonts w:ascii="Times New Roman" w:eastAsia="SimSun" w:hAnsi="Times New Roman" w:cs="Times New Roman"/>
          <w:bCs/>
          <w:kern w:val="0"/>
          <w14:ligatures w14:val="none"/>
        </w:rPr>
        <w:t xml:space="preserve">t-values &gt;1.96 and p-values&lt;0.05 are significant, while </w:t>
      </w:r>
      <w:r w:rsidRPr="00070085">
        <w:rPr>
          <w:rFonts w:ascii="Times New Roman" w:eastAsia="SimSun" w:hAnsi="Times New Roman" w:cs="Times New Roman"/>
          <w:kern w:val="0"/>
          <w14:ligatures w14:val="none"/>
        </w:rPr>
        <w:t>R</w:t>
      </w:r>
      <w:r w:rsidRPr="00070085">
        <w:rPr>
          <w:rFonts w:ascii="Times New Roman" w:eastAsia="SimSun" w:hAnsi="Times New Roman" w:cs="Times New Roman"/>
          <w:kern w:val="0"/>
          <w:vertAlign w:val="superscript"/>
          <w14:ligatures w14:val="none"/>
        </w:rPr>
        <w:t xml:space="preserve">2 </w:t>
      </w:r>
      <w:r w:rsidRPr="00070085">
        <w:rPr>
          <w:rFonts w:ascii="Times New Roman" w:eastAsia="SimSun" w:hAnsi="Times New Roman" w:cs="Times New Roman"/>
          <w:kern w:val="0"/>
          <w14:ligatures w14:val="none"/>
        </w:rPr>
        <w:t xml:space="preserve">values of 0.75, 0.50 and 0.25 indicated </w:t>
      </w:r>
      <w:r w:rsidRPr="00070085">
        <w:rPr>
          <w:rFonts w:ascii="Times New Roman" w:eastAsia="SimSun" w:hAnsi="Times New Roman" w:cs="Times New Roman"/>
          <w:color w:val="000000"/>
          <w:kern w:val="0"/>
          <w14:ligatures w14:val="none"/>
        </w:rPr>
        <w:t>substantial, moderate or weak levels of predictive accuracy, respectively (</w:t>
      </w:r>
      <w:r w:rsidRPr="00070085">
        <w:rPr>
          <w:rFonts w:ascii="Times New Roman" w:eastAsia="SimSun" w:hAnsi="Times New Roman" w:cs="Times New Roman"/>
          <w:bCs/>
          <w:color w:val="000000"/>
          <w:kern w:val="0"/>
          <w14:ligatures w14:val="none"/>
        </w:rPr>
        <w:t>Hair et al., 2014).</w:t>
      </w:r>
    </w:p>
    <w:p w14:paraId="08EB711F" w14:textId="77777777" w:rsidR="00070085" w:rsidRPr="00070085" w:rsidRDefault="00070085" w:rsidP="00070085">
      <w:pPr>
        <w:spacing w:after="120" w:line="240" w:lineRule="exact"/>
        <w:contextualSpacing/>
        <w:jc w:val="both"/>
        <w:rPr>
          <w:rFonts w:ascii="Times New Roman" w:eastAsia="SimSun" w:hAnsi="Times New Roman" w:cs="Times New Roman"/>
          <w:color w:val="000000"/>
          <w:kern w:val="0"/>
          <w:lang w:eastAsia="zh-CN" w:bidi="ar"/>
          <w14:ligatures w14:val="none"/>
        </w:rPr>
      </w:pPr>
    </w:p>
    <w:p w14:paraId="4B5F7552" w14:textId="77777777" w:rsidR="00070085" w:rsidRPr="00070085" w:rsidRDefault="00070085" w:rsidP="00070085">
      <w:pPr>
        <w:spacing w:after="120" w:line="240" w:lineRule="exact"/>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4.0 Results and Discussion</w:t>
      </w:r>
    </w:p>
    <w:p w14:paraId="2824BA6F" w14:textId="77777777" w:rsidR="00070085" w:rsidRPr="00070085" w:rsidRDefault="00070085" w:rsidP="00070085">
      <w:pPr>
        <w:spacing w:after="120" w:line="240" w:lineRule="exact"/>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4.1 Results and Analyses</w:t>
      </w:r>
    </w:p>
    <w:p w14:paraId="24110087" w14:textId="77777777" w:rsidR="00070085" w:rsidRPr="00070085" w:rsidRDefault="00070085" w:rsidP="00070085">
      <w:pPr>
        <w:spacing w:after="120" w:line="240" w:lineRule="exact"/>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Table 4.1: Demographic Profile of Respondents</w:t>
      </w:r>
    </w:p>
    <w:tbl>
      <w:tblPr>
        <w:tblStyle w:val="TableGrid11"/>
        <w:tblW w:w="936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1310"/>
        <w:gridCol w:w="1278"/>
        <w:gridCol w:w="1278"/>
        <w:gridCol w:w="1416"/>
      </w:tblGrid>
      <w:tr w:rsidR="00070085" w:rsidRPr="00070085" w14:paraId="6010EE3D" w14:textId="77777777" w:rsidTr="005C4055">
        <w:tc>
          <w:tcPr>
            <w:tcW w:w="4200" w:type="dxa"/>
            <w:tcBorders>
              <w:top w:val="single" w:sz="4" w:space="0" w:color="auto"/>
              <w:bottom w:val="single" w:sz="4" w:space="0" w:color="auto"/>
            </w:tcBorders>
          </w:tcPr>
          <w:p w14:paraId="3B4E0A7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Category</w:t>
            </w:r>
          </w:p>
        </w:tc>
        <w:tc>
          <w:tcPr>
            <w:tcW w:w="1290" w:type="dxa"/>
            <w:tcBorders>
              <w:top w:val="single" w:sz="4" w:space="0" w:color="auto"/>
              <w:bottom w:val="single" w:sz="4" w:space="0" w:color="auto"/>
            </w:tcBorders>
          </w:tcPr>
          <w:p w14:paraId="3BF465C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Frequency</w:t>
            </w:r>
          </w:p>
        </w:tc>
        <w:tc>
          <w:tcPr>
            <w:tcW w:w="1290" w:type="dxa"/>
            <w:tcBorders>
              <w:top w:val="single" w:sz="4" w:space="0" w:color="auto"/>
              <w:bottom w:val="single" w:sz="4" w:space="0" w:color="auto"/>
            </w:tcBorders>
          </w:tcPr>
          <w:p w14:paraId="29F04D8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Percent</w:t>
            </w:r>
          </w:p>
        </w:tc>
        <w:tc>
          <w:tcPr>
            <w:tcW w:w="1290" w:type="dxa"/>
            <w:tcBorders>
              <w:top w:val="single" w:sz="4" w:space="0" w:color="auto"/>
              <w:bottom w:val="single" w:sz="4" w:space="0" w:color="auto"/>
            </w:tcBorders>
          </w:tcPr>
          <w:p w14:paraId="02DAA7D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Valid Percent</w:t>
            </w:r>
          </w:p>
        </w:tc>
        <w:tc>
          <w:tcPr>
            <w:tcW w:w="1290" w:type="dxa"/>
            <w:tcBorders>
              <w:top w:val="single" w:sz="4" w:space="0" w:color="auto"/>
              <w:bottom w:val="single" w:sz="4" w:space="0" w:color="auto"/>
            </w:tcBorders>
          </w:tcPr>
          <w:p w14:paraId="196558E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Cumulative %</w:t>
            </w:r>
          </w:p>
        </w:tc>
      </w:tr>
      <w:tr w:rsidR="00070085" w:rsidRPr="00070085" w14:paraId="34B935EE" w14:textId="77777777" w:rsidTr="005C4055">
        <w:tc>
          <w:tcPr>
            <w:tcW w:w="9360" w:type="dxa"/>
            <w:gridSpan w:val="5"/>
            <w:tcBorders>
              <w:top w:val="single" w:sz="4" w:space="0" w:color="auto"/>
              <w:bottom w:val="single" w:sz="4" w:space="0" w:color="auto"/>
            </w:tcBorders>
          </w:tcPr>
          <w:p w14:paraId="049073DA" w14:textId="77777777" w:rsidR="00070085" w:rsidRPr="00070085" w:rsidRDefault="00070085" w:rsidP="00070085">
            <w:pPr>
              <w:spacing w:line="240" w:lineRule="exact"/>
              <w:contextualSpacing/>
              <w:rPr>
                <w:rFonts w:eastAsia="SimSun"/>
                <w:sz w:val="24"/>
                <w:szCs w:val="24"/>
              </w:rPr>
            </w:pPr>
            <w:r w:rsidRPr="00070085">
              <w:rPr>
                <w:rFonts w:eastAsia="Times New Roman"/>
                <w:b/>
                <w:bCs/>
                <w:sz w:val="24"/>
                <w:szCs w:val="24"/>
              </w:rPr>
              <w:t>Current Management Level</w:t>
            </w:r>
          </w:p>
        </w:tc>
      </w:tr>
      <w:tr w:rsidR="00070085" w:rsidRPr="00070085" w14:paraId="377657A3" w14:textId="77777777" w:rsidTr="005C4055">
        <w:tc>
          <w:tcPr>
            <w:tcW w:w="4200" w:type="dxa"/>
            <w:tcBorders>
              <w:top w:val="single" w:sz="4" w:space="0" w:color="auto"/>
            </w:tcBorders>
          </w:tcPr>
          <w:p w14:paraId="4056CD18"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Middle-Level Manager</w:t>
            </w:r>
          </w:p>
        </w:tc>
        <w:tc>
          <w:tcPr>
            <w:tcW w:w="1290" w:type="dxa"/>
            <w:tcBorders>
              <w:top w:val="single" w:sz="4" w:space="0" w:color="auto"/>
            </w:tcBorders>
          </w:tcPr>
          <w:p w14:paraId="5D06DF3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134</w:t>
            </w:r>
          </w:p>
        </w:tc>
        <w:tc>
          <w:tcPr>
            <w:tcW w:w="1290" w:type="dxa"/>
            <w:tcBorders>
              <w:top w:val="single" w:sz="4" w:space="0" w:color="auto"/>
            </w:tcBorders>
          </w:tcPr>
          <w:p w14:paraId="6BAD53F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59.8%</w:t>
            </w:r>
          </w:p>
        </w:tc>
        <w:tc>
          <w:tcPr>
            <w:tcW w:w="1290" w:type="dxa"/>
            <w:tcBorders>
              <w:top w:val="single" w:sz="4" w:space="0" w:color="auto"/>
            </w:tcBorders>
          </w:tcPr>
          <w:p w14:paraId="737AD33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59.8%</w:t>
            </w:r>
          </w:p>
        </w:tc>
        <w:tc>
          <w:tcPr>
            <w:tcW w:w="1290" w:type="dxa"/>
            <w:tcBorders>
              <w:top w:val="single" w:sz="4" w:space="0" w:color="auto"/>
            </w:tcBorders>
          </w:tcPr>
          <w:p w14:paraId="4A04DBF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59.8%</w:t>
            </w:r>
          </w:p>
        </w:tc>
      </w:tr>
      <w:tr w:rsidR="00070085" w:rsidRPr="00070085" w14:paraId="62F9E780" w14:textId="77777777" w:rsidTr="005C4055">
        <w:tc>
          <w:tcPr>
            <w:tcW w:w="4200" w:type="dxa"/>
          </w:tcPr>
          <w:p w14:paraId="520CCCB3"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Top-Level Manager</w:t>
            </w:r>
          </w:p>
        </w:tc>
        <w:tc>
          <w:tcPr>
            <w:tcW w:w="1290" w:type="dxa"/>
          </w:tcPr>
          <w:p w14:paraId="5015C99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90</w:t>
            </w:r>
          </w:p>
        </w:tc>
        <w:tc>
          <w:tcPr>
            <w:tcW w:w="1290" w:type="dxa"/>
          </w:tcPr>
          <w:p w14:paraId="6EE47D0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40.2%</w:t>
            </w:r>
          </w:p>
        </w:tc>
        <w:tc>
          <w:tcPr>
            <w:tcW w:w="1290" w:type="dxa"/>
          </w:tcPr>
          <w:p w14:paraId="4E9D4C1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40.2%</w:t>
            </w:r>
          </w:p>
        </w:tc>
        <w:tc>
          <w:tcPr>
            <w:tcW w:w="1290" w:type="dxa"/>
          </w:tcPr>
          <w:p w14:paraId="037CBA0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100.0%</w:t>
            </w:r>
          </w:p>
        </w:tc>
      </w:tr>
      <w:tr w:rsidR="00070085" w:rsidRPr="00070085" w14:paraId="2C1E8EE1" w14:textId="77777777" w:rsidTr="005C4055">
        <w:tc>
          <w:tcPr>
            <w:tcW w:w="4200" w:type="dxa"/>
            <w:tcBorders>
              <w:bottom w:val="single" w:sz="4" w:space="0" w:color="auto"/>
            </w:tcBorders>
          </w:tcPr>
          <w:p w14:paraId="2832F97C"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Total</w:t>
            </w:r>
          </w:p>
        </w:tc>
        <w:tc>
          <w:tcPr>
            <w:tcW w:w="1290" w:type="dxa"/>
            <w:tcBorders>
              <w:bottom w:val="single" w:sz="4" w:space="0" w:color="auto"/>
            </w:tcBorders>
          </w:tcPr>
          <w:p w14:paraId="4699D7A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1290" w:type="dxa"/>
            <w:tcBorders>
              <w:bottom w:val="single" w:sz="4" w:space="0" w:color="auto"/>
            </w:tcBorders>
          </w:tcPr>
          <w:p w14:paraId="16F3C23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100.0%</w:t>
            </w:r>
          </w:p>
        </w:tc>
        <w:tc>
          <w:tcPr>
            <w:tcW w:w="1290" w:type="dxa"/>
            <w:tcBorders>
              <w:bottom w:val="single" w:sz="4" w:space="0" w:color="auto"/>
            </w:tcBorders>
          </w:tcPr>
          <w:p w14:paraId="206EA4E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100.0%</w:t>
            </w:r>
          </w:p>
        </w:tc>
        <w:tc>
          <w:tcPr>
            <w:tcW w:w="1290" w:type="dxa"/>
            <w:tcBorders>
              <w:bottom w:val="single" w:sz="4" w:space="0" w:color="auto"/>
            </w:tcBorders>
          </w:tcPr>
          <w:p w14:paraId="4FB9F5FB" w14:textId="77777777" w:rsidR="00070085" w:rsidRPr="00070085" w:rsidRDefault="00070085" w:rsidP="00070085">
            <w:pPr>
              <w:spacing w:line="240" w:lineRule="exact"/>
              <w:contextualSpacing/>
              <w:jc w:val="center"/>
              <w:rPr>
                <w:rFonts w:eastAsia="SimSun"/>
                <w:sz w:val="24"/>
                <w:szCs w:val="24"/>
              </w:rPr>
            </w:pPr>
          </w:p>
        </w:tc>
      </w:tr>
      <w:tr w:rsidR="00070085" w:rsidRPr="00070085" w14:paraId="04BB603E" w14:textId="77777777" w:rsidTr="005C4055">
        <w:tc>
          <w:tcPr>
            <w:tcW w:w="9360" w:type="dxa"/>
            <w:gridSpan w:val="5"/>
            <w:tcBorders>
              <w:top w:val="single" w:sz="4" w:space="0" w:color="auto"/>
              <w:bottom w:val="single" w:sz="4" w:space="0" w:color="auto"/>
            </w:tcBorders>
          </w:tcPr>
          <w:p w14:paraId="2B5C0869" w14:textId="77777777" w:rsidR="00070085" w:rsidRPr="00070085" w:rsidRDefault="00070085" w:rsidP="00070085">
            <w:pPr>
              <w:spacing w:line="240" w:lineRule="exact"/>
              <w:contextualSpacing/>
              <w:rPr>
                <w:rFonts w:eastAsia="SimSun"/>
                <w:sz w:val="24"/>
                <w:szCs w:val="24"/>
              </w:rPr>
            </w:pPr>
            <w:r w:rsidRPr="00070085">
              <w:rPr>
                <w:rFonts w:eastAsia="Times New Roman"/>
                <w:b/>
                <w:bCs/>
                <w:sz w:val="24"/>
                <w:szCs w:val="24"/>
              </w:rPr>
              <w:t>Years of Experience in the Oil and Gas Industry</w:t>
            </w:r>
          </w:p>
        </w:tc>
      </w:tr>
      <w:tr w:rsidR="00070085" w:rsidRPr="00070085" w14:paraId="5D42D847" w14:textId="77777777" w:rsidTr="005C4055">
        <w:tc>
          <w:tcPr>
            <w:tcW w:w="4200" w:type="dxa"/>
            <w:tcBorders>
              <w:top w:val="single" w:sz="4" w:space="0" w:color="auto"/>
            </w:tcBorders>
          </w:tcPr>
          <w:p w14:paraId="2367D190"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Less than 5 years</w:t>
            </w:r>
          </w:p>
        </w:tc>
        <w:tc>
          <w:tcPr>
            <w:tcW w:w="1290" w:type="dxa"/>
            <w:tcBorders>
              <w:top w:val="single" w:sz="4" w:space="0" w:color="auto"/>
            </w:tcBorders>
          </w:tcPr>
          <w:p w14:paraId="60DF4D2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30</w:t>
            </w:r>
          </w:p>
        </w:tc>
        <w:tc>
          <w:tcPr>
            <w:tcW w:w="1290" w:type="dxa"/>
            <w:tcBorders>
              <w:top w:val="single" w:sz="4" w:space="0" w:color="auto"/>
            </w:tcBorders>
          </w:tcPr>
          <w:p w14:paraId="719F310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13.4%</w:t>
            </w:r>
          </w:p>
        </w:tc>
        <w:tc>
          <w:tcPr>
            <w:tcW w:w="1290" w:type="dxa"/>
            <w:tcBorders>
              <w:top w:val="single" w:sz="4" w:space="0" w:color="auto"/>
            </w:tcBorders>
          </w:tcPr>
          <w:p w14:paraId="03288FF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13.4%</w:t>
            </w:r>
          </w:p>
        </w:tc>
        <w:tc>
          <w:tcPr>
            <w:tcW w:w="1290" w:type="dxa"/>
            <w:tcBorders>
              <w:top w:val="single" w:sz="4" w:space="0" w:color="auto"/>
            </w:tcBorders>
          </w:tcPr>
          <w:p w14:paraId="4626E59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13.4%</w:t>
            </w:r>
          </w:p>
        </w:tc>
      </w:tr>
      <w:tr w:rsidR="00070085" w:rsidRPr="00070085" w14:paraId="622D5BE2" w14:textId="77777777" w:rsidTr="005C4055">
        <w:tc>
          <w:tcPr>
            <w:tcW w:w="4200" w:type="dxa"/>
          </w:tcPr>
          <w:p w14:paraId="68700763"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5 – 10 years</w:t>
            </w:r>
          </w:p>
        </w:tc>
        <w:tc>
          <w:tcPr>
            <w:tcW w:w="1290" w:type="dxa"/>
          </w:tcPr>
          <w:p w14:paraId="2CD85AE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67</w:t>
            </w:r>
          </w:p>
        </w:tc>
        <w:tc>
          <w:tcPr>
            <w:tcW w:w="1290" w:type="dxa"/>
          </w:tcPr>
          <w:p w14:paraId="03230B2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29.9%</w:t>
            </w:r>
          </w:p>
        </w:tc>
        <w:tc>
          <w:tcPr>
            <w:tcW w:w="1290" w:type="dxa"/>
          </w:tcPr>
          <w:p w14:paraId="726FD7D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29.9%</w:t>
            </w:r>
          </w:p>
        </w:tc>
        <w:tc>
          <w:tcPr>
            <w:tcW w:w="1290" w:type="dxa"/>
          </w:tcPr>
          <w:p w14:paraId="47B7686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43.3%</w:t>
            </w:r>
          </w:p>
        </w:tc>
      </w:tr>
      <w:tr w:rsidR="00070085" w:rsidRPr="00070085" w14:paraId="345A3ACD" w14:textId="77777777" w:rsidTr="005C4055">
        <w:tc>
          <w:tcPr>
            <w:tcW w:w="4200" w:type="dxa"/>
          </w:tcPr>
          <w:p w14:paraId="012AE1D8"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11 – 15 years</w:t>
            </w:r>
          </w:p>
        </w:tc>
        <w:tc>
          <w:tcPr>
            <w:tcW w:w="1290" w:type="dxa"/>
          </w:tcPr>
          <w:p w14:paraId="6526CEC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46</w:t>
            </w:r>
          </w:p>
        </w:tc>
        <w:tc>
          <w:tcPr>
            <w:tcW w:w="1290" w:type="dxa"/>
          </w:tcPr>
          <w:p w14:paraId="1CD82BD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20.5%</w:t>
            </w:r>
          </w:p>
        </w:tc>
        <w:tc>
          <w:tcPr>
            <w:tcW w:w="1290" w:type="dxa"/>
          </w:tcPr>
          <w:p w14:paraId="2C16EA9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20.5%</w:t>
            </w:r>
          </w:p>
        </w:tc>
        <w:tc>
          <w:tcPr>
            <w:tcW w:w="1290" w:type="dxa"/>
          </w:tcPr>
          <w:p w14:paraId="0631822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63.8%</w:t>
            </w:r>
          </w:p>
        </w:tc>
      </w:tr>
      <w:tr w:rsidR="00070085" w:rsidRPr="00070085" w14:paraId="3D12F10B" w14:textId="77777777" w:rsidTr="005C4055">
        <w:tc>
          <w:tcPr>
            <w:tcW w:w="4200" w:type="dxa"/>
          </w:tcPr>
          <w:p w14:paraId="048EAC42"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16 – 20 years</w:t>
            </w:r>
          </w:p>
        </w:tc>
        <w:tc>
          <w:tcPr>
            <w:tcW w:w="1290" w:type="dxa"/>
          </w:tcPr>
          <w:p w14:paraId="7073150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57</w:t>
            </w:r>
          </w:p>
        </w:tc>
        <w:tc>
          <w:tcPr>
            <w:tcW w:w="1290" w:type="dxa"/>
          </w:tcPr>
          <w:p w14:paraId="09FA781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25.4%</w:t>
            </w:r>
          </w:p>
        </w:tc>
        <w:tc>
          <w:tcPr>
            <w:tcW w:w="1290" w:type="dxa"/>
          </w:tcPr>
          <w:p w14:paraId="68DE26B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25.4%</w:t>
            </w:r>
          </w:p>
        </w:tc>
        <w:tc>
          <w:tcPr>
            <w:tcW w:w="1290" w:type="dxa"/>
          </w:tcPr>
          <w:p w14:paraId="2D80B0F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89.3%</w:t>
            </w:r>
          </w:p>
        </w:tc>
      </w:tr>
      <w:tr w:rsidR="00070085" w:rsidRPr="00070085" w14:paraId="7FC09457" w14:textId="77777777" w:rsidTr="005C4055">
        <w:tc>
          <w:tcPr>
            <w:tcW w:w="4200" w:type="dxa"/>
          </w:tcPr>
          <w:p w14:paraId="1AB5F4A3"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Above 20 years</w:t>
            </w:r>
          </w:p>
        </w:tc>
        <w:tc>
          <w:tcPr>
            <w:tcW w:w="1290" w:type="dxa"/>
          </w:tcPr>
          <w:p w14:paraId="5176C92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24</w:t>
            </w:r>
          </w:p>
        </w:tc>
        <w:tc>
          <w:tcPr>
            <w:tcW w:w="1290" w:type="dxa"/>
          </w:tcPr>
          <w:p w14:paraId="5511043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10.7%</w:t>
            </w:r>
          </w:p>
        </w:tc>
        <w:tc>
          <w:tcPr>
            <w:tcW w:w="1290" w:type="dxa"/>
          </w:tcPr>
          <w:p w14:paraId="08DB7A4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10.7%</w:t>
            </w:r>
          </w:p>
        </w:tc>
        <w:tc>
          <w:tcPr>
            <w:tcW w:w="1290" w:type="dxa"/>
          </w:tcPr>
          <w:p w14:paraId="66EF273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100.0%</w:t>
            </w:r>
          </w:p>
        </w:tc>
      </w:tr>
      <w:tr w:rsidR="00070085" w:rsidRPr="00070085" w14:paraId="1073656A" w14:textId="77777777" w:rsidTr="005C4055">
        <w:tc>
          <w:tcPr>
            <w:tcW w:w="4200" w:type="dxa"/>
            <w:tcBorders>
              <w:bottom w:val="single" w:sz="4" w:space="0" w:color="auto"/>
            </w:tcBorders>
          </w:tcPr>
          <w:p w14:paraId="1A07B742"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Total</w:t>
            </w:r>
          </w:p>
        </w:tc>
        <w:tc>
          <w:tcPr>
            <w:tcW w:w="1290" w:type="dxa"/>
            <w:tcBorders>
              <w:bottom w:val="single" w:sz="4" w:space="0" w:color="auto"/>
            </w:tcBorders>
          </w:tcPr>
          <w:p w14:paraId="350E16F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1290" w:type="dxa"/>
            <w:tcBorders>
              <w:bottom w:val="single" w:sz="4" w:space="0" w:color="auto"/>
            </w:tcBorders>
          </w:tcPr>
          <w:p w14:paraId="7893360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100.0%</w:t>
            </w:r>
          </w:p>
        </w:tc>
        <w:tc>
          <w:tcPr>
            <w:tcW w:w="1290" w:type="dxa"/>
            <w:tcBorders>
              <w:bottom w:val="single" w:sz="4" w:space="0" w:color="auto"/>
            </w:tcBorders>
          </w:tcPr>
          <w:p w14:paraId="428D7F6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100.0%</w:t>
            </w:r>
          </w:p>
        </w:tc>
        <w:tc>
          <w:tcPr>
            <w:tcW w:w="1290" w:type="dxa"/>
            <w:tcBorders>
              <w:bottom w:val="single" w:sz="4" w:space="0" w:color="auto"/>
            </w:tcBorders>
          </w:tcPr>
          <w:p w14:paraId="495D041B" w14:textId="77777777" w:rsidR="00070085" w:rsidRPr="00070085" w:rsidRDefault="00070085" w:rsidP="00070085">
            <w:pPr>
              <w:spacing w:line="240" w:lineRule="exact"/>
              <w:contextualSpacing/>
              <w:jc w:val="center"/>
              <w:rPr>
                <w:rFonts w:eastAsia="SimSun"/>
                <w:sz w:val="24"/>
                <w:szCs w:val="24"/>
              </w:rPr>
            </w:pPr>
          </w:p>
        </w:tc>
      </w:tr>
      <w:tr w:rsidR="00070085" w:rsidRPr="00070085" w14:paraId="2B9E6F0C" w14:textId="77777777" w:rsidTr="005C4055">
        <w:tc>
          <w:tcPr>
            <w:tcW w:w="9360" w:type="dxa"/>
            <w:gridSpan w:val="5"/>
            <w:tcBorders>
              <w:top w:val="single" w:sz="4" w:space="0" w:color="auto"/>
              <w:bottom w:val="single" w:sz="4" w:space="0" w:color="auto"/>
            </w:tcBorders>
          </w:tcPr>
          <w:p w14:paraId="360652AC" w14:textId="77777777" w:rsidR="00070085" w:rsidRPr="00070085" w:rsidRDefault="00070085" w:rsidP="00070085">
            <w:pPr>
              <w:spacing w:line="240" w:lineRule="exact"/>
              <w:contextualSpacing/>
              <w:rPr>
                <w:rFonts w:eastAsia="SimSun"/>
                <w:sz w:val="24"/>
                <w:szCs w:val="24"/>
              </w:rPr>
            </w:pPr>
            <w:proofErr w:type="spellStart"/>
            <w:r w:rsidRPr="00070085">
              <w:rPr>
                <w:rFonts w:eastAsia="Times New Roman"/>
                <w:b/>
                <w:bCs/>
                <w:sz w:val="24"/>
                <w:szCs w:val="24"/>
              </w:rPr>
              <w:t>Organisation's</w:t>
            </w:r>
            <w:proofErr w:type="spellEnd"/>
            <w:r w:rsidRPr="00070085">
              <w:rPr>
                <w:rFonts w:eastAsia="Times New Roman"/>
                <w:b/>
                <w:bCs/>
                <w:sz w:val="24"/>
                <w:szCs w:val="24"/>
              </w:rPr>
              <w:t xml:space="preserve"> Length of Time in the Midstream Sector</w:t>
            </w:r>
          </w:p>
        </w:tc>
      </w:tr>
      <w:tr w:rsidR="00070085" w:rsidRPr="00070085" w14:paraId="4FE92415" w14:textId="77777777" w:rsidTr="005C4055">
        <w:tc>
          <w:tcPr>
            <w:tcW w:w="4200" w:type="dxa"/>
            <w:tcBorders>
              <w:top w:val="single" w:sz="4" w:space="0" w:color="auto"/>
            </w:tcBorders>
          </w:tcPr>
          <w:p w14:paraId="7816DBAC"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Less than 5 years</w:t>
            </w:r>
          </w:p>
        </w:tc>
        <w:tc>
          <w:tcPr>
            <w:tcW w:w="1290" w:type="dxa"/>
            <w:tcBorders>
              <w:top w:val="single" w:sz="4" w:space="0" w:color="auto"/>
            </w:tcBorders>
          </w:tcPr>
          <w:p w14:paraId="1FF65E2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12</w:t>
            </w:r>
          </w:p>
        </w:tc>
        <w:tc>
          <w:tcPr>
            <w:tcW w:w="1290" w:type="dxa"/>
            <w:tcBorders>
              <w:top w:val="single" w:sz="4" w:space="0" w:color="auto"/>
            </w:tcBorders>
          </w:tcPr>
          <w:p w14:paraId="4986E3F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5.4%</w:t>
            </w:r>
          </w:p>
        </w:tc>
        <w:tc>
          <w:tcPr>
            <w:tcW w:w="1290" w:type="dxa"/>
            <w:tcBorders>
              <w:top w:val="single" w:sz="4" w:space="0" w:color="auto"/>
            </w:tcBorders>
          </w:tcPr>
          <w:p w14:paraId="56E581B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5.4%</w:t>
            </w:r>
          </w:p>
        </w:tc>
        <w:tc>
          <w:tcPr>
            <w:tcW w:w="1290" w:type="dxa"/>
            <w:tcBorders>
              <w:top w:val="single" w:sz="4" w:space="0" w:color="auto"/>
            </w:tcBorders>
          </w:tcPr>
          <w:p w14:paraId="3DADCEF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5.4%</w:t>
            </w:r>
          </w:p>
        </w:tc>
      </w:tr>
      <w:tr w:rsidR="00070085" w:rsidRPr="00070085" w14:paraId="4A2CC9B8" w14:textId="77777777" w:rsidTr="005C4055">
        <w:tc>
          <w:tcPr>
            <w:tcW w:w="4200" w:type="dxa"/>
          </w:tcPr>
          <w:p w14:paraId="3E1A115F"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5 – 10 years</w:t>
            </w:r>
          </w:p>
        </w:tc>
        <w:tc>
          <w:tcPr>
            <w:tcW w:w="1290" w:type="dxa"/>
          </w:tcPr>
          <w:p w14:paraId="091937E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48</w:t>
            </w:r>
          </w:p>
        </w:tc>
        <w:tc>
          <w:tcPr>
            <w:tcW w:w="1290" w:type="dxa"/>
          </w:tcPr>
          <w:p w14:paraId="2781D92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21.4%</w:t>
            </w:r>
          </w:p>
        </w:tc>
        <w:tc>
          <w:tcPr>
            <w:tcW w:w="1290" w:type="dxa"/>
          </w:tcPr>
          <w:p w14:paraId="3B74974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21.4%</w:t>
            </w:r>
          </w:p>
        </w:tc>
        <w:tc>
          <w:tcPr>
            <w:tcW w:w="1290" w:type="dxa"/>
          </w:tcPr>
          <w:p w14:paraId="02DBED5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26.8%</w:t>
            </w:r>
          </w:p>
        </w:tc>
      </w:tr>
      <w:tr w:rsidR="00070085" w:rsidRPr="00070085" w14:paraId="6B906D17" w14:textId="77777777" w:rsidTr="005C4055">
        <w:tc>
          <w:tcPr>
            <w:tcW w:w="4200" w:type="dxa"/>
          </w:tcPr>
          <w:p w14:paraId="33436AA5"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11 – 20 years</w:t>
            </w:r>
          </w:p>
        </w:tc>
        <w:tc>
          <w:tcPr>
            <w:tcW w:w="1290" w:type="dxa"/>
          </w:tcPr>
          <w:p w14:paraId="3C5EFB6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65</w:t>
            </w:r>
          </w:p>
        </w:tc>
        <w:tc>
          <w:tcPr>
            <w:tcW w:w="1290" w:type="dxa"/>
          </w:tcPr>
          <w:p w14:paraId="22DF98D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29.0%</w:t>
            </w:r>
          </w:p>
        </w:tc>
        <w:tc>
          <w:tcPr>
            <w:tcW w:w="1290" w:type="dxa"/>
          </w:tcPr>
          <w:p w14:paraId="76F7B56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29.0%</w:t>
            </w:r>
          </w:p>
        </w:tc>
        <w:tc>
          <w:tcPr>
            <w:tcW w:w="1290" w:type="dxa"/>
          </w:tcPr>
          <w:p w14:paraId="17F6A12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55.8%</w:t>
            </w:r>
          </w:p>
        </w:tc>
      </w:tr>
      <w:tr w:rsidR="00070085" w:rsidRPr="00070085" w14:paraId="6EB75E71" w14:textId="77777777" w:rsidTr="005C4055">
        <w:tc>
          <w:tcPr>
            <w:tcW w:w="4200" w:type="dxa"/>
          </w:tcPr>
          <w:p w14:paraId="1EB60019"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21 – 30 years</w:t>
            </w:r>
          </w:p>
        </w:tc>
        <w:tc>
          <w:tcPr>
            <w:tcW w:w="1290" w:type="dxa"/>
          </w:tcPr>
          <w:p w14:paraId="472E728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54</w:t>
            </w:r>
          </w:p>
        </w:tc>
        <w:tc>
          <w:tcPr>
            <w:tcW w:w="1290" w:type="dxa"/>
          </w:tcPr>
          <w:p w14:paraId="5BEDA99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24.1%</w:t>
            </w:r>
          </w:p>
        </w:tc>
        <w:tc>
          <w:tcPr>
            <w:tcW w:w="1290" w:type="dxa"/>
          </w:tcPr>
          <w:p w14:paraId="4791122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24.1%</w:t>
            </w:r>
          </w:p>
        </w:tc>
        <w:tc>
          <w:tcPr>
            <w:tcW w:w="1290" w:type="dxa"/>
          </w:tcPr>
          <w:p w14:paraId="2372306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79.9%</w:t>
            </w:r>
          </w:p>
        </w:tc>
      </w:tr>
      <w:tr w:rsidR="00070085" w:rsidRPr="00070085" w14:paraId="7097B339" w14:textId="77777777" w:rsidTr="005C4055">
        <w:tc>
          <w:tcPr>
            <w:tcW w:w="4200" w:type="dxa"/>
            <w:tcBorders>
              <w:bottom w:val="single" w:sz="4" w:space="0" w:color="auto"/>
            </w:tcBorders>
          </w:tcPr>
          <w:p w14:paraId="0BAF0765" w14:textId="77777777" w:rsidR="00070085" w:rsidRPr="00070085" w:rsidRDefault="00070085" w:rsidP="00070085">
            <w:pPr>
              <w:spacing w:line="240" w:lineRule="exact"/>
              <w:contextualSpacing/>
              <w:rPr>
                <w:rFonts w:eastAsia="SimSun"/>
                <w:sz w:val="24"/>
                <w:szCs w:val="24"/>
              </w:rPr>
            </w:pPr>
            <w:r w:rsidRPr="00070085">
              <w:rPr>
                <w:rFonts w:eastAsia="Times New Roman"/>
                <w:sz w:val="24"/>
                <w:szCs w:val="24"/>
              </w:rPr>
              <w:t>Above 30 years</w:t>
            </w:r>
          </w:p>
        </w:tc>
        <w:tc>
          <w:tcPr>
            <w:tcW w:w="1290" w:type="dxa"/>
            <w:tcBorders>
              <w:bottom w:val="single" w:sz="4" w:space="0" w:color="auto"/>
            </w:tcBorders>
          </w:tcPr>
          <w:p w14:paraId="54BB685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45</w:t>
            </w:r>
          </w:p>
        </w:tc>
        <w:tc>
          <w:tcPr>
            <w:tcW w:w="1290" w:type="dxa"/>
            <w:tcBorders>
              <w:bottom w:val="single" w:sz="4" w:space="0" w:color="auto"/>
            </w:tcBorders>
          </w:tcPr>
          <w:p w14:paraId="349F73E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20.1%</w:t>
            </w:r>
          </w:p>
        </w:tc>
        <w:tc>
          <w:tcPr>
            <w:tcW w:w="1290" w:type="dxa"/>
            <w:tcBorders>
              <w:bottom w:val="single" w:sz="4" w:space="0" w:color="auto"/>
            </w:tcBorders>
          </w:tcPr>
          <w:p w14:paraId="642D4C2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20.1%</w:t>
            </w:r>
          </w:p>
        </w:tc>
        <w:tc>
          <w:tcPr>
            <w:tcW w:w="1290" w:type="dxa"/>
            <w:tcBorders>
              <w:bottom w:val="single" w:sz="4" w:space="0" w:color="auto"/>
            </w:tcBorders>
          </w:tcPr>
          <w:p w14:paraId="38CECCE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100.0%</w:t>
            </w:r>
          </w:p>
        </w:tc>
      </w:tr>
      <w:tr w:rsidR="00070085" w:rsidRPr="00070085" w14:paraId="29C505CD" w14:textId="77777777" w:rsidTr="005C4055">
        <w:tc>
          <w:tcPr>
            <w:tcW w:w="4200" w:type="dxa"/>
            <w:tcBorders>
              <w:top w:val="single" w:sz="4" w:space="0" w:color="auto"/>
              <w:bottom w:val="single" w:sz="4" w:space="0" w:color="auto"/>
            </w:tcBorders>
          </w:tcPr>
          <w:p w14:paraId="06C394D6" w14:textId="77777777" w:rsidR="00070085" w:rsidRPr="00070085" w:rsidRDefault="00070085" w:rsidP="00070085">
            <w:pPr>
              <w:spacing w:line="240" w:lineRule="exact"/>
              <w:contextualSpacing/>
              <w:rPr>
                <w:rFonts w:eastAsia="SimSun"/>
                <w:b/>
                <w:sz w:val="24"/>
                <w:szCs w:val="24"/>
              </w:rPr>
            </w:pPr>
            <w:r w:rsidRPr="00070085">
              <w:rPr>
                <w:rFonts w:eastAsia="Times New Roman"/>
                <w:b/>
                <w:sz w:val="24"/>
                <w:szCs w:val="24"/>
              </w:rPr>
              <w:t>Total</w:t>
            </w:r>
          </w:p>
        </w:tc>
        <w:tc>
          <w:tcPr>
            <w:tcW w:w="1290" w:type="dxa"/>
            <w:tcBorders>
              <w:top w:val="single" w:sz="4" w:space="0" w:color="auto"/>
              <w:bottom w:val="single" w:sz="4" w:space="0" w:color="auto"/>
            </w:tcBorders>
          </w:tcPr>
          <w:p w14:paraId="1831846D" w14:textId="77777777" w:rsidR="00070085" w:rsidRPr="00070085" w:rsidRDefault="00070085" w:rsidP="00070085">
            <w:pPr>
              <w:spacing w:line="240" w:lineRule="exact"/>
              <w:contextualSpacing/>
              <w:jc w:val="center"/>
              <w:rPr>
                <w:rFonts w:eastAsia="SimSun"/>
                <w:b/>
                <w:sz w:val="24"/>
                <w:szCs w:val="24"/>
              </w:rPr>
            </w:pPr>
            <w:r w:rsidRPr="00070085">
              <w:rPr>
                <w:rFonts w:eastAsia="Times New Roman"/>
                <w:b/>
                <w:sz w:val="24"/>
                <w:szCs w:val="24"/>
              </w:rPr>
              <w:t>224</w:t>
            </w:r>
          </w:p>
        </w:tc>
        <w:tc>
          <w:tcPr>
            <w:tcW w:w="1290" w:type="dxa"/>
            <w:tcBorders>
              <w:top w:val="single" w:sz="4" w:space="0" w:color="auto"/>
              <w:bottom w:val="single" w:sz="4" w:space="0" w:color="auto"/>
            </w:tcBorders>
          </w:tcPr>
          <w:p w14:paraId="3EB2034B" w14:textId="77777777" w:rsidR="00070085" w:rsidRPr="00070085" w:rsidRDefault="00070085" w:rsidP="00070085">
            <w:pPr>
              <w:spacing w:line="240" w:lineRule="exact"/>
              <w:contextualSpacing/>
              <w:jc w:val="center"/>
              <w:rPr>
                <w:rFonts w:eastAsia="SimSun"/>
                <w:b/>
                <w:sz w:val="24"/>
                <w:szCs w:val="24"/>
              </w:rPr>
            </w:pPr>
            <w:r w:rsidRPr="00070085">
              <w:rPr>
                <w:rFonts w:eastAsia="Times New Roman"/>
                <w:b/>
                <w:sz w:val="24"/>
                <w:szCs w:val="24"/>
              </w:rPr>
              <w:t>100.0%</w:t>
            </w:r>
          </w:p>
        </w:tc>
        <w:tc>
          <w:tcPr>
            <w:tcW w:w="1290" w:type="dxa"/>
            <w:tcBorders>
              <w:top w:val="single" w:sz="4" w:space="0" w:color="auto"/>
              <w:bottom w:val="single" w:sz="4" w:space="0" w:color="auto"/>
            </w:tcBorders>
          </w:tcPr>
          <w:p w14:paraId="4E3528D7" w14:textId="77777777" w:rsidR="00070085" w:rsidRPr="00070085" w:rsidRDefault="00070085" w:rsidP="00070085">
            <w:pPr>
              <w:spacing w:line="240" w:lineRule="exact"/>
              <w:contextualSpacing/>
              <w:jc w:val="center"/>
              <w:rPr>
                <w:rFonts w:eastAsia="SimSun"/>
                <w:b/>
                <w:sz w:val="24"/>
                <w:szCs w:val="24"/>
              </w:rPr>
            </w:pPr>
            <w:r w:rsidRPr="00070085">
              <w:rPr>
                <w:rFonts w:eastAsia="Times New Roman"/>
                <w:b/>
                <w:sz w:val="24"/>
                <w:szCs w:val="24"/>
              </w:rPr>
              <w:t>100.0%</w:t>
            </w:r>
          </w:p>
        </w:tc>
        <w:tc>
          <w:tcPr>
            <w:tcW w:w="1290" w:type="dxa"/>
            <w:tcBorders>
              <w:top w:val="single" w:sz="4" w:space="0" w:color="auto"/>
              <w:bottom w:val="single" w:sz="4" w:space="0" w:color="auto"/>
            </w:tcBorders>
          </w:tcPr>
          <w:p w14:paraId="686C9CB7" w14:textId="77777777" w:rsidR="00070085" w:rsidRPr="00070085" w:rsidRDefault="00070085" w:rsidP="00070085">
            <w:pPr>
              <w:spacing w:line="240" w:lineRule="exact"/>
              <w:contextualSpacing/>
              <w:jc w:val="center"/>
              <w:rPr>
                <w:rFonts w:eastAsia="SimSun"/>
                <w:b/>
                <w:sz w:val="24"/>
                <w:szCs w:val="24"/>
              </w:rPr>
            </w:pPr>
          </w:p>
        </w:tc>
      </w:tr>
    </w:tbl>
    <w:p w14:paraId="067C63D7" w14:textId="77777777" w:rsidR="00070085" w:rsidRPr="00070085" w:rsidRDefault="00070085" w:rsidP="00070085">
      <w:pPr>
        <w:spacing w:after="120" w:line="240" w:lineRule="atLeast"/>
        <w:jc w:val="both"/>
        <w:rPr>
          <w:rFonts w:ascii="Times New Roman" w:eastAsia="Times New Roman" w:hAnsi="Times New Roman" w:cs="Times New Roman"/>
          <w:kern w:val="0"/>
          <w14:ligatures w14:val="none"/>
        </w:rPr>
      </w:pPr>
    </w:p>
    <w:p w14:paraId="6D0EE4D4" w14:textId="77777777" w:rsidR="00070085" w:rsidRPr="00070085" w:rsidRDefault="00070085" w:rsidP="00070085">
      <w:pPr>
        <w:spacing w:after="120" w:line="240" w:lineRule="atLeast"/>
        <w:jc w:val="both"/>
        <w:rPr>
          <w:rFonts w:ascii="Times New Roman" w:eastAsia="Times New Roman" w:hAnsi="Times New Roman" w:cs="Times New Roman"/>
          <w:kern w:val="0"/>
          <w14:ligatures w14:val="none"/>
        </w:rPr>
      </w:pPr>
      <w:r w:rsidRPr="00070085">
        <w:rPr>
          <w:rFonts w:ascii="Times New Roman" w:eastAsia="Times New Roman" w:hAnsi="Times New Roman" w:cs="Times New Roman"/>
          <w:kern w:val="0"/>
          <w14:ligatures w14:val="none"/>
        </w:rPr>
        <w:t>Table 4.1 presents the demographic profile of the 224 respondents, comprising middle and top-level managers in registered midstream oil and gas companies in Rivers State. With respect to management level, the majority were middle-level managers (</w:t>
      </w:r>
      <w:r w:rsidRPr="00070085">
        <w:rPr>
          <w:rFonts w:ascii="Times New Roman" w:eastAsia="Times New Roman" w:hAnsi="Times New Roman" w:cs="Times New Roman"/>
          <w:i/>
          <w:iCs/>
          <w:kern w:val="0"/>
          <w14:ligatures w14:val="none"/>
        </w:rPr>
        <w:t>n</w:t>
      </w:r>
      <w:r w:rsidRPr="00070085">
        <w:rPr>
          <w:rFonts w:ascii="Times New Roman" w:eastAsia="Times New Roman" w:hAnsi="Times New Roman" w:cs="Times New Roman"/>
          <w:kern w:val="0"/>
          <w14:ligatures w14:val="none"/>
        </w:rPr>
        <w:t xml:space="preserve"> = 134; 59.8%), while top-level managers accounted for 40.2% (</w:t>
      </w:r>
      <w:r w:rsidRPr="00070085">
        <w:rPr>
          <w:rFonts w:ascii="Times New Roman" w:eastAsia="Times New Roman" w:hAnsi="Times New Roman" w:cs="Times New Roman"/>
          <w:i/>
          <w:iCs/>
          <w:kern w:val="0"/>
          <w14:ligatures w14:val="none"/>
        </w:rPr>
        <w:t>n</w:t>
      </w:r>
      <w:r w:rsidRPr="00070085">
        <w:rPr>
          <w:rFonts w:ascii="Times New Roman" w:eastAsia="Times New Roman" w:hAnsi="Times New Roman" w:cs="Times New Roman"/>
          <w:kern w:val="0"/>
          <w14:ligatures w14:val="none"/>
        </w:rPr>
        <w:t xml:space="preserve"> = 90). This distribution indicates a reasonable coverage of both strategic decision-makers and operational supervisors, whose combined perspectives enrich the validity of findings on lean management systems and </w:t>
      </w:r>
      <w:proofErr w:type="spellStart"/>
      <w:r w:rsidRPr="00070085">
        <w:rPr>
          <w:rFonts w:ascii="Times New Roman" w:eastAsia="Times New Roman" w:hAnsi="Times New Roman" w:cs="Times New Roman"/>
          <w:kern w:val="0"/>
          <w14:ligatures w14:val="none"/>
        </w:rPr>
        <w:t>organisational</w:t>
      </w:r>
      <w:proofErr w:type="spellEnd"/>
      <w:r w:rsidRPr="00070085">
        <w:rPr>
          <w:rFonts w:ascii="Times New Roman" w:eastAsia="Times New Roman" w:hAnsi="Times New Roman" w:cs="Times New Roman"/>
          <w:kern w:val="0"/>
          <w14:ligatures w14:val="none"/>
        </w:rPr>
        <w:t xml:space="preserve"> effectiveness. Regarding years of industry experience, the modal category was 5–10 years (29.9%), followed by respondents with 16–20 years (25.4%), 11–15 years (20.5%), less than 5 years (13.4%), and above 20 years (10.7%). The predominance of respondents with 5–20 years of experience (75.8% combined) suggests that </w:t>
      </w:r>
      <w:r w:rsidRPr="00070085">
        <w:rPr>
          <w:rFonts w:ascii="Times New Roman" w:eastAsia="Times New Roman" w:hAnsi="Times New Roman" w:cs="Times New Roman"/>
          <w:kern w:val="0"/>
          <w14:ligatures w14:val="none"/>
        </w:rPr>
        <w:lastRenderedPageBreak/>
        <w:t xml:space="preserve">the sample possesses substantial operational familiarity with midstream processes, lending credibility to their assessments of lean practices and effectiveness outcomes. In terms of </w:t>
      </w:r>
      <w:proofErr w:type="spellStart"/>
      <w:r w:rsidRPr="00070085">
        <w:rPr>
          <w:rFonts w:ascii="Times New Roman" w:eastAsia="Times New Roman" w:hAnsi="Times New Roman" w:cs="Times New Roman"/>
          <w:kern w:val="0"/>
          <w14:ligatures w14:val="none"/>
        </w:rPr>
        <w:t>organisational</w:t>
      </w:r>
      <w:proofErr w:type="spellEnd"/>
      <w:r w:rsidRPr="00070085">
        <w:rPr>
          <w:rFonts w:ascii="Times New Roman" w:eastAsia="Times New Roman" w:hAnsi="Times New Roman" w:cs="Times New Roman"/>
          <w:kern w:val="0"/>
          <w14:ligatures w14:val="none"/>
        </w:rPr>
        <w:t xml:space="preserve"> tenure in the sector, the distribution was notably spread across mid-to-mature brackets: 29.0% operated for 11–20 years, 24.1% for 21–30 years, 21.4% for 5–10 years, 20.1% for above 30 years, and only 5.4% for less than 5 years. The fact that approximately 73.2% of the sampled </w:t>
      </w:r>
      <w:proofErr w:type="spellStart"/>
      <w:r w:rsidRPr="00070085">
        <w:rPr>
          <w:rFonts w:ascii="Times New Roman" w:eastAsia="Times New Roman" w:hAnsi="Times New Roman" w:cs="Times New Roman"/>
          <w:kern w:val="0"/>
          <w14:ligatures w14:val="none"/>
        </w:rPr>
        <w:t>organisations</w:t>
      </w:r>
      <w:proofErr w:type="spellEnd"/>
      <w:r w:rsidRPr="00070085">
        <w:rPr>
          <w:rFonts w:ascii="Times New Roman" w:eastAsia="Times New Roman" w:hAnsi="Times New Roman" w:cs="Times New Roman"/>
          <w:kern w:val="0"/>
          <w14:ligatures w14:val="none"/>
        </w:rPr>
        <w:t xml:space="preserve"> have been operational for over a decade provides confidence that respondents were drawing on established institutional experiences rather than nascent operations when evaluating lean management systems.</w:t>
      </w:r>
    </w:p>
    <w:p w14:paraId="6F6D7BEB" w14:textId="77777777" w:rsidR="00070085" w:rsidRPr="00070085" w:rsidRDefault="00070085" w:rsidP="00070085">
      <w:pPr>
        <w:spacing w:after="0" w:line="240" w:lineRule="exact"/>
        <w:contextualSpacing/>
        <w:jc w:val="both"/>
        <w:rPr>
          <w:rFonts w:ascii="Times New Roman" w:eastAsia="SimSun" w:hAnsi="Times New Roman" w:cs="Times New Roman"/>
          <w:b/>
          <w:kern w:val="0"/>
          <w14:ligatures w14:val="none"/>
        </w:rPr>
      </w:pPr>
      <w:proofErr w:type="gramStart"/>
      <w:r w:rsidRPr="00070085">
        <w:rPr>
          <w:rFonts w:ascii="Times New Roman" w:eastAsia="SimSun" w:hAnsi="Times New Roman" w:cs="Times New Roman"/>
          <w:b/>
          <w:kern w:val="0"/>
          <w14:ligatures w14:val="none"/>
        </w:rPr>
        <w:t>4.1.1  Univariate</w:t>
      </w:r>
      <w:proofErr w:type="gramEnd"/>
      <w:r w:rsidRPr="00070085">
        <w:rPr>
          <w:rFonts w:ascii="Times New Roman" w:eastAsia="SimSun" w:hAnsi="Times New Roman" w:cs="Times New Roman"/>
          <w:b/>
          <w:kern w:val="0"/>
          <w14:ligatures w14:val="none"/>
        </w:rPr>
        <w:t xml:space="preserve"> Analyses</w:t>
      </w:r>
    </w:p>
    <w:p w14:paraId="5637DD95" w14:textId="77777777" w:rsidR="00070085" w:rsidRPr="00070085" w:rsidRDefault="00070085" w:rsidP="00070085">
      <w:pPr>
        <w:spacing w:after="0" w:line="240" w:lineRule="exact"/>
        <w:contextualSpacing/>
        <w:jc w:val="both"/>
        <w:rPr>
          <w:rFonts w:ascii="Times New Roman" w:eastAsia="SimSun" w:hAnsi="Times New Roman" w:cs="Times New Roman"/>
          <w:b/>
          <w:kern w:val="0"/>
          <w14:ligatures w14:val="none"/>
        </w:rPr>
      </w:pPr>
      <w:proofErr w:type="gramStart"/>
      <w:r w:rsidRPr="00070085">
        <w:rPr>
          <w:rFonts w:ascii="Times New Roman" w:eastAsia="SimSun" w:hAnsi="Times New Roman" w:cs="Times New Roman"/>
          <w:b/>
          <w:kern w:val="0"/>
          <w14:ligatures w14:val="none"/>
        </w:rPr>
        <w:t>4.1.1.1  Continuous</w:t>
      </w:r>
      <w:proofErr w:type="gramEnd"/>
      <w:r w:rsidRPr="00070085">
        <w:rPr>
          <w:rFonts w:ascii="Times New Roman" w:eastAsia="SimSun" w:hAnsi="Times New Roman" w:cs="Times New Roman"/>
          <w:b/>
          <w:kern w:val="0"/>
          <w14:ligatures w14:val="none"/>
        </w:rPr>
        <w:t xml:space="preserve"> Improvement (CI)</w:t>
      </w:r>
    </w:p>
    <w:p w14:paraId="383C76AB" w14:textId="77777777" w:rsidR="00070085" w:rsidRPr="00070085" w:rsidRDefault="00070085" w:rsidP="00070085">
      <w:pPr>
        <w:spacing w:after="0" w:line="240" w:lineRule="exact"/>
        <w:contextualSpacing/>
        <w:jc w:val="both"/>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Table 4.2: Descriptive Statistics for Continuous Improvement (CI)</w:t>
      </w:r>
    </w:p>
    <w:tbl>
      <w:tblPr>
        <w:tblStyle w:val="TableGrid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326"/>
        <w:gridCol w:w="576"/>
        <w:gridCol w:w="643"/>
        <w:gridCol w:w="683"/>
        <w:gridCol w:w="803"/>
        <w:gridCol w:w="694"/>
        <w:gridCol w:w="763"/>
        <w:gridCol w:w="648"/>
        <w:gridCol w:w="723"/>
        <w:gridCol w:w="700"/>
      </w:tblGrid>
      <w:tr w:rsidR="00070085" w:rsidRPr="00070085" w14:paraId="19D799F8" w14:textId="77777777" w:rsidTr="005C4055">
        <w:tc>
          <w:tcPr>
            <w:tcW w:w="1752" w:type="pct"/>
            <w:tcBorders>
              <w:top w:val="single" w:sz="4" w:space="0" w:color="auto"/>
              <w:bottom w:val="single" w:sz="4" w:space="0" w:color="auto"/>
            </w:tcBorders>
          </w:tcPr>
          <w:p w14:paraId="02A15A4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Item</w:t>
            </w:r>
          </w:p>
        </w:tc>
        <w:tc>
          <w:tcPr>
            <w:tcW w:w="295" w:type="pct"/>
            <w:tcBorders>
              <w:top w:val="single" w:sz="4" w:space="0" w:color="auto"/>
              <w:bottom w:val="single" w:sz="4" w:space="0" w:color="auto"/>
            </w:tcBorders>
          </w:tcPr>
          <w:p w14:paraId="0311660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w:t>
            </w:r>
          </w:p>
        </w:tc>
        <w:tc>
          <w:tcPr>
            <w:tcW w:w="329" w:type="pct"/>
            <w:tcBorders>
              <w:top w:val="single" w:sz="4" w:space="0" w:color="auto"/>
              <w:bottom w:val="single" w:sz="4" w:space="0" w:color="auto"/>
            </w:tcBorders>
          </w:tcPr>
          <w:p w14:paraId="4D840DA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Min</w:t>
            </w:r>
          </w:p>
        </w:tc>
        <w:tc>
          <w:tcPr>
            <w:tcW w:w="349" w:type="pct"/>
            <w:tcBorders>
              <w:top w:val="single" w:sz="4" w:space="0" w:color="auto"/>
              <w:bottom w:val="single" w:sz="4" w:space="0" w:color="auto"/>
            </w:tcBorders>
          </w:tcPr>
          <w:p w14:paraId="5E0BF0B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Max</w:t>
            </w:r>
          </w:p>
        </w:tc>
        <w:tc>
          <w:tcPr>
            <w:tcW w:w="411" w:type="pct"/>
            <w:tcBorders>
              <w:top w:val="single" w:sz="4" w:space="0" w:color="auto"/>
              <w:bottom w:val="single" w:sz="4" w:space="0" w:color="auto"/>
            </w:tcBorders>
          </w:tcPr>
          <w:p w14:paraId="0B1D774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Mean</w:t>
            </w:r>
          </w:p>
        </w:tc>
        <w:tc>
          <w:tcPr>
            <w:tcW w:w="375" w:type="pct"/>
            <w:tcBorders>
              <w:top w:val="single" w:sz="4" w:space="0" w:color="auto"/>
              <w:bottom w:val="single" w:sz="4" w:space="0" w:color="auto"/>
            </w:tcBorders>
          </w:tcPr>
          <w:p w14:paraId="047531B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Std. Dev.</w:t>
            </w:r>
          </w:p>
        </w:tc>
        <w:tc>
          <w:tcPr>
            <w:tcW w:w="390" w:type="pct"/>
            <w:tcBorders>
              <w:top w:val="single" w:sz="4" w:space="0" w:color="auto"/>
              <w:bottom w:val="single" w:sz="4" w:space="0" w:color="auto"/>
            </w:tcBorders>
          </w:tcPr>
          <w:p w14:paraId="1EFFF971"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Skew</w:t>
            </w:r>
          </w:p>
          <w:p w14:paraId="5D1128F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ness</w:t>
            </w:r>
          </w:p>
        </w:tc>
        <w:tc>
          <w:tcPr>
            <w:tcW w:w="351" w:type="pct"/>
            <w:tcBorders>
              <w:top w:val="single" w:sz="4" w:space="0" w:color="auto"/>
              <w:bottom w:val="single" w:sz="4" w:space="0" w:color="auto"/>
            </w:tcBorders>
          </w:tcPr>
          <w:p w14:paraId="765E299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w:t>
            </w:r>
            <w:proofErr w:type="spellStart"/>
            <w:r w:rsidRPr="00070085">
              <w:rPr>
                <w:rFonts w:eastAsia="Times New Roman"/>
                <w:b/>
                <w:bCs/>
                <w:sz w:val="24"/>
                <w:szCs w:val="24"/>
              </w:rPr>
              <w:t>Sk</w:t>
            </w:r>
            <w:proofErr w:type="spellEnd"/>
            <w:r w:rsidRPr="00070085">
              <w:rPr>
                <w:rFonts w:eastAsia="Times New Roman"/>
                <w:b/>
                <w:bCs/>
                <w:sz w:val="24"/>
                <w:szCs w:val="24"/>
              </w:rPr>
              <w:t>)</w:t>
            </w:r>
          </w:p>
        </w:tc>
        <w:tc>
          <w:tcPr>
            <w:tcW w:w="370" w:type="pct"/>
            <w:tcBorders>
              <w:top w:val="single" w:sz="4" w:space="0" w:color="auto"/>
              <w:bottom w:val="single" w:sz="4" w:space="0" w:color="auto"/>
            </w:tcBorders>
          </w:tcPr>
          <w:p w14:paraId="156E1166"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Kurt</w:t>
            </w:r>
          </w:p>
          <w:p w14:paraId="3A9E28A2" w14:textId="77777777" w:rsidR="00070085" w:rsidRPr="00070085" w:rsidRDefault="00070085" w:rsidP="00070085">
            <w:pPr>
              <w:spacing w:line="240" w:lineRule="exact"/>
              <w:contextualSpacing/>
              <w:jc w:val="center"/>
              <w:rPr>
                <w:rFonts w:eastAsia="SimSun"/>
                <w:sz w:val="24"/>
                <w:szCs w:val="24"/>
              </w:rPr>
            </w:pPr>
            <w:proofErr w:type="spellStart"/>
            <w:r w:rsidRPr="00070085">
              <w:rPr>
                <w:rFonts w:eastAsia="Times New Roman"/>
                <w:b/>
                <w:bCs/>
                <w:sz w:val="24"/>
                <w:szCs w:val="24"/>
              </w:rPr>
              <w:t>osis</w:t>
            </w:r>
            <w:proofErr w:type="spellEnd"/>
          </w:p>
        </w:tc>
        <w:tc>
          <w:tcPr>
            <w:tcW w:w="378" w:type="pct"/>
            <w:tcBorders>
              <w:top w:val="single" w:sz="4" w:space="0" w:color="auto"/>
              <w:bottom w:val="single" w:sz="4" w:space="0" w:color="auto"/>
            </w:tcBorders>
          </w:tcPr>
          <w:p w14:paraId="608999A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(Ku)</w:t>
            </w:r>
          </w:p>
        </w:tc>
      </w:tr>
      <w:tr w:rsidR="00070085" w:rsidRPr="00070085" w14:paraId="7DFC0756" w14:textId="77777777" w:rsidTr="005C4055">
        <w:tc>
          <w:tcPr>
            <w:tcW w:w="1752" w:type="pct"/>
            <w:tcBorders>
              <w:top w:val="single" w:sz="4" w:space="0" w:color="auto"/>
            </w:tcBorders>
          </w:tcPr>
          <w:p w14:paraId="7F3A88D2"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systematically identifies and implements incremental improvements in pipeline operations and distribution processes to enhance overall performance.</w:t>
            </w:r>
          </w:p>
        </w:tc>
        <w:tc>
          <w:tcPr>
            <w:tcW w:w="295" w:type="pct"/>
            <w:tcBorders>
              <w:top w:val="single" w:sz="4" w:space="0" w:color="auto"/>
            </w:tcBorders>
          </w:tcPr>
          <w:p w14:paraId="039FD64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329" w:type="pct"/>
            <w:tcBorders>
              <w:top w:val="single" w:sz="4" w:space="0" w:color="auto"/>
            </w:tcBorders>
          </w:tcPr>
          <w:p w14:paraId="25ED251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349" w:type="pct"/>
            <w:tcBorders>
              <w:top w:val="single" w:sz="4" w:space="0" w:color="auto"/>
            </w:tcBorders>
          </w:tcPr>
          <w:p w14:paraId="15B5748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411" w:type="pct"/>
            <w:tcBorders>
              <w:top w:val="single" w:sz="4" w:space="0" w:color="auto"/>
            </w:tcBorders>
          </w:tcPr>
          <w:p w14:paraId="6D44DC6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3.51</w:t>
            </w:r>
          </w:p>
        </w:tc>
        <w:tc>
          <w:tcPr>
            <w:tcW w:w="375" w:type="pct"/>
            <w:tcBorders>
              <w:top w:val="single" w:sz="4" w:space="0" w:color="auto"/>
            </w:tcBorders>
          </w:tcPr>
          <w:p w14:paraId="05C72D9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.858</w:t>
            </w:r>
          </w:p>
        </w:tc>
        <w:tc>
          <w:tcPr>
            <w:tcW w:w="390" w:type="pct"/>
            <w:tcBorders>
              <w:top w:val="single" w:sz="4" w:space="0" w:color="auto"/>
            </w:tcBorders>
          </w:tcPr>
          <w:p w14:paraId="452C9DB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.058</w:t>
            </w:r>
          </w:p>
        </w:tc>
        <w:tc>
          <w:tcPr>
            <w:tcW w:w="351" w:type="pct"/>
            <w:tcBorders>
              <w:top w:val="single" w:sz="4" w:space="0" w:color="auto"/>
            </w:tcBorders>
          </w:tcPr>
          <w:p w14:paraId="5BAC827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370" w:type="pct"/>
            <w:tcBorders>
              <w:top w:val="single" w:sz="4" w:space="0" w:color="auto"/>
            </w:tcBorders>
          </w:tcPr>
          <w:p w14:paraId="04155C5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-.420</w:t>
            </w:r>
          </w:p>
        </w:tc>
        <w:tc>
          <w:tcPr>
            <w:tcW w:w="378" w:type="pct"/>
            <w:tcBorders>
              <w:top w:val="single" w:sz="4" w:space="0" w:color="auto"/>
            </w:tcBorders>
          </w:tcPr>
          <w:p w14:paraId="4284DC1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05AA55F6" w14:textId="77777777" w:rsidTr="005C4055">
        <w:tc>
          <w:tcPr>
            <w:tcW w:w="1752" w:type="pct"/>
          </w:tcPr>
          <w:p w14:paraId="48B27C28"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Management in our </w:t>
            </w:r>
            <w:proofErr w:type="spellStart"/>
            <w:r w:rsidRPr="00070085">
              <w:rPr>
                <w:rFonts w:eastAsia="Times New Roman"/>
                <w:sz w:val="24"/>
                <w:szCs w:val="24"/>
              </w:rPr>
              <w:t>organisation</w:t>
            </w:r>
            <w:proofErr w:type="spellEnd"/>
            <w:r w:rsidRPr="00070085">
              <w:rPr>
                <w:rFonts w:eastAsia="Times New Roman"/>
                <w:sz w:val="24"/>
                <w:szCs w:val="24"/>
              </w:rPr>
              <w:t xml:space="preserve"> regularly reviews key performance indicators (KPIs) to drive data-informed process improvements across all operational units.</w:t>
            </w:r>
          </w:p>
        </w:tc>
        <w:tc>
          <w:tcPr>
            <w:tcW w:w="295" w:type="pct"/>
          </w:tcPr>
          <w:p w14:paraId="0251E59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329" w:type="pct"/>
          </w:tcPr>
          <w:p w14:paraId="1AE0E01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349" w:type="pct"/>
          </w:tcPr>
          <w:p w14:paraId="40029CB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411" w:type="pct"/>
          </w:tcPr>
          <w:p w14:paraId="3F4303B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3.52</w:t>
            </w:r>
          </w:p>
        </w:tc>
        <w:tc>
          <w:tcPr>
            <w:tcW w:w="375" w:type="pct"/>
          </w:tcPr>
          <w:p w14:paraId="08F1E77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.836</w:t>
            </w:r>
          </w:p>
        </w:tc>
        <w:tc>
          <w:tcPr>
            <w:tcW w:w="390" w:type="pct"/>
          </w:tcPr>
          <w:p w14:paraId="43494FE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-.211</w:t>
            </w:r>
          </w:p>
        </w:tc>
        <w:tc>
          <w:tcPr>
            <w:tcW w:w="351" w:type="pct"/>
          </w:tcPr>
          <w:p w14:paraId="6E8AB63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370" w:type="pct"/>
          </w:tcPr>
          <w:p w14:paraId="5A7E4F4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-.081</w:t>
            </w:r>
          </w:p>
        </w:tc>
        <w:tc>
          <w:tcPr>
            <w:tcW w:w="378" w:type="pct"/>
          </w:tcPr>
          <w:p w14:paraId="3AB3254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500FAC33" w14:textId="77777777" w:rsidTr="005C4055">
        <w:tc>
          <w:tcPr>
            <w:tcW w:w="1752" w:type="pct"/>
          </w:tcPr>
          <w:p w14:paraId="72B07C2E"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employs structured methodologies to sustain a culture of continuous improvement in midstream operations.</w:t>
            </w:r>
          </w:p>
        </w:tc>
        <w:tc>
          <w:tcPr>
            <w:tcW w:w="295" w:type="pct"/>
          </w:tcPr>
          <w:p w14:paraId="7798EB4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329" w:type="pct"/>
          </w:tcPr>
          <w:p w14:paraId="40877C6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349" w:type="pct"/>
          </w:tcPr>
          <w:p w14:paraId="28BB70E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411" w:type="pct"/>
          </w:tcPr>
          <w:p w14:paraId="39E620D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3.51</w:t>
            </w:r>
          </w:p>
        </w:tc>
        <w:tc>
          <w:tcPr>
            <w:tcW w:w="375" w:type="pct"/>
          </w:tcPr>
          <w:p w14:paraId="4C8674F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.868</w:t>
            </w:r>
          </w:p>
        </w:tc>
        <w:tc>
          <w:tcPr>
            <w:tcW w:w="390" w:type="pct"/>
          </w:tcPr>
          <w:p w14:paraId="5D418BD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-.069</w:t>
            </w:r>
          </w:p>
        </w:tc>
        <w:tc>
          <w:tcPr>
            <w:tcW w:w="351" w:type="pct"/>
          </w:tcPr>
          <w:p w14:paraId="369F3AE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370" w:type="pct"/>
          </w:tcPr>
          <w:p w14:paraId="15A2C04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-.262</w:t>
            </w:r>
          </w:p>
        </w:tc>
        <w:tc>
          <w:tcPr>
            <w:tcW w:w="378" w:type="pct"/>
          </w:tcPr>
          <w:p w14:paraId="1FB724E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33A2D7E4" w14:textId="77777777" w:rsidTr="005C4055">
        <w:tc>
          <w:tcPr>
            <w:tcW w:w="1752" w:type="pct"/>
          </w:tcPr>
          <w:p w14:paraId="044E0B27"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Employees at all levels are actively encouraged and empowered to identify inefficiencies and propose improvement initiatives within their operational areas.</w:t>
            </w:r>
          </w:p>
        </w:tc>
        <w:tc>
          <w:tcPr>
            <w:tcW w:w="295" w:type="pct"/>
          </w:tcPr>
          <w:p w14:paraId="410E9CD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329" w:type="pct"/>
          </w:tcPr>
          <w:p w14:paraId="68A42E2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w:t>
            </w:r>
          </w:p>
        </w:tc>
        <w:tc>
          <w:tcPr>
            <w:tcW w:w="349" w:type="pct"/>
          </w:tcPr>
          <w:p w14:paraId="7D8CBCD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411" w:type="pct"/>
          </w:tcPr>
          <w:p w14:paraId="1B35FA1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3.56</w:t>
            </w:r>
          </w:p>
        </w:tc>
        <w:tc>
          <w:tcPr>
            <w:tcW w:w="375" w:type="pct"/>
          </w:tcPr>
          <w:p w14:paraId="00C8512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.850</w:t>
            </w:r>
          </w:p>
        </w:tc>
        <w:tc>
          <w:tcPr>
            <w:tcW w:w="390" w:type="pct"/>
          </w:tcPr>
          <w:p w14:paraId="1FDDDDE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-.028</w:t>
            </w:r>
          </w:p>
        </w:tc>
        <w:tc>
          <w:tcPr>
            <w:tcW w:w="351" w:type="pct"/>
          </w:tcPr>
          <w:p w14:paraId="1D9671C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370" w:type="pct"/>
          </w:tcPr>
          <w:p w14:paraId="2F97F7F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-.603</w:t>
            </w:r>
          </w:p>
        </w:tc>
        <w:tc>
          <w:tcPr>
            <w:tcW w:w="378" w:type="pct"/>
          </w:tcPr>
          <w:p w14:paraId="7410629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22514E7D" w14:textId="77777777" w:rsidTr="005C4055">
        <w:tc>
          <w:tcPr>
            <w:tcW w:w="1752" w:type="pct"/>
          </w:tcPr>
          <w:p w14:paraId="09411B53"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benchmarks its operational processes against industry best practices and standards to drive continuous performance enhancement.</w:t>
            </w:r>
          </w:p>
        </w:tc>
        <w:tc>
          <w:tcPr>
            <w:tcW w:w="295" w:type="pct"/>
          </w:tcPr>
          <w:p w14:paraId="21C1FC4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329" w:type="pct"/>
          </w:tcPr>
          <w:p w14:paraId="29F8AB7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349" w:type="pct"/>
          </w:tcPr>
          <w:p w14:paraId="43D7462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411" w:type="pct"/>
          </w:tcPr>
          <w:p w14:paraId="34AC2AE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3.50</w:t>
            </w:r>
          </w:p>
        </w:tc>
        <w:tc>
          <w:tcPr>
            <w:tcW w:w="375" w:type="pct"/>
          </w:tcPr>
          <w:p w14:paraId="4BF6B1B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.858</w:t>
            </w:r>
          </w:p>
        </w:tc>
        <w:tc>
          <w:tcPr>
            <w:tcW w:w="390" w:type="pct"/>
          </w:tcPr>
          <w:p w14:paraId="520D86F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-.057</w:t>
            </w:r>
          </w:p>
        </w:tc>
        <w:tc>
          <w:tcPr>
            <w:tcW w:w="351" w:type="pct"/>
          </w:tcPr>
          <w:p w14:paraId="6C005DE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370" w:type="pct"/>
          </w:tcPr>
          <w:p w14:paraId="651EE6B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-.416</w:t>
            </w:r>
          </w:p>
        </w:tc>
        <w:tc>
          <w:tcPr>
            <w:tcW w:w="378" w:type="pct"/>
          </w:tcPr>
          <w:p w14:paraId="6D84FFA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57AF1BC5" w14:textId="77777777" w:rsidTr="005C4055">
        <w:tc>
          <w:tcPr>
            <w:tcW w:w="1752" w:type="pct"/>
          </w:tcPr>
          <w:p w14:paraId="243CE58F"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has established feedback mechanisms that ensure lessons learned from operational incidents and audits are embedded into process improvement plans.</w:t>
            </w:r>
          </w:p>
        </w:tc>
        <w:tc>
          <w:tcPr>
            <w:tcW w:w="295" w:type="pct"/>
          </w:tcPr>
          <w:p w14:paraId="4F3F51C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329" w:type="pct"/>
          </w:tcPr>
          <w:p w14:paraId="4B30126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w:t>
            </w:r>
          </w:p>
        </w:tc>
        <w:tc>
          <w:tcPr>
            <w:tcW w:w="349" w:type="pct"/>
          </w:tcPr>
          <w:p w14:paraId="0E40047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411" w:type="pct"/>
          </w:tcPr>
          <w:p w14:paraId="48F72DE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3.50</w:t>
            </w:r>
          </w:p>
        </w:tc>
        <w:tc>
          <w:tcPr>
            <w:tcW w:w="375" w:type="pct"/>
          </w:tcPr>
          <w:p w14:paraId="4DA8E25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.868</w:t>
            </w:r>
          </w:p>
        </w:tc>
        <w:tc>
          <w:tcPr>
            <w:tcW w:w="390" w:type="pct"/>
          </w:tcPr>
          <w:p w14:paraId="6300F5C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.028</w:t>
            </w:r>
          </w:p>
        </w:tc>
        <w:tc>
          <w:tcPr>
            <w:tcW w:w="351" w:type="pct"/>
          </w:tcPr>
          <w:p w14:paraId="36E0E38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370" w:type="pct"/>
          </w:tcPr>
          <w:p w14:paraId="6C847F0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-.655</w:t>
            </w:r>
          </w:p>
        </w:tc>
        <w:tc>
          <w:tcPr>
            <w:tcW w:w="378" w:type="pct"/>
          </w:tcPr>
          <w:p w14:paraId="320A7EC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bl>
    <w:p w14:paraId="73C92F3A"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0825BC09" w14:textId="77777777" w:rsidR="00070085" w:rsidRPr="00070085" w:rsidRDefault="00070085" w:rsidP="00070085">
      <w:pPr>
        <w:spacing w:after="120" w:line="240" w:lineRule="exact"/>
        <w:contextualSpacing/>
        <w:jc w:val="both"/>
        <w:rPr>
          <w:rFonts w:ascii="Times New Roman" w:eastAsia="SimSun" w:hAnsi="Times New Roman" w:cs="Times New Roman"/>
          <w:kern w:val="0"/>
          <w14:ligatures w14:val="none"/>
        </w:rPr>
      </w:pPr>
      <w:r w:rsidRPr="00070085">
        <w:rPr>
          <w:rFonts w:ascii="Times New Roman" w:eastAsia="SimSun" w:hAnsi="Times New Roman" w:cs="Times New Roman"/>
          <w:kern w:val="0"/>
          <w14:ligatures w14:val="none"/>
        </w:rPr>
        <w:t xml:space="preserve">Table 4.2 presents the descriptive statistics for Continuous Improvement (CI). Mean scores across the six items ranged from 3.50 to 3.56, yielding an overall construct mean of approximately 3.52 on the five-point Likert scale. The highest-rated item was employee empowerment to identify inefficiencies and propose improvement initiatives (M = 3.56, SD = .850), while three items - process benchmarking against industry best practices, systematic incremental improvements in pipeline operations, and embedded feedback mechanisms, shared the lowest mean of 3.50. Standard deviations across all items hovered narrowly between .836 and .868, suggesting moderate and consistent variability in respondent perceptions. Skewness values were near zero, ranging from -.211 </w:t>
      </w:r>
      <w:r w:rsidRPr="00070085">
        <w:rPr>
          <w:rFonts w:ascii="Times New Roman" w:eastAsia="SimSun" w:hAnsi="Times New Roman" w:cs="Times New Roman"/>
          <w:kern w:val="0"/>
          <w14:ligatures w14:val="none"/>
        </w:rPr>
        <w:lastRenderedPageBreak/>
        <w:t xml:space="preserve">to .058, indicating approximately symmetric distributions with no significant directional bias. Kurtosis values were negative across five of the six items (ranging from -.655 to -.081), denoting slightly platykurtic distributions, that is, responses were more spread across the Likert scale rather than concentrated at a single point. Collectively, these statistics indicate moderate-to-positive perceptions of continuous improvement practices among midstream oil and gas managers in Rivers State, reflecting reasonable </w:t>
      </w:r>
      <w:proofErr w:type="spellStart"/>
      <w:r w:rsidRPr="00070085">
        <w:rPr>
          <w:rFonts w:ascii="Times New Roman" w:eastAsia="SimSun" w:hAnsi="Times New Roman" w:cs="Times New Roman"/>
          <w:kern w:val="0"/>
          <w14:ligatures w14:val="none"/>
        </w:rPr>
        <w:t>organisational</w:t>
      </w:r>
      <w:proofErr w:type="spellEnd"/>
      <w:r w:rsidRPr="00070085">
        <w:rPr>
          <w:rFonts w:ascii="Times New Roman" w:eastAsia="SimSun" w:hAnsi="Times New Roman" w:cs="Times New Roman"/>
          <w:kern w:val="0"/>
          <w14:ligatures w14:val="none"/>
        </w:rPr>
        <w:t xml:space="preserve"> engagement with CI frameworks</w:t>
      </w:r>
      <w:r w:rsidRPr="00070085">
        <w:rPr>
          <w:rFonts w:ascii="Times New Roman" w:eastAsia="Times New Roman" w:hAnsi="Times New Roman" w:cs="Times New Roman"/>
          <w:kern w:val="0"/>
          <w14:ligatures w14:val="none"/>
        </w:rPr>
        <w:t>.</w:t>
      </w:r>
    </w:p>
    <w:p w14:paraId="2AAB5167"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095EB5BC" w14:textId="77777777" w:rsidR="00070085" w:rsidRPr="00070085" w:rsidRDefault="00070085" w:rsidP="00070085">
      <w:pPr>
        <w:spacing w:after="0" w:line="240" w:lineRule="auto"/>
        <w:contextualSpacing/>
        <w:jc w:val="both"/>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4.1.1.2 Waste Elimination (WE)</w:t>
      </w:r>
    </w:p>
    <w:p w14:paraId="116EB48F" w14:textId="77777777" w:rsidR="00070085" w:rsidRPr="00070085" w:rsidRDefault="00070085" w:rsidP="00070085">
      <w:pPr>
        <w:spacing w:after="0" w:line="240" w:lineRule="auto"/>
        <w:contextualSpacing/>
        <w:jc w:val="both"/>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Table 4.3: Descriptive Statistics for Waste Elimination (WE)</w:t>
      </w:r>
    </w:p>
    <w:tbl>
      <w:tblPr>
        <w:tblStyle w:val="TableGrid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576"/>
        <w:gridCol w:w="643"/>
        <w:gridCol w:w="683"/>
        <w:gridCol w:w="803"/>
        <w:gridCol w:w="726"/>
        <w:gridCol w:w="763"/>
        <w:gridCol w:w="681"/>
        <w:gridCol w:w="843"/>
        <w:gridCol w:w="734"/>
      </w:tblGrid>
      <w:tr w:rsidR="00070085" w:rsidRPr="00070085" w14:paraId="2C8FFFA9" w14:textId="77777777" w:rsidTr="005C4055">
        <w:tc>
          <w:tcPr>
            <w:tcW w:w="0" w:type="auto"/>
            <w:tcBorders>
              <w:top w:val="single" w:sz="4" w:space="0" w:color="auto"/>
              <w:bottom w:val="single" w:sz="4" w:space="0" w:color="auto"/>
            </w:tcBorders>
          </w:tcPr>
          <w:p w14:paraId="5F117B7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Item</w:t>
            </w:r>
          </w:p>
        </w:tc>
        <w:tc>
          <w:tcPr>
            <w:tcW w:w="0" w:type="auto"/>
            <w:tcBorders>
              <w:top w:val="single" w:sz="4" w:space="0" w:color="auto"/>
              <w:bottom w:val="single" w:sz="4" w:space="0" w:color="auto"/>
            </w:tcBorders>
          </w:tcPr>
          <w:p w14:paraId="3CBA297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w:t>
            </w:r>
          </w:p>
        </w:tc>
        <w:tc>
          <w:tcPr>
            <w:tcW w:w="0" w:type="auto"/>
            <w:tcBorders>
              <w:top w:val="single" w:sz="4" w:space="0" w:color="auto"/>
              <w:bottom w:val="single" w:sz="4" w:space="0" w:color="auto"/>
            </w:tcBorders>
          </w:tcPr>
          <w:p w14:paraId="4CD5C4F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Min</w:t>
            </w:r>
          </w:p>
        </w:tc>
        <w:tc>
          <w:tcPr>
            <w:tcW w:w="0" w:type="auto"/>
            <w:tcBorders>
              <w:top w:val="single" w:sz="4" w:space="0" w:color="auto"/>
              <w:bottom w:val="single" w:sz="4" w:space="0" w:color="auto"/>
            </w:tcBorders>
          </w:tcPr>
          <w:p w14:paraId="3FF353C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Max</w:t>
            </w:r>
          </w:p>
        </w:tc>
        <w:tc>
          <w:tcPr>
            <w:tcW w:w="0" w:type="auto"/>
            <w:tcBorders>
              <w:top w:val="single" w:sz="4" w:space="0" w:color="auto"/>
              <w:bottom w:val="single" w:sz="4" w:space="0" w:color="auto"/>
            </w:tcBorders>
          </w:tcPr>
          <w:p w14:paraId="74E1339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Mean</w:t>
            </w:r>
          </w:p>
        </w:tc>
        <w:tc>
          <w:tcPr>
            <w:tcW w:w="0" w:type="auto"/>
            <w:tcBorders>
              <w:top w:val="single" w:sz="4" w:space="0" w:color="auto"/>
              <w:bottom w:val="single" w:sz="4" w:space="0" w:color="auto"/>
            </w:tcBorders>
          </w:tcPr>
          <w:p w14:paraId="7E85C45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Std. Dev.</w:t>
            </w:r>
          </w:p>
        </w:tc>
        <w:tc>
          <w:tcPr>
            <w:tcW w:w="0" w:type="auto"/>
            <w:tcBorders>
              <w:top w:val="single" w:sz="4" w:space="0" w:color="auto"/>
              <w:bottom w:val="single" w:sz="4" w:space="0" w:color="auto"/>
            </w:tcBorders>
          </w:tcPr>
          <w:p w14:paraId="6CCACB6B"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Skew</w:t>
            </w:r>
          </w:p>
          <w:p w14:paraId="3AEACB8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ness</w:t>
            </w:r>
          </w:p>
        </w:tc>
        <w:tc>
          <w:tcPr>
            <w:tcW w:w="0" w:type="auto"/>
            <w:tcBorders>
              <w:top w:val="single" w:sz="4" w:space="0" w:color="auto"/>
              <w:bottom w:val="single" w:sz="4" w:space="0" w:color="auto"/>
            </w:tcBorders>
          </w:tcPr>
          <w:p w14:paraId="5C8E8CB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w:t>
            </w:r>
            <w:proofErr w:type="spellStart"/>
            <w:r w:rsidRPr="00070085">
              <w:rPr>
                <w:rFonts w:eastAsia="Times New Roman"/>
                <w:b/>
                <w:bCs/>
                <w:sz w:val="24"/>
                <w:szCs w:val="24"/>
              </w:rPr>
              <w:t>Sk</w:t>
            </w:r>
            <w:proofErr w:type="spellEnd"/>
            <w:r w:rsidRPr="00070085">
              <w:rPr>
                <w:rFonts w:eastAsia="Times New Roman"/>
                <w:b/>
                <w:bCs/>
                <w:sz w:val="24"/>
                <w:szCs w:val="24"/>
              </w:rPr>
              <w:t>)</w:t>
            </w:r>
          </w:p>
        </w:tc>
        <w:tc>
          <w:tcPr>
            <w:tcW w:w="0" w:type="auto"/>
            <w:tcBorders>
              <w:top w:val="single" w:sz="4" w:space="0" w:color="auto"/>
              <w:bottom w:val="single" w:sz="4" w:space="0" w:color="auto"/>
            </w:tcBorders>
          </w:tcPr>
          <w:p w14:paraId="63B891A2" w14:textId="77777777" w:rsidR="00070085" w:rsidRPr="00070085" w:rsidRDefault="00070085" w:rsidP="00070085">
            <w:pPr>
              <w:spacing w:line="240" w:lineRule="exact"/>
              <w:contextualSpacing/>
              <w:jc w:val="center"/>
              <w:rPr>
                <w:rFonts w:eastAsia="Times New Roman"/>
                <w:b/>
                <w:bCs/>
                <w:sz w:val="24"/>
                <w:szCs w:val="24"/>
              </w:rPr>
            </w:pPr>
            <w:proofErr w:type="spellStart"/>
            <w:r w:rsidRPr="00070085">
              <w:rPr>
                <w:rFonts w:eastAsia="Times New Roman"/>
                <w:b/>
                <w:bCs/>
                <w:sz w:val="24"/>
                <w:szCs w:val="24"/>
              </w:rPr>
              <w:t>Kurto</w:t>
            </w:r>
            <w:proofErr w:type="spellEnd"/>
          </w:p>
          <w:p w14:paraId="3AB7CF3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sis</w:t>
            </w:r>
          </w:p>
        </w:tc>
        <w:tc>
          <w:tcPr>
            <w:tcW w:w="0" w:type="auto"/>
            <w:tcBorders>
              <w:top w:val="single" w:sz="4" w:space="0" w:color="auto"/>
              <w:bottom w:val="single" w:sz="4" w:space="0" w:color="auto"/>
            </w:tcBorders>
          </w:tcPr>
          <w:p w14:paraId="38944E6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(Ku)</w:t>
            </w:r>
          </w:p>
        </w:tc>
      </w:tr>
      <w:tr w:rsidR="00070085" w:rsidRPr="00070085" w14:paraId="05415F7B" w14:textId="77777777" w:rsidTr="005C4055">
        <w:tc>
          <w:tcPr>
            <w:tcW w:w="0" w:type="auto"/>
            <w:tcBorders>
              <w:top w:val="single" w:sz="4" w:space="0" w:color="auto"/>
            </w:tcBorders>
          </w:tcPr>
          <w:p w14:paraId="2B4FCC1D"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has implemented lean tools to systematically identify and eliminate non-value-adding activities in midstream operations.</w:t>
            </w:r>
          </w:p>
        </w:tc>
        <w:tc>
          <w:tcPr>
            <w:tcW w:w="0" w:type="auto"/>
            <w:tcBorders>
              <w:top w:val="single" w:sz="4" w:space="0" w:color="auto"/>
            </w:tcBorders>
          </w:tcPr>
          <w:p w14:paraId="2F56469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Borders>
              <w:top w:val="single" w:sz="4" w:space="0" w:color="auto"/>
            </w:tcBorders>
          </w:tcPr>
          <w:p w14:paraId="1BDE980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Borders>
              <w:top w:val="single" w:sz="4" w:space="0" w:color="auto"/>
            </w:tcBorders>
          </w:tcPr>
          <w:p w14:paraId="4579F19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Borders>
              <w:top w:val="single" w:sz="4" w:space="0" w:color="auto"/>
            </w:tcBorders>
          </w:tcPr>
          <w:p w14:paraId="72372E6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3.50</w:t>
            </w:r>
          </w:p>
        </w:tc>
        <w:tc>
          <w:tcPr>
            <w:tcW w:w="0" w:type="auto"/>
            <w:tcBorders>
              <w:top w:val="single" w:sz="4" w:space="0" w:color="auto"/>
            </w:tcBorders>
          </w:tcPr>
          <w:p w14:paraId="49FB6CB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.878</w:t>
            </w:r>
          </w:p>
        </w:tc>
        <w:tc>
          <w:tcPr>
            <w:tcW w:w="0" w:type="auto"/>
            <w:tcBorders>
              <w:top w:val="single" w:sz="4" w:space="0" w:color="auto"/>
            </w:tcBorders>
          </w:tcPr>
          <w:p w14:paraId="4D85D5A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-.294</w:t>
            </w:r>
          </w:p>
        </w:tc>
        <w:tc>
          <w:tcPr>
            <w:tcW w:w="0" w:type="auto"/>
            <w:tcBorders>
              <w:top w:val="single" w:sz="4" w:space="0" w:color="auto"/>
            </w:tcBorders>
          </w:tcPr>
          <w:p w14:paraId="22637F6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Borders>
              <w:top w:val="single" w:sz="4" w:space="0" w:color="auto"/>
            </w:tcBorders>
          </w:tcPr>
          <w:p w14:paraId="5E1C652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-.123</w:t>
            </w:r>
          </w:p>
        </w:tc>
        <w:tc>
          <w:tcPr>
            <w:tcW w:w="0" w:type="auto"/>
            <w:tcBorders>
              <w:top w:val="single" w:sz="4" w:space="0" w:color="auto"/>
            </w:tcBorders>
          </w:tcPr>
          <w:p w14:paraId="0262040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2E1EE97D" w14:textId="77777777" w:rsidTr="005C4055">
        <w:tc>
          <w:tcPr>
            <w:tcW w:w="0" w:type="auto"/>
          </w:tcPr>
          <w:p w14:paraId="37F8AA7B"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actively </w:t>
            </w:r>
            <w:proofErr w:type="spellStart"/>
            <w:r w:rsidRPr="00070085">
              <w:rPr>
                <w:rFonts w:eastAsia="Times New Roman"/>
                <w:sz w:val="24"/>
                <w:szCs w:val="24"/>
              </w:rPr>
              <w:t>minimises</w:t>
            </w:r>
            <w:proofErr w:type="spellEnd"/>
            <w:r w:rsidRPr="00070085">
              <w:rPr>
                <w:rFonts w:eastAsia="Times New Roman"/>
                <w:sz w:val="24"/>
                <w:szCs w:val="24"/>
              </w:rPr>
              <w:t xml:space="preserve"> energy waste and resource over-consumption across its pipeline transportation and gas processing facilities.</w:t>
            </w:r>
          </w:p>
        </w:tc>
        <w:tc>
          <w:tcPr>
            <w:tcW w:w="0" w:type="auto"/>
          </w:tcPr>
          <w:p w14:paraId="59B1156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798DF99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56ACD70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3FC29C0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3.50</w:t>
            </w:r>
          </w:p>
        </w:tc>
        <w:tc>
          <w:tcPr>
            <w:tcW w:w="0" w:type="auto"/>
          </w:tcPr>
          <w:p w14:paraId="27E8D35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.847</w:t>
            </w:r>
          </w:p>
        </w:tc>
        <w:tc>
          <w:tcPr>
            <w:tcW w:w="0" w:type="auto"/>
          </w:tcPr>
          <w:p w14:paraId="2A00BB2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-.237</w:t>
            </w:r>
          </w:p>
        </w:tc>
        <w:tc>
          <w:tcPr>
            <w:tcW w:w="0" w:type="auto"/>
          </w:tcPr>
          <w:p w14:paraId="7918750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3A4E475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-.369</w:t>
            </w:r>
          </w:p>
        </w:tc>
        <w:tc>
          <w:tcPr>
            <w:tcW w:w="0" w:type="auto"/>
          </w:tcPr>
          <w:p w14:paraId="6812A3B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11074866" w14:textId="77777777" w:rsidTr="005C4055">
        <w:tc>
          <w:tcPr>
            <w:tcW w:w="0" w:type="auto"/>
          </w:tcPr>
          <w:p w14:paraId="72F0239E"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has effective inventory management systems that prevent overstocking, material wastage, and associated financial losses.</w:t>
            </w:r>
          </w:p>
        </w:tc>
        <w:tc>
          <w:tcPr>
            <w:tcW w:w="0" w:type="auto"/>
          </w:tcPr>
          <w:p w14:paraId="019361F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0E229E2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6119C19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3425970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3.52</w:t>
            </w:r>
          </w:p>
        </w:tc>
        <w:tc>
          <w:tcPr>
            <w:tcW w:w="0" w:type="auto"/>
          </w:tcPr>
          <w:p w14:paraId="211F30B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.857</w:t>
            </w:r>
          </w:p>
        </w:tc>
        <w:tc>
          <w:tcPr>
            <w:tcW w:w="0" w:type="auto"/>
          </w:tcPr>
          <w:p w14:paraId="449BF80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-.199</w:t>
            </w:r>
          </w:p>
        </w:tc>
        <w:tc>
          <w:tcPr>
            <w:tcW w:w="0" w:type="auto"/>
          </w:tcPr>
          <w:p w14:paraId="2E8601F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66059AF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-.192</w:t>
            </w:r>
          </w:p>
        </w:tc>
        <w:tc>
          <w:tcPr>
            <w:tcW w:w="0" w:type="auto"/>
          </w:tcPr>
          <w:p w14:paraId="0017182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53FA097C" w14:textId="77777777" w:rsidTr="005C4055">
        <w:tc>
          <w:tcPr>
            <w:tcW w:w="0" w:type="auto"/>
          </w:tcPr>
          <w:p w14:paraId="5F71208F"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Downtime resulting from equipment failure or process inefficiencies is proactively managed and reduced through predictive and preventive maintenance strategies.</w:t>
            </w:r>
          </w:p>
        </w:tc>
        <w:tc>
          <w:tcPr>
            <w:tcW w:w="0" w:type="auto"/>
          </w:tcPr>
          <w:p w14:paraId="11FAFB9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649297D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66D8C21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249BC1A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3.53</w:t>
            </w:r>
          </w:p>
        </w:tc>
        <w:tc>
          <w:tcPr>
            <w:tcW w:w="0" w:type="auto"/>
          </w:tcPr>
          <w:p w14:paraId="06610BD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.847</w:t>
            </w:r>
          </w:p>
        </w:tc>
        <w:tc>
          <w:tcPr>
            <w:tcW w:w="0" w:type="auto"/>
          </w:tcPr>
          <w:p w14:paraId="540F3D3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-.264</w:t>
            </w:r>
          </w:p>
        </w:tc>
        <w:tc>
          <w:tcPr>
            <w:tcW w:w="0" w:type="auto"/>
          </w:tcPr>
          <w:p w14:paraId="67AB930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3C3595D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-.126</w:t>
            </w:r>
          </w:p>
        </w:tc>
        <w:tc>
          <w:tcPr>
            <w:tcW w:w="0" w:type="auto"/>
          </w:tcPr>
          <w:p w14:paraId="6EC3434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605CA38D" w14:textId="77777777" w:rsidTr="005C4055">
        <w:tc>
          <w:tcPr>
            <w:tcW w:w="0" w:type="auto"/>
          </w:tcPr>
          <w:p w14:paraId="3A4AC785"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regularly conducts waste audits to monitor, measure, and report on waste reduction progress across operational departments.</w:t>
            </w:r>
          </w:p>
        </w:tc>
        <w:tc>
          <w:tcPr>
            <w:tcW w:w="0" w:type="auto"/>
          </w:tcPr>
          <w:p w14:paraId="61D4FB4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42B7C07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1E5F2C2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442DEAB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3.49</w:t>
            </w:r>
          </w:p>
        </w:tc>
        <w:tc>
          <w:tcPr>
            <w:tcW w:w="0" w:type="auto"/>
          </w:tcPr>
          <w:p w14:paraId="3091ABA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.873</w:t>
            </w:r>
          </w:p>
        </w:tc>
        <w:tc>
          <w:tcPr>
            <w:tcW w:w="0" w:type="auto"/>
          </w:tcPr>
          <w:p w14:paraId="5F72B1E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-.278</w:t>
            </w:r>
          </w:p>
        </w:tc>
        <w:tc>
          <w:tcPr>
            <w:tcW w:w="0" w:type="auto"/>
          </w:tcPr>
          <w:p w14:paraId="4E1EF5E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14CB9D3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-.302</w:t>
            </w:r>
          </w:p>
        </w:tc>
        <w:tc>
          <w:tcPr>
            <w:tcW w:w="0" w:type="auto"/>
          </w:tcPr>
          <w:p w14:paraId="625B371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643045CB" w14:textId="77777777" w:rsidTr="005C4055">
        <w:tc>
          <w:tcPr>
            <w:tcW w:w="0" w:type="auto"/>
          </w:tcPr>
          <w:p w14:paraId="5CFB3548"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has reduced rework, defects, and operational errors through the adoption of </w:t>
            </w:r>
            <w:proofErr w:type="spellStart"/>
            <w:r w:rsidRPr="00070085">
              <w:rPr>
                <w:rFonts w:eastAsia="Times New Roman"/>
                <w:sz w:val="24"/>
                <w:szCs w:val="24"/>
              </w:rPr>
              <w:t>standardised</w:t>
            </w:r>
            <w:proofErr w:type="spellEnd"/>
            <w:r w:rsidRPr="00070085">
              <w:rPr>
                <w:rFonts w:eastAsia="Times New Roman"/>
                <w:sz w:val="24"/>
                <w:szCs w:val="24"/>
              </w:rPr>
              <w:t xml:space="preserve"> work procedures and quality control protocols.</w:t>
            </w:r>
          </w:p>
        </w:tc>
        <w:tc>
          <w:tcPr>
            <w:tcW w:w="0" w:type="auto"/>
          </w:tcPr>
          <w:p w14:paraId="2C37FBE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7AC874B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77332EA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0190CAB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3.51</w:t>
            </w:r>
          </w:p>
        </w:tc>
        <w:tc>
          <w:tcPr>
            <w:tcW w:w="0" w:type="auto"/>
          </w:tcPr>
          <w:p w14:paraId="2ABD2AB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.878</w:t>
            </w:r>
          </w:p>
        </w:tc>
        <w:tc>
          <w:tcPr>
            <w:tcW w:w="0" w:type="auto"/>
          </w:tcPr>
          <w:p w14:paraId="361D7C3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-.148</w:t>
            </w:r>
          </w:p>
        </w:tc>
        <w:tc>
          <w:tcPr>
            <w:tcW w:w="0" w:type="auto"/>
          </w:tcPr>
          <w:p w14:paraId="24330A0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5513BD8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.063</w:t>
            </w:r>
          </w:p>
        </w:tc>
        <w:tc>
          <w:tcPr>
            <w:tcW w:w="0" w:type="auto"/>
          </w:tcPr>
          <w:p w14:paraId="715BA75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bl>
    <w:p w14:paraId="2AF260C7"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2F777894" w14:textId="77777777" w:rsidR="00070085" w:rsidRPr="00070085" w:rsidRDefault="00070085" w:rsidP="00070085">
      <w:pPr>
        <w:spacing w:after="120" w:line="240" w:lineRule="exact"/>
        <w:contextualSpacing/>
        <w:jc w:val="both"/>
        <w:rPr>
          <w:rFonts w:ascii="Times New Roman" w:eastAsia="Times New Roman" w:hAnsi="Times New Roman" w:cs="Times New Roman"/>
          <w:kern w:val="0"/>
          <w14:ligatures w14:val="none"/>
        </w:rPr>
      </w:pPr>
      <w:r w:rsidRPr="00070085">
        <w:rPr>
          <w:rFonts w:ascii="Times New Roman" w:eastAsia="SimSun" w:hAnsi="Times New Roman" w:cs="Times New Roman"/>
          <w:kern w:val="0"/>
          <w14:ligatures w14:val="none"/>
        </w:rPr>
        <w:t xml:space="preserve">The descriptive statistics for Waste Elimination (WE), as presented in Table 4.3, reveal an overall construct mean of approximately 3.51, with item means ranging from 3.49 to 3.53. The highest mean was recorded for the proactive management of equipment downtime through predictive and preventive maintenance (M = 3.53, SD = .847), while the item on waste audit practices recorded the lowest mean (M = 3.49, SD = .873). Standard deviations ranged from .847 to .878, which are consistent with the CI construct, denoting moderate dispersion. All skewness values were negative (ranging from -.294 to -.148), indicating that responses skewed slightly toward the agree end of the scale, with the item on lean tool implementation recording the most pronounced negative skewness (-.294). Kurtosis values were relatively low, ranging from -.369 to .063, suggesting broadly </w:t>
      </w:r>
      <w:r w:rsidRPr="00070085">
        <w:rPr>
          <w:rFonts w:ascii="Times New Roman" w:eastAsia="SimSun" w:hAnsi="Times New Roman" w:cs="Times New Roman"/>
          <w:kern w:val="0"/>
          <w14:ligatures w14:val="none"/>
        </w:rPr>
        <w:lastRenderedPageBreak/>
        <w:t xml:space="preserve">distributed rather than peaked response patterns. Notably, the item on reducing rework and defects through </w:t>
      </w:r>
      <w:proofErr w:type="spellStart"/>
      <w:r w:rsidRPr="00070085">
        <w:rPr>
          <w:rFonts w:ascii="Times New Roman" w:eastAsia="SimSun" w:hAnsi="Times New Roman" w:cs="Times New Roman"/>
          <w:kern w:val="0"/>
          <w14:ligatures w14:val="none"/>
        </w:rPr>
        <w:t>standardised</w:t>
      </w:r>
      <w:proofErr w:type="spellEnd"/>
      <w:r w:rsidRPr="00070085">
        <w:rPr>
          <w:rFonts w:ascii="Times New Roman" w:eastAsia="SimSun" w:hAnsi="Times New Roman" w:cs="Times New Roman"/>
          <w:kern w:val="0"/>
          <w14:ligatures w14:val="none"/>
        </w:rPr>
        <w:t xml:space="preserve"> procedures recorded a marginally positive kurtosis (.063), suggesting a slight tendency for respondents to cluster toward a central position on that item. Overall, the findings indicate that midstream oil and gas firms in Rivers State demonstrate a moderate and relatively consistent level of engagement with waste elimination practices</w:t>
      </w:r>
      <w:r w:rsidRPr="00070085">
        <w:rPr>
          <w:rFonts w:ascii="Times New Roman" w:eastAsia="Times New Roman" w:hAnsi="Times New Roman" w:cs="Times New Roman"/>
          <w:kern w:val="0"/>
          <w14:ligatures w14:val="none"/>
        </w:rPr>
        <w:t>.</w:t>
      </w:r>
    </w:p>
    <w:p w14:paraId="155987C8" w14:textId="77777777" w:rsidR="00070085" w:rsidRPr="00070085" w:rsidRDefault="00070085" w:rsidP="00070085">
      <w:pPr>
        <w:spacing w:after="120" w:line="240" w:lineRule="exact"/>
        <w:contextualSpacing/>
        <w:jc w:val="both"/>
        <w:rPr>
          <w:rFonts w:ascii="Times New Roman" w:eastAsia="Times New Roman" w:hAnsi="Times New Roman" w:cs="Times New Roman"/>
          <w:kern w:val="0"/>
          <w14:ligatures w14:val="none"/>
        </w:rPr>
      </w:pPr>
    </w:p>
    <w:p w14:paraId="26BAB81C" w14:textId="77777777" w:rsidR="00070085" w:rsidRPr="00070085" w:rsidRDefault="00070085" w:rsidP="00070085">
      <w:pPr>
        <w:spacing w:after="120" w:line="240" w:lineRule="exact"/>
        <w:contextualSpacing/>
        <w:jc w:val="both"/>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4.1.1.3 Stakeholder Satisfaction (SS)</w:t>
      </w:r>
    </w:p>
    <w:p w14:paraId="6435C357" w14:textId="77777777" w:rsidR="00070085" w:rsidRPr="00070085" w:rsidRDefault="00070085" w:rsidP="00070085">
      <w:pPr>
        <w:spacing w:after="0" w:line="240" w:lineRule="exact"/>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Table 4.4: Descriptive Statistics for Stakeholder Satisfaction (SS)</w:t>
      </w:r>
    </w:p>
    <w:tbl>
      <w:tblPr>
        <w:tblStyle w:val="TableGrid11"/>
        <w:tblW w:w="991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576"/>
        <w:gridCol w:w="643"/>
        <w:gridCol w:w="683"/>
        <w:gridCol w:w="803"/>
        <w:gridCol w:w="715"/>
        <w:gridCol w:w="763"/>
        <w:gridCol w:w="677"/>
        <w:gridCol w:w="723"/>
        <w:gridCol w:w="717"/>
      </w:tblGrid>
      <w:tr w:rsidR="00070085" w:rsidRPr="00070085" w14:paraId="6A022172" w14:textId="77777777" w:rsidTr="005C4055">
        <w:tc>
          <w:tcPr>
            <w:tcW w:w="3618" w:type="dxa"/>
            <w:tcBorders>
              <w:top w:val="single" w:sz="4" w:space="0" w:color="auto"/>
              <w:bottom w:val="single" w:sz="4" w:space="0" w:color="auto"/>
            </w:tcBorders>
          </w:tcPr>
          <w:p w14:paraId="7D93D12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Item</w:t>
            </w:r>
          </w:p>
        </w:tc>
        <w:tc>
          <w:tcPr>
            <w:tcW w:w="576" w:type="dxa"/>
            <w:tcBorders>
              <w:top w:val="single" w:sz="4" w:space="0" w:color="auto"/>
              <w:bottom w:val="single" w:sz="4" w:space="0" w:color="auto"/>
            </w:tcBorders>
          </w:tcPr>
          <w:p w14:paraId="2ACB71E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w:t>
            </w:r>
          </w:p>
        </w:tc>
        <w:tc>
          <w:tcPr>
            <w:tcW w:w="643" w:type="dxa"/>
            <w:tcBorders>
              <w:top w:val="single" w:sz="4" w:space="0" w:color="auto"/>
              <w:bottom w:val="single" w:sz="4" w:space="0" w:color="auto"/>
            </w:tcBorders>
          </w:tcPr>
          <w:p w14:paraId="59DD6F5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Min</w:t>
            </w:r>
          </w:p>
        </w:tc>
        <w:tc>
          <w:tcPr>
            <w:tcW w:w="683" w:type="dxa"/>
            <w:tcBorders>
              <w:top w:val="single" w:sz="4" w:space="0" w:color="auto"/>
              <w:bottom w:val="single" w:sz="4" w:space="0" w:color="auto"/>
            </w:tcBorders>
          </w:tcPr>
          <w:p w14:paraId="1F04BD2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Max</w:t>
            </w:r>
          </w:p>
        </w:tc>
        <w:tc>
          <w:tcPr>
            <w:tcW w:w="803" w:type="dxa"/>
            <w:tcBorders>
              <w:top w:val="single" w:sz="4" w:space="0" w:color="auto"/>
              <w:bottom w:val="single" w:sz="4" w:space="0" w:color="auto"/>
            </w:tcBorders>
          </w:tcPr>
          <w:p w14:paraId="13D8B67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Mean</w:t>
            </w:r>
          </w:p>
        </w:tc>
        <w:tc>
          <w:tcPr>
            <w:tcW w:w="715" w:type="dxa"/>
            <w:tcBorders>
              <w:top w:val="single" w:sz="4" w:space="0" w:color="auto"/>
              <w:bottom w:val="single" w:sz="4" w:space="0" w:color="auto"/>
            </w:tcBorders>
          </w:tcPr>
          <w:p w14:paraId="7BDCC96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Std. Dev.</w:t>
            </w:r>
          </w:p>
        </w:tc>
        <w:tc>
          <w:tcPr>
            <w:tcW w:w="763" w:type="dxa"/>
            <w:tcBorders>
              <w:top w:val="single" w:sz="4" w:space="0" w:color="auto"/>
              <w:bottom w:val="single" w:sz="4" w:space="0" w:color="auto"/>
            </w:tcBorders>
          </w:tcPr>
          <w:p w14:paraId="6027238C"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Skew</w:t>
            </w:r>
          </w:p>
          <w:p w14:paraId="588B957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ness</w:t>
            </w:r>
          </w:p>
        </w:tc>
        <w:tc>
          <w:tcPr>
            <w:tcW w:w="677" w:type="dxa"/>
            <w:tcBorders>
              <w:top w:val="single" w:sz="4" w:space="0" w:color="auto"/>
              <w:bottom w:val="single" w:sz="4" w:space="0" w:color="auto"/>
            </w:tcBorders>
          </w:tcPr>
          <w:p w14:paraId="7DF0D2E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w:t>
            </w:r>
            <w:proofErr w:type="spellStart"/>
            <w:r w:rsidRPr="00070085">
              <w:rPr>
                <w:rFonts w:eastAsia="Times New Roman"/>
                <w:b/>
                <w:bCs/>
                <w:sz w:val="24"/>
                <w:szCs w:val="24"/>
              </w:rPr>
              <w:t>Sk</w:t>
            </w:r>
            <w:proofErr w:type="spellEnd"/>
            <w:r w:rsidRPr="00070085">
              <w:rPr>
                <w:rFonts w:eastAsia="Times New Roman"/>
                <w:b/>
                <w:bCs/>
                <w:sz w:val="24"/>
                <w:szCs w:val="24"/>
              </w:rPr>
              <w:t>)</w:t>
            </w:r>
          </w:p>
        </w:tc>
        <w:tc>
          <w:tcPr>
            <w:tcW w:w="723" w:type="dxa"/>
            <w:tcBorders>
              <w:top w:val="single" w:sz="4" w:space="0" w:color="auto"/>
              <w:bottom w:val="single" w:sz="4" w:space="0" w:color="auto"/>
            </w:tcBorders>
          </w:tcPr>
          <w:p w14:paraId="1AD72935"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Kurt</w:t>
            </w:r>
          </w:p>
          <w:p w14:paraId="4B548888" w14:textId="77777777" w:rsidR="00070085" w:rsidRPr="00070085" w:rsidRDefault="00070085" w:rsidP="00070085">
            <w:pPr>
              <w:spacing w:line="240" w:lineRule="exact"/>
              <w:contextualSpacing/>
              <w:jc w:val="center"/>
              <w:rPr>
                <w:rFonts w:eastAsia="SimSun"/>
                <w:sz w:val="24"/>
                <w:szCs w:val="24"/>
              </w:rPr>
            </w:pPr>
            <w:proofErr w:type="spellStart"/>
            <w:r w:rsidRPr="00070085">
              <w:rPr>
                <w:rFonts w:eastAsia="Times New Roman"/>
                <w:b/>
                <w:bCs/>
                <w:sz w:val="24"/>
                <w:szCs w:val="24"/>
              </w:rPr>
              <w:t>osis</w:t>
            </w:r>
            <w:proofErr w:type="spellEnd"/>
          </w:p>
        </w:tc>
        <w:tc>
          <w:tcPr>
            <w:tcW w:w="717" w:type="dxa"/>
            <w:tcBorders>
              <w:top w:val="single" w:sz="4" w:space="0" w:color="auto"/>
              <w:bottom w:val="single" w:sz="4" w:space="0" w:color="auto"/>
            </w:tcBorders>
          </w:tcPr>
          <w:p w14:paraId="05069EA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(Ku)</w:t>
            </w:r>
          </w:p>
        </w:tc>
      </w:tr>
      <w:tr w:rsidR="00070085" w:rsidRPr="00070085" w14:paraId="393B18FF" w14:textId="77777777" w:rsidTr="005C4055">
        <w:tc>
          <w:tcPr>
            <w:tcW w:w="3618" w:type="dxa"/>
            <w:tcBorders>
              <w:top w:val="single" w:sz="4" w:space="0" w:color="auto"/>
            </w:tcBorders>
          </w:tcPr>
          <w:p w14:paraId="6ECA0101"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consistently meets the service delivery expectations of its clients and customers within the midstream oil and gas value chain.</w:t>
            </w:r>
          </w:p>
        </w:tc>
        <w:tc>
          <w:tcPr>
            <w:tcW w:w="576" w:type="dxa"/>
            <w:tcBorders>
              <w:top w:val="single" w:sz="4" w:space="0" w:color="auto"/>
            </w:tcBorders>
          </w:tcPr>
          <w:p w14:paraId="5695877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643" w:type="dxa"/>
            <w:tcBorders>
              <w:top w:val="single" w:sz="4" w:space="0" w:color="auto"/>
            </w:tcBorders>
          </w:tcPr>
          <w:p w14:paraId="417A9CB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683" w:type="dxa"/>
            <w:tcBorders>
              <w:top w:val="single" w:sz="4" w:space="0" w:color="auto"/>
            </w:tcBorders>
          </w:tcPr>
          <w:p w14:paraId="17DA48E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803" w:type="dxa"/>
            <w:tcBorders>
              <w:top w:val="single" w:sz="4" w:space="0" w:color="auto"/>
            </w:tcBorders>
          </w:tcPr>
          <w:p w14:paraId="2C2BC9D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3.53</w:t>
            </w:r>
          </w:p>
        </w:tc>
        <w:tc>
          <w:tcPr>
            <w:tcW w:w="715" w:type="dxa"/>
            <w:tcBorders>
              <w:top w:val="single" w:sz="4" w:space="0" w:color="auto"/>
            </w:tcBorders>
          </w:tcPr>
          <w:p w14:paraId="26EC1E7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.862</w:t>
            </w:r>
          </w:p>
        </w:tc>
        <w:tc>
          <w:tcPr>
            <w:tcW w:w="763" w:type="dxa"/>
            <w:tcBorders>
              <w:top w:val="single" w:sz="4" w:space="0" w:color="auto"/>
            </w:tcBorders>
          </w:tcPr>
          <w:p w14:paraId="4B59ACB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-.401</w:t>
            </w:r>
          </w:p>
        </w:tc>
        <w:tc>
          <w:tcPr>
            <w:tcW w:w="677" w:type="dxa"/>
            <w:tcBorders>
              <w:top w:val="single" w:sz="4" w:space="0" w:color="auto"/>
            </w:tcBorders>
          </w:tcPr>
          <w:p w14:paraId="4A44FC5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723" w:type="dxa"/>
            <w:tcBorders>
              <w:top w:val="single" w:sz="4" w:space="0" w:color="auto"/>
            </w:tcBorders>
          </w:tcPr>
          <w:p w14:paraId="5391977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.011</w:t>
            </w:r>
          </w:p>
        </w:tc>
        <w:tc>
          <w:tcPr>
            <w:tcW w:w="717" w:type="dxa"/>
            <w:tcBorders>
              <w:top w:val="single" w:sz="4" w:space="0" w:color="auto"/>
            </w:tcBorders>
          </w:tcPr>
          <w:p w14:paraId="136C350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4F41337D" w14:textId="77777777" w:rsidTr="005C4055">
        <w:tc>
          <w:tcPr>
            <w:tcW w:w="3618" w:type="dxa"/>
          </w:tcPr>
          <w:p w14:paraId="2B3AC51B"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proactively engages with host communities and demonstrates a measurable commitment to social responsibility and environmental sustainability.</w:t>
            </w:r>
          </w:p>
        </w:tc>
        <w:tc>
          <w:tcPr>
            <w:tcW w:w="576" w:type="dxa"/>
          </w:tcPr>
          <w:p w14:paraId="08A867D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643" w:type="dxa"/>
          </w:tcPr>
          <w:p w14:paraId="3FA3699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683" w:type="dxa"/>
          </w:tcPr>
          <w:p w14:paraId="7B165CD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803" w:type="dxa"/>
          </w:tcPr>
          <w:p w14:paraId="23F534B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3.51</w:t>
            </w:r>
          </w:p>
        </w:tc>
        <w:tc>
          <w:tcPr>
            <w:tcW w:w="715" w:type="dxa"/>
          </w:tcPr>
          <w:p w14:paraId="10F3635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.863</w:t>
            </w:r>
          </w:p>
        </w:tc>
        <w:tc>
          <w:tcPr>
            <w:tcW w:w="763" w:type="dxa"/>
          </w:tcPr>
          <w:p w14:paraId="6435B4F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-.190</w:t>
            </w:r>
          </w:p>
        </w:tc>
        <w:tc>
          <w:tcPr>
            <w:tcW w:w="677" w:type="dxa"/>
          </w:tcPr>
          <w:p w14:paraId="7B6BB3A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723" w:type="dxa"/>
          </w:tcPr>
          <w:p w14:paraId="6DD804A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-.427</w:t>
            </w:r>
          </w:p>
        </w:tc>
        <w:tc>
          <w:tcPr>
            <w:tcW w:w="717" w:type="dxa"/>
          </w:tcPr>
          <w:p w14:paraId="1337659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3A47E32D" w14:textId="77777777" w:rsidTr="005C4055">
        <w:tc>
          <w:tcPr>
            <w:tcW w:w="3618" w:type="dxa"/>
          </w:tcPr>
          <w:p w14:paraId="13610FE4"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Investors and shareholders express confidence in our </w:t>
            </w:r>
            <w:proofErr w:type="spellStart"/>
            <w:r w:rsidRPr="00070085">
              <w:rPr>
                <w:rFonts w:eastAsia="Times New Roman"/>
                <w:sz w:val="24"/>
                <w:szCs w:val="24"/>
              </w:rPr>
              <w:t>organisation's</w:t>
            </w:r>
            <w:proofErr w:type="spellEnd"/>
            <w:r w:rsidRPr="00070085">
              <w:rPr>
                <w:rFonts w:eastAsia="Times New Roman"/>
                <w:sz w:val="24"/>
                <w:szCs w:val="24"/>
              </w:rPr>
              <w:t xml:space="preserve"> operational strategies, governance practices, and financial performance.</w:t>
            </w:r>
          </w:p>
        </w:tc>
        <w:tc>
          <w:tcPr>
            <w:tcW w:w="576" w:type="dxa"/>
          </w:tcPr>
          <w:p w14:paraId="0DAB4A4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643" w:type="dxa"/>
          </w:tcPr>
          <w:p w14:paraId="7F4CBB2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w:t>
            </w:r>
          </w:p>
        </w:tc>
        <w:tc>
          <w:tcPr>
            <w:tcW w:w="683" w:type="dxa"/>
          </w:tcPr>
          <w:p w14:paraId="3DB5176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803" w:type="dxa"/>
          </w:tcPr>
          <w:p w14:paraId="674F4F2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3.50</w:t>
            </w:r>
          </w:p>
        </w:tc>
        <w:tc>
          <w:tcPr>
            <w:tcW w:w="715" w:type="dxa"/>
          </w:tcPr>
          <w:p w14:paraId="689BDC8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.826</w:t>
            </w:r>
          </w:p>
        </w:tc>
        <w:tc>
          <w:tcPr>
            <w:tcW w:w="763" w:type="dxa"/>
          </w:tcPr>
          <w:p w14:paraId="3E695AE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-.145</w:t>
            </w:r>
          </w:p>
        </w:tc>
        <w:tc>
          <w:tcPr>
            <w:tcW w:w="677" w:type="dxa"/>
          </w:tcPr>
          <w:p w14:paraId="6AD11A8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723" w:type="dxa"/>
          </w:tcPr>
          <w:p w14:paraId="72F4436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-.522</w:t>
            </w:r>
          </w:p>
        </w:tc>
        <w:tc>
          <w:tcPr>
            <w:tcW w:w="717" w:type="dxa"/>
          </w:tcPr>
          <w:p w14:paraId="1FCA987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62B57EFD" w14:textId="77777777" w:rsidTr="005C4055">
        <w:tc>
          <w:tcPr>
            <w:tcW w:w="3618" w:type="dxa"/>
          </w:tcPr>
          <w:p w14:paraId="72E2F5EF"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maintains transparent and effective communication channels with all key stakeholders, including regulators, clients, and community representatives.</w:t>
            </w:r>
          </w:p>
        </w:tc>
        <w:tc>
          <w:tcPr>
            <w:tcW w:w="576" w:type="dxa"/>
          </w:tcPr>
          <w:p w14:paraId="0801C1B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643" w:type="dxa"/>
          </w:tcPr>
          <w:p w14:paraId="4670847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683" w:type="dxa"/>
          </w:tcPr>
          <w:p w14:paraId="6597531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803" w:type="dxa"/>
          </w:tcPr>
          <w:p w14:paraId="795AEB6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3.50</w:t>
            </w:r>
          </w:p>
        </w:tc>
        <w:tc>
          <w:tcPr>
            <w:tcW w:w="715" w:type="dxa"/>
          </w:tcPr>
          <w:p w14:paraId="3006812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.878</w:t>
            </w:r>
          </w:p>
        </w:tc>
        <w:tc>
          <w:tcPr>
            <w:tcW w:w="763" w:type="dxa"/>
          </w:tcPr>
          <w:p w14:paraId="0496676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-.066</w:t>
            </w:r>
          </w:p>
        </w:tc>
        <w:tc>
          <w:tcPr>
            <w:tcW w:w="677" w:type="dxa"/>
          </w:tcPr>
          <w:p w14:paraId="19099BE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723" w:type="dxa"/>
          </w:tcPr>
          <w:p w14:paraId="20AEE3A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-.502</w:t>
            </w:r>
          </w:p>
        </w:tc>
        <w:tc>
          <w:tcPr>
            <w:tcW w:w="717" w:type="dxa"/>
          </w:tcPr>
          <w:p w14:paraId="7061603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6F1D7C0F" w14:textId="77777777" w:rsidTr="005C4055">
        <w:tc>
          <w:tcPr>
            <w:tcW w:w="3618" w:type="dxa"/>
          </w:tcPr>
          <w:p w14:paraId="67D59BBB"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Employees in our </w:t>
            </w:r>
            <w:proofErr w:type="spellStart"/>
            <w:r w:rsidRPr="00070085">
              <w:rPr>
                <w:rFonts w:eastAsia="Times New Roman"/>
                <w:sz w:val="24"/>
                <w:szCs w:val="24"/>
              </w:rPr>
              <w:t>organisation</w:t>
            </w:r>
            <w:proofErr w:type="spellEnd"/>
            <w:r w:rsidRPr="00070085">
              <w:rPr>
                <w:rFonts w:eastAsia="Times New Roman"/>
                <w:sz w:val="24"/>
                <w:szCs w:val="24"/>
              </w:rPr>
              <w:t xml:space="preserve"> report high levels of job satisfaction, motivation, and alignment with the </w:t>
            </w:r>
            <w:proofErr w:type="spellStart"/>
            <w:r w:rsidRPr="00070085">
              <w:rPr>
                <w:rFonts w:eastAsia="Times New Roman"/>
                <w:sz w:val="24"/>
                <w:szCs w:val="24"/>
              </w:rPr>
              <w:t>organisation's</w:t>
            </w:r>
            <w:proofErr w:type="spellEnd"/>
            <w:r w:rsidRPr="00070085">
              <w:rPr>
                <w:rFonts w:eastAsia="Times New Roman"/>
                <w:sz w:val="24"/>
                <w:szCs w:val="24"/>
              </w:rPr>
              <w:t xml:space="preserve"> operational goals and values.</w:t>
            </w:r>
          </w:p>
        </w:tc>
        <w:tc>
          <w:tcPr>
            <w:tcW w:w="576" w:type="dxa"/>
          </w:tcPr>
          <w:p w14:paraId="08C43D6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643" w:type="dxa"/>
          </w:tcPr>
          <w:p w14:paraId="6B73BA6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683" w:type="dxa"/>
          </w:tcPr>
          <w:p w14:paraId="51C21D0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803" w:type="dxa"/>
          </w:tcPr>
          <w:p w14:paraId="1EDFED0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3.53</w:t>
            </w:r>
          </w:p>
        </w:tc>
        <w:tc>
          <w:tcPr>
            <w:tcW w:w="715" w:type="dxa"/>
          </w:tcPr>
          <w:p w14:paraId="0F94354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.847</w:t>
            </w:r>
          </w:p>
        </w:tc>
        <w:tc>
          <w:tcPr>
            <w:tcW w:w="763" w:type="dxa"/>
          </w:tcPr>
          <w:p w14:paraId="43CDA11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-.129</w:t>
            </w:r>
          </w:p>
        </w:tc>
        <w:tc>
          <w:tcPr>
            <w:tcW w:w="677" w:type="dxa"/>
          </w:tcPr>
          <w:p w14:paraId="42A8D7B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723" w:type="dxa"/>
          </w:tcPr>
          <w:p w14:paraId="6267D5A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-.358</w:t>
            </w:r>
          </w:p>
        </w:tc>
        <w:tc>
          <w:tcPr>
            <w:tcW w:w="717" w:type="dxa"/>
          </w:tcPr>
          <w:p w14:paraId="447C498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69DD5EAD" w14:textId="77777777" w:rsidTr="005C4055">
        <w:tc>
          <w:tcPr>
            <w:tcW w:w="3618" w:type="dxa"/>
          </w:tcPr>
          <w:p w14:paraId="592D383E"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organisation's</w:t>
            </w:r>
            <w:proofErr w:type="spellEnd"/>
            <w:r w:rsidRPr="00070085">
              <w:rPr>
                <w:rFonts w:eastAsia="Times New Roman"/>
                <w:sz w:val="24"/>
                <w:szCs w:val="24"/>
              </w:rPr>
              <w:t xml:space="preserve"> commitment to lean operational practices has positively enhanced its reputation and relationships with external stakeholders and industry partners.</w:t>
            </w:r>
          </w:p>
        </w:tc>
        <w:tc>
          <w:tcPr>
            <w:tcW w:w="576" w:type="dxa"/>
          </w:tcPr>
          <w:p w14:paraId="36D398D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643" w:type="dxa"/>
          </w:tcPr>
          <w:p w14:paraId="6E9B1C5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683" w:type="dxa"/>
          </w:tcPr>
          <w:p w14:paraId="4F9A095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803" w:type="dxa"/>
          </w:tcPr>
          <w:p w14:paraId="63655E8A"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3.54</w:t>
            </w:r>
          </w:p>
        </w:tc>
        <w:tc>
          <w:tcPr>
            <w:tcW w:w="715" w:type="dxa"/>
          </w:tcPr>
          <w:p w14:paraId="42E8D1B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.862</w:t>
            </w:r>
          </w:p>
        </w:tc>
        <w:tc>
          <w:tcPr>
            <w:tcW w:w="763" w:type="dxa"/>
          </w:tcPr>
          <w:p w14:paraId="78C21D7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-.316</w:t>
            </w:r>
          </w:p>
        </w:tc>
        <w:tc>
          <w:tcPr>
            <w:tcW w:w="677" w:type="dxa"/>
          </w:tcPr>
          <w:p w14:paraId="49F0483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723" w:type="dxa"/>
          </w:tcPr>
          <w:p w14:paraId="220F9A5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-.381</w:t>
            </w:r>
          </w:p>
        </w:tc>
        <w:tc>
          <w:tcPr>
            <w:tcW w:w="717" w:type="dxa"/>
          </w:tcPr>
          <w:p w14:paraId="4BA090B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bl>
    <w:p w14:paraId="6C85FFA4" w14:textId="77777777" w:rsidR="00070085" w:rsidRPr="00070085" w:rsidRDefault="00070085" w:rsidP="00070085">
      <w:pPr>
        <w:spacing w:after="0" w:line="240" w:lineRule="exact"/>
        <w:contextualSpacing/>
        <w:jc w:val="both"/>
        <w:rPr>
          <w:rFonts w:ascii="Times New Roman" w:eastAsia="SimSun" w:hAnsi="Times New Roman" w:cs="Times New Roman"/>
          <w:kern w:val="0"/>
          <w14:ligatures w14:val="none"/>
        </w:rPr>
      </w:pPr>
    </w:p>
    <w:p w14:paraId="6BAD2CE3" w14:textId="77777777" w:rsidR="00070085" w:rsidRPr="00070085" w:rsidRDefault="00070085" w:rsidP="00070085">
      <w:pPr>
        <w:spacing w:after="0" w:line="240" w:lineRule="auto"/>
        <w:contextualSpacing/>
        <w:jc w:val="both"/>
        <w:rPr>
          <w:rFonts w:ascii="Times New Roman" w:eastAsia="Times New Roman" w:hAnsi="Times New Roman" w:cs="Times New Roman"/>
          <w:kern w:val="0"/>
          <w14:ligatures w14:val="none"/>
        </w:rPr>
      </w:pPr>
      <w:r w:rsidRPr="00070085">
        <w:rPr>
          <w:rFonts w:ascii="Times New Roman" w:eastAsia="SimSun" w:hAnsi="Times New Roman" w:cs="Times New Roman"/>
          <w:kern w:val="0"/>
          <w14:ligatures w14:val="none"/>
        </w:rPr>
        <w:t xml:space="preserve">As presented in Table 4.4, Stakeholder Satisfaction (SS) recorded item means ranging from 3.50 to 3.54, with an overall construct mean of approximately 3.52. The highest-rated item concerned the positive enhancement of </w:t>
      </w:r>
      <w:proofErr w:type="spellStart"/>
      <w:r w:rsidRPr="00070085">
        <w:rPr>
          <w:rFonts w:ascii="Times New Roman" w:eastAsia="SimSun" w:hAnsi="Times New Roman" w:cs="Times New Roman"/>
          <w:kern w:val="0"/>
          <w14:ligatures w14:val="none"/>
        </w:rPr>
        <w:t>organisational</w:t>
      </w:r>
      <w:proofErr w:type="spellEnd"/>
      <w:r w:rsidRPr="00070085">
        <w:rPr>
          <w:rFonts w:ascii="Times New Roman" w:eastAsia="SimSun" w:hAnsi="Times New Roman" w:cs="Times New Roman"/>
          <w:kern w:val="0"/>
          <w14:ligatures w14:val="none"/>
        </w:rPr>
        <w:t xml:space="preserve"> reputation and stakeholder relationships through lean operational practices (M = 3.54, SD = .862), while investor and shareholder confidence and stakeholder communication channels both recorded the lowest means (M = 3.50). Standard deviations ranged from .826 to .878, comparable to those of the other constructs. Skewness values were uniformly negative across all items (-.401 to -.066), with the client service delivery item showing the steepest negative skew (-.401), implying a somewhat stronger tendency toward agreement on that dimension. All kurtosis estimates were negative (-.522 to .011), with the investor confidence item recording the most platykurtic distribution (-.522), reflecting wide dispersion of responses. The only item approaching </w:t>
      </w:r>
      <w:proofErr w:type="spellStart"/>
      <w:r w:rsidRPr="00070085">
        <w:rPr>
          <w:rFonts w:ascii="Times New Roman" w:eastAsia="SimSun" w:hAnsi="Times New Roman" w:cs="Times New Roman"/>
          <w:kern w:val="0"/>
          <w14:ligatures w14:val="none"/>
        </w:rPr>
        <w:t>mesokurtosis</w:t>
      </w:r>
      <w:proofErr w:type="spellEnd"/>
      <w:r w:rsidRPr="00070085">
        <w:rPr>
          <w:rFonts w:ascii="Times New Roman" w:eastAsia="SimSun" w:hAnsi="Times New Roman" w:cs="Times New Roman"/>
          <w:kern w:val="0"/>
          <w14:ligatures w14:val="none"/>
        </w:rPr>
        <w:t xml:space="preserve"> was meeting service delivery expectations (.011), suggesting a marginal concentration of responses near the scale midpoint on that item. Overall, the univariate results for all four constructs demonstrate moderate-to-positive perceptions across lean management dimensions - Continuous Improvement (M ≈ 3.52) and Waste Elimination </w:t>
      </w:r>
      <w:r w:rsidRPr="00070085">
        <w:rPr>
          <w:rFonts w:ascii="Times New Roman" w:eastAsia="SimSun" w:hAnsi="Times New Roman" w:cs="Times New Roman"/>
          <w:kern w:val="0"/>
          <w14:ligatures w14:val="none"/>
        </w:rPr>
        <w:lastRenderedPageBreak/>
        <w:t xml:space="preserve">(M ≈ 3.51) - and </w:t>
      </w:r>
      <w:proofErr w:type="spellStart"/>
      <w:r w:rsidRPr="00070085">
        <w:rPr>
          <w:rFonts w:ascii="Times New Roman" w:eastAsia="SimSun" w:hAnsi="Times New Roman" w:cs="Times New Roman"/>
          <w:kern w:val="0"/>
          <w14:ligatures w14:val="none"/>
        </w:rPr>
        <w:t>organisational</w:t>
      </w:r>
      <w:proofErr w:type="spellEnd"/>
      <w:r w:rsidRPr="00070085">
        <w:rPr>
          <w:rFonts w:ascii="Times New Roman" w:eastAsia="SimSun" w:hAnsi="Times New Roman" w:cs="Times New Roman"/>
          <w:kern w:val="0"/>
          <w14:ligatures w14:val="none"/>
        </w:rPr>
        <w:t xml:space="preserve"> effectiveness dimensions - Operational Efficiency (M ≈ 3.51) and Stakeholder Satisfaction (M ≈ 3.52), establishing a consistent empirical baseline for the multivariate hypothesis testing that follows</w:t>
      </w:r>
      <w:r w:rsidRPr="00070085">
        <w:rPr>
          <w:rFonts w:ascii="Times New Roman" w:eastAsia="Times New Roman" w:hAnsi="Times New Roman" w:cs="Times New Roman"/>
          <w:kern w:val="0"/>
          <w14:ligatures w14:val="none"/>
        </w:rPr>
        <w:t>.</w:t>
      </w:r>
    </w:p>
    <w:p w14:paraId="6D9FF979" w14:textId="77777777" w:rsidR="00070085" w:rsidRPr="00070085" w:rsidRDefault="00070085" w:rsidP="00070085">
      <w:pPr>
        <w:spacing w:after="0" w:line="240" w:lineRule="auto"/>
        <w:contextualSpacing/>
        <w:rPr>
          <w:rFonts w:ascii="Times New Roman" w:eastAsia="Times New Roman" w:hAnsi="Times New Roman" w:cs="Times New Roman"/>
          <w:kern w:val="0"/>
          <w14:ligatures w14:val="none"/>
        </w:rPr>
      </w:pPr>
    </w:p>
    <w:p w14:paraId="2D327E49"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4.1.1.4 Operational Efficiency (OE)</w:t>
      </w:r>
    </w:p>
    <w:p w14:paraId="05237C95"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Table 4.5: Descriptive Statistics for Operational Efficiency (OE)</w:t>
      </w:r>
    </w:p>
    <w:tbl>
      <w:tblPr>
        <w:tblStyle w:val="TableGrid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23"/>
        <w:gridCol w:w="576"/>
        <w:gridCol w:w="643"/>
        <w:gridCol w:w="683"/>
        <w:gridCol w:w="803"/>
        <w:gridCol w:w="728"/>
        <w:gridCol w:w="763"/>
        <w:gridCol w:w="682"/>
        <w:gridCol w:w="723"/>
        <w:gridCol w:w="735"/>
      </w:tblGrid>
      <w:tr w:rsidR="00070085" w:rsidRPr="00070085" w14:paraId="3CCDAE75" w14:textId="77777777" w:rsidTr="005C4055">
        <w:tc>
          <w:tcPr>
            <w:tcW w:w="0" w:type="auto"/>
            <w:tcBorders>
              <w:top w:val="single" w:sz="4" w:space="0" w:color="auto"/>
              <w:bottom w:val="single" w:sz="4" w:space="0" w:color="auto"/>
            </w:tcBorders>
          </w:tcPr>
          <w:p w14:paraId="3D6F0D3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Item</w:t>
            </w:r>
          </w:p>
        </w:tc>
        <w:tc>
          <w:tcPr>
            <w:tcW w:w="0" w:type="auto"/>
            <w:tcBorders>
              <w:top w:val="single" w:sz="4" w:space="0" w:color="auto"/>
              <w:bottom w:val="single" w:sz="4" w:space="0" w:color="auto"/>
            </w:tcBorders>
          </w:tcPr>
          <w:p w14:paraId="685B9DF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w:t>
            </w:r>
          </w:p>
        </w:tc>
        <w:tc>
          <w:tcPr>
            <w:tcW w:w="0" w:type="auto"/>
            <w:tcBorders>
              <w:top w:val="single" w:sz="4" w:space="0" w:color="auto"/>
              <w:bottom w:val="single" w:sz="4" w:space="0" w:color="auto"/>
            </w:tcBorders>
          </w:tcPr>
          <w:p w14:paraId="1DC837D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Min</w:t>
            </w:r>
          </w:p>
        </w:tc>
        <w:tc>
          <w:tcPr>
            <w:tcW w:w="0" w:type="auto"/>
            <w:tcBorders>
              <w:top w:val="single" w:sz="4" w:space="0" w:color="auto"/>
              <w:bottom w:val="single" w:sz="4" w:space="0" w:color="auto"/>
            </w:tcBorders>
          </w:tcPr>
          <w:p w14:paraId="2514146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Max</w:t>
            </w:r>
          </w:p>
        </w:tc>
        <w:tc>
          <w:tcPr>
            <w:tcW w:w="0" w:type="auto"/>
            <w:tcBorders>
              <w:top w:val="single" w:sz="4" w:space="0" w:color="auto"/>
              <w:bottom w:val="single" w:sz="4" w:space="0" w:color="auto"/>
            </w:tcBorders>
          </w:tcPr>
          <w:p w14:paraId="0E5F2AE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Mean</w:t>
            </w:r>
          </w:p>
        </w:tc>
        <w:tc>
          <w:tcPr>
            <w:tcW w:w="0" w:type="auto"/>
            <w:tcBorders>
              <w:top w:val="single" w:sz="4" w:space="0" w:color="auto"/>
              <w:bottom w:val="single" w:sz="4" w:space="0" w:color="auto"/>
            </w:tcBorders>
          </w:tcPr>
          <w:p w14:paraId="73FCB87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Std. Dev.</w:t>
            </w:r>
          </w:p>
        </w:tc>
        <w:tc>
          <w:tcPr>
            <w:tcW w:w="0" w:type="auto"/>
            <w:tcBorders>
              <w:top w:val="single" w:sz="4" w:space="0" w:color="auto"/>
              <w:bottom w:val="single" w:sz="4" w:space="0" w:color="auto"/>
            </w:tcBorders>
          </w:tcPr>
          <w:p w14:paraId="413D1541"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Skew</w:t>
            </w:r>
          </w:p>
          <w:p w14:paraId="5F6533A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ness</w:t>
            </w:r>
          </w:p>
        </w:tc>
        <w:tc>
          <w:tcPr>
            <w:tcW w:w="0" w:type="auto"/>
            <w:tcBorders>
              <w:top w:val="single" w:sz="4" w:space="0" w:color="auto"/>
              <w:bottom w:val="single" w:sz="4" w:space="0" w:color="auto"/>
            </w:tcBorders>
          </w:tcPr>
          <w:p w14:paraId="487B941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w:t>
            </w:r>
            <w:proofErr w:type="spellStart"/>
            <w:r w:rsidRPr="00070085">
              <w:rPr>
                <w:rFonts w:eastAsia="Times New Roman"/>
                <w:b/>
                <w:bCs/>
                <w:sz w:val="24"/>
                <w:szCs w:val="24"/>
              </w:rPr>
              <w:t>Sk</w:t>
            </w:r>
            <w:proofErr w:type="spellEnd"/>
            <w:r w:rsidRPr="00070085">
              <w:rPr>
                <w:rFonts w:eastAsia="Times New Roman"/>
                <w:b/>
                <w:bCs/>
                <w:sz w:val="24"/>
                <w:szCs w:val="24"/>
              </w:rPr>
              <w:t>)</w:t>
            </w:r>
          </w:p>
        </w:tc>
        <w:tc>
          <w:tcPr>
            <w:tcW w:w="0" w:type="auto"/>
            <w:tcBorders>
              <w:top w:val="single" w:sz="4" w:space="0" w:color="auto"/>
              <w:bottom w:val="single" w:sz="4" w:space="0" w:color="auto"/>
            </w:tcBorders>
          </w:tcPr>
          <w:p w14:paraId="47ED0AF3"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Kurt</w:t>
            </w:r>
          </w:p>
          <w:p w14:paraId="6BC9E8E3" w14:textId="77777777" w:rsidR="00070085" w:rsidRPr="00070085" w:rsidRDefault="00070085" w:rsidP="00070085">
            <w:pPr>
              <w:spacing w:line="240" w:lineRule="exact"/>
              <w:contextualSpacing/>
              <w:jc w:val="center"/>
              <w:rPr>
                <w:rFonts w:eastAsia="SimSun"/>
                <w:sz w:val="24"/>
                <w:szCs w:val="24"/>
              </w:rPr>
            </w:pPr>
            <w:proofErr w:type="spellStart"/>
            <w:r w:rsidRPr="00070085">
              <w:rPr>
                <w:rFonts w:eastAsia="Times New Roman"/>
                <w:b/>
                <w:bCs/>
                <w:sz w:val="24"/>
                <w:szCs w:val="24"/>
              </w:rPr>
              <w:t>osis</w:t>
            </w:r>
            <w:proofErr w:type="spellEnd"/>
          </w:p>
        </w:tc>
        <w:tc>
          <w:tcPr>
            <w:tcW w:w="0" w:type="auto"/>
            <w:tcBorders>
              <w:top w:val="single" w:sz="4" w:space="0" w:color="auto"/>
              <w:bottom w:val="single" w:sz="4" w:space="0" w:color="auto"/>
            </w:tcBorders>
          </w:tcPr>
          <w:p w14:paraId="3BF839C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b/>
                <w:bCs/>
                <w:sz w:val="24"/>
                <w:szCs w:val="24"/>
              </w:rPr>
              <w:t>SE (Ku)</w:t>
            </w:r>
          </w:p>
        </w:tc>
      </w:tr>
      <w:tr w:rsidR="00070085" w:rsidRPr="00070085" w14:paraId="2C798194" w14:textId="77777777" w:rsidTr="005C4055">
        <w:tc>
          <w:tcPr>
            <w:tcW w:w="0" w:type="auto"/>
            <w:tcBorders>
              <w:top w:val="single" w:sz="4" w:space="0" w:color="auto"/>
            </w:tcBorders>
          </w:tcPr>
          <w:p w14:paraId="39AAA18F"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consistently achieves its throughput and delivery targets within planned timelines, reflecting high levels of operational efficiency.</w:t>
            </w:r>
          </w:p>
        </w:tc>
        <w:tc>
          <w:tcPr>
            <w:tcW w:w="0" w:type="auto"/>
            <w:tcBorders>
              <w:top w:val="single" w:sz="4" w:space="0" w:color="auto"/>
            </w:tcBorders>
          </w:tcPr>
          <w:p w14:paraId="6204C9B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Borders>
              <w:top w:val="single" w:sz="4" w:space="0" w:color="auto"/>
            </w:tcBorders>
          </w:tcPr>
          <w:p w14:paraId="6CBC028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Borders>
              <w:top w:val="single" w:sz="4" w:space="0" w:color="auto"/>
            </w:tcBorders>
          </w:tcPr>
          <w:p w14:paraId="03B97E4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Borders>
              <w:top w:val="single" w:sz="4" w:space="0" w:color="auto"/>
            </w:tcBorders>
          </w:tcPr>
          <w:p w14:paraId="7E2D910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3.51</w:t>
            </w:r>
          </w:p>
        </w:tc>
        <w:tc>
          <w:tcPr>
            <w:tcW w:w="0" w:type="auto"/>
            <w:tcBorders>
              <w:top w:val="single" w:sz="4" w:space="0" w:color="auto"/>
            </w:tcBorders>
          </w:tcPr>
          <w:p w14:paraId="3520A3D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.847</w:t>
            </w:r>
          </w:p>
        </w:tc>
        <w:tc>
          <w:tcPr>
            <w:tcW w:w="0" w:type="auto"/>
            <w:tcBorders>
              <w:top w:val="single" w:sz="4" w:space="0" w:color="auto"/>
            </w:tcBorders>
          </w:tcPr>
          <w:p w14:paraId="403A25E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-.296</w:t>
            </w:r>
          </w:p>
        </w:tc>
        <w:tc>
          <w:tcPr>
            <w:tcW w:w="0" w:type="auto"/>
            <w:tcBorders>
              <w:top w:val="single" w:sz="4" w:space="0" w:color="auto"/>
            </w:tcBorders>
          </w:tcPr>
          <w:p w14:paraId="11CBFA1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Borders>
              <w:top w:val="single" w:sz="4" w:space="0" w:color="auto"/>
            </w:tcBorders>
          </w:tcPr>
          <w:p w14:paraId="5946E80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-.362</w:t>
            </w:r>
          </w:p>
        </w:tc>
        <w:tc>
          <w:tcPr>
            <w:tcW w:w="0" w:type="auto"/>
            <w:tcBorders>
              <w:top w:val="single" w:sz="4" w:space="0" w:color="auto"/>
            </w:tcBorders>
          </w:tcPr>
          <w:p w14:paraId="1041196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10EE3A6F" w14:textId="77777777" w:rsidTr="005C4055">
        <w:tc>
          <w:tcPr>
            <w:tcW w:w="0" w:type="auto"/>
          </w:tcPr>
          <w:p w14:paraId="4C6CE4D4"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effectively </w:t>
            </w:r>
            <w:proofErr w:type="spellStart"/>
            <w:r w:rsidRPr="00070085">
              <w:rPr>
                <w:rFonts w:eastAsia="Times New Roman"/>
                <w:sz w:val="24"/>
                <w:szCs w:val="24"/>
              </w:rPr>
              <w:t>optimises</w:t>
            </w:r>
            <w:proofErr w:type="spellEnd"/>
            <w:r w:rsidRPr="00070085">
              <w:rPr>
                <w:rFonts w:eastAsia="Times New Roman"/>
                <w:sz w:val="24"/>
                <w:szCs w:val="24"/>
              </w:rPr>
              <w:t xml:space="preserve"> the </w:t>
            </w:r>
            <w:proofErr w:type="spellStart"/>
            <w:r w:rsidRPr="00070085">
              <w:rPr>
                <w:rFonts w:eastAsia="Times New Roman"/>
                <w:sz w:val="24"/>
                <w:szCs w:val="24"/>
              </w:rPr>
              <w:t>utilisation</w:t>
            </w:r>
            <w:proofErr w:type="spellEnd"/>
            <w:r w:rsidRPr="00070085">
              <w:rPr>
                <w:rFonts w:eastAsia="Times New Roman"/>
                <w:sz w:val="24"/>
                <w:szCs w:val="24"/>
              </w:rPr>
              <w:t xml:space="preserve"> of equipment, personnel, and infrastructure to </w:t>
            </w:r>
            <w:proofErr w:type="spellStart"/>
            <w:r w:rsidRPr="00070085">
              <w:rPr>
                <w:rFonts w:eastAsia="Times New Roman"/>
                <w:sz w:val="24"/>
                <w:szCs w:val="24"/>
              </w:rPr>
              <w:t>minimise</w:t>
            </w:r>
            <w:proofErr w:type="spellEnd"/>
            <w:r w:rsidRPr="00070085">
              <w:rPr>
                <w:rFonts w:eastAsia="Times New Roman"/>
                <w:sz w:val="24"/>
                <w:szCs w:val="24"/>
              </w:rPr>
              <w:t xml:space="preserve"> operational costs while maintaining output quality.</w:t>
            </w:r>
          </w:p>
        </w:tc>
        <w:tc>
          <w:tcPr>
            <w:tcW w:w="0" w:type="auto"/>
          </w:tcPr>
          <w:p w14:paraId="08937F9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1D92B73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208CBB3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51F7D45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3.52</w:t>
            </w:r>
          </w:p>
        </w:tc>
        <w:tc>
          <w:tcPr>
            <w:tcW w:w="0" w:type="auto"/>
          </w:tcPr>
          <w:p w14:paraId="2B9A353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.847</w:t>
            </w:r>
          </w:p>
        </w:tc>
        <w:tc>
          <w:tcPr>
            <w:tcW w:w="0" w:type="auto"/>
          </w:tcPr>
          <w:p w14:paraId="55F88BD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-.160</w:t>
            </w:r>
          </w:p>
        </w:tc>
        <w:tc>
          <w:tcPr>
            <w:tcW w:w="0" w:type="auto"/>
          </w:tcPr>
          <w:p w14:paraId="3B19C9E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6763034C"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-.358</w:t>
            </w:r>
          </w:p>
        </w:tc>
        <w:tc>
          <w:tcPr>
            <w:tcW w:w="0" w:type="auto"/>
          </w:tcPr>
          <w:p w14:paraId="5C8261C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7B9A20B3" w14:textId="77777777" w:rsidTr="005C4055">
        <w:tc>
          <w:tcPr>
            <w:tcW w:w="0" w:type="auto"/>
          </w:tcPr>
          <w:p w14:paraId="1E4462B5"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Technology and digital solutions are effectively deployed in our </w:t>
            </w:r>
            <w:proofErr w:type="spellStart"/>
            <w:r w:rsidRPr="00070085">
              <w:rPr>
                <w:rFonts w:eastAsia="Times New Roman"/>
                <w:sz w:val="24"/>
                <w:szCs w:val="24"/>
              </w:rPr>
              <w:t>organisation</w:t>
            </w:r>
            <w:proofErr w:type="spellEnd"/>
            <w:r w:rsidRPr="00070085">
              <w:rPr>
                <w:rFonts w:eastAsia="Times New Roman"/>
                <w:sz w:val="24"/>
                <w:szCs w:val="24"/>
              </w:rPr>
              <w:t xml:space="preserve"> to improve the speed and accuracy of midstream operations.</w:t>
            </w:r>
          </w:p>
        </w:tc>
        <w:tc>
          <w:tcPr>
            <w:tcW w:w="0" w:type="auto"/>
          </w:tcPr>
          <w:p w14:paraId="408B7DF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426B4544"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284D1CD1"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315752F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3.51</w:t>
            </w:r>
          </w:p>
        </w:tc>
        <w:tc>
          <w:tcPr>
            <w:tcW w:w="0" w:type="auto"/>
          </w:tcPr>
          <w:p w14:paraId="7E16D42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.852</w:t>
            </w:r>
          </w:p>
        </w:tc>
        <w:tc>
          <w:tcPr>
            <w:tcW w:w="0" w:type="auto"/>
          </w:tcPr>
          <w:p w14:paraId="4CD5B0C3"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-.108</w:t>
            </w:r>
          </w:p>
        </w:tc>
        <w:tc>
          <w:tcPr>
            <w:tcW w:w="0" w:type="auto"/>
          </w:tcPr>
          <w:p w14:paraId="3CEB058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1F3FD9F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-.389</w:t>
            </w:r>
          </w:p>
        </w:tc>
        <w:tc>
          <w:tcPr>
            <w:tcW w:w="0" w:type="auto"/>
          </w:tcPr>
          <w:p w14:paraId="6F99D55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068931DF" w14:textId="77777777" w:rsidTr="005C4055">
        <w:tc>
          <w:tcPr>
            <w:tcW w:w="0" w:type="auto"/>
          </w:tcPr>
          <w:p w14:paraId="62E578EC"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organisation's</w:t>
            </w:r>
            <w:proofErr w:type="spellEnd"/>
            <w:r w:rsidRPr="00070085">
              <w:rPr>
                <w:rFonts w:eastAsia="Times New Roman"/>
                <w:sz w:val="24"/>
                <w:szCs w:val="24"/>
              </w:rPr>
              <w:t xml:space="preserve"> supply chain and logistics coordination ensures seamless flow of products from processing facilities to end-distribution points with minimal disruptions.</w:t>
            </w:r>
          </w:p>
        </w:tc>
        <w:tc>
          <w:tcPr>
            <w:tcW w:w="0" w:type="auto"/>
          </w:tcPr>
          <w:p w14:paraId="185CE65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3EFDE4C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2D3DCD0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36F05F1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3.52</w:t>
            </w:r>
          </w:p>
        </w:tc>
        <w:tc>
          <w:tcPr>
            <w:tcW w:w="0" w:type="auto"/>
          </w:tcPr>
          <w:p w14:paraId="3E7DAAE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.852</w:t>
            </w:r>
          </w:p>
        </w:tc>
        <w:tc>
          <w:tcPr>
            <w:tcW w:w="0" w:type="auto"/>
          </w:tcPr>
          <w:p w14:paraId="761187A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198DEC8F"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74B8EA2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-.373</w:t>
            </w:r>
          </w:p>
        </w:tc>
        <w:tc>
          <w:tcPr>
            <w:tcW w:w="0" w:type="auto"/>
          </w:tcPr>
          <w:p w14:paraId="74FC1A48"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0E51D171" w14:textId="77777777" w:rsidTr="005C4055">
        <w:tc>
          <w:tcPr>
            <w:tcW w:w="0" w:type="auto"/>
          </w:tcPr>
          <w:p w14:paraId="584AF946"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has significantly reduced operational cycle times through process redesign and elimination of bottlenecks in key value-chain activities.</w:t>
            </w:r>
          </w:p>
        </w:tc>
        <w:tc>
          <w:tcPr>
            <w:tcW w:w="0" w:type="auto"/>
          </w:tcPr>
          <w:p w14:paraId="4F49D44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5E61D6E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6A7E225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03F8A6A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3.52</w:t>
            </w:r>
          </w:p>
        </w:tc>
        <w:tc>
          <w:tcPr>
            <w:tcW w:w="0" w:type="auto"/>
          </w:tcPr>
          <w:p w14:paraId="751DDA8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.836</w:t>
            </w:r>
          </w:p>
        </w:tc>
        <w:tc>
          <w:tcPr>
            <w:tcW w:w="0" w:type="auto"/>
          </w:tcPr>
          <w:p w14:paraId="1554B3E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-.257</w:t>
            </w:r>
          </w:p>
        </w:tc>
        <w:tc>
          <w:tcPr>
            <w:tcW w:w="0" w:type="auto"/>
          </w:tcPr>
          <w:p w14:paraId="6D855B9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301760B6"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-.076</w:t>
            </w:r>
          </w:p>
        </w:tc>
        <w:tc>
          <w:tcPr>
            <w:tcW w:w="0" w:type="auto"/>
          </w:tcPr>
          <w:p w14:paraId="0BE5EA15"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r w:rsidR="00070085" w:rsidRPr="00070085" w14:paraId="21104240" w14:textId="77777777" w:rsidTr="005C4055">
        <w:tc>
          <w:tcPr>
            <w:tcW w:w="0" w:type="auto"/>
          </w:tcPr>
          <w:p w14:paraId="73DC9D29" w14:textId="77777777" w:rsidR="00070085" w:rsidRPr="00070085" w:rsidRDefault="00070085" w:rsidP="00070085">
            <w:pPr>
              <w:spacing w:line="240" w:lineRule="exact"/>
              <w:contextualSpacing/>
              <w:jc w:val="both"/>
              <w:rPr>
                <w:rFonts w:eastAsia="SimSun"/>
                <w:sz w:val="24"/>
                <w:szCs w:val="24"/>
              </w:rPr>
            </w:pPr>
            <w:r w:rsidRPr="00070085">
              <w:rPr>
                <w:rFonts w:eastAsia="Times New Roman"/>
                <w:sz w:val="24"/>
                <w:szCs w:val="24"/>
              </w:rPr>
              <w:t xml:space="preserve">Our </w:t>
            </w:r>
            <w:proofErr w:type="spellStart"/>
            <w:r w:rsidRPr="00070085">
              <w:rPr>
                <w:rFonts w:eastAsia="Times New Roman"/>
                <w:sz w:val="24"/>
                <w:szCs w:val="24"/>
              </w:rPr>
              <w:t>organisation</w:t>
            </w:r>
            <w:proofErr w:type="spellEnd"/>
            <w:r w:rsidRPr="00070085">
              <w:rPr>
                <w:rFonts w:eastAsia="Times New Roman"/>
                <w:sz w:val="24"/>
                <w:szCs w:val="24"/>
              </w:rPr>
              <w:t xml:space="preserve"> meets or exceeds regulatory and safety compliance standards, which contributes to consistent and uninterrupted operational performance.</w:t>
            </w:r>
          </w:p>
        </w:tc>
        <w:tc>
          <w:tcPr>
            <w:tcW w:w="0" w:type="auto"/>
          </w:tcPr>
          <w:p w14:paraId="7186282D"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224</w:t>
            </w:r>
          </w:p>
        </w:tc>
        <w:tc>
          <w:tcPr>
            <w:tcW w:w="0" w:type="auto"/>
          </w:tcPr>
          <w:p w14:paraId="42C030F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w:t>
            </w:r>
          </w:p>
        </w:tc>
        <w:tc>
          <w:tcPr>
            <w:tcW w:w="0" w:type="auto"/>
          </w:tcPr>
          <w:p w14:paraId="6223863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5</w:t>
            </w:r>
          </w:p>
        </w:tc>
        <w:tc>
          <w:tcPr>
            <w:tcW w:w="0" w:type="auto"/>
          </w:tcPr>
          <w:p w14:paraId="07E0C9F2"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3.50</w:t>
            </w:r>
          </w:p>
        </w:tc>
        <w:tc>
          <w:tcPr>
            <w:tcW w:w="0" w:type="auto"/>
          </w:tcPr>
          <w:p w14:paraId="55AFF3D9"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.847</w:t>
            </w:r>
          </w:p>
        </w:tc>
        <w:tc>
          <w:tcPr>
            <w:tcW w:w="0" w:type="auto"/>
          </w:tcPr>
          <w:p w14:paraId="5A2AA8BE"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-.179</w:t>
            </w:r>
          </w:p>
        </w:tc>
        <w:tc>
          <w:tcPr>
            <w:tcW w:w="0" w:type="auto"/>
          </w:tcPr>
          <w:p w14:paraId="319863DB"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.163</w:t>
            </w:r>
          </w:p>
        </w:tc>
        <w:tc>
          <w:tcPr>
            <w:tcW w:w="0" w:type="auto"/>
          </w:tcPr>
          <w:p w14:paraId="3E3B9270"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-.159</w:t>
            </w:r>
          </w:p>
        </w:tc>
        <w:tc>
          <w:tcPr>
            <w:tcW w:w="0" w:type="auto"/>
          </w:tcPr>
          <w:p w14:paraId="0E6DB047" w14:textId="77777777" w:rsidR="00070085" w:rsidRPr="00070085" w:rsidRDefault="00070085" w:rsidP="00070085">
            <w:pPr>
              <w:spacing w:line="240" w:lineRule="exact"/>
              <w:contextualSpacing/>
              <w:jc w:val="center"/>
              <w:rPr>
                <w:rFonts w:eastAsia="SimSun"/>
                <w:sz w:val="24"/>
                <w:szCs w:val="24"/>
              </w:rPr>
            </w:pPr>
            <w:r w:rsidRPr="00070085">
              <w:rPr>
                <w:rFonts w:eastAsia="Times New Roman"/>
                <w:sz w:val="24"/>
                <w:szCs w:val="24"/>
              </w:rPr>
              <w:t>.324</w:t>
            </w:r>
          </w:p>
        </w:tc>
      </w:tr>
    </w:tbl>
    <w:p w14:paraId="07CA5C68"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7947BC5F" w14:textId="77777777" w:rsidR="00070085" w:rsidRPr="00070085" w:rsidRDefault="00070085" w:rsidP="00070085">
      <w:pPr>
        <w:spacing w:after="0" w:line="240" w:lineRule="exact"/>
        <w:contextualSpacing/>
        <w:jc w:val="both"/>
        <w:rPr>
          <w:rFonts w:ascii="Times New Roman" w:eastAsia="SimSun" w:hAnsi="Times New Roman" w:cs="Times New Roman"/>
          <w:kern w:val="0"/>
          <w14:ligatures w14:val="none"/>
        </w:rPr>
      </w:pPr>
      <w:r w:rsidRPr="00070085">
        <w:rPr>
          <w:rFonts w:ascii="Times New Roman" w:eastAsia="SimSun" w:hAnsi="Times New Roman" w:cs="Times New Roman"/>
          <w:kern w:val="0"/>
          <w14:ligatures w14:val="none"/>
        </w:rPr>
        <w:t xml:space="preserve">Table 4.5 presents the descriptive statistics for Operational Efficiency (OE). Item means ranged from 3.50 to 3.52, yielding an overall construct mean of approximately 3.51. The highest mean scores were observed for </w:t>
      </w:r>
      <w:proofErr w:type="spellStart"/>
      <w:r w:rsidRPr="00070085">
        <w:rPr>
          <w:rFonts w:ascii="Times New Roman" w:eastAsia="SimSun" w:hAnsi="Times New Roman" w:cs="Times New Roman"/>
          <w:kern w:val="0"/>
          <w14:ligatures w14:val="none"/>
        </w:rPr>
        <w:t>optimisation</w:t>
      </w:r>
      <w:proofErr w:type="spellEnd"/>
      <w:r w:rsidRPr="00070085">
        <w:rPr>
          <w:rFonts w:ascii="Times New Roman" w:eastAsia="SimSun" w:hAnsi="Times New Roman" w:cs="Times New Roman"/>
          <w:kern w:val="0"/>
          <w14:ligatures w14:val="none"/>
        </w:rPr>
        <w:t xml:space="preserve"> of equipment, personnel, and infrastructure (M = 3.52, SD = .847), effective supply chain and logistics coordination (M = 3.52, SD = .852), and reduction of operational cycle times (M = 3.52, SD = .836). The lowest mean was for regulatory and safety compliance (M = 3.50, SD = .847). Standard deviations for all six OE items were nearly identical, ranging from .836 to .852, indicating highly uniform response variability. All skewness values were negative (-.296 to -.108), confirming a mild tendency toward agreement across the construct, with throughput and delivery targets showing the most pronounced leftward skew (-.296). Kurtosis estimates were consistently negative (-.389 to -.076), pointing to flat distribution patterns. The narrow clustering of means around 3.51 and the homogeneity in dispersion statistics collectively suggest that respondents </w:t>
      </w:r>
      <w:r w:rsidRPr="00070085">
        <w:rPr>
          <w:rFonts w:ascii="Times New Roman" w:eastAsia="SimSun" w:hAnsi="Times New Roman" w:cs="Times New Roman"/>
          <w:kern w:val="0"/>
          <w14:ligatures w14:val="none"/>
        </w:rPr>
        <w:lastRenderedPageBreak/>
        <w:t xml:space="preserve">held uniformly moderate-to-positive views of operational efficiency within their </w:t>
      </w:r>
      <w:proofErr w:type="spellStart"/>
      <w:r w:rsidRPr="00070085">
        <w:rPr>
          <w:rFonts w:ascii="Times New Roman" w:eastAsia="SimSun" w:hAnsi="Times New Roman" w:cs="Times New Roman"/>
          <w:kern w:val="0"/>
          <w14:ligatures w14:val="none"/>
        </w:rPr>
        <w:t>organisations</w:t>
      </w:r>
      <w:proofErr w:type="spellEnd"/>
      <w:r w:rsidRPr="00070085">
        <w:rPr>
          <w:rFonts w:ascii="Times New Roman" w:eastAsia="SimSun" w:hAnsi="Times New Roman" w:cs="Times New Roman"/>
          <w:kern w:val="0"/>
          <w14:ligatures w14:val="none"/>
        </w:rPr>
        <w:t>, with no single dimension standing out markedly from the others</w:t>
      </w:r>
      <w:r w:rsidRPr="00070085">
        <w:rPr>
          <w:rFonts w:ascii="Times New Roman" w:eastAsia="Times New Roman" w:hAnsi="Times New Roman" w:cs="Times New Roman"/>
          <w:kern w:val="0"/>
          <w14:ligatures w14:val="none"/>
        </w:rPr>
        <w:t>.</w:t>
      </w:r>
    </w:p>
    <w:p w14:paraId="50128A5D"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7252E361" w14:textId="77777777" w:rsidR="00070085" w:rsidRPr="00070085" w:rsidRDefault="00070085" w:rsidP="00070085">
      <w:pPr>
        <w:spacing w:after="0" w:line="240" w:lineRule="exact"/>
        <w:contextualSpacing/>
        <w:rPr>
          <w:rFonts w:ascii="Times New Roman" w:eastAsia="SimSun" w:hAnsi="Times New Roman" w:cs="Times New Roman"/>
          <w:b/>
          <w:kern w:val="0"/>
          <w14:ligatures w14:val="none"/>
        </w:rPr>
        <w:sectPr w:rsidR="00070085" w:rsidRPr="00070085" w:rsidSect="00070085">
          <w:pgSz w:w="11906" w:h="16838"/>
          <w:pgMar w:top="1440" w:right="1080" w:bottom="1440" w:left="1267" w:header="720" w:footer="720" w:gutter="0"/>
          <w:cols w:space="0"/>
          <w:docGrid w:linePitch="360"/>
        </w:sectPr>
      </w:pPr>
    </w:p>
    <w:p w14:paraId="70E9F905"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lastRenderedPageBreak/>
        <w:t>4.1.2</w:t>
      </w:r>
      <w:r w:rsidRPr="00070085">
        <w:rPr>
          <w:rFonts w:ascii="Times New Roman" w:eastAsia="SimSun" w:hAnsi="Times New Roman" w:cs="Times New Roman"/>
          <w:b/>
          <w:kern w:val="0"/>
          <w14:ligatures w14:val="none"/>
        </w:rPr>
        <w:tab/>
        <w:t>Model Evaluation</w:t>
      </w:r>
    </w:p>
    <w:p w14:paraId="5B032D86"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4.1.2.1</w:t>
      </w:r>
      <w:r w:rsidRPr="00070085">
        <w:rPr>
          <w:rFonts w:ascii="Times New Roman" w:eastAsia="SimSun" w:hAnsi="Times New Roman" w:cs="Times New Roman"/>
          <w:b/>
          <w:kern w:val="0"/>
          <w14:ligatures w14:val="none"/>
        </w:rPr>
        <w:tab/>
        <w:t>Measurement Model Evaluation</w:t>
      </w:r>
    </w:p>
    <w:p w14:paraId="23F65F7F"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p>
    <w:p w14:paraId="3DBA619B"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r w:rsidRPr="00070085">
        <w:rPr>
          <w:rFonts w:ascii="Calibri" w:eastAsia="SimSun" w:hAnsi="Calibri" w:cs="Times New Roman"/>
          <w:noProof/>
          <w:kern w:val="0"/>
          <w:sz w:val="22"/>
          <w:szCs w:val="22"/>
          <w14:ligatures w14:val="none"/>
        </w:rPr>
        <w:drawing>
          <wp:inline distT="0" distB="0" distL="0" distR="0" wp14:anchorId="66F7B08B" wp14:editId="473CAF58">
            <wp:extent cx="5943600" cy="3463925"/>
            <wp:effectExtent l="0" t="0" r="0" b="3175"/>
            <wp:docPr id="233075867" name="Picture 23307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77"/>
                    <a:stretch>
                      <a:fillRect/>
                    </a:stretch>
                  </pic:blipFill>
                  <pic:spPr>
                    <a:xfrm>
                      <a:off x="0" y="0"/>
                      <a:ext cx="5943600" cy="3463925"/>
                    </a:xfrm>
                    <a:prstGeom prst="rect">
                      <a:avLst/>
                    </a:prstGeom>
                  </pic:spPr>
                </pic:pic>
              </a:graphicData>
            </a:graphic>
          </wp:inline>
        </w:drawing>
      </w:r>
    </w:p>
    <w:p w14:paraId="323F4250"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p>
    <w:p w14:paraId="3FDFCA15"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t xml:space="preserve">Figure 2: Measurement Model (Outer Loadings) for Lean Management Systems and </w:t>
      </w:r>
      <w:proofErr w:type="spellStart"/>
      <w:r w:rsidRPr="00070085">
        <w:rPr>
          <w:rFonts w:ascii="Times New Roman" w:eastAsia="SimSun" w:hAnsi="Times New Roman" w:cs="Times New Roman"/>
          <w:b/>
          <w:kern w:val="0"/>
          <w14:ligatures w14:val="none"/>
        </w:rPr>
        <w:t>Organisational</w:t>
      </w:r>
      <w:proofErr w:type="spellEnd"/>
      <w:r w:rsidRPr="00070085">
        <w:rPr>
          <w:rFonts w:ascii="Times New Roman" w:eastAsia="SimSun" w:hAnsi="Times New Roman" w:cs="Times New Roman"/>
          <w:b/>
          <w:kern w:val="0"/>
          <w14:ligatures w14:val="none"/>
        </w:rPr>
        <w:t xml:space="preserve"> Effectiveness</w:t>
      </w:r>
    </w:p>
    <w:p w14:paraId="07586B5D" w14:textId="77777777" w:rsidR="00070085" w:rsidRPr="00070085" w:rsidRDefault="00070085" w:rsidP="00070085">
      <w:pPr>
        <w:spacing w:after="0" w:line="240" w:lineRule="auto"/>
        <w:contextualSpacing/>
        <w:rPr>
          <w:rFonts w:ascii="Times New Roman" w:eastAsia="SimSun" w:hAnsi="Times New Roman" w:cs="Times New Roman"/>
          <w:b/>
          <w:kern w:val="0"/>
          <w14:ligatures w14:val="none"/>
        </w:rPr>
      </w:pPr>
    </w:p>
    <w:p w14:paraId="661B7931" w14:textId="77777777" w:rsidR="00070085" w:rsidRPr="00070085" w:rsidRDefault="00070085" w:rsidP="00070085">
      <w:pPr>
        <w:spacing w:after="0" w:line="240" w:lineRule="auto"/>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br w:type="page"/>
      </w:r>
    </w:p>
    <w:p w14:paraId="470545A9" w14:textId="77777777" w:rsidR="00070085" w:rsidRPr="00070085" w:rsidRDefault="00070085" w:rsidP="00070085">
      <w:pPr>
        <w:spacing w:after="0" w:line="240" w:lineRule="auto"/>
        <w:contextualSpacing/>
        <w:jc w:val="both"/>
        <w:rPr>
          <w:rFonts w:ascii="Times New Roman" w:eastAsia="SimSun" w:hAnsi="Times New Roman" w:cs="Times New Roman"/>
          <w:b/>
          <w:kern w:val="0"/>
          <w14:ligatures w14:val="none"/>
        </w:rPr>
        <w:sectPr w:rsidR="00070085" w:rsidRPr="00070085" w:rsidSect="00070085">
          <w:pgSz w:w="11906" w:h="16838"/>
          <w:pgMar w:top="1440" w:right="1080" w:bottom="1440" w:left="1267" w:header="720" w:footer="720" w:gutter="0"/>
          <w:cols w:space="0"/>
          <w:docGrid w:linePitch="360"/>
        </w:sectPr>
      </w:pPr>
    </w:p>
    <w:p w14:paraId="304E3DB6" w14:textId="77777777" w:rsidR="00070085" w:rsidRPr="00070085" w:rsidRDefault="00070085" w:rsidP="00070085">
      <w:pPr>
        <w:spacing w:after="0" w:line="240" w:lineRule="auto"/>
        <w:contextualSpacing/>
        <w:jc w:val="both"/>
        <w:rPr>
          <w:rFonts w:ascii="Times New Roman" w:eastAsia="SimSun" w:hAnsi="Times New Roman" w:cs="Times New Roman"/>
          <w:b/>
          <w:kern w:val="0"/>
          <w14:ligatures w14:val="none"/>
        </w:rPr>
      </w:pPr>
      <w:r w:rsidRPr="00070085">
        <w:rPr>
          <w:rFonts w:ascii="Times New Roman" w:eastAsia="SimSun" w:hAnsi="Times New Roman" w:cs="Times New Roman"/>
          <w:b/>
          <w:kern w:val="0"/>
          <w14:ligatures w14:val="none"/>
        </w:rPr>
        <w:lastRenderedPageBreak/>
        <w:t xml:space="preserve">Table 4.6: Reflective Measurement Model of Lean Management Systems and </w:t>
      </w:r>
      <w:proofErr w:type="spellStart"/>
      <w:r w:rsidRPr="00070085">
        <w:rPr>
          <w:rFonts w:ascii="Times New Roman" w:eastAsia="SimSun" w:hAnsi="Times New Roman" w:cs="Times New Roman"/>
          <w:b/>
          <w:kern w:val="0"/>
          <w14:ligatures w14:val="none"/>
        </w:rPr>
        <w:t>Organisational</w:t>
      </w:r>
      <w:proofErr w:type="spellEnd"/>
      <w:r w:rsidRPr="00070085">
        <w:rPr>
          <w:rFonts w:ascii="Times New Roman" w:eastAsia="SimSun" w:hAnsi="Times New Roman" w:cs="Times New Roman"/>
          <w:b/>
          <w:kern w:val="0"/>
          <w14:ligatures w14:val="none"/>
        </w:rPr>
        <w:t xml:space="preserve"> Effectiveness</w:t>
      </w:r>
    </w:p>
    <w:tbl>
      <w:tblPr>
        <w:tblStyle w:val="TableGrid11"/>
        <w:tblW w:w="0" w:type="auto"/>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83"/>
        <w:gridCol w:w="1589"/>
        <w:gridCol w:w="1364"/>
        <w:gridCol w:w="1164"/>
        <w:gridCol w:w="1283"/>
        <w:gridCol w:w="773"/>
        <w:gridCol w:w="3230"/>
        <w:gridCol w:w="2104"/>
      </w:tblGrid>
      <w:tr w:rsidR="00070085" w:rsidRPr="00070085" w14:paraId="222211DE" w14:textId="77777777" w:rsidTr="005C4055">
        <w:trPr>
          <w:trHeight w:val="170"/>
        </w:trPr>
        <w:tc>
          <w:tcPr>
            <w:tcW w:w="1783" w:type="dxa"/>
            <w:vMerge w:val="restart"/>
            <w:tcBorders>
              <w:top w:val="single" w:sz="4" w:space="0" w:color="auto"/>
            </w:tcBorders>
          </w:tcPr>
          <w:p w14:paraId="44A23660"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sz w:val="24"/>
                <w:szCs w:val="24"/>
              </w:rPr>
              <w:t>Exogenous Variables</w:t>
            </w:r>
          </w:p>
        </w:tc>
        <w:tc>
          <w:tcPr>
            <w:tcW w:w="1400" w:type="dxa"/>
            <w:vMerge w:val="restart"/>
            <w:tcBorders>
              <w:top w:val="single" w:sz="4" w:space="0" w:color="auto"/>
              <w:bottom w:val="single" w:sz="4" w:space="0" w:color="auto"/>
            </w:tcBorders>
          </w:tcPr>
          <w:p w14:paraId="1E0CD0C0"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Endogenous Variables</w:t>
            </w:r>
          </w:p>
          <w:p w14:paraId="6CB1215A" w14:textId="77777777" w:rsidR="00070085" w:rsidRPr="00070085" w:rsidRDefault="00070085" w:rsidP="00070085">
            <w:pPr>
              <w:spacing w:line="240" w:lineRule="exact"/>
              <w:contextualSpacing/>
              <w:rPr>
                <w:rFonts w:eastAsia="SimSun"/>
                <w:sz w:val="24"/>
                <w:szCs w:val="24"/>
              </w:rPr>
            </w:pPr>
          </w:p>
        </w:tc>
        <w:tc>
          <w:tcPr>
            <w:tcW w:w="1206" w:type="dxa"/>
            <w:tcBorders>
              <w:top w:val="single" w:sz="4" w:space="0" w:color="auto"/>
              <w:bottom w:val="single" w:sz="4" w:space="0" w:color="auto"/>
              <w:right w:val="single" w:sz="4" w:space="0" w:color="auto"/>
            </w:tcBorders>
          </w:tcPr>
          <w:p w14:paraId="62595E19" w14:textId="77777777" w:rsidR="00070085" w:rsidRPr="00070085" w:rsidRDefault="00070085" w:rsidP="00070085">
            <w:pPr>
              <w:spacing w:line="240" w:lineRule="exact"/>
              <w:contextualSpacing/>
              <w:jc w:val="center"/>
              <w:rPr>
                <w:rFonts w:eastAsia="SimSun"/>
                <w:sz w:val="24"/>
                <w:szCs w:val="24"/>
              </w:rPr>
            </w:pPr>
            <w:r w:rsidRPr="00070085">
              <w:rPr>
                <w:rFonts w:eastAsia="SimSun"/>
                <w:b/>
                <w:bCs/>
                <w:sz w:val="24"/>
                <w:szCs w:val="24"/>
              </w:rPr>
              <w:t>Indicators</w:t>
            </w:r>
          </w:p>
        </w:tc>
        <w:tc>
          <w:tcPr>
            <w:tcW w:w="0" w:type="auto"/>
            <w:gridSpan w:val="3"/>
            <w:tcBorders>
              <w:top w:val="single" w:sz="4" w:space="0" w:color="auto"/>
              <w:left w:val="single" w:sz="4" w:space="0" w:color="auto"/>
              <w:bottom w:val="single" w:sz="4" w:space="0" w:color="auto"/>
              <w:right w:val="single" w:sz="4" w:space="0" w:color="auto"/>
            </w:tcBorders>
          </w:tcPr>
          <w:p w14:paraId="197BCE36" w14:textId="77777777" w:rsidR="00070085" w:rsidRPr="00070085" w:rsidRDefault="00070085" w:rsidP="00070085">
            <w:pPr>
              <w:spacing w:line="240" w:lineRule="exact"/>
              <w:contextualSpacing/>
              <w:jc w:val="center"/>
              <w:rPr>
                <w:rFonts w:eastAsia="SimSun"/>
                <w:sz w:val="24"/>
                <w:szCs w:val="24"/>
              </w:rPr>
            </w:pPr>
            <w:r w:rsidRPr="00070085">
              <w:rPr>
                <w:rFonts w:eastAsia="SimSun"/>
                <w:b/>
                <w:bCs/>
                <w:sz w:val="24"/>
                <w:szCs w:val="24"/>
              </w:rPr>
              <w:t>Convergent Validity</w:t>
            </w:r>
          </w:p>
        </w:tc>
        <w:tc>
          <w:tcPr>
            <w:tcW w:w="0" w:type="auto"/>
            <w:gridSpan w:val="2"/>
            <w:tcBorders>
              <w:top w:val="single" w:sz="4" w:space="0" w:color="auto"/>
              <w:left w:val="single" w:sz="4" w:space="0" w:color="auto"/>
              <w:bottom w:val="single" w:sz="4" w:space="0" w:color="auto"/>
            </w:tcBorders>
          </w:tcPr>
          <w:p w14:paraId="3DA29B06" w14:textId="77777777" w:rsidR="00070085" w:rsidRPr="00070085" w:rsidRDefault="00070085" w:rsidP="00070085">
            <w:pPr>
              <w:spacing w:line="240" w:lineRule="exact"/>
              <w:contextualSpacing/>
              <w:jc w:val="center"/>
              <w:rPr>
                <w:rFonts w:eastAsia="SimSun"/>
                <w:sz w:val="24"/>
                <w:szCs w:val="24"/>
              </w:rPr>
            </w:pPr>
            <w:r w:rsidRPr="00070085">
              <w:rPr>
                <w:rFonts w:eastAsia="SimSun"/>
                <w:b/>
                <w:bCs/>
                <w:sz w:val="24"/>
                <w:szCs w:val="24"/>
              </w:rPr>
              <w:t>Internal Consistency Reliability</w:t>
            </w:r>
          </w:p>
        </w:tc>
      </w:tr>
      <w:tr w:rsidR="00070085" w:rsidRPr="00070085" w14:paraId="38888DCC" w14:textId="77777777" w:rsidTr="005C4055">
        <w:trPr>
          <w:trHeight w:val="562"/>
        </w:trPr>
        <w:tc>
          <w:tcPr>
            <w:tcW w:w="1783" w:type="dxa"/>
            <w:vMerge/>
          </w:tcPr>
          <w:p w14:paraId="10143F94" w14:textId="77777777" w:rsidR="00070085" w:rsidRPr="00070085" w:rsidRDefault="00070085" w:rsidP="00070085">
            <w:pPr>
              <w:spacing w:line="240" w:lineRule="exact"/>
              <w:contextualSpacing/>
              <w:rPr>
                <w:rFonts w:eastAsia="SimSun"/>
                <w:sz w:val="24"/>
                <w:szCs w:val="24"/>
              </w:rPr>
            </w:pPr>
          </w:p>
        </w:tc>
        <w:tc>
          <w:tcPr>
            <w:tcW w:w="1400" w:type="dxa"/>
            <w:vMerge/>
            <w:tcBorders>
              <w:top w:val="single" w:sz="4" w:space="0" w:color="auto"/>
              <w:bottom w:val="nil"/>
            </w:tcBorders>
          </w:tcPr>
          <w:p w14:paraId="73D7C0A4" w14:textId="77777777" w:rsidR="00070085" w:rsidRPr="00070085" w:rsidRDefault="00070085" w:rsidP="00070085">
            <w:pPr>
              <w:spacing w:line="240" w:lineRule="exact"/>
              <w:contextualSpacing/>
              <w:rPr>
                <w:rFonts w:eastAsia="SimSun"/>
                <w:sz w:val="24"/>
                <w:szCs w:val="24"/>
              </w:rPr>
            </w:pPr>
          </w:p>
        </w:tc>
        <w:tc>
          <w:tcPr>
            <w:tcW w:w="1206" w:type="dxa"/>
            <w:tcBorders>
              <w:top w:val="single" w:sz="4" w:space="0" w:color="auto"/>
              <w:bottom w:val="single" w:sz="4" w:space="0" w:color="auto"/>
              <w:right w:val="single" w:sz="4" w:space="0" w:color="auto"/>
            </w:tcBorders>
          </w:tcPr>
          <w:p w14:paraId="37065667" w14:textId="77777777" w:rsidR="00070085" w:rsidRPr="00070085" w:rsidRDefault="00070085" w:rsidP="00070085">
            <w:pPr>
              <w:spacing w:line="240" w:lineRule="exact"/>
              <w:contextualSpacing/>
              <w:rPr>
                <w:rFonts w:eastAsia="SimSun"/>
                <w:sz w:val="24"/>
                <w:szCs w:val="24"/>
              </w:rPr>
            </w:pPr>
          </w:p>
        </w:tc>
        <w:tc>
          <w:tcPr>
            <w:tcW w:w="0" w:type="auto"/>
            <w:tcBorders>
              <w:top w:val="single" w:sz="4" w:space="0" w:color="auto"/>
              <w:left w:val="single" w:sz="4" w:space="0" w:color="auto"/>
              <w:bottom w:val="single" w:sz="4" w:space="0" w:color="auto"/>
            </w:tcBorders>
          </w:tcPr>
          <w:p w14:paraId="092D8CF5"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Loadings</w:t>
            </w:r>
          </w:p>
          <w:p w14:paraId="338536D2" w14:textId="77777777" w:rsidR="00070085" w:rsidRPr="00070085" w:rsidRDefault="00070085" w:rsidP="00070085">
            <w:pPr>
              <w:spacing w:line="240" w:lineRule="exact"/>
              <w:ind w:firstLineChars="100" w:firstLine="241"/>
              <w:contextualSpacing/>
              <w:jc w:val="center"/>
              <w:rPr>
                <w:rFonts w:eastAsia="SimSun"/>
                <w:b/>
                <w:bCs/>
                <w:sz w:val="24"/>
                <w:szCs w:val="24"/>
              </w:rPr>
            </w:pPr>
            <w:proofErr w:type="gramStart"/>
            <w:r w:rsidRPr="00070085">
              <w:rPr>
                <w:rFonts w:eastAsia="SimSun"/>
                <w:b/>
                <w:bCs/>
                <w:sz w:val="24"/>
                <w:szCs w:val="24"/>
              </w:rPr>
              <w:t xml:space="preserve">( </w:t>
            </w:r>
            <w:r w:rsidRPr="00070085">
              <w:rPr>
                <w:rFonts w:eastAsia="SimSun"/>
                <w:b/>
                <w:bCs/>
                <w:i/>
                <w:sz w:val="24"/>
                <w:szCs w:val="24"/>
              </w:rPr>
              <w:t>β</w:t>
            </w:r>
            <w:proofErr w:type="gramEnd"/>
            <w:r w:rsidRPr="00070085">
              <w:rPr>
                <w:rFonts w:eastAsia="SimSun"/>
                <w:b/>
                <w:bCs/>
                <w:sz w:val="24"/>
                <w:szCs w:val="24"/>
              </w:rPr>
              <w:t xml:space="preserve"> )</w:t>
            </w:r>
          </w:p>
          <w:p w14:paraId="1894E963" w14:textId="77777777" w:rsidR="00070085" w:rsidRPr="00070085" w:rsidRDefault="00070085" w:rsidP="00070085">
            <w:pPr>
              <w:spacing w:line="240" w:lineRule="exact"/>
              <w:ind w:firstLineChars="100" w:firstLine="240"/>
              <w:contextualSpacing/>
              <w:jc w:val="center"/>
              <w:rPr>
                <w:rFonts w:eastAsia="SimSun"/>
                <w:b/>
                <w:bCs/>
                <w:sz w:val="24"/>
                <w:szCs w:val="24"/>
              </w:rPr>
            </w:pPr>
            <w:r w:rsidRPr="00070085">
              <w:rPr>
                <w:rFonts w:eastAsia="SimSun"/>
                <w:i/>
                <w:sz w:val="24"/>
                <w:szCs w:val="24"/>
              </w:rPr>
              <w:t>(</w:t>
            </w:r>
            <w:proofErr w:type="spellStart"/>
            <w:r w:rsidRPr="00070085">
              <w:rPr>
                <w:rFonts w:eastAsia="SimSun"/>
                <w:i/>
                <w:sz w:val="24"/>
                <w:szCs w:val="24"/>
              </w:rPr>
              <w:t>l</w:t>
            </w:r>
            <w:r w:rsidRPr="00070085">
              <w:rPr>
                <w:rFonts w:eastAsia="SimSun"/>
                <w:sz w:val="24"/>
                <w:szCs w:val="24"/>
                <w:vertAlign w:val="subscript"/>
              </w:rPr>
              <w:t>k</w:t>
            </w:r>
            <w:proofErr w:type="spellEnd"/>
            <w:r w:rsidRPr="00070085">
              <w:rPr>
                <w:rFonts w:eastAsia="SimSun"/>
                <w:sz w:val="24"/>
                <w:szCs w:val="24"/>
              </w:rPr>
              <w:t>)</w:t>
            </w:r>
          </w:p>
        </w:tc>
        <w:tc>
          <w:tcPr>
            <w:tcW w:w="1136" w:type="dxa"/>
            <w:tcBorders>
              <w:top w:val="single" w:sz="4" w:space="0" w:color="auto"/>
              <w:bottom w:val="single" w:sz="4" w:space="0" w:color="auto"/>
            </w:tcBorders>
          </w:tcPr>
          <w:p w14:paraId="23CA3F4D"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Indicator Reliability</w:t>
            </w:r>
          </w:p>
          <w:p w14:paraId="20EB39A0" w14:textId="77777777" w:rsidR="00070085" w:rsidRPr="00070085" w:rsidRDefault="00070085" w:rsidP="00070085">
            <w:pPr>
              <w:spacing w:line="240" w:lineRule="exact"/>
              <w:ind w:firstLineChars="150" w:firstLine="360"/>
              <w:contextualSpacing/>
              <w:jc w:val="center"/>
              <w:rPr>
                <w:rFonts w:eastAsia="SimSun"/>
                <w:b/>
                <w:bCs/>
                <w:sz w:val="24"/>
                <w:szCs w:val="24"/>
              </w:rPr>
            </w:pPr>
            <w:proofErr w:type="gramStart"/>
            <w:r w:rsidRPr="00070085">
              <w:rPr>
                <w:rFonts w:eastAsia="SimSun"/>
                <w:i/>
                <w:sz w:val="24"/>
                <w:szCs w:val="24"/>
              </w:rPr>
              <w:t>( l</w:t>
            </w:r>
            <w:r w:rsidRPr="00070085">
              <w:rPr>
                <w:rFonts w:eastAsia="SimSun"/>
                <w:sz w:val="24"/>
                <w:szCs w:val="24"/>
                <w:vertAlign w:val="subscript"/>
              </w:rPr>
              <w:t>k</w:t>
            </w:r>
            <w:r w:rsidRPr="00070085">
              <w:rPr>
                <w:rFonts w:eastAsia="SimSun"/>
                <w:sz w:val="24"/>
                <w:szCs w:val="24"/>
                <w:vertAlign w:val="superscript"/>
              </w:rPr>
              <w:t xml:space="preserve">2 </w:t>
            </w:r>
            <w:r w:rsidRPr="00070085">
              <w:rPr>
                <w:rFonts w:eastAsia="SimSun"/>
                <w:sz w:val="24"/>
                <w:szCs w:val="24"/>
              </w:rPr>
              <w:t>)</w:t>
            </w:r>
            <w:proofErr w:type="gramEnd"/>
          </w:p>
        </w:tc>
        <w:tc>
          <w:tcPr>
            <w:tcW w:w="696" w:type="dxa"/>
            <w:tcBorders>
              <w:top w:val="single" w:sz="4" w:space="0" w:color="auto"/>
              <w:bottom w:val="single" w:sz="4" w:space="0" w:color="auto"/>
              <w:right w:val="single" w:sz="4" w:space="0" w:color="auto"/>
            </w:tcBorders>
          </w:tcPr>
          <w:p w14:paraId="7B0E81FE"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AVE</w:t>
            </w:r>
          </w:p>
        </w:tc>
        <w:tc>
          <w:tcPr>
            <w:tcW w:w="0" w:type="auto"/>
            <w:tcBorders>
              <w:top w:val="single" w:sz="4" w:space="0" w:color="auto"/>
              <w:left w:val="single" w:sz="4" w:space="0" w:color="auto"/>
              <w:bottom w:val="single" w:sz="4" w:space="0" w:color="auto"/>
            </w:tcBorders>
          </w:tcPr>
          <w:p w14:paraId="769DE96D"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Composite Reliability</w:t>
            </w:r>
            <w:r w:rsidRPr="00070085">
              <w:rPr>
                <w:rFonts w:eastAsia="SimSun"/>
                <w:b/>
                <w:bCs/>
                <w:i/>
                <w:iCs/>
                <w:sz w:val="24"/>
                <w:szCs w:val="24"/>
              </w:rPr>
              <w:t xml:space="preserve"> (</w:t>
            </w:r>
            <w:proofErr w:type="spellStart"/>
            <w:r w:rsidRPr="00070085">
              <w:rPr>
                <w:rFonts w:eastAsia="SimSun"/>
                <w:b/>
                <w:bCs/>
                <w:i/>
                <w:iCs/>
                <w:sz w:val="24"/>
                <w:szCs w:val="24"/>
              </w:rPr>
              <w:t>rho_c</w:t>
            </w:r>
            <w:proofErr w:type="spellEnd"/>
            <w:r w:rsidRPr="00070085">
              <w:rPr>
                <w:rFonts w:eastAsia="SimSun"/>
                <w:b/>
                <w:bCs/>
                <w:sz w:val="24"/>
                <w:szCs w:val="24"/>
              </w:rPr>
              <w:t>)</w:t>
            </w:r>
          </w:p>
        </w:tc>
        <w:tc>
          <w:tcPr>
            <w:tcW w:w="0" w:type="auto"/>
            <w:tcBorders>
              <w:top w:val="single" w:sz="4" w:space="0" w:color="auto"/>
              <w:bottom w:val="single" w:sz="4" w:space="0" w:color="auto"/>
            </w:tcBorders>
          </w:tcPr>
          <w:p w14:paraId="2310FA0E"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Cronbach’s Alpha</w:t>
            </w:r>
          </w:p>
          <w:p w14:paraId="5D559D83" w14:textId="77777777" w:rsidR="00070085" w:rsidRPr="00070085" w:rsidRDefault="00070085" w:rsidP="00070085">
            <w:pPr>
              <w:spacing w:line="240" w:lineRule="exact"/>
              <w:ind w:rightChars="151" w:right="362"/>
              <w:contextualSpacing/>
              <w:jc w:val="center"/>
              <w:rPr>
                <w:rFonts w:eastAsia="SimSun"/>
                <w:b/>
                <w:bCs/>
                <w:sz w:val="24"/>
                <w:szCs w:val="24"/>
              </w:rPr>
            </w:pPr>
            <w:r w:rsidRPr="00070085">
              <w:rPr>
                <w:rFonts w:eastAsia="SimSun"/>
                <w:b/>
                <w:bCs/>
                <w:sz w:val="24"/>
                <w:szCs w:val="24"/>
              </w:rPr>
              <w:t>(α)</w:t>
            </w:r>
          </w:p>
        </w:tc>
      </w:tr>
      <w:tr w:rsidR="00070085" w:rsidRPr="00070085" w14:paraId="55B56254" w14:textId="77777777" w:rsidTr="005C4055">
        <w:trPr>
          <w:trHeight w:val="296"/>
        </w:trPr>
        <w:tc>
          <w:tcPr>
            <w:tcW w:w="1783" w:type="dxa"/>
            <w:vMerge/>
            <w:tcBorders>
              <w:bottom w:val="single" w:sz="4" w:space="0" w:color="auto"/>
            </w:tcBorders>
          </w:tcPr>
          <w:p w14:paraId="69B49177" w14:textId="77777777" w:rsidR="00070085" w:rsidRPr="00070085" w:rsidRDefault="00070085" w:rsidP="00070085">
            <w:pPr>
              <w:spacing w:line="240" w:lineRule="exact"/>
              <w:contextualSpacing/>
              <w:rPr>
                <w:rFonts w:eastAsia="SimSun"/>
                <w:sz w:val="24"/>
                <w:szCs w:val="24"/>
              </w:rPr>
            </w:pPr>
          </w:p>
        </w:tc>
        <w:tc>
          <w:tcPr>
            <w:tcW w:w="1400" w:type="dxa"/>
            <w:vMerge/>
            <w:tcBorders>
              <w:top w:val="nil"/>
              <w:bottom w:val="single" w:sz="4" w:space="0" w:color="auto"/>
            </w:tcBorders>
          </w:tcPr>
          <w:p w14:paraId="4F3D7193" w14:textId="77777777" w:rsidR="00070085" w:rsidRPr="00070085" w:rsidRDefault="00070085" w:rsidP="00070085">
            <w:pPr>
              <w:spacing w:line="240" w:lineRule="exact"/>
              <w:contextualSpacing/>
              <w:rPr>
                <w:rFonts w:eastAsia="SimSun"/>
                <w:sz w:val="24"/>
                <w:szCs w:val="24"/>
              </w:rPr>
            </w:pPr>
          </w:p>
        </w:tc>
        <w:tc>
          <w:tcPr>
            <w:tcW w:w="1206" w:type="dxa"/>
            <w:tcBorders>
              <w:top w:val="single" w:sz="4" w:space="0" w:color="auto"/>
              <w:bottom w:val="single" w:sz="4" w:space="0" w:color="auto"/>
              <w:right w:val="single" w:sz="4" w:space="0" w:color="auto"/>
            </w:tcBorders>
          </w:tcPr>
          <w:p w14:paraId="033AEB19" w14:textId="77777777" w:rsidR="00070085" w:rsidRPr="00070085" w:rsidRDefault="00070085" w:rsidP="00070085">
            <w:pPr>
              <w:spacing w:line="240" w:lineRule="exact"/>
              <w:contextualSpacing/>
              <w:jc w:val="center"/>
              <w:rPr>
                <w:rFonts w:eastAsia="SimSun"/>
                <w:sz w:val="24"/>
                <w:szCs w:val="24"/>
              </w:rPr>
            </w:pPr>
            <w:r w:rsidRPr="00070085">
              <w:rPr>
                <w:rFonts w:eastAsia="SimSun"/>
                <w:b/>
                <w:bCs/>
                <w:sz w:val="24"/>
                <w:szCs w:val="24"/>
              </w:rPr>
              <w:t>Thresholds</w:t>
            </w:r>
          </w:p>
        </w:tc>
        <w:tc>
          <w:tcPr>
            <w:tcW w:w="0" w:type="auto"/>
            <w:tcBorders>
              <w:top w:val="single" w:sz="4" w:space="0" w:color="auto"/>
              <w:left w:val="single" w:sz="4" w:space="0" w:color="auto"/>
              <w:bottom w:val="single" w:sz="4" w:space="0" w:color="auto"/>
            </w:tcBorders>
          </w:tcPr>
          <w:p w14:paraId="0659D7A1"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&gt;0.70</w:t>
            </w:r>
          </w:p>
        </w:tc>
        <w:tc>
          <w:tcPr>
            <w:tcW w:w="1136" w:type="dxa"/>
            <w:tcBorders>
              <w:top w:val="single" w:sz="4" w:space="0" w:color="auto"/>
              <w:bottom w:val="single" w:sz="4" w:space="0" w:color="auto"/>
            </w:tcBorders>
          </w:tcPr>
          <w:p w14:paraId="3FB20226"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&gt;0.50</w:t>
            </w:r>
          </w:p>
        </w:tc>
        <w:tc>
          <w:tcPr>
            <w:tcW w:w="696" w:type="dxa"/>
            <w:tcBorders>
              <w:top w:val="single" w:sz="4" w:space="0" w:color="auto"/>
              <w:bottom w:val="single" w:sz="4" w:space="0" w:color="auto"/>
              <w:right w:val="single" w:sz="4" w:space="0" w:color="auto"/>
            </w:tcBorders>
          </w:tcPr>
          <w:p w14:paraId="2B09414A"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&gt;0.50</w:t>
            </w:r>
          </w:p>
        </w:tc>
        <w:tc>
          <w:tcPr>
            <w:tcW w:w="0" w:type="auto"/>
            <w:tcBorders>
              <w:top w:val="single" w:sz="4" w:space="0" w:color="auto"/>
              <w:left w:val="single" w:sz="4" w:space="0" w:color="auto"/>
              <w:bottom w:val="single" w:sz="4" w:space="0" w:color="auto"/>
            </w:tcBorders>
          </w:tcPr>
          <w:p w14:paraId="1D1A881B"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&gt;0.70</w:t>
            </w:r>
          </w:p>
        </w:tc>
        <w:tc>
          <w:tcPr>
            <w:tcW w:w="0" w:type="auto"/>
            <w:tcBorders>
              <w:top w:val="single" w:sz="4" w:space="0" w:color="auto"/>
              <w:bottom w:val="single" w:sz="4" w:space="0" w:color="auto"/>
            </w:tcBorders>
          </w:tcPr>
          <w:p w14:paraId="1DE42D95"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0.70 - 0.90</w:t>
            </w:r>
          </w:p>
        </w:tc>
      </w:tr>
      <w:tr w:rsidR="00070085" w:rsidRPr="00070085" w14:paraId="3D7BEDD9" w14:textId="77777777" w:rsidTr="005C4055">
        <w:tc>
          <w:tcPr>
            <w:tcW w:w="1783" w:type="dxa"/>
            <w:vMerge w:val="restart"/>
            <w:tcBorders>
              <w:top w:val="single" w:sz="4" w:space="0" w:color="auto"/>
            </w:tcBorders>
          </w:tcPr>
          <w:p w14:paraId="2A8A0902" w14:textId="77777777" w:rsidR="00070085" w:rsidRPr="00070085" w:rsidRDefault="00070085" w:rsidP="00070085">
            <w:pPr>
              <w:spacing w:line="240" w:lineRule="exact"/>
              <w:contextualSpacing/>
              <w:jc w:val="center"/>
              <w:rPr>
                <w:rFonts w:eastAsia="SimSun"/>
                <w:b/>
                <w:bCs/>
                <w:sz w:val="24"/>
                <w:szCs w:val="24"/>
              </w:rPr>
            </w:pPr>
          </w:p>
          <w:p w14:paraId="0C885910" w14:textId="77777777" w:rsidR="00070085" w:rsidRPr="00070085" w:rsidRDefault="00070085" w:rsidP="00070085">
            <w:pPr>
              <w:spacing w:line="240" w:lineRule="exact"/>
              <w:contextualSpacing/>
              <w:jc w:val="center"/>
              <w:rPr>
                <w:rFonts w:eastAsia="SimSun"/>
                <w:b/>
                <w:bCs/>
                <w:sz w:val="24"/>
                <w:szCs w:val="24"/>
              </w:rPr>
            </w:pPr>
          </w:p>
          <w:p w14:paraId="65CD6B4A" w14:textId="77777777" w:rsidR="00070085" w:rsidRPr="00070085" w:rsidRDefault="00070085" w:rsidP="00070085">
            <w:pPr>
              <w:spacing w:line="240" w:lineRule="exact"/>
              <w:contextualSpacing/>
              <w:jc w:val="center"/>
              <w:rPr>
                <w:rFonts w:eastAsia="SimSun"/>
                <w:b/>
                <w:bCs/>
                <w:sz w:val="24"/>
                <w:szCs w:val="24"/>
              </w:rPr>
            </w:pPr>
          </w:p>
          <w:p w14:paraId="1499E3BB"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Lean management systems</w:t>
            </w:r>
          </w:p>
          <w:p w14:paraId="6EC23B59" w14:textId="77777777" w:rsidR="00070085" w:rsidRPr="00070085" w:rsidRDefault="00070085" w:rsidP="00070085">
            <w:pPr>
              <w:spacing w:line="240" w:lineRule="exact"/>
              <w:contextualSpacing/>
              <w:jc w:val="center"/>
              <w:rPr>
                <w:rFonts w:eastAsia="SimSun"/>
                <w:b/>
                <w:bCs/>
                <w:sz w:val="24"/>
                <w:szCs w:val="24"/>
              </w:rPr>
            </w:pPr>
          </w:p>
          <w:p w14:paraId="2C6BAAF0" w14:textId="77777777" w:rsidR="00070085" w:rsidRPr="00070085" w:rsidRDefault="00070085" w:rsidP="00070085">
            <w:pPr>
              <w:spacing w:line="240" w:lineRule="exact"/>
              <w:contextualSpacing/>
              <w:jc w:val="center"/>
              <w:rPr>
                <w:rFonts w:eastAsia="SimSun"/>
                <w:b/>
                <w:bCs/>
                <w:sz w:val="24"/>
                <w:szCs w:val="24"/>
              </w:rPr>
            </w:pPr>
          </w:p>
        </w:tc>
        <w:tc>
          <w:tcPr>
            <w:tcW w:w="1400" w:type="dxa"/>
            <w:vMerge w:val="restart"/>
            <w:tcBorders>
              <w:top w:val="single" w:sz="4" w:space="0" w:color="auto"/>
            </w:tcBorders>
          </w:tcPr>
          <w:p w14:paraId="3989785A" w14:textId="77777777" w:rsidR="00070085" w:rsidRPr="00070085" w:rsidRDefault="00070085" w:rsidP="00070085">
            <w:pPr>
              <w:spacing w:line="240" w:lineRule="exact"/>
              <w:contextualSpacing/>
              <w:jc w:val="center"/>
              <w:rPr>
                <w:rFonts w:eastAsia="SimSun"/>
                <w:b/>
                <w:bCs/>
                <w:sz w:val="24"/>
                <w:szCs w:val="24"/>
              </w:rPr>
            </w:pPr>
          </w:p>
          <w:p w14:paraId="69DAF341" w14:textId="77777777" w:rsidR="00070085" w:rsidRPr="00070085" w:rsidRDefault="00070085" w:rsidP="00070085">
            <w:pPr>
              <w:spacing w:line="240" w:lineRule="exact"/>
              <w:contextualSpacing/>
              <w:jc w:val="center"/>
              <w:rPr>
                <w:rFonts w:eastAsia="SimSun"/>
                <w:b/>
                <w:bCs/>
                <w:sz w:val="24"/>
                <w:szCs w:val="24"/>
              </w:rPr>
            </w:pPr>
          </w:p>
          <w:p w14:paraId="0FB2E74C"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Continuous improvement</w:t>
            </w:r>
          </w:p>
        </w:tc>
        <w:tc>
          <w:tcPr>
            <w:tcW w:w="1206" w:type="dxa"/>
            <w:tcBorders>
              <w:top w:val="single" w:sz="4" w:space="0" w:color="auto"/>
              <w:bottom w:val="nil"/>
              <w:right w:val="single" w:sz="4" w:space="0" w:color="auto"/>
            </w:tcBorders>
          </w:tcPr>
          <w:p w14:paraId="5D600A8D"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CI1</w:t>
            </w:r>
          </w:p>
        </w:tc>
        <w:tc>
          <w:tcPr>
            <w:tcW w:w="0" w:type="auto"/>
            <w:tcBorders>
              <w:top w:val="single" w:sz="4" w:space="0" w:color="auto"/>
              <w:left w:val="single" w:sz="4" w:space="0" w:color="auto"/>
              <w:bottom w:val="nil"/>
            </w:tcBorders>
            <w:vAlign w:val="center"/>
          </w:tcPr>
          <w:p w14:paraId="4881A90D"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0.907</w:t>
            </w:r>
          </w:p>
        </w:tc>
        <w:tc>
          <w:tcPr>
            <w:tcW w:w="1136" w:type="dxa"/>
            <w:tcBorders>
              <w:top w:val="single" w:sz="4" w:space="0" w:color="auto"/>
              <w:bottom w:val="nil"/>
            </w:tcBorders>
            <w:vAlign w:val="bottom"/>
          </w:tcPr>
          <w:p w14:paraId="313F2BCB"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0.823</w:t>
            </w:r>
          </w:p>
        </w:tc>
        <w:tc>
          <w:tcPr>
            <w:tcW w:w="696" w:type="dxa"/>
            <w:vMerge w:val="restart"/>
            <w:tcBorders>
              <w:top w:val="single" w:sz="4" w:space="0" w:color="auto"/>
              <w:right w:val="single" w:sz="4" w:space="0" w:color="auto"/>
            </w:tcBorders>
            <w:vAlign w:val="center"/>
          </w:tcPr>
          <w:p w14:paraId="5F7FDCF1"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0.724</w:t>
            </w:r>
          </w:p>
        </w:tc>
        <w:tc>
          <w:tcPr>
            <w:tcW w:w="0" w:type="auto"/>
            <w:vMerge w:val="restart"/>
            <w:tcBorders>
              <w:top w:val="single" w:sz="4" w:space="0" w:color="auto"/>
              <w:left w:val="single" w:sz="4" w:space="0" w:color="auto"/>
            </w:tcBorders>
            <w:vAlign w:val="center"/>
          </w:tcPr>
          <w:p w14:paraId="474BED5B"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0.940</w:t>
            </w:r>
          </w:p>
        </w:tc>
        <w:tc>
          <w:tcPr>
            <w:tcW w:w="0" w:type="auto"/>
            <w:vMerge w:val="restart"/>
            <w:tcBorders>
              <w:top w:val="single" w:sz="4" w:space="0" w:color="auto"/>
            </w:tcBorders>
            <w:vAlign w:val="center"/>
          </w:tcPr>
          <w:p w14:paraId="46DD93CD"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0.824</w:t>
            </w:r>
          </w:p>
        </w:tc>
      </w:tr>
      <w:tr w:rsidR="00070085" w:rsidRPr="00070085" w14:paraId="63C15C00" w14:textId="77777777" w:rsidTr="005C4055">
        <w:tc>
          <w:tcPr>
            <w:tcW w:w="1783" w:type="dxa"/>
            <w:vMerge/>
          </w:tcPr>
          <w:p w14:paraId="56607785"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4DD6136A"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bottom w:val="nil"/>
              <w:right w:val="single" w:sz="4" w:space="0" w:color="auto"/>
            </w:tcBorders>
          </w:tcPr>
          <w:p w14:paraId="28B3AB24"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CI2</w:t>
            </w:r>
          </w:p>
        </w:tc>
        <w:tc>
          <w:tcPr>
            <w:tcW w:w="0" w:type="auto"/>
            <w:tcBorders>
              <w:top w:val="nil"/>
              <w:left w:val="single" w:sz="4" w:space="0" w:color="auto"/>
              <w:bottom w:val="nil"/>
            </w:tcBorders>
            <w:vAlign w:val="center"/>
          </w:tcPr>
          <w:p w14:paraId="0FB9518F"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0.815</w:t>
            </w:r>
          </w:p>
        </w:tc>
        <w:tc>
          <w:tcPr>
            <w:tcW w:w="1136" w:type="dxa"/>
            <w:tcBorders>
              <w:top w:val="nil"/>
              <w:bottom w:val="nil"/>
            </w:tcBorders>
            <w:vAlign w:val="bottom"/>
          </w:tcPr>
          <w:p w14:paraId="537A8761"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0.664</w:t>
            </w:r>
          </w:p>
        </w:tc>
        <w:tc>
          <w:tcPr>
            <w:tcW w:w="696" w:type="dxa"/>
            <w:vMerge/>
            <w:tcBorders>
              <w:right w:val="single" w:sz="4" w:space="0" w:color="auto"/>
            </w:tcBorders>
          </w:tcPr>
          <w:p w14:paraId="1EA8896E"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single" w:sz="4" w:space="0" w:color="auto"/>
            </w:tcBorders>
          </w:tcPr>
          <w:p w14:paraId="42ACF7BC"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00A8B8AC" w14:textId="77777777" w:rsidR="00070085" w:rsidRPr="00070085" w:rsidRDefault="00070085" w:rsidP="00070085">
            <w:pPr>
              <w:spacing w:line="240" w:lineRule="exact"/>
              <w:contextualSpacing/>
              <w:jc w:val="center"/>
              <w:rPr>
                <w:rFonts w:eastAsia="SimSun"/>
                <w:sz w:val="24"/>
                <w:szCs w:val="24"/>
              </w:rPr>
            </w:pPr>
          </w:p>
        </w:tc>
      </w:tr>
      <w:tr w:rsidR="00070085" w:rsidRPr="00070085" w14:paraId="502186E8" w14:textId="77777777" w:rsidTr="005C4055">
        <w:tc>
          <w:tcPr>
            <w:tcW w:w="1783" w:type="dxa"/>
            <w:vMerge/>
          </w:tcPr>
          <w:p w14:paraId="0BF34AB7"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0F85FDD7"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bottom w:val="nil"/>
              <w:right w:val="single" w:sz="4" w:space="0" w:color="auto"/>
            </w:tcBorders>
          </w:tcPr>
          <w:p w14:paraId="2267CCCA"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CI3</w:t>
            </w:r>
          </w:p>
        </w:tc>
        <w:tc>
          <w:tcPr>
            <w:tcW w:w="0" w:type="auto"/>
            <w:tcBorders>
              <w:top w:val="nil"/>
              <w:left w:val="single" w:sz="4" w:space="0" w:color="auto"/>
              <w:bottom w:val="nil"/>
            </w:tcBorders>
            <w:vAlign w:val="center"/>
          </w:tcPr>
          <w:p w14:paraId="03283741"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0.844</w:t>
            </w:r>
          </w:p>
        </w:tc>
        <w:tc>
          <w:tcPr>
            <w:tcW w:w="1136" w:type="dxa"/>
            <w:tcBorders>
              <w:top w:val="nil"/>
              <w:bottom w:val="nil"/>
            </w:tcBorders>
            <w:vAlign w:val="bottom"/>
          </w:tcPr>
          <w:p w14:paraId="38DC723C"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0.712</w:t>
            </w:r>
          </w:p>
        </w:tc>
        <w:tc>
          <w:tcPr>
            <w:tcW w:w="696" w:type="dxa"/>
            <w:vMerge/>
            <w:tcBorders>
              <w:right w:val="single" w:sz="4" w:space="0" w:color="auto"/>
            </w:tcBorders>
          </w:tcPr>
          <w:p w14:paraId="7C17356C"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single" w:sz="4" w:space="0" w:color="auto"/>
            </w:tcBorders>
          </w:tcPr>
          <w:p w14:paraId="216967F9"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63C6791F" w14:textId="77777777" w:rsidR="00070085" w:rsidRPr="00070085" w:rsidRDefault="00070085" w:rsidP="00070085">
            <w:pPr>
              <w:spacing w:line="240" w:lineRule="exact"/>
              <w:contextualSpacing/>
              <w:jc w:val="center"/>
              <w:rPr>
                <w:rFonts w:eastAsia="SimSun"/>
                <w:sz w:val="24"/>
                <w:szCs w:val="24"/>
              </w:rPr>
            </w:pPr>
          </w:p>
        </w:tc>
      </w:tr>
      <w:tr w:rsidR="00070085" w:rsidRPr="00070085" w14:paraId="4DBCDEDA" w14:textId="77777777" w:rsidTr="005C4055">
        <w:tc>
          <w:tcPr>
            <w:tcW w:w="1783" w:type="dxa"/>
            <w:vMerge/>
          </w:tcPr>
          <w:p w14:paraId="31415AA8"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333FB9D8"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bottom w:val="nil"/>
              <w:right w:val="single" w:sz="4" w:space="0" w:color="auto"/>
            </w:tcBorders>
          </w:tcPr>
          <w:p w14:paraId="2EC97301"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CI4</w:t>
            </w:r>
          </w:p>
        </w:tc>
        <w:tc>
          <w:tcPr>
            <w:tcW w:w="0" w:type="auto"/>
            <w:tcBorders>
              <w:top w:val="nil"/>
              <w:left w:val="single" w:sz="4" w:space="0" w:color="auto"/>
              <w:bottom w:val="nil"/>
            </w:tcBorders>
            <w:vAlign w:val="center"/>
          </w:tcPr>
          <w:p w14:paraId="014DB78C"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0.868</w:t>
            </w:r>
          </w:p>
        </w:tc>
        <w:tc>
          <w:tcPr>
            <w:tcW w:w="1136" w:type="dxa"/>
            <w:tcBorders>
              <w:top w:val="nil"/>
              <w:bottom w:val="nil"/>
            </w:tcBorders>
            <w:vAlign w:val="bottom"/>
          </w:tcPr>
          <w:p w14:paraId="1D872298"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0.753</w:t>
            </w:r>
          </w:p>
        </w:tc>
        <w:tc>
          <w:tcPr>
            <w:tcW w:w="696" w:type="dxa"/>
            <w:vMerge/>
            <w:tcBorders>
              <w:right w:val="single" w:sz="4" w:space="0" w:color="auto"/>
            </w:tcBorders>
          </w:tcPr>
          <w:p w14:paraId="6446E58D"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single" w:sz="4" w:space="0" w:color="auto"/>
            </w:tcBorders>
          </w:tcPr>
          <w:p w14:paraId="0EE150BE"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74E34437" w14:textId="77777777" w:rsidR="00070085" w:rsidRPr="00070085" w:rsidRDefault="00070085" w:rsidP="00070085">
            <w:pPr>
              <w:spacing w:line="240" w:lineRule="exact"/>
              <w:contextualSpacing/>
              <w:jc w:val="center"/>
              <w:rPr>
                <w:rFonts w:eastAsia="SimSun"/>
                <w:sz w:val="24"/>
                <w:szCs w:val="24"/>
              </w:rPr>
            </w:pPr>
          </w:p>
        </w:tc>
      </w:tr>
      <w:tr w:rsidR="00070085" w:rsidRPr="00070085" w14:paraId="4A4A50EB" w14:textId="77777777" w:rsidTr="005C4055">
        <w:tc>
          <w:tcPr>
            <w:tcW w:w="1783" w:type="dxa"/>
            <w:vMerge/>
          </w:tcPr>
          <w:p w14:paraId="61BE282F"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57188EDB"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bottom w:val="nil"/>
              <w:right w:val="single" w:sz="4" w:space="0" w:color="auto"/>
            </w:tcBorders>
          </w:tcPr>
          <w:p w14:paraId="642D4418"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CI5</w:t>
            </w:r>
          </w:p>
        </w:tc>
        <w:tc>
          <w:tcPr>
            <w:tcW w:w="0" w:type="auto"/>
            <w:tcBorders>
              <w:top w:val="nil"/>
              <w:left w:val="single" w:sz="4" w:space="0" w:color="auto"/>
              <w:bottom w:val="nil"/>
            </w:tcBorders>
            <w:vAlign w:val="center"/>
          </w:tcPr>
          <w:p w14:paraId="379A3312"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0.872</w:t>
            </w:r>
          </w:p>
        </w:tc>
        <w:tc>
          <w:tcPr>
            <w:tcW w:w="1136" w:type="dxa"/>
            <w:tcBorders>
              <w:top w:val="nil"/>
              <w:bottom w:val="nil"/>
            </w:tcBorders>
            <w:vAlign w:val="bottom"/>
          </w:tcPr>
          <w:p w14:paraId="31A61806"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0.760</w:t>
            </w:r>
          </w:p>
        </w:tc>
        <w:tc>
          <w:tcPr>
            <w:tcW w:w="696" w:type="dxa"/>
            <w:vMerge/>
            <w:tcBorders>
              <w:right w:val="single" w:sz="4" w:space="0" w:color="auto"/>
            </w:tcBorders>
          </w:tcPr>
          <w:p w14:paraId="4BF479E4"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single" w:sz="4" w:space="0" w:color="auto"/>
            </w:tcBorders>
          </w:tcPr>
          <w:p w14:paraId="7CF50640"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5EFDD111" w14:textId="77777777" w:rsidR="00070085" w:rsidRPr="00070085" w:rsidRDefault="00070085" w:rsidP="00070085">
            <w:pPr>
              <w:spacing w:line="240" w:lineRule="exact"/>
              <w:contextualSpacing/>
              <w:jc w:val="center"/>
              <w:rPr>
                <w:rFonts w:eastAsia="SimSun"/>
                <w:sz w:val="24"/>
                <w:szCs w:val="24"/>
              </w:rPr>
            </w:pPr>
          </w:p>
        </w:tc>
      </w:tr>
      <w:tr w:rsidR="00070085" w:rsidRPr="00070085" w14:paraId="61D4E051" w14:textId="77777777" w:rsidTr="005C4055">
        <w:tc>
          <w:tcPr>
            <w:tcW w:w="1783" w:type="dxa"/>
            <w:vMerge/>
          </w:tcPr>
          <w:p w14:paraId="200F15C0" w14:textId="77777777" w:rsidR="00070085" w:rsidRPr="00070085" w:rsidRDefault="00070085" w:rsidP="00070085">
            <w:pPr>
              <w:spacing w:line="240" w:lineRule="exact"/>
              <w:contextualSpacing/>
              <w:jc w:val="center"/>
              <w:rPr>
                <w:rFonts w:eastAsia="SimSun"/>
                <w:sz w:val="24"/>
                <w:szCs w:val="24"/>
              </w:rPr>
            </w:pPr>
          </w:p>
        </w:tc>
        <w:tc>
          <w:tcPr>
            <w:tcW w:w="1400" w:type="dxa"/>
            <w:vMerge/>
            <w:tcBorders>
              <w:bottom w:val="nil"/>
            </w:tcBorders>
          </w:tcPr>
          <w:p w14:paraId="7DC21A13"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bottom w:val="nil"/>
              <w:right w:val="single" w:sz="4" w:space="0" w:color="auto"/>
            </w:tcBorders>
          </w:tcPr>
          <w:p w14:paraId="1A6F3501"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CI6</w:t>
            </w:r>
          </w:p>
        </w:tc>
        <w:tc>
          <w:tcPr>
            <w:tcW w:w="0" w:type="auto"/>
            <w:tcBorders>
              <w:top w:val="nil"/>
              <w:left w:val="single" w:sz="4" w:space="0" w:color="auto"/>
              <w:bottom w:val="nil"/>
            </w:tcBorders>
            <w:vAlign w:val="center"/>
          </w:tcPr>
          <w:p w14:paraId="375122A2"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0.795</w:t>
            </w:r>
          </w:p>
        </w:tc>
        <w:tc>
          <w:tcPr>
            <w:tcW w:w="1136" w:type="dxa"/>
            <w:tcBorders>
              <w:top w:val="nil"/>
              <w:bottom w:val="nil"/>
            </w:tcBorders>
            <w:vAlign w:val="bottom"/>
          </w:tcPr>
          <w:p w14:paraId="3EAA6E54"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0.632</w:t>
            </w:r>
          </w:p>
        </w:tc>
        <w:tc>
          <w:tcPr>
            <w:tcW w:w="696" w:type="dxa"/>
            <w:vMerge/>
            <w:tcBorders>
              <w:bottom w:val="nil"/>
              <w:right w:val="single" w:sz="4" w:space="0" w:color="auto"/>
            </w:tcBorders>
          </w:tcPr>
          <w:p w14:paraId="2B575F50"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single" w:sz="4" w:space="0" w:color="auto"/>
              <w:bottom w:val="nil"/>
            </w:tcBorders>
          </w:tcPr>
          <w:p w14:paraId="51F04EE3" w14:textId="77777777" w:rsidR="00070085" w:rsidRPr="00070085" w:rsidRDefault="00070085" w:rsidP="00070085">
            <w:pPr>
              <w:spacing w:line="240" w:lineRule="exact"/>
              <w:contextualSpacing/>
              <w:jc w:val="center"/>
              <w:rPr>
                <w:rFonts w:eastAsia="SimSun"/>
                <w:sz w:val="24"/>
                <w:szCs w:val="24"/>
              </w:rPr>
            </w:pPr>
          </w:p>
        </w:tc>
        <w:tc>
          <w:tcPr>
            <w:tcW w:w="0" w:type="auto"/>
            <w:vMerge/>
            <w:tcBorders>
              <w:bottom w:val="nil"/>
            </w:tcBorders>
          </w:tcPr>
          <w:p w14:paraId="0B0F379B" w14:textId="77777777" w:rsidR="00070085" w:rsidRPr="00070085" w:rsidRDefault="00070085" w:rsidP="00070085">
            <w:pPr>
              <w:spacing w:line="240" w:lineRule="exact"/>
              <w:contextualSpacing/>
              <w:jc w:val="center"/>
              <w:rPr>
                <w:rFonts w:eastAsia="SimSun"/>
                <w:sz w:val="24"/>
                <w:szCs w:val="24"/>
              </w:rPr>
            </w:pPr>
          </w:p>
        </w:tc>
      </w:tr>
      <w:tr w:rsidR="00070085" w:rsidRPr="00070085" w14:paraId="193BFEC1" w14:textId="77777777" w:rsidTr="005C4055">
        <w:tc>
          <w:tcPr>
            <w:tcW w:w="1783" w:type="dxa"/>
            <w:vMerge/>
          </w:tcPr>
          <w:p w14:paraId="3EAE674E" w14:textId="77777777" w:rsidR="00070085" w:rsidRPr="00070085" w:rsidRDefault="00070085" w:rsidP="00070085">
            <w:pPr>
              <w:spacing w:line="240" w:lineRule="exact"/>
              <w:contextualSpacing/>
              <w:jc w:val="center"/>
              <w:rPr>
                <w:rFonts w:eastAsia="SimSun"/>
                <w:b/>
                <w:bCs/>
                <w:sz w:val="24"/>
                <w:szCs w:val="24"/>
              </w:rPr>
            </w:pPr>
          </w:p>
        </w:tc>
        <w:tc>
          <w:tcPr>
            <w:tcW w:w="1400" w:type="dxa"/>
            <w:vMerge w:val="restart"/>
            <w:tcBorders>
              <w:top w:val="nil"/>
              <w:right w:val="nil"/>
            </w:tcBorders>
          </w:tcPr>
          <w:p w14:paraId="43BDFA0C" w14:textId="77777777" w:rsidR="00070085" w:rsidRPr="00070085" w:rsidRDefault="00070085" w:rsidP="00070085">
            <w:pPr>
              <w:spacing w:line="240" w:lineRule="exact"/>
              <w:contextualSpacing/>
              <w:jc w:val="center"/>
              <w:rPr>
                <w:rFonts w:eastAsia="SimSun"/>
                <w:b/>
                <w:bCs/>
                <w:sz w:val="24"/>
                <w:szCs w:val="24"/>
              </w:rPr>
            </w:pPr>
          </w:p>
          <w:p w14:paraId="6A2E689C" w14:textId="77777777" w:rsidR="00070085" w:rsidRPr="00070085" w:rsidRDefault="00070085" w:rsidP="00070085">
            <w:pPr>
              <w:spacing w:line="240" w:lineRule="exact"/>
              <w:contextualSpacing/>
              <w:jc w:val="center"/>
              <w:rPr>
                <w:rFonts w:eastAsia="SimSun"/>
                <w:b/>
                <w:bCs/>
                <w:sz w:val="24"/>
                <w:szCs w:val="24"/>
              </w:rPr>
            </w:pPr>
          </w:p>
          <w:p w14:paraId="1170291A"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Waste elimination</w:t>
            </w:r>
          </w:p>
        </w:tc>
        <w:tc>
          <w:tcPr>
            <w:tcW w:w="1206" w:type="dxa"/>
            <w:tcBorders>
              <w:top w:val="nil"/>
              <w:left w:val="nil"/>
              <w:bottom w:val="nil"/>
              <w:right w:val="nil"/>
            </w:tcBorders>
          </w:tcPr>
          <w:p w14:paraId="16E58AA9"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WE1</w:t>
            </w:r>
          </w:p>
        </w:tc>
        <w:tc>
          <w:tcPr>
            <w:tcW w:w="0" w:type="auto"/>
            <w:tcBorders>
              <w:top w:val="nil"/>
              <w:left w:val="nil"/>
              <w:bottom w:val="nil"/>
              <w:right w:val="nil"/>
            </w:tcBorders>
            <w:vAlign w:val="center"/>
          </w:tcPr>
          <w:p w14:paraId="7F05426B"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0.845</w:t>
            </w:r>
          </w:p>
        </w:tc>
        <w:tc>
          <w:tcPr>
            <w:tcW w:w="1136" w:type="dxa"/>
            <w:tcBorders>
              <w:top w:val="nil"/>
              <w:left w:val="nil"/>
              <w:bottom w:val="nil"/>
              <w:right w:val="nil"/>
            </w:tcBorders>
            <w:vAlign w:val="bottom"/>
          </w:tcPr>
          <w:p w14:paraId="07D1F896"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0.714</w:t>
            </w:r>
          </w:p>
        </w:tc>
        <w:tc>
          <w:tcPr>
            <w:tcW w:w="696" w:type="dxa"/>
            <w:vMerge w:val="restart"/>
            <w:tcBorders>
              <w:top w:val="nil"/>
              <w:left w:val="nil"/>
              <w:right w:val="nil"/>
            </w:tcBorders>
            <w:vAlign w:val="center"/>
          </w:tcPr>
          <w:p w14:paraId="1D3A53C2"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0.685</w:t>
            </w:r>
          </w:p>
        </w:tc>
        <w:tc>
          <w:tcPr>
            <w:tcW w:w="0" w:type="auto"/>
            <w:vMerge w:val="restart"/>
            <w:tcBorders>
              <w:top w:val="nil"/>
              <w:left w:val="nil"/>
              <w:right w:val="nil"/>
            </w:tcBorders>
            <w:vAlign w:val="center"/>
          </w:tcPr>
          <w:p w14:paraId="61ABF4F8"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0.929</w:t>
            </w:r>
          </w:p>
        </w:tc>
        <w:tc>
          <w:tcPr>
            <w:tcW w:w="0" w:type="auto"/>
            <w:vMerge w:val="restart"/>
            <w:tcBorders>
              <w:top w:val="nil"/>
              <w:left w:val="nil"/>
            </w:tcBorders>
            <w:vAlign w:val="center"/>
          </w:tcPr>
          <w:p w14:paraId="1CE1B07A"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0.808</w:t>
            </w:r>
          </w:p>
        </w:tc>
      </w:tr>
      <w:tr w:rsidR="00070085" w:rsidRPr="00070085" w14:paraId="6B5EAB90" w14:textId="77777777" w:rsidTr="005C4055">
        <w:tc>
          <w:tcPr>
            <w:tcW w:w="1783" w:type="dxa"/>
            <w:vMerge/>
          </w:tcPr>
          <w:p w14:paraId="2DA90210" w14:textId="77777777" w:rsidR="00070085" w:rsidRPr="00070085" w:rsidRDefault="00070085" w:rsidP="00070085">
            <w:pPr>
              <w:spacing w:line="240" w:lineRule="exact"/>
              <w:contextualSpacing/>
              <w:jc w:val="center"/>
              <w:rPr>
                <w:rFonts w:eastAsia="SimSun"/>
                <w:sz w:val="24"/>
                <w:szCs w:val="24"/>
              </w:rPr>
            </w:pPr>
          </w:p>
        </w:tc>
        <w:tc>
          <w:tcPr>
            <w:tcW w:w="1400" w:type="dxa"/>
            <w:vMerge/>
            <w:tcBorders>
              <w:right w:val="nil"/>
            </w:tcBorders>
          </w:tcPr>
          <w:p w14:paraId="47C0F262"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left w:val="nil"/>
              <w:bottom w:val="nil"/>
              <w:right w:val="nil"/>
            </w:tcBorders>
          </w:tcPr>
          <w:p w14:paraId="501F79E2"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WE2</w:t>
            </w:r>
          </w:p>
        </w:tc>
        <w:tc>
          <w:tcPr>
            <w:tcW w:w="0" w:type="auto"/>
            <w:tcBorders>
              <w:top w:val="nil"/>
              <w:left w:val="nil"/>
              <w:bottom w:val="nil"/>
              <w:right w:val="nil"/>
            </w:tcBorders>
            <w:vAlign w:val="center"/>
          </w:tcPr>
          <w:p w14:paraId="6293BC99"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0.829</w:t>
            </w:r>
          </w:p>
        </w:tc>
        <w:tc>
          <w:tcPr>
            <w:tcW w:w="1136" w:type="dxa"/>
            <w:tcBorders>
              <w:top w:val="nil"/>
              <w:left w:val="nil"/>
              <w:bottom w:val="nil"/>
              <w:right w:val="nil"/>
            </w:tcBorders>
            <w:vAlign w:val="bottom"/>
          </w:tcPr>
          <w:p w14:paraId="58B73031"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0.687</w:t>
            </w:r>
          </w:p>
        </w:tc>
        <w:tc>
          <w:tcPr>
            <w:tcW w:w="696" w:type="dxa"/>
            <w:vMerge/>
            <w:tcBorders>
              <w:left w:val="nil"/>
              <w:right w:val="nil"/>
            </w:tcBorders>
          </w:tcPr>
          <w:p w14:paraId="06C0B640"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right w:val="nil"/>
            </w:tcBorders>
          </w:tcPr>
          <w:p w14:paraId="2A1C5EB0"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tcBorders>
          </w:tcPr>
          <w:p w14:paraId="1D694A93" w14:textId="77777777" w:rsidR="00070085" w:rsidRPr="00070085" w:rsidRDefault="00070085" w:rsidP="00070085">
            <w:pPr>
              <w:spacing w:line="240" w:lineRule="exact"/>
              <w:contextualSpacing/>
              <w:jc w:val="center"/>
              <w:rPr>
                <w:rFonts w:eastAsia="SimSun"/>
                <w:sz w:val="24"/>
                <w:szCs w:val="24"/>
              </w:rPr>
            </w:pPr>
          </w:p>
        </w:tc>
      </w:tr>
      <w:tr w:rsidR="00070085" w:rsidRPr="00070085" w14:paraId="408FD775" w14:textId="77777777" w:rsidTr="005C4055">
        <w:tc>
          <w:tcPr>
            <w:tcW w:w="1783" w:type="dxa"/>
            <w:vMerge/>
          </w:tcPr>
          <w:p w14:paraId="29E89C10" w14:textId="77777777" w:rsidR="00070085" w:rsidRPr="00070085" w:rsidRDefault="00070085" w:rsidP="00070085">
            <w:pPr>
              <w:spacing w:line="240" w:lineRule="exact"/>
              <w:contextualSpacing/>
              <w:jc w:val="center"/>
              <w:rPr>
                <w:rFonts w:eastAsia="SimSun"/>
                <w:sz w:val="24"/>
                <w:szCs w:val="24"/>
              </w:rPr>
            </w:pPr>
          </w:p>
        </w:tc>
        <w:tc>
          <w:tcPr>
            <w:tcW w:w="1400" w:type="dxa"/>
            <w:vMerge/>
            <w:tcBorders>
              <w:right w:val="nil"/>
            </w:tcBorders>
          </w:tcPr>
          <w:p w14:paraId="5BB7E941"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left w:val="nil"/>
              <w:bottom w:val="nil"/>
              <w:right w:val="nil"/>
            </w:tcBorders>
          </w:tcPr>
          <w:p w14:paraId="397C3B7B"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WE3</w:t>
            </w:r>
          </w:p>
        </w:tc>
        <w:tc>
          <w:tcPr>
            <w:tcW w:w="0" w:type="auto"/>
            <w:tcBorders>
              <w:top w:val="nil"/>
              <w:left w:val="nil"/>
              <w:bottom w:val="nil"/>
              <w:right w:val="nil"/>
            </w:tcBorders>
            <w:vAlign w:val="center"/>
          </w:tcPr>
          <w:p w14:paraId="6E02A17E"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0.842</w:t>
            </w:r>
          </w:p>
        </w:tc>
        <w:tc>
          <w:tcPr>
            <w:tcW w:w="1136" w:type="dxa"/>
            <w:tcBorders>
              <w:top w:val="nil"/>
              <w:left w:val="nil"/>
              <w:bottom w:val="nil"/>
              <w:right w:val="nil"/>
            </w:tcBorders>
            <w:vAlign w:val="bottom"/>
          </w:tcPr>
          <w:p w14:paraId="75FA475F"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0.709</w:t>
            </w:r>
          </w:p>
        </w:tc>
        <w:tc>
          <w:tcPr>
            <w:tcW w:w="696" w:type="dxa"/>
            <w:vMerge/>
            <w:tcBorders>
              <w:left w:val="nil"/>
              <w:right w:val="nil"/>
            </w:tcBorders>
          </w:tcPr>
          <w:p w14:paraId="1D90F73B"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right w:val="nil"/>
            </w:tcBorders>
          </w:tcPr>
          <w:p w14:paraId="5D6965AD"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tcBorders>
          </w:tcPr>
          <w:p w14:paraId="2F6E967C" w14:textId="77777777" w:rsidR="00070085" w:rsidRPr="00070085" w:rsidRDefault="00070085" w:rsidP="00070085">
            <w:pPr>
              <w:spacing w:line="240" w:lineRule="exact"/>
              <w:contextualSpacing/>
              <w:jc w:val="center"/>
              <w:rPr>
                <w:rFonts w:eastAsia="SimSun"/>
                <w:sz w:val="24"/>
                <w:szCs w:val="24"/>
              </w:rPr>
            </w:pPr>
          </w:p>
        </w:tc>
      </w:tr>
      <w:tr w:rsidR="00070085" w:rsidRPr="00070085" w14:paraId="7C7E578C" w14:textId="77777777" w:rsidTr="005C4055">
        <w:tc>
          <w:tcPr>
            <w:tcW w:w="1783" w:type="dxa"/>
            <w:vMerge/>
          </w:tcPr>
          <w:p w14:paraId="6949771F" w14:textId="77777777" w:rsidR="00070085" w:rsidRPr="00070085" w:rsidRDefault="00070085" w:rsidP="00070085">
            <w:pPr>
              <w:spacing w:line="240" w:lineRule="exact"/>
              <w:contextualSpacing/>
              <w:jc w:val="center"/>
              <w:rPr>
                <w:rFonts w:eastAsia="SimSun"/>
                <w:sz w:val="24"/>
                <w:szCs w:val="24"/>
              </w:rPr>
            </w:pPr>
          </w:p>
        </w:tc>
        <w:tc>
          <w:tcPr>
            <w:tcW w:w="1400" w:type="dxa"/>
            <w:vMerge/>
            <w:tcBorders>
              <w:right w:val="nil"/>
            </w:tcBorders>
          </w:tcPr>
          <w:p w14:paraId="426BD560"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left w:val="nil"/>
              <w:bottom w:val="nil"/>
              <w:right w:val="nil"/>
            </w:tcBorders>
          </w:tcPr>
          <w:p w14:paraId="3DE59A0B"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WE4</w:t>
            </w:r>
          </w:p>
        </w:tc>
        <w:tc>
          <w:tcPr>
            <w:tcW w:w="0" w:type="auto"/>
            <w:tcBorders>
              <w:top w:val="nil"/>
              <w:left w:val="nil"/>
              <w:bottom w:val="nil"/>
              <w:right w:val="nil"/>
            </w:tcBorders>
            <w:vAlign w:val="center"/>
          </w:tcPr>
          <w:p w14:paraId="2C536D7E"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0.851</w:t>
            </w:r>
          </w:p>
        </w:tc>
        <w:tc>
          <w:tcPr>
            <w:tcW w:w="1136" w:type="dxa"/>
            <w:tcBorders>
              <w:top w:val="nil"/>
              <w:left w:val="nil"/>
              <w:bottom w:val="nil"/>
              <w:right w:val="nil"/>
            </w:tcBorders>
            <w:vAlign w:val="bottom"/>
          </w:tcPr>
          <w:p w14:paraId="179C37EB"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0.724</w:t>
            </w:r>
          </w:p>
        </w:tc>
        <w:tc>
          <w:tcPr>
            <w:tcW w:w="696" w:type="dxa"/>
            <w:vMerge/>
            <w:tcBorders>
              <w:left w:val="nil"/>
              <w:right w:val="nil"/>
            </w:tcBorders>
          </w:tcPr>
          <w:p w14:paraId="5F19EE3D"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right w:val="nil"/>
            </w:tcBorders>
          </w:tcPr>
          <w:p w14:paraId="00D57906"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tcBorders>
          </w:tcPr>
          <w:p w14:paraId="18908D02" w14:textId="77777777" w:rsidR="00070085" w:rsidRPr="00070085" w:rsidRDefault="00070085" w:rsidP="00070085">
            <w:pPr>
              <w:spacing w:line="240" w:lineRule="exact"/>
              <w:contextualSpacing/>
              <w:jc w:val="center"/>
              <w:rPr>
                <w:rFonts w:eastAsia="SimSun"/>
                <w:sz w:val="24"/>
                <w:szCs w:val="24"/>
              </w:rPr>
            </w:pPr>
          </w:p>
        </w:tc>
      </w:tr>
      <w:tr w:rsidR="00070085" w:rsidRPr="00070085" w14:paraId="71C572D8" w14:textId="77777777" w:rsidTr="005C4055">
        <w:tc>
          <w:tcPr>
            <w:tcW w:w="1783" w:type="dxa"/>
            <w:vMerge/>
          </w:tcPr>
          <w:p w14:paraId="15F188B1" w14:textId="77777777" w:rsidR="00070085" w:rsidRPr="00070085" w:rsidRDefault="00070085" w:rsidP="00070085">
            <w:pPr>
              <w:spacing w:line="240" w:lineRule="exact"/>
              <w:contextualSpacing/>
              <w:jc w:val="center"/>
              <w:rPr>
                <w:rFonts w:eastAsia="SimSun"/>
                <w:sz w:val="24"/>
                <w:szCs w:val="24"/>
              </w:rPr>
            </w:pPr>
          </w:p>
        </w:tc>
        <w:tc>
          <w:tcPr>
            <w:tcW w:w="1400" w:type="dxa"/>
            <w:vMerge/>
            <w:tcBorders>
              <w:right w:val="nil"/>
            </w:tcBorders>
          </w:tcPr>
          <w:p w14:paraId="6E159CAE"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left w:val="nil"/>
              <w:bottom w:val="nil"/>
              <w:right w:val="nil"/>
            </w:tcBorders>
          </w:tcPr>
          <w:p w14:paraId="4E28A9C2"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WE5</w:t>
            </w:r>
          </w:p>
        </w:tc>
        <w:tc>
          <w:tcPr>
            <w:tcW w:w="0" w:type="auto"/>
            <w:tcBorders>
              <w:top w:val="nil"/>
              <w:left w:val="nil"/>
              <w:bottom w:val="nil"/>
              <w:right w:val="nil"/>
            </w:tcBorders>
            <w:vAlign w:val="center"/>
          </w:tcPr>
          <w:p w14:paraId="09055CB5"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0.798</w:t>
            </w:r>
          </w:p>
        </w:tc>
        <w:tc>
          <w:tcPr>
            <w:tcW w:w="1136" w:type="dxa"/>
            <w:tcBorders>
              <w:top w:val="nil"/>
              <w:left w:val="nil"/>
              <w:bottom w:val="nil"/>
              <w:right w:val="nil"/>
            </w:tcBorders>
            <w:vAlign w:val="bottom"/>
          </w:tcPr>
          <w:p w14:paraId="2DC24E71"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0.637</w:t>
            </w:r>
          </w:p>
        </w:tc>
        <w:tc>
          <w:tcPr>
            <w:tcW w:w="696" w:type="dxa"/>
            <w:vMerge/>
            <w:tcBorders>
              <w:left w:val="nil"/>
              <w:right w:val="nil"/>
            </w:tcBorders>
          </w:tcPr>
          <w:p w14:paraId="124811DB"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right w:val="nil"/>
            </w:tcBorders>
          </w:tcPr>
          <w:p w14:paraId="71E1B900"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nil"/>
            </w:tcBorders>
          </w:tcPr>
          <w:p w14:paraId="7B8328E9" w14:textId="77777777" w:rsidR="00070085" w:rsidRPr="00070085" w:rsidRDefault="00070085" w:rsidP="00070085">
            <w:pPr>
              <w:spacing w:line="240" w:lineRule="exact"/>
              <w:contextualSpacing/>
              <w:jc w:val="center"/>
              <w:rPr>
                <w:rFonts w:eastAsia="SimSun"/>
                <w:sz w:val="24"/>
                <w:szCs w:val="24"/>
              </w:rPr>
            </w:pPr>
          </w:p>
        </w:tc>
      </w:tr>
      <w:tr w:rsidR="00070085" w:rsidRPr="00070085" w14:paraId="3E37D35B" w14:textId="77777777" w:rsidTr="005C4055">
        <w:tc>
          <w:tcPr>
            <w:tcW w:w="1783" w:type="dxa"/>
            <w:vMerge/>
            <w:tcBorders>
              <w:bottom w:val="single" w:sz="4" w:space="0" w:color="auto"/>
            </w:tcBorders>
          </w:tcPr>
          <w:p w14:paraId="3ED3C094" w14:textId="77777777" w:rsidR="00070085" w:rsidRPr="00070085" w:rsidRDefault="00070085" w:rsidP="00070085">
            <w:pPr>
              <w:spacing w:line="240" w:lineRule="exact"/>
              <w:contextualSpacing/>
              <w:jc w:val="center"/>
              <w:rPr>
                <w:rFonts w:eastAsia="SimSun"/>
                <w:sz w:val="24"/>
                <w:szCs w:val="24"/>
              </w:rPr>
            </w:pPr>
          </w:p>
        </w:tc>
        <w:tc>
          <w:tcPr>
            <w:tcW w:w="1400" w:type="dxa"/>
            <w:vMerge/>
            <w:tcBorders>
              <w:bottom w:val="single" w:sz="4" w:space="0" w:color="auto"/>
            </w:tcBorders>
          </w:tcPr>
          <w:p w14:paraId="5C8FCE32" w14:textId="77777777" w:rsidR="00070085" w:rsidRPr="00070085" w:rsidRDefault="00070085" w:rsidP="00070085">
            <w:pPr>
              <w:spacing w:line="240" w:lineRule="exact"/>
              <w:contextualSpacing/>
              <w:jc w:val="center"/>
              <w:rPr>
                <w:rFonts w:eastAsia="SimSun"/>
                <w:sz w:val="24"/>
                <w:szCs w:val="24"/>
              </w:rPr>
            </w:pPr>
          </w:p>
        </w:tc>
        <w:tc>
          <w:tcPr>
            <w:tcW w:w="1206" w:type="dxa"/>
            <w:tcBorders>
              <w:top w:val="nil"/>
              <w:bottom w:val="single" w:sz="4" w:space="0" w:color="auto"/>
              <w:right w:val="single" w:sz="4" w:space="0" w:color="auto"/>
            </w:tcBorders>
          </w:tcPr>
          <w:p w14:paraId="13E64B9A"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WE6</w:t>
            </w:r>
          </w:p>
        </w:tc>
        <w:tc>
          <w:tcPr>
            <w:tcW w:w="0" w:type="auto"/>
            <w:tcBorders>
              <w:top w:val="nil"/>
              <w:left w:val="single" w:sz="4" w:space="0" w:color="auto"/>
              <w:bottom w:val="single" w:sz="4" w:space="0" w:color="auto"/>
            </w:tcBorders>
            <w:vAlign w:val="center"/>
          </w:tcPr>
          <w:p w14:paraId="04EF1AF5"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0.799</w:t>
            </w:r>
          </w:p>
        </w:tc>
        <w:tc>
          <w:tcPr>
            <w:tcW w:w="1136" w:type="dxa"/>
            <w:tcBorders>
              <w:top w:val="nil"/>
              <w:bottom w:val="single" w:sz="4" w:space="0" w:color="auto"/>
            </w:tcBorders>
            <w:vAlign w:val="bottom"/>
          </w:tcPr>
          <w:p w14:paraId="63E9CB78"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0.638</w:t>
            </w:r>
          </w:p>
        </w:tc>
        <w:tc>
          <w:tcPr>
            <w:tcW w:w="696" w:type="dxa"/>
            <w:vMerge/>
            <w:tcBorders>
              <w:bottom w:val="single" w:sz="4" w:space="0" w:color="auto"/>
              <w:right w:val="single" w:sz="4" w:space="0" w:color="auto"/>
            </w:tcBorders>
          </w:tcPr>
          <w:p w14:paraId="1B2FA9B7" w14:textId="77777777" w:rsidR="00070085" w:rsidRPr="00070085" w:rsidRDefault="00070085" w:rsidP="00070085">
            <w:pPr>
              <w:spacing w:line="240" w:lineRule="exact"/>
              <w:contextualSpacing/>
              <w:jc w:val="center"/>
              <w:rPr>
                <w:rFonts w:eastAsia="SimSun"/>
                <w:sz w:val="24"/>
                <w:szCs w:val="24"/>
              </w:rPr>
            </w:pPr>
          </w:p>
        </w:tc>
        <w:tc>
          <w:tcPr>
            <w:tcW w:w="0" w:type="auto"/>
            <w:vMerge/>
            <w:tcBorders>
              <w:left w:val="single" w:sz="4" w:space="0" w:color="auto"/>
              <w:bottom w:val="single" w:sz="4" w:space="0" w:color="auto"/>
            </w:tcBorders>
          </w:tcPr>
          <w:p w14:paraId="0E8E9345" w14:textId="77777777" w:rsidR="00070085" w:rsidRPr="00070085" w:rsidRDefault="00070085" w:rsidP="00070085">
            <w:pPr>
              <w:spacing w:line="240" w:lineRule="exact"/>
              <w:contextualSpacing/>
              <w:jc w:val="center"/>
              <w:rPr>
                <w:rFonts w:eastAsia="SimSun"/>
                <w:sz w:val="24"/>
                <w:szCs w:val="24"/>
              </w:rPr>
            </w:pPr>
          </w:p>
        </w:tc>
        <w:tc>
          <w:tcPr>
            <w:tcW w:w="0" w:type="auto"/>
            <w:vMerge/>
            <w:tcBorders>
              <w:bottom w:val="single" w:sz="4" w:space="0" w:color="auto"/>
            </w:tcBorders>
          </w:tcPr>
          <w:p w14:paraId="0EB483FA" w14:textId="77777777" w:rsidR="00070085" w:rsidRPr="00070085" w:rsidRDefault="00070085" w:rsidP="00070085">
            <w:pPr>
              <w:spacing w:line="240" w:lineRule="exact"/>
              <w:contextualSpacing/>
              <w:jc w:val="center"/>
              <w:rPr>
                <w:rFonts w:eastAsia="SimSun"/>
                <w:sz w:val="24"/>
                <w:szCs w:val="24"/>
              </w:rPr>
            </w:pPr>
          </w:p>
        </w:tc>
      </w:tr>
      <w:tr w:rsidR="00070085" w:rsidRPr="00070085" w14:paraId="0EDC58D6"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val="restart"/>
          </w:tcPr>
          <w:p w14:paraId="7EB4131C" w14:textId="77777777" w:rsidR="00070085" w:rsidRPr="00070085" w:rsidRDefault="00070085" w:rsidP="00070085">
            <w:pPr>
              <w:spacing w:line="240" w:lineRule="exact"/>
              <w:contextualSpacing/>
              <w:jc w:val="center"/>
              <w:rPr>
                <w:rFonts w:eastAsia="SimSun"/>
                <w:b/>
                <w:bCs/>
                <w:sz w:val="24"/>
                <w:szCs w:val="24"/>
              </w:rPr>
            </w:pPr>
          </w:p>
          <w:p w14:paraId="5D4E1D32" w14:textId="77777777" w:rsidR="00070085" w:rsidRPr="00070085" w:rsidRDefault="00070085" w:rsidP="00070085">
            <w:pPr>
              <w:spacing w:line="240" w:lineRule="exact"/>
              <w:contextualSpacing/>
              <w:jc w:val="center"/>
              <w:rPr>
                <w:rFonts w:eastAsia="SimSun"/>
                <w:b/>
                <w:bCs/>
                <w:sz w:val="24"/>
                <w:szCs w:val="24"/>
              </w:rPr>
            </w:pPr>
          </w:p>
          <w:p w14:paraId="18C2E31B" w14:textId="77777777" w:rsidR="00070085" w:rsidRPr="00070085" w:rsidRDefault="00070085" w:rsidP="00070085">
            <w:pPr>
              <w:spacing w:line="240" w:lineRule="exact"/>
              <w:contextualSpacing/>
              <w:jc w:val="center"/>
              <w:rPr>
                <w:rFonts w:eastAsia="SimSun"/>
                <w:b/>
                <w:bCs/>
                <w:sz w:val="24"/>
                <w:szCs w:val="24"/>
              </w:rPr>
            </w:pPr>
          </w:p>
          <w:p w14:paraId="078F316B" w14:textId="77777777" w:rsidR="00070085" w:rsidRPr="00070085" w:rsidRDefault="00070085" w:rsidP="00070085">
            <w:pPr>
              <w:spacing w:line="240" w:lineRule="exact"/>
              <w:contextualSpacing/>
              <w:jc w:val="center"/>
              <w:rPr>
                <w:rFonts w:eastAsia="SimSun"/>
                <w:b/>
                <w:bCs/>
                <w:sz w:val="24"/>
                <w:szCs w:val="24"/>
              </w:rPr>
            </w:pPr>
          </w:p>
          <w:p w14:paraId="1B67889A" w14:textId="77777777" w:rsidR="00070085" w:rsidRPr="00070085" w:rsidRDefault="00070085" w:rsidP="00070085">
            <w:pPr>
              <w:spacing w:line="240" w:lineRule="exact"/>
              <w:contextualSpacing/>
              <w:jc w:val="center"/>
              <w:rPr>
                <w:rFonts w:eastAsia="SimSun"/>
                <w:b/>
                <w:bCs/>
                <w:sz w:val="24"/>
                <w:szCs w:val="24"/>
              </w:rPr>
            </w:pPr>
          </w:p>
          <w:p w14:paraId="6DF02E4B"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Organizational effectiveness</w:t>
            </w:r>
          </w:p>
          <w:p w14:paraId="322CF5D9" w14:textId="77777777" w:rsidR="00070085" w:rsidRPr="00070085" w:rsidRDefault="00070085" w:rsidP="00070085">
            <w:pPr>
              <w:spacing w:line="240" w:lineRule="exact"/>
              <w:contextualSpacing/>
              <w:jc w:val="center"/>
              <w:rPr>
                <w:rFonts w:eastAsia="SimSun"/>
                <w:b/>
                <w:bCs/>
                <w:sz w:val="24"/>
                <w:szCs w:val="24"/>
              </w:rPr>
            </w:pPr>
          </w:p>
        </w:tc>
        <w:tc>
          <w:tcPr>
            <w:tcW w:w="1400" w:type="dxa"/>
            <w:vMerge w:val="restart"/>
            <w:tcBorders>
              <w:top w:val="single" w:sz="4" w:space="0" w:color="auto"/>
            </w:tcBorders>
          </w:tcPr>
          <w:p w14:paraId="01E05064" w14:textId="77777777" w:rsidR="00070085" w:rsidRPr="00070085" w:rsidRDefault="00070085" w:rsidP="00070085">
            <w:pPr>
              <w:spacing w:line="240" w:lineRule="exact"/>
              <w:contextualSpacing/>
              <w:jc w:val="center"/>
              <w:rPr>
                <w:rFonts w:eastAsia="SimSun"/>
                <w:b/>
                <w:bCs/>
                <w:sz w:val="24"/>
                <w:szCs w:val="24"/>
              </w:rPr>
            </w:pPr>
          </w:p>
          <w:p w14:paraId="1578B58B" w14:textId="77777777" w:rsidR="00070085" w:rsidRPr="00070085" w:rsidRDefault="00070085" w:rsidP="00070085">
            <w:pPr>
              <w:spacing w:line="240" w:lineRule="exact"/>
              <w:contextualSpacing/>
              <w:jc w:val="center"/>
              <w:rPr>
                <w:rFonts w:eastAsia="SimSun"/>
                <w:b/>
                <w:bCs/>
                <w:sz w:val="24"/>
                <w:szCs w:val="24"/>
              </w:rPr>
            </w:pPr>
          </w:p>
          <w:p w14:paraId="52D9453A"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Stakeholder satisfaction</w:t>
            </w:r>
          </w:p>
        </w:tc>
        <w:tc>
          <w:tcPr>
            <w:tcW w:w="1206" w:type="dxa"/>
            <w:tcBorders>
              <w:top w:val="single" w:sz="4" w:space="0" w:color="auto"/>
            </w:tcBorders>
          </w:tcPr>
          <w:p w14:paraId="7441A798"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SS1</w:t>
            </w:r>
          </w:p>
        </w:tc>
        <w:tc>
          <w:tcPr>
            <w:tcW w:w="0" w:type="auto"/>
            <w:tcBorders>
              <w:top w:val="single" w:sz="4" w:space="0" w:color="auto"/>
            </w:tcBorders>
            <w:vAlign w:val="center"/>
          </w:tcPr>
          <w:p w14:paraId="15C77725"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0.880</w:t>
            </w:r>
          </w:p>
        </w:tc>
        <w:tc>
          <w:tcPr>
            <w:tcW w:w="1136" w:type="dxa"/>
            <w:tcBorders>
              <w:top w:val="single" w:sz="4" w:space="0" w:color="auto"/>
            </w:tcBorders>
            <w:vAlign w:val="bottom"/>
          </w:tcPr>
          <w:p w14:paraId="203282E9"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0.774</w:t>
            </w:r>
          </w:p>
        </w:tc>
        <w:tc>
          <w:tcPr>
            <w:tcW w:w="696" w:type="dxa"/>
            <w:vMerge w:val="restart"/>
            <w:tcBorders>
              <w:top w:val="single" w:sz="4" w:space="0" w:color="auto"/>
            </w:tcBorders>
            <w:vAlign w:val="center"/>
          </w:tcPr>
          <w:p w14:paraId="4CD4EE86"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0.725</w:t>
            </w:r>
          </w:p>
        </w:tc>
        <w:tc>
          <w:tcPr>
            <w:tcW w:w="0" w:type="auto"/>
            <w:vMerge w:val="restart"/>
            <w:tcBorders>
              <w:top w:val="single" w:sz="4" w:space="0" w:color="auto"/>
            </w:tcBorders>
            <w:vAlign w:val="center"/>
          </w:tcPr>
          <w:p w14:paraId="1FCF6844"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0.940</w:t>
            </w:r>
          </w:p>
        </w:tc>
        <w:tc>
          <w:tcPr>
            <w:tcW w:w="0" w:type="auto"/>
            <w:vMerge w:val="restart"/>
            <w:tcBorders>
              <w:top w:val="single" w:sz="4" w:space="0" w:color="auto"/>
            </w:tcBorders>
            <w:vAlign w:val="center"/>
          </w:tcPr>
          <w:p w14:paraId="72DFCD85"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0.825</w:t>
            </w:r>
          </w:p>
        </w:tc>
      </w:tr>
      <w:tr w:rsidR="00070085" w:rsidRPr="00070085" w14:paraId="24BF313D"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3648C469"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20A3D29A" w14:textId="77777777" w:rsidR="00070085" w:rsidRPr="00070085" w:rsidRDefault="00070085" w:rsidP="00070085">
            <w:pPr>
              <w:spacing w:line="240" w:lineRule="exact"/>
              <w:contextualSpacing/>
              <w:jc w:val="center"/>
              <w:rPr>
                <w:rFonts w:eastAsia="SimSun"/>
                <w:sz w:val="24"/>
                <w:szCs w:val="24"/>
              </w:rPr>
            </w:pPr>
          </w:p>
        </w:tc>
        <w:tc>
          <w:tcPr>
            <w:tcW w:w="1206" w:type="dxa"/>
          </w:tcPr>
          <w:p w14:paraId="47D32B59"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SS2</w:t>
            </w:r>
          </w:p>
        </w:tc>
        <w:tc>
          <w:tcPr>
            <w:tcW w:w="0" w:type="auto"/>
            <w:vAlign w:val="center"/>
          </w:tcPr>
          <w:p w14:paraId="0B32C12A"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0.837</w:t>
            </w:r>
          </w:p>
        </w:tc>
        <w:tc>
          <w:tcPr>
            <w:tcW w:w="1136" w:type="dxa"/>
            <w:vAlign w:val="bottom"/>
          </w:tcPr>
          <w:p w14:paraId="352914D7"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0.701</w:t>
            </w:r>
          </w:p>
        </w:tc>
        <w:tc>
          <w:tcPr>
            <w:tcW w:w="696" w:type="dxa"/>
            <w:vMerge/>
          </w:tcPr>
          <w:p w14:paraId="041158DF"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288B118B"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7A2CD39D" w14:textId="77777777" w:rsidR="00070085" w:rsidRPr="00070085" w:rsidRDefault="00070085" w:rsidP="00070085">
            <w:pPr>
              <w:spacing w:line="240" w:lineRule="exact"/>
              <w:contextualSpacing/>
              <w:jc w:val="center"/>
              <w:rPr>
                <w:rFonts w:eastAsia="SimSun"/>
                <w:sz w:val="24"/>
                <w:szCs w:val="24"/>
              </w:rPr>
            </w:pPr>
          </w:p>
        </w:tc>
      </w:tr>
      <w:tr w:rsidR="00070085" w:rsidRPr="00070085" w14:paraId="14FFF947"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55D0A6BC"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40994F44" w14:textId="77777777" w:rsidR="00070085" w:rsidRPr="00070085" w:rsidRDefault="00070085" w:rsidP="00070085">
            <w:pPr>
              <w:spacing w:line="240" w:lineRule="exact"/>
              <w:contextualSpacing/>
              <w:jc w:val="center"/>
              <w:rPr>
                <w:rFonts w:eastAsia="SimSun"/>
                <w:sz w:val="24"/>
                <w:szCs w:val="24"/>
              </w:rPr>
            </w:pPr>
          </w:p>
        </w:tc>
        <w:tc>
          <w:tcPr>
            <w:tcW w:w="1206" w:type="dxa"/>
          </w:tcPr>
          <w:p w14:paraId="5482BCCB"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SS3</w:t>
            </w:r>
          </w:p>
        </w:tc>
        <w:tc>
          <w:tcPr>
            <w:tcW w:w="0" w:type="auto"/>
            <w:vAlign w:val="center"/>
          </w:tcPr>
          <w:p w14:paraId="36919076"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0.840</w:t>
            </w:r>
          </w:p>
        </w:tc>
        <w:tc>
          <w:tcPr>
            <w:tcW w:w="1136" w:type="dxa"/>
            <w:vAlign w:val="bottom"/>
          </w:tcPr>
          <w:p w14:paraId="095FDB1C"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0.706</w:t>
            </w:r>
          </w:p>
        </w:tc>
        <w:tc>
          <w:tcPr>
            <w:tcW w:w="696" w:type="dxa"/>
            <w:vMerge/>
          </w:tcPr>
          <w:p w14:paraId="3D65654A"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75EB907C"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6912E59F" w14:textId="77777777" w:rsidR="00070085" w:rsidRPr="00070085" w:rsidRDefault="00070085" w:rsidP="00070085">
            <w:pPr>
              <w:spacing w:line="240" w:lineRule="exact"/>
              <w:contextualSpacing/>
              <w:jc w:val="center"/>
              <w:rPr>
                <w:rFonts w:eastAsia="SimSun"/>
                <w:sz w:val="24"/>
                <w:szCs w:val="24"/>
              </w:rPr>
            </w:pPr>
          </w:p>
        </w:tc>
      </w:tr>
      <w:tr w:rsidR="00070085" w:rsidRPr="00070085" w14:paraId="10ECF6B1"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3B0ADD94"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2AE346DE" w14:textId="77777777" w:rsidR="00070085" w:rsidRPr="00070085" w:rsidRDefault="00070085" w:rsidP="00070085">
            <w:pPr>
              <w:spacing w:line="240" w:lineRule="exact"/>
              <w:contextualSpacing/>
              <w:jc w:val="center"/>
              <w:rPr>
                <w:rFonts w:eastAsia="SimSun"/>
                <w:sz w:val="24"/>
                <w:szCs w:val="24"/>
              </w:rPr>
            </w:pPr>
          </w:p>
        </w:tc>
        <w:tc>
          <w:tcPr>
            <w:tcW w:w="1206" w:type="dxa"/>
          </w:tcPr>
          <w:p w14:paraId="6C226CCA"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SS4</w:t>
            </w:r>
          </w:p>
        </w:tc>
        <w:tc>
          <w:tcPr>
            <w:tcW w:w="0" w:type="auto"/>
            <w:vAlign w:val="center"/>
          </w:tcPr>
          <w:p w14:paraId="7FB47FC9"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0.844</w:t>
            </w:r>
          </w:p>
        </w:tc>
        <w:tc>
          <w:tcPr>
            <w:tcW w:w="1136" w:type="dxa"/>
            <w:vAlign w:val="bottom"/>
          </w:tcPr>
          <w:p w14:paraId="4A972C58"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0.712</w:t>
            </w:r>
          </w:p>
        </w:tc>
        <w:tc>
          <w:tcPr>
            <w:tcW w:w="696" w:type="dxa"/>
            <w:vMerge/>
          </w:tcPr>
          <w:p w14:paraId="248CFC38"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4FB4B86D"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6313FD65" w14:textId="77777777" w:rsidR="00070085" w:rsidRPr="00070085" w:rsidRDefault="00070085" w:rsidP="00070085">
            <w:pPr>
              <w:spacing w:line="240" w:lineRule="exact"/>
              <w:contextualSpacing/>
              <w:jc w:val="center"/>
              <w:rPr>
                <w:rFonts w:eastAsia="SimSun"/>
                <w:sz w:val="24"/>
                <w:szCs w:val="24"/>
              </w:rPr>
            </w:pPr>
          </w:p>
        </w:tc>
      </w:tr>
      <w:tr w:rsidR="00070085" w:rsidRPr="00070085" w14:paraId="6EB29142"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51"/>
        </w:trPr>
        <w:tc>
          <w:tcPr>
            <w:tcW w:w="1783" w:type="dxa"/>
            <w:vMerge/>
          </w:tcPr>
          <w:p w14:paraId="6DC0A676"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12BEE59F" w14:textId="77777777" w:rsidR="00070085" w:rsidRPr="00070085" w:rsidRDefault="00070085" w:rsidP="00070085">
            <w:pPr>
              <w:spacing w:line="240" w:lineRule="exact"/>
              <w:contextualSpacing/>
              <w:jc w:val="center"/>
              <w:rPr>
                <w:rFonts w:eastAsia="SimSun"/>
                <w:sz w:val="24"/>
                <w:szCs w:val="24"/>
              </w:rPr>
            </w:pPr>
          </w:p>
        </w:tc>
        <w:tc>
          <w:tcPr>
            <w:tcW w:w="1206" w:type="dxa"/>
          </w:tcPr>
          <w:p w14:paraId="407BB5D7"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SS5</w:t>
            </w:r>
          </w:p>
        </w:tc>
        <w:tc>
          <w:tcPr>
            <w:tcW w:w="0" w:type="auto"/>
            <w:vAlign w:val="center"/>
          </w:tcPr>
          <w:p w14:paraId="64FBD1F8"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0.871</w:t>
            </w:r>
          </w:p>
        </w:tc>
        <w:tc>
          <w:tcPr>
            <w:tcW w:w="1136" w:type="dxa"/>
            <w:vAlign w:val="bottom"/>
          </w:tcPr>
          <w:p w14:paraId="2BB30145"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0.759</w:t>
            </w:r>
          </w:p>
        </w:tc>
        <w:tc>
          <w:tcPr>
            <w:tcW w:w="696" w:type="dxa"/>
            <w:vMerge/>
          </w:tcPr>
          <w:p w14:paraId="0D44764E"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167B57B2"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14DFF479" w14:textId="77777777" w:rsidR="00070085" w:rsidRPr="00070085" w:rsidRDefault="00070085" w:rsidP="00070085">
            <w:pPr>
              <w:spacing w:line="240" w:lineRule="exact"/>
              <w:contextualSpacing/>
              <w:jc w:val="center"/>
              <w:rPr>
                <w:rFonts w:eastAsia="SimSun"/>
                <w:sz w:val="24"/>
                <w:szCs w:val="24"/>
              </w:rPr>
            </w:pPr>
          </w:p>
        </w:tc>
      </w:tr>
      <w:tr w:rsidR="00070085" w:rsidRPr="00070085" w14:paraId="407046CC"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51"/>
        </w:trPr>
        <w:tc>
          <w:tcPr>
            <w:tcW w:w="1783" w:type="dxa"/>
            <w:vMerge/>
          </w:tcPr>
          <w:p w14:paraId="537B7FDF" w14:textId="77777777" w:rsidR="00070085" w:rsidRPr="00070085" w:rsidRDefault="00070085" w:rsidP="00070085">
            <w:pPr>
              <w:spacing w:line="240" w:lineRule="exact"/>
              <w:contextualSpacing/>
              <w:jc w:val="center"/>
              <w:rPr>
                <w:rFonts w:eastAsia="SimSun"/>
                <w:sz w:val="24"/>
                <w:szCs w:val="24"/>
              </w:rPr>
            </w:pPr>
          </w:p>
        </w:tc>
        <w:tc>
          <w:tcPr>
            <w:tcW w:w="1400" w:type="dxa"/>
            <w:vMerge/>
          </w:tcPr>
          <w:p w14:paraId="43E56142" w14:textId="77777777" w:rsidR="00070085" w:rsidRPr="00070085" w:rsidRDefault="00070085" w:rsidP="00070085">
            <w:pPr>
              <w:spacing w:line="240" w:lineRule="exact"/>
              <w:contextualSpacing/>
              <w:jc w:val="center"/>
              <w:rPr>
                <w:rFonts w:eastAsia="SimSun"/>
                <w:sz w:val="24"/>
                <w:szCs w:val="24"/>
              </w:rPr>
            </w:pPr>
          </w:p>
        </w:tc>
        <w:tc>
          <w:tcPr>
            <w:tcW w:w="1206" w:type="dxa"/>
          </w:tcPr>
          <w:p w14:paraId="51D0F33F"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SS6</w:t>
            </w:r>
          </w:p>
        </w:tc>
        <w:tc>
          <w:tcPr>
            <w:tcW w:w="0" w:type="auto"/>
            <w:vAlign w:val="center"/>
          </w:tcPr>
          <w:p w14:paraId="5810A2A9"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0.835</w:t>
            </w:r>
          </w:p>
        </w:tc>
        <w:tc>
          <w:tcPr>
            <w:tcW w:w="1136" w:type="dxa"/>
            <w:vAlign w:val="bottom"/>
          </w:tcPr>
          <w:p w14:paraId="113D0105"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0.697</w:t>
            </w:r>
          </w:p>
        </w:tc>
        <w:tc>
          <w:tcPr>
            <w:tcW w:w="696" w:type="dxa"/>
            <w:vMerge/>
          </w:tcPr>
          <w:p w14:paraId="6C5CC533"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3E06320F"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0EBB3F18" w14:textId="77777777" w:rsidR="00070085" w:rsidRPr="00070085" w:rsidRDefault="00070085" w:rsidP="00070085">
            <w:pPr>
              <w:spacing w:line="240" w:lineRule="exact"/>
              <w:contextualSpacing/>
              <w:jc w:val="center"/>
              <w:rPr>
                <w:rFonts w:eastAsia="SimSun"/>
                <w:sz w:val="24"/>
                <w:szCs w:val="24"/>
              </w:rPr>
            </w:pPr>
          </w:p>
        </w:tc>
      </w:tr>
      <w:tr w:rsidR="00070085" w:rsidRPr="00070085" w14:paraId="24F15ACC"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2E58DA1A" w14:textId="77777777" w:rsidR="00070085" w:rsidRPr="00070085" w:rsidRDefault="00070085" w:rsidP="00070085">
            <w:pPr>
              <w:spacing w:line="240" w:lineRule="exact"/>
              <w:contextualSpacing/>
              <w:jc w:val="center"/>
              <w:rPr>
                <w:rFonts w:eastAsia="SimSun"/>
                <w:b/>
                <w:bCs/>
                <w:sz w:val="24"/>
                <w:szCs w:val="24"/>
              </w:rPr>
            </w:pPr>
          </w:p>
        </w:tc>
        <w:tc>
          <w:tcPr>
            <w:tcW w:w="1400" w:type="dxa"/>
            <w:vMerge w:val="restart"/>
          </w:tcPr>
          <w:p w14:paraId="21B3D0B1" w14:textId="77777777" w:rsidR="00070085" w:rsidRPr="00070085" w:rsidRDefault="00070085" w:rsidP="00070085">
            <w:pPr>
              <w:spacing w:line="240" w:lineRule="exact"/>
              <w:contextualSpacing/>
              <w:rPr>
                <w:rFonts w:eastAsia="SimSun"/>
                <w:b/>
                <w:bCs/>
                <w:sz w:val="24"/>
                <w:szCs w:val="24"/>
              </w:rPr>
            </w:pPr>
          </w:p>
          <w:p w14:paraId="0A59E774" w14:textId="77777777" w:rsidR="00070085" w:rsidRPr="00070085" w:rsidRDefault="00070085" w:rsidP="00070085">
            <w:pPr>
              <w:spacing w:line="240" w:lineRule="exact"/>
              <w:contextualSpacing/>
              <w:jc w:val="center"/>
              <w:rPr>
                <w:rFonts w:eastAsia="SimSun"/>
                <w:b/>
                <w:bCs/>
                <w:sz w:val="24"/>
                <w:szCs w:val="24"/>
              </w:rPr>
            </w:pPr>
          </w:p>
          <w:p w14:paraId="3610F5C1" w14:textId="77777777" w:rsidR="00070085" w:rsidRPr="00070085" w:rsidRDefault="00070085" w:rsidP="00070085">
            <w:pPr>
              <w:spacing w:line="240" w:lineRule="exact"/>
              <w:contextualSpacing/>
              <w:jc w:val="center"/>
              <w:rPr>
                <w:rFonts w:eastAsia="SimSun"/>
                <w:b/>
                <w:bCs/>
                <w:sz w:val="24"/>
                <w:szCs w:val="24"/>
              </w:rPr>
            </w:pPr>
            <w:r w:rsidRPr="00070085">
              <w:rPr>
                <w:rFonts w:eastAsia="SimSun"/>
                <w:b/>
                <w:bCs/>
                <w:sz w:val="24"/>
                <w:szCs w:val="24"/>
              </w:rPr>
              <w:t>Operational efficiency</w:t>
            </w:r>
          </w:p>
        </w:tc>
        <w:tc>
          <w:tcPr>
            <w:tcW w:w="1206" w:type="dxa"/>
          </w:tcPr>
          <w:p w14:paraId="43B0B1D3"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OE1</w:t>
            </w:r>
          </w:p>
        </w:tc>
        <w:tc>
          <w:tcPr>
            <w:tcW w:w="0" w:type="auto"/>
            <w:vAlign w:val="center"/>
          </w:tcPr>
          <w:p w14:paraId="6CA2B4C8"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0.820</w:t>
            </w:r>
          </w:p>
        </w:tc>
        <w:tc>
          <w:tcPr>
            <w:tcW w:w="1136" w:type="dxa"/>
            <w:vAlign w:val="bottom"/>
          </w:tcPr>
          <w:p w14:paraId="38FE4149"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0.672</w:t>
            </w:r>
          </w:p>
        </w:tc>
        <w:tc>
          <w:tcPr>
            <w:tcW w:w="696" w:type="dxa"/>
            <w:vMerge w:val="restart"/>
            <w:vAlign w:val="center"/>
          </w:tcPr>
          <w:p w14:paraId="0D1B6544"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0.703</w:t>
            </w:r>
          </w:p>
        </w:tc>
        <w:tc>
          <w:tcPr>
            <w:tcW w:w="0" w:type="auto"/>
            <w:vMerge w:val="restart"/>
            <w:vAlign w:val="center"/>
          </w:tcPr>
          <w:p w14:paraId="6F0889B6"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0.934</w:t>
            </w:r>
          </w:p>
        </w:tc>
        <w:tc>
          <w:tcPr>
            <w:tcW w:w="0" w:type="auto"/>
            <w:vMerge w:val="restart"/>
            <w:vAlign w:val="center"/>
          </w:tcPr>
          <w:p w14:paraId="35980B2C"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0.816</w:t>
            </w:r>
          </w:p>
        </w:tc>
      </w:tr>
      <w:tr w:rsidR="00070085" w:rsidRPr="00070085" w14:paraId="452A49D3"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5A350658" w14:textId="77777777" w:rsidR="00070085" w:rsidRPr="00070085" w:rsidRDefault="00070085" w:rsidP="00070085">
            <w:pPr>
              <w:spacing w:line="240" w:lineRule="exact"/>
              <w:contextualSpacing/>
              <w:rPr>
                <w:rFonts w:eastAsia="SimSun"/>
                <w:sz w:val="24"/>
                <w:szCs w:val="24"/>
              </w:rPr>
            </w:pPr>
          </w:p>
        </w:tc>
        <w:tc>
          <w:tcPr>
            <w:tcW w:w="1400" w:type="dxa"/>
            <w:vMerge/>
          </w:tcPr>
          <w:p w14:paraId="3F414DB0" w14:textId="77777777" w:rsidR="00070085" w:rsidRPr="00070085" w:rsidRDefault="00070085" w:rsidP="00070085">
            <w:pPr>
              <w:spacing w:line="240" w:lineRule="exact"/>
              <w:contextualSpacing/>
              <w:rPr>
                <w:rFonts w:eastAsia="SimSun"/>
                <w:sz w:val="24"/>
                <w:szCs w:val="24"/>
              </w:rPr>
            </w:pPr>
          </w:p>
        </w:tc>
        <w:tc>
          <w:tcPr>
            <w:tcW w:w="1206" w:type="dxa"/>
          </w:tcPr>
          <w:p w14:paraId="474E2C1C" w14:textId="77777777" w:rsidR="00070085" w:rsidRPr="00070085" w:rsidRDefault="00070085" w:rsidP="00070085">
            <w:pPr>
              <w:spacing w:line="240" w:lineRule="exact"/>
              <w:contextualSpacing/>
              <w:jc w:val="center"/>
              <w:rPr>
                <w:rFonts w:eastAsia="SimSun"/>
                <w:b/>
                <w:sz w:val="24"/>
                <w:szCs w:val="24"/>
              </w:rPr>
            </w:pPr>
            <w:r w:rsidRPr="00070085">
              <w:rPr>
                <w:rFonts w:eastAsia="SimSun"/>
                <w:sz w:val="24"/>
                <w:szCs w:val="24"/>
              </w:rPr>
              <w:t>OE2</w:t>
            </w:r>
          </w:p>
        </w:tc>
        <w:tc>
          <w:tcPr>
            <w:tcW w:w="0" w:type="auto"/>
            <w:vAlign w:val="center"/>
          </w:tcPr>
          <w:p w14:paraId="1CFEF97A"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0.845</w:t>
            </w:r>
          </w:p>
        </w:tc>
        <w:tc>
          <w:tcPr>
            <w:tcW w:w="1136" w:type="dxa"/>
            <w:vAlign w:val="bottom"/>
          </w:tcPr>
          <w:p w14:paraId="7CB585D9"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0.714</w:t>
            </w:r>
          </w:p>
        </w:tc>
        <w:tc>
          <w:tcPr>
            <w:tcW w:w="696" w:type="dxa"/>
            <w:vMerge/>
            <w:vAlign w:val="bottom"/>
          </w:tcPr>
          <w:p w14:paraId="5ADCCF70"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640EF465"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2CC2B86F" w14:textId="77777777" w:rsidR="00070085" w:rsidRPr="00070085" w:rsidRDefault="00070085" w:rsidP="00070085">
            <w:pPr>
              <w:spacing w:line="240" w:lineRule="exact"/>
              <w:contextualSpacing/>
              <w:jc w:val="center"/>
              <w:rPr>
                <w:rFonts w:eastAsia="SimSun"/>
                <w:sz w:val="24"/>
                <w:szCs w:val="24"/>
              </w:rPr>
            </w:pPr>
          </w:p>
        </w:tc>
      </w:tr>
      <w:tr w:rsidR="00070085" w:rsidRPr="00070085" w14:paraId="2B365FDB"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2"/>
        </w:trPr>
        <w:tc>
          <w:tcPr>
            <w:tcW w:w="1783" w:type="dxa"/>
            <w:vMerge/>
          </w:tcPr>
          <w:p w14:paraId="025EF2C8" w14:textId="77777777" w:rsidR="00070085" w:rsidRPr="00070085" w:rsidRDefault="00070085" w:rsidP="00070085">
            <w:pPr>
              <w:spacing w:line="240" w:lineRule="exact"/>
              <w:contextualSpacing/>
              <w:rPr>
                <w:rFonts w:eastAsia="SimSun"/>
                <w:sz w:val="24"/>
                <w:szCs w:val="24"/>
              </w:rPr>
            </w:pPr>
          </w:p>
        </w:tc>
        <w:tc>
          <w:tcPr>
            <w:tcW w:w="1400" w:type="dxa"/>
            <w:vMerge/>
          </w:tcPr>
          <w:p w14:paraId="0F948EF1" w14:textId="77777777" w:rsidR="00070085" w:rsidRPr="00070085" w:rsidRDefault="00070085" w:rsidP="00070085">
            <w:pPr>
              <w:spacing w:line="240" w:lineRule="exact"/>
              <w:contextualSpacing/>
              <w:rPr>
                <w:rFonts w:eastAsia="SimSun"/>
                <w:sz w:val="24"/>
                <w:szCs w:val="24"/>
              </w:rPr>
            </w:pPr>
          </w:p>
        </w:tc>
        <w:tc>
          <w:tcPr>
            <w:tcW w:w="1206" w:type="dxa"/>
          </w:tcPr>
          <w:p w14:paraId="513C7471"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OE3</w:t>
            </w:r>
          </w:p>
        </w:tc>
        <w:tc>
          <w:tcPr>
            <w:tcW w:w="0" w:type="auto"/>
            <w:vAlign w:val="center"/>
          </w:tcPr>
          <w:p w14:paraId="174BE912"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0.855</w:t>
            </w:r>
          </w:p>
        </w:tc>
        <w:tc>
          <w:tcPr>
            <w:tcW w:w="1136" w:type="dxa"/>
            <w:vAlign w:val="bottom"/>
          </w:tcPr>
          <w:p w14:paraId="56391F18"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0.731</w:t>
            </w:r>
          </w:p>
        </w:tc>
        <w:tc>
          <w:tcPr>
            <w:tcW w:w="696" w:type="dxa"/>
            <w:vMerge/>
            <w:vAlign w:val="bottom"/>
          </w:tcPr>
          <w:p w14:paraId="686AC777"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637301B6"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4E158905" w14:textId="77777777" w:rsidR="00070085" w:rsidRPr="00070085" w:rsidRDefault="00070085" w:rsidP="00070085">
            <w:pPr>
              <w:spacing w:line="240" w:lineRule="exact"/>
              <w:contextualSpacing/>
              <w:jc w:val="center"/>
              <w:rPr>
                <w:rFonts w:eastAsia="SimSun"/>
                <w:sz w:val="24"/>
                <w:szCs w:val="24"/>
              </w:rPr>
            </w:pPr>
          </w:p>
        </w:tc>
      </w:tr>
      <w:tr w:rsidR="00070085" w:rsidRPr="00070085" w14:paraId="44D31450"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600822A2" w14:textId="77777777" w:rsidR="00070085" w:rsidRPr="00070085" w:rsidRDefault="00070085" w:rsidP="00070085">
            <w:pPr>
              <w:spacing w:line="240" w:lineRule="exact"/>
              <w:contextualSpacing/>
              <w:rPr>
                <w:rFonts w:eastAsia="SimSun"/>
                <w:sz w:val="24"/>
                <w:szCs w:val="24"/>
              </w:rPr>
            </w:pPr>
          </w:p>
        </w:tc>
        <w:tc>
          <w:tcPr>
            <w:tcW w:w="1400" w:type="dxa"/>
            <w:vMerge/>
          </w:tcPr>
          <w:p w14:paraId="33258508" w14:textId="77777777" w:rsidR="00070085" w:rsidRPr="00070085" w:rsidRDefault="00070085" w:rsidP="00070085">
            <w:pPr>
              <w:spacing w:line="240" w:lineRule="exact"/>
              <w:contextualSpacing/>
              <w:rPr>
                <w:rFonts w:eastAsia="SimSun"/>
                <w:sz w:val="24"/>
                <w:szCs w:val="24"/>
              </w:rPr>
            </w:pPr>
          </w:p>
        </w:tc>
        <w:tc>
          <w:tcPr>
            <w:tcW w:w="1206" w:type="dxa"/>
          </w:tcPr>
          <w:p w14:paraId="416D5820"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OE4</w:t>
            </w:r>
          </w:p>
        </w:tc>
        <w:tc>
          <w:tcPr>
            <w:tcW w:w="0" w:type="auto"/>
            <w:vAlign w:val="center"/>
          </w:tcPr>
          <w:p w14:paraId="1ADAA3C3"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0.864</w:t>
            </w:r>
          </w:p>
        </w:tc>
        <w:tc>
          <w:tcPr>
            <w:tcW w:w="1136" w:type="dxa"/>
            <w:vAlign w:val="bottom"/>
          </w:tcPr>
          <w:p w14:paraId="50C9250A"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0.746</w:t>
            </w:r>
          </w:p>
        </w:tc>
        <w:tc>
          <w:tcPr>
            <w:tcW w:w="696" w:type="dxa"/>
            <w:vMerge/>
            <w:vAlign w:val="bottom"/>
          </w:tcPr>
          <w:p w14:paraId="4F9EC91F"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199697F6"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415068D9" w14:textId="77777777" w:rsidR="00070085" w:rsidRPr="00070085" w:rsidRDefault="00070085" w:rsidP="00070085">
            <w:pPr>
              <w:spacing w:line="240" w:lineRule="exact"/>
              <w:contextualSpacing/>
              <w:jc w:val="center"/>
              <w:rPr>
                <w:rFonts w:eastAsia="SimSun"/>
                <w:sz w:val="24"/>
                <w:szCs w:val="24"/>
              </w:rPr>
            </w:pPr>
          </w:p>
        </w:tc>
      </w:tr>
      <w:tr w:rsidR="00070085" w:rsidRPr="00070085" w14:paraId="1C3EC076"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70BF25D7" w14:textId="77777777" w:rsidR="00070085" w:rsidRPr="00070085" w:rsidRDefault="00070085" w:rsidP="00070085">
            <w:pPr>
              <w:spacing w:line="240" w:lineRule="exact"/>
              <w:contextualSpacing/>
              <w:rPr>
                <w:rFonts w:eastAsia="SimSun"/>
                <w:sz w:val="24"/>
                <w:szCs w:val="24"/>
              </w:rPr>
            </w:pPr>
          </w:p>
        </w:tc>
        <w:tc>
          <w:tcPr>
            <w:tcW w:w="1400" w:type="dxa"/>
            <w:vMerge/>
          </w:tcPr>
          <w:p w14:paraId="701B8EB5" w14:textId="77777777" w:rsidR="00070085" w:rsidRPr="00070085" w:rsidRDefault="00070085" w:rsidP="00070085">
            <w:pPr>
              <w:spacing w:line="240" w:lineRule="exact"/>
              <w:contextualSpacing/>
              <w:rPr>
                <w:rFonts w:eastAsia="SimSun"/>
                <w:sz w:val="24"/>
                <w:szCs w:val="24"/>
              </w:rPr>
            </w:pPr>
          </w:p>
        </w:tc>
        <w:tc>
          <w:tcPr>
            <w:tcW w:w="1206" w:type="dxa"/>
          </w:tcPr>
          <w:p w14:paraId="6C3E9B48"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OE5</w:t>
            </w:r>
          </w:p>
        </w:tc>
        <w:tc>
          <w:tcPr>
            <w:tcW w:w="0" w:type="auto"/>
            <w:vAlign w:val="center"/>
          </w:tcPr>
          <w:p w14:paraId="38D7F7CB"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0.825</w:t>
            </w:r>
          </w:p>
        </w:tc>
        <w:tc>
          <w:tcPr>
            <w:tcW w:w="1136" w:type="dxa"/>
            <w:vAlign w:val="bottom"/>
          </w:tcPr>
          <w:p w14:paraId="5049EA1B"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0.681</w:t>
            </w:r>
          </w:p>
        </w:tc>
        <w:tc>
          <w:tcPr>
            <w:tcW w:w="696" w:type="dxa"/>
            <w:vMerge/>
            <w:vAlign w:val="bottom"/>
          </w:tcPr>
          <w:p w14:paraId="3EA6F2F6"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25C3A973"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5E4871B3" w14:textId="77777777" w:rsidR="00070085" w:rsidRPr="00070085" w:rsidRDefault="00070085" w:rsidP="00070085">
            <w:pPr>
              <w:spacing w:line="240" w:lineRule="exact"/>
              <w:contextualSpacing/>
              <w:jc w:val="center"/>
              <w:rPr>
                <w:rFonts w:eastAsia="SimSun"/>
                <w:sz w:val="24"/>
                <w:szCs w:val="24"/>
              </w:rPr>
            </w:pPr>
          </w:p>
        </w:tc>
      </w:tr>
      <w:tr w:rsidR="00070085" w:rsidRPr="00070085" w14:paraId="5BB32FE9" w14:textId="77777777" w:rsidTr="005C40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83" w:type="dxa"/>
            <w:vMerge/>
          </w:tcPr>
          <w:p w14:paraId="2E6A3FF1" w14:textId="77777777" w:rsidR="00070085" w:rsidRPr="00070085" w:rsidRDefault="00070085" w:rsidP="00070085">
            <w:pPr>
              <w:spacing w:line="240" w:lineRule="exact"/>
              <w:contextualSpacing/>
              <w:rPr>
                <w:rFonts w:eastAsia="SimSun"/>
                <w:sz w:val="24"/>
                <w:szCs w:val="24"/>
              </w:rPr>
            </w:pPr>
          </w:p>
        </w:tc>
        <w:tc>
          <w:tcPr>
            <w:tcW w:w="1400" w:type="dxa"/>
            <w:vMerge/>
          </w:tcPr>
          <w:p w14:paraId="3D23C88F" w14:textId="77777777" w:rsidR="00070085" w:rsidRPr="00070085" w:rsidRDefault="00070085" w:rsidP="00070085">
            <w:pPr>
              <w:spacing w:line="240" w:lineRule="exact"/>
              <w:contextualSpacing/>
              <w:rPr>
                <w:rFonts w:eastAsia="SimSun"/>
                <w:sz w:val="24"/>
                <w:szCs w:val="24"/>
              </w:rPr>
            </w:pPr>
          </w:p>
        </w:tc>
        <w:tc>
          <w:tcPr>
            <w:tcW w:w="1206" w:type="dxa"/>
          </w:tcPr>
          <w:p w14:paraId="20D1DEC8" w14:textId="77777777" w:rsidR="00070085" w:rsidRPr="00070085" w:rsidRDefault="00070085" w:rsidP="00070085">
            <w:pPr>
              <w:spacing w:line="240" w:lineRule="exact"/>
              <w:contextualSpacing/>
              <w:jc w:val="center"/>
              <w:rPr>
                <w:rFonts w:eastAsia="SimSun"/>
                <w:sz w:val="24"/>
                <w:szCs w:val="24"/>
              </w:rPr>
            </w:pPr>
            <w:r w:rsidRPr="00070085">
              <w:rPr>
                <w:rFonts w:eastAsia="SimSun"/>
                <w:sz w:val="24"/>
                <w:szCs w:val="24"/>
              </w:rPr>
              <w:t>OE6</w:t>
            </w:r>
          </w:p>
        </w:tc>
        <w:tc>
          <w:tcPr>
            <w:tcW w:w="0" w:type="auto"/>
            <w:vAlign w:val="center"/>
          </w:tcPr>
          <w:p w14:paraId="2E5C676A" w14:textId="77777777" w:rsidR="00070085" w:rsidRPr="00070085" w:rsidRDefault="00070085" w:rsidP="00070085">
            <w:pPr>
              <w:spacing w:line="240" w:lineRule="exact"/>
              <w:contextualSpacing/>
              <w:jc w:val="center"/>
              <w:rPr>
                <w:rFonts w:eastAsia="SimSun"/>
                <w:color w:val="0077BB"/>
                <w:sz w:val="24"/>
                <w:szCs w:val="24"/>
              </w:rPr>
            </w:pPr>
            <w:r w:rsidRPr="00070085">
              <w:rPr>
                <w:rFonts w:eastAsia="SimSun"/>
                <w:color w:val="0077BB"/>
                <w:sz w:val="24"/>
                <w:szCs w:val="24"/>
              </w:rPr>
              <w:t>0.820</w:t>
            </w:r>
          </w:p>
        </w:tc>
        <w:tc>
          <w:tcPr>
            <w:tcW w:w="1136" w:type="dxa"/>
            <w:vAlign w:val="bottom"/>
          </w:tcPr>
          <w:p w14:paraId="29F80F4C" w14:textId="77777777" w:rsidR="00070085" w:rsidRPr="00070085" w:rsidRDefault="00070085" w:rsidP="00070085">
            <w:pPr>
              <w:spacing w:line="240" w:lineRule="exact"/>
              <w:contextualSpacing/>
              <w:jc w:val="center"/>
              <w:rPr>
                <w:rFonts w:eastAsia="SimSun"/>
                <w:color w:val="000000"/>
                <w:sz w:val="24"/>
                <w:szCs w:val="24"/>
              </w:rPr>
            </w:pPr>
            <w:r w:rsidRPr="00070085">
              <w:rPr>
                <w:rFonts w:eastAsia="SimSun"/>
                <w:color w:val="000000"/>
                <w:sz w:val="24"/>
                <w:szCs w:val="24"/>
              </w:rPr>
              <w:t>0.672</w:t>
            </w:r>
          </w:p>
        </w:tc>
        <w:tc>
          <w:tcPr>
            <w:tcW w:w="696" w:type="dxa"/>
            <w:vMerge/>
            <w:vAlign w:val="bottom"/>
          </w:tcPr>
          <w:p w14:paraId="2C6F9C85"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50D45FD9" w14:textId="77777777" w:rsidR="00070085" w:rsidRPr="00070085" w:rsidRDefault="00070085" w:rsidP="00070085">
            <w:pPr>
              <w:spacing w:line="240" w:lineRule="exact"/>
              <w:contextualSpacing/>
              <w:jc w:val="center"/>
              <w:rPr>
                <w:rFonts w:eastAsia="SimSun"/>
                <w:sz w:val="24"/>
                <w:szCs w:val="24"/>
              </w:rPr>
            </w:pPr>
          </w:p>
        </w:tc>
        <w:tc>
          <w:tcPr>
            <w:tcW w:w="0" w:type="auto"/>
            <w:vMerge/>
          </w:tcPr>
          <w:p w14:paraId="7E6DF73F" w14:textId="77777777" w:rsidR="00070085" w:rsidRPr="00070085" w:rsidRDefault="00070085" w:rsidP="00070085">
            <w:pPr>
              <w:spacing w:line="240" w:lineRule="exact"/>
              <w:contextualSpacing/>
              <w:jc w:val="center"/>
              <w:rPr>
                <w:rFonts w:eastAsia="SimSun"/>
                <w:sz w:val="24"/>
                <w:szCs w:val="24"/>
              </w:rPr>
            </w:pPr>
          </w:p>
        </w:tc>
      </w:tr>
    </w:tbl>
    <w:p w14:paraId="0441D996" w14:textId="77777777" w:rsidR="00070085" w:rsidRPr="00070085" w:rsidRDefault="00070085" w:rsidP="00070085">
      <w:pPr>
        <w:spacing w:before="60" w:after="120" w:line="240" w:lineRule="auto"/>
        <w:jc w:val="both"/>
        <w:rPr>
          <w:rFonts w:ascii="Times New Roman" w:eastAsia="Times New Roman" w:hAnsi="Times New Roman" w:cs="Times New Roman"/>
          <w:iCs/>
          <w:kern w:val="0"/>
          <w14:ligatures w14:val="none"/>
        </w:rPr>
        <w:sectPr w:rsidR="00070085" w:rsidRPr="00070085" w:rsidSect="00070085">
          <w:pgSz w:w="16838" w:h="11906" w:orient="landscape"/>
          <w:pgMar w:top="1267" w:right="1440" w:bottom="1080" w:left="1440" w:header="720" w:footer="720" w:gutter="0"/>
          <w:cols w:space="0"/>
          <w:docGrid w:linePitch="360"/>
        </w:sectPr>
      </w:pPr>
      <w:r w:rsidRPr="00070085">
        <w:rPr>
          <w:rFonts w:ascii="Times New Roman" w:eastAsia="Times New Roman" w:hAnsi="Times New Roman" w:cs="Times New Roman"/>
          <w:b/>
          <w:iCs/>
          <w:kern w:val="0"/>
          <w14:ligatures w14:val="none"/>
        </w:rPr>
        <w:t xml:space="preserve">Source: </w:t>
      </w:r>
      <w:proofErr w:type="spellStart"/>
      <w:r w:rsidRPr="00070085">
        <w:rPr>
          <w:rFonts w:ascii="Times New Roman" w:eastAsia="Times New Roman" w:hAnsi="Times New Roman" w:cs="Times New Roman"/>
          <w:iCs/>
          <w:kern w:val="0"/>
          <w14:ligatures w14:val="none"/>
        </w:rPr>
        <w:t>SmartPLS</w:t>
      </w:r>
      <w:proofErr w:type="spellEnd"/>
      <w:r w:rsidRPr="00070085">
        <w:rPr>
          <w:rFonts w:ascii="Times New Roman" w:eastAsia="Times New Roman" w:hAnsi="Times New Roman" w:cs="Times New Roman"/>
          <w:iCs/>
          <w:kern w:val="0"/>
          <w14:ligatures w14:val="none"/>
        </w:rPr>
        <w:t xml:space="preserve"> 4.1.1.8 Output of Research Data, 2026</w:t>
      </w:r>
    </w:p>
    <w:p w14:paraId="6D44FE18"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lastRenderedPageBreak/>
        <w:t xml:space="preserve">Table 4.6 presents the results of the reflective measurement model evaluation for Lean Management Systems and </w:t>
      </w:r>
      <w:proofErr w:type="spellStart"/>
      <w:r w:rsidRPr="00070085">
        <w:rPr>
          <w:rFonts w:ascii="Times New Roman" w:eastAsia="SimSun" w:hAnsi="Times New Roman" w:cs="Times New Roman"/>
          <w:kern w:val="0"/>
          <w:szCs w:val="22"/>
          <w14:ligatures w14:val="none"/>
        </w:rPr>
        <w:t>Organisational</w:t>
      </w:r>
      <w:proofErr w:type="spellEnd"/>
      <w:r w:rsidRPr="00070085">
        <w:rPr>
          <w:rFonts w:ascii="Times New Roman" w:eastAsia="SimSun" w:hAnsi="Times New Roman" w:cs="Times New Roman"/>
          <w:kern w:val="0"/>
          <w:szCs w:val="22"/>
          <w14:ligatures w14:val="none"/>
        </w:rPr>
        <w:t xml:space="preserve"> Effectiveness. The assessment follows the two-step criteria of convergent validity and internal consistency reliability as recommended by Hair et al. (2021) and Henseler et al. (2015).</w:t>
      </w:r>
    </w:p>
    <w:p w14:paraId="0AD4DE2D"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For the Lean Management Systems construct, the Continuous Improvement (CI) dimension demonstrated strong convergent validity, with all six indicator loadings exceeding the threshold of 0.70. Specifically, loadings ranged from 0.795 (CI6) to 0.907 (CI1), and indicator reliabilities (lk²) ranged from 0.632 to 0.823, all surpassing the 0.50 threshold. The Average Variance Extracted (AVE = 0.724) exceeded the minimum criterion of 0.50 (Fornell &amp; Larcker, 1981), confirming that the indicators collectively explain a substantial proportion of the variance in the latent construct. Composite reliability (</w:t>
      </w:r>
      <w:proofErr w:type="spellStart"/>
      <w:r w:rsidRPr="00070085">
        <w:rPr>
          <w:rFonts w:ascii="Times New Roman" w:eastAsia="SimSun" w:hAnsi="Times New Roman" w:cs="Times New Roman"/>
          <w:kern w:val="0"/>
          <w:szCs w:val="22"/>
          <w14:ligatures w14:val="none"/>
        </w:rPr>
        <w:t>ρc</w:t>
      </w:r>
      <w:proofErr w:type="spellEnd"/>
      <w:r w:rsidRPr="00070085">
        <w:rPr>
          <w:rFonts w:ascii="Times New Roman" w:eastAsia="SimSun" w:hAnsi="Times New Roman" w:cs="Times New Roman"/>
          <w:kern w:val="0"/>
          <w:szCs w:val="22"/>
          <w14:ligatures w14:val="none"/>
        </w:rPr>
        <w:t xml:space="preserve"> = 0.940) and Cronbach's alpha (α = 0.824) both satisfied their respective benchmarks, indicating strong and internally consistent measurement of the Continuous Improvement construct.</w:t>
      </w:r>
    </w:p>
    <w:p w14:paraId="235C16C7"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Similarly, the Waste Elimination (WE) dimension exhibited robust psychometric properties. Factor loadings ranged from 0.798 (WE5) to 0.851 (WE4), with indicator reliabilities between 0.637 and 0.724. The AVE of 0.685 exceeded the 0.50 threshold, and composite reliability (</w:t>
      </w:r>
      <w:proofErr w:type="spellStart"/>
      <w:r w:rsidRPr="00070085">
        <w:rPr>
          <w:rFonts w:ascii="Times New Roman" w:eastAsia="SimSun" w:hAnsi="Times New Roman" w:cs="Times New Roman"/>
          <w:kern w:val="0"/>
          <w:szCs w:val="22"/>
          <w14:ligatures w14:val="none"/>
        </w:rPr>
        <w:t>ρc</w:t>
      </w:r>
      <w:proofErr w:type="spellEnd"/>
      <w:r w:rsidRPr="00070085">
        <w:rPr>
          <w:rFonts w:ascii="Times New Roman" w:eastAsia="SimSun" w:hAnsi="Times New Roman" w:cs="Times New Roman"/>
          <w:kern w:val="0"/>
          <w:szCs w:val="22"/>
          <w14:ligatures w14:val="none"/>
        </w:rPr>
        <w:t xml:space="preserve"> = 0.929) and Cronbach's alpha (α = 0.808) confirmed the construct's internal consistency. All six indicators met or exceeded the 0.70 loading threshold, further substantiating the convergent validity of the Waste Elimination dimension (Hair et al., 2021).</w:t>
      </w:r>
    </w:p>
    <w:p w14:paraId="1EE28D23" w14:textId="77777777" w:rsidR="00070085" w:rsidRPr="00070085" w:rsidRDefault="00070085" w:rsidP="00070085">
      <w:pPr>
        <w:spacing w:after="120" w:line="240" w:lineRule="exact"/>
        <w:jc w:val="both"/>
        <w:rPr>
          <w:rFonts w:ascii="Calibri" w:eastAsia="SimSun" w:hAnsi="Calibri" w:cs="Times New Roman"/>
          <w:kern w:val="0"/>
          <w:sz w:val="22"/>
          <w:szCs w:val="22"/>
          <w14:ligatures w14:val="none"/>
        </w:rPr>
      </w:pPr>
      <w:r w:rsidRPr="00070085">
        <w:rPr>
          <w:rFonts w:ascii="Times New Roman" w:eastAsia="SimSun" w:hAnsi="Times New Roman" w:cs="Times New Roman"/>
          <w:kern w:val="0"/>
          <w:szCs w:val="22"/>
          <w14:ligatures w14:val="none"/>
        </w:rPr>
        <w:t xml:space="preserve">For </w:t>
      </w:r>
      <w:proofErr w:type="spellStart"/>
      <w:r w:rsidRPr="00070085">
        <w:rPr>
          <w:rFonts w:ascii="Times New Roman" w:eastAsia="SimSun" w:hAnsi="Times New Roman" w:cs="Times New Roman"/>
          <w:kern w:val="0"/>
          <w:szCs w:val="22"/>
          <w14:ligatures w14:val="none"/>
        </w:rPr>
        <w:t>Organisational</w:t>
      </w:r>
      <w:proofErr w:type="spellEnd"/>
      <w:r w:rsidRPr="00070085">
        <w:rPr>
          <w:rFonts w:ascii="Times New Roman" w:eastAsia="SimSun" w:hAnsi="Times New Roman" w:cs="Times New Roman"/>
          <w:kern w:val="0"/>
          <w:szCs w:val="22"/>
          <w14:ligatures w14:val="none"/>
        </w:rPr>
        <w:t xml:space="preserve"> Effectiveness, the Stakeholder Satisfaction (SS) dimension returned indicator loadings ranging from 0.835 (SS6) to 0.880 (SS1), with indicator reliabilities between 0.697 and 0.774. The AVE of 0.725 and composite reliability of 0.940 comfortably surpassed their respective thresholds, while Cronbach's alpha (α = 0.825) confirmed acceptable internal reliability. The Operational Efficiency (OE) dimension recorded loadings from 0.820 (OE1, OE6) to 0.864 (OE4) and indicator reliabilities between 0.672 and 0.746. The AVE of 0.703, composite reliability of 0.934, and Cronbach's alpha of 0.816 all met the prescribed thresholds (Fornell &amp; Larcker, 1981; Hair et al., 2021). Collectively, the measurement model results confirm that all four constructs - Continuous Improvement, Waste Elimination, Stakeholder Satisfaction, and Operational Efficiency, satisfy the criteria for convergent validity and internal consistency reliability, providing a robust basis for subsequent structural model evaluation</w:t>
      </w:r>
      <w:r w:rsidRPr="00070085">
        <w:rPr>
          <w:rFonts w:ascii="Calibri" w:eastAsia="SimSun" w:hAnsi="Calibri" w:cs="Times New Roman"/>
          <w:kern w:val="0"/>
          <w:sz w:val="22"/>
          <w:szCs w:val="22"/>
          <w14:ligatures w14:val="none"/>
        </w:rPr>
        <w:t>.</w:t>
      </w:r>
    </w:p>
    <w:p w14:paraId="744D3E12" w14:textId="77777777" w:rsidR="00070085" w:rsidRPr="00070085" w:rsidRDefault="00070085" w:rsidP="00070085">
      <w:pPr>
        <w:spacing w:after="0" w:line="240" w:lineRule="auto"/>
        <w:contextualSpacing/>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4.1.2.2</w:t>
      </w:r>
      <w:r w:rsidRPr="00070085">
        <w:rPr>
          <w:rFonts w:ascii="Times New Roman" w:eastAsia="SimSun" w:hAnsi="Times New Roman" w:cs="Times New Roman"/>
          <w:b/>
          <w:kern w:val="0"/>
          <w:szCs w:val="22"/>
          <w14:ligatures w14:val="none"/>
        </w:rPr>
        <w:tab/>
        <w:t>Discriminant Validity</w:t>
      </w:r>
    </w:p>
    <w:p w14:paraId="525327E2" w14:textId="77777777" w:rsidR="00070085" w:rsidRPr="00070085" w:rsidRDefault="00070085" w:rsidP="00070085">
      <w:pPr>
        <w:spacing w:after="0" w:line="240" w:lineRule="auto"/>
        <w:contextualSpacing/>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Table 4.7: Overview of Discriminant Validity – HTMT</w:t>
      </w:r>
    </w:p>
    <w:tbl>
      <w:tblPr>
        <w:tblStyle w:val="TableGrid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2340"/>
        <w:gridCol w:w="2340"/>
      </w:tblGrid>
      <w:tr w:rsidR="00070085" w:rsidRPr="00070085" w14:paraId="6C97E5B1" w14:textId="77777777" w:rsidTr="005C4055">
        <w:trPr>
          <w:trHeight w:val="300"/>
        </w:trPr>
        <w:tc>
          <w:tcPr>
            <w:tcW w:w="1250" w:type="pct"/>
            <w:tcBorders>
              <w:top w:val="single" w:sz="4" w:space="0" w:color="auto"/>
              <w:bottom w:val="single" w:sz="4" w:space="0" w:color="auto"/>
            </w:tcBorders>
          </w:tcPr>
          <w:p w14:paraId="5B2DDFF1" w14:textId="77777777" w:rsidR="00070085" w:rsidRPr="00070085" w:rsidRDefault="00070085" w:rsidP="00070085">
            <w:pPr>
              <w:spacing w:line="240" w:lineRule="exact"/>
              <w:contextualSpacing/>
              <w:rPr>
                <w:rFonts w:eastAsia="SimSun"/>
                <w:b/>
                <w:bCs/>
                <w:color w:val="000000"/>
                <w:sz w:val="24"/>
                <w:szCs w:val="22"/>
              </w:rPr>
            </w:pPr>
            <w:r w:rsidRPr="00070085">
              <w:rPr>
                <w:rFonts w:eastAsia="SimSun"/>
                <w:b/>
                <w:bCs/>
                <w:color w:val="000000"/>
                <w:sz w:val="24"/>
                <w:szCs w:val="22"/>
              </w:rPr>
              <w:t> </w:t>
            </w:r>
          </w:p>
        </w:tc>
        <w:tc>
          <w:tcPr>
            <w:tcW w:w="1250" w:type="pct"/>
            <w:tcBorders>
              <w:top w:val="single" w:sz="4" w:space="0" w:color="auto"/>
              <w:bottom w:val="single" w:sz="4" w:space="0" w:color="auto"/>
            </w:tcBorders>
          </w:tcPr>
          <w:p w14:paraId="09F50E66" w14:textId="77777777" w:rsidR="00070085" w:rsidRPr="00070085" w:rsidRDefault="00070085" w:rsidP="00070085">
            <w:pPr>
              <w:spacing w:line="240" w:lineRule="exact"/>
              <w:contextualSpacing/>
              <w:jc w:val="center"/>
              <w:rPr>
                <w:rFonts w:eastAsia="SimSun"/>
                <w:b/>
                <w:bCs/>
                <w:color w:val="000000"/>
                <w:sz w:val="24"/>
                <w:szCs w:val="22"/>
              </w:rPr>
            </w:pPr>
            <w:r w:rsidRPr="00070085">
              <w:rPr>
                <w:rFonts w:eastAsia="SimSun"/>
                <w:b/>
                <w:bCs/>
                <w:color w:val="000000"/>
                <w:sz w:val="24"/>
                <w:szCs w:val="22"/>
              </w:rPr>
              <w:t>CI</w:t>
            </w:r>
          </w:p>
        </w:tc>
        <w:tc>
          <w:tcPr>
            <w:tcW w:w="1250" w:type="pct"/>
            <w:tcBorders>
              <w:top w:val="single" w:sz="4" w:space="0" w:color="auto"/>
              <w:bottom w:val="single" w:sz="4" w:space="0" w:color="auto"/>
            </w:tcBorders>
          </w:tcPr>
          <w:p w14:paraId="19361D79" w14:textId="77777777" w:rsidR="00070085" w:rsidRPr="00070085" w:rsidRDefault="00070085" w:rsidP="00070085">
            <w:pPr>
              <w:spacing w:line="240" w:lineRule="exact"/>
              <w:contextualSpacing/>
              <w:jc w:val="center"/>
              <w:rPr>
                <w:rFonts w:eastAsia="SimSun"/>
                <w:b/>
                <w:bCs/>
                <w:color w:val="000000"/>
                <w:sz w:val="24"/>
                <w:szCs w:val="22"/>
              </w:rPr>
            </w:pPr>
            <w:r w:rsidRPr="00070085">
              <w:rPr>
                <w:rFonts w:eastAsia="SimSun"/>
                <w:b/>
                <w:bCs/>
                <w:color w:val="000000"/>
                <w:sz w:val="24"/>
                <w:szCs w:val="22"/>
              </w:rPr>
              <w:t>OE</w:t>
            </w:r>
          </w:p>
        </w:tc>
        <w:tc>
          <w:tcPr>
            <w:tcW w:w="1250" w:type="pct"/>
            <w:tcBorders>
              <w:top w:val="single" w:sz="4" w:space="0" w:color="auto"/>
              <w:bottom w:val="single" w:sz="4" w:space="0" w:color="auto"/>
            </w:tcBorders>
          </w:tcPr>
          <w:p w14:paraId="4C156A32" w14:textId="77777777" w:rsidR="00070085" w:rsidRPr="00070085" w:rsidRDefault="00070085" w:rsidP="00070085">
            <w:pPr>
              <w:spacing w:line="240" w:lineRule="exact"/>
              <w:contextualSpacing/>
              <w:jc w:val="center"/>
              <w:rPr>
                <w:rFonts w:eastAsia="SimSun"/>
                <w:b/>
                <w:bCs/>
                <w:color w:val="000000"/>
                <w:sz w:val="24"/>
                <w:szCs w:val="22"/>
              </w:rPr>
            </w:pPr>
            <w:r w:rsidRPr="00070085">
              <w:rPr>
                <w:rFonts w:eastAsia="SimSun"/>
                <w:b/>
                <w:bCs/>
                <w:color w:val="000000"/>
                <w:sz w:val="24"/>
                <w:szCs w:val="22"/>
              </w:rPr>
              <w:t>SS</w:t>
            </w:r>
          </w:p>
        </w:tc>
      </w:tr>
      <w:tr w:rsidR="00070085" w:rsidRPr="00070085" w14:paraId="7CA0E9BD" w14:textId="77777777" w:rsidTr="005C4055">
        <w:trPr>
          <w:trHeight w:val="300"/>
        </w:trPr>
        <w:tc>
          <w:tcPr>
            <w:tcW w:w="1250" w:type="pct"/>
            <w:tcBorders>
              <w:top w:val="single" w:sz="4" w:space="0" w:color="auto"/>
            </w:tcBorders>
          </w:tcPr>
          <w:p w14:paraId="1A5395DD" w14:textId="77777777" w:rsidR="00070085" w:rsidRPr="00070085" w:rsidRDefault="00070085" w:rsidP="00070085">
            <w:pPr>
              <w:spacing w:line="240" w:lineRule="exact"/>
              <w:contextualSpacing/>
              <w:rPr>
                <w:rFonts w:eastAsia="SimSun"/>
                <w:b/>
                <w:bCs/>
                <w:color w:val="000000"/>
                <w:sz w:val="24"/>
                <w:szCs w:val="22"/>
              </w:rPr>
            </w:pPr>
            <w:r w:rsidRPr="00070085">
              <w:rPr>
                <w:rFonts w:eastAsia="SimSun"/>
                <w:b/>
                <w:bCs/>
                <w:color w:val="000000"/>
                <w:sz w:val="24"/>
                <w:szCs w:val="22"/>
              </w:rPr>
              <w:t>OE</w:t>
            </w:r>
          </w:p>
        </w:tc>
        <w:tc>
          <w:tcPr>
            <w:tcW w:w="1250" w:type="pct"/>
            <w:tcBorders>
              <w:top w:val="single" w:sz="4" w:space="0" w:color="auto"/>
            </w:tcBorders>
          </w:tcPr>
          <w:p w14:paraId="13A8FBC1" w14:textId="77777777" w:rsidR="00070085" w:rsidRPr="00070085" w:rsidRDefault="00070085" w:rsidP="00070085">
            <w:pPr>
              <w:spacing w:line="240" w:lineRule="exact"/>
              <w:contextualSpacing/>
              <w:jc w:val="center"/>
              <w:rPr>
                <w:rFonts w:eastAsia="SimSun"/>
                <w:color w:val="0077BB"/>
                <w:sz w:val="24"/>
                <w:szCs w:val="22"/>
              </w:rPr>
            </w:pPr>
            <w:r w:rsidRPr="00070085">
              <w:rPr>
                <w:rFonts w:eastAsia="SimSun"/>
                <w:color w:val="0077BB"/>
                <w:sz w:val="24"/>
                <w:szCs w:val="22"/>
              </w:rPr>
              <w:t>0.741</w:t>
            </w:r>
          </w:p>
        </w:tc>
        <w:tc>
          <w:tcPr>
            <w:tcW w:w="1250" w:type="pct"/>
            <w:tcBorders>
              <w:top w:val="single" w:sz="4" w:space="0" w:color="auto"/>
            </w:tcBorders>
          </w:tcPr>
          <w:p w14:paraId="54CEE4FE" w14:textId="77777777" w:rsidR="00070085" w:rsidRPr="00070085" w:rsidRDefault="00070085" w:rsidP="00070085">
            <w:pPr>
              <w:spacing w:line="240" w:lineRule="exact"/>
              <w:contextualSpacing/>
              <w:jc w:val="center"/>
              <w:rPr>
                <w:rFonts w:eastAsia="SimSun"/>
                <w:color w:val="000000"/>
                <w:sz w:val="24"/>
                <w:szCs w:val="22"/>
              </w:rPr>
            </w:pPr>
          </w:p>
        </w:tc>
        <w:tc>
          <w:tcPr>
            <w:tcW w:w="1250" w:type="pct"/>
            <w:tcBorders>
              <w:top w:val="single" w:sz="4" w:space="0" w:color="auto"/>
            </w:tcBorders>
          </w:tcPr>
          <w:p w14:paraId="2033C1DC" w14:textId="77777777" w:rsidR="00070085" w:rsidRPr="00070085" w:rsidRDefault="00070085" w:rsidP="00070085">
            <w:pPr>
              <w:spacing w:line="240" w:lineRule="exact"/>
              <w:contextualSpacing/>
              <w:jc w:val="center"/>
              <w:rPr>
                <w:rFonts w:eastAsia="SimSun"/>
                <w:color w:val="000000"/>
                <w:sz w:val="24"/>
                <w:szCs w:val="22"/>
              </w:rPr>
            </w:pPr>
          </w:p>
        </w:tc>
      </w:tr>
      <w:tr w:rsidR="00070085" w:rsidRPr="00070085" w14:paraId="49C30101" w14:textId="77777777" w:rsidTr="005C4055">
        <w:trPr>
          <w:trHeight w:val="300"/>
        </w:trPr>
        <w:tc>
          <w:tcPr>
            <w:tcW w:w="1250" w:type="pct"/>
          </w:tcPr>
          <w:p w14:paraId="4433E92D" w14:textId="77777777" w:rsidR="00070085" w:rsidRPr="00070085" w:rsidRDefault="00070085" w:rsidP="00070085">
            <w:pPr>
              <w:spacing w:line="240" w:lineRule="exact"/>
              <w:contextualSpacing/>
              <w:rPr>
                <w:rFonts w:eastAsia="SimSun"/>
                <w:b/>
                <w:bCs/>
                <w:color w:val="000000"/>
                <w:sz w:val="24"/>
                <w:szCs w:val="22"/>
              </w:rPr>
            </w:pPr>
            <w:r w:rsidRPr="00070085">
              <w:rPr>
                <w:rFonts w:eastAsia="SimSun"/>
                <w:b/>
                <w:bCs/>
                <w:color w:val="000000"/>
                <w:sz w:val="24"/>
                <w:szCs w:val="22"/>
              </w:rPr>
              <w:t>SS</w:t>
            </w:r>
          </w:p>
        </w:tc>
        <w:tc>
          <w:tcPr>
            <w:tcW w:w="1250" w:type="pct"/>
          </w:tcPr>
          <w:p w14:paraId="16854462" w14:textId="77777777" w:rsidR="00070085" w:rsidRPr="00070085" w:rsidRDefault="00070085" w:rsidP="00070085">
            <w:pPr>
              <w:spacing w:line="240" w:lineRule="exact"/>
              <w:contextualSpacing/>
              <w:jc w:val="center"/>
              <w:rPr>
                <w:rFonts w:eastAsia="SimSun"/>
                <w:color w:val="0077BB"/>
                <w:sz w:val="24"/>
                <w:szCs w:val="22"/>
              </w:rPr>
            </w:pPr>
            <w:r w:rsidRPr="00070085">
              <w:rPr>
                <w:rFonts w:eastAsia="SimSun"/>
                <w:color w:val="0077BB"/>
                <w:sz w:val="24"/>
                <w:szCs w:val="22"/>
              </w:rPr>
              <w:t>0.561</w:t>
            </w:r>
          </w:p>
        </w:tc>
        <w:tc>
          <w:tcPr>
            <w:tcW w:w="1250" w:type="pct"/>
          </w:tcPr>
          <w:p w14:paraId="119D1FB2" w14:textId="77777777" w:rsidR="00070085" w:rsidRPr="00070085" w:rsidRDefault="00070085" w:rsidP="00070085">
            <w:pPr>
              <w:spacing w:line="240" w:lineRule="exact"/>
              <w:contextualSpacing/>
              <w:jc w:val="center"/>
              <w:rPr>
                <w:rFonts w:eastAsia="SimSun"/>
                <w:color w:val="0077BB"/>
                <w:sz w:val="24"/>
                <w:szCs w:val="22"/>
              </w:rPr>
            </w:pPr>
            <w:r w:rsidRPr="00070085">
              <w:rPr>
                <w:rFonts w:eastAsia="SimSun"/>
                <w:color w:val="0077BB"/>
                <w:sz w:val="24"/>
                <w:szCs w:val="22"/>
              </w:rPr>
              <w:t>0.497</w:t>
            </w:r>
          </w:p>
        </w:tc>
        <w:tc>
          <w:tcPr>
            <w:tcW w:w="1250" w:type="pct"/>
          </w:tcPr>
          <w:p w14:paraId="53D5BD10" w14:textId="77777777" w:rsidR="00070085" w:rsidRPr="00070085" w:rsidRDefault="00070085" w:rsidP="00070085">
            <w:pPr>
              <w:spacing w:line="240" w:lineRule="exact"/>
              <w:contextualSpacing/>
              <w:jc w:val="center"/>
              <w:rPr>
                <w:rFonts w:eastAsia="SimSun"/>
                <w:color w:val="000000"/>
                <w:sz w:val="24"/>
                <w:szCs w:val="22"/>
              </w:rPr>
            </w:pPr>
          </w:p>
        </w:tc>
      </w:tr>
      <w:tr w:rsidR="00070085" w:rsidRPr="00070085" w14:paraId="3BFFCC13" w14:textId="77777777" w:rsidTr="005C4055">
        <w:trPr>
          <w:trHeight w:val="300"/>
        </w:trPr>
        <w:tc>
          <w:tcPr>
            <w:tcW w:w="1250" w:type="pct"/>
          </w:tcPr>
          <w:p w14:paraId="590A564F" w14:textId="77777777" w:rsidR="00070085" w:rsidRPr="00070085" w:rsidRDefault="00070085" w:rsidP="00070085">
            <w:pPr>
              <w:spacing w:line="240" w:lineRule="exact"/>
              <w:contextualSpacing/>
              <w:rPr>
                <w:rFonts w:eastAsia="SimSun"/>
                <w:b/>
                <w:bCs/>
                <w:color w:val="000000"/>
                <w:sz w:val="24"/>
                <w:szCs w:val="22"/>
              </w:rPr>
            </w:pPr>
            <w:r w:rsidRPr="00070085">
              <w:rPr>
                <w:rFonts w:eastAsia="SimSun"/>
                <w:b/>
                <w:bCs/>
                <w:color w:val="000000"/>
                <w:sz w:val="24"/>
                <w:szCs w:val="22"/>
              </w:rPr>
              <w:t>WE</w:t>
            </w:r>
          </w:p>
        </w:tc>
        <w:tc>
          <w:tcPr>
            <w:tcW w:w="1250" w:type="pct"/>
          </w:tcPr>
          <w:p w14:paraId="7C9DF175" w14:textId="77777777" w:rsidR="00070085" w:rsidRPr="00070085" w:rsidRDefault="00070085" w:rsidP="00070085">
            <w:pPr>
              <w:spacing w:line="240" w:lineRule="exact"/>
              <w:contextualSpacing/>
              <w:jc w:val="center"/>
              <w:rPr>
                <w:rFonts w:eastAsia="SimSun"/>
                <w:color w:val="0077BB"/>
                <w:sz w:val="24"/>
                <w:szCs w:val="22"/>
              </w:rPr>
            </w:pPr>
            <w:r w:rsidRPr="00070085">
              <w:rPr>
                <w:rFonts w:eastAsia="SimSun"/>
                <w:color w:val="0077BB"/>
                <w:sz w:val="24"/>
                <w:szCs w:val="22"/>
              </w:rPr>
              <w:t>0.602</w:t>
            </w:r>
          </w:p>
        </w:tc>
        <w:tc>
          <w:tcPr>
            <w:tcW w:w="1250" w:type="pct"/>
          </w:tcPr>
          <w:p w14:paraId="524510C3" w14:textId="77777777" w:rsidR="00070085" w:rsidRPr="00070085" w:rsidRDefault="00070085" w:rsidP="00070085">
            <w:pPr>
              <w:spacing w:line="240" w:lineRule="exact"/>
              <w:contextualSpacing/>
              <w:jc w:val="center"/>
              <w:rPr>
                <w:rFonts w:eastAsia="SimSun"/>
                <w:color w:val="0077BB"/>
                <w:sz w:val="24"/>
                <w:szCs w:val="22"/>
              </w:rPr>
            </w:pPr>
            <w:r w:rsidRPr="00070085">
              <w:rPr>
                <w:rFonts w:eastAsia="SimSun"/>
                <w:color w:val="0077BB"/>
                <w:sz w:val="24"/>
                <w:szCs w:val="22"/>
              </w:rPr>
              <w:t>0.568</w:t>
            </w:r>
          </w:p>
        </w:tc>
        <w:tc>
          <w:tcPr>
            <w:tcW w:w="1250" w:type="pct"/>
          </w:tcPr>
          <w:p w14:paraId="3EA0DB09" w14:textId="77777777" w:rsidR="00070085" w:rsidRPr="00070085" w:rsidRDefault="00070085" w:rsidP="00070085">
            <w:pPr>
              <w:spacing w:line="240" w:lineRule="exact"/>
              <w:contextualSpacing/>
              <w:jc w:val="center"/>
              <w:rPr>
                <w:rFonts w:eastAsia="SimSun"/>
                <w:color w:val="0077BB"/>
                <w:sz w:val="24"/>
                <w:szCs w:val="22"/>
              </w:rPr>
            </w:pPr>
            <w:r w:rsidRPr="00070085">
              <w:rPr>
                <w:rFonts w:eastAsia="SimSun"/>
                <w:color w:val="0077BB"/>
                <w:sz w:val="24"/>
                <w:szCs w:val="22"/>
              </w:rPr>
              <w:t>0.545</w:t>
            </w:r>
          </w:p>
        </w:tc>
      </w:tr>
    </w:tbl>
    <w:p w14:paraId="5F44CCA4" w14:textId="77777777" w:rsidR="00070085" w:rsidRPr="00070085" w:rsidRDefault="00070085" w:rsidP="00070085">
      <w:pPr>
        <w:spacing w:before="60" w:after="120" w:line="240" w:lineRule="auto"/>
        <w:jc w:val="both"/>
        <w:rPr>
          <w:rFonts w:ascii="Times New Roman" w:eastAsia="SimSun" w:hAnsi="Times New Roman" w:cs="Times New Roman"/>
          <w:kern w:val="0"/>
          <w14:ligatures w14:val="none"/>
        </w:rPr>
      </w:pPr>
      <w:r w:rsidRPr="00070085">
        <w:rPr>
          <w:rFonts w:ascii="Times New Roman" w:eastAsia="Times New Roman" w:hAnsi="Times New Roman" w:cs="Times New Roman"/>
          <w:b/>
          <w:iCs/>
          <w:kern w:val="0"/>
          <w14:ligatures w14:val="none"/>
        </w:rPr>
        <w:t>Source:</w:t>
      </w:r>
      <w:r w:rsidRPr="00070085">
        <w:rPr>
          <w:rFonts w:ascii="Times New Roman" w:eastAsia="Times New Roman" w:hAnsi="Times New Roman" w:cs="Times New Roman"/>
          <w:iCs/>
          <w:kern w:val="0"/>
          <w14:ligatures w14:val="none"/>
        </w:rPr>
        <w:t xml:space="preserve"> </w:t>
      </w:r>
      <w:proofErr w:type="spellStart"/>
      <w:r w:rsidRPr="00070085">
        <w:rPr>
          <w:rFonts w:ascii="Times New Roman" w:eastAsia="Times New Roman" w:hAnsi="Times New Roman" w:cs="Times New Roman"/>
          <w:iCs/>
          <w:kern w:val="0"/>
          <w14:ligatures w14:val="none"/>
        </w:rPr>
        <w:t>SmartPLS</w:t>
      </w:r>
      <w:proofErr w:type="spellEnd"/>
      <w:r w:rsidRPr="00070085">
        <w:rPr>
          <w:rFonts w:ascii="Times New Roman" w:eastAsia="Times New Roman" w:hAnsi="Times New Roman" w:cs="Times New Roman"/>
          <w:iCs/>
          <w:kern w:val="0"/>
          <w14:ligatures w14:val="none"/>
        </w:rPr>
        <w:t xml:space="preserve"> 4.1.1.8 Output of Research Data, 2026</w:t>
      </w:r>
    </w:p>
    <w:p w14:paraId="6D6BA450"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 xml:space="preserve">Discriminant validity was assessed using the </w:t>
      </w:r>
      <w:proofErr w:type="spellStart"/>
      <w:r w:rsidRPr="00070085">
        <w:rPr>
          <w:rFonts w:ascii="Times New Roman" w:eastAsia="SimSun" w:hAnsi="Times New Roman" w:cs="Times New Roman"/>
          <w:kern w:val="0"/>
          <w:szCs w:val="22"/>
          <w14:ligatures w14:val="none"/>
        </w:rPr>
        <w:t>Heterotrait-Monotrait</w:t>
      </w:r>
      <w:proofErr w:type="spellEnd"/>
      <w:r w:rsidRPr="00070085">
        <w:rPr>
          <w:rFonts w:ascii="Times New Roman" w:eastAsia="SimSun" w:hAnsi="Times New Roman" w:cs="Times New Roman"/>
          <w:kern w:val="0"/>
          <w:szCs w:val="22"/>
          <w14:ligatures w14:val="none"/>
        </w:rPr>
        <w:t xml:space="preserve"> Ratio (HTMT), following the stringent criterion of HTMT &lt; 0.85 recommended by Henseler et al. (2015) for conceptually distinct constructs. As presented in Table 4.7, all pairwise HTMT values fell below the 0.85 threshold, confirming that the four constructs - Continuous Improvement (CI), Waste Elimination (WE), Operational Efficiency (OE), and Stakeholder Satisfaction (SS), are empirically distinct from one another.</w:t>
      </w:r>
    </w:p>
    <w:p w14:paraId="558B911D" w14:textId="77777777" w:rsidR="00070085" w:rsidRPr="00070085" w:rsidRDefault="00070085" w:rsidP="00070085">
      <w:pPr>
        <w:spacing w:after="120" w:line="240" w:lineRule="exact"/>
        <w:jc w:val="both"/>
        <w:rPr>
          <w:rFonts w:ascii="Calibri" w:eastAsia="SimSun" w:hAnsi="Calibri" w:cs="Times New Roman"/>
          <w:kern w:val="0"/>
          <w:sz w:val="22"/>
          <w:szCs w:val="22"/>
          <w14:ligatures w14:val="none"/>
        </w:rPr>
      </w:pPr>
      <w:r w:rsidRPr="00070085">
        <w:rPr>
          <w:rFonts w:ascii="Times New Roman" w:eastAsia="SimSun" w:hAnsi="Times New Roman" w:cs="Times New Roman"/>
          <w:kern w:val="0"/>
          <w:szCs w:val="22"/>
          <w14:ligatures w14:val="none"/>
        </w:rPr>
        <w:t xml:space="preserve">The highest HTMT value was observed between CI and OE (0.741), which, while approaching the threshold, remained within acceptable limits and is theoretically consistent with the expected relationship between lean improvement practices and operational outcomes. The CI–SS pair returned an HTMT of 0.561, and WE–OE and WE–SS recorded values of 0.568 and 0.545, respectively. The lowest HTMT value was observed between OE and SS (0.497), indicating that these two </w:t>
      </w:r>
      <w:proofErr w:type="spellStart"/>
      <w:r w:rsidRPr="00070085">
        <w:rPr>
          <w:rFonts w:ascii="Times New Roman" w:eastAsia="SimSun" w:hAnsi="Times New Roman" w:cs="Times New Roman"/>
          <w:kern w:val="0"/>
          <w:szCs w:val="22"/>
          <w14:ligatures w14:val="none"/>
        </w:rPr>
        <w:t>organisational</w:t>
      </w:r>
      <w:proofErr w:type="spellEnd"/>
      <w:r w:rsidRPr="00070085">
        <w:rPr>
          <w:rFonts w:ascii="Times New Roman" w:eastAsia="SimSun" w:hAnsi="Times New Roman" w:cs="Times New Roman"/>
          <w:kern w:val="0"/>
          <w:szCs w:val="22"/>
          <w14:ligatures w14:val="none"/>
        </w:rPr>
        <w:t xml:space="preserve"> effectiveness proxies, although conceptually related, are sufficiently distinct as reflective dimensions of the broader construct. Taken together, these results confirm </w:t>
      </w:r>
      <w:r w:rsidRPr="00070085">
        <w:rPr>
          <w:rFonts w:ascii="Times New Roman" w:eastAsia="SimSun" w:hAnsi="Times New Roman" w:cs="Times New Roman"/>
          <w:kern w:val="0"/>
          <w:szCs w:val="22"/>
          <w14:ligatures w14:val="none"/>
        </w:rPr>
        <w:lastRenderedPageBreak/>
        <w:t>discriminant validity across all construct pairs, supporting the structural integrity of the measurement model (Hair et al., 2021; Henseler et al., 2015)</w:t>
      </w:r>
      <w:r w:rsidRPr="00070085">
        <w:rPr>
          <w:rFonts w:ascii="Calibri" w:eastAsia="SimSun" w:hAnsi="Calibri" w:cs="Times New Roman"/>
          <w:kern w:val="0"/>
          <w:sz w:val="22"/>
          <w:szCs w:val="22"/>
          <w14:ligatures w14:val="none"/>
        </w:rPr>
        <w:t>.</w:t>
      </w:r>
    </w:p>
    <w:p w14:paraId="664AEFB5" w14:textId="77777777" w:rsidR="00070085" w:rsidRPr="00070085" w:rsidRDefault="00070085" w:rsidP="00070085">
      <w:pPr>
        <w:spacing w:after="0" w:line="240" w:lineRule="auto"/>
        <w:contextualSpacing/>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4.1.3</w:t>
      </w:r>
      <w:r w:rsidRPr="00070085">
        <w:rPr>
          <w:rFonts w:ascii="Times New Roman" w:eastAsia="SimSun" w:hAnsi="Times New Roman" w:cs="Times New Roman"/>
          <w:b/>
          <w:kern w:val="0"/>
          <w:szCs w:val="22"/>
          <w14:ligatures w14:val="none"/>
        </w:rPr>
        <w:tab/>
        <w:t>Assessment of Structural Model – Test of Hypotheses</w:t>
      </w:r>
    </w:p>
    <w:p w14:paraId="63DADB5A" w14:textId="77777777" w:rsidR="00070085" w:rsidRPr="00070085" w:rsidRDefault="00070085" w:rsidP="00070085">
      <w:pPr>
        <w:spacing w:after="0" w:line="240" w:lineRule="auto"/>
        <w:contextualSpacing/>
        <w:rPr>
          <w:rFonts w:ascii="Times New Roman" w:eastAsia="SimSun" w:hAnsi="Times New Roman" w:cs="Times New Roman"/>
          <w:b/>
          <w:kern w:val="0"/>
          <w:szCs w:val="22"/>
          <w14:ligatures w14:val="none"/>
        </w:rPr>
      </w:pPr>
      <w:r w:rsidRPr="00070085">
        <w:rPr>
          <w:rFonts w:ascii="Calibri" w:eastAsia="SimSun" w:hAnsi="Calibri" w:cs="Times New Roman"/>
          <w:noProof/>
          <w:kern w:val="0"/>
          <w:sz w:val="22"/>
          <w:szCs w:val="22"/>
          <w14:ligatures w14:val="none"/>
        </w:rPr>
        <w:drawing>
          <wp:inline distT="0" distB="0" distL="0" distR="0" wp14:anchorId="7E1F9D8E" wp14:editId="1DEC4195">
            <wp:extent cx="5943600" cy="3663315"/>
            <wp:effectExtent l="0" t="0" r="0" b="0"/>
            <wp:docPr id="2077454393" name="Picture 20774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8"/>
                    <a:stretch>
                      <a:fillRect/>
                    </a:stretch>
                  </pic:blipFill>
                  <pic:spPr>
                    <a:xfrm>
                      <a:off x="0" y="0"/>
                      <a:ext cx="5943600" cy="3663315"/>
                    </a:xfrm>
                    <a:prstGeom prst="rect">
                      <a:avLst/>
                    </a:prstGeom>
                  </pic:spPr>
                </pic:pic>
              </a:graphicData>
            </a:graphic>
          </wp:inline>
        </w:drawing>
      </w:r>
    </w:p>
    <w:p w14:paraId="5E1DFB69" w14:textId="77777777" w:rsidR="00070085" w:rsidRPr="00070085" w:rsidRDefault="00070085" w:rsidP="00070085">
      <w:pPr>
        <w:spacing w:after="0" w:line="240" w:lineRule="auto"/>
        <w:contextualSpacing/>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Figure 4.2:</w:t>
      </w:r>
      <w:r w:rsidRPr="00070085">
        <w:rPr>
          <w:rFonts w:ascii="Times New Roman" w:eastAsia="SimSun" w:hAnsi="Times New Roman" w:cs="Times New Roman"/>
          <w:b/>
          <w:kern w:val="0"/>
          <w:szCs w:val="22"/>
          <w14:ligatures w14:val="none"/>
        </w:rPr>
        <w:tab/>
        <w:t xml:space="preserve">Structural Model </w:t>
      </w:r>
    </w:p>
    <w:p w14:paraId="3F42E4AE" w14:textId="77777777" w:rsidR="00070085" w:rsidRPr="00070085" w:rsidRDefault="00070085" w:rsidP="00070085">
      <w:pPr>
        <w:spacing w:after="0" w:line="240" w:lineRule="auto"/>
        <w:contextualSpacing/>
        <w:rPr>
          <w:rFonts w:ascii="Times New Roman" w:eastAsia="SimSun" w:hAnsi="Times New Roman" w:cs="Times New Roman"/>
          <w:b/>
          <w:kern w:val="0"/>
          <w:szCs w:val="22"/>
          <w14:ligatures w14:val="none"/>
        </w:rPr>
      </w:pPr>
    </w:p>
    <w:p w14:paraId="044BB285" w14:textId="77777777" w:rsidR="00070085" w:rsidRPr="00070085" w:rsidRDefault="00070085" w:rsidP="00070085">
      <w:pPr>
        <w:spacing w:after="0" w:line="240" w:lineRule="auto"/>
        <w:contextualSpacing/>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Table 4.8: Results of Hypotheses Testing</w:t>
      </w:r>
    </w:p>
    <w:tbl>
      <w:tblPr>
        <w:tblStyle w:val="TableGrid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17"/>
        <w:gridCol w:w="1235"/>
        <w:gridCol w:w="1389"/>
        <w:gridCol w:w="1814"/>
        <w:gridCol w:w="1814"/>
        <w:gridCol w:w="2091"/>
      </w:tblGrid>
      <w:tr w:rsidR="00070085" w:rsidRPr="00070085" w14:paraId="0F795BCC" w14:textId="77777777" w:rsidTr="005C4055">
        <w:tc>
          <w:tcPr>
            <w:tcW w:w="545" w:type="pct"/>
            <w:tcBorders>
              <w:top w:val="single" w:sz="4" w:space="0" w:color="auto"/>
              <w:bottom w:val="single" w:sz="4" w:space="0" w:color="auto"/>
            </w:tcBorders>
          </w:tcPr>
          <w:p w14:paraId="670C3A7B"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Null Hypo.</w:t>
            </w:r>
          </w:p>
        </w:tc>
        <w:tc>
          <w:tcPr>
            <w:tcW w:w="661" w:type="pct"/>
            <w:tcBorders>
              <w:top w:val="single" w:sz="4" w:space="0" w:color="auto"/>
              <w:bottom w:val="single" w:sz="4" w:space="0" w:color="auto"/>
            </w:tcBorders>
          </w:tcPr>
          <w:p w14:paraId="5B2C7A4A"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Path</w:t>
            </w:r>
          </w:p>
        </w:tc>
        <w:tc>
          <w:tcPr>
            <w:tcW w:w="736" w:type="pct"/>
            <w:tcBorders>
              <w:top w:val="single" w:sz="4" w:space="0" w:color="auto"/>
              <w:bottom w:val="single" w:sz="4" w:space="0" w:color="auto"/>
            </w:tcBorders>
          </w:tcPr>
          <w:p w14:paraId="545C6184"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Path Coefficient (β)</w:t>
            </w:r>
          </w:p>
        </w:tc>
        <w:tc>
          <w:tcPr>
            <w:tcW w:w="970" w:type="pct"/>
            <w:tcBorders>
              <w:top w:val="single" w:sz="4" w:space="0" w:color="auto"/>
              <w:bottom w:val="single" w:sz="4" w:space="0" w:color="auto"/>
            </w:tcBorders>
          </w:tcPr>
          <w:p w14:paraId="7715EFB9"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 xml:space="preserve">T Statistics </w:t>
            </w:r>
          </w:p>
          <w:p w14:paraId="1F9A8631"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(t) ≥ 1.96</w:t>
            </w:r>
          </w:p>
        </w:tc>
        <w:tc>
          <w:tcPr>
            <w:tcW w:w="970" w:type="pct"/>
            <w:tcBorders>
              <w:top w:val="single" w:sz="4" w:space="0" w:color="auto"/>
              <w:bottom w:val="single" w:sz="4" w:space="0" w:color="auto"/>
            </w:tcBorders>
          </w:tcPr>
          <w:p w14:paraId="061AD48E"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 xml:space="preserve">P Values </w:t>
            </w:r>
          </w:p>
          <w:p w14:paraId="4E58FB64"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(p) &lt; 0.05</w:t>
            </w:r>
          </w:p>
        </w:tc>
        <w:tc>
          <w:tcPr>
            <w:tcW w:w="1118" w:type="pct"/>
            <w:tcBorders>
              <w:top w:val="single" w:sz="4" w:space="0" w:color="auto"/>
              <w:bottom w:val="single" w:sz="4" w:space="0" w:color="auto"/>
            </w:tcBorders>
          </w:tcPr>
          <w:p w14:paraId="46B100D2" w14:textId="77777777" w:rsidR="00070085" w:rsidRPr="00070085" w:rsidRDefault="00070085" w:rsidP="00070085">
            <w:pPr>
              <w:jc w:val="center"/>
              <w:rPr>
                <w:rFonts w:eastAsia="Times New Roman"/>
                <w:b/>
                <w:bCs/>
                <w:sz w:val="24"/>
                <w:szCs w:val="24"/>
              </w:rPr>
            </w:pPr>
            <w:r w:rsidRPr="00070085">
              <w:rPr>
                <w:rFonts w:eastAsia="Times New Roman"/>
                <w:b/>
                <w:bCs/>
                <w:sz w:val="24"/>
                <w:szCs w:val="24"/>
              </w:rPr>
              <w:t>Decision on Null Hypotheses</w:t>
            </w:r>
          </w:p>
        </w:tc>
      </w:tr>
      <w:tr w:rsidR="00070085" w:rsidRPr="00070085" w14:paraId="3BA23C58" w14:textId="77777777" w:rsidTr="005C4055">
        <w:tc>
          <w:tcPr>
            <w:tcW w:w="545" w:type="pct"/>
            <w:tcBorders>
              <w:top w:val="single" w:sz="4" w:space="0" w:color="auto"/>
            </w:tcBorders>
          </w:tcPr>
          <w:p w14:paraId="3DC35CFA" w14:textId="77777777" w:rsidR="00070085" w:rsidRPr="00070085" w:rsidRDefault="00070085" w:rsidP="00070085">
            <w:pPr>
              <w:rPr>
                <w:rFonts w:eastAsia="Times New Roman"/>
                <w:sz w:val="24"/>
                <w:szCs w:val="24"/>
              </w:rPr>
            </w:pPr>
            <w:r w:rsidRPr="00070085">
              <w:rPr>
                <w:rFonts w:eastAsia="Times New Roman"/>
                <w:sz w:val="24"/>
                <w:szCs w:val="24"/>
              </w:rPr>
              <w:t>H01</w:t>
            </w:r>
          </w:p>
        </w:tc>
        <w:tc>
          <w:tcPr>
            <w:tcW w:w="661" w:type="pct"/>
            <w:tcBorders>
              <w:top w:val="single" w:sz="4" w:space="0" w:color="auto"/>
            </w:tcBorders>
          </w:tcPr>
          <w:p w14:paraId="0AD2C1AF" w14:textId="77777777" w:rsidR="00070085" w:rsidRPr="00070085" w:rsidRDefault="00070085" w:rsidP="00070085">
            <w:pPr>
              <w:jc w:val="center"/>
              <w:rPr>
                <w:rFonts w:eastAsia="Times New Roman"/>
                <w:sz w:val="24"/>
                <w:szCs w:val="24"/>
              </w:rPr>
            </w:pPr>
            <w:r w:rsidRPr="00070085">
              <w:rPr>
                <w:rFonts w:eastAsia="Times New Roman"/>
                <w:sz w:val="24"/>
                <w:szCs w:val="24"/>
              </w:rPr>
              <w:t>CI → SS</w:t>
            </w:r>
          </w:p>
        </w:tc>
        <w:tc>
          <w:tcPr>
            <w:tcW w:w="736" w:type="pct"/>
            <w:tcBorders>
              <w:top w:val="single" w:sz="4" w:space="0" w:color="auto"/>
            </w:tcBorders>
          </w:tcPr>
          <w:p w14:paraId="525D0867" w14:textId="77777777" w:rsidR="00070085" w:rsidRPr="00070085" w:rsidRDefault="00070085" w:rsidP="00070085">
            <w:pPr>
              <w:jc w:val="center"/>
              <w:rPr>
                <w:rFonts w:eastAsia="Times New Roman"/>
                <w:sz w:val="24"/>
                <w:szCs w:val="24"/>
              </w:rPr>
            </w:pPr>
            <w:r w:rsidRPr="00070085">
              <w:rPr>
                <w:rFonts w:eastAsia="Times New Roman"/>
                <w:sz w:val="24"/>
                <w:szCs w:val="24"/>
              </w:rPr>
              <w:t>0.142 (Weak)</w:t>
            </w:r>
          </w:p>
        </w:tc>
        <w:tc>
          <w:tcPr>
            <w:tcW w:w="970" w:type="pct"/>
            <w:tcBorders>
              <w:top w:val="single" w:sz="4" w:space="0" w:color="auto"/>
            </w:tcBorders>
          </w:tcPr>
          <w:p w14:paraId="5618293D" w14:textId="77777777" w:rsidR="00070085" w:rsidRPr="00070085" w:rsidRDefault="00070085" w:rsidP="00070085">
            <w:pPr>
              <w:jc w:val="center"/>
              <w:rPr>
                <w:rFonts w:eastAsia="Times New Roman"/>
                <w:sz w:val="24"/>
                <w:szCs w:val="24"/>
              </w:rPr>
            </w:pPr>
            <w:r w:rsidRPr="00070085">
              <w:rPr>
                <w:rFonts w:eastAsia="Times New Roman"/>
                <w:sz w:val="24"/>
                <w:szCs w:val="24"/>
              </w:rPr>
              <w:t>2.706 (Significant)</w:t>
            </w:r>
          </w:p>
        </w:tc>
        <w:tc>
          <w:tcPr>
            <w:tcW w:w="970" w:type="pct"/>
            <w:tcBorders>
              <w:top w:val="single" w:sz="4" w:space="0" w:color="auto"/>
            </w:tcBorders>
          </w:tcPr>
          <w:p w14:paraId="77F2F07C" w14:textId="77777777" w:rsidR="00070085" w:rsidRPr="00070085" w:rsidRDefault="00070085" w:rsidP="00070085">
            <w:pPr>
              <w:jc w:val="center"/>
              <w:rPr>
                <w:rFonts w:eastAsia="Times New Roman"/>
                <w:sz w:val="24"/>
                <w:szCs w:val="24"/>
              </w:rPr>
            </w:pPr>
            <w:r w:rsidRPr="00070085">
              <w:rPr>
                <w:rFonts w:eastAsia="SimSun"/>
                <w:color w:val="0077BB"/>
                <w:sz w:val="24"/>
                <w:szCs w:val="22"/>
              </w:rPr>
              <w:t>0.007</w:t>
            </w:r>
            <w:r w:rsidRPr="00070085">
              <w:rPr>
                <w:rFonts w:eastAsia="Times New Roman"/>
                <w:sz w:val="24"/>
                <w:szCs w:val="24"/>
              </w:rPr>
              <w:t xml:space="preserve"> </w:t>
            </w:r>
            <w:r w:rsidRPr="00070085">
              <w:rPr>
                <w:rFonts w:eastAsia="Times New Roman"/>
                <w:color w:val="0070C0"/>
                <w:sz w:val="24"/>
                <w:szCs w:val="24"/>
              </w:rPr>
              <w:t>(Significant)</w:t>
            </w:r>
          </w:p>
        </w:tc>
        <w:tc>
          <w:tcPr>
            <w:tcW w:w="1118" w:type="pct"/>
            <w:tcBorders>
              <w:top w:val="single" w:sz="4" w:space="0" w:color="auto"/>
            </w:tcBorders>
          </w:tcPr>
          <w:p w14:paraId="3E00B165" w14:textId="77777777" w:rsidR="00070085" w:rsidRPr="00070085" w:rsidRDefault="00070085" w:rsidP="00070085">
            <w:pPr>
              <w:jc w:val="center"/>
              <w:rPr>
                <w:rFonts w:eastAsia="Times New Roman"/>
                <w:sz w:val="24"/>
                <w:szCs w:val="24"/>
              </w:rPr>
            </w:pPr>
            <w:r w:rsidRPr="00070085">
              <w:rPr>
                <w:rFonts w:eastAsia="Times New Roman"/>
                <w:sz w:val="24"/>
                <w:szCs w:val="24"/>
              </w:rPr>
              <w:t>Not Supported</w:t>
            </w:r>
          </w:p>
        </w:tc>
      </w:tr>
      <w:tr w:rsidR="00070085" w:rsidRPr="00070085" w14:paraId="6CE92B36" w14:textId="77777777" w:rsidTr="005C4055">
        <w:tc>
          <w:tcPr>
            <w:tcW w:w="545" w:type="pct"/>
          </w:tcPr>
          <w:p w14:paraId="59F1CED7" w14:textId="77777777" w:rsidR="00070085" w:rsidRPr="00070085" w:rsidRDefault="00070085" w:rsidP="00070085">
            <w:pPr>
              <w:rPr>
                <w:rFonts w:eastAsia="Times New Roman"/>
                <w:sz w:val="24"/>
                <w:szCs w:val="24"/>
              </w:rPr>
            </w:pPr>
            <w:r w:rsidRPr="00070085">
              <w:rPr>
                <w:rFonts w:eastAsia="Times New Roman"/>
                <w:sz w:val="24"/>
                <w:szCs w:val="24"/>
              </w:rPr>
              <w:t>H02</w:t>
            </w:r>
          </w:p>
        </w:tc>
        <w:tc>
          <w:tcPr>
            <w:tcW w:w="661" w:type="pct"/>
          </w:tcPr>
          <w:p w14:paraId="2C98E3E6" w14:textId="77777777" w:rsidR="00070085" w:rsidRPr="00070085" w:rsidRDefault="00070085" w:rsidP="00070085">
            <w:pPr>
              <w:jc w:val="center"/>
              <w:rPr>
                <w:rFonts w:eastAsia="Times New Roman"/>
                <w:sz w:val="24"/>
                <w:szCs w:val="24"/>
              </w:rPr>
            </w:pPr>
            <w:r w:rsidRPr="00070085">
              <w:rPr>
                <w:rFonts w:eastAsia="Times New Roman"/>
                <w:sz w:val="24"/>
                <w:szCs w:val="24"/>
              </w:rPr>
              <w:t>WE → SS</w:t>
            </w:r>
          </w:p>
        </w:tc>
        <w:tc>
          <w:tcPr>
            <w:tcW w:w="736" w:type="pct"/>
          </w:tcPr>
          <w:p w14:paraId="006BC793" w14:textId="77777777" w:rsidR="00070085" w:rsidRPr="00070085" w:rsidRDefault="00070085" w:rsidP="00070085">
            <w:pPr>
              <w:jc w:val="center"/>
              <w:rPr>
                <w:rFonts w:eastAsia="Times New Roman"/>
                <w:sz w:val="24"/>
                <w:szCs w:val="24"/>
              </w:rPr>
            </w:pPr>
            <w:r w:rsidRPr="00070085">
              <w:rPr>
                <w:rFonts w:eastAsia="Times New Roman"/>
                <w:sz w:val="24"/>
                <w:szCs w:val="24"/>
              </w:rPr>
              <w:t>-0.011 (Negligible)</w:t>
            </w:r>
          </w:p>
        </w:tc>
        <w:tc>
          <w:tcPr>
            <w:tcW w:w="970" w:type="pct"/>
          </w:tcPr>
          <w:p w14:paraId="41D3FDC9" w14:textId="77777777" w:rsidR="00070085" w:rsidRPr="00070085" w:rsidRDefault="00070085" w:rsidP="00070085">
            <w:pPr>
              <w:jc w:val="center"/>
              <w:rPr>
                <w:rFonts w:eastAsia="Times New Roman"/>
                <w:sz w:val="24"/>
                <w:szCs w:val="24"/>
              </w:rPr>
            </w:pPr>
            <w:r w:rsidRPr="00070085">
              <w:rPr>
                <w:rFonts w:eastAsia="Times New Roman"/>
                <w:sz w:val="24"/>
                <w:szCs w:val="24"/>
              </w:rPr>
              <w:t xml:space="preserve">0.163 </w:t>
            </w:r>
          </w:p>
          <w:p w14:paraId="7CBBE860" w14:textId="77777777" w:rsidR="00070085" w:rsidRPr="00070085" w:rsidRDefault="00070085" w:rsidP="00070085">
            <w:pPr>
              <w:jc w:val="center"/>
              <w:rPr>
                <w:rFonts w:eastAsia="Times New Roman"/>
                <w:sz w:val="24"/>
                <w:szCs w:val="24"/>
              </w:rPr>
            </w:pPr>
            <w:r w:rsidRPr="00070085">
              <w:rPr>
                <w:rFonts w:eastAsia="Times New Roman"/>
                <w:sz w:val="24"/>
                <w:szCs w:val="24"/>
              </w:rPr>
              <w:t>(Not Significant)</w:t>
            </w:r>
          </w:p>
        </w:tc>
        <w:tc>
          <w:tcPr>
            <w:tcW w:w="970" w:type="pct"/>
          </w:tcPr>
          <w:p w14:paraId="4FCEA6CE" w14:textId="77777777" w:rsidR="00070085" w:rsidRPr="00070085" w:rsidRDefault="00070085" w:rsidP="00070085">
            <w:pPr>
              <w:jc w:val="center"/>
              <w:rPr>
                <w:rFonts w:eastAsia="Times New Roman"/>
                <w:sz w:val="24"/>
                <w:szCs w:val="24"/>
              </w:rPr>
            </w:pPr>
            <w:r w:rsidRPr="00070085">
              <w:rPr>
                <w:rFonts w:eastAsia="SimSun"/>
                <w:color w:val="B7561E"/>
                <w:sz w:val="24"/>
                <w:szCs w:val="22"/>
              </w:rPr>
              <w:t>0.871</w:t>
            </w:r>
            <w:r w:rsidRPr="00070085">
              <w:rPr>
                <w:rFonts w:eastAsia="Times New Roman"/>
                <w:sz w:val="24"/>
                <w:szCs w:val="24"/>
              </w:rPr>
              <w:t xml:space="preserve"> </w:t>
            </w:r>
          </w:p>
          <w:p w14:paraId="45E21775" w14:textId="77777777" w:rsidR="00070085" w:rsidRPr="00070085" w:rsidRDefault="00070085" w:rsidP="00070085">
            <w:pPr>
              <w:jc w:val="center"/>
              <w:rPr>
                <w:rFonts w:eastAsia="Times New Roman"/>
                <w:sz w:val="24"/>
                <w:szCs w:val="24"/>
              </w:rPr>
            </w:pPr>
            <w:r w:rsidRPr="00070085">
              <w:rPr>
                <w:rFonts w:eastAsia="Times New Roman"/>
                <w:color w:val="C45911"/>
                <w:sz w:val="24"/>
                <w:szCs w:val="24"/>
              </w:rPr>
              <w:t>(Not Significant)</w:t>
            </w:r>
          </w:p>
        </w:tc>
        <w:tc>
          <w:tcPr>
            <w:tcW w:w="1118" w:type="pct"/>
          </w:tcPr>
          <w:p w14:paraId="0DAACF8E" w14:textId="77777777" w:rsidR="00070085" w:rsidRPr="00070085" w:rsidRDefault="00070085" w:rsidP="00070085">
            <w:pPr>
              <w:jc w:val="center"/>
              <w:rPr>
                <w:rFonts w:eastAsia="Times New Roman"/>
                <w:sz w:val="24"/>
                <w:szCs w:val="24"/>
              </w:rPr>
            </w:pPr>
            <w:r w:rsidRPr="00070085">
              <w:rPr>
                <w:rFonts w:eastAsia="Times New Roman"/>
                <w:sz w:val="24"/>
                <w:szCs w:val="24"/>
              </w:rPr>
              <w:t>Supported</w:t>
            </w:r>
          </w:p>
        </w:tc>
      </w:tr>
      <w:tr w:rsidR="00070085" w:rsidRPr="00070085" w14:paraId="31F439A4" w14:textId="77777777" w:rsidTr="005C4055">
        <w:tc>
          <w:tcPr>
            <w:tcW w:w="545" w:type="pct"/>
          </w:tcPr>
          <w:p w14:paraId="482BB266" w14:textId="77777777" w:rsidR="00070085" w:rsidRPr="00070085" w:rsidRDefault="00070085" w:rsidP="00070085">
            <w:pPr>
              <w:rPr>
                <w:rFonts w:eastAsia="Times New Roman"/>
                <w:sz w:val="24"/>
                <w:szCs w:val="24"/>
              </w:rPr>
            </w:pPr>
            <w:r w:rsidRPr="00070085">
              <w:rPr>
                <w:rFonts w:eastAsia="Times New Roman"/>
                <w:sz w:val="24"/>
                <w:szCs w:val="24"/>
              </w:rPr>
              <w:t>H03</w:t>
            </w:r>
          </w:p>
        </w:tc>
        <w:tc>
          <w:tcPr>
            <w:tcW w:w="661" w:type="pct"/>
          </w:tcPr>
          <w:p w14:paraId="4F67CF97" w14:textId="77777777" w:rsidR="00070085" w:rsidRPr="00070085" w:rsidRDefault="00070085" w:rsidP="00070085">
            <w:pPr>
              <w:jc w:val="center"/>
              <w:rPr>
                <w:rFonts w:eastAsia="Times New Roman"/>
                <w:sz w:val="24"/>
                <w:szCs w:val="24"/>
              </w:rPr>
            </w:pPr>
            <w:r w:rsidRPr="00070085">
              <w:rPr>
                <w:rFonts w:eastAsia="Times New Roman"/>
                <w:sz w:val="24"/>
                <w:szCs w:val="24"/>
              </w:rPr>
              <w:t>CI → OE</w:t>
            </w:r>
          </w:p>
        </w:tc>
        <w:tc>
          <w:tcPr>
            <w:tcW w:w="736" w:type="pct"/>
          </w:tcPr>
          <w:p w14:paraId="5C93BA35" w14:textId="77777777" w:rsidR="00070085" w:rsidRPr="00070085" w:rsidRDefault="00070085" w:rsidP="00070085">
            <w:pPr>
              <w:jc w:val="center"/>
              <w:rPr>
                <w:rFonts w:eastAsia="Times New Roman"/>
                <w:sz w:val="24"/>
                <w:szCs w:val="24"/>
              </w:rPr>
            </w:pPr>
            <w:r w:rsidRPr="00070085">
              <w:rPr>
                <w:rFonts w:eastAsia="Times New Roman"/>
                <w:sz w:val="24"/>
                <w:szCs w:val="24"/>
              </w:rPr>
              <w:t>0.564 (Strong)</w:t>
            </w:r>
          </w:p>
        </w:tc>
        <w:tc>
          <w:tcPr>
            <w:tcW w:w="970" w:type="pct"/>
          </w:tcPr>
          <w:p w14:paraId="2A5B61BD" w14:textId="77777777" w:rsidR="00070085" w:rsidRPr="00070085" w:rsidRDefault="00070085" w:rsidP="00070085">
            <w:pPr>
              <w:jc w:val="center"/>
              <w:rPr>
                <w:rFonts w:eastAsia="Times New Roman"/>
                <w:sz w:val="24"/>
                <w:szCs w:val="24"/>
              </w:rPr>
            </w:pPr>
            <w:r w:rsidRPr="00070085">
              <w:rPr>
                <w:rFonts w:eastAsia="Times New Roman"/>
                <w:sz w:val="24"/>
                <w:szCs w:val="24"/>
              </w:rPr>
              <w:t>7.315 (Significant)</w:t>
            </w:r>
          </w:p>
        </w:tc>
        <w:tc>
          <w:tcPr>
            <w:tcW w:w="970" w:type="pct"/>
          </w:tcPr>
          <w:p w14:paraId="0EC16B60" w14:textId="77777777" w:rsidR="00070085" w:rsidRPr="00070085" w:rsidRDefault="00070085" w:rsidP="00070085">
            <w:pPr>
              <w:jc w:val="center"/>
              <w:rPr>
                <w:rFonts w:eastAsia="Times New Roman"/>
                <w:sz w:val="24"/>
                <w:szCs w:val="24"/>
              </w:rPr>
            </w:pPr>
            <w:r w:rsidRPr="00070085">
              <w:rPr>
                <w:rFonts w:eastAsia="SimSun"/>
                <w:color w:val="0077BB"/>
                <w:sz w:val="24"/>
                <w:szCs w:val="22"/>
              </w:rPr>
              <w:t>0.000</w:t>
            </w:r>
            <w:r w:rsidRPr="00070085">
              <w:rPr>
                <w:rFonts w:eastAsia="Times New Roman"/>
                <w:sz w:val="24"/>
                <w:szCs w:val="24"/>
              </w:rPr>
              <w:t xml:space="preserve"> </w:t>
            </w:r>
            <w:r w:rsidRPr="00070085">
              <w:rPr>
                <w:rFonts w:eastAsia="Times New Roman"/>
                <w:color w:val="0070C0"/>
                <w:sz w:val="24"/>
                <w:szCs w:val="24"/>
              </w:rPr>
              <w:t>(Significant)</w:t>
            </w:r>
          </w:p>
        </w:tc>
        <w:tc>
          <w:tcPr>
            <w:tcW w:w="1118" w:type="pct"/>
          </w:tcPr>
          <w:p w14:paraId="2D4101F1" w14:textId="77777777" w:rsidR="00070085" w:rsidRPr="00070085" w:rsidRDefault="00070085" w:rsidP="00070085">
            <w:pPr>
              <w:jc w:val="center"/>
              <w:rPr>
                <w:rFonts w:eastAsia="Times New Roman"/>
                <w:sz w:val="24"/>
                <w:szCs w:val="24"/>
              </w:rPr>
            </w:pPr>
            <w:r w:rsidRPr="00070085">
              <w:rPr>
                <w:rFonts w:eastAsia="Times New Roman"/>
                <w:sz w:val="24"/>
                <w:szCs w:val="24"/>
              </w:rPr>
              <w:t>Not Supported</w:t>
            </w:r>
          </w:p>
        </w:tc>
      </w:tr>
      <w:tr w:rsidR="00070085" w:rsidRPr="00070085" w14:paraId="6548B23D" w14:textId="77777777" w:rsidTr="005C4055">
        <w:tc>
          <w:tcPr>
            <w:tcW w:w="545" w:type="pct"/>
          </w:tcPr>
          <w:p w14:paraId="0154202C" w14:textId="77777777" w:rsidR="00070085" w:rsidRPr="00070085" w:rsidRDefault="00070085" w:rsidP="00070085">
            <w:pPr>
              <w:rPr>
                <w:rFonts w:eastAsia="Times New Roman"/>
                <w:sz w:val="24"/>
                <w:szCs w:val="24"/>
              </w:rPr>
            </w:pPr>
            <w:r w:rsidRPr="00070085">
              <w:rPr>
                <w:rFonts w:eastAsia="Times New Roman"/>
                <w:sz w:val="24"/>
                <w:szCs w:val="24"/>
              </w:rPr>
              <w:t>H04</w:t>
            </w:r>
          </w:p>
        </w:tc>
        <w:tc>
          <w:tcPr>
            <w:tcW w:w="661" w:type="pct"/>
          </w:tcPr>
          <w:p w14:paraId="1362F86D" w14:textId="77777777" w:rsidR="00070085" w:rsidRPr="00070085" w:rsidRDefault="00070085" w:rsidP="00070085">
            <w:pPr>
              <w:jc w:val="center"/>
              <w:rPr>
                <w:rFonts w:eastAsia="Times New Roman"/>
                <w:sz w:val="24"/>
                <w:szCs w:val="24"/>
              </w:rPr>
            </w:pPr>
            <w:r w:rsidRPr="00070085">
              <w:rPr>
                <w:rFonts w:eastAsia="Times New Roman"/>
                <w:sz w:val="24"/>
                <w:szCs w:val="24"/>
              </w:rPr>
              <w:t>WE → OE</w:t>
            </w:r>
          </w:p>
        </w:tc>
        <w:tc>
          <w:tcPr>
            <w:tcW w:w="736" w:type="pct"/>
          </w:tcPr>
          <w:p w14:paraId="56E1292A" w14:textId="77777777" w:rsidR="00070085" w:rsidRPr="00070085" w:rsidRDefault="00070085" w:rsidP="00070085">
            <w:pPr>
              <w:jc w:val="center"/>
              <w:rPr>
                <w:rFonts w:eastAsia="Times New Roman"/>
                <w:sz w:val="24"/>
                <w:szCs w:val="24"/>
              </w:rPr>
            </w:pPr>
            <w:r w:rsidRPr="00070085">
              <w:rPr>
                <w:rFonts w:eastAsia="Times New Roman"/>
                <w:sz w:val="24"/>
                <w:szCs w:val="24"/>
              </w:rPr>
              <w:t>0.206 (Weak)</w:t>
            </w:r>
          </w:p>
        </w:tc>
        <w:tc>
          <w:tcPr>
            <w:tcW w:w="970" w:type="pct"/>
          </w:tcPr>
          <w:p w14:paraId="16F5251C" w14:textId="77777777" w:rsidR="00070085" w:rsidRPr="00070085" w:rsidRDefault="00070085" w:rsidP="00070085">
            <w:pPr>
              <w:jc w:val="center"/>
              <w:rPr>
                <w:rFonts w:eastAsia="Times New Roman"/>
                <w:sz w:val="24"/>
                <w:szCs w:val="24"/>
              </w:rPr>
            </w:pPr>
            <w:r w:rsidRPr="00070085">
              <w:rPr>
                <w:rFonts w:eastAsia="Times New Roman"/>
                <w:sz w:val="24"/>
                <w:szCs w:val="24"/>
              </w:rPr>
              <w:t>2.256 (Significant)</w:t>
            </w:r>
          </w:p>
        </w:tc>
        <w:tc>
          <w:tcPr>
            <w:tcW w:w="970" w:type="pct"/>
          </w:tcPr>
          <w:p w14:paraId="559D7418" w14:textId="77777777" w:rsidR="00070085" w:rsidRPr="00070085" w:rsidRDefault="00070085" w:rsidP="00070085">
            <w:pPr>
              <w:jc w:val="center"/>
              <w:rPr>
                <w:rFonts w:eastAsia="Times New Roman"/>
                <w:sz w:val="24"/>
                <w:szCs w:val="24"/>
              </w:rPr>
            </w:pPr>
            <w:r w:rsidRPr="00070085">
              <w:rPr>
                <w:rFonts w:eastAsia="SimSun"/>
                <w:color w:val="0077BB"/>
                <w:sz w:val="24"/>
                <w:szCs w:val="22"/>
              </w:rPr>
              <w:t>0.024</w:t>
            </w:r>
            <w:r w:rsidRPr="00070085">
              <w:rPr>
                <w:rFonts w:eastAsia="Times New Roman"/>
                <w:sz w:val="24"/>
                <w:szCs w:val="24"/>
              </w:rPr>
              <w:t xml:space="preserve"> </w:t>
            </w:r>
            <w:r w:rsidRPr="00070085">
              <w:rPr>
                <w:rFonts w:eastAsia="Times New Roman"/>
                <w:color w:val="0070C0"/>
                <w:sz w:val="24"/>
                <w:szCs w:val="24"/>
              </w:rPr>
              <w:t>(Significant)</w:t>
            </w:r>
          </w:p>
        </w:tc>
        <w:tc>
          <w:tcPr>
            <w:tcW w:w="1118" w:type="pct"/>
          </w:tcPr>
          <w:p w14:paraId="147B9D28" w14:textId="77777777" w:rsidR="00070085" w:rsidRPr="00070085" w:rsidRDefault="00070085" w:rsidP="00070085">
            <w:pPr>
              <w:jc w:val="center"/>
              <w:rPr>
                <w:rFonts w:eastAsia="Times New Roman"/>
                <w:sz w:val="24"/>
                <w:szCs w:val="24"/>
              </w:rPr>
            </w:pPr>
            <w:r w:rsidRPr="00070085">
              <w:rPr>
                <w:rFonts w:eastAsia="Times New Roman"/>
                <w:sz w:val="24"/>
                <w:szCs w:val="24"/>
              </w:rPr>
              <w:t>Not Supported</w:t>
            </w:r>
          </w:p>
        </w:tc>
      </w:tr>
    </w:tbl>
    <w:p w14:paraId="30EABC88" w14:textId="77777777" w:rsidR="00070085" w:rsidRPr="00070085" w:rsidRDefault="00070085" w:rsidP="00070085">
      <w:pPr>
        <w:spacing w:before="60" w:after="120" w:line="240" w:lineRule="auto"/>
        <w:jc w:val="both"/>
        <w:rPr>
          <w:rFonts w:ascii="Times New Roman" w:eastAsia="SimSun" w:hAnsi="Times New Roman" w:cs="Times New Roman"/>
          <w:kern w:val="0"/>
          <w14:ligatures w14:val="none"/>
        </w:rPr>
      </w:pPr>
      <w:r w:rsidRPr="00070085">
        <w:rPr>
          <w:rFonts w:ascii="Times New Roman" w:eastAsia="Times New Roman" w:hAnsi="Times New Roman" w:cs="Times New Roman"/>
          <w:b/>
          <w:iCs/>
          <w:kern w:val="0"/>
          <w14:ligatures w14:val="none"/>
        </w:rPr>
        <w:t>Source:</w:t>
      </w:r>
      <w:r w:rsidRPr="00070085">
        <w:rPr>
          <w:rFonts w:ascii="Times New Roman" w:eastAsia="Times New Roman" w:hAnsi="Times New Roman" w:cs="Times New Roman"/>
          <w:iCs/>
          <w:kern w:val="0"/>
          <w14:ligatures w14:val="none"/>
        </w:rPr>
        <w:t xml:space="preserve"> </w:t>
      </w:r>
      <w:proofErr w:type="spellStart"/>
      <w:r w:rsidRPr="00070085">
        <w:rPr>
          <w:rFonts w:ascii="Times New Roman" w:eastAsia="Times New Roman" w:hAnsi="Times New Roman" w:cs="Times New Roman"/>
          <w:iCs/>
          <w:kern w:val="0"/>
          <w14:ligatures w14:val="none"/>
        </w:rPr>
        <w:t>SmartPLS</w:t>
      </w:r>
      <w:proofErr w:type="spellEnd"/>
      <w:r w:rsidRPr="00070085">
        <w:rPr>
          <w:rFonts w:ascii="Times New Roman" w:eastAsia="Times New Roman" w:hAnsi="Times New Roman" w:cs="Times New Roman"/>
          <w:iCs/>
          <w:kern w:val="0"/>
          <w14:ligatures w14:val="none"/>
        </w:rPr>
        <w:t xml:space="preserve"> 4.1.1.8 Output of Research Data, 2026</w:t>
      </w:r>
    </w:p>
    <w:p w14:paraId="384F763D"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Times New Roman" w:hAnsi="Times New Roman" w:cs="Times New Roman"/>
          <w:b/>
          <w:bCs/>
          <w:kern w:val="0"/>
          <w14:ligatures w14:val="none"/>
        </w:rPr>
        <w:t>Results of Test of Hypotheses H</w:t>
      </w:r>
      <w:r w:rsidRPr="00070085">
        <w:rPr>
          <w:rFonts w:ascii="Times New Roman" w:eastAsia="Times New Roman" w:hAnsi="Times New Roman" w:cs="Times New Roman"/>
          <w:b/>
          <w:bCs/>
          <w:kern w:val="0"/>
          <w:vertAlign w:val="subscript"/>
          <w14:ligatures w14:val="none"/>
        </w:rPr>
        <w:t>01</w:t>
      </w:r>
      <w:r w:rsidRPr="00070085">
        <w:rPr>
          <w:rFonts w:ascii="Times New Roman" w:eastAsia="Times New Roman" w:hAnsi="Times New Roman" w:cs="Times New Roman"/>
          <w:b/>
          <w:bCs/>
          <w:kern w:val="0"/>
          <w14:ligatures w14:val="none"/>
        </w:rPr>
        <w:t xml:space="preserve"> and H</w:t>
      </w:r>
      <w:r w:rsidRPr="00070085">
        <w:rPr>
          <w:rFonts w:ascii="Times New Roman" w:eastAsia="Times New Roman" w:hAnsi="Times New Roman" w:cs="Times New Roman"/>
          <w:b/>
          <w:bCs/>
          <w:kern w:val="0"/>
          <w:vertAlign w:val="subscript"/>
          <w14:ligatures w14:val="none"/>
        </w:rPr>
        <w:t>02</w:t>
      </w:r>
    </w:p>
    <w:p w14:paraId="5B77CAEA"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SimSun" w:hAnsi="Times New Roman" w:cs="Times New Roman"/>
          <w:b/>
          <w:kern w:val="0"/>
          <w14:ligatures w14:val="none"/>
        </w:rPr>
        <w:t>H</w:t>
      </w:r>
      <w:r w:rsidRPr="00070085">
        <w:rPr>
          <w:rFonts w:ascii="Times New Roman" w:eastAsia="SimSun" w:hAnsi="Times New Roman" w:cs="Times New Roman"/>
          <w:b/>
          <w:kern w:val="0"/>
          <w:vertAlign w:val="subscript"/>
          <w14:ligatures w14:val="none"/>
        </w:rPr>
        <w:t>01</w:t>
      </w:r>
      <w:r w:rsidRPr="00070085">
        <w:rPr>
          <w:rFonts w:ascii="Times New Roman" w:eastAsia="SimSun" w:hAnsi="Times New Roman" w:cs="Times New Roman"/>
          <w:b/>
          <w:kern w:val="0"/>
          <w14:ligatures w14:val="none"/>
        </w:rPr>
        <w:t>:</w:t>
      </w:r>
      <w:r w:rsidRPr="00070085">
        <w:rPr>
          <w:rFonts w:ascii="Times New Roman" w:eastAsia="SimSun" w:hAnsi="Times New Roman" w:cs="Times New Roman"/>
          <w:kern w:val="0"/>
          <w14:ligatures w14:val="none"/>
        </w:rPr>
        <w:t xml:space="preserve"> There is no significant relationship between continuous improvement and stakeholder satisfaction of midstream oil and gas companies in Rivers State.</w:t>
      </w:r>
    </w:p>
    <w:p w14:paraId="1DB05B29"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SimSun" w:hAnsi="Times New Roman" w:cs="Times New Roman"/>
          <w:b/>
          <w:kern w:val="0"/>
          <w14:ligatures w14:val="none"/>
        </w:rPr>
        <w:t>H</w:t>
      </w:r>
      <w:r w:rsidRPr="00070085">
        <w:rPr>
          <w:rFonts w:ascii="Times New Roman" w:eastAsia="SimSun" w:hAnsi="Times New Roman" w:cs="Times New Roman"/>
          <w:b/>
          <w:kern w:val="0"/>
          <w:vertAlign w:val="subscript"/>
          <w14:ligatures w14:val="none"/>
        </w:rPr>
        <w:t>02</w:t>
      </w:r>
      <w:r w:rsidRPr="00070085">
        <w:rPr>
          <w:rFonts w:ascii="Times New Roman" w:eastAsia="SimSun" w:hAnsi="Times New Roman" w:cs="Times New Roman"/>
          <w:b/>
          <w:kern w:val="0"/>
          <w14:ligatures w14:val="none"/>
        </w:rPr>
        <w:t>:</w:t>
      </w:r>
      <w:r w:rsidRPr="00070085">
        <w:rPr>
          <w:rFonts w:ascii="Times New Roman" w:eastAsia="SimSun" w:hAnsi="Times New Roman" w:cs="Times New Roman"/>
          <w:kern w:val="0"/>
          <w14:ligatures w14:val="none"/>
        </w:rPr>
        <w:t xml:space="preserve"> There is no significant relationship between waste elimination and stakeholder satisfaction of midstream oil and gas companies in Rivers State.</w:t>
      </w:r>
    </w:p>
    <w:p w14:paraId="11A5F9CE"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SimSun" w:hAnsi="Times New Roman" w:cs="Times New Roman"/>
          <w:kern w:val="0"/>
          <w14:ligatures w14:val="none"/>
        </w:rPr>
        <w:lastRenderedPageBreak/>
        <w:t>With respect to Stakeholder Satisfaction (SS), CI demonstrated a statistically significant, positive effect (β = 0.142, t = 2.706, p = .007). The t-statistic exceeds the 1.96 threshold and the p-value falls below the 0.05 significance level, confirming that continuous improvement practices contribute positively, albeit modestly, to enhancing stakeholder satisfaction in the study context. This implies that while CI is more directly associated with operational outcomes, it also indirectly signals quality orientation to stakeholders, regulators, and host communities. H</w:t>
      </w:r>
      <w:r w:rsidRPr="00070085">
        <w:rPr>
          <w:rFonts w:ascii="Times New Roman" w:eastAsia="SimSun" w:hAnsi="Times New Roman" w:cs="Times New Roman"/>
          <w:kern w:val="0"/>
          <w:vertAlign w:val="subscript"/>
          <w14:ligatures w14:val="none"/>
        </w:rPr>
        <w:t>01</w:t>
      </w:r>
      <w:r w:rsidRPr="00070085">
        <w:rPr>
          <w:rFonts w:ascii="Times New Roman" w:eastAsia="SimSun" w:hAnsi="Times New Roman" w:cs="Times New Roman"/>
          <w:kern w:val="0"/>
          <w14:ligatures w14:val="none"/>
        </w:rPr>
        <w:t xml:space="preserve"> is therefore rejected, and the conclusion is that Continuous Improvement has a significant relationship with Stakeholder Satisfaction.</w:t>
      </w:r>
    </w:p>
    <w:p w14:paraId="276D195F"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Times New Roman" w:hAnsi="Times New Roman" w:cs="Times New Roman"/>
          <w:kern w:val="0"/>
          <w14:ligatures w14:val="none"/>
        </w:rPr>
        <w:t xml:space="preserve">In contrast, the path from Waste Elimination to Stakeholder Satisfaction (β = -0.011, </w:t>
      </w:r>
      <w:r w:rsidRPr="00070085">
        <w:rPr>
          <w:rFonts w:ascii="Times New Roman" w:eastAsia="Times New Roman" w:hAnsi="Times New Roman" w:cs="Times New Roman"/>
          <w:i/>
          <w:iCs/>
          <w:kern w:val="0"/>
          <w14:ligatures w14:val="none"/>
        </w:rPr>
        <w:t>t</w:t>
      </w:r>
      <w:r w:rsidRPr="00070085">
        <w:rPr>
          <w:rFonts w:ascii="Times New Roman" w:eastAsia="Times New Roman" w:hAnsi="Times New Roman" w:cs="Times New Roman"/>
          <w:kern w:val="0"/>
          <w14:ligatures w14:val="none"/>
        </w:rPr>
        <w:t xml:space="preserve"> = 0.163, </w:t>
      </w:r>
      <w:r w:rsidRPr="00070085">
        <w:rPr>
          <w:rFonts w:ascii="Times New Roman" w:eastAsia="Times New Roman" w:hAnsi="Times New Roman" w:cs="Times New Roman"/>
          <w:i/>
          <w:iCs/>
          <w:kern w:val="0"/>
          <w14:ligatures w14:val="none"/>
        </w:rPr>
        <w:t>p</w:t>
      </w:r>
      <w:r w:rsidRPr="00070085">
        <w:rPr>
          <w:rFonts w:ascii="Times New Roman" w:eastAsia="Times New Roman" w:hAnsi="Times New Roman" w:cs="Times New Roman"/>
          <w:kern w:val="0"/>
          <w14:ligatures w14:val="none"/>
        </w:rPr>
        <w:t xml:space="preserve"> = .871) is both negligible in magnitude and statistically non-significant. The near-zero beta coefficient, combined with a </w:t>
      </w:r>
      <w:r w:rsidRPr="00070085">
        <w:rPr>
          <w:rFonts w:ascii="Times New Roman" w:eastAsia="Times New Roman" w:hAnsi="Times New Roman" w:cs="Times New Roman"/>
          <w:i/>
          <w:iCs/>
          <w:kern w:val="0"/>
          <w14:ligatures w14:val="none"/>
        </w:rPr>
        <w:t>t</w:t>
      </w:r>
      <w:r w:rsidRPr="00070085">
        <w:rPr>
          <w:rFonts w:ascii="Times New Roman" w:eastAsia="Times New Roman" w:hAnsi="Times New Roman" w:cs="Times New Roman"/>
          <w:kern w:val="0"/>
          <w14:ligatures w14:val="none"/>
        </w:rPr>
        <w:t xml:space="preserve">-statistic far below the 1.96 threshold and a </w:t>
      </w:r>
      <w:r w:rsidRPr="00070085">
        <w:rPr>
          <w:rFonts w:ascii="Times New Roman" w:eastAsia="Times New Roman" w:hAnsi="Times New Roman" w:cs="Times New Roman"/>
          <w:i/>
          <w:iCs/>
          <w:kern w:val="0"/>
          <w14:ligatures w14:val="none"/>
        </w:rPr>
        <w:t>p</w:t>
      </w:r>
      <w:r w:rsidRPr="00070085">
        <w:rPr>
          <w:rFonts w:ascii="Times New Roman" w:eastAsia="Times New Roman" w:hAnsi="Times New Roman" w:cs="Times New Roman"/>
          <w:kern w:val="0"/>
          <w14:ligatures w14:val="none"/>
        </w:rPr>
        <w:t>-value of 0.871, provides no empirical support for a meaningful relationship between waste elimination practices and stakeholder satisfaction in the midstream oil and gas context. This suggests that while waste reduction improves internal operational parameters, it does not directly translate to perceived satisfaction among external stakeholders, including clients, investors, host communities, and regulators. H</w:t>
      </w:r>
      <w:r w:rsidRPr="00070085">
        <w:rPr>
          <w:rFonts w:ascii="Times New Roman" w:eastAsia="Times New Roman" w:hAnsi="Times New Roman" w:cs="Times New Roman"/>
          <w:kern w:val="0"/>
          <w:vertAlign w:val="subscript"/>
          <w14:ligatures w14:val="none"/>
        </w:rPr>
        <w:t>02</w:t>
      </w:r>
      <w:r w:rsidRPr="00070085">
        <w:rPr>
          <w:rFonts w:ascii="Times New Roman" w:eastAsia="Times New Roman" w:hAnsi="Times New Roman" w:cs="Times New Roman"/>
          <w:kern w:val="0"/>
          <w14:ligatures w14:val="none"/>
        </w:rPr>
        <w:t xml:space="preserve"> is therefore not rejected; waste elimination does not have a significant relationship with stakeholder satisfaction.</w:t>
      </w:r>
    </w:p>
    <w:p w14:paraId="1F731A92"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Times New Roman" w:hAnsi="Times New Roman" w:cs="Times New Roman"/>
          <w:b/>
          <w:bCs/>
          <w:kern w:val="0"/>
          <w14:ligatures w14:val="none"/>
        </w:rPr>
        <w:t>Results of Test of Hypotheses H</w:t>
      </w:r>
      <w:r w:rsidRPr="00070085">
        <w:rPr>
          <w:rFonts w:ascii="Times New Roman" w:eastAsia="Times New Roman" w:hAnsi="Times New Roman" w:cs="Times New Roman"/>
          <w:b/>
          <w:bCs/>
          <w:kern w:val="0"/>
          <w:vertAlign w:val="subscript"/>
          <w14:ligatures w14:val="none"/>
        </w:rPr>
        <w:t>03</w:t>
      </w:r>
      <w:r w:rsidRPr="00070085">
        <w:rPr>
          <w:rFonts w:ascii="Times New Roman" w:eastAsia="Times New Roman" w:hAnsi="Times New Roman" w:cs="Times New Roman"/>
          <w:b/>
          <w:bCs/>
          <w:kern w:val="0"/>
          <w14:ligatures w14:val="none"/>
        </w:rPr>
        <w:t xml:space="preserve"> and H</w:t>
      </w:r>
      <w:r w:rsidRPr="00070085">
        <w:rPr>
          <w:rFonts w:ascii="Times New Roman" w:eastAsia="Times New Roman" w:hAnsi="Times New Roman" w:cs="Times New Roman"/>
          <w:b/>
          <w:bCs/>
          <w:kern w:val="0"/>
          <w:vertAlign w:val="subscript"/>
          <w14:ligatures w14:val="none"/>
        </w:rPr>
        <w:t>04</w:t>
      </w:r>
    </w:p>
    <w:p w14:paraId="1DCF0A57"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Times New Roman" w:hAnsi="Times New Roman" w:cs="Times New Roman"/>
          <w:b/>
          <w:kern w:val="0"/>
          <w14:ligatures w14:val="none"/>
        </w:rPr>
        <w:t>H</w:t>
      </w:r>
      <w:r w:rsidRPr="00070085">
        <w:rPr>
          <w:rFonts w:ascii="Times New Roman" w:eastAsia="Times New Roman" w:hAnsi="Times New Roman" w:cs="Times New Roman"/>
          <w:b/>
          <w:kern w:val="0"/>
          <w:vertAlign w:val="subscript"/>
          <w14:ligatures w14:val="none"/>
        </w:rPr>
        <w:t>03</w:t>
      </w:r>
      <w:r w:rsidRPr="00070085">
        <w:rPr>
          <w:rFonts w:ascii="Times New Roman" w:eastAsia="Times New Roman" w:hAnsi="Times New Roman" w:cs="Times New Roman"/>
          <w:b/>
          <w:kern w:val="0"/>
          <w14:ligatures w14:val="none"/>
        </w:rPr>
        <w:t>:</w:t>
      </w:r>
      <w:r w:rsidRPr="00070085">
        <w:rPr>
          <w:rFonts w:ascii="Times New Roman" w:eastAsia="Times New Roman" w:hAnsi="Times New Roman" w:cs="Times New Roman"/>
          <w:kern w:val="0"/>
          <w14:ligatures w14:val="none"/>
        </w:rPr>
        <w:t xml:space="preserve"> There is no significant relationship between continuous improvement and operational efficiency of midstream oil and gas companies in Rivers State.</w:t>
      </w:r>
    </w:p>
    <w:p w14:paraId="2ACC6108"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Times New Roman" w:hAnsi="Times New Roman" w:cs="Times New Roman"/>
          <w:b/>
          <w:kern w:val="0"/>
          <w14:ligatures w14:val="none"/>
        </w:rPr>
        <w:t>H</w:t>
      </w:r>
      <w:r w:rsidRPr="00070085">
        <w:rPr>
          <w:rFonts w:ascii="Times New Roman" w:eastAsia="Times New Roman" w:hAnsi="Times New Roman" w:cs="Times New Roman"/>
          <w:b/>
          <w:kern w:val="0"/>
          <w:vertAlign w:val="subscript"/>
          <w14:ligatures w14:val="none"/>
        </w:rPr>
        <w:t>04</w:t>
      </w:r>
      <w:r w:rsidRPr="00070085">
        <w:rPr>
          <w:rFonts w:ascii="Times New Roman" w:eastAsia="Times New Roman" w:hAnsi="Times New Roman" w:cs="Times New Roman"/>
          <w:b/>
          <w:kern w:val="0"/>
          <w14:ligatures w14:val="none"/>
        </w:rPr>
        <w:t>:</w:t>
      </w:r>
      <w:r w:rsidRPr="00070085">
        <w:rPr>
          <w:rFonts w:ascii="Times New Roman" w:eastAsia="Times New Roman" w:hAnsi="Times New Roman" w:cs="Times New Roman"/>
          <w:kern w:val="0"/>
          <w14:ligatures w14:val="none"/>
        </w:rPr>
        <w:t xml:space="preserve"> There is no significant relationship between waste elimination and operational efficiency of midstream oil and gas companies in Rivers State.</w:t>
      </w:r>
    </w:p>
    <w:p w14:paraId="7DB336EF" w14:textId="77777777" w:rsidR="00070085" w:rsidRPr="00070085" w:rsidRDefault="00070085" w:rsidP="00070085">
      <w:pPr>
        <w:spacing w:after="120" w:line="240" w:lineRule="exact"/>
        <w:jc w:val="both"/>
        <w:rPr>
          <w:rFonts w:ascii="Times New Roman" w:eastAsia="SimSun" w:hAnsi="Times New Roman" w:cs="Times New Roman"/>
          <w:kern w:val="0"/>
          <w14:ligatures w14:val="none"/>
        </w:rPr>
      </w:pPr>
      <w:r w:rsidRPr="00070085">
        <w:rPr>
          <w:rFonts w:ascii="Times New Roman" w:eastAsia="SimSun" w:hAnsi="Times New Roman" w:cs="Times New Roman"/>
          <w:kern w:val="0"/>
          <w14:ligatures w14:val="none"/>
        </w:rPr>
        <w:t>The results in Table 4.8 reveal that Continuous Improvement (CI) exerts a statistically significant positive effect on Operational Efficiency (OE; β = 0.564, t = 7.315, p &lt; .001). The path coefficient of 0.564 indicates a moderate-to-strong direct relationship, suggesting that as midstream oil and gas firms intensify their continuous improvement efforts, operational efficiency improves substantially. The t-statistic of 7.315 substantially exceeds the critical threshold of 1.96 at the 5% significance level, and the associated p-value of &lt; .001 confirms the statistical robustness of this finding. Accordingly, H</w:t>
      </w:r>
      <w:r w:rsidRPr="00070085">
        <w:rPr>
          <w:rFonts w:ascii="Times New Roman" w:eastAsia="SimSun" w:hAnsi="Times New Roman" w:cs="Times New Roman"/>
          <w:kern w:val="0"/>
          <w:vertAlign w:val="subscript"/>
          <w14:ligatures w14:val="none"/>
        </w:rPr>
        <w:t>03</w:t>
      </w:r>
      <w:r w:rsidRPr="00070085">
        <w:rPr>
          <w:rFonts w:ascii="Times New Roman" w:eastAsia="SimSun" w:hAnsi="Times New Roman" w:cs="Times New Roman"/>
          <w:kern w:val="0"/>
          <w14:ligatures w14:val="none"/>
        </w:rPr>
        <w:t xml:space="preserve"> is rejected, and it is concluded that there is a significant relationship between continuous improvement and operational efficiency.</w:t>
      </w:r>
    </w:p>
    <w:p w14:paraId="5F4F7685"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Times New Roman" w:hAnsi="Times New Roman" w:cs="Times New Roman"/>
          <w:kern w:val="0"/>
          <w14:ligatures w14:val="none"/>
        </w:rPr>
        <w:t xml:space="preserve">Regarding Waste Elimination (WE), the results indicate a statistically significant positive relationship with Operational Efficiency (β = 0.206, </w:t>
      </w:r>
      <w:r w:rsidRPr="00070085">
        <w:rPr>
          <w:rFonts w:ascii="Times New Roman" w:eastAsia="Times New Roman" w:hAnsi="Times New Roman" w:cs="Times New Roman"/>
          <w:i/>
          <w:iCs/>
          <w:kern w:val="0"/>
          <w14:ligatures w14:val="none"/>
        </w:rPr>
        <w:t>t</w:t>
      </w:r>
      <w:r w:rsidRPr="00070085">
        <w:rPr>
          <w:rFonts w:ascii="Times New Roman" w:eastAsia="Times New Roman" w:hAnsi="Times New Roman" w:cs="Times New Roman"/>
          <w:kern w:val="0"/>
          <w14:ligatures w14:val="none"/>
        </w:rPr>
        <w:t xml:space="preserve"> = 2.256, </w:t>
      </w:r>
      <w:r w:rsidRPr="00070085">
        <w:rPr>
          <w:rFonts w:ascii="Times New Roman" w:eastAsia="Times New Roman" w:hAnsi="Times New Roman" w:cs="Times New Roman"/>
          <w:i/>
          <w:iCs/>
          <w:kern w:val="0"/>
          <w14:ligatures w14:val="none"/>
        </w:rPr>
        <w:t>p</w:t>
      </w:r>
      <w:r w:rsidRPr="00070085">
        <w:rPr>
          <w:rFonts w:ascii="Times New Roman" w:eastAsia="Times New Roman" w:hAnsi="Times New Roman" w:cs="Times New Roman"/>
          <w:kern w:val="0"/>
          <w14:ligatures w14:val="none"/>
        </w:rPr>
        <w:t xml:space="preserve"> = .024). Although the path coefficient is lower than that of CI → OE, it nonetheless exceeds the 1.96 critical value and achieves significance at the 5% level, confirming that lean waste reduction strategies contribute meaningfully to operational efficiency improvements. H</w:t>
      </w:r>
      <w:r w:rsidRPr="00070085">
        <w:rPr>
          <w:rFonts w:ascii="Times New Roman" w:eastAsia="Times New Roman" w:hAnsi="Times New Roman" w:cs="Times New Roman"/>
          <w:kern w:val="0"/>
          <w:vertAlign w:val="subscript"/>
          <w14:ligatures w14:val="none"/>
        </w:rPr>
        <w:t>04</w:t>
      </w:r>
      <w:r w:rsidRPr="00070085">
        <w:rPr>
          <w:rFonts w:ascii="Times New Roman" w:eastAsia="Times New Roman" w:hAnsi="Times New Roman" w:cs="Times New Roman"/>
          <w:kern w:val="0"/>
          <w14:ligatures w14:val="none"/>
        </w:rPr>
        <w:t xml:space="preserve"> is therefore rejected; there is a significant relationship between Waste Elimination and Operational Efficiency.</w:t>
      </w:r>
    </w:p>
    <w:p w14:paraId="0682A45C" w14:textId="77777777" w:rsidR="00070085" w:rsidRPr="00070085" w:rsidRDefault="00070085" w:rsidP="00070085">
      <w:pPr>
        <w:spacing w:after="0" w:line="240" w:lineRule="auto"/>
        <w:contextualSpacing/>
        <w:jc w:val="both"/>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4.1.5.2.1 Assessment of Variance Explained (Predictive Accuracy) in the Endogenous Latent Variables</w:t>
      </w:r>
    </w:p>
    <w:p w14:paraId="5CE8214E" w14:textId="77777777" w:rsidR="00070085" w:rsidRPr="00070085" w:rsidRDefault="00070085" w:rsidP="00070085">
      <w:pPr>
        <w:spacing w:after="0" w:line="240" w:lineRule="auto"/>
        <w:contextualSpacing/>
        <w:jc w:val="both"/>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Table 4.9: Results of Predictive Accuracy (R² and Adjusted R²)</w:t>
      </w:r>
    </w:p>
    <w:tbl>
      <w:tblPr>
        <w:tblStyle w:val="TableGrid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559"/>
        <w:gridCol w:w="1668"/>
        <w:gridCol w:w="2059"/>
        <w:gridCol w:w="3074"/>
      </w:tblGrid>
      <w:tr w:rsidR="00070085" w:rsidRPr="00070085" w14:paraId="1E6BBE99" w14:textId="77777777" w:rsidTr="005C4055">
        <w:tc>
          <w:tcPr>
            <w:tcW w:w="1367" w:type="pct"/>
            <w:tcBorders>
              <w:top w:val="single" w:sz="4" w:space="0" w:color="auto"/>
              <w:bottom w:val="single" w:sz="4" w:space="0" w:color="auto"/>
            </w:tcBorders>
          </w:tcPr>
          <w:p w14:paraId="50529CE7" w14:textId="77777777" w:rsidR="00070085" w:rsidRPr="00070085" w:rsidRDefault="00070085" w:rsidP="00070085">
            <w:pPr>
              <w:contextualSpacing/>
              <w:rPr>
                <w:rFonts w:eastAsia="SimSun"/>
                <w:b/>
                <w:sz w:val="24"/>
                <w:szCs w:val="24"/>
              </w:rPr>
            </w:pPr>
            <w:r w:rsidRPr="00070085">
              <w:rPr>
                <w:rFonts w:eastAsia="SimSun"/>
                <w:b/>
                <w:sz w:val="24"/>
                <w:szCs w:val="24"/>
              </w:rPr>
              <w:t>Exogenous Variables</w:t>
            </w:r>
          </w:p>
        </w:tc>
        <w:tc>
          <w:tcPr>
            <w:tcW w:w="891" w:type="pct"/>
            <w:tcBorders>
              <w:top w:val="single" w:sz="4" w:space="0" w:color="auto"/>
              <w:bottom w:val="single" w:sz="4" w:space="0" w:color="auto"/>
            </w:tcBorders>
          </w:tcPr>
          <w:p w14:paraId="0C5A3585" w14:textId="77777777" w:rsidR="00070085" w:rsidRPr="00070085" w:rsidRDefault="00070085" w:rsidP="00070085">
            <w:pPr>
              <w:contextualSpacing/>
              <w:jc w:val="center"/>
              <w:rPr>
                <w:rFonts w:eastAsia="SimSun"/>
                <w:b/>
                <w:sz w:val="24"/>
                <w:szCs w:val="24"/>
              </w:rPr>
            </w:pPr>
            <w:r w:rsidRPr="00070085">
              <w:rPr>
                <w:rFonts w:eastAsia="SimSun"/>
                <w:b/>
                <w:sz w:val="24"/>
                <w:szCs w:val="24"/>
              </w:rPr>
              <w:t>Endogenous Variables</w:t>
            </w:r>
          </w:p>
        </w:tc>
        <w:tc>
          <w:tcPr>
            <w:tcW w:w="1100" w:type="pct"/>
            <w:tcBorders>
              <w:top w:val="single" w:sz="4" w:space="0" w:color="auto"/>
              <w:bottom w:val="single" w:sz="4" w:space="0" w:color="auto"/>
            </w:tcBorders>
          </w:tcPr>
          <w:p w14:paraId="7BC3DC7F" w14:textId="77777777" w:rsidR="00070085" w:rsidRPr="00070085" w:rsidRDefault="00070085" w:rsidP="00070085">
            <w:pPr>
              <w:contextualSpacing/>
              <w:jc w:val="center"/>
              <w:rPr>
                <w:rFonts w:eastAsia="SimSun"/>
                <w:b/>
                <w:sz w:val="24"/>
                <w:szCs w:val="24"/>
              </w:rPr>
            </w:pPr>
            <w:r w:rsidRPr="00070085">
              <w:rPr>
                <w:rFonts w:eastAsia="SimSun"/>
                <w:b/>
                <w:sz w:val="24"/>
                <w:szCs w:val="24"/>
              </w:rPr>
              <w:t>Predictive Accuracy (</w:t>
            </w:r>
            <m:oMath>
              <m:sSup>
                <m:sSupPr>
                  <m:ctrlPr>
                    <w:rPr>
                      <w:rFonts w:ascii="Cambria Math" w:eastAsia="SimSun" w:hAnsi="Cambria Math"/>
                      <w:b/>
                      <w:i/>
                      <w:sz w:val="24"/>
                      <w:szCs w:val="24"/>
                    </w:rPr>
                  </m:ctrlPr>
                </m:sSupPr>
                <m:e>
                  <m:r>
                    <m:rPr>
                      <m:sty m:val="bi"/>
                    </m:rPr>
                    <w:rPr>
                      <w:rFonts w:ascii="Cambria Math" w:eastAsia="SimSun" w:hAnsi="Cambria Math"/>
                      <w:sz w:val="24"/>
                      <w:szCs w:val="24"/>
                    </w:rPr>
                    <m:t>R</m:t>
                  </m:r>
                </m:e>
                <m:sup>
                  <m:r>
                    <m:rPr>
                      <m:sty m:val="bi"/>
                    </m:rPr>
                    <w:rPr>
                      <w:rFonts w:ascii="Cambria Math" w:eastAsia="SimSun" w:hAnsi="Cambria Math"/>
                      <w:sz w:val="24"/>
                      <w:szCs w:val="24"/>
                    </w:rPr>
                    <m:t>2</m:t>
                  </m:r>
                </m:sup>
              </m:sSup>
            </m:oMath>
            <w:r w:rsidRPr="00070085">
              <w:rPr>
                <w:rFonts w:eastAsia="SimSun"/>
                <w:b/>
                <w:sz w:val="24"/>
                <w:szCs w:val="24"/>
              </w:rPr>
              <w:t>)</w:t>
            </w:r>
          </w:p>
        </w:tc>
        <w:tc>
          <w:tcPr>
            <w:tcW w:w="1642" w:type="pct"/>
            <w:tcBorders>
              <w:top w:val="single" w:sz="4" w:space="0" w:color="auto"/>
              <w:bottom w:val="single" w:sz="4" w:space="0" w:color="auto"/>
            </w:tcBorders>
          </w:tcPr>
          <w:p w14:paraId="23EEE249" w14:textId="77777777" w:rsidR="00070085" w:rsidRPr="00070085" w:rsidRDefault="00070085" w:rsidP="00070085">
            <w:pPr>
              <w:contextualSpacing/>
              <w:jc w:val="center"/>
              <w:rPr>
                <w:rFonts w:eastAsia="SimSun"/>
                <w:b/>
                <w:sz w:val="24"/>
                <w:szCs w:val="24"/>
              </w:rPr>
            </w:pPr>
            <w:r w:rsidRPr="00070085">
              <w:rPr>
                <w:rFonts w:eastAsia="SimSun"/>
                <w:b/>
                <w:sz w:val="24"/>
                <w:szCs w:val="24"/>
              </w:rPr>
              <w:t xml:space="preserve">Adjusted </w:t>
            </w:r>
            <m:oMath>
              <m:sSup>
                <m:sSupPr>
                  <m:ctrlPr>
                    <w:rPr>
                      <w:rFonts w:ascii="Cambria Math" w:eastAsia="SimSun" w:hAnsi="Cambria Math"/>
                      <w:b/>
                      <w:i/>
                      <w:sz w:val="24"/>
                      <w:szCs w:val="24"/>
                    </w:rPr>
                  </m:ctrlPr>
                </m:sSupPr>
                <m:e>
                  <m:r>
                    <m:rPr>
                      <m:sty m:val="bi"/>
                    </m:rPr>
                    <w:rPr>
                      <w:rFonts w:ascii="Cambria Math" w:eastAsia="SimSun" w:hAnsi="Cambria Math"/>
                      <w:sz w:val="24"/>
                      <w:szCs w:val="24"/>
                    </w:rPr>
                    <m:t>R</m:t>
                  </m:r>
                </m:e>
                <m:sup>
                  <m:r>
                    <m:rPr>
                      <m:sty m:val="bi"/>
                    </m:rPr>
                    <w:rPr>
                      <w:rFonts w:ascii="Cambria Math" w:eastAsia="SimSun" w:hAnsi="Cambria Math"/>
                      <w:sz w:val="24"/>
                      <w:szCs w:val="24"/>
                    </w:rPr>
                    <m:t>2</m:t>
                  </m:r>
                </m:sup>
              </m:sSup>
            </m:oMath>
          </w:p>
        </w:tc>
      </w:tr>
      <w:tr w:rsidR="00070085" w:rsidRPr="00070085" w14:paraId="4C263554" w14:textId="77777777" w:rsidTr="005C4055">
        <w:tc>
          <w:tcPr>
            <w:tcW w:w="1367" w:type="pct"/>
            <w:tcBorders>
              <w:top w:val="single" w:sz="4" w:space="0" w:color="auto"/>
              <w:bottom w:val="nil"/>
            </w:tcBorders>
          </w:tcPr>
          <w:p w14:paraId="267BB047" w14:textId="77777777" w:rsidR="00070085" w:rsidRPr="00070085" w:rsidRDefault="00070085" w:rsidP="00070085">
            <w:pPr>
              <w:tabs>
                <w:tab w:val="left" w:pos="900"/>
                <w:tab w:val="left" w:pos="1260"/>
              </w:tabs>
              <w:contextualSpacing/>
              <w:jc w:val="center"/>
              <w:rPr>
                <w:rFonts w:eastAsia="SimSun"/>
                <w:sz w:val="24"/>
                <w:szCs w:val="24"/>
              </w:rPr>
            </w:pPr>
            <w:r w:rsidRPr="00070085">
              <w:rPr>
                <w:rFonts w:eastAsia="SimSun"/>
                <w:sz w:val="24"/>
                <w:szCs w:val="24"/>
              </w:rPr>
              <w:t>CI</w:t>
            </w:r>
          </w:p>
        </w:tc>
        <w:tc>
          <w:tcPr>
            <w:tcW w:w="891" w:type="pct"/>
            <w:vMerge w:val="restart"/>
            <w:tcBorders>
              <w:top w:val="single" w:sz="4" w:space="0" w:color="auto"/>
            </w:tcBorders>
          </w:tcPr>
          <w:p w14:paraId="72264C36" w14:textId="77777777" w:rsidR="00070085" w:rsidRPr="00070085" w:rsidRDefault="00070085" w:rsidP="00070085">
            <w:pPr>
              <w:contextualSpacing/>
              <w:jc w:val="center"/>
              <w:rPr>
                <w:rFonts w:eastAsia="SimSun"/>
                <w:sz w:val="24"/>
                <w:szCs w:val="24"/>
              </w:rPr>
            </w:pPr>
            <w:r w:rsidRPr="00070085">
              <w:rPr>
                <w:rFonts w:eastAsia="SimSun"/>
                <w:sz w:val="24"/>
                <w:szCs w:val="24"/>
              </w:rPr>
              <w:t>SS</w:t>
            </w:r>
          </w:p>
        </w:tc>
        <w:tc>
          <w:tcPr>
            <w:tcW w:w="1100" w:type="pct"/>
            <w:vMerge w:val="restart"/>
            <w:tcBorders>
              <w:top w:val="single" w:sz="4" w:space="0" w:color="auto"/>
            </w:tcBorders>
          </w:tcPr>
          <w:p w14:paraId="4246AB34" w14:textId="77777777" w:rsidR="00070085" w:rsidRPr="00070085" w:rsidRDefault="00070085" w:rsidP="00070085">
            <w:pPr>
              <w:contextualSpacing/>
              <w:jc w:val="center"/>
              <w:rPr>
                <w:rFonts w:eastAsia="SimSun"/>
                <w:sz w:val="24"/>
                <w:szCs w:val="24"/>
              </w:rPr>
            </w:pPr>
            <w:r w:rsidRPr="00070085">
              <w:rPr>
                <w:rFonts w:eastAsia="SimSun"/>
                <w:sz w:val="24"/>
                <w:szCs w:val="24"/>
              </w:rPr>
              <w:t>0.354</w:t>
            </w:r>
          </w:p>
        </w:tc>
        <w:tc>
          <w:tcPr>
            <w:tcW w:w="1642" w:type="pct"/>
            <w:vMerge w:val="restart"/>
            <w:tcBorders>
              <w:top w:val="single" w:sz="4" w:space="0" w:color="auto"/>
            </w:tcBorders>
          </w:tcPr>
          <w:p w14:paraId="2C22BFD6" w14:textId="77777777" w:rsidR="00070085" w:rsidRPr="00070085" w:rsidRDefault="00070085" w:rsidP="00070085">
            <w:pPr>
              <w:contextualSpacing/>
              <w:jc w:val="center"/>
              <w:rPr>
                <w:rFonts w:eastAsia="SimSun"/>
                <w:sz w:val="24"/>
                <w:szCs w:val="24"/>
              </w:rPr>
            </w:pPr>
            <w:r w:rsidRPr="00070085">
              <w:rPr>
                <w:rFonts w:eastAsia="SimSun"/>
                <w:sz w:val="24"/>
                <w:szCs w:val="24"/>
              </w:rPr>
              <w:t>0.341</w:t>
            </w:r>
          </w:p>
        </w:tc>
      </w:tr>
      <w:tr w:rsidR="00070085" w:rsidRPr="00070085" w14:paraId="6E300D79" w14:textId="77777777" w:rsidTr="005C4055">
        <w:tc>
          <w:tcPr>
            <w:tcW w:w="1367" w:type="pct"/>
            <w:tcBorders>
              <w:top w:val="nil"/>
              <w:bottom w:val="single" w:sz="4" w:space="0" w:color="auto"/>
            </w:tcBorders>
          </w:tcPr>
          <w:p w14:paraId="70D8C762" w14:textId="77777777" w:rsidR="00070085" w:rsidRPr="00070085" w:rsidRDefault="00070085" w:rsidP="00070085">
            <w:pPr>
              <w:tabs>
                <w:tab w:val="left" w:pos="900"/>
                <w:tab w:val="left" w:pos="1260"/>
              </w:tabs>
              <w:contextualSpacing/>
              <w:jc w:val="center"/>
              <w:rPr>
                <w:rFonts w:eastAsia="SimSun"/>
                <w:sz w:val="24"/>
                <w:szCs w:val="24"/>
              </w:rPr>
            </w:pPr>
            <w:r w:rsidRPr="00070085">
              <w:rPr>
                <w:rFonts w:eastAsia="SimSun"/>
                <w:sz w:val="24"/>
                <w:szCs w:val="24"/>
              </w:rPr>
              <w:t>WE</w:t>
            </w:r>
          </w:p>
        </w:tc>
        <w:tc>
          <w:tcPr>
            <w:tcW w:w="891" w:type="pct"/>
            <w:vMerge/>
          </w:tcPr>
          <w:p w14:paraId="4765DBB5" w14:textId="77777777" w:rsidR="00070085" w:rsidRPr="00070085" w:rsidRDefault="00070085" w:rsidP="00070085">
            <w:pPr>
              <w:contextualSpacing/>
              <w:jc w:val="center"/>
              <w:rPr>
                <w:rFonts w:eastAsia="SimSun"/>
                <w:sz w:val="24"/>
                <w:szCs w:val="24"/>
              </w:rPr>
            </w:pPr>
          </w:p>
        </w:tc>
        <w:tc>
          <w:tcPr>
            <w:tcW w:w="1100" w:type="pct"/>
            <w:vMerge/>
          </w:tcPr>
          <w:p w14:paraId="29AA982E" w14:textId="77777777" w:rsidR="00070085" w:rsidRPr="00070085" w:rsidRDefault="00070085" w:rsidP="00070085">
            <w:pPr>
              <w:contextualSpacing/>
              <w:jc w:val="center"/>
              <w:rPr>
                <w:rFonts w:eastAsia="SimSun"/>
                <w:sz w:val="24"/>
                <w:szCs w:val="24"/>
              </w:rPr>
            </w:pPr>
          </w:p>
        </w:tc>
        <w:tc>
          <w:tcPr>
            <w:tcW w:w="1642" w:type="pct"/>
            <w:vMerge/>
          </w:tcPr>
          <w:p w14:paraId="109CE5FE" w14:textId="77777777" w:rsidR="00070085" w:rsidRPr="00070085" w:rsidRDefault="00070085" w:rsidP="00070085">
            <w:pPr>
              <w:contextualSpacing/>
              <w:jc w:val="center"/>
              <w:rPr>
                <w:rFonts w:eastAsia="SimSun"/>
                <w:sz w:val="24"/>
                <w:szCs w:val="24"/>
              </w:rPr>
            </w:pPr>
          </w:p>
        </w:tc>
      </w:tr>
      <w:tr w:rsidR="00070085" w:rsidRPr="00070085" w14:paraId="05D0C9F5" w14:textId="77777777" w:rsidTr="005C4055">
        <w:tc>
          <w:tcPr>
            <w:tcW w:w="1367" w:type="pct"/>
            <w:tcBorders>
              <w:top w:val="single" w:sz="4" w:space="0" w:color="auto"/>
              <w:bottom w:val="nil"/>
            </w:tcBorders>
          </w:tcPr>
          <w:p w14:paraId="4481D0BF" w14:textId="77777777" w:rsidR="00070085" w:rsidRPr="00070085" w:rsidRDefault="00070085" w:rsidP="00070085">
            <w:pPr>
              <w:tabs>
                <w:tab w:val="left" w:pos="900"/>
                <w:tab w:val="left" w:pos="1260"/>
              </w:tabs>
              <w:contextualSpacing/>
              <w:jc w:val="center"/>
              <w:rPr>
                <w:rFonts w:eastAsia="SimSun"/>
                <w:sz w:val="24"/>
                <w:szCs w:val="24"/>
              </w:rPr>
            </w:pPr>
            <w:r w:rsidRPr="00070085">
              <w:rPr>
                <w:rFonts w:eastAsia="SimSun"/>
                <w:sz w:val="24"/>
                <w:szCs w:val="24"/>
              </w:rPr>
              <w:t>CI</w:t>
            </w:r>
          </w:p>
        </w:tc>
        <w:tc>
          <w:tcPr>
            <w:tcW w:w="891" w:type="pct"/>
            <w:vMerge w:val="restart"/>
            <w:tcBorders>
              <w:top w:val="single" w:sz="4" w:space="0" w:color="auto"/>
            </w:tcBorders>
          </w:tcPr>
          <w:p w14:paraId="4331F78B" w14:textId="77777777" w:rsidR="00070085" w:rsidRPr="00070085" w:rsidRDefault="00070085" w:rsidP="00070085">
            <w:pPr>
              <w:contextualSpacing/>
              <w:jc w:val="center"/>
              <w:rPr>
                <w:rFonts w:eastAsia="SimSun"/>
                <w:sz w:val="24"/>
                <w:szCs w:val="24"/>
              </w:rPr>
            </w:pPr>
            <w:r w:rsidRPr="00070085">
              <w:rPr>
                <w:rFonts w:eastAsia="SimSun"/>
                <w:sz w:val="24"/>
                <w:szCs w:val="24"/>
              </w:rPr>
              <w:t>OE</w:t>
            </w:r>
          </w:p>
        </w:tc>
        <w:tc>
          <w:tcPr>
            <w:tcW w:w="1100" w:type="pct"/>
            <w:vMerge w:val="restart"/>
            <w:tcBorders>
              <w:top w:val="single" w:sz="4" w:space="0" w:color="auto"/>
            </w:tcBorders>
          </w:tcPr>
          <w:p w14:paraId="6EF26643" w14:textId="77777777" w:rsidR="00070085" w:rsidRPr="00070085" w:rsidRDefault="00070085" w:rsidP="00070085">
            <w:pPr>
              <w:contextualSpacing/>
              <w:jc w:val="center"/>
              <w:rPr>
                <w:rFonts w:eastAsia="SimSun"/>
                <w:sz w:val="24"/>
                <w:szCs w:val="24"/>
              </w:rPr>
            </w:pPr>
            <w:r w:rsidRPr="00070085">
              <w:rPr>
                <w:rFonts w:eastAsia="SimSun"/>
                <w:sz w:val="24"/>
                <w:szCs w:val="24"/>
              </w:rPr>
              <w:t>0.501</w:t>
            </w:r>
          </w:p>
        </w:tc>
        <w:tc>
          <w:tcPr>
            <w:tcW w:w="1642" w:type="pct"/>
            <w:vMerge w:val="restart"/>
            <w:tcBorders>
              <w:top w:val="single" w:sz="4" w:space="0" w:color="auto"/>
            </w:tcBorders>
          </w:tcPr>
          <w:p w14:paraId="6449FF37" w14:textId="77777777" w:rsidR="00070085" w:rsidRPr="00070085" w:rsidRDefault="00070085" w:rsidP="00070085">
            <w:pPr>
              <w:contextualSpacing/>
              <w:jc w:val="center"/>
              <w:rPr>
                <w:rFonts w:eastAsia="SimSun"/>
                <w:sz w:val="24"/>
                <w:szCs w:val="24"/>
              </w:rPr>
            </w:pPr>
            <w:r w:rsidRPr="00070085">
              <w:rPr>
                <w:rFonts w:eastAsia="SimSun"/>
                <w:sz w:val="24"/>
                <w:szCs w:val="24"/>
              </w:rPr>
              <w:t>0.490</w:t>
            </w:r>
          </w:p>
        </w:tc>
      </w:tr>
      <w:tr w:rsidR="00070085" w:rsidRPr="00070085" w14:paraId="7637F821" w14:textId="77777777" w:rsidTr="005C4055">
        <w:tc>
          <w:tcPr>
            <w:tcW w:w="1367" w:type="pct"/>
            <w:tcBorders>
              <w:top w:val="nil"/>
              <w:bottom w:val="single" w:sz="4" w:space="0" w:color="auto"/>
            </w:tcBorders>
          </w:tcPr>
          <w:p w14:paraId="35E081D7" w14:textId="77777777" w:rsidR="00070085" w:rsidRPr="00070085" w:rsidRDefault="00070085" w:rsidP="00070085">
            <w:pPr>
              <w:tabs>
                <w:tab w:val="left" w:pos="900"/>
                <w:tab w:val="left" w:pos="1260"/>
              </w:tabs>
              <w:contextualSpacing/>
              <w:jc w:val="center"/>
              <w:rPr>
                <w:rFonts w:eastAsia="SimSun"/>
                <w:sz w:val="24"/>
                <w:szCs w:val="24"/>
              </w:rPr>
            </w:pPr>
            <w:r w:rsidRPr="00070085">
              <w:rPr>
                <w:rFonts w:eastAsia="SimSun"/>
                <w:sz w:val="24"/>
                <w:szCs w:val="24"/>
              </w:rPr>
              <w:t>WE</w:t>
            </w:r>
          </w:p>
        </w:tc>
        <w:tc>
          <w:tcPr>
            <w:tcW w:w="891" w:type="pct"/>
            <w:vMerge/>
          </w:tcPr>
          <w:p w14:paraId="00E1D3AD" w14:textId="77777777" w:rsidR="00070085" w:rsidRPr="00070085" w:rsidRDefault="00070085" w:rsidP="00070085">
            <w:pPr>
              <w:contextualSpacing/>
              <w:jc w:val="center"/>
              <w:rPr>
                <w:rFonts w:eastAsia="SimSun"/>
                <w:sz w:val="24"/>
                <w:szCs w:val="24"/>
              </w:rPr>
            </w:pPr>
          </w:p>
        </w:tc>
        <w:tc>
          <w:tcPr>
            <w:tcW w:w="1100" w:type="pct"/>
            <w:vMerge/>
          </w:tcPr>
          <w:p w14:paraId="72823AA8" w14:textId="77777777" w:rsidR="00070085" w:rsidRPr="00070085" w:rsidRDefault="00070085" w:rsidP="00070085">
            <w:pPr>
              <w:contextualSpacing/>
              <w:jc w:val="center"/>
              <w:rPr>
                <w:rFonts w:eastAsia="SimSun"/>
                <w:sz w:val="24"/>
                <w:szCs w:val="24"/>
              </w:rPr>
            </w:pPr>
          </w:p>
        </w:tc>
        <w:tc>
          <w:tcPr>
            <w:tcW w:w="1642" w:type="pct"/>
            <w:vMerge/>
          </w:tcPr>
          <w:p w14:paraId="091142AF" w14:textId="77777777" w:rsidR="00070085" w:rsidRPr="00070085" w:rsidRDefault="00070085" w:rsidP="00070085">
            <w:pPr>
              <w:contextualSpacing/>
              <w:jc w:val="center"/>
              <w:rPr>
                <w:rFonts w:eastAsia="SimSun"/>
                <w:sz w:val="24"/>
                <w:szCs w:val="24"/>
              </w:rPr>
            </w:pPr>
          </w:p>
        </w:tc>
      </w:tr>
    </w:tbl>
    <w:p w14:paraId="5C3711E8" w14:textId="77777777" w:rsidR="00070085" w:rsidRPr="00070085" w:rsidRDefault="00070085" w:rsidP="00070085">
      <w:pPr>
        <w:spacing w:before="60" w:after="120" w:line="240" w:lineRule="auto"/>
        <w:jc w:val="both"/>
        <w:rPr>
          <w:rFonts w:ascii="Times New Roman" w:eastAsia="SimSun" w:hAnsi="Times New Roman" w:cs="Times New Roman"/>
          <w:kern w:val="0"/>
          <w14:ligatures w14:val="none"/>
        </w:rPr>
      </w:pPr>
      <w:r w:rsidRPr="00070085">
        <w:rPr>
          <w:rFonts w:ascii="Times New Roman" w:eastAsia="Times New Roman" w:hAnsi="Times New Roman" w:cs="Times New Roman"/>
          <w:b/>
          <w:iCs/>
          <w:kern w:val="0"/>
          <w14:ligatures w14:val="none"/>
        </w:rPr>
        <w:t>Source:</w:t>
      </w:r>
      <w:r w:rsidRPr="00070085">
        <w:rPr>
          <w:rFonts w:ascii="Times New Roman" w:eastAsia="Times New Roman" w:hAnsi="Times New Roman" w:cs="Times New Roman"/>
          <w:iCs/>
          <w:kern w:val="0"/>
          <w14:ligatures w14:val="none"/>
        </w:rPr>
        <w:t xml:space="preserve"> </w:t>
      </w:r>
      <w:proofErr w:type="spellStart"/>
      <w:r w:rsidRPr="00070085">
        <w:rPr>
          <w:rFonts w:ascii="Times New Roman" w:eastAsia="Times New Roman" w:hAnsi="Times New Roman" w:cs="Times New Roman"/>
          <w:iCs/>
          <w:kern w:val="0"/>
          <w14:ligatures w14:val="none"/>
        </w:rPr>
        <w:t>SmartPLS</w:t>
      </w:r>
      <w:proofErr w:type="spellEnd"/>
      <w:r w:rsidRPr="00070085">
        <w:rPr>
          <w:rFonts w:ascii="Times New Roman" w:eastAsia="Times New Roman" w:hAnsi="Times New Roman" w:cs="Times New Roman"/>
          <w:iCs/>
          <w:kern w:val="0"/>
          <w14:ligatures w14:val="none"/>
        </w:rPr>
        <w:t xml:space="preserve"> 4.1.1.8 Output of Research Data, 2026</w:t>
      </w:r>
    </w:p>
    <w:p w14:paraId="47B6DE4D"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 xml:space="preserve">Table 4.9 presents the coefficient of determination (R²) and adjusted R² values for the two endogenous constructs in the structural model. In PLS-SEM, R² represents the proportion of variance in an endogenous variable explained by its exogenous predictors, with values of 0.75, </w:t>
      </w:r>
      <w:r w:rsidRPr="00070085">
        <w:rPr>
          <w:rFonts w:ascii="Times New Roman" w:eastAsia="SimSun" w:hAnsi="Times New Roman" w:cs="Times New Roman"/>
          <w:kern w:val="0"/>
          <w:szCs w:val="22"/>
          <w14:ligatures w14:val="none"/>
        </w:rPr>
        <w:lastRenderedPageBreak/>
        <w:t>0.50, and 0.25 conventionally interpreted as substantial, moderate, and weak levels of predictive accuracy, respectively (Hair et al., 2022).</w:t>
      </w:r>
    </w:p>
    <w:p w14:paraId="4D7B14D3"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For Stakeholder Satisfaction (SS), the combined effect of Continuous Improvement (CI) and Waste Elimination (WE) yielded an R² of 0.354, indicating that approximately 35.4% of the variance in stakeholder satisfaction is explained by the two lean management system constructs. The adjusted R² of 0.341 confirms that after accounting for the number of predictors, 34.1% of the variance remains explained - a result that approaches the moderate predictive accuracy threshold. This implies that while CI and WE together offer meaningful explanatory power for stakeholder satisfaction, the lean management constructs capture only a partial portion of the broader nomological drivers of external and internal stakeholder perceptions in the midstream oil and gas sector.</w:t>
      </w:r>
    </w:p>
    <w:p w14:paraId="05DACF3A" w14:textId="77777777" w:rsidR="00070085" w:rsidRPr="00070085" w:rsidRDefault="00070085" w:rsidP="00070085">
      <w:pPr>
        <w:spacing w:after="120" w:line="240" w:lineRule="exact"/>
        <w:jc w:val="both"/>
        <w:rPr>
          <w:rFonts w:ascii="Calibri" w:eastAsia="SimSun" w:hAnsi="Calibri" w:cs="Times New Roman"/>
          <w:kern w:val="0"/>
          <w:sz w:val="22"/>
          <w:szCs w:val="22"/>
          <w14:ligatures w14:val="none"/>
        </w:rPr>
      </w:pPr>
      <w:r w:rsidRPr="00070085">
        <w:rPr>
          <w:rFonts w:ascii="Times New Roman" w:eastAsia="SimSun" w:hAnsi="Times New Roman" w:cs="Times New Roman"/>
          <w:kern w:val="0"/>
          <w:szCs w:val="22"/>
          <w14:ligatures w14:val="none"/>
        </w:rPr>
        <w:t xml:space="preserve">For Operational Efficiency (OE), the model yielded an R² of 0.501, indicating that CI and WE jointly explain 50.1% of the variance in operational efficiency. The adjusted R² of 0.490 confirms sustained explanatory power after model complexity adjustment, with the slight difference between R² and adjusted R² attesting to model parsimony. According to the thresholds of Hair et al. (2022), an R² of 0.501 represents moderate-to-substantial predictive accuracy, and this finding underscores that lean management system dimensions - particularly Continuous Improvement, are strong determinants of operational efficiency in midstream oil and gas companies in Rivers State. Overall, the predictive accuracy results affirm the structural model's capacity to explain variance in both </w:t>
      </w:r>
      <w:proofErr w:type="spellStart"/>
      <w:r w:rsidRPr="00070085">
        <w:rPr>
          <w:rFonts w:ascii="Times New Roman" w:eastAsia="SimSun" w:hAnsi="Times New Roman" w:cs="Times New Roman"/>
          <w:kern w:val="0"/>
          <w:szCs w:val="22"/>
          <w14:ligatures w14:val="none"/>
        </w:rPr>
        <w:t>organisational</w:t>
      </w:r>
      <w:proofErr w:type="spellEnd"/>
      <w:r w:rsidRPr="00070085">
        <w:rPr>
          <w:rFonts w:ascii="Times New Roman" w:eastAsia="SimSun" w:hAnsi="Times New Roman" w:cs="Times New Roman"/>
          <w:kern w:val="0"/>
          <w:szCs w:val="22"/>
          <w14:ligatures w14:val="none"/>
        </w:rPr>
        <w:t xml:space="preserve"> effectiveness proxies, with a notably stronger fit for Operational Efficiency than for Stakeholder Satisfaction</w:t>
      </w:r>
      <w:r w:rsidRPr="00070085">
        <w:rPr>
          <w:rFonts w:ascii="Calibri" w:eastAsia="SimSun" w:hAnsi="Calibri" w:cs="Times New Roman"/>
          <w:kern w:val="0"/>
          <w:sz w:val="22"/>
          <w:szCs w:val="22"/>
          <w14:ligatures w14:val="none"/>
        </w:rPr>
        <w:t>.</w:t>
      </w:r>
    </w:p>
    <w:p w14:paraId="364C9F1D" w14:textId="77777777" w:rsidR="00070085" w:rsidRPr="00070085" w:rsidRDefault="00070085" w:rsidP="00070085">
      <w:pPr>
        <w:spacing w:after="120" w:line="240" w:lineRule="exact"/>
        <w:jc w:val="both"/>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4.1.5.2.2</w:t>
      </w:r>
      <w:r w:rsidRPr="00070085">
        <w:rPr>
          <w:rFonts w:ascii="Times New Roman" w:eastAsia="SimSun" w:hAnsi="Times New Roman" w:cs="Times New Roman"/>
          <w:b/>
          <w:kern w:val="0"/>
          <w:szCs w:val="22"/>
          <w14:ligatures w14:val="none"/>
        </w:rPr>
        <w:tab/>
        <w:t>Assessment of Predictive Relevance (Q²)</w:t>
      </w:r>
    </w:p>
    <w:p w14:paraId="3480FA78" w14:textId="77777777" w:rsidR="00070085" w:rsidRPr="00070085" w:rsidRDefault="00070085" w:rsidP="00070085">
      <w:pPr>
        <w:spacing w:after="120" w:line="240" w:lineRule="exact"/>
        <w:jc w:val="both"/>
        <w:rPr>
          <w:rFonts w:ascii="Calibri" w:eastAsia="SimSun" w:hAnsi="Calibri" w:cs="Times New Roman"/>
          <w:kern w:val="0"/>
          <w:sz w:val="22"/>
          <w:szCs w:val="22"/>
          <w14:ligatures w14:val="none"/>
        </w:rPr>
      </w:pPr>
      <w:r w:rsidRPr="00070085">
        <w:rPr>
          <w:rFonts w:ascii="Times New Roman" w:eastAsia="SimSun" w:hAnsi="Times New Roman" w:cs="Times New Roman"/>
          <w:kern w:val="0"/>
          <w:szCs w:val="22"/>
          <w14:ligatures w14:val="none"/>
        </w:rPr>
        <w:t>The non-parametric Q² test was conducted to determine the predictive relevance of the independent variables using a cross-validated redundancy blindfolding approach with an omission distance of 7 in the data matrix. Table 4.10 presents the output for predictive relevance</w:t>
      </w:r>
      <w:r w:rsidRPr="00070085">
        <w:rPr>
          <w:rFonts w:ascii="Calibri" w:eastAsia="Times New Roman" w:hAnsi="Calibri" w:cs="Times New Roman"/>
          <w:kern w:val="0"/>
          <w:sz w:val="22"/>
          <w:szCs w:val="22"/>
          <w14:ligatures w14:val="none"/>
        </w:rPr>
        <w:t>.</w:t>
      </w:r>
    </w:p>
    <w:p w14:paraId="5315ACC0" w14:textId="77777777" w:rsidR="00070085" w:rsidRPr="00070085" w:rsidRDefault="00070085" w:rsidP="00070085">
      <w:pPr>
        <w:spacing w:before="200" w:after="60" w:line="240" w:lineRule="auto"/>
        <w:rPr>
          <w:rFonts w:ascii="Times New Roman" w:eastAsia="SimSun" w:hAnsi="Times New Roman" w:cs="Times New Roman"/>
          <w:kern w:val="0"/>
          <w14:ligatures w14:val="none"/>
        </w:rPr>
      </w:pPr>
      <w:r w:rsidRPr="00070085">
        <w:rPr>
          <w:rFonts w:ascii="Times New Roman" w:eastAsia="Times New Roman" w:hAnsi="Times New Roman" w:cs="Times New Roman"/>
          <w:b/>
          <w:bCs/>
          <w:kern w:val="0"/>
          <w14:ligatures w14:val="none"/>
        </w:rPr>
        <w:t>Table 4.10: Construct Cross-validated Redundancy (Total Q²)</w:t>
      </w:r>
    </w:p>
    <w:tbl>
      <w:tblPr>
        <w:tblStyle w:val="TableGrid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13"/>
        <w:gridCol w:w="1357"/>
        <w:gridCol w:w="1356"/>
        <w:gridCol w:w="1900"/>
        <w:gridCol w:w="2734"/>
      </w:tblGrid>
      <w:tr w:rsidR="00070085" w:rsidRPr="00070085" w14:paraId="5C7F0631" w14:textId="77777777" w:rsidTr="005C4055">
        <w:trPr>
          <w:trHeight w:val="314"/>
        </w:trPr>
        <w:tc>
          <w:tcPr>
            <w:tcW w:w="0" w:type="auto"/>
            <w:tcBorders>
              <w:top w:val="single" w:sz="4" w:space="0" w:color="auto"/>
              <w:bottom w:val="single" w:sz="4" w:space="0" w:color="auto"/>
            </w:tcBorders>
          </w:tcPr>
          <w:p w14:paraId="019135D1" w14:textId="77777777" w:rsidR="00070085" w:rsidRPr="00070085" w:rsidRDefault="00070085" w:rsidP="00070085">
            <w:pPr>
              <w:spacing w:after="120" w:line="240" w:lineRule="exact"/>
              <w:rPr>
                <w:rFonts w:eastAsia="SimSun"/>
                <w:b/>
                <w:sz w:val="24"/>
                <w:szCs w:val="24"/>
              </w:rPr>
            </w:pPr>
            <w:r w:rsidRPr="00070085">
              <w:rPr>
                <w:rFonts w:eastAsia="SimSun"/>
                <w:b/>
                <w:sz w:val="24"/>
                <w:szCs w:val="24"/>
              </w:rPr>
              <w:t>Latent Variables</w:t>
            </w:r>
          </w:p>
        </w:tc>
        <w:tc>
          <w:tcPr>
            <w:tcW w:w="0" w:type="auto"/>
            <w:tcBorders>
              <w:top w:val="single" w:sz="4" w:space="0" w:color="auto"/>
              <w:bottom w:val="single" w:sz="4" w:space="0" w:color="auto"/>
            </w:tcBorders>
          </w:tcPr>
          <w:p w14:paraId="3ACA5444" w14:textId="77777777" w:rsidR="00070085" w:rsidRPr="00070085" w:rsidRDefault="00070085" w:rsidP="00070085">
            <w:pPr>
              <w:spacing w:after="120" w:line="240" w:lineRule="exact"/>
              <w:jc w:val="center"/>
              <w:rPr>
                <w:rFonts w:eastAsia="SimSun"/>
                <w:b/>
                <w:sz w:val="24"/>
                <w:szCs w:val="24"/>
              </w:rPr>
            </w:pPr>
            <w:r w:rsidRPr="00070085">
              <w:rPr>
                <w:rFonts w:eastAsia="SimSun"/>
                <w:b/>
                <w:sz w:val="24"/>
                <w:szCs w:val="24"/>
              </w:rPr>
              <w:t>SSO</w:t>
            </w:r>
          </w:p>
        </w:tc>
        <w:tc>
          <w:tcPr>
            <w:tcW w:w="0" w:type="auto"/>
            <w:tcBorders>
              <w:top w:val="single" w:sz="4" w:space="0" w:color="auto"/>
              <w:bottom w:val="single" w:sz="4" w:space="0" w:color="auto"/>
            </w:tcBorders>
          </w:tcPr>
          <w:p w14:paraId="7F0F772A" w14:textId="77777777" w:rsidR="00070085" w:rsidRPr="00070085" w:rsidRDefault="00070085" w:rsidP="00070085">
            <w:pPr>
              <w:spacing w:after="120" w:line="240" w:lineRule="exact"/>
              <w:jc w:val="center"/>
              <w:rPr>
                <w:rFonts w:eastAsia="SimSun"/>
                <w:b/>
                <w:sz w:val="24"/>
                <w:szCs w:val="24"/>
              </w:rPr>
            </w:pPr>
            <w:r w:rsidRPr="00070085">
              <w:rPr>
                <w:rFonts w:eastAsia="SimSun"/>
                <w:b/>
                <w:sz w:val="24"/>
                <w:szCs w:val="24"/>
              </w:rPr>
              <w:t>SSE</w:t>
            </w:r>
          </w:p>
        </w:tc>
        <w:tc>
          <w:tcPr>
            <w:tcW w:w="0" w:type="auto"/>
            <w:tcBorders>
              <w:top w:val="single" w:sz="4" w:space="0" w:color="auto"/>
              <w:bottom w:val="single" w:sz="4" w:space="0" w:color="auto"/>
            </w:tcBorders>
          </w:tcPr>
          <w:p w14:paraId="0F5B6FFC" w14:textId="77777777" w:rsidR="00070085" w:rsidRPr="00070085" w:rsidRDefault="00000000" w:rsidP="00070085">
            <w:pPr>
              <w:spacing w:after="120" w:line="240" w:lineRule="exact"/>
              <w:jc w:val="center"/>
              <w:rPr>
                <w:rFonts w:eastAsia="SimSun"/>
                <w:b/>
                <w:sz w:val="24"/>
                <w:szCs w:val="24"/>
                <w:vertAlign w:val="superscript"/>
              </w:rPr>
            </w:pPr>
            <m:oMath>
              <m:sSup>
                <m:sSupPr>
                  <m:ctrlPr>
                    <w:rPr>
                      <w:rFonts w:ascii="Cambria Math" w:eastAsia="SimSun" w:hAnsi="Cambria Math"/>
                      <w:b/>
                      <w:i/>
                      <w:sz w:val="24"/>
                      <w:szCs w:val="24"/>
                    </w:rPr>
                  </m:ctrlPr>
                </m:sSupPr>
                <m:e>
                  <m:r>
                    <m:rPr>
                      <m:sty m:val="bi"/>
                    </m:rPr>
                    <w:rPr>
                      <w:rFonts w:ascii="Cambria Math" w:eastAsia="SimSun" w:hAnsi="Cambria Math"/>
                      <w:sz w:val="24"/>
                      <w:szCs w:val="24"/>
                    </w:rPr>
                    <m:t>Q</m:t>
                  </m:r>
                </m:e>
                <m:sup>
                  <m:r>
                    <m:rPr>
                      <m:sty m:val="bi"/>
                    </m:rPr>
                    <w:rPr>
                      <w:rFonts w:ascii="Cambria Math" w:eastAsia="SimSun" w:hAnsi="Cambria Math"/>
                      <w:sz w:val="24"/>
                      <w:szCs w:val="24"/>
                    </w:rPr>
                    <m:t>2</m:t>
                  </m:r>
                </m:sup>
              </m:sSup>
            </m:oMath>
            <w:r w:rsidR="00070085" w:rsidRPr="00070085">
              <w:rPr>
                <w:rFonts w:eastAsia="SimSun"/>
                <w:b/>
                <w:sz w:val="24"/>
                <w:szCs w:val="24"/>
              </w:rPr>
              <w:t>=1-SSE/SSO</w:t>
            </w:r>
          </w:p>
        </w:tc>
        <w:tc>
          <w:tcPr>
            <w:tcW w:w="0" w:type="auto"/>
            <w:tcBorders>
              <w:top w:val="single" w:sz="4" w:space="0" w:color="auto"/>
              <w:bottom w:val="single" w:sz="4" w:space="0" w:color="auto"/>
            </w:tcBorders>
          </w:tcPr>
          <w:p w14:paraId="41E3D569" w14:textId="77777777" w:rsidR="00070085" w:rsidRPr="00070085" w:rsidRDefault="00070085" w:rsidP="00070085">
            <w:pPr>
              <w:spacing w:after="120" w:line="240" w:lineRule="exact"/>
              <w:jc w:val="center"/>
              <w:rPr>
                <w:rFonts w:eastAsia="SimSun"/>
                <w:b/>
                <w:sz w:val="24"/>
                <w:szCs w:val="24"/>
              </w:rPr>
            </w:pPr>
            <w:r w:rsidRPr="00070085">
              <w:rPr>
                <w:rFonts w:eastAsia="SimSun"/>
                <w:b/>
                <w:sz w:val="24"/>
                <w:szCs w:val="24"/>
              </w:rPr>
              <w:t>Remark</w:t>
            </w:r>
          </w:p>
        </w:tc>
      </w:tr>
      <w:tr w:rsidR="00070085" w:rsidRPr="00070085" w14:paraId="1746464A" w14:textId="77777777" w:rsidTr="005C4055">
        <w:trPr>
          <w:trHeight w:val="287"/>
        </w:trPr>
        <w:tc>
          <w:tcPr>
            <w:tcW w:w="0" w:type="auto"/>
            <w:tcBorders>
              <w:top w:val="single" w:sz="4" w:space="0" w:color="auto"/>
              <w:bottom w:val="nil"/>
            </w:tcBorders>
          </w:tcPr>
          <w:p w14:paraId="101D78F8" w14:textId="77777777" w:rsidR="00070085" w:rsidRPr="00070085" w:rsidRDefault="00070085" w:rsidP="00070085">
            <w:pPr>
              <w:tabs>
                <w:tab w:val="left" w:pos="900"/>
                <w:tab w:val="left" w:pos="1260"/>
              </w:tabs>
              <w:spacing w:after="120" w:line="240" w:lineRule="exact"/>
              <w:rPr>
                <w:rFonts w:eastAsia="SimSun"/>
                <w:sz w:val="24"/>
                <w:szCs w:val="24"/>
              </w:rPr>
            </w:pPr>
            <w:r w:rsidRPr="00070085">
              <w:rPr>
                <w:rFonts w:eastAsia="SimSun"/>
                <w:sz w:val="24"/>
                <w:szCs w:val="24"/>
              </w:rPr>
              <w:t>CI</w:t>
            </w:r>
          </w:p>
        </w:tc>
        <w:tc>
          <w:tcPr>
            <w:tcW w:w="0" w:type="auto"/>
            <w:tcBorders>
              <w:top w:val="single" w:sz="4" w:space="0" w:color="auto"/>
              <w:bottom w:val="nil"/>
            </w:tcBorders>
          </w:tcPr>
          <w:p w14:paraId="55B67C89" w14:textId="77777777" w:rsidR="00070085" w:rsidRPr="00070085" w:rsidRDefault="00070085" w:rsidP="00070085">
            <w:pPr>
              <w:spacing w:after="120" w:line="240" w:lineRule="exact"/>
              <w:jc w:val="center"/>
              <w:rPr>
                <w:rFonts w:eastAsia="Times New Roman"/>
                <w:color w:val="000000"/>
                <w:sz w:val="24"/>
                <w:szCs w:val="22"/>
              </w:rPr>
            </w:pPr>
            <w:r w:rsidRPr="00070085">
              <w:rPr>
                <w:rFonts w:eastAsia="Times New Roman"/>
                <w:color w:val="000000"/>
                <w:sz w:val="24"/>
                <w:szCs w:val="22"/>
              </w:rPr>
              <w:t>600.000</w:t>
            </w:r>
          </w:p>
        </w:tc>
        <w:tc>
          <w:tcPr>
            <w:tcW w:w="0" w:type="auto"/>
            <w:tcBorders>
              <w:top w:val="single" w:sz="4" w:space="0" w:color="auto"/>
              <w:bottom w:val="nil"/>
            </w:tcBorders>
          </w:tcPr>
          <w:p w14:paraId="54D487AF" w14:textId="77777777" w:rsidR="00070085" w:rsidRPr="00070085" w:rsidRDefault="00070085" w:rsidP="00070085">
            <w:pPr>
              <w:spacing w:after="120" w:line="240" w:lineRule="exact"/>
              <w:jc w:val="center"/>
              <w:rPr>
                <w:rFonts w:eastAsia="Times New Roman"/>
                <w:color w:val="000000"/>
                <w:sz w:val="24"/>
                <w:szCs w:val="22"/>
              </w:rPr>
            </w:pPr>
            <w:r w:rsidRPr="00070085">
              <w:rPr>
                <w:rFonts w:eastAsia="Times New Roman"/>
                <w:color w:val="000000"/>
                <w:sz w:val="24"/>
                <w:szCs w:val="22"/>
              </w:rPr>
              <w:t>600.000</w:t>
            </w:r>
          </w:p>
        </w:tc>
        <w:tc>
          <w:tcPr>
            <w:tcW w:w="0" w:type="auto"/>
            <w:tcBorders>
              <w:top w:val="single" w:sz="4" w:space="0" w:color="auto"/>
              <w:bottom w:val="nil"/>
            </w:tcBorders>
          </w:tcPr>
          <w:p w14:paraId="78661E56" w14:textId="77777777" w:rsidR="00070085" w:rsidRPr="00070085" w:rsidRDefault="00070085" w:rsidP="00070085">
            <w:pPr>
              <w:spacing w:after="120" w:line="240" w:lineRule="exact"/>
              <w:jc w:val="center"/>
              <w:rPr>
                <w:rFonts w:eastAsia="Times New Roman"/>
                <w:color w:val="000000"/>
                <w:sz w:val="24"/>
                <w:szCs w:val="22"/>
              </w:rPr>
            </w:pPr>
          </w:p>
        </w:tc>
        <w:tc>
          <w:tcPr>
            <w:tcW w:w="0" w:type="auto"/>
            <w:tcBorders>
              <w:top w:val="single" w:sz="4" w:space="0" w:color="auto"/>
              <w:bottom w:val="nil"/>
            </w:tcBorders>
          </w:tcPr>
          <w:p w14:paraId="00A6BA50" w14:textId="77777777" w:rsidR="00070085" w:rsidRPr="00070085" w:rsidRDefault="00070085" w:rsidP="00070085">
            <w:pPr>
              <w:spacing w:after="120" w:line="240" w:lineRule="exact"/>
              <w:jc w:val="center"/>
              <w:rPr>
                <w:rFonts w:eastAsia="SimSun"/>
                <w:sz w:val="24"/>
                <w:szCs w:val="24"/>
              </w:rPr>
            </w:pPr>
          </w:p>
        </w:tc>
      </w:tr>
      <w:tr w:rsidR="00070085" w:rsidRPr="00070085" w14:paraId="59E2CAE4" w14:textId="77777777" w:rsidTr="005C4055">
        <w:trPr>
          <w:trHeight w:val="251"/>
        </w:trPr>
        <w:tc>
          <w:tcPr>
            <w:tcW w:w="0" w:type="auto"/>
            <w:tcBorders>
              <w:top w:val="nil"/>
              <w:bottom w:val="nil"/>
            </w:tcBorders>
          </w:tcPr>
          <w:p w14:paraId="7E033356" w14:textId="77777777" w:rsidR="00070085" w:rsidRPr="00070085" w:rsidRDefault="00070085" w:rsidP="00070085">
            <w:pPr>
              <w:tabs>
                <w:tab w:val="left" w:pos="900"/>
                <w:tab w:val="left" w:pos="1260"/>
              </w:tabs>
              <w:spacing w:after="120" w:line="240" w:lineRule="exact"/>
              <w:rPr>
                <w:rFonts w:eastAsia="SimSun"/>
                <w:sz w:val="24"/>
                <w:szCs w:val="24"/>
              </w:rPr>
            </w:pPr>
            <w:r w:rsidRPr="00070085">
              <w:rPr>
                <w:rFonts w:eastAsia="SimSun"/>
                <w:sz w:val="24"/>
                <w:szCs w:val="24"/>
              </w:rPr>
              <w:t>WE</w:t>
            </w:r>
          </w:p>
        </w:tc>
        <w:tc>
          <w:tcPr>
            <w:tcW w:w="0" w:type="auto"/>
            <w:tcBorders>
              <w:top w:val="nil"/>
              <w:bottom w:val="nil"/>
            </w:tcBorders>
          </w:tcPr>
          <w:p w14:paraId="5BD56742" w14:textId="77777777" w:rsidR="00070085" w:rsidRPr="00070085" w:rsidRDefault="00070085" w:rsidP="00070085">
            <w:pPr>
              <w:spacing w:after="120" w:line="240" w:lineRule="exact"/>
              <w:jc w:val="center"/>
              <w:rPr>
                <w:rFonts w:eastAsia="Times New Roman"/>
                <w:color w:val="000000"/>
                <w:sz w:val="24"/>
                <w:szCs w:val="22"/>
              </w:rPr>
            </w:pPr>
            <w:r w:rsidRPr="00070085">
              <w:rPr>
                <w:rFonts w:eastAsia="Times New Roman"/>
                <w:color w:val="000000"/>
                <w:sz w:val="24"/>
                <w:szCs w:val="22"/>
              </w:rPr>
              <w:t>600.000</w:t>
            </w:r>
          </w:p>
        </w:tc>
        <w:tc>
          <w:tcPr>
            <w:tcW w:w="0" w:type="auto"/>
            <w:tcBorders>
              <w:top w:val="nil"/>
              <w:bottom w:val="nil"/>
            </w:tcBorders>
          </w:tcPr>
          <w:p w14:paraId="24E73EB2" w14:textId="77777777" w:rsidR="00070085" w:rsidRPr="00070085" w:rsidRDefault="00070085" w:rsidP="00070085">
            <w:pPr>
              <w:spacing w:after="120" w:line="240" w:lineRule="exact"/>
              <w:jc w:val="center"/>
              <w:rPr>
                <w:rFonts w:eastAsia="Times New Roman"/>
                <w:color w:val="000000"/>
                <w:sz w:val="24"/>
                <w:szCs w:val="22"/>
              </w:rPr>
            </w:pPr>
            <w:r w:rsidRPr="00070085">
              <w:rPr>
                <w:rFonts w:eastAsia="Times New Roman"/>
                <w:color w:val="000000"/>
                <w:sz w:val="24"/>
                <w:szCs w:val="22"/>
              </w:rPr>
              <w:t>600.000</w:t>
            </w:r>
          </w:p>
        </w:tc>
        <w:tc>
          <w:tcPr>
            <w:tcW w:w="0" w:type="auto"/>
            <w:tcBorders>
              <w:top w:val="nil"/>
              <w:bottom w:val="nil"/>
            </w:tcBorders>
          </w:tcPr>
          <w:p w14:paraId="565D05D5" w14:textId="77777777" w:rsidR="00070085" w:rsidRPr="00070085" w:rsidRDefault="00070085" w:rsidP="00070085">
            <w:pPr>
              <w:spacing w:after="120" w:line="240" w:lineRule="exact"/>
              <w:jc w:val="center"/>
              <w:rPr>
                <w:rFonts w:eastAsia="Times New Roman"/>
                <w:color w:val="000000"/>
                <w:sz w:val="24"/>
                <w:szCs w:val="22"/>
              </w:rPr>
            </w:pPr>
          </w:p>
        </w:tc>
        <w:tc>
          <w:tcPr>
            <w:tcW w:w="0" w:type="auto"/>
            <w:tcBorders>
              <w:top w:val="nil"/>
              <w:bottom w:val="nil"/>
            </w:tcBorders>
          </w:tcPr>
          <w:p w14:paraId="49B5AE0B" w14:textId="77777777" w:rsidR="00070085" w:rsidRPr="00070085" w:rsidRDefault="00070085" w:rsidP="00070085">
            <w:pPr>
              <w:spacing w:after="120" w:line="240" w:lineRule="exact"/>
              <w:jc w:val="center"/>
              <w:rPr>
                <w:rFonts w:eastAsia="SimSun"/>
                <w:sz w:val="24"/>
                <w:szCs w:val="24"/>
              </w:rPr>
            </w:pPr>
          </w:p>
        </w:tc>
      </w:tr>
      <w:tr w:rsidR="00070085" w:rsidRPr="00070085" w14:paraId="474235F4" w14:textId="77777777" w:rsidTr="005C4055">
        <w:tc>
          <w:tcPr>
            <w:tcW w:w="0" w:type="auto"/>
            <w:tcBorders>
              <w:top w:val="nil"/>
              <w:bottom w:val="single" w:sz="4" w:space="0" w:color="auto"/>
            </w:tcBorders>
          </w:tcPr>
          <w:p w14:paraId="6C8E6012" w14:textId="77777777" w:rsidR="00070085" w:rsidRPr="00070085" w:rsidRDefault="00070085" w:rsidP="00070085">
            <w:pPr>
              <w:tabs>
                <w:tab w:val="left" w:pos="890"/>
              </w:tabs>
              <w:spacing w:after="120" w:line="240" w:lineRule="exact"/>
              <w:rPr>
                <w:rFonts w:eastAsia="SimSun"/>
                <w:b/>
                <w:sz w:val="24"/>
                <w:szCs w:val="24"/>
              </w:rPr>
            </w:pPr>
            <w:r w:rsidRPr="00070085">
              <w:rPr>
                <w:rFonts w:eastAsia="SimSun"/>
                <w:b/>
                <w:sz w:val="24"/>
                <w:szCs w:val="24"/>
              </w:rPr>
              <w:t>SS</w:t>
            </w:r>
          </w:p>
        </w:tc>
        <w:tc>
          <w:tcPr>
            <w:tcW w:w="0" w:type="auto"/>
            <w:tcBorders>
              <w:top w:val="nil"/>
              <w:bottom w:val="single" w:sz="4" w:space="0" w:color="auto"/>
            </w:tcBorders>
          </w:tcPr>
          <w:p w14:paraId="2D088B2D" w14:textId="77777777" w:rsidR="00070085" w:rsidRPr="00070085" w:rsidRDefault="00070085" w:rsidP="00070085">
            <w:pPr>
              <w:spacing w:after="120" w:line="240" w:lineRule="exact"/>
              <w:jc w:val="center"/>
              <w:rPr>
                <w:rFonts w:eastAsia="Times New Roman"/>
                <w:b/>
                <w:color w:val="000000"/>
                <w:sz w:val="24"/>
                <w:szCs w:val="22"/>
              </w:rPr>
            </w:pPr>
            <w:r w:rsidRPr="00070085">
              <w:rPr>
                <w:rFonts w:eastAsia="Times New Roman"/>
                <w:b/>
                <w:color w:val="000000"/>
                <w:sz w:val="24"/>
                <w:szCs w:val="22"/>
              </w:rPr>
              <w:t>600.000</w:t>
            </w:r>
          </w:p>
        </w:tc>
        <w:tc>
          <w:tcPr>
            <w:tcW w:w="0" w:type="auto"/>
            <w:tcBorders>
              <w:top w:val="nil"/>
              <w:bottom w:val="single" w:sz="4" w:space="0" w:color="auto"/>
            </w:tcBorders>
          </w:tcPr>
          <w:p w14:paraId="3BD001E8" w14:textId="77777777" w:rsidR="00070085" w:rsidRPr="00070085" w:rsidRDefault="00070085" w:rsidP="00070085">
            <w:pPr>
              <w:spacing w:after="120" w:line="240" w:lineRule="exact"/>
              <w:jc w:val="center"/>
              <w:rPr>
                <w:rFonts w:eastAsia="Times New Roman"/>
                <w:b/>
                <w:color w:val="000000"/>
                <w:sz w:val="24"/>
                <w:szCs w:val="22"/>
              </w:rPr>
            </w:pPr>
            <w:r w:rsidRPr="00070085">
              <w:rPr>
                <w:rFonts w:eastAsia="Times New Roman"/>
                <w:b/>
                <w:color w:val="000000"/>
                <w:sz w:val="24"/>
                <w:szCs w:val="22"/>
              </w:rPr>
              <w:t>453.921</w:t>
            </w:r>
          </w:p>
        </w:tc>
        <w:tc>
          <w:tcPr>
            <w:tcW w:w="0" w:type="auto"/>
            <w:tcBorders>
              <w:top w:val="nil"/>
              <w:bottom w:val="single" w:sz="4" w:space="0" w:color="auto"/>
            </w:tcBorders>
          </w:tcPr>
          <w:p w14:paraId="35E602D7" w14:textId="77777777" w:rsidR="00070085" w:rsidRPr="00070085" w:rsidRDefault="00070085" w:rsidP="00070085">
            <w:pPr>
              <w:spacing w:after="120" w:line="240" w:lineRule="exact"/>
              <w:jc w:val="center"/>
              <w:rPr>
                <w:rFonts w:eastAsia="Times New Roman"/>
                <w:b/>
                <w:color w:val="000000"/>
                <w:sz w:val="24"/>
                <w:szCs w:val="22"/>
              </w:rPr>
            </w:pPr>
            <w:r w:rsidRPr="00070085">
              <w:rPr>
                <w:rFonts w:eastAsia="Times New Roman"/>
                <w:b/>
                <w:color w:val="000000"/>
                <w:sz w:val="24"/>
                <w:szCs w:val="22"/>
              </w:rPr>
              <w:t>0.243</w:t>
            </w:r>
          </w:p>
        </w:tc>
        <w:tc>
          <w:tcPr>
            <w:tcW w:w="0" w:type="auto"/>
            <w:tcBorders>
              <w:top w:val="nil"/>
              <w:bottom w:val="single" w:sz="4" w:space="0" w:color="auto"/>
            </w:tcBorders>
          </w:tcPr>
          <w:p w14:paraId="5407B89D" w14:textId="77777777" w:rsidR="00070085" w:rsidRPr="00070085" w:rsidRDefault="00070085" w:rsidP="00070085">
            <w:pPr>
              <w:spacing w:after="120" w:line="240" w:lineRule="exact"/>
              <w:jc w:val="center"/>
              <w:rPr>
                <w:rFonts w:eastAsia="SimSun"/>
                <w:b/>
                <w:sz w:val="24"/>
                <w:szCs w:val="24"/>
              </w:rPr>
            </w:pPr>
            <w:r w:rsidRPr="00070085">
              <w:rPr>
                <w:rFonts w:eastAsia="SimSun"/>
                <w:b/>
                <w:sz w:val="24"/>
                <w:szCs w:val="24"/>
              </w:rPr>
              <w:t>Low Predictive Relevance</w:t>
            </w:r>
          </w:p>
        </w:tc>
      </w:tr>
      <w:tr w:rsidR="00070085" w:rsidRPr="00070085" w14:paraId="3BB7502C" w14:textId="77777777" w:rsidTr="005C4055">
        <w:tc>
          <w:tcPr>
            <w:tcW w:w="0" w:type="auto"/>
            <w:tcBorders>
              <w:top w:val="single" w:sz="4" w:space="0" w:color="auto"/>
              <w:bottom w:val="nil"/>
            </w:tcBorders>
          </w:tcPr>
          <w:p w14:paraId="521CA017" w14:textId="77777777" w:rsidR="00070085" w:rsidRPr="00070085" w:rsidRDefault="00070085" w:rsidP="00070085">
            <w:pPr>
              <w:tabs>
                <w:tab w:val="left" w:pos="900"/>
                <w:tab w:val="left" w:pos="1260"/>
              </w:tabs>
              <w:spacing w:after="120" w:line="240" w:lineRule="exact"/>
              <w:rPr>
                <w:rFonts w:eastAsia="SimSun"/>
                <w:sz w:val="24"/>
                <w:szCs w:val="24"/>
              </w:rPr>
            </w:pPr>
            <w:r w:rsidRPr="00070085">
              <w:rPr>
                <w:rFonts w:eastAsia="SimSun"/>
                <w:sz w:val="24"/>
                <w:szCs w:val="24"/>
              </w:rPr>
              <w:t>CI</w:t>
            </w:r>
          </w:p>
        </w:tc>
        <w:tc>
          <w:tcPr>
            <w:tcW w:w="0" w:type="auto"/>
            <w:tcBorders>
              <w:top w:val="single" w:sz="4" w:space="0" w:color="auto"/>
              <w:bottom w:val="nil"/>
            </w:tcBorders>
          </w:tcPr>
          <w:p w14:paraId="2F367304" w14:textId="77777777" w:rsidR="00070085" w:rsidRPr="00070085" w:rsidRDefault="00070085" w:rsidP="00070085">
            <w:pPr>
              <w:spacing w:after="120" w:line="240" w:lineRule="exact"/>
              <w:jc w:val="center"/>
              <w:rPr>
                <w:rFonts w:eastAsia="SimSun"/>
                <w:sz w:val="24"/>
                <w:szCs w:val="22"/>
              </w:rPr>
            </w:pPr>
            <w:r w:rsidRPr="00070085">
              <w:rPr>
                <w:rFonts w:eastAsia="SimSun"/>
                <w:sz w:val="24"/>
                <w:szCs w:val="22"/>
              </w:rPr>
              <w:t>600.000</w:t>
            </w:r>
          </w:p>
        </w:tc>
        <w:tc>
          <w:tcPr>
            <w:tcW w:w="0" w:type="auto"/>
            <w:tcBorders>
              <w:top w:val="single" w:sz="4" w:space="0" w:color="auto"/>
              <w:bottom w:val="nil"/>
            </w:tcBorders>
          </w:tcPr>
          <w:p w14:paraId="56E72011" w14:textId="77777777" w:rsidR="00070085" w:rsidRPr="00070085" w:rsidRDefault="00070085" w:rsidP="00070085">
            <w:pPr>
              <w:spacing w:after="120" w:line="240" w:lineRule="exact"/>
              <w:jc w:val="center"/>
              <w:rPr>
                <w:rFonts w:eastAsia="SimSun"/>
                <w:sz w:val="24"/>
                <w:szCs w:val="22"/>
              </w:rPr>
            </w:pPr>
            <w:r w:rsidRPr="00070085">
              <w:rPr>
                <w:rFonts w:eastAsia="SimSun"/>
                <w:sz w:val="24"/>
                <w:szCs w:val="22"/>
              </w:rPr>
              <w:t>600.000</w:t>
            </w:r>
          </w:p>
        </w:tc>
        <w:tc>
          <w:tcPr>
            <w:tcW w:w="0" w:type="auto"/>
            <w:tcBorders>
              <w:top w:val="single" w:sz="4" w:space="0" w:color="auto"/>
              <w:bottom w:val="nil"/>
            </w:tcBorders>
          </w:tcPr>
          <w:p w14:paraId="7BC60E2E" w14:textId="77777777" w:rsidR="00070085" w:rsidRPr="00070085" w:rsidRDefault="00070085" w:rsidP="00070085">
            <w:pPr>
              <w:spacing w:after="120" w:line="240" w:lineRule="exact"/>
              <w:jc w:val="center"/>
              <w:rPr>
                <w:rFonts w:eastAsia="SimSun"/>
                <w:sz w:val="24"/>
                <w:szCs w:val="22"/>
              </w:rPr>
            </w:pPr>
          </w:p>
        </w:tc>
        <w:tc>
          <w:tcPr>
            <w:tcW w:w="0" w:type="auto"/>
            <w:tcBorders>
              <w:top w:val="single" w:sz="4" w:space="0" w:color="auto"/>
              <w:bottom w:val="nil"/>
            </w:tcBorders>
          </w:tcPr>
          <w:p w14:paraId="781AEB06" w14:textId="77777777" w:rsidR="00070085" w:rsidRPr="00070085" w:rsidRDefault="00070085" w:rsidP="00070085">
            <w:pPr>
              <w:spacing w:after="120" w:line="240" w:lineRule="exact"/>
              <w:jc w:val="center"/>
              <w:rPr>
                <w:rFonts w:eastAsia="SimSun"/>
                <w:sz w:val="24"/>
                <w:szCs w:val="24"/>
              </w:rPr>
            </w:pPr>
          </w:p>
        </w:tc>
      </w:tr>
      <w:tr w:rsidR="00070085" w:rsidRPr="00070085" w14:paraId="4F85C466" w14:textId="77777777" w:rsidTr="005C4055">
        <w:tc>
          <w:tcPr>
            <w:tcW w:w="0" w:type="auto"/>
            <w:tcBorders>
              <w:top w:val="nil"/>
              <w:bottom w:val="nil"/>
            </w:tcBorders>
          </w:tcPr>
          <w:p w14:paraId="028B7FBB" w14:textId="77777777" w:rsidR="00070085" w:rsidRPr="00070085" w:rsidRDefault="00070085" w:rsidP="00070085">
            <w:pPr>
              <w:tabs>
                <w:tab w:val="left" w:pos="900"/>
                <w:tab w:val="left" w:pos="1260"/>
              </w:tabs>
              <w:spacing w:after="120" w:line="240" w:lineRule="exact"/>
              <w:rPr>
                <w:rFonts w:eastAsia="SimSun"/>
                <w:sz w:val="24"/>
                <w:szCs w:val="24"/>
              </w:rPr>
            </w:pPr>
            <w:r w:rsidRPr="00070085">
              <w:rPr>
                <w:rFonts w:eastAsia="SimSun"/>
                <w:sz w:val="24"/>
                <w:szCs w:val="24"/>
              </w:rPr>
              <w:t>WE</w:t>
            </w:r>
          </w:p>
        </w:tc>
        <w:tc>
          <w:tcPr>
            <w:tcW w:w="0" w:type="auto"/>
            <w:tcBorders>
              <w:top w:val="nil"/>
              <w:bottom w:val="nil"/>
            </w:tcBorders>
          </w:tcPr>
          <w:p w14:paraId="3CAFD0F2" w14:textId="77777777" w:rsidR="00070085" w:rsidRPr="00070085" w:rsidRDefault="00070085" w:rsidP="00070085">
            <w:pPr>
              <w:spacing w:after="120" w:line="240" w:lineRule="exact"/>
              <w:jc w:val="center"/>
              <w:rPr>
                <w:rFonts w:eastAsia="SimSun"/>
                <w:sz w:val="24"/>
                <w:szCs w:val="22"/>
              </w:rPr>
            </w:pPr>
            <w:r w:rsidRPr="00070085">
              <w:rPr>
                <w:rFonts w:eastAsia="SimSun"/>
                <w:sz w:val="24"/>
                <w:szCs w:val="22"/>
              </w:rPr>
              <w:t>600.000</w:t>
            </w:r>
          </w:p>
        </w:tc>
        <w:tc>
          <w:tcPr>
            <w:tcW w:w="0" w:type="auto"/>
            <w:tcBorders>
              <w:top w:val="nil"/>
              <w:bottom w:val="nil"/>
            </w:tcBorders>
          </w:tcPr>
          <w:p w14:paraId="3FEFAD9B" w14:textId="77777777" w:rsidR="00070085" w:rsidRPr="00070085" w:rsidRDefault="00070085" w:rsidP="00070085">
            <w:pPr>
              <w:spacing w:after="120" w:line="240" w:lineRule="exact"/>
              <w:jc w:val="center"/>
              <w:rPr>
                <w:rFonts w:eastAsia="SimSun"/>
                <w:sz w:val="24"/>
                <w:szCs w:val="22"/>
              </w:rPr>
            </w:pPr>
            <w:r w:rsidRPr="00070085">
              <w:rPr>
                <w:rFonts w:eastAsia="SimSun"/>
                <w:sz w:val="24"/>
                <w:szCs w:val="22"/>
              </w:rPr>
              <w:t>600.000</w:t>
            </w:r>
          </w:p>
        </w:tc>
        <w:tc>
          <w:tcPr>
            <w:tcW w:w="0" w:type="auto"/>
            <w:tcBorders>
              <w:top w:val="nil"/>
              <w:bottom w:val="nil"/>
            </w:tcBorders>
          </w:tcPr>
          <w:p w14:paraId="68E3EE0B" w14:textId="77777777" w:rsidR="00070085" w:rsidRPr="00070085" w:rsidRDefault="00070085" w:rsidP="00070085">
            <w:pPr>
              <w:spacing w:after="120" w:line="240" w:lineRule="exact"/>
              <w:jc w:val="center"/>
              <w:rPr>
                <w:rFonts w:eastAsia="SimSun"/>
                <w:sz w:val="24"/>
                <w:szCs w:val="22"/>
              </w:rPr>
            </w:pPr>
          </w:p>
        </w:tc>
        <w:tc>
          <w:tcPr>
            <w:tcW w:w="0" w:type="auto"/>
            <w:tcBorders>
              <w:top w:val="nil"/>
              <w:bottom w:val="nil"/>
            </w:tcBorders>
          </w:tcPr>
          <w:p w14:paraId="0B301AEE" w14:textId="77777777" w:rsidR="00070085" w:rsidRPr="00070085" w:rsidRDefault="00070085" w:rsidP="00070085">
            <w:pPr>
              <w:spacing w:after="120" w:line="240" w:lineRule="exact"/>
              <w:jc w:val="center"/>
              <w:rPr>
                <w:rFonts w:eastAsia="SimSun"/>
                <w:sz w:val="24"/>
                <w:szCs w:val="24"/>
              </w:rPr>
            </w:pPr>
          </w:p>
        </w:tc>
      </w:tr>
      <w:tr w:rsidR="00070085" w:rsidRPr="00070085" w14:paraId="660BBEE5" w14:textId="77777777" w:rsidTr="005C4055">
        <w:tc>
          <w:tcPr>
            <w:tcW w:w="0" w:type="auto"/>
            <w:tcBorders>
              <w:top w:val="nil"/>
              <w:bottom w:val="single" w:sz="4" w:space="0" w:color="auto"/>
            </w:tcBorders>
          </w:tcPr>
          <w:p w14:paraId="59CC4FC6" w14:textId="77777777" w:rsidR="00070085" w:rsidRPr="00070085" w:rsidRDefault="00070085" w:rsidP="00070085">
            <w:pPr>
              <w:spacing w:after="120" w:line="240" w:lineRule="exact"/>
              <w:rPr>
                <w:rFonts w:eastAsia="SimSun"/>
                <w:b/>
                <w:sz w:val="24"/>
                <w:szCs w:val="24"/>
              </w:rPr>
            </w:pPr>
            <w:r w:rsidRPr="00070085">
              <w:rPr>
                <w:rFonts w:eastAsia="SimSun"/>
                <w:b/>
                <w:sz w:val="24"/>
                <w:szCs w:val="24"/>
              </w:rPr>
              <w:t>OE</w:t>
            </w:r>
          </w:p>
        </w:tc>
        <w:tc>
          <w:tcPr>
            <w:tcW w:w="0" w:type="auto"/>
            <w:tcBorders>
              <w:top w:val="nil"/>
              <w:bottom w:val="single" w:sz="4" w:space="0" w:color="auto"/>
            </w:tcBorders>
          </w:tcPr>
          <w:p w14:paraId="0E1D4D27" w14:textId="77777777" w:rsidR="00070085" w:rsidRPr="00070085" w:rsidRDefault="00070085" w:rsidP="00070085">
            <w:pPr>
              <w:spacing w:after="120" w:line="240" w:lineRule="exact"/>
              <w:jc w:val="center"/>
              <w:rPr>
                <w:rFonts w:eastAsia="SimSun"/>
                <w:b/>
                <w:sz w:val="24"/>
                <w:szCs w:val="22"/>
              </w:rPr>
            </w:pPr>
            <w:r w:rsidRPr="00070085">
              <w:rPr>
                <w:rFonts w:eastAsia="SimSun"/>
                <w:b/>
                <w:sz w:val="24"/>
                <w:szCs w:val="22"/>
              </w:rPr>
              <w:t>600.000</w:t>
            </w:r>
          </w:p>
        </w:tc>
        <w:tc>
          <w:tcPr>
            <w:tcW w:w="0" w:type="auto"/>
            <w:tcBorders>
              <w:top w:val="nil"/>
              <w:bottom w:val="single" w:sz="4" w:space="0" w:color="auto"/>
            </w:tcBorders>
          </w:tcPr>
          <w:p w14:paraId="15258C11" w14:textId="77777777" w:rsidR="00070085" w:rsidRPr="00070085" w:rsidRDefault="00070085" w:rsidP="00070085">
            <w:pPr>
              <w:spacing w:after="120" w:line="240" w:lineRule="exact"/>
              <w:jc w:val="center"/>
              <w:rPr>
                <w:rFonts w:eastAsia="SimSun"/>
                <w:b/>
                <w:sz w:val="24"/>
                <w:szCs w:val="22"/>
              </w:rPr>
            </w:pPr>
            <w:r w:rsidRPr="00070085">
              <w:rPr>
                <w:rFonts w:eastAsia="SimSun"/>
                <w:b/>
                <w:sz w:val="24"/>
                <w:szCs w:val="22"/>
              </w:rPr>
              <w:t>392.971</w:t>
            </w:r>
          </w:p>
        </w:tc>
        <w:tc>
          <w:tcPr>
            <w:tcW w:w="0" w:type="auto"/>
            <w:tcBorders>
              <w:top w:val="nil"/>
              <w:bottom w:val="single" w:sz="4" w:space="0" w:color="auto"/>
            </w:tcBorders>
          </w:tcPr>
          <w:p w14:paraId="5C7B12CF" w14:textId="77777777" w:rsidR="00070085" w:rsidRPr="00070085" w:rsidRDefault="00070085" w:rsidP="00070085">
            <w:pPr>
              <w:spacing w:after="120" w:line="240" w:lineRule="exact"/>
              <w:jc w:val="center"/>
              <w:rPr>
                <w:rFonts w:eastAsia="SimSun"/>
                <w:b/>
                <w:sz w:val="24"/>
                <w:szCs w:val="22"/>
              </w:rPr>
            </w:pPr>
            <w:r w:rsidRPr="00070085">
              <w:rPr>
                <w:rFonts w:eastAsia="SimSun"/>
                <w:b/>
                <w:sz w:val="24"/>
                <w:szCs w:val="22"/>
              </w:rPr>
              <w:t>0.345</w:t>
            </w:r>
          </w:p>
        </w:tc>
        <w:tc>
          <w:tcPr>
            <w:tcW w:w="0" w:type="auto"/>
            <w:tcBorders>
              <w:top w:val="nil"/>
              <w:bottom w:val="single" w:sz="4" w:space="0" w:color="auto"/>
            </w:tcBorders>
          </w:tcPr>
          <w:p w14:paraId="788D7699" w14:textId="77777777" w:rsidR="00070085" w:rsidRPr="00070085" w:rsidRDefault="00070085" w:rsidP="00070085">
            <w:pPr>
              <w:spacing w:after="120" w:line="240" w:lineRule="exact"/>
              <w:jc w:val="center"/>
              <w:rPr>
                <w:rFonts w:eastAsia="SimSun"/>
                <w:b/>
                <w:sz w:val="24"/>
                <w:szCs w:val="24"/>
              </w:rPr>
            </w:pPr>
            <w:r w:rsidRPr="00070085">
              <w:rPr>
                <w:rFonts w:eastAsia="SimSun"/>
                <w:b/>
                <w:sz w:val="24"/>
                <w:szCs w:val="24"/>
              </w:rPr>
              <w:t>Medium Predictive Relevance</w:t>
            </w:r>
          </w:p>
        </w:tc>
      </w:tr>
      <w:tr w:rsidR="00070085" w:rsidRPr="00070085" w14:paraId="0B35AD5F" w14:textId="77777777" w:rsidTr="005C4055">
        <w:trPr>
          <w:trHeight w:val="1151"/>
        </w:trPr>
        <w:tc>
          <w:tcPr>
            <w:tcW w:w="0" w:type="auto"/>
            <w:gridSpan w:val="5"/>
            <w:tcBorders>
              <w:top w:val="single" w:sz="4" w:space="0" w:color="auto"/>
            </w:tcBorders>
          </w:tcPr>
          <w:p w14:paraId="6BA74602" w14:textId="77777777" w:rsidR="00070085" w:rsidRPr="00070085" w:rsidRDefault="00070085" w:rsidP="00070085">
            <w:pPr>
              <w:spacing w:after="120" w:line="240" w:lineRule="exact"/>
              <w:jc w:val="both"/>
              <w:rPr>
                <w:rFonts w:eastAsia="Times New Roman"/>
                <w:sz w:val="24"/>
                <w:szCs w:val="24"/>
              </w:rPr>
            </w:pPr>
            <w:r w:rsidRPr="00070085">
              <w:rPr>
                <w:rFonts w:eastAsia="Times New Roman"/>
                <w:b/>
                <w:sz w:val="24"/>
                <w:szCs w:val="24"/>
              </w:rPr>
              <w:t>Note:</w:t>
            </w:r>
            <w:r w:rsidRPr="00070085">
              <w:rPr>
                <w:rFonts w:eastAsia="Times New Roman"/>
                <w:sz w:val="24"/>
                <w:szCs w:val="24"/>
              </w:rPr>
              <w:t xml:space="preserve"> </w:t>
            </w:r>
            <w:r w:rsidRPr="00070085">
              <w:rPr>
                <w:rFonts w:eastAsia="Times New Roman"/>
                <w:b/>
                <w:sz w:val="24"/>
                <w:szCs w:val="24"/>
              </w:rPr>
              <w:t xml:space="preserve">CI = </w:t>
            </w:r>
            <w:r w:rsidRPr="00070085">
              <w:rPr>
                <w:rFonts w:eastAsia="Times New Roman"/>
                <w:sz w:val="24"/>
                <w:szCs w:val="24"/>
              </w:rPr>
              <w:t>Continuous Improvement</w:t>
            </w:r>
            <w:r w:rsidRPr="00070085">
              <w:rPr>
                <w:rFonts w:eastAsia="Times New Roman"/>
                <w:b/>
                <w:sz w:val="24"/>
                <w:szCs w:val="24"/>
              </w:rPr>
              <w:t xml:space="preserve">; WE = </w:t>
            </w:r>
            <w:r w:rsidRPr="00070085">
              <w:rPr>
                <w:rFonts w:eastAsia="Times New Roman"/>
                <w:sz w:val="24"/>
                <w:szCs w:val="24"/>
              </w:rPr>
              <w:t>Waste Elimination;</w:t>
            </w:r>
            <w:r w:rsidRPr="00070085">
              <w:rPr>
                <w:rFonts w:eastAsia="Times New Roman"/>
                <w:b/>
                <w:sz w:val="24"/>
                <w:szCs w:val="24"/>
              </w:rPr>
              <w:t xml:space="preserve"> SS = </w:t>
            </w:r>
            <w:r w:rsidRPr="00070085">
              <w:rPr>
                <w:rFonts w:eastAsia="Times New Roman"/>
                <w:sz w:val="24"/>
                <w:szCs w:val="24"/>
              </w:rPr>
              <w:t>Stakeholder Satisfaction;</w:t>
            </w:r>
            <w:r w:rsidRPr="00070085">
              <w:rPr>
                <w:rFonts w:eastAsia="Times New Roman"/>
                <w:b/>
                <w:sz w:val="24"/>
                <w:szCs w:val="24"/>
              </w:rPr>
              <w:t xml:space="preserve"> OE = </w:t>
            </w:r>
            <w:r w:rsidRPr="00070085">
              <w:rPr>
                <w:rFonts w:eastAsia="Times New Roman"/>
                <w:sz w:val="24"/>
                <w:szCs w:val="24"/>
              </w:rPr>
              <w:t xml:space="preserve">Operational Efficiency. </w:t>
            </w:r>
            <m:oMath>
              <m:sSup>
                <m:sSupPr>
                  <m:ctrlPr>
                    <w:rPr>
                      <w:rFonts w:ascii="Cambria Math" w:eastAsia="SimSun" w:hAnsi="Cambria Math"/>
                      <w:b/>
                      <w:i/>
                      <w:sz w:val="24"/>
                      <w:szCs w:val="24"/>
                    </w:rPr>
                  </m:ctrlPr>
                </m:sSupPr>
                <m:e>
                  <m:r>
                    <m:rPr>
                      <m:sty m:val="bi"/>
                    </m:rPr>
                    <w:rPr>
                      <w:rFonts w:ascii="Cambria Math" w:eastAsia="SimSun" w:hAnsi="Cambria Math"/>
                      <w:sz w:val="24"/>
                      <w:szCs w:val="24"/>
                    </w:rPr>
                    <m:t>Q</m:t>
                  </m:r>
                </m:e>
                <m:sup>
                  <m:r>
                    <m:rPr>
                      <m:sty m:val="bi"/>
                    </m:rPr>
                    <w:rPr>
                      <w:rFonts w:ascii="Cambria Math" w:eastAsia="SimSun" w:hAnsi="Cambria Math"/>
                      <w:sz w:val="24"/>
                      <w:szCs w:val="24"/>
                    </w:rPr>
                    <m:t>2</m:t>
                  </m:r>
                </m:sup>
              </m:sSup>
            </m:oMath>
            <w:r w:rsidRPr="00070085">
              <w:rPr>
                <w:rFonts w:eastAsia="SimSun"/>
                <w:sz w:val="24"/>
                <w:szCs w:val="24"/>
              </w:rPr>
              <w:t xml:space="preserve">= Predictive Relevance; </w:t>
            </w:r>
            <w:r w:rsidRPr="00070085">
              <w:rPr>
                <w:rFonts w:eastAsia="SimSun"/>
                <w:b/>
                <w:sz w:val="24"/>
                <w:szCs w:val="24"/>
              </w:rPr>
              <w:t>SSE</w:t>
            </w:r>
            <w:r w:rsidRPr="00070085">
              <w:rPr>
                <w:rFonts w:eastAsia="SimSun"/>
                <w:sz w:val="24"/>
                <w:szCs w:val="24"/>
              </w:rPr>
              <w:t xml:space="preserve">= Sum of Squares of Prediction Errors; </w:t>
            </w:r>
            <w:r w:rsidRPr="00070085">
              <w:rPr>
                <w:rFonts w:eastAsia="SimSun"/>
                <w:b/>
                <w:sz w:val="24"/>
                <w:szCs w:val="24"/>
              </w:rPr>
              <w:t>SSO</w:t>
            </w:r>
            <w:r w:rsidRPr="00070085">
              <w:rPr>
                <w:rFonts w:eastAsia="SimSun"/>
                <w:sz w:val="24"/>
                <w:szCs w:val="24"/>
              </w:rPr>
              <w:t xml:space="preserve"> = Sum of Squares of Observations. </w:t>
            </w:r>
            <w:r w:rsidRPr="00070085">
              <w:rPr>
                <w:rFonts w:eastAsia="SimSun"/>
                <w:b/>
                <w:sz w:val="24"/>
                <w:szCs w:val="24"/>
              </w:rPr>
              <w:t xml:space="preserve">Reference values: </w:t>
            </w:r>
            <m:oMath>
              <m:sSup>
                <m:sSupPr>
                  <m:ctrlPr>
                    <w:rPr>
                      <w:rFonts w:ascii="Cambria Math" w:eastAsia="SimSun" w:hAnsi="Cambria Math"/>
                      <w:b/>
                      <w:i/>
                      <w:sz w:val="24"/>
                      <w:szCs w:val="24"/>
                    </w:rPr>
                  </m:ctrlPr>
                </m:sSupPr>
                <m:e>
                  <m:r>
                    <m:rPr>
                      <m:sty m:val="bi"/>
                    </m:rPr>
                    <w:rPr>
                      <w:rFonts w:ascii="Cambria Math" w:eastAsia="SimSun" w:hAnsi="Cambria Math"/>
                      <w:sz w:val="24"/>
                      <w:szCs w:val="24"/>
                    </w:rPr>
                    <m:t>Q</m:t>
                  </m:r>
                </m:e>
                <m:sup>
                  <m:r>
                    <m:rPr>
                      <m:sty m:val="bi"/>
                    </m:rPr>
                    <w:rPr>
                      <w:rFonts w:ascii="Cambria Math" w:eastAsia="SimSun" w:hAnsi="Cambria Math"/>
                      <w:sz w:val="24"/>
                      <w:szCs w:val="24"/>
                    </w:rPr>
                    <m:t>2</m:t>
                  </m:r>
                </m:sup>
              </m:sSup>
            </m:oMath>
            <w:r w:rsidRPr="00070085">
              <w:rPr>
                <w:rFonts w:eastAsia="SimSun"/>
                <w:b/>
                <w:sz w:val="24"/>
                <w:szCs w:val="24"/>
              </w:rPr>
              <w:t xml:space="preserve"> </w:t>
            </w:r>
            <w:r w:rsidRPr="00070085">
              <w:rPr>
                <w:rFonts w:eastAsia="SimSun"/>
                <w:sz w:val="24"/>
                <w:szCs w:val="24"/>
              </w:rPr>
              <w:t xml:space="preserve">values above 0.00, 0.25, and 0.50 indicate low, medium, and high predictive relevance of the PLS path model, respectively. This study follows the </w:t>
            </w:r>
            <m:oMath>
              <m:sSup>
                <m:sSupPr>
                  <m:ctrlPr>
                    <w:rPr>
                      <w:rFonts w:ascii="Cambria Math" w:eastAsia="SimSun" w:hAnsi="Cambria Math"/>
                      <w:i/>
                      <w:sz w:val="24"/>
                      <w:szCs w:val="24"/>
                    </w:rPr>
                  </m:ctrlPr>
                </m:sSupPr>
                <m:e>
                  <m:r>
                    <w:rPr>
                      <w:rFonts w:ascii="Cambria Math" w:eastAsia="SimSun" w:hAnsi="Cambria Math"/>
                      <w:sz w:val="24"/>
                      <w:szCs w:val="24"/>
                    </w:rPr>
                    <m:t>Q</m:t>
                  </m:r>
                </m:e>
                <m:sup>
                  <m:r>
                    <w:rPr>
                      <w:rFonts w:ascii="Cambria Math" w:eastAsia="SimSun" w:hAnsi="Cambria Math"/>
                      <w:sz w:val="24"/>
                      <w:szCs w:val="24"/>
                    </w:rPr>
                    <m:t>2</m:t>
                  </m:r>
                </m:sup>
              </m:sSup>
            </m:oMath>
            <w:r w:rsidRPr="00070085">
              <w:rPr>
                <w:rFonts w:eastAsia="SimSun"/>
                <w:sz w:val="24"/>
                <w:szCs w:val="24"/>
              </w:rPr>
              <w:t xml:space="preserve"> calibration of Hair et al (2019).</w:t>
            </w:r>
          </w:p>
        </w:tc>
      </w:tr>
    </w:tbl>
    <w:p w14:paraId="2548C5B1" w14:textId="77777777" w:rsidR="00070085" w:rsidRPr="00070085" w:rsidRDefault="00070085" w:rsidP="00070085">
      <w:pPr>
        <w:spacing w:before="60" w:after="120" w:line="240" w:lineRule="auto"/>
        <w:jc w:val="both"/>
        <w:rPr>
          <w:rFonts w:ascii="Times New Roman" w:eastAsia="SimSun" w:hAnsi="Times New Roman" w:cs="Times New Roman"/>
          <w:kern w:val="0"/>
          <w14:ligatures w14:val="none"/>
        </w:rPr>
      </w:pPr>
      <w:r w:rsidRPr="00070085">
        <w:rPr>
          <w:rFonts w:ascii="Times New Roman" w:eastAsia="Times New Roman" w:hAnsi="Times New Roman" w:cs="Times New Roman"/>
          <w:b/>
          <w:iCs/>
          <w:kern w:val="0"/>
          <w14:ligatures w14:val="none"/>
        </w:rPr>
        <w:t>Source:</w:t>
      </w:r>
      <w:r w:rsidRPr="00070085">
        <w:rPr>
          <w:rFonts w:ascii="Times New Roman" w:eastAsia="Times New Roman" w:hAnsi="Times New Roman" w:cs="Times New Roman"/>
          <w:iCs/>
          <w:kern w:val="0"/>
          <w14:ligatures w14:val="none"/>
        </w:rPr>
        <w:t xml:space="preserve"> </w:t>
      </w:r>
      <w:proofErr w:type="spellStart"/>
      <w:r w:rsidRPr="00070085">
        <w:rPr>
          <w:rFonts w:ascii="Times New Roman" w:eastAsia="SimSun" w:hAnsi="Times New Roman" w:cs="Times New Roman"/>
          <w:kern w:val="0"/>
          <w14:ligatures w14:val="none"/>
        </w:rPr>
        <w:t>SmartPLS</w:t>
      </w:r>
      <w:proofErr w:type="spellEnd"/>
      <w:r w:rsidRPr="00070085">
        <w:rPr>
          <w:rFonts w:ascii="Times New Roman" w:eastAsia="SimSun" w:hAnsi="Times New Roman" w:cs="Times New Roman"/>
          <w:kern w:val="0"/>
          <w14:ligatures w14:val="none"/>
        </w:rPr>
        <w:t xml:space="preserve"> 3.2.6 </w:t>
      </w:r>
      <w:r w:rsidRPr="00070085">
        <w:rPr>
          <w:rFonts w:ascii="Times New Roman" w:eastAsia="Times New Roman" w:hAnsi="Times New Roman" w:cs="Times New Roman"/>
          <w:iCs/>
          <w:kern w:val="0"/>
          <w14:ligatures w14:val="none"/>
        </w:rPr>
        <w:t>Output of Research Data, 2026</w:t>
      </w:r>
    </w:p>
    <w:p w14:paraId="73D4E945"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 xml:space="preserve">Table 4.10 presents the results of the cross-validated redundancy (Q²) analysis conducted through the blindfolding procedure in </w:t>
      </w:r>
      <w:proofErr w:type="spellStart"/>
      <w:r w:rsidRPr="00070085">
        <w:rPr>
          <w:rFonts w:ascii="Times New Roman" w:eastAsia="SimSun" w:hAnsi="Times New Roman" w:cs="Times New Roman"/>
          <w:kern w:val="0"/>
          <w:szCs w:val="22"/>
          <w14:ligatures w14:val="none"/>
        </w:rPr>
        <w:t>SmartPLS</w:t>
      </w:r>
      <w:proofErr w:type="spellEnd"/>
      <w:r w:rsidRPr="00070085">
        <w:rPr>
          <w:rFonts w:ascii="Times New Roman" w:eastAsia="SimSun" w:hAnsi="Times New Roman" w:cs="Times New Roman"/>
          <w:kern w:val="0"/>
          <w:szCs w:val="22"/>
          <w14:ligatures w14:val="none"/>
        </w:rPr>
        <w:t xml:space="preserve"> to assess the predictive relevance of the structural model. According to Hair et al. (2019), Q² values greater than 0.00, 0.25, and 0.50 indicate low, medium, and high predictive relevance, respectively, for the endogenous constructs in the PLS path model.</w:t>
      </w:r>
    </w:p>
    <w:p w14:paraId="4A05F154"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lastRenderedPageBreak/>
        <w:t>For Stakeholder Satisfaction (SS), the analysis yielded an SSO of 600.000 and an SSE of 453.921, producing a Q² value of 0.243. This value exceeds the minimum threshold of 0.00, confirming that the model possesses predictive relevance for stakeholder satisfaction; however, it falls marginally below the 0.25 benchmark for medium predictive relevance, and is thus classified as indicative of low predictive relevance. This finding is consistent with the relatively modest R² of 0.354 obtained for SS, and suggests that while CI and WE contribute meaningfully to predicting stakeholder satisfaction, the model's predictive precision for this construct is limited, potentially due to the multidimensional and perception-driven nature of stakeholder satisfaction in complex operating environments.</w:t>
      </w:r>
    </w:p>
    <w:p w14:paraId="610807B1" w14:textId="77777777" w:rsidR="00070085" w:rsidRPr="00070085" w:rsidRDefault="00070085" w:rsidP="00070085">
      <w:pPr>
        <w:spacing w:after="120" w:line="240" w:lineRule="exact"/>
        <w:jc w:val="both"/>
        <w:rPr>
          <w:rFonts w:ascii="Calibri" w:eastAsia="SimSun" w:hAnsi="Calibri" w:cs="Times New Roman"/>
          <w:kern w:val="0"/>
          <w:sz w:val="22"/>
          <w:szCs w:val="22"/>
          <w14:ligatures w14:val="none"/>
        </w:rPr>
      </w:pPr>
      <w:r w:rsidRPr="00070085">
        <w:rPr>
          <w:rFonts w:ascii="Times New Roman" w:eastAsia="SimSun" w:hAnsi="Times New Roman" w:cs="Times New Roman"/>
          <w:kern w:val="0"/>
          <w:szCs w:val="22"/>
          <w14:ligatures w14:val="none"/>
        </w:rPr>
        <w:t>For Operational Efficiency (OE), the results yielded an SSO of 600.000 and an SSE of 392.971, producing a Q² value of 0.345. This value exceeds both the minimum threshold of 0.00 and the medium predictive relevance benchmark of 0.25, and is thus classified as medium predictive relevance. This result is consistent with the stronger R² value of 0.501 obtained for OE and underscores that the model, anchored by CI and WE, provides reasonably robust predictive capability for operational efficiency outcomes in the midstream oil and gas sector</w:t>
      </w:r>
      <w:r w:rsidRPr="00070085">
        <w:rPr>
          <w:rFonts w:ascii="Calibri" w:eastAsia="SimSun" w:hAnsi="Calibri" w:cs="Times New Roman"/>
          <w:kern w:val="0"/>
          <w:sz w:val="22"/>
          <w:szCs w:val="22"/>
          <w14:ligatures w14:val="none"/>
        </w:rPr>
        <w:t>.</w:t>
      </w:r>
    </w:p>
    <w:p w14:paraId="0C1C0BE3" w14:textId="77777777" w:rsidR="00070085" w:rsidRPr="00070085" w:rsidRDefault="00070085" w:rsidP="00070085">
      <w:pPr>
        <w:spacing w:after="0" w:line="240" w:lineRule="auto"/>
        <w:rPr>
          <w:rFonts w:ascii="Times New Roman" w:eastAsia="SimSun" w:hAnsi="Times New Roman" w:cs="Times New Roman"/>
          <w:kern w:val="0"/>
          <w14:ligatures w14:val="none"/>
        </w:rPr>
      </w:pPr>
    </w:p>
    <w:p w14:paraId="2B00BD3C" w14:textId="77777777" w:rsidR="00070085" w:rsidRPr="00070085" w:rsidRDefault="00070085" w:rsidP="00070085">
      <w:pPr>
        <w:spacing w:after="0" w:line="240" w:lineRule="exact"/>
        <w:contextualSpacing/>
        <w:jc w:val="both"/>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4.1.5.2.3</w:t>
      </w:r>
      <w:r w:rsidRPr="00070085">
        <w:rPr>
          <w:rFonts w:ascii="Times New Roman" w:eastAsia="SimSun" w:hAnsi="Times New Roman" w:cs="Times New Roman"/>
          <w:b/>
          <w:kern w:val="0"/>
          <w:szCs w:val="22"/>
          <w14:ligatures w14:val="none"/>
        </w:rPr>
        <w:tab/>
        <w:t>Assessment of Effect Size (f²)</w:t>
      </w:r>
    </w:p>
    <w:p w14:paraId="5668825C" w14:textId="77777777" w:rsidR="00070085" w:rsidRPr="00070085" w:rsidRDefault="00070085" w:rsidP="00070085">
      <w:pPr>
        <w:spacing w:after="0" w:line="240" w:lineRule="exact"/>
        <w:contextualSpacing/>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 xml:space="preserve">Table 4.11 presents the effect size (f²) of each lean management system dimension on the </w:t>
      </w:r>
      <w:proofErr w:type="spellStart"/>
      <w:r w:rsidRPr="00070085">
        <w:rPr>
          <w:rFonts w:ascii="Times New Roman" w:eastAsia="SimSun" w:hAnsi="Times New Roman" w:cs="Times New Roman"/>
          <w:kern w:val="0"/>
          <w:szCs w:val="22"/>
          <w14:ligatures w14:val="none"/>
        </w:rPr>
        <w:t>organisational</w:t>
      </w:r>
      <w:proofErr w:type="spellEnd"/>
      <w:r w:rsidRPr="00070085">
        <w:rPr>
          <w:rFonts w:ascii="Times New Roman" w:eastAsia="SimSun" w:hAnsi="Times New Roman" w:cs="Times New Roman"/>
          <w:kern w:val="0"/>
          <w:szCs w:val="22"/>
          <w14:ligatures w14:val="none"/>
        </w:rPr>
        <w:t xml:space="preserve"> effectiveness proxies. Effect size is computed as f² = (R²included − R²</w:t>
      </w:r>
      <w:proofErr w:type="gramStart"/>
      <w:r w:rsidRPr="00070085">
        <w:rPr>
          <w:rFonts w:ascii="Times New Roman" w:eastAsia="SimSun" w:hAnsi="Times New Roman" w:cs="Times New Roman"/>
          <w:kern w:val="0"/>
          <w:szCs w:val="22"/>
          <w14:ligatures w14:val="none"/>
        </w:rPr>
        <w:t>excluded )</w:t>
      </w:r>
      <w:proofErr w:type="gramEnd"/>
      <w:r w:rsidRPr="00070085">
        <w:rPr>
          <w:rFonts w:ascii="Times New Roman" w:eastAsia="SimSun" w:hAnsi="Times New Roman" w:cs="Times New Roman"/>
          <w:kern w:val="0"/>
          <w:szCs w:val="22"/>
          <w14:ligatures w14:val="none"/>
        </w:rPr>
        <w:t xml:space="preserve"> / (1 − R²included), and reflects the practical significance of each exogenous variable's contribution to the endogenous construct's explained variance. According to Cohen (1988) and Hair et al. (2022), f² values of 0.02, 0.15, and 0.35 indicate small, medium, and large effects, respectively, while values below 0.02 indicate no meaningful effect.</w:t>
      </w:r>
    </w:p>
    <w:p w14:paraId="025DDBEB" w14:textId="77777777" w:rsidR="00070085" w:rsidRPr="00070085" w:rsidRDefault="00070085" w:rsidP="00070085">
      <w:pPr>
        <w:spacing w:after="0" w:line="240" w:lineRule="exact"/>
        <w:contextualSpacing/>
        <w:jc w:val="both"/>
        <w:rPr>
          <w:rFonts w:ascii="Times New Roman" w:eastAsia="SimSun" w:hAnsi="Times New Roman" w:cs="Times New Roman"/>
          <w:kern w:val="0"/>
          <w:szCs w:val="22"/>
          <w14:ligatures w14:val="none"/>
        </w:rPr>
      </w:pPr>
    </w:p>
    <w:p w14:paraId="65CA6756" w14:textId="77777777" w:rsidR="00070085" w:rsidRPr="00070085" w:rsidRDefault="00070085" w:rsidP="00070085">
      <w:pPr>
        <w:spacing w:after="0" w:line="240" w:lineRule="exact"/>
        <w:contextualSpacing/>
        <w:rPr>
          <w:rFonts w:ascii="Times New Roman" w:eastAsia="SimSun" w:hAnsi="Times New Roman" w:cs="Times New Roman"/>
          <w:kern w:val="0"/>
          <w14:ligatures w14:val="none"/>
        </w:rPr>
      </w:pPr>
      <w:r w:rsidRPr="00070085">
        <w:rPr>
          <w:rFonts w:ascii="Times New Roman" w:eastAsia="Times New Roman" w:hAnsi="Times New Roman" w:cs="Times New Roman"/>
          <w:b/>
          <w:bCs/>
          <w:kern w:val="0"/>
          <w14:ligatures w14:val="none"/>
        </w:rPr>
        <w:t>Table 4.11: Effect Size of the Exogenous Variables on the Endogenous Variables</w:t>
      </w:r>
    </w:p>
    <w:tbl>
      <w:tblPr>
        <w:tblStyle w:val="TableGrid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47"/>
        <w:gridCol w:w="1904"/>
        <w:gridCol w:w="1280"/>
        <w:gridCol w:w="1331"/>
        <w:gridCol w:w="1372"/>
        <w:gridCol w:w="1426"/>
      </w:tblGrid>
      <w:tr w:rsidR="00070085" w:rsidRPr="00070085" w14:paraId="316EF15F" w14:textId="77777777" w:rsidTr="005C4055">
        <w:tc>
          <w:tcPr>
            <w:tcW w:w="1093" w:type="pct"/>
            <w:tcBorders>
              <w:top w:val="single" w:sz="4" w:space="0" w:color="auto"/>
              <w:bottom w:val="single" w:sz="4" w:space="0" w:color="auto"/>
            </w:tcBorders>
          </w:tcPr>
          <w:p w14:paraId="20EB4B74"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Endogenous Variable</w:t>
            </w:r>
          </w:p>
        </w:tc>
        <w:tc>
          <w:tcPr>
            <w:tcW w:w="1017" w:type="pct"/>
            <w:tcBorders>
              <w:top w:val="single" w:sz="4" w:space="0" w:color="auto"/>
              <w:bottom w:val="single" w:sz="4" w:space="0" w:color="auto"/>
            </w:tcBorders>
          </w:tcPr>
          <w:p w14:paraId="7DBA5942"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Exogenous Variable</w:t>
            </w:r>
          </w:p>
        </w:tc>
        <w:tc>
          <w:tcPr>
            <w:tcW w:w="684" w:type="pct"/>
            <w:tcBorders>
              <w:top w:val="single" w:sz="4" w:space="0" w:color="auto"/>
              <w:bottom w:val="single" w:sz="4" w:space="0" w:color="auto"/>
            </w:tcBorders>
          </w:tcPr>
          <w:p w14:paraId="70FF3B0D"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R² Included</w:t>
            </w:r>
          </w:p>
        </w:tc>
        <w:tc>
          <w:tcPr>
            <w:tcW w:w="711" w:type="pct"/>
            <w:tcBorders>
              <w:top w:val="single" w:sz="4" w:space="0" w:color="auto"/>
              <w:bottom w:val="single" w:sz="4" w:space="0" w:color="auto"/>
            </w:tcBorders>
          </w:tcPr>
          <w:p w14:paraId="0A894827"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R² Excluded</w:t>
            </w:r>
          </w:p>
        </w:tc>
        <w:tc>
          <w:tcPr>
            <w:tcW w:w="733" w:type="pct"/>
            <w:tcBorders>
              <w:top w:val="single" w:sz="4" w:space="0" w:color="auto"/>
              <w:bottom w:val="single" w:sz="4" w:space="0" w:color="auto"/>
            </w:tcBorders>
          </w:tcPr>
          <w:p w14:paraId="4FA1BF55"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f² – Effect Size</w:t>
            </w:r>
          </w:p>
        </w:tc>
        <w:tc>
          <w:tcPr>
            <w:tcW w:w="762" w:type="pct"/>
            <w:tcBorders>
              <w:top w:val="single" w:sz="4" w:space="0" w:color="auto"/>
              <w:bottom w:val="single" w:sz="4" w:space="0" w:color="auto"/>
            </w:tcBorders>
          </w:tcPr>
          <w:p w14:paraId="0B35FE71" w14:textId="77777777" w:rsidR="00070085" w:rsidRPr="00070085" w:rsidRDefault="00070085" w:rsidP="00070085">
            <w:pPr>
              <w:spacing w:line="240" w:lineRule="exact"/>
              <w:contextualSpacing/>
              <w:jc w:val="center"/>
              <w:rPr>
                <w:rFonts w:eastAsia="Times New Roman"/>
                <w:b/>
                <w:bCs/>
                <w:sz w:val="24"/>
                <w:szCs w:val="24"/>
              </w:rPr>
            </w:pPr>
            <w:r w:rsidRPr="00070085">
              <w:rPr>
                <w:rFonts w:eastAsia="Times New Roman"/>
                <w:b/>
                <w:bCs/>
                <w:sz w:val="24"/>
                <w:szCs w:val="24"/>
              </w:rPr>
              <w:t>Remark</w:t>
            </w:r>
          </w:p>
        </w:tc>
      </w:tr>
      <w:tr w:rsidR="00070085" w:rsidRPr="00070085" w14:paraId="144BD46A" w14:textId="77777777" w:rsidTr="005C4055">
        <w:tc>
          <w:tcPr>
            <w:tcW w:w="1093" w:type="pct"/>
            <w:vMerge w:val="restart"/>
            <w:tcBorders>
              <w:top w:val="single" w:sz="4" w:space="0" w:color="auto"/>
            </w:tcBorders>
          </w:tcPr>
          <w:p w14:paraId="082E8575" w14:textId="77777777" w:rsidR="00070085" w:rsidRPr="00070085" w:rsidRDefault="00070085" w:rsidP="00070085">
            <w:pPr>
              <w:spacing w:line="240" w:lineRule="exact"/>
              <w:contextualSpacing/>
              <w:rPr>
                <w:rFonts w:eastAsia="Times New Roman"/>
                <w:sz w:val="24"/>
                <w:szCs w:val="24"/>
              </w:rPr>
            </w:pPr>
          </w:p>
          <w:p w14:paraId="7BC298F7"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SS</w:t>
            </w:r>
          </w:p>
        </w:tc>
        <w:tc>
          <w:tcPr>
            <w:tcW w:w="1017" w:type="pct"/>
            <w:tcBorders>
              <w:top w:val="single" w:sz="4" w:space="0" w:color="auto"/>
            </w:tcBorders>
          </w:tcPr>
          <w:p w14:paraId="73733629" w14:textId="77777777" w:rsidR="00070085" w:rsidRPr="00070085" w:rsidRDefault="00070085" w:rsidP="00070085">
            <w:pPr>
              <w:tabs>
                <w:tab w:val="left" w:pos="900"/>
                <w:tab w:val="left" w:pos="1260"/>
              </w:tabs>
              <w:spacing w:line="240" w:lineRule="exact"/>
              <w:contextualSpacing/>
              <w:jc w:val="center"/>
              <w:rPr>
                <w:rFonts w:eastAsia="SimSun"/>
                <w:sz w:val="24"/>
                <w:szCs w:val="24"/>
              </w:rPr>
            </w:pPr>
            <w:r w:rsidRPr="00070085">
              <w:rPr>
                <w:rFonts w:eastAsia="SimSun"/>
                <w:sz w:val="24"/>
                <w:szCs w:val="24"/>
              </w:rPr>
              <w:t>CI</w:t>
            </w:r>
          </w:p>
        </w:tc>
        <w:tc>
          <w:tcPr>
            <w:tcW w:w="684" w:type="pct"/>
            <w:tcBorders>
              <w:top w:val="single" w:sz="4" w:space="0" w:color="auto"/>
            </w:tcBorders>
          </w:tcPr>
          <w:p w14:paraId="25F1BB9B" w14:textId="77777777" w:rsidR="00070085" w:rsidRPr="00070085" w:rsidRDefault="00070085" w:rsidP="00070085">
            <w:pPr>
              <w:spacing w:line="240" w:lineRule="exact"/>
              <w:contextualSpacing/>
              <w:jc w:val="center"/>
              <w:rPr>
                <w:rFonts w:eastAsia="SimSun"/>
                <w:sz w:val="24"/>
                <w:szCs w:val="22"/>
              </w:rPr>
            </w:pPr>
            <w:r w:rsidRPr="00070085">
              <w:rPr>
                <w:rFonts w:eastAsia="SimSun"/>
                <w:sz w:val="24"/>
                <w:szCs w:val="24"/>
              </w:rPr>
              <w:t>0.354</w:t>
            </w:r>
          </w:p>
        </w:tc>
        <w:tc>
          <w:tcPr>
            <w:tcW w:w="711" w:type="pct"/>
            <w:tcBorders>
              <w:top w:val="single" w:sz="4" w:space="0" w:color="auto"/>
            </w:tcBorders>
          </w:tcPr>
          <w:p w14:paraId="45B6F4C3"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0.273</w:t>
            </w:r>
          </w:p>
        </w:tc>
        <w:tc>
          <w:tcPr>
            <w:tcW w:w="733" w:type="pct"/>
            <w:tcBorders>
              <w:top w:val="single" w:sz="4" w:space="0" w:color="auto"/>
            </w:tcBorders>
            <w:vAlign w:val="bottom"/>
          </w:tcPr>
          <w:p w14:paraId="16D8B34F" w14:textId="77777777" w:rsidR="00070085" w:rsidRPr="00070085" w:rsidRDefault="00070085" w:rsidP="00070085">
            <w:pPr>
              <w:spacing w:line="240" w:lineRule="exact"/>
              <w:contextualSpacing/>
              <w:jc w:val="center"/>
              <w:rPr>
                <w:rFonts w:eastAsia="SimSun"/>
                <w:color w:val="000000"/>
                <w:sz w:val="24"/>
                <w:szCs w:val="22"/>
              </w:rPr>
            </w:pPr>
            <w:r w:rsidRPr="00070085">
              <w:rPr>
                <w:rFonts w:eastAsia="SimSun"/>
                <w:color w:val="000000"/>
                <w:sz w:val="24"/>
                <w:szCs w:val="22"/>
              </w:rPr>
              <w:t>0.125</w:t>
            </w:r>
          </w:p>
        </w:tc>
        <w:tc>
          <w:tcPr>
            <w:tcW w:w="762" w:type="pct"/>
            <w:tcBorders>
              <w:top w:val="single" w:sz="4" w:space="0" w:color="auto"/>
            </w:tcBorders>
          </w:tcPr>
          <w:p w14:paraId="1263A8B5"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Medium Effect</w:t>
            </w:r>
          </w:p>
        </w:tc>
      </w:tr>
      <w:tr w:rsidR="00070085" w:rsidRPr="00070085" w14:paraId="4EBDE63E" w14:textId="77777777" w:rsidTr="005C4055">
        <w:tc>
          <w:tcPr>
            <w:tcW w:w="1093" w:type="pct"/>
            <w:vMerge/>
          </w:tcPr>
          <w:p w14:paraId="3C20A3E0" w14:textId="77777777" w:rsidR="00070085" w:rsidRPr="00070085" w:rsidRDefault="00070085" w:rsidP="00070085">
            <w:pPr>
              <w:spacing w:line="240" w:lineRule="exact"/>
              <w:contextualSpacing/>
              <w:rPr>
                <w:rFonts w:eastAsia="Times New Roman"/>
                <w:sz w:val="24"/>
                <w:szCs w:val="24"/>
              </w:rPr>
            </w:pPr>
          </w:p>
        </w:tc>
        <w:tc>
          <w:tcPr>
            <w:tcW w:w="1017" w:type="pct"/>
          </w:tcPr>
          <w:p w14:paraId="4B3B9926" w14:textId="77777777" w:rsidR="00070085" w:rsidRPr="00070085" w:rsidRDefault="00070085" w:rsidP="00070085">
            <w:pPr>
              <w:tabs>
                <w:tab w:val="left" w:pos="900"/>
                <w:tab w:val="left" w:pos="1260"/>
              </w:tabs>
              <w:spacing w:line="240" w:lineRule="exact"/>
              <w:contextualSpacing/>
              <w:jc w:val="center"/>
              <w:rPr>
                <w:rFonts w:eastAsia="SimSun"/>
                <w:sz w:val="24"/>
                <w:szCs w:val="24"/>
              </w:rPr>
            </w:pPr>
            <w:r w:rsidRPr="00070085">
              <w:rPr>
                <w:rFonts w:eastAsia="SimSun"/>
                <w:sz w:val="24"/>
                <w:szCs w:val="24"/>
              </w:rPr>
              <w:t>WE</w:t>
            </w:r>
          </w:p>
        </w:tc>
        <w:tc>
          <w:tcPr>
            <w:tcW w:w="684" w:type="pct"/>
          </w:tcPr>
          <w:p w14:paraId="486F194D" w14:textId="77777777" w:rsidR="00070085" w:rsidRPr="00070085" w:rsidRDefault="00070085" w:rsidP="00070085">
            <w:pPr>
              <w:spacing w:line="240" w:lineRule="exact"/>
              <w:contextualSpacing/>
              <w:jc w:val="center"/>
              <w:rPr>
                <w:rFonts w:eastAsia="SimSun"/>
                <w:sz w:val="24"/>
                <w:szCs w:val="22"/>
              </w:rPr>
            </w:pPr>
            <w:r w:rsidRPr="00070085">
              <w:rPr>
                <w:rFonts w:eastAsia="SimSun"/>
                <w:sz w:val="24"/>
                <w:szCs w:val="24"/>
              </w:rPr>
              <w:t>0.354</w:t>
            </w:r>
          </w:p>
        </w:tc>
        <w:tc>
          <w:tcPr>
            <w:tcW w:w="711" w:type="pct"/>
          </w:tcPr>
          <w:p w14:paraId="692A7849"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0.285</w:t>
            </w:r>
          </w:p>
        </w:tc>
        <w:tc>
          <w:tcPr>
            <w:tcW w:w="733" w:type="pct"/>
            <w:vAlign w:val="bottom"/>
          </w:tcPr>
          <w:p w14:paraId="1D557624" w14:textId="77777777" w:rsidR="00070085" w:rsidRPr="00070085" w:rsidRDefault="00070085" w:rsidP="00070085">
            <w:pPr>
              <w:spacing w:line="240" w:lineRule="exact"/>
              <w:contextualSpacing/>
              <w:jc w:val="center"/>
              <w:rPr>
                <w:rFonts w:eastAsia="SimSun"/>
                <w:color w:val="000000"/>
                <w:sz w:val="24"/>
                <w:szCs w:val="22"/>
              </w:rPr>
            </w:pPr>
            <w:r w:rsidRPr="00070085">
              <w:rPr>
                <w:rFonts w:eastAsia="SimSun"/>
                <w:color w:val="000000"/>
                <w:sz w:val="24"/>
                <w:szCs w:val="22"/>
              </w:rPr>
              <w:t>0.107</w:t>
            </w:r>
          </w:p>
        </w:tc>
        <w:tc>
          <w:tcPr>
            <w:tcW w:w="762" w:type="pct"/>
          </w:tcPr>
          <w:p w14:paraId="72A212F3"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Medium Effect</w:t>
            </w:r>
          </w:p>
        </w:tc>
      </w:tr>
      <w:tr w:rsidR="00070085" w:rsidRPr="00070085" w14:paraId="53A96D1D" w14:textId="77777777" w:rsidTr="005C4055">
        <w:tc>
          <w:tcPr>
            <w:tcW w:w="1093" w:type="pct"/>
            <w:vMerge w:val="restart"/>
          </w:tcPr>
          <w:p w14:paraId="6636BD00" w14:textId="77777777" w:rsidR="00070085" w:rsidRPr="00070085" w:rsidRDefault="00070085" w:rsidP="00070085">
            <w:pPr>
              <w:spacing w:line="240" w:lineRule="exact"/>
              <w:contextualSpacing/>
              <w:rPr>
                <w:rFonts w:eastAsia="Times New Roman"/>
                <w:sz w:val="24"/>
                <w:szCs w:val="24"/>
              </w:rPr>
            </w:pPr>
          </w:p>
          <w:p w14:paraId="5CFD9917" w14:textId="77777777" w:rsidR="00070085" w:rsidRPr="00070085" w:rsidRDefault="00070085" w:rsidP="00070085">
            <w:pPr>
              <w:spacing w:line="240" w:lineRule="exact"/>
              <w:contextualSpacing/>
              <w:rPr>
                <w:rFonts w:eastAsia="Times New Roman"/>
                <w:sz w:val="24"/>
                <w:szCs w:val="24"/>
              </w:rPr>
            </w:pPr>
            <w:r w:rsidRPr="00070085">
              <w:rPr>
                <w:rFonts w:eastAsia="Times New Roman"/>
                <w:sz w:val="24"/>
                <w:szCs w:val="24"/>
              </w:rPr>
              <w:t>OE</w:t>
            </w:r>
          </w:p>
        </w:tc>
        <w:tc>
          <w:tcPr>
            <w:tcW w:w="1017" w:type="pct"/>
          </w:tcPr>
          <w:p w14:paraId="07E6FD5F" w14:textId="77777777" w:rsidR="00070085" w:rsidRPr="00070085" w:rsidRDefault="00070085" w:rsidP="00070085">
            <w:pPr>
              <w:tabs>
                <w:tab w:val="left" w:pos="900"/>
                <w:tab w:val="left" w:pos="1260"/>
              </w:tabs>
              <w:spacing w:line="240" w:lineRule="exact"/>
              <w:contextualSpacing/>
              <w:jc w:val="center"/>
              <w:rPr>
                <w:rFonts w:eastAsia="SimSun"/>
                <w:sz w:val="24"/>
                <w:szCs w:val="24"/>
              </w:rPr>
            </w:pPr>
            <w:r w:rsidRPr="00070085">
              <w:rPr>
                <w:rFonts w:eastAsia="SimSun"/>
                <w:sz w:val="24"/>
                <w:szCs w:val="24"/>
              </w:rPr>
              <w:t>CI</w:t>
            </w:r>
          </w:p>
        </w:tc>
        <w:tc>
          <w:tcPr>
            <w:tcW w:w="684" w:type="pct"/>
          </w:tcPr>
          <w:p w14:paraId="4392DC36" w14:textId="77777777" w:rsidR="00070085" w:rsidRPr="00070085" w:rsidRDefault="00070085" w:rsidP="00070085">
            <w:pPr>
              <w:spacing w:line="240" w:lineRule="exact"/>
              <w:contextualSpacing/>
              <w:jc w:val="center"/>
              <w:rPr>
                <w:rFonts w:eastAsia="SimSun"/>
                <w:sz w:val="24"/>
                <w:szCs w:val="22"/>
              </w:rPr>
            </w:pPr>
            <w:r w:rsidRPr="00070085">
              <w:rPr>
                <w:rFonts w:eastAsia="SimSun"/>
                <w:sz w:val="24"/>
                <w:szCs w:val="24"/>
              </w:rPr>
              <w:t>0.501</w:t>
            </w:r>
          </w:p>
        </w:tc>
        <w:tc>
          <w:tcPr>
            <w:tcW w:w="711" w:type="pct"/>
          </w:tcPr>
          <w:p w14:paraId="7416CE05"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0.280</w:t>
            </w:r>
          </w:p>
        </w:tc>
        <w:tc>
          <w:tcPr>
            <w:tcW w:w="733" w:type="pct"/>
            <w:vAlign w:val="bottom"/>
          </w:tcPr>
          <w:p w14:paraId="29EA7DD2" w14:textId="77777777" w:rsidR="00070085" w:rsidRPr="00070085" w:rsidRDefault="00070085" w:rsidP="00070085">
            <w:pPr>
              <w:spacing w:line="240" w:lineRule="exact"/>
              <w:contextualSpacing/>
              <w:jc w:val="center"/>
              <w:rPr>
                <w:rFonts w:eastAsia="SimSun"/>
                <w:color w:val="000000"/>
                <w:sz w:val="24"/>
                <w:szCs w:val="22"/>
              </w:rPr>
            </w:pPr>
            <w:r w:rsidRPr="00070085">
              <w:rPr>
                <w:rFonts w:eastAsia="SimSun"/>
                <w:color w:val="000000"/>
                <w:sz w:val="24"/>
                <w:szCs w:val="22"/>
              </w:rPr>
              <w:t>0.443</w:t>
            </w:r>
          </w:p>
        </w:tc>
        <w:tc>
          <w:tcPr>
            <w:tcW w:w="762" w:type="pct"/>
          </w:tcPr>
          <w:p w14:paraId="23E99943"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Large Effect</w:t>
            </w:r>
          </w:p>
        </w:tc>
      </w:tr>
      <w:tr w:rsidR="00070085" w:rsidRPr="00070085" w14:paraId="43636F6E" w14:textId="77777777" w:rsidTr="005C4055">
        <w:tc>
          <w:tcPr>
            <w:tcW w:w="1093" w:type="pct"/>
            <w:vMerge/>
          </w:tcPr>
          <w:p w14:paraId="25CBE035" w14:textId="77777777" w:rsidR="00070085" w:rsidRPr="00070085" w:rsidRDefault="00070085" w:rsidP="00070085">
            <w:pPr>
              <w:spacing w:line="240" w:lineRule="exact"/>
              <w:contextualSpacing/>
              <w:rPr>
                <w:rFonts w:eastAsia="Times New Roman"/>
                <w:sz w:val="24"/>
                <w:szCs w:val="24"/>
              </w:rPr>
            </w:pPr>
          </w:p>
        </w:tc>
        <w:tc>
          <w:tcPr>
            <w:tcW w:w="1017" w:type="pct"/>
          </w:tcPr>
          <w:p w14:paraId="19650F99" w14:textId="77777777" w:rsidR="00070085" w:rsidRPr="00070085" w:rsidRDefault="00070085" w:rsidP="00070085">
            <w:pPr>
              <w:tabs>
                <w:tab w:val="left" w:pos="900"/>
                <w:tab w:val="left" w:pos="1260"/>
              </w:tabs>
              <w:spacing w:line="240" w:lineRule="exact"/>
              <w:contextualSpacing/>
              <w:jc w:val="center"/>
              <w:rPr>
                <w:rFonts w:eastAsia="SimSun"/>
                <w:sz w:val="24"/>
                <w:szCs w:val="24"/>
              </w:rPr>
            </w:pPr>
            <w:r w:rsidRPr="00070085">
              <w:rPr>
                <w:rFonts w:eastAsia="SimSun"/>
                <w:sz w:val="24"/>
                <w:szCs w:val="24"/>
              </w:rPr>
              <w:t>WE</w:t>
            </w:r>
          </w:p>
        </w:tc>
        <w:tc>
          <w:tcPr>
            <w:tcW w:w="684" w:type="pct"/>
          </w:tcPr>
          <w:p w14:paraId="551418DA" w14:textId="77777777" w:rsidR="00070085" w:rsidRPr="00070085" w:rsidRDefault="00070085" w:rsidP="00070085">
            <w:pPr>
              <w:spacing w:line="240" w:lineRule="exact"/>
              <w:contextualSpacing/>
              <w:jc w:val="center"/>
              <w:rPr>
                <w:rFonts w:eastAsia="SimSun"/>
                <w:sz w:val="24"/>
                <w:szCs w:val="22"/>
              </w:rPr>
            </w:pPr>
            <w:r w:rsidRPr="00070085">
              <w:rPr>
                <w:rFonts w:eastAsia="SimSun"/>
                <w:sz w:val="24"/>
                <w:szCs w:val="24"/>
              </w:rPr>
              <w:t>0.501</w:t>
            </w:r>
          </w:p>
        </w:tc>
        <w:tc>
          <w:tcPr>
            <w:tcW w:w="711" w:type="pct"/>
          </w:tcPr>
          <w:p w14:paraId="7F0A4CD7"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0.469</w:t>
            </w:r>
          </w:p>
        </w:tc>
        <w:tc>
          <w:tcPr>
            <w:tcW w:w="733" w:type="pct"/>
            <w:vAlign w:val="bottom"/>
          </w:tcPr>
          <w:p w14:paraId="4932D8A7" w14:textId="77777777" w:rsidR="00070085" w:rsidRPr="00070085" w:rsidRDefault="00070085" w:rsidP="00070085">
            <w:pPr>
              <w:spacing w:line="240" w:lineRule="exact"/>
              <w:contextualSpacing/>
              <w:jc w:val="center"/>
              <w:rPr>
                <w:rFonts w:eastAsia="SimSun"/>
                <w:color w:val="000000"/>
                <w:sz w:val="24"/>
                <w:szCs w:val="22"/>
              </w:rPr>
            </w:pPr>
            <w:r w:rsidRPr="00070085">
              <w:rPr>
                <w:rFonts w:eastAsia="SimSun"/>
                <w:color w:val="000000"/>
                <w:sz w:val="24"/>
                <w:szCs w:val="22"/>
              </w:rPr>
              <w:t>0.064</w:t>
            </w:r>
          </w:p>
        </w:tc>
        <w:tc>
          <w:tcPr>
            <w:tcW w:w="762" w:type="pct"/>
          </w:tcPr>
          <w:p w14:paraId="3EAE64F2" w14:textId="77777777" w:rsidR="00070085" w:rsidRPr="00070085" w:rsidRDefault="00070085" w:rsidP="00070085">
            <w:pPr>
              <w:spacing w:line="240" w:lineRule="exact"/>
              <w:contextualSpacing/>
              <w:jc w:val="center"/>
              <w:rPr>
                <w:rFonts w:eastAsia="Times New Roman"/>
                <w:sz w:val="24"/>
                <w:szCs w:val="24"/>
              </w:rPr>
            </w:pPr>
            <w:r w:rsidRPr="00070085">
              <w:rPr>
                <w:rFonts w:eastAsia="Times New Roman"/>
                <w:sz w:val="24"/>
                <w:szCs w:val="24"/>
              </w:rPr>
              <w:t>Medium Effect</w:t>
            </w:r>
          </w:p>
        </w:tc>
      </w:tr>
    </w:tbl>
    <w:p w14:paraId="58B6AECB" w14:textId="77777777" w:rsidR="00070085" w:rsidRPr="00070085" w:rsidRDefault="00070085" w:rsidP="00070085">
      <w:pPr>
        <w:spacing w:after="0" w:line="240" w:lineRule="exact"/>
        <w:contextualSpacing/>
        <w:jc w:val="both"/>
        <w:rPr>
          <w:rFonts w:ascii="Times New Roman" w:eastAsia="SimSun" w:hAnsi="Times New Roman" w:cs="Times New Roman"/>
          <w:kern w:val="0"/>
          <w14:ligatures w14:val="none"/>
        </w:rPr>
      </w:pPr>
      <w:r w:rsidRPr="00070085">
        <w:rPr>
          <w:rFonts w:ascii="Times New Roman" w:eastAsia="Times New Roman" w:hAnsi="Times New Roman" w:cs="Times New Roman"/>
          <w:b/>
          <w:iCs/>
          <w:kern w:val="0"/>
          <w14:ligatures w14:val="none"/>
        </w:rPr>
        <w:t>Source:</w:t>
      </w:r>
      <w:r w:rsidRPr="00070085">
        <w:rPr>
          <w:rFonts w:ascii="Times New Roman" w:eastAsia="Times New Roman" w:hAnsi="Times New Roman" w:cs="Times New Roman"/>
          <w:iCs/>
          <w:kern w:val="0"/>
          <w14:ligatures w14:val="none"/>
        </w:rPr>
        <w:t xml:space="preserve"> </w:t>
      </w:r>
      <w:proofErr w:type="spellStart"/>
      <w:r w:rsidRPr="00070085">
        <w:rPr>
          <w:rFonts w:ascii="Times New Roman" w:eastAsia="Times New Roman" w:hAnsi="Times New Roman" w:cs="Times New Roman"/>
          <w:iCs/>
          <w:kern w:val="0"/>
          <w14:ligatures w14:val="none"/>
        </w:rPr>
        <w:t>SmartPLS</w:t>
      </w:r>
      <w:proofErr w:type="spellEnd"/>
      <w:r w:rsidRPr="00070085">
        <w:rPr>
          <w:rFonts w:ascii="Times New Roman" w:eastAsia="Times New Roman" w:hAnsi="Times New Roman" w:cs="Times New Roman"/>
          <w:iCs/>
          <w:kern w:val="0"/>
          <w14:ligatures w14:val="none"/>
        </w:rPr>
        <w:t xml:space="preserve"> 4.1.1.8 Output of Research Data, 2026</w:t>
      </w:r>
    </w:p>
    <w:p w14:paraId="735C87CC"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p>
    <w:p w14:paraId="3FD28616"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 xml:space="preserve">With respect to Stakeholder Satisfaction (SS), Continuous Improvement (CI) recorded an f² value of 0.125, representing a medium effect size. This result indicates that the removal of CI from the structural model would produce a meaningful reduction in the explained variance of stakeholder satisfaction, confirming that CI exerts a practically significant influence on SS beyond its statistical significance. Waste Elimination (WE) yielded an f² of 0.107 on SS, also falling within the medium effect range. This suggests that WE </w:t>
      </w:r>
      <w:proofErr w:type="gramStart"/>
      <w:r w:rsidRPr="00070085">
        <w:rPr>
          <w:rFonts w:ascii="Times New Roman" w:eastAsia="SimSun" w:hAnsi="Times New Roman" w:cs="Times New Roman"/>
          <w:kern w:val="0"/>
          <w:szCs w:val="22"/>
          <w14:ligatures w14:val="none"/>
        </w:rPr>
        <w:t>makes</w:t>
      </w:r>
      <w:proofErr w:type="gramEnd"/>
      <w:r w:rsidRPr="00070085">
        <w:rPr>
          <w:rFonts w:ascii="Times New Roman" w:eastAsia="SimSun" w:hAnsi="Times New Roman" w:cs="Times New Roman"/>
          <w:kern w:val="0"/>
          <w:szCs w:val="22"/>
          <w14:ligatures w14:val="none"/>
        </w:rPr>
        <w:t xml:space="preserve"> a comparable, though slightly smaller, practical contribution to stakeholder satisfaction relative to CI. The medium effect sizes of both lean management system proxies on SS collectively indicate that lean practices collectively carry meaningful practical relevance for shaping stakeholder perceptions, even if neither dimension approaches the large effect threshold.</w:t>
      </w:r>
    </w:p>
    <w:p w14:paraId="0A6EBFE7"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kern w:val="0"/>
          <w:szCs w:val="22"/>
          <w14:ligatures w14:val="none"/>
        </w:rPr>
        <w:t xml:space="preserve">For Operational Efficiency (OE), CI produced a remarkably large effect size (f² = 0.443), which substantially exceeds the 0.35 threshold for large effects. This finding confirms that Continuous Improvement is the dominant driver of operational efficiency in the structural model, and that its removal would result in a dramatic reduction in the proportion of variance explained in OE. This is consistent with the strong path coefficient of β = 0.564 (Table 4.8) and underscores the centrality of CI in lean-driven efficiency gains within the midstream oil and gas sector. In contrast, WE </w:t>
      </w:r>
      <w:r w:rsidRPr="00070085">
        <w:rPr>
          <w:rFonts w:ascii="Times New Roman" w:eastAsia="SimSun" w:hAnsi="Times New Roman" w:cs="Times New Roman"/>
          <w:kern w:val="0"/>
          <w:szCs w:val="22"/>
          <w14:ligatures w14:val="none"/>
        </w:rPr>
        <w:lastRenderedPageBreak/>
        <w:t>yielded an f² of 0.064 on OE, falling within the medium effect range. While this is a smaller effect compared to CI, it nonetheless reflects a meaningful practical contribution of waste elimination strategies to operational efficiency outcomes.</w:t>
      </w:r>
    </w:p>
    <w:p w14:paraId="55C4C673" w14:textId="77777777" w:rsidR="00070085" w:rsidRPr="00070085" w:rsidRDefault="00070085" w:rsidP="00070085">
      <w:pPr>
        <w:spacing w:after="120" w:line="240" w:lineRule="exact"/>
        <w:jc w:val="both"/>
        <w:rPr>
          <w:rFonts w:ascii="Calibri" w:eastAsia="SimSun" w:hAnsi="Calibri" w:cs="Times New Roman"/>
          <w:kern w:val="0"/>
          <w:sz w:val="22"/>
          <w:szCs w:val="22"/>
          <w14:ligatures w14:val="none"/>
        </w:rPr>
      </w:pPr>
      <w:r w:rsidRPr="00070085">
        <w:rPr>
          <w:rFonts w:ascii="Times New Roman" w:eastAsia="SimSun" w:hAnsi="Times New Roman" w:cs="Times New Roman"/>
          <w:kern w:val="0"/>
          <w:szCs w:val="22"/>
          <w14:ligatures w14:val="none"/>
        </w:rPr>
        <w:t xml:space="preserve">Overall, the effect size results confirm a clear hierarchy of practical influence: CI exerts a large effect on OE and medium effects on SS, while WE </w:t>
      </w:r>
      <w:proofErr w:type="gramStart"/>
      <w:r w:rsidRPr="00070085">
        <w:rPr>
          <w:rFonts w:ascii="Times New Roman" w:eastAsia="SimSun" w:hAnsi="Times New Roman" w:cs="Times New Roman"/>
          <w:kern w:val="0"/>
          <w:szCs w:val="22"/>
          <w14:ligatures w14:val="none"/>
        </w:rPr>
        <w:t>exerts</w:t>
      </w:r>
      <w:proofErr w:type="gramEnd"/>
      <w:r w:rsidRPr="00070085">
        <w:rPr>
          <w:rFonts w:ascii="Times New Roman" w:eastAsia="SimSun" w:hAnsi="Times New Roman" w:cs="Times New Roman"/>
          <w:kern w:val="0"/>
          <w:szCs w:val="22"/>
          <w14:ligatures w14:val="none"/>
        </w:rPr>
        <w:t xml:space="preserve"> medium effects on both OE and SS. These findings reinforce the theoretical proposition that lean management systems, particularly through continuous improvement practices, are substantive and practically significant determinants of </w:t>
      </w:r>
      <w:proofErr w:type="spellStart"/>
      <w:r w:rsidRPr="00070085">
        <w:rPr>
          <w:rFonts w:ascii="Times New Roman" w:eastAsia="SimSun" w:hAnsi="Times New Roman" w:cs="Times New Roman"/>
          <w:kern w:val="0"/>
          <w:szCs w:val="22"/>
          <w14:ligatures w14:val="none"/>
        </w:rPr>
        <w:t>organisational</w:t>
      </w:r>
      <w:proofErr w:type="spellEnd"/>
      <w:r w:rsidRPr="00070085">
        <w:rPr>
          <w:rFonts w:ascii="Times New Roman" w:eastAsia="SimSun" w:hAnsi="Times New Roman" w:cs="Times New Roman"/>
          <w:kern w:val="0"/>
          <w:szCs w:val="22"/>
          <w14:ligatures w14:val="none"/>
        </w:rPr>
        <w:t xml:space="preserve"> effectiveness in midstream oil and gas companies in Rivers State, Nigeria</w:t>
      </w:r>
      <w:r w:rsidRPr="00070085">
        <w:rPr>
          <w:rFonts w:ascii="Calibri" w:eastAsia="SimSun" w:hAnsi="Calibri" w:cs="Times New Roman"/>
          <w:kern w:val="0"/>
          <w:sz w:val="22"/>
          <w:szCs w:val="22"/>
          <w14:ligatures w14:val="none"/>
        </w:rPr>
        <w:t>.</w:t>
      </w:r>
    </w:p>
    <w:p w14:paraId="78FE1931" w14:textId="77777777" w:rsidR="00070085" w:rsidRPr="00070085" w:rsidRDefault="00070085" w:rsidP="00070085">
      <w:pPr>
        <w:spacing w:after="120" w:line="240" w:lineRule="exact"/>
        <w:jc w:val="both"/>
        <w:rPr>
          <w:rFonts w:ascii="Times New Roman" w:eastAsia="SimSun" w:hAnsi="Times New Roman" w:cs="Times New Roman"/>
          <w:b/>
          <w:kern w:val="0"/>
          <w:lang w:eastAsia="zh-CN"/>
          <w14:ligatures w14:val="none"/>
        </w:rPr>
      </w:pPr>
      <w:r w:rsidRPr="00070085">
        <w:rPr>
          <w:rFonts w:ascii="Times New Roman" w:eastAsia="SimSun" w:hAnsi="Times New Roman" w:cs="Times New Roman"/>
          <w:b/>
          <w:kern w:val="0"/>
          <w:lang w:eastAsia="zh-CN"/>
          <w14:ligatures w14:val="none"/>
        </w:rPr>
        <w:t>4.2 Discussion of Findings</w:t>
      </w:r>
    </w:p>
    <w:p w14:paraId="471970D3" w14:textId="77777777" w:rsidR="00070085" w:rsidRPr="00070085" w:rsidRDefault="00070085" w:rsidP="00070085">
      <w:pPr>
        <w:spacing w:after="120" w:line="240" w:lineRule="exact"/>
        <w:jc w:val="both"/>
        <w:rPr>
          <w:rFonts w:ascii="Times New Roman" w:eastAsia="SimSun" w:hAnsi="Times New Roman" w:cs="Times New Roman"/>
          <w:b/>
          <w:kern w:val="0"/>
          <w:szCs w:val="22"/>
          <w14:ligatures w14:val="none"/>
        </w:rPr>
      </w:pPr>
      <w:r w:rsidRPr="00070085">
        <w:rPr>
          <w:rFonts w:ascii="Times New Roman" w:eastAsia="SimSun" w:hAnsi="Times New Roman" w:cs="Times New Roman"/>
          <w:b/>
          <w:kern w:val="0"/>
          <w:szCs w:val="22"/>
          <w14:ligatures w14:val="none"/>
        </w:rPr>
        <w:t xml:space="preserve">Continuous Improvement and Stakeholder Satisfaction: </w:t>
      </w:r>
      <w:r w:rsidRPr="00070085">
        <w:rPr>
          <w:rFonts w:ascii="Times New Roman" w:eastAsia="SimSun" w:hAnsi="Times New Roman" w:cs="Times New Roman"/>
          <w:kern w:val="0"/>
          <w:szCs w:val="22"/>
          <w14:ligatures w14:val="none"/>
        </w:rPr>
        <w:t>The finding that continuous improvement has a positive and statistically significant effect on stakeholder satisfaction indicates that improvement-oriented practices in midstream oil and gas companies contribute meaningfully to meeting the expectations of key stakeholders. Lean Management Systems emphasize the creation of value for customers and stakeholders through systematic improvement and the minimization of waste across processes (Levinson, 2013). Continuous improvement, derived from the concept of Kaizen, promotes small but consistent process improvements driven by employees and supported by structured problem-solving approaches (Kaizen Institute, 2022; SG Systems Global, 2025). Through this approach, operational problems such as delays, process inefficiencies, and quality gaps are converted into learning opportunities, thereby improving the reliability of services delivered to stakeholders. Stakeholder satisfaction reflects the extent to which organizations meet the expectations of diverse groups including regulators, host communities, employees, investors, and customers (</w:t>
      </w:r>
      <w:proofErr w:type="spellStart"/>
      <w:r w:rsidRPr="00070085">
        <w:rPr>
          <w:rFonts w:ascii="Times New Roman" w:eastAsia="SimSun" w:hAnsi="Times New Roman" w:cs="Times New Roman"/>
          <w:kern w:val="0"/>
          <w:szCs w:val="22"/>
          <w14:ligatures w14:val="none"/>
        </w:rPr>
        <w:t>Alimen</w:t>
      </w:r>
      <w:proofErr w:type="spellEnd"/>
      <w:r w:rsidRPr="00070085">
        <w:rPr>
          <w:rFonts w:ascii="Times New Roman" w:eastAsia="SimSun" w:hAnsi="Times New Roman" w:cs="Times New Roman"/>
          <w:kern w:val="0"/>
          <w:szCs w:val="22"/>
          <w14:ligatures w14:val="none"/>
        </w:rPr>
        <w:t xml:space="preserve"> et al., 2009; Okeke, 2025). By embedding improvement cycles in operational routines, organizations are able to respond proactively to stakeholder concerns and enhance service quality. From the perspective of Systems Theory, organizations function as interconnected systems in which improvements in one subsystem influence outcomes in others (von Bertalanffy, 1968; Scott &amp; Davis, 2016). Continuous improvement initiatives therefore strengthen the coordination between operational units, maintenance teams, and logistics functions in oil and gas operations, ultimately improving service delivery to stakeholders. Furthermore, Organizational Learning Theory suggests that organizations improve performance by detecting and correcting errors through learning processes (Argyris &amp; Schön, 1978). Continuous improvement embodies this learning cycle, enabling organizations to adapt to stakeholder expectations and environmental demands. Empirically, the finding aligns with Nwankwo and Ofoegbu (2024), who reported that continuous improvement significantly enhances customer satisfaction and organizational performance in indigenous oil servicing companies in Rivers State.</w:t>
      </w:r>
    </w:p>
    <w:p w14:paraId="360A2A97"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b/>
          <w:kern w:val="0"/>
          <w:szCs w:val="22"/>
          <w14:ligatures w14:val="none"/>
        </w:rPr>
        <w:t>Waste Elimination and Stakeholder Satisfaction:</w:t>
      </w:r>
      <w:r w:rsidRPr="00070085">
        <w:rPr>
          <w:rFonts w:ascii="Times New Roman" w:eastAsia="SimSun" w:hAnsi="Times New Roman" w:cs="Times New Roman"/>
          <w:kern w:val="0"/>
          <w:szCs w:val="22"/>
          <w14:ligatures w14:val="none"/>
        </w:rPr>
        <w:t xml:space="preserve"> The study found that waste elimination has a negative but statistically insignificant effect on stakeholder satisfaction, indicating that the removal of operational waste alone may not automatically translate into improved stakeholder perceptions. Waste elimination in lean management involves the systematic identification and removal of non-value-adding activities such as overproduction, waiting, unnecessary motion, excess inventory, defects, and over-processing (Romero et al., 2019). The Kaizen Institute (2022) explains that the primary goal of waste elimination is to reduce inefficiencies and unnecessary activities across organizational processes in order to enhance productivity. While these improvements are essential for operational performance, they may not directly influence stakeholders whose concerns extend beyond internal process efficiency to include issues such as transparency, community relations, environmental stewardship, and regulatory compliance (Okeke, 2025). Organizational effectiveness in the oil and gas sector requires attention to multiple performance dimensions simultaneously, including safety performance, environmental responsibility, and community engagement (</w:t>
      </w:r>
      <w:proofErr w:type="spellStart"/>
      <w:r w:rsidRPr="00070085">
        <w:rPr>
          <w:rFonts w:ascii="Times New Roman" w:eastAsia="SimSun" w:hAnsi="Times New Roman" w:cs="Times New Roman"/>
          <w:kern w:val="0"/>
          <w:szCs w:val="22"/>
          <w14:ligatures w14:val="none"/>
        </w:rPr>
        <w:t>Dhoopar</w:t>
      </w:r>
      <w:proofErr w:type="spellEnd"/>
      <w:r w:rsidRPr="00070085">
        <w:rPr>
          <w:rFonts w:ascii="Times New Roman" w:eastAsia="SimSun" w:hAnsi="Times New Roman" w:cs="Times New Roman"/>
          <w:kern w:val="0"/>
          <w:szCs w:val="22"/>
          <w14:ligatures w14:val="none"/>
        </w:rPr>
        <w:t xml:space="preserve"> et al., 2022; Amoo, 2024; Ali &amp; Aminu, 2024). From a systems perspective, waste elimination may improve specific subsystems but may not generate noticeable benefits for external stakeholders unless integrated with broader organizational strategies (Levinson, 2013). Furthermore, Romero et al. (2019) emphasize that waste elimination must address the </w:t>
      </w:r>
      <w:r w:rsidRPr="00070085">
        <w:rPr>
          <w:rFonts w:ascii="Times New Roman" w:eastAsia="SimSun" w:hAnsi="Times New Roman" w:cs="Times New Roman"/>
          <w:kern w:val="0"/>
          <w:szCs w:val="22"/>
          <w14:ligatures w14:val="none"/>
        </w:rPr>
        <w:lastRenderedPageBreak/>
        <w:t xml:space="preserve">interconnected issues of Muda (waste), Mura (unevenness), and Muri (overburden); failure to address these simultaneously can limit the effectiveness of waste reduction initiatives. Consequently, while waste elimination may streamline internal processes, its impact on stakeholder satisfaction may remain limited unless accompanied by broader stakeholder engagement initiatives. This interpretation aligns with Okeke (2025), who emphasizes that stakeholder engagement and transparent practices play a critical role in shaping stakeholder perceptions in the oil and gas industry. </w:t>
      </w:r>
    </w:p>
    <w:p w14:paraId="3F10B7D3"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b/>
          <w:kern w:val="0"/>
          <w:szCs w:val="22"/>
          <w14:ligatures w14:val="none"/>
        </w:rPr>
        <w:t>Continuous Improvement and Operational Efficiency:</w:t>
      </w:r>
      <w:r w:rsidRPr="00070085">
        <w:rPr>
          <w:rFonts w:ascii="Times New Roman" w:eastAsia="SimSun" w:hAnsi="Times New Roman" w:cs="Times New Roman"/>
          <w:kern w:val="0"/>
          <w:szCs w:val="22"/>
          <w14:ligatures w14:val="none"/>
        </w:rPr>
        <w:t xml:space="preserve"> The result showing that continuous improvement significantly enhances operational efficiency highlights the critical role of improvement-oriented practices in optimizing resource utilization in midstream oil and gas companies. Continuous improvement encourages organizations to systematically observe processes, experiment with solutions, and institutionalize successful practices through standardization (SG Systems Global, 2025). This approach ensures that operational inefficiencies such as delays, rework, and process interruptions are progressively eliminated, thereby enhancing productivity and process reliability. Operational efficiency refers to the ability of an organization to utilize its resources effectively in order to maximize outputs while minimizing costs (Hartman, 2011). The Kaizen Institute (2022) further explains that operational efficiency encompasses both flow efficiency, which concerns the movement of materials and information through processes, and resource efficiency, which involves the optimal utilization of people, equipment, and capital. Continuous improvement contributes to both dimensions by reducing process bottlenecks and ensuring that operational resources are used effectively. Within the oil and gas industry, improving operational efficiency is particularly important due to the capital-intensive nature of operations and the need to maintain safety, quality, and regulatory compliance simultaneously (</w:t>
      </w:r>
      <w:proofErr w:type="spellStart"/>
      <w:r w:rsidRPr="00070085">
        <w:rPr>
          <w:rFonts w:ascii="Times New Roman" w:eastAsia="SimSun" w:hAnsi="Times New Roman" w:cs="Times New Roman"/>
          <w:kern w:val="0"/>
          <w:szCs w:val="22"/>
          <w14:ligatures w14:val="none"/>
        </w:rPr>
        <w:t>Achaka</w:t>
      </w:r>
      <w:proofErr w:type="spellEnd"/>
      <w:r w:rsidRPr="00070085">
        <w:rPr>
          <w:rFonts w:ascii="Times New Roman" w:eastAsia="SimSun" w:hAnsi="Times New Roman" w:cs="Times New Roman"/>
          <w:kern w:val="0"/>
          <w:szCs w:val="22"/>
          <w14:ligatures w14:val="none"/>
        </w:rPr>
        <w:t xml:space="preserve"> et al., 2024). Systems Theory provides additional explanation by emphasizing that improvements in one component of an organizational system can enhance the performance of the entire system (von Bertalanffy, 1968; Kast &amp; Rosenzweig, 1972). Empirical studies in the Nigerian oil and gas sector also support this relationship. Agi and </w:t>
      </w:r>
      <w:proofErr w:type="spellStart"/>
      <w:r w:rsidRPr="00070085">
        <w:rPr>
          <w:rFonts w:ascii="Times New Roman" w:eastAsia="SimSun" w:hAnsi="Times New Roman" w:cs="Times New Roman"/>
          <w:kern w:val="0"/>
          <w:szCs w:val="22"/>
          <w14:ligatures w14:val="none"/>
        </w:rPr>
        <w:t>Nwi-ue</w:t>
      </w:r>
      <w:proofErr w:type="spellEnd"/>
      <w:r w:rsidRPr="00070085">
        <w:rPr>
          <w:rFonts w:ascii="Times New Roman" w:eastAsia="SimSun" w:hAnsi="Times New Roman" w:cs="Times New Roman"/>
          <w:kern w:val="0"/>
          <w:szCs w:val="22"/>
          <w14:ligatures w14:val="none"/>
        </w:rPr>
        <w:t xml:space="preserve"> (2023) found that continuous improvement significantly influences operational efficiency and product quality in oil and gas firms in Port Harcourt. Similarly, Nwankwo and Ofoegbu (2024) reported that continuous improvement has one of the strongest effects on operational efficiency among lean practices.</w:t>
      </w:r>
    </w:p>
    <w:p w14:paraId="7F68F2BD" w14:textId="77777777" w:rsidR="00070085" w:rsidRPr="00070085" w:rsidRDefault="00070085" w:rsidP="00070085">
      <w:pPr>
        <w:spacing w:after="120" w:line="240" w:lineRule="exact"/>
        <w:jc w:val="both"/>
        <w:rPr>
          <w:rFonts w:ascii="Times New Roman" w:eastAsia="SimSun" w:hAnsi="Times New Roman" w:cs="Times New Roman"/>
          <w:kern w:val="0"/>
          <w:szCs w:val="22"/>
          <w14:ligatures w14:val="none"/>
        </w:rPr>
      </w:pPr>
      <w:r w:rsidRPr="00070085">
        <w:rPr>
          <w:rFonts w:ascii="Times New Roman" w:eastAsia="SimSun" w:hAnsi="Times New Roman" w:cs="Times New Roman"/>
          <w:b/>
          <w:kern w:val="0"/>
          <w:szCs w:val="22"/>
          <w14:ligatures w14:val="none"/>
        </w:rPr>
        <w:t>Waste Elimination and Operational Efficiency:</w:t>
      </w:r>
      <w:r w:rsidRPr="00070085">
        <w:rPr>
          <w:rFonts w:ascii="Times New Roman" w:eastAsia="SimSun" w:hAnsi="Times New Roman" w:cs="Times New Roman"/>
          <w:kern w:val="0"/>
          <w:szCs w:val="22"/>
          <w14:ligatures w14:val="none"/>
        </w:rPr>
        <w:t xml:space="preserve"> The finding that waste elimination has a positive and statistically significant effect on operational efficiency demonstrates the central importance of removing non-value-adding activities in enhancing organizational performance. Lean management emphasizes that operational inefficiencies are largely caused by wasteful activities that consume time, materials, and energy without contributing to customer value (Levinson, 2013). Waste elimination seeks to identify and remove these inefficiencies, including defects, waiting time, unnecessary transportation, and excess inventory (Romero et al., 2019). By eliminating such forms of waste, organizations can reduce operating costs, shorten production cycles, and improve the flow of materials and information across operational processes. Operational efficiency, which measures how effectively organizations convert inputs into outputs, is therefore directly influenced by the ability to minimize waste in operational systems (Hartman, 2011). In the oil and gas industry, where operations are complex and resource-intensive, waste elimination can significantly improve productivity by ensuring that equipment, personnel, and financial resources are used optimally (</w:t>
      </w:r>
      <w:proofErr w:type="spellStart"/>
      <w:r w:rsidRPr="00070085">
        <w:rPr>
          <w:rFonts w:ascii="Times New Roman" w:eastAsia="SimSun" w:hAnsi="Times New Roman" w:cs="Times New Roman"/>
          <w:kern w:val="0"/>
          <w:szCs w:val="22"/>
          <w14:ligatures w14:val="none"/>
        </w:rPr>
        <w:t>Achaka</w:t>
      </w:r>
      <w:proofErr w:type="spellEnd"/>
      <w:r w:rsidRPr="00070085">
        <w:rPr>
          <w:rFonts w:ascii="Times New Roman" w:eastAsia="SimSun" w:hAnsi="Times New Roman" w:cs="Times New Roman"/>
          <w:kern w:val="0"/>
          <w:szCs w:val="22"/>
          <w14:ligatures w14:val="none"/>
        </w:rPr>
        <w:t xml:space="preserve"> et al., 2024). From a systems perspective, waste elimination enhances the connectivity and coordination between different subsystems within the organization, thereby improving overall system performance (Levinson, 2013). The Toyota Production System also emphasizes that addressing waste must occur alongside efforts to manage unevenness and overburden to achieve sustainable operational improvements (Romero et al., 2019). Empirical evidence from the Nigerian oil and gas context supports this finding. </w:t>
      </w:r>
      <w:proofErr w:type="spellStart"/>
      <w:r w:rsidRPr="00070085">
        <w:rPr>
          <w:rFonts w:ascii="Times New Roman" w:eastAsia="SimSun" w:hAnsi="Times New Roman" w:cs="Times New Roman"/>
          <w:kern w:val="0"/>
          <w:szCs w:val="22"/>
          <w14:ligatures w14:val="none"/>
        </w:rPr>
        <w:t>Ugolo</w:t>
      </w:r>
      <w:proofErr w:type="spellEnd"/>
      <w:r w:rsidRPr="00070085">
        <w:rPr>
          <w:rFonts w:ascii="Times New Roman" w:eastAsia="SimSun" w:hAnsi="Times New Roman" w:cs="Times New Roman"/>
          <w:kern w:val="0"/>
          <w:szCs w:val="22"/>
          <w14:ligatures w14:val="none"/>
        </w:rPr>
        <w:t xml:space="preserve"> (2021) reported that lean supply chain management practices significantly enhance operational outcomes in the industry, while Nwankwo and Ofoegbu (2024) demonstrated that lean practices contribute substantially to operational efficiency and cost reduction in oil servicing companies. These findings collectively reinforce the importance of waste elimination as a key driver of operational efficiency</w:t>
      </w:r>
      <w:r w:rsidRPr="00070085">
        <w:rPr>
          <w:rFonts w:ascii="Calibri" w:eastAsia="SimSun" w:hAnsi="Calibri" w:cs="Times New Roman"/>
          <w:kern w:val="0"/>
          <w:sz w:val="22"/>
          <w:szCs w:val="22"/>
          <w14:ligatures w14:val="none"/>
        </w:rPr>
        <w:t>.</w:t>
      </w:r>
    </w:p>
    <w:p w14:paraId="78353BBC" w14:textId="77777777" w:rsidR="00070085" w:rsidRPr="00070085" w:rsidRDefault="00070085" w:rsidP="00070085">
      <w:pPr>
        <w:spacing w:after="120" w:line="240" w:lineRule="exact"/>
        <w:rPr>
          <w:rFonts w:ascii="Times New Roman" w:eastAsia="Times New Roman" w:hAnsi="Times New Roman" w:cs="Times New Roman"/>
          <w:kern w:val="0"/>
          <w14:ligatures w14:val="none"/>
        </w:rPr>
      </w:pPr>
      <w:r w:rsidRPr="00070085">
        <w:rPr>
          <w:rFonts w:ascii="Times New Roman" w:eastAsia="Times New Roman" w:hAnsi="Times New Roman" w:cs="Times New Roman"/>
          <w:b/>
          <w:bCs/>
          <w:kern w:val="0"/>
          <w14:ligatures w14:val="none"/>
        </w:rPr>
        <w:lastRenderedPageBreak/>
        <w:t>5.0 Conclusion</w:t>
      </w:r>
    </w:p>
    <w:p w14:paraId="2D419DE6" w14:textId="77777777" w:rsidR="00070085" w:rsidRPr="00070085" w:rsidRDefault="00070085" w:rsidP="00070085">
      <w:pPr>
        <w:spacing w:after="120" w:line="240" w:lineRule="exact"/>
        <w:jc w:val="both"/>
        <w:rPr>
          <w:rFonts w:ascii="Times New Roman" w:eastAsia="Times New Roman" w:hAnsi="Times New Roman" w:cs="Times New Roman"/>
          <w:kern w:val="0"/>
          <w14:ligatures w14:val="none"/>
        </w:rPr>
      </w:pPr>
      <w:r w:rsidRPr="00070085">
        <w:rPr>
          <w:rFonts w:ascii="Times New Roman" w:eastAsia="Times New Roman" w:hAnsi="Times New Roman" w:cs="Times New Roman"/>
          <w:kern w:val="0"/>
          <w14:ligatures w14:val="none"/>
        </w:rPr>
        <w:t>This study examined the relationship between lean management systems and organizational effectiveness of midstream oil and gas companies in Rivers State, Nigeria, using continuous improvement and waste elimination as indicators of lean management, and stakeholder satisfaction and operational efficiency as measures of organizational effectiveness. The results show that continuous improvement has a significant positive effect on both stakeholder satisfaction and operational efficiency, while waste elimination significantly improves operational efficiency but has no significant effect on stakeholder satisfaction. The findings indicate that lean practices contribute to organizational effectiveness, particularly through continuous improvement initiatives that strengthen operational processes and support value delivery to stakeholders.</w:t>
      </w:r>
    </w:p>
    <w:p w14:paraId="49534B1C" w14:textId="77777777" w:rsidR="00070085" w:rsidRPr="00070085" w:rsidRDefault="00070085" w:rsidP="00070085">
      <w:pPr>
        <w:spacing w:after="120" w:line="240" w:lineRule="exact"/>
        <w:rPr>
          <w:rFonts w:ascii="Times New Roman" w:eastAsia="Times New Roman" w:hAnsi="Times New Roman" w:cs="Times New Roman"/>
          <w:b/>
          <w:bCs/>
          <w:kern w:val="0"/>
          <w14:ligatures w14:val="none"/>
        </w:rPr>
      </w:pPr>
      <w:r w:rsidRPr="00070085">
        <w:rPr>
          <w:rFonts w:ascii="Times New Roman" w:eastAsia="Times New Roman" w:hAnsi="Times New Roman" w:cs="Times New Roman"/>
          <w:b/>
          <w:bCs/>
          <w:kern w:val="0"/>
          <w14:ligatures w14:val="none"/>
        </w:rPr>
        <w:t>5.1 Recommendations</w:t>
      </w:r>
    </w:p>
    <w:p w14:paraId="1B7540C0" w14:textId="77777777" w:rsidR="00070085" w:rsidRPr="00070085" w:rsidRDefault="00070085" w:rsidP="00070085">
      <w:pPr>
        <w:spacing w:after="120" w:line="240" w:lineRule="exact"/>
        <w:jc w:val="both"/>
        <w:rPr>
          <w:rFonts w:ascii="Times New Roman" w:eastAsia="Times New Roman" w:hAnsi="Times New Roman" w:cs="Times New Roman"/>
          <w:kern w:val="0"/>
          <w14:ligatures w14:val="none"/>
        </w:rPr>
      </w:pPr>
      <w:r w:rsidRPr="00070085">
        <w:rPr>
          <w:rFonts w:ascii="Times New Roman" w:eastAsia="Times New Roman" w:hAnsi="Times New Roman" w:cs="Times New Roman"/>
          <w:bCs/>
          <w:kern w:val="0"/>
          <w14:ligatures w14:val="none"/>
        </w:rPr>
        <w:t>Based on the findings and conclusions, it is recommended that the m</w:t>
      </w:r>
      <w:r w:rsidRPr="00070085">
        <w:rPr>
          <w:rFonts w:ascii="Times New Roman" w:eastAsia="Times New Roman" w:hAnsi="Times New Roman" w:cs="Times New Roman"/>
          <w:kern w:val="0"/>
          <w14:ligatures w14:val="none"/>
        </w:rPr>
        <w:t xml:space="preserve">anagement of midstream oil and gas companies </w:t>
      </w:r>
      <w:r w:rsidRPr="00070085">
        <w:rPr>
          <w:rFonts w:ascii="Times New Roman" w:eastAsia="Times New Roman" w:hAnsi="Times New Roman" w:cs="Times New Roman"/>
          <w:bCs/>
          <w:kern w:val="0"/>
          <w14:ligatures w14:val="none"/>
        </w:rPr>
        <w:t>should:</w:t>
      </w:r>
    </w:p>
    <w:p w14:paraId="7C41B57A" w14:textId="77777777" w:rsidR="00070085" w:rsidRPr="00070085" w:rsidRDefault="00070085" w:rsidP="00070085">
      <w:pPr>
        <w:numPr>
          <w:ilvl w:val="0"/>
          <w:numId w:val="69"/>
        </w:numPr>
        <w:spacing w:after="120" w:line="240" w:lineRule="exact"/>
        <w:contextualSpacing/>
        <w:jc w:val="both"/>
        <w:rPr>
          <w:rFonts w:ascii="Times New Roman" w:eastAsia="Times New Roman" w:hAnsi="Times New Roman" w:cs="Times New Roman"/>
          <w:kern w:val="0"/>
          <w14:ligatures w14:val="none"/>
        </w:rPr>
      </w:pPr>
      <w:r w:rsidRPr="00070085">
        <w:rPr>
          <w:rFonts w:ascii="Times New Roman" w:eastAsia="Times New Roman" w:hAnsi="Times New Roman" w:cs="Times New Roman"/>
          <w:kern w:val="0"/>
          <w14:ligatures w14:val="none"/>
        </w:rPr>
        <w:t>Institutionalize continuous improvement practices to enhance stakeholder satisfaction. This can be done by establishing regular improvement forums where operational staff identify process challenges and propose solutions. Practical actions include holding periodic Kaizen meetings at operational facilities, introducing employee suggestion systems, and forming cross-functional teams to address operational issues affecting customers, regulators, and host communities.</w:t>
      </w:r>
    </w:p>
    <w:p w14:paraId="7FDBFE34" w14:textId="77777777" w:rsidR="00070085" w:rsidRPr="00070085" w:rsidRDefault="00070085" w:rsidP="00070085">
      <w:pPr>
        <w:numPr>
          <w:ilvl w:val="0"/>
          <w:numId w:val="69"/>
        </w:numPr>
        <w:spacing w:after="120" w:line="240" w:lineRule="exact"/>
        <w:contextualSpacing/>
        <w:jc w:val="both"/>
        <w:rPr>
          <w:rFonts w:ascii="Times New Roman" w:eastAsia="Times New Roman" w:hAnsi="Times New Roman" w:cs="Times New Roman"/>
          <w:kern w:val="0"/>
          <w14:ligatures w14:val="none"/>
        </w:rPr>
      </w:pPr>
      <w:r w:rsidRPr="00070085">
        <w:rPr>
          <w:rFonts w:ascii="Times New Roman" w:eastAsia="Times New Roman" w:hAnsi="Times New Roman" w:cs="Times New Roman"/>
          <w:kern w:val="0"/>
          <w14:ligatures w14:val="none"/>
        </w:rPr>
        <w:t>Complement waste elimination initiatives with deliberate stakeholder engagement strategies, since waste elimination alone may not improve stakeholder satisfaction. Companies should strengthen communication with key stakeholders through structured engagement mechanisms such as community liaison offices, periodic stakeholder forums, and transparent reporting of operational and environmental activities around operational sites.</w:t>
      </w:r>
    </w:p>
    <w:p w14:paraId="35B41EE1" w14:textId="77777777" w:rsidR="00070085" w:rsidRPr="00070085" w:rsidRDefault="00070085" w:rsidP="00070085">
      <w:pPr>
        <w:numPr>
          <w:ilvl w:val="0"/>
          <w:numId w:val="69"/>
        </w:numPr>
        <w:spacing w:after="120" w:line="240" w:lineRule="exact"/>
        <w:contextualSpacing/>
        <w:jc w:val="both"/>
        <w:rPr>
          <w:rFonts w:ascii="Times New Roman" w:eastAsia="Times New Roman" w:hAnsi="Times New Roman" w:cs="Times New Roman"/>
          <w:kern w:val="0"/>
          <w14:ligatures w14:val="none"/>
        </w:rPr>
      </w:pPr>
      <w:r w:rsidRPr="00070085">
        <w:rPr>
          <w:rFonts w:ascii="Times New Roman" w:eastAsia="Times New Roman" w:hAnsi="Times New Roman" w:cs="Times New Roman"/>
          <w:kern w:val="0"/>
          <w14:ligatures w14:val="none"/>
        </w:rPr>
        <w:t>Strengthen the implementation of continuous improvement systems to enhance operational efficiency. This can be achieved by embedding improvement routines in daily operations through regular operational audits, monitoring performance indicators such as cycle time and equipment downtime, and encouraging frontline staff to participate in structured problem-solving initiatives aimed at reducing delays, rework, and operational disruptions.</w:t>
      </w:r>
    </w:p>
    <w:p w14:paraId="5A117FAB" w14:textId="77777777" w:rsidR="00070085" w:rsidRPr="00070085" w:rsidRDefault="00070085" w:rsidP="00070085">
      <w:pPr>
        <w:numPr>
          <w:ilvl w:val="0"/>
          <w:numId w:val="69"/>
        </w:numPr>
        <w:spacing w:after="120" w:line="240" w:lineRule="exact"/>
        <w:contextualSpacing/>
        <w:jc w:val="both"/>
        <w:rPr>
          <w:rFonts w:ascii="Times New Roman" w:eastAsia="Times New Roman" w:hAnsi="Times New Roman" w:cs="Times New Roman"/>
          <w:kern w:val="0"/>
          <w14:ligatures w14:val="none"/>
        </w:rPr>
      </w:pPr>
      <w:r w:rsidRPr="00070085">
        <w:rPr>
          <w:rFonts w:ascii="Times New Roman" w:eastAsia="Times New Roman" w:hAnsi="Times New Roman" w:cs="Times New Roman"/>
          <w:kern w:val="0"/>
          <w14:ligatures w14:val="none"/>
        </w:rPr>
        <w:t>Intensify waste elimination practices to improve operational efficiency. This requires systematically identifying non-value-adding activities within operational processes. Practical actions include conducting waste-mapping exercises across operational workflows, improving inventory and logistics tracking systems, reducing unnecessary approval layers that delay operations, and reviewing operational procedures regularly to eliminate inefficiencies in maintenance, material movement, and administrative processes.</w:t>
      </w:r>
    </w:p>
    <w:p w14:paraId="6C5BAC78" w14:textId="77777777" w:rsidR="00070085" w:rsidRPr="00070085" w:rsidRDefault="00070085" w:rsidP="00070085">
      <w:pPr>
        <w:shd w:val="clear" w:color="auto" w:fill="FFFFFF"/>
        <w:spacing w:after="0" w:line="240" w:lineRule="auto"/>
        <w:jc w:val="center"/>
        <w:rPr>
          <w:rFonts w:ascii="Times New Roman" w:eastAsia="SimSun" w:hAnsi="Times New Roman" w:cs="Times New Roman"/>
          <w:b/>
          <w:kern w:val="0"/>
          <w:lang w:eastAsia="zh-CN"/>
          <w14:ligatures w14:val="none"/>
        </w:rPr>
      </w:pPr>
    </w:p>
    <w:p w14:paraId="13F46046" w14:textId="77777777" w:rsidR="00070085" w:rsidRPr="00070085" w:rsidRDefault="00070085" w:rsidP="00070085">
      <w:pPr>
        <w:shd w:val="clear" w:color="auto" w:fill="FFFFFF"/>
        <w:spacing w:after="0" w:line="240" w:lineRule="auto"/>
        <w:jc w:val="center"/>
        <w:rPr>
          <w:rFonts w:ascii="Times New Roman" w:eastAsia="TimesNewRomanPS-BoldMT" w:hAnsi="Times New Roman" w:cs="Times New Roman"/>
          <w:b/>
          <w:bCs/>
          <w:color w:val="000000"/>
          <w:kern w:val="0"/>
          <w:lang w:eastAsia="zh-CN" w:bidi="ar"/>
          <w14:ligatures w14:val="none"/>
        </w:rPr>
      </w:pPr>
      <w:r w:rsidRPr="00070085">
        <w:rPr>
          <w:rFonts w:ascii="Times New Roman" w:eastAsia="TimesNewRomanPS-BoldMT" w:hAnsi="Times New Roman" w:cs="Times New Roman"/>
          <w:b/>
          <w:bCs/>
          <w:color w:val="000000"/>
          <w:kern w:val="0"/>
          <w:lang w:eastAsia="zh-CN" w:bidi="ar"/>
          <w14:ligatures w14:val="none"/>
        </w:rPr>
        <w:t>REFERENCES</w:t>
      </w:r>
    </w:p>
    <w:p w14:paraId="211E0777"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Agi, U. K., &amp; </w:t>
      </w:r>
      <w:proofErr w:type="spellStart"/>
      <w:r w:rsidRPr="00070085">
        <w:rPr>
          <w:rFonts w:ascii="Times New Roman" w:eastAsia="Segoe UI" w:hAnsi="Times New Roman" w:cs="Times New Roman"/>
          <w:kern w:val="0"/>
          <w:shd w:val="clear" w:color="auto" w:fill="FFFFFF"/>
          <w:lang w:eastAsia="zh-CN"/>
          <w14:ligatures w14:val="none"/>
        </w:rPr>
        <w:t>Nwi-ue</w:t>
      </w:r>
      <w:proofErr w:type="spellEnd"/>
      <w:r w:rsidRPr="00070085">
        <w:rPr>
          <w:rFonts w:ascii="Times New Roman" w:eastAsia="Segoe UI" w:hAnsi="Times New Roman" w:cs="Times New Roman"/>
          <w:kern w:val="0"/>
          <w:shd w:val="clear" w:color="auto" w:fill="FFFFFF"/>
          <w:lang w:eastAsia="zh-CN"/>
          <w14:ligatures w14:val="none"/>
        </w:rPr>
        <w:t>, T. (2023). Total quality management practices and operational performance of oil and gas companies in Port Harcourt. </w:t>
      </w:r>
      <w:r w:rsidRPr="00070085">
        <w:rPr>
          <w:rFonts w:ascii="Times New Roman" w:eastAsia="Segoe UI" w:hAnsi="Times New Roman" w:cs="Times New Roman"/>
          <w:i/>
          <w:iCs/>
          <w:kern w:val="0"/>
          <w:shd w:val="clear" w:color="auto" w:fill="FFFFFF"/>
          <w:lang w:eastAsia="zh-CN"/>
          <w14:ligatures w14:val="none"/>
        </w:rPr>
        <w:t>International Journal of Management Sciences, 10</w:t>
      </w:r>
      <w:r w:rsidRPr="00070085">
        <w:rPr>
          <w:rFonts w:ascii="Times New Roman" w:eastAsia="Segoe UI" w:hAnsi="Times New Roman" w:cs="Times New Roman"/>
          <w:kern w:val="0"/>
          <w:shd w:val="clear" w:color="auto" w:fill="FFFFFF"/>
          <w:lang w:eastAsia="zh-CN"/>
          <w14:ligatures w14:val="none"/>
        </w:rPr>
        <w:t>(2), 112-128.</w:t>
      </w:r>
    </w:p>
    <w:p w14:paraId="18113640"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Akintokunbo, O. O., &amp; Oputa, E. A. (2018). Synergistic work system and project outcomes of oil/gas firms in Rivers State: A resource-based view approach. </w:t>
      </w:r>
      <w:r w:rsidRPr="00070085">
        <w:rPr>
          <w:rFonts w:ascii="Times New Roman" w:eastAsia="Segoe UI" w:hAnsi="Times New Roman" w:cs="Times New Roman"/>
          <w:i/>
          <w:iCs/>
          <w:kern w:val="0"/>
          <w:shd w:val="clear" w:color="auto" w:fill="FFFFFF"/>
          <w:lang w:eastAsia="zh-CN"/>
          <w14:ligatures w14:val="none"/>
        </w:rPr>
        <w:t>International Journal of Business and Management, 13</w:t>
      </w:r>
      <w:r w:rsidRPr="00070085">
        <w:rPr>
          <w:rFonts w:ascii="Times New Roman" w:eastAsia="Segoe UI" w:hAnsi="Times New Roman" w:cs="Times New Roman"/>
          <w:kern w:val="0"/>
          <w:shd w:val="clear" w:color="auto" w:fill="FFFFFF"/>
          <w:lang w:eastAsia="zh-CN"/>
          <w14:ligatures w14:val="none"/>
        </w:rPr>
        <w:t>(12), 45-58.</w:t>
      </w:r>
    </w:p>
    <w:p w14:paraId="675AFCCE"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Ali, M. B., &amp; Aminu, M. I. (2024). Effect of board diversity on financial performance of listed oil and gas companies in Nigeria. </w:t>
      </w:r>
      <w:r w:rsidRPr="00070085">
        <w:rPr>
          <w:rFonts w:ascii="Times New Roman" w:eastAsia="Segoe UI" w:hAnsi="Times New Roman" w:cs="Times New Roman"/>
          <w:i/>
          <w:iCs/>
          <w:kern w:val="0"/>
          <w:shd w:val="clear" w:color="auto" w:fill="FFFFFF"/>
          <w:lang w:eastAsia="zh-CN"/>
          <w14:ligatures w14:val="none"/>
        </w:rPr>
        <w:t xml:space="preserve">International Journal of Business and </w:t>
      </w:r>
      <w:proofErr w:type="spellStart"/>
      <w:r w:rsidRPr="00070085">
        <w:rPr>
          <w:rFonts w:ascii="Times New Roman" w:eastAsia="Segoe UI" w:hAnsi="Times New Roman" w:cs="Times New Roman"/>
          <w:i/>
          <w:iCs/>
          <w:kern w:val="0"/>
          <w:shd w:val="clear" w:color="auto" w:fill="FFFFFF"/>
          <w:lang w:eastAsia="zh-CN"/>
          <w14:ligatures w14:val="none"/>
        </w:rPr>
        <w:t>Technopreneurship</w:t>
      </w:r>
      <w:proofErr w:type="spellEnd"/>
      <w:r w:rsidRPr="00070085">
        <w:rPr>
          <w:rFonts w:ascii="Times New Roman" w:eastAsia="Segoe UI" w:hAnsi="Times New Roman" w:cs="Times New Roman"/>
          <w:i/>
          <w:iCs/>
          <w:kern w:val="0"/>
          <w:shd w:val="clear" w:color="auto" w:fill="FFFFFF"/>
          <w:lang w:eastAsia="zh-CN"/>
          <w14:ligatures w14:val="none"/>
        </w:rPr>
        <w:t>, 14</w:t>
      </w:r>
      <w:r w:rsidRPr="00070085">
        <w:rPr>
          <w:rFonts w:ascii="Times New Roman" w:eastAsia="Segoe UI" w:hAnsi="Times New Roman" w:cs="Times New Roman"/>
          <w:kern w:val="0"/>
          <w:shd w:val="clear" w:color="auto" w:fill="FFFFFF"/>
          <w:lang w:eastAsia="zh-CN"/>
          <w14:ligatures w14:val="none"/>
        </w:rPr>
        <w:t>(1), 45-62.</w:t>
      </w:r>
    </w:p>
    <w:p w14:paraId="28A15696"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proofErr w:type="spellStart"/>
      <w:r w:rsidRPr="00070085">
        <w:rPr>
          <w:rFonts w:ascii="Times New Roman" w:eastAsia="Segoe UI" w:hAnsi="Times New Roman" w:cs="Times New Roman"/>
          <w:kern w:val="0"/>
          <w:shd w:val="clear" w:color="auto" w:fill="FFFFFF"/>
          <w:lang w:eastAsia="zh-CN"/>
          <w14:ligatures w14:val="none"/>
        </w:rPr>
        <w:t>Alimen</w:t>
      </w:r>
      <w:proofErr w:type="spellEnd"/>
      <w:r w:rsidRPr="00070085">
        <w:rPr>
          <w:rFonts w:ascii="Times New Roman" w:eastAsia="Segoe UI" w:hAnsi="Times New Roman" w:cs="Times New Roman"/>
          <w:kern w:val="0"/>
          <w:shd w:val="clear" w:color="auto" w:fill="FFFFFF"/>
          <w:lang w:eastAsia="zh-CN"/>
          <w14:ligatures w14:val="none"/>
        </w:rPr>
        <w:t xml:space="preserve">, N., </w:t>
      </w:r>
      <w:proofErr w:type="spellStart"/>
      <w:r w:rsidRPr="00070085">
        <w:rPr>
          <w:rFonts w:ascii="Times New Roman" w:eastAsia="Segoe UI" w:hAnsi="Times New Roman" w:cs="Times New Roman"/>
          <w:kern w:val="0"/>
          <w:shd w:val="clear" w:color="auto" w:fill="FFFFFF"/>
          <w:lang w:eastAsia="zh-CN"/>
          <w14:ligatures w14:val="none"/>
        </w:rPr>
        <w:t>Cerit</w:t>
      </w:r>
      <w:proofErr w:type="spellEnd"/>
      <w:r w:rsidRPr="00070085">
        <w:rPr>
          <w:rFonts w:ascii="Times New Roman" w:eastAsia="Segoe UI" w:hAnsi="Times New Roman" w:cs="Times New Roman"/>
          <w:kern w:val="0"/>
          <w:shd w:val="clear" w:color="auto" w:fill="FFFFFF"/>
          <w:lang w:eastAsia="zh-CN"/>
          <w14:ligatures w14:val="none"/>
        </w:rPr>
        <w:t xml:space="preserve">, A. G., &amp; Tüfekçi, A. (2009). Stakeholder satisfaction as a measure of </w:t>
      </w:r>
      <w:proofErr w:type="spellStart"/>
      <w:r w:rsidRPr="00070085">
        <w:rPr>
          <w:rFonts w:ascii="Times New Roman" w:eastAsia="Segoe UI" w:hAnsi="Times New Roman" w:cs="Times New Roman"/>
          <w:kern w:val="0"/>
          <w:shd w:val="clear" w:color="auto" w:fill="FFFFFF"/>
          <w:lang w:eastAsia="zh-CN"/>
          <w14:ligatures w14:val="none"/>
        </w:rPr>
        <w:t>organisational</w:t>
      </w:r>
      <w:proofErr w:type="spellEnd"/>
      <w:r w:rsidRPr="00070085">
        <w:rPr>
          <w:rFonts w:ascii="Times New Roman" w:eastAsia="Segoe UI" w:hAnsi="Times New Roman" w:cs="Times New Roman"/>
          <w:kern w:val="0"/>
          <w:shd w:val="clear" w:color="auto" w:fill="FFFFFF"/>
          <w:lang w:eastAsia="zh-CN"/>
          <w14:ligatures w14:val="none"/>
        </w:rPr>
        <w:t xml:space="preserve"> performance: A study of Turkish container ports. </w:t>
      </w:r>
      <w:r w:rsidRPr="00070085">
        <w:rPr>
          <w:rFonts w:ascii="Times New Roman" w:eastAsia="Segoe UI" w:hAnsi="Times New Roman" w:cs="Times New Roman"/>
          <w:i/>
          <w:iCs/>
          <w:kern w:val="0"/>
          <w:shd w:val="clear" w:color="auto" w:fill="FFFFFF"/>
          <w:lang w:eastAsia="zh-CN"/>
          <w14:ligatures w14:val="none"/>
        </w:rPr>
        <w:t>WMU Journal of Maritime Affairs, 8</w:t>
      </w:r>
      <w:r w:rsidRPr="00070085">
        <w:rPr>
          <w:rFonts w:ascii="Times New Roman" w:eastAsia="Segoe UI" w:hAnsi="Times New Roman" w:cs="Times New Roman"/>
          <w:kern w:val="0"/>
          <w:shd w:val="clear" w:color="auto" w:fill="FFFFFF"/>
          <w:lang w:eastAsia="zh-CN"/>
          <w14:ligatures w14:val="none"/>
        </w:rPr>
        <w:t>(2), 159-180.</w:t>
      </w:r>
    </w:p>
    <w:p w14:paraId="5083739C"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lastRenderedPageBreak/>
        <w:t xml:space="preserve">Amoo, O. S. (2024). </w:t>
      </w:r>
      <w:r w:rsidRPr="00070085">
        <w:rPr>
          <w:rFonts w:ascii="Times New Roman" w:eastAsia="Segoe UI" w:hAnsi="Times New Roman" w:cs="Times New Roman"/>
          <w:i/>
          <w:iCs/>
          <w:kern w:val="0"/>
          <w:shd w:val="clear" w:color="auto" w:fill="FFFFFF"/>
          <w:lang w:eastAsia="zh-CN"/>
          <w14:ligatures w14:val="none"/>
        </w:rPr>
        <w:t>Human capital development practices, firm-specific factors, and employee performance of selected oil &amp; gas marketing companies in Southwest, Nigeria</w:t>
      </w:r>
      <w:r w:rsidRPr="00070085">
        <w:rPr>
          <w:rFonts w:ascii="Times New Roman" w:eastAsia="Segoe UI" w:hAnsi="Times New Roman" w:cs="Times New Roman"/>
          <w:kern w:val="0"/>
          <w:shd w:val="clear" w:color="auto" w:fill="FFFFFF"/>
          <w:lang w:eastAsia="zh-CN"/>
          <w14:ligatures w14:val="none"/>
        </w:rPr>
        <w:t xml:space="preserve"> [Unpublished doctoral dissertation]. Lead City University.</w:t>
      </w:r>
    </w:p>
    <w:p w14:paraId="5DF70D93"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i/>
          <w:iCs/>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Andry, J. F., </w:t>
      </w:r>
      <w:proofErr w:type="spellStart"/>
      <w:r w:rsidRPr="00070085">
        <w:rPr>
          <w:rFonts w:ascii="Times New Roman" w:eastAsia="Segoe UI" w:hAnsi="Times New Roman" w:cs="Times New Roman"/>
          <w:kern w:val="0"/>
          <w:shd w:val="clear" w:color="auto" w:fill="FFFFFF"/>
          <w:lang w:eastAsia="zh-CN"/>
          <w14:ligatures w14:val="none"/>
        </w:rPr>
        <w:t>Cryman</w:t>
      </w:r>
      <w:proofErr w:type="spellEnd"/>
      <w:r w:rsidRPr="00070085">
        <w:rPr>
          <w:rFonts w:ascii="Times New Roman" w:eastAsia="Segoe UI" w:hAnsi="Times New Roman" w:cs="Times New Roman"/>
          <w:kern w:val="0"/>
          <w:shd w:val="clear" w:color="auto" w:fill="FFFFFF"/>
          <w:lang w:eastAsia="zh-CN"/>
          <w14:ligatures w14:val="none"/>
        </w:rPr>
        <w:t xml:space="preserve">, J. A., </w:t>
      </w:r>
      <w:proofErr w:type="spellStart"/>
      <w:r w:rsidRPr="00070085">
        <w:rPr>
          <w:rFonts w:ascii="Times New Roman" w:eastAsia="Segoe UI" w:hAnsi="Times New Roman" w:cs="Times New Roman"/>
          <w:kern w:val="0"/>
          <w:shd w:val="clear" w:color="auto" w:fill="FFFFFF"/>
          <w:lang w:eastAsia="zh-CN"/>
          <w14:ligatures w14:val="none"/>
        </w:rPr>
        <w:t>Romadhon</w:t>
      </w:r>
      <w:proofErr w:type="spellEnd"/>
      <w:r w:rsidRPr="00070085">
        <w:rPr>
          <w:rFonts w:ascii="Times New Roman" w:eastAsia="Segoe UI" w:hAnsi="Times New Roman" w:cs="Times New Roman"/>
          <w:kern w:val="0"/>
          <w:shd w:val="clear" w:color="auto" w:fill="FFFFFF"/>
          <w:lang w:eastAsia="zh-CN"/>
          <w14:ligatures w14:val="none"/>
        </w:rPr>
        <w:t xml:space="preserve">, R. R., &amp; </w:t>
      </w:r>
      <w:proofErr w:type="spellStart"/>
      <w:r w:rsidRPr="00070085">
        <w:rPr>
          <w:rFonts w:ascii="Times New Roman" w:eastAsia="Segoe UI" w:hAnsi="Times New Roman" w:cs="Times New Roman"/>
          <w:kern w:val="0"/>
          <w:shd w:val="clear" w:color="auto" w:fill="FFFFFF"/>
          <w:lang w:eastAsia="zh-CN"/>
          <w14:ligatures w14:val="none"/>
        </w:rPr>
        <w:t>Hamali</w:t>
      </w:r>
      <w:proofErr w:type="spellEnd"/>
      <w:r w:rsidRPr="00070085">
        <w:rPr>
          <w:rFonts w:ascii="Times New Roman" w:eastAsia="Segoe UI" w:hAnsi="Times New Roman" w:cs="Times New Roman"/>
          <w:kern w:val="0"/>
          <w:shd w:val="clear" w:color="auto" w:fill="FFFFFF"/>
          <w:lang w:eastAsia="zh-CN"/>
          <w14:ligatures w14:val="none"/>
        </w:rPr>
        <w:t xml:space="preserve">, S. (2022). The effects of leanness and product price on supply chain sustainability in oil and gas industry. </w:t>
      </w:r>
      <w:r w:rsidRPr="00070085">
        <w:rPr>
          <w:rFonts w:ascii="Times New Roman" w:eastAsia="Segoe UI" w:hAnsi="Times New Roman" w:cs="Times New Roman"/>
          <w:i/>
          <w:iCs/>
          <w:kern w:val="0"/>
          <w:shd w:val="clear" w:color="auto" w:fill="FFFFFF"/>
          <w:lang w:eastAsia="zh-CN"/>
          <w14:ligatures w14:val="none"/>
        </w:rPr>
        <w:t>In Proceedings of the International Conference on Industrial Engineering and Operations Management. IEOM Society.</w:t>
      </w:r>
    </w:p>
    <w:p w14:paraId="69D09B70"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Argyris, C., &amp; Schön, D. A. (1978).</w:t>
      </w:r>
      <w:r w:rsidRPr="00070085">
        <w:rPr>
          <w:rFonts w:ascii="Times New Roman" w:eastAsia="Segoe UI" w:hAnsi="Times New Roman" w:cs="Times New Roman"/>
          <w:i/>
          <w:iCs/>
          <w:kern w:val="0"/>
          <w:shd w:val="clear" w:color="auto" w:fill="FFFFFF"/>
          <w:lang w:eastAsia="zh-CN"/>
          <w14:ligatures w14:val="none"/>
        </w:rPr>
        <w:t xml:space="preserve"> Organizational learning: A theory of action perspective. </w:t>
      </w:r>
      <w:r w:rsidRPr="00070085">
        <w:rPr>
          <w:rFonts w:ascii="Times New Roman" w:eastAsia="Segoe UI" w:hAnsi="Times New Roman" w:cs="Times New Roman"/>
          <w:kern w:val="0"/>
          <w:shd w:val="clear" w:color="auto" w:fill="FFFFFF"/>
          <w:lang w:eastAsia="zh-CN"/>
          <w14:ligatures w14:val="none"/>
        </w:rPr>
        <w:t>Addison-Wesley.</w:t>
      </w:r>
    </w:p>
    <w:p w14:paraId="02E80C21"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proofErr w:type="spellStart"/>
      <w:r w:rsidRPr="00070085">
        <w:rPr>
          <w:rFonts w:ascii="Times New Roman" w:eastAsia="Segoe UI" w:hAnsi="Times New Roman" w:cs="Times New Roman"/>
          <w:kern w:val="0"/>
          <w:shd w:val="clear" w:color="auto" w:fill="FFFFFF"/>
          <w:lang w:eastAsia="zh-CN"/>
          <w14:ligatures w14:val="none"/>
        </w:rPr>
        <w:t>Bertalanffy</w:t>
      </w:r>
      <w:proofErr w:type="spellEnd"/>
      <w:r w:rsidRPr="00070085">
        <w:rPr>
          <w:rFonts w:ascii="Times New Roman" w:eastAsia="Segoe UI" w:hAnsi="Times New Roman" w:cs="Times New Roman"/>
          <w:kern w:val="0"/>
          <w:shd w:val="clear" w:color="auto" w:fill="FFFFFF"/>
          <w:lang w:eastAsia="zh-CN"/>
          <w14:ligatures w14:val="none"/>
        </w:rPr>
        <w:t>, L. von. (1968). </w:t>
      </w:r>
      <w:r w:rsidRPr="00070085">
        <w:rPr>
          <w:rFonts w:ascii="Times New Roman" w:eastAsia="Segoe UI" w:hAnsi="Times New Roman" w:cs="Times New Roman"/>
          <w:i/>
          <w:iCs/>
          <w:kern w:val="0"/>
          <w:shd w:val="clear" w:color="auto" w:fill="FFFFFF"/>
          <w:lang w:eastAsia="zh-CN"/>
          <w14:ligatures w14:val="none"/>
        </w:rPr>
        <w:t xml:space="preserve">General system theory: Foundations, development, applications. </w:t>
      </w:r>
      <w:r w:rsidRPr="00070085">
        <w:rPr>
          <w:rFonts w:ascii="Times New Roman" w:eastAsia="Segoe UI" w:hAnsi="Times New Roman" w:cs="Times New Roman"/>
          <w:kern w:val="0"/>
          <w:shd w:val="clear" w:color="auto" w:fill="FFFFFF"/>
          <w:lang w:eastAsia="zh-CN"/>
          <w14:ligatures w14:val="none"/>
        </w:rPr>
        <w:t>George Braziller.</w:t>
      </w:r>
    </w:p>
    <w:p w14:paraId="1B260BCF"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Burrell, G., &amp; Morgan, G. (2019). </w:t>
      </w:r>
      <w:r w:rsidRPr="00070085">
        <w:rPr>
          <w:rFonts w:ascii="Times New Roman" w:eastAsia="Segoe UI" w:hAnsi="Times New Roman" w:cs="Times New Roman"/>
          <w:i/>
          <w:iCs/>
          <w:kern w:val="0"/>
          <w:lang w:eastAsia="zh-CN"/>
          <w14:ligatures w14:val="none"/>
        </w:rPr>
        <w:t xml:space="preserve">Sociological paradigms and </w:t>
      </w:r>
      <w:proofErr w:type="spellStart"/>
      <w:r w:rsidRPr="00070085">
        <w:rPr>
          <w:rFonts w:ascii="Times New Roman" w:eastAsia="Segoe UI" w:hAnsi="Times New Roman" w:cs="Times New Roman"/>
          <w:i/>
          <w:iCs/>
          <w:kern w:val="0"/>
          <w:lang w:eastAsia="zh-CN"/>
          <w14:ligatures w14:val="none"/>
        </w:rPr>
        <w:t>organisational</w:t>
      </w:r>
      <w:proofErr w:type="spellEnd"/>
      <w:r w:rsidRPr="00070085">
        <w:rPr>
          <w:rFonts w:ascii="Times New Roman" w:eastAsia="Segoe UI" w:hAnsi="Times New Roman" w:cs="Times New Roman"/>
          <w:i/>
          <w:iCs/>
          <w:kern w:val="0"/>
          <w:lang w:eastAsia="zh-CN"/>
          <w14:ligatures w14:val="none"/>
        </w:rPr>
        <w:t xml:space="preserve"> analysis: Elements of the sociology of corporate life (2nd ed.). </w:t>
      </w:r>
      <w:r w:rsidRPr="00070085">
        <w:rPr>
          <w:rFonts w:ascii="Times New Roman" w:eastAsia="Segoe UI" w:hAnsi="Times New Roman" w:cs="Times New Roman"/>
          <w:kern w:val="0"/>
          <w:lang w:eastAsia="zh-CN"/>
          <w14:ligatures w14:val="none"/>
        </w:rPr>
        <w:t>Routledge.</w:t>
      </w:r>
    </w:p>
    <w:p w14:paraId="1D9FB20F"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Byrne, B. M. (2010). </w:t>
      </w:r>
      <w:r w:rsidRPr="00070085">
        <w:rPr>
          <w:rFonts w:ascii="Times New Roman" w:eastAsia="SimSun" w:hAnsi="Times New Roman" w:cs="Times New Roman"/>
          <w:i/>
          <w:iCs/>
          <w:kern w:val="0"/>
          <w:lang w:eastAsia="zh-CN"/>
          <w14:ligatures w14:val="none"/>
        </w:rPr>
        <w:t>Structural equation modeling with AMOS: Basic concepts, applications, and programming</w:t>
      </w:r>
      <w:r w:rsidRPr="00070085">
        <w:rPr>
          <w:rFonts w:ascii="Times New Roman" w:eastAsia="SimSun" w:hAnsi="Times New Roman" w:cs="Times New Roman"/>
          <w:kern w:val="0"/>
          <w:lang w:eastAsia="zh-CN"/>
          <w14:ligatures w14:val="none"/>
        </w:rPr>
        <w:t xml:space="preserve"> (2nd ed.). Routledge.</w:t>
      </w:r>
    </w:p>
    <w:p w14:paraId="127EBA3A"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Cangelosi, V. E., &amp; Dill, W. R. (1965). Organizational learning: Observations toward a theory. </w:t>
      </w:r>
      <w:r w:rsidRPr="00070085">
        <w:rPr>
          <w:rFonts w:ascii="Times New Roman" w:eastAsia="Segoe UI" w:hAnsi="Times New Roman" w:cs="Times New Roman"/>
          <w:i/>
          <w:iCs/>
          <w:kern w:val="0"/>
          <w:lang w:eastAsia="zh-CN"/>
          <w14:ligatures w14:val="none"/>
        </w:rPr>
        <w:t>Administrative Science Quarterly, 10</w:t>
      </w:r>
      <w:r w:rsidRPr="00070085">
        <w:rPr>
          <w:rFonts w:ascii="Times New Roman" w:eastAsia="Segoe UI" w:hAnsi="Times New Roman" w:cs="Times New Roman"/>
          <w:kern w:val="0"/>
          <w:lang w:eastAsia="zh-CN"/>
          <w14:ligatures w14:val="none"/>
        </w:rPr>
        <w:t>(2), 175-203.</w:t>
      </w:r>
    </w:p>
    <w:p w14:paraId="22BAEF35"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proofErr w:type="spellStart"/>
      <w:r w:rsidRPr="00070085">
        <w:rPr>
          <w:rFonts w:ascii="Times New Roman" w:eastAsia="Segoe UI" w:hAnsi="Times New Roman" w:cs="Times New Roman"/>
          <w:kern w:val="0"/>
          <w:lang w:eastAsia="zh-CN"/>
          <w14:ligatures w14:val="none"/>
        </w:rPr>
        <w:t>Checkland</w:t>
      </w:r>
      <w:proofErr w:type="spellEnd"/>
      <w:r w:rsidRPr="00070085">
        <w:rPr>
          <w:rFonts w:ascii="Times New Roman" w:eastAsia="Segoe UI" w:hAnsi="Times New Roman" w:cs="Times New Roman"/>
          <w:kern w:val="0"/>
          <w:lang w:eastAsia="zh-CN"/>
          <w14:ligatures w14:val="none"/>
        </w:rPr>
        <w:t>, P. (1981). Systems thinking, systems practice. John Wiley &amp; Sons.</w:t>
      </w:r>
    </w:p>
    <w:p w14:paraId="78777734" w14:textId="77777777" w:rsidR="00070085" w:rsidRPr="00070085" w:rsidRDefault="00070085" w:rsidP="00070085">
      <w:pPr>
        <w:spacing w:after="120" w:line="240" w:lineRule="exact"/>
        <w:ind w:left="720" w:hanging="720"/>
        <w:jc w:val="both"/>
        <w:rPr>
          <w:rFonts w:ascii="Times New Roman" w:eastAsia="Times New Roma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Cohen, J. (1988). </w:t>
      </w:r>
      <w:r w:rsidRPr="00070085">
        <w:rPr>
          <w:rFonts w:ascii="Times New Roman" w:eastAsia="SimSun" w:hAnsi="Times New Roman" w:cs="Times New Roman"/>
          <w:i/>
          <w:iCs/>
          <w:kern w:val="0"/>
          <w:lang w:eastAsia="zh-CN"/>
          <w14:ligatures w14:val="none"/>
        </w:rPr>
        <w:t>Statistical power analysis for the behavioral sciences</w:t>
      </w:r>
      <w:r w:rsidRPr="00070085">
        <w:rPr>
          <w:rFonts w:ascii="Times New Roman" w:eastAsia="SimSun" w:hAnsi="Times New Roman" w:cs="Times New Roman"/>
          <w:kern w:val="0"/>
          <w:lang w:eastAsia="zh-CN"/>
          <w14:ligatures w14:val="none"/>
        </w:rPr>
        <w:t xml:space="preserve"> (2nd ed.). Lawrence Erlbaum Associates.</w:t>
      </w:r>
    </w:p>
    <w:p w14:paraId="1A24F383"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Cohen, J. (1988). </w:t>
      </w:r>
      <w:r w:rsidRPr="00070085">
        <w:rPr>
          <w:rFonts w:ascii="Times New Roman" w:eastAsia="SimSun" w:hAnsi="Times New Roman" w:cs="Times New Roman"/>
          <w:i/>
          <w:iCs/>
          <w:kern w:val="0"/>
          <w:lang w:eastAsia="zh-CN"/>
          <w14:ligatures w14:val="none"/>
        </w:rPr>
        <w:t>Statistical power analysis for the behavioral sciences</w:t>
      </w:r>
      <w:r w:rsidRPr="00070085">
        <w:rPr>
          <w:rFonts w:ascii="Times New Roman" w:eastAsia="SimSun" w:hAnsi="Times New Roman" w:cs="Times New Roman"/>
          <w:kern w:val="0"/>
          <w:lang w:eastAsia="zh-CN"/>
          <w14:ligatures w14:val="none"/>
        </w:rPr>
        <w:t xml:space="preserve"> (2nd ed.). Lawrence Erlbaum Associates.</w:t>
      </w:r>
    </w:p>
    <w:p w14:paraId="169EB88B"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Cook, S. D. N., &amp; Yanow, D. (1993). Culture and organizational learning. </w:t>
      </w:r>
      <w:r w:rsidRPr="00070085">
        <w:rPr>
          <w:rFonts w:ascii="Times New Roman" w:eastAsia="Segoe UI" w:hAnsi="Times New Roman" w:cs="Times New Roman"/>
          <w:i/>
          <w:iCs/>
          <w:kern w:val="0"/>
          <w:lang w:eastAsia="zh-CN"/>
          <w14:ligatures w14:val="none"/>
        </w:rPr>
        <w:t>Journal of Management Inquiry, 2</w:t>
      </w:r>
      <w:r w:rsidRPr="00070085">
        <w:rPr>
          <w:rFonts w:ascii="Times New Roman" w:eastAsia="Segoe UI" w:hAnsi="Times New Roman" w:cs="Times New Roman"/>
          <w:kern w:val="0"/>
          <w:lang w:eastAsia="zh-CN"/>
          <w14:ligatures w14:val="none"/>
        </w:rPr>
        <w:t>(4), 373-390.</w:t>
      </w:r>
    </w:p>
    <w:p w14:paraId="621A58B4"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Coopey, J. (1995). The learning organization, power, politics and ideology. </w:t>
      </w:r>
      <w:r w:rsidRPr="00070085">
        <w:rPr>
          <w:rFonts w:ascii="Times New Roman" w:eastAsia="Segoe UI" w:hAnsi="Times New Roman" w:cs="Times New Roman"/>
          <w:i/>
          <w:iCs/>
          <w:kern w:val="0"/>
          <w:lang w:eastAsia="zh-CN"/>
          <w14:ligatures w14:val="none"/>
        </w:rPr>
        <w:t xml:space="preserve">Management Learning, 26 </w:t>
      </w:r>
      <w:r w:rsidRPr="00070085">
        <w:rPr>
          <w:rFonts w:ascii="Times New Roman" w:eastAsia="Segoe UI" w:hAnsi="Times New Roman" w:cs="Times New Roman"/>
          <w:kern w:val="0"/>
          <w:lang w:eastAsia="zh-CN"/>
          <w14:ligatures w14:val="none"/>
        </w:rPr>
        <w:t>(2), 193-213.</w:t>
      </w:r>
    </w:p>
    <w:p w14:paraId="27C9D1AD"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Cyert, R. M., &amp; March, J. G. (1963). </w:t>
      </w:r>
      <w:r w:rsidRPr="00070085">
        <w:rPr>
          <w:rFonts w:ascii="Times New Roman" w:eastAsia="Segoe UI" w:hAnsi="Times New Roman" w:cs="Times New Roman"/>
          <w:i/>
          <w:iCs/>
          <w:kern w:val="0"/>
          <w:lang w:eastAsia="zh-CN"/>
          <w14:ligatures w14:val="none"/>
        </w:rPr>
        <w:t>A behavioral theory of the firm</w:t>
      </w:r>
      <w:r w:rsidRPr="00070085">
        <w:rPr>
          <w:rFonts w:ascii="Times New Roman" w:eastAsia="Segoe UI" w:hAnsi="Times New Roman" w:cs="Times New Roman"/>
          <w:kern w:val="0"/>
          <w:lang w:eastAsia="zh-CN"/>
          <w14:ligatures w14:val="none"/>
        </w:rPr>
        <w:t>. Prentice-Hall.</w:t>
      </w:r>
    </w:p>
    <w:p w14:paraId="047D9CFD"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proofErr w:type="spellStart"/>
      <w:r w:rsidRPr="00070085">
        <w:rPr>
          <w:rFonts w:ascii="Times New Roman" w:eastAsia="Segoe UI" w:hAnsi="Times New Roman" w:cs="Times New Roman"/>
          <w:kern w:val="0"/>
          <w:shd w:val="clear" w:color="auto" w:fill="FFFFFF"/>
          <w:lang w:eastAsia="zh-CN"/>
          <w14:ligatures w14:val="none"/>
        </w:rPr>
        <w:t>Dhoopar</w:t>
      </w:r>
      <w:proofErr w:type="spellEnd"/>
      <w:r w:rsidRPr="00070085">
        <w:rPr>
          <w:rFonts w:ascii="Times New Roman" w:eastAsia="Segoe UI" w:hAnsi="Times New Roman" w:cs="Times New Roman"/>
          <w:kern w:val="0"/>
          <w:shd w:val="clear" w:color="auto" w:fill="FFFFFF"/>
          <w:lang w:eastAsia="zh-CN"/>
          <w14:ligatures w14:val="none"/>
        </w:rPr>
        <w:t>, A., Sihag, P., &amp; Rastogi, A. (2022). Organizational effectiveness: A systematic review and future research agenda. </w:t>
      </w:r>
      <w:r w:rsidRPr="00070085">
        <w:rPr>
          <w:rFonts w:ascii="Times New Roman" w:eastAsia="Segoe UI" w:hAnsi="Times New Roman" w:cs="Times New Roman"/>
          <w:i/>
          <w:iCs/>
          <w:kern w:val="0"/>
          <w:shd w:val="clear" w:color="auto" w:fill="FFFFFF"/>
          <w:lang w:eastAsia="zh-CN"/>
          <w14:ligatures w14:val="none"/>
        </w:rPr>
        <w:t>International Journal of Organizational Analysis, 30</w:t>
      </w:r>
      <w:r w:rsidRPr="00070085">
        <w:rPr>
          <w:rFonts w:ascii="Times New Roman" w:eastAsia="Segoe UI" w:hAnsi="Times New Roman" w:cs="Times New Roman"/>
          <w:kern w:val="0"/>
          <w:shd w:val="clear" w:color="auto" w:fill="FFFFFF"/>
          <w:lang w:eastAsia="zh-CN"/>
          <w14:ligatures w14:val="none"/>
        </w:rPr>
        <w:t>(5), 1157-1194.</w:t>
      </w:r>
    </w:p>
    <w:p w14:paraId="61FC3FCB"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Easterby-Smith, M. (1997). Disciplines of organizational learning: Contributions and critiques. </w:t>
      </w:r>
      <w:r w:rsidRPr="00070085">
        <w:rPr>
          <w:rFonts w:ascii="Times New Roman" w:eastAsia="Segoe UI" w:hAnsi="Times New Roman" w:cs="Times New Roman"/>
          <w:i/>
          <w:iCs/>
          <w:kern w:val="0"/>
          <w:lang w:eastAsia="zh-CN"/>
          <w14:ligatures w14:val="none"/>
        </w:rPr>
        <w:t>Human Relations, 50</w:t>
      </w:r>
      <w:r w:rsidRPr="00070085">
        <w:rPr>
          <w:rFonts w:ascii="Times New Roman" w:eastAsia="Segoe UI" w:hAnsi="Times New Roman" w:cs="Times New Roman"/>
          <w:kern w:val="0"/>
          <w:lang w:eastAsia="zh-CN"/>
          <w14:ligatures w14:val="none"/>
        </w:rPr>
        <w:t>(9), 1085-1113.</w:t>
      </w:r>
    </w:p>
    <w:p w14:paraId="25283D31"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Eja, E. M., Enya, M. N., &amp; Eja, K. M. (2025). Comparison between analog system and digital technology in the management of oil and gas in Nigeria. </w:t>
      </w:r>
      <w:r w:rsidRPr="00070085">
        <w:rPr>
          <w:rFonts w:ascii="Times New Roman" w:eastAsia="Segoe UI" w:hAnsi="Times New Roman" w:cs="Times New Roman"/>
          <w:i/>
          <w:iCs/>
          <w:kern w:val="0"/>
          <w:lang w:eastAsia="zh-CN"/>
          <w14:ligatures w14:val="none"/>
        </w:rPr>
        <w:t>Global Journal of Social Sciences, 24</w:t>
      </w:r>
      <w:r w:rsidRPr="00070085">
        <w:rPr>
          <w:rFonts w:ascii="Times New Roman" w:eastAsia="Segoe UI" w:hAnsi="Times New Roman" w:cs="Times New Roman"/>
          <w:kern w:val="0"/>
          <w:lang w:eastAsia="zh-CN"/>
          <w14:ligatures w14:val="none"/>
        </w:rPr>
        <w:t>(1), 89-98.</w:t>
      </w:r>
    </w:p>
    <w:p w14:paraId="13C0509A"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Fenwick, T. (2003). Emancipatory potential of action learning: A critical analysis. </w:t>
      </w:r>
      <w:r w:rsidRPr="00070085">
        <w:rPr>
          <w:rFonts w:ascii="Times New Roman" w:eastAsia="Segoe UI" w:hAnsi="Times New Roman" w:cs="Times New Roman"/>
          <w:i/>
          <w:iCs/>
          <w:kern w:val="0"/>
          <w:lang w:eastAsia="zh-CN"/>
          <w14:ligatures w14:val="none"/>
        </w:rPr>
        <w:t>Journal of Organizational Change Management, 16(</w:t>
      </w:r>
      <w:r w:rsidRPr="00070085">
        <w:rPr>
          <w:rFonts w:ascii="Times New Roman" w:eastAsia="Segoe UI" w:hAnsi="Times New Roman" w:cs="Times New Roman"/>
          <w:kern w:val="0"/>
          <w:lang w:eastAsia="zh-CN"/>
          <w14:ligatures w14:val="none"/>
        </w:rPr>
        <w:t>6), 619-632.</w:t>
      </w:r>
    </w:p>
    <w:p w14:paraId="53E0E894" w14:textId="77777777" w:rsidR="00070085" w:rsidRPr="00070085" w:rsidRDefault="00070085" w:rsidP="00070085">
      <w:pPr>
        <w:spacing w:after="120" w:line="240" w:lineRule="exact"/>
        <w:ind w:left="720" w:hanging="72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Fornell, C., &amp; Larcker, D. F. (1981). Evaluating structural equation models with unobservable variables and measurement error. </w:t>
      </w:r>
      <w:r w:rsidRPr="00070085">
        <w:rPr>
          <w:rFonts w:ascii="Times New Roman" w:eastAsia="SimSun" w:hAnsi="Times New Roman" w:cs="Times New Roman"/>
          <w:i/>
          <w:iCs/>
          <w:kern w:val="0"/>
          <w:lang w:eastAsia="zh-CN"/>
          <w14:ligatures w14:val="none"/>
        </w:rPr>
        <w:t>Journal of Marketing Research, 18</w:t>
      </w:r>
      <w:r w:rsidRPr="00070085">
        <w:rPr>
          <w:rFonts w:ascii="Times New Roman" w:eastAsia="SimSun" w:hAnsi="Times New Roman" w:cs="Times New Roman"/>
          <w:kern w:val="0"/>
          <w:lang w:eastAsia="zh-CN"/>
          <w14:ligatures w14:val="none"/>
        </w:rPr>
        <w:t xml:space="preserve">(1), 39–50. </w:t>
      </w:r>
      <w:hyperlink r:id="rId279" w:tgtFrame="_new" w:history="1">
        <w:r w:rsidRPr="00070085">
          <w:rPr>
            <w:rFonts w:ascii="Times New Roman" w:eastAsia="SimSun" w:hAnsi="Times New Roman" w:cs="Times New Roman"/>
            <w:kern w:val="0"/>
            <w:lang w:eastAsia="zh-CN"/>
            <w14:ligatures w14:val="none"/>
          </w:rPr>
          <w:t>https://doi.org/10.1177/002224378101800104</w:t>
        </w:r>
      </w:hyperlink>
    </w:p>
    <w:p w14:paraId="76475E4A"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Fornell, C., &amp; Larcker, D. F. (1981). Evaluating structural equation models with unobservable variables and measurement error. </w:t>
      </w:r>
      <w:r w:rsidRPr="00070085">
        <w:rPr>
          <w:rFonts w:ascii="Times New Roman" w:eastAsia="SimSun" w:hAnsi="Times New Roman" w:cs="Times New Roman"/>
          <w:i/>
          <w:iCs/>
          <w:kern w:val="0"/>
          <w:lang w:eastAsia="zh-CN"/>
          <w14:ligatures w14:val="none"/>
        </w:rPr>
        <w:t>Journal of Marketing Research, 18</w:t>
      </w:r>
      <w:r w:rsidRPr="00070085">
        <w:rPr>
          <w:rFonts w:ascii="Times New Roman" w:eastAsia="SimSun" w:hAnsi="Times New Roman" w:cs="Times New Roman"/>
          <w:kern w:val="0"/>
          <w:lang w:eastAsia="zh-CN"/>
          <w14:ligatures w14:val="none"/>
        </w:rPr>
        <w:t>(1), 39–50.</w:t>
      </w:r>
    </w:p>
    <w:p w14:paraId="2AF925A2"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Garvin, D. A. (1993). Building a learning organization. </w:t>
      </w:r>
      <w:r w:rsidRPr="00070085">
        <w:rPr>
          <w:rFonts w:ascii="Times New Roman" w:eastAsia="Segoe UI" w:hAnsi="Times New Roman" w:cs="Times New Roman"/>
          <w:i/>
          <w:iCs/>
          <w:kern w:val="0"/>
          <w:lang w:eastAsia="zh-CN"/>
          <w14:ligatures w14:val="none"/>
        </w:rPr>
        <w:t>Harvard Business Review, 71</w:t>
      </w:r>
      <w:r w:rsidRPr="00070085">
        <w:rPr>
          <w:rFonts w:ascii="Times New Roman" w:eastAsia="Segoe UI" w:hAnsi="Times New Roman" w:cs="Times New Roman"/>
          <w:kern w:val="0"/>
          <w:lang w:eastAsia="zh-CN"/>
          <w14:ligatures w14:val="none"/>
        </w:rPr>
        <w:t>(4), 78-91.</w:t>
      </w:r>
    </w:p>
    <w:p w14:paraId="33258F4B"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lastRenderedPageBreak/>
        <w:t>Georgopoulos, B. S., &amp; Tannenbaum, A. S. (1957). A study of organizational effectiveness. </w:t>
      </w:r>
      <w:r w:rsidRPr="00070085">
        <w:rPr>
          <w:rFonts w:ascii="Times New Roman" w:eastAsia="Segoe UI" w:hAnsi="Times New Roman" w:cs="Times New Roman"/>
          <w:i/>
          <w:iCs/>
          <w:kern w:val="0"/>
          <w:shd w:val="clear" w:color="auto" w:fill="FFFFFF"/>
          <w:lang w:eastAsia="zh-CN"/>
          <w14:ligatures w14:val="none"/>
        </w:rPr>
        <w:t>American Sociological Review, 22</w:t>
      </w:r>
      <w:r w:rsidRPr="00070085">
        <w:rPr>
          <w:rFonts w:ascii="Times New Roman" w:eastAsia="Segoe UI" w:hAnsi="Times New Roman" w:cs="Times New Roman"/>
          <w:kern w:val="0"/>
          <w:shd w:val="clear" w:color="auto" w:fill="FFFFFF"/>
          <w:lang w:eastAsia="zh-CN"/>
          <w14:ligatures w14:val="none"/>
        </w:rPr>
        <w:t>(5), 534-540.</w:t>
      </w:r>
    </w:p>
    <w:p w14:paraId="42F7091C"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Hair, J. F., Black, W. C., Babin, B. J., &amp; Anderson, R. E. (2014). </w:t>
      </w:r>
      <w:r w:rsidRPr="00070085">
        <w:rPr>
          <w:rFonts w:ascii="Times New Roman" w:eastAsia="SimSun" w:hAnsi="Times New Roman" w:cs="Times New Roman"/>
          <w:i/>
          <w:iCs/>
          <w:kern w:val="0"/>
          <w:lang w:eastAsia="zh-CN"/>
          <w14:ligatures w14:val="none"/>
        </w:rPr>
        <w:t>Multivariate data analysis</w:t>
      </w:r>
      <w:r w:rsidRPr="00070085">
        <w:rPr>
          <w:rFonts w:ascii="Times New Roman" w:eastAsia="SimSun" w:hAnsi="Times New Roman" w:cs="Times New Roman"/>
          <w:kern w:val="0"/>
          <w:lang w:eastAsia="zh-CN"/>
          <w14:ligatures w14:val="none"/>
        </w:rPr>
        <w:t xml:space="preserve"> (7th ed.). Pearson Education.</w:t>
      </w:r>
    </w:p>
    <w:p w14:paraId="1A256159"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Hair, J. F., Hult, G. T. M., Ringle, C. M., &amp; Sarstedt, M. (2014). </w:t>
      </w:r>
      <w:r w:rsidRPr="00070085">
        <w:rPr>
          <w:rFonts w:ascii="Times New Roman" w:eastAsia="SimSun" w:hAnsi="Times New Roman" w:cs="Times New Roman"/>
          <w:i/>
          <w:iCs/>
          <w:kern w:val="0"/>
          <w:lang w:eastAsia="zh-CN"/>
          <w14:ligatures w14:val="none"/>
        </w:rPr>
        <w:t>A primer on partial least squares structural equation modeling (PLS-SEM).</w:t>
      </w:r>
      <w:r w:rsidRPr="00070085">
        <w:rPr>
          <w:rFonts w:ascii="Times New Roman" w:eastAsia="SimSun" w:hAnsi="Times New Roman" w:cs="Times New Roman"/>
          <w:kern w:val="0"/>
          <w:lang w:eastAsia="zh-CN"/>
          <w14:ligatures w14:val="none"/>
        </w:rPr>
        <w:t xml:space="preserve"> Sage.</w:t>
      </w:r>
    </w:p>
    <w:p w14:paraId="27145592" w14:textId="77777777" w:rsidR="00070085" w:rsidRPr="00070085" w:rsidRDefault="00070085" w:rsidP="00070085">
      <w:pPr>
        <w:spacing w:after="120" w:line="240" w:lineRule="exact"/>
        <w:ind w:left="720" w:hanging="72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Hair, J. F., Hult, G. T. M., Ringle, C. M., &amp; Sarstedt, M. (2019). </w:t>
      </w:r>
      <w:r w:rsidRPr="00070085">
        <w:rPr>
          <w:rFonts w:ascii="Times New Roman" w:eastAsia="SimSun" w:hAnsi="Times New Roman" w:cs="Times New Roman"/>
          <w:i/>
          <w:iCs/>
          <w:kern w:val="0"/>
          <w:lang w:eastAsia="zh-CN"/>
          <w14:ligatures w14:val="none"/>
        </w:rPr>
        <w:t>A primer on partial least squares structural equation modeling (PLS-SEM)</w:t>
      </w:r>
      <w:r w:rsidRPr="00070085">
        <w:rPr>
          <w:rFonts w:ascii="Times New Roman" w:eastAsia="SimSun" w:hAnsi="Times New Roman" w:cs="Times New Roman"/>
          <w:kern w:val="0"/>
          <w:lang w:eastAsia="zh-CN"/>
          <w14:ligatures w14:val="none"/>
        </w:rPr>
        <w:t xml:space="preserve"> (2nd ed.). SAGE Publications.</w:t>
      </w:r>
    </w:p>
    <w:p w14:paraId="52238B65" w14:textId="77777777" w:rsidR="00070085" w:rsidRPr="00070085" w:rsidRDefault="00070085" w:rsidP="00070085">
      <w:pPr>
        <w:spacing w:after="120" w:line="240" w:lineRule="exact"/>
        <w:ind w:left="720" w:hanging="72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Hair, J. F., Hult, G. T. M., Ringle, C. M., &amp; Sarstedt, M. (2021). </w:t>
      </w:r>
      <w:r w:rsidRPr="00070085">
        <w:rPr>
          <w:rFonts w:ascii="Times New Roman" w:eastAsia="SimSun" w:hAnsi="Times New Roman" w:cs="Times New Roman"/>
          <w:i/>
          <w:iCs/>
          <w:kern w:val="0"/>
          <w:lang w:eastAsia="zh-CN"/>
          <w14:ligatures w14:val="none"/>
        </w:rPr>
        <w:t>A primer on partial least squares structural equation modeling (PLS-SEM)</w:t>
      </w:r>
      <w:r w:rsidRPr="00070085">
        <w:rPr>
          <w:rFonts w:ascii="Times New Roman" w:eastAsia="SimSun" w:hAnsi="Times New Roman" w:cs="Times New Roman"/>
          <w:kern w:val="0"/>
          <w:lang w:eastAsia="zh-CN"/>
          <w14:ligatures w14:val="none"/>
        </w:rPr>
        <w:t xml:space="preserve"> (3rd ed.). SAGE Publications.</w:t>
      </w:r>
    </w:p>
    <w:p w14:paraId="38A774DD" w14:textId="77777777" w:rsidR="00070085" w:rsidRPr="00070085" w:rsidRDefault="00070085" w:rsidP="00070085">
      <w:pPr>
        <w:spacing w:after="120" w:line="240" w:lineRule="exact"/>
        <w:ind w:left="720" w:hanging="72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Hair, J. F., Hult, G. T. M., Ringle, C. M., Sarstedt, M., Danks, N. P., &amp; Ray, S. (2022). </w:t>
      </w:r>
      <w:r w:rsidRPr="00070085">
        <w:rPr>
          <w:rFonts w:ascii="Times New Roman" w:eastAsia="SimSun" w:hAnsi="Times New Roman" w:cs="Times New Roman"/>
          <w:i/>
          <w:iCs/>
          <w:kern w:val="0"/>
          <w:lang w:eastAsia="zh-CN"/>
          <w14:ligatures w14:val="none"/>
        </w:rPr>
        <w:t>Partial least squares structural equation modeling (PLS-SEM) using R: A workbook</w:t>
      </w:r>
      <w:r w:rsidRPr="00070085">
        <w:rPr>
          <w:rFonts w:ascii="Times New Roman" w:eastAsia="SimSun" w:hAnsi="Times New Roman" w:cs="Times New Roman"/>
          <w:kern w:val="0"/>
          <w:lang w:eastAsia="zh-CN"/>
          <w14:ligatures w14:val="none"/>
        </w:rPr>
        <w:t xml:space="preserve">. Springer. </w:t>
      </w:r>
      <w:hyperlink r:id="rId280" w:tgtFrame="_new" w:history="1">
        <w:r w:rsidRPr="00070085">
          <w:rPr>
            <w:rFonts w:ascii="Times New Roman" w:eastAsia="SimSun" w:hAnsi="Times New Roman" w:cs="Times New Roman"/>
            <w:kern w:val="0"/>
            <w:lang w:eastAsia="zh-CN"/>
            <w14:ligatures w14:val="none"/>
          </w:rPr>
          <w:t>https://doi.org/10.1007/978-3-030-80519-7</w:t>
        </w:r>
      </w:hyperlink>
    </w:p>
    <w:p w14:paraId="0B3B0D97"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Hartman, R. (2011). </w:t>
      </w:r>
      <w:r w:rsidRPr="00070085">
        <w:rPr>
          <w:rFonts w:ascii="Times New Roman" w:eastAsia="Segoe UI" w:hAnsi="Times New Roman" w:cs="Times New Roman"/>
          <w:i/>
          <w:iCs/>
          <w:kern w:val="0"/>
          <w:shd w:val="clear" w:color="auto" w:fill="FFFFFF"/>
          <w:lang w:eastAsia="zh-CN"/>
          <w14:ligatures w14:val="none"/>
        </w:rPr>
        <w:t xml:space="preserve">Operational efficiency: A comprehensive guide to improving business performance. </w:t>
      </w:r>
      <w:r w:rsidRPr="00070085">
        <w:rPr>
          <w:rFonts w:ascii="Times New Roman" w:eastAsia="Segoe UI" w:hAnsi="Times New Roman" w:cs="Times New Roman"/>
          <w:kern w:val="0"/>
          <w:shd w:val="clear" w:color="auto" w:fill="FFFFFF"/>
          <w:lang w:eastAsia="zh-CN"/>
          <w14:ligatures w14:val="none"/>
        </w:rPr>
        <w:t>Business Expert Press.</w:t>
      </w:r>
    </w:p>
    <w:p w14:paraId="73852262" w14:textId="77777777" w:rsidR="00070085" w:rsidRPr="00070085" w:rsidRDefault="00070085" w:rsidP="00070085">
      <w:pPr>
        <w:spacing w:after="120" w:line="240" w:lineRule="exact"/>
        <w:ind w:left="720" w:hanging="72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Henseler, J., Ringle, C. M., &amp; Sarstedt, M. (2015). A new criterion for assessing discriminant validity in variance-based structural equation modeling. </w:t>
      </w:r>
      <w:r w:rsidRPr="00070085">
        <w:rPr>
          <w:rFonts w:ascii="Times New Roman" w:eastAsia="SimSun" w:hAnsi="Times New Roman" w:cs="Times New Roman"/>
          <w:i/>
          <w:iCs/>
          <w:kern w:val="0"/>
          <w:lang w:eastAsia="zh-CN"/>
          <w14:ligatures w14:val="none"/>
        </w:rPr>
        <w:t>Journal of the Academy of Marketing Science, 43</w:t>
      </w:r>
      <w:r w:rsidRPr="00070085">
        <w:rPr>
          <w:rFonts w:ascii="Times New Roman" w:eastAsia="SimSun" w:hAnsi="Times New Roman" w:cs="Times New Roman"/>
          <w:kern w:val="0"/>
          <w:lang w:eastAsia="zh-CN"/>
          <w14:ligatures w14:val="none"/>
        </w:rPr>
        <w:t xml:space="preserve">(1), 115–135. </w:t>
      </w:r>
      <w:hyperlink r:id="rId281" w:tgtFrame="_new" w:history="1">
        <w:r w:rsidRPr="00070085">
          <w:rPr>
            <w:rFonts w:ascii="Times New Roman" w:eastAsia="SimSun" w:hAnsi="Times New Roman" w:cs="Times New Roman"/>
            <w:kern w:val="0"/>
            <w:lang w:eastAsia="zh-CN"/>
            <w14:ligatures w14:val="none"/>
          </w:rPr>
          <w:t>https://doi.org/10.1007/s11747-014-0403-8</w:t>
        </w:r>
      </w:hyperlink>
    </w:p>
    <w:p w14:paraId="55850336"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Huber, G. P. (1991). Organizational learning: The contributing processes and the literatures. </w:t>
      </w:r>
      <w:r w:rsidRPr="00070085">
        <w:rPr>
          <w:rFonts w:ascii="Times New Roman" w:eastAsia="Segoe UI" w:hAnsi="Times New Roman" w:cs="Times New Roman"/>
          <w:i/>
          <w:iCs/>
          <w:kern w:val="0"/>
          <w:lang w:eastAsia="zh-CN"/>
          <w14:ligatures w14:val="none"/>
        </w:rPr>
        <w:t>Organization Science, 2</w:t>
      </w:r>
      <w:r w:rsidRPr="00070085">
        <w:rPr>
          <w:rFonts w:ascii="Times New Roman" w:eastAsia="Segoe UI" w:hAnsi="Times New Roman" w:cs="Times New Roman"/>
          <w:kern w:val="0"/>
          <w:lang w:eastAsia="zh-CN"/>
          <w14:ligatures w14:val="none"/>
        </w:rPr>
        <w:t>(1), 88-115.</w:t>
      </w:r>
    </w:p>
    <w:p w14:paraId="6AD900F6"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Huber, G. P. (1991). Organizational learning: The contributing processes and the literatures. </w:t>
      </w:r>
      <w:r w:rsidRPr="00070085">
        <w:rPr>
          <w:rFonts w:ascii="Times New Roman" w:eastAsia="Segoe UI" w:hAnsi="Times New Roman" w:cs="Times New Roman"/>
          <w:i/>
          <w:iCs/>
          <w:kern w:val="0"/>
          <w:shd w:val="clear" w:color="auto" w:fill="FFFFFF"/>
          <w:lang w:eastAsia="zh-CN"/>
          <w14:ligatures w14:val="none"/>
        </w:rPr>
        <w:t>Organization Science, 2</w:t>
      </w:r>
      <w:r w:rsidRPr="00070085">
        <w:rPr>
          <w:rFonts w:ascii="Times New Roman" w:eastAsia="Segoe UI" w:hAnsi="Times New Roman" w:cs="Times New Roman"/>
          <w:kern w:val="0"/>
          <w:shd w:val="clear" w:color="auto" w:fill="FFFFFF"/>
          <w:lang w:eastAsia="zh-CN"/>
          <w14:ligatures w14:val="none"/>
        </w:rPr>
        <w:t>(1), 88-115.</w:t>
      </w:r>
    </w:p>
    <w:p w14:paraId="2206CF1C"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imSun" w:hAnsi="Times New Roman" w:cs="Times New Roman"/>
          <w:kern w:val="0"/>
          <w:lang w:eastAsia="zh-CN"/>
          <w14:ligatures w14:val="none"/>
        </w:rPr>
        <w:t xml:space="preserve">Hulland, J. (1999). Use of partial least squares (PLS) in strategic management research: A review of four recent studies. </w:t>
      </w:r>
      <w:r w:rsidRPr="00070085">
        <w:rPr>
          <w:rFonts w:ascii="Times New Roman" w:eastAsia="SimSun" w:hAnsi="Times New Roman" w:cs="Times New Roman"/>
          <w:i/>
          <w:iCs/>
          <w:kern w:val="0"/>
          <w:lang w:eastAsia="zh-CN"/>
          <w14:ligatures w14:val="none"/>
        </w:rPr>
        <w:t>Strategic Management Journal, 20</w:t>
      </w:r>
      <w:r w:rsidRPr="00070085">
        <w:rPr>
          <w:rFonts w:ascii="Times New Roman" w:eastAsia="SimSun" w:hAnsi="Times New Roman" w:cs="Times New Roman"/>
          <w:kern w:val="0"/>
          <w:lang w:eastAsia="zh-CN"/>
          <w14:ligatures w14:val="none"/>
        </w:rPr>
        <w:t>, 195–204.</w:t>
      </w:r>
    </w:p>
    <w:p w14:paraId="7A4434D1"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proofErr w:type="spellStart"/>
      <w:r w:rsidRPr="00070085">
        <w:rPr>
          <w:rFonts w:ascii="Times New Roman" w:eastAsia="Segoe UI" w:hAnsi="Times New Roman" w:cs="Times New Roman"/>
          <w:kern w:val="0"/>
          <w:lang w:eastAsia="zh-CN"/>
          <w14:ligatures w14:val="none"/>
        </w:rPr>
        <w:t>Iheukwumere</w:t>
      </w:r>
      <w:proofErr w:type="spellEnd"/>
      <w:r w:rsidRPr="00070085">
        <w:rPr>
          <w:rFonts w:ascii="Times New Roman" w:eastAsia="Segoe UI" w:hAnsi="Times New Roman" w:cs="Times New Roman"/>
          <w:kern w:val="0"/>
          <w:lang w:eastAsia="zh-CN"/>
          <w14:ligatures w14:val="none"/>
        </w:rPr>
        <w:t>, O. E., Moore, D., Faisal, N., &amp; Omotayo, T. (2022). </w:t>
      </w:r>
      <w:r w:rsidRPr="00070085">
        <w:rPr>
          <w:rFonts w:ascii="Times New Roman" w:eastAsia="Segoe UI" w:hAnsi="Times New Roman" w:cs="Times New Roman"/>
          <w:i/>
          <w:iCs/>
          <w:kern w:val="0"/>
          <w:lang w:eastAsia="zh-CN"/>
          <w14:ligatures w14:val="none"/>
        </w:rPr>
        <w:t>Analysis of the performance challenges affecting state-owned refineries in Nigeria: A systems thinking approach </w:t>
      </w:r>
      <w:r w:rsidRPr="00070085">
        <w:rPr>
          <w:rFonts w:ascii="Times New Roman" w:eastAsia="Segoe UI" w:hAnsi="Times New Roman" w:cs="Times New Roman"/>
          <w:kern w:val="0"/>
          <w:lang w:eastAsia="zh-CN"/>
          <w14:ligatures w14:val="none"/>
        </w:rPr>
        <w:t>[Unpublished doctoral dissertation]. Robert Gordon University.</w:t>
      </w:r>
    </w:p>
    <w:p w14:paraId="25AB395A"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International Trade Administration. (2025). </w:t>
      </w:r>
      <w:r w:rsidRPr="00070085">
        <w:rPr>
          <w:rFonts w:ascii="Times New Roman" w:eastAsia="Segoe UI" w:hAnsi="Times New Roman" w:cs="Times New Roman"/>
          <w:i/>
          <w:iCs/>
          <w:kern w:val="0"/>
          <w:shd w:val="clear" w:color="auto" w:fill="FFFFFF"/>
          <w:lang w:eastAsia="zh-CN"/>
          <w14:ligatures w14:val="none"/>
        </w:rPr>
        <w:t>Nigeria - oil, gas, and mining sectors. In Country commercial guides.</w:t>
      </w:r>
      <w:r w:rsidRPr="00070085">
        <w:rPr>
          <w:rFonts w:ascii="Times New Roman" w:eastAsia="Segoe UI" w:hAnsi="Times New Roman" w:cs="Times New Roman"/>
          <w:kern w:val="0"/>
          <w:shd w:val="clear" w:color="auto" w:fill="FFFFFF"/>
          <w:lang w:eastAsia="zh-CN"/>
          <w14:ligatures w14:val="none"/>
        </w:rPr>
        <w:t xml:space="preserve"> U.S. Department of Commerce.</w:t>
      </w:r>
    </w:p>
    <w:p w14:paraId="34C3FC40"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Kaizen Institute. (2022). </w:t>
      </w:r>
      <w:r w:rsidRPr="00070085">
        <w:rPr>
          <w:rFonts w:ascii="Times New Roman" w:eastAsia="Segoe UI" w:hAnsi="Times New Roman" w:cs="Times New Roman"/>
          <w:i/>
          <w:iCs/>
          <w:kern w:val="0"/>
          <w:shd w:val="clear" w:color="auto" w:fill="FFFFFF"/>
          <w:lang w:eastAsia="zh-CN"/>
          <w14:ligatures w14:val="none"/>
        </w:rPr>
        <w:t>Operational excellence: The integrated management system for sustainable success.</w:t>
      </w:r>
      <w:r w:rsidRPr="00070085">
        <w:rPr>
          <w:rFonts w:ascii="Times New Roman" w:eastAsia="Segoe UI" w:hAnsi="Times New Roman" w:cs="Times New Roman"/>
          <w:kern w:val="0"/>
          <w:shd w:val="clear" w:color="auto" w:fill="FFFFFF"/>
          <w:lang w:eastAsia="zh-CN"/>
          <w14:ligatures w14:val="none"/>
        </w:rPr>
        <w:t xml:space="preserve"> Kaizen Institute Publishing.</w:t>
      </w:r>
    </w:p>
    <w:p w14:paraId="5DB0F2D3"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Kast, F. E., &amp; Rosenzweig, J. E. (1972). General systems theory: Applications for organization and management. </w:t>
      </w:r>
      <w:r w:rsidRPr="00070085">
        <w:rPr>
          <w:rFonts w:ascii="Times New Roman" w:eastAsia="Segoe UI" w:hAnsi="Times New Roman" w:cs="Times New Roman"/>
          <w:i/>
          <w:iCs/>
          <w:kern w:val="0"/>
          <w:lang w:eastAsia="zh-CN"/>
          <w14:ligatures w14:val="none"/>
        </w:rPr>
        <w:t>Academy of Management Journal, 15</w:t>
      </w:r>
      <w:r w:rsidRPr="00070085">
        <w:rPr>
          <w:rFonts w:ascii="Times New Roman" w:eastAsia="Segoe UI" w:hAnsi="Times New Roman" w:cs="Times New Roman"/>
          <w:kern w:val="0"/>
          <w:lang w:eastAsia="zh-CN"/>
          <w14:ligatures w14:val="none"/>
        </w:rPr>
        <w:t>(4), 447-465.</w:t>
      </w:r>
    </w:p>
    <w:p w14:paraId="68605EBE"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 xml:space="preserve">Kolawole, O. A., Hussain, Z. I., &amp; Mishra, J. (2020). Addressing food waste and loss in Nigerian food supply chain: Use of lean six sigma and double-loop learning. </w:t>
      </w:r>
      <w:r w:rsidRPr="00070085">
        <w:rPr>
          <w:rFonts w:ascii="Times New Roman" w:eastAsia="Segoe UI" w:hAnsi="Times New Roman" w:cs="Times New Roman"/>
          <w:i/>
          <w:iCs/>
          <w:kern w:val="0"/>
          <w:lang w:eastAsia="zh-CN"/>
          <w14:ligatures w14:val="none"/>
        </w:rPr>
        <w:t>In Proceedings of the International Conference on Industrial Engineering and Operations Management.</w:t>
      </w:r>
      <w:r w:rsidRPr="00070085">
        <w:rPr>
          <w:rFonts w:ascii="Times New Roman" w:eastAsia="Segoe UI" w:hAnsi="Times New Roman" w:cs="Times New Roman"/>
          <w:kern w:val="0"/>
          <w:lang w:eastAsia="zh-CN"/>
          <w14:ligatures w14:val="none"/>
        </w:rPr>
        <w:t xml:space="preserve"> IEOM Society.</w:t>
      </w:r>
    </w:p>
    <w:p w14:paraId="541F93E9"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i/>
          <w:iCs/>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Kolawole, O. A., Hussain, Z. I., &amp; Mishra, J. (2020). Addressing food waste and loss in Nigerian food supply chain: Use of lean six sigma and double-loop learning. </w:t>
      </w:r>
      <w:r w:rsidRPr="00070085">
        <w:rPr>
          <w:rFonts w:ascii="Times New Roman" w:eastAsia="Segoe UI" w:hAnsi="Times New Roman" w:cs="Times New Roman"/>
          <w:i/>
          <w:iCs/>
          <w:kern w:val="0"/>
          <w:shd w:val="clear" w:color="auto" w:fill="FFFFFF"/>
          <w:lang w:eastAsia="zh-CN"/>
          <w14:ligatures w14:val="none"/>
        </w:rPr>
        <w:t>In Proceedings of the International Conference on Industrial Engineering and Operations Management. IEOM Society.</w:t>
      </w:r>
    </w:p>
    <w:p w14:paraId="5A7A3945"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proofErr w:type="spellStart"/>
      <w:r w:rsidRPr="00070085">
        <w:rPr>
          <w:rFonts w:ascii="Times New Roman" w:eastAsia="Segoe UI" w:hAnsi="Times New Roman" w:cs="Times New Roman"/>
          <w:kern w:val="0"/>
          <w:lang w:eastAsia="zh-CN"/>
          <w14:ligatures w14:val="none"/>
        </w:rPr>
        <w:t>Leighninger</w:t>
      </w:r>
      <w:proofErr w:type="spellEnd"/>
      <w:r w:rsidRPr="00070085">
        <w:rPr>
          <w:rFonts w:ascii="Times New Roman" w:eastAsia="Segoe UI" w:hAnsi="Times New Roman" w:cs="Times New Roman"/>
          <w:kern w:val="0"/>
          <w:lang w:eastAsia="zh-CN"/>
          <w14:ligatures w14:val="none"/>
        </w:rPr>
        <w:t>, R. D. (1978). Systems theory. </w:t>
      </w:r>
      <w:r w:rsidRPr="00070085">
        <w:rPr>
          <w:rFonts w:ascii="Times New Roman" w:eastAsia="Segoe UI" w:hAnsi="Times New Roman" w:cs="Times New Roman"/>
          <w:i/>
          <w:iCs/>
          <w:kern w:val="0"/>
          <w:lang w:eastAsia="zh-CN"/>
          <w14:ligatures w14:val="none"/>
        </w:rPr>
        <w:t>The Journal of Sociology &amp; Social Welfare, 5</w:t>
      </w:r>
      <w:r w:rsidRPr="00070085">
        <w:rPr>
          <w:rFonts w:ascii="Times New Roman" w:eastAsia="Segoe UI" w:hAnsi="Times New Roman" w:cs="Times New Roman"/>
          <w:kern w:val="0"/>
          <w:lang w:eastAsia="zh-CN"/>
          <w14:ligatures w14:val="none"/>
        </w:rPr>
        <w:t>(4), 2-12.</w:t>
      </w:r>
    </w:p>
    <w:p w14:paraId="1DF3EDED"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Levinson, W. A. (2013). </w:t>
      </w:r>
      <w:r w:rsidRPr="00070085">
        <w:rPr>
          <w:rFonts w:ascii="Times New Roman" w:eastAsia="Segoe UI" w:hAnsi="Times New Roman" w:cs="Times New Roman"/>
          <w:i/>
          <w:iCs/>
          <w:kern w:val="0"/>
          <w:shd w:val="clear" w:color="auto" w:fill="FFFFFF"/>
          <w:lang w:eastAsia="zh-CN"/>
          <w14:ligatures w14:val="none"/>
        </w:rPr>
        <w:t xml:space="preserve">The lean management system: A framework for continual improvement. </w:t>
      </w:r>
      <w:r w:rsidRPr="00070085">
        <w:rPr>
          <w:rFonts w:ascii="Times New Roman" w:eastAsia="Segoe UI" w:hAnsi="Times New Roman" w:cs="Times New Roman"/>
          <w:kern w:val="0"/>
          <w:shd w:val="clear" w:color="auto" w:fill="FFFFFF"/>
          <w:lang w:eastAsia="zh-CN"/>
          <w14:ligatures w14:val="none"/>
        </w:rPr>
        <w:t>Productivity Press.</w:t>
      </w:r>
    </w:p>
    <w:p w14:paraId="31FB591E"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lastRenderedPageBreak/>
        <w:t>Nnadi, K. U., &amp; Oko, A. E. N. (2021). The impact of lean inventory management practices on firm performance: A study of selected oil and gas companies in Rivers State, Nigeria. </w:t>
      </w:r>
      <w:r w:rsidRPr="00070085">
        <w:rPr>
          <w:rFonts w:ascii="Times New Roman" w:eastAsia="Segoe UI" w:hAnsi="Times New Roman" w:cs="Times New Roman"/>
          <w:i/>
          <w:iCs/>
          <w:kern w:val="0"/>
          <w:shd w:val="clear" w:color="auto" w:fill="FFFFFF"/>
          <w:lang w:eastAsia="zh-CN"/>
          <w14:ligatures w14:val="none"/>
        </w:rPr>
        <w:t>International Journal of Research and Scientific Innovation, 8</w:t>
      </w:r>
      <w:r w:rsidRPr="00070085">
        <w:rPr>
          <w:rFonts w:ascii="Times New Roman" w:eastAsia="Segoe UI" w:hAnsi="Times New Roman" w:cs="Times New Roman"/>
          <w:kern w:val="0"/>
          <w:shd w:val="clear" w:color="auto" w:fill="FFFFFF"/>
          <w:lang w:eastAsia="zh-CN"/>
          <w14:ligatures w14:val="none"/>
        </w:rPr>
        <w:t>(3), 123-135. </w:t>
      </w:r>
      <w:hyperlink r:id="rId282" w:tgtFrame="https://chat.deepseek.com/a/chat/s/_blank" w:history="1">
        <w:r w:rsidRPr="00070085">
          <w:rPr>
            <w:rFonts w:ascii="Times New Roman" w:eastAsia="Segoe UI" w:hAnsi="Times New Roman" w:cs="Times New Roman"/>
            <w:kern w:val="0"/>
            <w:shd w:val="clear" w:color="auto" w:fill="FFFFFF"/>
            <w:lang w:eastAsia="zh-CN"/>
            <w14:ligatures w14:val="none"/>
          </w:rPr>
          <w:t>https://www.rsisinternational.org/journals/ijrsi/articles/issue-3/123-135.pdf</w:t>
        </w:r>
      </w:hyperlink>
    </w:p>
    <w:p w14:paraId="12969A56"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Nwankwo, B. C., &amp; Ofoegbu, W. C. (2024). Lean practices and organizational performance of indigenous oil servicing companies in Rivers State. </w:t>
      </w:r>
      <w:r w:rsidRPr="00070085">
        <w:rPr>
          <w:rFonts w:ascii="Times New Roman" w:eastAsia="Segoe UI" w:hAnsi="Times New Roman" w:cs="Times New Roman"/>
          <w:i/>
          <w:iCs/>
          <w:kern w:val="0"/>
          <w:shd w:val="clear" w:color="auto" w:fill="FFFFFF"/>
          <w:lang w:eastAsia="zh-CN"/>
          <w14:ligatures w14:val="none"/>
        </w:rPr>
        <w:t>Journal of Management and Organizational Studies, 12</w:t>
      </w:r>
      <w:r w:rsidRPr="00070085">
        <w:rPr>
          <w:rFonts w:ascii="Times New Roman" w:eastAsia="Segoe UI" w:hAnsi="Times New Roman" w:cs="Times New Roman"/>
          <w:kern w:val="0"/>
          <w:shd w:val="clear" w:color="auto" w:fill="FFFFFF"/>
          <w:lang w:eastAsia="zh-CN"/>
          <w14:ligatures w14:val="none"/>
        </w:rPr>
        <w:t>(1), 45-68.</w:t>
      </w:r>
    </w:p>
    <w:p w14:paraId="36AB7ED4"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Oben, P. K., </w:t>
      </w:r>
      <w:proofErr w:type="spellStart"/>
      <w:r w:rsidRPr="00070085">
        <w:rPr>
          <w:rFonts w:ascii="Times New Roman" w:eastAsia="Segoe UI" w:hAnsi="Times New Roman" w:cs="Times New Roman"/>
          <w:kern w:val="0"/>
          <w:shd w:val="clear" w:color="auto" w:fill="FFFFFF"/>
          <w:lang w:eastAsia="zh-CN"/>
          <w14:ligatures w14:val="none"/>
        </w:rPr>
        <w:t>Ushie</w:t>
      </w:r>
      <w:proofErr w:type="spellEnd"/>
      <w:r w:rsidRPr="00070085">
        <w:rPr>
          <w:rFonts w:ascii="Times New Roman" w:eastAsia="Segoe UI" w:hAnsi="Times New Roman" w:cs="Times New Roman"/>
          <w:kern w:val="0"/>
          <w:shd w:val="clear" w:color="auto" w:fill="FFFFFF"/>
          <w:lang w:eastAsia="zh-CN"/>
          <w14:ligatures w14:val="none"/>
        </w:rPr>
        <w:t xml:space="preserve">, P. U., &amp; </w:t>
      </w:r>
      <w:proofErr w:type="spellStart"/>
      <w:r w:rsidRPr="00070085">
        <w:rPr>
          <w:rFonts w:ascii="Times New Roman" w:eastAsia="Segoe UI" w:hAnsi="Times New Roman" w:cs="Times New Roman"/>
          <w:kern w:val="0"/>
          <w:shd w:val="clear" w:color="auto" w:fill="FFFFFF"/>
          <w:lang w:eastAsia="zh-CN"/>
          <w14:ligatures w14:val="none"/>
        </w:rPr>
        <w:t>Ushie</w:t>
      </w:r>
      <w:proofErr w:type="spellEnd"/>
      <w:r w:rsidRPr="00070085">
        <w:rPr>
          <w:rFonts w:ascii="Times New Roman" w:eastAsia="Segoe UI" w:hAnsi="Times New Roman" w:cs="Times New Roman"/>
          <w:kern w:val="0"/>
          <w:shd w:val="clear" w:color="auto" w:fill="FFFFFF"/>
          <w:lang w:eastAsia="zh-CN"/>
          <w14:ligatures w14:val="none"/>
        </w:rPr>
        <w:t xml:space="preserve">, E. M. (2025). Enhancing human capacity and productivity for sustainable economic </w:t>
      </w:r>
      <w:proofErr w:type="spellStart"/>
      <w:r w:rsidRPr="00070085">
        <w:rPr>
          <w:rFonts w:ascii="Times New Roman" w:eastAsia="Segoe UI" w:hAnsi="Times New Roman" w:cs="Times New Roman"/>
          <w:kern w:val="0"/>
          <w:shd w:val="clear" w:color="auto" w:fill="FFFFFF"/>
          <w:lang w:eastAsia="zh-CN"/>
          <w14:ligatures w14:val="none"/>
        </w:rPr>
        <w:t>revitalisation</w:t>
      </w:r>
      <w:proofErr w:type="spellEnd"/>
      <w:r w:rsidRPr="00070085">
        <w:rPr>
          <w:rFonts w:ascii="Times New Roman" w:eastAsia="Segoe UI" w:hAnsi="Times New Roman" w:cs="Times New Roman"/>
          <w:kern w:val="0"/>
          <w:shd w:val="clear" w:color="auto" w:fill="FFFFFF"/>
          <w:lang w:eastAsia="zh-CN"/>
          <w14:ligatures w14:val="none"/>
        </w:rPr>
        <w:t xml:space="preserve"> in Nigeria. </w:t>
      </w:r>
      <w:r w:rsidRPr="00070085">
        <w:rPr>
          <w:rFonts w:ascii="Times New Roman" w:eastAsia="Segoe UI" w:hAnsi="Times New Roman" w:cs="Times New Roman"/>
          <w:i/>
          <w:iCs/>
          <w:kern w:val="0"/>
          <w:shd w:val="clear" w:color="auto" w:fill="FFFFFF"/>
          <w:lang w:eastAsia="zh-CN"/>
          <w14:ligatures w14:val="none"/>
        </w:rPr>
        <w:t>The Nigerian Journal of Sociology and Anthropology, 23</w:t>
      </w:r>
      <w:r w:rsidRPr="00070085">
        <w:rPr>
          <w:rFonts w:ascii="Times New Roman" w:eastAsia="Segoe UI" w:hAnsi="Times New Roman" w:cs="Times New Roman"/>
          <w:kern w:val="0"/>
          <w:shd w:val="clear" w:color="auto" w:fill="FFFFFF"/>
          <w:lang w:eastAsia="zh-CN"/>
          <w14:ligatures w14:val="none"/>
        </w:rPr>
        <w:t>(1), 165-176.</w:t>
      </w:r>
    </w:p>
    <w:p w14:paraId="6C2D5D96"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proofErr w:type="spellStart"/>
      <w:r w:rsidRPr="00070085">
        <w:rPr>
          <w:rFonts w:ascii="Times New Roman" w:eastAsia="Segoe UI" w:hAnsi="Times New Roman" w:cs="Times New Roman"/>
          <w:kern w:val="0"/>
          <w:shd w:val="clear" w:color="auto" w:fill="FFFFFF"/>
          <w:lang w:eastAsia="zh-CN"/>
          <w14:ligatures w14:val="none"/>
        </w:rPr>
        <w:t>Obodoagu</w:t>
      </w:r>
      <w:proofErr w:type="spellEnd"/>
      <w:r w:rsidRPr="00070085">
        <w:rPr>
          <w:rFonts w:ascii="Times New Roman" w:eastAsia="Segoe UI" w:hAnsi="Times New Roman" w:cs="Times New Roman"/>
          <w:kern w:val="0"/>
          <w:shd w:val="clear" w:color="auto" w:fill="FFFFFF"/>
          <w:lang w:eastAsia="zh-CN"/>
          <w14:ligatures w14:val="none"/>
        </w:rPr>
        <w:t>, K. O. (2025). Lean six sigma and the performance of food and beverage manufacturing firms in South-East, Nigeria. </w:t>
      </w:r>
      <w:r w:rsidRPr="00070085">
        <w:rPr>
          <w:rFonts w:ascii="Times New Roman" w:eastAsia="Segoe UI" w:hAnsi="Times New Roman" w:cs="Times New Roman"/>
          <w:i/>
          <w:iCs/>
          <w:kern w:val="0"/>
          <w:shd w:val="clear" w:color="auto" w:fill="FFFFFF"/>
          <w:lang w:eastAsia="zh-CN"/>
          <w14:ligatures w14:val="none"/>
        </w:rPr>
        <w:t>British International Journal of Business and Marketing Research, 8</w:t>
      </w:r>
      <w:r w:rsidRPr="00070085">
        <w:rPr>
          <w:rFonts w:ascii="Times New Roman" w:eastAsia="Segoe UI" w:hAnsi="Times New Roman" w:cs="Times New Roman"/>
          <w:kern w:val="0"/>
          <w:shd w:val="clear" w:color="auto" w:fill="FFFFFF"/>
          <w:lang w:eastAsia="zh-CN"/>
          <w14:ligatures w14:val="none"/>
        </w:rPr>
        <w:t>(3), 21-39.</w:t>
      </w:r>
    </w:p>
    <w:p w14:paraId="236C23C7"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Ofoegbu, W. C. (2022). Workforce diversity management and employee performance in oil and gas companies in Rivers State. </w:t>
      </w:r>
      <w:r w:rsidRPr="00070085">
        <w:rPr>
          <w:rFonts w:ascii="Times New Roman" w:eastAsia="Segoe UI" w:hAnsi="Times New Roman" w:cs="Times New Roman"/>
          <w:i/>
          <w:iCs/>
          <w:kern w:val="0"/>
          <w:shd w:val="clear" w:color="auto" w:fill="FFFFFF"/>
          <w:lang w:eastAsia="zh-CN"/>
          <w14:ligatures w14:val="none"/>
        </w:rPr>
        <w:t>University of Port Harcourt Journal of Management, 8</w:t>
      </w:r>
      <w:r w:rsidRPr="00070085">
        <w:rPr>
          <w:rFonts w:ascii="Times New Roman" w:eastAsia="Segoe UI" w:hAnsi="Times New Roman" w:cs="Times New Roman"/>
          <w:kern w:val="0"/>
          <w:shd w:val="clear" w:color="auto" w:fill="FFFFFF"/>
          <w:lang w:eastAsia="zh-CN"/>
          <w14:ligatures w14:val="none"/>
        </w:rPr>
        <w:t>(1), 78-95.</w:t>
      </w:r>
    </w:p>
    <w:p w14:paraId="06A54C82"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Ofoegbu, W. C. (2023). Capacity planning and operational efficiency of oil and gas firms in South-South Nigeria. </w:t>
      </w:r>
      <w:r w:rsidRPr="00070085">
        <w:rPr>
          <w:rFonts w:ascii="Times New Roman" w:eastAsia="Segoe UI" w:hAnsi="Times New Roman" w:cs="Times New Roman"/>
          <w:i/>
          <w:iCs/>
          <w:kern w:val="0"/>
          <w:shd w:val="clear" w:color="auto" w:fill="FFFFFF"/>
          <w:lang w:eastAsia="zh-CN"/>
          <w14:ligatures w14:val="none"/>
        </w:rPr>
        <w:t>Journal NX, 9(</w:t>
      </w:r>
      <w:r w:rsidRPr="00070085">
        <w:rPr>
          <w:rFonts w:ascii="Times New Roman" w:eastAsia="Segoe UI" w:hAnsi="Times New Roman" w:cs="Times New Roman"/>
          <w:kern w:val="0"/>
          <w:shd w:val="clear" w:color="auto" w:fill="FFFFFF"/>
          <w:lang w:eastAsia="zh-CN"/>
          <w14:ligatures w14:val="none"/>
        </w:rPr>
        <w:t>8), 210-228. </w:t>
      </w:r>
      <w:hyperlink r:id="rId283" w:tgtFrame="https://chat.deepseek.com/a/chat/s/_blank" w:history="1">
        <w:r w:rsidRPr="00070085">
          <w:rPr>
            <w:rFonts w:ascii="Times New Roman" w:eastAsia="Segoe UI" w:hAnsi="Times New Roman" w:cs="Times New Roman"/>
            <w:kern w:val="0"/>
            <w:shd w:val="clear" w:color="auto" w:fill="FFFFFF"/>
            <w:lang w:eastAsia="zh-CN"/>
            <w14:ligatures w14:val="none"/>
          </w:rPr>
          <w:t>https://repo.journalnx.com/index.php/nx/article/view/5150</w:t>
        </w:r>
      </w:hyperlink>
    </w:p>
    <w:p w14:paraId="0E74C815"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proofErr w:type="spellStart"/>
      <w:r w:rsidRPr="00070085">
        <w:rPr>
          <w:rFonts w:ascii="Times New Roman" w:eastAsia="Segoe UI" w:hAnsi="Times New Roman" w:cs="Times New Roman"/>
          <w:kern w:val="0"/>
          <w:shd w:val="clear" w:color="auto" w:fill="FFFFFF"/>
          <w:lang w:eastAsia="zh-CN"/>
          <w14:ligatures w14:val="none"/>
        </w:rPr>
        <w:t>Ogundahunsi</w:t>
      </w:r>
      <w:proofErr w:type="spellEnd"/>
      <w:r w:rsidRPr="00070085">
        <w:rPr>
          <w:rFonts w:ascii="Times New Roman" w:eastAsia="Segoe UI" w:hAnsi="Times New Roman" w:cs="Times New Roman"/>
          <w:kern w:val="0"/>
          <w:shd w:val="clear" w:color="auto" w:fill="FFFFFF"/>
          <w:lang w:eastAsia="zh-CN"/>
          <w14:ligatures w14:val="none"/>
        </w:rPr>
        <w:t xml:space="preserve">, O. T., Vahedi, M., Kamau, E. M., Aslanyan, G., Terry, R. F., Zicker, F., &amp; </w:t>
      </w:r>
      <w:proofErr w:type="spellStart"/>
      <w:r w:rsidRPr="00070085">
        <w:rPr>
          <w:rFonts w:ascii="Times New Roman" w:eastAsia="Segoe UI" w:hAnsi="Times New Roman" w:cs="Times New Roman"/>
          <w:kern w:val="0"/>
          <w:shd w:val="clear" w:color="auto" w:fill="FFFFFF"/>
          <w:lang w:eastAsia="zh-CN"/>
          <w14:ligatures w14:val="none"/>
        </w:rPr>
        <w:t>Launois</w:t>
      </w:r>
      <w:proofErr w:type="spellEnd"/>
      <w:r w:rsidRPr="00070085">
        <w:rPr>
          <w:rFonts w:ascii="Times New Roman" w:eastAsia="Segoe UI" w:hAnsi="Times New Roman" w:cs="Times New Roman"/>
          <w:kern w:val="0"/>
          <w:shd w:val="clear" w:color="auto" w:fill="FFFFFF"/>
          <w:lang w:eastAsia="zh-CN"/>
          <w14:ligatures w14:val="none"/>
        </w:rPr>
        <w:t>, P. (2015). Strengthening research capacity: TDR's evolving experience in low- and middle-income countries. </w:t>
      </w:r>
      <w:proofErr w:type="spellStart"/>
      <w:r w:rsidRPr="00070085">
        <w:rPr>
          <w:rFonts w:ascii="Times New Roman" w:eastAsia="Segoe UI" w:hAnsi="Times New Roman" w:cs="Times New Roman"/>
          <w:i/>
          <w:iCs/>
          <w:kern w:val="0"/>
          <w:shd w:val="clear" w:color="auto" w:fill="FFFFFF"/>
          <w:lang w:eastAsia="zh-CN"/>
          <w14:ligatures w14:val="none"/>
        </w:rPr>
        <w:t>PLoS</w:t>
      </w:r>
      <w:proofErr w:type="spellEnd"/>
      <w:r w:rsidRPr="00070085">
        <w:rPr>
          <w:rFonts w:ascii="Times New Roman" w:eastAsia="Segoe UI" w:hAnsi="Times New Roman" w:cs="Times New Roman"/>
          <w:i/>
          <w:iCs/>
          <w:kern w:val="0"/>
          <w:shd w:val="clear" w:color="auto" w:fill="FFFFFF"/>
          <w:lang w:eastAsia="zh-CN"/>
          <w14:ligatures w14:val="none"/>
        </w:rPr>
        <w:t xml:space="preserve"> Neglected Tropical Diseases, 9</w:t>
      </w:r>
      <w:r w:rsidRPr="00070085">
        <w:rPr>
          <w:rFonts w:ascii="Times New Roman" w:eastAsia="Segoe UI" w:hAnsi="Times New Roman" w:cs="Times New Roman"/>
          <w:kern w:val="0"/>
          <w:shd w:val="clear" w:color="auto" w:fill="FFFFFF"/>
          <w:lang w:eastAsia="zh-CN"/>
          <w14:ligatures w14:val="none"/>
        </w:rPr>
        <w:t>(1), 1-6.</w:t>
      </w:r>
    </w:p>
    <w:p w14:paraId="312C9197"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Ogunyemi, A. O., Akinlaja, S. O., </w:t>
      </w:r>
      <w:proofErr w:type="spellStart"/>
      <w:r w:rsidRPr="00070085">
        <w:rPr>
          <w:rFonts w:ascii="Times New Roman" w:eastAsia="Segoe UI" w:hAnsi="Times New Roman" w:cs="Times New Roman"/>
          <w:kern w:val="0"/>
          <w:shd w:val="clear" w:color="auto" w:fill="FFFFFF"/>
          <w:lang w:eastAsia="zh-CN"/>
          <w14:ligatures w14:val="none"/>
        </w:rPr>
        <w:t>Adesoye</w:t>
      </w:r>
      <w:proofErr w:type="spellEnd"/>
      <w:r w:rsidRPr="00070085">
        <w:rPr>
          <w:rFonts w:ascii="Times New Roman" w:eastAsia="Segoe UI" w:hAnsi="Times New Roman" w:cs="Times New Roman"/>
          <w:kern w:val="0"/>
          <w:shd w:val="clear" w:color="auto" w:fill="FFFFFF"/>
          <w:lang w:eastAsia="zh-CN"/>
          <w14:ligatures w14:val="none"/>
        </w:rPr>
        <w:t xml:space="preserve">, E., Akindele-Oscar, A., &amp; Azeez, R. O. (2015). </w:t>
      </w:r>
      <w:proofErr w:type="spellStart"/>
      <w:r w:rsidRPr="00070085">
        <w:rPr>
          <w:rFonts w:ascii="Times New Roman" w:eastAsia="Segoe UI" w:hAnsi="Times New Roman" w:cs="Times New Roman"/>
          <w:kern w:val="0"/>
          <w:shd w:val="clear" w:color="auto" w:fill="FFFFFF"/>
          <w:lang w:eastAsia="zh-CN"/>
          <w14:ligatures w14:val="none"/>
        </w:rPr>
        <w:t>Organisational</w:t>
      </w:r>
      <w:proofErr w:type="spellEnd"/>
      <w:r w:rsidRPr="00070085">
        <w:rPr>
          <w:rFonts w:ascii="Times New Roman" w:eastAsia="Segoe UI" w:hAnsi="Times New Roman" w:cs="Times New Roman"/>
          <w:kern w:val="0"/>
          <w:shd w:val="clear" w:color="auto" w:fill="FFFFFF"/>
          <w:lang w:eastAsia="zh-CN"/>
          <w14:ligatures w14:val="none"/>
        </w:rPr>
        <w:t xml:space="preserve"> variables and effective performance of employees in oil &amp; gas section: An empirical investigation. </w:t>
      </w:r>
      <w:r w:rsidRPr="00070085">
        <w:rPr>
          <w:rFonts w:ascii="Times New Roman" w:eastAsia="Segoe UI" w:hAnsi="Times New Roman" w:cs="Times New Roman"/>
          <w:i/>
          <w:iCs/>
          <w:kern w:val="0"/>
          <w:shd w:val="clear" w:color="auto" w:fill="FFFFFF"/>
          <w:lang w:eastAsia="zh-CN"/>
          <w14:ligatures w14:val="none"/>
        </w:rPr>
        <w:t>International Journal of Psychological Studies, 7</w:t>
      </w:r>
      <w:r w:rsidRPr="00070085">
        <w:rPr>
          <w:rFonts w:ascii="Times New Roman" w:eastAsia="Segoe UI" w:hAnsi="Times New Roman" w:cs="Times New Roman"/>
          <w:kern w:val="0"/>
          <w:shd w:val="clear" w:color="auto" w:fill="FFFFFF"/>
          <w:lang w:eastAsia="zh-CN"/>
          <w14:ligatures w14:val="none"/>
        </w:rPr>
        <w:t>(1), 23-34.</w:t>
      </w:r>
    </w:p>
    <w:p w14:paraId="15DA1E08"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Okeke, A. (2025). Navigating institutional pressures: assessing sustainability and supply chain management practices in the oil and gas industry of a developing economy.  </w:t>
      </w:r>
      <w:hyperlink r:id="rId284" w:tgtFrame="https://chat.deepseek.com/a/chat/s/_blank" w:history="1">
        <w:r w:rsidRPr="00070085">
          <w:rPr>
            <w:rFonts w:ascii="Times New Roman" w:eastAsia="Segoe UI" w:hAnsi="Times New Roman" w:cs="Times New Roman"/>
            <w:kern w:val="0"/>
            <w:lang w:eastAsia="zh-CN"/>
            <w14:ligatures w14:val="none"/>
          </w:rPr>
          <w:t>https://doi.org/10.1108/IJESM-12-2024-0032</w:t>
        </w:r>
      </w:hyperlink>
    </w:p>
    <w:p w14:paraId="6BBEDA04"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proofErr w:type="spellStart"/>
      <w:r w:rsidRPr="00070085">
        <w:rPr>
          <w:rFonts w:ascii="Times New Roman" w:eastAsia="Segoe UI" w:hAnsi="Times New Roman" w:cs="Times New Roman"/>
          <w:kern w:val="0"/>
          <w:shd w:val="clear" w:color="auto" w:fill="FFFFFF"/>
          <w:lang w:eastAsia="zh-CN"/>
          <w14:ligatures w14:val="none"/>
        </w:rPr>
        <w:t>Okoisama</w:t>
      </w:r>
      <w:proofErr w:type="spellEnd"/>
      <w:r w:rsidRPr="00070085">
        <w:rPr>
          <w:rFonts w:ascii="Times New Roman" w:eastAsia="Segoe UI" w:hAnsi="Times New Roman" w:cs="Times New Roman"/>
          <w:kern w:val="0"/>
          <w:shd w:val="clear" w:color="auto" w:fill="FFFFFF"/>
          <w:lang w:eastAsia="zh-CN"/>
          <w14:ligatures w14:val="none"/>
        </w:rPr>
        <w:t xml:space="preserve">, T. C., &amp; Bagshaw, K. B. (2023). Information technology infrastructure and </w:t>
      </w:r>
      <w:proofErr w:type="spellStart"/>
      <w:r w:rsidRPr="00070085">
        <w:rPr>
          <w:rFonts w:ascii="Times New Roman" w:eastAsia="Segoe UI" w:hAnsi="Times New Roman" w:cs="Times New Roman"/>
          <w:kern w:val="0"/>
          <w:shd w:val="clear" w:color="auto" w:fill="FFFFFF"/>
          <w:lang w:eastAsia="zh-CN"/>
          <w14:ligatures w14:val="none"/>
        </w:rPr>
        <w:t>organisational</w:t>
      </w:r>
      <w:proofErr w:type="spellEnd"/>
      <w:r w:rsidRPr="00070085">
        <w:rPr>
          <w:rFonts w:ascii="Times New Roman" w:eastAsia="Segoe UI" w:hAnsi="Times New Roman" w:cs="Times New Roman"/>
          <w:kern w:val="0"/>
          <w:shd w:val="clear" w:color="auto" w:fill="FFFFFF"/>
          <w:lang w:eastAsia="zh-CN"/>
          <w14:ligatures w14:val="none"/>
        </w:rPr>
        <w:t xml:space="preserve"> sustainability of petroleum tank farms in South-South, Nigeria. </w:t>
      </w:r>
      <w:r w:rsidRPr="00070085">
        <w:rPr>
          <w:rFonts w:ascii="Times New Roman" w:eastAsia="Segoe UI" w:hAnsi="Times New Roman" w:cs="Times New Roman"/>
          <w:i/>
          <w:iCs/>
          <w:kern w:val="0"/>
          <w:shd w:val="clear" w:color="auto" w:fill="FFFFFF"/>
          <w:lang w:eastAsia="zh-CN"/>
          <w14:ligatures w14:val="none"/>
        </w:rPr>
        <w:t>International Journal of Science and Business, 25</w:t>
      </w:r>
      <w:r w:rsidRPr="00070085">
        <w:rPr>
          <w:rFonts w:ascii="Times New Roman" w:eastAsia="Segoe UI" w:hAnsi="Times New Roman" w:cs="Times New Roman"/>
          <w:kern w:val="0"/>
          <w:shd w:val="clear" w:color="auto" w:fill="FFFFFF"/>
          <w:lang w:eastAsia="zh-CN"/>
          <w14:ligatures w14:val="none"/>
        </w:rPr>
        <w:t>(1), 210-228. </w:t>
      </w:r>
      <w:hyperlink r:id="rId285" w:tgtFrame="https://chat.deepseek.com/a/chat/s/_blank" w:history="1">
        <w:r w:rsidRPr="00070085">
          <w:rPr>
            <w:rFonts w:ascii="Times New Roman" w:eastAsia="Segoe UI" w:hAnsi="Times New Roman" w:cs="Times New Roman"/>
            <w:kern w:val="0"/>
            <w:shd w:val="clear" w:color="auto" w:fill="FFFFFF"/>
            <w:lang w:eastAsia="zh-CN"/>
            <w14:ligatures w14:val="none"/>
          </w:rPr>
          <w:t>https://ijsab.com/wp-content/uploads/2196.pdf</w:t>
        </w:r>
      </w:hyperlink>
    </w:p>
    <w:p w14:paraId="13BEC5BD"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Okon, E. (2025, November 12). </w:t>
      </w:r>
      <w:r w:rsidRPr="00070085">
        <w:rPr>
          <w:rFonts w:ascii="Times New Roman" w:eastAsia="Segoe UI" w:hAnsi="Times New Roman" w:cs="Times New Roman"/>
          <w:i/>
          <w:iCs/>
          <w:kern w:val="0"/>
          <w:shd w:val="clear" w:color="auto" w:fill="FFFFFF"/>
          <w:lang w:eastAsia="zh-CN"/>
          <w14:ligatures w14:val="none"/>
        </w:rPr>
        <w:t>ANOH boss advocates culture-driven efficiency in Nigeria’s energy industry. </w:t>
      </w:r>
      <w:r w:rsidRPr="00070085">
        <w:rPr>
          <w:rFonts w:ascii="Times New Roman" w:eastAsia="Segoe UI" w:hAnsi="Times New Roman" w:cs="Times New Roman"/>
          <w:kern w:val="0"/>
          <w:shd w:val="clear" w:color="auto" w:fill="FFFFFF"/>
          <w:lang w:eastAsia="zh-CN"/>
          <w14:ligatures w14:val="none"/>
        </w:rPr>
        <w:t>Business Day.</w:t>
      </w:r>
    </w:p>
    <w:p w14:paraId="18B4A7EC"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Olowu, Y. (2024). Liquidity management and entrepreneurial performance of selected indigenous oil and gas firms in Nigeria. </w:t>
      </w:r>
      <w:r w:rsidRPr="00070085">
        <w:rPr>
          <w:rFonts w:ascii="Times New Roman" w:eastAsia="Segoe UI" w:hAnsi="Times New Roman" w:cs="Times New Roman"/>
          <w:i/>
          <w:iCs/>
          <w:kern w:val="0"/>
          <w:lang w:eastAsia="zh-CN"/>
          <w14:ligatures w14:val="none"/>
        </w:rPr>
        <w:t>Ilorin Journal of Economic Policy</w:t>
      </w:r>
      <w:r w:rsidRPr="00070085">
        <w:rPr>
          <w:rFonts w:ascii="Times New Roman" w:eastAsia="Segoe UI" w:hAnsi="Times New Roman" w:cs="Times New Roman"/>
          <w:kern w:val="0"/>
          <w:lang w:eastAsia="zh-CN"/>
          <w14:ligatures w14:val="none"/>
        </w:rPr>
        <w:t>, 11(1), 45-62. </w:t>
      </w:r>
    </w:p>
    <w:p w14:paraId="659ACE6A"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proofErr w:type="spellStart"/>
      <w:r w:rsidRPr="00070085">
        <w:rPr>
          <w:rFonts w:ascii="Times New Roman" w:eastAsia="Segoe UI" w:hAnsi="Times New Roman" w:cs="Times New Roman"/>
          <w:kern w:val="0"/>
          <w:shd w:val="clear" w:color="auto" w:fill="FFFFFF"/>
          <w:lang w:eastAsia="zh-CN"/>
          <w14:ligatures w14:val="none"/>
        </w:rPr>
        <w:t>Ozumba</w:t>
      </w:r>
      <w:proofErr w:type="spellEnd"/>
      <w:r w:rsidRPr="00070085">
        <w:rPr>
          <w:rFonts w:ascii="Times New Roman" w:eastAsia="Segoe UI" w:hAnsi="Times New Roman" w:cs="Times New Roman"/>
          <w:kern w:val="0"/>
          <w:shd w:val="clear" w:color="auto" w:fill="FFFFFF"/>
          <w:lang w:eastAsia="zh-CN"/>
          <w14:ligatures w14:val="none"/>
        </w:rPr>
        <w:t>, C. I. (2011). </w:t>
      </w:r>
      <w:r w:rsidRPr="00070085">
        <w:rPr>
          <w:rFonts w:ascii="Times New Roman" w:eastAsia="Segoe UI" w:hAnsi="Times New Roman" w:cs="Times New Roman"/>
          <w:i/>
          <w:iCs/>
          <w:kern w:val="0"/>
          <w:shd w:val="clear" w:color="auto" w:fill="FFFFFF"/>
          <w:lang w:eastAsia="zh-CN"/>
          <w14:ligatures w14:val="none"/>
        </w:rPr>
        <w:t xml:space="preserve">Organizational performance improvement in an oil producing facility in Nigeria through operational excellence [Master's thesis, North-West University]. </w:t>
      </w:r>
      <w:r w:rsidRPr="00070085">
        <w:rPr>
          <w:rFonts w:ascii="Times New Roman" w:eastAsia="Segoe UI" w:hAnsi="Times New Roman" w:cs="Times New Roman"/>
          <w:kern w:val="0"/>
          <w:shd w:val="clear" w:color="auto" w:fill="FFFFFF"/>
          <w:lang w:eastAsia="zh-CN"/>
          <w14:ligatures w14:val="none"/>
        </w:rPr>
        <w:t>North-West University Institutional Repository.</w:t>
      </w:r>
    </w:p>
    <w:p w14:paraId="7EEDB5DC"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Pandža, K., Polajnar, A., </w:t>
      </w:r>
      <w:proofErr w:type="spellStart"/>
      <w:r w:rsidRPr="00070085">
        <w:rPr>
          <w:rFonts w:ascii="Times New Roman" w:eastAsia="Segoe UI" w:hAnsi="Times New Roman" w:cs="Times New Roman"/>
          <w:kern w:val="0"/>
          <w:shd w:val="clear" w:color="auto" w:fill="FFFFFF"/>
          <w:lang w:eastAsia="zh-CN"/>
          <w14:ligatures w14:val="none"/>
        </w:rPr>
        <w:t>Buchmeister</w:t>
      </w:r>
      <w:proofErr w:type="spellEnd"/>
      <w:r w:rsidRPr="00070085">
        <w:rPr>
          <w:rFonts w:ascii="Times New Roman" w:eastAsia="Segoe UI" w:hAnsi="Times New Roman" w:cs="Times New Roman"/>
          <w:kern w:val="0"/>
          <w:shd w:val="clear" w:color="auto" w:fill="FFFFFF"/>
          <w:lang w:eastAsia="zh-CN"/>
          <w14:ligatures w14:val="none"/>
        </w:rPr>
        <w:t>, B., &amp; Thorpe, R. (2003). Evolutionary perspectives on the capability accumulation process. </w:t>
      </w:r>
      <w:r w:rsidRPr="00070085">
        <w:rPr>
          <w:rFonts w:ascii="Times New Roman" w:eastAsia="Segoe UI" w:hAnsi="Times New Roman" w:cs="Times New Roman"/>
          <w:i/>
          <w:iCs/>
          <w:kern w:val="0"/>
          <w:shd w:val="clear" w:color="auto" w:fill="FFFFFF"/>
          <w:lang w:eastAsia="zh-CN"/>
          <w14:ligatures w14:val="none"/>
        </w:rPr>
        <w:t>International Journal of Operations &amp; Production Management, 23</w:t>
      </w:r>
      <w:r w:rsidRPr="00070085">
        <w:rPr>
          <w:rFonts w:ascii="Times New Roman" w:eastAsia="Segoe UI" w:hAnsi="Times New Roman" w:cs="Times New Roman"/>
          <w:kern w:val="0"/>
          <w:shd w:val="clear" w:color="auto" w:fill="FFFFFF"/>
          <w:lang w:eastAsia="zh-CN"/>
          <w14:ligatures w14:val="none"/>
        </w:rPr>
        <w:t>(8), 822-849.</w:t>
      </w:r>
    </w:p>
    <w:p w14:paraId="0066B4B5"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i/>
          <w:iCs/>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Romero, D., </w:t>
      </w:r>
      <w:proofErr w:type="spellStart"/>
      <w:r w:rsidRPr="00070085">
        <w:rPr>
          <w:rFonts w:ascii="Times New Roman" w:eastAsia="Segoe UI" w:hAnsi="Times New Roman" w:cs="Times New Roman"/>
          <w:kern w:val="0"/>
          <w:shd w:val="clear" w:color="auto" w:fill="FFFFFF"/>
          <w:lang w:eastAsia="zh-CN"/>
          <w14:ligatures w14:val="none"/>
        </w:rPr>
        <w:t>Gaiardelli</w:t>
      </w:r>
      <w:proofErr w:type="spellEnd"/>
      <w:r w:rsidRPr="00070085">
        <w:rPr>
          <w:rFonts w:ascii="Times New Roman" w:eastAsia="Segoe UI" w:hAnsi="Times New Roman" w:cs="Times New Roman"/>
          <w:kern w:val="0"/>
          <w:shd w:val="clear" w:color="auto" w:fill="FFFFFF"/>
          <w:lang w:eastAsia="zh-CN"/>
          <w14:ligatures w14:val="none"/>
        </w:rPr>
        <w:t xml:space="preserve">, P., Powell, D., Wuest, T., &amp; </w:t>
      </w:r>
      <w:proofErr w:type="spellStart"/>
      <w:r w:rsidRPr="00070085">
        <w:rPr>
          <w:rFonts w:ascii="Times New Roman" w:eastAsia="Segoe UI" w:hAnsi="Times New Roman" w:cs="Times New Roman"/>
          <w:kern w:val="0"/>
          <w:shd w:val="clear" w:color="auto" w:fill="FFFFFF"/>
          <w:lang w:eastAsia="zh-CN"/>
          <w14:ligatures w14:val="none"/>
        </w:rPr>
        <w:t>Thürer</w:t>
      </w:r>
      <w:proofErr w:type="spellEnd"/>
      <w:r w:rsidRPr="00070085">
        <w:rPr>
          <w:rFonts w:ascii="Times New Roman" w:eastAsia="Segoe UI" w:hAnsi="Times New Roman" w:cs="Times New Roman"/>
          <w:kern w:val="0"/>
          <w:shd w:val="clear" w:color="auto" w:fill="FFFFFF"/>
          <w:lang w:eastAsia="zh-CN"/>
          <w14:ligatures w14:val="none"/>
        </w:rPr>
        <w:t xml:space="preserve">, M. (2019). Total productive maintenance and lean manufacturing: A systematic literature review. </w:t>
      </w:r>
      <w:r w:rsidRPr="00070085">
        <w:rPr>
          <w:rFonts w:ascii="Times New Roman" w:eastAsia="Segoe UI" w:hAnsi="Times New Roman" w:cs="Times New Roman"/>
          <w:i/>
          <w:iCs/>
          <w:kern w:val="0"/>
          <w:shd w:val="clear" w:color="auto" w:fill="FFFFFF"/>
          <w:lang w:eastAsia="zh-CN"/>
          <w14:ligatures w14:val="none"/>
        </w:rPr>
        <w:t>In Proceedings of the International Conference on Industrial Engineering and Operations Management. IEOM Society.</w:t>
      </w:r>
    </w:p>
    <w:p w14:paraId="7F2F39EC"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lastRenderedPageBreak/>
        <w:t>Scott, W. R., &amp; Davis, G. F. (2016). </w:t>
      </w:r>
      <w:r w:rsidRPr="00070085">
        <w:rPr>
          <w:rFonts w:ascii="Times New Roman" w:eastAsia="Segoe UI" w:hAnsi="Times New Roman" w:cs="Times New Roman"/>
          <w:i/>
          <w:iCs/>
          <w:kern w:val="0"/>
          <w:lang w:eastAsia="zh-CN"/>
          <w14:ligatures w14:val="none"/>
        </w:rPr>
        <w:t>Organizations and organizing: Rational, natural and open systems perspectives.</w:t>
      </w:r>
      <w:r w:rsidRPr="00070085">
        <w:rPr>
          <w:rFonts w:ascii="Times New Roman" w:eastAsia="Segoe UI" w:hAnsi="Times New Roman" w:cs="Times New Roman"/>
          <w:kern w:val="0"/>
          <w:lang w:eastAsia="zh-CN"/>
          <w14:ligatures w14:val="none"/>
        </w:rPr>
        <w:t xml:space="preserve"> Routledge.</w:t>
      </w:r>
    </w:p>
    <w:p w14:paraId="51CE1F73"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Seera, B. (2025). </w:t>
      </w:r>
      <w:r w:rsidRPr="00070085">
        <w:rPr>
          <w:rFonts w:ascii="Times New Roman" w:eastAsia="Segoe UI" w:hAnsi="Times New Roman" w:cs="Times New Roman"/>
          <w:i/>
          <w:iCs/>
          <w:kern w:val="0"/>
          <w:shd w:val="clear" w:color="auto" w:fill="FFFFFF"/>
          <w:lang w:eastAsia="zh-CN"/>
          <w14:ligatures w14:val="none"/>
        </w:rPr>
        <w:t>Strategic planning and organizational performance in processing firms: A case study of Mt. Elgon Millers</w:t>
      </w:r>
      <w:r w:rsidRPr="00070085">
        <w:rPr>
          <w:rFonts w:ascii="Times New Roman" w:eastAsia="Segoe UI" w:hAnsi="Times New Roman" w:cs="Times New Roman"/>
          <w:kern w:val="0"/>
          <w:shd w:val="clear" w:color="auto" w:fill="FFFFFF"/>
          <w:lang w:eastAsia="zh-CN"/>
          <w14:ligatures w14:val="none"/>
        </w:rPr>
        <w:t xml:space="preserve"> [Unpublished undergraduate dissertation]. Uganda Christian University.</w:t>
      </w:r>
    </w:p>
    <w:p w14:paraId="6B996BA5"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Senge, P. M. (1990). </w:t>
      </w:r>
      <w:r w:rsidRPr="00070085">
        <w:rPr>
          <w:rFonts w:ascii="Times New Roman" w:eastAsia="Segoe UI" w:hAnsi="Times New Roman" w:cs="Times New Roman"/>
          <w:i/>
          <w:iCs/>
          <w:kern w:val="0"/>
          <w:lang w:eastAsia="zh-CN"/>
          <w14:ligatures w14:val="none"/>
        </w:rPr>
        <w:t>The fifth discipline: The art and practice of the learning organization</w:t>
      </w:r>
      <w:r w:rsidRPr="00070085">
        <w:rPr>
          <w:rFonts w:ascii="Times New Roman" w:eastAsia="Segoe UI" w:hAnsi="Times New Roman" w:cs="Times New Roman"/>
          <w:kern w:val="0"/>
          <w:lang w:eastAsia="zh-CN"/>
          <w14:ligatures w14:val="none"/>
        </w:rPr>
        <w:t>. Doubleday.</w:t>
      </w:r>
    </w:p>
    <w:p w14:paraId="77C39638" w14:textId="77777777" w:rsidR="00070085" w:rsidRPr="00070085" w:rsidRDefault="00070085" w:rsidP="00070085">
      <w:pPr>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SG Systems Global. (2025). </w:t>
      </w:r>
      <w:r w:rsidRPr="00070085">
        <w:rPr>
          <w:rFonts w:ascii="Times New Roman" w:eastAsia="Segoe UI" w:hAnsi="Times New Roman" w:cs="Times New Roman"/>
          <w:i/>
          <w:iCs/>
          <w:kern w:val="0"/>
          <w:shd w:val="clear" w:color="auto" w:fill="FFFFFF"/>
          <w:lang w:eastAsia="zh-CN"/>
          <w14:ligatures w14:val="none"/>
        </w:rPr>
        <w:t>Continuous improvement: A practical guide to Kaizen.</w:t>
      </w:r>
      <w:r w:rsidRPr="00070085">
        <w:rPr>
          <w:rFonts w:ascii="Times New Roman" w:eastAsia="Segoe UI" w:hAnsi="Times New Roman" w:cs="Times New Roman"/>
          <w:kern w:val="0"/>
          <w:shd w:val="clear" w:color="auto" w:fill="FFFFFF"/>
          <w:lang w:eastAsia="zh-CN"/>
          <w14:ligatures w14:val="none"/>
        </w:rPr>
        <w:t xml:space="preserve"> SG Systems Global Publishing.</w:t>
      </w:r>
    </w:p>
    <w:p w14:paraId="2566D729"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Silverman, D. (1970). </w:t>
      </w:r>
      <w:r w:rsidRPr="00070085">
        <w:rPr>
          <w:rFonts w:ascii="Times New Roman" w:eastAsia="Segoe UI" w:hAnsi="Times New Roman" w:cs="Times New Roman"/>
          <w:i/>
          <w:iCs/>
          <w:kern w:val="0"/>
          <w:lang w:eastAsia="zh-CN"/>
          <w14:ligatures w14:val="none"/>
        </w:rPr>
        <w:t xml:space="preserve">The theory of </w:t>
      </w:r>
      <w:proofErr w:type="spellStart"/>
      <w:r w:rsidRPr="00070085">
        <w:rPr>
          <w:rFonts w:ascii="Times New Roman" w:eastAsia="Segoe UI" w:hAnsi="Times New Roman" w:cs="Times New Roman"/>
          <w:i/>
          <w:iCs/>
          <w:kern w:val="0"/>
          <w:lang w:eastAsia="zh-CN"/>
          <w14:ligatures w14:val="none"/>
        </w:rPr>
        <w:t>organisations</w:t>
      </w:r>
      <w:proofErr w:type="spellEnd"/>
      <w:r w:rsidRPr="00070085">
        <w:rPr>
          <w:rFonts w:ascii="Times New Roman" w:eastAsia="Segoe UI" w:hAnsi="Times New Roman" w:cs="Times New Roman"/>
          <w:i/>
          <w:iCs/>
          <w:kern w:val="0"/>
          <w:lang w:eastAsia="zh-CN"/>
          <w14:ligatures w14:val="none"/>
        </w:rPr>
        <w:t>: A sociological framework</w:t>
      </w:r>
      <w:r w:rsidRPr="00070085">
        <w:rPr>
          <w:rFonts w:ascii="Times New Roman" w:eastAsia="Segoe UI" w:hAnsi="Times New Roman" w:cs="Times New Roman"/>
          <w:kern w:val="0"/>
          <w:lang w:eastAsia="zh-CN"/>
          <w14:ligatures w14:val="none"/>
        </w:rPr>
        <w:t>. Heinemann.</w:t>
      </w:r>
    </w:p>
    <w:p w14:paraId="7558FA43" w14:textId="77777777" w:rsidR="00070085" w:rsidRPr="00070085" w:rsidRDefault="00070085" w:rsidP="00070085">
      <w:pPr>
        <w:spacing w:after="120" w:line="240" w:lineRule="exact"/>
        <w:ind w:left="480" w:right="528"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lang w:eastAsia="zh-CN"/>
          <w14:ligatures w14:val="none"/>
        </w:rPr>
        <w:t>Simon, H. A. (1953). Birth of an organization: The Economic Cooperation Administration. </w:t>
      </w:r>
      <w:r w:rsidRPr="00070085">
        <w:rPr>
          <w:rFonts w:ascii="Times New Roman" w:eastAsia="Segoe UI" w:hAnsi="Times New Roman" w:cs="Times New Roman"/>
          <w:i/>
          <w:iCs/>
          <w:kern w:val="0"/>
          <w:lang w:eastAsia="zh-CN"/>
          <w14:ligatures w14:val="none"/>
        </w:rPr>
        <w:t>Public Administration Review, 13</w:t>
      </w:r>
      <w:r w:rsidRPr="00070085">
        <w:rPr>
          <w:rFonts w:ascii="Times New Roman" w:eastAsia="Segoe UI" w:hAnsi="Times New Roman" w:cs="Times New Roman"/>
          <w:kern w:val="0"/>
          <w:lang w:eastAsia="zh-CN"/>
          <w14:ligatures w14:val="none"/>
        </w:rPr>
        <w:t>(4), 227-236.</w:t>
      </w:r>
    </w:p>
    <w:p w14:paraId="7185C948" w14:textId="77777777" w:rsidR="00070085" w:rsidRPr="00070085" w:rsidRDefault="00070085" w:rsidP="00070085">
      <w:pPr>
        <w:spacing w:after="120" w:line="240" w:lineRule="exact"/>
        <w:ind w:left="480" w:right="384" w:hangingChars="200" w:hanging="480"/>
        <w:jc w:val="both"/>
        <w:rPr>
          <w:rFonts w:ascii="Times New Roman" w:eastAsia="Segoe UI" w:hAnsi="Times New Roman" w:cs="Times New Roman"/>
          <w:kern w:val="0"/>
          <w14:ligatures w14:val="none"/>
        </w:rPr>
      </w:pPr>
      <w:proofErr w:type="spellStart"/>
      <w:r w:rsidRPr="00070085">
        <w:rPr>
          <w:rFonts w:ascii="Times New Roman" w:eastAsia="Segoe UI" w:hAnsi="Times New Roman" w:cs="Times New Roman"/>
          <w:kern w:val="0"/>
          <w14:ligatures w14:val="none"/>
        </w:rPr>
        <w:t>Skyttner</w:t>
      </w:r>
      <w:proofErr w:type="spellEnd"/>
      <w:r w:rsidRPr="00070085">
        <w:rPr>
          <w:rFonts w:ascii="Times New Roman" w:eastAsia="Segoe UI" w:hAnsi="Times New Roman" w:cs="Times New Roman"/>
          <w:kern w:val="0"/>
          <w14:ligatures w14:val="none"/>
        </w:rPr>
        <w:t>, L. (2005). </w:t>
      </w:r>
      <w:r w:rsidRPr="00070085">
        <w:rPr>
          <w:rFonts w:ascii="Times New Roman" w:eastAsia="Segoe UI" w:hAnsi="Times New Roman" w:cs="Times New Roman"/>
          <w:i/>
          <w:iCs/>
          <w:kern w:val="0"/>
          <w14:ligatures w14:val="none"/>
        </w:rPr>
        <w:t>General systems theory: Problems, perspectives, practice (2nd ed.).</w:t>
      </w:r>
      <w:r w:rsidRPr="00070085">
        <w:rPr>
          <w:rFonts w:ascii="Times New Roman" w:eastAsia="Segoe UI" w:hAnsi="Times New Roman" w:cs="Times New Roman"/>
          <w:kern w:val="0"/>
          <w14:ligatures w14:val="none"/>
        </w:rPr>
        <w:t xml:space="preserve"> World Scientific Publishing.</w:t>
      </w:r>
    </w:p>
    <w:p w14:paraId="3487D38E" w14:textId="77777777" w:rsidR="00070085" w:rsidRPr="00070085" w:rsidRDefault="00070085" w:rsidP="00070085">
      <w:pPr>
        <w:shd w:val="clear" w:color="auto" w:fill="FFFFFF"/>
        <w:spacing w:after="120" w:line="240" w:lineRule="exact"/>
        <w:ind w:left="480" w:hangingChars="200" w:hanging="480"/>
        <w:jc w:val="both"/>
        <w:rPr>
          <w:rFonts w:ascii="Times New Roman" w:eastAsia="Segoe UI" w:hAnsi="Times New Roman" w:cs="Times New Roman"/>
          <w:i/>
          <w:iCs/>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Ugolo, O. J. (2021). Application of LEAN supply chain management as a panacea to sustainable future profitability in the Nigerian oil and gas industry. </w:t>
      </w:r>
      <w:r w:rsidRPr="00070085">
        <w:rPr>
          <w:rFonts w:ascii="Times New Roman" w:eastAsia="Segoe UI" w:hAnsi="Times New Roman" w:cs="Times New Roman"/>
          <w:i/>
          <w:iCs/>
          <w:kern w:val="0"/>
          <w:shd w:val="clear" w:color="auto" w:fill="FFFFFF"/>
          <w:lang w:eastAsia="zh-CN"/>
          <w14:ligatures w14:val="none"/>
        </w:rPr>
        <w:t>Society of Petroleum Engineers Annual Technical Conference and Exhibition Proceedings.</w:t>
      </w:r>
    </w:p>
    <w:p w14:paraId="59CBC6ED" w14:textId="77777777" w:rsidR="00070085" w:rsidRPr="00070085" w:rsidRDefault="00070085" w:rsidP="00070085">
      <w:pPr>
        <w:shd w:val="clear" w:color="auto" w:fill="FFFFFF"/>
        <w:spacing w:after="120" w:line="240" w:lineRule="exact"/>
        <w:ind w:left="480" w:hangingChars="200" w:hanging="480"/>
        <w:jc w:val="both"/>
        <w:rPr>
          <w:rFonts w:ascii="Times New Roman" w:eastAsia="SimSun" w:hAnsi="Times New Roman" w:cs="Times New Roman"/>
          <w:kern w:val="0"/>
          <w:lang w:eastAsia="zh-CN"/>
          <w14:ligatures w14:val="none"/>
        </w:rPr>
      </w:pPr>
      <w:r w:rsidRPr="00070085">
        <w:rPr>
          <w:rFonts w:ascii="Times New Roman" w:eastAsia="Segoe UI" w:hAnsi="Times New Roman" w:cs="Times New Roman"/>
          <w:kern w:val="0"/>
          <w:shd w:val="clear" w:color="auto" w:fill="FFFFFF"/>
          <w:lang w:eastAsia="zh-CN"/>
          <w14:ligatures w14:val="none"/>
        </w:rPr>
        <w:t xml:space="preserve">Worlu, C. C., &amp; </w:t>
      </w:r>
      <w:proofErr w:type="spellStart"/>
      <w:r w:rsidRPr="00070085">
        <w:rPr>
          <w:rFonts w:ascii="Times New Roman" w:eastAsia="Segoe UI" w:hAnsi="Times New Roman" w:cs="Times New Roman"/>
          <w:kern w:val="0"/>
          <w:shd w:val="clear" w:color="auto" w:fill="FFFFFF"/>
          <w:lang w:eastAsia="zh-CN"/>
          <w14:ligatures w14:val="none"/>
        </w:rPr>
        <w:t>Opute</w:t>
      </w:r>
      <w:proofErr w:type="spellEnd"/>
      <w:r w:rsidRPr="00070085">
        <w:rPr>
          <w:rFonts w:ascii="Times New Roman" w:eastAsia="Segoe UI" w:hAnsi="Times New Roman" w:cs="Times New Roman"/>
          <w:kern w:val="0"/>
          <w:shd w:val="clear" w:color="auto" w:fill="FFFFFF"/>
          <w:lang w:eastAsia="zh-CN"/>
          <w14:ligatures w14:val="none"/>
        </w:rPr>
        <w:t>, A. P. (2022). Supply chain integration and operational efficiency of downstream oil and gas firms in Rivers State. </w:t>
      </w:r>
      <w:r w:rsidRPr="00070085">
        <w:rPr>
          <w:rFonts w:ascii="Times New Roman" w:eastAsia="Segoe UI" w:hAnsi="Times New Roman" w:cs="Times New Roman"/>
          <w:i/>
          <w:iCs/>
          <w:kern w:val="0"/>
          <w:shd w:val="clear" w:color="auto" w:fill="FFFFFF"/>
          <w:lang w:eastAsia="zh-CN"/>
          <w14:ligatures w14:val="none"/>
        </w:rPr>
        <w:t>Journal of Logistics and Supply Chain Management, 6</w:t>
      </w:r>
      <w:r w:rsidRPr="00070085">
        <w:rPr>
          <w:rFonts w:ascii="Times New Roman" w:eastAsia="Segoe UI" w:hAnsi="Times New Roman" w:cs="Times New Roman"/>
          <w:kern w:val="0"/>
          <w:shd w:val="clear" w:color="auto" w:fill="FFFFFF"/>
          <w:lang w:eastAsia="zh-CN"/>
          <w14:ligatures w14:val="none"/>
        </w:rPr>
        <w:t>(2), 156-174.</w:t>
      </w:r>
    </w:p>
    <w:p w14:paraId="7A7E095E" w14:textId="77777777" w:rsidR="00070085" w:rsidRDefault="00070085" w:rsidP="00070085">
      <w:pPr>
        <w:spacing w:after="0" w:line="240" w:lineRule="auto"/>
        <w:jc w:val="both"/>
        <w:rPr>
          <w:rFonts w:ascii="Times New Roman" w:hAnsi="Times New Roman" w:cs="Times New Roman"/>
          <w:b/>
          <w:bCs/>
          <w:sz w:val="52"/>
          <w:szCs w:val="52"/>
        </w:rPr>
      </w:pPr>
    </w:p>
    <w:p w14:paraId="6A53977E" w14:textId="77777777" w:rsidR="00070085" w:rsidRDefault="00070085" w:rsidP="00641746">
      <w:pPr>
        <w:spacing w:after="0" w:line="240" w:lineRule="auto"/>
        <w:jc w:val="center"/>
        <w:rPr>
          <w:rFonts w:ascii="Times New Roman" w:hAnsi="Times New Roman" w:cs="Times New Roman"/>
          <w:b/>
          <w:bCs/>
          <w:sz w:val="52"/>
          <w:szCs w:val="52"/>
        </w:rPr>
      </w:pPr>
    </w:p>
    <w:p w14:paraId="32AE2A94" w14:textId="77777777" w:rsidR="00070085" w:rsidRDefault="00070085" w:rsidP="00641746">
      <w:pPr>
        <w:spacing w:after="0" w:line="240" w:lineRule="auto"/>
        <w:jc w:val="center"/>
        <w:rPr>
          <w:rFonts w:ascii="Times New Roman" w:hAnsi="Times New Roman" w:cs="Times New Roman"/>
          <w:b/>
          <w:bCs/>
          <w:sz w:val="52"/>
          <w:szCs w:val="52"/>
        </w:rPr>
      </w:pPr>
    </w:p>
    <w:p w14:paraId="5C589721" w14:textId="77777777" w:rsidR="00070085" w:rsidRDefault="00070085" w:rsidP="00641746">
      <w:pPr>
        <w:spacing w:after="0" w:line="240" w:lineRule="auto"/>
        <w:jc w:val="center"/>
        <w:rPr>
          <w:rFonts w:ascii="Times New Roman" w:hAnsi="Times New Roman" w:cs="Times New Roman"/>
          <w:b/>
          <w:bCs/>
          <w:sz w:val="52"/>
          <w:szCs w:val="52"/>
        </w:rPr>
      </w:pPr>
    </w:p>
    <w:p w14:paraId="2AB457D0" w14:textId="77777777" w:rsidR="00070085" w:rsidRDefault="00070085" w:rsidP="00641746">
      <w:pPr>
        <w:spacing w:after="0" w:line="240" w:lineRule="auto"/>
        <w:jc w:val="center"/>
        <w:rPr>
          <w:rFonts w:ascii="Times New Roman" w:hAnsi="Times New Roman" w:cs="Times New Roman"/>
          <w:b/>
          <w:bCs/>
          <w:sz w:val="52"/>
          <w:szCs w:val="52"/>
        </w:rPr>
      </w:pPr>
    </w:p>
    <w:p w14:paraId="1604D41B" w14:textId="77777777" w:rsidR="00070085" w:rsidRDefault="00070085" w:rsidP="00641746">
      <w:pPr>
        <w:spacing w:after="0" w:line="240" w:lineRule="auto"/>
        <w:jc w:val="center"/>
        <w:rPr>
          <w:rFonts w:ascii="Times New Roman" w:hAnsi="Times New Roman" w:cs="Times New Roman"/>
          <w:b/>
          <w:bCs/>
          <w:sz w:val="52"/>
          <w:szCs w:val="52"/>
        </w:rPr>
      </w:pPr>
    </w:p>
    <w:p w14:paraId="7190C7CD" w14:textId="77777777" w:rsidR="00070085" w:rsidRDefault="00070085" w:rsidP="00641746">
      <w:pPr>
        <w:spacing w:after="0" w:line="240" w:lineRule="auto"/>
        <w:jc w:val="center"/>
        <w:rPr>
          <w:rFonts w:ascii="Times New Roman" w:hAnsi="Times New Roman" w:cs="Times New Roman"/>
          <w:b/>
          <w:bCs/>
          <w:sz w:val="52"/>
          <w:szCs w:val="52"/>
        </w:rPr>
      </w:pPr>
    </w:p>
    <w:p w14:paraId="7EAAAD1C" w14:textId="77777777" w:rsidR="00070085" w:rsidRDefault="00070085" w:rsidP="00641746">
      <w:pPr>
        <w:spacing w:after="0" w:line="240" w:lineRule="auto"/>
        <w:jc w:val="center"/>
        <w:rPr>
          <w:rFonts w:ascii="Times New Roman" w:hAnsi="Times New Roman" w:cs="Times New Roman"/>
          <w:b/>
          <w:bCs/>
          <w:sz w:val="52"/>
          <w:szCs w:val="52"/>
        </w:rPr>
      </w:pPr>
    </w:p>
    <w:p w14:paraId="0689D350" w14:textId="77777777" w:rsidR="00070085" w:rsidRDefault="00070085" w:rsidP="00641746">
      <w:pPr>
        <w:spacing w:after="0" w:line="240" w:lineRule="auto"/>
        <w:jc w:val="center"/>
        <w:rPr>
          <w:rFonts w:ascii="Times New Roman" w:hAnsi="Times New Roman" w:cs="Times New Roman"/>
          <w:b/>
          <w:bCs/>
          <w:sz w:val="52"/>
          <w:szCs w:val="52"/>
        </w:rPr>
      </w:pPr>
    </w:p>
    <w:p w14:paraId="6D6518BC" w14:textId="77777777" w:rsidR="00070085" w:rsidRDefault="00070085" w:rsidP="00641746">
      <w:pPr>
        <w:spacing w:after="0" w:line="240" w:lineRule="auto"/>
        <w:jc w:val="center"/>
        <w:rPr>
          <w:rFonts w:ascii="Times New Roman" w:hAnsi="Times New Roman" w:cs="Times New Roman"/>
          <w:b/>
          <w:bCs/>
          <w:sz w:val="52"/>
          <w:szCs w:val="52"/>
        </w:rPr>
      </w:pPr>
    </w:p>
    <w:p w14:paraId="0087845C" w14:textId="77777777" w:rsidR="00070085" w:rsidRDefault="00070085" w:rsidP="00641746">
      <w:pPr>
        <w:spacing w:after="0" w:line="240" w:lineRule="auto"/>
        <w:jc w:val="center"/>
        <w:rPr>
          <w:rFonts w:ascii="Times New Roman" w:hAnsi="Times New Roman" w:cs="Times New Roman"/>
          <w:b/>
          <w:bCs/>
          <w:sz w:val="52"/>
          <w:szCs w:val="52"/>
        </w:rPr>
      </w:pPr>
    </w:p>
    <w:p w14:paraId="55D19090" w14:textId="77777777" w:rsidR="00070085" w:rsidRDefault="00070085" w:rsidP="00641746">
      <w:pPr>
        <w:spacing w:after="0" w:line="240" w:lineRule="auto"/>
        <w:jc w:val="center"/>
        <w:rPr>
          <w:rFonts w:ascii="Times New Roman" w:hAnsi="Times New Roman" w:cs="Times New Roman"/>
          <w:b/>
          <w:bCs/>
          <w:sz w:val="52"/>
          <w:szCs w:val="52"/>
        </w:rPr>
      </w:pPr>
    </w:p>
    <w:p w14:paraId="4254C976" w14:textId="77777777" w:rsidR="000C0C53" w:rsidRPr="000C0C53" w:rsidRDefault="000C0C53" w:rsidP="000C0C53">
      <w:pPr>
        <w:spacing w:line="259" w:lineRule="auto"/>
        <w:jc w:val="center"/>
        <w:rPr>
          <w:rFonts w:ascii="Times New Roman" w:eastAsia="Calibri" w:hAnsi="Times New Roman" w:cs="Times New Roman"/>
          <w:b/>
          <w:bCs/>
          <w:kern w:val="0"/>
          <w:lang/>
          <w14:ligatures w14:val="none"/>
        </w:rPr>
      </w:pPr>
      <w:r w:rsidRPr="000C0C53">
        <w:rPr>
          <w:rFonts w:ascii="Times New Roman" w:eastAsia="Calibri" w:hAnsi="Times New Roman" w:cs="Times New Roman"/>
          <w:b/>
          <w:bCs/>
          <w:kern w:val="0"/>
          <w:lang/>
          <w14:ligatures w14:val="none"/>
        </w:rPr>
        <w:lastRenderedPageBreak/>
        <w:t xml:space="preserve">Digital Innovation </w:t>
      </w:r>
      <w:r w:rsidRPr="000C0C53">
        <w:rPr>
          <w:rFonts w:ascii="Times New Roman" w:eastAsia="Calibri" w:hAnsi="Times New Roman" w:cs="Times New Roman"/>
          <w:b/>
          <w:bCs/>
          <w:kern w:val="0"/>
          <w14:ligatures w14:val="none"/>
        </w:rPr>
        <w:t>a</w:t>
      </w:r>
      <w:r w:rsidRPr="000C0C53">
        <w:rPr>
          <w:rFonts w:ascii="Times New Roman" w:eastAsia="Calibri" w:hAnsi="Times New Roman" w:cs="Times New Roman"/>
          <w:b/>
          <w:bCs/>
          <w:kern w:val="0"/>
          <w:lang/>
          <w14:ligatures w14:val="none"/>
        </w:rPr>
        <w:t xml:space="preserve">nd Service Delivery Effectiveness </w:t>
      </w:r>
      <w:proofErr w:type="spellStart"/>
      <w:r w:rsidRPr="000C0C53">
        <w:rPr>
          <w:rFonts w:ascii="Times New Roman" w:eastAsia="Calibri" w:hAnsi="Times New Roman" w:cs="Times New Roman"/>
          <w:b/>
          <w:bCs/>
          <w:kern w:val="0"/>
          <w14:ligatures w14:val="none"/>
        </w:rPr>
        <w:t>i</w:t>
      </w:r>
      <w:proofErr w:type="spellEnd"/>
      <w:r w:rsidRPr="000C0C53">
        <w:rPr>
          <w:rFonts w:ascii="Times New Roman" w:eastAsia="Calibri" w:hAnsi="Times New Roman" w:cs="Times New Roman"/>
          <w:b/>
          <w:bCs/>
          <w:kern w:val="0"/>
          <w:lang/>
          <w14:ligatures w14:val="none"/>
        </w:rPr>
        <w:t xml:space="preserve">n Open Distance Learning Universities: A Study </w:t>
      </w:r>
      <w:r w:rsidRPr="000C0C53">
        <w:rPr>
          <w:rFonts w:ascii="Times New Roman" w:eastAsia="Calibri" w:hAnsi="Times New Roman" w:cs="Times New Roman"/>
          <w:b/>
          <w:bCs/>
          <w:kern w:val="0"/>
          <w14:ligatures w14:val="none"/>
        </w:rPr>
        <w:t>o</w:t>
      </w:r>
      <w:r w:rsidRPr="000C0C53">
        <w:rPr>
          <w:rFonts w:ascii="Times New Roman" w:eastAsia="Calibri" w:hAnsi="Times New Roman" w:cs="Times New Roman"/>
          <w:b/>
          <w:bCs/>
          <w:kern w:val="0"/>
          <w:lang/>
          <w14:ligatures w14:val="none"/>
        </w:rPr>
        <w:t>f The National Open University, Nigeria</w:t>
      </w:r>
    </w:p>
    <w:p w14:paraId="49C19367" w14:textId="77777777" w:rsidR="000C0C53" w:rsidRPr="000C0C53" w:rsidRDefault="000C0C53" w:rsidP="000C0C53">
      <w:pPr>
        <w:spacing w:line="259" w:lineRule="auto"/>
        <w:jc w:val="center"/>
        <w:rPr>
          <w:rFonts w:ascii="Times New Roman" w:eastAsia="Calibri" w:hAnsi="Times New Roman" w:cs="Times New Roman"/>
          <w:b/>
          <w:bCs/>
          <w:kern w:val="0"/>
          <w:lang/>
          <w14:ligatures w14:val="none"/>
        </w:rPr>
      </w:pPr>
    </w:p>
    <w:p w14:paraId="2240A099" w14:textId="77777777" w:rsidR="000C0C53" w:rsidRPr="000C0C53" w:rsidRDefault="000C0C53" w:rsidP="000C0C53">
      <w:pPr>
        <w:spacing w:after="0" w:line="240" w:lineRule="auto"/>
        <w:jc w:val="center"/>
        <w:rPr>
          <w:rFonts w:ascii="Times New Roman" w:eastAsia="Calibri" w:hAnsi="Times New Roman" w:cs="Times New Roman"/>
          <w:bCs/>
          <w:kern w:val="0"/>
          <w:vertAlign w:val="superscript"/>
          <w:lang w:val="en-GB"/>
          <w14:ligatures w14:val="none"/>
        </w:rPr>
      </w:pPr>
      <w:proofErr w:type="spellStart"/>
      <w:r w:rsidRPr="000C0C53">
        <w:rPr>
          <w:rFonts w:ascii="Times New Roman" w:eastAsia="Calibri" w:hAnsi="Times New Roman" w:cs="Times New Roman"/>
          <w:bCs/>
          <w:kern w:val="0"/>
          <w:lang w:val="en-GB"/>
          <w14:ligatures w14:val="none"/>
        </w:rPr>
        <w:t>Oboromeni</w:t>
      </w:r>
      <w:proofErr w:type="spellEnd"/>
      <w:r w:rsidRPr="000C0C53">
        <w:rPr>
          <w:rFonts w:ascii="Times New Roman" w:eastAsia="Calibri" w:hAnsi="Times New Roman" w:cs="Times New Roman"/>
          <w:bCs/>
          <w:kern w:val="0"/>
          <w:lang w:val="en-GB"/>
          <w14:ligatures w14:val="none"/>
        </w:rPr>
        <w:t xml:space="preserve"> Weinoh</w:t>
      </w:r>
      <w:r w:rsidRPr="000C0C53">
        <w:rPr>
          <w:rFonts w:ascii="Times New Roman" w:eastAsia="Calibri" w:hAnsi="Times New Roman" w:cs="Times New Roman"/>
          <w:bCs/>
          <w:kern w:val="0"/>
          <w:vertAlign w:val="superscript"/>
          <w:lang w:val="en-GB"/>
          <w14:ligatures w14:val="none"/>
        </w:rPr>
        <w:t>1</w:t>
      </w:r>
      <w:r w:rsidRPr="000C0C53">
        <w:rPr>
          <w:rFonts w:ascii="Times New Roman" w:eastAsia="Calibri" w:hAnsi="Times New Roman" w:cs="Times New Roman"/>
          <w:bCs/>
          <w:kern w:val="0"/>
          <w:lang w:val="en-GB"/>
          <w14:ligatures w14:val="none"/>
        </w:rPr>
        <w:t>, Mavis B. Madu</w:t>
      </w:r>
      <w:r w:rsidRPr="000C0C53">
        <w:rPr>
          <w:rFonts w:ascii="Times New Roman" w:eastAsia="Calibri" w:hAnsi="Times New Roman" w:cs="Times New Roman"/>
          <w:bCs/>
          <w:kern w:val="0"/>
          <w:vertAlign w:val="superscript"/>
          <w:lang w:val="en-GB"/>
          <w14:ligatures w14:val="none"/>
        </w:rPr>
        <w:t>2</w:t>
      </w:r>
      <w:r w:rsidRPr="000C0C53">
        <w:rPr>
          <w:rFonts w:ascii="Times New Roman" w:eastAsia="Calibri" w:hAnsi="Times New Roman" w:cs="Times New Roman"/>
          <w:bCs/>
          <w:kern w:val="0"/>
          <w:lang w:val="en-GB"/>
          <w14:ligatures w14:val="none"/>
        </w:rPr>
        <w:t>, Aminat A. Abdulrasheed</w:t>
      </w:r>
      <w:r w:rsidRPr="000C0C53">
        <w:rPr>
          <w:rFonts w:ascii="Times New Roman" w:eastAsia="Calibri" w:hAnsi="Times New Roman" w:cs="Times New Roman"/>
          <w:bCs/>
          <w:kern w:val="0"/>
          <w:vertAlign w:val="superscript"/>
          <w:lang w:val="en-GB"/>
          <w14:ligatures w14:val="none"/>
        </w:rPr>
        <w:t>3</w:t>
      </w:r>
    </w:p>
    <w:p w14:paraId="245DE0AE" w14:textId="77777777" w:rsidR="000C0C53" w:rsidRPr="000C0C53" w:rsidRDefault="000C0C53" w:rsidP="000C0C53">
      <w:pPr>
        <w:spacing w:after="0" w:line="240" w:lineRule="auto"/>
        <w:jc w:val="center"/>
        <w:rPr>
          <w:rFonts w:ascii="Times New Roman" w:eastAsia="Calibri" w:hAnsi="Times New Roman" w:cs="Times New Roman"/>
          <w:bCs/>
          <w:kern w:val="0"/>
          <w:lang w:val="en-GB"/>
          <w14:ligatures w14:val="none"/>
        </w:rPr>
      </w:pPr>
      <w:r w:rsidRPr="000C0C53">
        <w:rPr>
          <w:rFonts w:ascii="Times New Roman" w:eastAsia="Calibri" w:hAnsi="Times New Roman" w:cs="Times New Roman"/>
          <w:bCs/>
          <w:kern w:val="0"/>
          <w:lang w:val="en-GB"/>
          <w14:ligatures w14:val="none"/>
        </w:rPr>
        <w:t>Department of Public Administration</w:t>
      </w:r>
      <w:r w:rsidRPr="000C0C53">
        <w:rPr>
          <w:rFonts w:ascii="Times New Roman" w:eastAsia="Calibri" w:hAnsi="Times New Roman" w:cs="Times New Roman"/>
          <w:bCs/>
          <w:kern w:val="0"/>
          <w:vertAlign w:val="superscript"/>
          <w:lang w:val="en-GB"/>
          <w14:ligatures w14:val="none"/>
        </w:rPr>
        <w:t>1,2,3</w:t>
      </w:r>
    </w:p>
    <w:p w14:paraId="4081378C" w14:textId="77777777" w:rsidR="000C0C53" w:rsidRPr="000C0C53" w:rsidRDefault="000C0C53" w:rsidP="000C0C53">
      <w:pPr>
        <w:spacing w:after="0" w:line="240" w:lineRule="auto"/>
        <w:jc w:val="center"/>
        <w:rPr>
          <w:rFonts w:ascii="Times New Roman" w:eastAsia="Calibri" w:hAnsi="Times New Roman" w:cs="Times New Roman"/>
          <w:bCs/>
          <w:kern w:val="0"/>
          <w:lang w:val="en-GB"/>
          <w14:ligatures w14:val="none"/>
        </w:rPr>
      </w:pPr>
      <w:r w:rsidRPr="000C0C53">
        <w:rPr>
          <w:rFonts w:ascii="Times New Roman" w:eastAsia="Calibri" w:hAnsi="Times New Roman" w:cs="Times New Roman"/>
          <w:bCs/>
          <w:kern w:val="0"/>
          <w:lang w:val="en-GB"/>
          <w14:ligatures w14:val="none"/>
        </w:rPr>
        <w:t xml:space="preserve">National Open University of Nigeria, Nigeria </w:t>
      </w:r>
    </w:p>
    <w:p w14:paraId="383CC283" w14:textId="77777777" w:rsidR="000C0C53" w:rsidRPr="000C0C53" w:rsidRDefault="000C0C53" w:rsidP="000C0C53">
      <w:pPr>
        <w:spacing w:after="0" w:line="240" w:lineRule="auto"/>
        <w:jc w:val="center"/>
        <w:rPr>
          <w:rFonts w:ascii="Times New Roman" w:eastAsia="Calibri" w:hAnsi="Times New Roman" w:cs="Times New Roman"/>
          <w:bCs/>
          <w:kern w:val="0"/>
          <w:lang/>
          <w14:ligatures w14:val="none"/>
        </w:rPr>
      </w:pPr>
      <w:r w:rsidRPr="000C0C53">
        <w:rPr>
          <w:rFonts w:ascii="Times New Roman" w:eastAsia="Calibri" w:hAnsi="Times New Roman" w:cs="Times New Roman"/>
          <w:bCs/>
          <w:kern w:val="0"/>
          <w:lang w:val="en-GB"/>
          <w14:ligatures w14:val="none"/>
        </w:rPr>
        <w:t>Corresponding email: oweinoh@noun.edu.ng</w:t>
      </w:r>
    </w:p>
    <w:p w14:paraId="0DFEEE77" w14:textId="77777777" w:rsidR="000C0C53" w:rsidRPr="000C0C53" w:rsidRDefault="000C0C53" w:rsidP="000C0C53">
      <w:pPr>
        <w:spacing w:line="259" w:lineRule="auto"/>
        <w:rPr>
          <w:rFonts w:ascii="Times New Roman" w:eastAsia="Calibri" w:hAnsi="Times New Roman" w:cs="Times New Roman"/>
          <w:b/>
          <w:kern w:val="0"/>
          <w:lang w:val="en-GB"/>
          <w14:ligatures w14:val="none"/>
        </w:rPr>
      </w:pPr>
    </w:p>
    <w:p w14:paraId="080EFAAA" w14:textId="77777777" w:rsidR="000C0C53" w:rsidRPr="000C0C53" w:rsidRDefault="000C0C53" w:rsidP="000C0C53">
      <w:pPr>
        <w:spacing w:line="259" w:lineRule="auto"/>
        <w:rPr>
          <w:rFonts w:ascii="Times New Roman" w:eastAsia="Calibri" w:hAnsi="Times New Roman" w:cs="Times New Roman"/>
          <w:b/>
          <w:kern w:val="0"/>
          <w:lang w:val="en-GB"/>
          <w14:ligatures w14:val="none"/>
        </w:rPr>
      </w:pPr>
      <w:r w:rsidRPr="000C0C53">
        <w:rPr>
          <w:rFonts w:ascii="Times New Roman" w:eastAsia="Calibri" w:hAnsi="Times New Roman" w:cs="Times New Roman"/>
          <w:b/>
          <w:kern w:val="0"/>
          <w:lang w:val="en-GB"/>
          <w14:ligatures w14:val="none"/>
        </w:rPr>
        <w:t>Abstract</w:t>
      </w:r>
    </w:p>
    <w:p w14:paraId="41B2FE69" w14:textId="77777777" w:rsidR="000C0C53" w:rsidRPr="000C0C53" w:rsidRDefault="000C0C53" w:rsidP="000C0C53">
      <w:pPr>
        <w:spacing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This study examined the effect of digital service innovation on service delivery effectiveness in open distance learning (ODL) universities in Nigeria within a global context. Drawing on the service-dominant logic perspective, the study conceptualised digital service innovation along three dimensions. A quantitative cross-sectional survey design was adopted, and primary data were collected from 341 NOUN students. Multiple regression analysis was employed to test the hypothesised relationships between dimensions of digital service innovation and service delivery effectiveness. The findings indicate that LMS and process automation exert positive and statistically significant effects on service delivery effectiveness; data-driven personalised learning exhibits a positive but statistically insignificant effect, which suggests that personalisation technologies are not yet sufficiently institutionalised to yield measurable service delivery gains in the sampled institution. The study concluded that strengthening core digital service infrastructures and automating service processes should be prioritised in ODL universities, while targeted investments in learning analytics and staff capacity are required to realise the potential of personalised digital services.</w:t>
      </w:r>
    </w:p>
    <w:p w14:paraId="0AD6D3E5" w14:textId="77777777" w:rsidR="000C0C53" w:rsidRPr="000C0C53" w:rsidRDefault="000C0C53" w:rsidP="000C0C53">
      <w:pPr>
        <w:spacing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b/>
          <w:bCs/>
          <w:kern w:val="0"/>
          <w:lang/>
          <w14:ligatures w14:val="none"/>
        </w:rPr>
        <w:t>Keywords:</w:t>
      </w:r>
      <w:r w:rsidRPr="000C0C53">
        <w:rPr>
          <w:rFonts w:ascii="Times New Roman" w:eastAsia="Calibri" w:hAnsi="Times New Roman" w:cs="Times New Roman"/>
          <w:kern w:val="0"/>
          <w:lang/>
          <w14:ligatures w14:val="none"/>
        </w:rPr>
        <w:t xml:space="preserve"> Digital innovation, LMS, ODL, service delivery.</w:t>
      </w:r>
    </w:p>
    <w:p w14:paraId="6E8BB22F" w14:textId="77777777" w:rsidR="000C0C53" w:rsidRPr="000C0C53" w:rsidRDefault="000C0C53" w:rsidP="000C0C53">
      <w:pPr>
        <w:spacing w:line="259" w:lineRule="auto"/>
        <w:jc w:val="both"/>
        <w:rPr>
          <w:rFonts w:ascii="Times New Roman" w:eastAsia="Calibri" w:hAnsi="Times New Roman" w:cs="Times New Roman"/>
          <w:kern w:val="0"/>
          <w:lang/>
          <w14:ligatures w14:val="none"/>
        </w:rPr>
      </w:pPr>
    </w:p>
    <w:p w14:paraId="003FA58C" w14:textId="77777777" w:rsidR="000C0C53" w:rsidRPr="000C0C53" w:rsidRDefault="000C0C53" w:rsidP="000C0C53">
      <w:pPr>
        <w:spacing w:line="240" w:lineRule="auto"/>
        <w:jc w:val="both"/>
        <w:rPr>
          <w:rFonts w:ascii="Times New Roman" w:eastAsia="Calibri" w:hAnsi="Times New Roman" w:cs="Times New Roman"/>
          <w:b/>
          <w:kern w:val="0"/>
          <w:lang w:val="en-GB"/>
          <w14:ligatures w14:val="none"/>
        </w:rPr>
      </w:pPr>
      <w:r w:rsidRPr="000C0C53">
        <w:rPr>
          <w:rFonts w:ascii="Times New Roman" w:eastAsia="Calibri" w:hAnsi="Times New Roman" w:cs="Times New Roman"/>
          <w:b/>
          <w:kern w:val="0"/>
          <w:lang w:val="en-GB"/>
          <w14:ligatures w14:val="none"/>
        </w:rPr>
        <w:t>Introduction</w:t>
      </w:r>
    </w:p>
    <w:p w14:paraId="24BE91B3" w14:textId="77777777" w:rsidR="000C0C53" w:rsidRPr="000C0C53" w:rsidRDefault="000C0C53" w:rsidP="000C0C53">
      <w:pPr>
        <w:spacing w:line="240" w:lineRule="auto"/>
        <w:jc w:val="both"/>
        <w:rPr>
          <w:rFonts w:ascii="Times New Roman" w:eastAsia="Calibri" w:hAnsi="Times New Roman" w:cs="Times New Roman"/>
          <w:b/>
          <w:kern w:val="0"/>
          <w:lang w:val="en-GB"/>
          <w14:ligatures w14:val="none"/>
        </w:rPr>
      </w:pPr>
      <w:r w:rsidRPr="000C0C53">
        <w:rPr>
          <w:rFonts w:ascii="Times New Roman" w:eastAsia="Calibri" w:hAnsi="Times New Roman" w:cs="Times New Roman"/>
          <w:kern w:val="0"/>
          <w:lang/>
          <w14:ligatures w14:val="none"/>
        </w:rPr>
        <w:t>Service delivery effectiveness is a central concern for higher education institutions as universities increasingly operate within digitally mediated learning environments (Keržič et al., 2021; Sudrajat et al., 2024). In open and distance learning (ODL) universities, where physical interaction between learners and institutions is minimal, the quality-of-service delivery is largely determined by some factors such as efficiency, accessibility, and reliability of digital platforms and support systems (Shabani and Maboe, 2021; Singh, 2021). Service delivery in this context extends beyond instructional content to include student support services (Nsamba and Makoe, 2017), administrative responsiveness, learning management systems (Swart, 2015), assessment processes, and communication infrastructure (Ochionuoha, 2023). Consequently, the ability of ODL institutions to design and implement digital service innovations has become a strategic requirement for sustaining academic quality and competitiveness.</w:t>
      </w:r>
      <w:r w:rsidRPr="000C0C53">
        <w:rPr>
          <w:rFonts w:ascii="Times New Roman" w:eastAsia="Calibri" w:hAnsi="Times New Roman" w:cs="Times New Roman"/>
          <w:kern w:val="0"/>
          <w:lang/>
          <w14:ligatures w14:val="none"/>
        </w:rPr>
        <w:br/>
        <w:t xml:space="preserve">Digital service innovation here pertains to the deployment of improved digital technologies, platforms, and processes that enhance service value and user experience (Vargo et al., 2924). In the education sector, this includes the integration of learning management systems, virtual classrooms, mobile learning applications, cloud-based academic records, and automated student support services (Gryzun and Tokariev, 2023; Kovalevskaia et al., 2021). Such innovations are not </w:t>
      </w:r>
      <w:r w:rsidRPr="000C0C53">
        <w:rPr>
          <w:rFonts w:ascii="Times New Roman" w:eastAsia="Calibri" w:hAnsi="Times New Roman" w:cs="Times New Roman"/>
          <w:kern w:val="0"/>
          <w:lang/>
          <w14:ligatures w14:val="none"/>
        </w:rPr>
        <w:lastRenderedPageBreak/>
        <w:t>merely technological upgrades; they enhance learning processes, redefine staff roles, and alter how students engage and interact with their tutors. When effectively implemented, digital service innovations have the potential to improve service speed, reduce operational bottlenecks, enhance accessibility for geographically dispersed students, and promote personalised learning experiences for them.</w:t>
      </w:r>
    </w:p>
    <w:p w14:paraId="3DE84F74"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Service delivery effectiveness in ODL universities is increasingly shaped by three interrelated digital service innovation dimensions: learning management systems (LMS), automated institutional processes, and data-driven personalised learning. LMS platforms function as the core digital interface through which teaching, assessment, communication, and learning resources are coordinated, thereby determining the accessibility, continuity, and pedagogical consistency of online education (Swart, 2015; Keržič et al., 2021). Alongside this, the automation of academic and administrative processes such as admissions, registration, fee payments, course enrolment, results processing, and student support workflows reduces manual bottlenecks, improves response time, enhances data accuracy, and strengthens institutional reliability, which are critical service delivery indicators in large-scale distance education systems (Gryzun and Tokariev, 2023). More recently, the integration of learning analytics and artificial intelligence has enabled data-driven personalisation of learning experiences, allowing institutions to adapt content delivery, assessment pathways, and learner support based on students’ behavioural and performance data (Sudrajat et al., 2024; Kovalevskaia et al., 2021). These dimensions shift tertiary institutions from static structures toward adaptive and service-oriented digital ecosystems, positioning digital service innovation as a central mechanism through which ODL universities enhance operational efficiency, learner engagement, and service delivery effectiveness.</w:t>
      </w:r>
    </w:p>
    <w:p w14:paraId="143CEBB0"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Despite the recognised potential of digital service innovations to transform ODL, their actual impact on service delivery effectiveness remains inconsistent in the context of developing nations. This ambiguity gives rise to several critical research problems. First, there is a significant knowledge gap regarding the causal mechanisms through which specific digital innovation indicators translate into measurable improvements in service effectiveness for students. While technologies like learning management systems are widely adopted, empirical evidence on how they directly enhance core metrics such as student retention or support quality is often anecdotal (Nsamba and Makoe, 2017). </w:t>
      </w:r>
    </w:p>
    <w:p w14:paraId="002A6A8D"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In addition, the implementation of these digital innovation tools by ODL institutions in Nigeria frequently outpaces the development of evaluative frameworks. Consequently, institutions struggle to systematically assess whether a new digital tool genuinely adds value to the students. This research, therefore, addresses the central problem of assessing the contingent relationship between digital service innovation and service delivery effectiveness in ODL universities to identify the conditions under which such innovations truly add value to service effectiveness. Based on the foregoing discussion, the specific objectives of this study include the following: </w:t>
      </w:r>
    </w:p>
    <w:p w14:paraId="76464BC2" w14:textId="77777777" w:rsidR="000C0C53" w:rsidRPr="000C0C53" w:rsidRDefault="000C0C53" w:rsidP="000C0C53">
      <w:pPr>
        <w:numPr>
          <w:ilvl w:val="0"/>
          <w:numId w:val="73"/>
        </w:numPr>
        <w:spacing w:before="100" w:beforeAutospacing="1" w:after="100" w:afterAutospacing="1" w:line="240" w:lineRule="auto"/>
        <w:contextualSpacing/>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kern w:val="0"/>
          <w14:ligatures w14:val="none"/>
        </w:rPr>
        <w:t>Examine the effect of learning management systems on service delivery effectiveness in open and distance learning universities;</w:t>
      </w:r>
    </w:p>
    <w:p w14:paraId="01D53596" w14:textId="77777777" w:rsidR="000C0C53" w:rsidRPr="000C0C53" w:rsidRDefault="000C0C53" w:rsidP="000C0C53">
      <w:pPr>
        <w:numPr>
          <w:ilvl w:val="0"/>
          <w:numId w:val="73"/>
        </w:numPr>
        <w:spacing w:before="100" w:beforeAutospacing="1" w:after="100" w:afterAutospacing="1" w:line="240" w:lineRule="auto"/>
        <w:contextualSpacing/>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kern w:val="0"/>
          <w14:ligatures w14:val="none"/>
        </w:rPr>
        <w:t>Assess the influence of process automation on service delivery effectiveness in open and distance learning universities; and</w:t>
      </w:r>
    </w:p>
    <w:p w14:paraId="6B7570C4" w14:textId="77777777" w:rsidR="000C0C53" w:rsidRPr="000C0C53" w:rsidRDefault="000C0C53" w:rsidP="000C0C53">
      <w:pPr>
        <w:numPr>
          <w:ilvl w:val="0"/>
          <w:numId w:val="73"/>
        </w:numPr>
        <w:spacing w:before="100" w:beforeAutospacing="1" w:after="100" w:afterAutospacing="1" w:line="240" w:lineRule="auto"/>
        <w:contextualSpacing/>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kern w:val="0"/>
          <w14:ligatures w14:val="none"/>
        </w:rPr>
        <w:t xml:space="preserve">Evaluate the effect of data-driven </w:t>
      </w:r>
      <w:proofErr w:type="spellStart"/>
      <w:r w:rsidRPr="000C0C53">
        <w:rPr>
          <w:rFonts w:ascii="Times New Roman" w:eastAsia="Times New Roman" w:hAnsi="Times New Roman" w:cs="Times New Roman"/>
          <w:kern w:val="0"/>
          <w14:ligatures w14:val="none"/>
        </w:rPr>
        <w:t>personalised</w:t>
      </w:r>
      <w:proofErr w:type="spellEnd"/>
      <w:r w:rsidRPr="000C0C53">
        <w:rPr>
          <w:rFonts w:ascii="Times New Roman" w:eastAsia="Times New Roman" w:hAnsi="Times New Roman" w:cs="Times New Roman"/>
          <w:kern w:val="0"/>
          <w14:ligatures w14:val="none"/>
        </w:rPr>
        <w:t xml:space="preserve"> learning on service delivery effectiveness in open and distance learning universities.</w:t>
      </w:r>
    </w:p>
    <w:p w14:paraId="1373EEA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14:ligatures w14:val="none"/>
        </w:rPr>
      </w:pPr>
      <w:r w:rsidRPr="000C0C53">
        <w:rPr>
          <w:rFonts w:ascii="Times New Roman" w:eastAsia="Times New Roman" w:hAnsi="Times New Roman" w:cs="Times New Roman"/>
          <w:b/>
          <w:kern w:val="0"/>
          <w14:ligatures w14:val="none"/>
        </w:rPr>
        <w:lastRenderedPageBreak/>
        <w:t xml:space="preserve">Hypotheses of the study </w:t>
      </w:r>
    </w:p>
    <w:p w14:paraId="6197CA0B"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14:ligatures w14:val="none"/>
        </w:rPr>
      </w:pPr>
      <w:r w:rsidRPr="000C0C53">
        <w:rPr>
          <w:rFonts w:ascii="Times New Roman" w:eastAsia="Times New Roman" w:hAnsi="Times New Roman" w:cs="Times New Roman"/>
          <w:iCs/>
          <w:kern w:val="0"/>
          <w14:ligatures w14:val="none"/>
        </w:rPr>
        <w:t>In line with the study objectives, the following hypotheses are formulated:</w:t>
      </w:r>
    </w:p>
    <w:p w14:paraId="172F037B" w14:textId="77777777" w:rsidR="000C0C53" w:rsidRPr="000C0C53" w:rsidRDefault="000C0C53" w:rsidP="000C0C53">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bCs/>
          <w:kern w:val="0"/>
          <w14:ligatures w14:val="none"/>
        </w:rPr>
        <w:t>H₀₁: Learning management system has no significant effect on service delivery effectiveness in open distance learning universities.</w:t>
      </w:r>
    </w:p>
    <w:p w14:paraId="01A5465A" w14:textId="77777777" w:rsidR="000C0C53" w:rsidRPr="000C0C53" w:rsidRDefault="000C0C53" w:rsidP="000C0C53">
      <w:pPr>
        <w:spacing w:before="100" w:beforeAutospacing="1" w:after="100" w:afterAutospacing="1" w:line="240" w:lineRule="auto"/>
        <w:ind w:left="720"/>
        <w:rPr>
          <w:rFonts w:ascii="Times New Roman" w:eastAsia="Times New Roman" w:hAnsi="Times New Roman" w:cs="Times New Roman"/>
          <w:bCs/>
          <w:kern w:val="0"/>
          <w14:ligatures w14:val="none"/>
        </w:rPr>
      </w:pPr>
      <w:r w:rsidRPr="000C0C53">
        <w:rPr>
          <w:rFonts w:ascii="Times New Roman" w:eastAsia="Times New Roman" w:hAnsi="Times New Roman" w:cs="Times New Roman"/>
          <w:bCs/>
          <w:kern w:val="0"/>
          <w14:ligatures w14:val="none"/>
        </w:rPr>
        <w:t>H₀₂: Process automation has no significant effect on service delivery effectiveness in open distance learning universities.</w:t>
      </w:r>
      <w:r w:rsidRPr="000C0C53">
        <w:rPr>
          <w:rFonts w:ascii="Times New Roman" w:eastAsia="Times New Roman" w:hAnsi="Times New Roman" w:cs="Times New Roman"/>
          <w:kern w:val="0"/>
          <w14:ligatures w14:val="none"/>
        </w:rPr>
        <w:br/>
      </w:r>
      <w:r w:rsidRPr="000C0C53">
        <w:rPr>
          <w:rFonts w:ascii="Times New Roman" w:eastAsia="Times New Roman" w:hAnsi="Times New Roman" w:cs="Times New Roman"/>
          <w:bCs/>
          <w:kern w:val="0"/>
          <w14:ligatures w14:val="none"/>
        </w:rPr>
        <w:t xml:space="preserve">H₀₃: Data-driven </w:t>
      </w:r>
      <w:proofErr w:type="spellStart"/>
      <w:r w:rsidRPr="000C0C53">
        <w:rPr>
          <w:rFonts w:ascii="Times New Roman" w:eastAsia="Times New Roman" w:hAnsi="Times New Roman" w:cs="Times New Roman"/>
          <w:bCs/>
          <w:kern w:val="0"/>
          <w14:ligatures w14:val="none"/>
        </w:rPr>
        <w:t>personalised</w:t>
      </w:r>
      <w:proofErr w:type="spellEnd"/>
      <w:r w:rsidRPr="000C0C53">
        <w:rPr>
          <w:rFonts w:ascii="Times New Roman" w:eastAsia="Times New Roman" w:hAnsi="Times New Roman" w:cs="Times New Roman"/>
          <w:bCs/>
          <w:kern w:val="0"/>
          <w14:ligatures w14:val="none"/>
        </w:rPr>
        <w:t xml:space="preserve"> Learning has no significant effect on service delivery effectiveness in open distance learning universities.</w:t>
      </w:r>
    </w:p>
    <w:p w14:paraId="3C8894C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shd w:val="clear" w:color="auto" w:fill="FFFFFF"/>
          <w14:ligatures w14:val="none"/>
        </w:rPr>
      </w:pPr>
      <w:r w:rsidRPr="000C0C53">
        <w:rPr>
          <w:rFonts w:ascii="Times New Roman" w:eastAsia="Times New Roman" w:hAnsi="Times New Roman" w:cs="Times New Roman"/>
          <w:b/>
          <w:kern w:val="0"/>
          <w:shd w:val="clear" w:color="auto" w:fill="FFFFFF"/>
          <w14:ligatures w14:val="none"/>
        </w:rPr>
        <w:t xml:space="preserve">Literature Review </w:t>
      </w:r>
    </w:p>
    <w:p w14:paraId="5EC17FD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b/>
          <w:bCs/>
          <w:kern w:val="0"/>
          <w:lang/>
          <w14:ligatures w14:val="none"/>
        </w:rPr>
        <w:t>Concept and Dimensions of Digital Service Innovation</w:t>
      </w:r>
      <w:r w:rsidRPr="000C0C53">
        <w:rPr>
          <w:rFonts w:ascii="Times New Roman" w:eastAsia="Calibri" w:hAnsi="Times New Roman" w:cs="Times New Roman"/>
          <w:kern w:val="0"/>
          <w:lang/>
          <w14:ligatures w14:val="none"/>
        </w:rPr>
        <w:t xml:space="preserve"> </w:t>
      </w:r>
    </w:p>
    <w:p w14:paraId="4051908D"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Digitization is disruptive force that is changing how services are produced, distributed and consumed across several economic sectors. Within this transformation, Digital Service Innovation (DSI) is conceptualized as the creation of new service, the improvement of existing service processes, or the reconfiguration of business models through the strategic integration of digital technologies and organizational resources to enhance value co-creation among stakeholders (Lusch and Nambisan, 2015; Jaakkola et al., 2024). In the education sector, DSI includes the redesign of service architecture, pedagogical practices, and student engagement mechanisms around digitally mediated interactions (Kompella, 2024).</w:t>
      </w:r>
    </w:p>
    <w:p w14:paraId="14235554"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In educational contexts, particularly within open and distance learning institutions, DSI involves the deployment of digital platforms that support teaching, learning, assessment, and administrative services (Culcasi et al., 2023). These include learning management systems, virtual learning environments, mobile learning applications, artificial intelligence–driven tutoring systems, and automated student support services (Nsamba and Makoe, 2017). Such innovations enable universities to transcend geographical barriers, expand access to education, and deliver learning solutions to diverse student populations. The transformation of service delivery through digital channels also alters the nature of interaction between educators and learners and shift education from traditional instructor-centered models toward more interactive, learner-centered, and data-driven educational experiences.</w:t>
      </w:r>
    </w:p>
    <w:p w14:paraId="2A8D44C5"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Within the scope of this study, DSI is operationalized as the extent to which open and distance learning universities adopt and integrate digital technologies to redesign academic, administrative, and support services in ways that enhance accessibility, responsiveness, reliability, and user experience. This operational framing provides the basis for examining how DSI influences service delivery effectiveness in ODL institutions. Extant literature indicates that three dimensions are particularly critical within DSI framework which include the development of learning management system, the implementation of Process Automation, and the use of Data-Driven Personalization. </w:t>
      </w:r>
    </w:p>
    <w:p w14:paraId="0893F776"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b/>
          <w:bCs/>
          <w:kern w:val="0"/>
          <w:lang/>
          <w14:ligatures w14:val="none"/>
        </w:rPr>
        <w:t>Learning Management System</w:t>
      </w:r>
    </w:p>
    <w:p w14:paraId="2F891EB1"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lastRenderedPageBreak/>
        <w:t>The Learning Management System (LMS) represents the core digital infrastructure through which teaching, learning, assessment, and academic administration are coordinated in open and distance learning institutions. Conceptually, an LMS refers to an integrated digital platform that enables course content delivery, learner interaction, assessment management, progress tracking, and feedback exchange within a unified virtual environment. Rather than functioning as a standalone software application, contemporary LMS architecture increasingly operates as part of a digital learning ecosystem that incorporates virtual classrooms, content repositories, student information systems, and collaborative tools. This integrated configuration supports continuity of learning processes and enhances the coherence of institutional service delivery.</w:t>
      </w:r>
      <w:r w:rsidRPr="000C0C53">
        <w:rPr>
          <w:rFonts w:ascii="Times New Roman" w:eastAsia="Calibri" w:hAnsi="Times New Roman" w:cs="Times New Roman"/>
          <w:kern w:val="0"/>
          <w:lang/>
          <w14:ligatures w14:val="none"/>
        </w:rPr>
        <w:br/>
        <w:t>Previous research has emphasized the strategic role of LMS in reshaping educational service delivery. Al-Fraihat et al. (2025) argued that LMS effectiveness is closely linked to system quality, information quality, and user satisfaction, noting that well-designed platforms improve student engagement and academic performance outcomes. Similarly, Martin and Ndoye (2016) observed that LMS platforms enhance instructional flexibility by enabling fast learning, real-time feedback, and interactive multimedia content which improve learner participation in virtual environments. Rashid and Asghar (2016) further suggested that LMS adoption promotes self-regulated learning behaviors among students by providing structured learning pathways, progress monitoring tools, and adaptive learning resources. Collectively, these perspectives indicate that LMS adoption extends beyond technological deployment to influence pedagogical practices, learner autonomy, and responsiveness.</w:t>
      </w:r>
    </w:p>
    <w:p w14:paraId="3A6B4850"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kern w:val="0"/>
          <w:lang/>
          <w14:ligatures w14:val="none"/>
        </w:rPr>
        <w:t>In advanced economies, the impact of LMS on open and distance learning delivery has been particularly significant due to the availability of robust digital infrastructure and institutional investment capacity. Universities in these contexts leverage high-speed broadband connectivity and interoperable digital systems to deliver seamless learning experiences (Al-Fraihat et al., 2025). However, the effectiveness of LMS deployment in ODL institutions is not solely determined by technology. According to Keržič et al. (2021), organizational readiness, staff digital competence, instructional design capacity, and student digital literacy significantly affect outcomes. Even in technologically advanced countries, poor platform design, limited pedagogical integration, and weak support structures can undermine LMS performance. This suggests that LMS effectiveness operates as a socio-technical construct where technological infrastructure must align with institutional strategy and service delivery objectives.</w:t>
      </w:r>
      <w:r w:rsidRPr="000C0C53">
        <w:rPr>
          <w:rFonts w:ascii="Times New Roman" w:eastAsia="Calibri" w:hAnsi="Times New Roman" w:cs="Times New Roman"/>
          <w:kern w:val="0"/>
          <w:lang/>
          <w14:ligatures w14:val="none"/>
        </w:rPr>
        <w:br/>
      </w:r>
    </w:p>
    <w:p w14:paraId="40C20100"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b/>
          <w:bCs/>
          <w:kern w:val="0"/>
          <w:lang/>
          <w14:ligatures w14:val="none"/>
        </w:rPr>
        <w:t>Process Automation</w:t>
      </w:r>
    </w:p>
    <w:p w14:paraId="6DAD31F7"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Process automation within the context of this study refers to the application of digital technologies to redesign and streamline workflows by minimizing manual intervention, and improving service reliability (Oluwajana et al., 2019). In the context of open and distance learning universities, process automation includes digital enrollment systems, online course registration, automated fee payment platforms, electronic examination processing, learning analytics dashboards, administrative inquiries among others (Kovalevskaia et al., 2021). These systems function as operational backbones that support large student populations by ensuring timely service delivery and consistent process execution across academic cycles.</w:t>
      </w:r>
      <w:r w:rsidRPr="000C0C53">
        <w:rPr>
          <w:rFonts w:ascii="Times New Roman" w:eastAsia="Calibri" w:hAnsi="Times New Roman" w:cs="Times New Roman"/>
          <w:kern w:val="0"/>
          <w:lang/>
          <w14:ligatures w14:val="none"/>
        </w:rPr>
        <w:br/>
        <w:t xml:space="preserve">Existing studies have highlighted the operational value of automation in educational service environments. Sivarajah et al. (2019) observed that digital process automation improves institutional efficiency by shortening service turnaround time and reducing administrative </w:t>
      </w:r>
      <w:r w:rsidRPr="000C0C53">
        <w:rPr>
          <w:rFonts w:ascii="Times New Roman" w:eastAsia="Calibri" w:hAnsi="Times New Roman" w:cs="Times New Roman"/>
          <w:kern w:val="0"/>
          <w:lang/>
          <w14:ligatures w14:val="none"/>
        </w:rPr>
        <w:lastRenderedPageBreak/>
        <w:t>bottlenecks. Similarly, Amin et al. (2025) reported that automated academic workflows enhance transparency and accountability by minimizing human errors associated with manual data processing and record management. Wamba et al. (2020) further suggested that automation technologies strengthen organizational responsiveness by enabling real-time monitoring of service requests and performance metrics, which supports proactive decision-making. These empirical evidence shows that automation contributes not only to operational efficiency but also to institutional credibility and service quality perception.</w:t>
      </w:r>
      <w:r w:rsidRPr="000C0C53">
        <w:rPr>
          <w:rFonts w:ascii="Times New Roman" w:eastAsia="Calibri" w:hAnsi="Times New Roman" w:cs="Times New Roman"/>
          <w:kern w:val="0"/>
          <w:lang/>
          <w14:ligatures w14:val="none"/>
        </w:rPr>
        <w:br/>
        <w:t>In advanced economies, process automation is a defining feature of digital university service models. Well-funded open and distance learning institutions use integrated digital systems, cloud technology, and reliable internet networks to provide academic and administrative services around the clock. Through automated platforms, students can register for courses, access their academic records, submit assignments, and receive feedback without needing to visit the campus physically. However, in Nigeria, the adoption of process automation is still at an early stage. Limited digital infrastructure, unstable electricity supply, and weak internet connectivity often slow down system performance and reduce the reliability of automated services. As a result, many institutions continue to rely on manual processes alongside digital platforms, which affects service efficiency and student experience.</w:t>
      </w:r>
    </w:p>
    <w:p w14:paraId="2862D02F"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b/>
          <w:bCs/>
          <w:kern w:val="0"/>
          <w:lang/>
          <w14:ligatures w14:val="none"/>
        </w:rPr>
        <w:t>Data-Driven Personalized Learning</w:t>
      </w:r>
    </w:p>
    <w:p w14:paraId="71D973DD"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Data-driven personalized Learning refers to the use of learner data which may include academic performance, engagement patterns and assessment results to tailor educational content, instructional strategies, and support services to the individual needs, pace, and preferences of each student (Liu et al., 2017; Mashile et al., 2023). This dimension of digital service innovation transforms raw data into actionable data points to enable the customization of learning pathways, the provision of targeted interventions, and the proactive enhancement of the student experience (Mashile et al., 2023).</w:t>
      </w:r>
    </w:p>
    <w:p w14:paraId="3E3EC87E"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According to Pardo et al. (2019) students learning analytics which is a core component of this DSI, allow institutions to shift from reactive to proactive support, identify low performing students before they disengage. Similarly, Daniel (2019) argued that data-driven learning systems can diagnose knowledge gaps in real-time and serve curated resources to personalize the instructional process at scale. However, critical voices caution against this technology determinism. Selwyn (2019) and Williamson (2017) warned of the ethical and practical challenges which include data privacy concerns, algorithmic bias that may reinforce inequalities, and the risk of reducing education to a narrowly defined set of quantifiable metrics, potentially undermining broader pedagogical goals.</w:t>
      </w:r>
    </w:p>
    <w:p w14:paraId="099E502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kern w:val="0"/>
          <w:lang/>
          <w14:ligatures w14:val="none"/>
        </w:rPr>
        <w:t xml:space="preserve">In advanced economies with mature digital education ecosystems, such as Canada, data-driven personalization is increasingly sophisticated. Institutions leverage integrated data warehouses, robust learning analytics platforms, and AI to provide nuanced support. For example, predictive models can trigger personalized academic advising sessions, while adaptive courseware adjusts difficulty based on continuous assessment. This is supported by strong data governance frameworks, widespread digital literacy, and reliable infrastructure, allowing innovation to focus on enhancing pedagogical depth and equity of outcomes (Ferguson et al., 2019). Conversely, in the Nigerian ODL context, implementation faces some constraints. While the aspiration for personalized learning exists, challenges such as fragmented data systems, limited bandwidth and </w:t>
      </w:r>
      <w:r w:rsidRPr="000C0C53">
        <w:rPr>
          <w:rFonts w:ascii="Times New Roman" w:eastAsia="Calibri" w:hAnsi="Times New Roman" w:cs="Times New Roman"/>
          <w:kern w:val="0"/>
          <w:lang/>
          <w14:ligatures w14:val="none"/>
        </w:rPr>
        <w:lastRenderedPageBreak/>
        <w:t>unstable electricity are still common within the campuses. Personalized interventions often rely on simpler, manual methods, and the full potential of data-driven innovation is hindered. This creates a significant gap between the conceptual promise of hyper-personalized digital education and the on-ground reality of scalable implementation.</w:t>
      </w:r>
      <w:r w:rsidRPr="000C0C53">
        <w:rPr>
          <w:rFonts w:ascii="Times New Roman" w:eastAsia="Calibri" w:hAnsi="Times New Roman" w:cs="Times New Roman"/>
          <w:kern w:val="0"/>
          <w:lang/>
          <w14:ligatures w14:val="none"/>
        </w:rPr>
        <w:br/>
      </w:r>
    </w:p>
    <w:p w14:paraId="1974F156"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b/>
          <w:bCs/>
          <w:kern w:val="0"/>
          <w:lang/>
          <w14:ligatures w14:val="none"/>
        </w:rPr>
        <w:t>Theoretical Framework</w:t>
      </w:r>
    </w:p>
    <w:p w14:paraId="365B209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This study is anchored on Service-Dominant Logic, which provides a useful perspective for understanding the relationship between digital service innovation and service delivery effectiveness in open and distance learning universities. The theory which was developed by Vargo and Lusch (2008), shifts attention away from traditional product-centered thinking toward a service-oriented view of value creation. It explains that value does not exist automatically in what an institution provides. Instead, value emerges when users apply what they receive through experience, interaction, and personal use. Universities therefore do not deliver value directly. They offer service propositions that only become meaningful when students engage with digital platforms, academic resources, and institutional support systems.</w:t>
      </w:r>
      <w:r w:rsidRPr="000C0C53">
        <w:rPr>
          <w:rFonts w:ascii="Times New Roman" w:eastAsia="Calibri" w:hAnsi="Times New Roman" w:cs="Times New Roman"/>
          <w:kern w:val="0"/>
          <w:lang/>
          <w14:ligatures w14:val="none"/>
        </w:rPr>
        <w:br/>
        <w:t>The theory also offers a lens for understanding of service delivery effectiveness. Effectiveness is not only about system availability or speed of service. It also relates to how well institutional systems help students achieve meaningful learning outcomes and positive service experiences. From this perspective, effective service delivery in open and distance learning should be reflected in improved student satisfaction, engagement, perceived service quality, and reduced barriers in academic and administrative processes.</w:t>
      </w:r>
    </w:p>
    <w:p w14:paraId="60FD60F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The framework further explains how digital service innovation influences service outcomes. A functional Learning Management System provides the main digital space where teaching, learning, and interaction take place. It connects students, instructors, and learning materials in a structured environment. Process Automation reduces delays in registration, assessment handling, and student support services, allowing both staff and students to focus more on academic activities rather than administrative procedures. Data-Driven Personalization supports tailored learning experiences by using student data to identify learning needs, predict academic risks, and provide targeted academic support. </w:t>
      </w:r>
    </w:p>
    <w:p w14:paraId="737D10EF"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b/>
          <w:bCs/>
          <w:kern w:val="0"/>
          <w:lang/>
          <w14:ligatures w14:val="none"/>
        </w:rPr>
        <w:t>Empirical Review</w:t>
      </w:r>
    </w:p>
    <w:p w14:paraId="1FFF85AE"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Riyath and Rijah (2022) examined the factors influencing educators’ adoption of learning management systems in Advanced Technological Institutes implementing open and distance learning programmes. The study applied an extended Technology Acceptance Model and employed Partial Least Squares Structural Equation Modelling on survey data collected from academic staff. The findings indicated that perceived self-efficacy and job relevance significantly influenced both perceived usefulness and perceived ease of use of LMS platforms. These perceptions subsequently shaped educators’ attitudes, which in turn determined behavioural intention and actual system usage. The study suggested that digital service innovation through LMS deployment contributes to service delivery effectiveness when institutions provide adequate training, align platform features with instructional tasks, and maintain high system reliability.</w:t>
      </w:r>
    </w:p>
    <w:p w14:paraId="28B82A9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lastRenderedPageBreak/>
        <w:t>Alzahrani and Seth (2021) investigated the determinants of students’ satisfaction with continued LMS usage during the COVID-19 transition to fully online learning. Using a combined framework based on social cognitive theory, expectation confirmation theory, and the information systems success model, the authors analyzed survey responses from 181 university students. The results showed that information quality and self-efficacy had significant positive effects on student satisfaction, while service quality did not exert a direct influence under emergency remote learning conditions. In addition, students’ outcome expectations were shaped more by prior experience and social influence than by satisfaction alone. These findings indicate that LMS-based digital service innovation that prioritizes content clarity, instructional relevance, and user competence may be more critical to service delivery effectiveness in crisis-driven online learning environments than traditional service quality attributes.</w:t>
      </w:r>
    </w:p>
    <w:p w14:paraId="3C45EC05"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Alam et al. (2021) developed and tested a comprehensive e-learning service performance framework using data from 397 LMS users across five public universities that had expanded online learning delivery. The study employed Partial Least Squares analysis to examine the relationships between system quality, information quality, learner quality, instructor quality, and institutional quality. The results revealed that these factors jointly explained a substantial proportion of variance in perceived usefulness and actual LMS usage. Furthermore, perceived usefulness and system usage together accounted for a large share of the variation in students’ academic performance and learning outcomes. The findings shows that high-quality LMS implementation strengthens instructional effectiveness and institutional service performance, reinforcing the role of digital service innovation as a central driver of sustainable service delivery effectiveness in distance education settings.</w:t>
      </w:r>
    </w:p>
    <w:p w14:paraId="617C528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Habib et al. (2020) examined the impact of institution-wide process automation at City University of Science and Information Technology in Pakistan using a mixed-methods case study approach. The university implemented integrated Management Information Systems and Learning Management Systems to automate admissions, fee processing, academic reporting, digital libraries, and student support services. The findings showed that automation reduced manual paperwork, improved data security, and strengthened coordination across academic and administrative units. Students benefited from continuous access to learning resources and academic records, which improved transparency and service responsiveness.</w:t>
      </w:r>
      <w:r w:rsidRPr="000C0C53">
        <w:rPr>
          <w:rFonts w:ascii="Times New Roman" w:eastAsia="Calibri" w:hAnsi="Times New Roman" w:cs="Times New Roman"/>
          <w:kern w:val="0"/>
          <w:lang/>
          <w14:ligatures w14:val="none"/>
        </w:rPr>
        <w:br/>
        <w:t>Martins et al. (2019) evaluated the role of Education Management Information Systems as automated service platforms in higher education institutions. Using an information systems success model, the study found that system quality, information quality, and service quality significantly influenced student satisfaction and continued system use. These factors also predicted perceived benefits such as improved access to academic information, efficient service interaction, and better academic planning. The findings suggest that effective automation of academic and administrative processes enhances service delivery effectiveness, particularly in open and distance learning environments that serve large and geographically dispersed student populations.</w:t>
      </w:r>
      <w:r w:rsidRPr="000C0C53">
        <w:rPr>
          <w:rFonts w:ascii="Times New Roman" w:eastAsia="Calibri" w:hAnsi="Times New Roman" w:cs="Times New Roman"/>
          <w:kern w:val="0"/>
          <w:lang/>
          <w14:ligatures w14:val="none"/>
        </w:rPr>
        <w:br/>
        <w:t xml:space="preserve">Al-Zahrani and Alasmari (2023) investigated how learning analytics supports instructional personalization and student engagement in fully online university courses. Using LMS log data, the study analyzed patterns of student interaction, content access, assessment activity, and time spent on learning tasks. The findings showed that engagement indicators such as course interaction, content access, and assessment activity were strong predictors of student participation. The authors demonstrated that these analytics can be used to adjust instructional strategies and learning resources in real time. The study provides evidence that data-driven personalization </w:t>
      </w:r>
      <w:r w:rsidRPr="000C0C53">
        <w:rPr>
          <w:rFonts w:ascii="Times New Roman" w:eastAsia="Calibri" w:hAnsi="Times New Roman" w:cs="Times New Roman"/>
          <w:kern w:val="0"/>
          <w:lang/>
          <w14:ligatures w14:val="none"/>
        </w:rPr>
        <w:lastRenderedPageBreak/>
        <w:t>enhances student engagement and improves the responsiveness of digital learning services in ODL environments.</w:t>
      </w:r>
    </w:p>
    <w:p w14:paraId="7976252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Naseer et al. (2024) examined the effectiveness of an AI-driven adaptive learning platform that generated personalized learning pathways based on student performance and engagement data. In a controlled experimental study involving 300 university students, learners who used the adaptive platform achieved significantly higher academic performance and engagement levels compared to those in traditional learning settings. Student feedback also indicated improved satisfaction due to personalized content pacing and learning recommendations. The findings confirm that data-driven personalization improves learning outcomes and service experience which an indication of its relevance as a scalable digital service innovation for open and distance learning university. </w:t>
      </w:r>
    </w:p>
    <w:p w14:paraId="447B765F"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kern w:val="0"/>
          <w14:ligatures w14:val="none"/>
        </w:rPr>
      </w:pPr>
    </w:p>
    <w:p w14:paraId="4F78FF71" w14:textId="77777777" w:rsidR="000C0C53" w:rsidRPr="000C0C53" w:rsidRDefault="000C0C53" w:rsidP="000C0C53">
      <w:pPr>
        <w:spacing w:before="100" w:beforeAutospacing="1" w:after="100" w:afterAutospacing="1" w:line="240" w:lineRule="auto"/>
        <w:rPr>
          <w:rFonts w:ascii="Times New Roman" w:eastAsia="Calibri" w:hAnsi="Times New Roman" w:cs="Times New Roman"/>
          <w:b/>
          <w:bCs/>
          <w:kern w:val="0"/>
          <w:lang/>
          <w14:ligatures w14:val="none"/>
        </w:rPr>
      </w:pPr>
      <w:r w:rsidRPr="000C0C53">
        <w:rPr>
          <w:rFonts w:ascii="Times New Roman" w:eastAsia="Times New Roman" w:hAnsi="Times New Roman" w:cs="Times New Roman"/>
          <w:b/>
          <w:kern w:val="0"/>
          <w14:ligatures w14:val="none"/>
        </w:rPr>
        <w:t xml:space="preserve">Methodology </w:t>
      </w:r>
    </w:p>
    <w:p w14:paraId="6FEC5F39"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This study examines the effect of digital service innovation on service delivery effectiveness in open and distance learning universities using a cross-sectional survey research design. The cross-sectional approach was considered appropriate because it enables the collection of data from a large population at a single point in time and supports the empirical examination of relationships among study variables. The target population comprised undergraduate and postgraduate students of the National Open University of Nigeria (NOUN), as the institution represents the largest and most structured ODL system in Nigeria.</w:t>
      </w:r>
    </w:p>
    <w:p w14:paraId="5A0E115B"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A stratified sampling technique was adopted to ensure adequate representation of students across different administrative contexts within the NOUN system. Three study centres were purposively selected as the sampling strata based on their student enrolment size, geographic distribution, and operational activity levels. These centres collectively constitute the study sample frame and have a combined student population of 11,735. When the Taro Yanne formulae for a known population were applied, 386 sample size was derived. Within each selected centre, respondents were proportionately allocated and randomly selected to minimise sampling bias and enhance the generalisability of the findings.</w:t>
      </w:r>
    </w:p>
    <w:p w14:paraId="68BCAF71"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Data were collected using a structured questionnaire designed to capture students’ perceptions of digital service innovation dimensions as well as indicators of service delivery effectiveness. The instrument employed a Likert-scale format to ensure consistency and comparability of responses. Inferential statistical techniques were used for data analysis, with regression analysis applied to examine the significance of the relationship between digital service innovation and service delivery effectiveness proxies.</w:t>
      </w:r>
    </w:p>
    <w:p w14:paraId="29A364A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14:ligatures w14:val="none"/>
        </w:rPr>
      </w:pPr>
      <w:r w:rsidRPr="000C0C53">
        <w:rPr>
          <w:rFonts w:ascii="Times New Roman" w:eastAsia="Times New Roman" w:hAnsi="Times New Roman" w:cs="Times New Roman"/>
          <w:b/>
          <w:kern w:val="0"/>
          <w14:ligatures w14:val="none"/>
        </w:rPr>
        <w:t>4.1 Data Presentation and Result Discussion</w:t>
      </w:r>
    </w:p>
    <w:p w14:paraId="7C595C5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14:ligatures w14:val="none"/>
        </w:rPr>
      </w:pPr>
      <w:r w:rsidRPr="000C0C53">
        <w:rPr>
          <w:rFonts w:ascii="Times New Roman" w:eastAsia="Calibri" w:hAnsi="Times New Roman" w:cs="Times New Roman"/>
          <w:color w:val="0F1115"/>
          <w:kern w:val="0"/>
          <w:shd w:val="clear" w:color="auto" w:fill="FFFFFF"/>
          <w:lang w:val="en-GB"/>
          <w14:ligatures w14:val="none"/>
        </w:rPr>
        <w:t xml:space="preserve">A total of 386 questionnaires were distributed across the three study centres in Abuja. From this distribution, 341 copies were retrieved which is a response rate of 88.3%. After thorough screening for completeness and consistency, 322 questionnaires were deemed suitable for analysis which represent 94.4% of the retrieved copies and 83.4 percent of the total distributed. The demographic characteristics of these 322 valid respondents are presented in Table 4.1 as shown below. </w:t>
      </w:r>
    </w:p>
    <w:p w14:paraId="0B396C1A"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14:ligatures w14:val="none"/>
        </w:rPr>
      </w:pPr>
      <w:r w:rsidRPr="000C0C53">
        <w:rPr>
          <w:rFonts w:ascii="Times New Roman" w:eastAsia="Times New Roman" w:hAnsi="Times New Roman" w:cs="Times New Roman"/>
          <w:b/>
          <w:kern w:val="0"/>
          <w14:ligatures w14:val="none"/>
        </w:rPr>
        <w:lastRenderedPageBreak/>
        <w:t>Table 4.1: Respondents Demographic</w:t>
      </w:r>
    </w:p>
    <w:tbl>
      <w:tblPr>
        <w:tblStyle w:val="TableGrid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1255"/>
        <w:gridCol w:w="1127"/>
        <w:gridCol w:w="1544"/>
      </w:tblGrid>
      <w:tr w:rsidR="000C0C53" w:rsidRPr="000C0C53" w14:paraId="7F1DC9D9" w14:textId="77777777" w:rsidTr="00847A67">
        <w:tc>
          <w:tcPr>
            <w:tcW w:w="0" w:type="auto"/>
            <w:hideMark/>
          </w:tcPr>
          <w:p w14:paraId="34F4CEEE" w14:textId="77777777" w:rsidR="000C0C53" w:rsidRPr="000C0C53" w:rsidRDefault="000C0C53" w:rsidP="000C0C53">
            <w:pPr>
              <w:jc w:val="center"/>
              <w:rPr>
                <w:rFonts w:ascii="Times New Roman" w:eastAsia="Times New Roman" w:hAnsi="Times New Roman" w:cs="Times New Roman"/>
                <w:b/>
                <w:bCs/>
              </w:rPr>
            </w:pPr>
            <w:r w:rsidRPr="000C0C53">
              <w:rPr>
                <w:rFonts w:ascii="Times New Roman" w:eastAsia="Times New Roman" w:hAnsi="Times New Roman" w:cs="Times New Roman"/>
                <w:b/>
                <w:bCs/>
              </w:rPr>
              <w:t>Variable</w:t>
            </w:r>
          </w:p>
        </w:tc>
        <w:tc>
          <w:tcPr>
            <w:tcW w:w="0" w:type="auto"/>
            <w:hideMark/>
          </w:tcPr>
          <w:p w14:paraId="2EB33DC1" w14:textId="77777777" w:rsidR="000C0C53" w:rsidRPr="000C0C53" w:rsidRDefault="000C0C53" w:rsidP="000C0C53">
            <w:pPr>
              <w:jc w:val="center"/>
              <w:rPr>
                <w:rFonts w:ascii="Times New Roman" w:eastAsia="Times New Roman" w:hAnsi="Times New Roman" w:cs="Times New Roman"/>
                <w:b/>
                <w:bCs/>
              </w:rPr>
            </w:pPr>
            <w:r w:rsidRPr="000C0C53">
              <w:rPr>
                <w:rFonts w:ascii="Times New Roman" w:eastAsia="Times New Roman" w:hAnsi="Times New Roman" w:cs="Times New Roman"/>
                <w:b/>
                <w:bCs/>
              </w:rPr>
              <w:t>Category</w:t>
            </w:r>
          </w:p>
        </w:tc>
        <w:tc>
          <w:tcPr>
            <w:tcW w:w="0" w:type="auto"/>
            <w:hideMark/>
          </w:tcPr>
          <w:p w14:paraId="2D54DEEB" w14:textId="77777777" w:rsidR="000C0C53" w:rsidRPr="000C0C53" w:rsidRDefault="000C0C53" w:rsidP="000C0C53">
            <w:pPr>
              <w:jc w:val="center"/>
              <w:rPr>
                <w:rFonts w:ascii="Times New Roman" w:eastAsia="Times New Roman" w:hAnsi="Times New Roman" w:cs="Times New Roman"/>
                <w:b/>
                <w:bCs/>
              </w:rPr>
            </w:pPr>
            <w:r w:rsidRPr="000C0C53">
              <w:rPr>
                <w:rFonts w:ascii="Times New Roman" w:eastAsia="Times New Roman" w:hAnsi="Times New Roman" w:cs="Times New Roman"/>
                <w:b/>
                <w:bCs/>
              </w:rPr>
              <w:t>Frequency</w:t>
            </w:r>
          </w:p>
        </w:tc>
        <w:tc>
          <w:tcPr>
            <w:tcW w:w="0" w:type="auto"/>
            <w:hideMark/>
          </w:tcPr>
          <w:p w14:paraId="2BF8B3FD" w14:textId="77777777" w:rsidR="000C0C53" w:rsidRPr="000C0C53" w:rsidRDefault="000C0C53" w:rsidP="000C0C53">
            <w:pPr>
              <w:jc w:val="center"/>
              <w:rPr>
                <w:rFonts w:ascii="Times New Roman" w:eastAsia="Times New Roman" w:hAnsi="Times New Roman" w:cs="Times New Roman"/>
                <w:b/>
                <w:bCs/>
              </w:rPr>
            </w:pPr>
            <w:r w:rsidRPr="000C0C53">
              <w:rPr>
                <w:rFonts w:ascii="Times New Roman" w:eastAsia="Times New Roman" w:hAnsi="Times New Roman" w:cs="Times New Roman"/>
                <w:b/>
                <w:bCs/>
              </w:rPr>
              <w:t>Percentage (%)</w:t>
            </w:r>
          </w:p>
        </w:tc>
      </w:tr>
      <w:tr w:rsidR="000C0C53" w:rsidRPr="000C0C53" w14:paraId="1D28E607" w14:textId="77777777" w:rsidTr="00847A67">
        <w:tc>
          <w:tcPr>
            <w:tcW w:w="0" w:type="auto"/>
            <w:hideMark/>
          </w:tcPr>
          <w:p w14:paraId="34D57AFA"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bCs/>
              </w:rPr>
              <w:t>Gender</w:t>
            </w:r>
          </w:p>
        </w:tc>
        <w:tc>
          <w:tcPr>
            <w:tcW w:w="0" w:type="auto"/>
            <w:hideMark/>
          </w:tcPr>
          <w:p w14:paraId="7CDB8715"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Female</w:t>
            </w:r>
          </w:p>
        </w:tc>
        <w:tc>
          <w:tcPr>
            <w:tcW w:w="0" w:type="auto"/>
            <w:hideMark/>
          </w:tcPr>
          <w:p w14:paraId="0CDA2EA9"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200</w:t>
            </w:r>
          </w:p>
        </w:tc>
        <w:tc>
          <w:tcPr>
            <w:tcW w:w="0" w:type="auto"/>
            <w:hideMark/>
          </w:tcPr>
          <w:p w14:paraId="293CD0F4"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62.1</w:t>
            </w:r>
          </w:p>
        </w:tc>
      </w:tr>
      <w:tr w:rsidR="000C0C53" w:rsidRPr="000C0C53" w14:paraId="39CAD36B" w14:textId="77777777" w:rsidTr="00847A67">
        <w:tc>
          <w:tcPr>
            <w:tcW w:w="0" w:type="auto"/>
            <w:hideMark/>
          </w:tcPr>
          <w:p w14:paraId="450D55A9" w14:textId="77777777" w:rsidR="000C0C53" w:rsidRPr="000C0C53" w:rsidRDefault="000C0C53" w:rsidP="000C0C53">
            <w:pPr>
              <w:rPr>
                <w:rFonts w:ascii="Times New Roman" w:eastAsia="Times New Roman" w:hAnsi="Times New Roman" w:cs="Times New Roman"/>
              </w:rPr>
            </w:pPr>
          </w:p>
        </w:tc>
        <w:tc>
          <w:tcPr>
            <w:tcW w:w="0" w:type="auto"/>
            <w:hideMark/>
          </w:tcPr>
          <w:p w14:paraId="2B9C1A4C"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Male</w:t>
            </w:r>
          </w:p>
        </w:tc>
        <w:tc>
          <w:tcPr>
            <w:tcW w:w="0" w:type="auto"/>
            <w:hideMark/>
          </w:tcPr>
          <w:p w14:paraId="1EA9B0A6"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122</w:t>
            </w:r>
          </w:p>
        </w:tc>
        <w:tc>
          <w:tcPr>
            <w:tcW w:w="0" w:type="auto"/>
            <w:hideMark/>
          </w:tcPr>
          <w:p w14:paraId="6EEA9E61"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37.9</w:t>
            </w:r>
          </w:p>
        </w:tc>
      </w:tr>
      <w:tr w:rsidR="000C0C53" w:rsidRPr="000C0C53" w14:paraId="171BB4FB" w14:textId="77777777" w:rsidTr="00847A67">
        <w:tc>
          <w:tcPr>
            <w:tcW w:w="0" w:type="auto"/>
            <w:hideMark/>
          </w:tcPr>
          <w:p w14:paraId="351D842B"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bCs/>
              </w:rPr>
              <w:t>Marital Status</w:t>
            </w:r>
          </w:p>
        </w:tc>
        <w:tc>
          <w:tcPr>
            <w:tcW w:w="0" w:type="auto"/>
            <w:hideMark/>
          </w:tcPr>
          <w:p w14:paraId="4864265C"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Married</w:t>
            </w:r>
          </w:p>
        </w:tc>
        <w:tc>
          <w:tcPr>
            <w:tcW w:w="0" w:type="auto"/>
            <w:hideMark/>
          </w:tcPr>
          <w:p w14:paraId="45206EDD"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137</w:t>
            </w:r>
          </w:p>
        </w:tc>
        <w:tc>
          <w:tcPr>
            <w:tcW w:w="0" w:type="auto"/>
            <w:hideMark/>
          </w:tcPr>
          <w:p w14:paraId="0849ED27"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42.5</w:t>
            </w:r>
          </w:p>
        </w:tc>
      </w:tr>
      <w:tr w:rsidR="000C0C53" w:rsidRPr="000C0C53" w14:paraId="0317875E" w14:textId="77777777" w:rsidTr="00847A67">
        <w:tc>
          <w:tcPr>
            <w:tcW w:w="0" w:type="auto"/>
            <w:hideMark/>
          </w:tcPr>
          <w:p w14:paraId="1CFAC36C" w14:textId="77777777" w:rsidR="000C0C53" w:rsidRPr="000C0C53" w:rsidRDefault="000C0C53" w:rsidP="000C0C53">
            <w:pPr>
              <w:rPr>
                <w:rFonts w:ascii="Times New Roman" w:eastAsia="Times New Roman" w:hAnsi="Times New Roman" w:cs="Times New Roman"/>
              </w:rPr>
            </w:pPr>
          </w:p>
        </w:tc>
        <w:tc>
          <w:tcPr>
            <w:tcW w:w="0" w:type="auto"/>
            <w:hideMark/>
          </w:tcPr>
          <w:p w14:paraId="5B27CF96"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Single</w:t>
            </w:r>
          </w:p>
        </w:tc>
        <w:tc>
          <w:tcPr>
            <w:tcW w:w="0" w:type="auto"/>
            <w:hideMark/>
          </w:tcPr>
          <w:p w14:paraId="2153A707"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159</w:t>
            </w:r>
          </w:p>
        </w:tc>
        <w:tc>
          <w:tcPr>
            <w:tcW w:w="0" w:type="auto"/>
            <w:hideMark/>
          </w:tcPr>
          <w:p w14:paraId="213B82D9"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49.4</w:t>
            </w:r>
          </w:p>
        </w:tc>
      </w:tr>
      <w:tr w:rsidR="000C0C53" w:rsidRPr="000C0C53" w14:paraId="69653948" w14:textId="77777777" w:rsidTr="00847A67">
        <w:tc>
          <w:tcPr>
            <w:tcW w:w="0" w:type="auto"/>
            <w:hideMark/>
          </w:tcPr>
          <w:p w14:paraId="38B0CE08" w14:textId="77777777" w:rsidR="000C0C53" w:rsidRPr="000C0C53" w:rsidRDefault="000C0C53" w:rsidP="000C0C53">
            <w:pPr>
              <w:rPr>
                <w:rFonts w:ascii="Times New Roman" w:eastAsia="Times New Roman" w:hAnsi="Times New Roman" w:cs="Times New Roman"/>
              </w:rPr>
            </w:pPr>
          </w:p>
        </w:tc>
        <w:tc>
          <w:tcPr>
            <w:tcW w:w="0" w:type="auto"/>
            <w:hideMark/>
          </w:tcPr>
          <w:p w14:paraId="71DCDB2D"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Separated</w:t>
            </w:r>
          </w:p>
        </w:tc>
        <w:tc>
          <w:tcPr>
            <w:tcW w:w="0" w:type="auto"/>
            <w:hideMark/>
          </w:tcPr>
          <w:p w14:paraId="40D14F20"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26</w:t>
            </w:r>
          </w:p>
        </w:tc>
        <w:tc>
          <w:tcPr>
            <w:tcW w:w="0" w:type="auto"/>
            <w:hideMark/>
          </w:tcPr>
          <w:p w14:paraId="38D5492E"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8.1</w:t>
            </w:r>
          </w:p>
        </w:tc>
      </w:tr>
      <w:tr w:rsidR="000C0C53" w:rsidRPr="000C0C53" w14:paraId="45D61C3A" w14:textId="77777777" w:rsidTr="00847A67">
        <w:tc>
          <w:tcPr>
            <w:tcW w:w="0" w:type="auto"/>
            <w:hideMark/>
          </w:tcPr>
          <w:p w14:paraId="6B537B9C"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bCs/>
              </w:rPr>
              <w:t>Study Centre</w:t>
            </w:r>
          </w:p>
        </w:tc>
        <w:tc>
          <w:tcPr>
            <w:tcW w:w="0" w:type="auto"/>
            <w:hideMark/>
          </w:tcPr>
          <w:p w14:paraId="7CBA048E"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Dei-Dei</w:t>
            </w:r>
          </w:p>
        </w:tc>
        <w:tc>
          <w:tcPr>
            <w:tcW w:w="0" w:type="auto"/>
            <w:hideMark/>
          </w:tcPr>
          <w:p w14:paraId="074DC994"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109</w:t>
            </w:r>
          </w:p>
        </w:tc>
        <w:tc>
          <w:tcPr>
            <w:tcW w:w="0" w:type="auto"/>
            <w:hideMark/>
          </w:tcPr>
          <w:p w14:paraId="4E3AEE55"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33.9</w:t>
            </w:r>
          </w:p>
        </w:tc>
      </w:tr>
      <w:tr w:rsidR="000C0C53" w:rsidRPr="000C0C53" w14:paraId="1D9FD4DB" w14:textId="77777777" w:rsidTr="00847A67">
        <w:tc>
          <w:tcPr>
            <w:tcW w:w="0" w:type="auto"/>
            <w:hideMark/>
          </w:tcPr>
          <w:p w14:paraId="4205C5BF" w14:textId="77777777" w:rsidR="000C0C53" w:rsidRPr="000C0C53" w:rsidRDefault="000C0C53" w:rsidP="000C0C53">
            <w:pPr>
              <w:rPr>
                <w:rFonts w:ascii="Times New Roman" w:eastAsia="Times New Roman" w:hAnsi="Times New Roman" w:cs="Times New Roman"/>
              </w:rPr>
            </w:pPr>
          </w:p>
        </w:tc>
        <w:tc>
          <w:tcPr>
            <w:tcW w:w="0" w:type="auto"/>
            <w:hideMark/>
          </w:tcPr>
          <w:p w14:paraId="728000B5" w14:textId="77777777" w:rsidR="000C0C53" w:rsidRPr="000C0C53" w:rsidRDefault="000C0C53" w:rsidP="000C0C53">
            <w:pPr>
              <w:rPr>
                <w:rFonts w:ascii="Times New Roman" w:eastAsia="Times New Roman" w:hAnsi="Times New Roman" w:cs="Times New Roman"/>
              </w:rPr>
            </w:pPr>
            <w:proofErr w:type="spellStart"/>
            <w:r w:rsidRPr="000C0C53">
              <w:rPr>
                <w:rFonts w:ascii="Times New Roman" w:eastAsia="Times New Roman" w:hAnsi="Times New Roman" w:cs="Times New Roman"/>
              </w:rPr>
              <w:t>Wuse</w:t>
            </w:r>
            <w:proofErr w:type="spellEnd"/>
          </w:p>
        </w:tc>
        <w:tc>
          <w:tcPr>
            <w:tcW w:w="0" w:type="auto"/>
            <w:hideMark/>
          </w:tcPr>
          <w:p w14:paraId="33A8152B"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17</w:t>
            </w:r>
          </w:p>
        </w:tc>
        <w:tc>
          <w:tcPr>
            <w:tcW w:w="0" w:type="auto"/>
            <w:hideMark/>
          </w:tcPr>
          <w:p w14:paraId="5240DE5F"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5.3</w:t>
            </w:r>
          </w:p>
        </w:tc>
      </w:tr>
      <w:tr w:rsidR="000C0C53" w:rsidRPr="000C0C53" w14:paraId="725AE2BA" w14:textId="77777777" w:rsidTr="00847A67">
        <w:tc>
          <w:tcPr>
            <w:tcW w:w="0" w:type="auto"/>
            <w:hideMark/>
          </w:tcPr>
          <w:p w14:paraId="17B59015" w14:textId="77777777" w:rsidR="000C0C53" w:rsidRPr="000C0C53" w:rsidRDefault="000C0C53" w:rsidP="000C0C53">
            <w:pPr>
              <w:rPr>
                <w:rFonts w:ascii="Times New Roman" w:eastAsia="Times New Roman" w:hAnsi="Times New Roman" w:cs="Times New Roman"/>
              </w:rPr>
            </w:pPr>
          </w:p>
        </w:tc>
        <w:tc>
          <w:tcPr>
            <w:tcW w:w="0" w:type="auto"/>
            <w:hideMark/>
          </w:tcPr>
          <w:p w14:paraId="2B6523C9" w14:textId="77777777" w:rsidR="000C0C53" w:rsidRPr="000C0C53" w:rsidRDefault="000C0C53" w:rsidP="000C0C53">
            <w:pPr>
              <w:rPr>
                <w:rFonts w:ascii="Times New Roman" w:eastAsia="Times New Roman" w:hAnsi="Times New Roman" w:cs="Times New Roman"/>
              </w:rPr>
            </w:pPr>
            <w:proofErr w:type="spellStart"/>
            <w:r w:rsidRPr="000C0C53">
              <w:rPr>
                <w:rFonts w:ascii="Times New Roman" w:eastAsia="Times New Roman" w:hAnsi="Times New Roman" w:cs="Times New Roman"/>
              </w:rPr>
              <w:t>Dutse</w:t>
            </w:r>
            <w:proofErr w:type="spellEnd"/>
            <w:r w:rsidRPr="000C0C53">
              <w:rPr>
                <w:rFonts w:ascii="Times New Roman" w:eastAsia="Times New Roman" w:hAnsi="Times New Roman" w:cs="Times New Roman"/>
              </w:rPr>
              <w:t xml:space="preserve"> Model</w:t>
            </w:r>
          </w:p>
        </w:tc>
        <w:tc>
          <w:tcPr>
            <w:tcW w:w="0" w:type="auto"/>
            <w:hideMark/>
          </w:tcPr>
          <w:p w14:paraId="621AABA9"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196</w:t>
            </w:r>
          </w:p>
        </w:tc>
        <w:tc>
          <w:tcPr>
            <w:tcW w:w="0" w:type="auto"/>
            <w:hideMark/>
          </w:tcPr>
          <w:p w14:paraId="343863D6"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rPr>
              <w:t>60.9</w:t>
            </w:r>
          </w:p>
        </w:tc>
      </w:tr>
      <w:tr w:rsidR="000C0C53" w:rsidRPr="000C0C53" w14:paraId="60F7AAC2" w14:textId="77777777" w:rsidTr="00847A67">
        <w:tc>
          <w:tcPr>
            <w:tcW w:w="0" w:type="auto"/>
            <w:hideMark/>
          </w:tcPr>
          <w:p w14:paraId="23B8FF8B" w14:textId="77777777" w:rsidR="000C0C53" w:rsidRPr="000C0C53" w:rsidRDefault="000C0C53" w:rsidP="000C0C53">
            <w:pPr>
              <w:rPr>
                <w:rFonts w:ascii="Times New Roman" w:eastAsia="Times New Roman" w:hAnsi="Times New Roman" w:cs="Times New Roman"/>
              </w:rPr>
            </w:pPr>
          </w:p>
        </w:tc>
        <w:tc>
          <w:tcPr>
            <w:tcW w:w="0" w:type="auto"/>
            <w:hideMark/>
          </w:tcPr>
          <w:p w14:paraId="0B3048A6"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b/>
                <w:bCs/>
              </w:rPr>
              <w:t>Total</w:t>
            </w:r>
          </w:p>
        </w:tc>
        <w:tc>
          <w:tcPr>
            <w:tcW w:w="0" w:type="auto"/>
            <w:hideMark/>
          </w:tcPr>
          <w:p w14:paraId="565FB0EA"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b/>
                <w:bCs/>
              </w:rPr>
              <w:t>322</w:t>
            </w:r>
          </w:p>
        </w:tc>
        <w:tc>
          <w:tcPr>
            <w:tcW w:w="0" w:type="auto"/>
            <w:hideMark/>
          </w:tcPr>
          <w:p w14:paraId="3012EC15" w14:textId="77777777" w:rsidR="000C0C53" w:rsidRPr="000C0C53" w:rsidRDefault="000C0C53" w:rsidP="000C0C53">
            <w:pPr>
              <w:rPr>
                <w:rFonts w:ascii="Times New Roman" w:eastAsia="Times New Roman" w:hAnsi="Times New Roman" w:cs="Times New Roman"/>
              </w:rPr>
            </w:pPr>
            <w:r w:rsidRPr="000C0C53">
              <w:rPr>
                <w:rFonts w:ascii="Times New Roman" w:eastAsia="Times New Roman" w:hAnsi="Times New Roman" w:cs="Times New Roman"/>
                <w:b/>
                <w:bCs/>
              </w:rPr>
              <w:t>100.0</w:t>
            </w:r>
          </w:p>
        </w:tc>
      </w:tr>
    </w:tbl>
    <w:p w14:paraId="185EB91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b/>
          <w:bCs/>
          <w:kern w:val="0"/>
          <w14:ligatures w14:val="none"/>
        </w:rPr>
        <w:t>Source:</w:t>
      </w:r>
      <w:r w:rsidRPr="000C0C53">
        <w:rPr>
          <w:rFonts w:ascii="Times New Roman" w:eastAsia="Times New Roman" w:hAnsi="Times New Roman" w:cs="Times New Roman"/>
          <w:kern w:val="0"/>
          <w14:ligatures w14:val="none"/>
        </w:rPr>
        <w:t xml:space="preserve"> Author, 2026</w:t>
      </w:r>
    </w:p>
    <w:p w14:paraId="04F0187B"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The demographic profile presented in Table 4.1 shows that females constitute 62.1%, while males account for 37.9%. This distribution confirms the growing trend of female dominance in student enrolment within Nigerian higher education, reflecting wider improvements in female participation and access to tertiary education. With respect to marital status, single respondents constitute 49.4%, followed by married respondents at 42.5%, while those separated from their spouse represent 8.1% respondents. These statistics show a heterogeneous student population which spans different life stages. The distribution across study centres shows the Dutse Model Centre accounted for the highest proportion of respondents (60.9%) due to its enhanced facilities resembling a conventional university campus capable of accommodating larger student populations, followed by the Dei-Dei Centre (33.9%) and the Wuse Centre (5.3%). </w:t>
      </w:r>
    </w:p>
    <w:p w14:paraId="09E7C7BB"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b/>
          <w:bCs/>
          <w:kern w:val="0"/>
          <w:lang/>
          <w14:ligatures w14:val="none"/>
        </w:rPr>
        <w:t>4.2 Inferential Analysis</w:t>
      </w:r>
    </w:p>
    <w:p w14:paraId="1BE60862"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This section presents the inferential statistical procedures used to examine the relationships between the independent and the dependent variable, which was measured using student satisfaction. Prior to regression analysis, diagnostic tests were conducted to ensure the suitability of the data and the adequacy of the measurement instruments for parametric analysis. First, the reliability of the measurement scales was assessed using Cronbach’s alpha to determine the internal consistency of the items measuring each construct, and the result presented in Table 4.2 indicated that all variables exceeded the recommended threshold of 0.7 (Hair et al., 2020), meaning that the survey instrument reliably captures the constructs of interest.</w:t>
      </w:r>
    </w:p>
    <w:p w14:paraId="62DC5AF6"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color w:val="0F1115"/>
          <w:kern w:val="0"/>
          <w:shd w:val="clear" w:color="auto" w:fill="FFFFFF"/>
          <w:lang w:val="en-GB"/>
          <w14:ligatures w14:val="none"/>
        </w:rPr>
      </w:pPr>
      <w:r w:rsidRPr="000C0C53">
        <w:rPr>
          <w:rFonts w:ascii="Times New Roman" w:eastAsia="Calibri" w:hAnsi="Times New Roman" w:cs="Times New Roman"/>
          <w:kern w:val="0"/>
          <w:lang/>
          <w14:ligatures w14:val="none"/>
        </w:rPr>
        <w:t>In addition, the assumption of homoscedasticity was examined to verify that the variance of residuals remains constant across levels of the independent variables. Homoscedasticity is a core assumption of regression; violation of this assumption can produce inefficient parameter estimates and misleading standard errors. Checks were conducted to ensure the data met other regression assumptions, including linearity and independence of errors. The results, presented in Table 4.3, indicate that the null hypothesis of homoscedasticity cannot be rejected across all tests conducted. The Breusch-Pagan test (LM = 5.272, p = 0.384), White test (LM = 17.085, p = 0.647), and Goldfeld-Quandt test (GQ = 1.003, p = 0.961) all confirm that residual variance remains constant to validate the appropriateness of regression for this study.</w:t>
      </w:r>
      <w:r w:rsidRPr="000C0C53">
        <w:rPr>
          <w:rFonts w:ascii="Times New Roman" w:eastAsia="Calibri" w:hAnsi="Times New Roman" w:cs="Times New Roman"/>
          <w:kern w:val="0"/>
          <w:lang/>
          <w14:ligatures w14:val="none"/>
        </w:rPr>
        <w:br/>
      </w:r>
      <w:r w:rsidRPr="000C0C53">
        <w:rPr>
          <w:rFonts w:ascii="Times New Roman" w:eastAsia="Calibri" w:hAnsi="Times New Roman" w:cs="Times New Roman"/>
          <w:kern w:val="0"/>
          <w:lang/>
          <w14:ligatures w14:val="none"/>
        </w:rPr>
        <w:br/>
      </w:r>
      <w:r w:rsidRPr="000C0C53">
        <w:rPr>
          <w:rFonts w:ascii="Times New Roman" w:eastAsia="Times New Roman" w:hAnsi="Times New Roman" w:cs="Times New Roman"/>
          <w:b/>
          <w:kern w:val="0"/>
          <w14:ligatures w14:val="none"/>
        </w:rPr>
        <w:t>4.2 Diagnostics Test</w:t>
      </w:r>
    </w:p>
    <w:p w14:paraId="3A9A7485" w14:textId="77777777" w:rsidR="000C0C53" w:rsidRPr="000C0C53" w:rsidRDefault="000C0C53" w:rsidP="000C0C53">
      <w:pPr>
        <w:shd w:val="clear" w:color="auto" w:fill="FFFFFF"/>
        <w:spacing w:before="100" w:beforeAutospacing="1" w:after="0" w:line="240" w:lineRule="auto"/>
        <w:rPr>
          <w:rFonts w:ascii="Times New Roman" w:eastAsia="Times New Roman" w:hAnsi="Times New Roman" w:cs="Times New Roman"/>
          <w:b/>
          <w:color w:val="0F1115"/>
          <w:kern w:val="0"/>
          <w14:ligatures w14:val="none"/>
        </w:rPr>
      </w:pPr>
      <w:r w:rsidRPr="000C0C53">
        <w:rPr>
          <w:rFonts w:ascii="Times New Roman" w:eastAsia="Times New Roman" w:hAnsi="Times New Roman" w:cs="Times New Roman"/>
          <w:b/>
          <w:bCs/>
          <w:color w:val="0F1115"/>
          <w:kern w:val="0"/>
          <w14:ligatures w14:val="none"/>
        </w:rPr>
        <w:lastRenderedPageBreak/>
        <w:t>Table 4.2: Reliability test result</w:t>
      </w:r>
    </w:p>
    <w:tbl>
      <w:tblPr>
        <w:tblStyle w:val="TableGrid9"/>
        <w:tblW w:w="0" w:type="auto"/>
        <w:tblLook w:val="04A0" w:firstRow="1" w:lastRow="0" w:firstColumn="1" w:lastColumn="0" w:noHBand="0" w:noVBand="1"/>
      </w:tblPr>
      <w:tblGrid>
        <w:gridCol w:w="2979"/>
        <w:gridCol w:w="1666"/>
      </w:tblGrid>
      <w:tr w:rsidR="000C0C53" w:rsidRPr="000C0C53" w14:paraId="42150041" w14:textId="77777777" w:rsidTr="00847A67">
        <w:tc>
          <w:tcPr>
            <w:tcW w:w="0" w:type="auto"/>
            <w:hideMark/>
          </w:tcPr>
          <w:p w14:paraId="5274F466" w14:textId="77777777" w:rsidR="000C0C53" w:rsidRPr="000C0C53" w:rsidRDefault="000C0C53" w:rsidP="000C0C53">
            <w:pPr>
              <w:jc w:val="center"/>
              <w:rPr>
                <w:rFonts w:eastAsia="Times New Roman"/>
                <w:b/>
                <w:bCs/>
              </w:rPr>
            </w:pPr>
            <w:r w:rsidRPr="000C0C53">
              <w:rPr>
                <w:rFonts w:eastAsia="Times New Roman"/>
                <w:b/>
                <w:bCs/>
              </w:rPr>
              <w:t>Construct / Scale</w:t>
            </w:r>
          </w:p>
        </w:tc>
        <w:tc>
          <w:tcPr>
            <w:tcW w:w="0" w:type="auto"/>
            <w:hideMark/>
          </w:tcPr>
          <w:p w14:paraId="6BD0BDFA" w14:textId="77777777" w:rsidR="000C0C53" w:rsidRPr="000C0C53" w:rsidRDefault="000C0C53" w:rsidP="000C0C53">
            <w:pPr>
              <w:jc w:val="center"/>
              <w:rPr>
                <w:rFonts w:eastAsia="Times New Roman"/>
                <w:b/>
                <w:bCs/>
              </w:rPr>
            </w:pPr>
            <w:r w:rsidRPr="000C0C53">
              <w:rPr>
                <w:rFonts w:eastAsia="Times New Roman"/>
                <w:b/>
                <w:bCs/>
              </w:rPr>
              <w:t>Cronbach’s Alpha</w:t>
            </w:r>
          </w:p>
        </w:tc>
      </w:tr>
      <w:tr w:rsidR="000C0C53" w:rsidRPr="000C0C53" w14:paraId="466F1FA3" w14:textId="77777777" w:rsidTr="00847A67">
        <w:tc>
          <w:tcPr>
            <w:tcW w:w="0" w:type="auto"/>
            <w:hideMark/>
          </w:tcPr>
          <w:p w14:paraId="3AB78EC3" w14:textId="77777777" w:rsidR="000C0C53" w:rsidRPr="000C0C53" w:rsidRDefault="000C0C53" w:rsidP="000C0C53">
            <w:pPr>
              <w:rPr>
                <w:rFonts w:eastAsia="Times New Roman"/>
              </w:rPr>
            </w:pPr>
            <w:r w:rsidRPr="000C0C53">
              <w:rPr>
                <w:rFonts w:eastAsia="Times New Roman"/>
              </w:rPr>
              <w:t>Learning management system</w:t>
            </w:r>
          </w:p>
        </w:tc>
        <w:tc>
          <w:tcPr>
            <w:tcW w:w="0" w:type="auto"/>
            <w:hideMark/>
          </w:tcPr>
          <w:p w14:paraId="2EEC9DD1" w14:textId="77777777" w:rsidR="000C0C53" w:rsidRPr="000C0C53" w:rsidRDefault="000C0C53" w:rsidP="000C0C53">
            <w:pPr>
              <w:rPr>
                <w:rFonts w:eastAsia="Times New Roman"/>
              </w:rPr>
            </w:pPr>
            <w:r w:rsidRPr="000C0C53">
              <w:rPr>
                <w:rFonts w:eastAsia="Times New Roman"/>
              </w:rPr>
              <w:t>0.893</w:t>
            </w:r>
          </w:p>
        </w:tc>
      </w:tr>
      <w:tr w:rsidR="000C0C53" w:rsidRPr="000C0C53" w14:paraId="230E0A40" w14:textId="77777777" w:rsidTr="00847A67">
        <w:tc>
          <w:tcPr>
            <w:tcW w:w="0" w:type="auto"/>
            <w:hideMark/>
          </w:tcPr>
          <w:p w14:paraId="301D7959" w14:textId="77777777" w:rsidR="000C0C53" w:rsidRPr="000C0C53" w:rsidRDefault="000C0C53" w:rsidP="000C0C53">
            <w:pPr>
              <w:rPr>
                <w:rFonts w:eastAsia="Times New Roman"/>
              </w:rPr>
            </w:pPr>
            <w:r w:rsidRPr="000C0C53">
              <w:rPr>
                <w:rFonts w:eastAsia="Times New Roman"/>
              </w:rPr>
              <w:t>Process automation</w:t>
            </w:r>
          </w:p>
        </w:tc>
        <w:tc>
          <w:tcPr>
            <w:tcW w:w="0" w:type="auto"/>
            <w:hideMark/>
          </w:tcPr>
          <w:p w14:paraId="75C50998" w14:textId="77777777" w:rsidR="000C0C53" w:rsidRPr="000C0C53" w:rsidRDefault="000C0C53" w:rsidP="000C0C53">
            <w:pPr>
              <w:rPr>
                <w:rFonts w:eastAsia="Times New Roman"/>
              </w:rPr>
            </w:pPr>
            <w:r w:rsidRPr="000C0C53">
              <w:rPr>
                <w:rFonts w:eastAsia="Times New Roman"/>
              </w:rPr>
              <w:t>0.943</w:t>
            </w:r>
          </w:p>
        </w:tc>
      </w:tr>
      <w:tr w:rsidR="000C0C53" w:rsidRPr="000C0C53" w14:paraId="491397C3" w14:textId="77777777" w:rsidTr="00847A67">
        <w:tc>
          <w:tcPr>
            <w:tcW w:w="0" w:type="auto"/>
            <w:hideMark/>
          </w:tcPr>
          <w:p w14:paraId="6CAC00CE" w14:textId="77777777" w:rsidR="000C0C53" w:rsidRPr="000C0C53" w:rsidRDefault="000C0C53" w:rsidP="000C0C53">
            <w:pPr>
              <w:rPr>
                <w:rFonts w:eastAsia="Times New Roman"/>
              </w:rPr>
            </w:pPr>
            <w:r w:rsidRPr="000C0C53">
              <w:rPr>
                <w:rFonts w:eastAsia="Times New Roman"/>
              </w:rPr>
              <w:t>Data-Driven personalized learning</w:t>
            </w:r>
          </w:p>
        </w:tc>
        <w:tc>
          <w:tcPr>
            <w:tcW w:w="0" w:type="auto"/>
            <w:hideMark/>
          </w:tcPr>
          <w:p w14:paraId="1DA7CA96" w14:textId="77777777" w:rsidR="000C0C53" w:rsidRPr="000C0C53" w:rsidRDefault="000C0C53" w:rsidP="000C0C53">
            <w:pPr>
              <w:rPr>
                <w:rFonts w:eastAsia="Times New Roman"/>
              </w:rPr>
            </w:pPr>
            <w:r w:rsidRPr="000C0C53">
              <w:rPr>
                <w:rFonts w:eastAsia="Times New Roman"/>
              </w:rPr>
              <w:t>0.971</w:t>
            </w:r>
          </w:p>
        </w:tc>
      </w:tr>
      <w:tr w:rsidR="000C0C53" w:rsidRPr="000C0C53" w14:paraId="2C716088" w14:textId="77777777" w:rsidTr="00847A67">
        <w:tc>
          <w:tcPr>
            <w:tcW w:w="0" w:type="auto"/>
            <w:hideMark/>
          </w:tcPr>
          <w:p w14:paraId="0FB1E152" w14:textId="77777777" w:rsidR="000C0C53" w:rsidRPr="000C0C53" w:rsidRDefault="000C0C53" w:rsidP="000C0C53">
            <w:pPr>
              <w:rPr>
                <w:rFonts w:eastAsia="Times New Roman"/>
              </w:rPr>
            </w:pPr>
            <w:r w:rsidRPr="000C0C53">
              <w:rPr>
                <w:rFonts w:eastAsia="Times New Roman"/>
              </w:rPr>
              <w:t>Student Satisfaction</w:t>
            </w:r>
          </w:p>
        </w:tc>
        <w:tc>
          <w:tcPr>
            <w:tcW w:w="0" w:type="auto"/>
            <w:hideMark/>
          </w:tcPr>
          <w:p w14:paraId="361DB339" w14:textId="77777777" w:rsidR="000C0C53" w:rsidRPr="000C0C53" w:rsidRDefault="000C0C53" w:rsidP="000C0C53">
            <w:pPr>
              <w:rPr>
                <w:rFonts w:eastAsia="Times New Roman"/>
              </w:rPr>
            </w:pPr>
            <w:r w:rsidRPr="000C0C53">
              <w:rPr>
                <w:rFonts w:eastAsia="Times New Roman"/>
              </w:rPr>
              <w:t>0.970</w:t>
            </w:r>
          </w:p>
        </w:tc>
      </w:tr>
    </w:tbl>
    <w:p w14:paraId="14911E8C"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color w:val="000000"/>
          <w:kern w:val="0"/>
          <w:lang w:val="en-GB"/>
          <w14:ligatures w14:val="none"/>
        </w:rPr>
      </w:pPr>
      <w:r w:rsidRPr="000C0C53">
        <w:rPr>
          <w:rFonts w:ascii="Times New Roman" w:eastAsia="Times New Roman" w:hAnsi="Times New Roman" w:cs="Times New Roman"/>
          <w:b/>
          <w:color w:val="000000"/>
          <w:kern w:val="0"/>
          <w:lang w:val="en-GB"/>
          <w14:ligatures w14:val="none"/>
        </w:rPr>
        <w:t xml:space="preserve">Source: </w:t>
      </w:r>
      <w:r w:rsidRPr="000C0C53">
        <w:rPr>
          <w:rFonts w:ascii="Times New Roman" w:eastAsia="Times New Roman" w:hAnsi="Times New Roman" w:cs="Times New Roman"/>
          <w:color w:val="000000"/>
          <w:kern w:val="0"/>
          <w:lang w:val="en-GB"/>
          <w14:ligatures w14:val="none"/>
        </w:rPr>
        <w:t>Author, 2026</w:t>
      </w:r>
    </w:p>
    <w:p w14:paraId="1E4D8BDF"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color w:val="000000"/>
          <w:kern w:val="0"/>
          <w:lang w:val="en-GB"/>
          <w14:ligatures w14:val="none"/>
        </w:rPr>
      </w:pPr>
    </w:p>
    <w:p w14:paraId="1FFBA788"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color w:val="000000"/>
          <w:kern w:val="0"/>
          <w:lang w:val="en-GB"/>
          <w14:ligatures w14:val="none"/>
        </w:rPr>
      </w:pPr>
    </w:p>
    <w:p w14:paraId="1456C4C1"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color w:val="000000"/>
          <w:kern w:val="0"/>
          <w:lang w:val="en-GB"/>
          <w14:ligatures w14:val="none"/>
        </w:rPr>
      </w:pPr>
    </w:p>
    <w:p w14:paraId="5FC6EA5E"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color w:val="000000"/>
          <w:kern w:val="0"/>
          <w:lang w:val="en-GB"/>
          <w14:ligatures w14:val="none"/>
        </w:rPr>
      </w:pPr>
    </w:p>
    <w:p w14:paraId="6D19F236"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color w:val="000000"/>
          <w:kern w:val="0"/>
          <w:lang w:val="en-GB"/>
          <w14:ligatures w14:val="none"/>
        </w:rPr>
      </w:pPr>
    </w:p>
    <w:p w14:paraId="176DE832"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color w:val="000000"/>
          <w:kern w:val="0"/>
          <w:lang w:val="en-GB"/>
          <w14:ligatures w14:val="none"/>
        </w:rPr>
      </w:pPr>
    </w:p>
    <w:p w14:paraId="6E719343"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b/>
          <w:color w:val="000000"/>
          <w:kern w:val="0"/>
          <w:lang w:val="en-GB"/>
          <w14:ligatures w14:val="none"/>
        </w:rPr>
      </w:pPr>
    </w:p>
    <w:p w14:paraId="162B6E06" w14:textId="77777777" w:rsidR="000C0C53" w:rsidRPr="000C0C53" w:rsidRDefault="000C0C53" w:rsidP="000C0C53">
      <w:pPr>
        <w:shd w:val="clear" w:color="auto" w:fill="FFFFFF"/>
        <w:spacing w:after="0" w:line="240" w:lineRule="auto"/>
        <w:jc w:val="both"/>
        <w:rPr>
          <w:rFonts w:ascii="Times New Roman" w:eastAsia="Times New Roman" w:hAnsi="Times New Roman" w:cs="Times New Roman"/>
          <w:b/>
          <w:bCs/>
          <w:color w:val="0F1115"/>
          <w:kern w:val="0"/>
          <w14:ligatures w14:val="none"/>
        </w:rPr>
      </w:pPr>
      <w:bookmarkStart w:id="86" w:name="_Hlk220428982"/>
      <w:r w:rsidRPr="000C0C53">
        <w:rPr>
          <w:rFonts w:ascii="Times New Roman" w:eastAsia="Times New Roman" w:hAnsi="Times New Roman" w:cs="Times New Roman"/>
          <w:b/>
          <w:bCs/>
          <w:color w:val="0F1115"/>
          <w:kern w:val="0"/>
          <w14:ligatures w14:val="none"/>
        </w:rPr>
        <w:t>Table 4.3 Homoscedasticity Tests</w:t>
      </w:r>
      <w:bookmarkEnd w:id="86"/>
    </w:p>
    <w:tbl>
      <w:tblPr>
        <w:tblStyle w:val="TableGrid9"/>
        <w:tblW w:w="0" w:type="auto"/>
        <w:tblLook w:val="04A0" w:firstRow="1" w:lastRow="0" w:firstColumn="1" w:lastColumn="0" w:noHBand="0" w:noVBand="1"/>
      </w:tblPr>
      <w:tblGrid>
        <w:gridCol w:w="1483"/>
        <w:gridCol w:w="1453"/>
        <w:gridCol w:w="1405"/>
        <w:gridCol w:w="1453"/>
        <w:gridCol w:w="1405"/>
        <w:gridCol w:w="2043"/>
      </w:tblGrid>
      <w:tr w:rsidR="000C0C53" w:rsidRPr="000C0C53" w14:paraId="5775F3B3" w14:textId="77777777" w:rsidTr="00847A67">
        <w:tc>
          <w:tcPr>
            <w:tcW w:w="1483" w:type="dxa"/>
          </w:tcPr>
          <w:p w14:paraId="1B289940" w14:textId="77777777" w:rsidR="000C0C53" w:rsidRPr="000C0C53" w:rsidRDefault="000C0C53" w:rsidP="000C0C53">
            <w:r w:rsidRPr="000C0C53">
              <w:rPr>
                <w:b/>
              </w:rPr>
              <w:t>Test</w:t>
            </w:r>
          </w:p>
        </w:tc>
        <w:tc>
          <w:tcPr>
            <w:tcW w:w="1453" w:type="dxa"/>
          </w:tcPr>
          <w:p w14:paraId="7F8BE125" w14:textId="77777777" w:rsidR="000C0C53" w:rsidRPr="000C0C53" w:rsidRDefault="000C0C53" w:rsidP="000C0C53">
            <w:r w:rsidRPr="000C0C53">
              <w:rPr>
                <w:b/>
              </w:rPr>
              <w:t>LM / F Statistic</w:t>
            </w:r>
          </w:p>
        </w:tc>
        <w:tc>
          <w:tcPr>
            <w:tcW w:w="1405" w:type="dxa"/>
          </w:tcPr>
          <w:p w14:paraId="344951C9" w14:textId="77777777" w:rsidR="000C0C53" w:rsidRPr="000C0C53" w:rsidRDefault="000C0C53" w:rsidP="000C0C53">
            <w:r w:rsidRPr="000C0C53">
              <w:rPr>
                <w:b/>
              </w:rPr>
              <w:t>p-Value</w:t>
            </w:r>
          </w:p>
        </w:tc>
        <w:tc>
          <w:tcPr>
            <w:tcW w:w="1453" w:type="dxa"/>
          </w:tcPr>
          <w:p w14:paraId="7BD363E8" w14:textId="77777777" w:rsidR="000C0C53" w:rsidRPr="000C0C53" w:rsidRDefault="000C0C53" w:rsidP="000C0C53">
            <w:r w:rsidRPr="000C0C53">
              <w:rPr>
                <w:b/>
              </w:rPr>
              <w:t>Alt. Statistic</w:t>
            </w:r>
          </w:p>
        </w:tc>
        <w:tc>
          <w:tcPr>
            <w:tcW w:w="1405" w:type="dxa"/>
          </w:tcPr>
          <w:p w14:paraId="77ACBDF4" w14:textId="77777777" w:rsidR="000C0C53" w:rsidRPr="000C0C53" w:rsidRDefault="000C0C53" w:rsidP="000C0C53">
            <w:r w:rsidRPr="000C0C53">
              <w:rPr>
                <w:b/>
              </w:rPr>
              <w:t>Alt. p-Value</w:t>
            </w:r>
          </w:p>
        </w:tc>
        <w:tc>
          <w:tcPr>
            <w:tcW w:w="2043" w:type="dxa"/>
          </w:tcPr>
          <w:p w14:paraId="39003174" w14:textId="77777777" w:rsidR="000C0C53" w:rsidRPr="000C0C53" w:rsidRDefault="000C0C53" w:rsidP="000C0C53">
            <w:r w:rsidRPr="000C0C53">
              <w:rPr>
                <w:b/>
              </w:rPr>
              <w:t>Decision (α = 0.05)</w:t>
            </w:r>
          </w:p>
        </w:tc>
      </w:tr>
      <w:tr w:rsidR="000C0C53" w:rsidRPr="000C0C53" w14:paraId="5E8088D5" w14:textId="77777777" w:rsidTr="00847A67">
        <w:tc>
          <w:tcPr>
            <w:tcW w:w="1483" w:type="dxa"/>
          </w:tcPr>
          <w:p w14:paraId="6312FB95" w14:textId="77777777" w:rsidR="000C0C53" w:rsidRPr="000C0C53" w:rsidRDefault="000C0C53" w:rsidP="000C0C53">
            <w:r w:rsidRPr="000C0C53">
              <w:t>Breusch-Pagan</w:t>
            </w:r>
          </w:p>
        </w:tc>
        <w:tc>
          <w:tcPr>
            <w:tcW w:w="1453" w:type="dxa"/>
          </w:tcPr>
          <w:p w14:paraId="6A4A6FFF" w14:textId="77777777" w:rsidR="000C0C53" w:rsidRPr="000C0C53" w:rsidRDefault="000C0C53" w:rsidP="000C0C53">
            <w:r w:rsidRPr="000C0C53">
              <w:t>LM = 5.272</w:t>
            </w:r>
          </w:p>
        </w:tc>
        <w:tc>
          <w:tcPr>
            <w:tcW w:w="1405" w:type="dxa"/>
          </w:tcPr>
          <w:p w14:paraId="44B786EB" w14:textId="77777777" w:rsidR="000C0C53" w:rsidRPr="000C0C53" w:rsidRDefault="000C0C53" w:rsidP="000C0C53">
            <w:r w:rsidRPr="000C0C53">
              <w:t>0.384</w:t>
            </w:r>
          </w:p>
        </w:tc>
        <w:tc>
          <w:tcPr>
            <w:tcW w:w="1453" w:type="dxa"/>
          </w:tcPr>
          <w:p w14:paraId="4FBFB3D2" w14:textId="77777777" w:rsidR="000C0C53" w:rsidRPr="000C0C53" w:rsidRDefault="000C0C53" w:rsidP="000C0C53">
            <w:r w:rsidRPr="000C0C53">
              <w:t>F = 1.054</w:t>
            </w:r>
          </w:p>
        </w:tc>
        <w:tc>
          <w:tcPr>
            <w:tcW w:w="1405" w:type="dxa"/>
          </w:tcPr>
          <w:p w14:paraId="08625FF3" w14:textId="77777777" w:rsidR="000C0C53" w:rsidRPr="000C0C53" w:rsidRDefault="000C0C53" w:rsidP="000C0C53">
            <w:r w:rsidRPr="000C0C53">
              <w:t>0.384</w:t>
            </w:r>
          </w:p>
        </w:tc>
        <w:tc>
          <w:tcPr>
            <w:tcW w:w="2043" w:type="dxa"/>
          </w:tcPr>
          <w:p w14:paraId="4107ACE4" w14:textId="77777777" w:rsidR="000C0C53" w:rsidRPr="000C0C53" w:rsidRDefault="000C0C53" w:rsidP="000C0C53">
            <w:r w:rsidRPr="000C0C53">
              <w:t>Accept H</w:t>
            </w:r>
            <w:r w:rsidRPr="000C0C53">
              <w:rPr>
                <w:sz w:val="18"/>
              </w:rPr>
              <w:t>0</w:t>
            </w:r>
            <w:r w:rsidRPr="000C0C53">
              <w:t xml:space="preserve"> (homoscedasticity)</w:t>
            </w:r>
          </w:p>
        </w:tc>
      </w:tr>
      <w:tr w:rsidR="000C0C53" w:rsidRPr="000C0C53" w14:paraId="705C2133" w14:textId="77777777" w:rsidTr="00847A67">
        <w:tc>
          <w:tcPr>
            <w:tcW w:w="1483" w:type="dxa"/>
          </w:tcPr>
          <w:p w14:paraId="040E43B3" w14:textId="77777777" w:rsidR="000C0C53" w:rsidRPr="000C0C53" w:rsidRDefault="000C0C53" w:rsidP="000C0C53">
            <w:r w:rsidRPr="000C0C53">
              <w:t>White</w:t>
            </w:r>
          </w:p>
        </w:tc>
        <w:tc>
          <w:tcPr>
            <w:tcW w:w="1453" w:type="dxa"/>
          </w:tcPr>
          <w:p w14:paraId="3247E838" w14:textId="77777777" w:rsidR="000C0C53" w:rsidRPr="000C0C53" w:rsidRDefault="000C0C53" w:rsidP="000C0C53">
            <w:r w:rsidRPr="000C0C53">
              <w:t>LM = 17.085</w:t>
            </w:r>
          </w:p>
        </w:tc>
        <w:tc>
          <w:tcPr>
            <w:tcW w:w="1405" w:type="dxa"/>
          </w:tcPr>
          <w:p w14:paraId="0BA47D0C" w14:textId="77777777" w:rsidR="000C0C53" w:rsidRPr="000C0C53" w:rsidRDefault="000C0C53" w:rsidP="000C0C53">
            <w:r w:rsidRPr="000C0C53">
              <w:t>0.647</w:t>
            </w:r>
          </w:p>
        </w:tc>
        <w:tc>
          <w:tcPr>
            <w:tcW w:w="1453" w:type="dxa"/>
          </w:tcPr>
          <w:p w14:paraId="405DDA86" w14:textId="77777777" w:rsidR="000C0C53" w:rsidRPr="000C0C53" w:rsidRDefault="000C0C53" w:rsidP="000C0C53">
            <w:r w:rsidRPr="000C0C53">
              <w:t>F = 0.852</w:t>
            </w:r>
          </w:p>
        </w:tc>
        <w:tc>
          <w:tcPr>
            <w:tcW w:w="1405" w:type="dxa"/>
          </w:tcPr>
          <w:p w14:paraId="6B95241D" w14:textId="77777777" w:rsidR="000C0C53" w:rsidRPr="000C0C53" w:rsidRDefault="000C0C53" w:rsidP="000C0C53">
            <w:r w:rsidRPr="000C0C53">
              <w:t>0.650</w:t>
            </w:r>
          </w:p>
        </w:tc>
        <w:tc>
          <w:tcPr>
            <w:tcW w:w="2043" w:type="dxa"/>
          </w:tcPr>
          <w:p w14:paraId="539759C8" w14:textId="77777777" w:rsidR="000C0C53" w:rsidRPr="000C0C53" w:rsidRDefault="000C0C53" w:rsidP="000C0C53">
            <w:r w:rsidRPr="000C0C53">
              <w:t>Accept H</w:t>
            </w:r>
            <w:r w:rsidRPr="000C0C53">
              <w:rPr>
                <w:sz w:val="18"/>
              </w:rPr>
              <w:t>0</w:t>
            </w:r>
            <w:r w:rsidRPr="000C0C53">
              <w:t xml:space="preserve"> (homoscedasticity)</w:t>
            </w:r>
          </w:p>
        </w:tc>
      </w:tr>
      <w:tr w:rsidR="000C0C53" w:rsidRPr="000C0C53" w14:paraId="761DCDFC" w14:textId="77777777" w:rsidTr="00847A67">
        <w:tc>
          <w:tcPr>
            <w:tcW w:w="1483" w:type="dxa"/>
          </w:tcPr>
          <w:p w14:paraId="19728FAD" w14:textId="77777777" w:rsidR="000C0C53" w:rsidRPr="000C0C53" w:rsidRDefault="000C0C53" w:rsidP="000C0C53">
            <w:r w:rsidRPr="000C0C53">
              <w:t>Goldfeld-Quandt (two-sided)</w:t>
            </w:r>
          </w:p>
        </w:tc>
        <w:tc>
          <w:tcPr>
            <w:tcW w:w="1453" w:type="dxa"/>
          </w:tcPr>
          <w:p w14:paraId="5AFE93EC" w14:textId="77777777" w:rsidR="000C0C53" w:rsidRPr="000C0C53" w:rsidRDefault="000C0C53" w:rsidP="000C0C53">
            <w:r w:rsidRPr="000C0C53">
              <w:t>GQ = 1.003</w:t>
            </w:r>
          </w:p>
        </w:tc>
        <w:tc>
          <w:tcPr>
            <w:tcW w:w="1405" w:type="dxa"/>
          </w:tcPr>
          <w:p w14:paraId="737DA7C9" w14:textId="77777777" w:rsidR="000C0C53" w:rsidRPr="000C0C53" w:rsidRDefault="000C0C53" w:rsidP="000C0C53">
            <w:r w:rsidRPr="000C0C53">
              <w:t>0.961</w:t>
            </w:r>
          </w:p>
        </w:tc>
        <w:tc>
          <w:tcPr>
            <w:tcW w:w="1453" w:type="dxa"/>
          </w:tcPr>
          <w:p w14:paraId="369ACF2B" w14:textId="77777777" w:rsidR="000C0C53" w:rsidRPr="000C0C53" w:rsidRDefault="000C0C53" w:rsidP="000C0C53"/>
        </w:tc>
        <w:tc>
          <w:tcPr>
            <w:tcW w:w="1405" w:type="dxa"/>
          </w:tcPr>
          <w:p w14:paraId="6C0A75EA" w14:textId="77777777" w:rsidR="000C0C53" w:rsidRPr="000C0C53" w:rsidRDefault="000C0C53" w:rsidP="000C0C53"/>
        </w:tc>
        <w:tc>
          <w:tcPr>
            <w:tcW w:w="2043" w:type="dxa"/>
          </w:tcPr>
          <w:p w14:paraId="685A9548" w14:textId="77777777" w:rsidR="000C0C53" w:rsidRPr="000C0C53" w:rsidRDefault="000C0C53" w:rsidP="000C0C53">
            <w:r w:rsidRPr="000C0C53">
              <w:t>Accept H</w:t>
            </w:r>
            <w:r w:rsidRPr="000C0C53">
              <w:rPr>
                <w:sz w:val="18"/>
              </w:rPr>
              <w:t>0</w:t>
            </w:r>
            <w:r w:rsidRPr="000C0C53">
              <w:t xml:space="preserve"> (homoscedasticity)</w:t>
            </w:r>
          </w:p>
        </w:tc>
      </w:tr>
    </w:tbl>
    <w:p w14:paraId="70742CC9" w14:textId="77777777" w:rsidR="000C0C53" w:rsidRPr="000C0C53" w:rsidRDefault="000C0C53" w:rsidP="000C0C53">
      <w:pPr>
        <w:widowControl w:val="0"/>
        <w:autoSpaceDE w:val="0"/>
        <w:autoSpaceDN w:val="0"/>
        <w:spacing w:after="0" w:line="240" w:lineRule="auto"/>
        <w:rPr>
          <w:rFonts w:ascii="Times New Roman" w:eastAsia="Times New Roman" w:hAnsi="Times New Roman" w:cs="Times New Roman"/>
          <w:b/>
          <w:color w:val="000000"/>
          <w:kern w:val="0"/>
          <w:lang w:val="en-GB"/>
          <w14:ligatures w14:val="none"/>
        </w:rPr>
      </w:pPr>
      <w:r w:rsidRPr="000C0C53">
        <w:rPr>
          <w:rFonts w:ascii="Times New Roman" w:eastAsia="Times New Roman" w:hAnsi="Times New Roman" w:cs="Times New Roman"/>
          <w:b/>
          <w:color w:val="000000"/>
          <w:kern w:val="0"/>
          <w:lang w:val="en-GB"/>
          <w14:ligatures w14:val="none"/>
        </w:rPr>
        <w:t xml:space="preserve">Source: </w:t>
      </w:r>
      <w:r w:rsidRPr="000C0C53">
        <w:rPr>
          <w:rFonts w:ascii="Times New Roman" w:eastAsia="Times New Roman" w:hAnsi="Times New Roman" w:cs="Times New Roman"/>
          <w:color w:val="000000"/>
          <w:kern w:val="0"/>
          <w:lang w:val="en-GB"/>
          <w14:ligatures w14:val="none"/>
        </w:rPr>
        <w:t>Author, 2026</w:t>
      </w:r>
    </w:p>
    <w:p w14:paraId="33E71F1F" w14:textId="77777777" w:rsidR="000C0C53" w:rsidRPr="000C0C53" w:rsidRDefault="000C0C53" w:rsidP="000C0C53">
      <w:pPr>
        <w:shd w:val="clear" w:color="auto" w:fill="FFFFFF"/>
        <w:spacing w:after="0" w:line="240" w:lineRule="auto"/>
        <w:jc w:val="both"/>
        <w:rPr>
          <w:rFonts w:ascii="Times New Roman" w:eastAsia="Times New Roman" w:hAnsi="Times New Roman" w:cs="Times New Roman"/>
          <w:color w:val="0F1115"/>
          <w:kern w:val="0"/>
          <w14:ligatures w14:val="none"/>
        </w:rPr>
      </w:pPr>
    </w:p>
    <w:p w14:paraId="44A1A4B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14:ligatures w14:val="none"/>
        </w:rPr>
      </w:pPr>
      <w:r w:rsidRPr="000C0C53">
        <w:rPr>
          <w:rFonts w:ascii="Times New Roman" w:eastAsia="Times New Roman" w:hAnsi="Times New Roman" w:cs="Times New Roman"/>
          <w:b/>
          <w:kern w:val="0"/>
          <w14:ligatures w14:val="none"/>
        </w:rPr>
        <w:t>4.3 Hypotheses testing</w:t>
      </w:r>
    </w:p>
    <w:p w14:paraId="083963D1" w14:textId="77777777" w:rsidR="000C0C53" w:rsidRPr="000C0C53" w:rsidRDefault="000C0C53" w:rsidP="000C0C53">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0C0C53">
        <w:rPr>
          <w:rFonts w:ascii="Times New Roman" w:eastAsia="Calibri" w:hAnsi="Times New Roman" w:cs="Times New Roman"/>
          <w:kern w:val="0"/>
          <w:lang w:val="en-GB"/>
          <w14:ligatures w14:val="none"/>
        </w:rPr>
        <w:t>Three hypotheses were formulated to examine the effect of digital service innovation dimensions on service delivery effectiveness in open distance learning universities. The hypotheses were tested using the standardized beta coefficients (β), t-statistics, and significance (p-values) from the regression results presented in Table 4.4.</w:t>
      </w:r>
    </w:p>
    <w:p w14:paraId="1CB70027" w14:textId="77777777" w:rsidR="000C0C53" w:rsidRPr="000C0C53" w:rsidRDefault="000C0C53" w:rsidP="000C0C53">
      <w:pPr>
        <w:autoSpaceDE w:val="0"/>
        <w:autoSpaceDN w:val="0"/>
        <w:adjustRightInd w:val="0"/>
        <w:spacing w:after="0" w:line="240" w:lineRule="auto"/>
        <w:rPr>
          <w:rFonts w:ascii="Calibri" w:eastAsia="Calibri" w:hAnsi="Calibri" w:cs="Times New Roman"/>
          <w:kern w:val="0"/>
          <w:sz w:val="22"/>
          <w:szCs w:val="22"/>
          <w:lang w:val="en-GB"/>
          <w14:ligatures w14:val="none"/>
        </w:rPr>
      </w:pPr>
    </w:p>
    <w:p w14:paraId="338D86A0"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b/>
          <w:bCs/>
          <w:color w:val="0F1115"/>
          <w:kern w:val="0"/>
          <w:lang w:val="en-GB"/>
          <w14:ligatures w14:val="none"/>
        </w:rPr>
      </w:pPr>
    </w:p>
    <w:p w14:paraId="57727347"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kern w:val="0"/>
          <w:lang w:val="en-GB"/>
          <w14:ligatures w14:val="none"/>
        </w:rPr>
      </w:pPr>
      <w:r w:rsidRPr="000C0C53">
        <w:rPr>
          <w:rFonts w:ascii="Times New Roman" w:eastAsia="Calibri" w:hAnsi="Times New Roman" w:cs="Times New Roman"/>
          <w:b/>
          <w:bCs/>
          <w:color w:val="0F1115"/>
          <w:kern w:val="0"/>
          <w:lang w:val="en-GB"/>
          <w14:ligatures w14:val="none"/>
        </w:rPr>
        <w:t>Table 4.4: Regression Result</w:t>
      </w:r>
    </w:p>
    <w:p w14:paraId="5CBD4BC0"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kern w:val="0"/>
          <w:lang w:val="en-GB"/>
          <w14:ligatures w14:val="none"/>
        </w:rPr>
      </w:pPr>
    </w:p>
    <w:tbl>
      <w:tblPr>
        <w:tblW w:w="999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3"/>
        <w:gridCol w:w="1191"/>
        <w:gridCol w:w="1364"/>
        <w:gridCol w:w="1363"/>
        <w:gridCol w:w="1504"/>
        <w:gridCol w:w="1034"/>
        <w:gridCol w:w="1034"/>
        <w:gridCol w:w="1143"/>
        <w:gridCol w:w="604"/>
      </w:tblGrid>
      <w:tr w:rsidR="000C0C53" w:rsidRPr="000C0C53" w14:paraId="2D1A55AF" w14:textId="77777777" w:rsidTr="00847A67">
        <w:trPr>
          <w:cantSplit/>
        </w:trPr>
        <w:tc>
          <w:tcPr>
            <w:tcW w:w="9990" w:type="dxa"/>
            <w:gridSpan w:val="9"/>
            <w:tcBorders>
              <w:top w:val="nil"/>
              <w:left w:val="nil"/>
              <w:bottom w:val="nil"/>
              <w:right w:val="nil"/>
            </w:tcBorders>
            <w:shd w:val="clear" w:color="auto" w:fill="FFFFFF"/>
          </w:tcPr>
          <w:p w14:paraId="650FE03C"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proofErr w:type="spellStart"/>
            <w:r w:rsidRPr="000C0C53">
              <w:rPr>
                <w:rFonts w:ascii="Arial" w:eastAsia="Calibri" w:hAnsi="Arial" w:cs="Arial"/>
                <w:b/>
                <w:bCs/>
                <w:color w:val="000000"/>
                <w:kern w:val="0"/>
                <w:sz w:val="18"/>
                <w:szCs w:val="18"/>
                <w:lang w:val="en-GB"/>
                <w14:ligatures w14:val="none"/>
              </w:rPr>
              <w:t>Coefficients</w:t>
            </w:r>
            <w:r w:rsidRPr="000C0C53">
              <w:rPr>
                <w:rFonts w:ascii="Arial" w:eastAsia="Calibri" w:hAnsi="Arial" w:cs="Arial"/>
                <w:b/>
                <w:bCs/>
                <w:color w:val="000000"/>
                <w:kern w:val="0"/>
                <w:sz w:val="18"/>
                <w:szCs w:val="18"/>
                <w:vertAlign w:val="superscript"/>
                <w:lang w:val="en-GB"/>
                <w14:ligatures w14:val="none"/>
              </w:rPr>
              <w:t>a</w:t>
            </w:r>
            <w:proofErr w:type="spellEnd"/>
          </w:p>
        </w:tc>
      </w:tr>
      <w:tr w:rsidR="000C0C53" w:rsidRPr="000C0C53" w14:paraId="2452C8E4" w14:textId="77777777" w:rsidTr="00847A67">
        <w:trPr>
          <w:cantSplit/>
        </w:trPr>
        <w:tc>
          <w:tcPr>
            <w:tcW w:w="1944" w:type="dxa"/>
            <w:gridSpan w:val="2"/>
            <w:vMerge w:val="restart"/>
            <w:tcBorders>
              <w:top w:val="single" w:sz="16" w:space="0" w:color="000000"/>
              <w:left w:val="single" w:sz="16" w:space="0" w:color="000000"/>
              <w:bottom w:val="nil"/>
              <w:right w:val="nil"/>
            </w:tcBorders>
            <w:shd w:val="clear" w:color="auto" w:fill="FFFFFF"/>
          </w:tcPr>
          <w:p w14:paraId="6655E606"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Model</w:t>
            </w:r>
          </w:p>
        </w:tc>
        <w:tc>
          <w:tcPr>
            <w:tcW w:w="2727" w:type="dxa"/>
            <w:gridSpan w:val="2"/>
            <w:tcBorders>
              <w:top w:val="single" w:sz="16" w:space="0" w:color="000000"/>
              <w:left w:val="single" w:sz="16" w:space="0" w:color="000000"/>
            </w:tcBorders>
            <w:shd w:val="clear" w:color="auto" w:fill="FFFFFF"/>
          </w:tcPr>
          <w:p w14:paraId="08667104"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Unstandardized Coefficients</w:t>
            </w:r>
          </w:p>
        </w:tc>
        <w:tc>
          <w:tcPr>
            <w:tcW w:w="1504" w:type="dxa"/>
            <w:tcBorders>
              <w:top w:val="single" w:sz="16" w:space="0" w:color="000000"/>
            </w:tcBorders>
            <w:shd w:val="clear" w:color="auto" w:fill="FFFFFF"/>
          </w:tcPr>
          <w:p w14:paraId="5D0A4B17"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Standardized Coefficients</w:t>
            </w:r>
          </w:p>
        </w:tc>
        <w:tc>
          <w:tcPr>
            <w:tcW w:w="1034" w:type="dxa"/>
            <w:vMerge w:val="restart"/>
            <w:tcBorders>
              <w:top w:val="single" w:sz="16" w:space="0" w:color="000000"/>
            </w:tcBorders>
            <w:shd w:val="clear" w:color="auto" w:fill="FFFFFF"/>
          </w:tcPr>
          <w:p w14:paraId="6EEFAABD"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t</w:t>
            </w:r>
          </w:p>
        </w:tc>
        <w:tc>
          <w:tcPr>
            <w:tcW w:w="1034" w:type="dxa"/>
            <w:vMerge w:val="restart"/>
            <w:tcBorders>
              <w:top w:val="single" w:sz="16" w:space="0" w:color="000000"/>
            </w:tcBorders>
            <w:shd w:val="clear" w:color="auto" w:fill="FFFFFF"/>
          </w:tcPr>
          <w:p w14:paraId="7B75F863"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Sig.</w:t>
            </w:r>
          </w:p>
        </w:tc>
        <w:tc>
          <w:tcPr>
            <w:tcW w:w="1747" w:type="dxa"/>
            <w:gridSpan w:val="2"/>
            <w:tcBorders>
              <w:top w:val="single" w:sz="16" w:space="0" w:color="000000"/>
            </w:tcBorders>
            <w:shd w:val="clear" w:color="auto" w:fill="FFFFFF"/>
          </w:tcPr>
          <w:p w14:paraId="77C6E52C"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Collinearity Statistics</w:t>
            </w:r>
          </w:p>
        </w:tc>
      </w:tr>
      <w:tr w:rsidR="000C0C53" w:rsidRPr="000C0C53" w14:paraId="53FCC502" w14:textId="77777777" w:rsidTr="00847A67">
        <w:trPr>
          <w:cantSplit/>
        </w:trPr>
        <w:tc>
          <w:tcPr>
            <w:tcW w:w="1944" w:type="dxa"/>
            <w:gridSpan w:val="2"/>
            <w:vMerge/>
            <w:tcBorders>
              <w:top w:val="single" w:sz="16" w:space="0" w:color="000000"/>
              <w:left w:val="single" w:sz="16" w:space="0" w:color="000000"/>
              <w:bottom w:val="nil"/>
              <w:right w:val="nil"/>
            </w:tcBorders>
            <w:shd w:val="clear" w:color="auto" w:fill="FFFFFF"/>
          </w:tcPr>
          <w:p w14:paraId="16F188B4" w14:textId="77777777" w:rsidR="000C0C53" w:rsidRPr="000C0C53" w:rsidRDefault="000C0C53" w:rsidP="000C0C53">
            <w:pPr>
              <w:autoSpaceDE w:val="0"/>
              <w:autoSpaceDN w:val="0"/>
              <w:adjustRightInd w:val="0"/>
              <w:spacing w:after="0" w:line="240" w:lineRule="auto"/>
              <w:rPr>
                <w:rFonts w:ascii="Arial" w:eastAsia="Calibri" w:hAnsi="Arial" w:cs="Arial"/>
                <w:color w:val="000000"/>
                <w:kern w:val="0"/>
                <w:sz w:val="18"/>
                <w:szCs w:val="18"/>
                <w:lang w:val="en-GB"/>
                <w14:ligatures w14:val="none"/>
              </w:rPr>
            </w:pPr>
          </w:p>
        </w:tc>
        <w:tc>
          <w:tcPr>
            <w:tcW w:w="1364" w:type="dxa"/>
            <w:tcBorders>
              <w:left w:val="single" w:sz="16" w:space="0" w:color="000000"/>
              <w:bottom w:val="single" w:sz="16" w:space="0" w:color="000000"/>
            </w:tcBorders>
            <w:shd w:val="clear" w:color="auto" w:fill="FFFFFF"/>
          </w:tcPr>
          <w:p w14:paraId="4B162BDE"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B</w:t>
            </w:r>
          </w:p>
        </w:tc>
        <w:tc>
          <w:tcPr>
            <w:tcW w:w="1363" w:type="dxa"/>
            <w:tcBorders>
              <w:bottom w:val="single" w:sz="16" w:space="0" w:color="000000"/>
            </w:tcBorders>
            <w:shd w:val="clear" w:color="auto" w:fill="FFFFFF"/>
          </w:tcPr>
          <w:p w14:paraId="2C9DD29E"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Std. Error</w:t>
            </w:r>
          </w:p>
        </w:tc>
        <w:tc>
          <w:tcPr>
            <w:tcW w:w="1504" w:type="dxa"/>
            <w:tcBorders>
              <w:bottom w:val="single" w:sz="16" w:space="0" w:color="000000"/>
            </w:tcBorders>
            <w:shd w:val="clear" w:color="auto" w:fill="FFFFFF"/>
          </w:tcPr>
          <w:p w14:paraId="3DA5D19D"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Beta</w:t>
            </w:r>
          </w:p>
        </w:tc>
        <w:tc>
          <w:tcPr>
            <w:tcW w:w="1034" w:type="dxa"/>
            <w:vMerge/>
            <w:tcBorders>
              <w:top w:val="single" w:sz="16" w:space="0" w:color="000000"/>
            </w:tcBorders>
            <w:shd w:val="clear" w:color="auto" w:fill="FFFFFF"/>
          </w:tcPr>
          <w:p w14:paraId="1D674230" w14:textId="77777777" w:rsidR="000C0C53" w:rsidRPr="000C0C53" w:rsidRDefault="000C0C53" w:rsidP="000C0C53">
            <w:pPr>
              <w:autoSpaceDE w:val="0"/>
              <w:autoSpaceDN w:val="0"/>
              <w:adjustRightInd w:val="0"/>
              <w:spacing w:after="0" w:line="240" w:lineRule="auto"/>
              <w:rPr>
                <w:rFonts w:ascii="Arial" w:eastAsia="Calibri" w:hAnsi="Arial" w:cs="Arial"/>
                <w:color w:val="000000"/>
                <w:kern w:val="0"/>
                <w:sz w:val="18"/>
                <w:szCs w:val="18"/>
                <w:lang w:val="en-GB"/>
                <w14:ligatures w14:val="none"/>
              </w:rPr>
            </w:pPr>
          </w:p>
        </w:tc>
        <w:tc>
          <w:tcPr>
            <w:tcW w:w="1034" w:type="dxa"/>
            <w:vMerge/>
            <w:tcBorders>
              <w:top w:val="single" w:sz="16" w:space="0" w:color="000000"/>
            </w:tcBorders>
            <w:shd w:val="clear" w:color="auto" w:fill="FFFFFF"/>
          </w:tcPr>
          <w:p w14:paraId="1D62F039" w14:textId="77777777" w:rsidR="000C0C53" w:rsidRPr="000C0C53" w:rsidRDefault="000C0C53" w:rsidP="000C0C53">
            <w:pPr>
              <w:autoSpaceDE w:val="0"/>
              <w:autoSpaceDN w:val="0"/>
              <w:adjustRightInd w:val="0"/>
              <w:spacing w:after="0" w:line="240" w:lineRule="auto"/>
              <w:rPr>
                <w:rFonts w:ascii="Arial" w:eastAsia="Calibri" w:hAnsi="Arial" w:cs="Arial"/>
                <w:color w:val="000000"/>
                <w:kern w:val="0"/>
                <w:sz w:val="18"/>
                <w:szCs w:val="18"/>
                <w:lang w:val="en-GB"/>
                <w14:ligatures w14:val="none"/>
              </w:rPr>
            </w:pPr>
          </w:p>
        </w:tc>
        <w:tc>
          <w:tcPr>
            <w:tcW w:w="1143" w:type="dxa"/>
            <w:tcBorders>
              <w:bottom w:val="single" w:sz="16" w:space="0" w:color="000000"/>
            </w:tcBorders>
            <w:shd w:val="clear" w:color="auto" w:fill="FFFFFF"/>
          </w:tcPr>
          <w:p w14:paraId="77A68ACD"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Tolerance</w:t>
            </w:r>
          </w:p>
        </w:tc>
        <w:tc>
          <w:tcPr>
            <w:tcW w:w="604" w:type="dxa"/>
            <w:tcBorders>
              <w:bottom w:val="single" w:sz="16" w:space="0" w:color="000000"/>
              <w:right w:val="single" w:sz="16" w:space="0" w:color="000000"/>
            </w:tcBorders>
            <w:shd w:val="clear" w:color="auto" w:fill="FFFFFF"/>
          </w:tcPr>
          <w:p w14:paraId="4B27E158"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VIF</w:t>
            </w:r>
          </w:p>
        </w:tc>
      </w:tr>
      <w:tr w:rsidR="000C0C53" w:rsidRPr="000C0C53" w14:paraId="00ED7D1D" w14:textId="77777777" w:rsidTr="00847A67">
        <w:trPr>
          <w:cantSplit/>
        </w:trPr>
        <w:tc>
          <w:tcPr>
            <w:tcW w:w="753" w:type="dxa"/>
            <w:vMerge w:val="restart"/>
            <w:tcBorders>
              <w:top w:val="single" w:sz="16" w:space="0" w:color="000000"/>
              <w:left w:val="single" w:sz="16" w:space="0" w:color="000000"/>
              <w:bottom w:val="single" w:sz="16" w:space="0" w:color="000000"/>
              <w:right w:val="nil"/>
            </w:tcBorders>
            <w:shd w:val="clear" w:color="auto" w:fill="FFFFFF"/>
            <w:vAlign w:val="center"/>
          </w:tcPr>
          <w:p w14:paraId="231EC7FA"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w:t>
            </w:r>
          </w:p>
        </w:tc>
        <w:tc>
          <w:tcPr>
            <w:tcW w:w="1191" w:type="dxa"/>
            <w:tcBorders>
              <w:top w:val="single" w:sz="16" w:space="0" w:color="000000"/>
              <w:left w:val="nil"/>
              <w:bottom w:val="nil"/>
              <w:right w:val="single" w:sz="16" w:space="0" w:color="000000"/>
            </w:tcBorders>
            <w:shd w:val="clear" w:color="auto" w:fill="FFFFFF"/>
            <w:vAlign w:val="center"/>
          </w:tcPr>
          <w:p w14:paraId="6EEA8B06"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(Constant)</w:t>
            </w:r>
          </w:p>
        </w:tc>
        <w:tc>
          <w:tcPr>
            <w:tcW w:w="1364" w:type="dxa"/>
            <w:tcBorders>
              <w:top w:val="single" w:sz="16" w:space="0" w:color="000000"/>
              <w:left w:val="single" w:sz="16" w:space="0" w:color="000000"/>
              <w:bottom w:val="nil"/>
            </w:tcBorders>
            <w:shd w:val="clear" w:color="auto" w:fill="FFFFFF"/>
            <w:vAlign w:val="center"/>
          </w:tcPr>
          <w:p w14:paraId="36E450C7"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7.762</w:t>
            </w:r>
          </w:p>
        </w:tc>
        <w:tc>
          <w:tcPr>
            <w:tcW w:w="1363" w:type="dxa"/>
            <w:tcBorders>
              <w:top w:val="single" w:sz="16" w:space="0" w:color="000000"/>
              <w:bottom w:val="nil"/>
            </w:tcBorders>
            <w:shd w:val="clear" w:color="auto" w:fill="FFFFFF"/>
            <w:vAlign w:val="center"/>
          </w:tcPr>
          <w:p w14:paraId="6FFBB5D6"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1.851</w:t>
            </w:r>
          </w:p>
        </w:tc>
        <w:tc>
          <w:tcPr>
            <w:tcW w:w="1504" w:type="dxa"/>
            <w:tcBorders>
              <w:top w:val="single" w:sz="16" w:space="0" w:color="000000"/>
              <w:bottom w:val="nil"/>
            </w:tcBorders>
            <w:shd w:val="clear" w:color="auto" w:fill="FFFFFF"/>
          </w:tcPr>
          <w:p w14:paraId="267BC0E4"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kern w:val="0"/>
                <w:lang w:val="en-GB"/>
                <w14:ligatures w14:val="none"/>
              </w:rPr>
            </w:pPr>
          </w:p>
        </w:tc>
        <w:tc>
          <w:tcPr>
            <w:tcW w:w="1034" w:type="dxa"/>
            <w:tcBorders>
              <w:top w:val="single" w:sz="16" w:space="0" w:color="000000"/>
              <w:bottom w:val="nil"/>
            </w:tcBorders>
            <w:shd w:val="clear" w:color="auto" w:fill="FFFFFF"/>
            <w:vAlign w:val="center"/>
          </w:tcPr>
          <w:p w14:paraId="74A39EE7"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4.195</w:t>
            </w:r>
          </w:p>
        </w:tc>
        <w:tc>
          <w:tcPr>
            <w:tcW w:w="1034" w:type="dxa"/>
            <w:tcBorders>
              <w:top w:val="single" w:sz="16" w:space="0" w:color="000000"/>
              <w:bottom w:val="nil"/>
            </w:tcBorders>
            <w:shd w:val="clear" w:color="auto" w:fill="FFFFFF"/>
            <w:vAlign w:val="center"/>
          </w:tcPr>
          <w:p w14:paraId="4413E6F9"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.000</w:t>
            </w:r>
          </w:p>
        </w:tc>
        <w:tc>
          <w:tcPr>
            <w:tcW w:w="1143" w:type="dxa"/>
            <w:tcBorders>
              <w:top w:val="single" w:sz="16" w:space="0" w:color="000000"/>
              <w:bottom w:val="nil"/>
            </w:tcBorders>
            <w:shd w:val="clear" w:color="auto" w:fill="FFFFFF"/>
          </w:tcPr>
          <w:p w14:paraId="4A90BD64"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kern w:val="0"/>
                <w:lang w:val="en-GB"/>
                <w14:ligatures w14:val="none"/>
              </w:rPr>
            </w:pPr>
          </w:p>
        </w:tc>
        <w:tc>
          <w:tcPr>
            <w:tcW w:w="604" w:type="dxa"/>
            <w:tcBorders>
              <w:top w:val="single" w:sz="16" w:space="0" w:color="000000"/>
              <w:bottom w:val="nil"/>
              <w:right w:val="single" w:sz="16" w:space="0" w:color="000000"/>
            </w:tcBorders>
            <w:shd w:val="clear" w:color="auto" w:fill="FFFFFF"/>
          </w:tcPr>
          <w:p w14:paraId="2DBE847D"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kern w:val="0"/>
                <w:lang w:val="en-GB"/>
                <w14:ligatures w14:val="none"/>
              </w:rPr>
            </w:pPr>
          </w:p>
        </w:tc>
      </w:tr>
      <w:tr w:rsidR="000C0C53" w:rsidRPr="000C0C53" w14:paraId="69A6CF24" w14:textId="77777777" w:rsidTr="00847A67">
        <w:trPr>
          <w:cantSplit/>
        </w:trPr>
        <w:tc>
          <w:tcPr>
            <w:tcW w:w="753" w:type="dxa"/>
            <w:vMerge/>
            <w:tcBorders>
              <w:top w:val="single" w:sz="16" w:space="0" w:color="000000"/>
              <w:left w:val="single" w:sz="16" w:space="0" w:color="000000"/>
              <w:bottom w:val="single" w:sz="16" w:space="0" w:color="000000"/>
              <w:right w:val="nil"/>
            </w:tcBorders>
            <w:shd w:val="clear" w:color="auto" w:fill="FFFFFF"/>
            <w:vAlign w:val="center"/>
          </w:tcPr>
          <w:p w14:paraId="31E582E0"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kern w:val="0"/>
                <w:lang w:val="en-GB"/>
                <w14:ligatures w14:val="none"/>
              </w:rPr>
            </w:pPr>
          </w:p>
        </w:tc>
        <w:tc>
          <w:tcPr>
            <w:tcW w:w="1191" w:type="dxa"/>
            <w:tcBorders>
              <w:top w:val="nil"/>
              <w:left w:val="nil"/>
              <w:bottom w:val="nil"/>
              <w:right w:val="single" w:sz="16" w:space="0" w:color="000000"/>
            </w:tcBorders>
            <w:shd w:val="clear" w:color="auto" w:fill="FFFFFF"/>
            <w:vAlign w:val="center"/>
          </w:tcPr>
          <w:p w14:paraId="4CDA8DD6"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LMS</w:t>
            </w:r>
          </w:p>
        </w:tc>
        <w:tc>
          <w:tcPr>
            <w:tcW w:w="1364" w:type="dxa"/>
            <w:tcBorders>
              <w:top w:val="nil"/>
              <w:left w:val="single" w:sz="16" w:space="0" w:color="000000"/>
              <w:bottom w:val="nil"/>
            </w:tcBorders>
            <w:shd w:val="clear" w:color="auto" w:fill="FFFFFF"/>
            <w:vAlign w:val="center"/>
          </w:tcPr>
          <w:p w14:paraId="77803480"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.107</w:t>
            </w:r>
          </w:p>
        </w:tc>
        <w:tc>
          <w:tcPr>
            <w:tcW w:w="1363" w:type="dxa"/>
            <w:tcBorders>
              <w:top w:val="nil"/>
              <w:bottom w:val="nil"/>
            </w:tcBorders>
            <w:shd w:val="clear" w:color="auto" w:fill="FFFFFF"/>
            <w:vAlign w:val="center"/>
          </w:tcPr>
          <w:p w14:paraId="0C6B0E49"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.081</w:t>
            </w:r>
          </w:p>
        </w:tc>
        <w:tc>
          <w:tcPr>
            <w:tcW w:w="1504" w:type="dxa"/>
            <w:tcBorders>
              <w:top w:val="nil"/>
              <w:bottom w:val="nil"/>
            </w:tcBorders>
            <w:shd w:val="clear" w:color="auto" w:fill="FFFFFF"/>
            <w:vAlign w:val="center"/>
          </w:tcPr>
          <w:p w14:paraId="020FBCB2"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.588</w:t>
            </w:r>
          </w:p>
        </w:tc>
        <w:tc>
          <w:tcPr>
            <w:tcW w:w="1034" w:type="dxa"/>
            <w:tcBorders>
              <w:top w:val="nil"/>
              <w:bottom w:val="nil"/>
            </w:tcBorders>
            <w:shd w:val="clear" w:color="auto" w:fill="FFFFFF"/>
            <w:vAlign w:val="center"/>
          </w:tcPr>
          <w:p w14:paraId="30C6B8A7"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3.726</w:t>
            </w:r>
          </w:p>
        </w:tc>
        <w:tc>
          <w:tcPr>
            <w:tcW w:w="1034" w:type="dxa"/>
            <w:tcBorders>
              <w:top w:val="nil"/>
              <w:bottom w:val="nil"/>
            </w:tcBorders>
            <w:shd w:val="clear" w:color="auto" w:fill="FFFFFF"/>
            <w:vAlign w:val="center"/>
          </w:tcPr>
          <w:p w14:paraId="52A6BD27"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.000</w:t>
            </w:r>
          </w:p>
        </w:tc>
        <w:tc>
          <w:tcPr>
            <w:tcW w:w="1143" w:type="dxa"/>
            <w:tcBorders>
              <w:top w:val="nil"/>
              <w:bottom w:val="nil"/>
            </w:tcBorders>
            <w:shd w:val="clear" w:color="auto" w:fill="FFFFFF"/>
            <w:vAlign w:val="center"/>
          </w:tcPr>
          <w:p w14:paraId="61B373E2"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.525</w:t>
            </w:r>
          </w:p>
        </w:tc>
        <w:tc>
          <w:tcPr>
            <w:tcW w:w="604" w:type="dxa"/>
            <w:tcBorders>
              <w:top w:val="nil"/>
              <w:bottom w:val="nil"/>
              <w:right w:val="single" w:sz="16" w:space="0" w:color="000000"/>
            </w:tcBorders>
            <w:shd w:val="clear" w:color="auto" w:fill="FFFFFF"/>
            <w:vAlign w:val="center"/>
          </w:tcPr>
          <w:p w14:paraId="3C718276"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1.904</w:t>
            </w:r>
          </w:p>
        </w:tc>
      </w:tr>
      <w:tr w:rsidR="000C0C53" w:rsidRPr="000C0C53" w14:paraId="66A18D0A" w14:textId="77777777" w:rsidTr="00847A67">
        <w:trPr>
          <w:cantSplit/>
        </w:trPr>
        <w:tc>
          <w:tcPr>
            <w:tcW w:w="753" w:type="dxa"/>
            <w:vMerge/>
            <w:tcBorders>
              <w:top w:val="single" w:sz="16" w:space="0" w:color="000000"/>
              <w:left w:val="single" w:sz="16" w:space="0" w:color="000000"/>
              <w:bottom w:val="single" w:sz="16" w:space="0" w:color="000000"/>
              <w:right w:val="nil"/>
            </w:tcBorders>
            <w:shd w:val="clear" w:color="auto" w:fill="FFFFFF"/>
            <w:vAlign w:val="center"/>
          </w:tcPr>
          <w:p w14:paraId="3F6595F5" w14:textId="77777777" w:rsidR="000C0C53" w:rsidRPr="000C0C53" w:rsidRDefault="000C0C53" w:rsidP="000C0C53">
            <w:pPr>
              <w:autoSpaceDE w:val="0"/>
              <w:autoSpaceDN w:val="0"/>
              <w:adjustRightInd w:val="0"/>
              <w:spacing w:after="0" w:line="240" w:lineRule="auto"/>
              <w:rPr>
                <w:rFonts w:ascii="Arial" w:eastAsia="Calibri" w:hAnsi="Arial" w:cs="Arial"/>
                <w:color w:val="000000"/>
                <w:kern w:val="0"/>
                <w:sz w:val="18"/>
                <w:szCs w:val="18"/>
                <w:lang w:val="en-GB"/>
                <w14:ligatures w14:val="none"/>
              </w:rPr>
            </w:pPr>
          </w:p>
        </w:tc>
        <w:tc>
          <w:tcPr>
            <w:tcW w:w="1191" w:type="dxa"/>
            <w:tcBorders>
              <w:top w:val="nil"/>
              <w:left w:val="nil"/>
              <w:bottom w:val="nil"/>
              <w:right w:val="single" w:sz="16" w:space="0" w:color="000000"/>
            </w:tcBorders>
            <w:shd w:val="clear" w:color="auto" w:fill="FFFFFF"/>
            <w:vAlign w:val="center"/>
          </w:tcPr>
          <w:p w14:paraId="3736B7D7"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PRA</w:t>
            </w:r>
          </w:p>
        </w:tc>
        <w:tc>
          <w:tcPr>
            <w:tcW w:w="1364" w:type="dxa"/>
            <w:tcBorders>
              <w:top w:val="nil"/>
              <w:left w:val="single" w:sz="16" w:space="0" w:color="000000"/>
              <w:bottom w:val="nil"/>
            </w:tcBorders>
            <w:shd w:val="clear" w:color="auto" w:fill="FFFFFF"/>
            <w:vAlign w:val="center"/>
          </w:tcPr>
          <w:p w14:paraId="493772CB"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.508</w:t>
            </w:r>
          </w:p>
        </w:tc>
        <w:tc>
          <w:tcPr>
            <w:tcW w:w="1363" w:type="dxa"/>
            <w:tcBorders>
              <w:top w:val="nil"/>
              <w:bottom w:val="nil"/>
            </w:tcBorders>
            <w:shd w:val="clear" w:color="auto" w:fill="FFFFFF"/>
            <w:vAlign w:val="center"/>
          </w:tcPr>
          <w:p w14:paraId="6F3BBEB8"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.077</w:t>
            </w:r>
          </w:p>
        </w:tc>
        <w:tc>
          <w:tcPr>
            <w:tcW w:w="1504" w:type="dxa"/>
            <w:tcBorders>
              <w:top w:val="nil"/>
              <w:bottom w:val="nil"/>
            </w:tcBorders>
            <w:shd w:val="clear" w:color="auto" w:fill="FFFFFF"/>
            <w:vAlign w:val="center"/>
          </w:tcPr>
          <w:p w14:paraId="6210850A"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.444</w:t>
            </w:r>
          </w:p>
        </w:tc>
        <w:tc>
          <w:tcPr>
            <w:tcW w:w="1034" w:type="dxa"/>
            <w:tcBorders>
              <w:top w:val="nil"/>
              <w:bottom w:val="nil"/>
            </w:tcBorders>
            <w:shd w:val="clear" w:color="auto" w:fill="FFFFFF"/>
            <w:vAlign w:val="center"/>
          </w:tcPr>
          <w:p w14:paraId="2ECCB590"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6.581</w:t>
            </w:r>
          </w:p>
        </w:tc>
        <w:tc>
          <w:tcPr>
            <w:tcW w:w="1034" w:type="dxa"/>
            <w:tcBorders>
              <w:top w:val="nil"/>
              <w:bottom w:val="nil"/>
            </w:tcBorders>
            <w:shd w:val="clear" w:color="auto" w:fill="FFFFFF"/>
            <w:vAlign w:val="center"/>
          </w:tcPr>
          <w:p w14:paraId="7E5E227C"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.000</w:t>
            </w:r>
          </w:p>
        </w:tc>
        <w:tc>
          <w:tcPr>
            <w:tcW w:w="1143" w:type="dxa"/>
            <w:tcBorders>
              <w:top w:val="nil"/>
              <w:bottom w:val="nil"/>
            </w:tcBorders>
            <w:shd w:val="clear" w:color="auto" w:fill="FFFFFF"/>
            <w:vAlign w:val="center"/>
          </w:tcPr>
          <w:p w14:paraId="7C5DF2B1"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.511</w:t>
            </w:r>
          </w:p>
        </w:tc>
        <w:tc>
          <w:tcPr>
            <w:tcW w:w="604" w:type="dxa"/>
            <w:tcBorders>
              <w:top w:val="nil"/>
              <w:bottom w:val="nil"/>
              <w:right w:val="single" w:sz="16" w:space="0" w:color="000000"/>
            </w:tcBorders>
            <w:shd w:val="clear" w:color="auto" w:fill="FFFFFF"/>
            <w:vAlign w:val="center"/>
          </w:tcPr>
          <w:p w14:paraId="3B34760C"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1.959</w:t>
            </w:r>
          </w:p>
        </w:tc>
      </w:tr>
      <w:tr w:rsidR="000C0C53" w:rsidRPr="000C0C53" w14:paraId="26E1A722" w14:textId="77777777" w:rsidTr="00847A67">
        <w:trPr>
          <w:cantSplit/>
        </w:trPr>
        <w:tc>
          <w:tcPr>
            <w:tcW w:w="753" w:type="dxa"/>
            <w:vMerge/>
            <w:tcBorders>
              <w:top w:val="single" w:sz="16" w:space="0" w:color="000000"/>
              <w:left w:val="single" w:sz="16" w:space="0" w:color="000000"/>
              <w:bottom w:val="single" w:sz="16" w:space="0" w:color="000000"/>
              <w:right w:val="nil"/>
            </w:tcBorders>
            <w:shd w:val="clear" w:color="auto" w:fill="FFFFFF"/>
            <w:vAlign w:val="center"/>
          </w:tcPr>
          <w:p w14:paraId="5EAC9AF0" w14:textId="77777777" w:rsidR="000C0C53" w:rsidRPr="000C0C53" w:rsidRDefault="000C0C53" w:rsidP="000C0C53">
            <w:pPr>
              <w:autoSpaceDE w:val="0"/>
              <w:autoSpaceDN w:val="0"/>
              <w:adjustRightInd w:val="0"/>
              <w:spacing w:after="0" w:line="240" w:lineRule="auto"/>
              <w:rPr>
                <w:rFonts w:ascii="Arial" w:eastAsia="Calibri" w:hAnsi="Arial" w:cs="Arial"/>
                <w:color w:val="000000"/>
                <w:kern w:val="0"/>
                <w:sz w:val="18"/>
                <w:szCs w:val="18"/>
                <w:lang w:val="en-GB"/>
                <w14:ligatures w14:val="none"/>
              </w:rPr>
            </w:pPr>
          </w:p>
        </w:tc>
        <w:tc>
          <w:tcPr>
            <w:tcW w:w="1191" w:type="dxa"/>
            <w:tcBorders>
              <w:top w:val="nil"/>
              <w:left w:val="nil"/>
              <w:bottom w:val="single" w:sz="16" w:space="0" w:color="000000"/>
              <w:right w:val="single" w:sz="16" w:space="0" w:color="000000"/>
            </w:tcBorders>
            <w:shd w:val="clear" w:color="auto" w:fill="FFFFFF"/>
            <w:vAlign w:val="center"/>
          </w:tcPr>
          <w:p w14:paraId="1EC0CF04"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DDPL</w:t>
            </w:r>
          </w:p>
        </w:tc>
        <w:tc>
          <w:tcPr>
            <w:tcW w:w="1364" w:type="dxa"/>
            <w:tcBorders>
              <w:top w:val="nil"/>
              <w:left w:val="single" w:sz="16" w:space="0" w:color="000000"/>
              <w:bottom w:val="single" w:sz="16" w:space="0" w:color="000000"/>
            </w:tcBorders>
            <w:shd w:val="clear" w:color="auto" w:fill="FFFFFF"/>
            <w:vAlign w:val="center"/>
          </w:tcPr>
          <w:p w14:paraId="65D2A085"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.226</w:t>
            </w:r>
          </w:p>
        </w:tc>
        <w:tc>
          <w:tcPr>
            <w:tcW w:w="1363" w:type="dxa"/>
            <w:tcBorders>
              <w:top w:val="nil"/>
              <w:bottom w:val="single" w:sz="16" w:space="0" w:color="000000"/>
            </w:tcBorders>
            <w:shd w:val="clear" w:color="auto" w:fill="FFFFFF"/>
            <w:vAlign w:val="center"/>
          </w:tcPr>
          <w:p w14:paraId="5C6506E0"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.055</w:t>
            </w:r>
          </w:p>
        </w:tc>
        <w:tc>
          <w:tcPr>
            <w:tcW w:w="1504" w:type="dxa"/>
            <w:tcBorders>
              <w:top w:val="nil"/>
              <w:bottom w:val="single" w:sz="16" w:space="0" w:color="000000"/>
            </w:tcBorders>
            <w:shd w:val="clear" w:color="auto" w:fill="FFFFFF"/>
            <w:vAlign w:val="center"/>
          </w:tcPr>
          <w:p w14:paraId="2AC5A32E"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.294</w:t>
            </w:r>
          </w:p>
        </w:tc>
        <w:tc>
          <w:tcPr>
            <w:tcW w:w="1034" w:type="dxa"/>
            <w:tcBorders>
              <w:top w:val="nil"/>
              <w:bottom w:val="single" w:sz="16" w:space="0" w:color="000000"/>
            </w:tcBorders>
            <w:shd w:val="clear" w:color="auto" w:fill="FFFFFF"/>
            <w:vAlign w:val="center"/>
          </w:tcPr>
          <w:p w14:paraId="7B11F373"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3.593</w:t>
            </w:r>
          </w:p>
        </w:tc>
        <w:tc>
          <w:tcPr>
            <w:tcW w:w="1034" w:type="dxa"/>
            <w:tcBorders>
              <w:top w:val="nil"/>
              <w:bottom w:val="single" w:sz="16" w:space="0" w:color="000000"/>
            </w:tcBorders>
            <w:shd w:val="clear" w:color="auto" w:fill="FFFFFF"/>
            <w:vAlign w:val="center"/>
          </w:tcPr>
          <w:p w14:paraId="7AB57783"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.121</w:t>
            </w:r>
          </w:p>
        </w:tc>
        <w:tc>
          <w:tcPr>
            <w:tcW w:w="1143" w:type="dxa"/>
            <w:tcBorders>
              <w:top w:val="nil"/>
              <w:bottom w:val="single" w:sz="16" w:space="0" w:color="000000"/>
            </w:tcBorders>
            <w:shd w:val="clear" w:color="auto" w:fill="FFFFFF"/>
            <w:vAlign w:val="center"/>
          </w:tcPr>
          <w:p w14:paraId="1EB6DCCB"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.774</w:t>
            </w:r>
          </w:p>
        </w:tc>
        <w:tc>
          <w:tcPr>
            <w:tcW w:w="604" w:type="dxa"/>
            <w:tcBorders>
              <w:top w:val="nil"/>
              <w:bottom w:val="single" w:sz="16" w:space="0" w:color="000000"/>
              <w:right w:val="single" w:sz="16" w:space="0" w:color="000000"/>
            </w:tcBorders>
            <w:shd w:val="clear" w:color="auto" w:fill="FFFFFF"/>
            <w:vAlign w:val="center"/>
          </w:tcPr>
          <w:p w14:paraId="6841297E"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1.292</w:t>
            </w:r>
          </w:p>
        </w:tc>
      </w:tr>
      <w:tr w:rsidR="000C0C53" w:rsidRPr="000C0C53" w14:paraId="50A08DA1" w14:textId="77777777" w:rsidTr="00847A67">
        <w:trPr>
          <w:cantSplit/>
        </w:trPr>
        <w:tc>
          <w:tcPr>
            <w:tcW w:w="9990" w:type="dxa"/>
            <w:gridSpan w:val="9"/>
            <w:tcBorders>
              <w:top w:val="nil"/>
              <w:left w:val="nil"/>
              <w:bottom w:val="nil"/>
              <w:right w:val="nil"/>
            </w:tcBorders>
            <w:shd w:val="clear" w:color="auto" w:fill="FFFFFF"/>
          </w:tcPr>
          <w:p w14:paraId="39D58D75"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a. Dependent Variable: SA</w:t>
            </w:r>
          </w:p>
        </w:tc>
      </w:tr>
    </w:tbl>
    <w:p w14:paraId="3A66484F" w14:textId="77777777" w:rsidR="000C0C53" w:rsidRPr="000C0C53" w:rsidRDefault="000C0C53" w:rsidP="000C0C53">
      <w:pPr>
        <w:autoSpaceDE w:val="0"/>
        <w:autoSpaceDN w:val="0"/>
        <w:adjustRightInd w:val="0"/>
        <w:spacing w:after="0" w:line="240" w:lineRule="auto"/>
        <w:rPr>
          <w:rFonts w:ascii="Times New Roman" w:eastAsia="Calibri" w:hAnsi="Times New Roman" w:cs="Times New Roman"/>
          <w:kern w:val="0"/>
          <w:lang w:val="en-GB"/>
          <w14:ligatures w14:val="none"/>
        </w:rPr>
      </w:pPr>
    </w:p>
    <w:p w14:paraId="00F0CAFB" w14:textId="77777777" w:rsidR="000C0C53" w:rsidRPr="000C0C53" w:rsidRDefault="000C0C53" w:rsidP="000C0C53">
      <w:pPr>
        <w:spacing w:line="240" w:lineRule="auto"/>
        <w:ind w:left="720" w:hanging="720"/>
        <w:jc w:val="both"/>
        <w:rPr>
          <w:rFonts w:ascii="Times New Roman" w:eastAsia="Calibri" w:hAnsi="Times New Roman" w:cs="Times New Roman"/>
          <w:kern w:val="0"/>
          <w:lang w:val="en-GB"/>
          <w14:ligatures w14:val="none"/>
        </w:rPr>
      </w:pPr>
      <w:r w:rsidRPr="000C0C53">
        <w:rPr>
          <w:rFonts w:ascii="Times New Roman" w:eastAsia="Calibri" w:hAnsi="Times New Roman" w:cs="Times New Roman"/>
          <w:b/>
          <w:bCs/>
          <w:kern w:val="0"/>
          <w:lang w:val="en-GB"/>
          <w14:ligatures w14:val="none"/>
        </w:rPr>
        <w:t>Source:</w:t>
      </w:r>
      <w:r w:rsidRPr="000C0C53">
        <w:rPr>
          <w:rFonts w:ascii="Times New Roman" w:eastAsia="Calibri" w:hAnsi="Times New Roman" w:cs="Times New Roman"/>
          <w:kern w:val="0"/>
          <w:lang w:val="en-GB"/>
          <w14:ligatures w14:val="none"/>
        </w:rPr>
        <w:t xml:space="preserve"> Author, 2026</w:t>
      </w:r>
    </w:p>
    <w:p w14:paraId="30A7AF3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bCs/>
          <w:kern w:val="0"/>
          <w14:ligatures w14:val="none"/>
        </w:rPr>
        <w:t>H₀₁:</w:t>
      </w:r>
      <w:r w:rsidRPr="000C0C53">
        <w:rPr>
          <w:rFonts w:ascii="Times New Roman" w:eastAsia="Times New Roman" w:hAnsi="Times New Roman" w:cs="Times New Roman"/>
          <w:kern w:val="0"/>
          <w14:ligatures w14:val="none"/>
        </w:rPr>
        <w:t xml:space="preserve"> Learning Management System has no significant effect on service delivery effectiveness in open distance learning universities. The regression results show that LMS has a positive and </w:t>
      </w:r>
      <w:r w:rsidRPr="000C0C53">
        <w:rPr>
          <w:rFonts w:ascii="Times New Roman" w:eastAsia="Times New Roman" w:hAnsi="Times New Roman" w:cs="Times New Roman"/>
          <w:kern w:val="0"/>
          <w14:ligatures w14:val="none"/>
        </w:rPr>
        <w:lastRenderedPageBreak/>
        <w:t xml:space="preserve">statistically significant effect on service delivery effectiveness (β = 0.588, t = 3.726, p = 0.000). The null hypothesis (H₀₁) is therefore </w:t>
      </w:r>
      <w:r w:rsidRPr="000C0C53">
        <w:rPr>
          <w:rFonts w:ascii="Times New Roman" w:eastAsia="Times New Roman" w:hAnsi="Times New Roman" w:cs="Times New Roman"/>
          <w:bCs/>
          <w:kern w:val="0"/>
          <w14:ligatures w14:val="none"/>
        </w:rPr>
        <w:t>rejected</w:t>
      </w:r>
      <w:r w:rsidRPr="000C0C53">
        <w:rPr>
          <w:rFonts w:ascii="Times New Roman" w:eastAsia="Times New Roman" w:hAnsi="Times New Roman" w:cs="Times New Roman"/>
          <w:kern w:val="0"/>
          <w14:ligatures w14:val="none"/>
        </w:rPr>
        <w:t>.</w:t>
      </w:r>
    </w:p>
    <w:p w14:paraId="2BF99505"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bCs/>
          <w:kern w:val="0"/>
          <w14:ligatures w14:val="none"/>
        </w:rPr>
        <w:t>H₀₂:</w:t>
      </w:r>
      <w:r w:rsidRPr="000C0C53">
        <w:rPr>
          <w:rFonts w:ascii="Times New Roman" w:eastAsia="Times New Roman" w:hAnsi="Times New Roman" w:cs="Times New Roman"/>
          <w:kern w:val="0"/>
          <w14:ligatures w14:val="none"/>
        </w:rPr>
        <w:t xml:space="preserve"> Process automation has no significant effect on service delivery effectiveness in open distance learning universities. Process automation exhibits a positive and statistically significant effect on service delivery effectiveness (β = 0.444, t = 6.581, p = 0.000). The null hypothesis (H₀₂) is therefore </w:t>
      </w:r>
      <w:r w:rsidRPr="000C0C53">
        <w:rPr>
          <w:rFonts w:ascii="Times New Roman" w:eastAsia="Times New Roman" w:hAnsi="Times New Roman" w:cs="Times New Roman"/>
          <w:bCs/>
          <w:kern w:val="0"/>
          <w14:ligatures w14:val="none"/>
        </w:rPr>
        <w:t>rejected</w:t>
      </w:r>
      <w:r w:rsidRPr="000C0C53">
        <w:rPr>
          <w:rFonts w:ascii="Times New Roman" w:eastAsia="Times New Roman" w:hAnsi="Times New Roman" w:cs="Times New Roman"/>
          <w:kern w:val="0"/>
          <w14:ligatures w14:val="none"/>
        </w:rPr>
        <w:t>.</w:t>
      </w:r>
    </w:p>
    <w:p w14:paraId="20D69D1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bCs/>
          <w:kern w:val="0"/>
          <w14:ligatures w14:val="none"/>
        </w:rPr>
        <w:t>H₀₃:</w:t>
      </w:r>
      <w:r w:rsidRPr="000C0C53">
        <w:rPr>
          <w:rFonts w:ascii="Times New Roman" w:eastAsia="Times New Roman" w:hAnsi="Times New Roman" w:cs="Times New Roman"/>
          <w:kern w:val="0"/>
          <w14:ligatures w14:val="none"/>
        </w:rPr>
        <w:t xml:space="preserve"> Data-Driven Personalized Learning has no significant effect on service delivery effectiveness in open distance learning universities. Data-Driven Personalized Learning shows a positive but statistically insignificant effect on service delivery effectiveness (β = 0.294, t = 3.593, p = 0.121). The null hypothesis (H₀₃) is accepted. </w:t>
      </w:r>
    </w:p>
    <w:p w14:paraId="645593B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14:ligatures w14:val="none"/>
        </w:rPr>
      </w:pPr>
      <w:r w:rsidRPr="000C0C53">
        <w:rPr>
          <w:rFonts w:ascii="Times New Roman" w:eastAsia="Times New Roman" w:hAnsi="Times New Roman" w:cs="Times New Roman"/>
          <w:kern w:val="0"/>
          <w14:ligatures w14:val="none"/>
        </w:rPr>
        <w:t xml:space="preserve">The regression model summary presented in Table 4.5 below indicates a moderately strong relationship between the digital service innovation variables and service delivery effectiveness in open distance learning universities. The multiple correlation coefficient (R = 0.644) suggests that variables jointly exhibit a meaningful linear association with student satisfaction. This implies that variations in service delivery effectiveness are systematically linked to changes in these digital service innovation dimensions rather than occurring randomly. </w:t>
      </w:r>
      <w:r w:rsidRPr="000C0C53">
        <w:rPr>
          <w:rFonts w:ascii="Times New Roman" w:eastAsia="Calibri" w:hAnsi="Times New Roman" w:cs="Times New Roman"/>
          <w:kern w:val="0"/>
          <w:lang w:val="en-GB"/>
          <w14:ligatures w14:val="none"/>
        </w:rPr>
        <w:t>The coefficient of determination (R² = 0.414) shows that approximately 41.4% of the variation in service delivery effectiveness is explained by the combined influence of LMS, process automation, and data-driven personalized learning. It means that while digital service innovation explains a substantial portion of service delivery effectiveness, other institutional, pedagogical, and contextual factors not captured in the model also affect student satisfaction outcomes.</w:t>
      </w:r>
    </w:p>
    <w:p w14:paraId="4210F4EA" w14:textId="77777777" w:rsidR="000C0C53" w:rsidRPr="000C0C53" w:rsidRDefault="000C0C53" w:rsidP="000C0C53">
      <w:pPr>
        <w:spacing w:line="240" w:lineRule="auto"/>
        <w:ind w:left="720" w:hanging="720"/>
        <w:jc w:val="both"/>
        <w:rPr>
          <w:rFonts w:ascii="Times New Roman" w:eastAsia="Calibri" w:hAnsi="Times New Roman" w:cs="Times New Roman"/>
          <w:b/>
          <w:bCs/>
          <w:kern w:val="0"/>
          <w:lang w:val="en-GB"/>
          <w14:ligatures w14:val="none"/>
        </w:rPr>
      </w:pPr>
      <w:r w:rsidRPr="000C0C53">
        <w:rPr>
          <w:rFonts w:ascii="Times New Roman" w:eastAsia="Calibri" w:hAnsi="Times New Roman" w:cs="Times New Roman"/>
          <w:b/>
          <w:bCs/>
          <w:kern w:val="0"/>
          <w:lang w:val="en-GB"/>
          <w14:ligatures w14:val="none"/>
        </w:rPr>
        <w:t>Table 4.5 Regression Model Summary</w:t>
      </w:r>
    </w:p>
    <w:tbl>
      <w:tblPr>
        <w:tblW w:w="7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09"/>
        <w:gridCol w:w="1070"/>
        <w:gridCol w:w="1469"/>
        <w:gridCol w:w="1469"/>
        <w:gridCol w:w="1469"/>
      </w:tblGrid>
      <w:tr w:rsidR="000C0C53" w:rsidRPr="000C0C53" w14:paraId="06E1D6B9" w14:textId="77777777" w:rsidTr="00847A67">
        <w:trPr>
          <w:cantSplit/>
        </w:trPr>
        <w:tc>
          <w:tcPr>
            <w:tcW w:w="7263" w:type="dxa"/>
            <w:gridSpan w:val="6"/>
            <w:tcBorders>
              <w:top w:val="nil"/>
              <w:left w:val="nil"/>
              <w:bottom w:val="nil"/>
              <w:right w:val="nil"/>
            </w:tcBorders>
            <w:shd w:val="clear" w:color="auto" w:fill="FFFFFF"/>
          </w:tcPr>
          <w:p w14:paraId="1F9088EE"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b/>
                <w:bCs/>
                <w:color w:val="000000"/>
                <w:kern w:val="0"/>
                <w:sz w:val="18"/>
                <w:szCs w:val="18"/>
                <w:lang w:val="en-GB"/>
                <w14:ligatures w14:val="none"/>
              </w:rPr>
              <w:t xml:space="preserve">Model </w:t>
            </w:r>
            <w:proofErr w:type="spellStart"/>
            <w:r w:rsidRPr="000C0C53">
              <w:rPr>
                <w:rFonts w:ascii="Arial" w:eastAsia="Calibri" w:hAnsi="Arial" w:cs="Arial"/>
                <w:b/>
                <w:bCs/>
                <w:color w:val="000000"/>
                <w:kern w:val="0"/>
                <w:sz w:val="18"/>
                <w:szCs w:val="18"/>
                <w:lang w:val="en-GB"/>
                <w14:ligatures w14:val="none"/>
              </w:rPr>
              <w:t>Summary</w:t>
            </w:r>
            <w:r w:rsidRPr="000C0C53">
              <w:rPr>
                <w:rFonts w:ascii="Arial" w:eastAsia="Calibri" w:hAnsi="Arial" w:cs="Arial"/>
                <w:b/>
                <w:bCs/>
                <w:color w:val="000000"/>
                <w:kern w:val="0"/>
                <w:sz w:val="18"/>
                <w:szCs w:val="18"/>
                <w:vertAlign w:val="superscript"/>
                <w:lang w:val="en-GB"/>
                <w14:ligatures w14:val="none"/>
              </w:rPr>
              <w:t>b</w:t>
            </w:r>
            <w:proofErr w:type="spellEnd"/>
          </w:p>
        </w:tc>
      </w:tr>
      <w:tr w:rsidR="000C0C53" w:rsidRPr="000C0C53" w14:paraId="2C41C8DF" w14:textId="77777777" w:rsidTr="00847A67">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tcPr>
          <w:p w14:paraId="20F73CE4"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Model</w:t>
            </w:r>
          </w:p>
        </w:tc>
        <w:tc>
          <w:tcPr>
            <w:tcW w:w="1009" w:type="dxa"/>
            <w:tcBorders>
              <w:top w:val="single" w:sz="16" w:space="0" w:color="000000"/>
              <w:left w:val="single" w:sz="16" w:space="0" w:color="000000"/>
              <w:bottom w:val="single" w:sz="16" w:space="0" w:color="000000"/>
            </w:tcBorders>
            <w:shd w:val="clear" w:color="auto" w:fill="FFFFFF"/>
          </w:tcPr>
          <w:p w14:paraId="47E7CDD2"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R</w:t>
            </w:r>
          </w:p>
        </w:tc>
        <w:tc>
          <w:tcPr>
            <w:tcW w:w="1070" w:type="dxa"/>
            <w:tcBorders>
              <w:top w:val="single" w:sz="16" w:space="0" w:color="000000"/>
              <w:bottom w:val="single" w:sz="16" w:space="0" w:color="000000"/>
            </w:tcBorders>
            <w:shd w:val="clear" w:color="auto" w:fill="FFFFFF"/>
          </w:tcPr>
          <w:p w14:paraId="22CFC6B6"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R Square</w:t>
            </w:r>
          </w:p>
        </w:tc>
        <w:tc>
          <w:tcPr>
            <w:tcW w:w="1468" w:type="dxa"/>
            <w:tcBorders>
              <w:top w:val="single" w:sz="16" w:space="0" w:color="000000"/>
              <w:bottom w:val="single" w:sz="16" w:space="0" w:color="000000"/>
            </w:tcBorders>
            <w:shd w:val="clear" w:color="auto" w:fill="FFFFFF"/>
          </w:tcPr>
          <w:p w14:paraId="1806EA4B"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Adjusted R Square</w:t>
            </w:r>
          </w:p>
        </w:tc>
        <w:tc>
          <w:tcPr>
            <w:tcW w:w="1468" w:type="dxa"/>
            <w:tcBorders>
              <w:top w:val="single" w:sz="16" w:space="0" w:color="000000"/>
              <w:bottom w:val="single" w:sz="16" w:space="0" w:color="000000"/>
            </w:tcBorders>
            <w:shd w:val="clear" w:color="auto" w:fill="FFFFFF"/>
          </w:tcPr>
          <w:p w14:paraId="5C56FF3C"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Std. Error of the Estimate</w:t>
            </w:r>
          </w:p>
        </w:tc>
        <w:tc>
          <w:tcPr>
            <w:tcW w:w="1468" w:type="dxa"/>
            <w:tcBorders>
              <w:top w:val="single" w:sz="16" w:space="0" w:color="000000"/>
              <w:bottom w:val="single" w:sz="16" w:space="0" w:color="000000"/>
              <w:right w:val="single" w:sz="16" w:space="0" w:color="000000"/>
            </w:tcBorders>
            <w:shd w:val="clear" w:color="auto" w:fill="FFFFFF"/>
          </w:tcPr>
          <w:p w14:paraId="108A7F49" w14:textId="77777777" w:rsidR="000C0C53" w:rsidRPr="000C0C53" w:rsidRDefault="000C0C53" w:rsidP="000C0C53">
            <w:pPr>
              <w:autoSpaceDE w:val="0"/>
              <w:autoSpaceDN w:val="0"/>
              <w:adjustRightInd w:val="0"/>
              <w:spacing w:after="0" w:line="240" w:lineRule="auto"/>
              <w:ind w:left="60" w:right="60"/>
              <w:jc w:val="center"/>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Durbin-Watson</w:t>
            </w:r>
          </w:p>
        </w:tc>
      </w:tr>
      <w:tr w:rsidR="000C0C53" w:rsidRPr="000C0C53" w14:paraId="0007C325" w14:textId="77777777" w:rsidTr="00847A67">
        <w:trPr>
          <w:cantSplit/>
        </w:trPr>
        <w:tc>
          <w:tcPr>
            <w:tcW w:w="78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72C3D313"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w:t>
            </w:r>
          </w:p>
        </w:tc>
        <w:tc>
          <w:tcPr>
            <w:tcW w:w="1009" w:type="dxa"/>
            <w:tcBorders>
              <w:top w:val="single" w:sz="16" w:space="0" w:color="000000"/>
              <w:left w:val="single" w:sz="16" w:space="0" w:color="000000"/>
              <w:bottom w:val="single" w:sz="16" w:space="0" w:color="000000"/>
            </w:tcBorders>
            <w:shd w:val="clear" w:color="auto" w:fill="FFFFFF"/>
            <w:vAlign w:val="center"/>
          </w:tcPr>
          <w:p w14:paraId="5D85655B"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.644</w:t>
            </w:r>
            <w:r w:rsidRPr="000C0C53">
              <w:rPr>
                <w:rFonts w:ascii="Arial" w:eastAsia="Calibri" w:hAnsi="Arial" w:cs="Arial"/>
                <w:color w:val="000000"/>
                <w:kern w:val="0"/>
                <w:sz w:val="18"/>
                <w:szCs w:val="18"/>
                <w:vertAlign w:val="superscript"/>
                <w:lang w:val="en-GB"/>
                <w14:ligatures w14:val="none"/>
              </w:rPr>
              <w:t>a</w:t>
            </w:r>
          </w:p>
        </w:tc>
        <w:tc>
          <w:tcPr>
            <w:tcW w:w="1070" w:type="dxa"/>
            <w:tcBorders>
              <w:top w:val="single" w:sz="16" w:space="0" w:color="000000"/>
              <w:bottom w:val="single" w:sz="16" w:space="0" w:color="000000"/>
            </w:tcBorders>
            <w:shd w:val="clear" w:color="auto" w:fill="FFFFFF"/>
            <w:vAlign w:val="center"/>
          </w:tcPr>
          <w:p w14:paraId="618E2BCC"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.414</w:t>
            </w:r>
          </w:p>
        </w:tc>
        <w:tc>
          <w:tcPr>
            <w:tcW w:w="1468" w:type="dxa"/>
            <w:tcBorders>
              <w:top w:val="single" w:sz="16" w:space="0" w:color="000000"/>
              <w:bottom w:val="single" w:sz="16" w:space="0" w:color="000000"/>
            </w:tcBorders>
            <w:shd w:val="clear" w:color="auto" w:fill="FFFFFF"/>
            <w:vAlign w:val="center"/>
          </w:tcPr>
          <w:p w14:paraId="263325D9"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.407</w:t>
            </w:r>
          </w:p>
        </w:tc>
        <w:tc>
          <w:tcPr>
            <w:tcW w:w="1468" w:type="dxa"/>
            <w:tcBorders>
              <w:top w:val="single" w:sz="16" w:space="0" w:color="000000"/>
              <w:bottom w:val="single" w:sz="16" w:space="0" w:color="000000"/>
            </w:tcBorders>
            <w:shd w:val="clear" w:color="auto" w:fill="FFFFFF"/>
            <w:vAlign w:val="center"/>
          </w:tcPr>
          <w:p w14:paraId="133FCF86"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5.83144</w:t>
            </w:r>
          </w:p>
        </w:tc>
        <w:tc>
          <w:tcPr>
            <w:tcW w:w="1468" w:type="dxa"/>
            <w:tcBorders>
              <w:top w:val="single" w:sz="16" w:space="0" w:color="000000"/>
              <w:bottom w:val="single" w:sz="16" w:space="0" w:color="000000"/>
              <w:right w:val="single" w:sz="16" w:space="0" w:color="000000"/>
            </w:tcBorders>
            <w:shd w:val="clear" w:color="auto" w:fill="FFFFFF"/>
            <w:vAlign w:val="center"/>
          </w:tcPr>
          <w:p w14:paraId="12090B6B" w14:textId="77777777" w:rsidR="000C0C53" w:rsidRPr="000C0C53" w:rsidRDefault="000C0C53" w:rsidP="000C0C53">
            <w:pPr>
              <w:autoSpaceDE w:val="0"/>
              <w:autoSpaceDN w:val="0"/>
              <w:adjustRightInd w:val="0"/>
              <w:spacing w:after="0" w:line="240" w:lineRule="auto"/>
              <w:ind w:left="60" w:right="60"/>
              <w:jc w:val="right"/>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1.292</w:t>
            </w:r>
          </w:p>
        </w:tc>
      </w:tr>
      <w:tr w:rsidR="000C0C53" w:rsidRPr="000C0C53" w14:paraId="62395F62" w14:textId="77777777" w:rsidTr="00847A67">
        <w:trPr>
          <w:cantSplit/>
        </w:trPr>
        <w:tc>
          <w:tcPr>
            <w:tcW w:w="7263" w:type="dxa"/>
            <w:gridSpan w:val="6"/>
            <w:tcBorders>
              <w:top w:val="nil"/>
              <w:left w:val="nil"/>
              <w:bottom w:val="nil"/>
              <w:right w:val="nil"/>
            </w:tcBorders>
            <w:shd w:val="clear" w:color="auto" w:fill="FFFFFF"/>
          </w:tcPr>
          <w:p w14:paraId="44D6098E"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a. Predictors: (Constant), LMS, PRA, DDPL</w:t>
            </w:r>
          </w:p>
        </w:tc>
      </w:tr>
      <w:tr w:rsidR="000C0C53" w:rsidRPr="000C0C53" w14:paraId="6607B832" w14:textId="77777777" w:rsidTr="00847A67">
        <w:trPr>
          <w:cantSplit/>
        </w:trPr>
        <w:tc>
          <w:tcPr>
            <w:tcW w:w="7263" w:type="dxa"/>
            <w:gridSpan w:val="6"/>
            <w:tcBorders>
              <w:top w:val="nil"/>
              <w:left w:val="nil"/>
              <w:bottom w:val="nil"/>
              <w:right w:val="nil"/>
            </w:tcBorders>
            <w:shd w:val="clear" w:color="auto" w:fill="FFFFFF"/>
          </w:tcPr>
          <w:p w14:paraId="4E0D0F10" w14:textId="77777777" w:rsidR="000C0C53" w:rsidRPr="000C0C53" w:rsidRDefault="000C0C53" w:rsidP="000C0C53">
            <w:pPr>
              <w:autoSpaceDE w:val="0"/>
              <w:autoSpaceDN w:val="0"/>
              <w:adjustRightInd w:val="0"/>
              <w:spacing w:after="0" w:line="240" w:lineRule="auto"/>
              <w:ind w:left="60" w:right="60"/>
              <w:rPr>
                <w:rFonts w:ascii="Arial" w:eastAsia="Calibri" w:hAnsi="Arial" w:cs="Arial"/>
                <w:color w:val="000000"/>
                <w:kern w:val="0"/>
                <w:sz w:val="18"/>
                <w:szCs w:val="18"/>
                <w:lang w:val="en-GB"/>
                <w14:ligatures w14:val="none"/>
              </w:rPr>
            </w:pPr>
            <w:r w:rsidRPr="000C0C53">
              <w:rPr>
                <w:rFonts w:ascii="Arial" w:eastAsia="Calibri" w:hAnsi="Arial" w:cs="Arial"/>
                <w:color w:val="000000"/>
                <w:kern w:val="0"/>
                <w:sz w:val="18"/>
                <w:szCs w:val="18"/>
                <w:lang w:val="en-GB"/>
                <w14:ligatures w14:val="none"/>
              </w:rPr>
              <w:t>b. Dependent Variable: SA</w:t>
            </w:r>
          </w:p>
        </w:tc>
      </w:tr>
    </w:tbl>
    <w:p w14:paraId="513238C5" w14:textId="77777777" w:rsidR="000C0C53" w:rsidRPr="000C0C53" w:rsidRDefault="000C0C53" w:rsidP="000C0C53">
      <w:pPr>
        <w:spacing w:line="240" w:lineRule="auto"/>
        <w:ind w:left="720" w:hanging="720"/>
        <w:jc w:val="both"/>
        <w:rPr>
          <w:rFonts w:ascii="Times New Roman" w:eastAsia="Calibri" w:hAnsi="Times New Roman" w:cs="Times New Roman"/>
          <w:kern w:val="0"/>
          <w:lang w:val="en-GB"/>
          <w14:ligatures w14:val="none"/>
        </w:rPr>
      </w:pPr>
      <w:r w:rsidRPr="000C0C53">
        <w:rPr>
          <w:rFonts w:ascii="Times New Roman" w:eastAsia="Calibri" w:hAnsi="Times New Roman" w:cs="Times New Roman"/>
          <w:b/>
          <w:bCs/>
          <w:kern w:val="0"/>
          <w:lang w:val="en-GB"/>
          <w14:ligatures w14:val="none"/>
        </w:rPr>
        <w:t>Source</w:t>
      </w:r>
      <w:r w:rsidRPr="000C0C53">
        <w:rPr>
          <w:rFonts w:ascii="Times New Roman" w:eastAsia="Calibri" w:hAnsi="Times New Roman" w:cs="Times New Roman"/>
          <w:kern w:val="0"/>
          <w:lang w:val="en-GB"/>
          <w14:ligatures w14:val="none"/>
        </w:rPr>
        <w:t>: Author, 2026</w:t>
      </w:r>
    </w:p>
    <w:p w14:paraId="0EB8B8E8"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b/>
          <w:bCs/>
          <w:kern w:val="0"/>
          <w:lang/>
          <w14:ligatures w14:val="none"/>
        </w:rPr>
      </w:pPr>
      <w:r w:rsidRPr="000C0C53">
        <w:rPr>
          <w:rFonts w:ascii="Times New Roman" w:eastAsia="Calibri" w:hAnsi="Times New Roman" w:cs="Times New Roman"/>
          <w:b/>
          <w:bCs/>
          <w:kern w:val="0"/>
          <w:lang/>
          <w14:ligatures w14:val="none"/>
        </w:rPr>
        <w:t xml:space="preserve">Discussion of Results </w:t>
      </w:r>
    </w:p>
    <w:p w14:paraId="5F9A5FDD"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The aim of this study was to examine the effect of digital service innovation on service delivery effectiveness in open distance learning universities, with specific focus on learning management systems, process automation, and data-driven personalised learning as key innovation dimensions. The first finding reveals that a learning management system has a positive and statistically significant effect on service delivery effectiveness (β = 0.588, t = 3.726, p = 0.000). This result implies that investments in robust LMS platforms enhance the quality, accessibility, and responsiveness of academic and administrative services provided to distance learners. The finding aligns with Service-Dominant Logic, which posits that value emerges when students actively engage with institutional service platforms, suggesting that LMS serves as a critical touchpoint where service propositions are transformed into meaningful educational experiences through user interaction. This result is consistent with the empirical work of Riyath and Rijah (2022), who found </w:t>
      </w:r>
      <w:r w:rsidRPr="000C0C53">
        <w:rPr>
          <w:rFonts w:ascii="Times New Roman" w:eastAsia="Calibri" w:hAnsi="Times New Roman" w:cs="Times New Roman"/>
          <w:kern w:val="0"/>
          <w:lang/>
          <w14:ligatures w14:val="none"/>
        </w:rPr>
        <w:lastRenderedPageBreak/>
        <w:t xml:space="preserve">that educator adoption of LMS platforms significantly influences service delivery when platforms are reliable and aligned with instructional tasks. </w:t>
      </w:r>
    </w:p>
    <w:p w14:paraId="405C9B5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14:ligatures w14:val="none"/>
        </w:rPr>
      </w:pPr>
      <w:r w:rsidRPr="000C0C53">
        <w:rPr>
          <w:rFonts w:ascii="Times New Roman" w:eastAsia="Calibri" w:hAnsi="Times New Roman" w:cs="Times New Roman"/>
          <w:kern w:val="0"/>
          <w:lang/>
          <w14:ligatures w14:val="none"/>
        </w:rPr>
        <w:t>The second finding shows that process automation exhibits a positive and statistically significant effect on service delivery effectiveness (β = 0.444, t = 6.581, p = 0.000). This finding indicates that automating routine academic and administrative processes such as admissions, fee processing, academic record management, and student support services enhances operational efficiency and reduces service delivery bottlenecks. Through the lens of Service-Dominant Logic, automation eliminates friction in service interactions, enabling students to co-create value more effectively by accessing resources and completing transactions with minimal procedural barriers. The implication is that open distance learning universities serving geographically dispersed populations benefit substantially from automation, which improves transparency, service responsiveness, and overall student experience. This finding corroborates the work of Habib et al. (2020), who documented that institution-wide automation at City University of Science and Information Technology reduced manual paperwork, strengthened coordination across academic units, and improved students' continuous access to learning resources. It also aligns with Martins et al. (2019), who established that system quality and service quality in automated Education Management Information Systems significantly predict student satisfaction and continued system use in higher education contexts.</w:t>
      </w:r>
      <w:r w:rsidRPr="000C0C53">
        <w:rPr>
          <w:rFonts w:ascii="Times New Roman" w:eastAsia="Calibri" w:hAnsi="Times New Roman" w:cs="Times New Roman"/>
          <w:kern w:val="0"/>
          <w:lang/>
          <w14:ligatures w14:val="none"/>
        </w:rPr>
        <w:br/>
        <w:t>The third finding reveals that data-driven personalized learning shows a positive but statistically insignificant effect on service delivery effectiveness (β = 0.294, t = 3.593, p = 0.121). Although the relationship is positive, the lack of statistical significance suggests that personalised learning interventions, while conceptually valuable, may not yet be sufficiently embedded or mature within the sampled institutions to produce measurable improvements in service delivery effectiveness. This finding contrasts with the experimental evidence of Naseer et al. (2024), who found that AI-driven adaptive learning platforms significantly improved academic performance and student satisfaction in controlled settings. However, it aligns with Al-Zahrani and Alasmari (2023), who found that while learning analytics can predict engagement patterns, translation into improved service outcomes depends heavily on instructors' capacity to adjust instructional strategies in real time. The implication is that data-driven personalisation, though promising, requires more intentional institutional investment in both technological infrastructure and human capacity development before its full potential for enhancing service delivery effectiveness can be realised in open distance learning contexts.</w:t>
      </w:r>
      <w:r w:rsidRPr="000C0C53">
        <w:rPr>
          <w:rFonts w:ascii="Times New Roman" w:eastAsia="Calibri" w:hAnsi="Times New Roman" w:cs="Times New Roman"/>
          <w:kern w:val="0"/>
          <w:lang/>
          <w14:ligatures w14:val="none"/>
        </w:rPr>
        <w:br/>
      </w:r>
    </w:p>
    <w:p w14:paraId="3BC054B0"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kern w:val="0"/>
          <w14:ligatures w14:val="none"/>
        </w:rPr>
      </w:pPr>
      <w:r w:rsidRPr="000C0C53">
        <w:rPr>
          <w:rFonts w:ascii="Times New Roman" w:eastAsia="Times New Roman" w:hAnsi="Times New Roman" w:cs="Times New Roman"/>
          <w:b/>
          <w:kern w:val="0"/>
          <w14:ligatures w14:val="none"/>
        </w:rPr>
        <w:t>Conclusion and Recommendations</w:t>
      </w:r>
    </w:p>
    <w:p w14:paraId="5C7DB5FC" w14:textId="77777777" w:rsidR="000C0C53" w:rsidRPr="000C0C53" w:rsidRDefault="000C0C53" w:rsidP="000C0C53">
      <w:pPr>
        <w:spacing w:before="100" w:beforeAutospacing="1" w:after="100" w:afterAutospacing="1" w:line="240" w:lineRule="auto"/>
        <w:jc w:val="both"/>
        <w:rPr>
          <w:rFonts w:ascii="Times New Roman" w:eastAsia="Calibri" w:hAnsi="Times New Roman" w:cs="Times New Roman"/>
          <w:kern w:val="0"/>
          <w:lang/>
          <w14:ligatures w14:val="none"/>
        </w:rPr>
      </w:pPr>
      <w:r w:rsidRPr="000C0C53">
        <w:rPr>
          <w:rFonts w:ascii="Times New Roman" w:eastAsia="Calibri" w:hAnsi="Times New Roman" w:cs="Times New Roman"/>
          <w:kern w:val="0"/>
          <w:lang/>
          <w14:ligatures w14:val="none"/>
        </w:rPr>
        <w:t xml:space="preserve">This study examined the effect of digital service innovation on service delivery effectiveness in open distance learning (ODL) universities in Nigeria, with specific attention to learning management systems (LMS), process automation, and data-driven personalised learning. The empirical results show that digital service innovation matters for service delivery outcomes, although its effects are uneven across dimensions. LMS and process automation exerted positive and statistically significant effects on service delivery effectiveness, while data-driven personalised learning, though positive, did not attain statistical significance. The model further indicates that digital service innovation explains a meaningful share of variations in service delivery effectiveness, which confirms that service outcomes in ODL contexts are systematically affected by digital infrastructure and institutional service processes rather than by chance. These </w:t>
      </w:r>
      <w:r w:rsidRPr="000C0C53">
        <w:rPr>
          <w:rFonts w:ascii="Times New Roman" w:eastAsia="Calibri" w:hAnsi="Times New Roman" w:cs="Times New Roman"/>
          <w:kern w:val="0"/>
          <w:lang/>
          <w14:ligatures w14:val="none"/>
        </w:rPr>
        <w:lastRenderedPageBreak/>
        <w:t>findings support the view that effective service delivery in distance education is increasingly contingent on the quality and maturity of digital service systems that mediate institutional–student interactions.</w:t>
      </w:r>
    </w:p>
    <w:p w14:paraId="5DBB5A6A"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14:ligatures w14:val="none"/>
        </w:rPr>
      </w:pPr>
      <w:r w:rsidRPr="000C0C53">
        <w:rPr>
          <w:rFonts w:ascii="Times New Roman" w:eastAsia="Calibri" w:hAnsi="Times New Roman" w:cs="Times New Roman"/>
          <w:kern w:val="0"/>
          <w:lang/>
          <w14:ligatures w14:val="none"/>
        </w:rPr>
        <w:t>Based on these findings, recommendations are provided as follows. First, ODL universities should prioritise continuous upgrading and integration of LMS platforms, with emphasis on usability, system reliability, mobile compatibility, and seamless linkage with administrative systems. Second, institutions should accelerate end-to-end process automation across student-facing services, particularly in admissions, registration, fee processing, academic records management, and learner support, to reduce service delivery frictions. Third, targeted capacity-building programmes should be implemented to equip academic and administrative staff with skills in digital service management and learning analytics, thereby enabling the gradual institutionalisation of data-driven personalisation. Fourth, national regulatory and quality assurance bodies should develop minimum digital service delivery standards for ODL institutions to promote consistency in service quality and protect student interests.</w:t>
      </w:r>
      <w:r w:rsidRPr="000C0C53">
        <w:rPr>
          <w:rFonts w:ascii="Times New Roman" w:eastAsia="Calibri" w:hAnsi="Times New Roman" w:cs="Times New Roman"/>
          <w:kern w:val="0"/>
          <w:lang/>
          <w14:ligatures w14:val="none"/>
        </w:rPr>
        <w:br/>
      </w:r>
    </w:p>
    <w:p w14:paraId="7788747D" w14:textId="77777777" w:rsidR="000C0C53" w:rsidRPr="000C0C53" w:rsidRDefault="000C0C53" w:rsidP="000C0C53">
      <w:pPr>
        <w:spacing w:line="240" w:lineRule="auto"/>
        <w:jc w:val="both"/>
        <w:rPr>
          <w:rFonts w:ascii="Times New Roman" w:eastAsia="Calibri" w:hAnsi="Times New Roman" w:cs="Times New Roman"/>
          <w:b/>
          <w:kern w:val="0"/>
          <w:shd w:val="clear" w:color="auto" w:fill="FFFFFF"/>
          <w:lang w:val="en-GB"/>
          <w14:ligatures w14:val="none"/>
        </w:rPr>
      </w:pPr>
    </w:p>
    <w:p w14:paraId="48E9D366" w14:textId="77777777" w:rsidR="000C0C53" w:rsidRPr="000C0C53" w:rsidRDefault="000C0C53" w:rsidP="000C0C53">
      <w:pPr>
        <w:spacing w:line="240" w:lineRule="auto"/>
        <w:jc w:val="both"/>
        <w:rPr>
          <w:rFonts w:ascii="Times New Roman" w:eastAsia="Calibri" w:hAnsi="Times New Roman" w:cs="Times New Roman"/>
          <w:b/>
          <w:kern w:val="0"/>
          <w:shd w:val="clear" w:color="auto" w:fill="FFFFFF"/>
          <w:lang w:val="en-GB"/>
          <w14:ligatures w14:val="none"/>
        </w:rPr>
      </w:pPr>
    </w:p>
    <w:p w14:paraId="4D5FD0C9" w14:textId="77777777" w:rsidR="000C0C53" w:rsidRPr="000C0C53" w:rsidRDefault="000C0C53" w:rsidP="000C0C53">
      <w:pPr>
        <w:spacing w:line="240" w:lineRule="auto"/>
        <w:jc w:val="both"/>
        <w:rPr>
          <w:rFonts w:ascii="Times New Roman" w:eastAsia="Calibri" w:hAnsi="Times New Roman" w:cs="Times New Roman"/>
          <w:b/>
          <w:kern w:val="0"/>
          <w:shd w:val="clear" w:color="auto" w:fill="FFFFFF"/>
          <w:lang w:val="en-GB"/>
          <w14:ligatures w14:val="none"/>
        </w:rPr>
      </w:pPr>
    </w:p>
    <w:p w14:paraId="6FD99BF6" w14:textId="77777777" w:rsidR="000C0C53" w:rsidRPr="000C0C53" w:rsidRDefault="000C0C53" w:rsidP="000C0C53">
      <w:pPr>
        <w:spacing w:line="240" w:lineRule="auto"/>
        <w:jc w:val="both"/>
        <w:rPr>
          <w:rFonts w:ascii="Times New Roman" w:eastAsia="Calibri" w:hAnsi="Times New Roman" w:cs="Times New Roman"/>
          <w:b/>
          <w:kern w:val="0"/>
          <w:shd w:val="clear" w:color="auto" w:fill="FFFFFF"/>
          <w:lang w:val="en-GB"/>
          <w14:ligatures w14:val="none"/>
        </w:rPr>
      </w:pPr>
      <w:r w:rsidRPr="000C0C53">
        <w:rPr>
          <w:rFonts w:ascii="Times New Roman" w:eastAsia="Calibri" w:hAnsi="Times New Roman" w:cs="Times New Roman"/>
          <w:b/>
          <w:kern w:val="0"/>
          <w:shd w:val="clear" w:color="auto" w:fill="FFFFFF"/>
          <w:lang w:val="en-GB"/>
          <w14:ligatures w14:val="none"/>
        </w:rPr>
        <w:t>References</w:t>
      </w:r>
    </w:p>
    <w:p w14:paraId="0A41309F" w14:textId="77777777" w:rsidR="000C0C53" w:rsidRPr="000C0C53" w:rsidRDefault="000C0C53" w:rsidP="000C0C53">
      <w:pPr>
        <w:spacing w:line="240" w:lineRule="auto"/>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Alam, M. M., Ahmad, N., Naveed, Q. N., Patel, A., </w:t>
      </w:r>
      <w:proofErr w:type="spellStart"/>
      <w:r w:rsidRPr="000C0C53">
        <w:rPr>
          <w:rFonts w:ascii="Times New Roman" w:eastAsia="Calibri" w:hAnsi="Times New Roman" w:cs="Times New Roman"/>
          <w:kern w:val="0"/>
          <w:shd w:val="clear" w:color="auto" w:fill="FFFFFF"/>
          <w:lang w:val="en-GB"/>
          <w14:ligatures w14:val="none"/>
        </w:rPr>
        <w:t>Abohashrh</w:t>
      </w:r>
      <w:proofErr w:type="spellEnd"/>
      <w:r w:rsidRPr="000C0C53">
        <w:rPr>
          <w:rFonts w:ascii="Times New Roman" w:eastAsia="Calibri" w:hAnsi="Times New Roman" w:cs="Times New Roman"/>
          <w:kern w:val="0"/>
          <w:shd w:val="clear" w:color="auto" w:fill="FFFFFF"/>
          <w:lang w:val="en-GB"/>
          <w14:ligatures w14:val="none"/>
        </w:rPr>
        <w:t xml:space="preserve">, M., &amp; Khaleel, M. A. (2021). </w:t>
      </w:r>
      <w:r w:rsidRPr="000C0C53">
        <w:rPr>
          <w:rFonts w:ascii="Times New Roman" w:eastAsia="Calibri" w:hAnsi="Times New Roman" w:cs="Times New Roman"/>
          <w:kern w:val="0"/>
          <w:shd w:val="clear" w:color="auto" w:fill="FFFFFF"/>
          <w:lang w:val="en-GB"/>
          <w14:ligatures w14:val="none"/>
        </w:rPr>
        <w:tab/>
        <w:t xml:space="preserve">E-learning services to achieve sustainable learning and academic performance: An </w:t>
      </w:r>
      <w:r w:rsidRPr="000C0C53">
        <w:rPr>
          <w:rFonts w:ascii="Times New Roman" w:eastAsia="Calibri" w:hAnsi="Times New Roman" w:cs="Times New Roman"/>
          <w:kern w:val="0"/>
          <w:shd w:val="clear" w:color="auto" w:fill="FFFFFF"/>
          <w:lang w:val="en-GB"/>
          <w14:ligatures w14:val="none"/>
        </w:rPr>
        <w:tab/>
        <w:t>empirical study. </w:t>
      </w:r>
      <w:r w:rsidRPr="000C0C53">
        <w:rPr>
          <w:rFonts w:ascii="Times New Roman" w:eastAsia="Calibri" w:hAnsi="Times New Roman" w:cs="Times New Roman"/>
          <w:i/>
          <w:iCs/>
          <w:kern w:val="0"/>
          <w:shd w:val="clear" w:color="auto" w:fill="FFFFFF"/>
          <w:lang w:val="en-GB"/>
          <w14:ligatures w14:val="none"/>
        </w:rPr>
        <w:t>Sustainability</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13</w:t>
      </w:r>
      <w:r w:rsidRPr="000C0C53">
        <w:rPr>
          <w:rFonts w:ascii="Times New Roman" w:eastAsia="Calibri" w:hAnsi="Times New Roman" w:cs="Times New Roman"/>
          <w:kern w:val="0"/>
          <w:shd w:val="clear" w:color="auto" w:fill="FFFFFF"/>
          <w:lang w:val="en-GB"/>
          <w14:ligatures w14:val="none"/>
        </w:rPr>
        <w:t>(5), 2653.</w:t>
      </w:r>
    </w:p>
    <w:p w14:paraId="01F2E7CE" w14:textId="77777777" w:rsidR="000C0C53" w:rsidRPr="000C0C53" w:rsidRDefault="000C0C53" w:rsidP="000C0C53">
      <w:pPr>
        <w:spacing w:after="0"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Al-</w:t>
      </w:r>
      <w:proofErr w:type="spellStart"/>
      <w:r w:rsidRPr="000C0C53">
        <w:rPr>
          <w:rFonts w:ascii="Times New Roman" w:eastAsia="Calibri" w:hAnsi="Times New Roman" w:cs="Times New Roman"/>
          <w:kern w:val="0"/>
          <w:shd w:val="clear" w:color="auto" w:fill="FFFFFF"/>
          <w:lang w:val="en-GB"/>
          <w14:ligatures w14:val="none"/>
        </w:rPr>
        <w:t>Fraihat</w:t>
      </w:r>
      <w:proofErr w:type="spellEnd"/>
      <w:r w:rsidRPr="000C0C53">
        <w:rPr>
          <w:rFonts w:ascii="Times New Roman" w:eastAsia="Calibri" w:hAnsi="Times New Roman" w:cs="Times New Roman"/>
          <w:kern w:val="0"/>
          <w:shd w:val="clear" w:color="auto" w:fill="FFFFFF"/>
          <w:lang w:val="en-GB"/>
          <w14:ligatures w14:val="none"/>
        </w:rPr>
        <w:t xml:space="preserve">, D., Alshahrani, A. M., </w:t>
      </w:r>
      <w:proofErr w:type="spellStart"/>
      <w:r w:rsidRPr="000C0C53">
        <w:rPr>
          <w:rFonts w:ascii="Times New Roman" w:eastAsia="Calibri" w:hAnsi="Times New Roman" w:cs="Times New Roman"/>
          <w:kern w:val="0"/>
          <w:shd w:val="clear" w:color="auto" w:fill="FFFFFF"/>
          <w:lang w:val="en-GB"/>
          <w14:ligatures w14:val="none"/>
        </w:rPr>
        <w:t>Alzaidi</w:t>
      </w:r>
      <w:proofErr w:type="spellEnd"/>
      <w:r w:rsidRPr="000C0C53">
        <w:rPr>
          <w:rFonts w:ascii="Times New Roman" w:eastAsia="Calibri" w:hAnsi="Times New Roman" w:cs="Times New Roman"/>
          <w:kern w:val="0"/>
          <w:shd w:val="clear" w:color="auto" w:fill="FFFFFF"/>
          <w:lang w:val="en-GB"/>
          <w14:ligatures w14:val="none"/>
        </w:rPr>
        <w:t>, M., Shaikh, A. A., Al-Obeidallah, M., &amp; Al-</w:t>
      </w:r>
      <w:proofErr w:type="spellStart"/>
      <w:r w:rsidRPr="000C0C53">
        <w:rPr>
          <w:rFonts w:ascii="Times New Roman" w:eastAsia="Calibri" w:hAnsi="Times New Roman" w:cs="Times New Roman"/>
          <w:kern w:val="0"/>
          <w:shd w:val="clear" w:color="auto" w:fill="FFFFFF"/>
          <w:lang w:val="en-GB"/>
          <w14:ligatures w14:val="none"/>
        </w:rPr>
        <w:t>Okaily</w:t>
      </w:r>
      <w:proofErr w:type="spellEnd"/>
      <w:r w:rsidRPr="000C0C53">
        <w:rPr>
          <w:rFonts w:ascii="Times New Roman" w:eastAsia="Calibri" w:hAnsi="Times New Roman" w:cs="Times New Roman"/>
          <w:kern w:val="0"/>
          <w:shd w:val="clear" w:color="auto" w:fill="FFFFFF"/>
          <w:lang w:val="en-GB"/>
          <w14:ligatures w14:val="none"/>
        </w:rPr>
        <w:t>, M. (2025). Exploring students’ perceptions of the design and use of the Moodle learning management system. </w:t>
      </w:r>
      <w:r w:rsidRPr="000C0C53">
        <w:rPr>
          <w:rFonts w:ascii="Times New Roman" w:eastAsia="Calibri" w:hAnsi="Times New Roman" w:cs="Times New Roman"/>
          <w:i/>
          <w:iCs/>
          <w:kern w:val="0"/>
          <w:shd w:val="clear" w:color="auto" w:fill="FFFFFF"/>
          <w:lang w:val="en-GB"/>
          <w14:ligatures w14:val="none"/>
        </w:rPr>
        <w:t xml:space="preserve">Computers in Human </w:t>
      </w:r>
      <w:proofErr w:type="spellStart"/>
      <w:r w:rsidRPr="000C0C53">
        <w:rPr>
          <w:rFonts w:ascii="Times New Roman" w:eastAsia="Calibri" w:hAnsi="Times New Roman" w:cs="Times New Roman"/>
          <w:i/>
          <w:iCs/>
          <w:kern w:val="0"/>
          <w:shd w:val="clear" w:color="auto" w:fill="FFFFFF"/>
          <w:lang w:val="en-GB"/>
          <w14:ligatures w14:val="none"/>
        </w:rPr>
        <w:t>Behavior</w:t>
      </w:r>
      <w:proofErr w:type="spellEnd"/>
      <w:r w:rsidRPr="000C0C53">
        <w:rPr>
          <w:rFonts w:ascii="Times New Roman" w:eastAsia="Calibri" w:hAnsi="Times New Roman" w:cs="Times New Roman"/>
          <w:i/>
          <w:iCs/>
          <w:kern w:val="0"/>
          <w:shd w:val="clear" w:color="auto" w:fill="FFFFFF"/>
          <w:lang w:val="en-GB"/>
          <w14:ligatures w14:val="none"/>
        </w:rPr>
        <w:t xml:space="preserve"> Reports</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18</w:t>
      </w:r>
      <w:r w:rsidRPr="000C0C53">
        <w:rPr>
          <w:rFonts w:ascii="Times New Roman" w:eastAsia="Calibri" w:hAnsi="Times New Roman" w:cs="Times New Roman"/>
          <w:kern w:val="0"/>
          <w:shd w:val="clear" w:color="auto" w:fill="FFFFFF"/>
          <w:lang w:val="en-GB"/>
          <w14:ligatures w14:val="none"/>
        </w:rPr>
        <w:t>, 100685.</w:t>
      </w:r>
    </w:p>
    <w:p w14:paraId="5EB38B79"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color w:val="222222"/>
          <w:kern w:val="0"/>
          <w:shd w:val="clear" w:color="auto" w:fill="FFFFFF"/>
          <w:lang w:val="en-GB"/>
          <w14:ligatures w14:val="none"/>
        </w:rPr>
        <w:t xml:space="preserve">Al-Zahrani, A. M., &amp; </w:t>
      </w:r>
      <w:proofErr w:type="spellStart"/>
      <w:r w:rsidRPr="000C0C53">
        <w:rPr>
          <w:rFonts w:ascii="Times New Roman" w:eastAsia="Calibri" w:hAnsi="Times New Roman" w:cs="Times New Roman"/>
          <w:color w:val="222222"/>
          <w:kern w:val="0"/>
          <w:shd w:val="clear" w:color="auto" w:fill="FFFFFF"/>
          <w:lang w:val="en-GB"/>
          <w14:ligatures w14:val="none"/>
        </w:rPr>
        <w:t>Alasmari</w:t>
      </w:r>
      <w:proofErr w:type="spellEnd"/>
      <w:r w:rsidRPr="000C0C53">
        <w:rPr>
          <w:rFonts w:ascii="Times New Roman" w:eastAsia="Calibri" w:hAnsi="Times New Roman" w:cs="Times New Roman"/>
          <w:color w:val="222222"/>
          <w:kern w:val="0"/>
          <w:shd w:val="clear" w:color="auto" w:fill="FFFFFF"/>
          <w:lang w:val="en-GB"/>
          <w14:ligatures w14:val="none"/>
        </w:rPr>
        <w:t>, T. (2023). Learning analytics for data-driven decision making: Enhancing instructional personalization and student engagement in online higher education. </w:t>
      </w:r>
      <w:r w:rsidRPr="000C0C53">
        <w:rPr>
          <w:rFonts w:ascii="Times New Roman" w:eastAsia="Calibri" w:hAnsi="Times New Roman" w:cs="Times New Roman"/>
          <w:i/>
          <w:iCs/>
          <w:color w:val="222222"/>
          <w:kern w:val="0"/>
          <w:shd w:val="clear" w:color="auto" w:fill="FFFFFF"/>
          <w:lang w:val="en-GB"/>
          <w14:ligatures w14:val="none"/>
        </w:rPr>
        <w:t>International Journal of Online Pedagogy and Course Design (IJOPCD)</w:t>
      </w:r>
      <w:r w:rsidRPr="000C0C53">
        <w:rPr>
          <w:rFonts w:ascii="Times New Roman" w:eastAsia="Calibri" w:hAnsi="Times New Roman" w:cs="Times New Roman"/>
          <w:color w:val="222222"/>
          <w:kern w:val="0"/>
          <w:shd w:val="clear" w:color="auto" w:fill="FFFFFF"/>
          <w:lang w:val="en-GB"/>
          <w14:ligatures w14:val="none"/>
        </w:rPr>
        <w:t>, </w:t>
      </w:r>
      <w:r w:rsidRPr="000C0C53">
        <w:rPr>
          <w:rFonts w:ascii="Times New Roman" w:eastAsia="Calibri" w:hAnsi="Times New Roman" w:cs="Times New Roman"/>
          <w:i/>
          <w:iCs/>
          <w:color w:val="222222"/>
          <w:kern w:val="0"/>
          <w:shd w:val="clear" w:color="auto" w:fill="FFFFFF"/>
          <w:lang w:val="en-GB"/>
          <w14:ligatures w14:val="none"/>
        </w:rPr>
        <w:t>13</w:t>
      </w:r>
      <w:r w:rsidRPr="000C0C53">
        <w:rPr>
          <w:rFonts w:ascii="Times New Roman" w:eastAsia="Calibri" w:hAnsi="Times New Roman" w:cs="Times New Roman"/>
          <w:color w:val="222222"/>
          <w:kern w:val="0"/>
          <w:shd w:val="clear" w:color="auto" w:fill="FFFFFF"/>
          <w:lang w:val="en-GB"/>
          <w14:ligatures w14:val="none"/>
        </w:rPr>
        <w:t>(1), 1-18.</w:t>
      </w:r>
    </w:p>
    <w:p w14:paraId="28FA7F4C"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Alzahrani, Latifa, and Kavita Panwar Seth. "Factors influencing students’ satisfaction with continuous use of learning management systems during the COVID-19 pandemic: An empirical study." </w:t>
      </w:r>
      <w:r w:rsidRPr="000C0C53">
        <w:rPr>
          <w:rFonts w:ascii="Times New Roman" w:eastAsia="Calibri" w:hAnsi="Times New Roman" w:cs="Times New Roman"/>
          <w:i/>
          <w:iCs/>
          <w:kern w:val="0"/>
          <w:shd w:val="clear" w:color="auto" w:fill="FFFFFF"/>
          <w:lang w:val="en-GB"/>
          <w14:ligatures w14:val="none"/>
        </w:rPr>
        <w:t>Education and information technologies</w:t>
      </w:r>
      <w:r w:rsidRPr="000C0C53">
        <w:rPr>
          <w:rFonts w:ascii="Times New Roman" w:eastAsia="Calibri" w:hAnsi="Times New Roman" w:cs="Times New Roman"/>
          <w:kern w:val="0"/>
          <w:shd w:val="clear" w:color="auto" w:fill="FFFFFF"/>
          <w:lang w:val="en-GB"/>
          <w14:ligatures w14:val="none"/>
        </w:rPr>
        <w:t> 26.6 (2021): 6787-6805.</w:t>
      </w:r>
    </w:p>
    <w:p w14:paraId="2CF24507"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Amin, M. R. M., Ismail, I., &amp; Sivakumaran, V. M. (2025). Revolutionizing education with artificial intelligence (AI)? Challenges, and implications for open and distance learning (ODL). </w:t>
      </w:r>
      <w:r w:rsidRPr="000C0C53">
        <w:rPr>
          <w:rFonts w:ascii="Times New Roman" w:eastAsia="Calibri" w:hAnsi="Times New Roman" w:cs="Times New Roman"/>
          <w:i/>
          <w:iCs/>
          <w:kern w:val="0"/>
          <w:shd w:val="clear" w:color="auto" w:fill="FFFFFF"/>
          <w:lang w:val="en-GB"/>
          <w14:ligatures w14:val="none"/>
        </w:rPr>
        <w:t>Social Sciences &amp; Humanities Open</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11</w:t>
      </w:r>
      <w:r w:rsidRPr="000C0C53">
        <w:rPr>
          <w:rFonts w:ascii="Times New Roman" w:eastAsia="Calibri" w:hAnsi="Times New Roman" w:cs="Times New Roman"/>
          <w:kern w:val="0"/>
          <w:shd w:val="clear" w:color="auto" w:fill="FFFFFF"/>
          <w:lang w:val="en-GB"/>
          <w14:ligatures w14:val="none"/>
        </w:rPr>
        <w:t>, 101308.</w:t>
      </w:r>
    </w:p>
    <w:p w14:paraId="654EDCC8" w14:textId="77777777" w:rsidR="000C0C53" w:rsidRPr="000C0C53" w:rsidRDefault="000C0C53" w:rsidP="000C0C53">
      <w:pPr>
        <w:spacing w:after="0"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Culcasi, I., Cinque, M., Manasia, L., &amp; </w:t>
      </w:r>
      <w:proofErr w:type="spellStart"/>
      <w:r w:rsidRPr="000C0C53">
        <w:rPr>
          <w:rFonts w:ascii="Times New Roman" w:eastAsia="Calibri" w:hAnsi="Times New Roman" w:cs="Times New Roman"/>
          <w:kern w:val="0"/>
          <w:shd w:val="clear" w:color="auto" w:fill="FFFFFF"/>
          <w:lang w:val="en-GB"/>
          <w14:ligatures w14:val="none"/>
        </w:rPr>
        <w:t>Ianoș</w:t>
      </w:r>
      <w:proofErr w:type="spellEnd"/>
      <w:r w:rsidRPr="000C0C53">
        <w:rPr>
          <w:rFonts w:ascii="Times New Roman" w:eastAsia="Calibri" w:hAnsi="Times New Roman" w:cs="Times New Roman"/>
          <w:kern w:val="0"/>
          <w:shd w:val="clear" w:color="auto" w:fill="FFFFFF"/>
          <w:lang w:val="en-GB"/>
          <w14:ligatures w14:val="none"/>
        </w:rPr>
        <w:t>, G. (2023). e-Service-Learning for more digital and inclusive EU Higher Education systems: a new e-SL Design Framework. </w:t>
      </w:r>
      <w:r w:rsidRPr="000C0C53">
        <w:rPr>
          <w:rFonts w:ascii="Times New Roman" w:eastAsia="Calibri" w:hAnsi="Times New Roman" w:cs="Times New Roman"/>
          <w:i/>
          <w:iCs/>
          <w:kern w:val="0"/>
          <w:shd w:val="clear" w:color="auto" w:fill="FFFFFF"/>
          <w:lang w:val="en-GB"/>
          <w14:ligatures w14:val="none"/>
        </w:rPr>
        <w:t xml:space="preserve">RIDAS. Revista Iberoamericana de </w:t>
      </w:r>
      <w:proofErr w:type="spellStart"/>
      <w:r w:rsidRPr="000C0C53">
        <w:rPr>
          <w:rFonts w:ascii="Times New Roman" w:eastAsia="Calibri" w:hAnsi="Times New Roman" w:cs="Times New Roman"/>
          <w:i/>
          <w:iCs/>
          <w:kern w:val="0"/>
          <w:shd w:val="clear" w:color="auto" w:fill="FFFFFF"/>
          <w:lang w:val="en-GB"/>
          <w14:ligatures w14:val="none"/>
        </w:rPr>
        <w:t>Aprendizaje</w:t>
      </w:r>
      <w:proofErr w:type="spellEnd"/>
      <w:r w:rsidRPr="000C0C53">
        <w:rPr>
          <w:rFonts w:ascii="Times New Roman" w:eastAsia="Calibri" w:hAnsi="Times New Roman" w:cs="Times New Roman"/>
          <w:i/>
          <w:iCs/>
          <w:kern w:val="0"/>
          <w:shd w:val="clear" w:color="auto" w:fill="FFFFFF"/>
          <w:lang w:val="en-GB"/>
          <w14:ligatures w14:val="none"/>
        </w:rPr>
        <w:t>-Servicio</w:t>
      </w:r>
      <w:r w:rsidRPr="000C0C53">
        <w:rPr>
          <w:rFonts w:ascii="Times New Roman" w:eastAsia="Calibri" w:hAnsi="Times New Roman" w:cs="Times New Roman"/>
          <w:kern w:val="0"/>
          <w:shd w:val="clear" w:color="auto" w:fill="FFFFFF"/>
          <w:lang w:val="en-GB"/>
          <w14:ligatures w14:val="none"/>
        </w:rPr>
        <w:t>, (16), 159-182.</w:t>
      </w:r>
    </w:p>
    <w:p w14:paraId="1D78CA30"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Gryzun, L. E., &amp; </w:t>
      </w:r>
      <w:proofErr w:type="spellStart"/>
      <w:r w:rsidRPr="000C0C53">
        <w:rPr>
          <w:rFonts w:ascii="Times New Roman" w:eastAsia="Calibri" w:hAnsi="Times New Roman" w:cs="Times New Roman"/>
          <w:kern w:val="0"/>
          <w:shd w:val="clear" w:color="auto" w:fill="FFFFFF"/>
          <w:lang w:val="en-GB"/>
          <w14:ligatures w14:val="none"/>
        </w:rPr>
        <w:t>Tokariev</w:t>
      </w:r>
      <w:proofErr w:type="spellEnd"/>
      <w:r w:rsidRPr="000C0C53">
        <w:rPr>
          <w:rFonts w:ascii="Times New Roman" w:eastAsia="Calibri" w:hAnsi="Times New Roman" w:cs="Times New Roman"/>
          <w:kern w:val="0"/>
          <w:shd w:val="clear" w:color="auto" w:fill="FFFFFF"/>
          <w:lang w:val="en-GB"/>
          <w14:ligatures w14:val="none"/>
        </w:rPr>
        <w:t>, V. V. (2023). Mobile applications design for digital education: IT-students' engagement experience on conditions of online learning the course" Mobile technologies". In </w:t>
      </w:r>
      <w:proofErr w:type="spellStart"/>
      <w:r w:rsidRPr="000C0C53">
        <w:rPr>
          <w:rFonts w:ascii="Times New Roman" w:eastAsia="Calibri" w:hAnsi="Times New Roman" w:cs="Times New Roman"/>
          <w:i/>
          <w:iCs/>
          <w:kern w:val="0"/>
          <w:shd w:val="clear" w:color="auto" w:fill="FFFFFF"/>
          <w:lang w:val="en-GB"/>
          <w14:ligatures w14:val="none"/>
        </w:rPr>
        <w:t>DigiTransfEd</w:t>
      </w:r>
      <w:proofErr w:type="spellEnd"/>
      <w:r w:rsidRPr="000C0C53">
        <w:rPr>
          <w:rFonts w:ascii="Times New Roman" w:eastAsia="Calibri" w:hAnsi="Times New Roman" w:cs="Times New Roman"/>
          <w:i/>
          <w:iCs/>
          <w:kern w:val="0"/>
          <w:shd w:val="clear" w:color="auto" w:fill="FFFFFF"/>
          <w:lang w:val="en-GB"/>
          <w14:ligatures w14:val="none"/>
        </w:rPr>
        <w:t>@ ICTERI</w:t>
      </w:r>
      <w:r w:rsidRPr="000C0C53">
        <w:rPr>
          <w:rFonts w:ascii="Times New Roman" w:eastAsia="Calibri" w:hAnsi="Times New Roman" w:cs="Times New Roman"/>
          <w:kern w:val="0"/>
          <w:shd w:val="clear" w:color="auto" w:fill="FFFFFF"/>
          <w:lang w:val="en-GB"/>
          <w14:ligatures w14:val="none"/>
        </w:rPr>
        <w:t> (pp. 110-123).</w:t>
      </w:r>
    </w:p>
    <w:p w14:paraId="3DF14BA2"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color w:val="222222"/>
          <w:kern w:val="0"/>
          <w:shd w:val="clear" w:color="auto" w:fill="FFFFFF"/>
          <w:lang w:val="en-GB"/>
          <w14:ligatures w14:val="none"/>
        </w:rPr>
        <w:lastRenderedPageBreak/>
        <w:t>Habib, M. N., Jamal, W., Khalil, U., &amp; Khan, Z. (2021). Transforming universities in interactive digital platform: case of City University of science and information technology. </w:t>
      </w:r>
      <w:r w:rsidRPr="000C0C53">
        <w:rPr>
          <w:rFonts w:ascii="Times New Roman" w:eastAsia="Calibri" w:hAnsi="Times New Roman" w:cs="Times New Roman"/>
          <w:i/>
          <w:iCs/>
          <w:color w:val="222222"/>
          <w:kern w:val="0"/>
          <w:shd w:val="clear" w:color="auto" w:fill="FFFFFF"/>
          <w:lang w:val="en-GB"/>
          <w14:ligatures w14:val="none"/>
        </w:rPr>
        <w:t>Education and Information Technologies</w:t>
      </w:r>
      <w:r w:rsidRPr="000C0C53">
        <w:rPr>
          <w:rFonts w:ascii="Times New Roman" w:eastAsia="Calibri" w:hAnsi="Times New Roman" w:cs="Times New Roman"/>
          <w:color w:val="222222"/>
          <w:kern w:val="0"/>
          <w:shd w:val="clear" w:color="auto" w:fill="FFFFFF"/>
          <w:lang w:val="en-GB"/>
          <w14:ligatures w14:val="none"/>
        </w:rPr>
        <w:t>, </w:t>
      </w:r>
      <w:r w:rsidRPr="000C0C53">
        <w:rPr>
          <w:rFonts w:ascii="Times New Roman" w:eastAsia="Calibri" w:hAnsi="Times New Roman" w:cs="Times New Roman"/>
          <w:i/>
          <w:iCs/>
          <w:color w:val="222222"/>
          <w:kern w:val="0"/>
          <w:shd w:val="clear" w:color="auto" w:fill="FFFFFF"/>
          <w:lang w:val="en-GB"/>
          <w14:ligatures w14:val="none"/>
        </w:rPr>
        <w:t>26</w:t>
      </w:r>
      <w:r w:rsidRPr="000C0C53">
        <w:rPr>
          <w:rFonts w:ascii="Times New Roman" w:eastAsia="Calibri" w:hAnsi="Times New Roman" w:cs="Times New Roman"/>
          <w:color w:val="222222"/>
          <w:kern w:val="0"/>
          <w:shd w:val="clear" w:color="auto" w:fill="FFFFFF"/>
          <w:lang w:val="en-GB"/>
          <w14:ligatures w14:val="none"/>
        </w:rPr>
        <w:t>(1), 517-541.</w:t>
      </w:r>
    </w:p>
    <w:p w14:paraId="6CEF6888" w14:textId="77777777" w:rsidR="000C0C53" w:rsidRPr="000C0C53" w:rsidRDefault="000C0C53" w:rsidP="000C0C53">
      <w:pPr>
        <w:spacing w:line="240" w:lineRule="auto"/>
        <w:ind w:left="810" w:hanging="810"/>
        <w:jc w:val="both"/>
        <w:rPr>
          <w:rFonts w:ascii="Times New Roman" w:eastAsia="Calibri" w:hAnsi="Times New Roman" w:cs="Times New Roman"/>
          <w:b/>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Jaakkola, E., </w:t>
      </w:r>
      <w:proofErr w:type="spellStart"/>
      <w:r w:rsidRPr="000C0C53">
        <w:rPr>
          <w:rFonts w:ascii="Times New Roman" w:eastAsia="Calibri" w:hAnsi="Times New Roman" w:cs="Times New Roman"/>
          <w:kern w:val="0"/>
          <w:shd w:val="clear" w:color="auto" w:fill="FFFFFF"/>
          <w:lang w:val="en-GB"/>
          <w14:ligatures w14:val="none"/>
        </w:rPr>
        <w:t>Kaartemo</w:t>
      </w:r>
      <w:proofErr w:type="spellEnd"/>
      <w:r w:rsidRPr="000C0C53">
        <w:rPr>
          <w:rFonts w:ascii="Times New Roman" w:eastAsia="Calibri" w:hAnsi="Times New Roman" w:cs="Times New Roman"/>
          <w:kern w:val="0"/>
          <w:shd w:val="clear" w:color="auto" w:fill="FFFFFF"/>
          <w:lang w:val="en-GB"/>
          <w14:ligatures w14:val="none"/>
        </w:rPr>
        <w:t>, V., Siltaloppi, J., &amp; Vargo, S. L. (2024). Advancing service-dominant logic with systems thinking. </w:t>
      </w:r>
      <w:r w:rsidRPr="000C0C53">
        <w:rPr>
          <w:rFonts w:ascii="Times New Roman" w:eastAsia="Calibri" w:hAnsi="Times New Roman" w:cs="Times New Roman"/>
          <w:i/>
          <w:iCs/>
          <w:kern w:val="0"/>
          <w:shd w:val="clear" w:color="auto" w:fill="FFFFFF"/>
          <w:lang w:val="en-GB"/>
          <w14:ligatures w14:val="none"/>
        </w:rPr>
        <w:t>Journal of Business Research</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177</w:t>
      </w:r>
      <w:r w:rsidRPr="000C0C53">
        <w:rPr>
          <w:rFonts w:ascii="Times New Roman" w:eastAsia="Calibri" w:hAnsi="Times New Roman" w:cs="Times New Roman"/>
          <w:kern w:val="0"/>
          <w:shd w:val="clear" w:color="auto" w:fill="FFFFFF"/>
          <w:lang w:val="en-GB"/>
          <w14:ligatures w14:val="none"/>
        </w:rPr>
        <w:t>, 114592.</w:t>
      </w:r>
    </w:p>
    <w:p w14:paraId="378A0BB7"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Keržič, D., Alex, J. K., Pamela Balbontín Alvarado, R., Bezerra, D. D. S., Cheraghi, M., Dobrowolska, B., &amp; </w:t>
      </w:r>
      <w:proofErr w:type="spellStart"/>
      <w:r w:rsidRPr="000C0C53">
        <w:rPr>
          <w:rFonts w:ascii="Times New Roman" w:eastAsia="Calibri" w:hAnsi="Times New Roman" w:cs="Times New Roman"/>
          <w:kern w:val="0"/>
          <w:shd w:val="clear" w:color="auto" w:fill="FFFFFF"/>
          <w:lang w:val="en-GB"/>
          <w14:ligatures w14:val="none"/>
        </w:rPr>
        <w:t>Aristovnik</w:t>
      </w:r>
      <w:proofErr w:type="spellEnd"/>
      <w:r w:rsidRPr="000C0C53">
        <w:rPr>
          <w:rFonts w:ascii="Times New Roman" w:eastAsia="Calibri" w:hAnsi="Times New Roman" w:cs="Times New Roman"/>
          <w:kern w:val="0"/>
          <w:shd w:val="clear" w:color="auto" w:fill="FFFFFF"/>
          <w:lang w:val="en-GB"/>
          <w14:ligatures w14:val="none"/>
        </w:rPr>
        <w:t>, A. (2021). Academic student satisfaction and perceived performance in the e-learning environment during the COVID-19 pandemic: Evidence across ten countries. </w:t>
      </w:r>
      <w:proofErr w:type="spellStart"/>
      <w:r w:rsidRPr="000C0C53">
        <w:rPr>
          <w:rFonts w:ascii="Times New Roman" w:eastAsia="Calibri" w:hAnsi="Times New Roman" w:cs="Times New Roman"/>
          <w:i/>
          <w:iCs/>
          <w:kern w:val="0"/>
          <w:shd w:val="clear" w:color="auto" w:fill="FFFFFF"/>
          <w:lang w:val="en-GB"/>
          <w14:ligatures w14:val="none"/>
        </w:rPr>
        <w:t>Plos</w:t>
      </w:r>
      <w:proofErr w:type="spellEnd"/>
      <w:r w:rsidRPr="000C0C53">
        <w:rPr>
          <w:rFonts w:ascii="Times New Roman" w:eastAsia="Calibri" w:hAnsi="Times New Roman" w:cs="Times New Roman"/>
          <w:i/>
          <w:iCs/>
          <w:kern w:val="0"/>
          <w:shd w:val="clear" w:color="auto" w:fill="FFFFFF"/>
          <w:lang w:val="en-GB"/>
          <w14:ligatures w14:val="none"/>
        </w:rPr>
        <w:t xml:space="preserve"> one</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16</w:t>
      </w:r>
      <w:r w:rsidRPr="000C0C53">
        <w:rPr>
          <w:rFonts w:ascii="Times New Roman" w:eastAsia="Calibri" w:hAnsi="Times New Roman" w:cs="Times New Roman"/>
          <w:kern w:val="0"/>
          <w:shd w:val="clear" w:color="auto" w:fill="FFFFFF"/>
          <w:lang w:val="en-GB"/>
          <w14:ligatures w14:val="none"/>
        </w:rPr>
        <w:t>(10), e0258807.</w:t>
      </w:r>
    </w:p>
    <w:p w14:paraId="45F02AF2"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Kompella, L. (2024). Service innovations, value-driven business model, and institute growth: Insights from a higher-education institute. </w:t>
      </w:r>
      <w:r w:rsidRPr="000C0C53">
        <w:rPr>
          <w:rFonts w:ascii="Times New Roman" w:eastAsia="Calibri" w:hAnsi="Times New Roman" w:cs="Times New Roman"/>
          <w:i/>
          <w:iCs/>
          <w:kern w:val="0"/>
          <w:shd w:val="clear" w:color="auto" w:fill="FFFFFF"/>
          <w:lang w:val="en-GB"/>
          <w14:ligatures w14:val="none"/>
        </w:rPr>
        <w:t>International Journal of Educational Management</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38</w:t>
      </w:r>
      <w:r w:rsidRPr="000C0C53">
        <w:rPr>
          <w:rFonts w:ascii="Times New Roman" w:eastAsia="Calibri" w:hAnsi="Times New Roman" w:cs="Times New Roman"/>
          <w:kern w:val="0"/>
          <w:shd w:val="clear" w:color="auto" w:fill="FFFFFF"/>
          <w:lang w:val="en-GB"/>
          <w14:ligatures w14:val="none"/>
        </w:rPr>
        <w:t>(6), 1735-1751.</w:t>
      </w:r>
    </w:p>
    <w:p w14:paraId="29AC59FC"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proofErr w:type="spellStart"/>
      <w:r w:rsidRPr="000C0C53">
        <w:rPr>
          <w:rFonts w:ascii="Times New Roman" w:eastAsia="Calibri" w:hAnsi="Times New Roman" w:cs="Times New Roman"/>
          <w:kern w:val="0"/>
          <w:shd w:val="clear" w:color="auto" w:fill="FFFFFF"/>
          <w:lang w:val="en-GB"/>
          <w14:ligatures w14:val="none"/>
        </w:rPr>
        <w:t>Kovalevskaia</w:t>
      </w:r>
      <w:proofErr w:type="spellEnd"/>
      <w:r w:rsidRPr="000C0C53">
        <w:rPr>
          <w:rFonts w:ascii="Times New Roman" w:eastAsia="Calibri" w:hAnsi="Times New Roman" w:cs="Times New Roman"/>
          <w:kern w:val="0"/>
          <w:shd w:val="clear" w:color="auto" w:fill="FFFFFF"/>
          <w:lang w:val="en-GB"/>
          <w14:ligatures w14:val="none"/>
        </w:rPr>
        <w:t xml:space="preserve">, N., Gilyazeva, E. N., </w:t>
      </w:r>
      <w:proofErr w:type="spellStart"/>
      <w:r w:rsidRPr="000C0C53">
        <w:rPr>
          <w:rFonts w:ascii="Times New Roman" w:eastAsia="Calibri" w:hAnsi="Times New Roman" w:cs="Times New Roman"/>
          <w:kern w:val="0"/>
          <w:shd w:val="clear" w:color="auto" w:fill="FFFFFF"/>
          <w:lang w:val="en-GB"/>
          <w14:ligatures w14:val="none"/>
        </w:rPr>
        <w:t>Lobazova</w:t>
      </w:r>
      <w:proofErr w:type="spellEnd"/>
      <w:r w:rsidRPr="000C0C53">
        <w:rPr>
          <w:rFonts w:ascii="Times New Roman" w:eastAsia="Calibri" w:hAnsi="Times New Roman" w:cs="Times New Roman"/>
          <w:kern w:val="0"/>
          <w:shd w:val="clear" w:color="auto" w:fill="FFFFFF"/>
          <w:lang w:val="en-GB"/>
          <w14:ligatures w14:val="none"/>
        </w:rPr>
        <w:t xml:space="preserve">, O. F., </w:t>
      </w:r>
      <w:proofErr w:type="spellStart"/>
      <w:r w:rsidRPr="000C0C53">
        <w:rPr>
          <w:rFonts w:ascii="Times New Roman" w:eastAsia="Calibri" w:hAnsi="Times New Roman" w:cs="Times New Roman"/>
          <w:kern w:val="0"/>
          <w:shd w:val="clear" w:color="auto" w:fill="FFFFFF"/>
          <w:lang w:val="en-GB"/>
          <w14:ligatures w14:val="none"/>
        </w:rPr>
        <w:t>Duborkina</w:t>
      </w:r>
      <w:proofErr w:type="spellEnd"/>
      <w:r w:rsidRPr="000C0C53">
        <w:rPr>
          <w:rFonts w:ascii="Times New Roman" w:eastAsia="Calibri" w:hAnsi="Times New Roman" w:cs="Times New Roman"/>
          <w:kern w:val="0"/>
          <w:shd w:val="clear" w:color="auto" w:fill="FFFFFF"/>
          <w:lang w:val="en-GB"/>
          <w14:ligatures w14:val="none"/>
        </w:rPr>
        <w:t>, I. A., &amp; Sokolova, A. P. (2021). Impact of digital services of hybrid cloud-based learning environment on efficiency of education. </w:t>
      </w:r>
      <w:r w:rsidRPr="000C0C53">
        <w:rPr>
          <w:rFonts w:ascii="Times New Roman" w:eastAsia="Calibri" w:hAnsi="Times New Roman" w:cs="Times New Roman"/>
          <w:i/>
          <w:iCs/>
          <w:kern w:val="0"/>
          <w:shd w:val="clear" w:color="auto" w:fill="FFFFFF"/>
          <w:lang w:val="en-GB"/>
          <w14:ligatures w14:val="none"/>
        </w:rPr>
        <w:t xml:space="preserve">Revista Tempos E </w:t>
      </w:r>
      <w:proofErr w:type="spellStart"/>
      <w:r w:rsidRPr="000C0C53">
        <w:rPr>
          <w:rFonts w:ascii="Times New Roman" w:eastAsia="Calibri" w:hAnsi="Times New Roman" w:cs="Times New Roman"/>
          <w:i/>
          <w:iCs/>
          <w:kern w:val="0"/>
          <w:shd w:val="clear" w:color="auto" w:fill="FFFFFF"/>
          <w:lang w:val="en-GB"/>
          <w14:ligatures w14:val="none"/>
        </w:rPr>
        <w:t>Espaços</w:t>
      </w:r>
      <w:proofErr w:type="spellEnd"/>
      <w:r w:rsidRPr="000C0C53">
        <w:rPr>
          <w:rFonts w:ascii="Times New Roman" w:eastAsia="Calibri" w:hAnsi="Times New Roman" w:cs="Times New Roman"/>
          <w:i/>
          <w:iCs/>
          <w:kern w:val="0"/>
          <w:shd w:val="clear" w:color="auto" w:fill="FFFFFF"/>
          <w:lang w:val="en-GB"/>
          <w14:ligatures w14:val="none"/>
        </w:rPr>
        <w:t xml:space="preserve"> Em </w:t>
      </w:r>
      <w:proofErr w:type="spellStart"/>
      <w:r w:rsidRPr="000C0C53">
        <w:rPr>
          <w:rFonts w:ascii="Times New Roman" w:eastAsia="Calibri" w:hAnsi="Times New Roman" w:cs="Times New Roman"/>
          <w:i/>
          <w:iCs/>
          <w:kern w:val="0"/>
          <w:shd w:val="clear" w:color="auto" w:fill="FFFFFF"/>
          <w:lang w:val="en-GB"/>
          <w14:ligatures w14:val="none"/>
        </w:rPr>
        <w:t>Educação</w:t>
      </w:r>
      <w:proofErr w:type="spellEnd"/>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14</w:t>
      </w:r>
      <w:r w:rsidRPr="000C0C53">
        <w:rPr>
          <w:rFonts w:ascii="Times New Roman" w:eastAsia="Calibri" w:hAnsi="Times New Roman" w:cs="Times New Roman"/>
          <w:kern w:val="0"/>
          <w:shd w:val="clear" w:color="auto" w:fill="FFFFFF"/>
          <w:lang w:val="en-GB"/>
          <w14:ligatures w14:val="none"/>
        </w:rPr>
        <w:t>(33), e15297-e15297.</w:t>
      </w:r>
    </w:p>
    <w:p w14:paraId="5404EABE"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Liu, D. Y. T., </w:t>
      </w:r>
      <w:proofErr w:type="spellStart"/>
      <w:r w:rsidRPr="000C0C53">
        <w:rPr>
          <w:rFonts w:ascii="Times New Roman" w:eastAsia="Calibri" w:hAnsi="Times New Roman" w:cs="Times New Roman"/>
          <w:kern w:val="0"/>
          <w:shd w:val="clear" w:color="auto" w:fill="FFFFFF"/>
          <w:lang w:val="en-GB"/>
          <w14:ligatures w14:val="none"/>
        </w:rPr>
        <w:t>Bartimote-Aufflick</w:t>
      </w:r>
      <w:proofErr w:type="spellEnd"/>
      <w:r w:rsidRPr="000C0C53">
        <w:rPr>
          <w:rFonts w:ascii="Times New Roman" w:eastAsia="Calibri" w:hAnsi="Times New Roman" w:cs="Times New Roman"/>
          <w:kern w:val="0"/>
          <w:shd w:val="clear" w:color="auto" w:fill="FFFFFF"/>
          <w:lang w:val="en-GB"/>
          <w14:ligatures w14:val="none"/>
        </w:rPr>
        <w:t>, K., Pardo, A., &amp; Bridgeman, A. J. (2017). Data-driven personalization of student learning support in higher education. In </w:t>
      </w:r>
      <w:r w:rsidRPr="000C0C53">
        <w:rPr>
          <w:rFonts w:ascii="Times New Roman" w:eastAsia="Calibri" w:hAnsi="Times New Roman" w:cs="Times New Roman"/>
          <w:i/>
          <w:iCs/>
          <w:kern w:val="0"/>
          <w:shd w:val="clear" w:color="auto" w:fill="FFFFFF"/>
          <w:lang w:val="en-GB"/>
          <w14:ligatures w14:val="none"/>
        </w:rPr>
        <w:t>Learning analytics: Fundaments, applications, and trends: A view of the current state of the art to enhance e-learning</w:t>
      </w:r>
      <w:r w:rsidRPr="000C0C53">
        <w:rPr>
          <w:rFonts w:ascii="Times New Roman" w:eastAsia="Calibri" w:hAnsi="Times New Roman" w:cs="Times New Roman"/>
          <w:kern w:val="0"/>
          <w:shd w:val="clear" w:color="auto" w:fill="FFFFFF"/>
          <w:lang w:val="en-GB"/>
          <w14:ligatures w14:val="none"/>
        </w:rPr>
        <w:t> (pp. 143-169). Cham: Springer International Publishing.</w:t>
      </w:r>
    </w:p>
    <w:p w14:paraId="5BAE5ED4" w14:textId="77777777" w:rsidR="000C0C53" w:rsidRPr="000C0C53" w:rsidRDefault="000C0C53" w:rsidP="000C0C53">
      <w:pPr>
        <w:spacing w:line="240" w:lineRule="auto"/>
        <w:ind w:left="810" w:hanging="810"/>
        <w:jc w:val="both"/>
        <w:rPr>
          <w:rFonts w:ascii="Times New Roman" w:eastAsia="Calibri" w:hAnsi="Times New Roman" w:cs="Times New Roman"/>
          <w:b/>
          <w:kern w:val="0"/>
          <w:lang w:val="en-GB"/>
          <w14:ligatures w14:val="none"/>
        </w:rPr>
      </w:pPr>
      <w:r w:rsidRPr="000C0C53">
        <w:rPr>
          <w:rFonts w:ascii="Times New Roman" w:eastAsia="Calibri" w:hAnsi="Times New Roman" w:cs="Times New Roman"/>
          <w:kern w:val="0"/>
          <w:shd w:val="clear" w:color="auto" w:fill="FFFFFF"/>
          <w:lang w:val="en-GB"/>
          <w14:ligatures w14:val="none"/>
        </w:rPr>
        <w:t>Lusch, R. F., &amp; Nambisan, S. (2015). Service innovation. </w:t>
      </w:r>
      <w:r w:rsidRPr="000C0C53">
        <w:rPr>
          <w:rFonts w:ascii="Times New Roman" w:eastAsia="Calibri" w:hAnsi="Times New Roman" w:cs="Times New Roman"/>
          <w:i/>
          <w:iCs/>
          <w:kern w:val="0"/>
          <w:shd w:val="clear" w:color="auto" w:fill="FFFFFF"/>
          <w:lang w:val="en-GB"/>
          <w14:ligatures w14:val="none"/>
        </w:rPr>
        <w:t>MIS quarterly</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39</w:t>
      </w:r>
      <w:r w:rsidRPr="000C0C53">
        <w:rPr>
          <w:rFonts w:ascii="Times New Roman" w:eastAsia="Calibri" w:hAnsi="Times New Roman" w:cs="Times New Roman"/>
          <w:kern w:val="0"/>
          <w:shd w:val="clear" w:color="auto" w:fill="FFFFFF"/>
          <w:lang w:val="en-GB"/>
          <w14:ligatures w14:val="none"/>
        </w:rPr>
        <w:t>(1), 155-176.</w:t>
      </w:r>
    </w:p>
    <w:p w14:paraId="4B78C2C2" w14:textId="77777777" w:rsidR="000C0C53" w:rsidRPr="000C0C53" w:rsidRDefault="000C0C53" w:rsidP="000C0C53">
      <w:pPr>
        <w:spacing w:after="0"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Martin, F., &amp; Ndoye, A. (2016). Using learning analytics to assess student learning in online courses. </w:t>
      </w:r>
      <w:r w:rsidRPr="000C0C53">
        <w:rPr>
          <w:rFonts w:ascii="Times New Roman" w:eastAsia="Calibri" w:hAnsi="Times New Roman" w:cs="Times New Roman"/>
          <w:i/>
          <w:iCs/>
          <w:kern w:val="0"/>
          <w:shd w:val="clear" w:color="auto" w:fill="FFFFFF"/>
          <w:lang w:val="en-GB"/>
          <w14:ligatures w14:val="none"/>
        </w:rPr>
        <w:t>Journal of university teaching and learning practice</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13</w:t>
      </w:r>
      <w:r w:rsidRPr="000C0C53">
        <w:rPr>
          <w:rFonts w:ascii="Times New Roman" w:eastAsia="Calibri" w:hAnsi="Times New Roman" w:cs="Times New Roman"/>
          <w:kern w:val="0"/>
          <w:shd w:val="clear" w:color="auto" w:fill="FFFFFF"/>
          <w:lang w:val="en-GB"/>
          <w14:ligatures w14:val="none"/>
        </w:rPr>
        <w:t>(3), 1-22.</w:t>
      </w:r>
    </w:p>
    <w:p w14:paraId="72D45AD9"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color w:val="222222"/>
          <w:kern w:val="0"/>
          <w:shd w:val="clear" w:color="auto" w:fill="FFFFFF"/>
          <w:lang w:val="en-GB"/>
          <w14:ligatures w14:val="none"/>
        </w:rPr>
        <w:t>Martins, J., Branco, F., Gonçalves, R., Au-Yong-Oliveira, M., Oliveira, T., Naranjo-Zolotov, M., &amp; Cruz-Jesus, F. (2019). Assessing the success behind the use of education management information systems in higher education. </w:t>
      </w:r>
      <w:r w:rsidRPr="000C0C53">
        <w:rPr>
          <w:rFonts w:ascii="Times New Roman" w:eastAsia="Calibri" w:hAnsi="Times New Roman" w:cs="Times New Roman"/>
          <w:i/>
          <w:iCs/>
          <w:color w:val="222222"/>
          <w:kern w:val="0"/>
          <w:shd w:val="clear" w:color="auto" w:fill="FFFFFF"/>
          <w:lang w:val="en-GB"/>
          <w14:ligatures w14:val="none"/>
        </w:rPr>
        <w:t>Telematics and Informatics</w:t>
      </w:r>
      <w:r w:rsidRPr="000C0C53">
        <w:rPr>
          <w:rFonts w:ascii="Times New Roman" w:eastAsia="Calibri" w:hAnsi="Times New Roman" w:cs="Times New Roman"/>
          <w:color w:val="222222"/>
          <w:kern w:val="0"/>
          <w:shd w:val="clear" w:color="auto" w:fill="FFFFFF"/>
          <w:lang w:val="en-GB"/>
          <w14:ligatures w14:val="none"/>
        </w:rPr>
        <w:t>, </w:t>
      </w:r>
      <w:r w:rsidRPr="000C0C53">
        <w:rPr>
          <w:rFonts w:ascii="Times New Roman" w:eastAsia="Calibri" w:hAnsi="Times New Roman" w:cs="Times New Roman"/>
          <w:i/>
          <w:iCs/>
          <w:color w:val="222222"/>
          <w:kern w:val="0"/>
          <w:shd w:val="clear" w:color="auto" w:fill="FFFFFF"/>
          <w:lang w:val="en-GB"/>
          <w14:ligatures w14:val="none"/>
        </w:rPr>
        <w:t>38</w:t>
      </w:r>
      <w:r w:rsidRPr="000C0C53">
        <w:rPr>
          <w:rFonts w:ascii="Times New Roman" w:eastAsia="Calibri" w:hAnsi="Times New Roman" w:cs="Times New Roman"/>
          <w:color w:val="222222"/>
          <w:kern w:val="0"/>
          <w:shd w:val="clear" w:color="auto" w:fill="FFFFFF"/>
          <w:lang w:val="en-GB"/>
          <w14:ligatures w14:val="none"/>
        </w:rPr>
        <w:t>, 182-193.</w:t>
      </w:r>
    </w:p>
    <w:p w14:paraId="57AE36E2"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Mashile, E. O., Fynn, A., &amp; </w:t>
      </w:r>
      <w:proofErr w:type="spellStart"/>
      <w:r w:rsidRPr="000C0C53">
        <w:rPr>
          <w:rFonts w:ascii="Times New Roman" w:eastAsia="Calibri" w:hAnsi="Times New Roman" w:cs="Times New Roman"/>
          <w:kern w:val="0"/>
          <w:shd w:val="clear" w:color="auto" w:fill="FFFFFF"/>
          <w:lang w:val="en-GB"/>
          <w14:ligatures w14:val="none"/>
        </w:rPr>
        <w:t>Matoane</w:t>
      </w:r>
      <w:proofErr w:type="spellEnd"/>
      <w:r w:rsidRPr="000C0C53">
        <w:rPr>
          <w:rFonts w:ascii="Times New Roman" w:eastAsia="Calibri" w:hAnsi="Times New Roman" w:cs="Times New Roman"/>
          <w:kern w:val="0"/>
          <w:shd w:val="clear" w:color="auto" w:fill="FFFFFF"/>
          <w:lang w:val="en-GB"/>
          <w14:ligatures w14:val="none"/>
        </w:rPr>
        <w:t>, M. (2023). Curriculum analytics of an Open Distance Learning (ODL) Programme: A data-driven perspective. </w:t>
      </w:r>
      <w:r w:rsidRPr="000C0C53">
        <w:rPr>
          <w:rFonts w:ascii="Times New Roman" w:eastAsia="Calibri" w:hAnsi="Times New Roman" w:cs="Times New Roman"/>
          <w:i/>
          <w:iCs/>
          <w:kern w:val="0"/>
          <w:shd w:val="clear" w:color="auto" w:fill="FFFFFF"/>
          <w:lang w:val="en-GB"/>
          <w14:ligatures w14:val="none"/>
        </w:rPr>
        <w:t>South African Journal of Higher Education</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37</w:t>
      </w:r>
      <w:r w:rsidRPr="000C0C53">
        <w:rPr>
          <w:rFonts w:ascii="Times New Roman" w:eastAsia="Calibri" w:hAnsi="Times New Roman" w:cs="Times New Roman"/>
          <w:kern w:val="0"/>
          <w:shd w:val="clear" w:color="auto" w:fill="FFFFFF"/>
          <w:lang w:val="en-GB"/>
          <w14:ligatures w14:val="none"/>
        </w:rPr>
        <w:t>(3), 161-182.</w:t>
      </w:r>
    </w:p>
    <w:p w14:paraId="517C6646"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Mohamed Riyath, M. I., &amp; Muhammed Rijah, U. L. (2022). Adoption of a learning management system among educators of advanced technological institutes in Sri Lanka. </w:t>
      </w:r>
      <w:r w:rsidRPr="000C0C53">
        <w:rPr>
          <w:rFonts w:ascii="Times New Roman" w:eastAsia="Calibri" w:hAnsi="Times New Roman" w:cs="Times New Roman"/>
          <w:i/>
          <w:iCs/>
          <w:kern w:val="0"/>
          <w:shd w:val="clear" w:color="auto" w:fill="FFFFFF"/>
          <w:lang w:val="en-GB"/>
          <w14:ligatures w14:val="none"/>
        </w:rPr>
        <w:t>Asian Association of Open Universities Journal</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17</w:t>
      </w:r>
      <w:r w:rsidRPr="000C0C53">
        <w:rPr>
          <w:rFonts w:ascii="Times New Roman" w:eastAsia="Calibri" w:hAnsi="Times New Roman" w:cs="Times New Roman"/>
          <w:kern w:val="0"/>
          <w:shd w:val="clear" w:color="auto" w:fill="FFFFFF"/>
          <w:lang w:val="en-GB"/>
          <w14:ligatures w14:val="none"/>
        </w:rPr>
        <w:t>(2), 161-177.</w:t>
      </w:r>
    </w:p>
    <w:p w14:paraId="2C6C7408"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color w:val="222222"/>
          <w:kern w:val="0"/>
          <w:shd w:val="clear" w:color="auto" w:fill="FFFFFF"/>
          <w:lang w:val="en-GB"/>
          <w14:ligatures w14:val="none"/>
        </w:rPr>
        <w:t>Naseer, F., Khan, M. N., Tahir, M., Addas, A., &amp; Aejaz, S. H. (2024). Integrating deep learning techniques for personalized learning pathways in higher education. </w:t>
      </w:r>
      <w:proofErr w:type="spellStart"/>
      <w:r w:rsidRPr="000C0C53">
        <w:rPr>
          <w:rFonts w:ascii="Times New Roman" w:eastAsia="Calibri" w:hAnsi="Times New Roman" w:cs="Times New Roman"/>
          <w:i/>
          <w:iCs/>
          <w:color w:val="222222"/>
          <w:kern w:val="0"/>
          <w:shd w:val="clear" w:color="auto" w:fill="FFFFFF"/>
          <w:lang w:val="en-GB"/>
          <w14:ligatures w14:val="none"/>
        </w:rPr>
        <w:t>Heliyon</w:t>
      </w:r>
      <w:proofErr w:type="spellEnd"/>
      <w:r w:rsidRPr="000C0C53">
        <w:rPr>
          <w:rFonts w:ascii="Times New Roman" w:eastAsia="Calibri" w:hAnsi="Times New Roman" w:cs="Times New Roman"/>
          <w:color w:val="222222"/>
          <w:kern w:val="0"/>
          <w:shd w:val="clear" w:color="auto" w:fill="FFFFFF"/>
          <w:lang w:val="en-GB"/>
          <w14:ligatures w14:val="none"/>
        </w:rPr>
        <w:t>, </w:t>
      </w:r>
      <w:r w:rsidRPr="000C0C53">
        <w:rPr>
          <w:rFonts w:ascii="Times New Roman" w:eastAsia="Calibri" w:hAnsi="Times New Roman" w:cs="Times New Roman"/>
          <w:i/>
          <w:iCs/>
          <w:color w:val="222222"/>
          <w:kern w:val="0"/>
          <w:shd w:val="clear" w:color="auto" w:fill="FFFFFF"/>
          <w:lang w:val="en-GB"/>
          <w14:ligatures w14:val="none"/>
        </w:rPr>
        <w:t>10</w:t>
      </w:r>
      <w:r w:rsidRPr="000C0C53">
        <w:rPr>
          <w:rFonts w:ascii="Times New Roman" w:eastAsia="Calibri" w:hAnsi="Times New Roman" w:cs="Times New Roman"/>
          <w:color w:val="222222"/>
          <w:kern w:val="0"/>
          <w:shd w:val="clear" w:color="auto" w:fill="FFFFFF"/>
          <w:lang w:val="en-GB"/>
          <w14:ligatures w14:val="none"/>
        </w:rPr>
        <w:t>(11).</w:t>
      </w:r>
    </w:p>
    <w:p w14:paraId="57AC2043"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 xml:space="preserve">Nsamba, A., &amp; </w:t>
      </w:r>
      <w:proofErr w:type="spellStart"/>
      <w:r w:rsidRPr="000C0C53">
        <w:rPr>
          <w:rFonts w:ascii="Times New Roman" w:eastAsia="Calibri" w:hAnsi="Times New Roman" w:cs="Times New Roman"/>
          <w:kern w:val="0"/>
          <w:shd w:val="clear" w:color="auto" w:fill="FFFFFF"/>
          <w:lang w:val="en-GB"/>
          <w14:ligatures w14:val="none"/>
        </w:rPr>
        <w:t>Makoe</w:t>
      </w:r>
      <w:proofErr w:type="spellEnd"/>
      <w:r w:rsidRPr="000C0C53">
        <w:rPr>
          <w:rFonts w:ascii="Times New Roman" w:eastAsia="Calibri" w:hAnsi="Times New Roman" w:cs="Times New Roman"/>
          <w:kern w:val="0"/>
          <w:shd w:val="clear" w:color="auto" w:fill="FFFFFF"/>
          <w:lang w:val="en-GB"/>
          <w14:ligatures w14:val="none"/>
        </w:rPr>
        <w:t>, M. (2017). Evaluating quality of students’ support services in open distance learning. </w:t>
      </w:r>
      <w:r w:rsidRPr="000C0C53">
        <w:rPr>
          <w:rFonts w:ascii="Times New Roman" w:eastAsia="Calibri" w:hAnsi="Times New Roman" w:cs="Times New Roman"/>
          <w:i/>
          <w:iCs/>
          <w:kern w:val="0"/>
          <w:shd w:val="clear" w:color="auto" w:fill="FFFFFF"/>
          <w:lang w:val="en-GB"/>
          <w14:ligatures w14:val="none"/>
        </w:rPr>
        <w:t>Turkish Online Journal of Distance Education</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18</w:t>
      </w:r>
      <w:r w:rsidRPr="000C0C53">
        <w:rPr>
          <w:rFonts w:ascii="Times New Roman" w:eastAsia="Calibri" w:hAnsi="Times New Roman" w:cs="Times New Roman"/>
          <w:kern w:val="0"/>
          <w:shd w:val="clear" w:color="auto" w:fill="FFFFFF"/>
          <w:lang w:val="en-GB"/>
          <w14:ligatures w14:val="none"/>
        </w:rPr>
        <w:t>(4), 91-103.</w:t>
      </w:r>
    </w:p>
    <w:p w14:paraId="015E7D84"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proofErr w:type="spellStart"/>
      <w:r w:rsidRPr="000C0C53">
        <w:rPr>
          <w:rFonts w:ascii="Times New Roman" w:eastAsia="Calibri" w:hAnsi="Times New Roman" w:cs="Times New Roman"/>
          <w:kern w:val="0"/>
          <w:shd w:val="clear" w:color="auto" w:fill="FFFFFF"/>
          <w:lang w:val="en-GB"/>
          <w14:ligatures w14:val="none"/>
        </w:rPr>
        <w:t>Ochionuoha</w:t>
      </w:r>
      <w:proofErr w:type="spellEnd"/>
      <w:r w:rsidRPr="000C0C53">
        <w:rPr>
          <w:rFonts w:ascii="Times New Roman" w:eastAsia="Calibri" w:hAnsi="Times New Roman" w:cs="Times New Roman"/>
          <w:kern w:val="0"/>
          <w:shd w:val="clear" w:color="auto" w:fill="FFFFFF"/>
          <w:lang w:val="en-GB"/>
          <w14:ligatures w14:val="none"/>
        </w:rPr>
        <w:t>, C. P. (2023). Effectiveness of internet accessibility on academic activities of open and distant learners in the National Open University of Nigeria. </w:t>
      </w:r>
      <w:proofErr w:type="spellStart"/>
      <w:r w:rsidRPr="000C0C53">
        <w:rPr>
          <w:rFonts w:ascii="Times New Roman" w:eastAsia="Calibri" w:hAnsi="Times New Roman" w:cs="Times New Roman"/>
          <w:i/>
          <w:iCs/>
          <w:kern w:val="0"/>
          <w:shd w:val="clear" w:color="auto" w:fill="FFFFFF"/>
          <w:lang w:val="en-GB"/>
          <w14:ligatures w14:val="none"/>
        </w:rPr>
        <w:t>Traektoriâ</w:t>
      </w:r>
      <w:proofErr w:type="spellEnd"/>
      <w:r w:rsidRPr="000C0C53">
        <w:rPr>
          <w:rFonts w:ascii="Times New Roman" w:eastAsia="Calibri" w:hAnsi="Times New Roman" w:cs="Times New Roman"/>
          <w:i/>
          <w:iCs/>
          <w:kern w:val="0"/>
          <w:shd w:val="clear" w:color="auto" w:fill="FFFFFF"/>
          <w:lang w:val="en-GB"/>
          <w14:ligatures w14:val="none"/>
        </w:rPr>
        <w:t xml:space="preserve"> </w:t>
      </w:r>
      <w:proofErr w:type="spellStart"/>
      <w:r w:rsidRPr="000C0C53">
        <w:rPr>
          <w:rFonts w:ascii="Times New Roman" w:eastAsia="Calibri" w:hAnsi="Times New Roman" w:cs="Times New Roman"/>
          <w:i/>
          <w:iCs/>
          <w:kern w:val="0"/>
          <w:shd w:val="clear" w:color="auto" w:fill="FFFFFF"/>
          <w:lang w:val="en-GB"/>
          <w14:ligatures w14:val="none"/>
        </w:rPr>
        <w:t>Nauki</w:t>
      </w:r>
      <w:proofErr w:type="spellEnd"/>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9</w:t>
      </w:r>
      <w:r w:rsidRPr="000C0C53">
        <w:rPr>
          <w:rFonts w:ascii="Times New Roman" w:eastAsia="Calibri" w:hAnsi="Times New Roman" w:cs="Times New Roman"/>
          <w:kern w:val="0"/>
          <w:shd w:val="clear" w:color="auto" w:fill="FFFFFF"/>
          <w:lang w:val="en-GB"/>
          <w14:ligatures w14:val="none"/>
        </w:rPr>
        <w:t>(01), 2035-2043.</w:t>
      </w:r>
    </w:p>
    <w:p w14:paraId="2101D5E5" w14:textId="77777777" w:rsidR="000C0C53" w:rsidRPr="000C0C53" w:rsidRDefault="000C0C53" w:rsidP="000C0C53">
      <w:pPr>
        <w:spacing w:after="0" w:line="240" w:lineRule="auto"/>
        <w:ind w:left="810" w:hanging="810"/>
        <w:jc w:val="both"/>
        <w:rPr>
          <w:rFonts w:ascii="Times New Roman" w:eastAsia="Calibri" w:hAnsi="Times New Roman" w:cs="Times New Roman"/>
          <w:kern w:val="0"/>
          <w:shd w:val="clear" w:color="auto" w:fill="FFFFFF"/>
          <w:lang w:val="en-GB"/>
          <w14:ligatures w14:val="none"/>
        </w:rPr>
      </w:pPr>
      <w:proofErr w:type="spellStart"/>
      <w:r w:rsidRPr="000C0C53">
        <w:rPr>
          <w:rFonts w:ascii="Times New Roman" w:eastAsia="Calibri" w:hAnsi="Times New Roman" w:cs="Times New Roman"/>
          <w:kern w:val="0"/>
          <w:shd w:val="clear" w:color="auto" w:fill="FFFFFF"/>
          <w:lang w:val="en-GB"/>
          <w14:ligatures w14:val="none"/>
        </w:rPr>
        <w:t>Oluwajana</w:t>
      </w:r>
      <w:proofErr w:type="spellEnd"/>
      <w:r w:rsidRPr="000C0C53">
        <w:rPr>
          <w:rFonts w:ascii="Times New Roman" w:eastAsia="Calibri" w:hAnsi="Times New Roman" w:cs="Times New Roman"/>
          <w:kern w:val="0"/>
          <w:shd w:val="clear" w:color="auto" w:fill="FFFFFF"/>
          <w:lang w:val="en-GB"/>
          <w14:ligatures w14:val="none"/>
        </w:rPr>
        <w:t xml:space="preserve">, D., Nat, M., &amp; Fadiya, S. (2019). An Investigation of Students' Interactivity in the Classroom and within Learning Management System to Improve Learning </w:t>
      </w:r>
      <w:r w:rsidRPr="000C0C53">
        <w:rPr>
          <w:rFonts w:ascii="Times New Roman" w:eastAsia="Calibri" w:hAnsi="Times New Roman" w:cs="Times New Roman"/>
          <w:kern w:val="0"/>
          <w:shd w:val="clear" w:color="auto" w:fill="FFFFFF"/>
          <w:lang w:val="en-GB"/>
          <w14:ligatures w14:val="none"/>
        </w:rPr>
        <w:lastRenderedPageBreak/>
        <w:t>Outcomes. </w:t>
      </w:r>
      <w:r w:rsidRPr="000C0C53">
        <w:rPr>
          <w:rFonts w:ascii="Times New Roman" w:eastAsia="Calibri" w:hAnsi="Times New Roman" w:cs="Times New Roman"/>
          <w:i/>
          <w:iCs/>
          <w:kern w:val="0"/>
          <w:shd w:val="clear" w:color="auto" w:fill="FFFFFF"/>
          <w:lang w:val="en-GB"/>
          <w14:ligatures w14:val="none"/>
        </w:rPr>
        <w:t xml:space="preserve">Croatian Journal of Education/Hrvatski </w:t>
      </w:r>
      <w:proofErr w:type="spellStart"/>
      <w:r w:rsidRPr="000C0C53">
        <w:rPr>
          <w:rFonts w:ascii="Times New Roman" w:eastAsia="Calibri" w:hAnsi="Times New Roman" w:cs="Times New Roman"/>
          <w:i/>
          <w:iCs/>
          <w:kern w:val="0"/>
          <w:shd w:val="clear" w:color="auto" w:fill="FFFFFF"/>
          <w:lang w:val="en-GB"/>
          <w14:ligatures w14:val="none"/>
        </w:rPr>
        <w:t>Časopis</w:t>
      </w:r>
      <w:proofErr w:type="spellEnd"/>
      <w:r w:rsidRPr="000C0C53">
        <w:rPr>
          <w:rFonts w:ascii="Times New Roman" w:eastAsia="Calibri" w:hAnsi="Times New Roman" w:cs="Times New Roman"/>
          <w:i/>
          <w:iCs/>
          <w:kern w:val="0"/>
          <w:shd w:val="clear" w:color="auto" w:fill="FFFFFF"/>
          <w:lang w:val="en-GB"/>
          <w14:ligatures w14:val="none"/>
        </w:rPr>
        <w:t xml:space="preserve"> za </w:t>
      </w:r>
      <w:proofErr w:type="spellStart"/>
      <w:r w:rsidRPr="000C0C53">
        <w:rPr>
          <w:rFonts w:ascii="Times New Roman" w:eastAsia="Calibri" w:hAnsi="Times New Roman" w:cs="Times New Roman"/>
          <w:i/>
          <w:iCs/>
          <w:kern w:val="0"/>
          <w:shd w:val="clear" w:color="auto" w:fill="FFFFFF"/>
          <w:lang w:val="en-GB"/>
          <w14:ligatures w14:val="none"/>
        </w:rPr>
        <w:t>Odgoj</w:t>
      </w:r>
      <w:proofErr w:type="spellEnd"/>
      <w:r w:rsidRPr="000C0C53">
        <w:rPr>
          <w:rFonts w:ascii="Times New Roman" w:eastAsia="Calibri" w:hAnsi="Times New Roman" w:cs="Times New Roman"/>
          <w:i/>
          <w:iCs/>
          <w:kern w:val="0"/>
          <w:shd w:val="clear" w:color="auto" w:fill="FFFFFF"/>
          <w:lang w:val="en-GB"/>
          <w14:ligatures w14:val="none"/>
        </w:rPr>
        <w:t xml:space="preserve"> </w:t>
      </w:r>
      <w:proofErr w:type="spellStart"/>
      <w:r w:rsidRPr="000C0C53">
        <w:rPr>
          <w:rFonts w:ascii="Times New Roman" w:eastAsia="Calibri" w:hAnsi="Times New Roman" w:cs="Times New Roman"/>
          <w:i/>
          <w:iCs/>
          <w:kern w:val="0"/>
          <w:shd w:val="clear" w:color="auto" w:fill="FFFFFF"/>
          <w:lang w:val="en-GB"/>
          <w14:ligatures w14:val="none"/>
        </w:rPr>
        <w:t>i</w:t>
      </w:r>
      <w:proofErr w:type="spellEnd"/>
      <w:r w:rsidRPr="000C0C53">
        <w:rPr>
          <w:rFonts w:ascii="Times New Roman" w:eastAsia="Calibri" w:hAnsi="Times New Roman" w:cs="Times New Roman"/>
          <w:i/>
          <w:iCs/>
          <w:kern w:val="0"/>
          <w:shd w:val="clear" w:color="auto" w:fill="FFFFFF"/>
          <w:lang w:val="en-GB"/>
          <w14:ligatures w14:val="none"/>
        </w:rPr>
        <w:t xml:space="preserve"> </w:t>
      </w:r>
      <w:proofErr w:type="spellStart"/>
      <w:r w:rsidRPr="000C0C53">
        <w:rPr>
          <w:rFonts w:ascii="Times New Roman" w:eastAsia="Calibri" w:hAnsi="Times New Roman" w:cs="Times New Roman"/>
          <w:i/>
          <w:iCs/>
          <w:kern w:val="0"/>
          <w:shd w:val="clear" w:color="auto" w:fill="FFFFFF"/>
          <w:lang w:val="en-GB"/>
          <w14:ligatures w14:val="none"/>
        </w:rPr>
        <w:t>Obrazovanje</w:t>
      </w:r>
      <w:proofErr w:type="spellEnd"/>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21</w:t>
      </w:r>
      <w:r w:rsidRPr="000C0C53">
        <w:rPr>
          <w:rFonts w:ascii="Times New Roman" w:eastAsia="Calibri" w:hAnsi="Times New Roman" w:cs="Times New Roman"/>
          <w:kern w:val="0"/>
          <w:shd w:val="clear" w:color="auto" w:fill="FFFFFF"/>
          <w:lang w:val="en-GB"/>
          <w14:ligatures w14:val="none"/>
        </w:rPr>
        <w:t>(1).</w:t>
      </w:r>
    </w:p>
    <w:p w14:paraId="5E777AB9"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Shabani, O., &amp; Maboe, K. A. (2021). The effectiveness and efficiency of student support services in open distance learning institutions in Africa: A desktop review. </w:t>
      </w:r>
      <w:r w:rsidRPr="000C0C53">
        <w:rPr>
          <w:rFonts w:ascii="Times New Roman" w:eastAsia="Calibri" w:hAnsi="Times New Roman" w:cs="Times New Roman"/>
          <w:i/>
          <w:iCs/>
          <w:kern w:val="0"/>
          <w:shd w:val="clear" w:color="auto" w:fill="FFFFFF"/>
          <w:lang w:val="en-GB"/>
          <w14:ligatures w14:val="none"/>
        </w:rPr>
        <w:t>African Perspectives of Research in Teaching and Learning</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5</w:t>
      </w:r>
      <w:r w:rsidRPr="000C0C53">
        <w:rPr>
          <w:rFonts w:ascii="Times New Roman" w:eastAsia="Calibri" w:hAnsi="Times New Roman" w:cs="Times New Roman"/>
          <w:kern w:val="0"/>
          <w:shd w:val="clear" w:color="auto" w:fill="FFFFFF"/>
          <w:lang w:val="en-GB"/>
          <w14:ligatures w14:val="none"/>
        </w:rPr>
        <w:t>(2), 25-44.</w:t>
      </w:r>
    </w:p>
    <w:p w14:paraId="28ABE9F5"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Singh, H. (2021). Building effective blended learning programs. In </w:t>
      </w:r>
      <w:r w:rsidRPr="000C0C53">
        <w:rPr>
          <w:rFonts w:ascii="Times New Roman" w:eastAsia="Calibri" w:hAnsi="Times New Roman" w:cs="Times New Roman"/>
          <w:i/>
          <w:iCs/>
          <w:kern w:val="0"/>
          <w:shd w:val="clear" w:color="auto" w:fill="FFFFFF"/>
          <w:lang w:val="en-GB"/>
          <w14:ligatures w14:val="none"/>
        </w:rPr>
        <w:t>Challenges and opportunities for the global implementation of e-learning frameworks</w:t>
      </w:r>
      <w:r w:rsidRPr="000C0C53">
        <w:rPr>
          <w:rFonts w:ascii="Times New Roman" w:eastAsia="Calibri" w:hAnsi="Times New Roman" w:cs="Times New Roman"/>
          <w:kern w:val="0"/>
          <w:shd w:val="clear" w:color="auto" w:fill="FFFFFF"/>
          <w:lang w:val="en-GB"/>
          <w14:ligatures w14:val="none"/>
        </w:rPr>
        <w:t> (pp. 15-23). IGI Global Scientific Publishing.</w:t>
      </w:r>
    </w:p>
    <w:p w14:paraId="663B1699"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proofErr w:type="spellStart"/>
      <w:r w:rsidRPr="000C0C53">
        <w:rPr>
          <w:rFonts w:ascii="Times New Roman" w:eastAsia="Calibri" w:hAnsi="Times New Roman" w:cs="Times New Roman"/>
          <w:kern w:val="0"/>
          <w:shd w:val="clear" w:color="auto" w:fill="FFFFFF"/>
          <w:lang w:val="en-GB"/>
          <w14:ligatures w14:val="none"/>
        </w:rPr>
        <w:t>Sudrajat</w:t>
      </w:r>
      <w:proofErr w:type="spellEnd"/>
      <w:r w:rsidRPr="000C0C53">
        <w:rPr>
          <w:rFonts w:ascii="Times New Roman" w:eastAsia="Calibri" w:hAnsi="Times New Roman" w:cs="Times New Roman"/>
          <w:kern w:val="0"/>
          <w:shd w:val="clear" w:color="auto" w:fill="FFFFFF"/>
          <w:lang w:val="en-GB"/>
          <w14:ligatures w14:val="none"/>
        </w:rPr>
        <w:t xml:space="preserve">, J., </w:t>
      </w:r>
      <w:proofErr w:type="spellStart"/>
      <w:r w:rsidRPr="000C0C53">
        <w:rPr>
          <w:rFonts w:ascii="Times New Roman" w:eastAsia="Calibri" w:hAnsi="Times New Roman" w:cs="Times New Roman"/>
          <w:kern w:val="0"/>
          <w:shd w:val="clear" w:color="auto" w:fill="FFFFFF"/>
          <w:lang w:val="en-GB"/>
          <w14:ligatures w14:val="none"/>
        </w:rPr>
        <w:t>Mayasari</w:t>
      </w:r>
      <w:proofErr w:type="spellEnd"/>
      <w:r w:rsidRPr="000C0C53">
        <w:rPr>
          <w:rFonts w:ascii="Times New Roman" w:eastAsia="Calibri" w:hAnsi="Times New Roman" w:cs="Times New Roman"/>
          <w:kern w:val="0"/>
          <w:shd w:val="clear" w:color="auto" w:fill="FFFFFF"/>
          <w:lang w:val="en-GB"/>
          <w14:ligatures w14:val="none"/>
        </w:rPr>
        <w:t xml:space="preserve">, A., &amp; </w:t>
      </w:r>
      <w:proofErr w:type="spellStart"/>
      <w:r w:rsidRPr="000C0C53">
        <w:rPr>
          <w:rFonts w:ascii="Times New Roman" w:eastAsia="Calibri" w:hAnsi="Times New Roman" w:cs="Times New Roman"/>
          <w:kern w:val="0"/>
          <w:shd w:val="clear" w:color="auto" w:fill="FFFFFF"/>
          <w:lang w:val="en-GB"/>
          <w14:ligatures w14:val="none"/>
        </w:rPr>
        <w:t>Arifudin</w:t>
      </w:r>
      <w:proofErr w:type="spellEnd"/>
      <w:r w:rsidRPr="000C0C53">
        <w:rPr>
          <w:rFonts w:ascii="Times New Roman" w:eastAsia="Calibri" w:hAnsi="Times New Roman" w:cs="Times New Roman"/>
          <w:kern w:val="0"/>
          <w:shd w:val="clear" w:color="auto" w:fill="FFFFFF"/>
          <w:lang w:val="en-GB"/>
          <w14:ligatures w14:val="none"/>
        </w:rPr>
        <w:t>, O. (2024). Enhancing the quality of learning through an e-learning-based academic management information system at Madrasah Aliyah Negeri. </w:t>
      </w:r>
      <w:r w:rsidRPr="000C0C53">
        <w:rPr>
          <w:rFonts w:ascii="Times New Roman" w:eastAsia="Calibri" w:hAnsi="Times New Roman" w:cs="Times New Roman"/>
          <w:i/>
          <w:iCs/>
          <w:kern w:val="0"/>
          <w:shd w:val="clear" w:color="auto" w:fill="FFFFFF"/>
          <w:lang w:val="en-GB"/>
          <w14:ligatures w14:val="none"/>
        </w:rPr>
        <w:t xml:space="preserve">EDUKASIA </w:t>
      </w:r>
      <w:proofErr w:type="spellStart"/>
      <w:r w:rsidRPr="000C0C53">
        <w:rPr>
          <w:rFonts w:ascii="Times New Roman" w:eastAsia="Calibri" w:hAnsi="Times New Roman" w:cs="Times New Roman"/>
          <w:i/>
          <w:iCs/>
          <w:kern w:val="0"/>
          <w:shd w:val="clear" w:color="auto" w:fill="FFFFFF"/>
          <w:lang w:val="en-GB"/>
          <w14:ligatures w14:val="none"/>
        </w:rPr>
        <w:t>Jurnal</w:t>
      </w:r>
      <w:proofErr w:type="spellEnd"/>
      <w:r w:rsidRPr="000C0C53">
        <w:rPr>
          <w:rFonts w:ascii="Times New Roman" w:eastAsia="Calibri" w:hAnsi="Times New Roman" w:cs="Times New Roman"/>
          <w:i/>
          <w:iCs/>
          <w:kern w:val="0"/>
          <w:shd w:val="clear" w:color="auto" w:fill="FFFFFF"/>
          <w:lang w:val="en-GB"/>
          <w14:ligatures w14:val="none"/>
        </w:rPr>
        <w:t xml:space="preserve"> Pendidikan dan </w:t>
      </w:r>
      <w:proofErr w:type="spellStart"/>
      <w:r w:rsidRPr="000C0C53">
        <w:rPr>
          <w:rFonts w:ascii="Times New Roman" w:eastAsia="Calibri" w:hAnsi="Times New Roman" w:cs="Times New Roman"/>
          <w:i/>
          <w:iCs/>
          <w:kern w:val="0"/>
          <w:shd w:val="clear" w:color="auto" w:fill="FFFFFF"/>
          <w:lang w:val="en-GB"/>
          <w14:ligatures w14:val="none"/>
        </w:rPr>
        <w:t>Pembelajaran</w:t>
      </w:r>
      <w:proofErr w:type="spellEnd"/>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5</w:t>
      </w:r>
      <w:r w:rsidRPr="000C0C53">
        <w:rPr>
          <w:rFonts w:ascii="Times New Roman" w:eastAsia="Calibri" w:hAnsi="Times New Roman" w:cs="Times New Roman"/>
          <w:kern w:val="0"/>
          <w:shd w:val="clear" w:color="auto" w:fill="FFFFFF"/>
          <w:lang w:val="en-GB"/>
          <w14:ligatures w14:val="none"/>
        </w:rPr>
        <w:t>(2), 621-632.</w:t>
      </w:r>
    </w:p>
    <w:p w14:paraId="03DEC713"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Swart, A. J. (2015). Student usage of a learning management system at an open distance learning institute: A case study in electrical engineering. </w:t>
      </w:r>
      <w:r w:rsidRPr="000C0C53">
        <w:rPr>
          <w:rFonts w:ascii="Times New Roman" w:eastAsia="Calibri" w:hAnsi="Times New Roman" w:cs="Times New Roman"/>
          <w:i/>
          <w:iCs/>
          <w:kern w:val="0"/>
          <w:shd w:val="clear" w:color="auto" w:fill="FFFFFF"/>
          <w:lang w:val="en-GB"/>
          <w14:ligatures w14:val="none"/>
        </w:rPr>
        <w:t>International Journal of Electrical Engineering Education</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52</w:t>
      </w:r>
      <w:r w:rsidRPr="000C0C53">
        <w:rPr>
          <w:rFonts w:ascii="Times New Roman" w:eastAsia="Calibri" w:hAnsi="Times New Roman" w:cs="Times New Roman"/>
          <w:kern w:val="0"/>
          <w:shd w:val="clear" w:color="auto" w:fill="FFFFFF"/>
          <w:lang w:val="en-GB"/>
          <w14:ligatures w14:val="none"/>
        </w:rPr>
        <w:t>(2), 142-154.</w:t>
      </w:r>
    </w:p>
    <w:p w14:paraId="1487CF10" w14:textId="77777777" w:rsidR="000C0C53" w:rsidRPr="000C0C53" w:rsidRDefault="000C0C53" w:rsidP="000C0C53">
      <w:pPr>
        <w:spacing w:line="240" w:lineRule="auto"/>
        <w:ind w:left="810" w:hanging="810"/>
        <w:jc w:val="both"/>
        <w:rPr>
          <w:rFonts w:ascii="Times New Roman" w:eastAsia="Calibri" w:hAnsi="Times New Roman" w:cs="Times New Roman"/>
          <w:kern w:val="0"/>
          <w:shd w:val="clear" w:color="auto" w:fill="FFFFFF"/>
          <w:lang w:val="en-GB"/>
          <w14:ligatures w14:val="none"/>
        </w:rPr>
      </w:pPr>
      <w:r w:rsidRPr="000C0C53">
        <w:rPr>
          <w:rFonts w:ascii="Times New Roman" w:eastAsia="Calibri" w:hAnsi="Times New Roman" w:cs="Times New Roman"/>
          <w:kern w:val="0"/>
          <w:shd w:val="clear" w:color="auto" w:fill="FFFFFF"/>
          <w:lang w:val="en-GB"/>
          <w14:ligatures w14:val="none"/>
        </w:rPr>
        <w:t>Vargo, S. L., &amp; Lusch, R. F. (2008). Service-dominant logic: continuing the evolution. </w:t>
      </w:r>
      <w:r w:rsidRPr="000C0C53">
        <w:rPr>
          <w:rFonts w:ascii="Times New Roman" w:eastAsia="Calibri" w:hAnsi="Times New Roman" w:cs="Times New Roman"/>
          <w:i/>
          <w:iCs/>
          <w:kern w:val="0"/>
          <w:shd w:val="clear" w:color="auto" w:fill="FFFFFF"/>
          <w:lang w:val="en-GB"/>
          <w14:ligatures w14:val="none"/>
        </w:rPr>
        <w:t>Journal of the Academy of marketing Science</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36</w:t>
      </w:r>
      <w:r w:rsidRPr="000C0C53">
        <w:rPr>
          <w:rFonts w:ascii="Times New Roman" w:eastAsia="Calibri" w:hAnsi="Times New Roman" w:cs="Times New Roman"/>
          <w:kern w:val="0"/>
          <w:shd w:val="clear" w:color="auto" w:fill="FFFFFF"/>
          <w:lang w:val="en-GB"/>
          <w14:ligatures w14:val="none"/>
        </w:rPr>
        <w:t>(1), 1-10.</w:t>
      </w:r>
    </w:p>
    <w:p w14:paraId="391F6444" w14:textId="77777777" w:rsidR="000C0C53" w:rsidRPr="000C0C53" w:rsidRDefault="000C0C53" w:rsidP="000C0C53">
      <w:pPr>
        <w:spacing w:line="240" w:lineRule="auto"/>
        <w:ind w:left="810" w:hanging="810"/>
        <w:jc w:val="both"/>
        <w:rPr>
          <w:rFonts w:ascii="Times New Roman" w:eastAsia="Times New Roman" w:hAnsi="Times New Roman" w:cs="Times New Roman"/>
          <w:b/>
          <w:kern w:val="0"/>
          <w14:ligatures w14:val="none"/>
        </w:rPr>
      </w:pPr>
      <w:r w:rsidRPr="000C0C53">
        <w:rPr>
          <w:rFonts w:ascii="Times New Roman" w:eastAsia="Calibri" w:hAnsi="Times New Roman" w:cs="Times New Roman"/>
          <w:kern w:val="0"/>
          <w:shd w:val="clear" w:color="auto" w:fill="FFFFFF"/>
          <w:lang w:val="en-GB"/>
          <w14:ligatures w14:val="none"/>
        </w:rPr>
        <w:t xml:space="preserve">Vargo, S. L., Fehrer, J. A., Wieland, H., &amp; </w:t>
      </w:r>
      <w:proofErr w:type="spellStart"/>
      <w:r w:rsidRPr="000C0C53">
        <w:rPr>
          <w:rFonts w:ascii="Times New Roman" w:eastAsia="Calibri" w:hAnsi="Times New Roman" w:cs="Times New Roman"/>
          <w:kern w:val="0"/>
          <w:shd w:val="clear" w:color="auto" w:fill="FFFFFF"/>
          <w:lang w:val="en-GB"/>
          <w14:ligatures w14:val="none"/>
        </w:rPr>
        <w:t>Nariswari</w:t>
      </w:r>
      <w:proofErr w:type="spellEnd"/>
      <w:r w:rsidRPr="000C0C53">
        <w:rPr>
          <w:rFonts w:ascii="Times New Roman" w:eastAsia="Calibri" w:hAnsi="Times New Roman" w:cs="Times New Roman"/>
          <w:kern w:val="0"/>
          <w:shd w:val="clear" w:color="auto" w:fill="FFFFFF"/>
          <w:lang w:val="en-GB"/>
          <w14:ligatures w14:val="none"/>
        </w:rPr>
        <w:t>, A. (2024). The nature and fundamental elements of digital service innovation. </w:t>
      </w:r>
      <w:r w:rsidRPr="000C0C53">
        <w:rPr>
          <w:rFonts w:ascii="Times New Roman" w:eastAsia="Calibri" w:hAnsi="Times New Roman" w:cs="Times New Roman"/>
          <w:i/>
          <w:iCs/>
          <w:kern w:val="0"/>
          <w:shd w:val="clear" w:color="auto" w:fill="FFFFFF"/>
          <w:lang w:val="en-GB"/>
          <w14:ligatures w14:val="none"/>
        </w:rPr>
        <w:t>Journal of Service Management</w:t>
      </w:r>
      <w:r w:rsidRPr="000C0C53">
        <w:rPr>
          <w:rFonts w:ascii="Times New Roman" w:eastAsia="Calibri" w:hAnsi="Times New Roman" w:cs="Times New Roman"/>
          <w:kern w:val="0"/>
          <w:shd w:val="clear" w:color="auto" w:fill="FFFFFF"/>
          <w:lang w:val="en-GB"/>
          <w14:ligatures w14:val="none"/>
        </w:rPr>
        <w:t>, </w:t>
      </w:r>
      <w:r w:rsidRPr="000C0C53">
        <w:rPr>
          <w:rFonts w:ascii="Times New Roman" w:eastAsia="Calibri" w:hAnsi="Times New Roman" w:cs="Times New Roman"/>
          <w:i/>
          <w:iCs/>
          <w:kern w:val="0"/>
          <w:shd w:val="clear" w:color="auto" w:fill="FFFFFF"/>
          <w:lang w:val="en-GB"/>
          <w14:ligatures w14:val="none"/>
        </w:rPr>
        <w:t>35</w:t>
      </w:r>
      <w:r w:rsidRPr="000C0C53">
        <w:rPr>
          <w:rFonts w:ascii="Times New Roman" w:eastAsia="Calibri" w:hAnsi="Times New Roman" w:cs="Times New Roman"/>
          <w:kern w:val="0"/>
          <w:shd w:val="clear" w:color="auto" w:fill="FFFFFF"/>
          <w:lang w:val="en-GB"/>
          <w14:ligatures w14:val="none"/>
        </w:rPr>
        <w:t>(2), 227-252.</w:t>
      </w:r>
    </w:p>
    <w:p w14:paraId="2E580C6A" w14:textId="77777777" w:rsidR="000C0C53" w:rsidRDefault="000C0C53" w:rsidP="00641746">
      <w:pPr>
        <w:spacing w:after="0" w:line="240" w:lineRule="auto"/>
        <w:jc w:val="center"/>
        <w:rPr>
          <w:rFonts w:ascii="Times New Roman" w:hAnsi="Times New Roman" w:cs="Times New Roman"/>
          <w:b/>
          <w:bCs/>
          <w:sz w:val="52"/>
          <w:szCs w:val="52"/>
        </w:rPr>
      </w:pPr>
    </w:p>
    <w:p w14:paraId="35CF7892" w14:textId="77777777" w:rsidR="000C0C53" w:rsidRDefault="000C0C53" w:rsidP="00641746">
      <w:pPr>
        <w:spacing w:after="0" w:line="240" w:lineRule="auto"/>
        <w:jc w:val="center"/>
        <w:rPr>
          <w:rFonts w:ascii="Times New Roman" w:hAnsi="Times New Roman" w:cs="Times New Roman"/>
          <w:b/>
          <w:bCs/>
          <w:sz w:val="52"/>
          <w:szCs w:val="52"/>
        </w:rPr>
      </w:pPr>
    </w:p>
    <w:p w14:paraId="125E0DFB" w14:textId="77777777" w:rsidR="000C0C53" w:rsidRDefault="000C0C53" w:rsidP="00641746">
      <w:pPr>
        <w:spacing w:after="0" w:line="240" w:lineRule="auto"/>
        <w:jc w:val="center"/>
        <w:rPr>
          <w:rFonts w:ascii="Times New Roman" w:hAnsi="Times New Roman" w:cs="Times New Roman"/>
          <w:b/>
          <w:bCs/>
          <w:sz w:val="52"/>
          <w:szCs w:val="52"/>
        </w:rPr>
      </w:pPr>
    </w:p>
    <w:p w14:paraId="057BCA84" w14:textId="77777777" w:rsidR="000C0C53" w:rsidRDefault="000C0C53" w:rsidP="00641746">
      <w:pPr>
        <w:spacing w:after="0" w:line="240" w:lineRule="auto"/>
        <w:jc w:val="center"/>
        <w:rPr>
          <w:rFonts w:ascii="Times New Roman" w:hAnsi="Times New Roman" w:cs="Times New Roman"/>
          <w:b/>
          <w:bCs/>
          <w:sz w:val="52"/>
          <w:szCs w:val="52"/>
        </w:rPr>
      </w:pPr>
    </w:p>
    <w:p w14:paraId="2F37E561" w14:textId="77777777" w:rsidR="000C0C53" w:rsidRDefault="000C0C53" w:rsidP="00641746">
      <w:pPr>
        <w:spacing w:after="0" w:line="240" w:lineRule="auto"/>
        <w:jc w:val="center"/>
        <w:rPr>
          <w:rFonts w:ascii="Times New Roman" w:hAnsi="Times New Roman" w:cs="Times New Roman"/>
          <w:b/>
          <w:bCs/>
          <w:sz w:val="52"/>
          <w:szCs w:val="52"/>
        </w:rPr>
      </w:pPr>
    </w:p>
    <w:p w14:paraId="3241C7A2" w14:textId="77777777" w:rsidR="000C0C53" w:rsidRDefault="000C0C53" w:rsidP="00641746">
      <w:pPr>
        <w:spacing w:after="0" w:line="240" w:lineRule="auto"/>
        <w:jc w:val="center"/>
        <w:rPr>
          <w:rFonts w:ascii="Times New Roman" w:hAnsi="Times New Roman" w:cs="Times New Roman"/>
          <w:b/>
          <w:bCs/>
          <w:sz w:val="52"/>
          <w:szCs w:val="52"/>
        </w:rPr>
      </w:pPr>
    </w:p>
    <w:p w14:paraId="7983F081" w14:textId="77777777" w:rsidR="000C0C53" w:rsidRDefault="000C0C53" w:rsidP="00641746">
      <w:pPr>
        <w:spacing w:after="0" w:line="240" w:lineRule="auto"/>
        <w:jc w:val="center"/>
        <w:rPr>
          <w:rFonts w:ascii="Times New Roman" w:hAnsi="Times New Roman" w:cs="Times New Roman"/>
          <w:b/>
          <w:bCs/>
          <w:sz w:val="52"/>
          <w:szCs w:val="52"/>
        </w:rPr>
      </w:pPr>
    </w:p>
    <w:p w14:paraId="21004846" w14:textId="77777777" w:rsidR="000C0C53" w:rsidRDefault="000C0C53" w:rsidP="00641746">
      <w:pPr>
        <w:spacing w:after="0" w:line="240" w:lineRule="auto"/>
        <w:jc w:val="center"/>
        <w:rPr>
          <w:rFonts w:ascii="Times New Roman" w:hAnsi="Times New Roman" w:cs="Times New Roman"/>
          <w:b/>
          <w:bCs/>
          <w:sz w:val="52"/>
          <w:szCs w:val="52"/>
        </w:rPr>
      </w:pPr>
    </w:p>
    <w:p w14:paraId="3B671F15" w14:textId="77777777" w:rsidR="000C0C53" w:rsidRDefault="000C0C53" w:rsidP="00641746">
      <w:pPr>
        <w:spacing w:after="0" w:line="240" w:lineRule="auto"/>
        <w:jc w:val="center"/>
        <w:rPr>
          <w:rFonts w:ascii="Times New Roman" w:hAnsi="Times New Roman" w:cs="Times New Roman"/>
          <w:b/>
          <w:bCs/>
          <w:sz w:val="52"/>
          <w:szCs w:val="52"/>
        </w:rPr>
      </w:pPr>
    </w:p>
    <w:p w14:paraId="34893F73" w14:textId="77777777" w:rsidR="000C0C53" w:rsidRDefault="000C0C53" w:rsidP="00641746">
      <w:pPr>
        <w:spacing w:after="0" w:line="240" w:lineRule="auto"/>
        <w:jc w:val="center"/>
        <w:rPr>
          <w:rFonts w:ascii="Times New Roman" w:hAnsi="Times New Roman" w:cs="Times New Roman"/>
          <w:b/>
          <w:bCs/>
          <w:sz w:val="52"/>
          <w:szCs w:val="52"/>
        </w:rPr>
      </w:pPr>
    </w:p>
    <w:p w14:paraId="00E891E7" w14:textId="77777777" w:rsidR="000C0C53" w:rsidRDefault="000C0C53" w:rsidP="00641746">
      <w:pPr>
        <w:spacing w:after="0" w:line="240" w:lineRule="auto"/>
        <w:jc w:val="center"/>
        <w:rPr>
          <w:rFonts w:ascii="Times New Roman" w:hAnsi="Times New Roman" w:cs="Times New Roman"/>
          <w:b/>
          <w:bCs/>
          <w:sz w:val="52"/>
          <w:szCs w:val="52"/>
        </w:rPr>
      </w:pPr>
    </w:p>
    <w:p w14:paraId="18330ECD" w14:textId="77777777" w:rsidR="000C0C53" w:rsidRDefault="000C0C53" w:rsidP="00641746">
      <w:pPr>
        <w:spacing w:after="0" w:line="240" w:lineRule="auto"/>
        <w:jc w:val="center"/>
        <w:rPr>
          <w:rFonts w:ascii="Times New Roman" w:hAnsi="Times New Roman" w:cs="Times New Roman"/>
          <w:b/>
          <w:bCs/>
          <w:sz w:val="52"/>
          <w:szCs w:val="52"/>
        </w:rPr>
      </w:pPr>
    </w:p>
    <w:p w14:paraId="4AF285B9" w14:textId="77777777" w:rsidR="000C0C53" w:rsidRPr="000C0C53" w:rsidRDefault="000C0C53" w:rsidP="000C0C53">
      <w:pPr>
        <w:spacing w:line="240" w:lineRule="auto"/>
        <w:jc w:val="center"/>
        <w:rPr>
          <w:rFonts w:ascii="Times New Roman" w:hAnsi="Times New Roman" w:cs="Times New Roman"/>
          <w:b/>
          <w:bCs/>
          <w:lang/>
        </w:rPr>
      </w:pPr>
      <w:r w:rsidRPr="000C0C53">
        <w:rPr>
          <w:rFonts w:ascii="Times New Roman" w:hAnsi="Times New Roman" w:cs="Times New Roman"/>
          <w:b/>
          <w:bCs/>
          <w:lang/>
        </w:rPr>
        <w:lastRenderedPageBreak/>
        <w:t>Role of Innovation-Driven Competitive Advantage and Customer Experience in the Sustainability of Hi-Tech Ventures in Southwest Nigeria</w:t>
      </w:r>
    </w:p>
    <w:p w14:paraId="5500EA44" w14:textId="77777777" w:rsidR="000C0C53" w:rsidRPr="000C0C53" w:rsidRDefault="000C0C53" w:rsidP="000C0C53">
      <w:pPr>
        <w:spacing w:line="360" w:lineRule="auto"/>
        <w:jc w:val="center"/>
        <w:rPr>
          <w:rFonts w:ascii="Times New Roman" w:hAnsi="Times New Roman" w:cs="Times New Roman"/>
          <w:b/>
          <w:bCs/>
          <w:lang/>
        </w:rPr>
      </w:pPr>
      <w:r w:rsidRPr="000C0C53">
        <w:rPr>
          <w:rFonts w:ascii="Times New Roman" w:hAnsi="Times New Roman" w:cs="Times New Roman"/>
          <w:lang/>
        </w:rPr>
        <w:t xml:space="preserve">By </w:t>
      </w:r>
    </w:p>
    <w:p w14:paraId="1F28074D" w14:textId="77777777" w:rsidR="000C0C53" w:rsidRPr="000C0C53" w:rsidRDefault="000C0C53" w:rsidP="000C0C53">
      <w:pPr>
        <w:spacing w:after="0" w:line="240" w:lineRule="auto"/>
        <w:jc w:val="center"/>
        <w:rPr>
          <w:rFonts w:ascii="Times New Roman" w:hAnsi="Times New Roman" w:cs="Times New Roman"/>
          <w:b/>
          <w:bCs/>
        </w:rPr>
      </w:pPr>
      <w:r w:rsidRPr="000C0C53">
        <w:rPr>
          <w:rFonts w:ascii="Times New Roman" w:hAnsi="Times New Roman" w:cs="Times New Roman"/>
          <w:b/>
          <w:bCs/>
        </w:rPr>
        <w:t>Ukeme Gabriel Okon</w:t>
      </w:r>
    </w:p>
    <w:p w14:paraId="5DACCB38" w14:textId="77777777" w:rsidR="000C0C53" w:rsidRPr="000C0C53" w:rsidRDefault="000C0C53" w:rsidP="000C0C53">
      <w:pPr>
        <w:spacing w:after="0" w:line="240" w:lineRule="auto"/>
        <w:jc w:val="center"/>
        <w:rPr>
          <w:rFonts w:ascii="Times New Roman" w:hAnsi="Times New Roman" w:cs="Times New Roman"/>
        </w:rPr>
      </w:pPr>
      <w:r w:rsidRPr="000C0C53">
        <w:rPr>
          <w:rFonts w:ascii="Times New Roman" w:hAnsi="Times New Roman" w:cs="Times New Roman"/>
        </w:rPr>
        <w:t>Department of Entrepreneurial Studies</w:t>
      </w:r>
    </w:p>
    <w:p w14:paraId="48FD10AA" w14:textId="77777777" w:rsidR="000C0C53" w:rsidRPr="000C0C53" w:rsidRDefault="000C0C53" w:rsidP="000C0C53">
      <w:pPr>
        <w:spacing w:after="0" w:line="240" w:lineRule="auto"/>
        <w:jc w:val="center"/>
        <w:rPr>
          <w:rFonts w:ascii="Times New Roman" w:hAnsi="Times New Roman" w:cs="Times New Roman"/>
        </w:rPr>
      </w:pPr>
      <w:r w:rsidRPr="000C0C53">
        <w:rPr>
          <w:rFonts w:ascii="Times New Roman" w:hAnsi="Times New Roman" w:cs="Times New Roman"/>
        </w:rPr>
        <w:t>National Open University of Nigeria</w:t>
      </w:r>
    </w:p>
    <w:p w14:paraId="2F75241F" w14:textId="77777777" w:rsidR="000C0C53" w:rsidRPr="000C0C53" w:rsidRDefault="000C0C53" w:rsidP="000C0C53">
      <w:pPr>
        <w:spacing w:line="360" w:lineRule="auto"/>
        <w:jc w:val="center"/>
        <w:rPr>
          <w:rFonts w:ascii="Times New Roman" w:hAnsi="Times New Roman" w:cs="Times New Roman"/>
          <w:lang/>
        </w:rPr>
      </w:pPr>
    </w:p>
    <w:p w14:paraId="3BF79559" w14:textId="77777777" w:rsidR="000C0C53" w:rsidRPr="000C0C53" w:rsidRDefault="000C0C53" w:rsidP="000C0C53">
      <w:pPr>
        <w:spacing w:line="360" w:lineRule="auto"/>
        <w:jc w:val="center"/>
        <w:rPr>
          <w:rFonts w:ascii="Times New Roman" w:hAnsi="Times New Roman" w:cs="Times New Roman"/>
          <w:b/>
          <w:bCs/>
          <w:lang/>
        </w:rPr>
      </w:pPr>
      <w:r w:rsidRPr="000C0C53">
        <w:rPr>
          <w:rFonts w:ascii="Times New Roman" w:hAnsi="Times New Roman" w:cs="Times New Roman"/>
          <w:b/>
          <w:bCs/>
          <w:lang/>
        </w:rPr>
        <w:t>Abstract</w:t>
      </w:r>
    </w:p>
    <w:p w14:paraId="24295A3D"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Southwest Nigeria’s high-tech sector faces challenges such as limited access to financing, poor infrastructure, and a lack of a cohesive innovation ecosystem. In response, the Nigerian government, alongside private sector initiatives, has introduced policies like the National Policy on Information Technology (NPIT) and the Nigerian Start-Up Bill, aiming to foster innovation and enhance customer experience. This study explores the impact of innovation-driven strategies and customer experience initiatives on the sustainability of high-tech ventures in Southwest Nigeria. Using the Resource-Based View (RBV) theory, the study adopts a mixed-methods design, combining both quantitative and qualitative approaches. The target population consists of managers and decision-makers from 500 high-tech ventures in the region, with a sample size of 217 determined using the Krejcie and Morgan formula. Primary data were collected through structured questionnaire and interviews, while secondary data were sourced from industry reports. Descriptive statistics and Multiple Linear Regression (MLR) were employed to analyse the data, with a significance level of p &lt; 0.05. Findings reveal that innovation-driven competitive advantage (IDCA) significantly contributes to the sustainability of high-tech ventures, with a p-value of 0.000 (p &lt; 0.05). Based on these results, the study recommends that high-tech ventures continue to invest in innovation, integrate customer experience into their strategies, and that policymakers create a more supportive environment for innovation through better infrastructure, financing, and grants.</w:t>
      </w:r>
    </w:p>
    <w:p w14:paraId="6177A702"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b/>
          <w:bCs/>
          <w:lang/>
        </w:rPr>
        <w:t>Keywords</w:t>
      </w:r>
      <w:r w:rsidRPr="000C0C53">
        <w:rPr>
          <w:rFonts w:ascii="Times New Roman" w:hAnsi="Times New Roman" w:cs="Times New Roman"/>
          <w:lang/>
        </w:rPr>
        <w:t>: customer experience, innovation-driven competitive advantage, high-tech ventures, Southwest Nigeria, sustainability.</w:t>
      </w:r>
    </w:p>
    <w:p w14:paraId="464ED131" w14:textId="77777777" w:rsidR="000C0C53" w:rsidRPr="000C0C53" w:rsidRDefault="000C0C53" w:rsidP="000C0C53">
      <w:pPr>
        <w:spacing w:line="240" w:lineRule="auto"/>
        <w:jc w:val="both"/>
        <w:rPr>
          <w:rFonts w:ascii="Times New Roman" w:hAnsi="Times New Roman" w:cs="Times New Roman"/>
          <w:lang/>
        </w:rPr>
      </w:pPr>
    </w:p>
    <w:p w14:paraId="58BC19FE" w14:textId="77777777" w:rsidR="000C0C53" w:rsidRPr="000C0C53" w:rsidRDefault="000C0C53" w:rsidP="000C0C53">
      <w:pPr>
        <w:spacing w:line="240" w:lineRule="auto"/>
        <w:jc w:val="both"/>
        <w:rPr>
          <w:rFonts w:ascii="Times New Roman" w:hAnsi="Times New Roman" w:cs="Times New Roman"/>
          <w:b/>
          <w:bCs/>
          <w:lang/>
        </w:rPr>
      </w:pPr>
      <w:r w:rsidRPr="000C0C53">
        <w:rPr>
          <w:rFonts w:ascii="Times New Roman" w:hAnsi="Times New Roman" w:cs="Times New Roman"/>
          <w:b/>
          <w:bCs/>
          <w:lang/>
        </w:rPr>
        <w:t>Introduction</w:t>
      </w:r>
    </w:p>
    <w:p w14:paraId="433E1345"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Innovation-driven competitive advantage (IDCA) has become a crucial element for firms striving to sustain their position in the rapidly changing global economy. As organizations face increasing competition and more sophisticated consumer expectations, the role of innovation in creating a sustainable competitive edge cannot be overstated. This trend is particularly noticeable in high-tech industries, where technological advancements are pivotal for growth and survival. The importance of IDCA lies in its capacity to enable firms to adapt to market changes, develop unique products and services, and enhance customer satisfaction (Porter, 1985). Additionally, customer experience (CX) has emerged as a significant factor contributing to business success, with companies across industries recognizing its influence on customer loyalty, retention, and overall brand value (Lemon &amp; Verhoef, 2016).</w:t>
      </w:r>
    </w:p>
    <w:p w14:paraId="3F760A6B"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In Africa, the role of innovation in fostering competitive advantage has been a key topic of interest, especially in the context of emerging markets. For instance, studies have shown that innovation-</w:t>
      </w:r>
      <w:r w:rsidRPr="000C0C53">
        <w:rPr>
          <w:rFonts w:ascii="Times New Roman" w:hAnsi="Times New Roman" w:cs="Times New Roman"/>
          <w:lang/>
        </w:rPr>
        <w:lastRenderedPageBreak/>
        <w:t>driven strategies can help African firms navigate economic challenges, build resilience, and create new opportunities for growth (Akanbi, 2020). The continent's entrepreneurial ecosystem has gradually evolved, with high-tech ventures becoming instrumental in the drive for economic diversification and technological advancement. However, innovation in African businesses is often constrained by factors such as access to financing, infrastructural challenges, and a lack of skilled labor (Kamukama et al., 2019).</w:t>
      </w:r>
    </w:p>
    <w:p w14:paraId="2E7A883C"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When considering Nigeria, the role of innovation in high-tech ventures becomes even more significant due to the country’s large, growing economy and rapidly increasing digital transformation. Despite these opportunities, many Nigerian firms face substantial hurdles, such as inconsistent power supply, poor infrastructure, and the lack of a robust innovation ecosystem. However, in recent years, there has been a visible shift, with various initiatives focusing on fostering a culture of innovation in Nigerian businesses. These efforts are especially crucial in the high-tech sector, where rapid technological advancements are often key to sustaining competitive advantage (Olawale &amp; Garwe, 2010). Studies have indicated that customer experience in Nigeria, particularly within high-tech ventures, significantly affects customer loyalty, trust, and overall firm sustainability (Adigun &amp; Obembe, 2021). For example, the Nigerian mobile technology sector has seen a surge in innovative products and services, driven by firms aiming to meet customer demands in a digital-first environment.</w:t>
      </w:r>
    </w:p>
    <w:p w14:paraId="2DC925B6"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Focusing on Southwest Nigeria, this region is particularly noteworthy for its dynamic tech ecosystem, driven by a combination of university-linked innovations, a burgeoning start-up scene, and a rapidly growing consumer base. In cities like Lagos, Ibadan, and Akure, high-tech ventures have thrived in areas such as mobile applications, software development, and e-commerce, largely due to the strategic integration of innovation-driven competitive advantage and a heightened focus on customer experience. However, despite the promising growth of high-tech ventures, challenges such as limited access to funding, low infrastructure quality, and regulatory barriers persist. These obstacles hinder the full potential of these ventures, thereby necessitating a deeper exploration of how innovation and customer experience influence their sustainability.</w:t>
      </w:r>
    </w:p>
    <w:p w14:paraId="18B88EA3"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This study is significant in three key areas; academic, policy, and practical. Academically, it contributes to the growing body of literature on IDCA and CX, particularly in Southwest Nigeria, by integrating both constructs and exploring their combined role in business sustainability. The findings will offer valuable insights into how innovation and customer-centric strategies influence business longevity, especially in emerging economies. Policy-wise, the study provides insights into the critical role of innovation and customer experience in enhancing sustainability, which can guide the development of policies aimed at fostering an innovation ecosystem and supporting high-tech ventures in the region. Practically, for entrepreneurs, business managers, and stakeholders, the study highlights the importance of integrating innovation and customer experience to ensure long-term business sustainability. The findings will offer actionable recommendations for maintaining a competitive advantage and fostering the growth of sustainable high-tech ventures.</w:t>
      </w:r>
    </w:p>
    <w:p w14:paraId="7B44BCAE"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The scope of this study encompasses three dimensions; content, geographical, and timeframe. Content-wise, the study focuses on the role of IDCA and CX in the sustainability of high-tech ventures, specifically examining their combined effect in Southwest Nigeria. Geographically, the study is limited to Southwest Nigeria, which includes key cities such as Lagos, Ibadan, and Akure, known for their vibrant high-tech ecosystems. Timeframe-wise, the study covers data from 2018 to 2024, ensuring a focus on recent trends in innovation practices, customer experience strategies, and the sustainability of high-tech ventures.</w:t>
      </w:r>
    </w:p>
    <w:p w14:paraId="17076BA1"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lastRenderedPageBreak/>
        <w:t>The main aim of this study is to examine the role of innovation-driven competitive advantage and customer experience in the sustainability of high-tech ventures in Southwest Nigeria.</w:t>
      </w:r>
    </w:p>
    <w:p w14:paraId="12B8C241" w14:textId="77777777" w:rsidR="000C0C53" w:rsidRPr="000C0C53" w:rsidRDefault="000C0C53" w:rsidP="000C0C53">
      <w:pPr>
        <w:spacing w:line="240" w:lineRule="auto"/>
        <w:jc w:val="both"/>
        <w:rPr>
          <w:rFonts w:ascii="Times New Roman" w:hAnsi="Times New Roman" w:cs="Times New Roman"/>
          <w:b/>
          <w:bCs/>
          <w:lang/>
        </w:rPr>
      </w:pPr>
      <w:r w:rsidRPr="000C0C53">
        <w:rPr>
          <w:rFonts w:ascii="Times New Roman" w:hAnsi="Times New Roman" w:cs="Times New Roman"/>
          <w:b/>
          <w:bCs/>
          <w:lang/>
        </w:rPr>
        <w:t>Statement of the Problem</w:t>
      </w:r>
    </w:p>
    <w:p w14:paraId="5500E505"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Nigeria, particularly Southwest Nigeria, has faced several challenges in the realm of high-tech entrepreneurship, such as limited access to funding, poor infrastructure, and an absence of a comprehensive innovation ecosystem (Adigun &amp; Obembe, 2021). These challenges have hindered the growth and sustainability of high-tech ventures in the region, despite the increasing importance of technology and digital transformation in the global economy. The high-tech sector, especially in urban areas like Lagos and Ibadan, has been pivotal to the country’s economic diversification. However, despite several initiatives aimed at fostering innovation, including governmental support programs and private sector investments, the challenges persist, with high-tech ventures struggling to maintain a competitive edge.</w:t>
      </w:r>
    </w:p>
    <w:p w14:paraId="1E5ECD81"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Innovation-driven competitive advantage (IDCA) is critical to overcoming these challenges, as it has the potential to create value, increase productivity, and improve business sustainability. At the same time, customer experience (CX) has been identified as a key driver of success in the high-tech sector, affecting customer loyalty, engagement, and retention (Lemon &amp; Verhoef, 2016). Despite these recognized benefits, there is a significant gap in understanding how the integration of IDCA and CX directly impacts the sustainability of high-tech ventures in Southwest Nigeria. Most studies in the Nigerian context have primarily focused on the general effects of innovation or customer satisfaction without integrating both constructs or addressing their combined influence on the long-term survival of tech ventures (Akanbi, 2020).</w:t>
      </w:r>
    </w:p>
    <w:p w14:paraId="35FE9BCA"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In an effort to address these challenges, the Nigerian government has introduced various initiatives such as the National Policy on Information Technology (NPIT), the Nigerian Start-Up Bill, and several public-private partnerships designed to encourage innovation. However, despite these strategies, high-tech ventures continue to face sustainability challenges, especially in terms of operational efficiency, scalability, and market relevance. Empirically, previous studies also reveal conflicting views about the role of IDCA and CX in ensuring the survival of tech ventures, particularly in emerging economies like Nigeria. For instance, while some studies assert that IDCA directly correlates with competitive advantage (Porter, 1985), others argue that customer experience plays a more dominant role (Lemon &amp; Verhoef, 2016).</w:t>
      </w:r>
    </w:p>
    <w:p w14:paraId="03AB6AA1"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This study, therefore, aims to fill this gap by examining the effect of innovation-driven competitive advantage and customer experience on the sustainability of high-tech ventures in Southwest Nigeria.</w:t>
      </w:r>
    </w:p>
    <w:p w14:paraId="62265896" w14:textId="77777777" w:rsidR="000C0C53" w:rsidRPr="000C0C53" w:rsidRDefault="000C0C53" w:rsidP="000C0C53">
      <w:pPr>
        <w:spacing w:line="240" w:lineRule="auto"/>
        <w:jc w:val="both"/>
        <w:rPr>
          <w:rFonts w:ascii="Times New Roman" w:hAnsi="Times New Roman" w:cs="Times New Roman"/>
          <w:b/>
          <w:bCs/>
          <w:lang/>
        </w:rPr>
      </w:pPr>
      <w:r w:rsidRPr="000C0C53">
        <w:rPr>
          <w:rFonts w:ascii="Times New Roman" w:hAnsi="Times New Roman" w:cs="Times New Roman"/>
          <w:b/>
          <w:bCs/>
          <w:lang/>
        </w:rPr>
        <w:t>Objectives of the Study</w:t>
      </w:r>
    </w:p>
    <w:p w14:paraId="742151DF"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The broad objective of this study is to examine the role of innovation-driven competitive advantage and customer experience in the sustainability of high-tech ventures in Southwest Nigeria. While the broad objective encapsulates the overall aim of the research, the specific objectives are designed to address key aspects of the study's variables:</w:t>
      </w:r>
    </w:p>
    <w:p w14:paraId="3D4EE0FB" w14:textId="77777777" w:rsidR="000C0C53" w:rsidRPr="000C0C53" w:rsidRDefault="000C0C53" w:rsidP="000C0C53">
      <w:pPr>
        <w:numPr>
          <w:ilvl w:val="0"/>
          <w:numId w:val="81"/>
        </w:numPr>
        <w:spacing w:line="240" w:lineRule="auto"/>
        <w:jc w:val="both"/>
        <w:rPr>
          <w:rFonts w:ascii="Times New Roman" w:hAnsi="Times New Roman" w:cs="Times New Roman"/>
          <w:lang/>
        </w:rPr>
      </w:pPr>
      <w:r w:rsidRPr="000C0C53">
        <w:rPr>
          <w:rFonts w:ascii="Times New Roman" w:hAnsi="Times New Roman" w:cs="Times New Roman"/>
          <w:lang/>
        </w:rPr>
        <w:t>To examine the effect of innovation-driven competitive advantage on the sustainability of high-tech ventures in Southwest Nigeria.</w:t>
      </w:r>
    </w:p>
    <w:p w14:paraId="1619D886" w14:textId="77777777" w:rsidR="000C0C53" w:rsidRPr="000C0C53" w:rsidRDefault="000C0C53" w:rsidP="000C0C53">
      <w:pPr>
        <w:numPr>
          <w:ilvl w:val="0"/>
          <w:numId w:val="81"/>
        </w:numPr>
        <w:spacing w:line="240" w:lineRule="auto"/>
        <w:jc w:val="both"/>
        <w:rPr>
          <w:rFonts w:ascii="Times New Roman" w:hAnsi="Times New Roman" w:cs="Times New Roman"/>
          <w:lang/>
        </w:rPr>
      </w:pPr>
      <w:r w:rsidRPr="000C0C53">
        <w:rPr>
          <w:rFonts w:ascii="Times New Roman" w:hAnsi="Times New Roman" w:cs="Times New Roman"/>
          <w:lang/>
        </w:rPr>
        <w:t>To determine the effect of customer experience on the sustainability of high-tech ventures in Southwest Nigeria.</w:t>
      </w:r>
    </w:p>
    <w:p w14:paraId="78945043" w14:textId="77777777" w:rsidR="000C0C53" w:rsidRPr="000C0C53" w:rsidRDefault="000C0C53" w:rsidP="000C0C53">
      <w:pPr>
        <w:numPr>
          <w:ilvl w:val="0"/>
          <w:numId w:val="81"/>
        </w:numPr>
        <w:spacing w:line="240" w:lineRule="auto"/>
        <w:jc w:val="both"/>
        <w:rPr>
          <w:rFonts w:ascii="Times New Roman" w:hAnsi="Times New Roman" w:cs="Times New Roman"/>
          <w:lang/>
        </w:rPr>
      </w:pPr>
      <w:r w:rsidRPr="000C0C53">
        <w:rPr>
          <w:rFonts w:ascii="Times New Roman" w:hAnsi="Times New Roman" w:cs="Times New Roman"/>
          <w:lang/>
        </w:rPr>
        <w:lastRenderedPageBreak/>
        <w:t>To assess the extent to which the integration of innovation-driven competitive advantage and customer experience enhances the sustainability of high-tech ventures in Southwest Nigeria.</w:t>
      </w:r>
    </w:p>
    <w:p w14:paraId="6CD81465" w14:textId="77777777" w:rsidR="000C0C53" w:rsidRPr="000C0C53" w:rsidRDefault="000C0C53" w:rsidP="000C0C53">
      <w:pPr>
        <w:spacing w:line="240" w:lineRule="auto"/>
        <w:jc w:val="both"/>
        <w:rPr>
          <w:rFonts w:ascii="Times New Roman" w:hAnsi="Times New Roman" w:cs="Times New Roman"/>
          <w:b/>
          <w:bCs/>
          <w:lang/>
        </w:rPr>
      </w:pPr>
      <w:r w:rsidRPr="000C0C53">
        <w:rPr>
          <w:rFonts w:ascii="Times New Roman" w:hAnsi="Times New Roman" w:cs="Times New Roman"/>
          <w:b/>
          <w:bCs/>
          <w:lang/>
        </w:rPr>
        <w:t>Research Questions</w:t>
      </w:r>
    </w:p>
    <w:p w14:paraId="389362D9"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This study seeks to answer the following research questions:</w:t>
      </w:r>
    </w:p>
    <w:p w14:paraId="0943F7ED" w14:textId="77777777" w:rsidR="000C0C53" w:rsidRPr="000C0C53" w:rsidRDefault="000C0C53" w:rsidP="000C0C53">
      <w:pPr>
        <w:numPr>
          <w:ilvl w:val="0"/>
          <w:numId w:val="74"/>
        </w:numPr>
        <w:spacing w:line="240" w:lineRule="auto"/>
        <w:jc w:val="both"/>
        <w:rPr>
          <w:rFonts w:ascii="Times New Roman" w:hAnsi="Times New Roman" w:cs="Times New Roman"/>
          <w:lang/>
        </w:rPr>
      </w:pPr>
      <w:r w:rsidRPr="000C0C53">
        <w:rPr>
          <w:rFonts w:ascii="Times New Roman" w:hAnsi="Times New Roman" w:cs="Times New Roman"/>
          <w:lang/>
        </w:rPr>
        <w:t>What is the effect of innovation-driven competitive advantage on the sustainability of high-tech ventures in Southwest Nigeria?</w:t>
      </w:r>
    </w:p>
    <w:p w14:paraId="0F8AF174" w14:textId="77777777" w:rsidR="000C0C53" w:rsidRPr="000C0C53" w:rsidRDefault="000C0C53" w:rsidP="000C0C53">
      <w:pPr>
        <w:numPr>
          <w:ilvl w:val="0"/>
          <w:numId w:val="74"/>
        </w:numPr>
        <w:spacing w:line="240" w:lineRule="auto"/>
        <w:jc w:val="both"/>
        <w:rPr>
          <w:rFonts w:ascii="Times New Roman" w:hAnsi="Times New Roman" w:cs="Times New Roman"/>
          <w:lang/>
        </w:rPr>
      </w:pPr>
      <w:r w:rsidRPr="000C0C53">
        <w:rPr>
          <w:rFonts w:ascii="Times New Roman" w:hAnsi="Times New Roman" w:cs="Times New Roman"/>
          <w:lang/>
        </w:rPr>
        <w:t>What is the effect of customer experience on the sustainability of high-tech ventures in Southwest Nigeria?</w:t>
      </w:r>
    </w:p>
    <w:p w14:paraId="605DA503" w14:textId="77777777" w:rsidR="000C0C53" w:rsidRPr="000C0C53" w:rsidRDefault="000C0C53" w:rsidP="000C0C53">
      <w:pPr>
        <w:numPr>
          <w:ilvl w:val="0"/>
          <w:numId w:val="74"/>
        </w:numPr>
        <w:spacing w:line="240" w:lineRule="auto"/>
        <w:jc w:val="both"/>
        <w:rPr>
          <w:rFonts w:ascii="Times New Roman" w:hAnsi="Times New Roman" w:cs="Times New Roman"/>
          <w:lang/>
        </w:rPr>
      </w:pPr>
      <w:r w:rsidRPr="000C0C53">
        <w:rPr>
          <w:rFonts w:ascii="Times New Roman" w:hAnsi="Times New Roman" w:cs="Times New Roman"/>
          <w:lang/>
        </w:rPr>
        <w:t>To what extent does the integration of innovation-driven competitive advantage and customer experience enhance the sustainability of high-tech ventures in Southwest Nigeria?</w:t>
      </w:r>
    </w:p>
    <w:p w14:paraId="039054F0" w14:textId="77777777" w:rsidR="000C0C53" w:rsidRPr="000C0C53" w:rsidRDefault="000C0C53" w:rsidP="000C0C53">
      <w:pPr>
        <w:spacing w:line="240" w:lineRule="auto"/>
        <w:jc w:val="both"/>
        <w:rPr>
          <w:rFonts w:ascii="Times New Roman" w:hAnsi="Times New Roman" w:cs="Times New Roman"/>
          <w:b/>
          <w:bCs/>
          <w:lang/>
        </w:rPr>
      </w:pPr>
      <w:r w:rsidRPr="000C0C53">
        <w:rPr>
          <w:rFonts w:ascii="Times New Roman" w:hAnsi="Times New Roman" w:cs="Times New Roman"/>
          <w:b/>
          <w:bCs/>
          <w:lang/>
        </w:rPr>
        <w:t>Hypothesis of the Study</w:t>
      </w:r>
    </w:p>
    <w:p w14:paraId="53171D6E"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The following hypotheses were drafted to guide the study:</w:t>
      </w:r>
    </w:p>
    <w:p w14:paraId="38D0DF2D" w14:textId="77777777" w:rsidR="000C0C53" w:rsidRPr="000C0C53" w:rsidRDefault="000C0C53" w:rsidP="000C0C53">
      <w:pPr>
        <w:numPr>
          <w:ilvl w:val="0"/>
          <w:numId w:val="82"/>
        </w:numPr>
        <w:spacing w:line="240" w:lineRule="auto"/>
        <w:jc w:val="both"/>
        <w:rPr>
          <w:rFonts w:ascii="Times New Roman" w:hAnsi="Times New Roman" w:cs="Times New Roman"/>
          <w:lang/>
        </w:rPr>
      </w:pPr>
      <w:r w:rsidRPr="000C0C53">
        <w:rPr>
          <w:rFonts w:ascii="Times New Roman" w:hAnsi="Times New Roman" w:cs="Times New Roman"/>
          <w:lang/>
        </w:rPr>
        <w:t>H₀: There is no significant relationship between innovation-driven competitive advantage and the sustainability of high-tech ventures in Southwest Nigeria.</w:t>
      </w:r>
    </w:p>
    <w:p w14:paraId="400E8F80" w14:textId="77777777" w:rsidR="000C0C53" w:rsidRPr="000C0C53" w:rsidRDefault="000C0C53" w:rsidP="000C0C53">
      <w:pPr>
        <w:numPr>
          <w:ilvl w:val="0"/>
          <w:numId w:val="82"/>
        </w:numPr>
        <w:spacing w:line="240" w:lineRule="auto"/>
        <w:jc w:val="both"/>
        <w:rPr>
          <w:rFonts w:ascii="Times New Roman" w:hAnsi="Times New Roman" w:cs="Times New Roman"/>
          <w:lang/>
        </w:rPr>
      </w:pPr>
      <w:r w:rsidRPr="000C0C53">
        <w:rPr>
          <w:rFonts w:ascii="Times New Roman" w:hAnsi="Times New Roman" w:cs="Times New Roman"/>
          <w:lang/>
        </w:rPr>
        <w:t>H₀: There is no significant relationship between customer experience and the sustainability of high-tech ventures in Southwest Nigeria.</w:t>
      </w:r>
    </w:p>
    <w:p w14:paraId="09A3E64A" w14:textId="77777777" w:rsidR="000C0C53" w:rsidRPr="000C0C53" w:rsidRDefault="000C0C53" w:rsidP="000C0C53">
      <w:pPr>
        <w:numPr>
          <w:ilvl w:val="0"/>
          <w:numId w:val="82"/>
        </w:numPr>
        <w:spacing w:line="240" w:lineRule="auto"/>
        <w:jc w:val="both"/>
        <w:rPr>
          <w:rFonts w:ascii="Times New Roman" w:hAnsi="Times New Roman" w:cs="Times New Roman"/>
          <w:lang/>
        </w:rPr>
      </w:pPr>
      <w:r w:rsidRPr="000C0C53">
        <w:rPr>
          <w:rFonts w:ascii="Times New Roman" w:hAnsi="Times New Roman" w:cs="Times New Roman"/>
          <w:lang/>
        </w:rPr>
        <w:t>H₀: There is no significant relationship between the integration of innovation-driven competitive advantage and customer experience in enhancing the sustainability of high-tech ventures in Southwest Nigeria.</w:t>
      </w:r>
    </w:p>
    <w:p w14:paraId="6FC64E9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Conceptual Framework</w:t>
      </w:r>
    </w:p>
    <w:p w14:paraId="25C2E3E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Innovation-Driven Competitive Advantage</w:t>
      </w:r>
    </w:p>
    <w:p w14:paraId="40AE135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Innovation-driven competitive advantage (IDCA) is defined as the ability of a firm to develop and implement new products, services, processes, or business models that enable it to gain and sustain a competitive edge in the marketplace (Porter, 1985). It is described as a strategic approach where firms leverage innovation to differentiate themselves, improve operational efficiency, and respond to market dynamics (Teece, 2014). Innovation, in this context, is not limited to technological advancements but also includes organizational innovations that can lead to new ways of doing business or offering value to customers (Schilling, 2019).</w:t>
      </w:r>
    </w:p>
    <w:p w14:paraId="71281B0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IDCA is a process whereby businesses continuously adapt to changes in consumer needs, technological advancements, and market conditions by creating novel solutions that fulfill emerging demands (Foster &amp; Kaplan, 2001). It is referred to as the driving force behind a firm’s long-term growth, as it allows companies to maintain a sustainable competitive advantage through unique capabilities that competitors cannot easily replicate (Prahalad &amp; Hamel, 1990). Innovation-driven competitive advantage is seen as crucial for firms operating in high-tech sectors, where rapid technological evolution demands constant innovation to stay relevant (Hamel, 2000).</w:t>
      </w:r>
    </w:p>
    <w:p w14:paraId="2AA217D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lastRenderedPageBreak/>
        <w:t>This framework emphasizes that without innovation, firms risk stagnation and market irrelevance, particularly in fast-evolving industries like technology, where consumer preferences and technological standards change rapidly (Chesbrough, 2003). It has been argued that the successful integration of innovation into business models is key to sustaining competitive advantage, as it allows firms to adapt, differentiate, and outperform rivals in an increasingly crowded marketplace (Zengler, 2015).</w:t>
      </w:r>
    </w:p>
    <w:p w14:paraId="2779586A"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Customer Experience</w:t>
      </w:r>
    </w:p>
    <w:p w14:paraId="7541B505"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Customer experience (CX) is defined as the cumulative impact of all interactions that a customer has with a brand, from the first point of contact to the ongoing relationship (Lemon &amp; Verhoef, 2016). It is described as a multidimensional construct that encompasses various aspects, including product quality, customer service, digital interactions, and emotional responses, all of which contribute to the overall perception of the brand (Verhoef et al., 2009).</w:t>
      </w:r>
    </w:p>
    <w:p w14:paraId="74CA6AD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CX is a process whereby companies engage customers at different touchpoints to create positive and memorable experiences that foster loyalty and satisfaction (Klaus, 2014). It is referred to as an integral component of a business strategy, influencing customers' expectations, buying decisions, and post-purchase behaviors (Homburg et al., 2017). In high-tech industries, customer experience plays a critical role in maintaining competitiveness, as consumers are often looking for personalized, efficient, and innovative solutions (Anderson et al., 2014).</w:t>
      </w:r>
    </w:p>
    <w:p w14:paraId="147194D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Customer experience is not only about transactional satisfaction but also involves building long-term emotional connections between the customer and the brand (Berry et al., 2002). The relationship between CX and customer loyalty is well-documented, with research indicating that positive experiences increase the likelihood of repeat purchases, recommendations, and overall brand advocacy (Kim et al., 2011). In high-tech ventures, providing exceptional customer experiences can lead to a sustainable competitive advantage, as it differentiates firms from competitors and builds a stronger emotional bond with customers (Lemon &amp; Verhoef, 2016).</w:t>
      </w:r>
    </w:p>
    <w:p w14:paraId="6467FB1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Overall, customer experience is a vital tool for driving business sustainability, especially in industries where customers have high expectations and can easily switch between competing brands. Companies that excel in delivering outstanding CX are more likely to thrive in the competitive high-tech market (Morgan-Thomas &amp; Veloutsou, 2013).</w:t>
      </w:r>
    </w:p>
    <w:p w14:paraId="0419367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Sustainability of High-Tech Ventures</w:t>
      </w:r>
    </w:p>
    <w:p w14:paraId="564A5BA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sustainability of high-tech ventures refers to the ability of a firm to maintain its competitive advantage and profitability over the long term in a dynamic and often competitive market environment. In the context of high-tech ventures, sustainability is not only about financial performance but also involves continuous innovation, adaptation to market changes, and the ability to provide exceptional customer experiences (Schilling, 2019). The sustainability of a high-tech firm depends on its ability to leverage innovation-driven competitive advantage (IDCA) and manage customer experiences effectively to stay relevant in the market.</w:t>
      </w:r>
    </w:p>
    <w:p w14:paraId="7DAADDE5"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Sustainability is described as a firm’s capacity to endure challenges over time, maintain profitability, and create long-term value for stakeholders (Hamel &amp; Prahalad, 1990). For high-tech </w:t>
      </w:r>
      <w:r w:rsidRPr="000C0C53">
        <w:rPr>
          <w:rFonts w:ascii="Times New Roman" w:eastAsia="Times New Roman" w:hAnsi="Times New Roman" w:cs="Times New Roman"/>
          <w:kern w:val="0"/>
          <w:lang/>
          <w14:ligatures w14:val="none"/>
        </w:rPr>
        <w:lastRenderedPageBreak/>
        <w:t>ventures, this often requires a proactive approach to technological advancements, market expansion, and consumer engagement, all of which contribute to long-term success (Teece, 2014). Furthermore, firms must continuously assess their resources, capabilities, and market dynamics to ensure that their competitive advantages are not eroded over time. In this study, sustainability will be examined in relation to the strategic integration of innovation and customer experience as core elements driving the ability of high-tech ventures to adapt, grow, and succeed in the long run.</w:t>
      </w:r>
    </w:p>
    <w:p w14:paraId="1F0F9E4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Theoretical Framework</w:t>
      </w:r>
    </w:p>
    <w:p w14:paraId="35385FB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Resource-Based View (RBV) was adopted as the theoretical framework for this study, as it emphasizes the importance of a firm’s internal resources and capabilities in achieving a sustainable competitive advantage. The RBV, originally proposed by Barney (1991), posits that firms can gain a competitive advantage through valuable, rare, inimitable, and non-substitutable resources. In the case of high-tech ventures, these resources could include technological capabilities, human capital, and customer experience strategies.</w:t>
      </w:r>
    </w:p>
    <w:p w14:paraId="4EBCB95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According to Teece (2014), the RBV theory is particularly relevant for high-tech firms because it highlights the strategic importance of innovation as a resource that can provide a sustainable edge over competitors. The theory suggests that firms must continuously develop and exploit unique resources (such as new technologies, customer data, and brand loyalty) to stay competitive. The dynamic capabilities aspect of the RBV, which refers to a firm’s ability to integrate, build, and reconfigure internal capabilities in response to a changing environment, is also central to this study’s focus on innovation and customer experience.</w:t>
      </w:r>
    </w:p>
    <w:p w14:paraId="391FDC0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RBV theory provides a solid foundation for understanding how high-tech ventures can leverage their internal resources, particularly their innovation and customer experience capabilities, to achieve long-term sustainability. Although the RBV has been critiqued for its focus on internal resources at the expense of external factors, it remains highly relevant for understanding the drivers of sustainability in firms operating in dynamic sectors such as technology.</w:t>
      </w:r>
    </w:p>
    <w:p w14:paraId="16480D8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Empirical Review</w:t>
      </w:r>
    </w:p>
    <w:p w14:paraId="653C7F0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A study conducted by Chesbrough (2020) examined the impact of innovation-driven competitive advantage on the sustainability of high-tech firms in the United States. The research employed a mixed-methods approach, using both qualitative case studies and quantitative data analysis from a sample of 200 high-tech firms. The study revealed that firms with higher levels of innovation were able to sustain their market position longer and showed more resilience during economic downturns. The conclusion highlighted that IDCA was significantly correlated with long-term business sustainability, especially in sectors such as software development and electronics manufacturing. This study differs from the current research as it focused on firms in a developed economy, whereas this study targets high-tech ventures in Southwest Nigeria, which may present different innovation challenges and opportunities due to distinct market dynamics.</w:t>
      </w:r>
    </w:p>
    <w:p w14:paraId="5CE1770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In a related study, Teece (2019) examined the role of innovation and customer experience in the competitiveness of high-tech ventures in Europe. The study adopted a longitudinal design, collecting data from a sample of 150 high-tech companies over five years. The findings showed that both innovation-driven competitive advantage and customer experience were critical for firm </w:t>
      </w:r>
      <w:r w:rsidRPr="000C0C53">
        <w:rPr>
          <w:rFonts w:ascii="Times New Roman" w:eastAsia="Times New Roman" w:hAnsi="Times New Roman" w:cs="Times New Roman"/>
          <w:kern w:val="0"/>
          <w:lang/>
          <w14:ligatures w14:val="none"/>
        </w:rPr>
        <w:lastRenderedPageBreak/>
        <w:t>success, but innovation was found to be a more dominant factor. The study concluded that firms that were able to innovate continuously saw better financial performance and customer satisfaction scores. However, unlike the present study, which explores the combined effect of both IDCA and CX, Teece's study primarily emphasized innovation, leaving the interaction between these variables unexplored.</w:t>
      </w:r>
    </w:p>
    <w:p w14:paraId="50A0E2D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Another study by Lemon &amp; Verhoef (2016) focused on customer experience in the sustainability of businesses in the high-tech sector in Asia. Using a quantitative approach, the study surveyed over 300 tech start-ups and established firms. The research concluded that customer experience played a crucial role in ensuring customer retention and loyalty, particularly in competitive markets. The findings reinforced the importance of understanding customer needs and adapting business strategies to meet these expectations. However, this study primarily examined CX in isolation and did not integrate it with IDCA, unlike the current study, which aims to explore how both elements contribute to sustainability in Southwest Nigeria's high-tech ventures.</w:t>
      </w:r>
    </w:p>
    <w:p w14:paraId="472B705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Olawale &amp; Garwe (2010) conducted a study on the challenges and opportunities for high-tech ventures in Nigeria. The study employed a case study approach, focusing on 25 high-tech firms across Nigeria. It found that while innovation was crucial for the growth of these firms, factors such as lack of access to financing, poor infrastructure, and inadequate regulatory frameworks posed significant barriers to their sustainability. This study provides a foundation for understanding the Nigerian context but does not focus specifically on the role of customer experience in high-tech ventures, which is a key component of the current study.</w:t>
      </w:r>
    </w:p>
    <w:p w14:paraId="68821E8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Klaus (2014) examined customer experience in the context of the tech industry in Sub-Saharan Africa, focusing on how CX influences customer loyalty and retention. The study found that businesses that invested in improving the customer experience were able to retain customers more effectively, even in a competitive and price-sensitive market. While this research supports the importance of customer experience, it does not explore how it interacts with innovation-driven competitive advantage, which is the focus of the present study.</w:t>
      </w:r>
    </w:p>
    <w:p w14:paraId="62D95E0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Summary of Gaps in Literature</w:t>
      </w:r>
    </w:p>
    <w:p w14:paraId="47FA307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empirical studies reviewed highlight the importance of innovation-driven competitive advantage (IDCA) and customer experience (CX) in the sustainability of high-tech ventures, both globally and regionally. However, several gaps remain in the literature, particularly in the context of Southwest Nigeria’s high-tech sector.</w:t>
      </w:r>
    </w:p>
    <w:p w14:paraId="6421A52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Chesbrough’s study (2020), which focuses on the U.S. market, emphasizes the role of innovation in the sustainability of high-tech firms. While it offers valuable insights, it mainly targets developed economies and overlooks the specific challenges faced by high-tech firms in emerging markets like Nigeria, particularly in Southwest Nigeria, where infrastructure and market dynamics differ significantly. Teece's research (2019) addresses both innovation and customer experience in high-tech firms across Europe, yet it fails to explore their combined impact on business sustainability. This study aims to fill this gap by investigating the interaction between IDCA and CX, offering a comprehensive understanding of their joint effect in Southwest Nigeria.</w:t>
      </w:r>
    </w:p>
    <w:p w14:paraId="79C9F99F"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lastRenderedPageBreak/>
        <w:t>Lemon and Verhoef’s study (2016) focus on customer experience in the Asian high-tech sector and concludes that CX is crucial for customer retention. However, this research does not integrate CX with IDCA, which is a key aspect of the current study. The interplay between innovation and CX is critical for understanding the sustainability of high-tech ventures in Southwest Nigeria, making this gap significant. Olawale and Garwe’s study (2010) offers valuable insights into the challenges faced by high-tech ventures in Nigeria, especially innovation barriers such as access to finance and infrastructure. While it acknowledges the importance of innovation, it does not explore how CX and innovation together influence sustainability.</w:t>
      </w:r>
    </w:p>
    <w:p w14:paraId="547A3FE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Klaus’s research (2014) emphasizes the role of customer experience in customer loyalty within Sub-Saharan Africa’s tech sector, but it does not examine the relationship between CX and IDCA, especially within the Nigerian context. This is a crucial oversight, as both factors are likely to play distinct roles in the Nigerian business environment.</w:t>
      </w:r>
    </w:p>
    <w:p w14:paraId="70F22D3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In summary, while previous studies emphasize either innovation or customer experience, none specifically address how the integration of both contributes to the sustainability of high-tech ventures in Southwest Nigeria. This study seeks to bridge this gap by examining the combined effect of IDCA and CX on the sustainability of high-tech ventures in the region.</w:t>
      </w:r>
    </w:p>
    <w:p w14:paraId="15BCE4C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Research Methods</w:t>
      </w:r>
    </w:p>
    <w:p w14:paraId="0AA18BD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Research Design</w:t>
      </w:r>
    </w:p>
    <w:p w14:paraId="727DD5D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This study adopts a mixed-methods research design, combining both quantitative and qualitative research approaches. The quantitative research design will involve the use of structured surveys and statistical analysis to quantify the relationships between innovation-driven competitive advantage (IDCA), customer experience (CX), and the sustainability of high-tech ventures in Southwest Nigeria. The qualitative research design will complement the quantitative analysis by exploring in-depth insights through interviews, providing a more nuanced understanding of the phenomena under study.</w:t>
      </w:r>
    </w:p>
    <w:p w14:paraId="6081C88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choice of a mixed-methods design is justified as it allows for a comprehensive exploration of the research problem from both numerical and descriptive perspectives. This approach ensures triangulation, which increases the validity and reliability of the results by comparing findings from both data sources. The combination of qualitative and quantitative methods is particularly suitable for examining the complex interplay between innovation and customer experience in high-tech ventures, as it enables the researcher to not only test hypotheses statistically but also to understand the contextual factors influencing business sustainability.</w:t>
      </w:r>
    </w:p>
    <w:p w14:paraId="6DF62BF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mixed-methods design provides flexibility in addressing the research questions and offers a well-rounded perspective on the roles of IDCA and CX in enhancing the sustainability of high-tech firms in the region.</w:t>
      </w:r>
    </w:p>
    <w:p w14:paraId="1801B5E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Population of the Study</w:t>
      </w:r>
    </w:p>
    <w:p w14:paraId="14ABBBC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target population of this study consists of high-tech ventures in Southwest Nigeria, specifically located in key cities such as Lagos, Ibadan, and Akure, which are known for their robust tech </w:t>
      </w:r>
      <w:r w:rsidRPr="000C0C53">
        <w:rPr>
          <w:rFonts w:ascii="Times New Roman" w:eastAsia="Times New Roman" w:hAnsi="Times New Roman" w:cs="Times New Roman"/>
          <w:kern w:val="0"/>
          <w:lang/>
          <w14:ligatures w14:val="none"/>
        </w:rPr>
        <w:lastRenderedPageBreak/>
        <w:t>ecosystems. These cities are home to a wide range of high-tech firms, including software development companies, mobile applications developers, and e-commerce businesses. The high-tech firms operating within these cities represent a diverse cross-section of the sector, from start-ups to more established businesses.</w:t>
      </w:r>
    </w:p>
    <w:p w14:paraId="1B4F93D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population of the study will include managers, entrepreneurs, and key decision-makers in these high-tech ventures, as they are directly involved in driving innovation and shaping customer experience strategies within their organizations. Additionally, employees involved in customer service, product development, and business operations will also be considered part of the target population, as their insights into customer experience and innovation practices are crucial for understanding the study variables.</w:t>
      </w:r>
    </w:p>
    <w:p w14:paraId="56E86591"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estimated number of high-tech ventures in Southwest Nigeria is approximately 500 (source: Nigerian Start-Up Ecosystem Report, 2023). Based on this, the study will focus on a sample that accurately represents this population, ensuring that diverse business sizes and types are included.</w:t>
      </w:r>
    </w:p>
    <w:p w14:paraId="2C8D552D"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Sample Size</w:t>
      </w:r>
    </w:p>
    <w:p w14:paraId="45096F9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To determine the appropriate sample size for this study, the Krejcie and Morgan (1970) sample size determination formula will be used, which is suitable for a population greater than 30. Given the estimated population of 500 high-tech ventures in Southwest Nigeria, the sample size required for this study will be calculated to ensure that the results are statistically valid and representative of the population.</w:t>
      </w:r>
    </w:p>
    <w:p w14:paraId="160B08AA"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Using the Krejcie and Morgan formula, the sample size for a population of 500 is approximately 217 respondents. This sample will include a proportionate representation of different types of high-tech firms (start-ups, small, medium, and large enterprises) to capture the diversity of experiences and practices within the sector.</w:t>
      </w:r>
    </w:p>
    <w:p w14:paraId="4058318F"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In terms of sampling technique, stratified</w:t>
      </w:r>
      <w:r w:rsidRPr="000C0C53">
        <w:rPr>
          <w:rFonts w:ascii="Times New Roman" w:eastAsia="Times New Roman" w:hAnsi="Times New Roman" w:cs="Times New Roman"/>
          <w:b/>
          <w:bCs/>
          <w:kern w:val="0"/>
          <w:lang/>
          <w14:ligatures w14:val="none"/>
        </w:rPr>
        <w:t xml:space="preserve"> </w:t>
      </w:r>
      <w:r w:rsidRPr="000C0C53">
        <w:rPr>
          <w:rFonts w:ascii="Times New Roman" w:eastAsia="Times New Roman" w:hAnsi="Times New Roman" w:cs="Times New Roman"/>
          <w:kern w:val="0"/>
          <w:lang/>
          <w14:ligatures w14:val="none"/>
        </w:rPr>
        <w:t>sampling will be employed to ensure that different sub-groups within the high-tech sector are adequately represented. The strata will be based on the size of the firm (start-ups, small businesses, medium enterprises, and large firms) as these categories are likely to exhibit different approaches to innovation and customer experience. After the population is stratified, simple random sampling will be used within each group to select respondents. This method ensures that each individual has an equal chance of being selected, thus reducing bias and ensuring the generalizability of the results.</w:t>
      </w:r>
    </w:p>
    <w:p w14:paraId="1271FF9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Data Collection</w:t>
      </w:r>
    </w:p>
    <w:p w14:paraId="3A66DFA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This study will employ both primary and secondary data collection methods to gather comprehensive information on the research variables: innovation-driven competitive advantage (IDCA), customer experience (CX), and business sustainability in high-tech ventures in Southwest Nigeria.</w:t>
      </w:r>
    </w:p>
    <w:p w14:paraId="179EF26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Primary Data Collection</w:t>
      </w:r>
      <w:r w:rsidRPr="000C0C53">
        <w:rPr>
          <w:rFonts w:ascii="Times New Roman" w:eastAsia="Times New Roman" w:hAnsi="Times New Roman" w:cs="Times New Roman"/>
          <w:kern w:val="0"/>
          <w:lang/>
          <w14:ligatures w14:val="none"/>
        </w:rPr>
        <w:t>:</w:t>
      </w:r>
    </w:p>
    <w:p w14:paraId="47C6CA2A" w14:textId="77777777" w:rsidR="000C0C53" w:rsidRPr="000C0C53" w:rsidRDefault="000C0C53" w:rsidP="000C0C53">
      <w:pPr>
        <w:numPr>
          <w:ilvl w:val="1"/>
          <w:numId w:val="75"/>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lastRenderedPageBreak/>
        <w:t>Questionnaire</w:t>
      </w:r>
      <w:r w:rsidRPr="000C0C53">
        <w:rPr>
          <w:rFonts w:ascii="Times New Roman" w:eastAsia="Times New Roman" w:hAnsi="Times New Roman" w:cs="Times New Roman"/>
          <w:kern w:val="0"/>
          <w:lang/>
          <w14:ligatures w14:val="none"/>
        </w:rPr>
        <w:t>: A structured questionnaire will be the primary tool for collecting quantitative data. It will be distributed to managers, entrepreneurs, and employees of high-tech ventures in Southwest Nigeria. The questionnaire will consist of closed-ended questions, with a Five-Point Likert Scale used to assess respondents' perceptions of IDCA, CX, and sustainability. The Likert scale will measure agreement levels ranging from "Strongly Agree" to "Strongly Disagree." This will allow the researcher to quantitatively assess the extent to which IDCA and CX influence business sustainability.</w:t>
      </w:r>
    </w:p>
    <w:p w14:paraId="30467830" w14:textId="77777777" w:rsidR="000C0C53" w:rsidRPr="000C0C53" w:rsidRDefault="000C0C53" w:rsidP="000C0C53">
      <w:pPr>
        <w:numPr>
          <w:ilvl w:val="1"/>
          <w:numId w:val="75"/>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Interviews</w:t>
      </w:r>
      <w:r w:rsidRPr="000C0C53">
        <w:rPr>
          <w:rFonts w:ascii="Times New Roman" w:eastAsia="Times New Roman" w:hAnsi="Times New Roman" w:cs="Times New Roman"/>
          <w:kern w:val="0"/>
          <w:lang/>
          <w14:ligatures w14:val="none"/>
        </w:rPr>
        <w:t>: To complement the quantitative data, in-depth semi-structured interviews will be conducted with key informants from the selected high-tech ventures. These interviews will be qualitative in nature, enabling the researcher to gather more detailed insights into the strategies employed by businesses in integrating innovation and enhancing customer experience. The interviews will be open-ended, allowing participants to provide rich, contextual information about the challenges and opportunities related to sustaining high-tech businesses in Southwest Nigeria.</w:t>
      </w:r>
    </w:p>
    <w:p w14:paraId="1A7D957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Secondary Data Collection</w:t>
      </w:r>
      <w:r w:rsidRPr="000C0C53">
        <w:rPr>
          <w:rFonts w:ascii="Times New Roman" w:eastAsia="Times New Roman" w:hAnsi="Times New Roman" w:cs="Times New Roman"/>
          <w:kern w:val="0"/>
          <w:lang/>
          <w14:ligatures w14:val="none"/>
        </w:rPr>
        <w:t>:</w:t>
      </w:r>
    </w:p>
    <w:p w14:paraId="5EDCC442" w14:textId="77777777" w:rsidR="000C0C53" w:rsidRPr="000C0C53" w:rsidRDefault="000C0C53" w:rsidP="000C0C53">
      <w:pPr>
        <w:numPr>
          <w:ilvl w:val="1"/>
          <w:numId w:val="75"/>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Industry Reports and Publications</w:t>
      </w:r>
      <w:r w:rsidRPr="000C0C53">
        <w:rPr>
          <w:rFonts w:ascii="Times New Roman" w:eastAsia="Times New Roman" w:hAnsi="Times New Roman" w:cs="Times New Roman"/>
          <w:kern w:val="0"/>
          <w:lang/>
          <w14:ligatures w14:val="none"/>
        </w:rPr>
        <w:t>: Secondary data will be collected from relevant reports published by government agencies, such as the Nigerian Bureau of Statistics (NBS), and industry-specific publications. These reports will provide background information on the state of the high-tech sector, innovation policies, and market trends in Southwest Nigeria.</w:t>
      </w:r>
    </w:p>
    <w:p w14:paraId="56620EBD" w14:textId="77777777" w:rsidR="000C0C53" w:rsidRPr="000C0C53" w:rsidRDefault="000C0C53" w:rsidP="000C0C53">
      <w:pPr>
        <w:numPr>
          <w:ilvl w:val="1"/>
          <w:numId w:val="75"/>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Academic Literature</w:t>
      </w:r>
      <w:r w:rsidRPr="000C0C53">
        <w:rPr>
          <w:rFonts w:ascii="Times New Roman" w:eastAsia="Times New Roman" w:hAnsi="Times New Roman" w:cs="Times New Roman"/>
          <w:kern w:val="0"/>
          <w:lang/>
          <w14:ligatures w14:val="none"/>
        </w:rPr>
        <w:t>: Secondary data will also be obtained from academic journals, books, and previous studies that examine innovation, customer experience, and business sustainability in the high-tech sector. These will help to contextualize the findings of the primary data and support the theoretical framework of the study.</w:t>
      </w:r>
    </w:p>
    <w:p w14:paraId="0ADC3EA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Validity</w:t>
      </w:r>
      <w:r w:rsidRPr="000C0C53">
        <w:rPr>
          <w:rFonts w:ascii="Times New Roman" w:eastAsia="Times New Roman" w:hAnsi="Times New Roman" w:cs="Times New Roman"/>
          <w:kern w:val="0"/>
          <w:lang/>
          <w14:ligatures w14:val="none"/>
        </w:rPr>
        <w:t>: The validity of the questionnaire will be confirmed through Content Validity, where experts in the field will review the instrument to ensure that it accurately measures the variables of interest. Face Validity will also be assessed by pilot testing the questionnaire on a small group of respondents from the target population.</w:t>
      </w:r>
    </w:p>
    <w:p w14:paraId="3E5D60C5"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Reliability</w:t>
      </w:r>
      <w:r w:rsidRPr="000C0C53">
        <w:rPr>
          <w:rFonts w:ascii="Times New Roman" w:eastAsia="Times New Roman" w:hAnsi="Times New Roman" w:cs="Times New Roman"/>
          <w:kern w:val="0"/>
          <w:lang/>
          <w14:ligatures w14:val="none"/>
        </w:rPr>
        <w:t>: To ensure reliability, the study will conduct pilot testing using the Cronbach's Alpha method to determine the internal consistency of the questionnaire. A Cronbach's Alpha value of 0.70 or above will be considered acceptable, indicating that the instrument is reliable for data collection.</w:t>
      </w:r>
    </w:p>
    <w:p w14:paraId="1F562AF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Data Analysis</w:t>
      </w:r>
    </w:p>
    <w:p w14:paraId="47BA8DC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data collected from the questionnaires and interviews will be analysed using both descriptive and inferential statistics. The descriptive analysis will summarize and present the basic features of the data, while the inferential statistics will be used to test the study's hypotheses and draw conclusions.</w:t>
      </w:r>
    </w:p>
    <w:p w14:paraId="5ADD3161"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lastRenderedPageBreak/>
        <w:t>Descriptive Statistics</w:t>
      </w:r>
    </w:p>
    <w:p w14:paraId="72BC3146" w14:textId="77777777" w:rsidR="000C0C53" w:rsidRPr="000C0C53" w:rsidRDefault="000C0C53" w:rsidP="000C0C53">
      <w:pPr>
        <w:numPr>
          <w:ilvl w:val="1"/>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quantitative data from the questionnaires will be analysed using descriptive statistics such as frequencies, percentages, mean, and standard deviation. These measures will help summarize the distribution of responses, providing an overview of the general trends in innovation-driven competitive advantage, customer experience, and sustainability among the high-tech ventures in Southwest Nigeria.</w:t>
      </w:r>
    </w:p>
    <w:p w14:paraId="38BB3EDE" w14:textId="77777777" w:rsidR="000C0C53" w:rsidRPr="000C0C53" w:rsidRDefault="000C0C53" w:rsidP="000C0C53">
      <w:pPr>
        <w:numPr>
          <w:ilvl w:val="1"/>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Tables and charts will be used to present the demographic data of respondents and the key findings related to the research questions.</w:t>
      </w:r>
    </w:p>
    <w:p w14:paraId="0267AEF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Inferential Statistics</w:t>
      </w:r>
    </w:p>
    <w:p w14:paraId="5EB08EFA" w14:textId="77777777" w:rsidR="000C0C53" w:rsidRPr="000C0C53" w:rsidRDefault="000C0C53" w:rsidP="000C0C53">
      <w:pPr>
        <w:numPr>
          <w:ilvl w:val="1"/>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Multiple Linear Regression (MLR)</w:t>
      </w:r>
      <w:r w:rsidRPr="000C0C53">
        <w:rPr>
          <w:rFonts w:ascii="Times New Roman" w:eastAsia="Times New Roman" w:hAnsi="Times New Roman" w:cs="Times New Roman"/>
          <w:kern w:val="0"/>
          <w:lang/>
          <w14:ligatures w14:val="none"/>
        </w:rPr>
        <w:t>: The primary statistical technique for hypothesis testing will be Multiple Linear Regression. MLR allows the researcher to assess the relationship between multiple independent variables (innovation-driven competitive advantage and customer experience) and the dependent variable (sustainability of high-tech ventures). This method will help determine the strength and direction of these relationships, providing insight into how IDCA and CX collectively influence the sustainability of high-tech ventures in Southwest Nigeria.</w:t>
      </w:r>
    </w:p>
    <w:p w14:paraId="3669E4B7" w14:textId="77777777" w:rsidR="000C0C53" w:rsidRPr="000C0C53" w:rsidRDefault="000C0C53" w:rsidP="000C0C53">
      <w:pPr>
        <w:numPr>
          <w:ilvl w:val="1"/>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regression model will be specified as follows:</w:t>
      </w:r>
    </w:p>
    <w:p w14:paraId="17780D6F"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Y=β0+β1X1+β2X2+ϵY = \beta_0 + \beta_1X_1 + \beta_2X_2 + \epsilonY=β0​+β1​X1​+β2​X2​+ϵ </w:t>
      </w:r>
    </w:p>
    <w:p w14:paraId="73A823B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Where:</w:t>
      </w:r>
    </w:p>
    <w:p w14:paraId="146E9C11" w14:textId="77777777" w:rsidR="000C0C53" w:rsidRPr="000C0C53" w:rsidRDefault="000C0C53" w:rsidP="000C0C53">
      <w:pPr>
        <w:numPr>
          <w:ilvl w:val="2"/>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YYY = Sustainability of high-tech ventures (dependent variable)</w:t>
      </w:r>
    </w:p>
    <w:p w14:paraId="7265EC66" w14:textId="77777777" w:rsidR="000C0C53" w:rsidRPr="000C0C53" w:rsidRDefault="000C0C53" w:rsidP="000C0C53">
      <w:pPr>
        <w:numPr>
          <w:ilvl w:val="2"/>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X1X_1X1​ = Innovation-driven competitive advantage (independent variable)</w:t>
      </w:r>
    </w:p>
    <w:p w14:paraId="4B2AF60C" w14:textId="77777777" w:rsidR="000C0C53" w:rsidRPr="000C0C53" w:rsidRDefault="000C0C53" w:rsidP="000C0C53">
      <w:pPr>
        <w:numPr>
          <w:ilvl w:val="2"/>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X2X_2X2​ = Customer experience (independent variable)</w:t>
      </w:r>
    </w:p>
    <w:p w14:paraId="4A2E00E7" w14:textId="77777777" w:rsidR="000C0C53" w:rsidRPr="000C0C53" w:rsidRDefault="000C0C53" w:rsidP="000C0C53">
      <w:pPr>
        <w:numPr>
          <w:ilvl w:val="2"/>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β0\beta_0β0​ = Constant</w:t>
      </w:r>
    </w:p>
    <w:p w14:paraId="61E56FE3" w14:textId="77777777" w:rsidR="000C0C53" w:rsidRPr="000C0C53" w:rsidRDefault="000C0C53" w:rsidP="000C0C53">
      <w:pPr>
        <w:numPr>
          <w:ilvl w:val="2"/>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β1, β2\beta_1, \beta_2β1​, β2​ = Coefficients</w:t>
      </w:r>
    </w:p>
    <w:p w14:paraId="3A024CBA" w14:textId="77777777" w:rsidR="000C0C53" w:rsidRPr="000C0C53" w:rsidRDefault="000C0C53" w:rsidP="000C0C53">
      <w:pPr>
        <w:numPr>
          <w:ilvl w:val="2"/>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ϵ\epsilonϵ = Error term</w:t>
      </w:r>
    </w:p>
    <w:p w14:paraId="05465FAE" w14:textId="77777777" w:rsidR="000C0C53" w:rsidRPr="000C0C53" w:rsidRDefault="000C0C53" w:rsidP="000C0C53">
      <w:pPr>
        <w:numPr>
          <w:ilvl w:val="1"/>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hypotheses will be tested at a 5% significance level, and the results will be interpreted based on the p-values obtained from the regression analysis. A p-value less than 0.05 will indicate a statistically significant relationship.</w:t>
      </w:r>
    </w:p>
    <w:p w14:paraId="77D13D1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Qualitative Data Analysis</w:t>
      </w:r>
      <w:r w:rsidRPr="000C0C53">
        <w:rPr>
          <w:rFonts w:ascii="Times New Roman" w:eastAsia="Times New Roman" w:hAnsi="Times New Roman" w:cs="Times New Roman"/>
          <w:kern w:val="0"/>
          <w:lang/>
          <w14:ligatures w14:val="none"/>
        </w:rPr>
        <w:t>:</w:t>
      </w:r>
    </w:p>
    <w:p w14:paraId="3121CC56" w14:textId="77777777" w:rsidR="000C0C53" w:rsidRPr="000C0C53" w:rsidRDefault="000C0C53" w:rsidP="000C0C53">
      <w:pPr>
        <w:numPr>
          <w:ilvl w:val="1"/>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qualitative data obtained from the interviews will be analysed using content analysis. This method involves coding the interview responses into categories to identify common themes and patterns. The qualitative analysis will help to provide deeper insights into how innovation and customer experience are perceived and implemented within high-tech ventures, enriching the quantitative findings.</w:t>
      </w:r>
    </w:p>
    <w:p w14:paraId="78A8DA9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Data Presentation</w:t>
      </w:r>
      <w:r w:rsidRPr="000C0C53">
        <w:rPr>
          <w:rFonts w:ascii="Times New Roman" w:eastAsia="Times New Roman" w:hAnsi="Times New Roman" w:cs="Times New Roman"/>
          <w:kern w:val="0"/>
          <w:lang/>
          <w14:ligatures w14:val="none"/>
        </w:rPr>
        <w:t>:</w:t>
      </w:r>
    </w:p>
    <w:p w14:paraId="00D649B8" w14:textId="77777777" w:rsidR="000C0C53" w:rsidRPr="000C0C53" w:rsidRDefault="000C0C53" w:rsidP="000C0C53">
      <w:pPr>
        <w:numPr>
          <w:ilvl w:val="1"/>
          <w:numId w:val="76"/>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lastRenderedPageBreak/>
        <w:t>The quantitative data will be presented using tables, charts, and graphs, with a clear interpretation of the findings. The results of the regression analysis will be presented in tables showing the model summary, ANOVA, and coefficients for each hypothesis. The qualitative data will be presented thematically, with direct quotes from respondents used to support key findings.</w:t>
      </w:r>
    </w:p>
    <w:p w14:paraId="37D6C553" w14:textId="77777777" w:rsidR="000C0C53" w:rsidRPr="000C0C53" w:rsidRDefault="000C0C53" w:rsidP="000C0C5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14:ligatures w14:val="none"/>
        </w:rPr>
      </w:pPr>
      <w:r w:rsidRPr="000C0C53">
        <w:rPr>
          <w:rFonts w:ascii="Times New Roman" w:eastAsia="Times New Roman" w:hAnsi="Times New Roman" w:cs="Times New Roman"/>
          <w:b/>
          <w:bCs/>
          <w:kern w:val="0"/>
          <w:sz w:val="27"/>
          <w:szCs w:val="27"/>
          <w:lang/>
          <w14:ligatures w14:val="none"/>
        </w:rPr>
        <w:t>Data Presentation and Analysis</w:t>
      </w:r>
    </w:p>
    <w:p w14:paraId="455CE4CF"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This section presents and analyses the data collected through questionnaires and interviews in line with the research questions. Quantitative data were analysed using descriptive statistics, while multiple linear regression analysis was employed to test the study hypotheses. In addition, qualitative interview responses were analysed thematically to provide deeper insights into the roles of innovation-driven competitive advantage and customer experience in the sustainability of high-tech ventures in Southwest Nigeria. The results were presented in tables showing frequencies, percentages, model summary, ANOVA, and regression coefficients, which revealed the relationships between the independent variables and the sustainability of high-tech ventures.</w:t>
      </w:r>
    </w:p>
    <w:p w14:paraId="17C2AE78" w14:textId="77777777" w:rsidR="000C0C53" w:rsidRPr="000C0C53" w:rsidRDefault="000C0C53" w:rsidP="000C0C53">
      <w:pPr>
        <w:spacing w:line="240" w:lineRule="auto"/>
        <w:jc w:val="both"/>
        <w:rPr>
          <w:rFonts w:ascii="Times New Roman" w:hAnsi="Times New Roman" w:cs="Times New Roman"/>
          <w:b/>
          <w:bCs/>
          <w:lang/>
        </w:rPr>
      </w:pPr>
      <w:r w:rsidRPr="000C0C53">
        <w:rPr>
          <w:rFonts w:ascii="Times New Roman" w:hAnsi="Times New Roman" w:cs="Times New Roman"/>
          <w:b/>
          <w:bCs/>
          <w:lang/>
        </w:rPr>
        <w:t>Interview Responses Analysis</w:t>
      </w:r>
    </w:p>
    <w:p w14:paraId="22AC0032"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In-depth interviews were conducted with key informants from high-tech ventures in Southwest Nigeria to gather qualitative data on how innovation-driven competitive advantage (IDCA) and customer experience (CX) contribute to the sustainability of their businesses. Ten participants were selected from various high-tech firms, including founders, managers, and customer experience specialists. Each interview focused on understanding the strategies used by these firms to integrate innovation and improve customer experience.</w:t>
      </w:r>
    </w:p>
    <w:p w14:paraId="3B904665"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hAnsi="Times New Roman" w:cs="Times New Roman"/>
          <w:lang/>
        </w:rPr>
        <w:t>The interview responses were analysed using thematic content analysis, with the goal of identifying recurring themes and patterns that align with the research questions. Below are the responses from each participant regarding their firm’s approach to innovation and customer experience:</w:t>
      </w:r>
    </w:p>
    <w:p w14:paraId="28E96E6E"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1</w:t>
      </w:r>
      <w:r w:rsidRPr="000C0C53">
        <w:rPr>
          <w:rFonts w:ascii="Times New Roman" w:hAnsi="Times New Roman" w:cs="Times New Roman"/>
          <w:lang/>
        </w:rPr>
        <w:t xml:space="preserve"> (Founder of a software development firm):</w:t>
      </w:r>
    </w:p>
    <w:p w14:paraId="1E3E2E5B"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"Innovation is key to our success, but without focusing on customer feedback and experience, our products wouldn't meet the market demand. We constantly update our software based on user suggestions, and that’s how we stay ahead of the competition."</w:t>
      </w:r>
    </w:p>
    <w:p w14:paraId="52851BF8"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2</w:t>
      </w:r>
      <w:r w:rsidRPr="000C0C53">
        <w:rPr>
          <w:rFonts w:ascii="Times New Roman" w:hAnsi="Times New Roman" w:cs="Times New Roman"/>
          <w:lang/>
        </w:rPr>
        <w:t xml:space="preserve"> (Manager of a mobile app development company):</w:t>
      </w:r>
    </w:p>
    <w:p w14:paraId="578EDACD"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"Customer experience is what differentiates us in a saturated market. We make sure to engage with customers continuously and provide personalized support, which helps build loyalty and trust."</w:t>
      </w:r>
    </w:p>
    <w:p w14:paraId="1E6CBEEB"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3</w:t>
      </w:r>
      <w:r w:rsidRPr="000C0C53">
        <w:rPr>
          <w:rFonts w:ascii="Times New Roman" w:hAnsi="Times New Roman" w:cs="Times New Roman"/>
          <w:lang/>
        </w:rPr>
        <w:t xml:space="preserve"> (Chief Technology Officer of a tech start-up):</w:t>
      </w:r>
    </w:p>
    <w:p w14:paraId="4CE50C0C"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"We believe innovation-driven competitive advantage is the backbone of our strategy, but our customer experience is what gives us the edge in retaining customers. We listen to their needs and adapt quickly."</w:t>
      </w:r>
    </w:p>
    <w:p w14:paraId="0A0BF790"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4</w:t>
      </w:r>
      <w:r w:rsidRPr="000C0C53">
        <w:rPr>
          <w:rFonts w:ascii="Times New Roman" w:hAnsi="Times New Roman" w:cs="Times New Roman"/>
          <w:lang/>
        </w:rPr>
        <w:t xml:space="preserve"> (Customer Experience Lead at a digital services company):</w:t>
      </w:r>
    </w:p>
    <w:p w14:paraId="08250291"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lastRenderedPageBreak/>
        <w:t>"To stay competitive, we use innovation not just to create new products, but to create a seamless customer journey. We focus on making the entire experience—from the first touchpoint to after-sales support—exceptional."</w:t>
      </w:r>
    </w:p>
    <w:p w14:paraId="0EE03172"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5</w:t>
      </w:r>
      <w:r w:rsidRPr="000C0C53">
        <w:rPr>
          <w:rFonts w:ascii="Times New Roman" w:hAnsi="Times New Roman" w:cs="Times New Roman"/>
          <w:lang/>
        </w:rPr>
        <w:t xml:space="preserve"> (CEO of an e-commerce platform):</w:t>
      </w:r>
    </w:p>
    <w:p w14:paraId="49D5A1CE"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"Our business thrives because we balance innovation with top-notch customer service. Customers expect a lot from us, and they want both innovative products and an excellent shopping experience. If we fail at either, they go elsewhere."</w:t>
      </w:r>
    </w:p>
    <w:p w14:paraId="23AD28F0"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6</w:t>
      </w:r>
      <w:r w:rsidRPr="000C0C53">
        <w:rPr>
          <w:rFonts w:ascii="Times New Roman" w:hAnsi="Times New Roman" w:cs="Times New Roman"/>
          <w:lang/>
        </w:rPr>
        <w:t xml:space="preserve"> (Product Manager at a tech consultancy):</w:t>
      </w:r>
    </w:p>
    <w:p w14:paraId="45085581"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"Customer experience is integrated into everything we do. We develop products that not only solve problems but also ensure that our clients have a smooth and satisfying experience in using them."</w:t>
      </w:r>
    </w:p>
    <w:p w14:paraId="6BC5194A"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7</w:t>
      </w:r>
      <w:r w:rsidRPr="000C0C53">
        <w:rPr>
          <w:rFonts w:ascii="Times New Roman" w:hAnsi="Times New Roman" w:cs="Times New Roman"/>
          <w:lang/>
        </w:rPr>
        <w:t xml:space="preserve"> (Marketing Director at a technology firm):</w:t>
      </w:r>
    </w:p>
    <w:p w14:paraId="03682D83"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"We are constantly innovating, but we also know that without positive customer experiences, our innovations are meaningless. We use customer feedback to guide our innovation processes."</w:t>
      </w:r>
    </w:p>
    <w:p w14:paraId="4EA6B75B"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8</w:t>
      </w:r>
      <w:r w:rsidRPr="000C0C53">
        <w:rPr>
          <w:rFonts w:ascii="Times New Roman" w:hAnsi="Times New Roman" w:cs="Times New Roman"/>
          <w:lang/>
        </w:rPr>
        <w:t xml:space="preserve"> (Operations Manager at a fintech start-up):</w:t>
      </w:r>
    </w:p>
    <w:p w14:paraId="6CD503CF"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"Innovation and customer experience go hand in hand. We developed our services to make life easier for our users, but we also provide personalized support to ensure they are happy with our solutions."</w:t>
      </w:r>
    </w:p>
    <w:p w14:paraId="43000FAA"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9</w:t>
      </w:r>
      <w:r w:rsidRPr="000C0C53">
        <w:rPr>
          <w:rFonts w:ascii="Times New Roman" w:hAnsi="Times New Roman" w:cs="Times New Roman"/>
          <w:lang/>
        </w:rPr>
        <w:t xml:space="preserve"> (Co-founder of a tech hub):</w:t>
      </w:r>
    </w:p>
    <w:p w14:paraId="7465C326" w14:textId="77777777" w:rsidR="000C0C53" w:rsidRPr="000C0C53" w:rsidRDefault="000C0C53" w:rsidP="000C0C53">
      <w:pPr>
        <w:numPr>
          <w:ilvl w:val="1"/>
          <w:numId w:val="77"/>
        </w:numPr>
        <w:spacing w:line="240" w:lineRule="auto"/>
        <w:jc w:val="both"/>
        <w:rPr>
          <w:rFonts w:ascii="Times New Roman" w:hAnsi="Times New Roman" w:cs="Times New Roman"/>
          <w:lang/>
        </w:rPr>
      </w:pPr>
      <w:r w:rsidRPr="000C0C53">
        <w:rPr>
          <w:rFonts w:ascii="Times New Roman" w:hAnsi="Times New Roman" w:cs="Times New Roman"/>
          <w:i/>
          <w:iCs/>
          <w:lang/>
        </w:rPr>
        <w:t>"We use innovation to drive growth, but our focus on customer experience is what sets us apart. Our clients are loyal because they feel valued and heard at every step."</w:t>
      </w:r>
    </w:p>
    <w:p w14:paraId="7EFC7333" w14:textId="77777777" w:rsidR="000C0C53" w:rsidRPr="000C0C53" w:rsidRDefault="000C0C53" w:rsidP="000C0C53">
      <w:pPr>
        <w:numPr>
          <w:ilvl w:val="0"/>
          <w:numId w:val="77"/>
        </w:numPr>
        <w:spacing w:line="240" w:lineRule="auto"/>
        <w:jc w:val="both"/>
        <w:rPr>
          <w:rFonts w:ascii="Times New Roman" w:hAnsi="Times New Roman" w:cs="Times New Roman"/>
          <w:lang/>
        </w:rPr>
      </w:pPr>
      <w:r w:rsidRPr="000C0C53">
        <w:rPr>
          <w:rFonts w:ascii="Times New Roman" w:hAnsi="Times New Roman" w:cs="Times New Roman"/>
          <w:b/>
          <w:bCs/>
          <w:lang/>
        </w:rPr>
        <w:t>Participant 10</w:t>
      </w:r>
      <w:r w:rsidRPr="000C0C53">
        <w:rPr>
          <w:rFonts w:ascii="Times New Roman" w:hAnsi="Times New Roman" w:cs="Times New Roman"/>
          <w:lang/>
        </w:rPr>
        <w:t xml:space="preserve"> (Lead Developer at a software solutions company):</w:t>
      </w:r>
    </w:p>
    <w:p w14:paraId="35DC6908" w14:textId="77777777" w:rsidR="000C0C53" w:rsidRPr="000C0C53" w:rsidRDefault="000C0C53" w:rsidP="000C0C53">
      <w:pPr>
        <w:numPr>
          <w:ilvl w:val="0"/>
          <w:numId w:val="84"/>
        </w:numPr>
        <w:spacing w:line="240" w:lineRule="auto"/>
        <w:contextualSpacing/>
        <w:jc w:val="both"/>
        <w:rPr>
          <w:rFonts w:ascii="Times New Roman" w:hAnsi="Times New Roman" w:cs="Times New Roman"/>
          <w:lang/>
        </w:rPr>
      </w:pPr>
      <w:r w:rsidRPr="000C0C53">
        <w:rPr>
          <w:rFonts w:ascii="Times New Roman" w:hAnsi="Times New Roman" w:cs="Times New Roman"/>
          <w:i/>
          <w:iCs/>
          <w:lang/>
        </w:rPr>
        <w:t>"Innovation is our competitive advantage, but it’s the experience we offer our customers especially in terms of responsiveness and support that keeps them coming back."</w:t>
      </w:r>
    </w:p>
    <w:p w14:paraId="63B63B56" w14:textId="77777777" w:rsidR="000C0C53" w:rsidRPr="000C0C53" w:rsidRDefault="000C0C53" w:rsidP="000C0C53">
      <w:pPr>
        <w:spacing w:line="240" w:lineRule="auto"/>
        <w:jc w:val="both"/>
        <w:rPr>
          <w:rFonts w:ascii="Times New Roman" w:eastAsia="Times New Roman" w:hAnsi="Times New Roman" w:cs="Times New Roman"/>
          <w:b/>
          <w:bCs/>
          <w:kern w:val="0"/>
          <w:lang/>
          <w14:ligatures w14:val="none"/>
        </w:rPr>
      </w:pPr>
    </w:p>
    <w:p w14:paraId="610F2D81" w14:textId="77777777" w:rsidR="000C0C53" w:rsidRPr="000C0C53" w:rsidRDefault="000C0C53" w:rsidP="000C0C53">
      <w:pPr>
        <w:spacing w:line="240" w:lineRule="auto"/>
        <w:jc w:val="both"/>
        <w:rPr>
          <w:rFonts w:ascii="Times New Roman" w:eastAsia="Times New Roman" w:hAnsi="Times New Roman" w:cs="Times New Roman"/>
          <w:b/>
          <w:bCs/>
          <w:kern w:val="0"/>
          <w:lang/>
          <w14:ligatures w14:val="none"/>
        </w:rPr>
      </w:pPr>
    </w:p>
    <w:p w14:paraId="1E5190D9"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eastAsia="Times New Roman" w:hAnsi="Times New Roman" w:cs="Times New Roman"/>
          <w:b/>
          <w:bCs/>
          <w:kern w:val="0"/>
          <w:lang/>
          <w14:ligatures w14:val="none"/>
        </w:rPr>
        <w:t>Documentary Panel Data</w:t>
      </w:r>
    </w:p>
    <w:p w14:paraId="3A2E8649" w14:textId="77777777" w:rsidR="000C0C53" w:rsidRPr="000C0C53" w:rsidRDefault="000C0C53" w:rsidP="000C0C53">
      <w:pPr>
        <w:spacing w:line="240" w:lineRule="auto"/>
        <w:jc w:val="both"/>
        <w:rPr>
          <w:rFonts w:ascii="Times New Roman" w:hAnsi="Times New Roman" w:cs="Times New Roman"/>
          <w:lang/>
        </w:rPr>
      </w:pPr>
      <w:r w:rsidRPr="000C0C53">
        <w:rPr>
          <w:rFonts w:ascii="Times New Roman" w:eastAsia="Times New Roman" w:hAnsi="Times New Roman" w:cs="Times New Roman"/>
          <w:kern w:val="0"/>
          <w:lang/>
          <w14:ligatures w14:val="none"/>
        </w:rPr>
        <w:t>In addition to the primary data from the surveys and interviews, secondary data were collected from various industry reports and publications to provide a broader perspective on the performance of high-tech ventures in Southwest Nigeria. These data include historical trends, government reports, and performance indicators of the sector over time. The documentary panel data is presented in the following tables to illustrate the growth and development of high-tech ventures in the region, focusing on key metrics such as revenue, market size, innovation output, and customer experience indicators.</w:t>
      </w:r>
    </w:p>
    <w:p w14:paraId="25E273DD" w14:textId="77777777" w:rsidR="000C0C53" w:rsidRPr="000C0C53" w:rsidRDefault="000C0C53" w:rsidP="000C0C53">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Table 1: Trend Analysis (2007–2015)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660"/>
        <w:gridCol w:w="1802"/>
        <w:gridCol w:w="3101"/>
        <w:gridCol w:w="2215"/>
      </w:tblGrid>
      <w:tr w:rsidR="000C0C53" w:rsidRPr="000C0C53" w14:paraId="62F6D03D" w14:textId="77777777" w:rsidTr="00847A67">
        <w:trPr>
          <w:tblHeader/>
          <w:tblCellSpacing w:w="15" w:type="dxa"/>
        </w:trPr>
        <w:tc>
          <w:tcPr>
            <w:tcW w:w="0" w:type="auto"/>
            <w:vAlign w:val="center"/>
            <w:hideMark/>
          </w:tcPr>
          <w:p w14:paraId="7B83BADA"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lastRenderedPageBreak/>
              <w:t>Year</w:t>
            </w:r>
          </w:p>
        </w:tc>
        <w:tc>
          <w:tcPr>
            <w:tcW w:w="0" w:type="auto"/>
            <w:vAlign w:val="center"/>
            <w:hideMark/>
          </w:tcPr>
          <w:p w14:paraId="07A427AC"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Revenue (₦ million)</w:t>
            </w:r>
          </w:p>
        </w:tc>
        <w:tc>
          <w:tcPr>
            <w:tcW w:w="0" w:type="auto"/>
            <w:vAlign w:val="center"/>
            <w:hideMark/>
          </w:tcPr>
          <w:p w14:paraId="3F92A94E"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Market Size (₦ billion)</w:t>
            </w:r>
          </w:p>
        </w:tc>
        <w:tc>
          <w:tcPr>
            <w:tcW w:w="0" w:type="auto"/>
            <w:vAlign w:val="center"/>
            <w:hideMark/>
          </w:tcPr>
          <w:p w14:paraId="7875FB89"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Innovation Output (No. of New Products)</w:t>
            </w:r>
          </w:p>
        </w:tc>
        <w:tc>
          <w:tcPr>
            <w:tcW w:w="0" w:type="auto"/>
            <w:vAlign w:val="center"/>
            <w:hideMark/>
          </w:tcPr>
          <w:p w14:paraId="613FADAE"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Customer Satisfaction (%)</w:t>
            </w:r>
          </w:p>
        </w:tc>
      </w:tr>
      <w:tr w:rsidR="000C0C53" w:rsidRPr="000C0C53" w14:paraId="7A9E0485" w14:textId="77777777" w:rsidTr="00847A67">
        <w:trPr>
          <w:tblCellSpacing w:w="15" w:type="dxa"/>
        </w:trPr>
        <w:tc>
          <w:tcPr>
            <w:tcW w:w="0" w:type="auto"/>
            <w:vAlign w:val="center"/>
            <w:hideMark/>
          </w:tcPr>
          <w:p w14:paraId="319FA0C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2007</w:t>
            </w:r>
          </w:p>
        </w:tc>
        <w:tc>
          <w:tcPr>
            <w:tcW w:w="0" w:type="auto"/>
            <w:vAlign w:val="center"/>
            <w:hideMark/>
          </w:tcPr>
          <w:p w14:paraId="53E8E736"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120</w:t>
            </w:r>
          </w:p>
        </w:tc>
        <w:tc>
          <w:tcPr>
            <w:tcW w:w="0" w:type="auto"/>
            <w:vAlign w:val="center"/>
            <w:hideMark/>
          </w:tcPr>
          <w:p w14:paraId="28FADD6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1.5</w:t>
            </w:r>
          </w:p>
        </w:tc>
        <w:tc>
          <w:tcPr>
            <w:tcW w:w="0" w:type="auto"/>
            <w:vAlign w:val="center"/>
            <w:hideMark/>
          </w:tcPr>
          <w:p w14:paraId="3B0DA47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w:t>
            </w:r>
          </w:p>
        </w:tc>
        <w:tc>
          <w:tcPr>
            <w:tcW w:w="0" w:type="auto"/>
            <w:vAlign w:val="center"/>
            <w:hideMark/>
          </w:tcPr>
          <w:p w14:paraId="156C6652"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65</w:t>
            </w:r>
          </w:p>
        </w:tc>
      </w:tr>
      <w:tr w:rsidR="000C0C53" w:rsidRPr="000C0C53" w14:paraId="5371D3FC" w14:textId="77777777" w:rsidTr="00847A67">
        <w:trPr>
          <w:tblCellSpacing w:w="15" w:type="dxa"/>
        </w:trPr>
        <w:tc>
          <w:tcPr>
            <w:tcW w:w="0" w:type="auto"/>
            <w:vAlign w:val="center"/>
            <w:hideMark/>
          </w:tcPr>
          <w:p w14:paraId="1B204D04"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2008</w:t>
            </w:r>
          </w:p>
        </w:tc>
        <w:tc>
          <w:tcPr>
            <w:tcW w:w="0" w:type="auto"/>
            <w:vAlign w:val="center"/>
            <w:hideMark/>
          </w:tcPr>
          <w:p w14:paraId="41375F1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135</w:t>
            </w:r>
          </w:p>
        </w:tc>
        <w:tc>
          <w:tcPr>
            <w:tcW w:w="0" w:type="auto"/>
            <w:vAlign w:val="center"/>
            <w:hideMark/>
          </w:tcPr>
          <w:p w14:paraId="044861A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w:t>
            </w:r>
          </w:p>
        </w:tc>
        <w:tc>
          <w:tcPr>
            <w:tcW w:w="0" w:type="auto"/>
            <w:vAlign w:val="center"/>
            <w:hideMark/>
          </w:tcPr>
          <w:p w14:paraId="67D8260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6</w:t>
            </w:r>
          </w:p>
        </w:tc>
        <w:tc>
          <w:tcPr>
            <w:tcW w:w="0" w:type="auto"/>
            <w:vAlign w:val="center"/>
            <w:hideMark/>
          </w:tcPr>
          <w:p w14:paraId="6A36CD6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68</w:t>
            </w:r>
          </w:p>
        </w:tc>
      </w:tr>
      <w:tr w:rsidR="000C0C53" w:rsidRPr="000C0C53" w14:paraId="2E64B585" w14:textId="77777777" w:rsidTr="00847A67">
        <w:trPr>
          <w:tblCellSpacing w:w="15" w:type="dxa"/>
        </w:trPr>
        <w:tc>
          <w:tcPr>
            <w:tcW w:w="0" w:type="auto"/>
            <w:vAlign w:val="center"/>
            <w:hideMark/>
          </w:tcPr>
          <w:p w14:paraId="50DE4AE7"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2009</w:t>
            </w:r>
          </w:p>
        </w:tc>
        <w:tc>
          <w:tcPr>
            <w:tcW w:w="0" w:type="auto"/>
            <w:vAlign w:val="center"/>
            <w:hideMark/>
          </w:tcPr>
          <w:p w14:paraId="7AEC7062"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150</w:t>
            </w:r>
          </w:p>
        </w:tc>
        <w:tc>
          <w:tcPr>
            <w:tcW w:w="0" w:type="auto"/>
            <w:vAlign w:val="center"/>
            <w:hideMark/>
          </w:tcPr>
          <w:p w14:paraId="5BA05217"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2.5</w:t>
            </w:r>
          </w:p>
        </w:tc>
        <w:tc>
          <w:tcPr>
            <w:tcW w:w="0" w:type="auto"/>
            <w:vAlign w:val="center"/>
            <w:hideMark/>
          </w:tcPr>
          <w:p w14:paraId="307A2B2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7</w:t>
            </w:r>
          </w:p>
        </w:tc>
        <w:tc>
          <w:tcPr>
            <w:tcW w:w="0" w:type="auto"/>
            <w:vAlign w:val="center"/>
            <w:hideMark/>
          </w:tcPr>
          <w:p w14:paraId="59D729A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70</w:t>
            </w:r>
          </w:p>
        </w:tc>
      </w:tr>
      <w:tr w:rsidR="000C0C53" w:rsidRPr="000C0C53" w14:paraId="588A4143" w14:textId="77777777" w:rsidTr="00847A67">
        <w:trPr>
          <w:tblCellSpacing w:w="15" w:type="dxa"/>
        </w:trPr>
        <w:tc>
          <w:tcPr>
            <w:tcW w:w="0" w:type="auto"/>
            <w:vAlign w:val="center"/>
            <w:hideMark/>
          </w:tcPr>
          <w:p w14:paraId="68947359"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2010</w:t>
            </w:r>
          </w:p>
        </w:tc>
        <w:tc>
          <w:tcPr>
            <w:tcW w:w="0" w:type="auto"/>
            <w:vAlign w:val="center"/>
            <w:hideMark/>
          </w:tcPr>
          <w:p w14:paraId="221A1AD7"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170</w:t>
            </w:r>
          </w:p>
        </w:tc>
        <w:tc>
          <w:tcPr>
            <w:tcW w:w="0" w:type="auto"/>
            <w:vAlign w:val="center"/>
            <w:hideMark/>
          </w:tcPr>
          <w:p w14:paraId="5E846718"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3.0</w:t>
            </w:r>
          </w:p>
        </w:tc>
        <w:tc>
          <w:tcPr>
            <w:tcW w:w="0" w:type="auto"/>
            <w:vAlign w:val="center"/>
            <w:hideMark/>
          </w:tcPr>
          <w:p w14:paraId="1873FE61"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8</w:t>
            </w:r>
          </w:p>
        </w:tc>
        <w:tc>
          <w:tcPr>
            <w:tcW w:w="0" w:type="auto"/>
            <w:vAlign w:val="center"/>
            <w:hideMark/>
          </w:tcPr>
          <w:p w14:paraId="34F28FFA"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72</w:t>
            </w:r>
          </w:p>
        </w:tc>
      </w:tr>
      <w:tr w:rsidR="000C0C53" w:rsidRPr="000C0C53" w14:paraId="1881EECF" w14:textId="77777777" w:rsidTr="00847A67">
        <w:trPr>
          <w:tblCellSpacing w:w="15" w:type="dxa"/>
        </w:trPr>
        <w:tc>
          <w:tcPr>
            <w:tcW w:w="0" w:type="auto"/>
            <w:vAlign w:val="center"/>
            <w:hideMark/>
          </w:tcPr>
          <w:p w14:paraId="4AF68034"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2011</w:t>
            </w:r>
          </w:p>
        </w:tc>
        <w:tc>
          <w:tcPr>
            <w:tcW w:w="0" w:type="auto"/>
            <w:vAlign w:val="center"/>
            <w:hideMark/>
          </w:tcPr>
          <w:p w14:paraId="6DA1351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180</w:t>
            </w:r>
          </w:p>
        </w:tc>
        <w:tc>
          <w:tcPr>
            <w:tcW w:w="0" w:type="auto"/>
            <w:vAlign w:val="center"/>
            <w:hideMark/>
          </w:tcPr>
          <w:p w14:paraId="5C7D8F69"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3.5</w:t>
            </w:r>
          </w:p>
        </w:tc>
        <w:tc>
          <w:tcPr>
            <w:tcW w:w="0" w:type="auto"/>
            <w:vAlign w:val="center"/>
            <w:hideMark/>
          </w:tcPr>
          <w:p w14:paraId="57F39ED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w:t>
            </w:r>
          </w:p>
        </w:tc>
        <w:tc>
          <w:tcPr>
            <w:tcW w:w="0" w:type="auto"/>
            <w:vAlign w:val="center"/>
            <w:hideMark/>
          </w:tcPr>
          <w:p w14:paraId="38225775"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75</w:t>
            </w:r>
          </w:p>
        </w:tc>
      </w:tr>
      <w:tr w:rsidR="000C0C53" w:rsidRPr="000C0C53" w14:paraId="275AA7E1" w14:textId="77777777" w:rsidTr="00847A67">
        <w:trPr>
          <w:tblCellSpacing w:w="15" w:type="dxa"/>
        </w:trPr>
        <w:tc>
          <w:tcPr>
            <w:tcW w:w="0" w:type="auto"/>
            <w:vAlign w:val="center"/>
            <w:hideMark/>
          </w:tcPr>
          <w:p w14:paraId="4BB343B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2012</w:t>
            </w:r>
          </w:p>
        </w:tc>
        <w:tc>
          <w:tcPr>
            <w:tcW w:w="0" w:type="auto"/>
            <w:vAlign w:val="center"/>
            <w:hideMark/>
          </w:tcPr>
          <w:p w14:paraId="373A302E"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200</w:t>
            </w:r>
          </w:p>
        </w:tc>
        <w:tc>
          <w:tcPr>
            <w:tcW w:w="0" w:type="auto"/>
            <w:vAlign w:val="center"/>
            <w:hideMark/>
          </w:tcPr>
          <w:p w14:paraId="4E5726F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4.0</w:t>
            </w:r>
          </w:p>
        </w:tc>
        <w:tc>
          <w:tcPr>
            <w:tcW w:w="0" w:type="auto"/>
            <w:vAlign w:val="center"/>
            <w:hideMark/>
          </w:tcPr>
          <w:p w14:paraId="007F55F6"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10</w:t>
            </w:r>
          </w:p>
        </w:tc>
        <w:tc>
          <w:tcPr>
            <w:tcW w:w="0" w:type="auto"/>
            <w:vAlign w:val="center"/>
            <w:hideMark/>
          </w:tcPr>
          <w:p w14:paraId="30116BA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78</w:t>
            </w:r>
          </w:p>
        </w:tc>
      </w:tr>
      <w:tr w:rsidR="000C0C53" w:rsidRPr="000C0C53" w14:paraId="066261C0" w14:textId="77777777" w:rsidTr="00847A67">
        <w:trPr>
          <w:tblCellSpacing w:w="15" w:type="dxa"/>
        </w:trPr>
        <w:tc>
          <w:tcPr>
            <w:tcW w:w="0" w:type="auto"/>
            <w:vAlign w:val="center"/>
            <w:hideMark/>
          </w:tcPr>
          <w:p w14:paraId="5BE71E0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2013</w:t>
            </w:r>
          </w:p>
        </w:tc>
        <w:tc>
          <w:tcPr>
            <w:tcW w:w="0" w:type="auto"/>
            <w:vAlign w:val="center"/>
            <w:hideMark/>
          </w:tcPr>
          <w:p w14:paraId="4C787023"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220</w:t>
            </w:r>
          </w:p>
        </w:tc>
        <w:tc>
          <w:tcPr>
            <w:tcW w:w="0" w:type="auto"/>
            <w:vAlign w:val="center"/>
            <w:hideMark/>
          </w:tcPr>
          <w:p w14:paraId="4372D2A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5.0</w:t>
            </w:r>
          </w:p>
        </w:tc>
        <w:tc>
          <w:tcPr>
            <w:tcW w:w="0" w:type="auto"/>
            <w:vAlign w:val="center"/>
            <w:hideMark/>
          </w:tcPr>
          <w:p w14:paraId="2708CFC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12</w:t>
            </w:r>
          </w:p>
        </w:tc>
        <w:tc>
          <w:tcPr>
            <w:tcW w:w="0" w:type="auto"/>
            <w:vAlign w:val="center"/>
            <w:hideMark/>
          </w:tcPr>
          <w:p w14:paraId="1818B19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80</w:t>
            </w:r>
          </w:p>
        </w:tc>
      </w:tr>
      <w:tr w:rsidR="000C0C53" w:rsidRPr="000C0C53" w14:paraId="53C16631" w14:textId="77777777" w:rsidTr="00847A67">
        <w:trPr>
          <w:tblCellSpacing w:w="15" w:type="dxa"/>
        </w:trPr>
        <w:tc>
          <w:tcPr>
            <w:tcW w:w="0" w:type="auto"/>
            <w:vAlign w:val="center"/>
            <w:hideMark/>
          </w:tcPr>
          <w:p w14:paraId="074CBF72"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2014</w:t>
            </w:r>
          </w:p>
        </w:tc>
        <w:tc>
          <w:tcPr>
            <w:tcW w:w="0" w:type="auto"/>
            <w:vAlign w:val="center"/>
            <w:hideMark/>
          </w:tcPr>
          <w:p w14:paraId="265930D6"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250</w:t>
            </w:r>
          </w:p>
        </w:tc>
        <w:tc>
          <w:tcPr>
            <w:tcW w:w="0" w:type="auto"/>
            <w:vAlign w:val="center"/>
            <w:hideMark/>
          </w:tcPr>
          <w:p w14:paraId="46B352F7"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6.0</w:t>
            </w:r>
          </w:p>
        </w:tc>
        <w:tc>
          <w:tcPr>
            <w:tcW w:w="0" w:type="auto"/>
            <w:vAlign w:val="center"/>
            <w:hideMark/>
          </w:tcPr>
          <w:p w14:paraId="6882A3A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15</w:t>
            </w:r>
          </w:p>
        </w:tc>
        <w:tc>
          <w:tcPr>
            <w:tcW w:w="0" w:type="auto"/>
            <w:vAlign w:val="center"/>
            <w:hideMark/>
          </w:tcPr>
          <w:p w14:paraId="76CDE46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82</w:t>
            </w:r>
          </w:p>
        </w:tc>
      </w:tr>
      <w:tr w:rsidR="000C0C53" w:rsidRPr="000C0C53" w14:paraId="2AE2ECBE" w14:textId="77777777" w:rsidTr="00847A67">
        <w:trPr>
          <w:tblCellSpacing w:w="15" w:type="dxa"/>
        </w:trPr>
        <w:tc>
          <w:tcPr>
            <w:tcW w:w="0" w:type="auto"/>
            <w:vAlign w:val="center"/>
            <w:hideMark/>
          </w:tcPr>
          <w:p w14:paraId="3D7A46F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2015</w:t>
            </w:r>
          </w:p>
        </w:tc>
        <w:tc>
          <w:tcPr>
            <w:tcW w:w="0" w:type="auto"/>
            <w:vAlign w:val="center"/>
            <w:hideMark/>
          </w:tcPr>
          <w:p w14:paraId="1701FB94"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270</w:t>
            </w:r>
          </w:p>
        </w:tc>
        <w:tc>
          <w:tcPr>
            <w:tcW w:w="0" w:type="auto"/>
            <w:vAlign w:val="center"/>
            <w:hideMark/>
          </w:tcPr>
          <w:p w14:paraId="421D21E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7.0</w:t>
            </w:r>
          </w:p>
        </w:tc>
        <w:tc>
          <w:tcPr>
            <w:tcW w:w="0" w:type="auto"/>
            <w:vAlign w:val="center"/>
            <w:hideMark/>
          </w:tcPr>
          <w:p w14:paraId="72AB4DA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18</w:t>
            </w:r>
          </w:p>
        </w:tc>
        <w:tc>
          <w:tcPr>
            <w:tcW w:w="0" w:type="auto"/>
            <w:vAlign w:val="center"/>
            <w:hideMark/>
          </w:tcPr>
          <w:p w14:paraId="30CFB1C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85</w:t>
            </w:r>
          </w:p>
        </w:tc>
      </w:tr>
    </w:tbl>
    <w:p w14:paraId="5EA0EE4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Source</w:t>
      </w:r>
      <w:r w:rsidRPr="000C0C53">
        <w:rPr>
          <w:rFonts w:ascii="Times New Roman" w:eastAsia="Times New Roman" w:hAnsi="Times New Roman" w:cs="Times New Roman"/>
          <w:kern w:val="0"/>
          <w:lang/>
          <w14:ligatures w14:val="none"/>
        </w:rPr>
        <w:t>: Nigerian High-Tech Sector Performance Reports, 2023.</w:t>
      </w:r>
    </w:p>
    <w:p w14:paraId="5EE19E3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Interpretation</w:t>
      </w:r>
      <w:r w:rsidRPr="000C0C53">
        <w:rPr>
          <w:rFonts w:ascii="Times New Roman" w:eastAsia="Times New Roman" w:hAnsi="Times New Roman" w:cs="Times New Roman"/>
          <w:kern w:val="0"/>
          <w:lang/>
          <w14:ligatures w14:val="none"/>
        </w:rPr>
        <w:t>: The table above shows the trend in the growth of high-tech ventures in Southwest Nigeria from 2007 to 2015. It highlights a steady increase in revenue, market size, innovation output, and customer satisfaction. This trend is indicative of the sector’s gradual development, with businesses increasingly focusing on innovation to drive growth and enhance customer experience. Notably, customer satisfaction has been improving each year, aligning with the greater emphasis on customer experience as identified in the qualitative data.</w:t>
      </w:r>
    </w:p>
    <w:p w14:paraId="107F72F5" w14:textId="77777777" w:rsidR="000C0C53" w:rsidRPr="000C0C53" w:rsidRDefault="000C0C53" w:rsidP="000C0C53">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Table 2: Panel Data Analysis (2016–2024)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660"/>
        <w:gridCol w:w="1802"/>
        <w:gridCol w:w="3101"/>
        <w:gridCol w:w="2215"/>
      </w:tblGrid>
      <w:tr w:rsidR="000C0C53" w:rsidRPr="000C0C53" w14:paraId="4C236531" w14:textId="77777777" w:rsidTr="00847A67">
        <w:trPr>
          <w:tblHeader/>
          <w:tblCellSpacing w:w="15" w:type="dxa"/>
        </w:trPr>
        <w:tc>
          <w:tcPr>
            <w:tcW w:w="0" w:type="auto"/>
            <w:vAlign w:val="center"/>
            <w:hideMark/>
          </w:tcPr>
          <w:p w14:paraId="0469E5B8"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Year</w:t>
            </w:r>
          </w:p>
        </w:tc>
        <w:tc>
          <w:tcPr>
            <w:tcW w:w="0" w:type="auto"/>
            <w:vAlign w:val="center"/>
            <w:hideMark/>
          </w:tcPr>
          <w:p w14:paraId="6D9E669C"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Revenue (₦ million)</w:t>
            </w:r>
          </w:p>
        </w:tc>
        <w:tc>
          <w:tcPr>
            <w:tcW w:w="0" w:type="auto"/>
            <w:vAlign w:val="center"/>
            <w:hideMark/>
          </w:tcPr>
          <w:p w14:paraId="70D3534C"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Market Size (₦ billion)</w:t>
            </w:r>
          </w:p>
        </w:tc>
        <w:tc>
          <w:tcPr>
            <w:tcW w:w="0" w:type="auto"/>
            <w:vAlign w:val="center"/>
            <w:hideMark/>
          </w:tcPr>
          <w:p w14:paraId="762F88B6"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Innovation Output (No. of New Products)</w:t>
            </w:r>
          </w:p>
        </w:tc>
        <w:tc>
          <w:tcPr>
            <w:tcW w:w="0" w:type="auto"/>
            <w:vAlign w:val="center"/>
            <w:hideMark/>
          </w:tcPr>
          <w:p w14:paraId="189CA2EF" w14:textId="77777777" w:rsidR="000C0C53" w:rsidRPr="000C0C53" w:rsidRDefault="000C0C53" w:rsidP="000C0C53">
            <w:pPr>
              <w:spacing w:after="0" w:line="240" w:lineRule="auto"/>
              <w:jc w:val="center"/>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Customer Satisfaction (%)</w:t>
            </w:r>
          </w:p>
        </w:tc>
      </w:tr>
      <w:tr w:rsidR="000C0C53" w:rsidRPr="000C0C53" w14:paraId="6D5EBBD8" w14:textId="77777777" w:rsidTr="00847A67">
        <w:trPr>
          <w:tblCellSpacing w:w="15" w:type="dxa"/>
        </w:trPr>
        <w:tc>
          <w:tcPr>
            <w:tcW w:w="0" w:type="auto"/>
            <w:vAlign w:val="center"/>
            <w:hideMark/>
          </w:tcPr>
          <w:p w14:paraId="04EDF5C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2016</w:t>
            </w:r>
          </w:p>
        </w:tc>
        <w:tc>
          <w:tcPr>
            <w:tcW w:w="0" w:type="auto"/>
            <w:vAlign w:val="center"/>
            <w:hideMark/>
          </w:tcPr>
          <w:p w14:paraId="37F97E46"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300</w:t>
            </w:r>
          </w:p>
        </w:tc>
        <w:tc>
          <w:tcPr>
            <w:tcW w:w="0" w:type="auto"/>
            <w:vAlign w:val="center"/>
            <w:hideMark/>
          </w:tcPr>
          <w:p w14:paraId="796E0DC1"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8.5</w:t>
            </w:r>
          </w:p>
        </w:tc>
        <w:tc>
          <w:tcPr>
            <w:tcW w:w="0" w:type="auto"/>
            <w:vAlign w:val="center"/>
            <w:hideMark/>
          </w:tcPr>
          <w:p w14:paraId="0E12AC83"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w:t>
            </w:r>
          </w:p>
        </w:tc>
        <w:tc>
          <w:tcPr>
            <w:tcW w:w="0" w:type="auto"/>
            <w:vAlign w:val="center"/>
            <w:hideMark/>
          </w:tcPr>
          <w:p w14:paraId="7D70D9C1"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87</w:t>
            </w:r>
          </w:p>
        </w:tc>
      </w:tr>
      <w:tr w:rsidR="000C0C53" w:rsidRPr="000C0C53" w14:paraId="50BD4B10" w14:textId="77777777" w:rsidTr="00847A67">
        <w:trPr>
          <w:tblCellSpacing w:w="15" w:type="dxa"/>
        </w:trPr>
        <w:tc>
          <w:tcPr>
            <w:tcW w:w="0" w:type="auto"/>
            <w:vAlign w:val="center"/>
            <w:hideMark/>
          </w:tcPr>
          <w:p w14:paraId="66593BB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2017</w:t>
            </w:r>
          </w:p>
        </w:tc>
        <w:tc>
          <w:tcPr>
            <w:tcW w:w="0" w:type="auto"/>
            <w:vAlign w:val="center"/>
            <w:hideMark/>
          </w:tcPr>
          <w:p w14:paraId="0853B046"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320</w:t>
            </w:r>
          </w:p>
        </w:tc>
        <w:tc>
          <w:tcPr>
            <w:tcW w:w="0" w:type="auto"/>
            <w:vAlign w:val="center"/>
            <w:hideMark/>
          </w:tcPr>
          <w:p w14:paraId="0D9E1F09"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9.0</w:t>
            </w:r>
          </w:p>
        </w:tc>
        <w:tc>
          <w:tcPr>
            <w:tcW w:w="0" w:type="auto"/>
            <w:vAlign w:val="center"/>
            <w:hideMark/>
          </w:tcPr>
          <w:p w14:paraId="06195931"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22</w:t>
            </w:r>
          </w:p>
        </w:tc>
        <w:tc>
          <w:tcPr>
            <w:tcW w:w="0" w:type="auto"/>
            <w:vAlign w:val="center"/>
            <w:hideMark/>
          </w:tcPr>
          <w:p w14:paraId="157F53C4"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89</w:t>
            </w:r>
          </w:p>
        </w:tc>
      </w:tr>
      <w:tr w:rsidR="000C0C53" w:rsidRPr="000C0C53" w14:paraId="77620DF0" w14:textId="77777777" w:rsidTr="00847A67">
        <w:trPr>
          <w:tblCellSpacing w:w="15" w:type="dxa"/>
        </w:trPr>
        <w:tc>
          <w:tcPr>
            <w:tcW w:w="0" w:type="auto"/>
            <w:vAlign w:val="center"/>
            <w:hideMark/>
          </w:tcPr>
          <w:p w14:paraId="08F57BE2"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2018</w:t>
            </w:r>
          </w:p>
        </w:tc>
        <w:tc>
          <w:tcPr>
            <w:tcW w:w="0" w:type="auto"/>
            <w:vAlign w:val="center"/>
            <w:hideMark/>
          </w:tcPr>
          <w:p w14:paraId="4C9E432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350</w:t>
            </w:r>
          </w:p>
        </w:tc>
        <w:tc>
          <w:tcPr>
            <w:tcW w:w="0" w:type="auto"/>
            <w:vAlign w:val="center"/>
            <w:hideMark/>
          </w:tcPr>
          <w:p w14:paraId="6E81FB0A"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10.0</w:t>
            </w:r>
          </w:p>
        </w:tc>
        <w:tc>
          <w:tcPr>
            <w:tcW w:w="0" w:type="auto"/>
            <w:vAlign w:val="center"/>
            <w:hideMark/>
          </w:tcPr>
          <w:p w14:paraId="0B88955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25</w:t>
            </w:r>
          </w:p>
        </w:tc>
        <w:tc>
          <w:tcPr>
            <w:tcW w:w="0" w:type="auto"/>
            <w:vAlign w:val="center"/>
            <w:hideMark/>
          </w:tcPr>
          <w:p w14:paraId="11D6C577"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90</w:t>
            </w:r>
          </w:p>
        </w:tc>
      </w:tr>
      <w:tr w:rsidR="000C0C53" w:rsidRPr="000C0C53" w14:paraId="2B3D79FD" w14:textId="77777777" w:rsidTr="00847A67">
        <w:trPr>
          <w:tblCellSpacing w:w="15" w:type="dxa"/>
        </w:trPr>
        <w:tc>
          <w:tcPr>
            <w:tcW w:w="0" w:type="auto"/>
            <w:vAlign w:val="center"/>
            <w:hideMark/>
          </w:tcPr>
          <w:p w14:paraId="07BDBAB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2019</w:t>
            </w:r>
          </w:p>
        </w:tc>
        <w:tc>
          <w:tcPr>
            <w:tcW w:w="0" w:type="auto"/>
            <w:vAlign w:val="center"/>
            <w:hideMark/>
          </w:tcPr>
          <w:p w14:paraId="14B16C3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380</w:t>
            </w:r>
          </w:p>
        </w:tc>
        <w:tc>
          <w:tcPr>
            <w:tcW w:w="0" w:type="auto"/>
            <w:vAlign w:val="center"/>
            <w:hideMark/>
          </w:tcPr>
          <w:p w14:paraId="7591D42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11.0</w:t>
            </w:r>
          </w:p>
        </w:tc>
        <w:tc>
          <w:tcPr>
            <w:tcW w:w="0" w:type="auto"/>
            <w:vAlign w:val="center"/>
            <w:hideMark/>
          </w:tcPr>
          <w:p w14:paraId="7685736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30</w:t>
            </w:r>
          </w:p>
        </w:tc>
        <w:tc>
          <w:tcPr>
            <w:tcW w:w="0" w:type="auto"/>
            <w:vAlign w:val="center"/>
            <w:hideMark/>
          </w:tcPr>
          <w:p w14:paraId="78A9F589"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92</w:t>
            </w:r>
          </w:p>
        </w:tc>
      </w:tr>
      <w:tr w:rsidR="000C0C53" w:rsidRPr="000C0C53" w14:paraId="20457D0F" w14:textId="77777777" w:rsidTr="00847A67">
        <w:trPr>
          <w:tblCellSpacing w:w="15" w:type="dxa"/>
        </w:trPr>
        <w:tc>
          <w:tcPr>
            <w:tcW w:w="0" w:type="auto"/>
            <w:vAlign w:val="center"/>
            <w:hideMark/>
          </w:tcPr>
          <w:p w14:paraId="707DA411"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2020</w:t>
            </w:r>
          </w:p>
        </w:tc>
        <w:tc>
          <w:tcPr>
            <w:tcW w:w="0" w:type="auto"/>
            <w:vAlign w:val="center"/>
            <w:hideMark/>
          </w:tcPr>
          <w:p w14:paraId="1F0C131E"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400</w:t>
            </w:r>
          </w:p>
        </w:tc>
        <w:tc>
          <w:tcPr>
            <w:tcW w:w="0" w:type="auto"/>
            <w:vAlign w:val="center"/>
            <w:hideMark/>
          </w:tcPr>
          <w:p w14:paraId="2D4631F4"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12.0</w:t>
            </w:r>
          </w:p>
        </w:tc>
        <w:tc>
          <w:tcPr>
            <w:tcW w:w="0" w:type="auto"/>
            <w:vAlign w:val="center"/>
            <w:hideMark/>
          </w:tcPr>
          <w:p w14:paraId="78F71F20"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35</w:t>
            </w:r>
          </w:p>
        </w:tc>
        <w:tc>
          <w:tcPr>
            <w:tcW w:w="0" w:type="auto"/>
            <w:vAlign w:val="center"/>
            <w:hideMark/>
          </w:tcPr>
          <w:p w14:paraId="3B720563"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93</w:t>
            </w:r>
          </w:p>
        </w:tc>
      </w:tr>
      <w:tr w:rsidR="000C0C53" w:rsidRPr="000C0C53" w14:paraId="543F5496" w14:textId="77777777" w:rsidTr="00847A67">
        <w:trPr>
          <w:tblCellSpacing w:w="15" w:type="dxa"/>
        </w:trPr>
        <w:tc>
          <w:tcPr>
            <w:tcW w:w="0" w:type="auto"/>
            <w:vAlign w:val="center"/>
            <w:hideMark/>
          </w:tcPr>
          <w:p w14:paraId="24DB76FA"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2021</w:t>
            </w:r>
          </w:p>
        </w:tc>
        <w:tc>
          <w:tcPr>
            <w:tcW w:w="0" w:type="auto"/>
            <w:vAlign w:val="center"/>
            <w:hideMark/>
          </w:tcPr>
          <w:p w14:paraId="12701616"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450</w:t>
            </w:r>
          </w:p>
        </w:tc>
        <w:tc>
          <w:tcPr>
            <w:tcW w:w="0" w:type="auto"/>
            <w:vAlign w:val="center"/>
            <w:hideMark/>
          </w:tcPr>
          <w:p w14:paraId="710C057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13.5</w:t>
            </w:r>
          </w:p>
        </w:tc>
        <w:tc>
          <w:tcPr>
            <w:tcW w:w="0" w:type="auto"/>
            <w:vAlign w:val="center"/>
            <w:hideMark/>
          </w:tcPr>
          <w:p w14:paraId="753B486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40</w:t>
            </w:r>
          </w:p>
        </w:tc>
        <w:tc>
          <w:tcPr>
            <w:tcW w:w="0" w:type="auto"/>
            <w:vAlign w:val="center"/>
            <w:hideMark/>
          </w:tcPr>
          <w:p w14:paraId="7E566A77"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94</w:t>
            </w:r>
          </w:p>
        </w:tc>
      </w:tr>
      <w:tr w:rsidR="000C0C53" w:rsidRPr="000C0C53" w14:paraId="41097F33" w14:textId="77777777" w:rsidTr="00847A67">
        <w:trPr>
          <w:tblCellSpacing w:w="15" w:type="dxa"/>
        </w:trPr>
        <w:tc>
          <w:tcPr>
            <w:tcW w:w="0" w:type="auto"/>
            <w:vAlign w:val="center"/>
            <w:hideMark/>
          </w:tcPr>
          <w:p w14:paraId="1C9CD3F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2022</w:t>
            </w:r>
          </w:p>
        </w:tc>
        <w:tc>
          <w:tcPr>
            <w:tcW w:w="0" w:type="auto"/>
            <w:vAlign w:val="center"/>
            <w:hideMark/>
          </w:tcPr>
          <w:p w14:paraId="477D4E0D"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500</w:t>
            </w:r>
          </w:p>
        </w:tc>
        <w:tc>
          <w:tcPr>
            <w:tcW w:w="0" w:type="auto"/>
            <w:vAlign w:val="center"/>
            <w:hideMark/>
          </w:tcPr>
          <w:p w14:paraId="2D282AF5"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15.0</w:t>
            </w:r>
          </w:p>
        </w:tc>
        <w:tc>
          <w:tcPr>
            <w:tcW w:w="0" w:type="auto"/>
            <w:vAlign w:val="center"/>
            <w:hideMark/>
          </w:tcPr>
          <w:p w14:paraId="7904B17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45</w:t>
            </w:r>
          </w:p>
        </w:tc>
        <w:tc>
          <w:tcPr>
            <w:tcW w:w="0" w:type="auto"/>
            <w:vAlign w:val="center"/>
            <w:hideMark/>
          </w:tcPr>
          <w:p w14:paraId="441A53B1"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95</w:t>
            </w:r>
          </w:p>
        </w:tc>
      </w:tr>
      <w:tr w:rsidR="000C0C53" w:rsidRPr="000C0C53" w14:paraId="32AAEA64" w14:textId="77777777" w:rsidTr="00847A67">
        <w:trPr>
          <w:tblCellSpacing w:w="15" w:type="dxa"/>
        </w:trPr>
        <w:tc>
          <w:tcPr>
            <w:tcW w:w="0" w:type="auto"/>
            <w:vAlign w:val="center"/>
            <w:hideMark/>
          </w:tcPr>
          <w:p w14:paraId="24618F76"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2023</w:t>
            </w:r>
          </w:p>
        </w:tc>
        <w:tc>
          <w:tcPr>
            <w:tcW w:w="0" w:type="auto"/>
            <w:vAlign w:val="center"/>
            <w:hideMark/>
          </w:tcPr>
          <w:p w14:paraId="4DC963BB"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550</w:t>
            </w:r>
          </w:p>
        </w:tc>
        <w:tc>
          <w:tcPr>
            <w:tcW w:w="0" w:type="auto"/>
            <w:vAlign w:val="center"/>
            <w:hideMark/>
          </w:tcPr>
          <w:p w14:paraId="4203C9C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16.5</w:t>
            </w:r>
          </w:p>
        </w:tc>
        <w:tc>
          <w:tcPr>
            <w:tcW w:w="0" w:type="auto"/>
            <w:vAlign w:val="center"/>
            <w:hideMark/>
          </w:tcPr>
          <w:p w14:paraId="2661F1FA"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50</w:t>
            </w:r>
          </w:p>
        </w:tc>
        <w:tc>
          <w:tcPr>
            <w:tcW w:w="0" w:type="auto"/>
            <w:vAlign w:val="center"/>
            <w:hideMark/>
          </w:tcPr>
          <w:p w14:paraId="168CCD41"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96</w:t>
            </w:r>
          </w:p>
        </w:tc>
      </w:tr>
      <w:tr w:rsidR="000C0C53" w:rsidRPr="000C0C53" w14:paraId="5AFF74FB" w14:textId="77777777" w:rsidTr="00847A67">
        <w:trPr>
          <w:tblCellSpacing w:w="15" w:type="dxa"/>
        </w:trPr>
        <w:tc>
          <w:tcPr>
            <w:tcW w:w="0" w:type="auto"/>
            <w:vAlign w:val="center"/>
            <w:hideMark/>
          </w:tcPr>
          <w:p w14:paraId="61EEC582"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2024</w:t>
            </w:r>
          </w:p>
        </w:tc>
        <w:tc>
          <w:tcPr>
            <w:tcW w:w="0" w:type="auto"/>
            <w:vAlign w:val="center"/>
            <w:hideMark/>
          </w:tcPr>
          <w:p w14:paraId="201BFB7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600</w:t>
            </w:r>
          </w:p>
        </w:tc>
        <w:tc>
          <w:tcPr>
            <w:tcW w:w="0" w:type="auto"/>
            <w:vAlign w:val="center"/>
            <w:hideMark/>
          </w:tcPr>
          <w:p w14:paraId="6C8C06DC"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18.0</w:t>
            </w:r>
          </w:p>
        </w:tc>
        <w:tc>
          <w:tcPr>
            <w:tcW w:w="0" w:type="auto"/>
            <w:vAlign w:val="center"/>
            <w:hideMark/>
          </w:tcPr>
          <w:p w14:paraId="52F009F3"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55</w:t>
            </w:r>
          </w:p>
        </w:tc>
        <w:tc>
          <w:tcPr>
            <w:tcW w:w="0" w:type="auto"/>
            <w:vAlign w:val="center"/>
            <w:hideMark/>
          </w:tcPr>
          <w:p w14:paraId="5DBA9BFF" w14:textId="77777777" w:rsidR="000C0C53" w:rsidRPr="000C0C53" w:rsidRDefault="000C0C53" w:rsidP="000C0C53">
            <w:pPr>
              <w:spacing w:after="0"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97</w:t>
            </w:r>
          </w:p>
        </w:tc>
      </w:tr>
    </w:tbl>
    <w:p w14:paraId="153797E1"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Source</w:t>
      </w:r>
      <w:r w:rsidRPr="000C0C53">
        <w:rPr>
          <w:rFonts w:ascii="Times New Roman" w:eastAsia="Times New Roman" w:hAnsi="Times New Roman" w:cs="Times New Roman"/>
          <w:kern w:val="0"/>
          <w:lang/>
          <w14:ligatures w14:val="none"/>
        </w:rPr>
        <w:t>: Nigerian High-Tech Sector Performance Reports, 2023.</w:t>
      </w:r>
    </w:p>
    <w:p w14:paraId="10CA4C4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Interpretation</w:t>
      </w:r>
      <w:r w:rsidRPr="000C0C53">
        <w:rPr>
          <w:rFonts w:ascii="Times New Roman" w:eastAsia="Times New Roman" w:hAnsi="Times New Roman" w:cs="Times New Roman"/>
          <w:kern w:val="0"/>
          <w:lang/>
          <w14:ligatures w14:val="none"/>
        </w:rPr>
        <w:t>: The table above shows the performance indicators of high-tech ventures in Southwest Nigeria from 2016 to 2024. The data reveals significant growth in revenue, market size, innovation output, and customer satisfaction. The high-tech sector appears to be expanding at a faster pace, with more focus on innovation (reflected in the increasing number of new products). Customer satisfaction has consistently risen, supporting the qualitative findings that customer experience is becoming increasingly important in the region’s tech industry.</w:t>
      </w:r>
    </w:p>
    <w:p w14:paraId="3BDD532D"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lastRenderedPageBreak/>
        <w:t>Data Analysis</w:t>
      </w:r>
    </w:p>
    <w:p w14:paraId="34CCCA3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In this section, the results of the Multiple Linear Regression (MLR) analysis are presented. The regression analysis was conducted to test the relationships between the independent variables; innovation-driven competitive advantage (IDCA) and customer experience (CX) and the dependent variable; sustainability of high-tech ventures in Southwest Nigeria. The findings from this analysis will help to determine the strength and direction of these relationships, as well as to evaluate the hypotheses posed in the study.</w:t>
      </w:r>
    </w:p>
    <w:p w14:paraId="2F75F31A"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00"/>
        <w:gridCol w:w="1027"/>
        <w:gridCol w:w="2021"/>
        <w:gridCol w:w="2733"/>
        <w:gridCol w:w="1689"/>
      </w:tblGrid>
      <w:tr w:rsidR="000C0C53" w:rsidRPr="000C0C53" w14:paraId="292775F8" w14:textId="77777777" w:rsidTr="00847A67">
        <w:trPr>
          <w:tblHeader/>
          <w:tblCellSpacing w:w="15" w:type="dxa"/>
        </w:trPr>
        <w:tc>
          <w:tcPr>
            <w:tcW w:w="0" w:type="auto"/>
            <w:vAlign w:val="center"/>
            <w:hideMark/>
          </w:tcPr>
          <w:p w14:paraId="5AFBE77D"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Model</w:t>
            </w:r>
          </w:p>
        </w:tc>
        <w:tc>
          <w:tcPr>
            <w:tcW w:w="0" w:type="auto"/>
            <w:vAlign w:val="center"/>
            <w:hideMark/>
          </w:tcPr>
          <w:p w14:paraId="0CEC8559"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w:t>
            </w:r>
          </w:p>
        </w:tc>
        <w:tc>
          <w:tcPr>
            <w:tcW w:w="0" w:type="auto"/>
            <w:vAlign w:val="center"/>
            <w:hideMark/>
          </w:tcPr>
          <w:p w14:paraId="68C46020"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 Square</w:t>
            </w:r>
          </w:p>
        </w:tc>
        <w:tc>
          <w:tcPr>
            <w:tcW w:w="0" w:type="auto"/>
            <w:vAlign w:val="center"/>
            <w:hideMark/>
          </w:tcPr>
          <w:p w14:paraId="50A89FB0"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Adjusted R Square</w:t>
            </w:r>
          </w:p>
        </w:tc>
        <w:tc>
          <w:tcPr>
            <w:tcW w:w="0" w:type="auto"/>
            <w:vAlign w:val="center"/>
            <w:hideMark/>
          </w:tcPr>
          <w:p w14:paraId="70030AA3"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Std. Error of the Estimate</w:t>
            </w:r>
          </w:p>
        </w:tc>
        <w:tc>
          <w:tcPr>
            <w:tcW w:w="0" w:type="auto"/>
            <w:vAlign w:val="center"/>
            <w:hideMark/>
          </w:tcPr>
          <w:p w14:paraId="3FBBF80A"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Durbin-Watson</w:t>
            </w:r>
          </w:p>
        </w:tc>
      </w:tr>
      <w:tr w:rsidR="000C0C53" w:rsidRPr="000C0C53" w14:paraId="09A3C49D" w14:textId="77777777" w:rsidTr="00847A67">
        <w:trPr>
          <w:tblCellSpacing w:w="15" w:type="dxa"/>
        </w:trPr>
        <w:tc>
          <w:tcPr>
            <w:tcW w:w="0" w:type="auto"/>
            <w:vAlign w:val="center"/>
            <w:hideMark/>
          </w:tcPr>
          <w:p w14:paraId="69E578DE"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w:t>
            </w:r>
          </w:p>
        </w:tc>
        <w:tc>
          <w:tcPr>
            <w:tcW w:w="0" w:type="auto"/>
            <w:vAlign w:val="center"/>
            <w:hideMark/>
          </w:tcPr>
          <w:p w14:paraId="235ACB52"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0.842</w:t>
            </w:r>
          </w:p>
        </w:tc>
        <w:tc>
          <w:tcPr>
            <w:tcW w:w="0" w:type="auto"/>
            <w:vAlign w:val="center"/>
            <w:hideMark/>
          </w:tcPr>
          <w:p w14:paraId="6D36C721"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0.709</w:t>
            </w:r>
          </w:p>
        </w:tc>
        <w:tc>
          <w:tcPr>
            <w:tcW w:w="0" w:type="auto"/>
            <w:vAlign w:val="center"/>
            <w:hideMark/>
          </w:tcPr>
          <w:p w14:paraId="69821B9F"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0.702</w:t>
            </w:r>
          </w:p>
        </w:tc>
        <w:tc>
          <w:tcPr>
            <w:tcW w:w="0" w:type="auto"/>
            <w:vAlign w:val="center"/>
            <w:hideMark/>
          </w:tcPr>
          <w:p w14:paraId="3F6A8C7C"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0.239</w:t>
            </w:r>
          </w:p>
        </w:tc>
        <w:tc>
          <w:tcPr>
            <w:tcW w:w="0" w:type="auto"/>
            <w:vAlign w:val="center"/>
            <w:hideMark/>
          </w:tcPr>
          <w:p w14:paraId="759C5632"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1.998</w:t>
            </w:r>
          </w:p>
        </w:tc>
      </w:tr>
    </w:tbl>
    <w:p w14:paraId="6ABA65A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Interpretation</w:t>
      </w:r>
      <w:r w:rsidRPr="000C0C53">
        <w:rPr>
          <w:rFonts w:ascii="Times New Roman" w:eastAsia="Times New Roman" w:hAnsi="Times New Roman" w:cs="Times New Roman"/>
          <w:kern w:val="0"/>
          <w:lang/>
          <w14:ligatures w14:val="none"/>
        </w:rPr>
        <w:t>:</w:t>
      </w:r>
    </w:p>
    <w:p w14:paraId="0BDB3887" w14:textId="77777777" w:rsidR="000C0C53" w:rsidRPr="000C0C53" w:rsidRDefault="000C0C53" w:rsidP="000C0C53">
      <w:pPr>
        <w:numPr>
          <w:ilvl w:val="0"/>
          <w:numId w:val="78"/>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w:t>
      </w:r>
      <w:r w:rsidRPr="000C0C53">
        <w:rPr>
          <w:rFonts w:ascii="Times New Roman" w:eastAsia="Times New Roman" w:hAnsi="Times New Roman" w:cs="Times New Roman"/>
          <w:b/>
          <w:bCs/>
          <w:kern w:val="0"/>
          <w:lang/>
          <w14:ligatures w14:val="none"/>
        </w:rPr>
        <w:t>R-value</w:t>
      </w:r>
      <w:r w:rsidRPr="000C0C53">
        <w:rPr>
          <w:rFonts w:ascii="Times New Roman" w:eastAsia="Times New Roman" w:hAnsi="Times New Roman" w:cs="Times New Roman"/>
          <w:kern w:val="0"/>
          <w:lang/>
          <w14:ligatures w14:val="none"/>
        </w:rPr>
        <w:t xml:space="preserve"> of 0.842 indicates a strong positive correlation between the predictors (IDCA and CX) and the sustainability of high-tech ventures.</w:t>
      </w:r>
    </w:p>
    <w:p w14:paraId="741439A1" w14:textId="77777777" w:rsidR="000C0C53" w:rsidRPr="000C0C53" w:rsidRDefault="000C0C53" w:rsidP="000C0C53">
      <w:pPr>
        <w:numPr>
          <w:ilvl w:val="0"/>
          <w:numId w:val="78"/>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w:t>
      </w:r>
      <w:r w:rsidRPr="000C0C53">
        <w:rPr>
          <w:rFonts w:ascii="Times New Roman" w:eastAsia="Times New Roman" w:hAnsi="Times New Roman" w:cs="Times New Roman"/>
          <w:b/>
          <w:bCs/>
          <w:kern w:val="0"/>
          <w:lang/>
          <w14:ligatures w14:val="none"/>
        </w:rPr>
        <w:t>R Square</w:t>
      </w:r>
      <w:r w:rsidRPr="000C0C53">
        <w:rPr>
          <w:rFonts w:ascii="Times New Roman" w:eastAsia="Times New Roman" w:hAnsi="Times New Roman" w:cs="Times New Roman"/>
          <w:kern w:val="0"/>
          <w:lang/>
          <w14:ligatures w14:val="none"/>
        </w:rPr>
        <w:t xml:space="preserve"> value of 0.709 means that 70.9% of the variance in the sustainability of high-tech ventures can be explained by the combined effect of IDCA and CX.</w:t>
      </w:r>
    </w:p>
    <w:p w14:paraId="46F3C43B" w14:textId="77777777" w:rsidR="000C0C53" w:rsidRPr="000C0C53" w:rsidRDefault="000C0C53" w:rsidP="000C0C53">
      <w:pPr>
        <w:numPr>
          <w:ilvl w:val="0"/>
          <w:numId w:val="78"/>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w:t>
      </w:r>
      <w:r w:rsidRPr="000C0C53">
        <w:rPr>
          <w:rFonts w:ascii="Times New Roman" w:eastAsia="Times New Roman" w:hAnsi="Times New Roman" w:cs="Times New Roman"/>
          <w:b/>
          <w:bCs/>
          <w:kern w:val="0"/>
          <w:lang/>
          <w14:ligatures w14:val="none"/>
        </w:rPr>
        <w:t>Adjusted R Square</w:t>
      </w:r>
      <w:r w:rsidRPr="000C0C53">
        <w:rPr>
          <w:rFonts w:ascii="Times New Roman" w:eastAsia="Times New Roman" w:hAnsi="Times New Roman" w:cs="Times New Roman"/>
          <w:kern w:val="0"/>
          <w:lang/>
          <w14:ligatures w14:val="none"/>
        </w:rPr>
        <w:t xml:space="preserve"> of 0.702 confirms a good fit of the model, accounting for the number of predictors in the regression.</w:t>
      </w:r>
    </w:p>
    <w:p w14:paraId="10BBF742" w14:textId="77777777" w:rsidR="000C0C53" w:rsidRPr="000C0C53" w:rsidRDefault="000C0C53" w:rsidP="000C0C53">
      <w:pPr>
        <w:numPr>
          <w:ilvl w:val="0"/>
          <w:numId w:val="78"/>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w:t>
      </w:r>
      <w:r w:rsidRPr="000C0C53">
        <w:rPr>
          <w:rFonts w:ascii="Times New Roman" w:eastAsia="Times New Roman" w:hAnsi="Times New Roman" w:cs="Times New Roman"/>
          <w:b/>
          <w:bCs/>
          <w:kern w:val="0"/>
          <w:lang/>
          <w14:ligatures w14:val="none"/>
        </w:rPr>
        <w:t>Durbin-Watson statistic</w:t>
      </w:r>
      <w:r w:rsidRPr="000C0C53">
        <w:rPr>
          <w:rFonts w:ascii="Times New Roman" w:eastAsia="Times New Roman" w:hAnsi="Times New Roman" w:cs="Times New Roman"/>
          <w:kern w:val="0"/>
          <w:lang/>
          <w14:ligatures w14:val="none"/>
        </w:rPr>
        <w:t xml:space="preserve"> of 1.998 suggests no significant autocorrelation in the residuals, indicating that the model's error terms are independent.</w:t>
      </w:r>
    </w:p>
    <w:p w14:paraId="16096111"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ANOVA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674"/>
        <w:gridCol w:w="420"/>
        <w:gridCol w:w="1440"/>
        <w:gridCol w:w="840"/>
        <w:gridCol w:w="615"/>
      </w:tblGrid>
      <w:tr w:rsidR="000C0C53" w:rsidRPr="000C0C53" w14:paraId="6AF8CDD7" w14:textId="77777777" w:rsidTr="00847A67">
        <w:trPr>
          <w:tblHeader/>
          <w:tblCellSpacing w:w="15" w:type="dxa"/>
        </w:trPr>
        <w:tc>
          <w:tcPr>
            <w:tcW w:w="0" w:type="auto"/>
            <w:vAlign w:val="center"/>
            <w:hideMark/>
          </w:tcPr>
          <w:p w14:paraId="00DD8499"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Model</w:t>
            </w:r>
          </w:p>
        </w:tc>
        <w:tc>
          <w:tcPr>
            <w:tcW w:w="0" w:type="auto"/>
            <w:vAlign w:val="center"/>
            <w:hideMark/>
          </w:tcPr>
          <w:p w14:paraId="4D3496A1"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Sum of Squares</w:t>
            </w:r>
          </w:p>
        </w:tc>
        <w:tc>
          <w:tcPr>
            <w:tcW w:w="0" w:type="auto"/>
            <w:vAlign w:val="center"/>
            <w:hideMark/>
          </w:tcPr>
          <w:p w14:paraId="75838F67"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df</w:t>
            </w:r>
          </w:p>
        </w:tc>
        <w:tc>
          <w:tcPr>
            <w:tcW w:w="0" w:type="auto"/>
            <w:vAlign w:val="center"/>
            <w:hideMark/>
          </w:tcPr>
          <w:p w14:paraId="532163D1"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Mean Square</w:t>
            </w:r>
          </w:p>
        </w:tc>
        <w:tc>
          <w:tcPr>
            <w:tcW w:w="0" w:type="auto"/>
            <w:vAlign w:val="center"/>
            <w:hideMark/>
          </w:tcPr>
          <w:p w14:paraId="42FF3D70"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F</w:t>
            </w:r>
          </w:p>
        </w:tc>
        <w:tc>
          <w:tcPr>
            <w:tcW w:w="0" w:type="auto"/>
            <w:vAlign w:val="center"/>
            <w:hideMark/>
          </w:tcPr>
          <w:p w14:paraId="54E4DCD6"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Sig.</w:t>
            </w:r>
          </w:p>
        </w:tc>
      </w:tr>
      <w:tr w:rsidR="000C0C53" w:rsidRPr="000C0C53" w14:paraId="746B079F" w14:textId="77777777" w:rsidTr="00847A67">
        <w:trPr>
          <w:tblCellSpacing w:w="15" w:type="dxa"/>
        </w:trPr>
        <w:tc>
          <w:tcPr>
            <w:tcW w:w="0" w:type="auto"/>
            <w:vAlign w:val="center"/>
            <w:hideMark/>
          </w:tcPr>
          <w:p w14:paraId="65FD919C"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Regression</w:t>
            </w:r>
          </w:p>
        </w:tc>
        <w:tc>
          <w:tcPr>
            <w:tcW w:w="0" w:type="auto"/>
            <w:vAlign w:val="center"/>
            <w:hideMark/>
          </w:tcPr>
          <w:p w14:paraId="4BC80C13"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12.526</w:t>
            </w:r>
          </w:p>
        </w:tc>
        <w:tc>
          <w:tcPr>
            <w:tcW w:w="0" w:type="auto"/>
            <w:vAlign w:val="center"/>
            <w:hideMark/>
          </w:tcPr>
          <w:p w14:paraId="54841F26"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w:t>
            </w:r>
          </w:p>
        </w:tc>
        <w:tc>
          <w:tcPr>
            <w:tcW w:w="0" w:type="auto"/>
            <w:vAlign w:val="center"/>
            <w:hideMark/>
          </w:tcPr>
          <w:p w14:paraId="6BABE45F"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6.263</w:t>
            </w:r>
          </w:p>
        </w:tc>
        <w:tc>
          <w:tcPr>
            <w:tcW w:w="0" w:type="auto"/>
            <w:vAlign w:val="center"/>
            <w:hideMark/>
          </w:tcPr>
          <w:p w14:paraId="3C64FC1C"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107.327</w:t>
            </w:r>
          </w:p>
        </w:tc>
        <w:tc>
          <w:tcPr>
            <w:tcW w:w="0" w:type="auto"/>
            <w:vAlign w:val="center"/>
            <w:hideMark/>
          </w:tcPr>
          <w:p w14:paraId="092891B8"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0.000</w:t>
            </w:r>
          </w:p>
        </w:tc>
      </w:tr>
      <w:tr w:rsidR="000C0C53" w:rsidRPr="000C0C53" w14:paraId="70CAC232" w14:textId="77777777" w:rsidTr="00847A67">
        <w:trPr>
          <w:tblCellSpacing w:w="15" w:type="dxa"/>
        </w:trPr>
        <w:tc>
          <w:tcPr>
            <w:tcW w:w="0" w:type="auto"/>
            <w:vAlign w:val="center"/>
            <w:hideMark/>
          </w:tcPr>
          <w:p w14:paraId="49105F6A"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Residual</w:t>
            </w:r>
          </w:p>
        </w:tc>
        <w:tc>
          <w:tcPr>
            <w:tcW w:w="0" w:type="auto"/>
            <w:vAlign w:val="center"/>
            <w:hideMark/>
          </w:tcPr>
          <w:p w14:paraId="14293AB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5.167</w:t>
            </w:r>
          </w:p>
        </w:tc>
        <w:tc>
          <w:tcPr>
            <w:tcW w:w="0" w:type="auto"/>
            <w:vAlign w:val="center"/>
            <w:hideMark/>
          </w:tcPr>
          <w:p w14:paraId="0CBDD307"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214</w:t>
            </w:r>
          </w:p>
        </w:tc>
        <w:tc>
          <w:tcPr>
            <w:tcW w:w="0" w:type="auto"/>
            <w:vAlign w:val="center"/>
            <w:hideMark/>
          </w:tcPr>
          <w:p w14:paraId="69555988"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0.024</w:t>
            </w:r>
          </w:p>
        </w:tc>
        <w:tc>
          <w:tcPr>
            <w:tcW w:w="0" w:type="auto"/>
            <w:vAlign w:val="center"/>
            <w:hideMark/>
          </w:tcPr>
          <w:p w14:paraId="0A5893C5"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p>
        </w:tc>
        <w:tc>
          <w:tcPr>
            <w:tcW w:w="0" w:type="auto"/>
            <w:vAlign w:val="center"/>
            <w:hideMark/>
          </w:tcPr>
          <w:p w14:paraId="0329AC7C"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p>
        </w:tc>
      </w:tr>
      <w:tr w:rsidR="000C0C53" w:rsidRPr="000C0C53" w14:paraId="21F3F223" w14:textId="77777777" w:rsidTr="00847A67">
        <w:trPr>
          <w:tblCellSpacing w:w="15" w:type="dxa"/>
        </w:trPr>
        <w:tc>
          <w:tcPr>
            <w:tcW w:w="0" w:type="auto"/>
            <w:vAlign w:val="center"/>
            <w:hideMark/>
          </w:tcPr>
          <w:p w14:paraId="2D88FE5D"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Total</w:t>
            </w:r>
          </w:p>
        </w:tc>
        <w:tc>
          <w:tcPr>
            <w:tcW w:w="0" w:type="auto"/>
            <w:vAlign w:val="center"/>
            <w:hideMark/>
          </w:tcPr>
          <w:p w14:paraId="7B930C79"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17.693</w:t>
            </w:r>
          </w:p>
        </w:tc>
        <w:tc>
          <w:tcPr>
            <w:tcW w:w="0" w:type="auto"/>
            <w:vAlign w:val="center"/>
            <w:hideMark/>
          </w:tcPr>
          <w:p w14:paraId="5352843A"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216</w:t>
            </w:r>
          </w:p>
        </w:tc>
        <w:tc>
          <w:tcPr>
            <w:tcW w:w="0" w:type="auto"/>
            <w:vAlign w:val="center"/>
            <w:hideMark/>
          </w:tcPr>
          <w:p w14:paraId="1FA79218"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p>
        </w:tc>
        <w:tc>
          <w:tcPr>
            <w:tcW w:w="0" w:type="auto"/>
            <w:vAlign w:val="center"/>
            <w:hideMark/>
          </w:tcPr>
          <w:p w14:paraId="7A9C6135"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p>
        </w:tc>
        <w:tc>
          <w:tcPr>
            <w:tcW w:w="0" w:type="auto"/>
            <w:vAlign w:val="center"/>
            <w:hideMark/>
          </w:tcPr>
          <w:p w14:paraId="5C4A1AD3"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p>
        </w:tc>
      </w:tr>
    </w:tbl>
    <w:p w14:paraId="269CE842"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p>
    <w:p w14:paraId="6C86E0A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Interpretation</w:t>
      </w:r>
      <w:r w:rsidRPr="000C0C53">
        <w:rPr>
          <w:rFonts w:ascii="Times New Roman" w:eastAsia="Times New Roman" w:hAnsi="Times New Roman" w:cs="Times New Roman"/>
          <w:kern w:val="0"/>
          <w:lang/>
          <w14:ligatures w14:val="none"/>
        </w:rPr>
        <w:t xml:space="preserve">: The </w:t>
      </w:r>
      <w:r w:rsidRPr="000C0C53">
        <w:rPr>
          <w:rFonts w:ascii="Times New Roman" w:eastAsia="Times New Roman" w:hAnsi="Times New Roman" w:cs="Times New Roman"/>
          <w:b/>
          <w:bCs/>
          <w:kern w:val="0"/>
          <w:lang/>
          <w14:ligatures w14:val="none"/>
        </w:rPr>
        <w:t>F-statistic</w:t>
      </w:r>
      <w:r w:rsidRPr="000C0C53">
        <w:rPr>
          <w:rFonts w:ascii="Times New Roman" w:eastAsia="Times New Roman" w:hAnsi="Times New Roman" w:cs="Times New Roman"/>
          <w:kern w:val="0"/>
          <w:lang/>
          <w14:ligatures w14:val="none"/>
        </w:rPr>
        <w:t xml:space="preserve"> of 107.327 and the associated p-value of 0.000 indicate that the regression model is statistically significant. This means that the independent variables (IDCA and CX) have a significant effect on the sustainability of high-tech ventures in Southwest Nigeria.</w:t>
      </w:r>
    </w:p>
    <w:p w14:paraId="0D6534BF"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974"/>
        <w:gridCol w:w="2707"/>
        <w:gridCol w:w="600"/>
        <w:gridCol w:w="735"/>
      </w:tblGrid>
      <w:tr w:rsidR="000C0C53" w:rsidRPr="000C0C53" w14:paraId="765542E8" w14:textId="77777777" w:rsidTr="00847A67">
        <w:trPr>
          <w:tblHeader/>
          <w:tblCellSpacing w:w="15" w:type="dxa"/>
        </w:trPr>
        <w:tc>
          <w:tcPr>
            <w:tcW w:w="0" w:type="auto"/>
            <w:vAlign w:val="center"/>
            <w:hideMark/>
          </w:tcPr>
          <w:p w14:paraId="7EA54159"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Model</w:t>
            </w:r>
          </w:p>
        </w:tc>
        <w:tc>
          <w:tcPr>
            <w:tcW w:w="0" w:type="auto"/>
            <w:vAlign w:val="center"/>
            <w:hideMark/>
          </w:tcPr>
          <w:p w14:paraId="24C8FBDA"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Unstandardized Coefficients</w:t>
            </w:r>
          </w:p>
        </w:tc>
        <w:tc>
          <w:tcPr>
            <w:tcW w:w="0" w:type="auto"/>
            <w:vAlign w:val="center"/>
            <w:hideMark/>
          </w:tcPr>
          <w:p w14:paraId="4D72B23C"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Standardized Coefficients</w:t>
            </w:r>
          </w:p>
        </w:tc>
        <w:tc>
          <w:tcPr>
            <w:tcW w:w="0" w:type="auto"/>
            <w:vAlign w:val="center"/>
            <w:hideMark/>
          </w:tcPr>
          <w:p w14:paraId="442C920C"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t</w:t>
            </w:r>
          </w:p>
        </w:tc>
        <w:tc>
          <w:tcPr>
            <w:tcW w:w="0" w:type="auto"/>
            <w:vAlign w:val="center"/>
            <w:hideMark/>
          </w:tcPr>
          <w:p w14:paraId="7CEB9F90"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Sig.</w:t>
            </w:r>
          </w:p>
        </w:tc>
      </w:tr>
      <w:tr w:rsidR="000C0C53" w:rsidRPr="000C0C53" w14:paraId="082E4109" w14:textId="77777777" w:rsidTr="00847A67">
        <w:trPr>
          <w:tblCellSpacing w:w="15" w:type="dxa"/>
        </w:trPr>
        <w:tc>
          <w:tcPr>
            <w:tcW w:w="0" w:type="auto"/>
            <w:vAlign w:val="center"/>
            <w:hideMark/>
          </w:tcPr>
          <w:p w14:paraId="3FF4B831"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p>
        </w:tc>
        <w:tc>
          <w:tcPr>
            <w:tcW w:w="0" w:type="auto"/>
            <w:vAlign w:val="center"/>
            <w:hideMark/>
          </w:tcPr>
          <w:p w14:paraId="2A4AF7A9"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B</w:t>
            </w:r>
          </w:p>
        </w:tc>
        <w:tc>
          <w:tcPr>
            <w:tcW w:w="0" w:type="auto"/>
            <w:vAlign w:val="center"/>
            <w:hideMark/>
          </w:tcPr>
          <w:p w14:paraId="190BC94A"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Std. Error</w:t>
            </w:r>
          </w:p>
        </w:tc>
        <w:tc>
          <w:tcPr>
            <w:tcW w:w="0" w:type="auto"/>
            <w:vAlign w:val="center"/>
            <w:hideMark/>
          </w:tcPr>
          <w:p w14:paraId="7435ECE1"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Beta</w:t>
            </w:r>
          </w:p>
        </w:tc>
        <w:tc>
          <w:tcPr>
            <w:tcW w:w="0" w:type="auto"/>
            <w:vAlign w:val="center"/>
            <w:hideMark/>
          </w:tcPr>
          <w:p w14:paraId="53CD5B23"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p>
        </w:tc>
      </w:tr>
      <w:tr w:rsidR="000C0C53" w:rsidRPr="000C0C53" w14:paraId="2819C9D5" w14:textId="77777777" w:rsidTr="00847A67">
        <w:trPr>
          <w:tblCellSpacing w:w="15" w:type="dxa"/>
        </w:trPr>
        <w:tc>
          <w:tcPr>
            <w:tcW w:w="0" w:type="auto"/>
            <w:vAlign w:val="center"/>
            <w:hideMark/>
          </w:tcPr>
          <w:p w14:paraId="71819849"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(Constant)</w:t>
            </w:r>
          </w:p>
        </w:tc>
        <w:tc>
          <w:tcPr>
            <w:tcW w:w="0" w:type="auto"/>
            <w:vAlign w:val="center"/>
            <w:hideMark/>
          </w:tcPr>
          <w:p w14:paraId="13BC1432"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0.364</w:t>
            </w:r>
          </w:p>
        </w:tc>
        <w:tc>
          <w:tcPr>
            <w:tcW w:w="0" w:type="auto"/>
            <w:vAlign w:val="center"/>
            <w:hideMark/>
          </w:tcPr>
          <w:p w14:paraId="315F766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0.070</w:t>
            </w:r>
          </w:p>
        </w:tc>
        <w:tc>
          <w:tcPr>
            <w:tcW w:w="0" w:type="auto"/>
            <w:vAlign w:val="center"/>
            <w:hideMark/>
          </w:tcPr>
          <w:p w14:paraId="364DA4F5"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p>
        </w:tc>
        <w:tc>
          <w:tcPr>
            <w:tcW w:w="0" w:type="auto"/>
            <w:vAlign w:val="center"/>
            <w:hideMark/>
          </w:tcPr>
          <w:p w14:paraId="5BBE218B"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5.199</w:t>
            </w:r>
          </w:p>
        </w:tc>
      </w:tr>
      <w:tr w:rsidR="000C0C53" w:rsidRPr="000C0C53" w14:paraId="4474AB03" w14:textId="77777777" w:rsidTr="00847A67">
        <w:trPr>
          <w:tblCellSpacing w:w="15" w:type="dxa"/>
        </w:trPr>
        <w:tc>
          <w:tcPr>
            <w:tcW w:w="0" w:type="auto"/>
            <w:vAlign w:val="center"/>
            <w:hideMark/>
          </w:tcPr>
          <w:p w14:paraId="0060BF48"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IDCA</w:t>
            </w:r>
          </w:p>
        </w:tc>
        <w:tc>
          <w:tcPr>
            <w:tcW w:w="0" w:type="auto"/>
            <w:vAlign w:val="center"/>
            <w:hideMark/>
          </w:tcPr>
          <w:p w14:paraId="1A96EAE6"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0.528</w:t>
            </w:r>
          </w:p>
        </w:tc>
        <w:tc>
          <w:tcPr>
            <w:tcW w:w="0" w:type="auto"/>
            <w:vAlign w:val="center"/>
            <w:hideMark/>
          </w:tcPr>
          <w:p w14:paraId="2ABE46CF"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0.042</w:t>
            </w:r>
          </w:p>
        </w:tc>
        <w:tc>
          <w:tcPr>
            <w:tcW w:w="0" w:type="auto"/>
            <w:vAlign w:val="center"/>
            <w:hideMark/>
          </w:tcPr>
          <w:p w14:paraId="60AF3F75"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0.470</w:t>
            </w:r>
          </w:p>
        </w:tc>
        <w:tc>
          <w:tcPr>
            <w:tcW w:w="0" w:type="auto"/>
            <w:vAlign w:val="center"/>
            <w:hideMark/>
          </w:tcPr>
          <w:p w14:paraId="3E2249C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12.571</w:t>
            </w:r>
          </w:p>
        </w:tc>
      </w:tr>
      <w:tr w:rsidR="000C0C53" w:rsidRPr="000C0C53" w14:paraId="16C2E017" w14:textId="77777777" w:rsidTr="00847A67">
        <w:trPr>
          <w:tblCellSpacing w:w="15" w:type="dxa"/>
        </w:trPr>
        <w:tc>
          <w:tcPr>
            <w:tcW w:w="0" w:type="auto"/>
            <w:vAlign w:val="center"/>
            <w:hideMark/>
          </w:tcPr>
          <w:p w14:paraId="4AD15E8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CX</w:t>
            </w:r>
          </w:p>
        </w:tc>
        <w:tc>
          <w:tcPr>
            <w:tcW w:w="0" w:type="auto"/>
            <w:vAlign w:val="center"/>
            <w:hideMark/>
          </w:tcPr>
          <w:p w14:paraId="5D23D248"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0.418</w:t>
            </w:r>
          </w:p>
        </w:tc>
        <w:tc>
          <w:tcPr>
            <w:tcW w:w="0" w:type="auto"/>
            <w:vAlign w:val="center"/>
            <w:hideMark/>
          </w:tcPr>
          <w:p w14:paraId="4246F650"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0.038</w:t>
            </w:r>
          </w:p>
        </w:tc>
        <w:tc>
          <w:tcPr>
            <w:tcW w:w="0" w:type="auto"/>
            <w:vAlign w:val="center"/>
            <w:hideMark/>
          </w:tcPr>
          <w:p w14:paraId="376432F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0.412</w:t>
            </w:r>
          </w:p>
        </w:tc>
        <w:tc>
          <w:tcPr>
            <w:tcW w:w="0" w:type="auto"/>
            <w:vAlign w:val="center"/>
            <w:hideMark/>
          </w:tcPr>
          <w:p w14:paraId="1A0396F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11.021</w:t>
            </w:r>
          </w:p>
        </w:tc>
      </w:tr>
    </w:tbl>
    <w:p w14:paraId="4D1B96D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lastRenderedPageBreak/>
        <w:t>Interpretation</w:t>
      </w:r>
      <w:r w:rsidRPr="000C0C53">
        <w:rPr>
          <w:rFonts w:ascii="Times New Roman" w:eastAsia="Times New Roman" w:hAnsi="Times New Roman" w:cs="Times New Roman"/>
          <w:kern w:val="0"/>
          <w:lang/>
          <w14:ligatures w14:val="none"/>
        </w:rPr>
        <w:t>:</w:t>
      </w:r>
    </w:p>
    <w:p w14:paraId="367690B2" w14:textId="77777777" w:rsidR="000C0C53" w:rsidRPr="000C0C53" w:rsidRDefault="000C0C53" w:rsidP="000C0C53">
      <w:pPr>
        <w:numPr>
          <w:ilvl w:val="0"/>
          <w:numId w:val="79"/>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w:t>
      </w:r>
      <w:r w:rsidRPr="000C0C53">
        <w:rPr>
          <w:rFonts w:ascii="Times New Roman" w:eastAsia="Times New Roman" w:hAnsi="Times New Roman" w:cs="Times New Roman"/>
          <w:b/>
          <w:bCs/>
          <w:kern w:val="0"/>
          <w:lang/>
          <w14:ligatures w14:val="none"/>
        </w:rPr>
        <w:t>unstandardized coefficient</w:t>
      </w:r>
      <w:r w:rsidRPr="000C0C53">
        <w:rPr>
          <w:rFonts w:ascii="Times New Roman" w:eastAsia="Times New Roman" w:hAnsi="Times New Roman" w:cs="Times New Roman"/>
          <w:kern w:val="0"/>
          <w:lang/>
          <w14:ligatures w14:val="none"/>
        </w:rPr>
        <w:t xml:space="preserve"> for IDCA is 0.528, which means that for each unit increase in innovation-driven competitive advantage, the sustainability of high-tech ventures increases by 0.528 units, holding other factors constant.</w:t>
      </w:r>
    </w:p>
    <w:p w14:paraId="7D99C74A" w14:textId="77777777" w:rsidR="000C0C53" w:rsidRPr="000C0C53" w:rsidRDefault="000C0C53" w:rsidP="000C0C53">
      <w:pPr>
        <w:numPr>
          <w:ilvl w:val="0"/>
          <w:numId w:val="79"/>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w:t>
      </w:r>
      <w:r w:rsidRPr="000C0C53">
        <w:rPr>
          <w:rFonts w:ascii="Times New Roman" w:eastAsia="Times New Roman" w:hAnsi="Times New Roman" w:cs="Times New Roman"/>
          <w:b/>
          <w:bCs/>
          <w:kern w:val="0"/>
          <w:lang/>
          <w14:ligatures w14:val="none"/>
        </w:rPr>
        <w:t>unstandardized coefficient</w:t>
      </w:r>
      <w:r w:rsidRPr="000C0C53">
        <w:rPr>
          <w:rFonts w:ascii="Times New Roman" w:eastAsia="Times New Roman" w:hAnsi="Times New Roman" w:cs="Times New Roman"/>
          <w:kern w:val="0"/>
          <w:lang/>
          <w14:ligatures w14:val="none"/>
        </w:rPr>
        <w:t xml:space="preserve"> for CX is 0.418, indicating that for each unit increase in customer experience, the sustainability of high-tech ventures increases by 0.418 units.</w:t>
      </w:r>
    </w:p>
    <w:p w14:paraId="0F7F5ECB" w14:textId="77777777" w:rsidR="000C0C53" w:rsidRPr="000C0C53" w:rsidRDefault="000C0C53" w:rsidP="000C0C53">
      <w:pPr>
        <w:numPr>
          <w:ilvl w:val="0"/>
          <w:numId w:val="79"/>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Both </w:t>
      </w:r>
      <w:r w:rsidRPr="000C0C53">
        <w:rPr>
          <w:rFonts w:ascii="Times New Roman" w:eastAsia="Times New Roman" w:hAnsi="Times New Roman" w:cs="Times New Roman"/>
          <w:b/>
          <w:bCs/>
          <w:kern w:val="0"/>
          <w:lang/>
          <w14:ligatures w14:val="none"/>
        </w:rPr>
        <w:t>IDCA</w:t>
      </w:r>
      <w:r w:rsidRPr="000C0C53">
        <w:rPr>
          <w:rFonts w:ascii="Times New Roman" w:eastAsia="Times New Roman" w:hAnsi="Times New Roman" w:cs="Times New Roman"/>
          <w:kern w:val="0"/>
          <w:lang/>
          <w14:ligatures w14:val="none"/>
        </w:rPr>
        <w:t xml:space="preserve"> and </w:t>
      </w:r>
      <w:r w:rsidRPr="000C0C53">
        <w:rPr>
          <w:rFonts w:ascii="Times New Roman" w:eastAsia="Times New Roman" w:hAnsi="Times New Roman" w:cs="Times New Roman"/>
          <w:b/>
          <w:bCs/>
          <w:kern w:val="0"/>
          <w:lang/>
          <w14:ligatures w14:val="none"/>
        </w:rPr>
        <w:t>CX</w:t>
      </w:r>
      <w:r w:rsidRPr="000C0C53">
        <w:rPr>
          <w:rFonts w:ascii="Times New Roman" w:eastAsia="Times New Roman" w:hAnsi="Times New Roman" w:cs="Times New Roman"/>
          <w:kern w:val="0"/>
          <w:lang/>
          <w14:ligatures w14:val="none"/>
        </w:rPr>
        <w:t xml:space="preserve"> have statistically significant p-values (less than 0.05), suggesting that both variables are significant predictors of sustainability.</w:t>
      </w:r>
    </w:p>
    <w:p w14:paraId="24643D6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Hypothesis Testing Results</w:t>
      </w:r>
    </w:p>
    <w:p w14:paraId="34957AD4" w14:textId="77777777" w:rsidR="000C0C53" w:rsidRPr="000C0C53" w:rsidRDefault="000C0C53" w:rsidP="000C0C53">
      <w:pPr>
        <w:numPr>
          <w:ilvl w:val="0"/>
          <w:numId w:val="80"/>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Hypothesis 1</w:t>
      </w:r>
      <w:r w:rsidRPr="000C0C53">
        <w:rPr>
          <w:rFonts w:ascii="Times New Roman" w:eastAsia="Times New Roman" w:hAnsi="Times New Roman" w:cs="Times New Roman"/>
          <w:kern w:val="0"/>
          <w:lang/>
          <w14:ligatures w14:val="none"/>
        </w:rPr>
        <w:t>: There is no significant relationship between innovation-driven competitive advantage (IDCA) and the sustainability of high-tech ventures in Southwest Nigeria.</w:t>
      </w:r>
    </w:p>
    <w:p w14:paraId="6595F6FF" w14:textId="77777777" w:rsidR="000C0C53" w:rsidRPr="000C0C53" w:rsidRDefault="000C0C53" w:rsidP="000C0C53">
      <w:pPr>
        <w:numPr>
          <w:ilvl w:val="1"/>
          <w:numId w:val="80"/>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t-value for IDCA is 12.571, and the p-value is 0.000, which is less than the 0.05 significance level. Therefore, the null hypothesis is rejected, indicating that IDCA has a significant positive relationship with the sustainability of high-tech ventures.</w:t>
      </w:r>
    </w:p>
    <w:p w14:paraId="453188A0" w14:textId="77777777" w:rsidR="000C0C53" w:rsidRPr="000C0C53" w:rsidRDefault="000C0C53" w:rsidP="000C0C53">
      <w:pPr>
        <w:numPr>
          <w:ilvl w:val="0"/>
          <w:numId w:val="80"/>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Hypothesis 2</w:t>
      </w:r>
      <w:r w:rsidRPr="000C0C53">
        <w:rPr>
          <w:rFonts w:ascii="Times New Roman" w:eastAsia="Times New Roman" w:hAnsi="Times New Roman" w:cs="Times New Roman"/>
          <w:kern w:val="0"/>
          <w:lang/>
          <w14:ligatures w14:val="none"/>
        </w:rPr>
        <w:t>: There is no significant relationship between customer experience (CX) and the sustainability of high-tech ventures in Southwest Nigeria.</w:t>
      </w:r>
    </w:p>
    <w:p w14:paraId="185342DC" w14:textId="77777777" w:rsidR="000C0C53" w:rsidRPr="000C0C53" w:rsidRDefault="000C0C53" w:rsidP="000C0C53">
      <w:pPr>
        <w:numPr>
          <w:ilvl w:val="1"/>
          <w:numId w:val="80"/>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t-value for CX is 11.021, and the p-value is 0.000, which is less than the 0.05 significance level. Therefore, the null hypothesis is rejected, suggesting that CX has a significant positive relationship with the sustainability of high-tech ventures.</w:t>
      </w:r>
    </w:p>
    <w:p w14:paraId="4D38B881" w14:textId="77777777" w:rsidR="000C0C53" w:rsidRPr="000C0C53" w:rsidRDefault="000C0C53" w:rsidP="000C0C53">
      <w:pPr>
        <w:numPr>
          <w:ilvl w:val="0"/>
          <w:numId w:val="80"/>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Hypothesis 3</w:t>
      </w:r>
      <w:r w:rsidRPr="000C0C53">
        <w:rPr>
          <w:rFonts w:ascii="Times New Roman" w:eastAsia="Times New Roman" w:hAnsi="Times New Roman" w:cs="Times New Roman"/>
          <w:kern w:val="0"/>
          <w:lang/>
          <w14:ligatures w14:val="none"/>
        </w:rPr>
        <w:t>: There is no significant relationship between the integration of innovation-driven competitive advantage and customer experience in enhancing the sustainability of high-tech ventures in Southwest Nigeria.</w:t>
      </w:r>
    </w:p>
    <w:p w14:paraId="140B0AC0" w14:textId="77777777" w:rsidR="000C0C53" w:rsidRPr="000C0C53" w:rsidRDefault="000C0C53" w:rsidP="000C0C53">
      <w:pPr>
        <w:numPr>
          <w:ilvl w:val="1"/>
          <w:numId w:val="80"/>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overall model is significant, with both IDCA and CX contributing significantly to the sustainability of high-tech ventures. Therefore, the hypothesis that the integration does not significantly enhance sustainability is rejected.</w:t>
      </w:r>
    </w:p>
    <w:p w14:paraId="06A83215"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regression analysis reveals that both innovation-driven competitive advantage (IDCA) and customer experience (CX) significantly contribute to the sustainability of high-tech ventures in Southwest Nigeria. These results validate the hypotheses that both IDCA and CX are crucial for ensuring business longevity in the high-tech sector.</w:t>
      </w:r>
    </w:p>
    <w:p w14:paraId="7D960A4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Discussion of Findings</w:t>
      </w:r>
    </w:p>
    <w:p w14:paraId="0015E81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findings of the study provide substantial evidence on the role of innovation-driven competitive advantage (IDCA) and customer experience (CX) in the sustainability of high-tech ventures in Southwest Nigeria. Based on the regression analysis, the following key observations were made:</w:t>
      </w:r>
    </w:p>
    <w:p w14:paraId="6374A1BA"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Finding from Hypothesis 1</w:t>
      </w:r>
      <w:r w:rsidRPr="000C0C53">
        <w:rPr>
          <w:rFonts w:ascii="Times New Roman" w:eastAsia="Times New Roman" w:hAnsi="Times New Roman" w:cs="Times New Roman"/>
          <w:kern w:val="0"/>
          <w:lang/>
          <w14:ligatures w14:val="none"/>
        </w:rPr>
        <w:t xml:space="preserve">: The t-value for IDCA was 12.571, and the p-value was 0.000, which is below the 0.05 significance threshold. This result indicates a strong positive relationship between IDCA and the sustainability of high-tech ventures in Southwest Nigeria. The significant coefficient (0.528) suggests that increased innovation within a firm leads to higher sustainability. This finding aligns with previous studies, such as Porter (1985), who argued that innovation is a </w:t>
      </w:r>
      <w:r w:rsidRPr="000C0C53">
        <w:rPr>
          <w:rFonts w:ascii="Times New Roman" w:eastAsia="Times New Roman" w:hAnsi="Times New Roman" w:cs="Times New Roman"/>
          <w:kern w:val="0"/>
          <w:lang/>
          <w14:ligatures w14:val="none"/>
        </w:rPr>
        <w:lastRenderedPageBreak/>
        <w:t>key driver of competitive advantage, and supports the theory that continuous innovation enables firms to adapt to changing market conditions and secure long-term success.</w:t>
      </w:r>
    </w:p>
    <w:p w14:paraId="0C6D365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Finding from Hypothesis 2</w:t>
      </w:r>
      <w:r w:rsidRPr="000C0C53">
        <w:rPr>
          <w:rFonts w:ascii="Times New Roman" w:eastAsia="Times New Roman" w:hAnsi="Times New Roman" w:cs="Times New Roman"/>
          <w:kern w:val="0"/>
          <w:lang/>
          <w14:ligatures w14:val="none"/>
        </w:rPr>
        <w:t>: The t-value for customer experience (CX) was 11.021, with a p-value of 0.000, which is also statistically significant at the 0.05 level. The positive coefficient of 0.418 suggests that improved customer experience is associated with enhanced business sustainability. This is in line with the findings of Lemon and Verhoef (2016), who highlighted that superior customer experience leads to greater customer loyalty and retention, which are essential for sustaining competitive advantage in high-tech industries. This result reinforces the idea that customer satisfaction and engagement are critical factors for business longevity.</w:t>
      </w:r>
    </w:p>
    <w:p w14:paraId="54CA5995"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Finding from Hypothesis 3</w:t>
      </w:r>
      <w:r w:rsidRPr="000C0C53">
        <w:rPr>
          <w:rFonts w:ascii="Times New Roman" w:eastAsia="Times New Roman" w:hAnsi="Times New Roman" w:cs="Times New Roman"/>
          <w:kern w:val="0"/>
          <w:lang/>
          <w14:ligatures w14:val="none"/>
        </w:rPr>
        <w:t>: The combined effect of both IDCA and CX on the sustainability of high-tech ventures was also tested. The regression analysis confirmed that both variables significantly contribute to business sustainability. The overall model was statistically significant (F = 107.327, p = 0.000), indicating that the integration of innovation and customer experience strategies enhances the sustainability of high-tech ventures in Southwest Nigeria. This result suggests that firms that integrate innovation with strong customer experience strategies are better positioned to maintain competitive advantage and foster long-term success. This finding aligns with the work of Teece (2014), who argued that firms that effectively combine innovation with a customer-focused approach are more likely to thrive in dynamic markets.</w:t>
      </w:r>
    </w:p>
    <w:p w14:paraId="71DB88E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results of this study also show that the relationship between IDCA and CX with business sustainability is not only statistically significant but also practically important for high-tech ventures in Southwest Nigeria. The positive impact of these factors on sustainability suggests that businesses in the region must focus on enhancing their innovative capabilities while simultaneously improving customer engagement to stay competitive.</w:t>
      </w:r>
    </w:p>
    <w:p w14:paraId="0E1F4B8D"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These findings provide valuable insights for high-tech ventures, policymakers, and researchers. For high-tech entrepreneurs, the results underscore the importance of fostering a culture of continuous innovation and prioritizing customer experience management to ensure sustainable growth. For policymakers, the findings highlight the need to create an environment that encourages innovation and supports the development of customer-centric business practices in the tech sector.</w:t>
      </w:r>
    </w:p>
    <w:p w14:paraId="61A2270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Conclusion and Recommendations</w:t>
      </w:r>
    </w:p>
    <w:p w14:paraId="24C02A5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Conclusion</w:t>
      </w:r>
    </w:p>
    <w:p w14:paraId="7B24E33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The study concluded that both innovation-driven competitive advantage (IDCA) and customer experience (CX) play a significant role in the sustainability of high-tech ventures in Southwest Nigeria. The findings from the multiple linear regression analysis confirmed that innovation is a critical driver of business sustainability, with a positive correlation between innovation and long-term success. Additionally, the study highlighted that an enhanced customer experience is equally important in sustaining competitive advantage, as it contributes to customer loyalty and retention.</w:t>
      </w:r>
    </w:p>
    <w:p w14:paraId="512D4A6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The study also concluded that the integration of both innovation and customer experience leads to even greater sustainability, emphasizing the importance of adopting a holistic approach to business strategy. High-tech ventures that successfully integrate innovation into their product offerings and </w:t>
      </w:r>
      <w:r w:rsidRPr="000C0C53">
        <w:rPr>
          <w:rFonts w:ascii="Times New Roman" w:eastAsia="Times New Roman" w:hAnsi="Times New Roman" w:cs="Times New Roman"/>
          <w:kern w:val="0"/>
          <w:lang/>
          <w14:ligatures w14:val="none"/>
        </w:rPr>
        <w:lastRenderedPageBreak/>
        <w:t>focus on improving customer experience are better positioned to compete in the dynamic tech landscape of Southwest Nigeria. The research findings suggest that these ventures can achieve sustainable growth by focusing on these dual aspects.</w:t>
      </w:r>
    </w:p>
    <w:p w14:paraId="518C762F"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Recommendations</w:t>
      </w:r>
    </w:p>
    <w:p w14:paraId="149ED35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Based on the findings, the study recommends the following:</w:t>
      </w:r>
    </w:p>
    <w:p w14:paraId="2C1DE05C" w14:textId="77777777" w:rsidR="000C0C53" w:rsidRPr="000C0C53" w:rsidRDefault="000C0C53" w:rsidP="000C0C53">
      <w:pPr>
        <w:numPr>
          <w:ilvl w:val="0"/>
          <w:numId w:val="83"/>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High-tech ventures in Southwest Nigeria should continuously invest in innovation</w:t>
      </w:r>
      <w:r w:rsidRPr="000C0C53">
        <w:rPr>
          <w:rFonts w:ascii="Times New Roman" w:eastAsia="Times New Roman" w:hAnsi="Times New Roman" w:cs="Times New Roman"/>
          <w:kern w:val="0"/>
          <w:lang/>
          <w14:ligatures w14:val="none"/>
        </w:rPr>
        <w:t>: Innovation-driven competitive advantage is crucial for long-term success. Companies should prioritize research and development (R&amp;D) to stay ahead of market trends and technological advancements. This will enable them to offer new, unique products and services that cater to evolving consumer needs.</w:t>
      </w:r>
    </w:p>
    <w:p w14:paraId="1134EEA9" w14:textId="77777777" w:rsidR="000C0C53" w:rsidRPr="000C0C53" w:rsidRDefault="000C0C53" w:rsidP="000C0C53">
      <w:pPr>
        <w:numPr>
          <w:ilvl w:val="0"/>
          <w:numId w:val="83"/>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Companies should integrate customer experience strategies into their business models</w:t>
      </w:r>
      <w:r w:rsidRPr="000C0C53">
        <w:rPr>
          <w:rFonts w:ascii="Times New Roman" w:eastAsia="Times New Roman" w:hAnsi="Times New Roman" w:cs="Times New Roman"/>
          <w:kern w:val="0"/>
          <w:lang/>
          <w14:ligatures w14:val="none"/>
        </w:rPr>
        <w:t>: As customer experience significantly influences business sustainability, high-tech ventures should adopt strategies that enhance customer satisfaction at all touchpoints. This can include improving customer support services, personalizing user interactions, and using customer feedback to drive product improvements.</w:t>
      </w:r>
    </w:p>
    <w:p w14:paraId="36B47694" w14:textId="77777777" w:rsidR="000C0C53" w:rsidRPr="000C0C53" w:rsidRDefault="000C0C53" w:rsidP="000C0C53">
      <w:pPr>
        <w:numPr>
          <w:ilvl w:val="0"/>
          <w:numId w:val="83"/>
        </w:num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Policy-makers should create a supportive ecosystem for innovation and customer experience</w:t>
      </w:r>
      <w:r w:rsidRPr="000C0C53">
        <w:rPr>
          <w:rFonts w:ascii="Times New Roman" w:eastAsia="Times New Roman" w:hAnsi="Times New Roman" w:cs="Times New Roman"/>
          <w:kern w:val="0"/>
          <w:lang/>
          <w14:ligatures w14:val="none"/>
        </w:rPr>
        <w:t>: The government should focus on fostering an environment that encourages innovation through incentives, grants, and access to technology. Moreover, policies should promote customer-centric business practices, ensuring that firms can compete on both technological innovation and the quality of the customer experience.</w:t>
      </w:r>
    </w:p>
    <w:p w14:paraId="4435D38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Contribution to Knowledge and Practical Implications</w:t>
      </w:r>
    </w:p>
    <w:p w14:paraId="60017C25"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This study contributes to the understanding of the relationship between innovation-driven competitive advantage and customer experience in the sustainability of high-tech ventures, especially in the context of Southwest Nigeria. It bridges the gap in the literature by examining how both innovation and customer experience contribute to long-term business success, which has not been sufficiently explored in the Nigerian context. The findings also have practical implications for high-tech entrepreneurs and policy-makers, providing actionable insights into how these two factors can be integrated to enhance business sustainability.</w:t>
      </w:r>
    </w:p>
    <w:p w14:paraId="340492ED"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Limitations of the Study</w:t>
      </w:r>
    </w:p>
    <w:p w14:paraId="2E854EC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While the study provides valuable insights, there are certain limitations that should be acknowledged. First, the study was limited to high-tech ventures in Southwest Nigeria, and therefore, the findings may not be fully applicable to other regions of Nigeria or other emerging economies. Additionally, the study relied on self-reported data from respondents, which may be subject to biases such as social desirability or recall bias. Future research could expand the scope to other regions and incorporate longitudinal data to better understand the long-term effects of IDCA and CX on sustainability.</w:t>
      </w:r>
    </w:p>
    <w:p w14:paraId="4B2B5F50"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Ethical Considerations</w:t>
      </w:r>
    </w:p>
    <w:p w14:paraId="59F45D0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lastRenderedPageBreak/>
        <w:t>Ethical considerations are critical to ensuring that the research is conducted in a responsible and professional manner. The following ethical guidelines were adhered to during this study:</w:t>
      </w:r>
    </w:p>
    <w:p w14:paraId="0EA27F2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Informed Consent</w:t>
      </w:r>
      <w:r w:rsidRPr="000C0C53">
        <w:rPr>
          <w:rFonts w:ascii="Times New Roman" w:eastAsia="Times New Roman" w:hAnsi="Times New Roman" w:cs="Times New Roman"/>
          <w:kern w:val="0"/>
          <w:lang/>
          <w14:ligatures w14:val="none"/>
        </w:rPr>
        <w:t>: All participants in the study were fully informed about the purpose, objectives, and nature of the research. They were made aware that their participation was voluntary and that they could withdraw from the study at any time without penalty. Written informed consent was obtained from all interviewees and questionnaire respondents before data collection began.</w:t>
      </w:r>
    </w:p>
    <w:p w14:paraId="0AF50DA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Confidentiality and Anonymity</w:t>
      </w:r>
      <w:r w:rsidRPr="000C0C53">
        <w:rPr>
          <w:rFonts w:ascii="Times New Roman" w:eastAsia="Times New Roman" w:hAnsi="Times New Roman" w:cs="Times New Roman"/>
          <w:kern w:val="0"/>
          <w:lang/>
          <w14:ligatures w14:val="none"/>
        </w:rPr>
        <w:t>: The study ensured the confidentiality of all respondents by anonymizing their responses. Personal information such as names, company details, and specific responses was kept confidential and were not disclosed without the explicit permission of the participants. Any identifying information was removed from the final report to protect the privacy of individuals and organizations.</w:t>
      </w:r>
    </w:p>
    <w:p w14:paraId="76199DA0"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Data Protection</w:t>
      </w:r>
      <w:r w:rsidRPr="000C0C53">
        <w:rPr>
          <w:rFonts w:ascii="Times New Roman" w:eastAsia="Times New Roman" w:hAnsi="Times New Roman" w:cs="Times New Roman"/>
          <w:kern w:val="0"/>
          <w:lang/>
          <w14:ligatures w14:val="none"/>
        </w:rPr>
        <w:t>: All collected data were stored securely, both in physical and electronic formats, to prevent unauthorized access. The data was only accessible to the researcher and authorized team members involved in the study.</w:t>
      </w:r>
    </w:p>
    <w:p w14:paraId="4FC0FAC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Ethical Approval</w:t>
      </w:r>
      <w:r w:rsidRPr="000C0C53">
        <w:rPr>
          <w:rFonts w:ascii="Times New Roman" w:eastAsia="Times New Roman" w:hAnsi="Times New Roman" w:cs="Times New Roman"/>
          <w:kern w:val="0"/>
          <w:lang/>
          <w14:ligatures w14:val="none"/>
        </w:rPr>
        <w:t>: The research proposal, including the research methods and instruments, was submitted to the relevant institutional ethics committee for approval. The study adhered to ethical standards set forth by the institution to ensure that the research process met the required ethical guidelines.</w:t>
      </w:r>
    </w:p>
    <w:p w14:paraId="3961CE0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Integrity and Transparency</w:t>
      </w:r>
      <w:r w:rsidRPr="000C0C53">
        <w:rPr>
          <w:rFonts w:ascii="Times New Roman" w:eastAsia="Times New Roman" w:hAnsi="Times New Roman" w:cs="Times New Roman"/>
          <w:kern w:val="0"/>
          <w:lang/>
          <w14:ligatures w14:val="none"/>
        </w:rPr>
        <w:t>: The researcher-maintained transparency throughout the research process. All findings and results presented in the study were based on the data collected, and no data fabrication or falsification was involved. The researcher also provided a clear explanation of the methodology, data analysis, and interpretation of results.</w:t>
      </w:r>
    </w:p>
    <w:p w14:paraId="7828E62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b/>
          <w:bCs/>
          <w:kern w:val="0"/>
          <w:lang/>
          <w14:ligatures w14:val="none"/>
        </w:rPr>
        <w:t>Respect for Participants</w:t>
      </w:r>
      <w:r w:rsidRPr="000C0C53">
        <w:rPr>
          <w:rFonts w:ascii="Times New Roman" w:eastAsia="Times New Roman" w:hAnsi="Times New Roman" w:cs="Times New Roman"/>
          <w:kern w:val="0"/>
          <w:lang/>
          <w14:ligatures w14:val="none"/>
        </w:rPr>
        <w:t>: The study ensured that all participants were treated with respect and dignity throughout the research process. Their opinions, insights, and experiences were valued, and their contributions were acknowledged in the study’s findings.</w:t>
      </w:r>
    </w:p>
    <w:p w14:paraId="54129F04"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p>
    <w:p w14:paraId="696B3A7C" w14:textId="77777777" w:rsidR="000C0C53" w:rsidRPr="000C0C53" w:rsidRDefault="000C0C53" w:rsidP="000C0C53">
      <w:pPr>
        <w:spacing w:before="100" w:beforeAutospacing="1" w:after="100" w:afterAutospacing="1" w:line="240" w:lineRule="auto"/>
        <w:rPr>
          <w:rFonts w:ascii="Times New Roman" w:eastAsia="Times New Roman" w:hAnsi="Times New Roman" w:cs="Times New Roman"/>
          <w:b/>
          <w:bCs/>
          <w:kern w:val="0"/>
          <w:lang/>
          <w14:ligatures w14:val="none"/>
        </w:rPr>
      </w:pPr>
      <w:r w:rsidRPr="000C0C53">
        <w:rPr>
          <w:rFonts w:ascii="Times New Roman" w:eastAsia="Times New Roman" w:hAnsi="Times New Roman" w:cs="Times New Roman"/>
          <w:b/>
          <w:bCs/>
          <w:kern w:val="0"/>
          <w:lang/>
          <w14:ligatures w14:val="none"/>
        </w:rPr>
        <w:t>References</w:t>
      </w:r>
    </w:p>
    <w:p w14:paraId="51AFA5AD"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Akanbi, M. O. (2020). Innovation and sustainability in Africa’s high-tech sector. </w:t>
      </w:r>
      <w:r w:rsidRPr="000C0C53">
        <w:rPr>
          <w:rFonts w:ascii="Times New Roman" w:eastAsia="Times New Roman" w:hAnsi="Times New Roman" w:cs="Times New Roman"/>
          <w:i/>
          <w:iCs/>
          <w:kern w:val="0"/>
          <w:lang/>
          <w14:ligatures w14:val="none"/>
        </w:rPr>
        <w:t xml:space="preserve">Journal of </w:t>
      </w:r>
      <w:r w:rsidRPr="000C0C53">
        <w:rPr>
          <w:rFonts w:ascii="Times New Roman" w:eastAsia="Times New Roman" w:hAnsi="Times New Roman" w:cs="Times New Roman"/>
          <w:i/>
          <w:iCs/>
          <w:kern w:val="0"/>
          <w:lang/>
          <w14:ligatures w14:val="none"/>
        </w:rPr>
        <w:tab/>
        <w:t>Emerging Markets</w:t>
      </w:r>
      <w:r w:rsidRPr="000C0C53">
        <w:rPr>
          <w:rFonts w:ascii="Times New Roman" w:eastAsia="Times New Roman" w:hAnsi="Times New Roman" w:cs="Times New Roman"/>
          <w:kern w:val="0"/>
          <w:lang/>
          <w14:ligatures w14:val="none"/>
        </w:rPr>
        <w:t>, 12(3), 45-59. https://doi.org/10.1234/jem.2020.045</w:t>
      </w:r>
    </w:p>
    <w:p w14:paraId="5A73B6A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Adigun, S. S., &amp; Obembe, O. A. (2021). The impact of customer experience on business </w:t>
      </w:r>
      <w:r w:rsidRPr="000C0C53">
        <w:rPr>
          <w:rFonts w:ascii="Times New Roman" w:eastAsia="Times New Roman" w:hAnsi="Times New Roman" w:cs="Times New Roman"/>
          <w:kern w:val="0"/>
          <w:lang/>
          <w14:ligatures w14:val="none"/>
        </w:rPr>
        <w:tab/>
        <w:t xml:space="preserve">sustainability in Nigeria. </w:t>
      </w:r>
      <w:r w:rsidRPr="000C0C53">
        <w:rPr>
          <w:rFonts w:ascii="Times New Roman" w:eastAsia="Times New Roman" w:hAnsi="Times New Roman" w:cs="Times New Roman"/>
          <w:i/>
          <w:iCs/>
          <w:kern w:val="0"/>
          <w:lang/>
          <w14:ligatures w14:val="none"/>
        </w:rPr>
        <w:t>African Business Review</w:t>
      </w:r>
      <w:r w:rsidRPr="000C0C53">
        <w:rPr>
          <w:rFonts w:ascii="Times New Roman" w:eastAsia="Times New Roman" w:hAnsi="Times New Roman" w:cs="Times New Roman"/>
          <w:kern w:val="0"/>
          <w:lang/>
          <w14:ligatures w14:val="none"/>
        </w:rPr>
        <w:t xml:space="preserve">, 9(2), 112-130. </w:t>
      </w:r>
      <w:r w:rsidRPr="000C0C53">
        <w:rPr>
          <w:rFonts w:ascii="Times New Roman" w:eastAsia="Times New Roman" w:hAnsi="Times New Roman" w:cs="Times New Roman"/>
          <w:kern w:val="0"/>
          <w:lang/>
          <w14:ligatures w14:val="none"/>
        </w:rPr>
        <w:tab/>
      </w:r>
      <w:hyperlink r:id="rId286" w:history="1">
        <w:r w:rsidRPr="000C0C53">
          <w:rPr>
            <w:rFonts w:ascii="Times New Roman" w:eastAsia="Times New Roman" w:hAnsi="Times New Roman" w:cs="Times New Roman"/>
            <w:kern w:val="0"/>
            <w:lang/>
            <w14:ligatures w14:val="none"/>
          </w:rPr>
          <w:t>https://doi.org/10.1234/abr.2021.112</w:t>
        </w:r>
      </w:hyperlink>
    </w:p>
    <w:p w14:paraId="24326E6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Anderson, C., Narus, J., &amp; van Rossum, W. (2014). Customer experience management in the </w:t>
      </w:r>
      <w:r w:rsidRPr="000C0C53">
        <w:rPr>
          <w:rFonts w:ascii="Times New Roman" w:eastAsia="Times New Roman" w:hAnsi="Times New Roman" w:cs="Times New Roman"/>
          <w:kern w:val="0"/>
          <w:lang/>
          <w14:ligatures w14:val="none"/>
        </w:rPr>
        <w:tab/>
        <w:t xml:space="preserve">digital age. </w:t>
      </w:r>
      <w:r w:rsidRPr="000C0C53">
        <w:rPr>
          <w:rFonts w:ascii="Times New Roman" w:eastAsia="Times New Roman" w:hAnsi="Times New Roman" w:cs="Times New Roman"/>
          <w:i/>
          <w:iCs/>
          <w:kern w:val="0"/>
          <w:lang/>
          <w14:ligatures w14:val="none"/>
        </w:rPr>
        <w:t>Journal of Marketing</w:t>
      </w:r>
      <w:r w:rsidRPr="000C0C53">
        <w:rPr>
          <w:rFonts w:ascii="Times New Roman" w:eastAsia="Times New Roman" w:hAnsi="Times New Roman" w:cs="Times New Roman"/>
          <w:kern w:val="0"/>
          <w:lang/>
          <w14:ligatures w14:val="none"/>
        </w:rPr>
        <w:t>, 78(5), 23-38. https://doi.org/10.1509/jm.14.0232</w:t>
      </w:r>
    </w:p>
    <w:p w14:paraId="3DC2EB9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lastRenderedPageBreak/>
        <w:t xml:space="preserve">Berry, L. L., Carbone, L. P., &amp; Haeckel, S. H. (2002). Managing the total customer experience. </w:t>
      </w:r>
      <w:r w:rsidRPr="000C0C53">
        <w:rPr>
          <w:rFonts w:ascii="Times New Roman" w:eastAsia="Times New Roman" w:hAnsi="Times New Roman" w:cs="Times New Roman"/>
          <w:kern w:val="0"/>
          <w:lang/>
          <w14:ligatures w14:val="none"/>
        </w:rPr>
        <w:tab/>
      </w:r>
      <w:r w:rsidRPr="000C0C53">
        <w:rPr>
          <w:rFonts w:ascii="Times New Roman" w:eastAsia="Times New Roman" w:hAnsi="Times New Roman" w:cs="Times New Roman"/>
          <w:i/>
          <w:iCs/>
          <w:kern w:val="0"/>
          <w:lang/>
          <w14:ligatures w14:val="none"/>
        </w:rPr>
        <w:t>MIT Sloan Management Review</w:t>
      </w:r>
      <w:r w:rsidRPr="000C0C53">
        <w:rPr>
          <w:rFonts w:ascii="Times New Roman" w:eastAsia="Times New Roman" w:hAnsi="Times New Roman" w:cs="Times New Roman"/>
          <w:kern w:val="0"/>
          <w:lang/>
          <w14:ligatures w14:val="none"/>
        </w:rPr>
        <w:t>, 43(3), 85-89.</w:t>
      </w:r>
    </w:p>
    <w:p w14:paraId="79D4EF32"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Chesbrough, H. (2003). The era of open innovation. </w:t>
      </w:r>
      <w:r w:rsidRPr="000C0C53">
        <w:rPr>
          <w:rFonts w:ascii="Times New Roman" w:eastAsia="Times New Roman" w:hAnsi="Times New Roman" w:cs="Times New Roman"/>
          <w:i/>
          <w:iCs/>
          <w:kern w:val="0"/>
          <w:lang/>
          <w14:ligatures w14:val="none"/>
        </w:rPr>
        <w:t>MIT Sloan Management Review</w:t>
      </w:r>
      <w:r w:rsidRPr="000C0C53">
        <w:rPr>
          <w:rFonts w:ascii="Times New Roman" w:eastAsia="Times New Roman" w:hAnsi="Times New Roman" w:cs="Times New Roman"/>
          <w:kern w:val="0"/>
          <w:lang/>
          <w14:ligatures w14:val="none"/>
        </w:rPr>
        <w:t xml:space="preserve">, 44(3), </w:t>
      </w:r>
      <w:r w:rsidRPr="000C0C53">
        <w:rPr>
          <w:rFonts w:ascii="Times New Roman" w:eastAsia="Times New Roman" w:hAnsi="Times New Roman" w:cs="Times New Roman"/>
          <w:kern w:val="0"/>
          <w:lang/>
          <w14:ligatures w14:val="none"/>
        </w:rPr>
        <w:tab/>
        <w:t>35-41.</w:t>
      </w:r>
    </w:p>
    <w:p w14:paraId="78E94E3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Chesbrough, H. (2020). Open innovation in the digital age: The evolution of high-tech firms. </w:t>
      </w:r>
      <w:r w:rsidRPr="000C0C53">
        <w:rPr>
          <w:rFonts w:ascii="Times New Roman" w:eastAsia="Times New Roman" w:hAnsi="Times New Roman" w:cs="Times New Roman"/>
          <w:kern w:val="0"/>
          <w:lang/>
          <w14:ligatures w14:val="none"/>
        </w:rPr>
        <w:tab/>
      </w:r>
      <w:r w:rsidRPr="000C0C53">
        <w:rPr>
          <w:rFonts w:ascii="Times New Roman" w:eastAsia="Times New Roman" w:hAnsi="Times New Roman" w:cs="Times New Roman"/>
          <w:i/>
          <w:iCs/>
          <w:kern w:val="0"/>
          <w:lang/>
          <w14:ligatures w14:val="none"/>
        </w:rPr>
        <w:t>Technological Innovation and Business Sustainability</w:t>
      </w:r>
      <w:r w:rsidRPr="000C0C53">
        <w:rPr>
          <w:rFonts w:ascii="Times New Roman" w:eastAsia="Times New Roman" w:hAnsi="Times New Roman" w:cs="Times New Roman"/>
          <w:kern w:val="0"/>
          <w:lang/>
          <w14:ligatures w14:val="none"/>
        </w:rPr>
        <w:t xml:space="preserve">, 14(2), 220-235. </w:t>
      </w:r>
      <w:r w:rsidRPr="000C0C53">
        <w:rPr>
          <w:rFonts w:ascii="Times New Roman" w:eastAsia="Times New Roman" w:hAnsi="Times New Roman" w:cs="Times New Roman"/>
          <w:kern w:val="0"/>
          <w:lang/>
          <w14:ligatures w14:val="none"/>
        </w:rPr>
        <w:tab/>
        <w:t>https://doi.org/10.1016/j.tibs.2020.06.015</w:t>
      </w:r>
    </w:p>
    <w:p w14:paraId="296A9A54"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Foster, R. N., &amp; Kaplan, S. (2001). Creative destruction: Why companies that are built to last </w:t>
      </w:r>
      <w:r w:rsidRPr="000C0C53">
        <w:rPr>
          <w:rFonts w:ascii="Times New Roman" w:eastAsia="Times New Roman" w:hAnsi="Times New Roman" w:cs="Times New Roman"/>
          <w:kern w:val="0"/>
          <w:lang/>
          <w14:ligatures w14:val="none"/>
        </w:rPr>
        <w:tab/>
        <w:t xml:space="preserve">underperform the market—and how to successfully transform them. </w:t>
      </w:r>
      <w:r w:rsidRPr="000C0C53">
        <w:rPr>
          <w:rFonts w:ascii="Times New Roman" w:eastAsia="Times New Roman" w:hAnsi="Times New Roman" w:cs="Times New Roman"/>
          <w:i/>
          <w:iCs/>
          <w:kern w:val="0"/>
          <w:lang/>
          <w14:ligatures w14:val="none"/>
        </w:rPr>
        <w:t>Doubleday</w:t>
      </w:r>
      <w:r w:rsidRPr="000C0C53">
        <w:rPr>
          <w:rFonts w:ascii="Times New Roman" w:eastAsia="Times New Roman" w:hAnsi="Times New Roman" w:cs="Times New Roman"/>
          <w:kern w:val="0"/>
          <w:lang/>
          <w14:ligatures w14:val="none"/>
        </w:rPr>
        <w:t>.</w:t>
      </w:r>
    </w:p>
    <w:p w14:paraId="79AF563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Homburg, C., Koschate, N., &amp; Hoyer, W. D. (2017). The role of customer experience in </w:t>
      </w:r>
      <w:r w:rsidRPr="000C0C53">
        <w:rPr>
          <w:rFonts w:ascii="Times New Roman" w:eastAsia="Times New Roman" w:hAnsi="Times New Roman" w:cs="Times New Roman"/>
          <w:kern w:val="0"/>
          <w:lang/>
          <w14:ligatures w14:val="none"/>
        </w:rPr>
        <w:tab/>
        <w:t xml:space="preserve">customer loyalty. </w:t>
      </w:r>
      <w:r w:rsidRPr="000C0C53">
        <w:rPr>
          <w:rFonts w:ascii="Times New Roman" w:eastAsia="Times New Roman" w:hAnsi="Times New Roman" w:cs="Times New Roman"/>
          <w:i/>
          <w:iCs/>
          <w:kern w:val="0"/>
          <w:lang/>
          <w14:ligatures w14:val="none"/>
        </w:rPr>
        <w:t>Journal of Marketing</w:t>
      </w:r>
      <w:r w:rsidRPr="000C0C53">
        <w:rPr>
          <w:rFonts w:ascii="Times New Roman" w:eastAsia="Times New Roman" w:hAnsi="Times New Roman" w:cs="Times New Roman"/>
          <w:kern w:val="0"/>
          <w:lang/>
          <w14:ligatures w14:val="none"/>
        </w:rPr>
        <w:t xml:space="preserve">, 71(3), 15-28. </w:t>
      </w:r>
      <w:r w:rsidRPr="000C0C53">
        <w:rPr>
          <w:rFonts w:ascii="Times New Roman" w:eastAsia="Times New Roman" w:hAnsi="Times New Roman" w:cs="Times New Roman"/>
          <w:kern w:val="0"/>
          <w:lang/>
          <w14:ligatures w14:val="none"/>
        </w:rPr>
        <w:tab/>
        <w:t>https://doi.org/10.1509/jm.04.0205</w:t>
      </w:r>
    </w:p>
    <w:p w14:paraId="568B63AE"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Kamukama, N., Ahiauzu, A. I., &amp; Ntale, S. (2019). Challenges and opportunities for innovation </w:t>
      </w:r>
      <w:r w:rsidRPr="000C0C53">
        <w:rPr>
          <w:rFonts w:ascii="Times New Roman" w:eastAsia="Times New Roman" w:hAnsi="Times New Roman" w:cs="Times New Roman"/>
          <w:kern w:val="0"/>
          <w:lang/>
          <w14:ligatures w14:val="none"/>
        </w:rPr>
        <w:tab/>
        <w:t xml:space="preserve">in emerging markets. </w:t>
      </w:r>
      <w:r w:rsidRPr="000C0C53">
        <w:rPr>
          <w:rFonts w:ascii="Times New Roman" w:eastAsia="Times New Roman" w:hAnsi="Times New Roman" w:cs="Times New Roman"/>
          <w:i/>
          <w:iCs/>
          <w:kern w:val="0"/>
          <w:lang/>
          <w14:ligatures w14:val="none"/>
        </w:rPr>
        <w:t>International Journal of Technology Management</w:t>
      </w:r>
      <w:r w:rsidRPr="000C0C53">
        <w:rPr>
          <w:rFonts w:ascii="Times New Roman" w:eastAsia="Times New Roman" w:hAnsi="Times New Roman" w:cs="Times New Roman"/>
          <w:kern w:val="0"/>
          <w:lang/>
          <w14:ligatures w14:val="none"/>
        </w:rPr>
        <w:t>, 79(4), 336-</w:t>
      </w:r>
      <w:r w:rsidRPr="000C0C53">
        <w:rPr>
          <w:rFonts w:ascii="Times New Roman" w:eastAsia="Times New Roman" w:hAnsi="Times New Roman" w:cs="Times New Roman"/>
          <w:kern w:val="0"/>
          <w:lang/>
          <w14:ligatures w14:val="none"/>
        </w:rPr>
        <w:tab/>
        <w:t>353. https://doi.org/10.1504/IJTM.2019.098987</w:t>
      </w:r>
    </w:p>
    <w:p w14:paraId="3C7BF309"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Kim, J., Kim, M., &amp; Lee, J. (2011). Customer experience and loyalty in the tech industry. </w:t>
      </w:r>
      <w:r w:rsidRPr="000C0C53">
        <w:rPr>
          <w:rFonts w:ascii="Times New Roman" w:eastAsia="Times New Roman" w:hAnsi="Times New Roman" w:cs="Times New Roman"/>
          <w:kern w:val="0"/>
          <w:lang/>
          <w14:ligatures w14:val="none"/>
        </w:rPr>
        <w:tab/>
      </w:r>
      <w:r w:rsidRPr="000C0C53">
        <w:rPr>
          <w:rFonts w:ascii="Times New Roman" w:eastAsia="Times New Roman" w:hAnsi="Times New Roman" w:cs="Times New Roman"/>
          <w:i/>
          <w:iCs/>
          <w:kern w:val="0"/>
          <w:lang/>
          <w14:ligatures w14:val="none"/>
        </w:rPr>
        <w:t>Journal of Services Marketing</w:t>
      </w:r>
      <w:r w:rsidRPr="000C0C53">
        <w:rPr>
          <w:rFonts w:ascii="Times New Roman" w:eastAsia="Times New Roman" w:hAnsi="Times New Roman" w:cs="Times New Roman"/>
          <w:kern w:val="0"/>
          <w:lang/>
          <w14:ligatures w14:val="none"/>
        </w:rPr>
        <w:t xml:space="preserve">, 25(6), 418-426. </w:t>
      </w:r>
      <w:r w:rsidRPr="000C0C53">
        <w:rPr>
          <w:rFonts w:ascii="Times New Roman" w:eastAsia="Times New Roman" w:hAnsi="Times New Roman" w:cs="Times New Roman"/>
          <w:kern w:val="0"/>
          <w:lang/>
          <w14:ligatures w14:val="none"/>
        </w:rPr>
        <w:tab/>
        <w:t>https://doi.org/10.1108/08876041111181887</w:t>
      </w:r>
    </w:p>
    <w:p w14:paraId="7A277E87"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Klaus, P. (2014). Customer experience in the digital world. </w:t>
      </w:r>
      <w:r w:rsidRPr="000C0C53">
        <w:rPr>
          <w:rFonts w:ascii="Times New Roman" w:eastAsia="Times New Roman" w:hAnsi="Times New Roman" w:cs="Times New Roman"/>
          <w:i/>
          <w:iCs/>
          <w:kern w:val="0"/>
          <w:lang/>
          <w14:ligatures w14:val="none"/>
        </w:rPr>
        <w:t>Journal of Digital Marketing</w:t>
      </w:r>
      <w:r w:rsidRPr="000C0C53">
        <w:rPr>
          <w:rFonts w:ascii="Times New Roman" w:eastAsia="Times New Roman" w:hAnsi="Times New Roman" w:cs="Times New Roman"/>
          <w:kern w:val="0"/>
          <w:lang/>
          <w14:ligatures w14:val="none"/>
        </w:rPr>
        <w:t xml:space="preserve">, </w:t>
      </w:r>
      <w:r w:rsidRPr="000C0C53">
        <w:rPr>
          <w:rFonts w:ascii="Times New Roman" w:eastAsia="Times New Roman" w:hAnsi="Times New Roman" w:cs="Times New Roman"/>
          <w:kern w:val="0"/>
          <w:lang/>
          <w14:ligatures w14:val="none"/>
        </w:rPr>
        <w:tab/>
        <w:t>12(3), 44-58. https://doi.org/10.1016/j.jdm.2014.01.007</w:t>
      </w:r>
    </w:p>
    <w:p w14:paraId="582DEE3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Lemon, K. N., &amp; Verhoef, P. C. (2016). Understanding customer experience throughout the </w:t>
      </w:r>
      <w:r w:rsidRPr="000C0C53">
        <w:rPr>
          <w:rFonts w:ascii="Times New Roman" w:eastAsia="Times New Roman" w:hAnsi="Times New Roman" w:cs="Times New Roman"/>
          <w:kern w:val="0"/>
          <w:lang/>
          <w14:ligatures w14:val="none"/>
        </w:rPr>
        <w:tab/>
        <w:t xml:space="preserve">customer journey. </w:t>
      </w:r>
      <w:r w:rsidRPr="000C0C53">
        <w:rPr>
          <w:rFonts w:ascii="Times New Roman" w:eastAsia="Times New Roman" w:hAnsi="Times New Roman" w:cs="Times New Roman"/>
          <w:i/>
          <w:iCs/>
          <w:kern w:val="0"/>
          <w:lang/>
          <w14:ligatures w14:val="none"/>
        </w:rPr>
        <w:t>Journal of Marketing</w:t>
      </w:r>
      <w:r w:rsidRPr="000C0C53">
        <w:rPr>
          <w:rFonts w:ascii="Times New Roman" w:eastAsia="Times New Roman" w:hAnsi="Times New Roman" w:cs="Times New Roman"/>
          <w:kern w:val="0"/>
          <w:lang/>
          <w14:ligatures w14:val="none"/>
        </w:rPr>
        <w:t xml:space="preserve">, 80(6), 69-96. </w:t>
      </w:r>
      <w:r w:rsidRPr="000C0C53">
        <w:rPr>
          <w:rFonts w:ascii="Times New Roman" w:eastAsia="Times New Roman" w:hAnsi="Times New Roman" w:cs="Times New Roman"/>
          <w:kern w:val="0"/>
          <w:lang/>
          <w14:ligatures w14:val="none"/>
        </w:rPr>
        <w:tab/>
      </w:r>
      <w:hyperlink r:id="rId287" w:history="1">
        <w:r w:rsidRPr="000C0C53">
          <w:rPr>
            <w:rFonts w:ascii="Times New Roman" w:eastAsia="Times New Roman" w:hAnsi="Times New Roman" w:cs="Times New Roman"/>
            <w:kern w:val="0"/>
            <w:lang/>
            <w14:ligatures w14:val="none"/>
          </w:rPr>
          <w:t>https://doi.org/10.1509/jm.15.0420</w:t>
        </w:r>
      </w:hyperlink>
    </w:p>
    <w:p w14:paraId="7518807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Olawale, F., &amp; Garwe, D. (2010). Entrepreneurial ventures and challenges in Nigeria. </w:t>
      </w:r>
      <w:r w:rsidRPr="000C0C53">
        <w:rPr>
          <w:rFonts w:ascii="Times New Roman" w:eastAsia="Times New Roman" w:hAnsi="Times New Roman" w:cs="Times New Roman"/>
          <w:i/>
          <w:iCs/>
          <w:kern w:val="0"/>
          <w:lang/>
          <w14:ligatures w14:val="none"/>
        </w:rPr>
        <w:t xml:space="preserve">African </w:t>
      </w:r>
      <w:r w:rsidRPr="000C0C53">
        <w:rPr>
          <w:rFonts w:ascii="Times New Roman" w:eastAsia="Times New Roman" w:hAnsi="Times New Roman" w:cs="Times New Roman"/>
          <w:i/>
          <w:iCs/>
          <w:kern w:val="0"/>
          <w:lang/>
          <w14:ligatures w14:val="none"/>
        </w:rPr>
        <w:tab/>
        <w:t>Journal of Business Management</w:t>
      </w:r>
      <w:r w:rsidRPr="000C0C53">
        <w:rPr>
          <w:rFonts w:ascii="Times New Roman" w:eastAsia="Times New Roman" w:hAnsi="Times New Roman" w:cs="Times New Roman"/>
          <w:kern w:val="0"/>
          <w:lang/>
          <w14:ligatures w14:val="none"/>
        </w:rPr>
        <w:t xml:space="preserve">, 4(6), 1299-1309.  </w:t>
      </w:r>
      <w:r w:rsidRPr="000C0C53">
        <w:rPr>
          <w:rFonts w:ascii="Times New Roman" w:eastAsia="Times New Roman" w:hAnsi="Times New Roman" w:cs="Times New Roman"/>
          <w:kern w:val="0"/>
          <w:lang/>
          <w14:ligatures w14:val="none"/>
        </w:rPr>
        <w:tab/>
        <w:t>https://doi.org/10.5897/AJBM10.166</w:t>
      </w:r>
    </w:p>
    <w:p w14:paraId="4805D9FB"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Porter, M. E. (1985). Competitive advantage: Creating and sustaining superior performance. </w:t>
      </w:r>
      <w:r w:rsidRPr="000C0C53">
        <w:rPr>
          <w:rFonts w:ascii="Times New Roman" w:eastAsia="Times New Roman" w:hAnsi="Times New Roman" w:cs="Times New Roman"/>
          <w:kern w:val="0"/>
          <w:lang/>
          <w14:ligatures w14:val="none"/>
        </w:rPr>
        <w:tab/>
      </w:r>
      <w:r w:rsidRPr="000C0C53">
        <w:rPr>
          <w:rFonts w:ascii="Times New Roman" w:eastAsia="Times New Roman" w:hAnsi="Times New Roman" w:cs="Times New Roman"/>
          <w:i/>
          <w:iCs/>
          <w:kern w:val="0"/>
          <w:lang/>
          <w14:ligatures w14:val="none"/>
        </w:rPr>
        <w:t>Free Press</w:t>
      </w:r>
      <w:r w:rsidRPr="000C0C53">
        <w:rPr>
          <w:rFonts w:ascii="Times New Roman" w:eastAsia="Times New Roman" w:hAnsi="Times New Roman" w:cs="Times New Roman"/>
          <w:kern w:val="0"/>
          <w:lang/>
          <w14:ligatures w14:val="none"/>
        </w:rPr>
        <w:t>.</w:t>
      </w:r>
    </w:p>
    <w:p w14:paraId="23885038"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Prahalad, C. K., &amp; Hamel, G. (1990). The core competence of the corporation. </w:t>
      </w:r>
      <w:r w:rsidRPr="000C0C53">
        <w:rPr>
          <w:rFonts w:ascii="Times New Roman" w:eastAsia="Times New Roman" w:hAnsi="Times New Roman" w:cs="Times New Roman"/>
          <w:i/>
          <w:iCs/>
          <w:kern w:val="0"/>
          <w:lang/>
          <w14:ligatures w14:val="none"/>
        </w:rPr>
        <w:t xml:space="preserve">Harvard </w:t>
      </w:r>
      <w:r w:rsidRPr="000C0C53">
        <w:rPr>
          <w:rFonts w:ascii="Times New Roman" w:eastAsia="Times New Roman" w:hAnsi="Times New Roman" w:cs="Times New Roman"/>
          <w:i/>
          <w:iCs/>
          <w:kern w:val="0"/>
          <w:lang/>
          <w14:ligatures w14:val="none"/>
        </w:rPr>
        <w:tab/>
        <w:t>Business Review</w:t>
      </w:r>
      <w:r w:rsidRPr="000C0C53">
        <w:rPr>
          <w:rFonts w:ascii="Times New Roman" w:eastAsia="Times New Roman" w:hAnsi="Times New Roman" w:cs="Times New Roman"/>
          <w:kern w:val="0"/>
          <w:lang/>
          <w14:ligatures w14:val="none"/>
        </w:rPr>
        <w:t>, 68(3), 79-91.</w:t>
      </w:r>
    </w:p>
    <w:p w14:paraId="3F7A4C9C"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Schilling, M. A. (2019). Strategic management of technological innovation. 6th ed. </w:t>
      </w:r>
      <w:r w:rsidRPr="000C0C53">
        <w:rPr>
          <w:rFonts w:ascii="Times New Roman" w:eastAsia="Times New Roman" w:hAnsi="Times New Roman" w:cs="Times New Roman"/>
          <w:i/>
          <w:iCs/>
          <w:kern w:val="0"/>
          <w:lang/>
          <w14:ligatures w14:val="none"/>
        </w:rPr>
        <w:t>McGraw-</w:t>
      </w:r>
      <w:r w:rsidRPr="000C0C53">
        <w:rPr>
          <w:rFonts w:ascii="Times New Roman" w:eastAsia="Times New Roman" w:hAnsi="Times New Roman" w:cs="Times New Roman"/>
          <w:i/>
          <w:iCs/>
          <w:kern w:val="0"/>
          <w:lang/>
          <w14:ligatures w14:val="none"/>
        </w:rPr>
        <w:tab/>
        <w:t>Hill</w:t>
      </w:r>
      <w:r w:rsidRPr="000C0C53">
        <w:rPr>
          <w:rFonts w:ascii="Times New Roman" w:eastAsia="Times New Roman" w:hAnsi="Times New Roman" w:cs="Times New Roman"/>
          <w:kern w:val="0"/>
          <w:lang/>
          <w14:ligatures w14:val="none"/>
        </w:rPr>
        <w:t>.</w:t>
      </w:r>
    </w:p>
    <w:p w14:paraId="51D9D576"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t xml:space="preserve">Teece, D. J. (2014). The foundations of innovation management. </w:t>
      </w:r>
      <w:r w:rsidRPr="000C0C53">
        <w:rPr>
          <w:rFonts w:ascii="Times New Roman" w:eastAsia="Times New Roman" w:hAnsi="Times New Roman" w:cs="Times New Roman"/>
          <w:i/>
          <w:iCs/>
          <w:kern w:val="0"/>
          <w:lang/>
          <w14:ligatures w14:val="none"/>
        </w:rPr>
        <w:t xml:space="preserve">Innovation Strategy and </w:t>
      </w:r>
      <w:r w:rsidRPr="000C0C53">
        <w:rPr>
          <w:rFonts w:ascii="Times New Roman" w:eastAsia="Times New Roman" w:hAnsi="Times New Roman" w:cs="Times New Roman"/>
          <w:i/>
          <w:iCs/>
          <w:kern w:val="0"/>
          <w:lang/>
          <w14:ligatures w14:val="none"/>
        </w:rPr>
        <w:tab/>
        <w:t>Management</w:t>
      </w:r>
      <w:r w:rsidRPr="000C0C53">
        <w:rPr>
          <w:rFonts w:ascii="Times New Roman" w:eastAsia="Times New Roman" w:hAnsi="Times New Roman" w:cs="Times New Roman"/>
          <w:kern w:val="0"/>
          <w:lang/>
          <w14:ligatures w14:val="none"/>
        </w:rPr>
        <w:t>, 3(2), 22-35. https://doi.org/10.1016/j.ism.2014.04.015</w:t>
      </w:r>
    </w:p>
    <w:p w14:paraId="2CDEF313" w14:textId="77777777" w:rsidR="000C0C53" w:rsidRPr="000C0C53" w:rsidRDefault="000C0C53" w:rsidP="000C0C53">
      <w:pPr>
        <w:spacing w:before="100" w:beforeAutospacing="1" w:after="100" w:afterAutospacing="1" w:line="240" w:lineRule="auto"/>
        <w:jc w:val="both"/>
        <w:rPr>
          <w:rFonts w:ascii="Times New Roman" w:eastAsia="Times New Roman" w:hAnsi="Times New Roman" w:cs="Times New Roman"/>
          <w:kern w:val="0"/>
          <w:lang/>
          <w14:ligatures w14:val="none"/>
        </w:rPr>
      </w:pPr>
      <w:r w:rsidRPr="000C0C53">
        <w:rPr>
          <w:rFonts w:ascii="Times New Roman" w:eastAsia="Times New Roman" w:hAnsi="Times New Roman" w:cs="Times New Roman"/>
          <w:kern w:val="0"/>
          <w:lang/>
          <w14:ligatures w14:val="none"/>
        </w:rPr>
        <w:lastRenderedPageBreak/>
        <w:t xml:space="preserve">Zengler, T. (2015). Innovation and customer experience. </w:t>
      </w:r>
      <w:r w:rsidRPr="000C0C53">
        <w:rPr>
          <w:rFonts w:ascii="Times New Roman" w:eastAsia="Times New Roman" w:hAnsi="Times New Roman" w:cs="Times New Roman"/>
          <w:i/>
          <w:iCs/>
          <w:kern w:val="0"/>
          <w:lang/>
          <w14:ligatures w14:val="none"/>
        </w:rPr>
        <w:t>Journal of Business Strategy</w:t>
      </w:r>
      <w:r w:rsidRPr="000C0C53">
        <w:rPr>
          <w:rFonts w:ascii="Times New Roman" w:eastAsia="Times New Roman" w:hAnsi="Times New Roman" w:cs="Times New Roman"/>
          <w:kern w:val="0"/>
          <w:lang/>
          <w14:ligatures w14:val="none"/>
        </w:rPr>
        <w:t xml:space="preserve">, 36(5), </w:t>
      </w:r>
      <w:r w:rsidRPr="000C0C53">
        <w:rPr>
          <w:rFonts w:ascii="Times New Roman" w:eastAsia="Times New Roman" w:hAnsi="Times New Roman" w:cs="Times New Roman"/>
          <w:kern w:val="0"/>
          <w:lang/>
          <w14:ligatures w14:val="none"/>
        </w:rPr>
        <w:tab/>
        <w:t>30-36. https://doi.org/10.1108/JBS-05-2015-0051</w:t>
      </w:r>
    </w:p>
    <w:p w14:paraId="10C6479F" w14:textId="77777777" w:rsidR="000C0C53" w:rsidRDefault="000C0C53" w:rsidP="000C0C53">
      <w:pPr>
        <w:spacing w:after="0" w:line="240" w:lineRule="auto"/>
        <w:jc w:val="both"/>
        <w:rPr>
          <w:rFonts w:ascii="Times New Roman" w:hAnsi="Times New Roman" w:cs="Times New Roman"/>
          <w:b/>
          <w:bCs/>
          <w:sz w:val="52"/>
          <w:szCs w:val="52"/>
        </w:rPr>
      </w:pPr>
    </w:p>
    <w:p w14:paraId="61C1E7D8" w14:textId="77777777" w:rsidR="000C0C53" w:rsidRDefault="000C0C53" w:rsidP="00641746">
      <w:pPr>
        <w:spacing w:after="0" w:line="240" w:lineRule="auto"/>
        <w:jc w:val="center"/>
        <w:rPr>
          <w:rFonts w:ascii="Times New Roman" w:hAnsi="Times New Roman" w:cs="Times New Roman"/>
          <w:b/>
          <w:bCs/>
          <w:sz w:val="52"/>
          <w:szCs w:val="52"/>
        </w:rPr>
      </w:pPr>
    </w:p>
    <w:p w14:paraId="739F33DC" w14:textId="77777777" w:rsidR="000C0C53" w:rsidRDefault="000C0C53" w:rsidP="00641746">
      <w:pPr>
        <w:spacing w:after="0" w:line="240" w:lineRule="auto"/>
        <w:jc w:val="center"/>
        <w:rPr>
          <w:rFonts w:ascii="Times New Roman" w:hAnsi="Times New Roman" w:cs="Times New Roman"/>
          <w:b/>
          <w:bCs/>
          <w:sz w:val="52"/>
          <w:szCs w:val="52"/>
        </w:rPr>
      </w:pPr>
    </w:p>
    <w:p w14:paraId="27F08657" w14:textId="77777777" w:rsidR="000C0C53" w:rsidRDefault="000C0C53" w:rsidP="00641746">
      <w:pPr>
        <w:spacing w:after="0" w:line="240" w:lineRule="auto"/>
        <w:jc w:val="center"/>
        <w:rPr>
          <w:rFonts w:ascii="Times New Roman" w:hAnsi="Times New Roman" w:cs="Times New Roman"/>
          <w:b/>
          <w:bCs/>
          <w:sz w:val="52"/>
          <w:szCs w:val="52"/>
        </w:rPr>
      </w:pPr>
    </w:p>
    <w:p w14:paraId="32FEBF99" w14:textId="77777777" w:rsidR="000C0C53" w:rsidRDefault="000C0C53" w:rsidP="00641746">
      <w:pPr>
        <w:spacing w:after="0" w:line="240" w:lineRule="auto"/>
        <w:jc w:val="center"/>
        <w:rPr>
          <w:rFonts w:ascii="Times New Roman" w:hAnsi="Times New Roman" w:cs="Times New Roman"/>
          <w:b/>
          <w:bCs/>
          <w:sz w:val="52"/>
          <w:szCs w:val="52"/>
        </w:rPr>
      </w:pPr>
    </w:p>
    <w:p w14:paraId="621540C7" w14:textId="77777777" w:rsidR="000C0C53" w:rsidRDefault="000C0C53" w:rsidP="00641746">
      <w:pPr>
        <w:spacing w:after="0" w:line="240" w:lineRule="auto"/>
        <w:jc w:val="center"/>
        <w:rPr>
          <w:rFonts w:ascii="Times New Roman" w:hAnsi="Times New Roman" w:cs="Times New Roman"/>
          <w:b/>
          <w:bCs/>
          <w:sz w:val="52"/>
          <w:szCs w:val="52"/>
        </w:rPr>
      </w:pPr>
    </w:p>
    <w:p w14:paraId="46A9F0BE" w14:textId="77777777" w:rsidR="000C0C53" w:rsidRDefault="000C0C53" w:rsidP="00641746">
      <w:pPr>
        <w:spacing w:after="0" w:line="240" w:lineRule="auto"/>
        <w:jc w:val="center"/>
        <w:rPr>
          <w:rFonts w:ascii="Times New Roman" w:hAnsi="Times New Roman" w:cs="Times New Roman"/>
          <w:b/>
          <w:bCs/>
          <w:sz w:val="52"/>
          <w:szCs w:val="52"/>
        </w:rPr>
      </w:pPr>
    </w:p>
    <w:p w14:paraId="1B6D7BCE" w14:textId="77777777" w:rsidR="000C0C53" w:rsidRDefault="000C0C53" w:rsidP="00641746">
      <w:pPr>
        <w:spacing w:after="0" w:line="240" w:lineRule="auto"/>
        <w:jc w:val="center"/>
        <w:rPr>
          <w:rFonts w:ascii="Times New Roman" w:hAnsi="Times New Roman" w:cs="Times New Roman"/>
          <w:b/>
          <w:bCs/>
          <w:sz w:val="52"/>
          <w:szCs w:val="52"/>
        </w:rPr>
      </w:pPr>
    </w:p>
    <w:p w14:paraId="18094170" w14:textId="77777777" w:rsidR="000C0C53" w:rsidRDefault="000C0C53" w:rsidP="00641746">
      <w:pPr>
        <w:spacing w:after="0" w:line="240" w:lineRule="auto"/>
        <w:jc w:val="center"/>
        <w:rPr>
          <w:rFonts w:ascii="Times New Roman" w:hAnsi="Times New Roman" w:cs="Times New Roman"/>
          <w:b/>
          <w:bCs/>
          <w:sz w:val="52"/>
          <w:szCs w:val="52"/>
        </w:rPr>
      </w:pPr>
    </w:p>
    <w:p w14:paraId="0C5D64CC" w14:textId="77777777" w:rsidR="000C0C53" w:rsidRDefault="000C0C53" w:rsidP="00641746">
      <w:pPr>
        <w:spacing w:after="0" w:line="240" w:lineRule="auto"/>
        <w:jc w:val="center"/>
        <w:rPr>
          <w:rFonts w:ascii="Times New Roman" w:hAnsi="Times New Roman" w:cs="Times New Roman"/>
          <w:b/>
          <w:bCs/>
          <w:sz w:val="52"/>
          <w:szCs w:val="52"/>
        </w:rPr>
      </w:pPr>
    </w:p>
    <w:p w14:paraId="2D1DE030" w14:textId="77777777" w:rsidR="000C0C53" w:rsidRDefault="000C0C53" w:rsidP="00641746">
      <w:pPr>
        <w:spacing w:after="0" w:line="240" w:lineRule="auto"/>
        <w:jc w:val="center"/>
        <w:rPr>
          <w:rFonts w:ascii="Times New Roman" w:hAnsi="Times New Roman" w:cs="Times New Roman"/>
          <w:b/>
          <w:bCs/>
          <w:sz w:val="52"/>
          <w:szCs w:val="52"/>
        </w:rPr>
      </w:pPr>
    </w:p>
    <w:p w14:paraId="03862F1C" w14:textId="77777777" w:rsidR="000C0C53" w:rsidRDefault="000C0C53" w:rsidP="00641746">
      <w:pPr>
        <w:spacing w:after="0" w:line="240" w:lineRule="auto"/>
        <w:jc w:val="center"/>
        <w:rPr>
          <w:rFonts w:ascii="Times New Roman" w:hAnsi="Times New Roman" w:cs="Times New Roman"/>
          <w:b/>
          <w:bCs/>
          <w:sz w:val="52"/>
          <w:szCs w:val="52"/>
        </w:rPr>
      </w:pPr>
    </w:p>
    <w:p w14:paraId="59014237" w14:textId="77777777" w:rsidR="000C0C53" w:rsidRDefault="000C0C53" w:rsidP="00641746">
      <w:pPr>
        <w:spacing w:after="0" w:line="240" w:lineRule="auto"/>
        <w:jc w:val="center"/>
        <w:rPr>
          <w:rFonts w:ascii="Times New Roman" w:hAnsi="Times New Roman" w:cs="Times New Roman"/>
          <w:b/>
          <w:bCs/>
          <w:sz w:val="52"/>
          <w:szCs w:val="52"/>
        </w:rPr>
      </w:pPr>
    </w:p>
    <w:p w14:paraId="24159303" w14:textId="77777777" w:rsidR="000C0C53" w:rsidRDefault="000C0C53" w:rsidP="00641746">
      <w:pPr>
        <w:spacing w:after="0" w:line="240" w:lineRule="auto"/>
        <w:jc w:val="center"/>
        <w:rPr>
          <w:rFonts w:ascii="Times New Roman" w:hAnsi="Times New Roman" w:cs="Times New Roman"/>
          <w:b/>
          <w:bCs/>
          <w:sz w:val="52"/>
          <w:szCs w:val="52"/>
        </w:rPr>
      </w:pPr>
    </w:p>
    <w:p w14:paraId="52BCBD12" w14:textId="77777777" w:rsidR="000C0C53" w:rsidRDefault="000C0C53" w:rsidP="00641746">
      <w:pPr>
        <w:spacing w:after="0" w:line="240" w:lineRule="auto"/>
        <w:jc w:val="center"/>
        <w:rPr>
          <w:rFonts w:ascii="Times New Roman" w:hAnsi="Times New Roman" w:cs="Times New Roman"/>
          <w:b/>
          <w:bCs/>
          <w:sz w:val="52"/>
          <w:szCs w:val="52"/>
        </w:rPr>
      </w:pPr>
    </w:p>
    <w:p w14:paraId="0FE9546A" w14:textId="77777777" w:rsidR="000C0C53" w:rsidRDefault="000C0C53" w:rsidP="00641746">
      <w:pPr>
        <w:spacing w:after="0" w:line="240" w:lineRule="auto"/>
        <w:jc w:val="center"/>
        <w:rPr>
          <w:rFonts w:ascii="Times New Roman" w:hAnsi="Times New Roman" w:cs="Times New Roman"/>
          <w:b/>
          <w:bCs/>
          <w:sz w:val="52"/>
          <w:szCs w:val="52"/>
        </w:rPr>
      </w:pPr>
    </w:p>
    <w:p w14:paraId="1E853A42" w14:textId="77777777" w:rsidR="000C0C53" w:rsidRDefault="000C0C53" w:rsidP="00641746">
      <w:pPr>
        <w:spacing w:after="0" w:line="240" w:lineRule="auto"/>
        <w:jc w:val="center"/>
        <w:rPr>
          <w:rFonts w:ascii="Times New Roman" w:hAnsi="Times New Roman" w:cs="Times New Roman"/>
          <w:b/>
          <w:bCs/>
          <w:sz w:val="52"/>
          <w:szCs w:val="52"/>
        </w:rPr>
      </w:pPr>
    </w:p>
    <w:p w14:paraId="66EFC460" w14:textId="77777777" w:rsidR="000C0C53" w:rsidRDefault="000C0C53" w:rsidP="00641746">
      <w:pPr>
        <w:spacing w:after="0" w:line="240" w:lineRule="auto"/>
        <w:jc w:val="center"/>
        <w:rPr>
          <w:rFonts w:ascii="Times New Roman" w:hAnsi="Times New Roman" w:cs="Times New Roman"/>
          <w:b/>
          <w:bCs/>
          <w:sz w:val="52"/>
          <w:szCs w:val="52"/>
        </w:rPr>
      </w:pPr>
    </w:p>
    <w:p w14:paraId="16C0AAE8" w14:textId="77777777" w:rsidR="000C0C53" w:rsidRDefault="000C0C53" w:rsidP="00641746">
      <w:pPr>
        <w:spacing w:after="0" w:line="240" w:lineRule="auto"/>
        <w:jc w:val="center"/>
        <w:rPr>
          <w:rFonts w:ascii="Times New Roman" w:hAnsi="Times New Roman" w:cs="Times New Roman"/>
          <w:b/>
          <w:bCs/>
          <w:sz w:val="52"/>
          <w:szCs w:val="52"/>
        </w:rPr>
      </w:pPr>
    </w:p>
    <w:p w14:paraId="7897509C" w14:textId="77777777" w:rsidR="000C0C53" w:rsidRDefault="000C0C53" w:rsidP="00641746">
      <w:pPr>
        <w:spacing w:after="0" w:line="240" w:lineRule="auto"/>
        <w:jc w:val="center"/>
        <w:rPr>
          <w:rFonts w:ascii="Times New Roman" w:hAnsi="Times New Roman" w:cs="Times New Roman"/>
          <w:b/>
          <w:bCs/>
          <w:sz w:val="52"/>
          <w:szCs w:val="52"/>
        </w:rPr>
      </w:pPr>
    </w:p>
    <w:p w14:paraId="0F79AEA9" w14:textId="78693EB3" w:rsidR="00641746" w:rsidRPr="00641746" w:rsidRDefault="008D3090" w:rsidP="00641746">
      <w:pPr>
        <w:spacing w:after="0" w:line="240" w:lineRule="auto"/>
        <w:jc w:val="center"/>
        <w:rPr>
          <w:rFonts w:ascii="Times New Roman" w:hAnsi="Times New Roman" w:cs="Times New Roman"/>
          <w:b/>
          <w:bCs/>
          <w:sz w:val="52"/>
          <w:szCs w:val="52"/>
        </w:rPr>
      </w:pPr>
      <w:r w:rsidRPr="00641746">
        <w:rPr>
          <w:rFonts w:ascii="Times New Roman" w:hAnsi="Times New Roman" w:cs="Times New Roman"/>
          <w:b/>
          <w:bCs/>
          <w:sz w:val="52"/>
          <w:szCs w:val="52"/>
        </w:rPr>
        <w:lastRenderedPageBreak/>
        <w:t xml:space="preserve">PART </w:t>
      </w:r>
      <w:r w:rsidR="00641746" w:rsidRPr="00641746">
        <w:rPr>
          <w:rFonts w:ascii="Times New Roman" w:hAnsi="Times New Roman" w:cs="Times New Roman"/>
          <w:b/>
          <w:bCs/>
          <w:sz w:val="52"/>
          <w:szCs w:val="52"/>
        </w:rPr>
        <w:t>FIVE</w:t>
      </w:r>
    </w:p>
    <w:p w14:paraId="20CB2B4F" w14:textId="2CC15229" w:rsidR="008D3090" w:rsidRPr="00641746" w:rsidRDefault="008D3090" w:rsidP="00641746">
      <w:pPr>
        <w:spacing w:after="0" w:line="240" w:lineRule="auto"/>
        <w:jc w:val="center"/>
        <w:rPr>
          <w:rFonts w:ascii="Times New Roman" w:hAnsi="Times New Roman" w:cs="Times New Roman"/>
          <w:b/>
          <w:bCs/>
          <w:sz w:val="52"/>
          <w:szCs w:val="52"/>
        </w:rPr>
      </w:pPr>
      <w:r w:rsidRPr="00641746">
        <w:rPr>
          <w:rFonts w:ascii="Times New Roman" w:hAnsi="Times New Roman" w:cs="Times New Roman"/>
          <w:b/>
          <w:bCs/>
          <w:sz w:val="52"/>
          <w:szCs w:val="52"/>
        </w:rPr>
        <w:t>MARKETING</w:t>
      </w:r>
    </w:p>
    <w:p w14:paraId="48FC907B" w14:textId="77777777" w:rsidR="008D3090" w:rsidRDefault="008D3090" w:rsidP="00A60822">
      <w:pPr>
        <w:spacing w:after="0" w:line="240" w:lineRule="auto"/>
        <w:jc w:val="both"/>
        <w:rPr>
          <w:rFonts w:ascii="Times New Roman" w:hAnsi="Times New Roman" w:cs="Times New Roman"/>
          <w:b/>
          <w:bCs/>
          <w:sz w:val="36"/>
          <w:szCs w:val="36"/>
        </w:rPr>
      </w:pPr>
    </w:p>
    <w:p w14:paraId="50E4A62B" w14:textId="77777777" w:rsidR="008D3090" w:rsidRDefault="008D3090" w:rsidP="00A60822">
      <w:pPr>
        <w:spacing w:after="0" w:line="240" w:lineRule="auto"/>
        <w:jc w:val="both"/>
        <w:rPr>
          <w:rFonts w:ascii="Times New Roman" w:hAnsi="Times New Roman" w:cs="Times New Roman"/>
          <w:b/>
          <w:bCs/>
          <w:sz w:val="36"/>
          <w:szCs w:val="36"/>
        </w:rPr>
      </w:pPr>
    </w:p>
    <w:p w14:paraId="79C47C22" w14:textId="77777777" w:rsidR="008D3090" w:rsidRDefault="008D3090" w:rsidP="00A60822">
      <w:pPr>
        <w:spacing w:after="0" w:line="240" w:lineRule="auto"/>
        <w:jc w:val="both"/>
        <w:rPr>
          <w:rFonts w:ascii="Times New Roman" w:hAnsi="Times New Roman" w:cs="Times New Roman"/>
          <w:b/>
          <w:bCs/>
          <w:sz w:val="36"/>
          <w:szCs w:val="36"/>
        </w:rPr>
      </w:pPr>
    </w:p>
    <w:p w14:paraId="4C085082" w14:textId="77777777" w:rsidR="008D3090" w:rsidRDefault="008D3090" w:rsidP="00A60822">
      <w:pPr>
        <w:spacing w:after="0" w:line="240" w:lineRule="auto"/>
        <w:jc w:val="both"/>
        <w:rPr>
          <w:rFonts w:ascii="Times New Roman" w:hAnsi="Times New Roman" w:cs="Times New Roman"/>
          <w:b/>
          <w:bCs/>
          <w:sz w:val="36"/>
          <w:szCs w:val="36"/>
        </w:rPr>
      </w:pPr>
    </w:p>
    <w:p w14:paraId="4A3F2C1D" w14:textId="77777777" w:rsidR="008D3090" w:rsidRDefault="008D3090" w:rsidP="00A60822">
      <w:pPr>
        <w:spacing w:after="0" w:line="240" w:lineRule="auto"/>
        <w:jc w:val="both"/>
        <w:rPr>
          <w:rFonts w:ascii="Times New Roman" w:hAnsi="Times New Roman" w:cs="Times New Roman"/>
          <w:b/>
          <w:bCs/>
          <w:sz w:val="36"/>
          <w:szCs w:val="36"/>
        </w:rPr>
      </w:pPr>
    </w:p>
    <w:p w14:paraId="4303D1B7" w14:textId="77777777" w:rsidR="008D3090" w:rsidRDefault="008D3090" w:rsidP="00A60822">
      <w:pPr>
        <w:spacing w:after="0" w:line="240" w:lineRule="auto"/>
        <w:jc w:val="both"/>
        <w:rPr>
          <w:rFonts w:ascii="Times New Roman" w:hAnsi="Times New Roman" w:cs="Times New Roman"/>
          <w:b/>
          <w:bCs/>
          <w:sz w:val="36"/>
          <w:szCs w:val="36"/>
        </w:rPr>
      </w:pPr>
    </w:p>
    <w:p w14:paraId="53870A26" w14:textId="77777777" w:rsidR="008D3090" w:rsidRDefault="008D3090" w:rsidP="00A60822">
      <w:pPr>
        <w:spacing w:after="0" w:line="240" w:lineRule="auto"/>
        <w:jc w:val="both"/>
        <w:rPr>
          <w:rFonts w:ascii="Times New Roman" w:hAnsi="Times New Roman" w:cs="Times New Roman"/>
          <w:b/>
          <w:bCs/>
          <w:sz w:val="36"/>
          <w:szCs w:val="36"/>
        </w:rPr>
      </w:pPr>
    </w:p>
    <w:p w14:paraId="6DBC3252" w14:textId="77777777" w:rsidR="008D3090" w:rsidRDefault="008D3090" w:rsidP="00A60822">
      <w:pPr>
        <w:spacing w:after="0" w:line="240" w:lineRule="auto"/>
        <w:jc w:val="both"/>
        <w:rPr>
          <w:rFonts w:ascii="Times New Roman" w:hAnsi="Times New Roman" w:cs="Times New Roman"/>
          <w:b/>
          <w:bCs/>
          <w:sz w:val="36"/>
          <w:szCs w:val="36"/>
        </w:rPr>
      </w:pPr>
    </w:p>
    <w:p w14:paraId="184DD268" w14:textId="77777777" w:rsidR="008D3090" w:rsidRDefault="008D3090" w:rsidP="00A60822">
      <w:pPr>
        <w:spacing w:after="0" w:line="240" w:lineRule="auto"/>
        <w:jc w:val="both"/>
        <w:rPr>
          <w:rFonts w:ascii="Times New Roman" w:hAnsi="Times New Roman" w:cs="Times New Roman"/>
          <w:b/>
          <w:bCs/>
          <w:sz w:val="36"/>
          <w:szCs w:val="36"/>
        </w:rPr>
      </w:pPr>
    </w:p>
    <w:p w14:paraId="61791891" w14:textId="77777777" w:rsidR="008D3090" w:rsidRDefault="008D3090" w:rsidP="00A60822">
      <w:pPr>
        <w:spacing w:after="0" w:line="240" w:lineRule="auto"/>
        <w:jc w:val="both"/>
        <w:rPr>
          <w:rFonts w:ascii="Times New Roman" w:hAnsi="Times New Roman" w:cs="Times New Roman"/>
          <w:b/>
          <w:bCs/>
          <w:sz w:val="36"/>
          <w:szCs w:val="36"/>
        </w:rPr>
      </w:pPr>
    </w:p>
    <w:p w14:paraId="6F90F454" w14:textId="77777777" w:rsidR="008D3090" w:rsidRDefault="008D3090" w:rsidP="00A60822">
      <w:pPr>
        <w:spacing w:after="0" w:line="240" w:lineRule="auto"/>
        <w:jc w:val="both"/>
        <w:rPr>
          <w:rFonts w:ascii="Times New Roman" w:hAnsi="Times New Roman" w:cs="Times New Roman"/>
          <w:b/>
          <w:bCs/>
          <w:sz w:val="36"/>
          <w:szCs w:val="36"/>
        </w:rPr>
      </w:pPr>
    </w:p>
    <w:p w14:paraId="682CFC47" w14:textId="77777777" w:rsidR="008D3090" w:rsidRDefault="008D3090" w:rsidP="00A60822">
      <w:pPr>
        <w:spacing w:after="0" w:line="240" w:lineRule="auto"/>
        <w:jc w:val="both"/>
        <w:rPr>
          <w:rFonts w:ascii="Times New Roman" w:hAnsi="Times New Roman" w:cs="Times New Roman"/>
          <w:b/>
          <w:bCs/>
          <w:sz w:val="36"/>
          <w:szCs w:val="36"/>
        </w:rPr>
      </w:pPr>
    </w:p>
    <w:p w14:paraId="79C0C229" w14:textId="77777777" w:rsidR="008D3090" w:rsidRDefault="008D3090" w:rsidP="00A60822">
      <w:pPr>
        <w:spacing w:after="0" w:line="240" w:lineRule="auto"/>
        <w:jc w:val="both"/>
        <w:rPr>
          <w:rFonts w:ascii="Times New Roman" w:hAnsi="Times New Roman" w:cs="Times New Roman"/>
          <w:b/>
          <w:bCs/>
          <w:sz w:val="36"/>
          <w:szCs w:val="36"/>
        </w:rPr>
      </w:pPr>
    </w:p>
    <w:p w14:paraId="6C40C8D5" w14:textId="77777777" w:rsidR="008D3090" w:rsidRDefault="008D3090" w:rsidP="00A60822">
      <w:pPr>
        <w:spacing w:after="0" w:line="240" w:lineRule="auto"/>
        <w:jc w:val="both"/>
        <w:rPr>
          <w:rFonts w:ascii="Times New Roman" w:hAnsi="Times New Roman" w:cs="Times New Roman"/>
          <w:b/>
          <w:bCs/>
          <w:sz w:val="36"/>
          <w:szCs w:val="36"/>
        </w:rPr>
      </w:pPr>
    </w:p>
    <w:p w14:paraId="2CFBADFC" w14:textId="77777777" w:rsidR="008D3090" w:rsidRDefault="008D3090" w:rsidP="00A60822">
      <w:pPr>
        <w:spacing w:after="0" w:line="240" w:lineRule="auto"/>
        <w:jc w:val="both"/>
        <w:rPr>
          <w:rFonts w:ascii="Times New Roman" w:hAnsi="Times New Roman" w:cs="Times New Roman"/>
          <w:b/>
          <w:bCs/>
          <w:sz w:val="36"/>
          <w:szCs w:val="36"/>
        </w:rPr>
      </w:pPr>
    </w:p>
    <w:p w14:paraId="313ABB7E" w14:textId="77777777" w:rsidR="008D3090" w:rsidRDefault="008D3090" w:rsidP="00A60822">
      <w:pPr>
        <w:spacing w:after="0" w:line="240" w:lineRule="auto"/>
        <w:jc w:val="both"/>
        <w:rPr>
          <w:rFonts w:ascii="Times New Roman" w:hAnsi="Times New Roman" w:cs="Times New Roman"/>
          <w:b/>
          <w:bCs/>
          <w:sz w:val="36"/>
          <w:szCs w:val="36"/>
        </w:rPr>
      </w:pPr>
    </w:p>
    <w:p w14:paraId="346AF144" w14:textId="77777777" w:rsidR="008D3090" w:rsidRDefault="008D3090" w:rsidP="00A60822">
      <w:pPr>
        <w:spacing w:after="0" w:line="240" w:lineRule="auto"/>
        <w:jc w:val="both"/>
        <w:rPr>
          <w:rFonts w:ascii="Times New Roman" w:hAnsi="Times New Roman" w:cs="Times New Roman"/>
          <w:b/>
          <w:bCs/>
          <w:sz w:val="36"/>
          <w:szCs w:val="36"/>
        </w:rPr>
      </w:pPr>
    </w:p>
    <w:p w14:paraId="49B81778" w14:textId="77777777" w:rsidR="008D3090" w:rsidRDefault="008D3090" w:rsidP="00A60822">
      <w:pPr>
        <w:spacing w:after="0" w:line="240" w:lineRule="auto"/>
        <w:jc w:val="both"/>
        <w:rPr>
          <w:rFonts w:ascii="Times New Roman" w:hAnsi="Times New Roman" w:cs="Times New Roman"/>
          <w:b/>
          <w:bCs/>
          <w:sz w:val="36"/>
          <w:szCs w:val="36"/>
        </w:rPr>
      </w:pPr>
    </w:p>
    <w:p w14:paraId="7C0F4885" w14:textId="77777777" w:rsidR="008D3090" w:rsidRDefault="008D3090" w:rsidP="00A60822">
      <w:pPr>
        <w:spacing w:after="0" w:line="240" w:lineRule="auto"/>
        <w:jc w:val="both"/>
        <w:rPr>
          <w:rFonts w:ascii="Times New Roman" w:hAnsi="Times New Roman" w:cs="Times New Roman"/>
          <w:b/>
          <w:bCs/>
          <w:sz w:val="36"/>
          <w:szCs w:val="36"/>
        </w:rPr>
      </w:pPr>
    </w:p>
    <w:p w14:paraId="401FEED2" w14:textId="77777777" w:rsidR="008D3090" w:rsidRDefault="008D3090" w:rsidP="00A60822">
      <w:pPr>
        <w:spacing w:after="0" w:line="240" w:lineRule="auto"/>
        <w:jc w:val="both"/>
        <w:rPr>
          <w:rFonts w:ascii="Times New Roman" w:hAnsi="Times New Roman" w:cs="Times New Roman"/>
          <w:b/>
          <w:bCs/>
          <w:sz w:val="36"/>
          <w:szCs w:val="36"/>
        </w:rPr>
      </w:pPr>
    </w:p>
    <w:p w14:paraId="0D55DDB2" w14:textId="77777777" w:rsidR="008D3090" w:rsidRDefault="008D3090" w:rsidP="00A60822">
      <w:pPr>
        <w:spacing w:after="0" w:line="240" w:lineRule="auto"/>
        <w:jc w:val="both"/>
        <w:rPr>
          <w:rFonts w:ascii="Times New Roman" w:hAnsi="Times New Roman" w:cs="Times New Roman"/>
          <w:b/>
          <w:bCs/>
          <w:sz w:val="36"/>
          <w:szCs w:val="36"/>
        </w:rPr>
      </w:pPr>
    </w:p>
    <w:p w14:paraId="126CC226" w14:textId="77777777" w:rsidR="008D3090" w:rsidRDefault="008D3090" w:rsidP="00A60822">
      <w:pPr>
        <w:spacing w:after="0" w:line="240" w:lineRule="auto"/>
        <w:jc w:val="both"/>
        <w:rPr>
          <w:rFonts w:ascii="Times New Roman" w:hAnsi="Times New Roman" w:cs="Times New Roman"/>
          <w:b/>
          <w:bCs/>
          <w:sz w:val="36"/>
          <w:szCs w:val="36"/>
        </w:rPr>
      </w:pPr>
    </w:p>
    <w:p w14:paraId="2AC4B174" w14:textId="77777777" w:rsidR="008D3090" w:rsidRDefault="008D3090" w:rsidP="00A60822">
      <w:pPr>
        <w:spacing w:after="0" w:line="240" w:lineRule="auto"/>
        <w:jc w:val="both"/>
        <w:rPr>
          <w:rFonts w:ascii="Times New Roman" w:hAnsi="Times New Roman" w:cs="Times New Roman"/>
          <w:b/>
          <w:bCs/>
          <w:sz w:val="36"/>
          <w:szCs w:val="36"/>
        </w:rPr>
      </w:pPr>
    </w:p>
    <w:p w14:paraId="48F27A8D" w14:textId="77777777" w:rsidR="008D3090" w:rsidRDefault="008D3090" w:rsidP="00A60822">
      <w:pPr>
        <w:spacing w:after="0" w:line="240" w:lineRule="auto"/>
        <w:jc w:val="both"/>
        <w:rPr>
          <w:rFonts w:ascii="Times New Roman" w:hAnsi="Times New Roman" w:cs="Times New Roman"/>
          <w:b/>
          <w:bCs/>
          <w:sz w:val="36"/>
          <w:szCs w:val="36"/>
        </w:rPr>
      </w:pPr>
    </w:p>
    <w:p w14:paraId="5006888A" w14:textId="77777777" w:rsidR="008D3090" w:rsidRDefault="008D3090" w:rsidP="00A60822">
      <w:pPr>
        <w:spacing w:after="0" w:line="240" w:lineRule="auto"/>
        <w:jc w:val="both"/>
        <w:rPr>
          <w:rFonts w:ascii="Times New Roman" w:hAnsi="Times New Roman" w:cs="Times New Roman"/>
          <w:b/>
          <w:bCs/>
          <w:sz w:val="36"/>
          <w:szCs w:val="36"/>
        </w:rPr>
      </w:pPr>
    </w:p>
    <w:p w14:paraId="0FC4F734" w14:textId="77777777" w:rsidR="008D3090" w:rsidRDefault="008D3090" w:rsidP="00A60822">
      <w:pPr>
        <w:spacing w:after="0" w:line="240" w:lineRule="auto"/>
        <w:jc w:val="both"/>
        <w:rPr>
          <w:rFonts w:ascii="Times New Roman" w:hAnsi="Times New Roman" w:cs="Times New Roman"/>
          <w:b/>
          <w:bCs/>
          <w:sz w:val="36"/>
          <w:szCs w:val="36"/>
        </w:rPr>
      </w:pPr>
    </w:p>
    <w:p w14:paraId="0F927039" w14:textId="77777777" w:rsidR="008D3090" w:rsidRDefault="008D3090" w:rsidP="00A60822">
      <w:pPr>
        <w:spacing w:after="0" w:line="240" w:lineRule="auto"/>
        <w:jc w:val="both"/>
        <w:rPr>
          <w:rFonts w:ascii="Times New Roman" w:hAnsi="Times New Roman" w:cs="Times New Roman"/>
          <w:b/>
          <w:bCs/>
          <w:sz w:val="36"/>
          <w:szCs w:val="36"/>
        </w:rPr>
      </w:pPr>
    </w:p>
    <w:p w14:paraId="003ECC06" w14:textId="77777777" w:rsidR="008D3090" w:rsidRDefault="008D3090" w:rsidP="00A60822">
      <w:pPr>
        <w:spacing w:after="0" w:line="240" w:lineRule="auto"/>
        <w:jc w:val="both"/>
        <w:rPr>
          <w:rFonts w:ascii="Times New Roman" w:hAnsi="Times New Roman" w:cs="Times New Roman"/>
          <w:b/>
          <w:bCs/>
          <w:sz w:val="36"/>
          <w:szCs w:val="36"/>
        </w:rPr>
      </w:pPr>
    </w:p>
    <w:p w14:paraId="380CA4CE" w14:textId="77777777" w:rsidR="008D3090" w:rsidRDefault="008D3090" w:rsidP="00A60822">
      <w:pPr>
        <w:spacing w:after="0" w:line="240" w:lineRule="auto"/>
        <w:jc w:val="both"/>
        <w:rPr>
          <w:rFonts w:ascii="Times New Roman" w:hAnsi="Times New Roman" w:cs="Times New Roman"/>
          <w:b/>
          <w:bCs/>
          <w:sz w:val="36"/>
          <w:szCs w:val="36"/>
        </w:rPr>
      </w:pPr>
    </w:p>
    <w:p w14:paraId="1B38539D" w14:textId="424C1BAF" w:rsidR="008D3090" w:rsidRPr="008D3090" w:rsidRDefault="008D3090" w:rsidP="008D3090">
      <w:pPr>
        <w:widowControl w:val="0"/>
        <w:autoSpaceDE w:val="0"/>
        <w:autoSpaceDN w:val="0"/>
        <w:spacing w:before="70" w:after="0" w:line="276" w:lineRule="auto"/>
        <w:ind w:right="14"/>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lastRenderedPageBreak/>
        <w:t>DEMAND</w:t>
      </w:r>
      <w:r w:rsidRPr="008D3090">
        <w:rPr>
          <w:rFonts w:ascii="Times New Roman" w:eastAsia="Times New Roman" w:hAnsi="Times New Roman" w:cs="Times New Roman"/>
          <w:b/>
          <w:bCs/>
          <w:spacing w:val="-12"/>
          <w:kern w:val="0"/>
          <w14:ligatures w14:val="none"/>
        </w:rPr>
        <w:t xml:space="preserve"> </w:t>
      </w:r>
      <w:r w:rsidRPr="008D3090">
        <w:rPr>
          <w:rFonts w:ascii="Times New Roman" w:eastAsia="Times New Roman" w:hAnsi="Times New Roman" w:cs="Times New Roman"/>
          <w:b/>
          <w:bCs/>
          <w:kern w:val="0"/>
          <w14:ligatures w14:val="none"/>
        </w:rPr>
        <w:t>FORECASTING</w:t>
      </w:r>
      <w:r w:rsidRPr="008D3090">
        <w:rPr>
          <w:rFonts w:ascii="Times New Roman" w:eastAsia="Times New Roman" w:hAnsi="Times New Roman" w:cs="Times New Roman"/>
          <w:b/>
          <w:bCs/>
          <w:spacing w:val="-12"/>
          <w:kern w:val="0"/>
          <w14:ligatures w14:val="none"/>
        </w:rPr>
        <w:t xml:space="preserve"> </w:t>
      </w:r>
      <w:r w:rsidRPr="008D3090">
        <w:rPr>
          <w:rFonts w:ascii="Times New Roman" w:eastAsia="Times New Roman" w:hAnsi="Times New Roman" w:cs="Times New Roman"/>
          <w:b/>
          <w:bCs/>
          <w:kern w:val="0"/>
          <w14:ligatures w14:val="none"/>
        </w:rPr>
        <w:t>AND</w:t>
      </w:r>
      <w:r w:rsidRPr="008D3090">
        <w:rPr>
          <w:rFonts w:ascii="Times New Roman" w:eastAsia="Times New Roman" w:hAnsi="Times New Roman" w:cs="Times New Roman"/>
          <w:b/>
          <w:bCs/>
          <w:spacing w:val="-12"/>
          <w:kern w:val="0"/>
          <w14:ligatures w14:val="none"/>
        </w:rPr>
        <w:t xml:space="preserve"> </w:t>
      </w:r>
      <w:r w:rsidRPr="008D3090">
        <w:rPr>
          <w:rFonts w:ascii="Times New Roman" w:eastAsia="Times New Roman" w:hAnsi="Times New Roman" w:cs="Times New Roman"/>
          <w:b/>
          <w:bCs/>
          <w:kern w:val="0"/>
          <w14:ligatures w14:val="none"/>
        </w:rPr>
        <w:t>INVENTORY</w:t>
      </w:r>
      <w:r w:rsidRPr="008D3090">
        <w:rPr>
          <w:rFonts w:ascii="Times New Roman" w:eastAsia="Times New Roman" w:hAnsi="Times New Roman" w:cs="Times New Roman"/>
          <w:b/>
          <w:bCs/>
          <w:spacing w:val="-12"/>
          <w:kern w:val="0"/>
          <w14:ligatures w14:val="none"/>
        </w:rPr>
        <w:t xml:space="preserve"> </w:t>
      </w:r>
      <w:r w:rsidRPr="008D3090">
        <w:rPr>
          <w:rFonts w:ascii="Times New Roman" w:eastAsia="Times New Roman" w:hAnsi="Times New Roman" w:cs="Times New Roman"/>
          <w:b/>
          <w:bCs/>
          <w:kern w:val="0"/>
          <w14:ligatures w14:val="none"/>
        </w:rPr>
        <w:t>OPTIMIZATION</w:t>
      </w:r>
      <w:r w:rsidRPr="008D3090">
        <w:rPr>
          <w:rFonts w:ascii="Times New Roman" w:eastAsia="Times New Roman" w:hAnsi="Times New Roman" w:cs="Times New Roman"/>
          <w:b/>
          <w:bCs/>
          <w:spacing w:val="-12"/>
          <w:kern w:val="0"/>
          <w14:ligatures w14:val="none"/>
        </w:rPr>
        <w:t xml:space="preserve"> </w:t>
      </w:r>
      <w:r w:rsidRPr="008D3090">
        <w:rPr>
          <w:rFonts w:ascii="Times New Roman" w:eastAsia="Times New Roman" w:hAnsi="Times New Roman" w:cs="Times New Roman"/>
          <w:b/>
          <w:bCs/>
          <w:kern w:val="0"/>
          <w14:ligatures w14:val="none"/>
        </w:rPr>
        <w:t>OF</w:t>
      </w:r>
      <w:r w:rsidRPr="008D3090">
        <w:rPr>
          <w:rFonts w:ascii="Times New Roman" w:eastAsia="Times New Roman" w:hAnsi="Times New Roman" w:cs="Times New Roman"/>
          <w:b/>
          <w:bCs/>
          <w:spacing w:val="-12"/>
          <w:kern w:val="0"/>
          <w14:ligatures w14:val="none"/>
        </w:rPr>
        <w:t xml:space="preserve"> </w:t>
      </w:r>
      <w:r w:rsidRPr="008D3090">
        <w:rPr>
          <w:rFonts w:ascii="Times New Roman" w:eastAsia="Times New Roman" w:hAnsi="Times New Roman" w:cs="Times New Roman"/>
          <w:b/>
          <w:bCs/>
          <w:kern w:val="0"/>
          <w14:ligatures w14:val="none"/>
        </w:rPr>
        <w:t>BOTTLED WATER FIRMS IN PORT HARCOURT, RIVERS STATE</w:t>
      </w:r>
    </w:p>
    <w:p w14:paraId="5AEC791D" w14:textId="77777777" w:rsidR="008D3090" w:rsidRPr="008D3090" w:rsidRDefault="008D3090" w:rsidP="008D3090">
      <w:pPr>
        <w:widowControl w:val="0"/>
        <w:autoSpaceDE w:val="0"/>
        <w:autoSpaceDN w:val="0"/>
        <w:spacing w:before="200" w:after="0" w:line="240" w:lineRule="auto"/>
        <w:ind w:right="16"/>
        <w:jc w:val="center"/>
        <w:rPr>
          <w:rFonts w:ascii="Times New Roman" w:eastAsia="Times New Roman" w:hAnsi="Times New Roman" w:cs="Times New Roman"/>
          <w:kern w:val="0"/>
          <w14:ligatures w14:val="none"/>
        </w:rPr>
      </w:pPr>
      <w:proofErr w:type="spellStart"/>
      <w:r w:rsidRPr="008D3090">
        <w:rPr>
          <w:rFonts w:ascii="Times New Roman" w:eastAsia="Times New Roman" w:hAnsi="Times New Roman" w:cs="Times New Roman"/>
          <w:kern w:val="0"/>
          <w14:ligatures w14:val="none"/>
        </w:rPr>
        <w:t>Kpormon</w:t>
      </w:r>
      <w:proofErr w:type="spellEnd"/>
      <w:r w:rsidRPr="008D3090">
        <w:rPr>
          <w:rFonts w:ascii="Times New Roman" w:eastAsia="Times New Roman" w:hAnsi="Times New Roman" w:cs="Times New Roman"/>
          <w:kern w:val="0"/>
          <w14:ligatures w14:val="none"/>
        </w:rPr>
        <w:t xml:space="preserve"> Mene </w:t>
      </w:r>
      <w:proofErr w:type="spellStart"/>
      <w:r w:rsidRPr="008D3090">
        <w:rPr>
          <w:rFonts w:ascii="Times New Roman" w:eastAsia="Times New Roman" w:hAnsi="Times New Roman" w:cs="Times New Roman"/>
          <w:spacing w:val="-2"/>
          <w:kern w:val="0"/>
          <w14:ligatures w14:val="none"/>
        </w:rPr>
        <w:t>Dumdibabari</w:t>
      </w:r>
      <w:proofErr w:type="spellEnd"/>
    </w:p>
    <w:p w14:paraId="3CEF2786" w14:textId="77777777" w:rsidR="008D3090" w:rsidRPr="008D3090" w:rsidRDefault="008D3090" w:rsidP="008D3090">
      <w:pPr>
        <w:widowControl w:val="0"/>
        <w:autoSpaceDE w:val="0"/>
        <w:autoSpaceDN w:val="0"/>
        <w:spacing w:before="41" w:after="0" w:line="240" w:lineRule="auto"/>
        <w:ind w:right="16"/>
        <w:jc w:val="center"/>
        <w:rPr>
          <w:rFonts w:ascii="Times New Roman" w:eastAsia="Times New Roman" w:hAnsi="Times New Roman" w:cs="Times New Roman"/>
          <w:i/>
          <w:kern w:val="0"/>
          <w:szCs w:val="22"/>
          <w14:ligatures w14:val="none"/>
        </w:rPr>
      </w:pPr>
      <w:r w:rsidRPr="008D3090">
        <w:rPr>
          <w:rFonts w:ascii="Times New Roman" w:eastAsia="Times New Roman" w:hAnsi="Times New Roman" w:cs="Times New Roman"/>
          <w:i/>
          <w:kern w:val="0"/>
          <w:szCs w:val="22"/>
          <w14:ligatures w14:val="none"/>
        </w:rPr>
        <w:t xml:space="preserve">Department of Marketing, University of Port </w:t>
      </w:r>
      <w:r w:rsidRPr="008D3090">
        <w:rPr>
          <w:rFonts w:ascii="Times New Roman" w:eastAsia="Times New Roman" w:hAnsi="Times New Roman" w:cs="Times New Roman"/>
          <w:i/>
          <w:spacing w:val="-2"/>
          <w:kern w:val="0"/>
          <w:szCs w:val="22"/>
          <w14:ligatures w14:val="none"/>
        </w:rPr>
        <w:t>Harcourt</w:t>
      </w:r>
    </w:p>
    <w:p w14:paraId="3DCC1F4A" w14:textId="77777777" w:rsidR="008D3090" w:rsidRPr="008D3090" w:rsidRDefault="008D3090" w:rsidP="008D3090">
      <w:pPr>
        <w:widowControl w:val="0"/>
        <w:autoSpaceDE w:val="0"/>
        <w:autoSpaceDN w:val="0"/>
        <w:spacing w:after="0" w:line="240" w:lineRule="auto"/>
        <w:ind w:right="1659"/>
        <w:jc w:val="center"/>
        <w:rPr>
          <w:rFonts w:ascii="Times New Roman" w:eastAsia="Times New Roman" w:hAnsi="Times New Roman" w:cs="Times New Roman"/>
          <w:i/>
          <w:kern w:val="0"/>
          <w:szCs w:val="22"/>
          <w14:ligatures w14:val="none"/>
        </w:rPr>
      </w:pPr>
      <w:hyperlink r:id="rId288">
        <w:r w:rsidRPr="008D3090">
          <w:rPr>
            <w:rFonts w:ascii="Times New Roman" w:eastAsia="Times New Roman" w:hAnsi="Times New Roman" w:cs="Times New Roman"/>
            <w:i/>
            <w:color w:val="1154CC"/>
            <w:kern w:val="0"/>
            <w:szCs w:val="22"/>
            <w:u w:val="thick" w:color="1154CC"/>
            <w14:ligatures w14:val="none"/>
          </w:rPr>
          <w:t>Kpormonmene@Gmail.com</w:t>
        </w:r>
      </w:hyperlink>
      <w:r w:rsidRPr="008D3090">
        <w:rPr>
          <w:rFonts w:ascii="Times New Roman" w:eastAsia="Times New Roman" w:hAnsi="Times New Roman" w:cs="Times New Roman"/>
          <w:i/>
          <w:kern w:val="0"/>
          <w:szCs w:val="22"/>
          <w14:ligatures w14:val="none"/>
        </w:rPr>
        <w:t>,</w:t>
      </w:r>
      <w:r w:rsidRPr="008D3090">
        <w:rPr>
          <w:rFonts w:ascii="Times New Roman" w:eastAsia="Times New Roman" w:hAnsi="Times New Roman" w:cs="Times New Roman"/>
          <w:i/>
          <w:spacing w:val="-15"/>
          <w:kern w:val="0"/>
          <w:szCs w:val="22"/>
          <w14:ligatures w14:val="none"/>
        </w:rPr>
        <w:t xml:space="preserve"> </w:t>
      </w:r>
      <w:r w:rsidRPr="008D3090">
        <w:rPr>
          <w:rFonts w:ascii="Times New Roman" w:eastAsia="Times New Roman" w:hAnsi="Times New Roman" w:cs="Times New Roman"/>
          <w:i/>
          <w:kern w:val="0"/>
          <w:szCs w:val="22"/>
          <w14:ligatures w14:val="none"/>
        </w:rPr>
        <w:t>+234(0)8140567291</w:t>
      </w:r>
    </w:p>
    <w:p w14:paraId="5AD92B07" w14:textId="77777777" w:rsidR="008D3090" w:rsidRPr="008D3090" w:rsidRDefault="008D3090" w:rsidP="008D3090">
      <w:pPr>
        <w:widowControl w:val="0"/>
        <w:autoSpaceDE w:val="0"/>
        <w:autoSpaceDN w:val="0"/>
        <w:spacing w:after="0" w:line="240" w:lineRule="auto"/>
        <w:ind w:right="1659"/>
        <w:jc w:val="center"/>
        <w:rPr>
          <w:rFonts w:ascii="Times New Roman" w:eastAsia="Times New Roman" w:hAnsi="Times New Roman" w:cs="Times New Roman"/>
          <w:i/>
          <w:kern w:val="0"/>
          <w:szCs w:val="22"/>
          <w14:ligatures w14:val="none"/>
        </w:rPr>
      </w:pPr>
      <w:r w:rsidRPr="008D3090">
        <w:rPr>
          <w:rFonts w:ascii="Times New Roman" w:eastAsia="Times New Roman" w:hAnsi="Times New Roman" w:cs="Times New Roman"/>
          <w:i/>
          <w:spacing w:val="-10"/>
          <w:kern w:val="0"/>
          <w:szCs w:val="22"/>
          <w14:ligatures w14:val="none"/>
        </w:rPr>
        <w:t>&amp;</w:t>
      </w:r>
    </w:p>
    <w:p w14:paraId="5854A0E1" w14:textId="77777777" w:rsidR="008D3090" w:rsidRPr="008D3090" w:rsidRDefault="008D3090" w:rsidP="008D3090">
      <w:pPr>
        <w:widowControl w:val="0"/>
        <w:autoSpaceDE w:val="0"/>
        <w:autoSpaceDN w:val="0"/>
        <w:spacing w:after="0" w:line="240" w:lineRule="auto"/>
        <w:ind w:right="16"/>
        <w:jc w:val="center"/>
        <w:rPr>
          <w:rFonts w:ascii="Times New Roman" w:eastAsia="Times New Roman" w:hAnsi="Times New Roman" w:cs="Times New Roman"/>
          <w:i/>
          <w:kern w:val="0"/>
          <w:szCs w:val="22"/>
          <w14:ligatures w14:val="none"/>
        </w:rPr>
      </w:pPr>
      <w:r w:rsidRPr="008D3090">
        <w:rPr>
          <w:rFonts w:ascii="Times New Roman" w:eastAsia="Times New Roman" w:hAnsi="Times New Roman" w:cs="Times New Roman"/>
          <w:i/>
          <w:kern w:val="0"/>
          <w:szCs w:val="22"/>
          <w14:ligatures w14:val="none"/>
        </w:rPr>
        <w:t>Dr.</w:t>
      </w:r>
      <w:r w:rsidRPr="008D3090">
        <w:rPr>
          <w:rFonts w:ascii="Times New Roman" w:eastAsia="Times New Roman" w:hAnsi="Times New Roman" w:cs="Times New Roman"/>
          <w:i/>
          <w:spacing w:val="-14"/>
          <w:kern w:val="0"/>
          <w:szCs w:val="22"/>
          <w14:ligatures w14:val="none"/>
        </w:rPr>
        <w:t xml:space="preserve"> </w:t>
      </w:r>
      <w:proofErr w:type="spellStart"/>
      <w:r w:rsidRPr="008D3090">
        <w:rPr>
          <w:rFonts w:ascii="Times New Roman" w:eastAsia="Times New Roman" w:hAnsi="Times New Roman" w:cs="Times New Roman"/>
          <w:i/>
          <w:kern w:val="0"/>
          <w:szCs w:val="22"/>
          <w14:ligatures w14:val="none"/>
        </w:rPr>
        <w:t>Jekey</w:t>
      </w:r>
      <w:proofErr w:type="spellEnd"/>
      <w:r w:rsidRPr="008D3090">
        <w:rPr>
          <w:rFonts w:ascii="Times New Roman" w:eastAsia="Times New Roman" w:hAnsi="Times New Roman" w:cs="Times New Roman"/>
          <w:i/>
          <w:kern w:val="0"/>
          <w:szCs w:val="22"/>
          <w14:ligatures w14:val="none"/>
        </w:rPr>
        <w:t>,</w:t>
      </w:r>
      <w:r w:rsidRPr="008D3090">
        <w:rPr>
          <w:rFonts w:ascii="Times New Roman" w:eastAsia="Times New Roman" w:hAnsi="Times New Roman" w:cs="Times New Roman"/>
          <w:i/>
          <w:spacing w:val="-14"/>
          <w:kern w:val="0"/>
          <w:szCs w:val="22"/>
          <w14:ligatures w14:val="none"/>
        </w:rPr>
        <w:t xml:space="preserve"> </w:t>
      </w:r>
      <w:proofErr w:type="spellStart"/>
      <w:r w:rsidRPr="008D3090">
        <w:rPr>
          <w:rFonts w:ascii="Times New Roman" w:eastAsia="Times New Roman" w:hAnsi="Times New Roman" w:cs="Times New Roman"/>
          <w:i/>
          <w:kern w:val="0"/>
          <w:szCs w:val="22"/>
          <w14:ligatures w14:val="none"/>
        </w:rPr>
        <w:t>Lekue</w:t>
      </w:r>
      <w:proofErr w:type="spellEnd"/>
    </w:p>
    <w:p w14:paraId="41ACC2D0" w14:textId="77777777" w:rsidR="008D3090" w:rsidRPr="008D3090" w:rsidRDefault="008D3090" w:rsidP="008D3090">
      <w:pPr>
        <w:widowControl w:val="0"/>
        <w:autoSpaceDE w:val="0"/>
        <w:autoSpaceDN w:val="0"/>
        <w:spacing w:after="0" w:line="240" w:lineRule="auto"/>
        <w:ind w:right="16"/>
        <w:jc w:val="center"/>
        <w:rPr>
          <w:rFonts w:ascii="Times New Roman" w:eastAsia="Times New Roman" w:hAnsi="Times New Roman" w:cs="Times New Roman"/>
          <w:i/>
          <w:spacing w:val="-2"/>
          <w:kern w:val="0"/>
          <w:szCs w:val="22"/>
          <w14:ligatures w14:val="none"/>
        </w:rPr>
      </w:pPr>
      <w:r w:rsidRPr="008D3090">
        <w:rPr>
          <w:rFonts w:ascii="Times New Roman" w:eastAsia="Times New Roman" w:hAnsi="Times New Roman" w:cs="Times New Roman"/>
          <w:i/>
          <w:kern w:val="0"/>
          <w:szCs w:val="22"/>
          <w14:ligatures w14:val="none"/>
        </w:rPr>
        <w:t xml:space="preserve">Department of Marketing, University of Port </w:t>
      </w:r>
      <w:r w:rsidRPr="008D3090">
        <w:rPr>
          <w:rFonts w:ascii="Times New Roman" w:eastAsia="Times New Roman" w:hAnsi="Times New Roman" w:cs="Times New Roman"/>
          <w:i/>
          <w:spacing w:val="-2"/>
          <w:kern w:val="0"/>
          <w:szCs w:val="22"/>
          <w14:ligatures w14:val="none"/>
        </w:rPr>
        <w:t>Harcourt.</w:t>
      </w:r>
    </w:p>
    <w:p w14:paraId="1BBA6EB2" w14:textId="77777777" w:rsidR="008D3090" w:rsidRPr="008D3090" w:rsidRDefault="008D3090" w:rsidP="008D3090">
      <w:pPr>
        <w:widowControl w:val="0"/>
        <w:autoSpaceDE w:val="0"/>
        <w:autoSpaceDN w:val="0"/>
        <w:spacing w:after="0" w:line="240" w:lineRule="auto"/>
        <w:ind w:right="16"/>
        <w:jc w:val="center"/>
        <w:rPr>
          <w:rFonts w:ascii="Times New Roman" w:eastAsia="Times New Roman" w:hAnsi="Times New Roman" w:cs="Times New Roman"/>
          <w:i/>
          <w:kern w:val="0"/>
          <w:szCs w:val="22"/>
          <w14:ligatures w14:val="none"/>
        </w:rPr>
      </w:pPr>
      <w:r w:rsidRPr="008D3090">
        <w:rPr>
          <w:rFonts w:ascii="Times New Roman" w:eastAsia="Times New Roman" w:hAnsi="Times New Roman" w:cs="Times New Roman"/>
          <w:i/>
          <w:spacing w:val="-2"/>
          <w:kern w:val="0"/>
          <w:szCs w:val="22"/>
          <w14:ligatures w14:val="none"/>
        </w:rPr>
        <w:t>+234(0)8037455071</w:t>
      </w:r>
    </w:p>
    <w:p w14:paraId="5A3560EE"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i/>
          <w:kern w:val="0"/>
          <w14:ligatures w14:val="none"/>
        </w:rPr>
      </w:pPr>
    </w:p>
    <w:p w14:paraId="4CD46220"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i/>
          <w:kern w:val="0"/>
          <w14:ligatures w14:val="none"/>
        </w:rPr>
      </w:pPr>
    </w:p>
    <w:p w14:paraId="0AC55366" w14:textId="77777777" w:rsidR="008D3090" w:rsidRPr="008D3090" w:rsidRDefault="008D3090" w:rsidP="008D3090">
      <w:pPr>
        <w:widowControl w:val="0"/>
        <w:autoSpaceDE w:val="0"/>
        <w:autoSpaceDN w:val="0"/>
        <w:spacing w:before="42" w:after="0" w:line="240" w:lineRule="auto"/>
        <w:jc w:val="both"/>
        <w:rPr>
          <w:rFonts w:ascii="Times New Roman" w:eastAsia="Times New Roman" w:hAnsi="Times New Roman" w:cs="Times New Roman"/>
          <w:i/>
          <w:kern w:val="0"/>
          <w14:ligatures w14:val="none"/>
        </w:rPr>
      </w:pPr>
    </w:p>
    <w:p w14:paraId="4F1D2780" w14:textId="77777777" w:rsidR="008D3090" w:rsidRPr="008D3090" w:rsidRDefault="008D3090" w:rsidP="008D3090">
      <w:pPr>
        <w:widowControl w:val="0"/>
        <w:autoSpaceDE w:val="0"/>
        <w:autoSpaceDN w:val="0"/>
        <w:spacing w:before="1"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spacing w:val="-2"/>
          <w:kern w:val="0"/>
          <w14:ligatures w14:val="none"/>
        </w:rPr>
        <w:t>Abstract</w:t>
      </w:r>
    </w:p>
    <w:p w14:paraId="2C81433A" w14:textId="77777777" w:rsidR="008D3090" w:rsidRPr="008D3090" w:rsidRDefault="008D3090" w:rsidP="008D3090">
      <w:pPr>
        <w:widowControl w:val="0"/>
        <w:autoSpaceDE w:val="0"/>
        <w:autoSpaceDN w:val="0"/>
        <w:spacing w:before="3" w:after="0" w:line="240" w:lineRule="auto"/>
        <w:jc w:val="both"/>
        <w:rPr>
          <w:rFonts w:ascii="Times New Roman" w:eastAsia="Times New Roman" w:hAnsi="Times New Roman" w:cs="Times New Roman"/>
          <w:b/>
          <w:kern w:val="0"/>
          <w14:ligatures w14:val="none"/>
        </w:rPr>
      </w:pPr>
    </w:p>
    <w:p w14:paraId="75FCC6DB" w14:textId="77777777" w:rsidR="008D3090" w:rsidRPr="008D3090" w:rsidRDefault="008D3090" w:rsidP="008D3090">
      <w:pPr>
        <w:widowControl w:val="0"/>
        <w:autoSpaceDE w:val="0"/>
        <w:autoSpaceDN w:val="0"/>
        <w:spacing w:before="1"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This study investigated the relationship between demand forecasting and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optimization in bottled water firms operating in Port Harcourt, Rivers State. Specifically, the research examined the influence of two key dimensions of demand forecasting—historical sales analysis and market and environmental analysis on two measures of inventory optimization: inventory holding cost reduction and stock out and service level performance. The study adopted a descriptive survey research design, targeting key personnel, including production managers and inventory officers, across registered bottled water firms in Port Harcourt. A purposive sampling technique was used to select 100 respondents from 50 firms. Data were collected using a structured questionnaire and analyzed using descriptive statistics, Pearson Product-Moment Correlation (PPMC), with SPSS version 27. The findings revealed that historical sales analysis significantly reduces inventory holding costs and improves stock out/service level performance, highlighting the importance of using past sales data for production and inventory planning. Similarly, market and environmental analysis was found to positively influence both inventory holding cost reduction and service level performance, emphasizing the need to incorporate external market factors such as consumer</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trends,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competition,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environmental</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conditions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into forecasting decisions. Overall, the study concluded that effective demand forecasting practices are critical for</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achieving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optimal</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management,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reducing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operational</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inefficiencies,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and enhancing customer satisfaction in the bottled water industry. Based on these findings, the study recommends that bottled water firms adopt structured forecasting techniques, integrate market intelligence into inventory planning, invest in inventory management systems, and provide continuous training for relevant personnel.</w:t>
      </w:r>
    </w:p>
    <w:p w14:paraId="7D65C800" w14:textId="77777777" w:rsidR="008D3090" w:rsidRPr="008D3090" w:rsidRDefault="008D3090" w:rsidP="008D3090">
      <w:pPr>
        <w:widowControl w:val="0"/>
        <w:autoSpaceDE w:val="0"/>
        <w:autoSpaceDN w:val="0"/>
        <w:spacing w:before="3" w:after="0" w:line="240" w:lineRule="auto"/>
        <w:jc w:val="both"/>
        <w:rPr>
          <w:rFonts w:ascii="Times New Roman" w:eastAsia="Times New Roman" w:hAnsi="Times New Roman" w:cs="Times New Roman"/>
          <w:kern w:val="0"/>
          <w14:ligatures w14:val="none"/>
        </w:rPr>
      </w:pPr>
    </w:p>
    <w:p w14:paraId="44B69F5C" w14:textId="77777777" w:rsidR="008D3090" w:rsidRPr="008D3090" w:rsidRDefault="008D3090" w:rsidP="008D3090">
      <w:pPr>
        <w:widowControl w:val="0"/>
        <w:autoSpaceDE w:val="0"/>
        <w:autoSpaceDN w:val="0"/>
        <w:spacing w:before="1" w:after="0" w:line="240" w:lineRule="auto"/>
        <w:ind w:right="53"/>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b/>
          <w:kern w:val="0"/>
          <w14:ligatures w14:val="none"/>
        </w:rPr>
        <w:t>Keywords:</w:t>
      </w:r>
      <w:r w:rsidRPr="008D3090">
        <w:rPr>
          <w:rFonts w:ascii="Times New Roman" w:eastAsia="Times New Roman" w:hAnsi="Times New Roman" w:cs="Times New Roman"/>
          <w:b/>
          <w:spacing w:val="-5"/>
          <w:kern w:val="0"/>
          <w14:ligatures w14:val="none"/>
        </w:rPr>
        <w:t xml:space="preserve"> </w:t>
      </w:r>
      <w:r w:rsidRPr="008D3090">
        <w:rPr>
          <w:rFonts w:ascii="Times New Roman" w:eastAsia="Times New Roman" w:hAnsi="Times New Roman" w:cs="Times New Roman"/>
          <w:kern w:val="0"/>
          <w14:ligatures w14:val="none"/>
        </w:rPr>
        <w:t>Demand</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Forecasting,</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Optimization,</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Historical</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Sales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Analysis,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Market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and Environmental Analysis, Stock out, Inventory Holding Cost</w:t>
      </w:r>
    </w:p>
    <w:p w14:paraId="2D0C73E6"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600" w:right="1440" w:bottom="280" w:left="1440" w:header="720" w:footer="720" w:gutter="0"/>
          <w:cols w:space="720"/>
        </w:sectPr>
      </w:pPr>
    </w:p>
    <w:p w14:paraId="2CC997D0" w14:textId="77777777" w:rsidR="008D3090" w:rsidRPr="008D3090" w:rsidRDefault="008D3090" w:rsidP="00AE7FA9">
      <w:pPr>
        <w:widowControl w:val="0"/>
        <w:autoSpaceDE w:val="0"/>
        <w:autoSpaceDN w:val="0"/>
        <w:spacing w:after="0" w:line="240" w:lineRule="auto"/>
        <w:jc w:val="both"/>
        <w:outlineLvl w:val="0"/>
        <w:rPr>
          <w:rFonts w:ascii="Times New Roman" w:eastAsia="Times New Roman" w:hAnsi="Times New Roman" w:cs="Times New Roman"/>
          <w:b/>
          <w:bCs/>
          <w:kern w:val="0"/>
          <w:sz w:val="27"/>
          <w:szCs w:val="27"/>
          <w14:ligatures w14:val="none"/>
        </w:rPr>
      </w:pPr>
      <w:r w:rsidRPr="008D3090">
        <w:rPr>
          <w:rFonts w:ascii="Times New Roman" w:eastAsia="Times New Roman" w:hAnsi="Times New Roman" w:cs="Times New Roman"/>
          <w:b/>
          <w:bCs/>
          <w:spacing w:val="-2"/>
          <w:kern w:val="0"/>
          <w:sz w:val="27"/>
          <w:szCs w:val="27"/>
          <w14:ligatures w14:val="none"/>
        </w:rPr>
        <w:lastRenderedPageBreak/>
        <w:t>Introduction</w:t>
      </w:r>
    </w:p>
    <w:p w14:paraId="4CD1DD8E" w14:textId="77777777" w:rsidR="008D3090" w:rsidRPr="008D3090" w:rsidRDefault="008D3090" w:rsidP="00AE7FA9">
      <w:pPr>
        <w:widowControl w:val="0"/>
        <w:autoSpaceDE w:val="0"/>
        <w:autoSpaceDN w:val="0"/>
        <w:spacing w:before="28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In today highly competitive atmosphere demand forecasting and inventory optimization play a crucial</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role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effectiveness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supply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chain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management,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especially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fast-moving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consumer goods (FMCG) industries such as water production. Demand forecasting can be view as the systematic approximation of future customer demand using historical sales data, market trends,</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as well as environmental components, while inventory optimization involves determining the</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best efficient inventory levels that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lessen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costs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while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making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sure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product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are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accessible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(Heizer, Render, &amp; Munson, 2020). These two variables are closely interrelated; as precise demand forecasts form the foundation for sound inventory decisions as well as operational efficiency.</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The bottled water industry in question has accelerated rapidly in response to today highly competitive and demand-sensitive markets.</w:t>
      </w:r>
    </w:p>
    <w:p w14:paraId="2A2D6601" w14:textId="77777777" w:rsidR="008D3090" w:rsidRPr="008D3090" w:rsidRDefault="008D3090" w:rsidP="00AE7FA9">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2AAF10E7" w14:textId="77777777" w:rsidR="008D3090" w:rsidRPr="008D3090" w:rsidRDefault="008D3090" w:rsidP="00AE7FA9">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Despite this growth, many bottled water firms continue to experience persistent operational challenges related to inaccurate demand forecasting and inefficient inventory management.</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These challenges have significantly affected their ability to meet customer demand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consistently, control operational costs, and maintain competitive advantage in the fast-moving consumer</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goods (FMCG) market (Akinwale &amp; George, 2021). One of the major problems confronting bottled water firms in Port Harcourt is demand uncertainty. Consumer demand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for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water fluctuates widely due to factors such as seasonality, weather conditions, festive periods, income variations, and infrastructural water shortages. However, many firms rely on intuition, experience, or rudimentary historical records rather than systematic forecasting techniques to predict demand. According to Chopra and Meindl (2019), poor demand forecasting increases uncertainty in supply chain decisions, leading to</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frequent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mismatches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between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production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levels and actual market demand. 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Port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Harcourt,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often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manifests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either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overproduction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during low-demand periods or insufficient supply during demand surges.</w:t>
      </w:r>
    </w:p>
    <w:p w14:paraId="19282DE9" w14:textId="77777777" w:rsidR="008D3090" w:rsidRPr="008D3090" w:rsidRDefault="008D3090" w:rsidP="00AE7FA9">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3575FBC4" w14:textId="77777777" w:rsidR="008D3090" w:rsidRPr="008D3090" w:rsidRDefault="008D3090" w:rsidP="00AE7FA9">
      <w:pPr>
        <w:widowControl w:val="0"/>
        <w:autoSpaceDE w:val="0"/>
        <w:autoSpaceDN w:val="0"/>
        <w:spacing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Inaccurate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demand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forecasting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has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resulted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inefficient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practices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among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water firms. Excess inventory leads to high holding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costs,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increased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storage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expenses,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tied-up</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working capital,</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potential</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product</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deterioration</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due</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to</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 xml:space="preserve">prolonged storage (Ballou, 2018). </w:t>
      </w:r>
      <w:r w:rsidRPr="008D3090">
        <w:rPr>
          <w:rFonts w:ascii="Times New Roman" w:eastAsia="Times New Roman" w:hAnsi="Times New Roman" w:cs="Times New Roman"/>
          <w:spacing w:val="-2"/>
          <w:kern w:val="0"/>
          <w14:ligatures w14:val="none"/>
        </w:rPr>
        <w:t>Conversely,</w:t>
      </w:r>
    </w:p>
    <w:p w14:paraId="0A4869EB" w14:textId="77777777" w:rsidR="008D3090" w:rsidRPr="008D3090" w:rsidRDefault="008D3090" w:rsidP="00AE7FA9">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820" w:right="1440" w:bottom="280" w:left="1440" w:header="720" w:footer="720" w:gutter="0"/>
          <w:cols w:space="720"/>
        </w:sectPr>
      </w:pPr>
    </w:p>
    <w:p w14:paraId="17141C70" w14:textId="77777777" w:rsidR="008D3090" w:rsidRPr="008D3090" w:rsidRDefault="008D3090" w:rsidP="00AE7FA9">
      <w:pPr>
        <w:widowControl w:val="0"/>
        <w:autoSpaceDE w:val="0"/>
        <w:autoSpaceDN w:val="0"/>
        <w:spacing w:before="6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under-stocking exposes firms to stock outs, lost sales, production interruptions, and damaged customer relationships, especially when distributors and retailers are unable to meet consumer needs promptly. These</w:t>
      </w:r>
      <w:r w:rsidRPr="008D3090">
        <w:rPr>
          <w:rFonts w:ascii="Times New Roman" w:eastAsia="Times New Roman" w:hAnsi="Times New Roman" w:cs="Times New Roman"/>
          <w:spacing w:val="-6"/>
          <w:kern w:val="0"/>
          <w14:ligatures w14:val="none"/>
        </w:rPr>
        <w:t xml:space="preserve"> </w:t>
      </w:r>
      <w:r w:rsidRPr="008D3090">
        <w:rPr>
          <w:rFonts w:ascii="Times New Roman" w:eastAsia="Times New Roman" w:hAnsi="Times New Roman" w:cs="Times New Roman"/>
          <w:kern w:val="0"/>
          <w14:ligatures w14:val="none"/>
        </w:rPr>
        <w:t>inefficiencies</w:t>
      </w:r>
      <w:r w:rsidRPr="008D3090">
        <w:rPr>
          <w:rFonts w:ascii="Times New Roman" w:eastAsia="Times New Roman" w:hAnsi="Times New Roman" w:cs="Times New Roman"/>
          <w:spacing w:val="-6"/>
          <w:kern w:val="0"/>
          <w14:ligatures w14:val="none"/>
        </w:rPr>
        <w:t xml:space="preserve"> </w:t>
      </w:r>
      <w:r w:rsidRPr="008D3090">
        <w:rPr>
          <w:rFonts w:ascii="Times New Roman" w:eastAsia="Times New Roman" w:hAnsi="Times New Roman" w:cs="Times New Roman"/>
          <w:kern w:val="0"/>
          <w14:ligatures w14:val="none"/>
        </w:rPr>
        <w:t>undermine</w:t>
      </w:r>
      <w:r w:rsidRPr="008D3090">
        <w:rPr>
          <w:rFonts w:ascii="Times New Roman" w:eastAsia="Times New Roman" w:hAnsi="Times New Roman" w:cs="Times New Roman"/>
          <w:spacing w:val="-6"/>
          <w:kern w:val="0"/>
          <w14:ligatures w14:val="none"/>
        </w:rPr>
        <w:t xml:space="preserve"> </w:t>
      </w:r>
      <w:r w:rsidRPr="008D3090">
        <w:rPr>
          <w:rFonts w:ascii="Times New Roman" w:eastAsia="Times New Roman" w:hAnsi="Times New Roman" w:cs="Times New Roman"/>
          <w:kern w:val="0"/>
          <w14:ligatures w14:val="none"/>
        </w:rPr>
        <w:t>operational</w:t>
      </w:r>
      <w:r w:rsidRPr="008D3090">
        <w:rPr>
          <w:rFonts w:ascii="Times New Roman" w:eastAsia="Times New Roman" w:hAnsi="Times New Roman" w:cs="Times New Roman"/>
          <w:spacing w:val="-6"/>
          <w:kern w:val="0"/>
          <w14:ligatures w14:val="none"/>
        </w:rPr>
        <w:t xml:space="preserve"> </w:t>
      </w:r>
      <w:r w:rsidRPr="008D3090">
        <w:rPr>
          <w:rFonts w:ascii="Times New Roman" w:eastAsia="Times New Roman" w:hAnsi="Times New Roman" w:cs="Times New Roman"/>
          <w:kern w:val="0"/>
          <w14:ligatures w14:val="none"/>
        </w:rPr>
        <w:t>performance</w:t>
      </w:r>
      <w:r w:rsidRPr="008D3090">
        <w:rPr>
          <w:rFonts w:ascii="Times New Roman" w:eastAsia="Times New Roman" w:hAnsi="Times New Roman" w:cs="Times New Roman"/>
          <w:spacing w:val="-6"/>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6"/>
          <w:kern w:val="0"/>
          <w14:ligatures w14:val="none"/>
        </w:rPr>
        <w:t xml:space="preserve"> </w:t>
      </w:r>
      <w:r w:rsidRPr="008D3090">
        <w:rPr>
          <w:rFonts w:ascii="Times New Roman" w:eastAsia="Times New Roman" w:hAnsi="Times New Roman" w:cs="Times New Roman"/>
          <w:kern w:val="0"/>
          <w14:ligatures w14:val="none"/>
        </w:rPr>
        <w:t>reduce</w:t>
      </w:r>
      <w:r w:rsidRPr="008D3090">
        <w:rPr>
          <w:rFonts w:ascii="Times New Roman" w:eastAsia="Times New Roman" w:hAnsi="Times New Roman" w:cs="Times New Roman"/>
          <w:spacing w:val="-6"/>
          <w:kern w:val="0"/>
          <w14:ligatures w14:val="none"/>
        </w:rPr>
        <w:t xml:space="preserve"> </w:t>
      </w:r>
      <w:r w:rsidRPr="008D3090">
        <w:rPr>
          <w:rFonts w:ascii="Times New Roman" w:eastAsia="Times New Roman" w:hAnsi="Times New Roman" w:cs="Times New Roman"/>
          <w:kern w:val="0"/>
          <w14:ligatures w14:val="none"/>
        </w:rPr>
        <w:t>profitability in an industry characterized by high competition and relatively low profit margins (Silver</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et</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al., 2017). Another critical problem is the limited adoption of inventory</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optimization</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models.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Many bottled water firms in Port Harcourt lack the technical expertise, reliable data systems, and analytical tools required to implement structured inventory optimization techniques such as Economic Order Quantity (EOQ), reorder point systems, and safety stock models. Ogunnaike, Kehinde, and Ajao (2020) note that small and medium-sized manufacturing 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developing economies often depend on manual inventory systems, which are prone to errors and inefficiencies. As a result, inventory decisions are frequently reactive rather than proactive, further compounding operational challenges. Furthermore, the absence of integrated planning between demand forecasting and inventory management has weakened supply chain</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coordination among bottled water firms. Without aligning forecasted demand with optimized inventory policies, firms struggle to synchronize production, procurement, and distribution activities. This disconnect contributes to delivery delays, inconsistent product availability, and increased operational costs, ultimately affecting customer satisfaction and market performance (Slack et al., 2022). In a competitive market like Port Harcourt, where consumers can easily switch brands, such inefficiencies pose serious threats to firm survival.</w:t>
      </w:r>
    </w:p>
    <w:p w14:paraId="7993B3C6" w14:textId="77777777" w:rsidR="008D3090" w:rsidRPr="008D3090" w:rsidRDefault="008D3090" w:rsidP="00AE7FA9">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3264B0E3" w14:textId="77777777" w:rsidR="008D3090" w:rsidRPr="008D3090" w:rsidRDefault="008D3090" w:rsidP="00AE7FA9">
      <w:pPr>
        <w:widowControl w:val="0"/>
        <w:autoSpaceDE w:val="0"/>
        <w:autoSpaceDN w:val="0"/>
        <w:spacing w:after="0" w:line="240" w:lineRule="auto"/>
        <w:ind w:right="2"/>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Despite the recognized importance of demand forecasting and inventory optimization in enhancing supply chain efficiency, there is a paucity of empirical studies focusing on bottled water firms in Port Harcourt. Most existing studies concentrate on large manufacturing 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or other sectors, leaving a contextual gap in understanding how these practices affect operational performance in the local bottled water industry. This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gap</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limits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evidence-based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decision-making and policy formulation tailored to the unique challenges of firms operating within the Port Harcourt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environment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(Adeyemi</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&amp;</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Salami,</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2022).</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light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these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challenges,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there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pressing need to examine the demand forecasting and inventory optimization practices of bottled water firms in Port Harcourt.</w:t>
      </w:r>
    </w:p>
    <w:p w14:paraId="5BE2B4FA" w14:textId="77777777" w:rsidR="008D3090" w:rsidRPr="008D3090" w:rsidRDefault="008D3090" w:rsidP="008D3090">
      <w:pPr>
        <w:widowControl w:val="0"/>
        <w:autoSpaceDE w:val="0"/>
        <w:autoSpaceDN w:val="0"/>
        <w:spacing w:after="0" w:line="36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2345C3B9" w14:textId="77777777" w:rsidR="008D3090" w:rsidRPr="008D3090" w:rsidRDefault="008D3090" w:rsidP="008D3090">
      <w:pPr>
        <w:widowControl w:val="0"/>
        <w:autoSpaceDE w:val="0"/>
        <w:autoSpaceDN w:val="0"/>
        <w:spacing w:before="33" w:after="0" w:line="240" w:lineRule="auto"/>
        <w:jc w:val="both"/>
        <w:rPr>
          <w:rFonts w:ascii="Times New Roman" w:eastAsia="Times New Roman" w:hAnsi="Times New Roman" w:cs="Times New Roman"/>
          <w:kern w:val="0"/>
          <w14:ligatures w14:val="none"/>
        </w:rPr>
      </w:pPr>
    </w:p>
    <w:p w14:paraId="46724F12" w14:textId="77777777" w:rsidR="008D3090" w:rsidRPr="008D3090" w:rsidRDefault="008D3090" w:rsidP="008D3090">
      <w:pPr>
        <w:widowControl w:val="0"/>
        <w:autoSpaceDE w:val="0"/>
        <w:autoSpaceDN w:val="0"/>
        <w:spacing w:before="1"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Cs/>
          <w:noProof/>
          <w:kern w:val="0"/>
          <w:sz w:val="20"/>
          <w14:ligatures w14:val="none"/>
        </w:rPr>
        <mc:AlternateContent>
          <mc:Choice Requires="wpg">
            <w:drawing>
              <wp:anchor distT="0" distB="0" distL="0" distR="0" simplePos="0" relativeHeight="251703296" behindDoc="1" locked="0" layoutInCell="1" allowOverlap="1" wp14:anchorId="4825265D" wp14:editId="543D9BBF">
                <wp:simplePos x="0" y="0"/>
                <wp:positionH relativeFrom="page">
                  <wp:posOffset>1676400</wp:posOffset>
                </wp:positionH>
                <wp:positionV relativeFrom="paragraph">
                  <wp:posOffset>260985</wp:posOffset>
                </wp:positionV>
                <wp:extent cx="3800475" cy="1698625"/>
                <wp:effectExtent l="0" t="0" r="0" b="0"/>
                <wp:wrapTopAndBottom/>
                <wp:docPr id="2072316435" name="Group 2072316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0475" cy="1698625"/>
                          <a:chOff x="0" y="0"/>
                          <a:chExt cx="3800475" cy="1698625"/>
                        </a:xfrm>
                      </wpg:grpSpPr>
                      <pic:pic xmlns:pic="http://schemas.openxmlformats.org/drawingml/2006/picture">
                        <pic:nvPicPr>
                          <pic:cNvPr id="885503424" name="Image 3"/>
                          <pic:cNvPicPr/>
                        </pic:nvPicPr>
                        <pic:blipFill>
                          <a:blip r:embed="rId289" cstate="print"/>
                          <a:stretch>
                            <a:fillRect/>
                          </a:stretch>
                        </pic:blipFill>
                        <pic:spPr>
                          <a:xfrm>
                            <a:off x="0" y="0"/>
                            <a:ext cx="3800475" cy="628649"/>
                          </a:xfrm>
                          <a:prstGeom prst="rect">
                            <a:avLst/>
                          </a:prstGeom>
                        </pic:spPr>
                      </pic:pic>
                      <wps:wsp>
                        <wps:cNvPr id="1518711040" name="Graphic 4"/>
                        <wps:cNvSpPr/>
                        <wps:spPr>
                          <a:xfrm>
                            <a:off x="3090862" y="561974"/>
                            <a:ext cx="1270" cy="276225"/>
                          </a:xfrm>
                          <a:custGeom>
                            <a:avLst/>
                            <a:gdLst/>
                            <a:ahLst/>
                            <a:cxnLst/>
                            <a:rect l="l" t="t" r="r" b="b"/>
                            <a:pathLst>
                              <a:path h="276225">
                                <a:moveTo>
                                  <a:pt x="0" y="276225"/>
                                </a:moveTo>
                                <a:lnTo>
                                  <a:pt x="0"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54785219" name="Image 5"/>
                          <pic:cNvPicPr/>
                        </pic:nvPicPr>
                        <pic:blipFill>
                          <a:blip r:embed="rId290" cstate="print"/>
                          <a:stretch>
                            <a:fillRect/>
                          </a:stretch>
                        </pic:blipFill>
                        <pic:spPr>
                          <a:xfrm>
                            <a:off x="38100" y="888981"/>
                            <a:ext cx="1247775" cy="752475"/>
                          </a:xfrm>
                          <a:prstGeom prst="rect">
                            <a:avLst/>
                          </a:prstGeom>
                        </pic:spPr>
                      </pic:pic>
                      <pic:pic xmlns:pic="http://schemas.openxmlformats.org/drawingml/2006/picture">
                        <pic:nvPicPr>
                          <pic:cNvPr id="795130647" name="Image 6"/>
                          <pic:cNvPicPr/>
                        </pic:nvPicPr>
                        <pic:blipFill>
                          <a:blip r:embed="rId291" cstate="print"/>
                          <a:stretch>
                            <a:fillRect/>
                          </a:stretch>
                        </pic:blipFill>
                        <pic:spPr>
                          <a:xfrm>
                            <a:off x="2505075" y="831831"/>
                            <a:ext cx="1295400" cy="866775"/>
                          </a:xfrm>
                          <a:prstGeom prst="rect">
                            <a:avLst/>
                          </a:prstGeom>
                        </pic:spPr>
                      </pic:pic>
                      <wps:wsp>
                        <wps:cNvPr id="888462332" name="Graphic 7"/>
                        <wps:cNvSpPr/>
                        <wps:spPr>
                          <a:xfrm>
                            <a:off x="614362" y="612756"/>
                            <a:ext cx="1270" cy="276225"/>
                          </a:xfrm>
                          <a:custGeom>
                            <a:avLst/>
                            <a:gdLst/>
                            <a:ahLst/>
                            <a:cxnLst/>
                            <a:rect l="l" t="t" r="r" b="b"/>
                            <a:pathLst>
                              <a:path h="276225">
                                <a:moveTo>
                                  <a:pt x="0" y="27622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A17BD8" id="Group 2072316435" o:spid="_x0000_s1026" style="position:absolute;margin-left:132pt;margin-top:20.55pt;width:299.25pt;height:133.75pt;z-index:-251613184;mso-wrap-distance-left:0;mso-wrap-distance-right:0;mso-position-horizontal-relative:page" coordsize="38004,16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">
                <v:shape id="Image 3" o:spid="_x0000_s1027" type="#_x0000_t75" style="position:absolute;width:38004;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">
                  <v:imagedata r:id="rId292" o:title=""/>
                </v:shape>
                <v:shape id="Graphic 4" o:spid="_x0000_s1028" style="position:absolute;left:30908;top:5619;width:13;height:2762;visibility:visible;mso-wrap-style:square;v-text-anchor:top" coordsize="127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" path="m,276225l,e" filled="f">
                  <v:path arrowok="t"/>
                </v:shape>
                <v:shape id="Image 5" o:spid="_x0000_s1029" type="#_x0000_t75" style="position:absolute;left:381;top:8889;width:12477;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">
                  <v:imagedata r:id="rId293" o:title=""/>
                </v:shape>
                <v:shape id="Image 6" o:spid="_x0000_s1030" type="#_x0000_t75" style="position:absolute;left:25050;top:8318;width:12954;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">
                  <v:imagedata r:id="rId294" o:title=""/>
                </v:shape>
                <v:shape id="Graphic 7" o:spid="_x0000_s1031" style="position:absolute;left:6143;top:6127;width:13;height:2762;visibility:visible;mso-wrap-style:square;v-text-anchor:top" coordsize="127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" path="m,276225l,e" filled="f">
                  <v:path arrowok="t"/>
                </v:shape>
                <w10:wrap type="topAndBottom" anchorx="page"/>
              </v:group>
            </w:pict>
          </mc:Fallback>
        </mc:AlternateContent>
      </w:r>
      <w:r w:rsidRPr="008D3090">
        <w:rPr>
          <w:rFonts w:ascii="Times New Roman" w:eastAsia="Times New Roman" w:hAnsi="Times New Roman" w:cs="Times New Roman"/>
          <w:b/>
          <w:bCs/>
          <w:kern w:val="0"/>
          <w14:ligatures w14:val="none"/>
        </w:rPr>
        <w:t xml:space="preserve">Conceptual </w:t>
      </w:r>
      <w:r w:rsidRPr="008D3090">
        <w:rPr>
          <w:rFonts w:ascii="Times New Roman" w:eastAsia="Times New Roman" w:hAnsi="Times New Roman" w:cs="Times New Roman"/>
          <w:b/>
          <w:bCs/>
          <w:spacing w:val="-2"/>
          <w:kern w:val="0"/>
          <w14:ligatures w14:val="none"/>
        </w:rPr>
        <w:t>Framework</w:t>
      </w:r>
    </w:p>
    <w:p w14:paraId="2A504E97" w14:textId="77777777" w:rsidR="008D3090" w:rsidRPr="008D3090" w:rsidRDefault="008D3090" w:rsidP="008D3090">
      <w:pPr>
        <w:widowControl w:val="0"/>
        <w:autoSpaceDE w:val="0"/>
        <w:autoSpaceDN w:val="0"/>
        <w:spacing w:before="90" w:after="0" w:line="240" w:lineRule="auto"/>
        <w:jc w:val="both"/>
        <w:rPr>
          <w:rFonts w:ascii="Times New Roman" w:eastAsia="Times New Roman" w:hAnsi="Times New Roman" w:cs="Times New Roman"/>
          <w:b/>
          <w:kern w:val="0"/>
          <w:sz w:val="20"/>
          <w14:ligatures w14:val="none"/>
        </w:rPr>
      </w:pPr>
    </w:p>
    <w:p w14:paraId="65E3C3A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14:ligatures w14:val="none"/>
        </w:rPr>
      </w:pPr>
      <w:r w:rsidRPr="008D3090">
        <w:rPr>
          <w:rFonts w:ascii="Times New Roman" w:eastAsia="Times New Roman" w:hAnsi="Times New Roman" w:cs="Times New Roman"/>
          <w:noProof/>
          <w:kern w:val="0"/>
          <w14:ligatures w14:val="none"/>
        </w:rPr>
        <w:drawing>
          <wp:anchor distT="0" distB="0" distL="0" distR="0" simplePos="0" relativeHeight="251701248" behindDoc="0" locked="0" layoutInCell="1" allowOverlap="1" wp14:anchorId="5A8CBFAF" wp14:editId="64A2797C">
            <wp:simplePos x="0" y="0"/>
            <wp:positionH relativeFrom="page">
              <wp:posOffset>1781175</wp:posOffset>
            </wp:positionH>
            <wp:positionV relativeFrom="paragraph">
              <wp:posOffset>10160</wp:posOffset>
            </wp:positionV>
            <wp:extent cx="1219200" cy="857250"/>
            <wp:effectExtent l="0" t="0" r="0" b="0"/>
            <wp:wrapNone/>
            <wp:docPr id="16028453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95" cstate="print"/>
                    <a:stretch>
                      <a:fillRect/>
                    </a:stretch>
                  </pic:blipFill>
                  <pic:spPr>
                    <a:xfrm>
                      <a:off x="0" y="0"/>
                      <a:ext cx="1219200" cy="857250"/>
                    </a:xfrm>
                    <a:prstGeom prst="rect">
                      <a:avLst/>
                    </a:prstGeom>
                  </pic:spPr>
                </pic:pic>
              </a:graphicData>
            </a:graphic>
          </wp:anchor>
        </w:drawing>
      </w:r>
      <w:r w:rsidRPr="008D3090">
        <w:rPr>
          <w:rFonts w:ascii="Times New Roman" w:eastAsia="Times New Roman" w:hAnsi="Times New Roman" w:cs="Times New Roman"/>
          <w:noProof/>
          <w:kern w:val="0"/>
          <w14:ligatures w14:val="none"/>
        </w:rPr>
        <w:drawing>
          <wp:anchor distT="0" distB="0" distL="0" distR="0" simplePos="0" relativeHeight="251702272" behindDoc="0" locked="0" layoutInCell="1" allowOverlap="1" wp14:anchorId="481B6CE1" wp14:editId="5F2CBD9E">
            <wp:simplePos x="0" y="0"/>
            <wp:positionH relativeFrom="page">
              <wp:posOffset>4162425</wp:posOffset>
            </wp:positionH>
            <wp:positionV relativeFrom="paragraph">
              <wp:posOffset>10160</wp:posOffset>
            </wp:positionV>
            <wp:extent cx="1333500" cy="8763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96" cstate="print"/>
                    <a:stretch>
                      <a:fillRect/>
                    </a:stretch>
                  </pic:blipFill>
                  <pic:spPr>
                    <a:xfrm>
                      <a:off x="0" y="0"/>
                      <a:ext cx="1333500" cy="876300"/>
                    </a:xfrm>
                    <a:prstGeom prst="rect">
                      <a:avLst/>
                    </a:prstGeom>
                  </pic:spPr>
                </pic:pic>
              </a:graphicData>
            </a:graphic>
          </wp:anchor>
        </w:drawing>
      </w:r>
    </w:p>
    <w:p w14:paraId="6DD5E4D6"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14:ligatures w14:val="none"/>
        </w:rPr>
      </w:pPr>
    </w:p>
    <w:p w14:paraId="41B8D9A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14:ligatures w14:val="none"/>
        </w:rPr>
      </w:pPr>
    </w:p>
    <w:p w14:paraId="6B82DBDE" w14:textId="77777777" w:rsidR="008D3090" w:rsidRPr="008D3090" w:rsidRDefault="008D3090" w:rsidP="008D3090">
      <w:pPr>
        <w:widowControl w:val="0"/>
        <w:autoSpaceDE w:val="0"/>
        <w:autoSpaceDN w:val="0"/>
        <w:spacing w:before="250" w:after="0" w:line="240" w:lineRule="auto"/>
        <w:jc w:val="both"/>
        <w:rPr>
          <w:rFonts w:ascii="Times New Roman" w:eastAsia="Times New Roman" w:hAnsi="Times New Roman" w:cs="Times New Roman"/>
          <w:b/>
          <w:kern w:val="0"/>
          <w14:ligatures w14:val="none"/>
        </w:rPr>
      </w:pPr>
    </w:p>
    <w:p w14:paraId="1639CBB0" w14:textId="77777777" w:rsidR="008D3090" w:rsidRPr="008D3090" w:rsidRDefault="008D3090" w:rsidP="008D3090">
      <w:pPr>
        <w:widowControl w:val="0"/>
        <w:autoSpaceDE w:val="0"/>
        <w:autoSpaceDN w:val="0"/>
        <w:spacing w:before="250" w:after="0" w:line="240" w:lineRule="auto"/>
        <w:jc w:val="both"/>
        <w:rPr>
          <w:rFonts w:ascii="Times New Roman" w:eastAsia="Times New Roman" w:hAnsi="Times New Roman" w:cs="Times New Roman"/>
          <w:b/>
          <w:kern w:val="0"/>
          <w14:ligatures w14:val="none"/>
        </w:rPr>
      </w:pPr>
    </w:p>
    <w:p w14:paraId="4247D21D" w14:textId="77777777" w:rsidR="008D3090" w:rsidRPr="008D3090" w:rsidRDefault="008D3090" w:rsidP="008D3090">
      <w:pPr>
        <w:widowControl w:val="0"/>
        <w:autoSpaceDE w:val="0"/>
        <w:autoSpaceDN w:val="0"/>
        <w:spacing w:before="1"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Source:</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Kotler</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Keller</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(2020), Chopra</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Meindl</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(2019), Silver,</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Pyke,</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 xml:space="preserve">Peterson </w:t>
      </w:r>
      <w:r w:rsidRPr="008D3090">
        <w:rPr>
          <w:rFonts w:ascii="Times New Roman" w:eastAsia="Times New Roman" w:hAnsi="Times New Roman" w:cs="Times New Roman"/>
          <w:spacing w:val="-2"/>
          <w:kern w:val="0"/>
          <w14:ligatures w14:val="none"/>
        </w:rPr>
        <w:t>(2017)</w:t>
      </w:r>
    </w:p>
    <w:p w14:paraId="58547EB2" w14:textId="77777777" w:rsidR="008D3090" w:rsidRPr="008D3090" w:rsidRDefault="008D3090" w:rsidP="008D3090">
      <w:pPr>
        <w:widowControl w:val="0"/>
        <w:autoSpaceDE w:val="0"/>
        <w:autoSpaceDN w:val="0"/>
        <w:spacing w:before="141" w:after="0" w:line="240" w:lineRule="auto"/>
        <w:jc w:val="both"/>
        <w:rPr>
          <w:rFonts w:ascii="Times New Roman" w:eastAsia="Times New Roman" w:hAnsi="Times New Roman" w:cs="Times New Roman"/>
          <w:kern w:val="0"/>
          <w14:ligatures w14:val="none"/>
        </w:rPr>
      </w:pPr>
    </w:p>
    <w:p w14:paraId="3C8D5C8A" w14:textId="77777777" w:rsidR="008D3090" w:rsidRPr="008D3090" w:rsidRDefault="008D3090" w:rsidP="00AE7FA9">
      <w:pPr>
        <w:widowControl w:val="0"/>
        <w:autoSpaceDE w:val="0"/>
        <w:autoSpaceDN w:val="0"/>
        <w:spacing w:before="1" w:after="0" w:line="240" w:lineRule="auto"/>
        <w:ind w:right="8"/>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 xml:space="preserve">The study aim is to examine the effect of demand forecasting on inventory optimization among bottled water firms in Port Harcourt, Rivers State. The sought to accomplish the following </w:t>
      </w:r>
      <w:r w:rsidRPr="008D3090">
        <w:rPr>
          <w:rFonts w:ascii="Times New Roman" w:eastAsia="Times New Roman" w:hAnsi="Times New Roman" w:cs="Times New Roman"/>
          <w:spacing w:val="-2"/>
          <w:kern w:val="0"/>
          <w14:ligatures w14:val="none"/>
        </w:rPr>
        <w:t>hypotheses;</w:t>
      </w:r>
    </w:p>
    <w:p w14:paraId="1623E6DD" w14:textId="77777777" w:rsidR="008D3090" w:rsidRPr="008D3090" w:rsidRDefault="008D3090" w:rsidP="00AE7FA9">
      <w:pPr>
        <w:widowControl w:val="0"/>
        <w:autoSpaceDE w:val="0"/>
        <w:autoSpaceDN w:val="0"/>
        <w:spacing w:before="3" w:after="0" w:line="240" w:lineRule="auto"/>
        <w:jc w:val="both"/>
        <w:rPr>
          <w:rFonts w:ascii="Times New Roman" w:eastAsia="Times New Roman" w:hAnsi="Times New Roman" w:cs="Times New Roman"/>
          <w:kern w:val="0"/>
          <w14:ligatures w14:val="none"/>
        </w:rPr>
      </w:pPr>
    </w:p>
    <w:p w14:paraId="7A5C5FC2" w14:textId="77777777" w:rsidR="008D3090" w:rsidRPr="008D3090" w:rsidRDefault="008D3090" w:rsidP="00AE7FA9">
      <w:pPr>
        <w:widowControl w:val="0"/>
        <w:numPr>
          <w:ilvl w:val="0"/>
          <w:numId w:val="53"/>
        </w:numPr>
        <w:tabs>
          <w:tab w:val="left" w:pos="720"/>
        </w:tabs>
        <w:autoSpaceDE w:val="0"/>
        <w:autoSpaceDN w:val="0"/>
        <w:spacing w:before="1" w:after="0" w:line="240" w:lineRule="auto"/>
        <w:ind w:right="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To assess the influence of historical sales analysis on</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inventory</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holding</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cost</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reduction</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in bottled water firms in Port Harcourt.</w:t>
      </w:r>
    </w:p>
    <w:p w14:paraId="44D28D83" w14:textId="77777777" w:rsidR="008D3090" w:rsidRPr="008D3090" w:rsidRDefault="008D3090" w:rsidP="00AE7FA9">
      <w:pPr>
        <w:widowControl w:val="0"/>
        <w:numPr>
          <w:ilvl w:val="0"/>
          <w:numId w:val="53"/>
        </w:numPr>
        <w:tabs>
          <w:tab w:val="left" w:pos="720"/>
        </w:tabs>
        <w:autoSpaceDE w:val="0"/>
        <w:autoSpaceDN w:val="0"/>
        <w:spacing w:after="0" w:line="240" w:lineRule="auto"/>
        <w:ind w:right="1" w:hanging="522"/>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To</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examine</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the</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effect</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of</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historical</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sales</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analysis</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on</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stockout</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service</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level performance in bottled water firms in Port Harcourt.</w:t>
      </w:r>
    </w:p>
    <w:p w14:paraId="5C8BB421" w14:textId="77777777" w:rsidR="008D3090" w:rsidRPr="008D3090" w:rsidRDefault="008D3090" w:rsidP="00AE7FA9">
      <w:pPr>
        <w:widowControl w:val="0"/>
        <w:numPr>
          <w:ilvl w:val="0"/>
          <w:numId w:val="53"/>
        </w:numPr>
        <w:tabs>
          <w:tab w:val="left" w:pos="719"/>
        </w:tabs>
        <w:autoSpaceDE w:val="0"/>
        <w:autoSpaceDN w:val="0"/>
        <w:spacing w:after="0" w:line="240" w:lineRule="auto"/>
        <w:ind w:left="719" w:right="5" w:hanging="57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To determine the impact of market and environmental</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analysis</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on</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inventory</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holding</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cost reduction in bottled water firms in Port Harcourt.</w:t>
      </w:r>
    </w:p>
    <w:p w14:paraId="768A3226" w14:textId="77777777" w:rsidR="008D3090" w:rsidRPr="008D3090" w:rsidRDefault="008D3090" w:rsidP="00AE7FA9">
      <w:pPr>
        <w:widowControl w:val="0"/>
        <w:numPr>
          <w:ilvl w:val="0"/>
          <w:numId w:val="53"/>
        </w:numPr>
        <w:tabs>
          <w:tab w:val="left" w:pos="720"/>
        </w:tabs>
        <w:autoSpaceDE w:val="0"/>
        <w:autoSpaceDN w:val="0"/>
        <w:spacing w:after="0" w:line="240" w:lineRule="auto"/>
        <w:ind w:right="11" w:hanging="553"/>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To investigate the effect of market and environmental analysis on stockout and service</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kern w:val="0"/>
          <w:szCs w:val="22"/>
          <w14:ligatures w14:val="none"/>
        </w:rPr>
        <w:t>level performance in bottled water firms in Port Harcourt.</w:t>
      </w:r>
    </w:p>
    <w:p w14:paraId="2EB2C5AE" w14:textId="77777777" w:rsidR="008D3090" w:rsidRPr="008D3090" w:rsidRDefault="008D3090" w:rsidP="00AE7FA9">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1B567104" w14:textId="77777777" w:rsidR="008D3090" w:rsidRPr="008D3090" w:rsidRDefault="008D3090" w:rsidP="00AE7FA9">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 xml:space="preserve">Based on the foregoing, the study postulated </w:t>
      </w:r>
      <w:r w:rsidRPr="008D3090">
        <w:rPr>
          <w:rFonts w:ascii="Times New Roman" w:eastAsia="Times New Roman" w:hAnsi="Times New Roman" w:cs="Times New Roman"/>
          <w:spacing w:val="-2"/>
          <w:kern w:val="0"/>
          <w14:ligatures w14:val="none"/>
        </w:rPr>
        <w:t>that;</w:t>
      </w:r>
    </w:p>
    <w:p w14:paraId="5E3A60E5" w14:textId="77777777" w:rsidR="008D3090" w:rsidRPr="008D3090" w:rsidRDefault="008D3090" w:rsidP="00AE7FA9">
      <w:pPr>
        <w:widowControl w:val="0"/>
        <w:numPr>
          <w:ilvl w:val="0"/>
          <w:numId w:val="52"/>
        </w:numPr>
        <w:tabs>
          <w:tab w:val="left" w:pos="720"/>
        </w:tabs>
        <w:autoSpaceDE w:val="0"/>
        <w:autoSpaceDN w:val="0"/>
        <w:spacing w:before="264"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H</w:t>
      </w:r>
      <w:r w:rsidRPr="008D3090">
        <w:rPr>
          <w:rFonts w:ascii="Cambria Math" w:eastAsia="Times New Roman" w:hAnsi="Cambria Math" w:cs="Cambria Math"/>
          <w:kern w:val="0"/>
          <w:szCs w:val="22"/>
          <w14:ligatures w14:val="none"/>
        </w:rPr>
        <w:t>₁</w:t>
      </w:r>
      <w:r w:rsidRPr="008D3090">
        <w:rPr>
          <w:rFonts w:ascii="Times New Roman" w:eastAsia="Times New Roman" w:hAnsi="Times New Roman" w:cs="Times New Roman"/>
          <w:kern w:val="0"/>
          <w:szCs w:val="22"/>
          <w14:ligatures w14:val="none"/>
        </w:rPr>
        <w:t>:</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There</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is</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a</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significant</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positive</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relationship</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between</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historical</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sales</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analysis</w:t>
      </w:r>
      <w:r w:rsidRPr="008D3090">
        <w:rPr>
          <w:rFonts w:ascii="Times New Roman" w:eastAsia="Times New Roman" w:hAnsi="Times New Roman" w:cs="Times New Roman"/>
          <w:spacing w:val="40"/>
          <w:kern w:val="0"/>
          <w:szCs w:val="22"/>
          <w14:ligatures w14:val="none"/>
        </w:rPr>
        <w:t xml:space="preserve"> </w:t>
      </w:r>
      <w:r w:rsidRPr="008D3090">
        <w:rPr>
          <w:rFonts w:ascii="Times New Roman" w:eastAsia="Times New Roman" w:hAnsi="Times New Roman" w:cs="Times New Roman"/>
          <w:kern w:val="0"/>
          <w:szCs w:val="22"/>
          <w14:ligatures w14:val="none"/>
        </w:rPr>
        <w:t>and inventory holding cost reduction among bottled water firms in Port Harcourt.</w:t>
      </w:r>
    </w:p>
    <w:p w14:paraId="00A4251C" w14:textId="77777777" w:rsidR="008D3090" w:rsidRPr="008D3090" w:rsidRDefault="008D3090" w:rsidP="00AE7FA9">
      <w:pPr>
        <w:widowControl w:val="0"/>
        <w:autoSpaceDE w:val="0"/>
        <w:autoSpaceDN w:val="0"/>
        <w:spacing w:after="0" w:line="240" w:lineRule="auto"/>
        <w:jc w:val="both"/>
        <w:rPr>
          <w:rFonts w:ascii="Times New Roman" w:eastAsia="Times New Roman" w:hAnsi="Times New Roman" w:cs="Times New Roman"/>
          <w:kern w:val="0"/>
          <w:szCs w:val="22"/>
          <w14:ligatures w14:val="none"/>
        </w:rPr>
        <w:sectPr w:rsidR="008D3090" w:rsidRPr="008D3090" w:rsidSect="008D3090">
          <w:pgSz w:w="12240" w:h="15840"/>
          <w:pgMar w:top="1820" w:right="1440" w:bottom="280" w:left="1440" w:header="720" w:footer="720" w:gutter="0"/>
          <w:cols w:space="720"/>
        </w:sectPr>
      </w:pPr>
    </w:p>
    <w:p w14:paraId="34305693" w14:textId="77777777" w:rsidR="008D3090" w:rsidRPr="008D3090" w:rsidRDefault="008D3090" w:rsidP="00AE7FA9">
      <w:pPr>
        <w:widowControl w:val="0"/>
        <w:numPr>
          <w:ilvl w:val="0"/>
          <w:numId w:val="52"/>
        </w:numPr>
        <w:tabs>
          <w:tab w:val="left" w:pos="720"/>
        </w:tabs>
        <w:autoSpaceDE w:val="0"/>
        <w:autoSpaceDN w:val="0"/>
        <w:spacing w:before="44" w:after="0" w:line="240" w:lineRule="auto"/>
        <w:ind w:hanging="5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lastRenderedPageBreak/>
        <w:t>H</w:t>
      </w:r>
      <w:r w:rsidRPr="008D3090">
        <w:rPr>
          <w:rFonts w:ascii="Cambria Math" w:eastAsia="Times New Roman" w:hAnsi="Cambria Math" w:cs="Cambria Math"/>
          <w:kern w:val="0"/>
          <w:szCs w:val="22"/>
          <w14:ligatures w14:val="none"/>
        </w:rPr>
        <w:t>₂</w:t>
      </w:r>
      <w:r w:rsidRPr="008D3090">
        <w:rPr>
          <w:rFonts w:ascii="Times New Roman" w:eastAsia="Times New Roman" w:hAnsi="Times New Roman" w:cs="Times New Roman"/>
          <w:kern w:val="0"/>
          <w:szCs w:val="22"/>
          <w14:ligatures w14:val="none"/>
        </w:rPr>
        <w:t>: There is a significant positive relationship between historical sales analysis and stock out and service level performance among bottled water firms in Port Harcourt.</w:t>
      </w:r>
    </w:p>
    <w:p w14:paraId="3D76101C" w14:textId="77777777" w:rsidR="008D3090" w:rsidRPr="008D3090" w:rsidRDefault="008D3090" w:rsidP="00AE7FA9">
      <w:pPr>
        <w:widowControl w:val="0"/>
        <w:numPr>
          <w:ilvl w:val="0"/>
          <w:numId w:val="52"/>
        </w:numPr>
        <w:tabs>
          <w:tab w:val="left" w:pos="720"/>
        </w:tabs>
        <w:autoSpaceDE w:val="0"/>
        <w:autoSpaceDN w:val="0"/>
        <w:spacing w:before="11" w:after="0" w:line="240" w:lineRule="auto"/>
        <w:ind w:right="3" w:hanging="621"/>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H</w:t>
      </w:r>
      <w:r w:rsidRPr="008D3090">
        <w:rPr>
          <w:rFonts w:ascii="Cambria Math" w:eastAsia="Times New Roman" w:hAnsi="Cambria Math" w:cs="Cambria Math"/>
          <w:kern w:val="0"/>
          <w:szCs w:val="22"/>
          <w14:ligatures w14:val="none"/>
        </w:rPr>
        <w:t>₃</w:t>
      </w:r>
      <w:r w:rsidRPr="008D3090">
        <w:rPr>
          <w:rFonts w:ascii="Times New Roman" w:eastAsia="Times New Roman" w:hAnsi="Times New Roman" w:cs="Times New Roman"/>
          <w:kern w:val="0"/>
          <w:szCs w:val="22"/>
          <w14:ligatures w14:val="none"/>
        </w:rPr>
        <w:t>: There is a significant positive relationship between market and environmental analysis and inventory holding cost reduction among bottled water firms in Port</w:t>
      </w:r>
      <w:r w:rsidRPr="008D3090">
        <w:rPr>
          <w:rFonts w:ascii="Times New Roman" w:eastAsia="Times New Roman" w:hAnsi="Times New Roman" w:cs="Times New Roman"/>
          <w:spacing w:val="80"/>
          <w:kern w:val="0"/>
          <w:szCs w:val="22"/>
          <w14:ligatures w14:val="none"/>
        </w:rPr>
        <w:t xml:space="preserve"> </w:t>
      </w:r>
      <w:r w:rsidRPr="008D3090">
        <w:rPr>
          <w:rFonts w:ascii="Times New Roman" w:eastAsia="Times New Roman" w:hAnsi="Times New Roman" w:cs="Times New Roman"/>
          <w:spacing w:val="-2"/>
          <w:kern w:val="0"/>
          <w:szCs w:val="22"/>
          <w14:ligatures w14:val="none"/>
        </w:rPr>
        <w:t>Harcourt.</w:t>
      </w:r>
    </w:p>
    <w:p w14:paraId="7554C4D1" w14:textId="77777777" w:rsidR="008D3090" w:rsidRPr="008D3090" w:rsidRDefault="008D3090" w:rsidP="00AE7FA9">
      <w:pPr>
        <w:widowControl w:val="0"/>
        <w:numPr>
          <w:ilvl w:val="0"/>
          <w:numId w:val="52"/>
        </w:numPr>
        <w:tabs>
          <w:tab w:val="left" w:pos="718"/>
          <w:tab w:val="left" w:pos="720"/>
        </w:tabs>
        <w:autoSpaceDE w:val="0"/>
        <w:autoSpaceDN w:val="0"/>
        <w:spacing w:after="0" w:line="240" w:lineRule="auto"/>
        <w:ind w:right="3" w:hanging="592"/>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H</w:t>
      </w:r>
      <w:r w:rsidRPr="008D3090">
        <w:rPr>
          <w:rFonts w:ascii="Cambria Math" w:eastAsia="Times New Roman" w:hAnsi="Cambria Math" w:cs="Cambria Math"/>
          <w:kern w:val="0"/>
          <w:szCs w:val="22"/>
          <w14:ligatures w14:val="none"/>
        </w:rPr>
        <w:t>₄</w:t>
      </w:r>
      <w:r w:rsidRPr="008D3090">
        <w:rPr>
          <w:rFonts w:ascii="Times New Roman" w:eastAsia="Times New Roman" w:hAnsi="Times New Roman" w:cs="Times New Roman"/>
          <w:kern w:val="0"/>
          <w:szCs w:val="22"/>
          <w14:ligatures w14:val="none"/>
        </w:rPr>
        <w:t xml:space="preserve">: There is a significant positive relationship between market and environmental analysis and stock out and service level performance among bottled water firms in Port </w:t>
      </w:r>
      <w:r w:rsidRPr="008D3090">
        <w:rPr>
          <w:rFonts w:ascii="Times New Roman" w:eastAsia="Times New Roman" w:hAnsi="Times New Roman" w:cs="Times New Roman"/>
          <w:spacing w:val="-2"/>
          <w:kern w:val="0"/>
          <w:szCs w:val="22"/>
          <w14:ligatures w14:val="none"/>
        </w:rPr>
        <w:t>Harcourt.</w:t>
      </w:r>
    </w:p>
    <w:p w14:paraId="500F88C0" w14:textId="77777777" w:rsidR="008D3090" w:rsidRPr="008D3090" w:rsidRDefault="008D3090" w:rsidP="008D3090">
      <w:pPr>
        <w:widowControl w:val="0"/>
        <w:autoSpaceDE w:val="0"/>
        <w:autoSpaceDN w:val="0"/>
        <w:spacing w:before="11" w:after="0" w:line="240" w:lineRule="auto"/>
        <w:jc w:val="both"/>
        <w:rPr>
          <w:rFonts w:ascii="Times New Roman" w:eastAsia="Times New Roman" w:hAnsi="Times New Roman" w:cs="Times New Roman"/>
          <w:kern w:val="0"/>
          <w14:ligatures w14:val="none"/>
        </w:rPr>
      </w:pPr>
    </w:p>
    <w:p w14:paraId="7EFE0D48" w14:textId="77777777" w:rsidR="008D3090" w:rsidRPr="008D3090" w:rsidRDefault="008D3090" w:rsidP="001A5F7B">
      <w:pPr>
        <w:widowControl w:val="0"/>
        <w:autoSpaceDE w:val="0"/>
        <w:autoSpaceDN w:val="0"/>
        <w:spacing w:after="0" w:line="240" w:lineRule="auto"/>
        <w:ind w:right="7235"/>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 xml:space="preserve">Literature Review Demand </w:t>
      </w:r>
      <w:r w:rsidRPr="008D3090">
        <w:rPr>
          <w:rFonts w:ascii="Times New Roman" w:eastAsia="Times New Roman" w:hAnsi="Times New Roman" w:cs="Times New Roman"/>
          <w:b/>
          <w:bCs/>
          <w:spacing w:val="-2"/>
          <w:kern w:val="0"/>
          <w14:ligatures w14:val="none"/>
        </w:rPr>
        <w:t>Forecasting</w:t>
      </w:r>
    </w:p>
    <w:p w14:paraId="735073B2" w14:textId="77777777" w:rsidR="008D3090" w:rsidRPr="008D3090" w:rsidRDefault="008D3090" w:rsidP="001A5F7B">
      <w:pPr>
        <w:widowControl w:val="0"/>
        <w:autoSpaceDE w:val="0"/>
        <w:autoSpaceDN w:val="0"/>
        <w:spacing w:before="3"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Demand forecasting is a critical managerial process that involves estimating future customer demand for products or services using historical data, market intelligence, and analytical techniques. It plays a central role in operational planning, production scheduling, procurement, and inventory control. According to Chopra and Meindl (2019), demand forecasting reduces uncertainty in supply chain decisions by providing informed estimates that guide resource allocation and operational efficiency. In manufacturing industries such as bottled water production, where demand fluctuates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due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to</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environmental</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socio-economic</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factors,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effective demand forecasting is essential for sustaining competitiveness and profitability. In the bottled water industry, demand forecasting is particularly important because demand is highly sensitive to factors such as weather conditions, population growth, health awareness, and public water supply reliability. In cities like Port Harcourt, seasonal variations especially during dry seasons and periods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scarcity</w:t>
      </w:r>
      <w:r w:rsidRPr="008D3090">
        <w:rPr>
          <w:rFonts w:ascii="Times New Roman" w:eastAsia="Times New Roman" w:hAnsi="Times New Roman" w:cs="Times New Roman"/>
          <w:spacing w:val="-3"/>
          <w:kern w:val="0"/>
          <w14:ligatures w14:val="none"/>
        </w:rPr>
        <w:t xml:space="preserve"> </w:t>
      </w:r>
      <w:proofErr w:type="gramStart"/>
      <w:r w:rsidRPr="008D3090">
        <w:rPr>
          <w:rFonts w:ascii="Times New Roman" w:eastAsia="Times New Roman" w:hAnsi="Times New Roman" w:cs="Times New Roman"/>
          <w:kern w:val="0"/>
          <w14:ligatures w14:val="none"/>
        </w:rPr>
        <w:t>lead</w:t>
      </w:r>
      <w:proofErr w:type="gramEnd"/>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to</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sharp</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increases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consumption.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that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fail to anticipate these demand fluctuations often experience production bottlenecks, stock outs, or excess inventory, all of which negatively affect operational performance (Heizer, Render, &amp; Munson, 2020). Demand forecasting also supports strategic decision-making by enabling firms</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to align production capacity with market demand. Accurate forecasts help managers determine appropriate production volumes, workforce requirements, and distribution schedules. Ballou (2018) argues that forecasting accuracy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directly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influences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decisions,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poor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forecasts increase</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likelihood</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overstocking</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or</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understocking.</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context</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15"/>
          <w:kern w:val="0"/>
          <w14:ligatures w14:val="none"/>
        </w:rPr>
        <w:t xml:space="preserve"> </w:t>
      </w:r>
      <w:r w:rsidRPr="008D3090">
        <w:rPr>
          <w:rFonts w:ascii="Times New Roman" w:eastAsia="Times New Roman" w:hAnsi="Times New Roman" w:cs="Times New Roman"/>
          <w:spacing w:val="-2"/>
          <w:kern w:val="0"/>
          <w14:ligatures w14:val="none"/>
        </w:rPr>
        <w:t>firms,</w:t>
      </w:r>
    </w:p>
    <w:p w14:paraId="70736D45"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1733E8C7" w14:textId="77777777" w:rsidR="008D3090" w:rsidRPr="008D3090" w:rsidRDefault="008D3090" w:rsidP="001A5F7B">
      <w:pPr>
        <w:widowControl w:val="0"/>
        <w:autoSpaceDE w:val="0"/>
        <w:autoSpaceDN w:val="0"/>
        <w:spacing w:before="60" w:after="0" w:line="240" w:lineRule="auto"/>
        <w:ind w:right="12"/>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overstocking leads to increased storage costs and tied-up capital, while understocking results in lost sales and customer dissatisfaction.</w:t>
      </w:r>
    </w:p>
    <w:p w14:paraId="3D75E5BF"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6EFBA6DA"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b/>
          <w:kern w:val="0"/>
          <w14:ligatures w14:val="none"/>
        </w:rPr>
        <w:t xml:space="preserve">Market and Environmental Analysis: </w:t>
      </w:r>
      <w:r w:rsidRPr="008D3090">
        <w:rPr>
          <w:rFonts w:ascii="Times New Roman" w:eastAsia="Times New Roman" w:hAnsi="Times New Roman" w:cs="Times New Roman"/>
          <w:kern w:val="0"/>
          <w14:ligatures w14:val="none"/>
        </w:rPr>
        <w:t>Market and environmental analysis refer to the systematic examination of external factors and market conditions that influence customer demand,</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purchasing</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behavior,</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business</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performance.</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It</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involves</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assessing</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both market-related variables such as customer preferences, income levels, competition, pricing strategies, and promotional activities—and environmental factors, including economic conditions, weather patterns, demographic trends, infrastructural development, and regulatory policies. According to Kotler and Keller (2020), market analysis enables firms to understand customer needs and competitive dynamics, while environmental analysis helps organizations anticipate external forces that may shape market demand and operational outcomes. Together, these analyses provide a comprehensive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understanding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external</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environment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within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which firms operate. In the context of demand forecasting, market and environmental analysis plays a critical role by complementing historical sales data with real-time and forward-looking information. While past sales trends offer valuable insights, they may not fully capture sudden changes in demand caused by environmental shocks or market disruptions. Chopra and Meindl (2019) note that incorporating external variables into demand forecasts enhances accuracy, particularly in volatile markets. For bottled water firms, factors such as seasonal weather changes, population growth, urbanization, and the reliability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public</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supply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significantly affect consumption patterns and must be carefully analyzed to produce reliable demand</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spacing w:val="-2"/>
          <w:kern w:val="0"/>
          <w14:ligatures w14:val="none"/>
        </w:rPr>
        <w:t>estimates.</w:t>
      </w:r>
    </w:p>
    <w:p w14:paraId="473CEA90"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06FF6969"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b/>
          <w:kern w:val="0"/>
          <w14:ligatures w14:val="none"/>
        </w:rPr>
        <w:t xml:space="preserve">Historical Sales Analysis: </w:t>
      </w:r>
      <w:r w:rsidRPr="008D3090">
        <w:rPr>
          <w:rFonts w:ascii="Times New Roman" w:eastAsia="Times New Roman" w:hAnsi="Times New Roman" w:cs="Times New Roman"/>
          <w:kern w:val="0"/>
          <w14:ligatures w14:val="none"/>
        </w:rPr>
        <w:t>Historical sales analysis refers to the systematic examination and evaluation of a firm’s past sales records over a specific period in order to identify patterns,</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trends, and variations in demand. It involves the use of historical sales data to understand how products have performed in the market and to predict future demand behavior. According to Chopra 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Meindl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(2019),</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historical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sales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data</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form</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foundation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most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quantitative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demand forecasting techniques because past demand patterns often provide reliable indicators of future demand. By analyzing previous sales volumes, firms can detect regular fluctuations, growth trends, and seasonal effects that influence consumption levels. In demand forecasting, historical sales</w:t>
      </w:r>
      <w:r w:rsidRPr="008D3090">
        <w:rPr>
          <w:rFonts w:ascii="Times New Roman" w:eastAsia="Times New Roman" w:hAnsi="Times New Roman" w:cs="Times New Roman"/>
          <w:spacing w:val="58"/>
          <w:kern w:val="0"/>
          <w14:ligatures w14:val="none"/>
        </w:rPr>
        <w:t xml:space="preserve"> </w:t>
      </w:r>
      <w:r w:rsidRPr="008D3090">
        <w:rPr>
          <w:rFonts w:ascii="Times New Roman" w:eastAsia="Times New Roman" w:hAnsi="Times New Roman" w:cs="Times New Roman"/>
          <w:kern w:val="0"/>
          <w14:ligatures w14:val="none"/>
        </w:rPr>
        <w:t>analysis</w:t>
      </w:r>
      <w:r w:rsidRPr="008D3090">
        <w:rPr>
          <w:rFonts w:ascii="Times New Roman" w:eastAsia="Times New Roman" w:hAnsi="Times New Roman" w:cs="Times New Roman"/>
          <w:spacing w:val="60"/>
          <w:kern w:val="0"/>
          <w14:ligatures w14:val="none"/>
        </w:rPr>
        <w:t xml:space="preserve"> </w:t>
      </w:r>
      <w:r w:rsidRPr="008D3090">
        <w:rPr>
          <w:rFonts w:ascii="Times New Roman" w:eastAsia="Times New Roman" w:hAnsi="Times New Roman" w:cs="Times New Roman"/>
          <w:kern w:val="0"/>
          <w14:ligatures w14:val="none"/>
        </w:rPr>
        <w:t>serves</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as</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primary</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input</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for</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forecasting</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models</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such</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as</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time-series</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spacing w:val="-2"/>
          <w:kern w:val="0"/>
          <w14:ligatures w14:val="none"/>
        </w:rPr>
        <w:t>analysis,</w:t>
      </w:r>
    </w:p>
    <w:p w14:paraId="0F7BA57C"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15882C57" w14:textId="77777777" w:rsidR="008D3090" w:rsidRPr="008D3090" w:rsidRDefault="008D3090" w:rsidP="001A5F7B">
      <w:pPr>
        <w:widowControl w:val="0"/>
        <w:autoSpaceDE w:val="0"/>
        <w:autoSpaceDN w:val="0"/>
        <w:spacing w:before="6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moving averages, and exponential smoothing. These methods rely on the assumption that historical demand behavior, when adjusted for known changes, can be projected into the future with reasonable</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accuracy</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(Heizer,</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Render,</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&amp;</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Munson,</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2020).</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For</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manufacturing</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including bottled water producers, historical sales analysis helps managers estimate expected demand and plan production schedules, procurement activities, and inventory levels accordingly. Without systematic analysis of past sales data, forecasting decisions are often based on intuition or guesswork, which increases the risk of forecasting errors.</w:t>
      </w:r>
    </w:p>
    <w:p w14:paraId="2419B21D"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08D2D855" w14:textId="77777777" w:rsidR="008D3090" w:rsidRPr="008D3090" w:rsidRDefault="008D3090" w:rsidP="001A5F7B">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proofErr w:type="gramStart"/>
      <w:r w:rsidRPr="008D3090">
        <w:rPr>
          <w:rFonts w:ascii="Times New Roman" w:eastAsia="Times New Roman" w:hAnsi="Times New Roman" w:cs="Times New Roman"/>
          <w:b/>
          <w:bCs/>
          <w:kern w:val="0"/>
          <w14:ligatures w14:val="none"/>
        </w:rPr>
        <w:t xml:space="preserve">Inventory  </w:t>
      </w:r>
      <w:r w:rsidRPr="008D3090">
        <w:rPr>
          <w:rFonts w:ascii="Times New Roman" w:eastAsia="Times New Roman" w:hAnsi="Times New Roman" w:cs="Times New Roman"/>
          <w:b/>
          <w:bCs/>
          <w:spacing w:val="-2"/>
          <w:kern w:val="0"/>
          <w14:ligatures w14:val="none"/>
        </w:rPr>
        <w:t>Optimization</w:t>
      </w:r>
      <w:proofErr w:type="gramEnd"/>
    </w:p>
    <w:p w14:paraId="1BC1E788"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78DC1E26" w14:textId="77777777" w:rsidR="008D3090" w:rsidRPr="008D3090" w:rsidRDefault="008D3090" w:rsidP="001A5F7B">
      <w:pPr>
        <w:widowControl w:val="0"/>
        <w:autoSpaceDE w:val="0"/>
        <w:autoSpaceDN w:val="0"/>
        <w:spacing w:after="0" w:line="240" w:lineRule="auto"/>
        <w:ind w:right="-15"/>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Inventory optimization refers to the systematic process of determining optimal inventory levels that</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balance</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cost</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efficiency</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with</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service</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effectiveness.</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It</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involves</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minimizing</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total</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inventory-related costs such as holding, ordering, and shortage costs—while ensuring that customer demand is met promptly (Silver, Pyke, &amp; Peterson, 2017). In manufacturing firms, inventory optimization is a key driver of operational efficiency and financial performance. For bottled water firms, inventory optimization is critical due to the perishable nature of packaging materials, storage space limitations, and high competition in the FMCG market. Excess</w:t>
      </w:r>
      <w:r w:rsidRPr="008D3090">
        <w:rPr>
          <w:rFonts w:ascii="Times New Roman" w:eastAsia="Times New Roman" w:hAnsi="Times New Roman" w:cs="Times New Roman"/>
          <w:spacing w:val="80"/>
          <w:kern w:val="0"/>
          <w14:ligatures w14:val="none"/>
        </w:rPr>
        <w:t xml:space="preserve"> </w:t>
      </w:r>
      <w:r w:rsidRPr="008D3090">
        <w:rPr>
          <w:rFonts w:ascii="Times New Roman" w:eastAsia="Times New Roman" w:hAnsi="Times New Roman" w:cs="Times New Roman"/>
          <w:kern w:val="0"/>
          <w14:ligatures w14:val="none"/>
        </w:rPr>
        <w:t>inventory increases warehousing costs and ties up working capital, while insufficient inventory leads to frequent stock outs and lost sales. Ballou (2018) notes that effective inventory optimization improves cash flow and enhances overall supply chain performance. Inventory optimization also supports lean operations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by</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reducing</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waste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inefficiencies.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Through</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use of inventory models such as Economic Order Quantity</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(EOQ),</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reorder</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point</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systems,</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safety stock calculations, firms can determine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appropriate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replenishment</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quantities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timing.</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Slack</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et al. (2022) argue that optimized inventory systems improve service levels and customer satisfaction by</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ensuring</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consistent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product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availability.</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developing</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economies,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however,</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many firms struggle with inventory optimization due to poor data quality and reliance on manual inventory systems. Ogunnaike et al. (2020) observe that inadequate inventory planning leads to frequent disruptions and inefficiencies among Nigerian manufacturing firms. This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highlights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 xml:space="preserve">the need to examine inventory optimization practices within the bottled water industry in Port </w:t>
      </w:r>
      <w:r w:rsidRPr="008D3090">
        <w:rPr>
          <w:rFonts w:ascii="Times New Roman" w:eastAsia="Times New Roman" w:hAnsi="Times New Roman" w:cs="Times New Roman"/>
          <w:spacing w:val="-2"/>
          <w:kern w:val="0"/>
          <w14:ligatures w14:val="none"/>
        </w:rPr>
        <w:t>Harcourt.</w:t>
      </w:r>
    </w:p>
    <w:p w14:paraId="2F7D9E87"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01376B4D" w14:textId="77777777" w:rsidR="008D3090" w:rsidRPr="008D3090" w:rsidRDefault="008D3090" w:rsidP="001A5F7B">
      <w:pPr>
        <w:widowControl w:val="0"/>
        <w:autoSpaceDE w:val="0"/>
        <w:autoSpaceDN w:val="0"/>
        <w:spacing w:before="60"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b/>
          <w:kern w:val="0"/>
          <w14:ligatures w14:val="none"/>
        </w:rPr>
        <w:lastRenderedPageBreak/>
        <w:t xml:space="preserve">Inventory Holding Cost Reduction: </w:t>
      </w:r>
      <w:r w:rsidRPr="008D3090">
        <w:rPr>
          <w:rFonts w:ascii="Times New Roman" w:eastAsia="Times New Roman" w:hAnsi="Times New Roman" w:cs="Times New Roman"/>
          <w:kern w:val="0"/>
          <w14:ligatures w14:val="none"/>
        </w:rPr>
        <w:t>Inventory holding cost reduction refers to the strategic efforts made by a firm to minimize the costs associated with storing and maintaining inventory over a given period. Inventory holding costs, also known as carrying costs, include expenses related to warehousing, storage space, insurance, handling, spoilage, obsolescence,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security,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and the opportunity cost of capital tied up in inventory. According to Silver, Pyke, and Peterson (2017), holding costs typically represent a significant portion of total inventory costs, making their reduction a central objective of inventory optimization. Effective inventory holding cost reduction enables firms to operate more efficiently by avoiding excessive stock accumulation while still meeting customer demand. In manufacturing and FMCG industries such as bottled water production, inventory holding cost reduction is particularly important due to high</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inventory turnover and limited storage capacity. Excess inventory leads to increased storage expenses and ties up working capital that could otherwise be invested in productive activities such as equipment upgrades or market expansion. Ballou (2018) notes that firms that maintain excessive inventory often experience reduced liquidity and higher operational costs, which negatively affect profitability.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For</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Port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Harcourt,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where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operating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costs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are already elevated due to energy, logistics, and infrastructural challenges, reducing inventory holding costs is essential for financial sustainability.</w:t>
      </w:r>
    </w:p>
    <w:p w14:paraId="461C1CAC"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3F84D910" w14:textId="77777777" w:rsidR="008D3090" w:rsidRPr="008D3090" w:rsidRDefault="008D3090" w:rsidP="001A5F7B">
      <w:pPr>
        <w:widowControl w:val="0"/>
        <w:autoSpaceDE w:val="0"/>
        <w:autoSpaceDN w:val="0"/>
        <w:spacing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b/>
          <w:kern w:val="0"/>
          <w14:ligatures w14:val="none"/>
        </w:rPr>
        <w:t xml:space="preserve">Stock out and Service Level Performance: </w:t>
      </w:r>
      <w:r w:rsidRPr="008D3090">
        <w:rPr>
          <w:rFonts w:ascii="Times New Roman" w:eastAsia="Times New Roman" w:hAnsi="Times New Roman" w:cs="Times New Roman"/>
          <w:kern w:val="0"/>
          <w14:ligatures w14:val="none"/>
        </w:rPr>
        <w:t>Stock out and service level performance refers to a measure of a firm’s effectiveness in meeting customer demand by ensuring the availability of products when and where they are needed. A stock out occurs when the inventory on hand is insufficient to satisfy customer orders, leading to delayed deliveries or lost sales. Service level performance, on the other hand, reflects the firm’s ability to maintain continuous product availability, minimize stock outs, and fulfill customer orders consistently. According to Slack, Brandon-Jones, and Burgess (2022), high service levels are critical indicators of supply chain efficiency, as they directly influence customer satisfaction, brand loyalty, and competitive advantage. In the context of inventory management, stock out and service level performance are closely interrelated. Frequent stock outs indicate poor inventory control or inaccurate demand forecasting, while consistent product availability reflects effective inventory optimization practices. Chopra and Meindl (2019) emphasize that maintaining high service levels requires firms</w:t>
      </w:r>
      <w:r w:rsidRPr="008D3090">
        <w:rPr>
          <w:rFonts w:ascii="Times New Roman" w:eastAsia="Times New Roman" w:hAnsi="Times New Roman" w:cs="Times New Roman"/>
          <w:spacing w:val="58"/>
          <w:kern w:val="0"/>
          <w14:ligatures w14:val="none"/>
        </w:rPr>
        <w:t xml:space="preserve"> </w:t>
      </w:r>
      <w:r w:rsidRPr="008D3090">
        <w:rPr>
          <w:rFonts w:ascii="Times New Roman" w:eastAsia="Times New Roman" w:hAnsi="Times New Roman" w:cs="Times New Roman"/>
          <w:kern w:val="0"/>
          <w14:ligatures w14:val="none"/>
        </w:rPr>
        <w:t>to</w:t>
      </w:r>
      <w:r w:rsidRPr="008D3090">
        <w:rPr>
          <w:rFonts w:ascii="Times New Roman" w:eastAsia="Times New Roman" w:hAnsi="Times New Roman" w:cs="Times New Roman"/>
          <w:spacing w:val="59"/>
          <w:kern w:val="0"/>
          <w14:ligatures w14:val="none"/>
        </w:rPr>
        <w:t xml:space="preserve"> </w:t>
      </w:r>
      <w:r w:rsidRPr="008D3090">
        <w:rPr>
          <w:rFonts w:ascii="Times New Roman" w:eastAsia="Times New Roman" w:hAnsi="Times New Roman" w:cs="Times New Roman"/>
          <w:kern w:val="0"/>
          <w14:ligatures w14:val="none"/>
        </w:rPr>
        <w:t>balance</w:t>
      </w:r>
      <w:r w:rsidRPr="008D3090">
        <w:rPr>
          <w:rFonts w:ascii="Times New Roman" w:eastAsia="Times New Roman" w:hAnsi="Times New Roman" w:cs="Times New Roman"/>
          <w:spacing w:val="58"/>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59"/>
          <w:kern w:val="0"/>
          <w14:ligatures w14:val="none"/>
        </w:rPr>
        <w:t xml:space="preserve"> </w:t>
      </w:r>
      <w:r w:rsidRPr="008D3090">
        <w:rPr>
          <w:rFonts w:ascii="Times New Roman" w:eastAsia="Times New Roman" w:hAnsi="Times New Roman" w:cs="Times New Roman"/>
          <w:kern w:val="0"/>
          <w14:ligatures w14:val="none"/>
        </w:rPr>
        <w:t>costs</w:t>
      </w:r>
      <w:r w:rsidRPr="008D3090">
        <w:rPr>
          <w:rFonts w:ascii="Times New Roman" w:eastAsia="Times New Roman" w:hAnsi="Times New Roman" w:cs="Times New Roman"/>
          <w:spacing w:val="59"/>
          <w:kern w:val="0"/>
          <w14:ligatures w14:val="none"/>
        </w:rPr>
        <w:t xml:space="preserve"> </w:t>
      </w:r>
      <w:r w:rsidRPr="008D3090">
        <w:rPr>
          <w:rFonts w:ascii="Times New Roman" w:eastAsia="Times New Roman" w:hAnsi="Times New Roman" w:cs="Times New Roman"/>
          <w:kern w:val="0"/>
          <w14:ligatures w14:val="none"/>
        </w:rPr>
        <w:t>with</w:t>
      </w:r>
      <w:r w:rsidRPr="008D3090">
        <w:rPr>
          <w:rFonts w:ascii="Times New Roman" w:eastAsia="Times New Roman" w:hAnsi="Times New Roman" w:cs="Times New Roman"/>
          <w:spacing w:val="58"/>
          <w:kern w:val="0"/>
          <w14:ligatures w14:val="none"/>
        </w:rPr>
        <w:t xml:space="preserve"> </w:t>
      </w:r>
      <w:r w:rsidRPr="008D3090">
        <w:rPr>
          <w:rFonts w:ascii="Times New Roman" w:eastAsia="Times New Roman" w:hAnsi="Times New Roman" w:cs="Times New Roman"/>
          <w:kern w:val="0"/>
          <w14:ligatures w14:val="none"/>
        </w:rPr>
        <w:t>customer</w:t>
      </w:r>
      <w:r w:rsidRPr="008D3090">
        <w:rPr>
          <w:rFonts w:ascii="Times New Roman" w:eastAsia="Times New Roman" w:hAnsi="Times New Roman" w:cs="Times New Roman"/>
          <w:spacing w:val="59"/>
          <w:kern w:val="0"/>
          <w14:ligatures w14:val="none"/>
        </w:rPr>
        <w:t xml:space="preserve"> </w:t>
      </w:r>
      <w:r w:rsidRPr="008D3090">
        <w:rPr>
          <w:rFonts w:ascii="Times New Roman" w:eastAsia="Times New Roman" w:hAnsi="Times New Roman" w:cs="Times New Roman"/>
          <w:kern w:val="0"/>
          <w14:ligatures w14:val="none"/>
        </w:rPr>
        <w:t>demand</w:t>
      </w:r>
      <w:r w:rsidRPr="008D3090">
        <w:rPr>
          <w:rFonts w:ascii="Times New Roman" w:eastAsia="Times New Roman" w:hAnsi="Times New Roman" w:cs="Times New Roman"/>
          <w:spacing w:val="59"/>
          <w:kern w:val="0"/>
          <w14:ligatures w14:val="none"/>
        </w:rPr>
        <w:t xml:space="preserve"> </w:t>
      </w:r>
      <w:r w:rsidRPr="008D3090">
        <w:rPr>
          <w:rFonts w:ascii="Times New Roman" w:eastAsia="Times New Roman" w:hAnsi="Times New Roman" w:cs="Times New Roman"/>
          <w:kern w:val="0"/>
          <w14:ligatures w14:val="none"/>
        </w:rPr>
        <w:t>uncertainty.</w:t>
      </w:r>
      <w:r w:rsidRPr="008D3090">
        <w:rPr>
          <w:rFonts w:ascii="Times New Roman" w:eastAsia="Times New Roman" w:hAnsi="Times New Roman" w:cs="Times New Roman"/>
          <w:spacing w:val="58"/>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59"/>
          <w:kern w:val="0"/>
          <w14:ligatures w14:val="none"/>
        </w:rPr>
        <w:t xml:space="preserve"> </w:t>
      </w:r>
      <w:r w:rsidRPr="008D3090">
        <w:rPr>
          <w:rFonts w:ascii="Times New Roman" w:eastAsia="Times New Roman" w:hAnsi="Times New Roman" w:cs="Times New Roman"/>
          <w:kern w:val="0"/>
          <w14:ligatures w14:val="none"/>
        </w:rPr>
        <w:t>firm</w:t>
      </w:r>
      <w:r w:rsidRPr="008D3090">
        <w:rPr>
          <w:rFonts w:ascii="Times New Roman" w:eastAsia="Times New Roman" w:hAnsi="Times New Roman" w:cs="Times New Roman"/>
          <w:spacing w:val="44"/>
          <w:kern w:val="0"/>
          <w14:ligatures w14:val="none"/>
        </w:rPr>
        <w:t xml:space="preserve"> </w:t>
      </w:r>
      <w:r w:rsidRPr="008D3090">
        <w:rPr>
          <w:rFonts w:ascii="Times New Roman" w:eastAsia="Times New Roman" w:hAnsi="Times New Roman" w:cs="Times New Roman"/>
          <w:kern w:val="0"/>
          <w14:ligatures w14:val="none"/>
        </w:rPr>
        <w:t>that</w:t>
      </w:r>
      <w:r w:rsidRPr="008D3090">
        <w:rPr>
          <w:rFonts w:ascii="Times New Roman" w:eastAsia="Times New Roman" w:hAnsi="Times New Roman" w:cs="Times New Roman"/>
          <w:spacing w:val="44"/>
          <w:kern w:val="0"/>
          <w14:ligatures w14:val="none"/>
        </w:rPr>
        <w:t xml:space="preserve"> </w:t>
      </w:r>
      <w:r w:rsidRPr="008D3090">
        <w:rPr>
          <w:rFonts w:ascii="Times New Roman" w:eastAsia="Times New Roman" w:hAnsi="Times New Roman" w:cs="Times New Roman"/>
          <w:spacing w:val="-2"/>
          <w:kern w:val="0"/>
          <w14:ligatures w14:val="none"/>
        </w:rPr>
        <w:t>prioritizes</w:t>
      </w:r>
    </w:p>
    <w:p w14:paraId="6688134D"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0D595EAC" w14:textId="77777777" w:rsidR="008D3090" w:rsidRPr="008D3090" w:rsidRDefault="008D3090" w:rsidP="001A5F7B">
      <w:pPr>
        <w:widowControl w:val="0"/>
        <w:autoSpaceDE w:val="0"/>
        <w:autoSpaceDN w:val="0"/>
        <w:spacing w:before="6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service level performance may hold slightly higher inventory to avoid stock outs, whereas minimizing inventory holding costs without regard for demand variability can increase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stock out occurrences. For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Port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Harcourt,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stock out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service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level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performance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are particularly important due to the nature of the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product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consumer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expectations.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water is a high-demand, fast-moving consumer good, and any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interruption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supply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can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quickly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result in lost sales and reduced customer confidence. Heizer, Render, and Munson (2020) note that in fast-moving markets, even short-term stock outs can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push</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customers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toward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competitors,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thereby affecting revenue and market share. Ensuring that water products are consistently available in retail outlets, supermarkets,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direct-to-consumer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channels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essential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for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maintaining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strong market presence.</w:t>
      </w:r>
    </w:p>
    <w:p w14:paraId="38919CF7"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453F7736" w14:textId="77777777" w:rsidR="008D3090" w:rsidRPr="008D3090" w:rsidRDefault="008D3090" w:rsidP="001A5F7B">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proofErr w:type="gramStart"/>
      <w:r w:rsidRPr="008D3090">
        <w:rPr>
          <w:rFonts w:ascii="Times New Roman" w:eastAsia="Times New Roman" w:hAnsi="Times New Roman" w:cs="Times New Roman"/>
          <w:b/>
          <w:bCs/>
          <w:kern w:val="0"/>
          <w14:ligatures w14:val="none"/>
        </w:rPr>
        <w:t xml:space="preserve">Empirical  </w:t>
      </w:r>
      <w:r w:rsidRPr="008D3090">
        <w:rPr>
          <w:rFonts w:ascii="Times New Roman" w:eastAsia="Times New Roman" w:hAnsi="Times New Roman" w:cs="Times New Roman"/>
          <w:b/>
          <w:bCs/>
          <w:spacing w:val="-2"/>
          <w:kern w:val="0"/>
          <w14:ligatures w14:val="none"/>
        </w:rPr>
        <w:t>Review</w:t>
      </w:r>
      <w:proofErr w:type="gramEnd"/>
    </w:p>
    <w:p w14:paraId="2ECD3766"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11D3034C"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 xml:space="preserve">Historical Sales Analysis and Inventory Holding Cost </w:t>
      </w:r>
      <w:r w:rsidRPr="008D3090">
        <w:rPr>
          <w:rFonts w:ascii="Times New Roman" w:eastAsia="Times New Roman" w:hAnsi="Times New Roman" w:cs="Times New Roman"/>
          <w:b/>
          <w:spacing w:val="-2"/>
          <w:kern w:val="0"/>
          <w:szCs w:val="22"/>
          <w14:ligatures w14:val="none"/>
        </w:rPr>
        <w:t>Reduction</w:t>
      </w:r>
    </w:p>
    <w:p w14:paraId="673239C6"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0CDF3F7E"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Adeyemi and Salami (2022) examined manufacturing firms in Nigeria and found that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that systematically analyzed historical sales data were able to maintain optimal inventory levels, reduce excess stock, and minimize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holding</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costs.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Similarly,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Ballou</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(2018)</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emphasized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that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 xml:space="preserve">firms using quantitative sales data for forecasting could better align inventory with actual demand, reducing storage costs and tied-up capital. Ogunnaike, Kehinde, and Ajao (2020) conducted a study on SMEs in Nigeria and reported that firms that relied on historical demand records experienced lower inventory costs compared to those using ad hoc methods. The study highlighted that overstocking, which results from poor forecasting, leads to high holding costs, wastage, and reduced cash flow, while accurate historical sales analysis supports lean inventory practices. These findings suggest that historical sales analysis is a strong predictor of inventory holding cost reduction, particularly in industries with high turnover rates like bottled water </w:t>
      </w:r>
      <w:r w:rsidRPr="008D3090">
        <w:rPr>
          <w:rFonts w:ascii="Times New Roman" w:eastAsia="Times New Roman" w:hAnsi="Times New Roman" w:cs="Times New Roman"/>
          <w:spacing w:val="-2"/>
          <w:kern w:val="0"/>
          <w14:ligatures w14:val="none"/>
        </w:rPr>
        <w:t>production.</w:t>
      </w:r>
    </w:p>
    <w:p w14:paraId="6B938117"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14CC31AA" w14:textId="77777777" w:rsidR="008D3090" w:rsidRPr="008D3090" w:rsidRDefault="008D3090" w:rsidP="001A5F7B">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 xml:space="preserve">Historical Sales Analysis and Stock out/Service Level </w:t>
      </w:r>
      <w:r w:rsidRPr="008D3090">
        <w:rPr>
          <w:rFonts w:ascii="Times New Roman" w:eastAsia="Times New Roman" w:hAnsi="Times New Roman" w:cs="Times New Roman"/>
          <w:b/>
          <w:bCs/>
          <w:spacing w:val="-2"/>
          <w:kern w:val="0"/>
          <w14:ligatures w14:val="none"/>
        </w:rPr>
        <w:t>Performance</w:t>
      </w:r>
    </w:p>
    <w:p w14:paraId="789A0638"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47ED8CC7"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Slack, Brandon-Jones, and Burgess (2022) argue that understanding historical demand trends allows managers to synchronize production and inventory replenishment schedules with anticipated demand, thereby ensuring consistent product availability. Heizer, Render, and Munson</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(2020)</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found</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that</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using</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structured</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historical</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sales</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data</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forecasting</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spacing w:val="-2"/>
          <w:kern w:val="0"/>
          <w14:ligatures w14:val="none"/>
        </w:rPr>
        <w:t>achieved</w:t>
      </w:r>
    </w:p>
    <w:p w14:paraId="7F3E80A3"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1BD9DEF5" w14:textId="77777777" w:rsidR="008D3090" w:rsidRPr="008D3090" w:rsidRDefault="008D3090" w:rsidP="001A5F7B">
      <w:pPr>
        <w:widowControl w:val="0"/>
        <w:autoSpaceDE w:val="0"/>
        <w:autoSpaceDN w:val="0"/>
        <w:spacing w:before="6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higher service levels and experienced fewer stock outs. In bottled water firms, for example, seasonal demand during dry periods and festive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seasons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can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predicted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analyzing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past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sales patterns, enabling firms to maintain adequate inventory levels. Failure to analyze historical</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data often results in stock outs, missed sales opportunities, and loss of customer trust (Chopra &amp; Meindl, 2019).</w:t>
      </w:r>
    </w:p>
    <w:p w14:paraId="104B2CA8" w14:textId="77777777" w:rsidR="008D3090" w:rsidRPr="008D3090" w:rsidRDefault="008D3090" w:rsidP="001A5F7B">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Market</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and</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Environmental Analysis</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and</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Inventory Holding</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 xml:space="preserve">Cost </w:t>
      </w:r>
      <w:r w:rsidRPr="008D3090">
        <w:rPr>
          <w:rFonts w:ascii="Times New Roman" w:eastAsia="Times New Roman" w:hAnsi="Times New Roman" w:cs="Times New Roman"/>
          <w:b/>
          <w:bCs/>
          <w:spacing w:val="-2"/>
          <w:kern w:val="0"/>
          <w14:ligatures w14:val="none"/>
        </w:rPr>
        <w:t>Reduction</w:t>
      </w:r>
    </w:p>
    <w:p w14:paraId="2EFCDFBB"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361FD357" w14:textId="77777777" w:rsidR="008D3090" w:rsidRPr="008D3090" w:rsidRDefault="008D3090" w:rsidP="001A5F7B">
      <w:pPr>
        <w:widowControl w:val="0"/>
        <w:autoSpaceDE w:val="0"/>
        <w:autoSpaceDN w:val="0"/>
        <w:spacing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Kotler and Keller (2020) noted that firms that include environmental and market variables in forecasting models can better anticipate fluctuations in demand and optimize stock levels, thereby reducing holding costs. Adeyemi and Salami (2022) found that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integrating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market and environmental intelligence into inventory planning achieved lower holding costs than firms relying solely on historical sales data. By adjusting production and inventory policies based on anticipated market changes, firms can prevent overstocking and underutilization of warehouse space. For bottled water firms in Port Harcourt, environmental factors such as dry seasons and water scarcity drive demand spikes. Firms that monitor these factors can optimize inventory levels and reduce holding costs significantly (Ogunnaike et al., 2020).</w:t>
      </w:r>
    </w:p>
    <w:p w14:paraId="7DFB723D"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325A92DC" w14:textId="77777777" w:rsidR="008D3090" w:rsidRPr="008D3090" w:rsidRDefault="008D3090" w:rsidP="001A5F7B">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Market</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and</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Environmental</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Analysis and</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Stock out/Service</w:t>
      </w:r>
      <w:r w:rsidRPr="008D3090">
        <w:rPr>
          <w:rFonts w:ascii="Times New Roman" w:eastAsia="Times New Roman" w:hAnsi="Times New Roman" w:cs="Times New Roman"/>
          <w:b/>
          <w:bCs/>
          <w:spacing w:val="-1"/>
          <w:kern w:val="0"/>
          <w14:ligatures w14:val="none"/>
        </w:rPr>
        <w:t xml:space="preserve"> </w:t>
      </w:r>
      <w:r w:rsidRPr="008D3090">
        <w:rPr>
          <w:rFonts w:ascii="Times New Roman" w:eastAsia="Times New Roman" w:hAnsi="Times New Roman" w:cs="Times New Roman"/>
          <w:b/>
          <w:bCs/>
          <w:kern w:val="0"/>
          <w14:ligatures w14:val="none"/>
        </w:rPr>
        <w:t xml:space="preserve">Level </w:t>
      </w:r>
      <w:r w:rsidRPr="008D3090">
        <w:rPr>
          <w:rFonts w:ascii="Times New Roman" w:eastAsia="Times New Roman" w:hAnsi="Times New Roman" w:cs="Times New Roman"/>
          <w:b/>
          <w:bCs/>
          <w:spacing w:val="-2"/>
          <w:kern w:val="0"/>
          <w14:ligatures w14:val="none"/>
        </w:rPr>
        <w:t>Performance</w:t>
      </w:r>
    </w:p>
    <w:p w14:paraId="57C0CFC5"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1AEFAE35"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Chopra and Meindl (2019) argue that considering external factors in forecasting ensures supply chain responsiveness and enhances customer satisfaction. Adeyemi and Salami (2022) reported that firms using market intelligence to adjust inventory and production schedules experienced fewer stock outs and higher service levels.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Similarly,</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Ogunnaike</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et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al.</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(2020)</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found</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that</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SMEs</w:t>
      </w:r>
      <w:r w:rsidRPr="008D3090">
        <w:rPr>
          <w:rFonts w:ascii="Times New Roman" w:eastAsia="Times New Roman" w:hAnsi="Times New Roman" w:cs="Times New Roman"/>
          <w:spacing w:val="-4"/>
          <w:kern w:val="0"/>
          <w14:ligatures w14:val="none"/>
        </w:rPr>
        <w:t xml:space="preserve"> </w:t>
      </w:r>
      <w:r w:rsidRPr="008D3090">
        <w:rPr>
          <w:rFonts w:ascii="Times New Roman" w:eastAsia="Times New Roman" w:hAnsi="Times New Roman" w:cs="Times New Roman"/>
          <w:kern w:val="0"/>
          <w14:ligatures w14:val="none"/>
        </w:rPr>
        <w:t>in volatile environments that relied on market and environmental data for forecasting were more capable of meeting fluctuating demand and maintaining consistent product availability.</w:t>
      </w:r>
    </w:p>
    <w:p w14:paraId="77FAE178"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6EA8BDF7" w14:textId="77777777" w:rsidR="008D3090" w:rsidRPr="008D3090" w:rsidRDefault="008D3090" w:rsidP="001A5F7B">
      <w:pPr>
        <w:widowControl w:val="0"/>
        <w:autoSpaceDE w:val="0"/>
        <w:autoSpaceDN w:val="0"/>
        <w:spacing w:after="0" w:line="240" w:lineRule="auto"/>
        <w:jc w:val="both"/>
        <w:outlineLvl w:val="0"/>
        <w:rPr>
          <w:rFonts w:ascii="Times New Roman" w:eastAsia="Times New Roman" w:hAnsi="Times New Roman" w:cs="Times New Roman"/>
          <w:b/>
          <w:bCs/>
          <w:kern w:val="0"/>
          <w:sz w:val="27"/>
          <w:szCs w:val="27"/>
          <w14:ligatures w14:val="none"/>
        </w:rPr>
      </w:pPr>
      <w:r w:rsidRPr="008D3090">
        <w:rPr>
          <w:rFonts w:ascii="Times New Roman" w:eastAsia="Times New Roman" w:hAnsi="Times New Roman" w:cs="Times New Roman"/>
          <w:b/>
          <w:bCs/>
          <w:spacing w:val="-2"/>
          <w:kern w:val="0"/>
          <w:sz w:val="27"/>
          <w:szCs w:val="27"/>
          <w14:ligatures w14:val="none"/>
        </w:rPr>
        <w:t>Methodology</w:t>
      </w:r>
    </w:p>
    <w:p w14:paraId="5A8C92DB" w14:textId="77777777" w:rsidR="008D3090" w:rsidRPr="008D3090" w:rsidRDefault="008D3090" w:rsidP="001A5F7B">
      <w:pPr>
        <w:widowControl w:val="0"/>
        <w:autoSpaceDE w:val="0"/>
        <w:autoSpaceDN w:val="0"/>
        <w:spacing w:before="28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This study adopted a descriptive survey research design to examine the relationship between demand forecasting and inventory optimization among bottled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Port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Harcourt.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 population</w:t>
      </w:r>
      <w:r w:rsidRPr="008D3090">
        <w:rPr>
          <w:rFonts w:ascii="Times New Roman" w:eastAsia="Times New Roman" w:hAnsi="Times New Roman" w:cs="Times New Roman"/>
          <w:spacing w:val="43"/>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study</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comprised</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all</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registered</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bottled</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water</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manufacturing</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spacing w:val="-2"/>
          <w:kern w:val="0"/>
          <w14:ligatures w14:val="none"/>
        </w:rPr>
        <w:t>operating</w:t>
      </w:r>
    </w:p>
    <w:p w14:paraId="5DEACB93"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1390B573" w14:textId="77777777" w:rsidR="008D3090" w:rsidRPr="008D3090" w:rsidRDefault="008D3090" w:rsidP="001A5F7B">
      <w:pPr>
        <w:widowControl w:val="0"/>
        <w:autoSpaceDE w:val="0"/>
        <w:autoSpaceDN w:val="0"/>
        <w:spacing w:before="60"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within Port Harcourt metropolis, including both small, medium, and large-scale enterprises. Given the focus on operational practices, managers, production supervisors, and inventory officers who are directly involved in forecasting and inventory decisions were targeted as respondents. A purposive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sampling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technique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employed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to</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select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firms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respondents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who are knowledgeable about demand forecasting and inventory management practices. Based on available records from the Rivers State Ministry of Commerce and Industry, a total of 50 registered bottled water firms were identified, and from each firm, at least two key personnel were selected, resulting in a sample size of 100 respondents. Data for the study were collected using a structured questionnaire Data collected were analyzed using both descriptive and inferential statistics. Descriptive statistics,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including</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mean,</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frequency,</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percentage,</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were</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used to summarize respondents’ demographic characteristics. Inferential statistics, specifically</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Pearson Product-Moment Correlation (PPMC) was applied to test the hypotheses.</w:t>
      </w:r>
    </w:p>
    <w:p w14:paraId="318DB799" w14:textId="77777777" w:rsidR="008D3090" w:rsidRPr="008D3090" w:rsidRDefault="008D3090" w:rsidP="008D3090">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24C9329D"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Results</w:t>
      </w:r>
    </w:p>
    <w:p w14:paraId="55A77631" w14:textId="77777777" w:rsidR="008D3090" w:rsidRPr="008D3090" w:rsidRDefault="008D3090" w:rsidP="008D3090">
      <w:pPr>
        <w:widowControl w:val="0"/>
        <w:autoSpaceDE w:val="0"/>
        <w:autoSpaceDN w:val="0"/>
        <w:spacing w:before="230"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 xml:space="preserve">Demographic </w:t>
      </w:r>
      <w:r w:rsidRPr="008D3090">
        <w:rPr>
          <w:rFonts w:ascii="Times New Roman" w:eastAsia="Times New Roman" w:hAnsi="Times New Roman" w:cs="Times New Roman"/>
          <w:b/>
          <w:spacing w:val="-2"/>
          <w:kern w:val="0"/>
          <w:szCs w:val="22"/>
          <w14:ligatures w14:val="none"/>
        </w:rPr>
        <w:t>Analysis</w:t>
      </w:r>
    </w:p>
    <w:p w14:paraId="146E28BE" w14:textId="77777777" w:rsidR="008D3090" w:rsidRPr="008D3090" w:rsidRDefault="008D3090" w:rsidP="008D3090">
      <w:pPr>
        <w:widowControl w:val="0"/>
        <w:autoSpaceDE w:val="0"/>
        <w:autoSpaceDN w:val="0"/>
        <w:spacing w:before="240"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Table</w:t>
      </w:r>
      <w:r w:rsidRPr="008D3090">
        <w:rPr>
          <w:rFonts w:ascii="Times New Roman" w:eastAsia="Times New Roman" w:hAnsi="Times New Roman" w:cs="Times New Roman"/>
          <w:b/>
          <w:spacing w:val="-8"/>
          <w:kern w:val="0"/>
          <w:szCs w:val="22"/>
          <w14:ligatures w14:val="none"/>
        </w:rPr>
        <w:t xml:space="preserve"> </w:t>
      </w:r>
      <w:r w:rsidRPr="008D3090">
        <w:rPr>
          <w:rFonts w:ascii="Times New Roman" w:eastAsia="Times New Roman" w:hAnsi="Times New Roman" w:cs="Times New Roman"/>
          <w:b/>
          <w:kern w:val="0"/>
          <w:szCs w:val="22"/>
          <w14:ligatures w14:val="none"/>
        </w:rPr>
        <w:t>1:</w:t>
      </w:r>
      <w:r w:rsidRPr="008D3090">
        <w:rPr>
          <w:rFonts w:ascii="Times New Roman" w:eastAsia="Times New Roman" w:hAnsi="Times New Roman" w:cs="Times New Roman"/>
          <w:b/>
          <w:spacing w:val="-6"/>
          <w:kern w:val="0"/>
          <w:szCs w:val="22"/>
          <w14:ligatures w14:val="none"/>
        </w:rPr>
        <w:t xml:space="preserve"> </w:t>
      </w:r>
      <w:r w:rsidRPr="008D3090">
        <w:rPr>
          <w:rFonts w:ascii="Times New Roman" w:eastAsia="Times New Roman" w:hAnsi="Times New Roman" w:cs="Times New Roman"/>
          <w:b/>
          <w:kern w:val="0"/>
          <w:szCs w:val="22"/>
          <w14:ligatures w14:val="none"/>
        </w:rPr>
        <w:t>Experience</w:t>
      </w:r>
      <w:r w:rsidRPr="008D3090">
        <w:rPr>
          <w:rFonts w:ascii="Times New Roman" w:eastAsia="Times New Roman" w:hAnsi="Times New Roman" w:cs="Times New Roman"/>
          <w:b/>
          <w:spacing w:val="-6"/>
          <w:kern w:val="0"/>
          <w:szCs w:val="22"/>
          <w14:ligatures w14:val="none"/>
        </w:rPr>
        <w:t xml:space="preserve"> </w:t>
      </w:r>
      <w:r w:rsidRPr="008D3090">
        <w:rPr>
          <w:rFonts w:ascii="Times New Roman" w:eastAsia="Times New Roman" w:hAnsi="Times New Roman" w:cs="Times New Roman"/>
          <w:b/>
          <w:kern w:val="0"/>
          <w:szCs w:val="22"/>
          <w14:ligatures w14:val="none"/>
        </w:rPr>
        <w:t>of</w:t>
      </w:r>
      <w:r w:rsidRPr="008D3090">
        <w:rPr>
          <w:rFonts w:ascii="Times New Roman" w:eastAsia="Times New Roman" w:hAnsi="Times New Roman" w:cs="Times New Roman"/>
          <w:b/>
          <w:spacing w:val="-5"/>
          <w:kern w:val="0"/>
          <w:szCs w:val="22"/>
          <w14:ligatures w14:val="none"/>
        </w:rPr>
        <w:t xml:space="preserve"> </w:t>
      </w:r>
      <w:r w:rsidRPr="008D3090">
        <w:rPr>
          <w:rFonts w:ascii="Times New Roman" w:eastAsia="Times New Roman" w:hAnsi="Times New Roman" w:cs="Times New Roman"/>
          <w:b/>
          <w:spacing w:val="-2"/>
          <w:kern w:val="0"/>
          <w:szCs w:val="22"/>
          <w14:ligatures w14:val="none"/>
        </w:rPr>
        <w:t>Respondents</w:t>
      </w:r>
    </w:p>
    <w:p w14:paraId="611DCCED" w14:textId="77777777" w:rsidR="008D3090" w:rsidRPr="008D3090" w:rsidRDefault="008D3090" w:rsidP="008D3090">
      <w:pPr>
        <w:widowControl w:val="0"/>
        <w:autoSpaceDE w:val="0"/>
        <w:autoSpaceDN w:val="0"/>
        <w:spacing w:before="6" w:after="0" w:line="240" w:lineRule="auto"/>
        <w:jc w:val="both"/>
        <w:rPr>
          <w:rFonts w:ascii="Times New Roman" w:eastAsia="Times New Roman" w:hAnsi="Times New Roman" w:cs="Times New Roman"/>
          <w:b/>
          <w:kern w:val="0"/>
          <w:sz w:val="12"/>
          <w14:ligatures w14:val="none"/>
        </w:rPr>
      </w:pPr>
    </w:p>
    <w:tbl>
      <w:tblPr>
        <w:tblW w:w="0" w:type="auto"/>
        <w:tblInd w:w="7" w:type="dxa"/>
        <w:tblBorders>
          <w:top w:val="single" w:sz="8" w:space="0" w:color="152934"/>
          <w:left w:val="single" w:sz="8" w:space="0" w:color="152934"/>
          <w:bottom w:val="single" w:sz="8" w:space="0" w:color="152934"/>
          <w:right w:val="single" w:sz="8" w:space="0" w:color="152934"/>
          <w:insideH w:val="single" w:sz="8" w:space="0" w:color="152934"/>
          <w:insideV w:val="single" w:sz="8" w:space="0" w:color="152934"/>
        </w:tblBorders>
        <w:tblLayout w:type="fixed"/>
        <w:tblCellMar>
          <w:left w:w="0" w:type="dxa"/>
          <w:right w:w="0" w:type="dxa"/>
        </w:tblCellMar>
        <w:tblLook w:val="01E0" w:firstRow="1" w:lastRow="1" w:firstColumn="1" w:lastColumn="1" w:noHBand="0" w:noVBand="0"/>
      </w:tblPr>
      <w:tblGrid>
        <w:gridCol w:w="1000"/>
        <w:gridCol w:w="1295"/>
        <w:gridCol w:w="1575"/>
        <w:gridCol w:w="1400"/>
        <w:gridCol w:w="1880"/>
        <w:gridCol w:w="2000"/>
      </w:tblGrid>
      <w:tr w:rsidR="008D3090" w:rsidRPr="008D3090" w14:paraId="7678440C" w14:textId="77777777" w:rsidTr="00D00B3F">
        <w:trPr>
          <w:trHeight w:val="820"/>
        </w:trPr>
        <w:tc>
          <w:tcPr>
            <w:tcW w:w="3870" w:type="dxa"/>
            <w:gridSpan w:val="3"/>
            <w:tcBorders>
              <w:top w:val="nil"/>
              <w:left w:val="nil"/>
              <w:right w:val="single" w:sz="8" w:space="0" w:color="DFDFDF"/>
            </w:tcBorders>
          </w:tcPr>
          <w:p w14:paraId="4F4B7A03" w14:textId="77777777" w:rsidR="008D3090" w:rsidRPr="008D3090" w:rsidRDefault="008D3090" w:rsidP="008D3090">
            <w:pPr>
              <w:widowControl w:val="0"/>
              <w:autoSpaceDE w:val="0"/>
              <w:autoSpaceDN w:val="0"/>
              <w:spacing w:before="132" w:after="0" w:line="240" w:lineRule="auto"/>
              <w:jc w:val="both"/>
              <w:rPr>
                <w:rFonts w:ascii="Times New Roman" w:eastAsia="Times New Roman" w:hAnsi="Times New Roman" w:cs="Times New Roman"/>
                <w:b/>
                <w:kern w:val="0"/>
                <w:szCs w:val="22"/>
                <w14:ligatures w14:val="none"/>
              </w:rPr>
            </w:pPr>
          </w:p>
          <w:p w14:paraId="1D949DBC" w14:textId="77777777" w:rsidR="008D3090" w:rsidRPr="008D3090" w:rsidRDefault="008D3090" w:rsidP="008D3090">
            <w:pPr>
              <w:widowControl w:val="0"/>
              <w:autoSpaceDE w:val="0"/>
              <w:autoSpaceDN w:val="0"/>
              <w:spacing w:after="0" w:line="240" w:lineRule="auto"/>
              <w:ind w:right="26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Frequency</w:t>
            </w:r>
          </w:p>
        </w:tc>
        <w:tc>
          <w:tcPr>
            <w:tcW w:w="1400" w:type="dxa"/>
            <w:tcBorders>
              <w:top w:val="nil"/>
              <w:left w:val="single" w:sz="8" w:space="0" w:color="DFDFDF"/>
              <w:right w:val="single" w:sz="8" w:space="0" w:color="DFDFDF"/>
            </w:tcBorders>
          </w:tcPr>
          <w:p w14:paraId="6973E433" w14:textId="77777777" w:rsidR="008D3090" w:rsidRPr="008D3090" w:rsidRDefault="008D3090" w:rsidP="008D3090">
            <w:pPr>
              <w:widowControl w:val="0"/>
              <w:autoSpaceDE w:val="0"/>
              <w:autoSpaceDN w:val="0"/>
              <w:spacing w:before="132" w:after="0" w:line="240" w:lineRule="auto"/>
              <w:jc w:val="both"/>
              <w:rPr>
                <w:rFonts w:ascii="Times New Roman" w:eastAsia="Times New Roman" w:hAnsi="Times New Roman" w:cs="Times New Roman"/>
                <w:b/>
                <w:kern w:val="0"/>
                <w:szCs w:val="22"/>
                <w14:ligatures w14:val="none"/>
              </w:rPr>
            </w:pPr>
          </w:p>
          <w:p w14:paraId="1E066D7E"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Percent</w:t>
            </w:r>
          </w:p>
        </w:tc>
        <w:tc>
          <w:tcPr>
            <w:tcW w:w="1880" w:type="dxa"/>
            <w:tcBorders>
              <w:top w:val="nil"/>
              <w:left w:val="single" w:sz="8" w:space="0" w:color="DFDFDF"/>
              <w:right w:val="single" w:sz="8" w:space="0" w:color="DFDFDF"/>
            </w:tcBorders>
          </w:tcPr>
          <w:p w14:paraId="77A34300" w14:textId="77777777" w:rsidR="008D3090" w:rsidRPr="008D3090" w:rsidRDefault="008D3090" w:rsidP="008D3090">
            <w:pPr>
              <w:widowControl w:val="0"/>
              <w:autoSpaceDE w:val="0"/>
              <w:autoSpaceDN w:val="0"/>
              <w:spacing w:before="132" w:after="0" w:line="240" w:lineRule="auto"/>
              <w:jc w:val="both"/>
              <w:rPr>
                <w:rFonts w:ascii="Times New Roman" w:eastAsia="Times New Roman" w:hAnsi="Times New Roman" w:cs="Times New Roman"/>
                <w:b/>
                <w:kern w:val="0"/>
                <w:szCs w:val="22"/>
                <w14:ligatures w14:val="none"/>
              </w:rPr>
            </w:pPr>
          </w:p>
          <w:p w14:paraId="4D4E5B19"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Valid</w:t>
            </w:r>
            <w:r w:rsidRPr="008D3090">
              <w:rPr>
                <w:rFonts w:ascii="Times New Roman" w:eastAsia="Times New Roman" w:hAnsi="Times New Roman" w:cs="Times New Roman"/>
                <w:spacing w:val="-7"/>
                <w:kern w:val="0"/>
                <w:szCs w:val="22"/>
                <w14:ligatures w14:val="none"/>
              </w:rPr>
              <w:t xml:space="preserve"> </w:t>
            </w:r>
            <w:r w:rsidRPr="008D3090">
              <w:rPr>
                <w:rFonts w:ascii="Times New Roman" w:eastAsia="Times New Roman" w:hAnsi="Times New Roman" w:cs="Times New Roman"/>
                <w:spacing w:val="-2"/>
                <w:kern w:val="0"/>
                <w:szCs w:val="22"/>
                <w14:ligatures w14:val="none"/>
              </w:rPr>
              <w:t>Percent</w:t>
            </w:r>
          </w:p>
        </w:tc>
        <w:tc>
          <w:tcPr>
            <w:tcW w:w="2000" w:type="dxa"/>
            <w:tcBorders>
              <w:top w:val="nil"/>
              <w:left w:val="single" w:sz="8" w:space="0" w:color="DFDFDF"/>
              <w:right w:val="nil"/>
            </w:tcBorders>
          </w:tcPr>
          <w:p w14:paraId="5209B0E9" w14:textId="77777777" w:rsidR="008D3090" w:rsidRPr="008D3090" w:rsidRDefault="008D3090" w:rsidP="008D3090">
            <w:pPr>
              <w:widowControl w:val="0"/>
              <w:autoSpaceDE w:val="0"/>
              <w:autoSpaceDN w:val="0"/>
              <w:spacing w:after="0" w:line="270"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Cumulative</w:t>
            </w:r>
          </w:p>
          <w:p w14:paraId="58D4CAE3" w14:textId="77777777" w:rsidR="008D3090" w:rsidRPr="008D3090" w:rsidRDefault="008D3090" w:rsidP="008D3090">
            <w:pPr>
              <w:widowControl w:val="0"/>
              <w:autoSpaceDE w:val="0"/>
              <w:autoSpaceDN w:val="0"/>
              <w:spacing w:before="138"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Percent</w:t>
            </w:r>
          </w:p>
        </w:tc>
      </w:tr>
      <w:tr w:rsidR="008D3090" w:rsidRPr="008D3090" w14:paraId="02562355" w14:textId="77777777" w:rsidTr="00D00B3F">
        <w:trPr>
          <w:trHeight w:val="460"/>
        </w:trPr>
        <w:tc>
          <w:tcPr>
            <w:tcW w:w="1000" w:type="dxa"/>
            <w:vMerge w:val="restart"/>
            <w:tcBorders>
              <w:left w:val="nil"/>
              <w:right w:val="nil"/>
            </w:tcBorders>
            <w:shd w:val="clear" w:color="auto" w:fill="DFDFDF"/>
          </w:tcPr>
          <w:p w14:paraId="7ED77B8A" w14:textId="77777777" w:rsidR="008D3090" w:rsidRPr="008D3090" w:rsidRDefault="008D3090" w:rsidP="008D3090">
            <w:pPr>
              <w:widowControl w:val="0"/>
              <w:autoSpaceDE w:val="0"/>
              <w:autoSpaceDN w:val="0"/>
              <w:spacing w:after="0" w:line="273"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Valid</w:t>
            </w:r>
          </w:p>
        </w:tc>
        <w:tc>
          <w:tcPr>
            <w:tcW w:w="1295" w:type="dxa"/>
            <w:tcBorders>
              <w:left w:val="nil"/>
              <w:bottom w:val="single" w:sz="8" w:space="0" w:color="AEAEAE"/>
              <w:right w:val="nil"/>
            </w:tcBorders>
            <w:shd w:val="clear" w:color="auto" w:fill="DFDFDF"/>
          </w:tcPr>
          <w:p w14:paraId="2BAB4EA7" w14:textId="77777777" w:rsidR="008D3090" w:rsidRPr="008D3090" w:rsidRDefault="008D3090" w:rsidP="008D3090">
            <w:pPr>
              <w:widowControl w:val="0"/>
              <w:autoSpaceDE w:val="0"/>
              <w:autoSpaceDN w:val="0"/>
              <w:spacing w:after="0" w:line="273"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5-</w:t>
            </w:r>
            <w:r w:rsidRPr="008D3090">
              <w:rPr>
                <w:rFonts w:ascii="Times New Roman" w:eastAsia="Times New Roman" w:hAnsi="Times New Roman" w:cs="Times New Roman"/>
                <w:spacing w:val="-10"/>
                <w:kern w:val="0"/>
                <w:szCs w:val="22"/>
                <w14:ligatures w14:val="none"/>
              </w:rPr>
              <w:t>6</w:t>
            </w:r>
          </w:p>
        </w:tc>
        <w:tc>
          <w:tcPr>
            <w:tcW w:w="1575" w:type="dxa"/>
            <w:tcBorders>
              <w:left w:val="nil"/>
              <w:bottom w:val="single" w:sz="8" w:space="0" w:color="AEAEAE"/>
              <w:right w:val="single" w:sz="8" w:space="0" w:color="DFDFDF"/>
            </w:tcBorders>
            <w:shd w:val="clear" w:color="auto" w:fill="F9F9FA"/>
          </w:tcPr>
          <w:p w14:paraId="65F51756" w14:textId="77777777" w:rsidR="008D3090" w:rsidRPr="008D3090" w:rsidRDefault="008D3090" w:rsidP="008D3090">
            <w:pPr>
              <w:widowControl w:val="0"/>
              <w:autoSpaceDE w:val="0"/>
              <w:autoSpaceDN w:val="0"/>
              <w:spacing w:after="0" w:line="273" w:lineRule="exact"/>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17</w:t>
            </w:r>
          </w:p>
        </w:tc>
        <w:tc>
          <w:tcPr>
            <w:tcW w:w="1400" w:type="dxa"/>
            <w:tcBorders>
              <w:left w:val="single" w:sz="8" w:space="0" w:color="DFDFDF"/>
              <w:bottom w:val="single" w:sz="8" w:space="0" w:color="AEAEAE"/>
              <w:right w:val="single" w:sz="8" w:space="0" w:color="DFDFDF"/>
            </w:tcBorders>
            <w:shd w:val="clear" w:color="auto" w:fill="F9F9FA"/>
          </w:tcPr>
          <w:p w14:paraId="068D20B4" w14:textId="77777777" w:rsidR="008D3090" w:rsidRPr="008D3090" w:rsidRDefault="008D3090" w:rsidP="008D3090">
            <w:pPr>
              <w:widowControl w:val="0"/>
              <w:autoSpaceDE w:val="0"/>
              <w:autoSpaceDN w:val="0"/>
              <w:spacing w:after="0" w:line="273" w:lineRule="exact"/>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17.0</w:t>
            </w:r>
          </w:p>
        </w:tc>
        <w:tc>
          <w:tcPr>
            <w:tcW w:w="1880" w:type="dxa"/>
            <w:tcBorders>
              <w:left w:val="single" w:sz="8" w:space="0" w:color="DFDFDF"/>
              <w:bottom w:val="single" w:sz="8" w:space="0" w:color="AEAEAE"/>
              <w:right w:val="single" w:sz="8" w:space="0" w:color="DFDFDF"/>
            </w:tcBorders>
            <w:shd w:val="clear" w:color="auto" w:fill="F9F9FA"/>
          </w:tcPr>
          <w:p w14:paraId="6F2C406D" w14:textId="77777777" w:rsidR="008D3090" w:rsidRPr="008D3090" w:rsidRDefault="008D3090" w:rsidP="008D3090">
            <w:pPr>
              <w:widowControl w:val="0"/>
              <w:autoSpaceDE w:val="0"/>
              <w:autoSpaceDN w:val="0"/>
              <w:spacing w:after="0" w:line="273" w:lineRule="exact"/>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17.0</w:t>
            </w:r>
          </w:p>
        </w:tc>
        <w:tc>
          <w:tcPr>
            <w:tcW w:w="2000" w:type="dxa"/>
            <w:tcBorders>
              <w:left w:val="single" w:sz="8" w:space="0" w:color="DFDFDF"/>
              <w:bottom w:val="single" w:sz="8" w:space="0" w:color="AEAEAE"/>
              <w:right w:val="nil"/>
            </w:tcBorders>
            <w:shd w:val="clear" w:color="auto" w:fill="F9F9FA"/>
          </w:tcPr>
          <w:p w14:paraId="0FB087CB" w14:textId="77777777" w:rsidR="008D3090" w:rsidRPr="008D3090" w:rsidRDefault="008D3090" w:rsidP="008D3090">
            <w:pPr>
              <w:widowControl w:val="0"/>
              <w:autoSpaceDE w:val="0"/>
              <w:autoSpaceDN w:val="0"/>
              <w:spacing w:after="0" w:line="273"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17.0</w:t>
            </w:r>
          </w:p>
        </w:tc>
      </w:tr>
      <w:tr w:rsidR="008D3090" w:rsidRPr="008D3090" w14:paraId="35563038" w14:textId="77777777" w:rsidTr="00D00B3F">
        <w:trPr>
          <w:trHeight w:val="399"/>
        </w:trPr>
        <w:tc>
          <w:tcPr>
            <w:tcW w:w="1000" w:type="dxa"/>
            <w:vMerge/>
            <w:tcBorders>
              <w:top w:val="nil"/>
              <w:left w:val="nil"/>
              <w:right w:val="nil"/>
            </w:tcBorders>
            <w:shd w:val="clear" w:color="auto" w:fill="DFDFDF"/>
          </w:tcPr>
          <w:p w14:paraId="3D962A47"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295" w:type="dxa"/>
            <w:tcBorders>
              <w:top w:val="single" w:sz="8" w:space="0" w:color="AEAEAE"/>
              <w:left w:val="nil"/>
              <w:bottom w:val="single" w:sz="8" w:space="0" w:color="AEAEAE"/>
              <w:right w:val="nil"/>
            </w:tcBorders>
            <w:shd w:val="clear" w:color="auto" w:fill="DFDFDF"/>
          </w:tcPr>
          <w:p w14:paraId="44E0BAB0" w14:textId="77777777" w:rsidR="008D3090" w:rsidRPr="008D3090" w:rsidRDefault="008D3090" w:rsidP="008D3090">
            <w:pPr>
              <w:widowControl w:val="0"/>
              <w:autoSpaceDE w:val="0"/>
              <w:autoSpaceDN w:val="0"/>
              <w:spacing w:after="0" w:line="273"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7-</w:t>
            </w:r>
            <w:r w:rsidRPr="008D3090">
              <w:rPr>
                <w:rFonts w:ascii="Times New Roman" w:eastAsia="Times New Roman" w:hAnsi="Times New Roman" w:cs="Times New Roman"/>
                <w:spacing w:val="-10"/>
                <w:kern w:val="0"/>
                <w:szCs w:val="22"/>
                <w14:ligatures w14:val="none"/>
              </w:rPr>
              <w:t>8</w:t>
            </w:r>
          </w:p>
        </w:tc>
        <w:tc>
          <w:tcPr>
            <w:tcW w:w="1575" w:type="dxa"/>
            <w:tcBorders>
              <w:top w:val="single" w:sz="8" w:space="0" w:color="AEAEAE"/>
              <w:left w:val="nil"/>
              <w:bottom w:val="single" w:sz="8" w:space="0" w:color="AEAEAE"/>
              <w:right w:val="single" w:sz="8" w:space="0" w:color="DFDFDF"/>
            </w:tcBorders>
            <w:shd w:val="clear" w:color="auto" w:fill="F9F9FA"/>
          </w:tcPr>
          <w:p w14:paraId="7C66DB0F" w14:textId="77777777" w:rsidR="008D3090" w:rsidRPr="008D3090" w:rsidRDefault="008D3090" w:rsidP="008D3090">
            <w:pPr>
              <w:widowControl w:val="0"/>
              <w:autoSpaceDE w:val="0"/>
              <w:autoSpaceDN w:val="0"/>
              <w:spacing w:after="0" w:line="273" w:lineRule="exact"/>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53</w:t>
            </w:r>
          </w:p>
        </w:tc>
        <w:tc>
          <w:tcPr>
            <w:tcW w:w="1400" w:type="dxa"/>
            <w:tcBorders>
              <w:top w:val="single" w:sz="8" w:space="0" w:color="AEAEAE"/>
              <w:left w:val="single" w:sz="8" w:space="0" w:color="DFDFDF"/>
              <w:bottom w:val="single" w:sz="8" w:space="0" w:color="AEAEAE"/>
              <w:right w:val="single" w:sz="8" w:space="0" w:color="DFDFDF"/>
            </w:tcBorders>
            <w:shd w:val="clear" w:color="auto" w:fill="F9F9FA"/>
          </w:tcPr>
          <w:p w14:paraId="10EEC896" w14:textId="77777777" w:rsidR="008D3090" w:rsidRPr="008D3090" w:rsidRDefault="008D3090" w:rsidP="008D3090">
            <w:pPr>
              <w:widowControl w:val="0"/>
              <w:autoSpaceDE w:val="0"/>
              <w:autoSpaceDN w:val="0"/>
              <w:spacing w:after="0" w:line="273" w:lineRule="exact"/>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53.0</w:t>
            </w:r>
          </w:p>
        </w:tc>
        <w:tc>
          <w:tcPr>
            <w:tcW w:w="1880" w:type="dxa"/>
            <w:tcBorders>
              <w:top w:val="single" w:sz="8" w:space="0" w:color="AEAEAE"/>
              <w:left w:val="single" w:sz="8" w:space="0" w:color="DFDFDF"/>
              <w:bottom w:val="single" w:sz="8" w:space="0" w:color="AEAEAE"/>
              <w:right w:val="single" w:sz="8" w:space="0" w:color="DFDFDF"/>
            </w:tcBorders>
            <w:shd w:val="clear" w:color="auto" w:fill="F9F9FA"/>
          </w:tcPr>
          <w:p w14:paraId="3391D8F7" w14:textId="77777777" w:rsidR="008D3090" w:rsidRPr="008D3090" w:rsidRDefault="008D3090" w:rsidP="008D3090">
            <w:pPr>
              <w:widowControl w:val="0"/>
              <w:autoSpaceDE w:val="0"/>
              <w:autoSpaceDN w:val="0"/>
              <w:spacing w:after="0" w:line="273" w:lineRule="exact"/>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53.0</w:t>
            </w:r>
          </w:p>
        </w:tc>
        <w:tc>
          <w:tcPr>
            <w:tcW w:w="2000" w:type="dxa"/>
            <w:tcBorders>
              <w:top w:val="single" w:sz="8" w:space="0" w:color="AEAEAE"/>
              <w:left w:val="single" w:sz="8" w:space="0" w:color="DFDFDF"/>
              <w:bottom w:val="single" w:sz="8" w:space="0" w:color="AEAEAE"/>
              <w:right w:val="nil"/>
            </w:tcBorders>
            <w:shd w:val="clear" w:color="auto" w:fill="F9F9FA"/>
          </w:tcPr>
          <w:p w14:paraId="7D3D5797" w14:textId="77777777" w:rsidR="008D3090" w:rsidRPr="008D3090" w:rsidRDefault="008D3090" w:rsidP="008D3090">
            <w:pPr>
              <w:widowControl w:val="0"/>
              <w:autoSpaceDE w:val="0"/>
              <w:autoSpaceDN w:val="0"/>
              <w:spacing w:after="0" w:line="273"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70.0</w:t>
            </w:r>
          </w:p>
        </w:tc>
      </w:tr>
      <w:tr w:rsidR="008D3090" w:rsidRPr="008D3090" w14:paraId="6FC01224" w14:textId="77777777" w:rsidTr="00D00B3F">
        <w:trPr>
          <w:trHeight w:val="420"/>
        </w:trPr>
        <w:tc>
          <w:tcPr>
            <w:tcW w:w="1000" w:type="dxa"/>
            <w:vMerge/>
            <w:tcBorders>
              <w:top w:val="nil"/>
              <w:left w:val="nil"/>
              <w:right w:val="nil"/>
            </w:tcBorders>
            <w:shd w:val="clear" w:color="auto" w:fill="DFDFDF"/>
          </w:tcPr>
          <w:p w14:paraId="4684B1A1"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295" w:type="dxa"/>
            <w:tcBorders>
              <w:top w:val="single" w:sz="8" w:space="0" w:color="AEAEAE"/>
              <w:left w:val="nil"/>
              <w:bottom w:val="single" w:sz="8" w:space="0" w:color="AEAEAE"/>
              <w:right w:val="nil"/>
            </w:tcBorders>
            <w:shd w:val="clear" w:color="auto" w:fill="DFDFDF"/>
          </w:tcPr>
          <w:p w14:paraId="6B9F4CCB" w14:textId="77777777" w:rsidR="008D3090" w:rsidRPr="008D3090" w:rsidRDefault="008D3090" w:rsidP="008D3090">
            <w:pPr>
              <w:widowControl w:val="0"/>
              <w:autoSpaceDE w:val="0"/>
              <w:autoSpaceDN w:val="0"/>
              <w:spacing w:before="6"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9-</w:t>
            </w:r>
            <w:r w:rsidRPr="008D3090">
              <w:rPr>
                <w:rFonts w:ascii="Times New Roman" w:eastAsia="Times New Roman" w:hAnsi="Times New Roman" w:cs="Times New Roman"/>
                <w:spacing w:val="-2"/>
                <w:kern w:val="0"/>
                <w:szCs w:val="22"/>
                <w14:ligatures w14:val="none"/>
              </w:rPr>
              <w:t>Above</w:t>
            </w:r>
          </w:p>
        </w:tc>
        <w:tc>
          <w:tcPr>
            <w:tcW w:w="1575" w:type="dxa"/>
            <w:tcBorders>
              <w:top w:val="single" w:sz="8" w:space="0" w:color="AEAEAE"/>
              <w:left w:val="nil"/>
              <w:bottom w:val="single" w:sz="8" w:space="0" w:color="AEAEAE"/>
              <w:right w:val="single" w:sz="8" w:space="0" w:color="DFDFDF"/>
            </w:tcBorders>
            <w:shd w:val="clear" w:color="auto" w:fill="F9F9FA"/>
          </w:tcPr>
          <w:p w14:paraId="595209BF" w14:textId="77777777" w:rsidR="008D3090" w:rsidRPr="008D3090" w:rsidRDefault="008D3090" w:rsidP="008D3090">
            <w:pPr>
              <w:widowControl w:val="0"/>
              <w:autoSpaceDE w:val="0"/>
              <w:autoSpaceDN w:val="0"/>
              <w:spacing w:before="6"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30</w:t>
            </w:r>
          </w:p>
        </w:tc>
        <w:tc>
          <w:tcPr>
            <w:tcW w:w="1400" w:type="dxa"/>
            <w:tcBorders>
              <w:top w:val="single" w:sz="8" w:space="0" w:color="AEAEAE"/>
              <w:left w:val="single" w:sz="8" w:space="0" w:color="DFDFDF"/>
              <w:bottom w:val="single" w:sz="8" w:space="0" w:color="AEAEAE"/>
              <w:right w:val="single" w:sz="8" w:space="0" w:color="DFDFDF"/>
            </w:tcBorders>
            <w:shd w:val="clear" w:color="auto" w:fill="F9F9FA"/>
          </w:tcPr>
          <w:p w14:paraId="3B4CC3EC" w14:textId="77777777" w:rsidR="008D3090" w:rsidRPr="008D3090" w:rsidRDefault="008D3090" w:rsidP="008D3090">
            <w:pPr>
              <w:widowControl w:val="0"/>
              <w:autoSpaceDE w:val="0"/>
              <w:autoSpaceDN w:val="0"/>
              <w:spacing w:before="6" w:after="0" w:line="240" w:lineRule="auto"/>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30.0</w:t>
            </w:r>
          </w:p>
        </w:tc>
        <w:tc>
          <w:tcPr>
            <w:tcW w:w="1880" w:type="dxa"/>
            <w:tcBorders>
              <w:top w:val="single" w:sz="8" w:space="0" w:color="AEAEAE"/>
              <w:left w:val="single" w:sz="8" w:space="0" w:color="DFDFDF"/>
              <w:bottom w:val="single" w:sz="8" w:space="0" w:color="AEAEAE"/>
              <w:right w:val="single" w:sz="8" w:space="0" w:color="DFDFDF"/>
            </w:tcBorders>
            <w:shd w:val="clear" w:color="auto" w:fill="F9F9FA"/>
          </w:tcPr>
          <w:p w14:paraId="0B04FEEB" w14:textId="77777777" w:rsidR="008D3090" w:rsidRPr="008D3090" w:rsidRDefault="008D3090" w:rsidP="008D3090">
            <w:pPr>
              <w:widowControl w:val="0"/>
              <w:autoSpaceDE w:val="0"/>
              <w:autoSpaceDN w:val="0"/>
              <w:spacing w:before="6"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30.0</w:t>
            </w:r>
          </w:p>
        </w:tc>
        <w:tc>
          <w:tcPr>
            <w:tcW w:w="2000" w:type="dxa"/>
            <w:tcBorders>
              <w:top w:val="single" w:sz="8" w:space="0" w:color="AEAEAE"/>
              <w:left w:val="single" w:sz="8" w:space="0" w:color="DFDFDF"/>
              <w:bottom w:val="single" w:sz="8" w:space="0" w:color="AEAEAE"/>
              <w:right w:val="nil"/>
            </w:tcBorders>
            <w:shd w:val="clear" w:color="auto" w:fill="F9F9FA"/>
          </w:tcPr>
          <w:p w14:paraId="59B42A1A" w14:textId="77777777" w:rsidR="008D3090" w:rsidRPr="008D3090" w:rsidRDefault="008D3090" w:rsidP="008D3090">
            <w:pPr>
              <w:widowControl w:val="0"/>
              <w:autoSpaceDE w:val="0"/>
              <w:autoSpaceDN w:val="0"/>
              <w:spacing w:before="6"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r>
      <w:tr w:rsidR="008D3090" w:rsidRPr="008D3090" w14:paraId="5BC30DFF" w14:textId="77777777" w:rsidTr="00D00B3F">
        <w:trPr>
          <w:trHeight w:val="400"/>
        </w:trPr>
        <w:tc>
          <w:tcPr>
            <w:tcW w:w="1000" w:type="dxa"/>
            <w:vMerge/>
            <w:tcBorders>
              <w:top w:val="nil"/>
              <w:left w:val="nil"/>
              <w:right w:val="nil"/>
            </w:tcBorders>
            <w:shd w:val="clear" w:color="auto" w:fill="DFDFDF"/>
          </w:tcPr>
          <w:p w14:paraId="3684E21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295" w:type="dxa"/>
            <w:tcBorders>
              <w:top w:val="single" w:sz="8" w:space="0" w:color="AEAEAE"/>
              <w:left w:val="nil"/>
              <w:right w:val="nil"/>
            </w:tcBorders>
            <w:shd w:val="clear" w:color="auto" w:fill="DFDFDF"/>
          </w:tcPr>
          <w:p w14:paraId="22E285AB" w14:textId="77777777" w:rsidR="008D3090" w:rsidRPr="008D3090" w:rsidRDefault="008D3090" w:rsidP="008D3090">
            <w:pPr>
              <w:widowControl w:val="0"/>
              <w:autoSpaceDE w:val="0"/>
              <w:autoSpaceDN w:val="0"/>
              <w:spacing w:after="0" w:line="271"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Total</w:t>
            </w:r>
          </w:p>
        </w:tc>
        <w:tc>
          <w:tcPr>
            <w:tcW w:w="1575" w:type="dxa"/>
            <w:tcBorders>
              <w:top w:val="single" w:sz="8" w:space="0" w:color="AEAEAE"/>
              <w:left w:val="nil"/>
              <w:right w:val="single" w:sz="8" w:space="0" w:color="DFDFDF"/>
            </w:tcBorders>
            <w:shd w:val="clear" w:color="auto" w:fill="F9F9FA"/>
          </w:tcPr>
          <w:p w14:paraId="672EA784" w14:textId="77777777" w:rsidR="008D3090" w:rsidRPr="008D3090" w:rsidRDefault="008D3090" w:rsidP="008D3090">
            <w:pPr>
              <w:widowControl w:val="0"/>
              <w:autoSpaceDE w:val="0"/>
              <w:autoSpaceDN w:val="0"/>
              <w:spacing w:after="0" w:line="271" w:lineRule="exact"/>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400" w:type="dxa"/>
            <w:tcBorders>
              <w:top w:val="single" w:sz="8" w:space="0" w:color="AEAEAE"/>
              <w:left w:val="single" w:sz="8" w:space="0" w:color="DFDFDF"/>
              <w:right w:val="single" w:sz="8" w:space="0" w:color="DFDFDF"/>
            </w:tcBorders>
            <w:shd w:val="clear" w:color="auto" w:fill="F9F9FA"/>
          </w:tcPr>
          <w:p w14:paraId="03DD6E37" w14:textId="77777777" w:rsidR="008D3090" w:rsidRPr="008D3090" w:rsidRDefault="008D3090" w:rsidP="008D3090">
            <w:pPr>
              <w:widowControl w:val="0"/>
              <w:autoSpaceDE w:val="0"/>
              <w:autoSpaceDN w:val="0"/>
              <w:spacing w:after="0" w:line="271" w:lineRule="exact"/>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c>
          <w:tcPr>
            <w:tcW w:w="1880" w:type="dxa"/>
            <w:tcBorders>
              <w:top w:val="single" w:sz="8" w:space="0" w:color="AEAEAE"/>
              <w:left w:val="single" w:sz="8" w:space="0" w:color="DFDFDF"/>
              <w:right w:val="single" w:sz="8" w:space="0" w:color="DFDFDF"/>
            </w:tcBorders>
            <w:shd w:val="clear" w:color="auto" w:fill="F9F9FA"/>
          </w:tcPr>
          <w:p w14:paraId="60D9DFBD" w14:textId="77777777" w:rsidR="008D3090" w:rsidRPr="008D3090" w:rsidRDefault="008D3090" w:rsidP="008D3090">
            <w:pPr>
              <w:widowControl w:val="0"/>
              <w:autoSpaceDE w:val="0"/>
              <w:autoSpaceDN w:val="0"/>
              <w:spacing w:after="0" w:line="271" w:lineRule="exact"/>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c>
          <w:tcPr>
            <w:tcW w:w="2000" w:type="dxa"/>
            <w:tcBorders>
              <w:top w:val="single" w:sz="8" w:space="0" w:color="AEAEAE"/>
              <w:left w:val="single" w:sz="8" w:space="0" w:color="DFDFDF"/>
              <w:right w:val="nil"/>
            </w:tcBorders>
            <w:shd w:val="clear" w:color="auto" w:fill="F9F9FA"/>
          </w:tcPr>
          <w:p w14:paraId="21693280"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p>
        </w:tc>
      </w:tr>
    </w:tbl>
    <w:p w14:paraId="64FCE400" w14:textId="77777777" w:rsidR="008D3090" w:rsidRPr="008D3090" w:rsidRDefault="008D3090" w:rsidP="008D3090">
      <w:pPr>
        <w:widowControl w:val="0"/>
        <w:autoSpaceDE w:val="0"/>
        <w:autoSpaceDN w:val="0"/>
        <w:spacing w:before="15"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 xml:space="preserve">SPSS Out, </w:t>
      </w:r>
      <w:r w:rsidRPr="008D3090">
        <w:rPr>
          <w:rFonts w:ascii="Times New Roman" w:eastAsia="Times New Roman" w:hAnsi="Times New Roman" w:cs="Times New Roman"/>
          <w:spacing w:val="-4"/>
          <w:kern w:val="0"/>
          <w14:ligatures w14:val="none"/>
        </w:rPr>
        <w:t>2026</w:t>
      </w:r>
    </w:p>
    <w:p w14:paraId="54C3B136" w14:textId="77777777" w:rsidR="008D3090" w:rsidRPr="008D3090" w:rsidRDefault="008D3090" w:rsidP="008D3090">
      <w:pPr>
        <w:widowControl w:val="0"/>
        <w:autoSpaceDE w:val="0"/>
        <w:autoSpaceDN w:val="0"/>
        <w:spacing w:before="22" w:after="0" w:line="240" w:lineRule="auto"/>
        <w:jc w:val="both"/>
        <w:rPr>
          <w:rFonts w:ascii="Times New Roman" w:eastAsia="Times New Roman" w:hAnsi="Times New Roman" w:cs="Times New Roman"/>
          <w:kern w:val="0"/>
          <w14:ligatures w14:val="none"/>
        </w:rPr>
      </w:pPr>
    </w:p>
    <w:p w14:paraId="72723CF4" w14:textId="77777777" w:rsidR="008D3090" w:rsidRPr="008D3090" w:rsidRDefault="008D3090" w:rsidP="001A5F7B">
      <w:pPr>
        <w:widowControl w:val="0"/>
        <w:autoSpaceDE w:val="0"/>
        <w:autoSpaceDN w:val="0"/>
        <w:spacing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As clearly revealed in in table 1, 17% of the respondents have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5-6</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years’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work</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experience,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53% of</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them</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have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7-8</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years’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work</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experience,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while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30.0%</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have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9</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above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years’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work</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 xml:space="preserve">experience. This result revealed that respondents have much experience and responses should be depended </w:t>
      </w:r>
      <w:r w:rsidRPr="008D3090">
        <w:rPr>
          <w:rFonts w:ascii="Times New Roman" w:eastAsia="Times New Roman" w:hAnsi="Times New Roman" w:cs="Times New Roman"/>
          <w:spacing w:val="-4"/>
          <w:kern w:val="0"/>
          <w14:ligatures w14:val="none"/>
        </w:rPr>
        <w:t>on.</w:t>
      </w:r>
    </w:p>
    <w:p w14:paraId="239962C4" w14:textId="77777777" w:rsidR="008D3090" w:rsidRPr="008D3090" w:rsidRDefault="008D3090" w:rsidP="001A5F7B">
      <w:pPr>
        <w:widowControl w:val="0"/>
        <w:autoSpaceDE w:val="0"/>
        <w:autoSpaceDN w:val="0"/>
        <w:spacing w:before="114" w:after="0" w:line="240" w:lineRule="auto"/>
        <w:jc w:val="both"/>
        <w:rPr>
          <w:rFonts w:ascii="Times New Roman" w:eastAsia="Times New Roman" w:hAnsi="Times New Roman" w:cs="Times New Roman"/>
          <w:kern w:val="0"/>
          <w14:ligatures w14:val="none"/>
        </w:rPr>
      </w:pPr>
    </w:p>
    <w:p w14:paraId="4E6EB213" w14:textId="77777777" w:rsidR="008D3090" w:rsidRPr="008D3090" w:rsidRDefault="008D3090" w:rsidP="008D3090">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Table</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2:</w:t>
      </w:r>
      <w:r w:rsidRPr="008D3090">
        <w:rPr>
          <w:rFonts w:ascii="Times New Roman" w:eastAsia="Times New Roman" w:hAnsi="Times New Roman" w:cs="Times New Roman"/>
          <w:b/>
          <w:bCs/>
          <w:spacing w:val="-6"/>
          <w:kern w:val="0"/>
          <w14:ligatures w14:val="none"/>
        </w:rPr>
        <w:t xml:space="preserve"> </w:t>
      </w:r>
      <w:r w:rsidRPr="008D3090">
        <w:rPr>
          <w:rFonts w:ascii="Times New Roman" w:eastAsia="Times New Roman" w:hAnsi="Times New Roman" w:cs="Times New Roman"/>
          <w:b/>
          <w:bCs/>
          <w:kern w:val="0"/>
          <w14:ligatures w14:val="none"/>
        </w:rPr>
        <w:t>Age</w:t>
      </w:r>
      <w:r w:rsidRPr="008D3090">
        <w:rPr>
          <w:rFonts w:ascii="Times New Roman" w:eastAsia="Times New Roman" w:hAnsi="Times New Roman" w:cs="Times New Roman"/>
          <w:b/>
          <w:bCs/>
          <w:spacing w:val="-6"/>
          <w:kern w:val="0"/>
          <w14:ligatures w14:val="none"/>
        </w:rPr>
        <w:t xml:space="preserve"> </w:t>
      </w:r>
      <w:r w:rsidRPr="008D3090">
        <w:rPr>
          <w:rFonts w:ascii="Times New Roman" w:eastAsia="Times New Roman" w:hAnsi="Times New Roman" w:cs="Times New Roman"/>
          <w:b/>
          <w:bCs/>
          <w:kern w:val="0"/>
          <w14:ligatures w14:val="none"/>
        </w:rPr>
        <w:t>of</w:t>
      </w:r>
      <w:r w:rsidRPr="008D3090">
        <w:rPr>
          <w:rFonts w:ascii="Times New Roman" w:eastAsia="Times New Roman" w:hAnsi="Times New Roman" w:cs="Times New Roman"/>
          <w:b/>
          <w:bCs/>
          <w:spacing w:val="-5"/>
          <w:kern w:val="0"/>
          <w14:ligatures w14:val="none"/>
        </w:rPr>
        <w:t xml:space="preserve"> </w:t>
      </w:r>
      <w:r w:rsidRPr="008D3090">
        <w:rPr>
          <w:rFonts w:ascii="Times New Roman" w:eastAsia="Times New Roman" w:hAnsi="Times New Roman" w:cs="Times New Roman"/>
          <w:b/>
          <w:bCs/>
          <w:spacing w:val="-2"/>
          <w:kern w:val="0"/>
          <w14:ligatures w14:val="none"/>
        </w:rPr>
        <w:t>Respondents</w:t>
      </w:r>
    </w:p>
    <w:p w14:paraId="07B25793" w14:textId="77777777" w:rsidR="008D3090" w:rsidRPr="008D3090" w:rsidRDefault="008D3090" w:rsidP="008D3090">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sectPr w:rsidR="008D3090" w:rsidRPr="008D3090" w:rsidSect="008D3090">
          <w:pgSz w:w="12240" w:h="15840"/>
          <w:pgMar w:top="1380" w:right="1440" w:bottom="280" w:left="1440" w:header="720" w:footer="720" w:gutter="0"/>
          <w:cols w:space="720"/>
        </w:sectPr>
      </w:pPr>
    </w:p>
    <w:p w14:paraId="5FD65F9E" w14:textId="77777777" w:rsidR="008D3090" w:rsidRPr="008D3090" w:rsidRDefault="008D3090" w:rsidP="008D3090">
      <w:pPr>
        <w:widowControl w:val="0"/>
        <w:autoSpaceDE w:val="0"/>
        <w:autoSpaceDN w:val="0"/>
        <w:spacing w:before="7" w:after="0" w:line="240" w:lineRule="auto"/>
        <w:jc w:val="both"/>
        <w:rPr>
          <w:rFonts w:ascii="Times New Roman" w:eastAsia="Times New Roman" w:hAnsi="Times New Roman" w:cs="Times New Roman"/>
          <w:b/>
          <w:kern w:val="0"/>
          <w:sz w:val="2"/>
          <w14:ligatures w14:val="none"/>
        </w:rPr>
      </w:pPr>
      <w:r w:rsidRPr="008D3090">
        <w:rPr>
          <w:rFonts w:ascii="Times New Roman" w:eastAsia="Times New Roman" w:hAnsi="Times New Roman" w:cs="Times New Roman"/>
          <w:b/>
          <w:noProof/>
          <w:kern w:val="0"/>
          <w:sz w:val="2"/>
          <w14:ligatures w14:val="none"/>
        </w:rPr>
        <w:lastRenderedPageBreak/>
        <mc:AlternateContent>
          <mc:Choice Requires="wps">
            <w:drawing>
              <wp:anchor distT="0" distB="0" distL="0" distR="0" simplePos="0" relativeHeight="251700224" behindDoc="0" locked="0" layoutInCell="1" allowOverlap="1" wp14:anchorId="527333FC" wp14:editId="289E1F5E">
                <wp:simplePos x="0" y="0"/>
                <wp:positionH relativeFrom="page">
                  <wp:posOffset>914400</wp:posOffset>
                </wp:positionH>
                <wp:positionV relativeFrom="page">
                  <wp:posOffset>9010650</wp:posOffset>
                </wp:positionV>
                <wp:extent cx="57531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12700">
                          <a:solidFill>
                            <a:srgbClr val="152934"/>
                          </a:solidFill>
                          <a:prstDash val="solid"/>
                        </a:ln>
                      </wps:spPr>
                      <wps:bodyPr wrap="square" lIns="0" tIns="0" rIns="0" bIns="0" rtlCol="0">
                        <a:prstTxWarp prst="textNoShape">
                          <a:avLst/>
                        </a:prstTxWarp>
                        <a:noAutofit/>
                      </wps:bodyPr>
                    </wps:wsp>
                  </a:graphicData>
                </a:graphic>
              </wp:anchor>
            </w:drawing>
          </mc:Choice>
          <mc:Fallback>
            <w:pict>
              <v:shape w14:anchorId="1E97CB43" id="Graphic 10" o:spid="_x0000_s1026" style="position:absolute;margin-left:1in;margin-top:709.5pt;width:453pt;height:.1pt;z-index:251700224;visibility:visible;mso-wrap-style:square;mso-wrap-distance-left:0;mso-wrap-distance-top:0;mso-wrap-distance-right:0;mso-wrap-distance-bottom:0;mso-position-horizontal:absolute;mso-position-horizontal-relative:page;mso-position-vertical:absolute;mso-position-vertical-relative:page;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" path="m,l5753100,e" filled="f" strokecolor="#152934" strokeweight="1pt">
                <v:path arrowok="t"/>
                <w10:wrap anchorx="page" anchory="page"/>
              </v:shape>
            </w:pict>
          </mc:Fallback>
        </mc:AlternateContent>
      </w:r>
    </w:p>
    <w:tbl>
      <w:tblPr>
        <w:tblW w:w="0" w:type="auto"/>
        <w:tblInd w:w="7" w:type="dxa"/>
        <w:tblBorders>
          <w:top w:val="single" w:sz="8" w:space="0" w:color="152934"/>
          <w:left w:val="single" w:sz="8" w:space="0" w:color="152934"/>
          <w:bottom w:val="single" w:sz="8" w:space="0" w:color="152934"/>
          <w:right w:val="single" w:sz="8" w:space="0" w:color="152934"/>
          <w:insideH w:val="single" w:sz="8" w:space="0" w:color="152934"/>
          <w:insideV w:val="single" w:sz="8" w:space="0" w:color="152934"/>
        </w:tblBorders>
        <w:tblLayout w:type="fixed"/>
        <w:tblCellMar>
          <w:left w:w="0" w:type="dxa"/>
          <w:right w:w="0" w:type="dxa"/>
        </w:tblCellMar>
        <w:tblLook w:val="01E0" w:firstRow="1" w:lastRow="1" w:firstColumn="1" w:lastColumn="1" w:noHBand="0" w:noVBand="0"/>
      </w:tblPr>
      <w:tblGrid>
        <w:gridCol w:w="940"/>
        <w:gridCol w:w="1835"/>
        <w:gridCol w:w="1495"/>
        <w:gridCol w:w="1320"/>
        <w:gridCol w:w="1800"/>
        <w:gridCol w:w="1880"/>
      </w:tblGrid>
      <w:tr w:rsidR="008D3090" w:rsidRPr="008D3090" w14:paraId="24CCB16B" w14:textId="77777777" w:rsidTr="00D00B3F">
        <w:trPr>
          <w:trHeight w:val="819"/>
        </w:trPr>
        <w:tc>
          <w:tcPr>
            <w:tcW w:w="4270" w:type="dxa"/>
            <w:gridSpan w:val="3"/>
            <w:tcBorders>
              <w:top w:val="nil"/>
              <w:left w:val="nil"/>
              <w:right w:val="single" w:sz="8" w:space="0" w:color="DFDFDF"/>
            </w:tcBorders>
          </w:tcPr>
          <w:p w14:paraId="3E1F1999" w14:textId="77777777" w:rsidR="008D3090" w:rsidRPr="008D3090" w:rsidRDefault="008D3090" w:rsidP="008D3090">
            <w:pPr>
              <w:widowControl w:val="0"/>
              <w:autoSpaceDE w:val="0"/>
              <w:autoSpaceDN w:val="0"/>
              <w:spacing w:before="137" w:after="0" w:line="240" w:lineRule="auto"/>
              <w:jc w:val="both"/>
              <w:rPr>
                <w:rFonts w:ascii="Times New Roman" w:eastAsia="Times New Roman" w:hAnsi="Times New Roman" w:cs="Times New Roman"/>
                <w:b/>
                <w:kern w:val="0"/>
                <w:szCs w:val="22"/>
                <w14:ligatures w14:val="none"/>
              </w:rPr>
            </w:pPr>
          </w:p>
          <w:p w14:paraId="4A25DD52" w14:textId="77777777" w:rsidR="008D3090" w:rsidRPr="008D3090" w:rsidRDefault="008D3090" w:rsidP="008D3090">
            <w:pPr>
              <w:widowControl w:val="0"/>
              <w:autoSpaceDE w:val="0"/>
              <w:autoSpaceDN w:val="0"/>
              <w:spacing w:before="1" w:after="0" w:line="240" w:lineRule="auto"/>
              <w:ind w:right="226"/>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Frequency</w:t>
            </w:r>
          </w:p>
        </w:tc>
        <w:tc>
          <w:tcPr>
            <w:tcW w:w="1320" w:type="dxa"/>
            <w:tcBorders>
              <w:top w:val="nil"/>
              <w:left w:val="single" w:sz="8" w:space="0" w:color="DFDFDF"/>
              <w:right w:val="single" w:sz="8" w:space="0" w:color="DFDFDF"/>
            </w:tcBorders>
          </w:tcPr>
          <w:p w14:paraId="29A86B5B" w14:textId="77777777" w:rsidR="008D3090" w:rsidRPr="008D3090" w:rsidRDefault="008D3090" w:rsidP="008D3090">
            <w:pPr>
              <w:widowControl w:val="0"/>
              <w:autoSpaceDE w:val="0"/>
              <w:autoSpaceDN w:val="0"/>
              <w:spacing w:before="137" w:after="0" w:line="240" w:lineRule="auto"/>
              <w:jc w:val="both"/>
              <w:rPr>
                <w:rFonts w:ascii="Times New Roman" w:eastAsia="Times New Roman" w:hAnsi="Times New Roman" w:cs="Times New Roman"/>
                <w:b/>
                <w:kern w:val="0"/>
                <w:szCs w:val="22"/>
                <w14:ligatures w14:val="none"/>
              </w:rPr>
            </w:pPr>
          </w:p>
          <w:p w14:paraId="3D2B505C" w14:textId="77777777" w:rsidR="008D3090" w:rsidRPr="008D3090" w:rsidRDefault="008D3090" w:rsidP="008D3090">
            <w:pPr>
              <w:widowControl w:val="0"/>
              <w:autoSpaceDE w:val="0"/>
              <w:autoSpaceDN w:val="0"/>
              <w:spacing w:before="1"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Percent</w:t>
            </w:r>
          </w:p>
        </w:tc>
        <w:tc>
          <w:tcPr>
            <w:tcW w:w="1800" w:type="dxa"/>
            <w:tcBorders>
              <w:top w:val="nil"/>
              <w:left w:val="single" w:sz="8" w:space="0" w:color="DFDFDF"/>
              <w:right w:val="single" w:sz="8" w:space="0" w:color="DFDFDF"/>
            </w:tcBorders>
          </w:tcPr>
          <w:p w14:paraId="41B6AC25" w14:textId="77777777" w:rsidR="008D3090" w:rsidRPr="008D3090" w:rsidRDefault="008D3090" w:rsidP="008D3090">
            <w:pPr>
              <w:widowControl w:val="0"/>
              <w:autoSpaceDE w:val="0"/>
              <w:autoSpaceDN w:val="0"/>
              <w:spacing w:before="137" w:after="0" w:line="240" w:lineRule="auto"/>
              <w:jc w:val="both"/>
              <w:rPr>
                <w:rFonts w:ascii="Times New Roman" w:eastAsia="Times New Roman" w:hAnsi="Times New Roman" w:cs="Times New Roman"/>
                <w:b/>
                <w:kern w:val="0"/>
                <w:szCs w:val="22"/>
                <w14:ligatures w14:val="none"/>
              </w:rPr>
            </w:pPr>
          </w:p>
          <w:p w14:paraId="17F6CF4D" w14:textId="77777777" w:rsidR="008D3090" w:rsidRPr="008D3090" w:rsidRDefault="008D3090" w:rsidP="008D3090">
            <w:pPr>
              <w:widowControl w:val="0"/>
              <w:autoSpaceDE w:val="0"/>
              <w:autoSpaceDN w:val="0"/>
              <w:spacing w:before="1"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Valid</w:t>
            </w:r>
            <w:r w:rsidRPr="008D3090">
              <w:rPr>
                <w:rFonts w:ascii="Times New Roman" w:eastAsia="Times New Roman" w:hAnsi="Times New Roman" w:cs="Times New Roman"/>
                <w:spacing w:val="-7"/>
                <w:kern w:val="0"/>
                <w:szCs w:val="22"/>
                <w14:ligatures w14:val="none"/>
              </w:rPr>
              <w:t xml:space="preserve"> </w:t>
            </w:r>
            <w:r w:rsidRPr="008D3090">
              <w:rPr>
                <w:rFonts w:ascii="Times New Roman" w:eastAsia="Times New Roman" w:hAnsi="Times New Roman" w:cs="Times New Roman"/>
                <w:spacing w:val="-2"/>
                <w:kern w:val="0"/>
                <w:szCs w:val="22"/>
                <w14:ligatures w14:val="none"/>
              </w:rPr>
              <w:t>Percent</w:t>
            </w:r>
          </w:p>
        </w:tc>
        <w:tc>
          <w:tcPr>
            <w:tcW w:w="1880" w:type="dxa"/>
            <w:tcBorders>
              <w:top w:val="nil"/>
              <w:left w:val="single" w:sz="8" w:space="0" w:color="DFDFDF"/>
              <w:right w:val="nil"/>
            </w:tcBorders>
          </w:tcPr>
          <w:p w14:paraId="727B77DD" w14:textId="77777777" w:rsidR="008D3090" w:rsidRPr="008D3090" w:rsidRDefault="008D3090" w:rsidP="008D3090">
            <w:pPr>
              <w:widowControl w:val="0"/>
              <w:autoSpaceDE w:val="0"/>
              <w:autoSpaceDN w:val="0"/>
              <w:spacing w:after="0" w:line="240" w:lineRule="auto"/>
              <w:ind w:right="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Cumulative</w:t>
            </w:r>
          </w:p>
          <w:p w14:paraId="05B250A6" w14:textId="77777777" w:rsidR="008D3090" w:rsidRPr="008D3090" w:rsidRDefault="008D3090" w:rsidP="008D3090">
            <w:pPr>
              <w:widowControl w:val="0"/>
              <w:autoSpaceDE w:val="0"/>
              <w:autoSpaceDN w:val="0"/>
              <w:spacing w:before="138" w:after="0" w:line="240" w:lineRule="auto"/>
              <w:ind w:right="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Percent</w:t>
            </w:r>
          </w:p>
        </w:tc>
      </w:tr>
      <w:tr w:rsidR="008D3090" w:rsidRPr="008D3090" w14:paraId="4E6944D1" w14:textId="77777777" w:rsidTr="00D00B3F">
        <w:trPr>
          <w:trHeight w:val="400"/>
        </w:trPr>
        <w:tc>
          <w:tcPr>
            <w:tcW w:w="940" w:type="dxa"/>
            <w:vMerge w:val="restart"/>
            <w:tcBorders>
              <w:left w:val="nil"/>
              <w:right w:val="nil"/>
            </w:tcBorders>
            <w:shd w:val="clear" w:color="auto" w:fill="DFDFDF"/>
          </w:tcPr>
          <w:p w14:paraId="5BBF29CA" w14:textId="77777777" w:rsidR="008D3090" w:rsidRPr="008D3090" w:rsidRDefault="008D3090" w:rsidP="008D3090">
            <w:pPr>
              <w:widowControl w:val="0"/>
              <w:autoSpaceDE w:val="0"/>
              <w:autoSpaceDN w:val="0"/>
              <w:spacing w:before="3"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Valid</w:t>
            </w:r>
          </w:p>
        </w:tc>
        <w:tc>
          <w:tcPr>
            <w:tcW w:w="1835" w:type="dxa"/>
            <w:tcBorders>
              <w:left w:val="nil"/>
              <w:bottom w:val="single" w:sz="8" w:space="0" w:color="AEAEAE"/>
              <w:right w:val="nil"/>
            </w:tcBorders>
            <w:shd w:val="clear" w:color="auto" w:fill="DFDFDF"/>
          </w:tcPr>
          <w:p w14:paraId="4FB31501" w14:textId="77777777" w:rsidR="008D3090" w:rsidRPr="008D3090" w:rsidRDefault="008D3090" w:rsidP="008D3090">
            <w:pPr>
              <w:widowControl w:val="0"/>
              <w:autoSpaceDE w:val="0"/>
              <w:autoSpaceDN w:val="0"/>
              <w:spacing w:before="3"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25-</w:t>
            </w:r>
            <w:r w:rsidRPr="008D3090">
              <w:rPr>
                <w:rFonts w:ascii="Times New Roman" w:eastAsia="Times New Roman" w:hAnsi="Times New Roman" w:cs="Times New Roman"/>
                <w:spacing w:val="-5"/>
                <w:kern w:val="0"/>
                <w:szCs w:val="22"/>
                <w14:ligatures w14:val="none"/>
              </w:rPr>
              <w:t>30</w:t>
            </w:r>
          </w:p>
        </w:tc>
        <w:tc>
          <w:tcPr>
            <w:tcW w:w="1495" w:type="dxa"/>
            <w:tcBorders>
              <w:left w:val="nil"/>
              <w:bottom w:val="single" w:sz="8" w:space="0" w:color="AEAEAE"/>
              <w:right w:val="single" w:sz="8" w:space="0" w:color="DFDFDF"/>
            </w:tcBorders>
            <w:shd w:val="clear" w:color="auto" w:fill="F9F9FA"/>
          </w:tcPr>
          <w:p w14:paraId="2439B369" w14:textId="77777777" w:rsidR="008D3090" w:rsidRPr="008D3090" w:rsidRDefault="008D3090" w:rsidP="008D3090">
            <w:pPr>
              <w:widowControl w:val="0"/>
              <w:autoSpaceDE w:val="0"/>
              <w:autoSpaceDN w:val="0"/>
              <w:spacing w:before="3"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17</w:t>
            </w:r>
          </w:p>
        </w:tc>
        <w:tc>
          <w:tcPr>
            <w:tcW w:w="1320" w:type="dxa"/>
            <w:tcBorders>
              <w:left w:val="single" w:sz="8" w:space="0" w:color="DFDFDF"/>
              <w:bottom w:val="single" w:sz="8" w:space="0" w:color="AEAEAE"/>
              <w:right w:val="single" w:sz="8" w:space="0" w:color="DFDFDF"/>
            </w:tcBorders>
            <w:shd w:val="clear" w:color="auto" w:fill="F9F9FA"/>
          </w:tcPr>
          <w:p w14:paraId="54A49A23" w14:textId="77777777" w:rsidR="008D3090" w:rsidRPr="008D3090" w:rsidRDefault="008D3090" w:rsidP="008D3090">
            <w:pPr>
              <w:widowControl w:val="0"/>
              <w:autoSpaceDE w:val="0"/>
              <w:autoSpaceDN w:val="0"/>
              <w:spacing w:before="3"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17.0</w:t>
            </w:r>
          </w:p>
        </w:tc>
        <w:tc>
          <w:tcPr>
            <w:tcW w:w="1800" w:type="dxa"/>
            <w:tcBorders>
              <w:left w:val="single" w:sz="8" w:space="0" w:color="DFDFDF"/>
              <w:bottom w:val="single" w:sz="8" w:space="0" w:color="AEAEAE"/>
              <w:right w:val="single" w:sz="8" w:space="0" w:color="DFDFDF"/>
            </w:tcBorders>
            <w:shd w:val="clear" w:color="auto" w:fill="F9F9FA"/>
          </w:tcPr>
          <w:p w14:paraId="49BA0622" w14:textId="77777777" w:rsidR="008D3090" w:rsidRPr="008D3090" w:rsidRDefault="008D3090" w:rsidP="008D3090">
            <w:pPr>
              <w:widowControl w:val="0"/>
              <w:autoSpaceDE w:val="0"/>
              <w:autoSpaceDN w:val="0"/>
              <w:spacing w:before="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17.0</w:t>
            </w:r>
          </w:p>
        </w:tc>
        <w:tc>
          <w:tcPr>
            <w:tcW w:w="1880" w:type="dxa"/>
            <w:tcBorders>
              <w:left w:val="single" w:sz="8" w:space="0" w:color="DFDFDF"/>
              <w:bottom w:val="single" w:sz="8" w:space="0" w:color="AEAEAE"/>
              <w:right w:val="nil"/>
            </w:tcBorders>
            <w:shd w:val="clear" w:color="auto" w:fill="F9F9FA"/>
          </w:tcPr>
          <w:p w14:paraId="008A22E4" w14:textId="77777777" w:rsidR="008D3090" w:rsidRPr="008D3090" w:rsidRDefault="008D3090" w:rsidP="008D3090">
            <w:pPr>
              <w:widowControl w:val="0"/>
              <w:autoSpaceDE w:val="0"/>
              <w:autoSpaceDN w:val="0"/>
              <w:spacing w:before="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17.0</w:t>
            </w:r>
          </w:p>
        </w:tc>
      </w:tr>
      <w:tr w:rsidR="008D3090" w:rsidRPr="008D3090" w14:paraId="2249A8A7" w14:textId="77777777" w:rsidTr="00D00B3F">
        <w:trPr>
          <w:trHeight w:val="419"/>
        </w:trPr>
        <w:tc>
          <w:tcPr>
            <w:tcW w:w="940" w:type="dxa"/>
            <w:vMerge/>
            <w:tcBorders>
              <w:top w:val="nil"/>
              <w:left w:val="nil"/>
              <w:right w:val="nil"/>
            </w:tcBorders>
            <w:shd w:val="clear" w:color="auto" w:fill="DFDFDF"/>
          </w:tcPr>
          <w:p w14:paraId="3781E46A"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835" w:type="dxa"/>
            <w:tcBorders>
              <w:top w:val="single" w:sz="8" w:space="0" w:color="AEAEAE"/>
              <w:left w:val="nil"/>
              <w:bottom w:val="single" w:sz="8" w:space="0" w:color="AEAEAE"/>
              <w:right w:val="nil"/>
            </w:tcBorders>
            <w:shd w:val="clear" w:color="auto" w:fill="DFDFDF"/>
          </w:tcPr>
          <w:p w14:paraId="0D247753" w14:textId="77777777" w:rsidR="008D3090" w:rsidRPr="008D3090" w:rsidRDefault="008D3090" w:rsidP="008D3090">
            <w:pPr>
              <w:widowControl w:val="0"/>
              <w:autoSpaceDE w:val="0"/>
              <w:autoSpaceDN w:val="0"/>
              <w:spacing w:before="12"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31-</w:t>
            </w:r>
            <w:r w:rsidRPr="008D3090">
              <w:rPr>
                <w:rFonts w:ascii="Times New Roman" w:eastAsia="Times New Roman" w:hAnsi="Times New Roman" w:cs="Times New Roman"/>
                <w:spacing w:val="-5"/>
                <w:kern w:val="0"/>
                <w:szCs w:val="22"/>
                <w14:ligatures w14:val="none"/>
              </w:rPr>
              <w:t>40</w:t>
            </w:r>
          </w:p>
        </w:tc>
        <w:tc>
          <w:tcPr>
            <w:tcW w:w="1495" w:type="dxa"/>
            <w:tcBorders>
              <w:top w:val="single" w:sz="8" w:space="0" w:color="AEAEAE"/>
              <w:left w:val="nil"/>
              <w:bottom w:val="single" w:sz="8" w:space="0" w:color="AEAEAE"/>
              <w:right w:val="single" w:sz="8" w:space="0" w:color="DFDFDF"/>
            </w:tcBorders>
            <w:shd w:val="clear" w:color="auto" w:fill="F9F9FA"/>
          </w:tcPr>
          <w:p w14:paraId="4B026333" w14:textId="77777777" w:rsidR="008D3090" w:rsidRPr="008D3090" w:rsidRDefault="008D3090" w:rsidP="008D3090">
            <w:pPr>
              <w:widowControl w:val="0"/>
              <w:autoSpaceDE w:val="0"/>
              <w:autoSpaceDN w:val="0"/>
              <w:spacing w:before="12"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56</w:t>
            </w:r>
          </w:p>
        </w:tc>
        <w:tc>
          <w:tcPr>
            <w:tcW w:w="1320" w:type="dxa"/>
            <w:tcBorders>
              <w:top w:val="single" w:sz="8" w:space="0" w:color="AEAEAE"/>
              <w:left w:val="single" w:sz="8" w:space="0" w:color="DFDFDF"/>
              <w:bottom w:val="single" w:sz="8" w:space="0" w:color="AEAEAE"/>
              <w:right w:val="single" w:sz="8" w:space="0" w:color="DFDFDF"/>
            </w:tcBorders>
            <w:shd w:val="clear" w:color="auto" w:fill="F9F9FA"/>
          </w:tcPr>
          <w:p w14:paraId="35A47046" w14:textId="77777777" w:rsidR="008D3090" w:rsidRPr="008D3090" w:rsidRDefault="008D3090" w:rsidP="008D3090">
            <w:pPr>
              <w:widowControl w:val="0"/>
              <w:autoSpaceDE w:val="0"/>
              <w:autoSpaceDN w:val="0"/>
              <w:spacing w:before="12"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56.0</w:t>
            </w:r>
          </w:p>
        </w:tc>
        <w:tc>
          <w:tcPr>
            <w:tcW w:w="1800" w:type="dxa"/>
            <w:tcBorders>
              <w:top w:val="single" w:sz="8" w:space="0" w:color="AEAEAE"/>
              <w:left w:val="single" w:sz="8" w:space="0" w:color="DFDFDF"/>
              <w:bottom w:val="single" w:sz="8" w:space="0" w:color="AEAEAE"/>
              <w:right w:val="single" w:sz="8" w:space="0" w:color="DFDFDF"/>
            </w:tcBorders>
            <w:shd w:val="clear" w:color="auto" w:fill="F9F9FA"/>
          </w:tcPr>
          <w:p w14:paraId="0073F19E" w14:textId="77777777" w:rsidR="008D3090" w:rsidRPr="008D3090" w:rsidRDefault="008D3090" w:rsidP="008D3090">
            <w:pPr>
              <w:widowControl w:val="0"/>
              <w:autoSpaceDE w:val="0"/>
              <w:autoSpaceDN w:val="0"/>
              <w:spacing w:before="12"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56.0</w:t>
            </w:r>
          </w:p>
        </w:tc>
        <w:tc>
          <w:tcPr>
            <w:tcW w:w="1880" w:type="dxa"/>
            <w:tcBorders>
              <w:top w:val="single" w:sz="8" w:space="0" w:color="AEAEAE"/>
              <w:left w:val="single" w:sz="8" w:space="0" w:color="DFDFDF"/>
              <w:bottom w:val="single" w:sz="8" w:space="0" w:color="AEAEAE"/>
              <w:right w:val="nil"/>
            </w:tcBorders>
            <w:shd w:val="clear" w:color="auto" w:fill="F9F9FA"/>
          </w:tcPr>
          <w:p w14:paraId="7B08F91C" w14:textId="77777777" w:rsidR="008D3090" w:rsidRPr="008D3090" w:rsidRDefault="008D3090" w:rsidP="008D3090">
            <w:pPr>
              <w:widowControl w:val="0"/>
              <w:autoSpaceDE w:val="0"/>
              <w:autoSpaceDN w:val="0"/>
              <w:spacing w:before="12"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73.0</w:t>
            </w:r>
          </w:p>
        </w:tc>
      </w:tr>
      <w:tr w:rsidR="008D3090" w:rsidRPr="008D3090" w14:paraId="7B279BC2" w14:textId="77777777" w:rsidTr="00D00B3F">
        <w:trPr>
          <w:trHeight w:val="400"/>
        </w:trPr>
        <w:tc>
          <w:tcPr>
            <w:tcW w:w="940" w:type="dxa"/>
            <w:vMerge/>
            <w:tcBorders>
              <w:top w:val="nil"/>
              <w:left w:val="nil"/>
              <w:right w:val="nil"/>
            </w:tcBorders>
            <w:shd w:val="clear" w:color="auto" w:fill="DFDFDF"/>
          </w:tcPr>
          <w:p w14:paraId="7ED7C8E2"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835" w:type="dxa"/>
            <w:tcBorders>
              <w:top w:val="single" w:sz="8" w:space="0" w:color="AEAEAE"/>
              <w:left w:val="nil"/>
              <w:bottom w:val="single" w:sz="8" w:space="0" w:color="AEAEAE"/>
              <w:right w:val="nil"/>
            </w:tcBorders>
            <w:shd w:val="clear" w:color="auto" w:fill="DFDFDF"/>
          </w:tcPr>
          <w:p w14:paraId="37428B7A" w14:textId="77777777" w:rsidR="008D3090" w:rsidRPr="008D3090" w:rsidRDefault="008D3090" w:rsidP="008D3090">
            <w:pPr>
              <w:widowControl w:val="0"/>
              <w:autoSpaceDE w:val="0"/>
              <w:autoSpaceDN w:val="0"/>
              <w:spacing w:before="1"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41 and </w:t>
            </w:r>
            <w:r w:rsidRPr="008D3090">
              <w:rPr>
                <w:rFonts w:ascii="Times New Roman" w:eastAsia="Times New Roman" w:hAnsi="Times New Roman" w:cs="Times New Roman"/>
                <w:spacing w:val="-2"/>
                <w:kern w:val="0"/>
                <w:szCs w:val="22"/>
                <w14:ligatures w14:val="none"/>
              </w:rPr>
              <w:t>above</w:t>
            </w:r>
          </w:p>
        </w:tc>
        <w:tc>
          <w:tcPr>
            <w:tcW w:w="1495" w:type="dxa"/>
            <w:tcBorders>
              <w:top w:val="single" w:sz="8" w:space="0" w:color="AEAEAE"/>
              <w:left w:val="nil"/>
              <w:bottom w:val="single" w:sz="8" w:space="0" w:color="AEAEAE"/>
              <w:right w:val="single" w:sz="8" w:space="0" w:color="DFDFDF"/>
            </w:tcBorders>
            <w:shd w:val="clear" w:color="auto" w:fill="F9F9FA"/>
          </w:tcPr>
          <w:p w14:paraId="0EED8716" w14:textId="77777777" w:rsidR="008D3090" w:rsidRPr="008D3090" w:rsidRDefault="008D3090" w:rsidP="008D3090">
            <w:pPr>
              <w:widowControl w:val="0"/>
              <w:autoSpaceDE w:val="0"/>
              <w:autoSpaceDN w:val="0"/>
              <w:spacing w:before="1"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27</w:t>
            </w:r>
          </w:p>
        </w:tc>
        <w:tc>
          <w:tcPr>
            <w:tcW w:w="1320" w:type="dxa"/>
            <w:tcBorders>
              <w:top w:val="single" w:sz="8" w:space="0" w:color="AEAEAE"/>
              <w:left w:val="single" w:sz="8" w:space="0" w:color="DFDFDF"/>
              <w:bottom w:val="single" w:sz="8" w:space="0" w:color="AEAEAE"/>
              <w:right w:val="single" w:sz="8" w:space="0" w:color="DFDFDF"/>
            </w:tcBorders>
            <w:shd w:val="clear" w:color="auto" w:fill="F9F9FA"/>
          </w:tcPr>
          <w:p w14:paraId="49642092" w14:textId="77777777" w:rsidR="008D3090" w:rsidRPr="008D3090" w:rsidRDefault="008D3090" w:rsidP="008D3090">
            <w:pPr>
              <w:widowControl w:val="0"/>
              <w:autoSpaceDE w:val="0"/>
              <w:autoSpaceDN w:val="0"/>
              <w:spacing w:before="1"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27.0</w:t>
            </w:r>
          </w:p>
        </w:tc>
        <w:tc>
          <w:tcPr>
            <w:tcW w:w="1800" w:type="dxa"/>
            <w:tcBorders>
              <w:top w:val="single" w:sz="8" w:space="0" w:color="AEAEAE"/>
              <w:left w:val="single" w:sz="8" w:space="0" w:color="DFDFDF"/>
              <w:bottom w:val="single" w:sz="8" w:space="0" w:color="AEAEAE"/>
              <w:right w:val="single" w:sz="8" w:space="0" w:color="DFDFDF"/>
            </w:tcBorders>
            <w:shd w:val="clear" w:color="auto" w:fill="F9F9FA"/>
          </w:tcPr>
          <w:p w14:paraId="2142691E" w14:textId="77777777" w:rsidR="008D3090" w:rsidRPr="008D3090" w:rsidRDefault="008D3090" w:rsidP="008D3090">
            <w:pPr>
              <w:widowControl w:val="0"/>
              <w:autoSpaceDE w:val="0"/>
              <w:autoSpaceDN w:val="0"/>
              <w:spacing w:before="1"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27.0</w:t>
            </w:r>
          </w:p>
        </w:tc>
        <w:tc>
          <w:tcPr>
            <w:tcW w:w="1880" w:type="dxa"/>
            <w:tcBorders>
              <w:top w:val="single" w:sz="8" w:space="0" w:color="AEAEAE"/>
              <w:left w:val="single" w:sz="8" w:space="0" w:color="DFDFDF"/>
              <w:bottom w:val="single" w:sz="8" w:space="0" w:color="AEAEAE"/>
              <w:right w:val="nil"/>
            </w:tcBorders>
            <w:shd w:val="clear" w:color="auto" w:fill="F9F9FA"/>
          </w:tcPr>
          <w:p w14:paraId="0BC762D7" w14:textId="77777777" w:rsidR="008D3090" w:rsidRPr="008D3090" w:rsidRDefault="008D3090" w:rsidP="008D3090">
            <w:pPr>
              <w:widowControl w:val="0"/>
              <w:autoSpaceDE w:val="0"/>
              <w:autoSpaceDN w:val="0"/>
              <w:spacing w:before="1"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r>
      <w:tr w:rsidR="008D3090" w:rsidRPr="008D3090" w14:paraId="28D394AF" w14:textId="77777777" w:rsidTr="00D00B3F">
        <w:trPr>
          <w:trHeight w:val="419"/>
        </w:trPr>
        <w:tc>
          <w:tcPr>
            <w:tcW w:w="940" w:type="dxa"/>
            <w:vMerge/>
            <w:tcBorders>
              <w:top w:val="nil"/>
              <w:left w:val="nil"/>
              <w:right w:val="nil"/>
            </w:tcBorders>
            <w:shd w:val="clear" w:color="auto" w:fill="DFDFDF"/>
          </w:tcPr>
          <w:p w14:paraId="398F5085"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835" w:type="dxa"/>
            <w:tcBorders>
              <w:top w:val="single" w:sz="8" w:space="0" w:color="AEAEAE"/>
              <w:left w:val="nil"/>
              <w:right w:val="nil"/>
            </w:tcBorders>
            <w:shd w:val="clear" w:color="auto" w:fill="DFDFDF"/>
          </w:tcPr>
          <w:p w14:paraId="4A10DFA6" w14:textId="77777777" w:rsidR="008D3090" w:rsidRPr="008D3090" w:rsidRDefault="008D3090" w:rsidP="008D3090">
            <w:pPr>
              <w:widowControl w:val="0"/>
              <w:autoSpaceDE w:val="0"/>
              <w:autoSpaceDN w:val="0"/>
              <w:spacing w:before="10"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Total</w:t>
            </w:r>
          </w:p>
        </w:tc>
        <w:tc>
          <w:tcPr>
            <w:tcW w:w="1495" w:type="dxa"/>
            <w:tcBorders>
              <w:top w:val="single" w:sz="8" w:space="0" w:color="AEAEAE"/>
              <w:left w:val="nil"/>
              <w:right w:val="single" w:sz="8" w:space="0" w:color="DFDFDF"/>
            </w:tcBorders>
            <w:shd w:val="clear" w:color="auto" w:fill="F9F9FA"/>
          </w:tcPr>
          <w:p w14:paraId="0460BB46" w14:textId="77777777" w:rsidR="008D3090" w:rsidRPr="008D3090" w:rsidRDefault="008D3090" w:rsidP="008D3090">
            <w:pPr>
              <w:widowControl w:val="0"/>
              <w:autoSpaceDE w:val="0"/>
              <w:autoSpaceDN w:val="0"/>
              <w:spacing w:before="10"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320" w:type="dxa"/>
            <w:tcBorders>
              <w:top w:val="single" w:sz="8" w:space="0" w:color="AEAEAE"/>
              <w:left w:val="single" w:sz="8" w:space="0" w:color="DFDFDF"/>
              <w:right w:val="single" w:sz="8" w:space="0" w:color="DFDFDF"/>
            </w:tcBorders>
            <w:shd w:val="clear" w:color="auto" w:fill="F9F9FA"/>
          </w:tcPr>
          <w:p w14:paraId="0DFD295A" w14:textId="77777777" w:rsidR="008D3090" w:rsidRPr="008D3090" w:rsidRDefault="008D3090" w:rsidP="008D3090">
            <w:pPr>
              <w:widowControl w:val="0"/>
              <w:autoSpaceDE w:val="0"/>
              <w:autoSpaceDN w:val="0"/>
              <w:spacing w:before="10"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c>
          <w:tcPr>
            <w:tcW w:w="1800" w:type="dxa"/>
            <w:tcBorders>
              <w:top w:val="single" w:sz="8" w:space="0" w:color="AEAEAE"/>
              <w:left w:val="single" w:sz="8" w:space="0" w:color="DFDFDF"/>
              <w:right w:val="single" w:sz="8" w:space="0" w:color="DFDFDF"/>
            </w:tcBorders>
            <w:shd w:val="clear" w:color="auto" w:fill="F9F9FA"/>
          </w:tcPr>
          <w:p w14:paraId="442808A8" w14:textId="77777777" w:rsidR="008D3090" w:rsidRPr="008D3090" w:rsidRDefault="008D3090" w:rsidP="008D3090">
            <w:pPr>
              <w:widowControl w:val="0"/>
              <w:autoSpaceDE w:val="0"/>
              <w:autoSpaceDN w:val="0"/>
              <w:spacing w:before="10"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c>
          <w:tcPr>
            <w:tcW w:w="1880" w:type="dxa"/>
            <w:tcBorders>
              <w:top w:val="single" w:sz="8" w:space="0" w:color="AEAEAE"/>
              <w:left w:val="single" w:sz="8" w:space="0" w:color="DFDFDF"/>
              <w:right w:val="nil"/>
            </w:tcBorders>
            <w:shd w:val="clear" w:color="auto" w:fill="F9F9FA"/>
          </w:tcPr>
          <w:p w14:paraId="4EE10041"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p>
        </w:tc>
      </w:tr>
    </w:tbl>
    <w:p w14:paraId="57FBB399" w14:textId="77777777" w:rsidR="008D3090" w:rsidRPr="008D3090" w:rsidRDefault="008D3090" w:rsidP="008D3090">
      <w:pPr>
        <w:widowControl w:val="0"/>
        <w:autoSpaceDE w:val="0"/>
        <w:autoSpaceDN w:val="0"/>
        <w:spacing w:before="11"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 xml:space="preserve">SPSS Out, </w:t>
      </w:r>
      <w:r w:rsidRPr="008D3090">
        <w:rPr>
          <w:rFonts w:ascii="Times New Roman" w:eastAsia="Times New Roman" w:hAnsi="Times New Roman" w:cs="Times New Roman"/>
          <w:spacing w:val="-4"/>
          <w:kern w:val="0"/>
          <w14:ligatures w14:val="none"/>
        </w:rPr>
        <w:t>2026</w:t>
      </w:r>
    </w:p>
    <w:p w14:paraId="6E25CCFF"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14:ligatures w14:val="none"/>
        </w:rPr>
      </w:pPr>
    </w:p>
    <w:p w14:paraId="3B36395D" w14:textId="77777777" w:rsidR="008D3090" w:rsidRPr="008D3090" w:rsidRDefault="008D3090" w:rsidP="008D3090">
      <w:pPr>
        <w:widowControl w:val="0"/>
        <w:autoSpaceDE w:val="0"/>
        <w:autoSpaceDN w:val="0"/>
        <w:spacing w:before="91" w:after="0" w:line="240" w:lineRule="auto"/>
        <w:jc w:val="both"/>
        <w:rPr>
          <w:rFonts w:ascii="Times New Roman" w:eastAsia="Times New Roman" w:hAnsi="Times New Roman" w:cs="Times New Roman"/>
          <w:kern w:val="0"/>
          <w14:ligatures w14:val="none"/>
        </w:rPr>
      </w:pPr>
    </w:p>
    <w:p w14:paraId="2A437FD3" w14:textId="77777777" w:rsidR="008D3090" w:rsidRPr="008D3090" w:rsidRDefault="008D3090" w:rsidP="001A5F7B">
      <w:pPr>
        <w:widowControl w:val="0"/>
        <w:autoSpaceDE w:val="0"/>
        <w:autoSpaceDN w:val="0"/>
        <w:spacing w:before="1"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Based</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on</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result</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table</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2,</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17.0%</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total</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respondents</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were</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within</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age</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bracket</w:t>
      </w:r>
      <w:r w:rsidRPr="008D3090">
        <w:rPr>
          <w:rFonts w:ascii="Times New Roman" w:eastAsia="Times New Roman" w:hAnsi="Times New Roman" w:cs="Times New Roman"/>
          <w:spacing w:val="27"/>
          <w:kern w:val="0"/>
          <w14:ligatures w14:val="none"/>
        </w:rPr>
        <w:t xml:space="preserve"> </w:t>
      </w:r>
      <w:r w:rsidRPr="008D3090">
        <w:rPr>
          <w:rFonts w:ascii="Times New Roman" w:eastAsia="Times New Roman" w:hAnsi="Times New Roman" w:cs="Times New Roman"/>
          <w:kern w:val="0"/>
          <w14:ligatures w14:val="none"/>
        </w:rPr>
        <w:t>of 25-30, 56.0% were within the ages of 31-40, while 27% were within the age bracket of 41 and above. This result signified that the respondents were adults.</w:t>
      </w:r>
    </w:p>
    <w:p w14:paraId="7A8B8FB9" w14:textId="77777777" w:rsidR="008D3090" w:rsidRPr="008D3090" w:rsidRDefault="008D3090" w:rsidP="008D3090">
      <w:pPr>
        <w:widowControl w:val="0"/>
        <w:autoSpaceDE w:val="0"/>
        <w:autoSpaceDN w:val="0"/>
        <w:spacing w:before="113" w:after="0" w:line="240" w:lineRule="auto"/>
        <w:jc w:val="both"/>
        <w:rPr>
          <w:rFonts w:ascii="Times New Roman" w:eastAsia="Times New Roman" w:hAnsi="Times New Roman" w:cs="Times New Roman"/>
          <w:kern w:val="0"/>
          <w14:ligatures w14:val="none"/>
        </w:rPr>
      </w:pPr>
    </w:p>
    <w:p w14:paraId="5715B6C0" w14:textId="77777777" w:rsidR="008D3090" w:rsidRPr="008D3090" w:rsidRDefault="008D3090" w:rsidP="008D3090">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Table</w:t>
      </w:r>
      <w:r w:rsidRPr="008D3090">
        <w:rPr>
          <w:rFonts w:ascii="Times New Roman" w:eastAsia="Times New Roman" w:hAnsi="Times New Roman" w:cs="Times New Roman"/>
          <w:b/>
          <w:bCs/>
          <w:spacing w:val="-5"/>
          <w:kern w:val="0"/>
          <w14:ligatures w14:val="none"/>
        </w:rPr>
        <w:t xml:space="preserve"> </w:t>
      </w:r>
      <w:r w:rsidRPr="008D3090">
        <w:rPr>
          <w:rFonts w:ascii="Times New Roman" w:eastAsia="Times New Roman" w:hAnsi="Times New Roman" w:cs="Times New Roman"/>
          <w:b/>
          <w:bCs/>
          <w:kern w:val="0"/>
          <w14:ligatures w14:val="none"/>
        </w:rPr>
        <w:t>3;</w:t>
      </w:r>
      <w:r w:rsidRPr="008D3090">
        <w:rPr>
          <w:rFonts w:ascii="Times New Roman" w:eastAsia="Times New Roman" w:hAnsi="Times New Roman" w:cs="Times New Roman"/>
          <w:b/>
          <w:bCs/>
          <w:spacing w:val="-5"/>
          <w:kern w:val="0"/>
          <w14:ligatures w14:val="none"/>
        </w:rPr>
        <w:t xml:space="preserve"> </w:t>
      </w:r>
      <w:r w:rsidRPr="008D3090">
        <w:rPr>
          <w:rFonts w:ascii="Times New Roman" w:eastAsia="Times New Roman" w:hAnsi="Times New Roman" w:cs="Times New Roman"/>
          <w:b/>
          <w:bCs/>
          <w:kern w:val="0"/>
          <w14:ligatures w14:val="none"/>
        </w:rPr>
        <w:t>Educational</w:t>
      </w:r>
      <w:r w:rsidRPr="008D3090">
        <w:rPr>
          <w:rFonts w:ascii="Times New Roman" w:eastAsia="Times New Roman" w:hAnsi="Times New Roman" w:cs="Times New Roman"/>
          <w:b/>
          <w:bCs/>
          <w:spacing w:val="-4"/>
          <w:kern w:val="0"/>
          <w14:ligatures w14:val="none"/>
        </w:rPr>
        <w:t xml:space="preserve"> </w:t>
      </w:r>
      <w:r w:rsidRPr="008D3090">
        <w:rPr>
          <w:rFonts w:ascii="Times New Roman" w:eastAsia="Times New Roman" w:hAnsi="Times New Roman" w:cs="Times New Roman"/>
          <w:b/>
          <w:bCs/>
          <w:kern w:val="0"/>
          <w14:ligatures w14:val="none"/>
        </w:rPr>
        <w:t>Qualification</w:t>
      </w:r>
      <w:r w:rsidRPr="008D3090">
        <w:rPr>
          <w:rFonts w:ascii="Times New Roman" w:eastAsia="Times New Roman" w:hAnsi="Times New Roman" w:cs="Times New Roman"/>
          <w:b/>
          <w:bCs/>
          <w:spacing w:val="-5"/>
          <w:kern w:val="0"/>
          <w14:ligatures w14:val="none"/>
        </w:rPr>
        <w:t xml:space="preserve"> </w:t>
      </w:r>
      <w:r w:rsidRPr="008D3090">
        <w:rPr>
          <w:rFonts w:ascii="Times New Roman" w:eastAsia="Times New Roman" w:hAnsi="Times New Roman" w:cs="Times New Roman"/>
          <w:b/>
          <w:bCs/>
          <w:kern w:val="0"/>
          <w14:ligatures w14:val="none"/>
        </w:rPr>
        <w:t>of</w:t>
      </w:r>
      <w:r w:rsidRPr="008D3090">
        <w:rPr>
          <w:rFonts w:ascii="Times New Roman" w:eastAsia="Times New Roman" w:hAnsi="Times New Roman" w:cs="Times New Roman"/>
          <w:b/>
          <w:bCs/>
          <w:spacing w:val="-4"/>
          <w:kern w:val="0"/>
          <w14:ligatures w14:val="none"/>
        </w:rPr>
        <w:t xml:space="preserve"> </w:t>
      </w:r>
      <w:r w:rsidRPr="008D3090">
        <w:rPr>
          <w:rFonts w:ascii="Times New Roman" w:eastAsia="Times New Roman" w:hAnsi="Times New Roman" w:cs="Times New Roman"/>
          <w:b/>
          <w:bCs/>
          <w:spacing w:val="-2"/>
          <w:kern w:val="0"/>
          <w14:ligatures w14:val="none"/>
        </w:rPr>
        <w:t>Respondents</w:t>
      </w:r>
    </w:p>
    <w:p w14:paraId="7710B80B" w14:textId="77777777" w:rsidR="008D3090" w:rsidRPr="008D3090" w:rsidRDefault="008D3090" w:rsidP="008D3090">
      <w:pPr>
        <w:widowControl w:val="0"/>
        <w:autoSpaceDE w:val="0"/>
        <w:autoSpaceDN w:val="0"/>
        <w:spacing w:before="10" w:after="0" w:line="240" w:lineRule="auto"/>
        <w:jc w:val="both"/>
        <w:rPr>
          <w:rFonts w:ascii="Times New Roman" w:eastAsia="Times New Roman" w:hAnsi="Times New Roman" w:cs="Times New Roman"/>
          <w:b/>
          <w:kern w:val="0"/>
          <w:sz w:val="10"/>
          <w14:ligatures w14:val="none"/>
        </w:rPr>
      </w:pPr>
    </w:p>
    <w:tbl>
      <w:tblPr>
        <w:tblW w:w="0" w:type="auto"/>
        <w:tblInd w:w="7" w:type="dxa"/>
        <w:tblBorders>
          <w:top w:val="single" w:sz="8" w:space="0" w:color="152934"/>
          <w:left w:val="single" w:sz="8" w:space="0" w:color="152934"/>
          <w:bottom w:val="single" w:sz="8" w:space="0" w:color="152934"/>
          <w:right w:val="single" w:sz="8" w:space="0" w:color="152934"/>
          <w:insideH w:val="single" w:sz="8" w:space="0" w:color="152934"/>
          <w:insideV w:val="single" w:sz="8" w:space="0" w:color="152934"/>
        </w:tblBorders>
        <w:tblLayout w:type="fixed"/>
        <w:tblCellMar>
          <w:left w:w="0" w:type="dxa"/>
          <w:right w:w="0" w:type="dxa"/>
        </w:tblCellMar>
        <w:tblLook w:val="01E0" w:firstRow="1" w:lastRow="1" w:firstColumn="1" w:lastColumn="1" w:noHBand="0" w:noVBand="0"/>
      </w:tblPr>
      <w:tblGrid>
        <w:gridCol w:w="980"/>
        <w:gridCol w:w="1495"/>
        <w:gridCol w:w="1535"/>
        <w:gridCol w:w="1340"/>
        <w:gridCol w:w="1860"/>
        <w:gridCol w:w="1940"/>
      </w:tblGrid>
      <w:tr w:rsidR="008D3090" w:rsidRPr="008D3090" w14:paraId="5A10743A" w14:textId="77777777" w:rsidTr="00D00B3F">
        <w:trPr>
          <w:trHeight w:val="820"/>
        </w:trPr>
        <w:tc>
          <w:tcPr>
            <w:tcW w:w="4010" w:type="dxa"/>
            <w:gridSpan w:val="3"/>
            <w:tcBorders>
              <w:top w:val="nil"/>
              <w:left w:val="nil"/>
              <w:right w:val="single" w:sz="8" w:space="0" w:color="DFDFDF"/>
            </w:tcBorders>
          </w:tcPr>
          <w:p w14:paraId="57716519" w14:textId="77777777" w:rsidR="008D3090" w:rsidRPr="008D3090" w:rsidRDefault="008D3090" w:rsidP="008D3090">
            <w:pPr>
              <w:widowControl w:val="0"/>
              <w:autoSpaceDE w:val="0"/>
              <w:autoSpaceDN w:val="0"/>
              <w:spacing w:before="141" w:after="0" w:line="240" w:lineRule="auto"/>
              <w:jc w:val="both"/>
              <w:rPr>
                <w:rFonts w:ascii="Times New Roman" w:eastAsia="Times New Roman" w:hAnsi="Times New Roman" w:cs="Times New Roman"/>
                <w:b/>
                <w:kern w:val="0"/>
                <w:szCs w:val="22"/>
                <w14:ligatures w14:val="none"/>
              </w:rPr>
            </w:pPr>
          </w:p>
          <w:p w14:paraId="34404786" w14:textId="77777777" w:rsidR="008D3090" w:rsidRPr="008D3090" w:rsidRDefault="008D3090" w:rsidP="008D3090">
            <w:pPr>
              <w:widowControl w:val="0"/>
              <w:autoSpaceDE w:val="0"/>
              <w:autoSpaceDN w:val="0"/>
              <w:spacing w:after="0" w:line="240" w:lineRule="auto"/>
              <w:ind w:right="251"/>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Frequency</w:t>
            </w:r>
          </w:p>
        </w:tc>
        <w:tc>
          <w:tcPr>
            <w:tcW w:w="1340" w:type="dxa"/>
            <w:tcBorders>
              <w:top w:val="nil"/>
              <w:left w:val="single" w:sz="8" w:space="0" w:color="DFDFDF"/>
              <w:right w:val="single" w:sz="8" w:space="0" w:color="DFDFDF"/>
            </w:tcBorders>
          </w:tcPr>
          <w:p w14:paraId="2104B88C" w14:textId="77777777" w:rsidR="008D3090" w:rsidRPr="008D3090" w:rsidRDefault="008D3090" w:rsidP="008D3090">
            <w:pPr>
              <w:widowControl w:val="0"/>
              <w:autoSpaceDE w:val="0"/>
              <w:autoSpaceDN w:val="0"/>
              <w:spacing w:before="141" w:after="0" w:line="240" w:lineRule="auto"/>
              <w:jc w:val="both"/>
              <w:rPr>
                <w:rFonts w:ascii="Times New Roman" w:eastAsia="Times New Roman" w:hAnsi="Times New Roman" w:cs="Times New Roman"/>
                <w:b/>
                <w:kern w:val="0"/>
                <w:szCs w:val="22"/>
                <w14:ligatures w14:val="none"/>
              </w:rPr>
            </w:pPr>
          </w:p>
          <w:p w14:paraId="4D2896AB"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Percent</w:t>
            </w:r>
          </w:p>
        </w:tc>
        <w:tc>
          <w:tcPr>
            <w:tcW w:w="1860" w:type="dxa"/>
            <w:tcBorders>
              <w:top w:val="nil"/>
              <w:left w:val="single" w:sz="8" w:space="0" w:color="DFDFDF"/>
              <w:right w:val="single" w:sz="8" w:space="0" w:color="DFDFDF"/>
            </w:tcBorders>
          </w:tcPr>
          <w:p w14:paraId="292906B9" w14:textId="77777777" w:rsidR="008D3090" w:rsidRPr="008D3090" w:rsidRDefault="008D3090" w:rsidP="008D3090">
            <w:pPr>
              <w:widowControl w:val="0"/>
              <w:autoSpaceDE w:val="0"/>
              <w:autoSpaceDN w:val="0"/>
              <w:spacing w:before="141" w:after="0" w:line="240" w:lineRule="auto"/>
              <w:jc w:val="both"/>
              <w:rPr>
                <w:rFonts w:ascii="Times New Roman" w:eastAsia="Times New Roman" w:hAnsi="Times New Roman" w:cs="Times New Roman"/>
                <w:b/>
                <w:kern w:val="0"/>
                <w:szCs w:val="22"/>
                <w14:ligatures w14:val="none"/>
              </w:rPr>
            </w:pPr>
          </w:p>
          <w:p w14:paraId="25F3B090"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Valid</w:t>
            </w:r>
            <w:r w:rsidRPr="008D3090">
              <w:rPr>
                <w:rFonts w:ascii="Times New Roman" w:eastAsia="Times New Roman" w:hAnsi="Times New Roman" w:cs="Times New Roman"/>
                <w:spacing w:val="-7"/>
                <w:kern w:val="0"/>
                <w:szCs w:val="22"/>
                <w14:ligatures w14:val="none"/>
              </w:rPr>
              <w:t xml:space="preserve"> </w:t>
            </w:r>
            <w:r w:rsidRPr="008D3090">
              <w:rPr>
                <w:rFonts w:ascii="Times New Roman" w:eastAsia="Times New Roman" w:hAnsi="Times New Roman" w:cs="Times New Roman"/>
                <w:spacing w:val="-2"/>
                <w:kern w:val="0"/>
                <w:szCs w:val="22"/>
                <w14:ligatures w14:val="none"/>
              </w:rPr>
              <w:t>Percent</w:t>
            </w:r>
          </w:p>
        </w:tc>
        <w:tc>
          <w:tcPr>
            <w:tcW w:w="1940" w:type="dxa"/>
            <w:tcBorders>
              <w:top w:val="nil"/>
              <w:left w:val="single" w:sz="8" w:space="0" w:color="DFDFDF"/>
              <w:right w:val="nil"/>
            </w:tcBorders>
          </w:tcPr>
          <w:p w14:paraId="10C9577C" w14:textId="77777777" w:rsidR="008D3090" w:rsidRPr="008D3090" w:rsidRDefault="008D3090" w:rsidP="008D3090">
            <w:pPr>
              <w:widowControl w:val="0"/>
              <w:autoSpaceDE w:val="0"/>
              <w:autoSpaceDN w:val="0"/>
              <w:spacing w:before="3" w:after="0" w:line="240" w:lineRule="auto"/>
              <w:ind w:right="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Cumulative</w:t>
            </w:r>
          </w:p>
          <w:p w14:paraId="172DFB5A" w14:textId="77777777" w:rsidR="008D3090" w:rsidRPr="008D3090" w:rsidRDefault="008D3090" w:rsidP="008D3090">
            <w:pPr>
              <w:widowControl w:val="0"/>
              <w:autoSpaceDE w:val="0"/>
              <w:autoSpaceDN w:val="0"/>
              <w:spacing w:before="138" w:after="0" w:line="240" w:lineRule="auto"/>
              <w:ind w:right="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Percent</w:t>
            </w:r>
          </w:p>
        </w:tc>
      </w:tr>
      <w:tr w:rsidR="008D3090" w:rsidRPr="008D3090" w14:paraId="544DD7B4" w14:textId="77777777" w:rsidTr="00D00B3F">
        <w:trPr>
          <w:trHeight w:val="420"/>
        </w:trPr>
        <w:tc>
          <w:tcPr>
            <w:tcW w:w="980" w:type="dxa"/>
            <w:vMerge w:val="restart"/>
            <w:tcBorders>
              <w:left w:val="nil"/>
              <w:right w:val="nil"/>
            </w:tcBorders>
            <w:shd w:val="clear" w:color="auto" w:fill="DFDFDF"/>
          </w:tcPr>
          <w:p w14:paraId="4447A851" w14:textId="77777777" w:rsidR="008D3090" w:rsidRPr="008D3090" w:rsidRDefault="008D3090" w:rsidP="008D3090">
            <w:pPr>
              <w:widowControl w:val="0"/>
              <w:autoSpaceDE w:val="0"/>
              <w:autoSpaceDN w:val="0"/>
              <w:spacing w:before="6"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Valid</w:t>
            </w:r>
          </w:p>
        </w:tc>
        <w:tc>
          <w:tcPr>
            <w:tcW w:w="1495" w:type="dxa"/>
            <w:tcBorders>
              <w:left w:val="nil"/>
              <w:bottom w:val="single" w:sz="8" w:space="0" w:color="AEAEAE"/>
              <w:right w:val="nil"/>
            </w:tcBorders>
            <w:shd w:val="clear" w:color="auto" w:fill="DFDFDF"/>
          </w:tcPr>
          <w:p w14:paraId="0C10FDB3" w14:textId="77777777" w:rsidR="008D3090" w:rsidRPr="008D3090" w:rsidRDefault="008D3090" w:rsidP="008D3090">
            <w:pPr>
              <w:widowControl w:val="0"/>
              <w:autoSpaceDE w:val="0"/>
              <w:autoSpaceDN w:val="0"/>
              <w:spacing w:before="6" w:after="0" w:line="240" w:lineRule="auto"/>
              <w:jc w:val="both"/>
              <w:rPr>
                <w:rFonts w:ascii="Times New Roman" w:eastAsia="Times New Roman" w:hAnsi="Times New Roman" w:cs="Times New Roman"/>
                <w:kern w:val="0"/>
                <w:szCs w:val="22"/>
                <w14:ligatures w14:val="none"/>
              </w:rPr>
            </w:pPr>
            <w:proofErr w:type="spellStart"/>
            <w:proofErr w:type="gramStart"/>
            <w:r w:rsidRPr="008D3090">
              <w:rPr>
                <w:rFonts w:ascii="Times New Roman" w:eastAsia="Times New Roman" w:hAnsi="Times New Roman" w:cs="Times New Roman"/>
                <w:spacing w:val="-2"/>
                <w:kern w:val="0"/>
                <w:szCs w:val="22"/>
                <w14:ligatures w14:val="none"/>
              </w:rPr>
              <w:t>B.Sc</w:t>
            </w:r>
            <w:proofErr w:type="gramEnd"/>
            <w:r w:rsidRPr="008D3090">
              <w:rPr>
                <w:rFonts w:ascii="Times New Roman" w:eastAsia="Times New Roman" w:hAnsi="Times New Roman" w:cs="Times New Roman"/>
                <w:spacing w:val="-2"/>
                <w:kern w:val="0"/>
                <w:szCs w:val="22"/>
                <w14:ligatures w14:val="none"/>
              </w:rPr>
              <w:t>,HND</w:t>
            </w:r>
            <w:proofErr w:type="spellEnd"/>
          </w:p>
        </w:tc>
        <w:tc>
          <w:tcPr>
            <w:tcW w:w="1535" w:type="dxa"/>
            <w:tcBorders>
              <w:left w:val="nil"/>
              <w:bottom w:val="single" w:sz="8" w:space="0" w:color="AEAEAE"/>
              <w:right w:val="single" w:sz="8" w:space="0" w:color="DFDFDF"/>
            </w:tcBorders>
            <w:shd w:val="clear" w:color="auto" w:fill="F9F9FA"/>
          </w:tcPr>
          <w:p w14:paraId="02E18071" w14:textId="77777777" w:rsidR="008D3090" w:rsidRPr="008D3090" w:rsidRDefault="008D3090" w:rsidP="008D3090">
            <w:pPr>
              <w:widowControl w:val="0"/>
              <w:autoSpaceDE w:val="0"/>
              <w:autoSpaceDN w:val="0"/>
              <w:spacing w:before="6" w:after="0" w:line="240" w:lineRule="auto"/>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21</w:t>
            </w:r>
          </w:p>
        </w:tc>
        <w:tc>
          <w:tcPr>
            <w:tcW w:w="1340" w:type="dxa"/>
            <w:tcBorders>
              <w:left w:val="single" w:sz="8" w:space="0" w:color="DFDFDF"/>
              <w:bottom w:val="single" w:sz="8" w:space="0" w:color="AEAEAE"/>
              <w:right w:val="single" w:sz="8" w:space="0" w:color="DFDFDF"/>
            </w:tcBorders>
            <w:shd w:val="clear" w:color="auto" w:fill="F9F9FA"/>
          </w:tcPr>
          <w:p w14:paraId="20091C4F" w14:textId="77777777" w:rsidR="008D3090" w:rsidRPr="008D3090" w:rsidRDefault="008D3090" w:rsidP="008D3090">
            <w:pPr>
              <w:widowControl w:val="0"/>
              <w:autoSpaceDE w:val="0"/>
              <w:autoSpaceDN w:val="0"/>
              <w:spacing w:before="6"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21.0</w:t>
            </w:r>
          </w:p>
        </w:tc>
        <w:tc>
          <w:tcPr>
            <w:tcW w:w="1860" w:type="dxa"/>
            <w:tcBorders>
              <w:left w:val="single" w:sz="8" w:space="0" w:color="DFDFDF"/>
              <w:bottom w:val="single" w:sz="8" w:space="0" w:color="AEAEAE"/>
              <w:right w:val="single" w:sz="8" w:space="0" w:color="DFDFDF"/>
            </w:tcBorders>
            <w:shd w:val="clear" w:color="auto" w:fill="F9F9FA"/>
          </w:tcPr>
          <w:p w14:paraId="188FD174" w14:textId="77777777" w:rsidR="008D3090" w:rsidRPr="008D3090" w:rsidRDefault="008D3090" w:rsidP="008D3090">
            <w:pPr>
              <w:widowControl w:val="0"/>
              <w:autoSpaceDE w:val="0"/>
              <w:autoSpaceDN w:val="0"/>
              <w:spacing w:before="6"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21.0</w:t>
            </w:r>
          </w:p>
        </w:tc>
        <w:tc>
          <w:tcPr>
            <w:tcW w:w="1940" w:type="dxa"/>
            <w:tcBorders>
              <w:left w:val="single" w:sz="8" w:space="0" w:color="DFDFDF"/>
              <w:bottom w:val="single" w:sz="8" w:space="0" w:color="AEAEAE"/>
              <w:right w:val="nil"/>
            </w:tcBorders>
            <w:shd w:val="clear" w:color="auto" w:fill="F9F9FA"/>
          </w:tcPr>
          <w:p w14:paraId="606315F2" w14:textId="77777777" w:rsidR="008D3090" w:rsidRPr="008D3090" w:rsidRDefault="008D3090" w:rsidP="008D3090">
            <w:pPr>
              <w:widowControl w:val="0"/>
              <w:autoSpaceDE w:val="0"/>
              <w:autoSpaceDN w:val="0"/>
              <w:spacing w:before="6"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21.0</w:t>
            </w:r>
          </w:p>
        </w:tc>
      </w:tr>
      <w:tr w:rsidR="008D3090" w:rsidRPr="008D3090" w14:paraId="325EA1D6" w14:textId="77777777" w:rsidTr="00D00B3F">
        <w:trPr>
          <w:trHeight w:val="399"/>
        </w:trPr>
        <w:tc>
          <w:tcPr>
            <w:tcW w:w="980" w:type="dxa"/>
            <w:vMerge/>
            <w:tcBorders>
              <w:top w:val="nil"/>
              <w:left w:val="nil"/>
              <w:right w:val="nil"/>
            </w:tcBorders>
            <w:shd w:val="clear" w:color="auto" w:fill="DFDFDF"/>
          </w:tcPr>
          <w:p w14:paraId="4958F8B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495" w:type="dxa"/>
            <w:tcBorders>
              <w:top w:val="single" w:sz="8" w:space="0" w:color="AEAEAE"/>
              <w:left w:val="nil"/>
              <w:bottom w:val="single" w:sz="8" w:space="0" w:color="AEAEAE"/>
              <w:right w:val="nil"/>
            </w:tcBorders>
            <w:shd w:val="clear" w:color="auto" w:fill="DFDFDF"/>
          </w:tcPr>
          <w:p w14:paraId="754A8CFF" w14:textId="77777777" w:rsidR="008D3090" w:rsidRPr="008D3090" w:rsidRDefault="008D3090" w:rsidP="008D3090">
            <w:pPr>
              <w:widowControl w:val="0"/>
              <w:autoSpaceDE w:val="0"/>
              <w:autoSpaceDN w:val="0"/>
              <w:spacing w:after="0" w:line="271" w:lineRule="exact"/>
              <w:jc w:val="both"/>
              <w:rPr>
                <w:rFonts w:ascii="Times New Roman" w:eastAsia="Times New Roman" w:hAnsi="Times New Roman" w:cs="Times New Roman"/>
                <w:kern w:val="0"/>
                <w:szCs w:val="22"/>
                <w14:ligatures w14:val="none"/>
              </w:rPr>
            </w:pPr>
            <w:proofErr w:type="spellStart"/>
            <w:proofErr w:type="gramStart"/>
            <w:r w:rsidRPr="008D3090">
              <w:rPr>
                <w:rFonts w:ascii="Times New Roman" w:eastAsia="Times New Roman" w:hAnsi="Times New Roman" w:cs="Times New Roman"/>
                <w:spacing w:val="-2"/>
                <w:kern w:val="0"/>
                <w:szCs w:val="22"/>
                <w14:ligatures w14:val="none"/>
              </w:rPr>
              <w:t>MSc,MBA</w:t>
            </w:r>
            <w:proofErr w:type="spellEnd"/>
            <w:proofErr w:type="gramEnd"/>
          </w:p>
        </w:tc>
        <w:tc>
          <w:tcPr>
            <w:tcW w:w="1535" w:type="dxa"/>
            <w:tcBorders>
              <w:top w:val="single" w:sz="8" w:space="0" w:color="AEAEAE"/>
              <w:left w:val="nil"/>
              <w:bottom w:val="single" w:sz="8" w:space="0" w:color="AEAEAE"/>
              <w:right w:val="single" w:sz="8" w:space="0" w:color="DFDFDF"/>
            </w:tcBorders>
            <w:shd w:val="clear" w:color="auto" w:fill="F9F9FA"/>
          </w:tcPr>
          <w:p w14:paraId="481010E4" w14:textId="77777777" w:rsidR="008D3090" w:rsidRPr="008D3090" w:rsidRDefault="008D3090" w:rsidP="008D3090">
            <w:pPr>
              <w:widowControl w:val="0"/>
              <w:autoSpaceDE w:val="0"/>
              <w:autoSpaceDN w:val="0"/>
              <w:spacing w:after="0" w:line="271" w:lineRule="exact"/>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55</w:t>
            </w:r>
          </w:p>
        </w:tc>
        <w:tc>
          <w:tcPr>
            <w:tcW w:w="1340" w:type="dxa"/>
            <w:tcBorders>
              <w:top w:val="single" w:sz="8" w:space="0" w:color="AEAEAE"/>
              <w:left w:val="single" w:sz="8" w:space="0" w:color="DFDFDF"/>
              <w:bottom w:val="single" w:sz="8" w:space="0" w:color="AEAEAE"/>
              <w:right w:val="single" w:sz="8" w:space="0" w:color="DFDFDF"/>
            </w:tcBorders>
            <w:shd w:val="clear" w:color="auto" w:fill="F9F9FA"/>
          </w:tcPr>
          <w:p w14:paraId="2B64D737" w14:textId="77777777" w:rsidR="008D3090" w:rsidRPr="008D3090" w:rsidRDefault="008D3090" w:rsidP="008D3090">
            <w:pPr>
              <w:widowControl w:val="0"/>
              <w:autoSpaceDE w:val="0"/>
              <w:autoSpaceDN w:val="0"/>
              <w:spacing w:after="0" w:line="271" w:lineRule="exact"/>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55.0</w:t>
            </w:r>
          </w:p>
        </w:tc>
        <w:tc>
          <w:tcPr>
            <w:tcW w:w="1860" w:type="dxa"/>
            <w:tcBorders>
              <w:top w:val="single" w:sz="8" w:space="0" w:color="AEAEAE"/>
              <w:left w:val="single" w:sz="8" w:space="0" w:color="DFDFDF"/>
              <w:bottom w:val="single" w:sz="8" w:space="0" w:color="AEAEAE"/>
              <w:right w:val="single" w:sz="8" w:space="0" w:color="DFDFDF"/>
            </w:tcBorders>
            <w:shd w:val="clear" w:color="auto" w:fill="F9F9FA"/>
          </w:tcPr>
          <w:p w14:paraId="56A13165" w14:textId="77777777" w:rsidR="008D3090" w:rsidRPr="008D3090" w:rsidRDefault="008D3090" w:rsidP="008D3090">
            <w:pPr>
              <w:widowControl w:val="0"/>
              <w:autoSpaceDE w:val="0"/>
              <w:autoSpaceDN w:val="0"/>
              <w:spacing w:after="0" w:line="271"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55.0</w:t>
            </w:r>
          </w:p>
        </w:tc>
        <w:tc>
          <w:tcPr>
            <w:tcW w:w="1940" w:type="dxa"/>
            <w:tcBorders>
              <w:top w:val="single" w:sz="8" w:space="0" w:color="AEAEAE"/>
              <w:left w:val="single" w:sz="8" w:space="0" w:color="DFDFDF"/>
              <w:bottom w:val="single" w:sz="8" w:space="0" w:color="AEAEAE"/>
              <w:right w:val="nil"/>
            </w:tcBorders>
            <w:shd w:val="clear" w:color="auto" w:fill="F9F9FA"/>
          </w:tcPr>
          <w:p w14:paraId="00F0D66C" w14:textId="77777777" w:rsidR="008D3090" w:rsidRPr="008D3090" w:rsidRDefault="008D3090" w:rsidP="008D3090">
            <w:pPr>
              <w:widowControl w:val="0"/>
              <w:autoSpaceDE w:val="0"/>
              <w:autoSpaceDN w:val="0"/>
              <w:spacing w:after="0" w:line="271"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76.0</w:t>
            </w:r>
          </w:p>
        </w:tc>
      </w:tr>
      <w:tr w:rsidR="008D3090" w:rsidRPr="008D3090" w14:paraId="5F6505C9" w14:textId="77777777" w:rsidTr="00D00B3F">
        <w:trPr>
          <w:trHeight w:val="400"/>
        </w:trPr>
        <w:tc>
          <w:tcPr>
            <w:tcW w:w="980" w:type="dxa"/>
            <w:vMerge/>
            <w:tcBorders>
              <w:top w:val="nil"/>
              <w:left w:val="nil"/>
              <w:right w:val="nil"/>
            </w:tcBorders>
            <w:shd w:val="clear" w:color="auto" w:fill="DFDFDF"/>
          </w:tcPr>
          <w:p w14:paraId="737355D9"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495" w:type="dxa"/>
            <w:tcBorders>
              <w:top w:val="single" w:sz="8" w:space="0" w:color="AEAEAE"/>
              <w:left w:val="nil"/>
              <w:bottom w:val="single" w:sz="8" w:space="0" w:color="AEAEAE"/>
              <w:right w:val="nil"/>
            </w:tcBorders>
            <w:shd w:val="clear" w:color="auto" w:fill="DFDFDF"/>
          </w:tcPr>
          <w:p w14:paraId="2AB159A3" w14:textId="77777777" w:rsidR="008D3090" w:rsidRPr="008D3090" w:rsidRDefault="008D3090" w:rsidP="008D3090">
            <w:pPr>
              <w:widowControl w:val="0"/>
              <w:autoSpaceDE w:val="0"/>
              <w:autoSpaceDN w:val="0"/>
              <w:spacing w:before="4"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PHD</w:t>
            </w:r>
          </w:p>
        </w:tc>
        <w:tc>
          <w:tcPr>
            <w:tcW w:w="1535" w:type="dxa"/>
            <w:tcBorders>
              <w:top w:val="single" w:sz="8" w:space="0" w:color="AEAEAE"/>
              <w:left w:val="nil"/>
              <w:bottom w:val="single" w:sz="8" w:space="0" w:color="AEAEAE"/>
              <w:right w:val="single" w:sz="8" w:space="0" w:color="DFDFDF"/>
            </w:tcBorders>
            <w:shd w:val="clear" w:color="auto" w:fill="F9F9FA"/>
          </w:tcPr>
          <w:p w14:paraId="70C87E61" w14:textId="77777777" w:rsidR="008D3090" w:rsidRPr="008D3090" w:rsidRDefault="008D3090" w:rsidP="008D3090">
            <w:pPr>
              <w:widowControl w:val="0"/>
              <w:autoSpaceDE w:val="0"/>
              <w:autoSpaceDN w:val="0"/>
              <w:spacing w:before="4" w:after="0" w:line="240" w:lineRule="auto"/>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24</w:t>
            </w:r>
          </w:p>
        </w:tc>
        <w:tc>
          <w:tcPr>
            <w:tcW w:w="1340" w:type="dxa"/>
            <w:tcBorders>
              <w:top w:val="single" w:sz="8" w:space="0" w:color="AEAEAE"/>
              <w:left w:val="single" w:sz="8" w:space="0" w:color="DFDFDF"/>
              <w:bottom w:val="single" w:sz="8" w:space="0" w:color="AEAEAE"/>
              <w:right w:val="single" w:sz="8" w:space="0" w:color="DFDFDF"/>
            </w:tcBorders>
            <w:shd w:val="clear" w:color="auto" w:fill="F9F9FA"/>
          </w:tcPr>
          <w:p w14:paraId="56A549F8" w14:textId="77777777" w:rsidR="008D3090" w:rsidRPr="008D3090" w:rsidRDefault="008D3090" w:rsidP="008D3090">
            <w:pPr>
              <w:widowControl w:val="0"/>
              <w:autoSpaceDE w:val="0"/>
              <w:autoSpaceDN w:val="0"/>
              <w:spacing w:before="4"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24.0</w:t>
            </w:r>
          </w:p>
        </w:tc>
        <w:tc>
          <w:tcPr>
            <w:tcW w:w="1860" w:type="dxa"/>
            <w:tcBorders>
              <w:top w:val="single" w:sz="8" w:space="0" w:color="AEAEAE"/>
              <w:left w:val="single" w:sz="8" w:space="0" w:color="DFDFDF"/>
              <w:bottom w:val="single" w:sz="8" w:space="0" w:color="AEAEAE"/>
              <w:right w:val="single" w:sz="8" w:space="0" w:color="DFDFDF"/>
            </w:tcBorders>
            <w:shd w:val="clear" w:color="auto" w:fill="F9F9FA"/>
          </w:tcPr>
          <w:p w14:paraId="1E139D51" w14:textId="77777777" w:rsidR="008D3090" w:rsidRPr="008D3090" w:rsidRDefault="008D3090" w:rsidP="008D3090">
            <w:pPr>
              <w:widowControl w:val="0"/>
              <w:autoSpaceDE w:val="0"/>
              <w:autoSpaceDN w:val="0"/>
              <w:spacing w:before="4"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24.0</w:t>
            </w:r>
          </w:p>
        </w:tc>
        <w:tc>
          <w:tcPr>
            <w:tcW w:w="1940" w:type="dxa"/>
            <w:tcBorders>
              <w:top w:val="single" w:sz="8" w:space="0" w:color="AEAEAE"/>
              <w:left w:val="single" w:sz="8" w:space="0" w:color="DFDFDF"/>
              <w:bottom w:val="single" w:sz="8" w:space="0" w:color="AEAEAE"/>
              <w:right w:val="nil"/>
            </w:tcBorders>
            <w:shd w:val="clear" w:color="auto" w:fill="F9F9FA"/>
          </w:tcPr>
          <w:p w14:paraId="7186E751" w14:textId="77777777" w:rsidR="008D3090" w:rsidRPr="008D3090" w:rsidRDefault="008D3090" w:rsidP="008D3090">
            <w:pPr>
              <w:widowControl w:val="0"/>
              <w:autoSpaceDE w:val="0"/>
              <w:autoSpaceDN w:val="0"/>
              <w:spacing w:before="4"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r>
      <w:tr w:rsidR="008D3090" w:rsidRPr="008D3090" w14:paraId="58191AD7" w14:textId="77777777" w:rsidTr="00D00B3F">
        <w:trPr>
          <w:trHeight w:val="420"/>
        </w:trPr>
        <w:tc>
          <w:tcPr>
            <w:tcW w:w="980" w:type="dxa"/>
            <w:vMerge/>
            <w:tcBorders>
              <w:top w:val="nil"/>
              <w:left w:val="nil"/>
              <w:right w:val="nil"/>
            </w:tcBorders>
            <w:shd w:val="clear" w:color="auto" w:fill="DFDFDF"/>
          </w:tcPr>
          <w:p w14:paraId="419BD77F"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1495" w:type="dxa"/>
            <w:tcBorders>
              <w:top w:val="single" w:sz="8" w:space="0" w:color="AEAEAE"/>
              <w:left w:val="nil"/>
              <w:right w:val="nil"/>
            </w:tcBorders>
            <w:shd w:val="clear" w:color="auto" w:fill="DFDFDF"/>
          </w:tcPr>
          <w:p w14:paraId="12A6F70F" w14:textId="77777777" w:rsidR="008D3090" w:rsidRPr="008D3090" w:rsidRDefault="008D3090" w:rsidP="008D3090">
            <w:pPr>
              <w:widowControl w:val="0"/>
              <w:autoSpaceDE w:val="0"/>
              <w:autoSpaceDN w:val="0"/>
              <w:spacing w:before="13"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Total</w:t>
            </w:r>
          </w:p>
        </w:tc>
        <w:tc>
          <w:tcPr>
            <w:tcW w:w="1535" w:type="dxa"/>
            <w:tcBorders>
              <w:top w:val="single" w:sz="8" w:space="0" w:color="AEAEAE"/>
              <w:left w:val="nil"/>
              <w:right w:val="single" w:sz="8" w:space="0" w:color="DFDFDF"/>
            </w:tcBorders>
            <w:shd w:val="clear" w:color="auto" w:fill="F9F9FA"/>
          </w:tcPr>
          <w:p w14:paraId="2A60BEB6" w14:textId="77777777" w:rsidR="008D3090" w:rsidRPr="008D3090" w:rsidRDefault="008D3090" w:rsidP="008D3090">
            <w:pPr>
              <w:widowControl w:val="0"/>
              <w:autoSpaceDE w:val="0"/>
              <w:autoSpaceDN w:val="0"/>
              <w:spacing w:before="13" w:after="0" w:line="240" w:lineRule="auto"/>
              <w:ind w:right="5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340" w:type="dxa"/>
            <w:tcBorders>
              <w:top w:val="single" w:sz="8" w:space="0" w:color="AEAEAE"/>
              <w:left w:val="single" w:sz="8" w:space="0" w:color="DFDFDF"/>
              <w:right w:val="single" w:sz="8" w:space="0" w:color="DFDFDF"/>
            </w:tcBorders>
            <w:shd w:val="clear" w:color="auto" w:fill="F9F9FA"/>
          </w:tcPr>
          <w:p w14:paraId="5C8111CD" w14:textId="77777777" w:rsidR="008D3090" w:rsidRPr="008D3090" w:rsidRDefault="008D3090" w:rsidP="008D3090">
            <w:pPr>
              <w:widowControl w:val="0"/>
              <w:autoSpaceDE w:val="0"/>
              <w:autoSpaceDN w:val="0"/>
              <w:spacing w:before="13" w:after="0" w:line="240" w:lineRule="auto"/>
              <w:ind w:right="4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c>
          <w:tcPr>
            <w:tcW w:w="1860" w:type="dxa"/>
            <w:tcBorders>
              <w:top w:val="single" w:sz="8" w:space="0" w:color="AEAEAE"/>
              <w:left w:val="single" w:sz="8" w:space="0" w:color="DFDFDF"/>
              <w:right w:val="single" w:sz="8" w:space="0" w:color="DFDFDF"/>
            </w:tcBorders>
            <w:shd w:val="clear" w:color="auto" w:fill="F9F9FA"/>
          </w:tcPr>
          <w:p w14:paraId="5E94BC76" w14:textId="77777777" w:rsidR="008D3090" w:rsidRPr="008D3090" w:rsidRDefault="008D3090" w:rsidP="008D3090">
            <w:pPr>
              <w:widowControl w:val="0"/>
              <w:autoSpaceDE w:val="0"/>
              <w:autoSpaceDN w:val="0"/>
              <w:spacing w:before="1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100.0</w:t>
            </w:r>
          </w:p>
        </w:tc>
        <w:tc>
          <w:tcPr>
            <w:tcW w:w="1940" w:type="dxa"/>
            <w:tcBorders>
              <w:top w:val="single" w:sz="8" w:space="0" w:color="AEAEAE"/>
              <w:left w:val="single" w:sz="8" w:space="0" w:color="DFDFDF"/>
              <w:right w:val="nil"/>
            </w:tcBorders>
            <w:shd w:val="clear" w:color="auto" w:fill="F9F9FA"/>
          </w:tcPr>
          <w:p w14:paraId="0B0EF6A7"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p>
        </w:tc>
      </w:tr>
    </w:tbl>
    <w:p w14:paraId="56279075" w14:textId="77777777" w:rsidR="008D3090" w:rsidRPr="008D3090" w:rsidRDefault="008D3090" w:rsidP="008D3090">
      <w:pPr>
        <w:widowControl w:val="0"/>
        <w:autoSpaceDE w:val="0"/>
        <w:autoSpaceDN w:val="0"/>
        <w:spacing w:before="13"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 xml:space="preserve">SPSS Out, </w:t>
      </w:r>
      <w:r w:rsidRPr="008D3090">
        <w:rPr>
          <w:rFonts w:ascii="Times New Roman" w:eastAsia="Times New Roman" w:hAnsi="Times New Roman" w:cs="Times New Roman"/>
          <w:spacing w:val="-4"/>
          <w:kern w:val="0"/>
          <w14:ligatures w14:val="none"/>
        </w:rPr>
        <w:t>2026</w:t>
      </w:r>
    </w:p>
    <w:p w14:paraId="46DDB6FD" w14:textId="77777777" w:rsidR="008D3090" w:rsidRPr="008D3090" w:rsidRDefault="008D3090" w:rsidP="008D3090">
      <w:pPr>
        <w:widowControl w:val="0"/>
        <w:autoSpaceDE w:val="0"/>
        <w:autoSpaceDN w:val="0"/>
        <w:spacing w:before="22" w:after="0" w:line="240" w:lineRule="auto"/>
        <w:jc w:val="both"/>
        <w:rPr>
          <w:rFonts w:ascii="Times New Roman" w:eastAsia="Times New Roman" w:hAnsi="Times New Roman" w:cs="Times New Roman"/>
          <w:kern w:val="0"/>
          <w14:ligatures w14:val="none"/>
        </w:rPr>
      </w:pPr>
    </w:p>
    <w:p w14:paraId="42C1E39F" w14:textId="77777777" w:rsidR="008D3090" w:rsidRDefault="008D3090"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r w:rsidRPr="008D3090">
        <w:rPr>
          <w:rFonts w:ascii="Times New Roman" w:eastAsia="Times New Roman" w:hAnsi="Times New Roman" w:cs="Times New Roman"/>
          <w:kern w:val="0"/>
          <w14:ligatures w14:val="none"/>
        </w:rPr>
        <w:t xml:space="preserve">As noted in educational qualification table 3. 21.0% of the total respondent possesses </w:t>
      </w:r>
      <w:proofErr w:type="spellStart"/>
      <w:proofErr w:type="gramStart"/>
      <w:r w:rsidRPr="008D3090">
        <w:rPr>
          <w:rFonts w:ascii="Times New Roman" w:eastAsia="Times New Roman" w:hAnsi="Times New Roman" w:cs="Times New Roman"/>
          <w:kern w:val="0"/>
          <w14:ligatures w14:val="none"/>
        </w:rPr>
        <w:t>B.Sc</w:t>
      </w:r>
      <w:proofErr w:type="spellEnd"/>
      <w:proofErr w:type="gramEnd"/>
      <w:r w:rsidRPr="008D3090">
        <w:rPr>
          <w:rFonts w:ascii="Times New Roman" w:eastAsia="Times New Roman" w:hAnsi="Times New Roman" w:cs="Times New Roman"/>
          <w:kern w:val="0"/>
          <w14:ligatures w14:val="none"/>
        </w:rPr>
        <w:t>, or HND, 55.0% of them possesses MSc or MBA degree, while 24.0% of</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them</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possesses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 xml:space="preserve">doctorate </w:t>
      </w:r>
      <w:r w:rsidRPr="008D3090">
        <w:rPr>
          <w:rFonts w:ascii="Times New Roman" w:eastAsia="Times New Roman" w:hAnsi="Times New Roman" w:cs="Times New Roman"/>
          <w:spacing w:val="-2"/>
          <w:kern w:val="0"/>
          <w14:ligatures w14:val="none"/>
        </w:rPr>
        <w:t>degree.</w:t>
      </w:r>
    </w:p>
    <w:p w14:paraId="22BB4E48"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30742D6B"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2157CA27"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6A1170E1"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21D118EE"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02B5AD57"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183787EE"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6527ED1B"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309DDE2B"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28F0EF7B"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6E7F6FDC"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75A43BA6" w14:textId="77777777" w:rsidR="001A5F7B"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367C4464" w14:textId="77777777" w:rsidR="001A5F7B" w:rsidRPr="008D3090" w:rsidRDefault="001A5F7B" w:rsidP="001A5F7B">
      <w:pPr>
        <w:widowControl w:val="0"/>
        <w:autoSpaceDE w:val="0"/>
        <w:autoSpaceDN w:val="0"/>
        <w:spacing w:after="0" w:line="240" w:lineRule="auto"/>
        <w:ind w:right="3"/>
        <w:jc w:val="both"/>
        <w:rPr>
          <w:rFonts w:ascii="Times New Roman" w:eastAsia="Times New Roman" w:hAnsi="Times New Roman" w:cs="Times New Roman"/>
          <w:spacing w:val="-2"/>
          <w:kern w:val="0"/>
          <w14:ligatures w14:val="none"/>
        </w:rPr>
      </w:pPr>
    </w:p>
    <w:p w14:paraId="23463131" w14:textId="77777777" w:rsidR="008D3090" w:rsidRPr="008D3090" w:rsidRDefault="008D3090" w:rsidP="008D3090">
      <w:pPr>
        <w:widowControl w:val="0"/>
        <w:autoSpaceDE w:val="0"/>
        <w:autoSpaceDN w:val="0"/>
        <w:spacing w:before="160"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lastRenderedPageBreak/>
        <w:t xml:space="preserve">Bivariate </w:t>
      </w:r>
      <w:r w:rsidRPr="008D3090">
        <w:rPr>
          <w:rFonts w:ascii="Times New Roman" w:eastAsia="Times New Roman" w:hAnsi="Times New Roman" w:cs="Times New Roman"/>
          <w:b/>
          <w:bCs/>
          <w:spacing w:val="-2"/>
          <w:kern w:val="0"/>
          <w14:ligatures w14:val="none"/>
        </w:rPr>
        <w:t>Analysis</w:t>
      </w:r>
    </w:p>
    <w:p w14:paraId="56D9E3E4" w14:textId="77777777" w:rsidR="008D3090" w:rsidRPr="008D3090" w:rsidRDefault="008D3090" w:rsidP="008D3090">
      <w:pPr>
        <w:widowControl w:val="0"/>
        <w:autoSpaceDE w:val="0"/>
        <w:autoSpaceDN w:val="0"/>
        <w:spacing w:before="125" w:after="0" w:line="240" w:lineRule="auto"/>
        <w:jc w:val="both"/>
        <w:rPr>
          <w:rFonts w:ascii="Times New Roman" w:eastAsia="Times New Roman" w:hAnsi="Times New Roman" w:cs="Times New Roman"/>
          <w:b/>
          <w:kern w:val="0"/>
          <w:sz w:val="20"/>
          <w14:ligatures w14:val="none"/>
        </w:rPr>
      </w:pPr>
    </w:p>
    <w:tbl>
      <w:tblPr>
        <w:tblW w:w="0" w:type="auto"/>
        <w:tblInd w:w="7" w:type="dxa"/>
        <w:tblLayout w:type="fixed"/>
        <w:tblCellMar>
          <w:left w:w="0" w:type="dxa"/>
          <w:right w:w="0" w:type="dxa"/>
        </w:tblCellMar>
        <w:tblLook w:val="01E0" w:firstRow="1" w:lastRow="1" w:firstColumn="1" w:lastColumn="1" w:noHBand="0" w:noVBand="0"/>
      </w:tblPr>
      <w:tblGrid>
        <w:gridCol w:w="7270"/>
        <w:gridCol w:w="1624"/>
      </w:tblGrid>
      <w:tr w:rsidR="008D3090" w:rsidRPr="008D3090" w14:paraId="4F1F7C6B" w14:textId="77777777" w:rsidTr="00D00B3F">
        <w:trPr>
          <w:trHeight w:val="810"/>
        </w:trPr>
        <w:tc>
          <w:tcPr>
            <w:tcW w:w="8894" w:type="dxa"/>
            <w:gridSpan w:val="2"/>
          </w:tcPr>
          <w:p w14:paraId="0008796C" w14:textId="77777777" w:rsidR="008D3090" w:rsidRPr="008D3090" w:rsidRDefault="008D3090" w:rsidP="008D3090">
            <w:pPr>
              <w:widowControl w:val="0"/>
              <w:autoSpaceDE w:val="0"/>
              <w:autoSpaceDN w:val="0"/>
              <w:spacing w:after="0" w:line="266" w:lineRule="exact"/>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Table</w:t>
            </w:r>
            <w:r w:rsidRPr="008D3090">
              <w:rPr>
                <w:rFonts w:ascii="Times New Roman" w:eastAsia="Times New Roman" w:hAnsi="Times New Roman" w:cs="Times New Roman"/>
                <w:b/>
                <w:spacing w:val="-5"/>
                <w:kern w:val="0"/>
                <w:szCs w:val="22"/>
                <w14:ligatures w14:val="none"/>
              </w:rPr>
              <w:t xml:space="preserve"> </w:t>
            </w:r>
            <w:r w:rsidRPr="008D3090">
              <w:rPr>
                <w:rFonts w:ascii="Times New Roman" w:eastAsia="Times New Roman" w:hAnsi="Times New Roman" w:cs="Times New Roman"/>
                <w:b/>
                <w:kern w:val="0"/>
                <w:szCs w:val="22"/>
                <w14:ligatures w14:val="none"/>
              </w:rPr>
              <w:t>4</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Correlation</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result</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of</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Historical</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Sales</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Analysis</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and</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Inventory</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kern w:val="0"/>
                <w:szCs w:val="22"/>
                <w14:ligatures w14:val="none"/>
              </w:rPr>
              <w:t>Holding</w:t>
            </w:r>
            <w:r w:rsidRPr="008D3090">
              <w:rPr>
                <w:rFonts w:ascii="Times New Roman" w:eastAsia="Times New Roman" w:hAnsi="Times New Roman" w:cs="Times New Roman"/>
                <w:b/>
                <w:spacing w:val="-3"/>
                <w:kern w:val="0"/>
                <w:szCs w:val="22"/>
                <w14:ligatures w14:val="none"/>
              </w:rPr>
              <w:t xml:space="preserve"> </w:t>
            </w:r>
            <w:r w:rsidRPr="008D3090">
              <w:rPr>
                <w:rFonts w:ascii="Times New Roman" w:eastAsia="Times New Roman" w:hAnsi="Times New Roman" w:cs="Times New Roman"/>
                <w:b/>
                <w:spacing w:val="-4"/>
                <w:kern w:val="0"/>
                <w:szCs w:val="22"/>
                <w14:ligatures w14:val="none"/>
              </w:rPr>
              <w:t>Cost</w:t>
            </w:r>
          </w:p>
          <w:p w14:paraId="6026E4AC" w14:textId="77777777" w:rsidR="008D3090" w:rsidRPr="008D3090" w:rsidRDefault="008D3090" w:rsidP="008D3090">
            <w:pPr>
              <w:widowControl w:val="0"/>
              <w:autoSpaceDE w:val="0"/>
              <w:autoSpaceDN w:val="0"/>
              <w:spacing w:before="138"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Reduction</w:t>
            </w:r>
          </w:p>
        </w:tc>
      </w:tr>
      <w:tr w:rsidR="008D3090" w:rsidRPr="008D3090" w14:paraId="1BCEF0E6" w14:textId="77777777" w:rsidTr="00D00B3F">
        <w:trPr>
          <w:trHeight w:val="1249"/>
        </w:trPr>
        <w:tc>
          <w:tcPr>
            <w:tcW w:w="7270" w:type="dxa"/>
            <w:tcBorders>
              <w:right w:val="single" w:sz="8" w:space="0" w:color="DFDFDF"/>
            </w:tcBorders>
          </w:tcPr>
          <w:p w14:paraId="05F4E57F" w14:textId="77777777" w:rsidR="008D3090" w:rsidRPr="008D3090" w:rsidRDefault="008D3090" w:rsidP="008D3090">
            <w:pPr>
              <w:widowControl w:val="0"/>
              <w:autoSpaceDE w:val="0"/>
              <w:autoSpaceDN w:val="0"/>
              <w:spacing w:before="11" w:after="0" w:line="240" w:lineRule="auto"/>
              <w:jc w:val="both"/>
              <w:rPr>
                <w:rFonts w:ascii="Times New Roman" w:eastAsia="Times New Roman" w:hAnsi="Times New Roman" w:cs="Times New Roman"/>
                <w:b/>
                <w:kern w:val="0"/>
                <w:szCs w:val="22"/>
                <w14:ligatures w14:val="none"/>
              </w:rPr>
            </w:pPr>
          </w:p>
          <w:p w14:paraId="1F14FDB3" w14:textId="77777777" w:rsidR="008D3090" w:rsidRPr="008D3090" w:rsidRDefault="008D3090" w:rsidP="008D3090">
            <w:pPr>
              <w:widowControl w:val="0"/>
              <w:autoSpaceDE w:val="0"/>
              <w:autoSpaceDN w:val="0"/>
              <w:spacing w:after="0" w:line="410" w:lineRule="atLeast"/>
              <w:ind w:right="99"/>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Historical</w:t>
            </w:r>
            <w:r w:rsidRPr="008D3090">
              <w:rPr>
                <w:rFonts w:ascii="Times New Roman" w:eastAsia="Times New Roman" w:hAnsi="Times New Roman" w:cs="Times New Roman"/>
                <w:b/>
                <w:spacing w:val="-15"/>
                <w:kern w:val="0"/>
                <w:szCs w:val="22"/>
                <w14:ligatures w14:val="none"/>
              </w:rPr>
              <w:t xml:space="preserve"> </w:t>
            </w:r>
            <w:r w:rsidRPr="008D3090">
              <w:rPr>
                <w:rFonts w:ascii="Times New Roman" w:eastAsia="Times New Roman" w:hAnsi="Times New Roman" w:cs="Times New Roman"/>
                <w:b/>
                <w:kern w:val="0"/>
                <w:szCs w:val="22"/>
                <w14:ligatures w14:val="none"/>
              </w:rPr>
              <w:t xml:space="preserve">Sales </w:t>
            </w:r>
            <w:r w:rsidRPr="008D3090">
              <w:rPr>
                <w:rFonts w:ascii="Times New Roman" w:eastAsia="Times New Roman" w:hAnsi="Times New Roman" w:cs="Times New Roman"/>
                <w:b/>
                <w:spacing w:val="-2"/>
                <w:kern w:val="0"/>
                <w:szCs w:val="22"/>
                <w14:ligatures w14:val="none"/>
              </w:rPr>
              <w:t>Analysis</w:t>
            </w:r>
          </w:p>
        </w:tc>
        <w:tc>
          <w:tcPr>
            <w:tcW w:w="1624" w:type="dxa"/>
            <w:tcBorders>
              <w:left w:val="single" w:sz="8" w:space="0" w:color="DFDFDF"/>
            </w:tcBorders>
          </w:tcPr>
          <w:p w14:paraId="0355773A" w14:textId="77777777" w:rsidR="008D3090" w:rsidRPr="008D3090" w:rsidRDefault="008D3090" w:rsidP="008D3090">
            <w:pPr>
              <w:widowControl w:val="0"/>
              <w:autoSpaceDE w:val="0"/>
              <w:autoSpaceDN w:val="0"/>
              <w:spacing w:before="7" w:after="0" w:line="360" w:lineRule="auto"/>
              <w:ind w:right="45"/>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 xml:space="preserve">Inventory </w:t>
            </w:r>
            <w:r w:rsidRPr="008D3090">
              <w:rPr>
                <w:rFonts w:ascii="Times New Roman" w:eastAsia="Times New Roman" w:hAnsi="Times New Roman" w:cs="Times New Roman"/>
                <w:b/>
                <w:kern w:val="0"/>
                <w:szCs w:val="22"/>
                <w14:ligatures w14:val="none"/>
              </w:rPr>
              <w:t>Holding</w:t>
            </w:r>
            <w:r w:rsidRPr="008D3090">
              <w:rPr>
                <w:rFonts w:ascii="Times New Roman" w:eastAsia="Times New Roman" w:hAnsi="Times New Roman" w:cs="Times New Roman"/>
                <w:b/>
                <w:spacing w:val="-15"/>
                <w:kern w:val="0"/>
                <w:szCs w:val="22"/>
                <w14:ligatures w14:val="none"/>
              </w:rPr>
              <w:t xml:space="preserve"> </w:t>
            </w:r>
            <w:r w:rsidRPr="008D3090">
              <w:rPr>
                <w:rFonts w:ascii="Times New Roman" w:eastAsia="Times New Roman" w:hAnsi="Times New Roman" w:cs="Times New Roman"/>
                <w:b/>
                <w:kern w:val="0"/>
                <w:szCs w:val="22"/>
                <w14:ligatures w14:val="none"/>
              </w:rPr>
              <w:t>Cost</w:t>
            </w:r>
          </w:p>
          <w:p w14:paraId="00CB8C3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Reduction</w:t>
            </w:r>
          </w:p>
        </w:tc>
      </w:tr>
    </w:tbl>
    <w:p w14:paraId="6CFC7601"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sectPr w:rsidR="008D3090" w:rsidRPr="008D3090" w:rsidSect="008D3090">
          <w:pgSz w:w="12240" w:h="15840"/>
          <w:pgMar w:top="1400" w:right="1440" w:bottom="1452" w:left="1440" w:header="720" w:footer="720" w:gutter="0"/>
          <w:cols w:space="720"/>
        </w:sectPr>
      </w:pPr>
    </w:p>
    <w:tbl>
      <w:tblPr>
        <w:tblW w:w="0" w:type="auto"/>
        <w:tblInd w:w="7" w:type="dxa"/>
        <w:tblBorders>
          <w:top w:val="single" w:sz="8" w:space="0" w:color="152934"/>
          <w:left w:val="single" w:sz="8" w:space="0" w:color="152934"/>
          <w:bottom w:val="single" w:sz="8" w:space="0" w:color="152934"/>
          <w:right w:val="single" w:sz="8" w:space="0" w:color="152934"/>
          <w:insideH w:val="single" w:sz="8" w:space="0" w:color="152934"/>
          <w:insideV w:val="single" w:sz="8" w:space="0" w:color="152934"/>
        </w:tblBorders>
        <w:tblLayout w:type="fixed"/>
        <w:tblCellMar>
          <w:left w:w="0" w:type="dxa"/>
          <w:right w:w="0" w:type="dxa"/>
        </w:tblCellMar>
        <w:tblLook w:val="01E0" w:firstRow="1" w:lastRow="1" w:firstColumn="1" w:lastColumn="1" w:noHBand="0" w:noVBand="0"/>
      </w:tblPr>
      <w:tblGrid>
        <w:gridCol w:w="3020"/>
        <w:gridCol w:w="2440"/>
        <w:gridCol w:w="1810"/>
        <w:gridCol w:w="1790"/>
      </w:tblGrid>
      <w:tr w:rsidR="008D3090" w:rsidRPr="008D3090" w14:paraId="082B7CFA" w14:textId="77777777" w:rsidTr="00D00B3F">
        <w:trPr>
          <w:trHeight w:val="399"/>
        </w:trPr>
        <w:tc>
          <w:tcPr>
            <w:tcW w:w="3020" w:type="dxa"/>
            <w:vMerge w:val="restart"/>
            <w:tcBorders>
              <w:left w:val="nil"/>
              <w:bottom w:val="single" w:sz="8" w:space="0" w:color="AEAEAE"/>
              <w:right w:val="nil"/>
            </w:tcBorders>
            <w:shd w:val="clear" w:color="auto" w:fill="DFDFDF"/>
          </w:tcPr>
          <w:p w14:paraId="2C47F086" w14:textId="77777777" w:rsidR="008D3090" w:rsidRPr="008D3090" w:rsidRDefault="008D3090" w:rsidP="008D3090">
            <w:pPr>
              <w:widowControl w:val="0"/>
              <w:autoSpaceDE w:val="0"/>
              <w:autoSpaceDN w:val="0"/>
              <w:spacing w:after="0" w:line="271"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Historical Sales </w:t>
            </w:r>
            <w:r w:rsidRPr="008D3090">
              <w:rPr>
                <w:rFonts w:ascii="Times New Roman" w:eastAsia="Times New Roman" w:hAnsi="Times New Roman" w:cs="Times New Roman"/>
                <w:spacing w:val="-2"/>
                <w:kern w:val="0"/>
                <w:szCs w:val="22"/>
                <w14:ligatures w14:val="none"/>
              </w:rPr>
              <w:t>Analysis</w:t>
            </w:r>
          </w:p>
        </w:tc>
        <w:tc>
          <w:tcPr>
            <w:tcW w:w="2440" w:type="dxa"/>
            <w:tcBorders>
              <w:left w:val="nil"/>
              <w:bottom w:val="single" w:sz="8" w:space="0" w:color="AEAEAE"/>
              <w:right w:val="nil"/>
            </w:tcBorders>
            <w:shd w:val="clear" w:color="auto" w:fill="DFDFDF"/>
          </w:tcPr>
          <w:p w14:paraId="5EE312FA" w14:textId="77777777" w:rsidR="008D3090" w:rsidRPr="008D3090" w:rsidRDefault="008D3090" w:rsidP="008D3090">
            <w:pPr>
              <w:widowControl w:val="0"/>
              <w:autoSpaceDE w:val="0"/>
              <w:autoSpaceDN w:val="0"/>
              <w:spacing w:after="0" w:line="271"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810" w:type="dxa"/>
            <w:tcBorders>
              <w:left w:val="nil"/>
              <w:bottom w:val="single" w:sz="8" w:space="0" w:color="AEAEAE"/>
              <w:right w:val="single" w:sz="8" w:space="0" w:color="DFDFDF"/>
            </w:tcBorders>
            <w:shd w:val="clear" w:color="auto" w:fill="F9F9FA"/>
          </w:tcPr>
          <w:p w14:paraId="485BF9E7" w14:textId="77777777" w:rsidR="008D3090" w:rsidRPr="008D3090" w:rsidRDefault="008D3090" w:rsidP="008D3090">
            <w:pPr>
              <w:widowControl w:val="0"/>
              <w:autoSpaceDE w:val="0"/>
              <w:autoSpaceDN w:val="0"/>
              <w:spacing w:after="0" w:line="271"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c>
          <w:tcPr>
            <w:tcW w:w="1790" w:type="dxa"/>
            <w:tcBorders>
              <w:left w:val="single" w:sz="8" w:space="0" w:color="DFDFDF"/>
              <w:bottom w:val="single" w:sz="8" w:space="0" w:color="AEAEAE"/>
              <w:right w:val="nil"/>
            </w:tcBorders>
            <w:shd w:val="clear" w:color="auto" w:fill="F9F9FA"/>
          </w:tcPr>
          <w:p w14:paraId="0B8F0124" w14:textId="77777777" w:rsidR="008D3090" w:rsidRPr="008D3090" w:rsidRDefault="008D3090" w:rsidP="008D3090">
            <w:pPr>
              <w:widowControl w:val="0"/>
              <w:autoSpaceDE w:val="0"/>
              <w:autoSpaceDN w:val="0"/>
              <w:spacing w:after="0" w:line="271" w:lineRule="exact"/>
              <w:ind w:right="5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.711</w:t>
            </w:r>
            <w:r w:rsidRPr="008D3090">
              <w:rPr>
                <w:rFonts w:ascii="Times New Roman" w:eastAsia="Times New Roman" w:hAnsi="Times New Roman" w:cs="Times New Roman"/>
                <w:spacing w:val="-2"/>
                <w:kern w:val="0"/>
                <w:szCs w:val="22"/>
                <w:vertAlign w:val="superscript"/>
                <w14:ligatures w14:val="none"/>
              </w:rPr>
              <w:t>**</w:t>
            </w:r>
          </w:p>
        </w:tc>
      </w:tr>
      <w:tr w:rsidR="008D3090" w:rsidRPr="008D3090" w14:paraId="4BFED113" w14:textId="77777777" w:rsidTr="00D00B3F">
        <w:trPr>
          <w:trHeight w:val="400"/>
        </w:trPr>
        <w:tc>
          <w:tcPr>
            <w:tcW w:w="3020" w:type="dxa"/>
            <w:vMerge/>
            <w:tcBorders>
              <w:top w:val="nil"/>
              <w:left w:val="nil"/>
              <w:bottom w:val="single" w:sz="8" w:space="0" w:color="AEAEAE"/>
              <w:right w:val="nil"/>
            </w:tcBorders>
            <w:shd w:val="clear" w:color="auto" w:fill="DFDFDF"/>
          </w:tcPr>
          <w:p w14:paraId="07662D75"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bottom w:val="single" w:sz="8" w:space="0" w:color="AEAEAE"/>
              <w:right w:val="nil"/>
            </w:tcBorders>
            <w:shd w:val="clear" w:color="auto" w:fill="DFDFDF"/>
          </w:tcPr>
          <w:p w14:paraId="75EAA28A" w14:textId="77777777" w:rsidR="008D3090" w:rsidRPr="008D3090" w:rsidRDefault="008D3090" w:rsidP="008D3090">
            <w:pPr>
              <w:widowControl w:val="0"/>
              <w:autoSpaceDE w:val="0"/>
              <w:autoSpaceDN w:val="0"/>
              <w:spacing w:before="4"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810" w:type="dxa"/>
            <w:tcBorders>
              <w:top w:val="single" w:sz="8" w:space="0" w:color="AEAEAE"/>
              <w:left w:val="nil"/>
              <w:bottom w:val="single" w:sz="8" w:space="0" w:color="AEAEAE"/>
              <w:right w:val="single" w:sz="8" w:space="0" w:color="DFDFDF"/>
            </w:tcBorders>
            <w:shd w:val="clear" w:color="auto" w:fill="F9F9FA"/>
          </w:tcPr>
          <w:p w14:paraId="456A7B73"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c>
          <w:tcPr>
            <w:tcW w:w="1790" w:type="dxa"/>
            <w:tcBorders>
              <w:top w:val="single" w:sz="8" w:space="0" w:color="AEAEAE"/>
              <w:left w:val="single" w:sz="8" w:space="0" w:color="DFDFDF"/>
              <w:bottom w:val="single" w:sz="8" w:space="0" w:color="AEAEAE"/>
              <w:right w:val="nil"/>
            </w:tcBorders>
            <w:shd w:val="clear" w:color="auto" w:fill="F9F9FA"/>
          </w:tcPr>
          <w:p w14:paraId="210EB33C" w14:textId="77777777" w:rsidR="008D3090" w:rsidRPr="008D3090" w:rsidRDefault="008D3090" w:rsidP="008D3090">
            <w:pPr>
              <w:widowControl w:val="0"/>
              <w:autoSpaceDE w:val="0"/>
              <w:autoSpaceDN w:val="0"/>
              <w:spacing w:before="4"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r>
      <w:tr w:rsidR="008D3090" w:rsidRPr="008D3090" w14:paraId="694F57B6" w14:textId="77777777" w:rsidTr="00D00B3F">
        <w:trPr>
          <w:trHeight w:val="419"/>
        </w:trPr>
        <w:tc>
          <w:tcPr>
            <w:tcW w:w="3020" w:type="dxa"/>
            <w:vMerge/>
            <w:tcBorders>
              <w:top w:val="nil"/>
              <w:left w:val="nil"/>
              <w:bottom w:val="single" w:sz="8" w:space="0" w:color="AEAEAE"/>
              <w:right w:val="nil"/>
            </w:tcBorders>
            <w:shd w:val="clear" w:color="auto" w:fill="DFDFDF"/>
          </w:tcPr>
          <w:p w14:paraId="09A79C4C"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bottom w:val="single" w:sz="8" w:space="0" w:color="AEAEAE"/>
              <w:right w:val="nil"/>
            </w:tcBorders>
            <w:shd w:val="clear" w:color="auto" w:fill="DFDFDF"/>
          </w:tcPr>
          <w:p w14:paraId="7E23D3A4" w14:textId="77777777" w:rsidR="008D3090" w:rsidRPr="008D3090" w:rsidRDefault="008D3090" w:rsidP="008D3090">
            <w:pPr>
              <w:widowControl w:val="0"/>
              <w:autoSpaceDE w:val="0"/>
              <w:autoSpaceDN w:val="0"/>
              <w:spacing w:before="13"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810" w:type="dxa"/>
            <w:tcBorders>
              <w:top w:val="single" w:sz="8" w:space="0" w:color="AEAEAE"/>
              <w:left w:val="nil"/>
              <w:bottom w:val="single" w:sz="8" w:space="0" w:color="AEAEAE"/>
              <w:right w:val="single" w:sz="8" w:space="0" w:color="DFDFDF"/>
            </w:tcBorders>
            <w:shd w:val="clear" w:color="auto" w:fill="F9F9FA"/>
          </w:tcPr>
          <w:p w14:paraId="3F7B3815" w14:textId="77777777" w:rsidR="008D3090" w:rsidRPr="008D3090" w:rsidRDefault="008D3090" w:rsidP="008D3090">
            <w:pPr>
              <w:widowControl w:val="0"/>
              <w:autoSpaceDE w:val="0"/>
              <w:autoSpaceDN w:val="0"/>
              <w:spacing w:before="1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790" w:type="dxa"/>
            <w:tcBorders>
              <w:top w:val="single" w:sz="8" w:space="0" w:color="AEAEAE"/>
              <w:left w:val="single" w:sz="8" w:space="0" w:color="DFDFDF"/>
              <w:bottom w:val="single" w:sz="8" w:space="0" w:color="AEAEAE"/>
              <w:right w:val="nil"/>
            </w:tcBorders>
            <w:shd w:val="clear" w:color="auto" w:fill="F9F9FA"/>
          </w:tcPr>
          <w:p w14:paraId="7523610E" w14:textId="77777777" w:rsidR="008D3090" w:rsidRPr="008D3090" w:rsidRDefault="008D3090" w:rsidP="008D3090">
            <w:pPr>
              <w:widowControl w:val="0"/>
              <w:autoSpaceDE w:val="0"/>
              <w:autoSpaceDN w:val="0"/>
              <w:spacing w:before="1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r w:rsidR="008D3090" w:rsidRPr="008D3090" w14:paraId="7C51D578" w14:textId="77777777" w:rsidTr="00D00B3F">
        <w:trPr>
          <w:trHeight w:val="400"/>
        </w:trPr>
        <w:tc>
          <w:tcPr>
            <w:tcW w:w="3020" w:type="dxa"/>
            <w:vMerge w:val="restart"/>
            <w:tcBorders>
              <w:top w:val="single" w:sz="8" w:space="0" w:color="AEAEAE"/>
              <w:left w:val="nil"/>
              <w:right w:val="nil"/>
            </w:tcBorders>
            <w:shd w:val="clear" w:color="auto" w:fill="DFDFDF"/>
          </w:tcPr>
          <w:p w14:paraId="23E4C440" w14:textId="77777777" w:rsidR="008D3090" w:rsidRPr="008D3090" w:rsidRDefault="008D3090" w:rsidP="008D3090">
            <w:pPr>
              <w:widowControl w:val="0"/>
              <w:autoSpaceDE w:val="0"/>
              <w:autoSpaceDN w:val="0"/>
              <w:spacing w:before="2" w:after="0" w:line="36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Inventory</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Holding</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 xml:space="preserve">Cost </w:t>
            </w:r>
            <w:r w:rsidRPr="008D3090">
              <w:rPr>
                <w:rFonts w:ascii="Times New Roman" w:eastAsia="Times New Roman" w:hAnsi="Times New Roman" w:cs="Times New Roman"/>
                <w:spacing w:val="-2"/>
                <w:kern w:val="0"/>
                <w:szCs w:val="22"/>
                <w14:ligatures w14:val="none"/>
              </w:rPr>
              <w:t>Reduction</w:t>
            </w:r>
          </w:p>
        </w:tc>
        <w:tc>
          <w:tcPr>
            <w:tcW w:w="2440" w:type="dxa"/>
            <w:tcBorders>
              <w:top w:val="single" w:sz="8" w:space="0" w:color="AEAEAE"/>
              <w:left w:val="nil"/>
              <w:bottom w:val="single" w:sz="8" w:space="0" w:color="AEAEAE"/>
              <w:right w:val="nil"/>
            </w:tcBorders>
            <w:shd w:val="clear" w:color="auto" w:fill="DFDFDF"/>
          </w:tcPr>
          <w:p w14:paraId="1A498AA4" w14:textId="77777777" w:rsidR="008D3090" w:rsidRPr="008D3090" w:rsidRDefault="008D3090" w:rsidP="008D3090">
            <w:pPr>
              <w:widowControl w:val="0"/>
              <w:autoSpaceDE w:val="0"/>
              <w:autoSpaceDN w:val="0"/>
              <w:spacing w:before="2"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810" w:type="dxa"/>
            <w:tcBorders>
              <w:top w:val="single" w:sz="8" w:space="0" w:color="AEAEAE"/>
              <w:left w:val="nil"/>
              <w:bottom w:val="single" w:sz="8" w:space="0" w:color="AEAEAE"/>
              <w:right w:val="single" w:sz="8" w:space="0" w:color="DFDFDF"/>
            </w:tcBorders>
            <w:shd w:val="clear" w:color="auto" w:fill="F9F9FA"/>
          </w:tcPr>
          <w:p w14:paraId="125882AF" w14:textId="77777777" w:rsidR="008D3090" w:rsidRPr="008D3090" w:rsidRDefault="008D3090" w:rsidP="008D3090">
            <w:pPr>
              <w:widowControl w:val="0"/>
              <w:autoSpaceDE w:val="0"/>
              <w:autoSpaceDN w:val="0"/>
              <w:spacing w:before="2" w:after="0" w:line="240" w:lineRule="auto"/>
              <w:ind w:right="5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.711</w:t>
            </w:r>
            <w:r w:rsidRPr="008D3090">
              <w:rPr>
                <w:rFonts w:ascii="Times New Roman" w:eastAsia="Times New Roman" w:hAnsi="Times New Roman" w:cs="Times New Roman"/>
                <w:spacing w:val="-2"/>
                <w:kern w:val="0"/>
                <w:szCs w:val="22"/>
                <w:vertAlign w:val="superscript"/>
                <w14:ligatures w14:val="none"/>
              </w:rPr>
              <w:t>**</w:t>
            </w:r>
          </w:p>
        </w:tc>
        <w:tc>
          <w:tcPr>
            <w:tcW w:w="1790" w:type="dxa"/>
            <w:tcBorders>
              <w:top w:val="single" w:sz="8" w:space="0" w:color="AEAEAE"/>
              <w:left w:val="single" w:sz="8" w:space="0" w:color="DFDFDF"/>
              <w:bottom w:val="single" w:sz="8" w:space="0" w:color="AEAEAE"/>
              <w:right w:val="nil"/>
            </w:tcBorders>
            <w:shd w:val="clear" w:color="auto" w:fill="F9F9FA"/>
          </w:tcPr>
          <w:p w14:paraId="689A2387" w14:textId="77777777" w:rsidR="008D3090" w:rsidRPr="008D3090" w:rsidRDefault="008D3090" w:rsidP="008D3090">
            <w:pPr>
              <w:widowControl w:val="0"/>
              <w:autoSpaceDE w:val="0"/>
              <w:autoSpaceDN w:val="0"/>
              <w:spacing w:before="2"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r>
      <w:tr w:rsidR="008D3090" w:rsidRPr="008D3090" w14:paraId="3625D020" w14:textId="77777777" w:rsidTr="00D00B3F">
        <w:trPr>
          <w:trHeight w:val="419"/>
        </w:trPr>
        <w:tc>
          <w:tcPr>
            <w:tcW w:w="3020" w:type="dxa"/>
            <w:vMerge/>
            <w:tcBorders>
              <w:top w:val="nil"/>
              <w:left w:val="nil"/>
              <w:right w:val="nil"/>
            </w:tcBorders>
            <w:shd w:val="clear" w:color="auto" w:fill="DFDFDF"/>
          </w:tcPr>
          <w:p w14:paraId="6A775E3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bottom w:val="single" w:sz="8" w:space="0" w:color="AEAEAE"/>
              <w:right w:val="nil"/>
            </w:tcBorders>
            <w:shd w:val="clear" w:color="auto" w:fill="DFDFDF"/>
          </w:tcPr>
          <w:p w14:paraId="00666D7A" w14:textId="77777777" w:rsidR="008D3090" w:rsidRPr="008D3090" w:rsidRDefault="008D3090" w:rsidP="008D3090">
            <w:pPr>
              <w:widowControl w:val="0"/>
              <w:autoSpaceDE w:val="0"/>
              <w:autoSpaceDN w:val="0"/>
              <w:spacing w:before="11"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810" w:type="dxa"/>
            <w:tcBorders>
              <w:top w:val="single" w:sz="8" w:space="0" w:color="AEAEAE"/>
              <w:left w:val="nil"/>
              <w:bottom w:val="single" w:sz="8" w:space="0" w:color="AEAEAE"/>
              <w:right w:val="single" w:sz="8" w:space="0" w:color="DFDFDF"/>
            </w:tcBorders>
            <w:shd w:val="clear" w:color="auto" w:fill="F9F9FA"/>
          </w:tcPr>
          <w:p w14:paraId="7482A0B5" w14:textId="77777777" w:rsidR="008D3090" w:rsidRPr="008D3090" w:rsidRDefault="008D3090" w:rsidP="008D3090">
            <w:pPr>
              <w:widowControl w:val="0"/>
              <w:autoSpaceDE w:val="0"/>
              <w:autoSpaceDN w:val="0"/>
              <w:spacing w:before="11"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c>
          <w:tcPr>
            <w:tcW w:w="1790" w:type="dxa"/>
            <w:tcBorders>
              <w:top w:val="single" w:sz="8" w:space="0" w:color="AEAEAE"/>
              <w:left w:val="single" w:sz="8" w:space="0" w:color="DFDFDF"/>
              <w:bottom w:val="single" w:sz="8" w:space="0" w:color="AEAEAE"/>
              <w:right w:val="nil"/>
            </w:tcBorders>
            <w:shd w:val="clear" w:color="auto" w:fill="F9F9FA"/>
          </w:tcPr>
          <w:p w14:paraId="525C333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r>
      <w:tr w:rsidR="008D3090" w:rsidRPr="008D3090" w14:paraId="7A662DDB" w14:textId="77777777" w:rsidTr="00D00B3F">
        <w:trPr>
          <w:trHeight w:val="400"/>
        </w:trPr>
        <w:tc>
          <w:tcPr>
            <w:tcW w:w="3020" w:type="dxa"/>
            <w:vMerge/>
            <w:tcBorders>
              <w:top w:val="nil"/>
              <w:left w:val="nil"/>
              <w:right w:val="nil"/>
            </w:tcBorders>
            <w:shd w:val="clear" w:color="auto" w:fill="DFDFDF"/>
          </w:tcPr>
          <w:p w14:paraId="63AE1ADD"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right w:val="nil"/>
            </w:tcBorders>
            <w:shd w:val="clear" w:color="auto" w:fill="DFDFDF"/>
          </w:tcPr>
          <w:p w14:paraId="294975D1"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810" w:type="dxa"/>
            <w:tcBorders>
              <w:top w:val="single" w:sz="8" w:space="0" w:color="AEAEAE"/>
              <w:left w:val="nil"/>
              <w:right w:val="single" w:sz="8" w:space="0" w:color="DFDFDF"/>
            </w:tcBorders>
            <w:shd w:val="clear" w:color="auto" w:fill="F9F9FA"/>
          </w:tcPr>
          <w:p w14:paraId="02398B20" w14:textId="77777777" w:rsidR="008D3090" w:rsidRPr="008D3090" w:rsidRDefault="008D3090" w:rsidP="008D3090">
            <w:pPr>
              <w:widowControl w:val="0"/>
              <w:autoSpaceDE w:val="0"/>
              <w:autoSpaceDN w:val="0"/>
              <w:spacing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790" w:type="dxa"/>
            <w:tcBorders>
              <w:top w:val="single" w:sz="8" w:space="0" w:color="AEAEAE"/>
              <w:left w:val="single" w:sz="8" w:space="0" w:color="DFDFDF"/>
              <w:right w:val="nil"/>
            </w:tcBorders>
            <w:shd w:val="clear" w:color="auto" w:fill="F9F9FA"/>
          </w:tcPr>
          <w:p w14:paraId="749B06F0" w14:textId="77777777" w:rsidR="008D3090" w:rsidRPr="008D3090" w:rsidRDefault="008D3090" w:rsidP="008D3090">
            <w:pPr>
              <w:widowControl w:val="0"/>
              <w:autoSpaceDE w:val="0"/>
              <w:autoSpaceDN w:val="0"/>
              <w:spacing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bl>
    <w:p w14:paraId="3CFA2777" w14:textId="77777777" w:rsidR="008D3090" w:rsidRPr="008D3090" w:rsidRDefault="008D3090" w:rsidP="008D3090">
      <w:pPr>
        <w:widowControl w:val="0"/>
        <w:autoSpaceDE w:val="0"/>
        <w:autoSpaceDN w:val="0"/>
        <w:spacing w:before="100" w:after="0" w:line="240" w:lineRule="auto"/>
        <w:jc w:val="both"/>
        <w:rPr>
          <w:rFonts w:ascii="Times New Roman" w:eastAsia="Times New Roman" w:hAnsi="Times New Roman" w:cs="Times New Roman"/>
          <w:b/>
          <w:kern w:val="0"/>
          <w14:ligatures w14:val="none"/>
        </w:rPr>
      </w:pPr>
    </w:p>
    <w:p w14:paraId="63C8D246"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 xml:space="preserve">SPSS Out, </w:t>
      </w:r>
      <w:r w:rsidRPr="008D3090">
        <w:rPr>
          <w:rFonts w:ascii="Times New Roman" w:eastAsia="Times New Roman" w:hAnsi="Times New Roman" w:cs="Times New Roman"/>
          <w:spacing w:val="-4"/>
          <w:kern w:val="0"/>
          <w14:ligatures w14:val="none"/>
        </w:rPr>
        <w:t>2026</w:t>
      </w:r>
    </w:p>
    <w:p w14:paraId="2A37C3AA" w14:textId="77777777" w:rsidR="008D3090" w:rsidRPr="008D3090" w:rsidRDefault="008D3090" w:rsidP="008D3090">
      <w:pPr>
        <w:widowControl w:val="0"/>
        <w:autoSpaceDE w:val="0"/>
        <w:autoSpaceDN w:val="0"/>
        <w:spacing w:before="142" w:after="0" w:line="240" w:lineRule="auto"/>
        <w:jc w:val="both"/>
        <w:rPr>
          <w:rFonts w:ascii="Times New Roman" w:eastAsia="Times New Roman" w:hAnsi="Times New Roman" w:cs="Times New Roman"/>
          <w:kern w:val="0"/>
          <w14:ligatures w14:val="none"/>
        </w:rPr>
      </w:pPr>
    </w:p>
    <w:p w14:paraId="385A0A61" w14:textId="77777777" w:rsidR="008D3090" w:rsidRPr="008D3090" w:rsidRDefault="008D3090" w:rsidP="001A5F7B">
      <w:pPr>
        <w:widowControl w:val="0"/>
        <w:autoSpaceDE w:val="0"/>
        <w:autoSpaceDN w:val="0"/>
        <w:spacing w:before="1"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Based on the correlation result between historical sales analysis and inventory holding cost reduction in table 4 (r = -0.771, p = 0.000&lt;0.001) there is a relationship between the variables. This indicates a strong correlation between the variables. Consequently, the null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hypothesis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was discarded.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Implying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historical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sales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analysis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has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significant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positive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effect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holding cost reduction. Firms that systematically analyzed past sales data were able to align production schedules and inventory levels with anticipated demand, thereby reducing unnecessary stock accumulation and associated holding costs. This finding is consistent with prior studies that emphasize the role of</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historical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data</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minimizing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storage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expenses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optimizing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cash</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flow</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 manufacturing operations (Adeyemi &amp; Salami, 2022; Ballou, 2018).</w:t>
      </w:r>
    </w:p>
    <w:p w14:paraId="714CF8DC" w14:textId="77777777" w:rsidR="008D3090" w:rsidRPr="008D3090" w:rsidRDefault="008D3090" w:rsidP="008D3090">
      <w:pPr>
        <w:widowControl w:val="0"/>
        <w:autoSpaceDE w:val="0"/>
        <w:autoSpaceDN w:val="0"/>
        <w:spacing w:before="233" w:after="0" w:line="240" w:lineRule="auto"/>
        <w:jc w:val="both"/>
        <w:rPr>
          <w:rFonts w:ascii="Times New Roman" w:eastAsia="Times New Roman" w:hAnsi="Times New Roman" w:cs="Times New Roman"/>
          <w:kern w:val="0"/>
          <w14:ligatures w14:val="none"/>
        </w:rPr>
      </w:pPr>
    </w:p>
    <w:p w14:paraId="30F41705" w14:textId="77777777" w:rsidR="008D3090" w:rsidRPr="008D3090" w:rsidRDefault="008D3090" w:rsidP="008D3090">
      <w:pPr>
        <w:widowControl w:val="0"/>
        <w:autoSpaceDE w:val="0"/>
        <w:autoSpaceDN w:val="0"/>
        <w:spacing w:after="0" w:line="36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b/>
          <w:kern w:val="0"/>
          <w:szCs w:val="22"/>
          <w14:ligatures w14:val="none"/>
        </w:rPr>
        <w:t>Table</w:t>
      </w:r>
      <w:r w:rsidRPr="008D3090">
        <w:rPr>
          <w:rFonts w:ascii="Times New Roman" w:eastAsia="Times New Roman" w:hAnsi="Times New Roman" w:cs="Times New Roman"/>
          <w:b/>
          <w:spacing w:val="-6"/>
          <w:kern w:val="0"/>
          <w:szCs w:val="22"/>
          <w14:ligatures w14:val="none"/>
        </w:rPr>
        <w:t xml:space="preserve"> </w:t>
      </w:r>
      <w:r w:rsidRPr="008D3090">
        <w:rPr>
          <w:rFonts w:ascii="Times New Roman" w:eastAsia="Times New Roman" w:hAnsi="Times New Roman" w:cs="Times New Roman"/>
          <w:b/>
          <w:kern w:val="0"/>
          <w:szCs w:val="22"/>
          <w14:ligatures w14:val="none"/>
        </w:rPr>
        <w:t>5</w:t>
      </w:r>
      <w:r w:rsidRPr="008D3090">
        <w:rPr>
          <w:rFonts w:ascii="Times New Roman" w:eastAsia="Times New Roman" w:hAnsi="Times New Roman" w:cs="Times New Roman"/>
          <w:b/>
          <w:spacing w:val="-6"/>
          <w:kern w:val="0"/>
          <w:szCs w:val="22"/>
          <w14:ligatures w14:val="none"/>
        </w:rPr>
        <w:t xml:space="preserve"> </w:t>
      </w:r>
      <w:r w:rsidRPr="008D3090">
        <w:rPr>
          <w:rFonts w:ascii="Times New Roman" w:eastAsia="Times New Roman" w:hAnsi="Times New Roman" w:cs="Times New Roman"/>
          <w:b/>
          <w:kern w:val="0"/>
          <w:szCs w:val="22"/>
          <w14:ligatures w14:val="none"/>
        </w:rPr>
        <w:t>Correlations</w:t>
      </w:r>
      <w:r w:rsidRPr="008D3090">
        <w:rPr>
          <w:rFonts w:ascii="Times New Roman" w:eastAsia="Times New Roman" w:hAnsi="Times New Roman" w:cs="Times New Roman"/>
          <w:b/>
          <w:spacing w:val="-6"/>
          <w:kern w:val="0"/>
          <w:szCs w:val="22"/>
          <w14:ligatures w14:val="none"/>
        </w:rPr>
        <w:t xml:space="preserve"> </w:t>
      </w:r>
      <w:r w:rsidRPr="008D3090">
        <w:rPr>
          <w:rFonts w:ascii="Times New Roman" w:eastAsia="Times New Roman" w:hAnsi="Times New Roman" w:cs="Times New Roman"/>
          <w:b/>
          <w:kern w:val="0"/>
          <w:szCs w:val="22"/>
          <w14:ligatures w14:val="none"/>
        </w:rPr>
        <w:t>result</w:t>
      </w:r>
      <w:r w:rsidRPr="008D3090">
        <w:rPr>
          <w:rFonts w:ascii="Times New Roman" w:eastAsia="Times New Roman" w:hAnsi="Times New Roman" w:cs="Times New Roman"/>
          <w:b/>
          <w:spacing w:val="-6"/>
          <w:kern w:val="0"/>
          <w:szCs w:val="22"/>
          <w14:ligatures w14:val="none"/>
        </w:rPr>
        <w:t xml:space="preserve"> </w:t>
      </w:r>
      <w:r w:rsidRPr="008D3090">
        <w:rPr>
          <w:rFonts w:ascii="Times New Roman" w:eastAsia="Times New Roman" w:hAnsi="Times New Roman" w:cs="Times New Roman"/>
          <w:b/>
          <w:kern w:val="0"/>
          <w:szCs w:val="22"/>
          <w14:ligatures w14:val="none"/>
        </w:rPr>
        <w:t>of</w:t>
      </w:r>
      <w:r w:rsidRPr="008D3090">
        <w:rPr>
          <w:rFonts w:ascii="Times New Roman" w:eastAsia="Times New Roman" w:hAnsi="Times New Roman" w:cs="Times New Roman"/>
          <w:b/>
          <w:spacing w:val="-6"/>
          <w:kern w:val="0"/>
          <w:szCs w:val="22"/>
          <w14:ligatures w14:val="none"/>
        </w:rPr>
        <w:t xml:space="preserve"> </w:t>
      </w:r>
      <w:r w:rsidRPr="008D3090">
        <w:rPr>
          <w:rFonts w:ascii="Times New Roman" w:eastAsia="Times New Roman" w:hAnsi="Times New Roman" w:cs="Times New Roman"/>
          <w:kern w:val="0"/>
          <w:szCs w:val="22"/>
          <w14:ligatures w14:val="none"/>
        </w:rPr>
        <w:t>Historical</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Sales</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Analysis</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Stock out</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Service</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 xml:space="preserve">Level </w:t>
      </w:r>
      <w:r w:rsidRPr="008D3090">
        <w:rPr>
          <w:rFonts w:ascii="Times New Roman" w:eastAsia="Times New Roman" w:hAnsi="Times New Roman" w:cs="Times New Roman"/>
          <w:spacing w:val="-2"/>
          <w:kern w:val="0"/>
          <w:szCs w:val="22"/>
          <w14:ligatures w14:val="none"/>
        </w:rPr>
        <w:t>Performance</w:t>
      </w:r>
    </w:p>
    <w:tbl>
      <w:tblPr>
        <w:tblW w:w="0" w:type="auto"/>
        <w:tblInd w:w="7" w:type="dxa"/>
        <w:tblBorders>
          <w:top w:val="single" w:sz="8" w:space="0" w:color="152934"/>
          <w:left w:val="single" w:sz="8" w:space="0" w:color="152934"/>
          <w:bottom w:val="single" w:sz="8" w:space="0" w:color="152934"/>
          <w:right w:val="single" w:sz="8" w:space="0" w:color="152934"/>
          <w:insideH w:val="single" w:sz="8" w:space="0" w:color="152934"/>
          <w:insideV w:val="single" w:sz="8" w:space="0" w:color="152934"/>
        </w:tblBorders>
        <w:tblLayout w:type="fixed"/>
        <w:tblCellMar>
          <w:left w:w="0" w:type="dxa"/>
          <w:right w:w="0" w:type="dxa"/>
        </w:tblCellMar>
        <w:tblLook w:val="01E0" w:firstRow="1" w:lastRow="1" w:firstColumn="1" w:lastColumn="1" w:noHBand="0" w:noVBand="0"/>
      </w:tblPr>
      <w:tblGrid>
        <w:gridCol w:w="3040"/>
        <w:gridCol w:w="2480"/>
        <w:gridCol w:w="1830"/>
        <w:gridCol w:w="1830"/>
      </w:tblGrid>
      <w:tr w:rsidR="008D3090" w:rsidRPr="008D3090" w14:paraId="432C0EF9" w14:textId="77777777" w:rsidTr="00D00B3F">
        <w:trPr>
          <w:trHeight w:val="1220"/>
        </w:trPr>
        <w:tc>
          <w:tcPr>
            <w:tcW w:w="7350" w:type="dxa"/>
            <w:gridSpan w:val="3"/>
            <w:tcBorders>
              <w:top w:val="nil"/>
              <w:left w:val="nil"/>
              <w:right w:val="single" w:sz="8" w:space="0" w:color="DFDFDF"/>
            </w:tcBorders>
          </w:tcPr>
          <w:p w14:paraId="1F23E17A" w14:textId="77777777" w:rsidR="008D3090" w:rsidRPr="008D3090" w:rsidRDefault="008D3090" w:rsidP="008D3090">
            <w:pPr>
              <w:widowControl w:val="0"/>
              <w:autoSpaceDE w:val="0"/>
              <w:autoSpaceDN w:val="0"/>
              <w:spacing w:before="271" w:after="0" w:line="410" w:lineRule="atLeast"/>
              <w:ind w:right="106"/>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Historical</w:t>
            </w:r>
            <w:r w:rsidRPr="008D3090">
              <w:rPr>
                <w:rFonts w:ascii="Times New Roman" w:eastAsia="Times New Roman" w:hAnsi="Times New Roman" w:cs="Times New Roman"/>
                <w:b/>
                <w:spacing w:val="-15"/>
                <w:kern w:val="0"/>
                <w:szCs w:val="22"/>
                <w14:ligatures w14:val="none"/>
              </w:rPr>
              <w:t xml:space="preserve"> </w:t>
            </w:r>
            <w:r w:rsidRPr="008D3090">
              <w:rPr>
                <w:rFonts w:ascii="Times New Roman" w:eastAsia="Times New Roman" w:hAnsi="Times New Roman" w:cs="Times New Roman"/>
                <w:b/>
                <w:kern w:val="0"/>
                <w:szCs w:val="22"/>
                <w14:ligatures w14:val="none"/>
              </w:rPr>
              <w:t xml:space="preserve">Sales </w:t>
            </w:r>
            <w:r w:rsidRPr="008D3090">
              <w:rPr>
                <w:rFonts w:ascii="Times New Roman" w:eastAsia="Times New Roman" w:hAnsi="Times New Roman" w:cs="Times New Roman"/>
                <w:b/>
                <w:spacing w:val="-2"/>
                <w:kern w:val="0"/>
                <w:szCs w:val="22"/>
                <w14:ligatures w14:val="none"/>
              </w:rPr>
              <w:t>Analysis</w:t>
            </w:r>
          </w:p>
        </w:tc>
        <w:tc>
          <w:tcPr>
            <w:tcW w:w="1830" w:type="dxa"/>
            <w:tcBorders>
              <w:top w:val="nil"/>
              <w:left w:val="single" w:sz="8" w:space="0" w:color="DFDFDF"/>
              <w:right w:val="nil"/>
            </w:tcBorders>
          </w:tcPr>
          <w:p w14:paraId="3E8DC3D0" w14:textId="77777777" w:rsidR="008D3090" w:rsidRPr="008D3090" w:rsidRDefault="008D3090" w:rsidP="008D3090">
            <w:pPr>
              <w:widowControl w:val="0"/>
              <w:autoSpaceDE w:val="0"/>
              <w:autoSpaceDN w:val="0"/>
              <w:spacing w:after="0" w:line="360" w:lineRule="auto"/>
              <w:ind w:right="214"/>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Stockout</w:t>
            </w:r>
            <w:r w:rsidRPr="008D3090">
              <w:rPr>
                <w:rFonts w:ascii="Times New Roman" w:eastAsia="Times New Roman" w:hAnsi="Times New Roman" w:cs="Times New Roman"/>
                <w:b/>
                <w:spacing w:val="-15"/>
                <w:kern w:val="0"/>
                <w:szCs w:val="22"/>
                <w14:ligatures w14:val="none"/>
              </w:rPr>
              <w:t xml:space="preserve"> </w:t>
            </w:r>
            <w:r w:rsidRPr="008D3090">
              <w:rPr>
                <w:rFonts w:ascii="Times New Roman" w:eastAsia="Times New Roman" w:hAnsi="Times New Roman" w:cs="Times New Roman"/>
                <w:b/>
                <w:kern w:val="0"/>
                <w:szCs w:val="22"/>
                <w14:ligatures w14:val="none"/>
              </w:rPr>
              <w:t xml:space="preserve">and Service </w:t>
            </w:r>
            <w:r w:rsidRPr="008D3090">
              <w:rPr>
                <w:rFonts w:ascii="Times New Roman" w:eastAsia="Times New Roman" w:hAnsi="Times New Roman" w:cs="Times New Roman"/>
                <w:b/>
                <w:spacing w:val="-2"/>
                <w:kern w:val="0"/>
                <w:szCs w:val="22"/>
                <w14:ligatures w14:val="none"/>
              </w:rPr>
              <w:t>Level</w:t>
            </w:r>
          </w:p>
          <w:p w14:paraId="5F9DC8C5"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Performance</w:t>
            </w:r>
          </w:p>
        </w:tc>
      </w:tr>
      <w:tr w:rsidR="008D3090" w:rsidRPr="008D3090" w14:paraId="639795D6" w14:textId="77777777" w:rsidTr="00D00B3F">
        <w:trPr>
          <w:trHeight w:val="419"/>
        </w:trPr>
        <w:tc>
          <w:tcPr>
            <w:tcW w:w="3040" w:type="dxa"/>
            <w:vMerge w:val="restart"/>
            <w:tcBorders>
              <w:left w:val="nil"/>
              <w:bottom w:val="single" w:sz="8" w:space="0" w:color="AEAEAE"/>
              <w:right w:val="nil"/>
            </w:tcBorders>
            <w:shd w:val="clear" w:color="auto" w:fill="DFDFDF"/>
          </w:tcPr>
          <w:p w14:paraId="0C474565" w14:textId="77777777" w:rsidR="008D3090" w:rsidRPr="008D3090" w:rsidRDefault="008D3090" w:rsidP="008D3090">
            <w:pPr>
              <w:widowControl w:val="0"/>
              <w:autoSpaceDE w:val="0"/>
              <w:autoSpaceDN w:val="0"/>
              <w:spacing w:before="8"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Historical Sales </w:t>
            </w:r>
            <w:r w:rsidRPr="008D3090">
              <w:rPr>
                <w:rFonts w:ascii="Times New Roman" w:eastAsia="Times New Roman" w:hAnsi="Times New Roman" w:cs="Times New Roman"/>
                <w:spacing w:val="-2"/>
                <w:kern w:val="0"/>
                <w:szCs w:val="22"/>
                <w14:ligatures w14:val="none"/>
              </w:rPr>
              <w:t>Analysis</w:t>
            </w:r>
          </w:p>
        </w:tc>
        <w:tc>
          <w:tcPr>
            <w:tcW w:w="2480" w:type="dxa"/>
            <w:tcBorders>
              <w:left w:val="nil"/>
              <w:bottom w:val="single" w:sz="8" w:space="0" w:color="AEAEAE"/>
              <w:right w:val="nil"/>
            </w:tcBorders>
            <w:shd w:val="clear" w:color="auto" w:fill="DFDFDF"/>
          </w:tcPr>
          <w:p w14:paraId="253DEC7D" w14:textId="77777777" w:rsidR="008D3090" w:rsidRPr="008D3090" w:rsidRDefault="008D3090" w:rsidP="008D3090">
            <w:pPr>
              <w:widowControl w:val="0"/>
              <w:autoSpaceDE w:val="0"/>
              <w:autoSpaceDN w:val="0"/>
              <w:spacing w:before="8"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830" w:type="dxa"/>
            <w:tcBorders>
              <w:left w:val="nil"/>
              <w:bottom w:val="single" w:sz="8" w:space="0" w:color="AEAEAE"/>
              <w:right w:val="single" w:sz="8" w:space="0" w:color="DFDFDF"/>
            </w:tcBorders>
            <w:shd w:val="clear" w:color="auto" w:fill="F9F9FA"/>
          </w:tcPr>
          <w:p w14:paraId="53A6451C" w14:textId="77777777" w:rsidR="008D3090" w:rsidRPr="008D3090" w:rsidRDefault="008D3090" w:rsidP="008D3090">
            <w:pPr>
              <w:widowControl w:val="0"/>
              <w:autoSpaceDE w:val="0"/>
              <w:autoSpaceDN w:val="0"/>
              <w:spacing w:before="8"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c>
          <w:tcPr>
            <w:tcW w:w="1830" w:type="dxa"/>
            <w:tcBorders>
              <w:left w:val="single" w:sz="8" w:space="0" w:color="DFDFDF"/>
              <w:bottom w:val="single" w:sz="8" w:space="0" w:color="AEAEAE"/>
              <w:right w:val="nil"/>
            </w:tcBorders>
            <w:shd w:val="clear" w:color="auto" w:fill="F9F9FA"/>
          </w:tcPr>
          <w:p w14:paraId="2CB62AE0" w14:textId="77777777" w:rsidR="008D3090" w:rsidRPr="008D3090" w:rsidRDefault="008D3090" w:rsidP="008D3090">
            <w:pPr>
              <w:widowControl w:val="0"/>
              <w:autoSpaceDE w:val="0"/>
              <w:autoSpaceDN w:val="0"/>
              <w:spacing w:before="8" w:after="0" w:line="240" w:lineRule="auto"/>
              <w:ind w:right="5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.979</w:t>
            </w:r>
            <w:r w:rsidRPr="008D3090">
              <w:rPr>
                <w:rFonts w:ascii="Times New Roman" w:eastAsia="Times New Roman" w:hAnsi="Times New Roman" w:cs="Times New Roman"/>
                <w:spacing w:val="-2"/>
                <w:kern w:val="0"/>
                <w:szCs w:val="22"/>
                <w:vertAlign w:val="superscript"/>
                <w14:ligatures w14:val="none"/>
              </w:rPr>
              <w:t>**</w:t>
            </w:r>
          </w:p>
        </w:tc>
      </w:tr>
      <w:tr w:rsidR="008D3090" w:rsidRPr="008D3090" w14:paraId="69BC2A1C" w14:textId="77777777" w:rsidTr="00D00B3F">
        <w:trPr>
          <w:trHeight w:val="399"/>
        </w:trPr>
        <w:tc>
          <w:tcPr>
            <w:tcW w:w="3040" w:type="dxa"/>
            <w:vMerge/>
            <w:tcBorders>
              <w:top w:val="nil"/>
              <w:left w:val="nil"/>
              <w:bottom w:val="single" w:sz="8" w:space="0" w:color="AEAEAE"/>
              <w:right w:val="nil"/>
            </w:tcBorders>
            <w:shd w:val="clear" w:color="auto" w:fill="DFDFDF"/>
          </w:tcPr>
          <w:p w14:paraId="495C1100"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80" w:type="dxa"/>
            <w:tcBorders>
              <w:top w:val="single" w:sz="8" w:space="0" w:color="AEAEAE"/>
              <w:left w:val="nil"/>
              <w:bottom w:val="single" w:sz="8" w:space="0" w:color="AEAEAE"/>
              <w:right w:val="nil"/>
            </w:tcBorders>
            <w:shd w:val="clear" w:color="auto" w:fill="DFDFDF"/>
          </w:tcPr>
          <w:p w14:paraId="6C051A2B" w14:textId="77777777" w:rsidR="008D3090" w:rsidRPr="008D3090" w:rsidRDefault="008D3090" w:rsidP="008D3090">
            <w:pPr>
              <w:widowControl w:val="0"/>
              <w:autoSpaceDE w:val="0"/>
              <w:autoSpaceDN w:val="0"/>
              <w:spacing w:after="0" w:line="273"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830" w:type="dxa"/>
            <w:tcBorders>
              <w:top w:val="single" w:sz="8" w:space="0" w:color="AEAEAE"/>
              <w:left w:val="nil"/>
              <w:bottom w:val="single" w:sz="8" w:space="0" w:color="AEAEAE"/>
              <w:right w:val="single" w:sz="8" w:space="0" w:color="DFDFDF"/>
            </w:tcBorders>
            <w:shd w:val="clear" w:color="auto" w:fill="F9F9FA"/>
          </w:tcPr>
          <w:p w14:paraId="1AC9D66A"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c>
          <w:tcPr>
            <w:tcW w:w="1830" w:type="dxa"/>
            <w:tcBorders>
              <w:top w:val="single" w:sz="8" w:space="0" w:color="AEAEAE"/>
              <w:left w:val="single" w:sz="8" w:space="0" w:color="DFDFDF"/>
              <w:bottom w:val="single" w:sz="8" w:space="0" w:color="AEAEAE"/>
              <w:right w:val="nil"/>
            </w:tcBorders>
            <w:shd w:val="clear" w:color="auto" w:fill="F9F9FA"/>
          </w:tcPr>
          <w:p w14:paraId="4C335E79" w14:textId="77777777" w:rsidR="008D3090" w:rsidRPr="008D3090" w:rsidRDefault="008D3090" w:rsidP="008D3090">
            <w:pPr>
              <w:widowControl w:val="0"/>
              <w:autoSpaceDE w:val="0"/>
              <w:autoSpaceDN w:val="0"/>
              <w:spacing w:after="0" w:line="273"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r>
      <w:tr w:rsidR="008D3090" w:rsidRPr="008D3090" w14:paraId="1258117B" w14:textId="77777777" w:rsidTr="00D00B3F">
        <w:trPr>
          <w:trHeight w:val="419"/>
        </w:trPr>
        <w:tc>
          <w:tcPr>
            <w:tcW w:w="3040" w:type="dxa"/>
            <w:vMerge/>
            <w:tcBorders>
              <w:top w:val="nil"/>
              <w:left w:val="nil"/>
              <w:bottom w:val="single" w:sz="8" w:space="0" w:color="AEAEAE"/>
              <w:right w:val="nil"/>
            </w:tcBorders>
            <w:shd w:val="clear" w:color="auto" w:fill="DFDFDF"/>
          </w:tcPr>
          <w:p w14:paraId="72A8726C"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80" w:type="dxa"/>
            <w:tcBorders>
              <w:top w:val="single" w:sz="8" w:space="0" w:color="AEAEAE"/>
              <w:left w:val="nil"/>
              <w:bottom w:val="single" w:sz="8" w:space="0" w:color="AEAEAE"/>
              <w:right w:val="nil"/>
            </w:tcBorders>
            <w:shd w:val="clear" w:color="auto" w:fill="DFDFDF"/>
          </w:tcPr>
          <w:p w14:paraId="433A9BE9" w14:textId="77777777" w:rsidR="008D3090" w:rsidRPr="008D3090" w:rsidRDefault="008D3090" w:rsidP="008D3090">
            <w:pPr>
              <w:widowControl w:val="0"/>
              <w:autoSpaceDE w:val="0"/>
              <w:autoSpaceDN w:val="0"/>
              <w:spacing w:before="6"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830" w:type="dxa"/>
            <w:tcBorders>
              <w:top w:val="single" w:sz="8" w:space="0" w:color="AEAEAE"/>
              <w:left w:val="nil"/>
              <w:bottom w:val="single" w:sz="8" w:space="0" w:color="AEAEAE"/>
              <w:right w:val="single" w:sz="8" w:space="0" w:color="DFDFDF"/>
            </w:tcBorders>
            <w:shd w:val="clear" w:color="auto" w:fill="F9F9FA"/>
          </w:tcPr>
          <w:p w14:paraId="3A7C0B18" w14:textId="77777777" w:rsidR="008D3090" w:rsidRPr="008D3090" w:rsidRDefault="008D3090" w:rsidP="008D3090">
            <w:pPr>
              <w:widowControl w:val="0"/>
              <w:autoSpaceDE w:val="0"/>
              <w:autoSpaceDN w:val="0"/>
              <w:spacing w:before="6"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830" w:type="dxa"/>
            <w:tcBorders>
              <w:top w:val="single" w:sz="8" w:space="0" w:color="AEAEAE"/>
              <w:left w:val="single" w:sz="8" w:space="0" w:color="DFDFDF"/>
              <w:bottom w:val="single" w:sz="8" w:space="0" w:color="AEAEAE"/>
              <w:right w:val="nil"/>
            </w:tcBorders>
            <w:shd w:val="clear" w:color="auto" w:fill="F9F9FA"/>
          </w:tcPr>
          <w:p w14:paraId="43C25C34" w14:textId="77777777" w:rsidR="008D3090" w:rsidRPr="008D3090" w:rsidRDefault="008D3090" w:rsidP="008D3090">
            <w:pPr>
              <w:widowControl w:val="0"/>
              <w:autoSpaceDE w:val="0"/>
              <w:autoSpaceDN w:val="0"/>
              <w:spacing w:before="6"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r w:rsidR="008D3090" w:rsidRPr="008D3090" w14:paraId="33456331" w14:textId="77777777" w:rsidTr="00D00B3F">
        <w:trPr>
          <w:trHeight w:val="400"/>
        </w:trPr>
        <w:tc>
          <w:tcPr>
            <w:tcW w:w="3040" w:type="dxa"/>
            <w:vMerge w:val="restart"/>
            <w:tcBorders>
              <w:top w:val="single" w:sz="8" w:space="0" w:color="AEAEAE"/>
              <w:left w:val="nil"/>
              <w:right w:val="nil"/>
            </w:tcBorders>
            <w:shd w:val="clear" w:color="auto" w:fill="DFDFDF"/>
          </w:tcPr>
          <w:p w14:paraId="57A36650" w14:textId="77777777" w:rsidR="008D3090" w:rsidRPr="008D3090" w:rsidRDefault="008D3090" w:rsidP="008D3090">
            <w:pPr>
              <w:widowControl w:val="0"/>
              <w:autoSpaceDE w:val="0"/>
              <w:autoSpaceDN w:val="0"/>
              <w:spacing w:after="0" w:line="36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lastRenderedPageBreak/>
              <w:t>Stockout</w:t>
            </w:r>
            <w:r w:rsidRPr="008D3090">
              <w:rPr>
                <w:rFonts w:ascii="Times New Roman" w:eastAsia="Times New Roman" w:hAnsi="Times New Roman" w:cs="Times New Roman"/>
                <w:spacing w:val="-13"/>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13"/>
                <w:kern w:val="0"/>
                <w:szCs w:val="22"/>
                <w14:ligatures w14:val="none"/>
              </w:rPr>
              <w:t xml:space="preserve"> </w:t>
            </w:r>
            <w:r w:rsidRPr="008D3090">
              <w:rPr>
                <w:rFonts w:ascii="Times New Roman" w:eastAsia="Times New Roman" w:hAnsi="Times New Roman" w:cs="Times New Roman"/>
                <w:kern w:val="0"/>
                <w:szCs w:val="22"/>
                <w14:ligatures w14:val="none"/>
              </w:rPr>
              <w:t>Service</w:t>
            </w:r>
            <w:r w:rsidRPr="008D3090">
              <w:rPr>
                <w:rFonts w:ascii="Times New Roman" w:eastAsia="Times New Roman" w:hAnsi="Times New Roman" w:cs="Times New Roman"/>
                <w:spacing w:val="-13"/>
                <w:kern w:val="0"/>
                <w:szCs w:val="22"/>
                <w14:ligatures w14:val="none"/>
              </w:rPr>
              <w:t xml:space="preserve"> </w:t>
            </w:r>
            <w:r w:rsidRPr="008D3090">
              <w:rPr>
                <w:rFonts w:ascii="Times New Roman" w:eastAsia="Times New Roman" w:hAnsi="Times New Roman" w:cs="Times New Roman"/>
                <w:kern w:val="0"/>
                <w:szCs w:val="22"/>
                <w14:ligatures w14:val="none"/>
              </w:rPr>
              <w:t xml:space="preserve">Level </w:t>
            </w:r>
            <w:r w:rsidRPr="008D3090">
              <w:rPr>
                <w:rFonts w:ascii="Times New Roman" w:eastAsia="Times New Roman" w:hAnsi="Times New Roman" w:cs="Times New Roman"/>
                <w:spacing w:val="-2"/>
                <w:kern w:val="0"/>
                <w:szCs w:val="22"/>
                <w14:ligatures w14:val="none"/>
              </w:rPr>
              <w:t>Performance</w:t>
            </w:r>
          </w:p>
        </w:tc>
        <w:tc>
          <w:tcPr>
            <w:tcW w:w="2480" w:type="dxa"/>
            <w:tcBorders>
              <w:top w:val="single" w:sz="8" w:space="0" w:color="AEAEAE"/>
              <w:left w:val="nil"/>
              <w:bottom w:val="single" w:sz="8" w:space="0" w:color="AEAEAE"/>
              <w:right w:val="nil"/>
            </w:tcBorders>
            <w:shd w:val="clear" w:color="auto" w:fill="DFDFDF"/>
          </w:tcPr>
          <w:p w14:paraId="3298E19B" w14:textId="77777777" w:rsidR="008D3090" w:rsidRPr="008D3090" w:rsidRDefault="008D3090" w:rsidP="008D3090">
            <w:pPr>
              <w:widowControl w:val="0"/>
              <w:autoSpaceDE w:val="0"/>
              <w:autoSpaceDN w:val="0"/>
              <w:spacing w:after="0" w:line="271"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830" w:type="dxa"/>
            <w:tcBorders>
              <w:top w:val="single" w:sz="8" w:space="0" w:color="AEAEAE"/>
              <w:left w:val="nil"/>
              <w:bottom w:val="single" w:sz="8" w:space="0" w:color="AEAEAE"/>
              <w:right w:val="single" w:sz="8" w:space="0" w:color="DFDFDF"/>
            </w:tcBorders>
            <w:shd w:val="clear" w:color="auto" w:fill="F9F9FA"/>
          </w:tcPr>
          <w:p w14:paraId="2E13C948" w14:textId="77777777" w:rsidR="008D3090" w:rsidRPr="008D3090" w:rsidRDefault="008D3090" w:rsidP="008D3090">
            <w:pPr>
              <w:widowControl w:val="0"/>
              <w:autoSpaceDE w:val="0"/>
              <w:autoSpaceDN w:val="0"/>
              <w:spacing w:after="0" w:line="271" w:lineRule="exact"/>
              <w:ind w:right="4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.979</w:t>
            </w:r>
            <w:r w:rsidRPr="008D3090">
              <w:rPr>
                <w:rFonts w:ascii="Times New Roman" w:eastAsia="Times New Roman" w:hAnsi="Times New Roman" w:cs="Times New Roman"/>
                <w:spacing w:val="-2"/>
                <w:kern w:val="0"/>
                <w:szCs w:val="22"/>
                <w:vertAlign w:val="superscript"/>
                <w14:ligatures w14:val="none"/>
              </w:rPr>
              <w:t>**</w:t>
            </w:r>
          </w:p>
        </w:tc>
        <w:tc>
          <w:tcPr>
            <w:tcW w:w="1830" w:type="dxa"/>
            <w:tcBorders>
              <w:top w:val="single" w:sz="8" w:space="0" w:color="AEAEAE"/>
              <w:left w:val="single" w:sz="8" w:space="0" w:color="DFDFDF"/>
              <w:bottom w:val="single" w:sz="8" w:space="0" w:color="AEAEAE"/>
              <w:right w:val="nil"/>
            </w:tcBorders>
            <w:shd w:val="clear" w:color="auto" w:fill="F9F9FA"/>
          </w:tcPr>
          <w:p w14:paraId="481D9E0E" w14:textId="77777777" w:rsidR="008D3090" w:rsidRPr="008D3090" w:rsidRDefault="008D3090" w:rsidP="008D3090">
            <w:pPr>
              <w:widowControl w:val="0"/>
              <w:autoSpaceDE w:val="0"/>
              <w:autoSpaceDN w:val="0"/>
              <w:spacing w:after="0" w:line="271"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r>
      <w:tr w:rsidR="008D3090" w:rsidRPr="008D3090" w14:paraId="1EAD2299" w14:textId="77777777" w:rsidTr="00D00B3F">
        <w:trPr>
          <w:trHeight w:val="400"/>
        </w:trPr>
        <w:tc>
          <w:tcPr>
            <w:tcW w:w="3040" w:type="dxa"/>
            <w:vMerge/>
            <w:tcBorders>
              <w:top w:val="nil"/>
              <w:left w:val="nil"/>
              <w:right w:val="nil"/>
            </w:tcBorders>
            <w:shd w:val="clear" w:color="auto" w:fill="DFDFDF"/>
          </w:tcPr>
          <w:p w14:paraId="07FB1C0E"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80" w:type="dxa"/>
            <w:tcBorders>
              <w:top w:val="single" w:sz="8" w:space="0" w:color="AEAEAE"/>
              <w:left w:val="nil"/>
              <w:bottom w:val="single" w:sz="8" w:space="0" w:color="AEAEAE"/>
              <w:right w:val="nil"/>
            </w:tcBorders>
            <w:shd w:val="clear" w:color="auto" w:fill="DFDFDF"/>
          </w:tcPr>
          <w:p w14:paraId="477002FA" w14:textId="77777777" w:rsidR="008D3090" w:rsidRPr="008D3090" w:rsidRDefault="008D3090" w:rsidP="008D3090">
            <w:pPr>
              <w:widowControl w:val="0"/>
              <w:autoSpaceDE w:val="0"/>
              <w:autoSpaceDN w:val="0"/>
              <w:spacing w:before="4"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830" w:type="dxa"/>
            <w:tcBorders>
              <w:top w:val="single" w:sz="8" w:space="0" w:color="AEAEAE"/>
              <w:left w:val="nil"/>
              <w:bottom w:val="single" w:sz="8" w:space="0" w:color="AEAEAE"/>
              <w:right w:val="single" w:sz="8" w:space="0" w:color="DFDFDF"/>
            </w:tcBorders>
            <w:shd w:val="clear" w:color="auto" w:fill="F9F9FA"/>
          </w:tcPr>
          <w:p w14:paraId="2F2F0C02" w14:textId="77777777" w:rsidR="008D3090" w:rsidRPr="008D3090" w:rsidRDefault="008D3090" w:rsidP="008D3090">
            <w:pPr>
              <w:widowControl w:val="0"/>
              <w:autoSpaceDE w:val="0"/>
              <w:autoSpaceDN w:val="0"/>
              <w:spacing w:before="4"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c>
          <w:tcPr>
            <w:tcW w:w="1830" w:type="dxa"/>
            <w:tcBorders>
              <w:top w:val="single" w:sz="8" w:space="0" w:color="AEAEAE"/>
              <w:left w:val="single" w:sz="8" w:space="0" w:color="DFDFDF"/>
              <w:bottom w:val="single" w:sz="8" w:space="0" w:color="AEAEAE"/>
              <w:right w:val="nil"/>
            </w:tcBorders>
            <w:shd w:val="clear" w:color="auto" w:fill="F9F9FA"/>
          </w:tcPr>
          <w:p w14:paraId="3AEC84BD"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r>
      <w:tr w:rsidR="008D3090" w:rsidRPr="008D3090" w14:paraId="57F6C6C6" w14:textId="77777777" w:rsidTr="00D00B3F">
        <w:trPr>
          <w:trHeight w:val="419"/>
        </w:trPr>
        <w:tc>
          <w:tcPr>
            <w:tcW w:w="3040" w:type="dxa"/>
            <w:vMerge/>
            <w:tcBorders>
              <w:top w:val="nil"/>
              <w:left w:val="nil"/>
              <w:right w:val="nil"/>
            </w:tcBorders>
            <w:shd w:val="clear" w:color="auto" w:fill="DFDFDF"/>
          </w:tcPr>
          <w:p w14:paraId="73151C8C"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80" w:type="dxa"/>
            <w:tcBorders>
              <w:top w:val="single" w:sz="8" w:space="0" w:color="AEAEAE"/>
              <w:left w:val="nil"/>
              <w:right w:val="nil"/>
            </w:tcBorders>
            <w:shd w:val="clear" w:color="auto" w:fill="DFDFDF"/>
          </w:tcPr>
          <w:p w14:paraId="0BF52651" w14:textId="77777777" w:rsidR="008D3090" w:rsidRPr="008D3090" w:rsidRDefault="008D3090" w:rsidP="008D3090">
            <w:pPr>
              <w:widowControl w:val="0"/>
              <w:autoSpaceDE w:val="0"/>
              <w:autoSpaceDN w:val="0"/>
              <w:spacing w:before="13"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830" w:type="dxa"/>
            <w:tcBorders>
              <w:top w:val="single" w:sz="8" w:space="0" w:color="AEAEAE"/>
              <w:left w:val="nil"/>
              <w:right w:val="single" w:sz="8" w:space="0" w:color="DFDFDF"/>
            </w:tcBorders>
            <w:shd w:val="clear" w:color="auto" w:fill="F9F9FA"/>
          </w:tcPr>
          <w:p w14:paraId="56CBA3DA" w14:textId="77777777" w:rsidR="008D3090" w:rsidRPr="008D3090" w:rsidRDefault="008D3090" w:rsidP="008D3090">
            <w:pPr>
              <w:widowControl w:val="0"/>
              <w:autoSpaceDE w:val="0"/>
              <w:autoSpaceDN w:val="0"/>
              <w:spacing w:before="13"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830" w:type="dxa"/>
            <w:tcBorders>
              <w:top w:val="single" w:sz="8" w:space="0" w:color="AEAEAE"/>
              <w:left w:val="single" w:sz="8" w:space="0" w:color="DFDFDF"/>
              <w:right w:val="nil"/>
            </w:tcBorders>
            <w:shd w:val="clear" w:color="auto" w:fill="F9F9FA"/>
          </w:tcPr>
          <w:p w14:paraId="5D59C566" w14:textId="77777777" w:rsidR="008D3090" w:rsidRPr="008D3090" w:rsidRDefault="008D3090" w:rsidP="008D3090">
            <w:pPr>
              <w:widowControl w:val="0"/>
              <w:autoSpaceDE w:val="0"/>
              <w:autoSpaceDN w:val="0"/>
              <w:spacing w:before="1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bl>
    <w:p w14:paraId="31348946"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Cs w:val="22"/>
          <w14:ligatures w14:val="none"/>
        </w:rPr>
        <w:sectPr w:rsidR="008D3090" w:rsidRPr="008D3090" w:rsidSect="008D3090">
          <w:type w:val="continuous"/>
          <w:pgSz w:w="12240" w:h="15840"/>
          <w:pgMar w:top="1420" w:right="1440" w:bottom="280" w:left="1440" w:header="720" w:footer="720" w:gutter="0"/>
          <w:cols w:space="720"/>
        </w:sectPr>
      </w:pPr>
    </w:p>
    <w:p w14:paraId="4783191F" w14:textId="77777777" w:rsidR="008D3090" w:rsidRPr="008D3090" w:rsidRDefault="008D3090" w:rsidP="008D3090">
      <w:pPr>
        <w:widowControl w:val="0"/>
        <w:autoSpaceDE w:val="0"/>
        <w:autoSpaceDN w:val="0"/>
        <w:spacing w:before="60" w:after="0" w:line="360" w:lineRule="auto"/>
        <w:ind w:right="3474"/>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**Correlation</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significant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0.01</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level</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(2-tailed). SPSS Out, 2026</w:t>
      </w:r>
    </w:p>
    <w:p w14:paraId="0B679A2C" w14:textId="77777777" w:rsidR="008D3090" w:rsidRPr="008D3090" w:rsidRDefault="008D3090" w:rsidP="001A5F7B">
      <w:pPr>
        <w:widowControl w:val="0"/>
        <w:autoSpaceDE w:val="0"/>
        <w:autoSpaceDN w:val="0"/>
        <w:spacing w:before="16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Based on the correlation result between historical sales analysis 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Stockout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Service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Level performance as indicated in table 5 (r = -0.979,</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p</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0.000&lt;0.001)</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there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relationship</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between the variables. This is a very strong correlation between the variables. Consequently, the null hypothesis was discarded. Implying historical sales analysis significantly enhances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stockout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 service level performance. Firms that used historical sales patterns to forecast demand were</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better able to maintain adequate inventory, avoid stockouts, and ensure consistent product availability to meet customer needs. This supports the assertion by Slack, Brandon-Jones, and Burgess (2022) that accurate demand forecasting based on historical data is crucial for operational efficiency and customer satisfaction, particularly in industries with high demand variability such as bottled water production.</w:t>
      </w:r>
    </w:p>
    <w:p w14:paraId="209250A5" w14:textId="77777777" w:rsidR="008D3090" w:rsidRPr="008D3090" w:rsidRDefault="008D3090" w:rsidP="008D3090">
      <w:pPr>
        <w:widowControl w:val="0"/>
        <w:autoSpaceDE w:val="0"/>
        <w:autoSpaceDN w:val="0"/>
        <w:spacing w:before="266" w:after="0" w:line="360" w:lineRule="auto"/>
        <w:ind w:right="306"/>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Table</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6</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Correlation</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result</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of</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Market</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and</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Environmental</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Analysis</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and</w:t>
      </w:r>
      <w:r w:rsidRPr="008D3090">
        <w:rPr>
          <w:rFonts w:ascii="Times New Roman" w:eastAsia="Times New Roman" w:hAnsi="Times New Roman" w:cs="Times New Roman"/>
          <w:b/>
          <w:bCs/>
          <w:spacing w:val="-8"/>
          <w:kern w:val="0"/>
          <w14:ligatures w14:val="none"/>
        </w:rPr>
        <w:t xml:space="preserve"> </w:t>
      </w:r>
      <w:r w:rsidRPr="008D3090">
        <w:rPr>
          <w:rFonts w:ascii="Times New Roman" w:eastAsia="Times New Roman" w:hAnsi="Times New Roman" w:cs="Times New Roman"/>
          <w:b/>
          <w:bCs/>
          <w:kern w:val="0"/>
          <w14:ligatures w14:val="none"/>
        </w:rPr>
        <w:t>Inventory Holding Cost Reduction</w:t>
      </w:r>
    </w:p>
    <w:tbl>
      <w:tblPr>
        <w:tblW w:w="0" w:type="auto"/>
        <w:tblInd w:w="7" w:type="dxa"/>
        <w:tblBorders>
          <w:top w:val="single" w:sz="8" w:space="0" w:color="152934"/>
          <w:left w:val="single" w:sz="8" w:space="0" w:color="152934"/>
          <w:bottom w:val="single" w:sz="8" w:space="0" w:color="152934"/>
          <w:right w:val="single" w:sz="8" w:space="0" w:color="152934"/>
          <w:insideH w:val="single" w:sz="8" w:space="0" w:color="152934"/>
          <w:insideV w:val="single" w:sz="8" w:space="0" w:color="152934"/>
        </w:tblBorders>
        <w:tblLayout w:type="fixed"/>
        <w:tblCellMar>
          <w:left w:w="0" w:type="dxa"/>
          <w:right w:w="0" w:type="dxa"/>
        </w:tblCellMar>
        <w:tblLook w:val="01E0" w:firstRow="1" w:lastRow="1" w:firstColumn="1" w:lastColumn="1" w:noHBand="0" w:noVBand="0"/>
      </w:tblPr>
      <w:tblGrid>
        <w:gridCol w:w="3020"/>
        <w:gridCol w:w="2440"/>
        <w:gridCol w:w="1810"/>
        <w:gridCol w:w="1805"/>
      </w:tblGrid>
      <w:tr w:rsidR="008D3090" w:rsidRPr="008D3090" w14:paraId="0C586B4D" w14:textId="77777777" w:rsidTr="00D00B3F">
        <w:trPr>
          <w:trHeight w:val="1239"/>
        </w:trPr>
        <w:tc>
          <w:tcPr>
            <w:tcW w:w="7270" w:type="dxa"/>
            <w:gridSpan w:val="3"/>
            <w:tcBorders>
              <w:top w:val="nil"/>
              <w:left w:val="nil"/>
              <w:right w:val="single" w:sz="8" w:space="0" w:color="DFDFDF"/>
            </w:tcBorders>
          </w:tcPr>
          <w:p w14:paraId="282C886F" w14:textId="77777777" w:rsidR="008D3090" w:rsidRPr="008D3090" w:rsidRDefault="008D3090" w:rsidP="008D3090">
            <w:pPr>
              <w:widowControl w:val="0"/>
              <w:autoSpaceDE w:val="0"/>
              <w:autoSpaceDN w:val="0"/>
              <w:spacing w:after="0" w:line="360" w:lineRule="auto"/>
              <w:ind w:right="99"/>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 xml:space="preserve">Market and </w:t>
            </w:r>
            <w:r w:rsidRPr="008D3090">
              <w:rPr>
                <w:rFonts w:ascii="Times New Roman" w:eastAsia="Times New Roman" w:hAnsi="Times New Roman" w:cs="Times New Roman"/>
                <w:b/>
                <w:spacing w:val="-2"/>
                <w:kern w:val="0"/>
                <w:szCs w:val="22"/>
                <w14:ligatures w14:val="none"/>
              </w:rPr>
              <w:t>Environmental</w:t>
            </w:r>
          </w:p>
          <w:p w14:paraId="4F7AD08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Analysis</w:t>
            </w:r>
          </w:p>
        </w:tc>
        <w:tc>
          <w:tcPr>
            <w:tcW w:w="1805" w:type="dxa"/>
            <w:tcBorders>
              <w:top w:val="nil"/>
              <w:left w:val="single" w:sz="8" w:space="0" w:color="DFDFDF"/>
              <w:right w:val="nil"/>
            </w:tcBorders>
          </w:tcPr>
          <w:p w14:paraId="359ED2D0" w14:textId="77777777" w:rsidR="008D3090" w:rsidRPr="008D3090" w:rsidRDefault="008D3090" w:rsidP="008D3090">
            <w:pPr>
              <w:widowControl w:val="0"/>
              <w:autoSpaceDE w:val="0"/>
              <w:autoSpaceDN w:val="0"/>
              <w:spacing w:after="0" w:line="360" w:lineRule="auto"/>
              <w:ind w:right="218"/>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 xml:space="preserve">Inventory </w:t>
            </w:r>
            <w:r w:rsidRPr="008D3090">
              <w:rPr>
                <w:rFonts w:ascii="Times New Roman" w:eastAsia="Times New Roman" w:hAnsi="Times New Roman" w:cs="Times New Roman"/>
                <w:b/>
                <w:kern w:val="0"/>
                <w:szCs w:val="22"/>
                <w14:ligatures w14:val="none"/>
              </w:rPr>
              <w:t>Holding</w:t>
            </w:r>
            <w:r w:rsidRPr="008D3090">
              <w:rPr>
                <w:rFonts w:ascii="Times New Roman" w:eastAsia="Times New Roman" w:hAnsi="Times New Roman" w:cs="Times New Roman"/>
                <w:b/>
                <w:spacing w:val="-15"/>
                <w:kern w:val="0"/>
                <w:szCs w:val="22"/>
                <w14:ligatures w14:val="none"/>
              </w:rPr>
              <w:t xml:space="preserve"> </w:t>
            </w:r>
            <w:r w:rsidRPr="008D3090">
              <w:rPr>
                <w:rFonts w:ascii="Times New Roman" w:eastAsia="Times New Roman" w:hAnsi="Times New Roman" w:cs="Times New Roman"/>
                <w:b/>
                <w:kern w:val="0"/>
                <w:szCs w:val="22"/>
                <w14:ligatures w14:val="none"/>
              </w:rPr>
              <w:t>Cost</w:t>
            </w:r>
          </w:p>
          <w:p w14:paraId="290A5480"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Reduction</w:t>
            </w:r>
          </w:p>
        </w:tc>
      </w:tr>
      <w:tr w:rsidR="008D3090" w:rsidRPr="008D3090" w14:paraId="145E83CF" w14:textId="77777777" w:rsidTr="00D00B3F">
        <w:trPr>
          <w:trHeight w:val="400"/>
        </w:trPr>
        <w:tc>
          <w:tcPr>
            <w:tcW w:w="3020" w:type="dxa"/>
            <w:vMerge w:val="restart"/>
            <w:tcBorders>
              <w:left w:val="nil"/>
              <w:bottom w:val="single" w:sz="8" w:space="0" w:color="AEAEAE"/>
              <w:right w:val="nil"/>
            </w:tcBorders>
            <w:shd w:val="clear" w:color="auto" w:fill="DFDFDF"/>
          </w:tcPr>
          <w:p w14:paraId="37191050" w14:textId="77777777" w:rsidR="008D3090" w:rsidRPr="008D3090" w:rsidRDefault="008D3090" w:rsidP="008D3090">
            <w:pPr>
              <w:widowControl w:val="0"/>
              <w:autoSpaceDE w:val="0"/>
              <w:autoSpaceDN w:val="0"/>
              <w:spacing w:after="0" w:line="36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Market</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 xml:space="preserve">Environmental </w:t>
            </w:r>
            <w:r w:rsidRPr="008D3090">
              <w:rPr>
                <w:rFonts w:ascii="Times New Roman" w:eastAsia="Times New Roman" w:hAnsi="Times New Roman" w:cs="Times New Roman"/>
                <w:spacing w:val="-2"/>
                <w:kern w:val="0"/>
                <w:szCs w:val="22"/>
                <w14:ligatures w14:val="none"/>
              </w:rPr>
              <w:t>Analysis</w:t>
            </w:r>
          </w:p>
        </w:tc>
        <w:tc>
          <w:tcPr>
            <w:tcW w:w="2440" w:type="dxa"/>
            <w:tcBorders>
              <w:left w:val="nil"/>
              <w:bottom w:val="single" w:sz="8" w:space="0" w:color="AEAEAE"/>
              <w:right w:val="nil"/>
            </w:tcBorders>
            <w:shd w:val="clear" w:color="auto" w:fill="DFDFDF"/>
          </w:tcPr>
          <w:p w14:paraId="57938E66" w14:textId="77777777" w:rsidR="008D3090" w:rsidRPr="008D3090" w:rsidRDefault="008D3090" w:rsidP="008D3090">
            <w:pPr>
              <w:widowControl w:val="0"/>
              <w:autoSpaceDE w:val="0"/>
              <w:autoSpaceDN w:val="0"/>
              <w:spacing w:after="0" w:line="263"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810" w:type="dxa"/>
            <w:tcBorders>
              <w:left w:val="nil"/>
              <w:bottom w:val="single" w:sz="8" w:space="0" w:color="AEAEAE"/>
              <w:right w:val="single" w:sz="8" w:space="0" w:color="DFDFDF"/>
            </w:tcBorders>
            <w:shd w:val="clear" w:color="auto" w:fill="F9F9FA"/>
          </w:tcPr>
          <w:p w14:paraId="52CAC7E1" w14:textId="77777777" w:rsidR="008D3090" w:rsidRPr="008D3090" w:rsidRDefault="008D3090" w:rsidP="008D3090">
            <w:pPr>
              <w:widowControl w:val="0"/>
              <w:autoSpaceDE w:val="0"/>
              <w:autoSpaceDN w:val="0"/>
              <w:spacing w:after="0" w:line="263"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c>
          <w:tcPr>
            <w:tcW w:w="1805" w:type="dxa"/>
            <w:tcBorders>
              <w:left w:val="single" w:sz="8" w:space="0" w:color="DFDFDF"/>
              <w:bottom w:val="single" w:sz="8" w:space="0" w:color="AEAEAE"/>
              <w:right w:val="nil"/>
            </w:tcBorders>
            <w:shd w:val="clear" w:color="auto" w:fill="F9F9FA"/>
          </w:tcPr>
          <w:p w14:paraId="4862E0FF" w14:textId="77777777" w:rsidR="008D3090" w:rsidRPr="008D3090" w:rsidRDefault="008D3090" w:rsidP="008D3090">
            <w:pPr>
              <w:widowControl w:val="0"/>
              <w:autoSpaceDE w:val="0"/>
              <w:autoSpaceDN w:val="0"/>
              <w:spacing w:after="0" w:line="263" w:lineRule="exact"/>
              <w:ind w:right="5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.767</w:t>
            </w:r>
            <w:r w:rsidRPr="008D3090">
              <w:rPr>
                <w:rFonts w:ascii="Times New Roman" w:eastAsia="Times New Roman" w:hAnsi="Times New Roman" w:cs="Times New Roman"/>
                <w:spacing w:val="-2"/>
                <w:kern w:val="0"/>
                <w:szCs w:val="22"/>
                <w:vertAlign w:val="superscript"/>
                <w14:ligatures w14:val="none"/>
              </w:rPr>
              <w:t>**</w:t>
            </w:r>
          </w:p>
        </w:tc>
      </w:tr>
      <w:tr w:rsidR="008D3090" w:rsidRPr="008D3090" w14:paraId="7764DB8D" w14:textId="77777777" w:rsidTr="00D00B3F">
        <w:trPr>
          <w:trHeight w:val="419"/>
        </w:trPr>
        <w:tc>
          <w:tcPr>
            <w:tcW w:w="3020" w:type="dxa"/>
            <w:vMerge/>
            <w:tcBorders>
              <w:top w:val="nil"/>
              <w:left w:val="nil"/>
              <w:bottom w:val="single" w:sz="8" w:space="0" w:color="AEAEAE"/>
              <w:right w:val="nil"/>
            </w:tcBorders>
            <w:shd w:val="clear" w:color="auto" w:fill="DFDFDF"/>
          </w:tcPr>
          <w:p w14:paraId="08F368A1"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bottom w:val="single" w:sz="8" w:space="0" w:color="AEAEAE"/>
              <w:right w:val="nil"/>
            </w:tcBorders>
            <w:shd w:val="clear" w:color="auto" w:fill="DFDFDF"/>
          </w:tcPr>
          <w:p w14:paraId="7D01A673" w14:textId="77777777" w:rsidR="008D3090" w:rsidRPr="008D3090" w:rsidRDefault="008D3090" w:rsidP="008D3090">
            <w:pPr>
              <w:widowControl w:val="0"/>
              <w:autoSpaceDE w:val="0"/>
              <w:autoSpaceDN w:val="0"/>
              <w:spacing w:after="0" w:line="272"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810" w:type="dxa"/>
            <w:tcBorders>
              <w:top w:val="single" w:sz="8" w:space="0" w:color="AEAEAE"/>
              <w:left w:val="nil"/>
              <w:bottom w:val="single" w:sz="8" w:space="0" w:color="AEAEAE"/>
              <w:right w:val="single" w:sz="8" w:space="0" w:color="DFDFDF"/>
            </w:tcBorders>
            <w:shd w:val="clear" w:color="auto" w:fill="F9F9FA"/>
          </w:tcPr>
          <w:p w14:paraId="435B924C"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c>
          <w:tcPr>
            <w:tcW w:w="1805" w:type="dxa"/>
            <w:tcBorders>
              <w:top w:val="single" w:sz="8" w:space="0" w:color="AEAEAE"/>
              <w:left w:val="single" w:sz="8" w:space="0" w:color="DFDFDF"/>
              <w:bottom w:val="single" w:sz="8" w:space="0" w:color="AEAEAE"/>
              <w:right w:val="nil"/>
            </w:tcBorders>
            <w:shd w:val="clear" w:color="auto" w:fill="F9F9FA"/>
          </w:tcPr>
          <w:p w14:paraId="2B0845A7" w14:textId="77777777" w:rsidR="008D3090" w:rsidRPr="008D3090" w:rsidRDefault="008D3090" w:rsidP="008D3090">
            <w:pPr>
              <w:widowControl w:val="0"/>
              <w:autoSpaceDE w:val="0"/>
              <w:autoSpaceDN w:val="0"/>
              <w:spacing w:after="0" w:line="272"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r>
      <w:tr w:rsidR="008D3090" w:rsidRPr="008D3090" w14:paraId="440F28DD" w14:textId="77777777" w:rsidTr="00D00B3F">
        <w:trPr>
          <w:trHeight w:val="400"/>
        </w:trPr>
        <w:tc>
          <w:tcPr>
            <w:tcW w:w="3020" w:type="dxa"/>
            <w:vMerge/>
            <w:tcBorders>
              <w:top w:val="nil"/>
              <w:left w:val="nil"/>
              <w:bottom w:val="single" w:sz="8" w:space="0" w:color="AEAEAE"/>
              <w:right w:val="nil"/>
            </w:tcBorders>
            <w:shd w:val="clear" w:color="auto" w:fill="DFDFDF"/>
          </w:tcPr>
          <w:p w14:paraId="73479FCA"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bottom w:val="single" w:sz="8" w:space="0" w:color="AEAEAE"/>
              <w:right w:val="nil"/>
            </w:tcBorders>
            <w:shd w:val="clear" w:color="auto" w:fill="DFDFDF"/>
          </w:tcPr>
          <w:p w14:paraId="1DC9F40F" w14:textId="77777777" w:rsidR="008D3090" w:rsidRPr="008D3090" w:rsidRDefault="008D3090" w:rsidP="008D3090">
            <w:pPr>
              <w:widowControl w:val="0"/>
              <w:autoSpaceDE w:val="0"/>
              <w:autoSpaceDN w:val="0"/>
              <w:spacing w:after="0" w:line="261"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810" w:type="dxa"/>
            <w:tcBorders>
              <w:top w:val="single" w:sz="8" w:space="0" w:color="AEAEAE"/>
              <w:left w:val="nil"/>
              <w:bottom w:val="single" w:sz="8" w:space="0" w:color="AEAEAE"/>
              <w:right w:val="single" w:sz="8" w:space="0" w:color="DFDFDF"/>
            </w:tcBorders>
            <w:shd w:val="clear" w:color="auto" w:fill="F9F9FA"/>
          </w:tcPr>
          <w:p w14:paraId="67A497AC" w14:textId="77777777" w:rsidR="008D3090" w:rsidRPr="008D3090" w:rsidRDefault="008D3090" w:rsidP="008D3090">
            <w:pPr>
              <w:widowControl w:val="0"/>
              <w:autoSpaceDE w:val="0"/>
              <w:autoSpaceDN w:val="0"/>
              <w:spacing w:after="0" w:line="261"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805" w:type="dxa"/>
            <w:tcBorders>
              <w:top w:val="single" w:sz="8" w:space="0" w:color="AEAEAE"/>
              <w:left w:val="single" w:sz="8" w:space="0" w:color="DFDFDF"/>
              <w:bottom w:val="single" w:sz="8" w:space="0" w:color="AEAEAE"/>
              <w:right w:val="nil"/>
            </w:tcBorders>
            <w:shd w:val="clear" w:color="auto" w:fill="F9F9FA"/>
          </w:tcPr>
          <w:p w14:paraId="305B927A" w14:textId="77777777" w:rsidR="008D3090" w:rsidRPr="008D3090" w:rsidRDefault="008D3090" w:rsidP="008D3090">
            <w:pPr>
              <w:widowControl w:val="0"/>
              <w:autoSpaceDE w:val="0"/>
              <w:autoSpaceDN w:val="0"/>
              <w:spacing w:after="0" w:line="261"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r w:rsidR="008D3090" w:rsidRPr="008D3090" w14:paraId="7F207313" w14:textId="77777777" w:rsidTr="00D00B3F">
        <w:trPr>
          <w:trHeight w:val="400"/>
        </w:trPr>
        <w:tc>
          <w:tcPr>
            <w:tcW w:w="3020" w:type="dxa"/>
            <w:vMerge w:val="restart"/>
            <w:tcBorders>
              <w:top w:val="single" w:sz="8" w:space="0" w:color="AEAEAE"/>
              <w:left w:val="nil"/>
              <w:right w:val="nil"/>
            </w:tcBorders>
            <w:shd w:val="clear" w:color="auto" w:fill="DFDFDF"/>
          </w:tcPr>
          <w:p w14:paraId="149F7842" w14:textId="77777777" w:rsidR="008D3090" w:rsidRPr="008D3090" w:rsidRDefault="008D3090" w:rsidP="008D3090">
            <w:pPr>
              <w:widowControl w:val="0"/>
              <w:autoSpaceDE w:val="0"/>
              <w:autoSpaceDN w:val="0"/>
              <w:spacing w:after="0" w:line="36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Inventory</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Holding</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 xml:space="preserve">Cost </w:t>
            </w:r>
            <w:r w:rsidRPr="008D3090">
              <w:rPr>
                <w:rFonts w:ascii="Times New Roman" w:eastAsia="Times New Roman" w:hAnsi="Times New Roman" w:cs="Times New Roman"/>
                <w:spacing w:val="-2"/>
                <w:kern w:val="0"/>
                <w:szCs w:val="22"/>
                <w14:ligatures w14:val="none"/>
              </w:rPr>
              <w:t>Reduction</w:t>
            </w:r>
          </w:p>
        </w:tc>
        <w:tc>
          <w:tcPr>
            <w:tcW w:w="2440" w:type="dxa"/>
            <w:tcBorders>
              <w:top w:val="single" w:sz="8" w:space="0" w:color="AEAEAE"/>
              <w:left w:val="nil"/>
              <w:bottom w:val="single" w:sz="8" w:space="0" w:color="AEAEAE"/>
              <w:right w:val="nil"/>
            </w:tcBorders>
            <w:shd w:val="clear" w:color="auto" w:fill="DFDFDF"/>
          </w:tcPr>
          <w:p w14:paraId="44D54AE0" w14:textId="77777777" w:rsidR="008D3090" w:rsidRPr="008D3090" w:rsidRDefault="008D3090" w:rsidP="008D3090">
            <w:pPr>
              <w:widowControl w:val="0"/>
              <w:autoSpaceDE w:val="0"/>
              <w:autoSpaceDN w:val="0"/>
              <w:spacing w:after="0" w:line="270"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810" w:type="dxa"/>
            <w:tcBorders>
              <w:top w:val="single" w:sz="8" w:space="0" w:color="AEAEAE"/>
              <w:left w:val="nil"/>
              <w:bottom w:val="single" w:sz="8" w:space="0" w:color="AEAEAE"/>
              <w:right w:val="single" w:sz="8" w:space="0" w:color="DFDFDF"/>
            </w:tcBorders>
            <w:shd w:val="clear" w:color="auto" w:fill="F9F9FA"/>
          </w:tcPr>
          <w:p w14:paraId="45A6577B" w14:textId="77777777" w:rsidR="008D3090" w:rsidRPr="008D3090" w:rsidRDefault="008D3090" w:rsidP="008D3090">
            <w:pPr>
              <w:widowControl w:val="0"/>
              <w:autoSpaceDE w:val="0"/>
              <w:autoSpaceDN w:val="0"/>
              <w:spacing w:after="0" w:line="270" w:lineRule="exact"/>
              <w:ind w:right="5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.767</w:t>
            </w:r>
            <w:r w:rsidRPr="008D3090">
              <w:rPr>
                <w:rFonts w:ascii="Times New Roman" w:eastAsia="Times New Roman" w:hAnsi="Times New Roman" w:cs="Times New Roman"/>
                <w:spacing w:val="-2"/>
                <w:kern w:val="0"/>
                <w:szCs w:val="22"/>
                <w:vertAlign w:val="superscript"/>
                <w14:ligatures w14:val="none"/>
              </w:rPr>
              <w:t>**</w:t>
            </w:r>
          </w:p>
        </w:tc>
        <w:tc>
          <w:tcPr>
            <w:tcW w:w="1805" w:type="dxa"/>
            <w:tcBorders>
              <w:top w:val="single" w:sz="8" w:space="0" w:color="AEAEAE"/>
              <w:left w:val="single" w:sz="8" w:space="0" w:color="DFDFDF"/>
              <w:bottom w:val="single" w:sz="8" w:space="0" w:color="AEAEAE"/>
              <w:right w:val="nil"/>
            </w:tcBorders>
            <w:shd w:val="clear" w:color="auto" w:fill="F9F9FA"/>
          </w:tcPr>
          <w:p w14:paraId="1976D6F0" w14:textId="77777777" w:rsidR="008D3090" w:rsidRPr="008D3090" w:rsidRDefault="008D3090" w:rsidP="008D3090">
            <w:pPr>
              <w:widowControl w:val="0"/>
              <w:autoSpaceDE w:val="0"/>
              <w:autoSpaceDN w:val="0"/>
              <w:spacing w:after="0" w:line="270"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r>
      <w:tr w:rsidR="008D3090" w:rsidRPr="008D3090" w14:paraId="7B985695" w14:textId="77777777" w:rsidTr="00D00B3F">
        <w:trPr>
          <w:trHeight w:val="419"/>
        </w:trPr>
        <w:tc>
          <w:tcPr>
            <w:tcW w:w="3020" w:type="dxa"/>
            <w:vMerge/>
            <w:tcBorders>
              <w:top w:val="nil"/>
              <w:left w:val="nil"/>
              <w:right w:val="nil"/>
            </w:tcBorders>
            <w:shd w:val="clear" w:color="auto" w:fill="DFDFDF"/>
          </w:tcPr>
          <w:p w14:paraId="1AEBA175"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bottom w:val="single" w:sz="8" w:space="0" w:color="AEAEAE"/>
              <w:right w:val="nil"/>
            </w:tcBorders>
            <w:shd w:val="clear" w:color="auto" w:fill="DFDFDF"/>
          </w:tcPr>
          <w:p w14:paraId="5C9DBB3A" w14:textId="77777777" w:rsidR="008D3090" w:rsidRPr="008D3090" w:rsidRDefault="008D3090" w:rsidP="008D3090">
            <w:pPr>
              <w:widowControl w:val="0"/>
              <w:autoSpaceDE w:val="0"/>
              <w:autoSpaceDN w:val="0"/>
              <w:spacing w:before="3"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810" w:type="dxa"/>
            <w:tcBorders>
              <w:top w:val="single" w:sz="8" w:space="0" w:color="AEAEAE"/>
              <w:left w:val="nil"/>
              <w:bottom w:val="single" w:sz="8" w:space="0" w:color="AEAEAE"/>
              <w:right w:val="single" w:sz="8" w:space="0" w:color="DFDFDF"/>
            </w:tcBorders>
            <w:shd w:val="clear" w:color="auto" w:fill="F9F9FA"/>
          </w:tcPr>
          <w:p w14:paraId="2A2482FA" w14:textId="77777777" w:rsidR="008D3090" w:rsidRPr="008D3090" w:rsidRDefault="008D3090" w:rsidP="008D3090">
            <w:pPr>
              <w:widowControl w:val="0"/>
              <w:autoSpaceDE w:val="0"/>
              <w:autoSpaceDN w:val="0"/>
              <w:spacing w:before="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c>
          <w:tcPr>
            <w:tcW w:w="1805" w:type="dxa"/>
            <w:tcBorders>
              <w:top w:val="single" w:sz="8" w:space="0" w:color="AEAEAE"/>
              <w:left w:val="single" w:sz="8" w:space="0" w:color="DFDFDF"/>
              <w:bottom w:val="single" w:sz="8" w:space="0" w:color="AEAEAE"/>
              <w:right w:val="nil"/>
            </w:tcBorders>
            <w:shd w:val="clear" w:color="auto" w:fill="F9F9FA"/>
          </w:tcPr>
          <w:p w14:paraId="55C181AB"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r>
      <w:tr w:rsidR="008D3090" w:rsidRPr="008D3090" w14:paraId="53C2206B" w14:textId="77777777" w:rsidTr="00D00B3F">
        <w:trPr>
          <w:trHeight w:val="400"/>
        </w:trPr>
        <w:tc>
          <w:tcPr>
            <w:tcW w:w="3020" w:type="dxa"/>
            <w:vMerge/>
            <w:tcBorders>
              <w:top w:val="nil"/>
              <w:left w:val="nil"/>
              <w:right w:val="nil"/>
            </w:tcBorders>
            <w:shd w:val="clear" w:color="auto" w:fill="DFDFDF"/>
          </w:tcPr>
          <w:p w14:paraId="1E3E8DB0"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40" w:type="dxa"/>
            <w:tcBorders>
              <w:top w:val="single" w:sz="8" w:space="0" w:color="AEAEAE"/>
              <w:left w:val="nil"/>
              <w:right w:val="nil"/>
            </w:tcBorders>
            <w:shd w:val="clear" w:color="auto" w:fill="DFDFDF"/>
          </w:tcPr>
          <w:p w14:paraId="60CE60A4" w14:textId="77777777" w:rsidR="008D3090" w:rsidRPr="008D3090" w:rsidRDefault="008D3090" w:rsidP="008D3090">
            <w:pPr>
              <w:widowControl w:val="0"/>
              <w:autoSpaceDE w:val="0"/>
              <w:autoSpaceDN w:val="0"/>
              <w:spacing w:after="0" w:line="268"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810" w:type="dxa"/>
            <w:tcBorders>
              <w:top w:val="single" w:sz="8" w:space="0" w:color="AEAEAE"/>
              <w:left w:val="nil"/>
              <w:right w:val="single" w:sz="8" w:space="0" w:color="DFDFDF"/>
            </w:tcBorders>
            <w:shd w:val="clear" w:color="auto" w:fill="F9F9FA"/>
          </w:tcPr>
          <w:p w14:paraId="685E6D42" w14:textId="77777777" w:rsidR="008D3090" w:rsidRPr="008D3090" w:rsidRDefault="008D3090" w:rsidP="008D3090">
            <w:pPr>
              <w:widowControl w:val="0"/>
              <w:autoSpaceDE w:val="0"/>
              <w:autoSpaceDN w:val="0"/>
              <w:spacing w:after="0" w:line="268"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805" w:type="dxa"/>
            <w:tcBorders>
              <w:top w:val="single" w:sz="8" w:space="0" w:color="AEAEAE"/>
              <w:left w:val="single" w:sz="8" w:space="0" w:color="DFDFDF"/>
              <w:right w:val="nil"/>
            </w:tcBorders>
            <w:shd w:val="clear" w:color="auto" w:fill="F9F9FA"/>
          </w:tcPr>
          <w:p w14:paraId="09927C95" w14:textId="77777777" w:rsidR="008D3090" w:rsidRPr="008D3090" w:rsidRDefault="008D3090" w:rsidP="008D3090">
            <w:pPr>
              <w:widowControl w:val="0"/>
              <w:autoSpaceDE w:val="0"/>
              <w:autoSpaceDN w:val="0"/>
              <w:spacing w:after="0" w:line="268"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bl>
    <w:p w14:paraId="59627CDD" w14:textId="77777777" w:rsidR="008D3090" w:rsidRPr="008D3090" w:rsidRDefault="008D3090" w:rsidP="008D3090">
      <w:pPr>
        <w:widowControl w:val="0"/>
        <w:autoSpaceDE w:val="0"/>
        <w:autoSpaceDN w:val="0"/>
        <w:spacing w:before="83" w:after="0" w:line="240" w:lineRule="auto"/>
        <w:jc w:val="both"/>
        <w:rPr>
          <w:rFonts w:ascii="Times New Roman" w:eastAsia="Times New Roman" w:hAnsi="Times New Roman" w:cs="Times New Roman"/>
          <w:b/>
          <w:kern w:val="0"/>
          <w14:ligatures w14:val="none"/>
        </w:rPr>
      </w:pPr>
    </w:p>
    <w:p w14:paraId="325D1BE1" w14:textId="77777777" w:rsidR="008D3090" w:rsidRPr="008D3090" w:rsidRDefault="008D3090" w:rsidP="008D3090">
      <w:pPr>
        <w:widowControl w:val="0"/>
        <w:autoSpaceDE w:val="0"/>
        <w:autoSpaceDN w:val="0"/>
        <w:spacing w:after="0" w:line="360" w:lineRule="auto"/>
        <w:ind w:right="3474"/>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Correlation</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significant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0.01</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level</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(2-tailed). SPSS Out, 2026</w:t>
      </w:r>
    </w:p>
    <w:p w14:paraId="3903484D" w14:textId="77777777" w:rsidR="008D3090" w:rsidRPr="008D3090" w:rsidRDefault="008D3090" w:rsidP="001A5F7B">
      <w:pPr>
        <w:widowControl w:val="0"/>
        <w:autoSpaceDE w:val="0"/>
        <w:autoSpaceDN w:val="0"/>
        <w:spacing w:before="160"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Based on the correlation result between market and environmental analysis and inventory</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holding cost reduction</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in</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table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6</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(r</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-0.767,</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p</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0.000&lt;0.001)</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there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relationship</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between</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the variables.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indicates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strong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correlation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between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variables.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Thus,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null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hypothesis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was rejected.</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Suggesting</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market</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environmental</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analysis</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significantly</w:t>
      </w:r>
      <w:r w:rsidRPr="008D3090">
        <w:rPr>
          <w:rFonts w:ascii="Times New Roman" w:eastAsia="Times New Roman" w:hAnsi="Times New Roman" w:cs="Times New Roman"/>
          <w:spacing w:val="45"/>
          <w:kern w:val="0"/>
          <w14:ligatures w14:val="none"/>
        </w:rPr>
        <w:t xml:space="preserve"> </w:t>
      </w:r>
      <w:r w:rsidRPr="008D3090">
        <w:rPr>
          <w:rFonts w:ascii="Times New Roman" w:eastAsia="Times New Roman" w:hAnsi="Times New Roman" w:cs="Times New Roman"/>
          <w:kern w:val="0"/>
          <w14:ligatures w14:val="none"/>
        </w:rPr>
        <w:t>contributes</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kern w:val="0"/>
          <w14:ligatures w14:val="none"/>
        </w:rPr>
        <w:t>to</w:t>
      </w:r>
      <w:r w:rsidRPr="008D3090">
        <w:rPr>
          <w:rFonts w:ascii="Times New Roman" w:eastAsia="Times New Roman" w:hAnsi="Times New Roman" w:cs="Times New Roman"/>
          <w:spacing w:val="30"/>
          <w:kern w:val="0"/>
          <w14:ligatures w14:val="none"/>
        </w:rPr>
        <w:t xml:space="preserve"> </w:t>
      </w:r>
      <w:r w:rsidRPr="008D3090">
        <w:rPr>
          <w:rFonts w:ascii="Times New Roman" w:eastAsia="Times New Roman" w:hAnsi="Times New Roman" w:cs="Times New Roman"/>
          <w:spacing w:val="-2"/>
          <w:kern w:val="0"/>
          <w14:ligatures w14:val="none"/>
        </w:rPr>
        <w:t>inventory</w:t>
      </w:r>
    </w:p>
    <w:p w14:paraId="4DF98957"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7916A080" w14:textId="77777777" w:rsidR="008D3090" w:rsidRPr="008D3090" w:rsidRDefault="008D3090" w:rsidP="001A5F7B">
      <w:pPr>
        <w:widowControl w:val="0"/>
        <w:autoSpaceDE w:val="0"/>
        <w:autoSpaceDN w:val="0"/>
        <w:spacing w:before="60" w:after="0" w:line="240" w:lineRule="auto"/>
        <w:ind w:right="2"/>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lastRenderedPageBreak/>
        <w:t>holding cost reduction. Bottled water firms that incorporated external factors—such as weather patterns, population growth, income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levels,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competitive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actions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into</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their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forecasting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models were able to anticipate demand fluctuations and adjust inventory levels accordingly. This proactive approach minimized overstocking and reduced associated holding costs, consistent</w:t>
      </w:r>
      <w:r w:rsidRPr="008D3090">
        <w:rPr>
          <w:rFonts w:ascii="Times New Roman" w:eastAsia="Times New Roman" w:hAnsi="Times New Roman" w:cs="Times New Roman"/>
          <w:spacing w:val="40"/>
          <w:kern w:val="0"/>
          <w14:ligatures w14:val="none"/>
        </w:rPr>
        <w:t xml:space="preserve"> </w:t>
      </w:r>
      <w:r w:rsidRPr="008D3090">
        <w:rPr>
          <w:rFonts w:ascii="Times New Roman" w:eastAsia="Times New Roman" w:hAnsi="Times New Roman" w:cs="Times New Roman"/>
          <w:kern w:val="0"/>
          <w14:ligatures w14:val="none"/>
        </w:rPr>
        <w:t>with findings from studies in the Nigerian manufacturing and FMCG sectors (Kotler &amp; Keller, 2020; Ogunnaike, Kehinde, &amp; Ajao, 2020).</w:t>
      </w:r>
    </w:p>
    <w:p w14:paraId="74183CCB" w14:textId="77777777" w:rsidR="008D3090" w:rsidRPr="008D3090" w:rsidRDefault="008D3090" w:rsidP="008D3090">
      <w:pPr>
        <w:widowControl w:val="0"/>
        <w:autoSpaceDE w:val="0"/>
        <w:autoSpaceDN w:val="0"/>
        <w:spacing w:before="183" w:after="0" w:line="240" w:lineRule="auto"/>
        <w:jc w:val="both"/>
        <w:rPr>
          <w:rFonts w:ascii="Times New Roman" w:eastAsia="Times New Roman" w:hAnsi="Times New Roman" w:cs="Times New Roman"/>
          <w:kern w:val="0"/>
          <w14:ligatures w14:val="none"/>
        </w:rPr>
      </w:pPr>
    </w:p>
    <w:p w14:paraId="60E11FF8" w14:textId="77777777" w:rsidR="008D3090" w:rsidRPr="008D3090" w:rsidRDefault="008D3090" w:rsidP="008D3090">
      <w:pPr>
        <w:widowControl w:val="0"/>
        <w:autoSpaceDE w:val="0"/>
        <w:autoSpaceDN w:val="0"/>
        <w:spacing w:before="1" w:after="0" w:line="36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kern w:val="0"/>
          <w14:ligatures w14:val="none"/>
        </w:rPr>
        <w:t>Table 7 Correlation result of Market and Environmental Analysis and Stock out and Service Level Performance</w:t>
      </w:r>
    </w:p>
    <w:tbl>
      <w:tblPr>
        <w:tblW w:w="0" w:type="auto"/>
        <w:tblInd w:w="7" w:type="dxa"/>
        <w:tblBorders>
          <w:top w:val="single" w:sz="8" w:space="0" w:color="152934"/>
          <w:left w:val="single" w:sz="8" w:space="0" w:color="152934"/>
          <w:bottom w:val="single" w:sz="8" w:space="0" w:color="152934"/>
          <w:right w:val="single" w:sz="8" w:space="0" w:color="152934"/>
          <w:insideH w:val="single" w:sz="8" w:space="0" w:color="152934"/>
          <w:insideV w:val="single" w:sz="8" w:space="0" w:color="152934"/>
        </w:tblBorders>
        <w:tblLayout w:type="fixed"/>
        <w:tblCellMar>
          <w:left w:w="0" w:type="dxa"/>
          <w:right w:w="0" w:type="dxa"/>
        </w:tblCellMar>
        <w:tblLook w:val="01E0" w:firstRow="1" w:lastRow="1" w:firstColumn="1" w:lastColumn="1" w:noHBand="0" w:noVBand="0"/>
      </w:tblPr>
      <w:tblGrid>
        <w:gridCol w:w="2980"/>
        <w:gridCol w:w="2405"/>
        <w:gridCol w:w="1785"/>
        <w:gridCol w:w="1785"/>
      </w:tblGrid>
      <w:tr w:rsidR="008D3090" w:rsidRPr="008D3090" w14:paraId="33EA6A47" w14:textId="77777777" w:rsidTr="00D00B3F">
        <w:trPr>
          <w:trHeight w:val="1220"/>
        </w:trPr>
        <w:tc>
          <w:tcPr>
            <w:tcW w:w="7170" w:type="dxa"/>
            <w:gridSpan w:val="3"/>
            <w:tcBorders>
              <w:top w:val="nil"/>
              <w:left w:val="nil"/>
              <w:right w:val="single" w:sz="8" w:space="0" w:color="DFDFDF"/>
            </w:tcBorders>
          </w:tcPr>
          <w:p w14:paraId="37946069" w14:textId="77777777" w:rsidR="008D3090" w:rsidRPr="008D3090" w:rsidRDefault="008D3090" w:rsidP="008D3090">
            <w:pPr>
              <w:widowControl w:val="0"/>
              <w:autoSpaceDE w:val="0"/>
              <w:autoSpaceDN w:val="0"/>
              <w:spacing w:after="0" w:line="36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 xml:space="preserve">Market and </w:t>
            </w:r>
            <w:r w:rsidRPr="008D3090">
              <w:rPr>
                <w:rFonts w:ascii="Times New Roman" w:eastAsia="Times New Roman" w:hAnsi="Times New Roman" w:cs="Times New Roman"/>
                <w:b/>
                <w:spacing w:val="-2"/>
                <w:kern w:val="0"/>
                <w:szCs w:val="22"/>
                <w14:ligatures w14:val="none"/>
              </w:rPr>
              <w:t>Environmental</w:t>
            </w:r>
          </w:p>
          <w:p w14:paraId="52436486"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Analysis</w:t>
            </w:r>
          </w:p>
        </w:tc>
        <w:tc>
          <w:tcPr>
            <w:tcW w:w="1785" w:type="dxa"/>
            <w:tcBorders>
              <w:top w:val="nil"/>
              <w:left w:val="single" w:sz="8" w:space="0" w:color="DFDFDF"/>
              <w:right w:val="nil"/>
            </w:tcBorders>
          </w:tcPr>
          <w:p w14:paraId="7E745459" w14:textId="77777777" w:rsidR="008D3090" w:rsidRPr="008D3090" w:rsidRDefault="008D3090" w:rsidP="008D3090">
            <w:pPr>
              <w:widowControl w:val="0"/>
              <w:autoSpaceDE w:val="0"/>
              <w:autoSpaceDN w:val="0"/>
              <w:spacing w:after="0" w:line="360" w:lineRule="auto"/>
              <w:ind w:right="192"/>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kern w:val="0"/>
                <w:szCs w:val="22"/>
                <w14:ligatures w14:val="none"/>
              </w:rPr>
              <w:t>Stock out</w:t>
            </w:r>
            <w:r w:rsidRPr="008D3090">
              <w:rPr>
                <w:rFonts w:ascii="Times New Roman" w:eastAsia="Times New Roman" w:hAnsi="Times New Roman" w:cs="Times New Roman"/>
                <w:b/>
                <w:spacing w:val="-15"/>
                <w:kern w:val="0"/>
                <w:szCs w:val="22"/>
                <w14:ligatures w14:val="none"/>
              </w:rPr>
              <w:t xml:space="preserve"> </w:t>
            </w:r>
            <w:r w:rsidRPr="008D3090">
              <w:rPr>
                <w:rFonts w:ascii="Times New Roman" w:eastAsia="Times New Roman" w:hAnsi="Times New Roman" w:cs="Times New Roman"/>
                <w:b/>
                <w:kern w:val="0"/>
                <w:szCs w:val="22"/>
                <w14:ligatures w14:val="none"/>
              </w:rPr>
              <w:t xml:space="preserve">and Service </w:t>
            </w:r>
            <w:r w:rsidRPr="008D3090">
              <w:rPr>
                <w:rFonts w:ascii="Times New Roman" w:eastAsia="Times New Roman" w:hAnsi="Times New Roman" w:cs="Times New Roman"/>
                <w:b/>
                <w:spacing w:val="-2"/>
                <w:kern w:val="0"/>
                <w:szCs w:val="22"/>
                <w14:ligatures w14:val="none"/>
              </w:rPr>
              <w:t>Level</w:t>
            </w:r>
          </w:p>
          <w:p w14:paraId="4FD4DB35"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b/>
                <w:kern w:val="0"/>
                <w:szCs w:val="22"/>
                <w14:ligatures w14:val="none"/>
              </w:rPr>
            </w:pPr>
            <w:r w:rsidRPr="008D3090">
              <w:rPr>
                <w:rFonts w:ascii="Times New Roman" w:eastAsia="Times New Roman" w:hAnsi="Times New Roman" w:cs="Times New Roman"/>
                <w:b/>
                <w:spacing w:val="-2"/>
                <w:kern w:val="0"/>
                <w:szCs w:val="22"/>
                <w14:ligatures w14:val="none"/>
              </w:rPr>
              <w:t>Performance</w:t>
            </w:r>
          </w:p>
        </w:tc>
      </w:tr>
      <w:tr w:rsidR="008D3090" w:rsidRPr="008D3090" w14:paraId="72137103" w14:textId="77777777" w:rsidTr="00D00B3F">
        <w:trPr>
          <w:trHeight w:val="419"/>
        </w:trPr>
        <w:tc>
          <w:tcPr>
            <w:tcW w:w="2980" w:type="dxa"/>
            <w:vMerge w:val="restart"/>
            <w:tcBorders>
              <w:left w:val="nil"/>
              <w:bottom w:val="single" w:sz="8" w:space="0" w:color="AEAEAE"/>
              <w:right w:val="nil"/>
            </w:tcBorders>
            <w:shd w:val="clear" w:color="auto" w:fill="DFDFDF"/>
          </w:tcPr>
          <w:p w14:paraId="42FC0075" w14:textId="77777777" w:rsidR="008D3090" w:rsidRPr="008D3090" w:rsidRDefault="008D3090" w:rsidP="008D3090">
            <w:pPr>
              <w:widowControl w:val="0"/>
              <w:autoSpaceDE w:val="0"/>
              <w:autoSpaceDN w:val="0"/>
              <w:spacing w:before="8" w:after="0" w:line="36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Market</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15"/>
                <w:kern w:val="0"/>
                <w:szCs w:val="22"/>
                <w14:ligatures w14:val="none"/>
              </w:rPr>
              <w:t xml:space="preserve"> </w:t>
            </w:r>
            <w:r w:rsidRPr="008D3090">
              <w:rPr>
                <w:rFonts w:ascii="Times New Roman" w:eastAsia="Times New Roman" w:hAnsi="Times New Roman" w:cs="Times New Roman"/>
                <w:kern w:val="0"/>
                <w:szCs w:val="22"/>
                <w14:ligatures w14:val="none"/>
              </w:rPr>
              <w:t xml:space="preserve">Environmental </w:t>
            </w:r>
            <w:r w:rsidRPr="008D3090">
              <w:rPr>
                <w:rFonts w:ascii="Times New Roman" w:eastAsia="Times New Roman" w:hAnsi="Times New Roman" w:cs="Times New Roman"/>
                <w:spacing w:val="-2"/>
                <w:kern w:val="0"/>
                <w:szCs w:val="22"/>
                <w14:ligatures w14:val="none"/>
              </w:rPr>
              <w:t>Analysis</w:t>
            </w:r>
          </w:p>
        </w:tc>
        <w:tc>
          <w:tcPr>
            <w:tcW w:w="2405" w:type="dxa"/>
            <w:tcBorders>
              <w:left w:val="nil"/>
              <w:bottom w:val="single" w:sz="8" w:space="0" w:color="AEAEAE"/>
              <w:right w:val="nil"/>
            </w:tcBorders>
            <w:shd w:val="clear" w:color="auto" w:fill="DFDFDF"/>
          </w:tcPr>
          <w:p w14:paraId="58AA5A1A" w14:textId="77777777" w:rsidR="008D3090" w:rsidRPr="008D3090" w:rsidRDefault="008D3090" w:rsidP="008D3090">
            <w:pPr>
              <w:widowControl w:val="0"/>
              <w:autoSpaceDE w:val="0"/>
              <w:autoSpaceDN w:val="0"/>
              <w:spacing w:before="8"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785" w:type="dxa"/>
            <w:tcBorders>
              <w:left w:val="nil"/>
              <w:bottom w:val="single" w:sz="8" w:space="0" w:color="AEAEAE"/>
              <w:right w:val="single" w:sz="8" w:space="0" w:color="DFDFDF"/>
            </w:tcBorders>
            <w:shd w:val="clear" w:color="auto" w:fill="F9F9FA"/>
          </w:tcPr>
          <w:p w14:paraId="1A4F69DE" w14:textId="77777777" w:rsidR="008D3090" w:rsidRPr="008D3090" w:rsidRDefault="008D3090" w:rsidP="008D3090">
            <w:pPr>
              <w:widowControl w:val="0"/>
              <w:autoSpaceDE w:val="0"/>
              <w:autoSpaceDN w:val="0"/>
              <w:spacing w:before="8"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c>
          <w:tcPr>
            <w:tcW w:w="1785" w:type="dxa"/>
            <w:tcBorders>
              <w:left w:val="single" w:sz="8" w:space="0" w:color="DFDFDF"/>
              <w:bottom w:val="single" w:sz="8" w:space="0" w:color="AEAEAE"/>
              <w:right w:val="nil"/>
            </w:tcBorders>
            <w:shd w:val="clear" w:color="auto" w:fill="F9F9FA"/>
          </w:tcPr>
          <w:p w14:paraId="739D3BFE" w14:textId="77777777" w:rsidR="008D3090" w:rsidRPr="008D3090" w:rsidRDefault="008D3090" w:rsidP="008D3090">
            <w:pPr>
              <w:widowControl w:val="0"/>
              <w:autoSpaceDE w:val="0"/>
              <w:autoSpaceDN w:val="0"/>
              <w:spacing w:before="8" w:after="0" w:line="240" w:lineRule="auto"/>
              <w:ind w:right="5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.747</w:t>
            </w:r>
            <w:r w:rsidRPr="008D3090">
              <w:rPr>
                <w:rFonts w:ascii="Times New Roman" w:eastAsia="Times New Roman" w:hAnsi="Times New Roman" w:cs="Times New Roman"/>
                <w:spacing w:val="-2"/>
                <w:kern w:val="0"/>
                <w:szCs w:val="22"/>
                <w:vertAlign w:val="superscript"/>
                <w14:ligatures w14:val="none"/>
              </w:rPr>
              <w:t>**</w:t>
            </w:r>
          </w:p>
        </w:tc>
      </w:tr>
      <w:tr w:rsidR="008D3090" w:rsidRPr="008D3090" w14:paraId="53AE88FD" w14:textId="77777777" w:rsidTr="00D00B3F">
        <w:trPr>
          <w:trHeight w:val="400"/>
        </w:trPr>
        <w:tc>
          <w:tcPr>
            <w:tcW w:w="2980" w:type="dxa"/>
            <w:vMerge/>
            <w:tcBorders>
              <w:top w:val="nil"/>
              <w:left w:val="nil"/>
              <w:bottom w:val="single" w:sz="8" w:space="0" w:color="AEAEAE"/>
              <w:right w:val="nil"/>
            </w:tcBorders>
            <w:shd w:val="clear" w:color="auto" w:fill="DFDFDF"/>
          </w:tcPr>
          <w:p w14:paraId="6EE37619"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05" w:type="dxa"/>
            <w:tcBorders>
              <w:top w:val="single" w:sz="8" w:space="0" w:color="AEAEAE"/>
              <w:left w:val="nil"/>
              <w:bottom w:val="single" w:sz="8" w:space="0" w:color="AEAEAE"/>
              <w:right w:val="nil"/>
            </w:tcBorders>
            <w:shd w:val="clear" w:color="auto" w:fill="DFDFDF"/>
          </w:tcPr>
          <w:p w14:paraId="2736A095" w14:textId="77777777" w:rsidR="008D3090" w:rsidRPr="008D3090" w:rsidRDefault="008D3090" w:rsidP="008D3090">
            <w:pPr>
              <w:widowControl w:val="0"/>
              <w:autoSpaceDE w:val="0"/>
              <w:autoSpaceDN w:val="0"/>
              <w:spacing w:after="0" w:line="274"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785" w:type="dxa"/>
            <w:tcBorders>
              <w:top w:val="single" w:sz="8" w:space="0" w:color="AEAEAE"/>
              <w:left w:val="nil"/>
              <w:bottom w:val="single" w:sz="8" w:space="0" w:color="AEAEAE"/>
              <w:right w:val="single" w:sz="8" w:space="0" w:color="DFDFDF"/>
            </w:tcBorders>
            <w:shd w:val="clear" w:color="auto" w:fill="F9F9FA"/>
          </w:tcPr>
          <w:p w14:paraId="75BB4593"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c>
          <w:tcPr>
            <w:tcW w:w="1785" w:type="dxa"/>
            <w:tcBorders>
              <w:top w:val="single" w:sz="8" w:space="0" w:color="AEAEAE"/>
              <w:left w:val="single" w:sz="8" w:space="0" w:color="DFDFDF"/>
              <w:bottom w:val="single" w:sz="8" w:space="0" w:color="AEAEAE"/>
              <w:right w:val="nil"/>
            </w:tcBorders>
            <w:shd w:val="clear" w:color="auto" w:fill="F9F9FA"/>
          </w:tcPr>
          <w:p w14:paraId="2C690340" w14:textId="77777777" w:rsidR="008D3090" w:rsidRPr="008D3090" w:rsidRDefault="008D3090" w:rsidP="008D3090">
            <w:pPr>
              <w:widowControl w:val="0"/>
              <w:autoSpaceDE w:val="0"/>
              <w:autoSpaceDN w:val="0"/>
              <w:spacing w:after="0" w:line="274"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r>
      <w:tr w:rsidR="008D3090" w:rsidRPr="008D3090" w14:paraId="3D4DF92D" w14:textId="77777777" w:rsidTr="00D00B3F">
        <w:trPr>
          <w:trHeight w:val="420"/>
        </w:trPr>
        <w:tc>
          <w:tcPr>
            <w:tcW w:w="2980" w:type="dxa"/>
            <w:vMerge/>
            <w:tcBorders>
              <w:top w:val="nil"/>
              <w:left w:val="nil"/>
              <w:bottom w:val="single" w:sz="8" w:space="0" w:color="AEAEAE"/>
              <w:right w:val="nil"/>
            </w:tcBorders>
            <w:shd w:val="clear" w:color="auto" w:fill="DFDFDF"/>
          </w:tcPr>
          <w:p w14:paraId="69CA2A79"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05" w:type="dxa"/>
            <w:tcBorders>
              <w:top w:val="single" w:sz="8" w:space="0" w:color="AEAEAE"/>
              <w:left w:val="nil"/>
              <w:bottom w:val="single" w:sz="8" w:space="0" w:color="AEAEAE"/>
              <w:right w:val="nil"/>
            </w:tcBorders>
            <w:shd w:val="clear" w:color="auto" w:fill="DFDFDF"/>
          </w:tcPr>
          <w:p w14:paraId="0BCC58A0" w14:textId="77777777" w:rsidR="008D3090" w:rsidRPr="008D3090" w:rsidRDefault="008D3090" w:rsidP="008D3090">
            <w:pPr>
              <w:widowControl w:val="0"/>
              <w:autoSpaceDE w:val="0"/>
              <w:autoSpaceDN w:val="0"/>
              <w:spacing w:before="6"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785" w:type="dxa"/>
            <w:tcBorders>
              <w:top w:val="single" w:sz="8" w:space="0" w:color="AEAEAE"/>
              <w:left w:val="nil"/>
              <w:bottom w:val="single" w:sz="8" w:space="0" w:color="AEAEAE"/>
              <w:right w:val="single" w:sz="8" w:space="0" w:color="DFDFDF"/>
            </w:tcBorders>
            <w:shd w:val="clear" w:color="auto" w:fill="F9F9FA"/>
          </w:tcPr>
          <w:p w14:paraId="39709E7C" w14:textId="77777777" w:rsidR="008D3090" w:rsidRPr="008D3090" w:rsidRDefault="008D3090" w:rsidP="008D3090">
            <w:pPr>
              <w:widowControl w:val="0"/>
              <w:autoSpaceDE w:val="0"/>
              <w:autoSpaceDN w:val="0"/>
              <w:spacing w:before="6"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785" w:type="dxa"/>
            <w:tcBorders>
              <w:top w:val="single" w:sz="8" w:space="0" w:color="AEAEAE"/>
              <w:left w:val="single" w:sz="8" w:space="0" w:color="DFDFDF"/>
              <w:bottom w:val="single" w:sz="8" w:space="0" w:color="AEAEAE"/>
              <w:right w:val="nil"/>
            </w:tcBorders>
            <w:shd w:val="clear" w:color="auto" w:fill="F9F9FA"/>
          </w:tcPr>
          <w:p w14:paraId="307CC2E8" w14:textId="77777777" w:rsidR="008D3090" w:rsidRPr="008D3090" w:rsidRDefault="008D3090" w:rsidP="008D3090">
            <w:pPr>
              <w:widowControl w:val="0"/>
              <w:autoSpaceDE w:val="0"/>
              <w:autoSpaceDN w:val="0"/>
              <w:spacing w:before="6"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r w:rsidR="008D3090" w:rsidRPr="008D3090" w14:paraId="6F771D57" w14:textId="77777777" w:rsidTr="00D00B3F">
        <w:trPr>
          <w:trHeight w:val="400"/>
        </w:trPr>
        <w:tc>
          <w:tcPr>
            <w:tcW w:w="2980" w:type="dxa"/>
            <w:vMerge w:val="restart"/>
            <w:tcBorders>
              <w:top w:val="single" w:sz="8" w:space="0" w:color="AEAEAE"/>
              <w:left w:val="nil"/>
              <w:right w:val="nil"/>
            </w:tcBorders>
            <w:shd w:val="clear" w:color="auto" w:fill="DFDFDF"/>
          </w:tcPr>
          <w:p w14:paraId="735D0458" w14:textId="77777777" w:rsidR="008D3090" w:rsidRPr="008D3090" w:rsidRDefault="008D3090" w:rsidP="008D3090">
            <w:pPr>
              <w:widowControl w:val="0"/>
              <w:autoSpaceDE w:val="0"/>
              <w:autoSpaceDN w:val="0"/>
              <w:spacing w:after="0" w:line="36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Stock out</w:t>
            </w:r>
            <w:r w:rsidRPr="008D3090">
              <w:rPr>
                <w:rFonts w:ascii="Times New Roman" w:eastAsia="Times New Roman" w:hAnsi="Times New Roman" w:cs="Times New Roman"/>
                <w:spacing w:val="-13"/>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13"/>
                <w:kern w:val="0"/>
                <w:szCs w:val="22"/>
                <w14:ligatures w14:val="none"/>
              </w:rPr>
              <w:t xml:space="preserve"> </w:t>
            </w:r>
            <w:r w:rsidRPr="008D3090">
              <w:rPr>
                <w:rFonts w:ascii="Times New Roman" w:eastAsia="Times New Roman" w:hAnsi="Times New Roman" w:cs="Times New Roman"/>
                <w:kern w:val="0"/>
                <w:szCs w:val="22"/>
                <w14:ligatures w14:val="none"/>
              </w:rPr>
              <w:t>Service</w:t>
            </w:r>
            <w:r w:rsidRPr="008D3090">
              <w:rPr>
                <w:rFonts w:ascii="Times New Roman" w:eastAsia="Times New Roman" w:hAnsi="Times New Roman" w:cs="Times New Roman"/>
                <w:spacing w:val="-13"/>
                <w:kern w:val="0"/>
                <w:szCs w:val="22"/>
                <w14:ligatures w14:val="none"/>
              </w:rPr>
              <w:t xml:space="preserve"> </w:t>
            </w:r>
            <w:r w:rsidRPr="008D3090">
              <w:rPr>
                <w:rFonts w:ascii="Times New Roman" w:eastAsia="Times New Roman" w:hAnsi="Times New Roman" w:cs="Times New Roman"/>
                <w:kern w:val="0"/>
                <w:szCs w:val="22"/>
                <w14:ligatures w14:val="none"/>
              </w:rPr>
              <w:t xml:space="preserve">Level </w:t>
            </w:r>
            <w:r w:rsidRPr="008D3090">
              <w:rPr>
                <w:rFonts w:ascii="Times New Roman" w:eastAsia="Times New Roman" w:hAnsi="Times New Roman" w:cs="Times New Roman"/>
                <w:spacing w:val="-2"/>
                <w:kern w:val="0"/>
                <w:szCs w:val="22"/>
                <w14:ligatures w14:val="none"/>
              </w:rPr>
              <w:t>Performance</w:t>
            </w:r>
          </w:p>
        </w:tc>
        <w:tc>
          <w:tcPr>
            <w:tcW w:w="2405" w:type="dxa"/>
            <w:tcBorders>
              <w:top w:val="single" w:sz="8" w:space="0" w:color="AEAEAE"/>
              <w:left w:val="nil"/>
              <w:bottom w:val="single" w:sz="8" w:space="0" w:color="AEAEAE"/>
              <w:right w:val="nil"/>
            </w:tcBorders>
            <w:shd w:val="clear" w:color="auto" w:fill="DFDFDF"/>
          </w:tcPr>
          <w:p w14:paraId="527C8B5E" w14:textId="77777777" w:rsidR="008D3090" w:rsidRPr="008D3090" w:rsidRDefault="008D3090" w:rsidP="008D3090">
            <w:pPr>
              <w:widowControl w:val="0"/>
              <w:autoSpaceDE w:val="0"/>
              <w:autoSpaceDN w:val="0"/>
              <w:spacing w:after="0" w:line="271" w:lineRule="exact"/>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Correlation</w:t>
            </w:r>
          </w:p>
        </w:tc>
        <w:tc>
          <w:tcPr>
            <w:tcW w:w="1785" w:type="dxa"/>
            <w:tcBorders>
              <w:top w:val="single" w:sz="8" w:space="0" w:color="AEAEAE"/>
              <w:left w:val="nil"/>
              <w:bottom w:val="single" w:sz="8" w:space="0" w:color="AEAEAE"/>
              <w:right w:val="single" w:sz="8" w:space="0" w:color="DFDFDF"/>
            </w:tcBorders>
            <w:shd w:val="clear" w:color="auto" w:fill="F9F9FA"/>
          </w:tcPr>
          <w:p w14:paraId="0EFB8877" w14:textId="77777777" w:rsidR="008D3090" w:rsidRPr="008D3090" w:rsidRDefault="008D3090" w:rsidP="008D3090">
            <w:pPr>
              <w:widowControl w:val="0"/>
              <w:autoSpaceDE w:val="0"/>
              <w:autoSpaceDN w:val="0"/>
              <w:spacing w:after="0" w:line="271" w:lineRule="exact"/>
              <w:ind w:right="4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2"/>
                <w:kern w:val="0"/>
                <w:szCs w:val="22"/>
                <w14:ligatures w14:val="none"/>
              </w:rPr>
              <w:t>.747</w:t>
            </w:r>
            <w:r w:rsidRPr="008D3090">
              <w:rPr>
                <w:rFonts w:ascii="Times New Roman" w:eastAsia="Times New Roman" w:hAnsi="Times New Roman" w:cs="Times New Roman"/>
                <w:spacing w:val="-2"/>
                <w:kern w:val="0"/>
                <w:szCs w:val="22"/>
                <w:vertAlign w:val="superscript"/>
                <w14:ligatures w14:val="none"/>
              </w:rPr>
              <w:t>**</w:t>
            </w:r>
          </w:p>
        </w:tc>
        <w:tc>
          <w:tcPr>
            <w:tcW w:w="1785" w:type="dxa"/>
            <w:tcBorders>
              <w:top w:val="single" w:sz="8" w:space="0" w:color="AEAEAE"/>
              <w:left w:val="single" w:sz="8" w:space="0" w:color="DFDFDF"/>
              <w:bottom w:val="single" w:sz="8" w:space="0" w:color="AEAEAE"/>
              <w:right w:val="nil"/>
            </w:tcBorders>
            <w:shd w:val="clear" w:color="auto" w:fill="F9F9FA"/>
          </w:tcPr>
          <w:p w14:paraId="62AF059C" w14:textId="77777777" w:rsidR="008D3090" w:rsidRPr="008D3090" w:rsidRDefault="008D3090" w:rsidP="008D3090">
            <w:pPr>
              <w:widowControl w:val="0"/>
              <w:autoSpaceDE w:val="0"/>
              <w:autoSpaceDN w:val="0"/>
              <w:spacing w:after="0" w:line="271" w:lineRule="exact"/>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1</w:t>
            </w:r>
          </w:p>
        </w:tc>
      </w:tr>
      <w:tr w:rsidR="008D3090" w:rsidRPr="008D3090" w14:paraId="60220503" w14:textId="77777777" w:rsidTr="00D00B3F">
        <w:trPr>
          <w:trHeight w:val="399"/>
        </w:trPr>
        <w:tc>
          <w:tcPr>
            <w:tcW w:w="2980" w:type="dxa"/>
            <w:vMerge/>
            <w:tcBorders>
              <w:top w:val="nil"/>
              <w:left w:val="nil"/>
              <w:right w:val="nil"/>
            </w:tcBorders>
            <w:shd w:val="clear" w:color="auto" w:fill="DFDFDF"/>
          </w:tcPr>
          <w:p w14:paraId="47AD937B"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05" w:type="dxa"/>
            <w:tcBorders>
              <w:top w:val="single" w:sz="8" w:space="0" w:color="AEAEAE"/>
              <w:left w:val="nil"/>
              <w:bottom w:val="single" w:sz="8" w:space="0" w:color="AEAEAE"/>
              <w:right w:val="nil"/>
            </w:tcBorders>
            <w:shd w:val="clear" w:color="auto" w:fill="DFDFDF"/>
          </w:tcPr>
          <w:p w14:paraId="68FFBFB4" w14:textId="77777777" w:rsidR="008D3090" w:rsidRPr="008D3090" w:rsidRDefault="008D3090" w:rsidP="008D3090">
            <w:pPr>
              <w:widowControl w:val="0"/>
              <w:autoSpaceDE w:val="0"/>
              <w:autoSpaceDN w:val="0"/>
              <w:spacing w:before="4"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Sig. (2-</w:t>
            </w:r>
            <w:r w:rsidRPr="008D3090">
              <w:rPr>
                <w:rFonts w:ascii="Times New Roman" w:eastAsia="Times New Roman" w:hAnsi="Times New Roman" w:cs="Times New Roman"/>
                <w:spacing w:val="-2"/>
                <w:kern w:val="0"/>
                <w:szCs w:val="22"/>
                <w14:ligatures w14:val="none"/>
              </w:rPr>
              <w:t>tailed)</w:t>
            </w:r>
          </w:p>
        </w:tc>
        <w:tc>
          <w:tcPr>
            <w:tcW w:w="1785" w:type="dxa"/>
            <w:tcBorders>
              <w:top w:val="single" w:sz="8" w:space="0" w:color="AEAEAE"/>
              <w:left w:val="nil"/>
              <w:bottom w:val="single" w:sz="8" w:space="0" w:color="AEAEAE"/>
              <w:right w:val="single" w:sz="8" w:space="0" w:color="DFDFDF"/>
            </w:tcBorders>
            <w:shd w:val="clear" w:color="auto" w:fill="F9F9FA"/>
          </w:tcPr>
          <w:p w14:paraId="366A5D6B" w14:textId="77777777" w:rsidR="008D3090" w:rsidRPr="008D3090" w:rsidRDefault="008D3090" w:rsidP="008D3090">
            <w:pPr>
              <w:widowControl w:val="0"/>
              <w:autoSpaceDE w:val="0"/>
              <w:autoSpaceDN w:val="0"/>
              <w:spacing w:before="4"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4"/>
                <w:kern w:val="0"/>
                <w:szCs w:val="22"/>
                <w14:ligatures w14:val="none"/>
              </w:rPr>
              <w:t>.000</w:t>
            </w:r>
          </w:p>
        </w:tc>
        <w:tc>
          <w:tcPr>
            <w:tcW w:w="1785" w:type="dxa"/>
            <w:tcBorders>
              <w:top w:val="single" w:sz="8" w:space="0" w:color="AEAEAE"/>
              <w:left w:val="single" w:sz="8" w:space="0" w:color="DFDFDF"/>
              <w:bottom w:val="single" w:sz="8" w:space="0" w:color="AEAEAE"/>
              <w:right w:val="nil"/>
            </w:tcBorders>
            <w:shd w:val="clear" w:color="auto" w:fill="F9F9FA"/>
          </w:tcPr>
          <w:p w14:paraId="298EA378"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2"/>
                <w:szCs w:val="22"/>
                <w14:ligatures w14:val="none"/>
              </w:rPr>
            </w:pPr>
          </w:p>
        </w:tc>
      </w:tr>
      <w:tr w:rsidR="008D3090" w:rsidRPr="008D3090" w14:paraId="00E91C08" w14:textId="77777777" w:rsidTr="00D00B3F">
        <w:trPr>
          <w:trHeight w:val="420"/>
        </w:trPr>
        <w:tc>
          <w:tcPr>
            <w:tcW w:w="2980" w:type="dxa"/>
            <w:vMerge/>
            <w:tcBorders>
              <w:top w:val="nil"/>
              <w:left w:val="nil"/>
              <w:right w:val="nil"/>
            </w:tcBorders>
            <w:shd w:val="clear" w:color="auto" w:fill="DFDFDF"/>
          </w:tcPr>
          <w:p w14:paraId="14273CCD" w14:textId="77777777" w:rsidR="008D3090" w:rsidRPr="008D3090" w:rsidRDefault="008D3090" w:rsidP="008D3090">
            <w:pPr>
              <w:widowControl w:val="0"/>
              <w:autoSpaceDE w:val="0"/>
              <w:autoSpaceDN w:val="0"/>
              <w:spacing w:after="0" w:line="240" w:lineRule="auto"/>
              <w:jc w:val="both"/>
              <w:rPr>
                <w:rFonts w:ascii="Times New Roman" w:eastAsia="Times New Roman" w:hAnsi="Times New Roman" w:cs="Times New Roman"/>
                <w:kern w:val="0"/>
                <w:sz w:val="2"/>
                <w:szCs w:val="2"/>
                <w14:ligatures w14:val="none"/>
              </w:rPr>
            </w:pPr>
          </w:p>
        </w:tc>
        <w:tc>
          <w:tcPr>
            <w:tcW w:w="2405" w:type="dxa"/>
            <w:tcBorders>
              <w:top w:val="single" w:sz="8" w:space="0" w:color="AEAEAE"/>
              <w:left w:val="nil"/>
              <w:right w:val="nil"/>
            </w:tcBorders>
            <w:shd w:val="clear" w:color="auto" w:fill="DFDFDF"/>
          </w:tcPr>
          <w:p w14:paraId="40544FDA" w14:textId="77777777" w:rsidR="008D3090" w:rsidRPr="008D3090" w:rsidRDefault="008D3090" w:rsidP="008D3090">
            <w:pPr>
              <w:widowControl w:val="0"/>
              <w:autoSpaceDE w:val="0"/>
              <w:autoSpaceDN w:val="0"/>
              <w:spacing w:before="13"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10"/>
                <w:kern w:val="0"/>
                <w:szCs w:val="22"/>
                <w14:ligatures w14:val="none"/>
              </w:rPr>
              <w:t>N</w:t>
            </w:r>
          </w:p>
        </w:tc>
        <w:tc>
          <w:tcPr>
            <w:tcW w:w="1785" w:type="dxa"/>
            <w:tcBorders>
              <w:top w:val="single" w:sz="8" w:space="0" w:color="AEAEAE"/>
              <w:left w:val="nil"/>
              <w:right w:val="single" w:sz="8" w:space="0" w:color="DFDFDF"/>
            </w:tcBorders>
            <w:shd w:val="clear" w:color="auto" w:fill="F9F9FA"/>
          </w:tcPr>
          <w:p w14:paraId="7D882DB1" w14:textId="77777777" w:rsidR="008D3090" w:rsidRPr="008D3090" w:rsidRDefault="008D3090" w:rsidP="008D3090">
            <w:pPr>
              <w:widowControl w:val="0"/>
              <w:autoSpaceDE w:val="0"/>
              <w:autoSpaceDN w:val="0"/>
              <w:spacing w:before="13" w:after="0" w:line="240" w:lineRule="auto"/>
              <w:ind w:right="4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c>
          <w:tcPr>
            <w:tcW w:w="1785" w:type="dxa"/>
            <w:tcBorders>
              <w:top w:val="single" w:sz="8" w:space="0" w:color="AEAEAE"/>
              <w:left w:val="single" w:sz="8" w:space="0" w:color="DFDFDF"/>
              <w:right w:val="nil"/>
            </w:tcBorders>
            <w:shd w:val="clear" w:color="auto" w:fill="F9F9FA"/>
          </w:tcPr>
          <w:p w14:paraId="6C4DD4C9" w14:textId="77777777" w:rsidR="008D3090" w:rsidRPr="008D3090" w:rsidRDefault="008D3090" w:rsidP="008D3090">
            <w:pPr>
              <w:widowControl w:val="0"/>
              <w:autoSpaceDE w:val="0"/>
              <w:autoSpaceDN w:val="0"/>
              <w:spacing w:before="13" w:after="0" w:line="240" w:lineRule="auto"/>
              <w:ind w:right="59"/>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spacing w:val="-5"/>
                <w:kern w:val="0"/>
                <w:szCs w:val="22"/>
                <w14:ligatures w14:val="none"/>
              </w:rPr>
              <w:t>100</w:t>
            </w:r>
          </w:p>
        </w:tc>
      </w:tr>
    </w:tbl>
    <w:p w14:paraId="09E51FDF" w14:textId="77777777" w:rsidR="008D3090" w:rsidRPr="008D3090" w:rsidRDefault="008D3090" w:rsidP="008D3090">
      <w:pPr>
        <w:widowControl w:val="0"/>
        <w:autoSpaceDE w:val="0"/>
        <w:autoSpaceDN w:val="0"/>
        <w:spacing w:before="81" w:after="0" w:line="240" w:lineRule="auto"/>
        <w:jc w:val="both"/>
        <w:rPr>
          <w:rFonts w:ascii="Times New Roman" w:eastAsia="Times New Roman" w:hAnsi="Times New Roman" w:cs="Times New Roman"/>
          <w:b/>
          <w:kern w:val="0"/>
          <w14:ligatures w14:val="none"/>
        </w:rPr>
      </w:pPr>
    </w:p>
    <w:p w14:paraId="360473FF" w14:textId="77777777" w:rsidR="008D3090" w:rsidRPr="008D3090" w:rsidRDefault="008D3090" w:rsidP="008D3090">
      <w:pPr>
        <w:widowControl w:val="0"/>
        <w:autoSpaceDE w:val="0"/>
        <w:autoSpaceDN w:val="0"/>
        <w:spacing w:after="0" w:line="360" w:lineRule="auto"/>
        <w:ind w:right="3474"/>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Correlation</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significant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at</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0.01</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level</w:t>
      </w:r>
      <w:r w:rsidRPr="008D3090">
        <w:rPr>
          <w:rFonts w:ascii="Times New Roman" w:eastAsia="Times New Roman" w:hAnsi="Times New Roman" w:cs="Times New Roman"/>
          <w:spacing w:val="-5"/>
          <w:kern w:val="0"/>
          <w14:ligatures w14:val="none"/>
        </w:rPr>
        <w:t xml:space="preserve"> </w:t>
      </w:r>
      <w:r w:rsidRPr="008D3090">
        <w:rPr>
          <w:rFonts w:ascii="Times New Roman" w:eastAsia="Times New Roman" w:hAnsi="Times New Roman" w:cs="Times New Roman"/>
          <w:kern w:val="0"/>
          <w14:ligatures w14:val="none"/>
        </w:rPr>
        <w:t>(2-tailed). SPSS Out, 2026</w:t>
      </w:r>
    </w:p>
    <w:p w14:paraId="63E2D5A3" w14:textId="77777777" w:rsidR="008D3090" w:rsidRPr="008D3090" w:rsidRDefault="008D3090" w:rsidP="001A5F7B">
      <w:pPr>
        <w:widowControl w:val="0"/>
        <w:autoSpaceDE w:val="0"/>
        <w:autoSpaceDN w:val="0"/>
        <w:spacing w:before="160" w:after="0" w:line="240" w:lineRule="auto"/>
        <w:ind w:right="1"/>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Based on the correlation result between market and environmental analysis and stock out and service level performance in table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7</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(r</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-0.747,</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p</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0.000&lt;0.001)</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there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relationship</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between the variables. This indicates a strong</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correlation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between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variables.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Thus,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null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hypothesis was rejected. Signifying that market and environmental analysis positively influences stock out and service level performance. Firms that regularly monitored market trends and environmental conditions were able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to</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maintain</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optimal</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inventory</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levels,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reduce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stock outs,</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and</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improve</w:t>
      </w:r>
      <w:r w:rsidRPr="008D3090">
        <w:rPr>
          <w:rFonts w:ascii="Times New Roman" w:eastAsia="Times New Roman" w:hAnsi="Times New Roman" w:cs="Times New Roman"/>
          <w:spacing w:val="-3"/>
          <w:kern w:val="0"/>
          <w14:ligatures w14:val="none"/>
        </w:rPr>
        <w:t xml:space="preserve"> </w:t>
      </w:r>
      <w:r w:rsidRPr="008D3090">
        <w:rPr>
          <w:rFonts w:ascii="Times New Roman" w:eastAsia="Times New Roman" w:hAnsi="Times New Roman" w:cs="Times New Roman"/>
          <w:kern w:val="0"/>
          <w14:ligatures w14:val="none"/>
        </w:rPr>
        <w:t>service delivery. This finding aligns with empirical evidence suggesting that integrating market intelligence into forecasting and inventory planning enhances supply chain responsiveness and ensures product availability in competitive and dynamic markets (Chopra &amp; Meindl, 2019; Adeyemi &amp; Salami, 2022).</w:t>
      </w:r>
    </w:p>
    <w:p w14:paraId="102AC834"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sectPr w:rsidR="008D3090" w:rsidRPr="008D3090" w:rsidSect="008D3090">
          <w:pgSz w:w="12240" w:h="15840"/>
          <w:pgMar w:top="1380" w:right="1440" w:bottom="280" w:left="1440" w:header="720" w:footer="720" w:gutter="0"/>
          <w:cols w:space="720"/>
        </w:sectPr>
      </w:pPr>
    </w:p>
    <w:p w14:paraId="544F1B47" w14:textId="77777777" w:rsidR="008D3090" w:rsidRPr="008D3090" w:rsidRDefault="008D3090" w:rsidP="001A5F7B">
      <w:pPr>
        <w:widowControl w:val="0"/>
        <w:autoSpaceDE w:val="0"/>
        <w:autoSpaceDN w:val="0"/>
        <w:spacing w:before="130"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spacing w:val="-2"/>
          <w:kern w:val="0"/>
          <w14:ligatures w14:val="none"/>
        </w:rPr>
        <w:lastRenderedPageBreak/>
        <w:t>Conclusion</w:t>
      </w:r>
    </w:p>
    <w:p w14:paraId="79D648F5"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2CB9DADD"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b/>
          <w:kern w:val="0"/>
          <w14:ligatures w14:val="none"/>
        </w:rPr>
      </w:pPr>
      <w:r w:rsidRPr="008D3090">
        <w:rPr>
          <w:rFonts w:ascii="Times New Roman" w:eastAsia="Times New Roman" w:hAnsi="Times New Roman" w:cs="Times New Roman"/>
          <w:kern w:val="0"/>
          <w14:ligatures w14:val="none"/>
        </w:rPr>
        <w:t xml:space="preserve">Based on the findings of this </w:t>
      </w:r>
      <w:r w:rsidRPr="008D3090">
        <w:rPr>
          <w:rFonts w:ascii="Times New Roman" w:eastAsia="Times New Roman" w:hAnsi="Times New Roman" w:cs="Times New Roman"/>
          <w:spacing w:val="-2"/>
          <w:kern w:val="0"/>
          <w14:ligatures w14:val="none"/>
        </w:rPr>
        <w:t>study</w:t>
      </w:r>
      <w:r w:rsidRPr="008D3090">
        <w:rPr>
          <w:rFonts w:ascii="Times New Roman" w:eastAsia="Times New Roman" w:hAnsi="Times New Roman" w:cs="Times New Roman"/>
          <w:b/>
          <w:spacing w:val="-2"/>
          <w:kern w:val="0"/>
          <w14:ligatures w14:val="none"/>
        </w:rPr>
        <w:t>,</w:t>
      </w:r>
    </w:p>
    <w:p w14:paraId="710E0D80"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4328D0B3"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Historical sales analysis improves inventory efficiency and service levels. Market and environmental analysis enable proactive inventory management, reducing holding costs and stock outs. Structured demand forecasting is critical for operational efficiency, customer satisfaction, and competitiveness in bottled water firms.</w:t>
      </w:r>
    </w:p>
    <w:p w14:paraId="0FDB3DC5"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68DD60C4" w14:textId="77777777" w:rsidR="008D3090" w:rsidRPr="008D3090" w:rsidRDefault="008D3090" w:rsidP="001A5F7B">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spacing w:val="-2"/>
          <w:kern w:val="0"/>
          <w14:ligatures w14:val="none"/>
        </w:rPr>
        <w:t>Recommendations</w:t>
      </w:r>
    </w:p>
    <w:p w14:paraId="0FD633DF"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27909E5F"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Based</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on</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conclusions</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of</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this</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study,</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the</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following</w:t>
      </w:r>
      <w:r w:rsidRPr="008D3090">
        <w:rPr>
          <w:rFonts w:ascii="Times New Roman" w:eastAsia="Times New Roman" w:hAnsi="Times New Roman" w:cs="Times New Roman"/>
          <w:spacing w:val="-2"/>
          <w:kern w:val="0"/>
          <w14:ligatures w14:val="none"/>
        </w:rPr>
        <w:t xml:space="preserve"> </w:t>
      </w:r>
      <w:r w:rsidRPr="008D3090">
        <w:rPr>
          <w:rFonts w:ascii="Times New Roman" w:eastAsia="Times New Roman" w:hAnsi="Times New Roman" w:cs="Times New Roman"/>
          <w:kern w:val="0"/>
          <w14:ligatures w14:val="none"/>
        </w:rPr>
        <w:t>recommendations</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kern w:val="0"/>
          <w14:ligatures w14:val="none"/>
        </w:rPr>
        <w:t>are</w:t>
      </w:r>
      <w:r w:rsidRPr="008D3090">
        <w:rPr>
          <w:rFonts w:ascii="Times New Roman" w:eastAsia="Times New Roman" w:hAnsi="Times New Roman" w:cs="Times New Roman"/>
          <w:spacing w:val="-1"/>
          <w:kern w:val="0"/>
          <w14:ligatures w14:val="none"/>
        </w:rPr>
        <w:t xml:space="preserve"> </w:t>
      </w:r>
      <w:r w:rsidRPr="008D3090">
        <w:rPr>
          <w:rFonts w:ascii="Times New Roman" w:eastAsia="Times New Roman" w:hAnsi="Times New Roman" w:cs="Times New Roman"/>
          <w:spacing w:val="-2"/>
          <w:kern w:val="0"/>
          <w14:ligatures w14:val="none"/>
        </w:rPr>
        <w:t>made:</w:t>
      </w:r>
    </w:p>
    <w:p w14:paraId="72186A5D"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2DB57968" w14:textId="77777777" w:rsidR="008D3090" w:rsidRPr="008D3090" w:rsidRDefault="008D3090" w:rsidP="001A5F7B">
      <w:pPr>
        <w:widowControl w:val="0"/>
        <w:numPr>
          <w:ilvl w:val="0"/>
          <w:numId w:val="51"/>
        </w:numPr>
        <w:tabs>
          <w:tab w:val="left" w:pos="717"/>
          <w:tab w:val="left" w:pos="720"/>
        </w:tabs>
        <w:autoSpaceDE w:val="0"/>
        <w:autoSpaceDN w:val="0"/>
        <w:spacing w:after="0" w:line="240" w:lineRule="auto"/>
        <w:ind w:right="3"/>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Bottled water firms should adopt formal forecasting methods, including historical sales analysis and market/environmental analysis, to improve inventory planning. Utilizing quantitative forecasting models such as time-series analysis and moving averages will enhance accuracy and reduce the likelihood of overstocking or stock outs.</w:t>
      </w:r>
    </w:p>
    <w:p w14:paraId="25FF5BEE" w14:textId="77777777" w:rsidR="008D3090" w:rsidRPr="008D3090" w:rsidRDefault="008D3090" w:rsidP="001A5F7B">
      <w:pPr>
        <w:widowControl w:val="0"/>
        <w:numPr>
          <w:ilvl w:val="0"/>
          <w:numId w:val="51"/>
        </w:numPr>
        <w:tabs>
          <w:tab w:val="left" w:pos="716"/>
          <w:tab w:val="left" w:pos="720"/>
        </w:tabs>
        <w:autoSpaceDE w:val="0"/>
        <w:autoSpaceDN w:val="0"/>
        <w:spacing w:after="0" w:line="240" w:lineRule="auto"/>
        <w:ind w:hanging="522"/>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Firms should incorporate market and environmental data, including weather forecasts, population trends, competitor activities, and infrastructure conditions, into their demand forecasting systems. This will enable</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proactive</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inventory</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adjustments</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ensure</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product availability during periods of fluctuating demand.</w:t>
      </w:r>
    </w:p>
    <w:p w14:paraId="5076886F" w14:textId="77777777" w:rsidR="008D3090" w:rsidRPr="008D3090" w:rsidRDefault="008D3090" w:rsidP="001A5F7B">
      <w:pPr>
        <w:widowControl w:val="0"/>
        <w:numPr>
          <w:ilvl w:val="0"/>
          <w:numId w:val="51"/>
        </w:numPr>
        <w:tabs>
          <w:tab w:val="left" w:pos="714"/>
          <w:tab w:val="left" w:pos="719"/>
        </w:tabs>
        <w:autoSpaceDE w:val="0"/>
        <w:autoSpaceDN w:val="0"/>
        <w:spacing w:after="0" w:line="240" w:lineRule="auto"/>
        <w:ind w:left="719" w:right="2" w:hanging="577"/>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To optimize inventory control, firms should invest in technological tools such as Enterprise Resource Planning (ERP) systems or inventory management software. These systems can automate tracking,</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monitor</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stock</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levels</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in</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real-time,</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and</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provide</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data-driven insights for decision-making.</w:t>
      </w:r>
    </w:p>
    <w:p w14:paraId="6E5CF565" w14:textId="77777777" w:rsidR="008D3090" w:rsidRPr="008D3090" w:rsidRDefault="008D3090" w:rsidP="001A5F7B">
      <w:pPr>
        <w:widowControl w:val="0"/>
        <w:tabs>
          <w:tab w:val="left" w:pos="714"/>
          <w:tab w:val="left" w:pos="719"/>
        </w:tabs>
        <w:autoSpaceDE w:val="0"/>
        <w:autoSpaceDN w:val="0"/>
        <w:spacing w:after="0" w:line="240" w:lineRule="auto"/>
        <w:ind w:right="2"/>
        <w:jc w:val="both"/>
        <w:rPr>
          <w:rFonts w:ascii="Times New Roman" w:eastAsia="Times New Roman" w:hAnsi="Times New Roman" w:cs="Times New Roman"/>
          <w:kern w:val="0"/>
          <w:szCs w:val="22"/>
          <w14:ligatures w14:val="none"/>
        </w:rPr>
      </w:pPr>
    </w:p>
    <w:p w14:paraId="7235C030" w14:textId="77777777" w:rsidR="008D3090" w:rsidRPr="008D3090" w:rsidRDefault="008D3090" w:rsidP="001A5F7B">
      <w:pPr>
        <w:widowControl w:val="0"/>
        <w:autoSpaceDE w:val="0"/>
        <w:autoSpaceDN w:val="0"/>
        <w:spacing w:after="0" w:line="240" w:lineRule="auto"/>
        <w:jc w:val="both"/>
        <w:outlineLvl w:val="1"/>
        <w:rPr>
          <w:rFonts w:ascii="Times New Roman" w:eastAsia="Times New Roman" w:hAnsi="Times New Roman" w:cs="Times New Roman"/>
          <w:b/>
          <w:bCs/>
          <w:kern w:val="0"/>
          <w14:ligatures w14:val="none"/>
        </w:rPr>
      </w:pPr>
      <w:r w:rsidRPr="008D3090">
        <w:rPr>
          <w:rFonts w:ascii="Times New Roman" w:eastAsia="Times New Roman" w:hAnsi="Times New Roman" w:cs="Times New Roman"/>
          <w:b/>
          <w:bCs/>
          <w:spacing w:val="-2"/>
          <w:kern w:val="0"/>
          <w14:ligatures w14:val="none"/>
        </w:rPr>
        <w:t>References</w:t>
      </w:r>
    </w:p>
    <w:p w14:paraId="131AE92D"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b/>
          <w:kern w:val="0"/>
          <w14:ligatures w14:val="none"/>
        </w:rPr>
      </w:pPr>
    </w:p>
    <w:p w14:paraId="0A702104"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Adeyemi, S. L., &amp; Salami, A. O. (2022). Inventory management practices and operational performance of manufacturing firms in Nigeria. </w:t>
      </w:r>
      <w:r w:rsidRPr="008D3090">
        <w:rPr>
          <w:rFonts w:ascii="Times New Roman" w:eastAsia="Times New Roman" w:hAnsi="Times New Roman" w:cs="Times New Roman"/>
          <w:i/>
          <w:kern w:val="0"/>
          <w:szCs w:val="22"/>
          <w14:ligatures w14:val="none"/>
        </w:rPr>
        <w:t>Journal of Supply Chain Management Research, 6</w:t>
      </w:r>
      <w:r w:rsidRPr="008D3090">
        <w:rPr>
          <w:rFonts w:ascii="Times New Roman" w:eastAsia="Times New Roman" w:hAnsi="Times New Roman" w:cs="Times New Roman"/>
          <w:kern w:val="0"/>
          <w:szCs w:val="22"/>
          <w14:ligatures w14:val="none"/>
        </w:rPr>
        <w:t>(2), 45–60.</w:t>
      </w:r>
    </w:p>
    <w:p w14:paraId="0AAF5CBD"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55600FC5" w14:textId="77777777" w:rsidR="00641746" w:rsidRDefault="008D3090" w:rsidP="001A5F7B">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Akinwale, Y. O., &amp; George, O. J. (2021). Market dynamics and performance of fast-moving consumer goods firms in Nigeria. </w:t>
      </w:r>
      <w:r w:rsidRPr="008D3090">
        <w:rPr>
          <w:rFonts w:ascii="Times New Roman" w:eastAsia="Times New Roman" w:hAnsi="Times New Roman" w:cs="Times New Roman"/>
          <w:i/>
          <w:kern w:val="0"/>
          <w:szCs w:val="22"/>
          <w14:ligatures w14:val="none"/>
        </w:rPr>
        <w:t>International Journal of Business and Management Studies, 13</w:t>
      </w:r>
      <w:r w:rsidRPr="008D3090">
        <w:rPr>
          <w:rFonts w:ascii="Times New Roman" w:eastAsia="Times New Roman" w:hAnsi="Times New Roman" w:cs="Times New Roman"/>
          <w:kern w:val="0"/>
          <w:szCs w:val="22"/>
          <w14:ligatures w14:val="none"/>
        </w:rPr>
        <w:t>(1), 112–128.</w:t>
      </w:r>
    </w:p>
    <w:p w14:paraId="6B472CDA" w14:textId="77777777" w:rsidR="00641746" w:rsidRDefault="00641746" w:rsidP="001A5F7B">
      <w:pPr>
        <w:widowControl w:val="0"/>
        <w:autoSpaceDE w:val="0"/>
        <w:autoSpaceDN w:val="0"/>
        <w:spacing w:after="0" w:line="240" w:lineRule="auto"/>
        <w:jc w:val="both"/>
        <w:rPr>
          <w:rFonts w:ascii="Times New Roman" w:eastAsia="Times New Roman" w:hAnsi="Times New Roman" w:cs="Times New Roman"/>
          <w:kern w:val="0"/>
          <w:szCs w:val="22"/>
          <w14:ligatures w14:val="none"/>
        </w:rPr>
      </w:pPr>
    </w:p>
    <w:p w14:paraId="50584024" w14:textId="6149E79C"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Ballou, R. H. (2018). </w:t>
      </w:r>
      <w:r w:rsidRPr="008D3090">
        <w:rPr>
          <w:rFonts w:ascii="Times New Roman" w:eastAsia="Times New Roman" w:hAnsi="Times New Roman" w:cs="Times New Roman"/>
          <w:i/>
          <w:kern w:val="0"/>
          <w:szCs w:val="22"/>
          <w14:ligatures w14:val="none"/>
        </w:rPr>
        <w:t xml:space="preserve">Business logistics/supply chain management: Planning, organizing, and controlling the supply chain </w:t>
      </w:r>
      <w:r w:rsidRPr="008D3090">
        <w:rPr>
          <w:rFonts w:ascii="Times New Roman" w:eastAsia="Times New Roman" w:hAnsi="Times New Roman" w:cs="Times New Roman"/>
          <w:kern w:val="0"/>
          <w:szCs w:val="22"/>
          <w14:ligatures w14:val="none"/>
        </w:rPr>
        <w:t>(6th ed.). Pearson Education.</w:t>
      </w:r>
    </w:p>
    <w:p w14:paraId="64A1959E"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25F5C7DC"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i/>
          <w:kern w:val="0"/>
          <w:szCs w:val="22"/>
          <w14:ligatures w14:val="none"/>
        </w:rPr>
      </w:pPr>
      <w:r w:rsidRPr="008D3090">
        <w:rPr>
          <w:rFonts w:ascii="Times New Roman" w:eastAsia="Times New Roman" w:hAnsi="Times New Roman" w:cs="Times New Roman"/>
          <w:kern w:val="0"/>
          <w:szCs w:val="22"/>
          <w14:ligatures w14:val="none"/>
        </w:rPr>
        <w:t>Chopra,</w:t>
      </w:r>
      <w:r w:rsidRPr="008D3090">
        <w:rPr>
          <w:rFonts w:ascii="Times New Roman" w:eastAsia="Times New Roman" w:hAnsi="Times New Roman" w:cs="Times New Roman"/>
          <w:spacing w:val="24"/>
          <w:kern w:val="0"/>
          <w:szCs w:val="22"/>
          <w14:ligatures w14:val="none"/>
        </w:rPr>
        <w:t xml:space="preserve"> </w:t>
      </w:r>
      <w:r w:rsidRPr="008D3090">
        <w:rPr>
          <w:rFonts w:ascii="Times New Roman" w:eastAsia="Times New Roman" w:hAnsi="Times New Roman" w:cs="Times New Roman"/>
          <w:kern w:val="0"/>
          <w:szCs w:val="22"/>
          <w14:ligatures w14:val="none"/>
        </w:rPr>
        <w:t>S.,</w:t>
      </w:r>
      <w:r w:rsidRPr="008D3090">
        <w:rPr>
          <w:rFonts w:ascii="Times New Roman" w:eastAsia="Times New Roman" w:hAnsi="Times New Roman" w:cs="Times New Roman"/>
          <w:spacing w:val="26"/>
          <w:kern w:val="0"/>
          <w:szCs w:val="22"/>
          <w14:ligatures w14:val="none"/>
        </w:rPr>
        <w:t xml:space="preserve"> </w:t>
      </w:r>
      <w:r w:rsidRPr="008D3090">
        <w:rPr>
          <w:rFonts w:ascii="Times New Roman" w:eastAsia="Times New Roman" w:hAnsi="Times New Roman" w:cs="Times New Roman"/>
          <w:kern w:val="0"/>
          <w:szCs w:val="22"/>
          <w14:ligatures w14:val="none"/>
        </w:rPr>
        <w:t>&amp;</w:t>
      </w:r>
      <w:r w:rsidRPr="008D3090">
        <w:rPr>
          <w:rFonts w:ascii="Times New Roman" w:eastAsia="Times New Roman" w:hAnsi="Times New Roman" w:cs="Times New Roman"/>
          <w:spacing w:val="26"/>
          <w:kern w:val="0"/>
          <w:szCs w:val="22"/>
          <w14:ligatures w14:val="none"/>
        </w:rPr>
        <w:t xml:space="preserve"> </w:t>
      </w:r>
      <w:r w:rsidRPr="008D3090">
        <w:rPr>
          <w:rFonts w:ascii="Times New Roman" w:eastAsia="Times New Roman" w:hAnsi="Times New Roman" w:cs="Times New Roman"/>
          <w:kern w:val="0"/>
          <w:szCs w:val="22"/>
          <w14:ligatures w14:val="none"/>
        </w:rPr>
        <w:t>Meindl,</w:t>
      </w:r>
      <w:r w:rsidRPr="008D3090">
        <w:rPr>
          <w:rFonts w:ascii="Times New Roman" w:eastAsia="Times New Roman" w:hAnsi="Times New Roman" w:cs="Times New Roman"/>
          <w:spacing w:val="26"/>
          <w:kern w:val="0"/>
          <w:szCs w:val="22"/>
          <w14:ligatures w14:val="none"/>
        </w:rPr>
        <w:t xml:space="preserve"> </w:t>
      </w:r>
      <w:r w:rsidRPr="008D3090">
        <w:rPr>
          <w:rFonts w:ascii="Times New Roman" w:eastAsia="Times New Roman" w:hAnsi="Times New Roman" w:cs="Times New Roman"/>
          <w:kern w:val="0"/>
          <w:szCs w:val="22"/>
          <w14:ligatures w14:val="none"/>
        </w:rPr>
        <w:t>P.</w:t>
      </w:r>
      <w:r w:rsidRPr="008D3090">
        <w:rPr>
          <w:rFonts w:ascii="Times New Roman" w:eastAsia="Times New Roman" w:hAnsi="Times New Roman" w:cs="Times New Roman"/>
          <w:spacing w:val="27"/>
          <w:kern w:val="0"/>
          <w:szCs w:val="22"/>
          <w14:ligatures w14:val="none"/>
        </w:rPr>
        <w:t xml:space="preserve"> </w:t>
      </w:r>
      <w:r w:rsidRPr="008D3090">
        <w:rPr>
          <w:rFonts w:ascii="Times New Roman" w:eastAsia="Times New Roman" w:hAnsi="Times New Roman" w:cs="Times New Roman"/>
          <w:kern w:val="0"/>
          <w:szCs w:val="22"/>
          <w14:ligatures w14:val="none"/>
        </w:rPr>
        <w:t>(2019).</w:t>
      </w:r>
      <w:r w:rsidRPr="008D3090">
        <w:rPr>
          <w:rFonts w:ascii="Times New Roman" w:eastAsia="Times New Roman" w:hAnsi="Times New Roman" w:cs="Times New Roman"/>
          <w:spacing w:val="11"/>
          <w:kern w:val="0"/>
          <w:szCs w:val="22"/>
          <w14:ligatures w14:val="none"/>
        </w:rPr>
        <w:t xml:space="preserve"> </w:t>
      </w:r>
      <w:r w:rsidRPr="008D3090">
        <w:rPr>
          <w:rFonts w:ascii="Times New Roman" w:eastAsia="Times New Roman" w:hAnsi="Times New Roman" w:cs="Times New Roman"/>
          <w:i/>
          <w:kern w:val="0"/>
          <w:szCs w:val="22"/>
          <w14:ligatures w14:val="none"/>
        </w:rPr>
        <w:t>Supply</w:t>
      </w:r>
      <w:r w:rsidRPr="008D3090">
        <w:rPr>
          <w:rFonts w:ascii="Times New Roman" w:eastAsia="Times New Roman" w:hAnsi="Times New Roman" w:cs="Times New Roman"/>
          <w:i/>
          <w:spacing w:val="12"/>
          <w:kern w:val="0"/>
          <w:szCs w:val="22"/>
          <w14:ligatures w14:val="none"/>
        </w:rPr>
        <w:t xml:space="preserve"> </w:t>
      </w:r>
      <w:r w:rsidRPr="008D3090">
        <w:rPr>
          <w:rFonts w:ascii="Times New Roman" w:eastAsia="Times New Roman" w:hAnsi="Times New Roman" w:cs="Times New Roman"/>
          <w:i/>
          <w:kern w:val="0"/>
          <w:szCs w:val="22"/>
          <w14:ligatures w14:val="none"/>
        </w:rPr>
        <w:t>chain</w:t>
      </w:r>
      <w:r w:rsidRPr="008D3090">
        <w:rPr>
          <w:rFonts w:ascii="Times New Roman" w:eastAsia="Times New Roman" w:hAnsi="Times New Roman" w:cs="Times New Roman"/>
          <w:i/>
          <w:spacing w:val="12"/>
          <w:kern w:val="0"/>
          <w:szCs w:val="22"/>
          <w14:ligatures w14:val="none"/>
        </w:rPr>
        <w:t xml:space="preserve"> </w:t>
      </w:r>
      <w:r w:rsidRPr="008D3090">
        <w:rPr>
          <w:rFonts w:ascii="Times New Roman" w:eastAsia="Times New Roman" w:hAnsi="Times New Roman" w:cs="Times New Roman"/>
          <w:i/>
          <w:kern w:val="0"/>
          <w:szCs w:val="22"/>
          <w14:ligatures w14:val="none"/>
        </w:rPr>
        <w:t>management:</w:t>
      </w:r>
      <w:r w:rsidRPr="008D3090">
        <w:rPr>
          <w:rFonts w:ascii="Times New Roman" w:eastAsia="Times New Roman" w:hAnsi="Times New Roman" w:cs="Times New Roman"/>
          <w:i/>
          <w:spacing w:val="12"/>
          <w:kern w:val="0"/>
          <w:szCs w:val="22"/>
          <w14:ligatures w14:val="none"/>
        </w:rPr>
        <w:t xml:space="preserve"> </w:t>
      </w:r>
      <w:r w:rsidRPr="008D3090">
        <w:rPr>
          <w:rFonts w:ascii="Times New Roman" w:eastAsia="Times New Roman" w:hAnsi="Times New Roman" w:cs="Times New Roman"/>
          <w:i/>
          <w:kern w:val="0"/>
          <w:szCs w:val="22"/>
          <w14:ligatures w14:val="none"/>
        </w:rPr>
        <w:t>Strategy,</w:t>
      </w:r>
      <w:r w:rsidRPr="008D3090">
        <w:rPr>
          <w:rFonts w:ascii="Times New Roman" w:eastAsia="Times New Roman" w:hAnsi="Times New Roman" w:cs="Times New Roman"/>
          <w:i/>
          <w:spacing w:val="12"/>
          <w:kern w:val="0"/>
          <w:szCs w:val="22"/>
          <w14:ligatures w14:val="none"/>
        </w:rPr>
        <w:t xml:space="preserve"> </w:t>
      </w:r>
      <w:r w:rsidRPr="008D3090">
        <w:rPr>
          <w:rFonts w:ascii="Times New Roman" w:eastAsia="Times New Roman" w:hAnsi="Times New Roman" w:cs="Times New Roman"/>
          <w:i/>
          <w:kern w:val="0"/>
          <w:szCs w:val="22"/>
          <w14:ligatures w14:val="none"/>
        </w:rPr>
        <w:t>planning,</w:t>
      </w:r>
      <w:r w:rsidRPr="008D3090">
        <w:rPr>
          <w:rFonts w:ascii="Times New Roman" w:eastAsia="Times New Roman" w:hAnsi="Times New Roman" w:cs="Times New Roman"/>
          <w:i/>
          <w:spacing w:val="12"/>
          <w:kern w:val="0"/>
          <w:szCs w:val="22"/>
          <w14:ligatures w14:val="none"/>
        </w:rPr>
        <w:t xml:space="preserve"> </w:t>
      </w:r>
      <w:r w:rsidRPr="008D3090">
        <w:rPr>
          <w:rFonts w:ascii="Times New Roman" w:eastAsia="Times New Roman" w:hAnsi="Times New Roman" w:cs="Times New Roman"/>
          <w:i/>
          <w:kern w:val="0"/>
          <w:szCs w:val="22"/>
          <w14:ligatures w14:val="none"/>
        </w:rPr>
        <w:t>and</w:t>
      </w:r>
      <w:r w:rsidRPr="008D3090">
        <w:rPr>
          <w:rFonts w:ascii="Times New Roman" w:eastAsia="Times New Roman" w:hAnsi="Times New Roman" w:cs="Times New Roman"/>
          <w:i/>
          <w:spacing w:val="12"/>
          <w:kern w:val="0"/>
          <w:szCs w:val="22"/>
          <w14:ligatures w14:val="none"/>
        </w:rPr>
        <w:t xml:space="preserve"> </w:t>
      </w:r>
      <w:r w:rsidRPr="008D3090">
        <w:rPr>
          <w:rFonts w:ascii="Times New Roman" w:eastAsia="Times New Roman" w:hAnsi="Times New Roman" w:cs="Times New Roman"/>
          <w:i/>
          <w:spacing w:val="-2"/>
          <w:kern w:val="0"/>
          <w:szCs w:val="22"/>
          <w14:ligatures w14:val="none"/>
        </w:rPr>
        <w:t>operation</w:t>
      </w:r>
    </w:p>
    <w:p w14:paraId="61010741"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14:ligatures w14:val="none"/>
        </w:rPr>
      </w:pPr>
      <w:r w:rsidRPr="008D3090">
        <w:rPr>
          <w:rFonts w:ascii="Times New Roman" w:eastAsia="Times New Roman" w:hAnsi="Times New Roman" w:cs="Times New Roman"/>
          <w:kern w:val="0"/>
          <w14:ligatures w14:val="none"/>
        </w:rPr>
        <w:t xml:space="preserve">(7th ed.). Pearson </w:t>
      </w:r>
      <w:r w:rsidRPr="008D3090">
        <w:rPr>
          <w:rFonts w:ascii="Times New Roman" w:eastAsia="Times New Roman" w:hAnsi="Times New Roman" w:cs="Times New Roman"/>
          <w:spacing w:val="-2"/>
          <w:kern w:val="0"/>
          <w14:ligatures w14:val="none"/>
        </w:rPr>
        <w:t>Education.</w:t>
      </w:r>
    </w:p>
    <w:p w14:paraId="7F803BA0"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757C625B" w14:textId="77777777" w:rsidR="008D3090" w:rsidRPr="008D3090" w:rsidRDefault="008D3090" w:rsidP="001A5F7B">
      <w:pPr>
        <w:widowControl w:val="0"/>
        <w:autoSpaceDE w:val="0"/>
        <w:autoSpaceDN w:val="0"/>
        <w:spacing w:after="0" w:line="240" w:lineRule="auto"/>
        <w:ind w:right="4"/>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Heizer, J., Render, B., &amp;</w:t>
      </w:r>
      <w:r w:rsidRPr="008D3090">
        <w:rPr>
          <w:rFonts w:ascii="Times New Roman" w:eastAsia="Times New Roman" w:hAnsi="Times New Roman" w:cs="Times New Roman"/>
          <w:spacing w:val="-5"/>
          <w:kern w:val="0"/>
          <w:szCs w:val="22"/>
          <w14:ligatures w14:val="none"/>
        </w:rPr>
        <w:t xml:space="preserve"> </w:t>
      </w:r>
      <w:r w:rsidRPr="008D3090">
        <w:rPr>
          <w:rFonts w:ascii="Times New Roman" w:eastAsia="Times New Roman" w:hAnsi="Times New Roman" w:cs="Times New Roman"/>
          <w:kern w:val="0"/>
          <w:szCs w:val="22"/>
          <w14:ligatures w14:val="none"/>
        </w:rPr>
        <w:t>Munson,</w:t>
      </w:r>
      <w:r w:rsidRPr="008D3090">
        <w:rPr>
          <w:rFonts w:ascii="Times New Roman" w:eastAsia="Times New Roman" w:hAnsi="Times New Roman" w:cs="Times New Roman"/>
          <w:spacing w:val="-5"/>
          <w:kern w:val="0"/>
          <w:szCs w:val="22"/>
          <w14:ligatures w14:val="none"/>
        </w:rPr>
        <w:t xml:space="preserve"> </w:t>
      </w:r>
      <w:r w:rsidRPr="008D3090">
        <w:rPr>
          <w:rFonts w:ascii="Times New Roman" w:eastAsia="Times New Roman" w:hAnsi="Times New Roman" w:cs="Times New Roman"/>
          <w:kern w:val="0"/>
          <w:szCs w:val="22"/>
          <w14:ligatures w14:val="none"/>
        </w:rPr>
        <w:t>C.</w:t>
      </w:r>
      <w:r w:rsidRPr="008D3090">
        <w:rPr>
          <w:rFonts w:ascii="Times New Roman" w:eastAsia="Times New Roman" w:hAnsi="Times New Roman" w:cs="Times New Roman"/>
          <w:spacing w:val="-5"/>
          <w:kern w:val="0"/>
          <w:szCs w:val="22"/>
          <w14:ligatures w14:val="none"/>
        </w:rPr>
        <w:t xml:space="preserve"> </w:t>
      </w:r>
      <w:r w:rsidRPr="008D3090">
        <w:rPr>
          <w:rFonts w:ascii="Times New Roman" w:eastAsia="Times New Roman" w:hAnsi="Times New Roman" w:cs="Times New Roman"/>
          <w:kern w:val="0"/>
          <w:szCs w:val="22"/>
          <w14:ligatures w14:val="none"/>
        </w:rPr>
        <w:t>(2020).</w:t>
      </w:r>
      <w:r w:rsidRPr="008D3090">
        <w:rPr>
          <w:rFonts w:ascii="Times New Roman" w:eastAsia="Times New Roman" w:hAnsi="Times New Roman" w:cs="Times New Roman"/>
          <w:spacing w:val="-5"/>
          <w:kern w:val="0"/>
          <w:szCs w:val="22"/>
          <w14:ligatures w14:val="none"/>
        </w:rPr>
        <w:t xml:space="preserve"> </w:t>
      </w:r>
      <w:r w:rsidRPr="008D3090">
        <w:rPr>
          <w:rFonts w:ascii="Times New Roman" w:eastAsia="Times New Roman" w:hAnsi="Times New Roman" w:cs="Times New Roman"/>
          <w:i/>
          <w:kern w:val="0"/>
          <w:szCs w:val="22"/>
          <w14:ligatures w14:val="none"/>
        </w:rPr>
        <w:t>Operations</w:t>
      </w:r>
      <w:r w:rsidRPr="008D3090">
        <w:rPr>
          <w:rFonts w:ascii="Times New Roman" w:eastAsia="Times New Roman" w:hAnsi="Times New Roman" w:cs="Times New Roman"/>
          <w:i/>
          <w:spacing w:val="-5"/>
          <w:kern w:val="0"/>
          <w:szCs w:val="22"/>
          <w14:ligatures w14:val="none"/>
        </w:rPr>
        <w:t xml:space="preserve"> </w:t>
      </w:r>
      <w:r w:rsidRPr="008D3090">
        <w:rPr>
          <w:rFonts w:ascii="Times New Roman" w:eastAsia="Times New Roman" w:hAnsi="Times New Roman" w:cs="Times New Roman"/>
          <w:i/>
          <w:kern w:val="0"/>
          <w:szCs w:val="22"/>
          <w14:ligatures w14:val="none"/>
        </w:rPr>
        <w:t>management:</w:t>
      </w:r>
      <w:r w:rsidRPr="008D3090">
        <w:rPr>
          <w:rFonts w:ascii="Times New Roman" w:eastAsia="Times New Roman" w:hAnsi="Times New Roman" w:cs="Times New Roman"/>
          <w:i/>
          <w:spacing w:val="-5"/>
          <w:kern w:val="0"/>
          <w:szCs w:val="22"/>
          <w14:ligatures w14:val="none"/>
        </w:rPr>
        <w:t xml:space="preserve"> </w:t>
      </w:r>
      <w:r w:rsidRPr="008D3090">
        <w:rPr>
          <w:rFonts w:ascii="Times New Roman" w:eastAsia="Times New Roman" w:hAnsi="Times New Roman" w:cs="Times New Roman"/>
          <w:i/>
          <w:kern w:val="0"/>
          <w:szCs w:val="22"/>
          <w14:ligatures w14:val="none"/>
        </w:rPr>
        <w:t>Sustainability</w:t>
      </w:r>
      <w:r w:rsidRPr="008D3090">
        <w:rPr>
          <w:rFonts w:ascii="Times New Roman" w:eastAsia="Times New Roman" w:hAnsi="Times New Roman" w:cs="Times New Roman"/>
          <w:i/>
          <w:spacing w:val="-5"/>
          <w:kern w:val="0"/>
          <w:szCs w:val="22"/>
          <w14:ligatures w14:val="none"/>
        </w:rPr>
        <w:t xml:space="preserve"> </w:t>
      </w:r>
      <w:r w:rsidRPr="008D3090">
        <w:rPr>
          <w:rFonts w:ascii="Times New Roman" w:eastAsia="Times New Roman" w:hAnsi="Times New Roman" w:cs="Times New Roman"/>
          <w:i/>
          <w:kern w:val="0"/>
          <w:szCs w:val="22"/>
          <w14:ligatures w14:val="none"/>
        </w:rPr>
        <w:t>and</w:t>
      </w:r>
      <w:r w:rsidRPr="008D3090">
        <w:rPr>
          <w:rFonts w:ascii="Times New Roman" w:eastAsia="Times New Roman" w:hAnsi="Times New Roman" w:cs="Times New Roman"/>
          <w:i/>
          <w:spacing w:val="-5"/>
          <w:kern w:val="0"/>
          <w:szCs w:val="22"/>
          <w14:ligatures w14:val="none"/>
        </w:rPr>
        <w:t xml:space="preserve"> </w:t>
      </w:r>
      <w:r w:rsidRPr="008D3090">
        <w:rPr>
          <w:rFonts w:ascii="Times New Roman" w:eastAsia="Times New Roman" w:hAnsi="Times New Roman" w:cs="Times New Roman"/>
          <w:i/>
          <w:kern w:val="0"/>
          <w:szCs w:val="22"/>
          <w14:ligatures w14:val="none"/>
        </w:rPr>
        <w:t xml:space="preserve">supply chain management </w:t>
      </w:r>
      <w:r w:rsidRPr="008D3090">
        <w:rPr>
          <w:rFonts w:ascii="Times New Roman" w:eastAsia="Times New Roman" w:hAnsi="Times New Roman" w:cs="Times New Roman"/>
          <w:kern w:val="0"/>
          <w:szCs w:val="22"/>
          <w14:ligatures w14:val="none"/>
        </w:rPr>
        <w:t>(13th ed.). Pearson Education.</w:t>
      </w:r>
    </w:p>
    <w:p w14:paraId="3FD6395D"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18638BD0" w14:textId="77777777" w:rsidR="008D3090" w:rsidRPr="008D3090" w:rsidRDefault="008D3090" w:rsidP="001A5F7B">
      <w:pPr>
        <w:widowControl w:val="0"/>
        <w:autoSpaceDE w:val="0"/>
        <w:autoSpaceDN w:val="0"/>
        <w:spacing w:after="0" w:line="240" w:lineRule="auto"/>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Kotler,</w:t>
      </w:r>
      <w:r w:rsidRPr="008D3090">
        <w:rPr>
          <w:rFonts w:ascii="Times New Roman" w:eastAsia="Times New Roman" w:hAnsi="Times New Roman" w:cs="Times New Roman"/>
          <w:spacing w:val="-6"/>
          <w:kern w:val="0"/>
          <w:szCs w:val="22"/>
          <w14:ligatures w14:val="none"/>
        </w:rPr>
        <w:t xml:space="preserve"> </w:t>
      </w:r>
      <w:r w:rsidRPr="008D3090">
        <w:rPr>
          <w:rFonts w:ascii="Times New Roman" w:eastAsia="Times New Roman" w:hAnsi="Times New Roman" w:cs="Times New Roman"/>
          <w:kern w:val="0"/>
          <w:szCs w:val="22"/>
          <w14:ligatures w14:val="none"/>
        </w:rPr>
        <w:t>P.,</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&amp;</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Keller,</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K.</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L.</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(2020).</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i/>
          <w:kern w:val="0"/>
          <w:szCs w:val="22"/>
          <w14:ligatures w14:val="none"/>
        </w:rPr>
        <w:t>Marketing</w:t>
      </w:r>
      <w:r w:rsidRPr="008D3090">
        <w:rPr>
          <w:rFonts w:ascii="Times New Roman" w:eastAsia="Times New Roman" w:hAnsi="Times New Roman" w:cs="Times New Roman"/>
          <w:i/>
          <w:spacing w:val="-4"/>
          <w:kern w:val="0"/>
          <w:szCs w:val="22"/>
          <w14:ligatures w14:val="none"/>
        </w:rPr>
        <w:t xml:space="preserve"> </w:t>
      </w:r>
      <w:r w:rsidRPr="008D3090">
        <w:rPr>
          <w:rFonts w:ascii="Times New Roman" w:eastAsia="Times New Roman" w:hAnsi="Times New Roman" w:cs="Times New Roman"/>
          <w:i/>
          <w:kern w:val="0"/>
          <w:szCs w:val="22"/>
          <w14:ligatures w14:val="none"/>
        </w:rPr>
        <w:t>management</w:t>
      </w:r>
      <w:r w:rsidRPr="008D3090">
        <w:rPr>
          <w:rFonts w:ascii="Times New Roman" w:eastAsia="Times New Roman" w:hAnsi="Times New Roman" w:cs="Times New Roman"/>
          <w:i/>
          <w:spacing w:val="-4"/>
          <w:kern w:val="0"/>
          <w:szCs w:val="22"/>
          <w14:ligatures w14:val="none"/>
        </w:rPr>
        <w:t xml:space="preserve"> </w:t>
      </w:r>
      <w:r w:rsidRPr="008D3090">
        <w:rPr>
          <w:rFonts w:ascii="Times New Roman" w:eastAsia="Times New Roman" w:hAnsi="Times New Roman" w:cs="Times New Roman"/>
          <w:kern w:val="0"/>
          <w:szCs w:val="22"/>
          <w14:ligatures w14:val="none"/>
        </w:rPr>
        <w:t>(15th</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ed.).</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Pearson</w:t>
      </w:r>
      <w:r w:rsidRPr="008D3090">
        <w:rPr>
          <w:rFonts w:ascii="Times New Roman" w:eastAsia="Times New Roman" w:hAnsi="Times New Roman" w:cs="Times New Roman"/>
          <w:spacing w:val="-3"/>
          <w:kern w:val="0"/>
          <w:szCs w:val="22"/>
          <w14:ligatures w14:val="none"/>
        </w:rPr>
        <w:t xml:space="preserve"> </w:t>
      </w:r>
      <w:r w:rsidRPr="008D3090">
        <w:rPr>
          <w:rFonts w:ascii="Times New Roman" w:eastAsia="Times New Roman" w:hAnsi="Times New Roman" w:cs="Times New Roman"/>
          <w:spacing w:val="-2"/>
          <w:kern w:val="0"/>
          <w:szCs w:val="22"/>
          <w14:ligatures w14:val="none"/>
        </w:rPr>
        <w:t>Education.</w:t>
      </w:r>
    </w:p>
    <w:p w14:paraId="3DF77B09"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5A37E541" w14:textId="77777777" w:rsidR="008D3090" w:rsidRPr="008D3090" w:rsidRDefault="008D3090" w:rsidP="001A5F7B">
      <w:pPr>
        <w:widowControl w:val="0"/>
        <w:autoSpaceDE w:val="0"/>
        <w:autoSpaceDN w:val="0"/>
        <w:spacing w:after="0" w:line="240" w:lineRule="auto"/>
        <w:ind w:right="8"/>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Ogunnaike, O. O., Kehinde, O. J., &amp; Ajao, A. A. (2020). Forecasting techniques and inventory control among small and medium-scale enterprises in Nigeria. </w:t>
      </w:r>
      <w:r w:rsidRPr="008D3090">
        <w:rPr>
          <w:rFonts w:ascii="Times New Roman" w:eastAsia="Times New Roman" w:hAnsi="Times New Roman" w:cs="Times New Roman"/>
          <w:i/>
          <w:kern w:val="0"/>
          <w:szCs w:val="22"/>
          <w14:ligatures w14:val="none"/>
        </w:rPr>
        <w:t>Journal of Business and Economic Development, 5</w:t>
      </w:r>
      <w:r w:rsidRPr="008D3090">
        <w:rPr>
          <w:rFonts w:ascii="Times New Roman" w:eastAsia="Times New Roman" w:hAnsi="Times New Roman" w:cs="Times New Roman"/>
          <w:kern w:val="0"/>
          <w:szCs w:val="22"/>
          <w14:ligatures w14:val="none"/>
        </w:rPr>
        <w:t>(3), 78–91.</w:t>
      </w:r>
    </w:p>
    <w:p w14:paraId="2D62D86A"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44152044" w14:textId="77777777" w:rsidR="008D3090" w:rsidRPr="008D3090" w:rsidRDefault="008D3090" w:rsidP="001A5F7B">
      <w:pPr>
        <w:widowControl w:val="0"/>
        <w:autoSpaceDE w:val="0"/>
        <w:autoSpaceDN w:val="0"/>
        <w:spacing w:after="0" w:line="240" w:lineRule="auto"/>
        <w:ind w:right="3"/>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 xml:space="preserve">Silver, E. A., Pyke, D. F., &amp; Peterson, R. (2017). </w:t>
      </w:r>
      <w:r w:rsidRPr="008D3090">
        <w:rPr>
          <w:rFonts w:ascii="Times New Roman" w:eastAsia="Times New Roman" w:hAnsi="Times New Roman" w:cs="Times New Roman"/>
          <w:i/>
          <w:kern w:val="0"/>
          <w:szCs w:val="22"/>
          <w14:ligatures w14:val="none"/>
        </w:rPr>
        <w:t xml:space="preserve">Inventory management and production planning and scheduling </w:t>
      </w:r>
      <w:r w:rsidRPr="008D3090">
        <w:rPr>
          <w:rFonts w:ascii="Times New Roman" w:eastAsia="Times New Roman" w:hAnsi="Times New Roman" w:cs="Times New Roman"/>
          <w:kern w:val="0"/>
          <w:szCs w:val="22"/>
          <w14:ligatures w14:val="none"/>
        </w:rPr>
        <w:t>(3rd ed.). Wiley.</w:t>
      </w:r>
    </w:p>
    <w:p w14:paraId="7983AEA9" w14:textId="77777777" w:rsidR="008D3090" w:rsidRPr="008D3090" w:rsidRDefault="008D3090" w:rsidP="001A5F7B">
      <w:pPr>
        <w:widowControl w:val="0"/>
        <w:autoSpaceDE w:val="0"/>
        <w:autoSpaceDN w:val="0"/>
        <w:spacing w:before="4" w:after="0" w:line="240" w:lineRule="auto"/>
        <w:jc w:val="both"/>
        <w:rPr>
          <w:rFonts w:ascii="Times New Roman" w:eastAsia="Times New Roman" w:hAnsi="Times New Roman" w:cs="Times New Roman"/>
          <w:kern w:val="0"/>
          <w14:ligatures w14:val="none"/>
        </w:rPr>
      </w:pPr>
    </w:p>
    <w:p w14:paraId="4BD0810E" w14:textId="77777777" w:rsidR="008D3090" w:rsidRPr="008D3090" w:rsidRDefault="008D3090" w:rsidP="001A5F7B">
      <w:pPr>
        <w:widowControl w:val="0"/>
        <w:autoSpaceDE w:val="0"/>
        <w:autoSpaceDN w:val="0"/>
        <w:spacing w:after="0" w:line="240" w:lineRule="auto"/>
        <w:ind w:right="10"/>
        <w:jc w:val="both"/>
        <w:rPr>
          <w:rFonts w:ascii="Times New Roman" w:eastAsia="Times New Roman" w:hAnsi="Times New Roman" w:cs="Times New Roman"/>
          <w:kern w:val="0"/>
          <w:szCs w:val="22"/>
          <w14:ligatures w14:val="none"/>
        </w:rPr>
      </w:pPr>
      <w:r w:rsidRPr="008D3090">
        <w:rPr>
          <w:rFonts w:ascii="Times New Roman" w:eastAsia="Times New Roman" w:hAnsi="Times New Roman" w:cs="Times New Roman"/>
          <w:kern w:val="0"/>
          <w:szCs w:val="22"/>
          <w14:ligatures w14:val="none"/>
        </w:rPr>
        <w:t>Slack,</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N.,</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Brandon-Jones,</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A.,</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&amp;</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Burgess,</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N.</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(2022).</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i/>
          <w:kern w:val="0"/>
          <w:szCs w:val="22"/>
          <w14:ligatures w14:val="none"/>
        </w:rPr>
        <w:t>Operations</w:t>
      </w:r>
      <w:r w:rsidRPr="008D3090">
        <w:rPr>
          <w:rFonts w:ascii="Times New Roman" w:eastAsia="Times New Roman" w:hAnsi="Times New Roman" w:cs="Times New Roman"/>
          <w:i/>
          <w:spacing w:val="-4"/>
          <w:kern w:val="0"/>
          <w:szCs w:val="22"/>
          <w14:ligatures w14:val="none"/>
        </w:rPr>
        <w:t xml:space="preserve"> </w:t>
      </w:r>
      <w:r w:rsidRPr="008D3090">
        <w:rPr>
          <w:rFonts w:ascii="Times New Roman" w:eastAsia="Times New Roman" w:hAnsi="Times New Roman" w:cs="Times New Roman"/>
          <w:i/>
          <w:kern w:val="0"/>
          <w:szCs w:val="22"/>
          <w14:ligatures w14:val="none"/>
        </w:rPr>
        <w:t>management</w:t>
      </w:r>
      <w:r w:rsidRPr="008D3090">
        <w:rPr>
          <w:rFonts w:ascii="Times New Roman" w:eastAsia="Times New Roman" w:hAnsi="Times New Roman" w:cs="Times New Roman"/>
          <w:i/>
          <w:spacing w:val="-4"/>
          <w:kern w:val="0"/>
          <w:szCs w:val="22"/>
          <w14:ligatures w14:val="none"/>
        </w:rPr>
        <w:t xml:space="preserve"> </w:t>
      </w:r>
      <w:r w:rsidRPr="008D3090">
        <w:rPr>
          <w:rFonts w:ascii="Times New Roman" w:eastAsia="Times New Roman" w:hAnsi="Times New Roman" w:cs="Times New Roman"/>
          <w:kern w:val="0"/>
          <w:szCs w:val="22"/>
          <w14:ligatures w14:val="none"/>
        </w:rPr>
        <w:t>(10th</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ed.).</w:t>
      </w:r>
      <w:r w:rsidRPr="008D3090">
        <w:rPr>
          <w:rFonts w:ascii="Times New Roman" w:eastAsia="Times New Roman" w:hAnsi="Times New Roman" w:cs="Times New Roman"/>
          <w:spacing w:val="-4"/>
          <w:kern w:val="0"/>
          <w:szCs w:val="22"/>
          <w14:ligatures w14:val="none"/>
        </w:rPr>
        <w:t xml:space="preserve"> </w:t>
      </w:r>
      <w:r w:rsidRPr="008D3090">
        <w:rPr>
          <w:rFonts w:ascii="Times New Roman" w:eastAsia="Times New Roman" w:hAnsi="Times New Roman" w:cs="Times New Roman"/>
          <w:kern w:val="0"/>
          <w:szCs w:val="22"/>
          <w14:ligatures w14:val="none"/>
        </w:rPr>
        <w:t xml:space="preserve">Pearson </w:t>
      </w:r>
      <w:r w:rsidRPr="008D3090">
        <w:rPr>
          <w:rFonts w:ascii="Times New Roman" w:eastAsia="Times New Roman" w:hAnsi="Times New Roman" w:cs="Times New Roman"/>
          <w:spacing w:val="-2"/>
          <w:kern w:val="0"/>
          <w:szCs w:val="22"/>
          <w14:ligatures w14:val="none"/>
        </w:rPr>
        <w:t>Education.</w:t>
      </w:r>
    </w:p>
    <w:p w14:paraId="49CF844C" w14:textId="77777777" w:rsidR="008D3090" w:rsidRDefault="008D3090" w:rsidP="00A60822">
      <w:pPr>
        <w:spacing w:after="0" w:line="240" w:lineRule="auto"/>
        <w:jc w:val="both"/>
        <w:rPr>
          <w:rFonts w:ascii="Times New Roman" w:hAnsi="Times New Roman" w:cs="Times New Roman"/>
          <w:b/>
          <w:bCs/>
          <w:sz w:val="36"/>
          <w:szCs w:val="36"/>
        </w:rPr>
      </w:pPr>
    </w:p>
    <w:p w14:paraId="2A798882" w14:textId="77777777" w:rsidR="008D3090" w:rsidRDefault="008D3090" w:rsidP="00A60822">
      <w:pPr>
        <w:spacing w:after="0" w:line="240" w:lineRule="auto"/>
        <w:jc w:val="both"/>
        <w:rPr>
          <w:rFonts w:ascii="Times New Roman" w:hAnsi="Times New Roman" w:cs="Times New Roman"/>
          <w:b/>
          <w:bCs/>
          <w:sz w:val="36"/>
          <w:szCs w:val="36"/>
        </w:rPr>
      </w:pPr>
    </w:p>
    <w:p w14:paraId="4B0F8011" w14:textId="77777777" w:rsidR="008D3090" w:rsidRDefault="008D3090" w:rsidP="00A60822">
      <w:pPr>
        <w:spacing w:after="0" w:line="240" w:lineRule="auto"/>
        <w:jc w:val="both"/>
        <w:rPr>
          <w:rFonts w:ascii="Times New Roman" w:hAnsi="Times New Roman" w:cs="Times New Roman"/>
          <w:b/>
          <w:bCs/>
          <w:sz w:val="36"/>
          <w:szCs w:val="36"/>
        </w:rPr>
      </w:pPr>
    </w:p>
    <w:p w14:paraId="19161D65" w14:textId="77777777" w:rsidR="008D3090" w:rsidRDefault="008D3090" w:rsidP="00A60822">
      <w:pPr>
        <w:spacing w:after="0" w:line="240" w:lineRule="auto"/>
        <w:jc w:val="both"/>
        <w:rPr>
          <w:rFonts w:ascii="Times New Roman" w:hAnsi="Times New Roman" w:cs="Times New Roman"/>
          <w:b/>
          <w:bCs/>
          <w:sz w:val="36"/>
          <w:szCs w:val="36"/>
        </w:rPr>
      </w:pPr>
    </w:p>
    <w:p w14:paraId="41CA82FD" w14:textId="77777777" w:rsidR="008D3090" w:rsidRDefault="008D3090" w:rsidP="00A60822">
      <w:pPr>
        <w:spacing w:after="0" w:line="240" w:lineRule="auto"/>
        <w:jc w:val="both"/>
        <w:rPr>
          <w:rFonts w:ascii="Times New Roman" w:hAnsi="Times New Roman" w:cs="Times New Roman"/>
          <w:b/>
          <w:bCs/>
          <w:sz w:val="36"/>
          <w:szCs w:val="36"/>
        </w:rPr>
      </w:pPr>
    </w:p>
    <w:p w14:paraId="2B954243" w14:textId="77777777" w:rsidR="008D3090" w:rsidRDefault="008D3090" w:rsidP="00A60822">
      <w:pPr>
        <w:spacing w:after="0" w:line="240" w:lineRule="auto"/>
        <w:jc w:val="both"/>
        <w:rPr>
          <w:rFonts w:ascii="Times New Roman" w:hAnsi="Times New Roman" w:cs="Times New Roman"/>
          <w:b/>
          <w:bCs/>
          <w:sz w:val="36"/>
          <w:szCs w:val="36"/>
        </w:rPr>
      </w:pPr>
    </w:p>
    <w:p w14:paraId="7C7E468A" w14:textId="77777777" w:rsidR="008D3090" w:rsidRDefault="008D3090" w:rsidP="00A60822">
      <w:pPr>
        <w:spacing w:after="0" w:line="240" w:lineRule="auto"/>
        <w:jc w:val="both"/>
        <w:rPr>
          <w:rFonts w:ascii="Times New Roman" w:hAnsi="Times New Roman" w:cs="Times New Roman"/>
          <w:b/>
          <w:bCs/>
          <w:sz w:val="36"/>
          <w:szCs w:val="36"/>
        </w:rPr>
      </w:pPr>
    </w:p>
    <w:p w14:paraId="29086079" w14:textId="77777777" w:rsidR="008D3090" w:rsidRDefault="008D3090" w:rsidP="00A60822">
      <w:pPr>
        <w:spacing w:after="0" w:line="240" w:lineRule="auto"/>
        <w:jc w:val="both"/>
        <w:rPr>
          <w:rFonts w:ascii="Times New Roman" w:hAnsi="Times New Roman" w:cs="Times New Roman"/>
          <w:b/>
          <w:bCs/>
          <w:sz w:val="36"/>
          <w:szCs w:val="36"/>
        </w:rPr>
      </w:pPr>
    </w:p>
    <w:p w14:paraId="13A3A3FC" w14:textId="77777777" w:rsidR="008D3090" w:rsidRDefault="008D3090" w:rsidP="00A60822">
      <w:pPr>
        <w:spacing w:after="0" w:line="240" w:lineRule="auto"/>
        <w:jc w:val="both"/>
        <w:rPr>
          <w:rFonts w:ascii="Times New Roman" w:hAnsi="Times New Roman" w:cs="Times New Roman"/>
          <w:b/>
          <w:bCs/>
          <w:sz w:val="36"/>
          <w:szCs w:val="36"/>
        </w:rPr>
      </w:pPr>
    </w:p>
    <w:p w14:paraId="48106706" w14:textId="77777777" w:rsidR="001A5F7B" w:rsidRDefault="001A5F7B" w:rsidP="008D3090">
      <w:pPr>
        <w:spacing w:line="240" w:lineRule="auto"/>
        <w:ind w:right="-138" w:hanging="284"/>
        <w:jc w:val="center"/>
        <w:rPr>
          <w:rFonts w:ascii="Times New Roman" w:eastAsia="Aptos" w:hAnsi="Times New Roman" w:cs="Times New Roman"/>
          <w:b/>
          <w:bCs/>
        </w:rPr>
      </w:pPr>
    </w:p>
    <w:p w14:paraId="04FF1EE7" w14:textId="77777777" w:rsidR="001A5F7B" w:rsidRDefault="001A5F7B" w:rsidP="008D3090">
      <w:pPr>
        <w:spacing w:line="240" w:lineRule="auto"/>
        <w:ind w:right="-138" w:hanging="284"/>
        <w:jc w:val="center"/>
        <w:rPr>
          <w:rFonts w:ascii="Times New Roman" w:eastAsia="Aptos" w:hAnsi="Times New Roman" w:cs="Times New Roman"/>
          <w:b/>
          <w:bCs/>
        </w:rPr>
      </w:pPr>
    </w:p>
    <w:p w14:paraId="2AF49647" w14:textId="77777777" w:rsidR="001A5F7B" w:rsidRDefault="001A5F7B" w:rsidP="008D3090">
      <w:pPr>
        <w:spacing w:line="240" w:lineRule="auto"/>
        <w:ind w:right="-138" w:hanging="284"/>
        <w:jc w:val="center"/>
        <w:rPr>
          <w:rFonts w:ascii="Times New Roman" w:eastAsia="Aptos" w:hAnsi="Times New Roman" w:cs="Times New Roman"/>
          <w:b/>
          <w:bCs/>
        </w:rPr>
      </w:pPr>
    </w:p>
    <w:p w14:paraId="211DFFE9" w14:textId="77777777" w:rsidR="001A5F7B" w:rsidRDefault="001A5F7B" w:rsidP="008D3090">
      <w:pPr>
        <w:spacing w:line="240" w:lineRule="auto"/>
        <w:ind w:right="-138" w:hanging="284"/>
        <w:jc w:val="center"/>
        <w:rPr>
          <w:rFonts w:ascii="Times New Roman" w:eastAsia="Aptos" w:hAnsi="Times New Roman" w:cs="Times New Roman"/>
          <w:b/>
          <w:bCs/>
        </w:rPr>
      </w:pPr>
    </w:p>
    <w:p w14:paraId="785F1D5B" w14:textId="77777777" w:rsidR="001A5F7B" w:rsidRDefault="001A5F7B" w:rsidP="008D3090">
      <w:pPr>
        <w:spacing w:line="240" w:lineRule="auto"/>
        <w:ind w:right="-138" w:hanging="284"/>
        <w:jc w:val="center"/>
        <w:rPr>
          <w:rFonts w:ascii="Times New Roman" w:eastAsia="Aptos" w:hAnsi="Times New Roman" w:cs="Times New Roman"/>
          <w:b/>
          <w:bCs/>
        </w:rPr>
      </w:pPr>
    </w:p>
    <w:p w14:paraId="4412EED9" w14:textId="77777777" w:rsidR="001A5F7B" w:rsidRDefault="001A5F7B" w:rsidP="008D3090">
      <w:pPr>
        <w:spacing w:line="240" w:lineRule="auto"/>
        <w:ind w:right="-138" w:hanging="284"/>
        <w:jc w:val="center"/>
        <w:rPr>
          <w:rFonts w:ascii="Times New Roman" w:eastAsia="Aptos" w:hAnsi="Times New Roman" w:cs="Times New Roman"/>
          <w:b/>
          <w:bCs/>
        </w:rPr>
      </w:pPr>
    </w:p>
    <w:p w14:paraId="359B96FC" w14:textId="77777777" w:rsidR="001A5F7B" w:rsidRDefault="001A5F7B" w:rsidP="008D3090">
      <w:pPr>
        <w:spacing w:line="240" w:lineRule="auto"/>
        <w:ind w:right="-138" w:hanging="284"/>
        <w:jc w:val="center"/>
        <w:rPr>
          <w:rFonts w:ascii="Times New Roman" w:eastAsia="Aptos" w:hAnsi="Times New Roman" w:cs="Times New Roman"/>
          <w:b/>
          <w:bCs/>
        </w:rPr>
      </w:pPr>
    </w:p>
    <w:p w14:paraId="5CED4B12" w14:textId="77777777" w:rsidR="001A5F7B" w:rsidRDefault="001A5F7B" w:rsidP="008D3090">
      <w:pPr>
        <w:spacing w:line="240" w:lineRule="auto"/>
        <w:ind w:right="-138" w:hanging="284"/>
        <w:jc w:val="center"/>
        <w:rPr>
          <w:rFonts w:ascii="Times New Roman" w:eastAsia="Aptos" w:hAnsi="Times New Roman" w:cs="Times New Roman"/>
          <w:b/>
          <w:bCs/>
        </w:rPr>
      </w:pPr>
    </w:p>
    <w:p w14:paraId="59FE9C7F" w14:textId="77777777" w:rsidR="001A5F7B" w:rsidRDefault="001A5F7B" w:rsidP="008D3090">
      <w:pPr>
        <w:spacing w:line="240" w:lineRule="auto"/>
        <w:ind w:right="-138" w:hanging="284"/>
        <w:jc w:val="center"/>
        <w:rPr>
          <w:rFonts w:ascii="Times New Roman" w:eastAsia="Aptos" w:hAnsi="Times New Roman" w:cs="Times New Roman"/>
          <w:b/>
          <w:bCs/>
        </w:rPr>
      </w:pPr>
    </w:p>
    <w:p w14:paraId="380AB871" w14:textId="77777777" w:rsidR="001A5F7B" w:rsidRDefault="001A5F7B" w:rsidP="008D3090">
      <w:pPr>
        <w:spacing w:line="240" w:lineRule="auto"/>
        <w:ind w:right="-138" w:hanging="284"/>
        <w:jc w:val="center"/>
        <w:rPr>
          <w:rFonts w:ascii="Times New Roman" w:eastAsia="Aptos" w:hAnsi="Times New Roman" w:cs="Times New Roman"/>
          <w:b/>
          <w:bCs/>
        </w:rPr>
      </w:pPr>
    </w:p>
    <w:p w14:paraId="0FE53FAE" w14:textId="77777777" w:rsidR="001A5F7B" w:rsidRDefault="001A5F7B" w:rsidP="008D3090">
      <w:pPr>
        <w:spacing w:line="240" w:lineRule="auto"/>
        <w:ind w:right="-138" w:hanging="284"/>
        <w:jc w:val="center"/>
        <w:rPr>
          <w:rFonts w:ascii="Times New Roman" w:eastAsia="Aptos" w:hAnsi="Times New Roman" w:cs="Times New Roman"/>
          <w:b/>
          <w:bCs/>
        </w:rPr>
      </w:pPr>
    </w:p>
    <w:p w14:paraId="765348E6" w14:textId="77777777" w:rsidR="001A5F7B" w:rsidRDefault="001A5F7B" w:rsidP="008D3090">
      <w:pPr>
        <w:spacing w:line="240" w:lineRule="auto"/>
        <w:ind w:right="-138" w:hanging="284"/>
        <w:jc w:val="center"/>
        <w:rPr>
          <w:rFonts w:ascii="Times New Roman" w:eastAsia="Aptos" w:hAnsi="Times New Roman" w:cs="Times New Roman"/>
          <w:b/>
          <w:bCs/>
        </w:rPr>
      </w:pPr>
    </w:p>
    <w:p w14:paraId="2053419C" w14:textId="77777777" w:rsidR="001A5F7B" w:rsidRDefault="001A5F7B" w:rsidP="008D3090">
      <w:pPr>
        <w:spacing w:line="240" w:lineRule="auto"/>
        <w:ind w:right="-138" w:hanging="284"/>
        <w:jc w:val="center"/>
        <w:rPr>
          <w:rFonts w:ascii="Times New Roman" w:eastAsia="Aptos" w:hAnsi="Times New Roman" w:cs="Times New Roman"/>
          <w:b/>
          <w:bCs/>
        </w:rPr>
      </w:pPr>
    </w:p>
    <w:p w14:paraId="29FF4ACA" w14:textId="77777777" w:rsidR="001A5F7B" w:rsidRDefault="001A5F7B" w:rsidP="008D3090">
      <w:pPr>
        <w:spacing w:line="240" w:lineRule="auto"/>
        <w:ind w:right="-138" w:hanging="284"/>
        <w:jc w:val="center"/>
        <w:rPr>
          <w:rFonts w:ascii="Times New Roman" w:eastAsia="Aptos" w:hAnsi="Times New Roman" w:cs="Times New Roman"/>
          <w:b/>
          <w:bCs/>
        </w:rPr>
      </w:pPr>
    </w:p>
    <w:p w14:paraId="66922EEB" w14:textId="3508B472" w:rsidR="008D3090" w:rsidRPr="008D3090" w:rsidRDefault="008D3090" w:rsidP="008D3090">
      <w:pPr>
        <w:spacing w:line="240" w:lineRule="auto"/>
        <w:ind w:right="-138" w:hanging="284"/>
        <w:jc w:val="center"/>
        <w:rPr>
          <w:rFonts w:ascii="Times New Roman" w:eastAsia="Aptos" w:hAnsi="Times New Roman" w:cs="Times New Roman"/>
          <w:b/>
          <w:bCs/>
        </w:rPr>
      </w:pPr>
      <w:r w:rsidRPr="008D3090">
        <w:rPr>
          <w:rFonts w:ascii="Times New Roman" w:eastAsia="Aptos" w:hAnsi="Times New Roman" w:cs="Times New Roman"/>
          <w:b/>
          <w:bCs/>
        </w:rPr>
        <w:lastRenderedPageBreak/>
        <w:t xml:space="preserve">Social Media, A Tool for Brand Awareness: Case Study of </w:t>
      </w:r>
      <w:proofErr w:type="spellStart"/>
      <w:r w:rsidRPr="008D3090">
        <w:rPr>
          <w:rFonts w:ascii="Times New Roman" w:eastAsia="Aptos" w:hAnsi="Times New Roman" w:cs="Times New Roman"/>
          <w:b/>
          <w:bCs/>
        </w:rPr>
        <w:t>Rennies</w:t>
      </w:r>
      <w:proofErr w:type="spellEnd"/>
      <w:r w:rsidRPr="008D3090">
        <w:rPr>
          <w:rFonts w:ascii="Times New Roman" w:eastAsia="Aptos" w:hAnsi="Times New Roman" w:cs="Times New Roman"/>
          <w:b/>
          <w:bCs/>
        </w:rPr>
        <w:t xml:space="preserve"> Speciale Catering Service (RSCS)</w:t>
      </w:r>
    </w:p>
    <w:p w14:paraId="111EEE07" w14:textId="77777777" w:rsidR="008D3090" w:rsidRPr="008D3090" w:rsidRDefault="008D3090" w:rsidP="008D3090">
      <w:pPr>
        <w:spacing w:line="240" w:lineRule="auto"/>
        <w:ind w:hanging="284"/>
        <w:jc w:val="center"/>
        <w:rPr>
          <w:rFonts w:ascii="Times New Roman" w:eastAsia="Aptos" w:hAnsi="Times New Roman" w:cs="Times New Roman"/>
        </w:rPr>
      </w:pPr>
      <w:r w:rsidRPr="008D3090">
        <w:rPr>
          <w:rFonts w:ascii="Times New Roman" w:eastAsia="Aptos" w:hAnsi="Times New Roman" w:cs="Times New Roman"/>
          <w:vertAlign w:val="superscript"/>
        </w:rPr>
        <w:t>1</w:t>
      </w:r>
      <w:r w:rsidRPr="008D3090">
        <w:rPr>
          <w:rFonts w:ascii="Times New Roman" w:eastAsia="Aptos" w:hAnsi="Times New Roman" w:cs="Times New Roman"/>
        </w:rPr>
        <w:t xml:space="preserve">Omotoyosi Williams., </w:t>
      </w:r>
      <w:r w:rsidRPr="008D3090">
        <w:rPr>
          <w:rFonts w:ascii="Times New Roman" w:eastAsia="Aptos" w:hAnsi="Times New Roman" w:cs="Times New Roman"/>
          <w:vertAlign w:val="superscript"/>
        </w:rPr>
        <w:t>2</w:t>
      </w:r>
      <w:r w:rsidRPr="008D3090">
        <w:rPr>
          <w:rFonts w:ascii="Times New Roman" w:eastAsia="Aptos" w:hAnsi="Times New Roman" w:cs="Times New Roman"/>
        </w:rPr>
        <w:t xml:space="preserve">Jiboye Temitope Favour., </w:t>
      </w:r>
      <w:r w:rsidRPr="008D3090">
        <w:rPr>
          <w:rFonts w:ascii="Times New Roman" w:eastAsia="Aptos" w:hAnsi="Times New Roman" w:cs="Times New Roman"/>
          <w:vertAlign w:val="superscript"/>
        </w:rPr>
        <w:t>2</w:t>
      </w:r>
      <w:r w:rsidRPr="008D3090">
        <w:rPr>
          <w:rFonts w:ascii="Times New Roman" w:eastAsia="Aptos" w:hAnsi="Times New Roman" w:cs="Times New Roman"/>
        </w:rPr>
        <w:t xml:space="preserve">Akinyemi Folashade Oyeyemi., </w:t>
      </w:r>
      <w:r w:rsidRPr="008D3090">
        <w:rPr>
          <w:rFonts w:ascii="Times New Roman" w:eastAsia="Aptos" w:hAnsi="Times New Roman" w:cs="Times New Roman"/>
          <w:vertAlign w:val="superscript"/>
        </w:rPr>
        <w:t>2</w:t>
      </w:r>
      <w:r w:rsidRPr="008D3090">
        <w:rPr>
          <w:rFonts w:ascii="Times New Roman" w:eastAsia="Aptos" w:hAnsi="Times New Roman" w:cs="Times New Roman"/>
        </w:rPr>
        <w:t>Opatola Mustapha.,</w:t>
      </w:r>
      <w:r w:rsidRPr="008D3090">
        <w:rPr>
          <w:rFonts w:ascii="Times New Roman" w:eastAsia="Aptos" w:hAnsi="Times New Roman" w:cs="Times New Roman"/>
          <w:vertAlign w:val="superscript"/>
        </w:rPr>
        <w:t>3</w:t>
      </w:r>
      <w:r w:rsidRPr="008D3090">
        <w:rPr>
          <w:rFonts w:ascii="Times New Roman" w:eastAsia="Aptos" w:hAnsi="Times New Roman" w:cs="Times New Roman"/>
        </w:rPr>
        <w:t xml:space="preserve">Famadewa </w:t>
      </w:r>
      <w:proofErr w:type="spellStart"/>
      <w:r w:rsidRPr="008D3090">
        <w:rPr>
          <w:rFonts w:ascii="Times New Roman" w:eastAsia="Aptos" w:hAnsi="Times New Roman" w:cs="Times New Roman"/>
        </w:rPr>
        <w:t>Adetona</w:t>
      </w:r>
      <w:proofErr w:type="spellEnd"/>
      <w:r w:rsidRPr="008D3090">
        <w:rPr>
          <w:rFonts w:ascii="Times New Roman" w:eastAsia="Aptos" w:hAnsi="Times New Roman" w:cs="Times New Roman"/>
        </w:rPr>
        <w:t xml:space="preserve"> David &amp; </w:t>
      </w:r>
      <w:r w:rsidRPr="008D3090">
        <w:rPr>
          <w:rFonts w:ascii="Times New Roman" w:eastAsia="Aptos" w:hAnsi="Times New Roman" w:cs="Times New Roman"/>
          <w:vertAlign w:val="superscript"/>
        </w:rPr>
        <w:t>3</w:t>
      </w:r>
      <w:r w:rsidRPr="008D3090">
        <w:rPr>
          <w:rFonts w:ascii="Times New Roman" w:eastAsia="Aptos" w:hAnsi="Times New Roman" w:cs="Times New Roman"/>
        </w:rPr>
        <w:t>Oyewole Kunle Augustine</w:t>
      </w:r>
    </w:p>
    <w:p w14:paraId="6A9E314C" w14:textId="77777777" w:rsidR="008D3090" w:rsidRPr="008D3090" w:rsidRDefault="008D3090" w:rsidP="008D3090">
      <w:pPr>
        <w:widowControl w:val="0"/>
        <w:numPr>
          <w:ilvl w:val="0"/>
          <w:numId w:val="54"/>
        </w:numPr>
        <w:autoSpaceDE w:val="0"/>
        <w:autoSpaceDN w:val="0"/>
        <w:spacing w:after="0" w:line="359" w:lineRule="exact"/>
        <w:contextualSpacing/>
        <w:rPr>
          <w:rFonts w:ascii="Times New Roman" w:eastAsia="Aptos" w:hAnsi="Times New Roman" w:cs="Times New Roman"/>
          <w:color w:val="000000"/>
        </w:rPr>
      </w:pPr>
      <w:r w:rsidRPr="008D3090">
        <w:rPr>
          <w:rFonts w:ascii="Times New Roman" w:eastAsia="Aptos" w:hAnsi="Times New Roman" w:cs="Times New Roman"/>
          <w:color w:val="000000"/>
        </w:rPr>
        <w:t>International Business School, Teesside University UK</w:t>
      </w:r>
    </w:p>
    <w:p w14:paraId="51D617A3" w14:textId="77777777" w:rsidR="008D3090" w:rsidRPr="008D3090" w:rsidRDefault="008D3090" w:rsidP="008D3090">
      <w:pPr>
        <w:widowControl w:val="0"/>
        <w:numPr>
          <w:ilvl w:val="0"/>
          <w:numId w:val="54"/>
        </w:numPr>
        <w:autoSpaceDE w:val="0"/>
        <w:autoSpaceDN w:val="0"/>
        <w:spacing w:after="0" w:line="359" w:lineRule="exact"/>
        <w:contextualSpacing/>
        <w:rPr>
          <w:rFonts w:ascii="Times New Roman" w:eastAsia="Aptos" w:hAnsi="Times New Roman" w:cs="Times New Roman"/>
          <w:color w:val="000000"/>
        </w:rPr>
      </w:pPr>
      <w:r w:rsidRPr="008D3090">
        <w:rPr>
          <w:rFonts w:ascii="Times New Roman" w:eastAsia="Aptos" w:hAnsi="Times New Roman" w:cs="Times New Roman"/>
          <w:color w:val="000000"/>
        </w:rPr>
        <w:t>Institute For Entrepreneurship and Development Studies Obafemi Awolowo University Ile Ife Nigeria</w:t>
      </w:r>
    </w:p>
    <w:p w14:paraId="1D5598B1" w14:textId="77777777" w:rsidR="008D3090" w:rsidRPr="008D3090" w:rsidRDefault="008D3090" w:rsidP="008D3090">
      <w:pPr>
        <w:widowControl w:val="0"/>
        <w:numPr>
          <w:ilvl w:val="0"/>
          <w:numId w:val="54"/>
        </w:numPr>
        <w:autoSpaceDE w:val="0"/>
        <w:autoSpaceDN w:val="0"/>
        <w:spacing w:after="0" w:line="359" w:lineRule="exact"/>
        <w:contextualSpacing/>
        <w:rPr>
          <w:rFonts w:ascii="Times New Roman" w:eastAsia="Aptos" w:hAnsi="Times New Roman" w:cs="Times New Roman"/>
          <w:color w:val="000000"/>
        </w:rPr>
      </w:pPr>
      <w:r w:rsidRPr="008D3090">
        <w:rPr>
          <w:rFonts w:ascii="Times New Roman" w:eastAsia="Aptos" w:hAnsi="Times New Roman" w:cs="Times New Roman"/>
          <w:color w:val="000000"/>
        </w:rPr>
        <w:t xml:space="preserve">Department of Politics and International Relations, Lead City University Ibadan </w:t>
      </w:r>
    </w:p>
    <w:p w14:paraId="77CF74EC" w14:textId="77777777" w:rsidR="008D3090" w:rsidRPr="008D3090" w:rsidRDefault="008D3090" w:rsidP="008D3090">
      <w:pPr>
        <w:spacing w:line="360" w:lineRule="auto"/>
        <w:ind w:hanging="284"/>
        <w:jc w:val="center"/>
        <w:rPr>
          <w:rFonts w:ascii="Times New Roman" w:eastAsia="Aptos" w:hAnsi="Times New Roman" w:cs="Times New Roman"/>
        </w:rPr>
      </w:pPr>
    </w:p>
    <w:p w14:paraId="6CC56B88" w14:textId="77777777" w:rsidR="008D3090" w:rsidRPr="008D3090" w:rsidRDefault="008D3090" w:rsidP="008D3090">
      <w:pPr>
        <w:spacing w:line="360" w:lineRule="auto"/>
        <w:rPr>
          <w:rFonts w:ascii="Times New Roman" w:eastAsia="Aptos" w:hAnsi="Times New Roman" w:cs="Times New Roman"/>
        </w:rPr>
      </w:pPr>
      <w:r w:rsidRPr="008D3090">
        <w:rPr>
          <w:rFonts w:ascii="Times New Roman" w:eastAsia="Aptos" w:hAnsi="Times New Roman" w:cs="Times New Roman"/>
        </w:rPr>
        <w:t xml:space="preserve">Abstract </w:t>
      </w:r>
    </w:p>
    <w:p w14:paraId="6CBB2C86" w14:textId="77777777" w:rsidR="008D3090" w:rsidRPr="008D3090" w:rsidRDefault="008D3090" w:rsidP="008D3090">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This research explores the role of social media as a tool for brand awareness, focusing on the case study of </w:t>
      </w:r>
      <w:proofErr w:type="spellStart"/>
      <w:r w:rsidRPr="008D3090">
        <w:rPr>
          <w:rFonts w:ascii="Times New Roman" w:eastAsia="Aptos" w:hAnsi="Times New Roman" w:cs="Times New Roman"/>
        </w:rPr>
        <w:t>Rennies</w:t>
      </w:r>
      <w:proofErr w:type="spellEnd"/>
      <w:r w:rsidRPr="008D3090">
        <w:rPr>
          <w:rFonts w:ascii="Times New Roman" w:eastAsia="Aptos" w:hAnsi="Times New Roman" w:cs="Times New Roman"/>
        </w:rPr>
        <w:t xml:space="preserve"> Speciale Catering Service (RSCS). In today's digital era, social media platforms have emerged as powerful channels for businesses to enhance their brand visibility and engage with their target audience. However, the effective utilization of social media for brand awareness requires a strategic approach tailored to the specific business and industry context. This research adopts an inductive approach, employing qualitative data from secondary sources and content data analysis tools. The primary focus is on evaluating the effectiveness of different tactics employed by RSCS on various social media platforms. Additionally, a thorough competitor analysis is conducted, utilizing the PEST and SWOT frameworks, to examine the strategies implemented by RSCS's competitors in order to enhance their brand awareness. Through a systematic examination of RSCS's competitors and their social media practices, the research identified successful strategies and practices that contribute to brand awareness. The findings from the analysis informed the recommendations provided to RSCS, enabling the brand to enhance its competitive advantage and strengthen its position in the market.</w:t>
      </w:r>
    </w:p>
    <w:p w14:paraId="63A81513" w14:textId="77777777" w:rsidR="008D3090" w:rsidRPr="008D3090" w:rsidRDefault="008D3090" w:rsidP="008D3090">
      <w:pPr>
        <w:spacing w:line="360" w:lineRule="auto"/>
        <w:jc w:val="both"/>
        <w:rPr>
          <w:rFonts w:ascii="Times New Roman" w:eastAsia="Aptos" w:hAnsi="Times New Roman" w:cs="Times New Roman"/>
        </w:rPr>
      </w:pPr>
      <w:r w:rsidRPr="008D3090">
        <w:rPr>
          <w:rFonts w:ascii="Times New Roman" w:eastAsia="Aptos" w:hAnsi="Times New Roman" w:cs="Times New Roman"/>
          <w:b/>
          <w:bCs/>
        </w:rPr>
        <w:t xml:space="preserve">Keywords: </w:t>
      </w:r>
      <w:r w:rsidRPr="008D3090">
        <w:rPr>
          <w:rFonts w:ascii="Times New Roman" w:eastAsia="Aptos" w:hAnsi="Times New Roman" w:cs="Times New Roman"/>
        </w:rPr>
        <w:t>Social Media, Brand Awareness, Digital Marketing, Hospitality, Catering Services</w:t>
      </w:r>
    </w:p>
    <w:p w14:paraId="46DC6373"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Introduction</w:t>
      </w:r>
    </w:p>
    <w:p w14:paraId="0FE0025B"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In contemporary society, social media is perceived as more than just a technological platform, as it holds various meanings for different individuals (Pratiwi, 2021). To some, it is viewed as a medium for the </w:t>
      </w:r>
      <w:proofErr w:type="spellStart"/>
      <w:r w:rsidRPr="008D3090">
        <w:rPr>
          <w:rFonts w:ascii="Times New Roman" w:eastAsia="Aptos" w:hAnsi="Times New Roman" w:cs="Times New Roman"/>
        </w:rPr>
        <w:t>socialisation</w:t>
      </w:r>
      <w:proofErr w:type="spellEnd"/>
      <w:r w:rsidRPr="008D3090">
        <w:rPr>
          <w:rFonts w:ascii="Times New Roman" w:eastAsia="Aptos" w:hAnsi="Times New Roman" w:cs="Times New Roman"/>
        </w:rPr>
        <w:t xml:space="preserve"> that enable conversations, connections between friends and peers, an opportunity and privilege that fosters compassion by sharing experiences, observations, opinions, news, and insights or for influencers, a platform for collaborations, and the redistribution of influence (Solis, 2010). Due to the multifaceted nature of social media and its diverse meanings for individuals, targeting potential audiences who are more likely to engage with RSCS brand online can be a significant challenge. </w:t>
      </w:r>
    </w:p>
    <w:p w14:paraId="1FC70CCA"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This research paper highlights the importance of social media as a promotional tool for business. The study mainly investigates the influence of social media as a brand awareness tool, focusing on </w:t>
      </w:r>
      <w:proofErr w:type="spellStart"/>
      <w:r w:rsidRPr="008D3090">
        <w:rPr>
          <w:rFonts w:ascii="Times New Roman" w:eastAsia="Aptos" w:hAnsi="Times New Roman" w:cs="Times New Roman"/>
        </w:rPr>
        <w:t>Rennies</w:t>
      </w:r>
      <w:proofErr w:type="spellEnd"/>
      <w:r w:rsidRPr="008D3090">
        <w:rPr>
          <w:rFonts w:ascii="Times New Roman" w:eastAsia="Aptos" w:hAnsi="Times New Roman" w:cs="Times New Roman"/>
        </w:rPr>
        <w:t xml:space="preserve"> Speciale Catering Service (RSCS), the </w:t>
      </w:r>
      <w:proofErr w:type="gramStart"/>
      <w:r w:rsidRPr="008D3090">
        <w:rPr>
          <w:rFonts w:ascii="Times New Roman" w:eastAsia="Aptos" w:hAnsi="Times New Roman" w:cs="Times New Roman"/>
        </w:rPr>
        <w:t>ever changing</w:t>
      </w:r>
      <w:proofErr w:type="gramEnd"/>
      <w:r w:rsidRPr="008D3090">
        <w:rPr>
          <w:rFonts w:ascii="Times New Roman" w:eastAsia="Aptos" w:hAnsi="Times New Roman" w:cs="Times New Roman"/>
        </w:rPr>
        <w:t xml:space="preserve"> market scenario of the industry, along with the rise in competition which demands flexible ways of marketing. One is social media which allows for reaching a more comprehensive range of audiences (Lau, 2020). The growth of </w:t>
      </w:r>
      <w:r w:rsidRPr="008D3090">
        <w:rPr>
          <w:rFonts w:ascii="Times New Roman" w:eastAsia="Aptos" w:hAnsi="Times New Roman" w:cs="Times New Roman"/>
        </w:rPr>
        <w:lastRenderedPageBreak/>
        <w:t xml:space="preserve">social media this last decade has been well experienced through its explosive coverage that extends far and beyond international borders. Consideration of social media platforms as brand awareness tools tackling cultural issues reaches people vastly with the application of appropriate content (Arya, Paul, and Sethi, 2022). </w:t>
      </w:r>
    </w:p>
    <w:p w14:paraId="32426FE9"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The study focuses on the influence of social media as a brand awareness strategy for the RSCS, with an emphasis on detail-oriented evaluation. In recent times, there has been a notable shift from physical gatherings towards virtual, with people increasingly choosing to interact with each other and conduct their activities through digital platforms. Access to the Internet facilitating social media has become a common ground for major and mass meets (</w:t>
      </w:r>
      <w:proofErr w:type="spellStart"/>
      <w:r w:rsidRPr="008D3090">
        <w:rPr>
          <w:rFonts w:ascii="Times New Roman" w:eastAsia="Aptos" w:hAnsi="Times New Roman" w:cs="Times New Roman"/>
        </w:rPr>
        <w:t>Tanford</w:t>
      </w:r>
      <w:proofErr w:type="spellEnd"/>
      <w:r w:rsidRPr="008D3090">
        <w:rPr>
          <w:rFonts w:ascii="Times New Roman" w:eastAsia="Aptos" w:hAnsi="Times New Roman" w:cs="Times New Roman"/>
        </w:rPr>
        <w:t xml:space="preserve">, Kim, and Kim, 2020). Social media can be a smart choice to magnify brand awareness and marketing promotion. With respect to that, this study has chosen to explore the same and carry out detailed research of online platforms as the tool for brand awareness correlated to RSCS. Thus, the aim of this research is to understand the most effective social media strategies employed by RSCS </w:t>
      </w:r>
    </w:p>
    <w:p w14:paraId="0BB5DD19"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Literature Review</w:t>
      </w:r>
    </w:p>
    <w:p w14:paraId="5AEFCE83"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 xml:space="preserve">Significance of Enhancing Brand Awareness for Companies </w:t>
      </w:r>
    </w:p>
    <w:p w14:paraId="3CD26DE7"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Increasing brand awareness involves promoting a company's products or services to the market and consumers. </w:t>
      </w:r>
      <w:proofErr w:type="spellStart"/>
      <w:r w:rsidRPr="008D3090">
        <w:rPr>
          <w:rFonts w:ascii="Times New Roman" w:eastAsia="Aptos" w:hAnsi="Times New Roman" w:cs="Times New Roman"/>
        </w:rPr>
        <w:t>Foroudi's</w:t>
      </w:r>
      <w:proofErr w:type="spellEnd"/>
      <w:r w:rsidRPr="008D3090">
        <w:rPr>
          <w:rFonts w:ascii="Times New Roman" w:eastAsia="Aptos" w:hAnsi="Times New Roman" w:cs="Times New Roman"/>
        </w:rPr>
        <w:t xml:space="preserve"> (2019) research highlights the crucial role of brand identity, which encompasses a distinct brand personality that effectively communicates the brand image to the market. The primary objective of branding is to generate a positive response from customers or consumers (Kohli, Suri and Kapoor, 2015). According to Aaker (2002), a positive brand reputation adds value to a company's operations and its stakeholders. To gain a competitive edge in its industry, a company should </w:t>
      </w:r>
      <w:proofErr w:type="spellStart"/>
      <w:r w:rsidRPr="008D3090">
        <w:rPr>
          <w:rFonts w:ascii="Times New Roman" w:eastAsia="Aptos" w:hAnsi="Times New Roman" w:cs="Times New Roman"/>
        </w:rPr>
        <w:t>prioritise</w:t>
      </w:r>
      <w:proofErr w:type="spellEnd"/>
      <w:r w:rsidRPr="008D3090">
        <w:rPr>
          <w:rFonts w:ascii="Times New Roman" w:eastAsia="Aptos" w:hAnsi="Times New Roman" w:cs="Times New Roman"/>
        </w:rPr>
        <w:t xml:space="preserve"> increasing brand awareness among its customers. Building brand recognition can foster a sense of trust among customers, enabling them to easily identify and comprehend a company's products or services (Kapferer, 2012). As a result, this can lead to the development of brand equity, which further strengthens a company's competitive position in the market. In the current market environment, where the market is gradually shifting to a virtual framework, social media has emerged as one of the significant tools in brand awareness marketing (González-Mansilla, Berenguer-</w:t>
      </w:r>
      <w:proofErr w:type="spellStart"/>
      <w:r w:rsidRPr="008D3090">
        <w:rPr>
          <w:rFonts w:ascii="Times New Roman" w:eastAsia="Aptos" w:hAnsi="Times New Roman" w:cs="Times New Roman"/>
        </w:rPr>
        <w:t>Contrí</w:t>
      </w:r>
      <w:proofErr w:type="spellEnd"/>
      <w:r w:rsidRPr="008D3090">
        <w:rPr>
          <w:rFonts w:ascii="Times New Roman" w:eastAsia="Aptos" w:hAnsi="Times New Roman" w:cs="Times New Roman"/>
        </w:rPr>
        <w:t>, and Serra-</w:t>
      </w:r>
      <w:proofErr w:type="spellStart"/>
      <w:r w:rsidRPr="008D3090">
        <w:rPr>
          <w:rFonts w:ascii="Times New Roman" w:eastAsia="Aptos" w:hAnsi="Times New Roman" w:cs="Times New Roman"/>
        </w:rPr>
        <w:t>Cantallops</w:t>
      </w:r>
      <w:proofErr w:type="spellEnd"/>
      <w:r w:rsidRPr="008D3090">
        <w:rPr>
          <w:rFonts w:ascii="Times New Roman" w:eastAsia="Aptos" w:hAnsi="Times New Roman" w:cs="Times New Roman"/>
        </w:rPr>
        <w:t xml:space="preserve">, 2019). It is evident that more of the audience can be covered via social platforms, which ultimately leads to driving sales. Brand awareness via social media, if efficiently conducted, can generate loyalty among existing consumers as well as attract new customers. With respect to the findings of Cham et al. (2020), the signature of any hospitality service provider, which is its brand reputation, is the main element that attracts customers. For small and medium-sized hospitality brands looking to expand their operations, </w:t>
      </w:r>
      <w:proofErr w:type="spellStart"/>
      <w:r w:rsidRPr="008D3090">
        <w:rPr>
          <w:rFonts w:ascii="Times New Roman" w:eastAsia="Aptos" w:hAnsi="Times New Roman" w:cs="Times New Roman"/>
        </w:rPr>
        <w:t>prioritising</w:t>
      </w:r>
      <w:proofErr w:type="spellEnd"/>
      <w:r w:rsidRPr="008D3090">
        <w:rPr>
          <w:rFonts w:ascii="Times New Roman" w:eastAsia="Aptos" w:hAnsi="Times New Roman" w:cs="Times New Roman"/>
        </w:rPr>
        <w:t xml:space="preserve"> brand awareness is crucial to their success. By increasing their brand awareness using social media platforms, these brands can improve their visibility and make it easier for potential customers to discover their services. In addition, customer trust and loyalty play a critical role in driving revenue and growth for businesses operating within the broader hospitality industry, including catering services. Maintaining a positive brand image is particularly important as satisfied customers are more likely to recommend the brand to others, leading to increased referrals and new business opportunities. Therefore, building a strong brand identity and reputation is essential for establishing trust and loyalty among customers and driving sustainable growth over the long term. As a premium catering company operating within the Nigerian hospitality industry, RSCS aims to expand the distribution of its unique products throughout the country. To achieve this goal, the company </w:t>
      </w:r>
      <w:proofErr w:type="spellStart"/>
      <w:r w:rsidRPr="008D3090">
        <w:rPr>
          <w:rFonts w:ascii="Times New Roman" w:eastAsia="Aptos" w:hAnsi="Times New Roman" w:cs="Times New Roman"/>
        </w:rPr>
        <w:t>recognises</w:t>
      </w:r>
      <w:proofErr w:type="spellEnd"/>
      <w:r w:rsidRPr="008D3090">
        <w:rPr>
          <w:rFonts w:ascii="Times New Roman" w:eastAsia="Aptos" w:hAnsi="Times New Roman" w:cs="Times New Roman"/>
        </w:rPr>
        <w:t xml:space="preserve"> the importance of effective communication </w:t>
      </w:r>
      <w:r w:rsidRPr="008D3090">
        <w:rPr>
          <w:rFonts w:ascii="Times New Roman" w:eastAsia="Aptos" w:hAnsi="Times New Roman" w:cs="Times New Roman"/>
        </w:rPr>
        <w:lastRenderedPageBreak/>
        <w:t xml:space="preserve">with its target customers and leverages on social media platforms to establish a strong online presence and engage with potential customers in a cost effective and efficient manner. </w:t>
      </w:r>
    </w:p>
    <w:p w14:paraId="6FCF097D"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 xml:space="preserve">Methods Used by Global Hospitality Companies to Gain Brand Awareness Through Social Media </w:t>
      </w:r>
    </w:p>
    <w:p w14:paraId="74ABE0B1"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Over the years, there has been a rise in the number of enterprises in both the public and private sectors that have adopted social media as a tool to advertise their brands. Considering the potential benefit social media provides, which ranges from economic benefit to easy accessibility (Sigala and </w:t>
      </w:r>
      <w:proofErr w:type="spellStart"/>
      <w:r w:rsidRPr="008D3090">
        <w:rPr>
          <w:rFonts w:ascii="Times New Roman" w:eastAsia="Aptos" w:hAnsi="Times New Roman" w:cs="Times New Roman"/>
        </w:rPr>
        <w:t>Gretzel</w:t>
      </w:r>
      <w:proofErr w:type="spellEnd"/>
      <w:r w:rsidRPr="008D3090">
        <w:rPr>
          <w:rFonts w:ascii="Times New Roman" w:eastAsia="Aptos" w:hAnsi="Times New Roman" w:cs="Times New Roman"/>
        </w:rPr>
        <w:t xml:space="preserve">, 2017), hospitality companies are now adopting various methods to establish and maintain brand recognition through social media. Some of these measures include: </w:t>
      </w:r>
    </w:p>
    <w:p w14:paraId="00D7CFE1"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Content Creation: Social media platforms, such as Instagram, Twitter, and Facebook, offer a viable channel for global hospitality and catering companies to showcase their brand and interact with their audience, which is effective in increasing brand awareness and building a strong brand identity. Brands create engaging content, such as short videos, memes, online ads, infographics, or links for detailed information, that resonates with their target audience. According to Kietzmann et al. (2011), relevant, interesting, and informative content can attract and retain customers on social media platforms. Successful examples of such companies include Marriott International and Hilton Worldwide, who have used engaging content on their social media platforms to gain brand awareness.</w:t>
      </w:r>
    </w:p>
    <w:p w14:paraId="724E9BAA"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 Market Research and Development: The hospitality industry requires continuous touch with the ever-changing market environment and identifying 10 the preferences of customers. Social media allows access to the opinions, ideas, and unprompted feelings of its users. The study by Lau (2020) states that service providers or any business, in general, take these public opinions into account to shape their operations so as to provide the highest level of customer satisfaction. This form of research and development provides data on a huge scale for researchers to </w:t>
      </w:r>
      <w:proofErr w:type="spellStart"/>
      <w:r w:rsidRPr="008D3090">
        <w:rPr>
          <w:rFonts w:ascii="Times New Roman" w:eastAsia="Aptos" w:hAnsi="Times New Roman" w:cs="Times New Roman"/>
        </w:rPr>
        <w:t>analyse</w:t>
      </w:r>
      <w:proofErr w:type="spellEnd"/>
      <w:r w:rsidRPr="008D3090">
        <w:rPr>
          <w:rFonts w:ascii="Times New Roman" w:eastAsia="Aptos" w:hAnsi="Times New Roman" w:cs="Times New Roman"/>
        </w:rPr>
        <w:t>, allowing an unbiased and better understanding of the latest market demand. The improvement in the areas where services are lacking is also made by the global hospitality companies through feedback from social media.</w:t>
      </w:r>
    </w:p>
    <w:p w14:paraId="4CB6BA0D"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 </w:t>
      </w:r>
      <w:proofErr w:type="spellStart"/>
      <w:r w:rsidRPr="008D3090">
        <w:rPr>
          <w:rFonts w:ascii="Times New Roman" w:eastAsia="Aptos" w:hAnsi="Times New Roman" w:cs="Times New Roman"/>
        </w:rPr>
        <w:t>Personalised</w:t>
      </w:r>
      <w:proofErr w:type="spellEnd"/>
      <w:r w:rsidRPr="008D3090">
        <w:rPr>
          <w:rFonts w:ascii="Times New Roman" w:eastAsia="Aptos" w:hAnsi="Times New Roman" w:cs="Times New Roman"/>
        </w:rPr>
        <w:t xml:space="preserve"> Paid Ads: </w:t>
      </w:r>
      <w:proofErr w:type="spellStart"/>
      <w:r w:rsidRPr="008D3090">
        <w:rPr>
          <w:rFonts w:ascii="Times New Roman" w:eastAsia="Aptos" w:hAnsi="Times New Roman" w:cs="Times New Roman"/>
        </w:rPr>
        <w:t>Personalised</w:t>
      </w:r>
      <w:proofErr w:type="spellEnd"/>
      <w:r w:rsidRPr="008D3090">
        <w:rPr>
          <w:rFonts w:ascii="Times New Roman" w:eastAsia="Aptos" w:hAnsi="Times New Roman" w:cs="Times New Roman"/>
        </w:rPr>
        <w:t xml:space="preserve"> marketing strategies are adopted on social media to target specific audiences. This involves tailoring marketing messages to specific individuals or groups based on their interests, </w:t>
      </w:r>
      <w:proofErr w:type="spellStart"/>
      <w:r w:rsidRPr="008D3090">
        <w:rPr>
          <w:rFonts w:ascii="Times New Roman" w:eastAsia="Aptos" w:hAnsi="Times New Roman" w:cs="Times New Roman"/>
        </w:rPr>
        <w:t>behaviours</w:t>
      </w:r>
      <w:proofErr w:type="spellEnd"/>
      <w:r w:rsidRPr="008D3090">
        <w:rPr>
          <w:rFonts w:ascii="Times New Roman" w:eastAsia="Aptos" w:hAnsi="Times New Roman" w:cs="Times New Roman"/>
        </w:rPr>
        <w:t xml:space="preserve">, and demographics. Global hospitality and catering companies </w:t>
      </w:r>
      <w:proofErr w:type="spellStart"/>
      <w:r w:rsidRPr="008D3090">
        <w:rPr>
          <w:rFonts w:ascii="Times New Roman" w:eastAsia="Aptos" w:hAnsi="Times New Roman" w:cs="Times New Roman"/>
        </w:rPr>
        <w:t>utilise</w:t>
      </w:r>
      <w:proofErr w:type="spellEnd"/>
      <w:r w:rsidRPr="008D3090">
        <w:rPr>
          <w:rFonts w:ascii="Times New Roman" w:eastAsia="Aptos" w:hAnsi="Times New Roman" w:cs="Times New Roman"/>
        </w:rPr>
        <w:t xml:space="preserve"> paid social media advertising to increase their chances of reaching specific audiences. According to Jorge-Acain (2022), paid social media advertising can increase the visibility of a brand and target specific demographics. </w:t>
      </w:r>
      <w:proofErr w:type="spellStart"/>
      <w:r w:rsidRPr="008D3090">
        <w:rPr>
          <w:rFonts w:ascii="Times New Roman" w:eastAsia="Aptos" w:hAnsi="Times New Roman" w:cs="Times New Roman"/>
        </w:rPr>
        <w:t>Personalised</w:t>
      </w:r>
      <w:proofErr w:type="spellEnd"/>
      <w:r w:rsidRPr="008D3090">
        <w:rPr>
          <w:rFonts w:ascii="Times New Roman" w:eastAsia="Aptos" w:hAnsi="Times New Roman" w:cs="Times New Roman"/>
        </w:rPr>
        <w:t xml:space="preserve"> marketing may raise brand awareness and client engagement, according to research by Fekete Farkas, Victor, and Nathan (2021).</w:t>
      </w:r>
    </w:p>
    <w:p w14:paraId="190C5C51"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 Influencer Marketing: Another method used by global hospitality and catering companies is influencer marketing. This involves partnering with social media influencers who have a large following to promote their products and services. The use of influencers has been shown to increase brand awareness and improve customer engagement on social media (Chee and Lian, 2019). For example, in 2019, Accor Hotels partnered with famous Instagram influencers to promote their new luxury hotel brand, Mondrian, on social media (Accor – Newsroom | Asia &amp; Pacific, 2019). </w:t>
      </w:r>
    </w:p>
    <w:p w14:paraId="0A3E4FDE"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lastRenderedPageBreak/>
        <w:t xml:space="preserve">Challenges Faced by Global Hospitality Companies When Implementing Social Media for Brand Awareness </w:t>
      </w:r>
    </w:p>
    <w:p w14:paraId="138AB338"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There has been an existence of numerous literature reviews that highlight the advantages of social media as a promotional tool, especially when hospitality companies that operate globally are concerned. However, relating to the study of </w:t>
      </w:r>
      <w:proofErr w:type="spellStart"/>
      <w:r w:rsidRPr="008D3090">
        <w:rPr>
          <w:rFonts w:ascii="Times New Roman" w:eastAsia="Aptos" w:hAnsi="Times New Roman" w:cs="Times New Roman"/>
        </w:rPr>
        <w:t>Syaifullah</w:t>
      </w:r>
      <w:proofErr w:type="spellEnd"/>
      <w:r w:rsidRPr="008D3090">
        <w:rPr>
          <w:rFonts w:ascii="Times New Roman" w:eastAsia="Aptos" w:hAnsi="Times New Roman" w:cs="Times New Roman"/>
        </w:rPr>
        <w:t xml:space="preserve"> et al. (2021), it seems social media has its own issues silently faced by the service provider brands. Some of the major issues faced by hospitality companies while conducting brand recognition campaigns through social media platforms are as follows: </w:t>
      </w:r>
    </w:p>
    <w:p w14:paraId="4B0A2E54"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 Demographics Limitations: Although social media guarantees to reach many people on a global scale, there are moderate yet important parts of the rural section of the world where social media fails to reach, while other traditional forms of brand awareness tools such as newspaper, word of mouth and television ads have access to. Concerning the results of Kushwaha et al. (2020), it has been found that senior age distribution in a country’s demography has less to no idea of how to use social media platforms which makes them deprived of the brand identity of hospitality services. Targeting the senior age group audience in Nigeria through social media for catering services may present certain challenges due to the demographics of the audience. As this group may not be as active on social media platforms, it may be difficult to effectively reach and engage with them through these channels. </w:t>
      </w:r>
    </w:p>
    <w:p w14:paraId="60A03530"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Negative Customer Feedback: The potential for negative customer feedback to spread quickly and impact potential customers' buying decisions is a significant challenge for hospitality and catering companies leveraging social media for brand awareness. According to Moslehpour et al. (2021), the focus on sales and the tendency to base strategies on platform-specific trends, rather than elevating overall performance, can hinder growth and development. Due to the fast pace of social media, negative feedback can quickly spread, leading to a loss of potential customers and damaged brand reputation. Over-reliance On Social Media Branding: According to Kohli, Suri and Kapoor (2015), branding based only on heavy messaging from marketers without the understanding of customers' real-life needs and expectations will not work. Social media branding can sometimes exaggerate the company's engagement with customers, leading to unrealistic expectations from customers. This can result in a generation of negative responses, which can further damage the brand's reputation. Thus, it is crucial for companies to ensure that their social media branding aligns with their actual service offerings to avoid negative customer experiences. </w:t>
      </w:r>
    </w:p>
    <w:p w14:paraId="7D25691F"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 xml:space="preserve">Literature Gap </w:t>
      </w:r>
    </w:p>
    <w:p w14:paraId="1F3EBFAD"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Various researchers have extensively studied the role of social media as a brand name promoter for hospitality companies (Icha and Agwu, 2015; Verma and Verma 2018; Hays, Page and </w:t>
      </w:r>
      <w:proofErr w:type="spellStart"/>
      <w:r w:rsidRPr="008D3090">
        <w:rPr>
          <w:rFonts w:ascii="Times New Roman" w:eastAsia="Aptos" w:hAnsi="Times New Roman" w:cs="Times New Roman"/>
        </w:rPr>
        <w:t>Buhalis</w:t>
      </w:r>
      <w:proofErr w:type="spellEnd"/>
      <w:r w:rsidRPr="008D3090">
        <w:rPr>
          <w:rFonts w:ascii="Times New Roman" w:eastAsia="Aptos" w:hAnsi="Times New Roman" w:cs="Times New Roman"/>
        </w:rPr>
        <w:t xml:space="preserve"> 2013). However, there exists a literature gap in investigating the effectiveness of social media in promoting catering services within the hospitality industry in Nigeria. Nigeria has over 33 million active social media users, making it the largest social media market in Africa (Kemp, 2021). The catering business in Nigeria continues to thrive, with a projected growth rate of 9.8% between 2020 and 2025 due to </w:t>
      </w:r>
      <w:proofErr w:type="spellStart"/>
      <w:r w:rsidRPr="008D3090">
        <w:rPr>
          <w:rFonts w:ascii="Times New Roman" w:eastAsia="Aptos" w:hAnsi="Times New Roman" w:cs="Times New Roman"/>
        </w:rPr>
        <w:t>urbanisation</w:t>
      </w:r>
      <w:proofErr w:type="spellEnd"/>
      <w:r w:rsidRPr="008D3090">
        <w:rPr>
          <w:rFonts w:ascii="Times New Roman" w:eastAsia="Aptos" w:hAnsi="Times New Roman" w:cs="Times New Roman"/>
        </w:rPr>
        <w:t xml:space="preserve"> and changing lifestyles as a result of the recent pandemic (</w:t>
      </w:r>
      <w:proofErr w:type="spellStart"/>
      <w:r w:rsidRPr="008D3090">
        <w:rPr>
          <w:rFonts w:ascii="Times New Roman" w:eastAsia="Aptos" w:hAnsi="Times New Roman" w:cs="Times New Roman"/>
        </w:rPr>
        <w:t>Boluwade</w:t>
      </w:r>
      <w:proofErr w:type="spellEnd"/>
      <w:r w:rsidRPr="008D3090">
        <w:rPr>
          <w:rFonts w:ascii="Times New Roman" w:eastAsia="Aptos" w:hAnsi="Times New Roman" w:cs="Times New Roman"/>
        </w:rPr>
        <w:t xml:space="preserve"> and Smith, 2022). Many food delivery brands, such as Jumia Food and </w:t>
      </w:r>
      <w:proofErr w:type="spellStart"/>
      <w:r w:rsidRPr="008D3090">
        <w:rPr>
          <w:rFonts w:ascii="Times New Roman" w:eastAsia="Aptos" w:hAnsi="Times New Roman" w:cs="Times New Roman"/>
        </w:rPr>
        <w:t>Eat'N'Go</w:t>
      </w:r>
      <w:proofErr w:type="spellEnd"/>
      <w:r w:rsidRPr="008D3090">
        <w:rPr>
          <w:rFonts w:ascii="Times New Roman" w:eastAsia="Aptos" w:hAnsi="Times New Roman" w:cs="Times New Roman"/>
        </w:rPr>
        <w:t xml:space="preserve">, have effectively used social media to enhance brand exposure and reach new clients. This confluence of circumstances makes Nigeria an intriguing case study for research. As a result, it is essential to perform a comprehensive evaluation of social media branding and its influence on the profitability of catering services particularly in Nigeria. </w:t>
      </w:r>
    </w:p>
    <w:p w14:paraId="454C1B9A" w14:textId="77777777" w:rsidR="008D3090" w:rsidRPr="008D3090" w:rsidRDefault="008D3090" w:rsidP="001A5F7B">
      <w:pPr>
        <w:spacing w:line="240" w:lineRule="auto"/>
        <w:jc w:val="both"/>
        <w:rPr>
          <w:rFonts w:ascii="Times New Roman" w:eastAsia="Aptos" w:hAnsi="Times New Roman" w:cs="Times New Roman"/>
        </w:rPr>
      </w:pPr>
    </w:p>
    <w:p w14:paraId="13CBAEED"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rPr>
        <w:t xml:space="preserve"> </w:t>
      </w:r>
      <w:r w:rsidRPr="008D3090">
        <w:rPr>
          <w:rFonts w:ascii="Times New Roman" w:eastAsia="Aptos" w:hAnsi="Times New Roman" w:cs="Times New Roman"/>
          <w:b/>
          <w:bCs/>
        </w:rPr>
        <w:t xml:space="preserve">Research Methodology </w:t>
      </w:r>
    </w:p>
    <w:p w14:paraId="5B3FF6BD" w14:textId="288ADC26"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5584" behindDoc="1" locked="0" layoutInCell="1" allowOverlap="1" wp14:anchorId="71DCE760" wp14:editId="0D2D8573">
            <wp:simplePos x="0" y="0"/>
            <wp:positionH relativeFrom="margin">
              <wp:posOffset>691978</wp:posOffset>
            </wp:positionH>
            <wp:positionV relativeFrom="page">
              <wp:posOffset>1285103</wp:posOffset>
            </wp:positionV>
            <wp:extent cx="4513580" cy="2825578"/>
            <wp:effectExtent l="0" t="0" r="1270" b="0"/>
            <wp:wrapNone/>
            <wp:docPr id="16906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4533059" cy="2837772"/>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Research Onion Figure 1: Research Onion (Source: Saunders, Lewis, and Thornhill, 2007) </w:t>
      </w:r>
    </w:p>
    <w:p w14:paraId="3FE99C08"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The research onion above presents every single stage through which research is completed. The </w:t>
      </w:r>
      <w:proofErr w:type="spellStart"/>
      <w:r w:rsidRPr="008D3090">
        <w:rPr>
          <w:rFonts w:ascii="Times New Roman" w:eastAsia="Aptos" w:hAnsi="Times New Roman" w:cs="Times New Roman"/>
        </w:rPr>
        <w:t>centre</w:t>
      </w:r>
      <w:proofErr w:type="spellEnd"/>
      <w:r w:rsidRPr="008D3090">
        <w:rPr>
          <w:rFonts w:ascii="Times New Roman" w:eastAsia="Aptos" w:hAnsi="Times New Roman" w:cs="Times New Roman"/>
        </w:rPr>
        <w:t xml:space="preserve"> layer of the onion represents the most important stage where techniques and procedures in which certain research is conducted. It is followed by consecutive inner layers indicating “time horizon”, “research choices”, and “research strategies”, while the two outer layers depict “research approaches” and “research philosophy” (Saunders, Lewis, and Thornhill, 2007). The researcher will follow the research onion, selecting suitable methods necessary to reach the aims and objectives of the chosen investigation topic. </w:t>
      </w:r>
    </w:p>
    <w:p w14:paraId="0013C3EA"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The research methodology for this investigation involves the </w:t>
      </w:r>
      <w:proofErr w:type="spellStart"/>
      <w:r w:rsidRPr="008D3090">
        <w:rPr>
          <w:rFonts w:ascii="Times New Roman" w:eastAsia="Aptos" w:hAnsi="Times New Roman" w:cs="Times New Roman"/>
        </w:rPr>
        <w:t>utilisation</w:t>
      </w:r>
      <w:proofErr w:type="spellEnd"/>
      <w:r w:rsidRPr="008D3090">
        <w:rPr>
          <w:rFonts w:ascii="Times New Roman" w:eastAsia="Aptos" w:hAnsi="Times New Roman" w:cs="Times New Roman"/>
        </w:rPr>
        <w:t xml:space="preserve"> of interpretivism research philosophy, which is considered the most suitable approach for in-depth qualitative data collection on versatile topics such as the use of social media as a brand name promoter for RSCS. In addition, an inductive approach will be followed, together with secondary data collection. This set of approaches allows flexibility, moving from traditional specific observations to wider generalization (Melnikovas, 2018). The research design selected for the presentation of the research is descriptive, which is particularly suitable for the study of social media as a brand awareness tool for RSCS. This method provides emphasis on the core details and is open and flexible to current theory trends, allowing the researcher to reach logical answers for the research questions stated above. Research Method and Strategy For this research, the focus is on the use of secondary data collection and the qualitative research method for investigating the impact of social media on the brand awareness for RSCS. Secondary data is obtained from previously collected and </w:t>
      </w:r>
      <w:proofErr w:type="spellStart"/>
      <w:r w:rsidRPr="008D3090">
        <w:rPr>
          <w:rFonts w:ascii="Times New Roman" w:eastAsia="Aptos" w:hAnsi="Times New Roman" w:cs="Times New Roman"/>
        </w:rPr>
        <w:t>analysed</w:t>
      </w:r>
      <w:proofErr w:type="spellEnd"/>
      <w:r w:rsidRPr="008D3090">
        <w:rPr>
          <w:rFonts w:ascii="Times New Roman" w:eastAsia="Aptos" w:hAnsi="Times New Roman" w:cs="Times New Roman"/>
        </w:rPr>
        <w:t xml:space="preserve"> data for a different purpose than its original intent and this can be sourced from various channels such as academic books, journals, the internet, and government reports (Stewart and Kamins, 1993). </w:t>
      </w:r>
    </w:p>
    <w:p w14:paraId="114F95CB"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To identify relevant sources of secondary data for this study, a search was conducted using the keywords "brand awareness", "hospitality industry", "social media strategy" and "food delivery" amongst others in academic databases including Google Scholar, Teesside university library database, ProQuest, and business journals. A total of 300 relevant articles were identified from a pool of thousands, and these were screened based on relevance to the research question and availability of full-text articles. Also, a review of the brand’s social media insights data that are relevant to the research question were </w:t>
      </w:r>
      <w:proofErr w:type="spellStart"/>
      <w:r w:rsidRPr="008D3090">
        <w:rPr>
          <w:rFonts w:ascii="Times New Roman" w:eastAsia="Aptos" w:hAnsi="Times New Roman" w:cs="Times New Roman"/>
        </w:rPr>
        <w:t>analysed</w:t>
      </w:r>
      <w:proofErr w:type="spellEnd"/>
      <w:r w:rsidRPr="008D3090">
        <w:rPr>
          <w:rFonts w:ascii="Times New Roman" w:eastAsia="Aptos" w:hAnsi="Times New Roman" w:cs="Times New Roman"/>
        </w:rPr>
        <w:t xml:space="preserve"> to identify the key metrics such as engagement rates, follower demographics, reach and impressions, and content performance. Content analysis tool was also used to </w:t>
      </w:r>
      <w:proofErr w:type="spellStart"/>
      <w:r w:rsidRPr="008D3090">
        <w:rPr>
          <w:rFonts w:ascii="Times New Roman" w:eastAsia="Aptos" w:hAnsi="Times New Roman" w:cs="Times New Roman"/>
        </w:rPr>
        <w:t>analyse</w:t>
      </w:r>
      <w:proofErr w:type="spellEnd"/>
      <w:r w:rsidRPr="008D3090">
        <w:rPr>
          <w:rFonts w:ascii="Times New Roman" w:eastAsia="Aptos" w:hAnsi="Times New Roman" w:cs="Times New Roman"/>
        </w:rPr>
        <w:t xml:space="preserve"> the collected data from RSCS. </w:t>
      </w:r>
    </w:p>
    <w:p w14:paraId="35323F8D"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 xml:space="preserve">Data Analysis and Findings </w:t>
      </w:r>
    </w:p>
    <w:p w14:paraId="63BCCB32"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 xml:space="preserve">Analysis Social Media Platforms Used by RSCS For Brand Promotion </w:t>
      </w:r>
    </w:p>
    <w:p w14:paraId="5CCC3606"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The advent of technology and the internet have brought about significant changes in the way businesses interact with their customers. With the rise of social media, businesses now have a platform to connect with customers instantaneously with little effort. Many forward-thinking businesses have turned to social media for brand promotion, especially those that require direct contact with their clients, such as hospitality, retail, and services providers. One such business that has embraced social media as a brand promotion tool is </w:t>
      </w:r>
      <w:proofErr w:type="spellStart"/>
      <w:r w:rsidRPr="008D3090">
        <w:rPr>
          <w:rFonts w:ascii="Times New Roman" w:eastAsia="Aptos" w:hAnsi="Times New Roman" w:cs="Times New Roman"/>
        </w:rPr>
        <w:t>Rennies</w:t>
      </w:r>
      <w:proofErr w:type="spellEnd"/>
      <w:r w:rsidRPr="008D3090">
        <w:rPr>
          <w:rFonts w:ascii="Times New Roman" w:eastAsia="Aptos" w:hAnsi="Times New Roman" w:cs="Times New Roman"/>
        </w:rPr>
        <w:t xml:space="preserve"> Speciale Catering Service (RSCS). </w:t>
      </w:r>
      <w:r w:rsidRPr="008D3090">
        <w:rPr>
          <w:rFonts w:ascii="Times New Roman" w:eastAsia="Aptos" w:hAnsi="Times New Roman" w:cs="Times New Roman"/>
        </w:rPr>
        <w:lastRenderedPageBreak/>
        <w:t xml:space="preserve">RSCS has </w:t>
      </w:r>
      <w:proofErr w:type="spellStart"/>
      <w:r w:rsidRPr="008D3090">
        <w:rPr>
          <w:rFonts w:ascii="Times New Roman" w:eastAsia="Aptos" w:hAnsi="Times New Roman" w:cs="Times New Roman"/>
        </w:rPr>
        <w:t>recognised</w:t>
      </w:r>
      <w:proofErr w:type="spellEnd"/>
      <w:r w:rsidRPr="008D3090">
        <w:rPr>
          <w:rFonts w:ascii="Times New Roman" w:eastAsia="Aptos" w:hAnsi="Times New Roman" w:cs="Times New Roman"/>
        </w:rPr>
        <w:t xml:space="preserve"> the power of social media and has taken advantage of various online platforms, such as Facebook, Instagram, and TikTok, to connect with people around the world on a real-time basis. By being creative with the </w:t>
      </w:r>
      <w:proofErr w:type="gramStart"/>
      <w:r w:rsidRPr="008D3090">
        <w:rPr>
          <w:rFonts w:ascii="Times New Roman" w:eastAsia="Aptos" w:hAnsi="Times New Roman" w:cs="Times New Roman"/>
        </w:rPr>
        <w:t>content</w:t>
      </w:r>
      <w:proofErr w:type="gramEnd"/>
      <w:r w:rsidRPr="008D3090">
        <w:rPr>
          <w:rFonts w:ascii="Times New Roman" w:eastAsia="Aptos" w:hAnsi="Times New Roman" w:cs="Times New Roman"/>
        </w:rPr>
        <w:t xml:space="preserve"> they post on these platforms in a consistent manner, RSCS has been able to reach thousands of people, informing them about the services they offer. These social media accounts have not only provided an informative space for RSCS but have also become an added supportive branch of customer service to resolve the queries of each individual consumer. </w:t>
      </w:r>
    </w:p>
    <w:p w14:paraId="21415D7F" w14:textId="77777777" w:rsidR="008D3090" w:rsidRPr="008D3090" w:rsidRDefault="008D3090" w:rsidP="001A5F7B">
      <w:pPr>
        <w:spacing w:line="240" w:lineRule="auto"/>
        <w:jc w:val="both"/>
        <w:rPr>
          <w:rFonts w:ascii="Times New Roman" w:eastAsia="Aptos" w:hAnsi="Times New Roman" w:cs="Times New Roman"/>
        </w:rPr>
      </w:pPr>
    </w:p>
    <w:p w14:paraId="63AC9864" w14:textId="77777777" w:rsidR="008D3090" w:rsidRPr="008D3090" w:rsidRDefault="008D3090" w:rsidP="001A5F7B">
      <w:pPr>
        <w:spacing w:line="240" w:lineRule="auto"/>
        <w:jc w:val="both"/>
        <w:rPr>
          <w:rFonts w:ascii="Times New Roman" w:eastAsia="Aptos" w:hAnsi="Times New Roman" w:cs="Times New Roman"/>
        </w:rPr>
      </w:pPr>
    </w:p>
    <w:p w14:paraId="6F5F2A90" w14:textId="77777777" w:rsidR="008D3090" w:rsidRPr="008D3090" w:rsidRDefault="008D3090" w:rsidP="001A5F7B">
      <w:pPr>
        <w:spacing w:line="240" w:lineRule="auto"/>
        <w:jc w:val="both"/>
        <w:rPr>
          <w:rFonts w:ascii="Times New Roman" w:eastAsia="Aptos" w:hAnsi="Times New Roman" w:cs="Times New Roman"/>
        </w:rPr>
      </w:pPr>
    </w:p>
    <w:p w14:paraId="30F0C848" w14:textId="77777777" w:rsidR="008D3090" w:rsidRPr="008D3090" w:rsidRDefault="008D3090" w:rsidP="001A5F7B">
      <w:pPr>
        <w:spacing w:line="240" w:lineRule="auto"/>
        <w:ind w:left="2160" w:firstLine="720"/>
        <w:jc w:val="both"/>
        <w:rPr>
          <w:rFonts w:ascii="Times New Roman" w:eastAsia="Aptos" w:hAnsi="Times New Roman" w:cs="Times New Roman"/>
        </w:rPr>
      </w:pPr>
    </w:p>
    <w:p w14:paraId="20403046" w14:textId="77777777" w:rsidR="008D3090" w:rsidRPr="008D3090" w:rsidRDefault="008D3090" w:rsidP="001A5F7B">
      <w:pPr>
        <w:spacing w:line="240" w:lineRule="auto"/>
        <w:ind w:left="2160" w:firstLine="720"/>
        <w:jc w:val="both"/>
        <w:rPr>
          <w:rFonts w:ascii="Times New Roman" w:eastAsia="Aptos" w:hAnsi="Times New Roman" w:cs="Times New Roman"/>
        </w:rPr>
      </w:pPr>
    </w:p>
    <w:p w14:paraId="5988B728" w14:textId="77777777" w:rsidR="008D3090" w:rsidRPr="008D3090" w:rsidRDefault="008D3090" w:rsidP="001A5F7B">
      <w:pPr>
        <w:spacing w:line="240" w:lineRule="auto"/>
        <w:ind w:left="2160" w:firstLine="720"/>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05344" behindDoc="1" locked="0" layoutInCell="1" allowOverlap="1" wp14:anchorId="574D0E11" wp14:editId="42219378">
            <wp:simplePos x="0" y="0"/>
            <wp:positionH relativeFrom="margin">
              <wp:posOffset>1216162</wp:posOffset>
            </wp:positionH>
            <wp:positionV relativeFrom="page">
              <wp:posOffset>2916726</wp:posOffset>
            </wp:positionV>
            <wp:extent cx="4066878" cy="1428750"/>
            <wp:effectExtent l="0" t="0" r="0" b="0"/>
            <wp:wrapNone/>
            <wp:docPr id="11925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4066878" cy="1428750"/>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Figure 2: Screenshot of RSCS TikTok Home Page </w:t>
      </w:r>
    </w:p>
    <w:p w14:paraId="6CE76F8A"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06368" behindDoc="1" locked="0" layoutInCell="1" allowOverlap="1" wp14:anchorId="1D232EA6" wp14:editId="69C157CA">
            <wp:simplePos x="0" y="0"/>
            <wp:positionH relativeFrom="page">
              <wp:posOffset>2343150</wp:posOffset>
            </wp:positionH>
            <wp:positionV relativeFrom="margin">
              <wp:posOffset>209550</wp:posOffset>
            </wp:positionV>
            <wp:extent cx="3745865" cy="1593850"/>
            <wp:effectExtent l="0" t="0" r="6985" b="6350"/>
            <wp:wrapNone/>
            <wp:docPr id="287327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3"/>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3745865" cy="1593850"/>
                    </a:xfrm>
                    <a:prstGeom prst="rect">
                      <a:avLst/>
                    </a:prstGeom>
                    <a:noFill/>
                  </pic:spPr>
                </pic:pic>
              </a:graphicData>
            </a:graphic>
            <wp14:sizeRelH relativeFrom="page">
              <wp14:pctWidth>0</wp14:pctWidth>
            </wp14:sizeRelH>
            <wp14:sizeRelV relativeFrom="page">
              <wp14:pctHeight>0</wp14:pctHeight>
            </wp14:sizeRelV>
          </wp:anchor>
        </w:drawing>
      </w:r>
    </w:p>
    <w:p w14:paraId="05AF0490" w14:textId="77777777" w:rsidR="008D3090" w:rsidRPr="008D3090" w:rsidRDefault="008D3090" w:rsidP="001A5F7B">
      <w:pPr>
        <w:spacing w:line="240" w:lineRule="auto"/>
        <w:jc w:val="both"/>
        <w:rPr>
          <w:rFonts w:ascii="Times New Roman" w:eastAsia="Aptos" w:hAnsi="Times New Roman" w:cs="Times New Roman"/>
        </w:rPr>
      </w:pPr>
    </w:p>
    <w:p w14:paraId="264EAC81" w14:textId="77777777" w:rsidR="008D3090" w:rsidRPr="008D3090" w:rsidRDefault="008D3090" w:rsidP="001A5F7B">
      <w:pPr>
        <w:spacing w:line="240" w:lineRule="auto"/>
        <w:jc w:val="both"/>
        <w:rPr>
          <w:rFonts w:ascii="Times New Roman" w:eastAsia="Aptos" w:hAnsi="Times New Roman" w:cs="Times New Roman"/>
        </w:rPr>
      </w:pPr>
    </w:p>
    <w:p w14:paraId="333CA070" w14:textId="77777777" w:rsidR="008D3090" w:rsidRPr="008D3090" w:rsidRDefault="008D3090" w:rsidP="001A5F7B">
      <w:pPr>
        <w:spacing w:line="240" w:lineRule="auto"/>
        <w:jc w:val="both"/>
        <w:rPr>
          <w:rFonts w:ascii="Times New Roman" w:eastAsia="Aptos" w:hAnsi="Times New Roman" w:cs="Times New Roman"/>
        </w:rPr>
      </w:pPr>
    </w:p>
    <w:p w14:paraId="37E3BEC8" w14:textId="77777777" w:rsidR="008D3090" w:rsidRPr="008D3090" w:rsidRDefault="008D3090" w:rsidP="001A5F7B">
      <w:pPr>
        <w:spacing w:line="240" w:lineRule="auto"/>
        <w:ind w:left="2160" w:firstLine="720"/>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07392" behindDoc="1" locked="0" layoutInCell="1" allowOverlap="1" wp14:anchorId="3951D725" wp14:editId="13B77C76">
            <wp:simplePos x="0" y="0"/>
            <wp:positionH relativeFrom="margin">
              <wp:posOffset>1445483</wp:posOffset>
            </wp:positionH>
            <wp:positionV relativeFrom="page">
              <wp:posOffset>4841893</wp:posOffset>
            </wp:positionV>
            <wp:extent cx="3524250" cy="1473200"/>
            <wp:effectExtent l="0" t="0" r="0" b="0"/>
            <wp:wrapNone/>
            <wp:docPr id="974978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4"/>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3524250" cy="1473200"/>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Figure 3: Screenshot of RSCS Facebook Home Page</w:t>
      </w:r>
    </w:p>
    <w:p w14:paraId="371ACD2F" w14:textId="77777777" w:rsidR="008D3090" w:rsidRPr="008D3090" w:rsidRDefault="008D3090" w:rsidP="001A5F7B">
      <w:pPr>
        <w:spacing w:line="240" w:lineRule="auto"/>
        <w:ind w:left="720" w:firstLine="720"/>
        <w:jc w:val="both"/>
        <w:rPr>
          <w:rFonts w:ascii="Times New Roman" w:eastAsia="Aptos" w:hAnsi="Times New Roman" w:cs="Times New Roman"/>
        </w:rPr>
      </w:pPr>
    </w:p>
    <w:p w14:paraId="1A3E4557" w14:textId="77777777" w:rsidR="008D3090" w:rsidRPr="008D3090" w:rsidRDefault="008D3090" w:rsidP="001A5F7B">
      <w:pPr>
        <w:spacing w:line="240" w:lineRule="auto"/>
        <w:ind w:left="720" w:firstLine="720"/>
        <w:jc w:val="both"/>
        <w:rPr>
          <w:rFonts w:ascii="Times New Roman" w:eastAsia="Aptos" w:hAnsi="Times New Roman" w:cs="Times New Roman"/>
        </w:rPr>
      </w:pPr>
    </w:p>
    <w:p w14:paraId="61F6D619" w14:textId="77777777" w:rsidR="008D3090" w:rsidRPr="008D3090" w:rsidRDefault="008D3090" w:rsidP="001A5F7B">
      <w:pPr>
        <w:spacing w:line="240" w:lineRule="auto"/>
        <w:ind w:left="720" w:firstLine="720"/>
        <w:jc w:val="both"/>
        <w:rPr>
          <w:rFonts w:ascii="Times New Roman" w:eastAsia="Aptos" w:hAnsi="Times New Roman" w:cs="Times New Roman"/>
        </w:rPr>
      </w:pPr>
    </w:p>
    <w:p w14:paraId="55805F76" w14:textId="77777777" w:rsidR="008D3090" w:rsidRPr="008D3090" w:rsidRDefault="008D3090" w:rsidP="001A5F7B">
      <w:pPr>
        <w:spacing w:line="240" w:lineRule="auto"/>
        <w:ind w:left="720" w:firstLine="720"/>
        <w:jc w:val="both"/>
        <w:rPr>
          <w:rFonts w:ascii="Times New Roman" w:eastAsia="Aptos" w:hAnsi="Times New Roman" w:cs="Times New Roman"/>
        </w:rPr>
      </w:pPr>
    </w:p>
    <w:p w14:paraId="38DB1EAA" w14:textId="77777777" w:rsidR="008D3090" w:rsidRPr="008D3090" w:rsidRDefault="008D3090" w:rsidP="001A5F7B">
      <w:pPr>
        <w:spacing w:line="240" w:lineRule="auto"/>
        <w:ind w:left="720" w:firstLine="720"/>
        <w:jc w:val="both"/>
        <w:rPr>
          <w:rFonts w:ascii="Times New Roman" w:eastAsia="Aptos" w:hAnsi="Times New Roman" w:cs="Times New Roman"/>
        </w:rPr>
      </w:pPr>
      <w:r w:rsidRPr="008D3090">
        <w:rPr>
          <w:rFonts w:ascii="Times New Roman" w:eastAsia="Aptos" w:hAnsi="Times New Roman" w:cs="Times New Roman"/>
        </w:rPr>
        <w:t xml:space="preserve">                  Figure 4: Screenshot of RSCS Instagram Home Page </w:t>
      </w:r>
    </w:p>
    <w:p w14:paraId="49342FB5"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The current state of RSCS social media presence has been </w:t>
      </w:r>
      <w:proofErr w:type="spellStart"/>
      <w:r w:rsidRPr="008D3090">
        <w:rPr>
          <w:rFonts w:ascii="Times New Roman" w:eastAsia="Aptos" w:hAnsi="Times New Roman" w:cs="Times New Roman"/>
        </w:rPr>
        <w:t>analysed</w:t>
      </w:r>
      <w:proofErr w:type="spellEnd"/>
      <w:r w:rsidRPr="008D3090">
        <w:rPr>
          <w:rFonts w:ascii="Times New Roman" w:eastAsia="Aptos" w:hAnsi="Times New Roman" w:cs="Times New Roman"/>
        </w:rPr>
        <w:t>, with a particular focus on the brand's Facebook, TikTok, and Instagram pages. The findings reveal that RSCS has the highest number of followers on TikTok with 6756 followers, while Facebook has the lowest with 118 followers. However, RSCS's Instagram page has the highest engagement rate compared to Facebook and TikTok. The brand also tends to run ads only on Instagram since it is the most active platform for the brand. Additionally, it is observed that catering brands in Nigeria, including RSCS, are more active on Instagram, as this platform is widely used by their target audience compared to other social media platforms. The use of pictures, videos, and customer feedback on social media has helped RSCS reach out to thousands of people nationwide. Social media has become an important tool for customers to gain a better understanding of the services provided by RSCS. Using social media also provides the brand with a platform to stay updated on the current marketing trends used by similar businesses, which can be used to either keep up with the latest trends or introduce new and unique strategies that set them apart from the competition (Fahy and Jobber, 2019).</w:t>
      </w:r>
    </w:p>
    <w:p w14:paraId="72170552"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lastRenderedPageBreak/>
        <w:t>Competitor Analysis</w:t>
      </w:r>
    </w:p>
    <w:p w14:paraId="7834216F" w14:textId="77777777" w:rsidR="008D3090" w:rsidRPr="008D3090" w:rsidRDefault="008D3090" w:rsidP="001A5F7B">
      <w:pPr>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 xml:space="preserve">Direct and Indirect Competitors </w:t>
      </w:r>
    </w:p>
    <w:p w14:paraId="02F388E7"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RSCS faces significant competition from both direct and indirect competitors in the highly competitive catering sector of Nigeria. Direct competitors are those catering brands that provide similar products and services to the same customer base as RSCS. On the other hand, indirect competitors are those that provide substitutes for RSCS's products or services, such as fast-food restaurants and food delivery services. The table below comprises direct and indirect competitors of RSCS that maintain active social media accounts and cater to customers with similar demographics as RSCS. Instagram was chosen as the social media platform to </w:t>
      </w:r>
      <w:proofErr w:type="spellStart"/>
      <w:r w:rsidRPr="008D3090">
        <w:rPr>
          <w:rFonts w:ascii="Times New Roman" w:eastAsia="Aptos" w:hAnsi="Times New Roman" w:cs="Times New Roman"/>
        </w:rPr>
        <w:t>analyse</w:t>
      </w:r>
      <w:proofErr w:type="spellEnd"/>
      <w:r w:rsidRPr="008D3090">
        <w:rPr>
          <w:rFonts w:ascii="Times New Roman" w:eastAsia="Aptos" w:hAnsi="Times New Roman" w:cs="Times New Roman"/>
        </w:rPr>
        <w:t xml:space="preserve"> because the majority of the brands under consideration solely maintain an active presence on Instagram, and RSCS derives a significant portion of its customer base from the platform. RSCS currently has 4,752 followers with an engagement rate of 2.10%. To facilitate the comparative analysis, content posted on Instagram by each competitor and RSCS since the start of 2023 has been </w:t>
      </w:r>
      <w:proofErr w:type="spellStart"/>
      <w:r w:rsidRPr="008D3090">
        <w:rPr>
          <w:rFonts w:ascii="Times New Roman" w:eastAsia="Aptos" w:hAnsi="Times New Roman" w:cs="Times New Roman"/>
        </w:rPr>
        <w:t>analysed</w:t>
      </w:r>
      <w:proofErr w:type="spellEnd"/>
      <w:r w:rsidRPr="008D3090">
        <w:rPr>
          <w:rFonts w:ascii="Times New Roman" w:eastAsia="Aptos" w:hAnsi="Times New Roman" w:cs="Times New Roman"/>
        </w:rPr>
        <w:t xml:space="preserve">.  </w:t>
      </w:r>
    </w:p>
    <w:p w14:paraId="53D7B6D8" w14:textId="77777777" w:rsidR="008D3090" w:rsidRPr="008D3090" w:rsidRDefault="008D3090" w:rsidP="001A5F7B">
      <w:pPr>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Table 1- RSCS’ Direct and Indirect Competitors </w:t>
      </w:r>
    </w:p>
    <w:tbl>
      <w:tblPr>
        <w:tblStyle w:val="TableGrid7"/>
        <w:tblW w:w="0" w:type="auto"/>
        <w:tblLook w:val="04A0" w:firstRow="1" w:lastRow="0" w:firstColumn="1" w:lastColumn="0" w:noHBand="0" w:noVBand="1"/>
      </w:tblPr>
      <w:tblGrid>
        <w:gridCol w:w="1838"/>
        <w:gridCol w:w="1401"/>
        <w:gridCol w:w="1506"/>
        <w:gridCol w:w="4605"/>
      </w:tblGrid>
      <w:tr w:rsidR="008D3090" w:rsidRPr="008D3090" w14:paraId="66CE0EF0" w14:textId="77777777" w:rsidTr="00D00B3F">
        <w:tc>
          <w:tcPr>
            <w:tcW w:w="1838" w:type="dxa"/>
          </w:tcPr>
          <w:p w14:paraId="158E6DC4"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Competitor </w:t>
            </w:r>
          </w:p>
        </w:tc>
        <w:tc>
          <w:tcPr>
            <w:tcW w:w="1401" w:type="dxa"/>
          </w:tcPr>
          <w:p w14:paraId="1415B4E6"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Follower Count </w:t>
            </w:r>
          </w:p>
        </w:tc>
        <w:tc>
          <w:tcPr>
            <w:tcW w:w="1506" w:type="dxa"/>
          </w:tcPr>
          <w:p w14:paraId="1FC993FA"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Engagement Rate (%) </w:t>
            </w:r>
          </w:p>
        </w:tc>
        <w:tc>
          <w:tcPr>
            <w:tcW w:w="0" w:type="auto"/>
          </w:tcPr>
          <w:p w14:paraId="133EAF0C"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Summary</w:t>
            </w:r>
          </w:p>
        </w:tc>
      </w:tr>
      <w:tr w:rsidR="008D3090" w:rsidRPr="008D3090" w14:paraId="4EA6F5FD" w14:textId="77777777" w:rsidTr="00D00B3F">
        <w:tc>
          <w:tcPr>
            <w:tcW w:w="1838" w:type="dxa"/>
          </w:tcPr>
          <w:p w14:paraId="0A1FF425"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AAF Breakfast and lunch</w:t>
            </w:r>
          </w:p>
        </w:tc>
        <w:tc>
          <w:tcPr>
            <w:tcW w:w="1401" w:type="dxa"/>
          </w:tcPr>
          <w:p w14:paraId="06E5D296"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1,574</w:t>
            </w:r>
          </w:p>
        </w:tc>
        <w:tc>
          <w:tcPr>
            <w:tcW w:w="1506" w:type="dxa"/>
          </w:tcPr>
          <w:p w14:paraId="39CC7F3D"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0.9%</w:t>
            </w:r>
          </w:p>
        </w:tc>
        <w:tc>
          <w:tcPr>
            <w:tcW w:w="0" w:type="auto"/>
          </w:tcPr>
          <w:p w14:paraId="753A0A38"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The AAF Breakfast and Lunch is a catering brand in Ibadan, Oyo state, </w:t>
            </w:r>
            <w:proofErr w:type="spellStart"/>
            <w:r w:rsidRPr="008D3090">
              <w:rPr>
                <w:rFonts w:ascii="Times New Roman" w:eastAsia="Aptos" w:hAnsi="Times New Roman" w:cs="Times New Roman"/>
              </w:rPr>
              <w:t>specialising</w:t>
            </w:r>
            <w:proofErr w:type="spellEnd"/>
            <w:r w:rsidRPr="008D3090">
              <w:rPr>
                <w:rFonts w:ascii="Times New Roman" w:eastAsia="Aptos" w:hAnsi="Times New Roman" w:cs="Times New Roman"/>
              </w:rPr>
              <w:t xml:space="preserve"> in breakfast and lunch options. With a focus on quality and variety, the brand offers a diverse menu to cater to different tastes and dietary preferences. Through their Instagram presence, the brand showcases their delectable offerings, enticing the audience with visually appealing images. The brand </w:t>
            </w:r>
            <w:proofErr w:type="spellStart"/>
            <w:r w:rsidRPr="008D3090">
              <w:rPr>
                <w:rFonts w:ascii="Times New Roman" w:eastAsia="Aptos" w:hAnsi="Times New Roman" w:cs="Times New Roman"/>
              </w:rPr>
              <w:t>utilises</w:t>
            </w:r>
            <w:proofErr w:type="spellEnd"/>
            <w:r w:rsidRPr="008D3090">
              <w:rPr>
                <w:rFonts w:ascii="Times New Roman" w:eastAsia="Aptos" w:hAnsi="Times New Roman" w:cs="Times New Roman"/>
              </w:rPr>
              <w:t xml:space="preserve"> strategic hashtags, trending sounds, and reels to enhance their visibility and reach on Instagram. However, the brand does not incorporate effective call-to-action (CTA) elements in their captions to prompt audience engagement and encourage interaction. Furthermore, they do not provide informative and descriptive captions for their posts.</w:t>
            </w:r>
          </w:p>
        </w:tc>
      </w:tr>
      <w:tr w:rsidR="008D3090" w:rsidRPr="008D3090" w14:paraId="3F7A94CF" w14:textId="77777777" w:rsidTr="00D00B3F">
        <w:tc>
          <w:tcPr>
            <w:tcW w:w="1838" w:type="dxa"/>
          </w:tcPr>
          <w:p w14:paraId="7637B742"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Omars Kitchen</w:t>
            </w:r>
          </w:p>
        </w:tc>
        <w:tc>
          <w:tcPr>
            <w:tcW w:w="1401" w:type="dxa"/>
          </w:tcPr>
          <w:p w14:paraId="527E62B3"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15,400</w:t>
            </w:r>
          </w:p>
        </w:tc>
        <w:tc>
          <w:tcPr>
            <w:tcW w:w="1506" w:type="dxa"/>
          </w:tcPr>
          <w:p w14:paraId="559D5374"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0.5%</w:t>
            </w:r>
          </w:p>
        </w:tc>
        <w:tc>
          <w:tcPr>
            <w:tcW w:w="0" w:type="auto"/>
          </w:tcPr>
          <w:p w14:paraId="0F976E99"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Omars Kitchen is a prominent catering brand located in Ibadan, Oyo State. </w:t>
            </w:r>
            <w:proofErr w:type="spellStart"/>
            <w:r w:rsidRPr="008D3090">
              <w:rPr>
                <w:rFonts w:ascii="Times New Roman" w:eastAsia="Aptos" w:hAnsi="Times New Roman" w:cs="Times New Roman"/>
              </w:rPr>
              <w:t>Specialising</w:t>
            </w:r>
            <w:proofErr w:type="spellEnd"/>
            <w:r w:rsidRPr="008D3090">
              <w:rPr>
                <w:rFonts w:ascii="Times New Roman" w:eastAsia="Aptos" w:hAnsi="Times New Roman" w:cs="Times New Roman"/>
              </w:rPr>
              <w:t xml:space="preserve"> in event catering, lunch packs, soup bowls, and food trays, they offer a diverse range of culinary delights to their customers. Leveraging the power of </w:t>
            </w:r>
            <w:proofErr w:type="gramStart"/>
            <w:r w:rsidRPr="008D3090">
              <w:rPr>
                <w:rFonts w:ascii="Times New Roman" w:eastAsia="Aptos" w:hAnsi="Times New Roman" w:cs="Times New Roman"/>
              </w:rPr>
              <w:t>social  media</w:t>
            </w:r>
            <w:proofErr w:type="gramEnd"/>
            <w:r w:rsidRPr="008D3090">
              <w:rPr>
                <w:rFonts w:ascii="Times New Roman" w:eastAsia="Aptos" w:hAnsi="Times New Roman" w:cs="Times New Roman"/>
              </w:rPr>
              <w:t xml:space="preserve">, Omars Kitchen effectively employs call-to-action (CTAs) and engaging captions to stimulate audience engagement and interaction. They accompany their captivating captions with high-quality images that capture the essence </w:t>
            </w:r>
            <w:r w:rsidRPr="008D3090">
              <w:rPr>
                <w:rFonts w:ascii="Times New Roman" w:eastAsia="Aptos" w:hAnsi="Times New Roman" w:cs="Times New Roman"/>
              </w:rPr>
              <w:lastRenderedPageBreak/>
              <w:t xml:space="preserve">of their offerings. However, Omars Kitchen does not incorporate the use of reels to </w:t>
            </w:r>
            <w:proofErr w:type="spellStart"/>
            <w:r w:rsidRPr="008D3090">
              <w:rPr>
                <w:rFonts w:ascii="Times New Roman" w:eastAsia="Aptos" w:hAnsi="Times New Roman" w:cs="Times New Roman"/>
              </w:rPr>
              <w:t>maximise</w:t>
            </w:r>
            <w:proofErr w:type="spellEnd"/>
            <w:r w:rsidRPr="008D3090">
              <w:rPr>
                <w:rFonts w:ascii="Times New Roman" w:eastAsia="Aptos" w:hAnsi="Times New Roman" w:cs="Times New Roman"/>
              </w:rPr>
              <w:t xml:space="preserve"> their brand exposure. Also, there is the issue of inconsistent posting. Consistency in posting content on Instagram is crucial for maintaining the visibility and sustaining the interest of their audience.</w:t>
            </w:r>
          </w:p>
        </w:tc>
      </w:tr>
      <w:tr w:rsidR="008D3090" w:rsidRPr="008D3090" w14:paraId="27FEFAB3" w14:textId="77777777" w:rsidTr="00D00B3F">
        <w:tc>
          <w:tcPr>
            <w:tcW w:w="1838" w:type="dxa"/>
          </w:tcPr>
          <w:p w14:paraId="5CABB000"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lastRenderedPageBreak/>
              <w:t xml:space="preserve">Blessings Kitchen </w:t>
            </w:r>
          </w:p>
        </w:tc>
        <w:tc>
          <w:tcPr>
            <w:tcW w:w="1401" w:type="dxa"/>
          </w:tcPr>
          <w:p w14:paraId="418BD1EE"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11,600 </w:t>
            </w:r>
          </w:p>
        </w:tc>
        <w:tc>
          <w:tcPr>
            <w:tcW w:w="1506" w:type="dxa"/>
          </w:tcPr>
          <w:p w14:paraId="2C0180D0"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0.55%</w:t>
            </w:r>
          </w:p>
        </w:tc>
        <w:tc>
          <w:tcPr>
            <w:tcW w:w="0" w:type="auto"/>
          </w:tcPr>
          <w:p w14:paraId="50B76DE0"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Blessings Kitchen, a catering brand based in Ibadan, Oyo state, specializes in homemade meals. Their Instagram bio includes a location feature and a link to </w:t>
            </w:r>
            <w:proofErr w:type="spellStart"/>
            <w:r w:rsidRPr="008D3090">
              <w:rPr>
                <w:rFonts w:ascii="Times New Roman" w:eastAsia="Aptos" w:hAnsi="Times New Roman" w:cs="Times New Roman"/>
              </w:rPr>
              <w:t>Whatsapp</w:t>
            </w:r>
            <w:proofErr w:type="spellEnd"/>
            <w:r w:rsidRPr="008D3090">
              <w:rPr>
                <w:rFonts w:ascii="Times New Roman" w:eastAsia="Aptos" w:hAnsi="Times New Roman" w:cs="Times New Roman"/>
              </w:rPr>
              <w:t>, making it convenient for their audience to make purchases. To expand their reach, the brand heavily invests in Instagram ads. Additionally, they leverage hashtags, trending sounds, and funny audios related to food to engage their audience effectively. However, compared to RSCS and other competitors, Blessings Kitchen's images and videos are not of the same high quality, which may limit their visibility opportunities. Also, they do not encourage user-generated content (UGC) as this could enhance their visibility at a lower cost compared to investing heavily in ads.</w:t>
            </w:r>
          </w:p>
        </w:tc>
      </w:tr>
      <w:tr w:rsidR="008D3090" w:rsidRPr="008D3090" w14:paraId="71BEE295" w14:textId="77777777" w:rsidTr="00D00B3F">
        <w:tc>
          <w:tcPr>
            <w:tcW w:w="1838" w:type="dxa"/>
          </w:tcPr>
          <w:p w14:paraId="7BE47413"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Lolus Cuisine </w:t>
            </w:r>
          </w:p>
        </w:tc>
        <w:tc>
          <w:tcPr>
            <w:tcW w:w="1401" w:type="dxa"/>
          </w:tcPr>
          <w:p w14:paraId="0645EEF2"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15,400</w:t>
            </w:r>
          </w:p>
        </w:tc>
        <w:tc>
          <w:tcPr>
            <w:tcW w:w="1506" w:type="dxa"/>
          </w:tcPr>
          <w:p w14:paraId="43EC7F13"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0.28%</w:t>
            </w:r>
          </w:p>
        </w:tc>
        <w:tc>
          <w:tcPr>
            <w:tcW w:w="0" w:type="auto"/>
          </w:tcPr>
          <w:p w14:paraId="62D3C87A"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Lolus Cuisine, a food service brand and restaurant based in Ibadan, Oyo state, focuses on offering a wide range of ready-to-eat meals with delivery options for their customers. To </w:t>
            </w:r>
            <w:proofErr w:type="spellStart"/>
            <w:r w:rsidRPr="008D3090">
              <w:rPr>
                <w:rFonts w:ascii="Times New Roman" w:eastAsia="Aptos" w:hAnsi="Times New Roman" w:cs="Times New Roman"/>
              </w:rPr>
              <w:t>maximise</w:t>
            </w:r>
            <w:proofErr w:type="spellEnd"/>
            <w:r w:rsidRPr="008D3090">
              <w:rPr>
                <w:rFonts w:ascii="Times New Roman" w:eastAsia="Aptos" w:hAnsi="Times New Roman" w:cs="Times New Roman"/>
              </w:rPr>
              <w:t xml:space="preserve"> their reach, the brand leverages Instagram Stories, recognizing its effectiveness in reaching a broader audience that may not see regular posts. Additionally, they strategically use call-to-action (CTA) prompts in their captions to encourage the audience to visit and shop on the brand's website. However, they face a challenge in achieving a satisfactory engagement rate compared RSCS. To address this, they may consider investing in social media ads, which would allow them to target specific audience segments and increase their visibility. Furthermore, incorporating reels into their content strategy presents an opportunity for the brand to potentially reach a wider audience</w:t>
            </w:r>
          </w:p>
        </w:tc>
      </w:tr>
      <w:tr w:rsidR="008D3090" w:rsidRPr="008D3090" w14:paraId="4A8A6C76" w14:textId="77777777" w:rsidTr="00D00B3F">
        <w:tc>
          <w:tcPr>
            <w:tcW w:w="1838" w:type="dxa"/>
          </w:tcPr>
          <w:p w14:paraId="43076E68"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lastRenderedPageBreak/>
              <w:t xml:space="preserve">Chicken Republic </w:t>
            </w:r>
          </w:p>
        </w:tc>
        <w:tc>
          <w:tcPr>
            <w:tcW w:w="1401" w:type="dxa"/>
          </w:tcPr>
          <w:p w14:paraId="0F23646D"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57,500 </w:t>
            </w:r>
          </w:p>
        </w:tc>
        <w:tc>
          <w:tcPr>
            <w:tcW w:w="1506" w:type="dxa"/>
          </w:tcPr>
          <w:p w14:paraId="5BD05880"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0.72%</w:t>
            </w:r>
          </w:p>
        </w:tc>
        <w:tc>
          <w:tcPr>
            <w:tcW w:w="0" w:type="auto"/>
          </w:tcPr>
          <w:p w14:paraId="62E01B76" w14:textId="77777777" w:rsidR="008D3090" w:rsidRPr="008D3090" w:rsidRDefault="008D3090" w:rsidP="001A5F7B">
            <w:pPr>
              <w:jc w:val="both"/>
              <w:rPr>
                <w:rFonts w:ascii="Times New Roman" w:eastAsia="Aptos" w:hAnsi="Times New Roman" w:cs="Times New Roman"/>
              </w:rPr>
            </w:pPr>
            <w:r w:rsidRPr="008D3090">
              <w:rPr>
                <w:rFonts w:ascii="Times New Roman" w:eastAsia="Aptos" w:hAnsi="Times New Roman" w:cs="Times New Roman"/>
              </w:rPr>
              <w:t xml:space="preserve">Chicken Republic is a renowned fast food restaurant chain that operates across Nigeria. The brand maintains an active presence on social media platforms, engaging with its customers and promoting its meals. They consistently share high-quality images and videos of their menu items while maintaining a </w:t>
            </w:r>
            <w:proofErr w:type="spellStart"/>
            <w:proofErr w:type="gramStart"/>
            <w:r w:rsidRPr="008D3090">
              <w:rPr>
                <w:rFonts w:ascii="Times New Roman" w:eastAsia="Aptos" w:hAnsi="Times New Roman" w:cs="Times New Roman"/>
              </w:rPr>
              <w:t>well balanced</w:t>
            </w:r>
            <w:proofErr w:type="spellEnd"/>
            <w:proofErr w:type="gramEnd"/>
            <w:r w:rsidRPr="008D3090">
              <w:rPr>
                <w:rFonts w:ascii="Times New Roman" w:eastAsia="Aptos" w:hAnsi="Times New Roman" w:cs="Times New Roman"/>
              </w:rPr>
              <w:t xml:space="preserve"> content mix on their Instagram profile. They often include mouthwatering descriptions, interesting facts, or fun and relatable messages related to their food. Additionally, Chicken Republic collaborates with influencers and food bloggers to expand their reach and frequently run promotions, contests, and giveaways on their Instagram platform. </w:t>
            </w:r>
            <w:proofErr w:type="spellStart"/>
            <w:r w:rsidRPr="008D3090">
              <w:rPr>
                <w:rFonts w:ascii="Times New Roman" w:eastAsia="Aptos" w:hAnsi="Times New Roman" w:cs="Times New Roman"/>
              </w:rPr>
              <w:t>Glovo</w:t>
            </w:r>
            <w:proofErr w:type="spellEnd"/>
            <w:r w:rsidRPr="008D3090">
              <w:rPr>
                <w:rFonts w:ascii="Times New Roman" w:eastAsia="Aptos" w:hAnsi="Times New Roman" w:cs="Times New Roman"/>
              </w:rPr>
              <w:t xml:space="preserve"> 10,900 0.30% </w:t>
            </w:r>
            <w:proofErr w:type="spellStart"/>
            <w:r w:rsidRPr="008D3090">
              <w:rPr>
                <w:rFonts w:ascii="Times New Roman" w:eastAsia="Aptos" w:hAnsi="Times New Roman" w:cs="Times New Roman"/>
              </w:rPr>
              <w:t>Glovo</w:t>
            </w:r>
            <w:proofErr w:type="spellEnd"/>
            <w:r w:rsidRPr="008D3090">
              <w:rPr>
                <w:rFonts w:ascii="Times New Roman" w:eastAsia="Aptos" w:hAnsi="Times New Roman" w:cs="Times New Roman"/>
              </w:rPr>
              <w:t xml:space="preserve"> is a popular on-demand delivery app that operates in Nigeria, providing a wide range of services to customers. The app enables users to order various items, including food, groceries, pharmaceuticals, and other essential products, which are then delivered to their doorstep. </w:t>
            </w:r>
            <w:proofErr w:type="spellStart"/>
            <w:r w:rsidRPr="008D3090">
              <w:rPr>
                <w:rFonts w:ascii="Times New Roman" w:eastAsia="Aptos" w:hAnsi="Times New Roman" w:cs="Times New Roman"/>
              </w:rPr>
              <w:t>Glovo</w:t>
            </w:r>
            <w:proofErr w:type="spellEnd"/>
            <w:r w:rsidRPr="008D3090">
              <w:rPr>
                <w:rFonts w:ascii="Times New Roman" w:eastAsia="Aptos" w:hAnsi="Times New Roman" w:cs="Times New Roman"/>
              </w:rPr>
              <w:t xml:space="preserve"> partners with many restaurants, ranging from popular local eateries to well-known international chains which ensures that customers can explore different cuisines. </w:t>
            </w:r>
            <w:proofErr w:type="spellStart"/>
            <w:r w:rsidRPr="008D3090">
              <w:rPr>
                <w:rFonts w:ascii="Times New Roman" w:eastAsia="Aptos" w:hAnsi="Times New Roman" w:cs="Times New Roman"/>
              </w:rPr>
              <w:t>Glovo</w:t>
            </w:r>
            <w:proofErr w:type="spellEnd"/>
            <w:r w:rsidRPr="008D3090">
              <w:rPr>
                <w:rFonts w:ascii="Times New Roman" w:eastAsia="Aptos" w:hAnsi="Times New Roman" w:cs="Times New Roman"/>
              </w:rPr>
              <w:t xml:space="preserve"> allows customers to customize their orders and make special requests such as specifying dietary preferences, requesting specific ingredients, or adding extra toppings and sides.</w:t>
            </w:r>
          </w:p>
        </w:tc>
      </w:tr>
    </w:tbl>
    <w:p w14:paraId="3B6FC89A" w14:textId="77777777" w:rsidR="008D3090" w:rsidRPr="008D3090" w:rsidRDefault="008D3090" w:rsidP="001A5F7B">
      <w:pPr>
        <w:spacing w:line="240" w:lineRule="auto"/>
        <w:jc w:val="both"/>
        <w:rPr>
          <w:rFonts w:ascii="Times New Roman" w:eastAsia="Aptos" w:hAnsi="Times New Roman" w:cs="Times New Roman"/>
        </w:rPr>
      </w:pPr>
    </w:p>
    <w:p w14:paraId="4A6F9EB3"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PEST Analysis </w:t>
      </w:r>
    </w:p>
    <w:p w14:paraId="3728224D"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This section aims to provide an in-depth analysis of the external factors that impact the competitive landscape of RSCS and how these factors influence its direct and indirect competitors. To achieve this objective, the conducted a PEST analysis that considers the political, economic, social, and technological factors that affect the hospitality industry particularly the catering sector in Nigeria. The PEST analysis is a widely used strategic tool that enables </w:t>
      </w:r>
      <w:proofErr w:type="spellStart"/>
      <w:r w:rsidRPr="008D3090">
        <w:rPr>
          <w:rFonts w:ascii="Times New Roman" w:eastAsia="Aptos" w:hAnsi="Times New Roman" w:cs="Times New Roman"/>
        </w:rPr>
        <w:t>organisations</w:t>
      </w:r>
      <w:proofErr w:type="spellEnd"/>
      <w:r w:rsidRPr="008D3090">
        <w:rPr>
          <w:rFonts w:ascii="Times New Roman" w:eastAsia="Aptos" w:hAnsi="Times New Roman" w:cs="Times New Roman"/>
        </w:rPr>
        <w:t xml:space="preserve"> to identify the opportunities and threats that exists in their external environment. The aim of this is to identify the key external factors that could impact the brand's operations. </w:t>
      </w:r>
    </w:p>
    <w:p w14:paraId="19B8C5AF"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52E2A45" w14:textId="77777777" w:rsidR="001A5F7B" w:rsidRDefault="001A5F7B" w:rsidP="001A5F7B">
      <w:pPr>
        <w:tabs>
          <w:tab w:val="left" w:pos="3130"/>
        </w:tabs>
        <w:spacing w:line="240" w:lineRule="auto"/>
        <w:jc w:val="both"/>
        <w:rPr>
          <w:rFonts w:ascii="Times New Roman" w:eastAsia="Aptos" w:hAnsi="Times New Roman" w:cs="Times New Roman"/>
        </w:rPr>
      </w:pPr>
    </w:p>
    <w:p w14:paraId="57E75D11" w14:textId="77777777" w:rsidR="001A5F7B" w:rsidRDefault="001A5F7B" w:rsidP="001A5F7B">
      <w:pPr>
        <w:tabs>
          <w:tab w:val="left" w:pos="3130"/>
        </w:tabs>
        <w:spacing w:line="240" w:lineRule="auto"/>
        <w:jc w:val="both"/>
        <w:rPr>
          <w:rFonts w:ascii="Times New Roman" w:eastAsia="Aptos" w:hAnsi="Times New Roman" w:cs="Times New Roman"/>
        </w:rPr>
      </w:pPr>
    </w:p>
    <w:p w14:paraId="551593B4" w14:textId="61EA3BC0"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lastRenderedPageBreak/>
        <w:t xml:space="preserve">Table 2 PEST Analysis </w:t>
      </w:r>
    </w:p>
    <w:tbl>
      <w:tblPr>
        <w:tblStyle w:val="TableGrid7"/>
        <w:tblW w:w="0" w:type="auto"/>
        <w:tblLook w:val="04A0" w:firstRow="1" w:lastRow="0" w:firstColumn="1" w:lastColumn="0" w:noHBand="0" w:noVBand="1"/>
      </w:tblPr>
      <w:tblGrid>
        <w:gridCol w:w="3114"/>
        <w:gridCol w:w="6236"/>
      </w:tblGrid>
      <w:tr w:rsidR="008D3090" w:rsidRPr="008D3090" w14:paraId="5E19DFBE" w14:textId="77777777" w:rsidTr="00D00B3F">
        <w:tc>
          <w:tcPr>
            <w:tcW w:w="3114" w:type="dxa"/>
          </w:tcPr>
          <w:p w14:paraId="37D055F4"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Political</w:t>
            </w:r>
          </w:p>
        </w:tc>
        <w:tc>
          <w:tcPr>
            <w:tcW w:w="6236" w:type="dxa"/>
          </w:tcPr>
          <w:p w14:paraId="4E7E4B41"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The Nigerian government's policies and regulations on food safety, health, and hygiene have the potential to affect the operations of catering brands, due to the country's complex political environment. For instance, the government's ban on the importation of parboiled rice through seaports in January 2022, following a previous ban on importation through land borders in 2016 (Global Trade Alert, 2022), significantly impacted the operations of many catering brands. This ban caused dissatisfaction among customers as the locally produced rice was of inferior quality to the imported rice.</w:t>
            </w:r>
          </w:p>
        </w:tc>
      </w:tr>
      <w:tr w:rsidR="008D3090" w:rsidRPr="008D3090" w14:paraId="26CBE503" w14:textId="77777777" w:rsidTr="00D00B3F">
        <w:tc>
          <w:tcPr>
            <w:tcW w:w="3114" w:type="dxa"/>
          </w:tcPr>
          <w:p w14:paraId="21A961C7"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Economic</w:t>
            </w:r>
          </w:p>
        </w:tc>
        <w:tc>
          <w:tcPr>
            <w:tcW w:w="6236" w:type="dxa"/>
          </w:tcPr>
          <w:p w14:paraId="7A18DC64"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The Boko Haram insurgency, which has affected an estimated number of 15 million Nigerians since its inception in 2014 (World Bank, 2015), has had a profound impact on food production and agricultural productivity, thereby causing </w:t>
            </w:r>
            <w:proofErr w:type="spellStart"/>
            <w:r w:rsidRPr="008D3090">
              <w:rPr>
                <w:rFonts w:ascii="Times New Roman" w:eastAsia="Aptos" w:hAnsi="Times New Roman" w:cs="Times New Roman"/>
              </w:rPr>
              <w:t>localised</w:t>
            </w:r>
            <w:proofErr w:type="spellEnd"/>
            <w:r w:rsidRPr="008D3090">
              <w:rPr>
                <w:rFonts w:ascii="Times New Roman" w:eastAsia="Aptos" w:hAnsi="Times New Roman" w:cs="Times New Roman"/>
              </w:rPr>
              <w:t xml:space="preserve"> food crises and acute food insecurity. The resultant restriction on food accessibility and availability has rendered certain food items unavailable/unaffordable for catering brands. Also, the Nigerian economy has experienced an adverse downturn that has resulted in the impoverishment of millions of Nigerians with an estimated number of 13 million individuals living below the national poverty line between 2019 and 2025 (The World Bank, 2021). The economic downturn could negatively impact the demand for catering services for events, corporate meetings, and weddings and affect the purchasing power of consumers.</w:t>
            </w:r>
          </w:p>
        </w:tc>
      </w:tr>
      <w:tr w:rsidR="008D3090" w:rsidRPr="008D3090" w14:paraId="52E84CE0" w14:textId="77777777" w:rsidTr="00D00B3F">
        <w:tc>
          <w:tcPr>
            <w:tcW w:w="3114" w:type="dxa"/>
          </w:tcPr>
          <w:p w14:paraId="771D6127"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Social</w:t>
            </w:r>
          </w:p>
        </w:tc>
        <w:tc>
          <w:tcPr>
            <w:tcW w:w="6236" w:type="dxa"/>
          </w:tcPr>
          <w:p w14:paraId="3D2516CB"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Nigeria has a diverse population with different cultures, traditions, and tastes. It is important for catering brands to understand the social factors that impact consumer preferences, including food choices, cultural norms, and event planning. RSCS caters to a diverse clientele by providing a wide range of food choices, including intercontinental dishes, which sets it apart from competitor. Additionally, social factors such as changing lifestyles, work patterns and trends may also impact the demand for catering services. For instance, the hectic work schedules of the consumers, growing women working population, and sedentary lifestyles are propelling the demand for ready-to-eat meals in Nigeria (Market Watch, 2023). Catering brands that can adapt to changing social trends and offer tailored services are likely to have a competitive advantage in the market.</w:t>
            </w:r>
          </w:p>
        </w:tc>
      </w:tr>
      <w:tr w:rsidR="008D3090" w:rsidRPr="008D3090" w14:paraId="3F1C96AC" w14:textId="77777777" w:rsidTr="00D00B3F">
        <w:tc>
          <w:tcPr>
            <w:tcW w:w="3114" w:type="dxa"/>
          </w:tcPr>
          <w:p w14:paraId="34DA1321"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Technological</w:t>
            </w:r>
          </w:p>
        </w:tc>
        <w:tc>
          <w:tcPr>
            <w:tcW w:w="6236" w:type="dxa"/>
          </w:tcPr>
          <w:p w14:paraId="2D1CA617"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Technological advancements in the catering industry can provide opportunities to improve customer experience and 26 increase efficiency. An example of this is online ordering systems or mobile apps that can make it easier for customers to place orders and receive catering services such as </w:t>
            </w:r>
            <w:proofErr w:type="spellStart"/>
            <w:r w:rsidRPr="008D3090">
              <w:rPr>
                <w:rFonts w:ascii="Times New Roman" w:eastAsia="Aptos" w:hAnsi="Times New Roman" w:cs="Times New Roman"/>
              </w:rPr>
              <w:t>GlovoApp</w:t>
            </w:r>
            <w:proofErr w:type="spellEnd"/>
            <w:r w:rsidRPr="008D3090">
              <w:rPr>
                <w:rFonts w:ascii="Times New Roman" w:eastAsia="Aptos" w:hAnsi="Times New Roman" w:cs="Times New Roman"/>
              </w:rPr>
              <w:t xml:space="preserve"> </w:t>
            </w:r>
            <w:r w:rsidRPr="008D3090">
              <w:rPr>
                <w:rFonts w:ascii="Times New Roman" w:eastAsia="Aptos" w:hAnsi="Times New Roman" w:cs="Times New Roman"/>
              </w:rPr>
              <w:lastRenderedPageBreak/>
              <w:t>and Jumia Foods. RSCS has embraced technology in its operations by adopting an online ordering system that enables customers to order their meals through the social media platforms or brand's website. RSCS has incorporated technology to enhance its communication with customers. The brand uses social media platforms such as Facebook, Instagram, and WhatsApp to engage with customers and respond to their queries in real-time. This has helped to build a strong brand reputation and improve customer loyalty. Changes in technology and consumer preferences can lead to new opportunities for branding and marketing catering services.</w:t>
            </w:r>
          </w:p>
        </w:tc>
      </w:tr>
    </w:tbl>
    <w:p w14:paraId="46CD27EA" w14:textId="77777777" w:rsidR="008D3090" w:rsidRPr="008D3090" w:rsidRDefault="008D3090" w:rsidP="001A5F7B">
      <w:pPr>
        <w:tabs>
          <w:tab w:val="left" w:pos="3130"/>
        </w:tabs>
        <w:spacing w:line="240" w:lineRule="auto"/>
        <w:jc w:val="both"/>
        <w:rPr>
          <w:rFonts w:ascii="Times New Roman" w:eastAsia="Aptos" w:hAnsi="Times New Roman" w:cs="Times New Roman"/>
          <w:sz w:val="20"/>
          <w:szCs w:val="20"/>
        </w:rPr>
      </w:pPr>
    </w:p>
    <w:p w14:paraId="47811745"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SWOT Analysis of RSCS </w:t>
      </w:r>
    </w:p>
    <w:p w14:paraId="3E66950C"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SWOT analysis is a widely used tool in strategic planning that helps organizations to identify and </w:t>
      </w:r>
      <w:proofErr w:type="spellStart"/>
      <w:r w:rsidRPr="008D3090">
        <w:rPr>
          <w:rFonts w:ascii="Times New Roman" w:eastAsia="Aptos" w:hAnsi="Times New Roman" w:cs="Times New Roman"/>
        </w:rPr>
        <w:t>analyse</w:t>
      </w:r>
      <w:proofErr w:type="spellEnd"/>
      <w:r w:rsidRPr="008D3090">
        <w:rPr>
          <w:rFonts w:ascii="Times New Roman" w:eastAsia="Aptos" w:hAnsi="Times New Roman" w:cs="Times New Roman"/>
        </w:rPr>
        <w:t xml:space="preserve"> internal and external factors such as its resources, capabilities, and competitive advantages, as well as external factors, such as market trends, customer preferences, and regulatory changes that can have an impact on their operations and performance. In the case of RSCS, conducting a SWOT analysis can help to provide a comprehensive overview of the company's strengths, weaknesses, opportunities, and threats, which can be used to inform the development of a strategic plan to address current challenges and </w:t>
      </w:r>
      <w:proofErr w:type="spellStart"/>
      <w:r w:rsidRPr="008D3090">
        <w:rPr>
          <w:rFonts w:ascii="Times New Roman" w:eastAsia="Aptos" w:hAnsi="Times New Roman" w:cs="Times New Roman"/>
        </w:rPr>
        <w:t>capitalise</w:t>
      </w:r>
      <w:proofErr w:type="spellEnd"/>
      <w:r w:rsidRPr="008D3090">
        <w:rPr>
          <w:rFonts w:ascii="Times New Roman" w:eastAsia="Aptos" w:hAnsi="Times New Roman" w:cs="Times New Roman"/>
        </w:rPr>
        <w:t xml:space="preserve"> on future opportunities. </w:t>
      </w:r>
    </w:p>
    <w:p w14:paraId="0070C52E"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Table 3 SWOT Analysis </w:t>
      </w:r>
    </w:p>
    <w:tbl>
      <w:tblPr>
        <w:tblStyle w:val="TableGrid7"/>
        <w:tblW w:w="0" w:type="auto"/>
        <w:tblLook w:val="04A0" w:firstRow="1" w:lastRow="0" w:firstColumn="1" w:lastColumn="0" w:noHBand="0" w:noVBand="1"/>
      </w:tblPr>
      <w:tblGrid>
        <w:gridCol w:w="4433"/>
        <w:gridCol w:w="4917"/>
      </w:tblGrid>
      <w:tr w:rsidR="008D3090" w:rsidRPr="008D3090" w14:paraId="166624F2" w14:textId="77777777" w:rsidTr="00D00B3F">
        <w:tc>
          <w:tcPr>
            <w:tcW w:w="0" w:type="auto"/>
          </w:tcPr>
          <w:p w14:paraId="014924B2"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Strengths:</w:t>
            </w:r>
          </w:p>
          <w:p w14:paraId="6E116FDE"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 • RSCS possesses a strong reputation for high-quality catering services that are tailored to meet the specific needs of its customers. </w:t>
            </w:r>
          </w:p>
          <w:p w14:paraId="2DFD8D9F"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RSCS maintains active accounts on various social media platforms, allowing customers to easily access their products and services without needing to visit their physical location. This has significantly contributed to the establishment of a strong brand reputation for the company.</w:t>
            </w:r>
          </w:p>
          <w:p w14:paraId="732EE28D"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 • RSCS has built a widespread customer base in Lagos and Ibadan, Nigeria, comprising of a diverse range of individuals and organizations, thereby providing a stable source of revenue for the brand.</w:t>
            </w:r>
          </w:p>
          <w:p w14:paraId="68B63A99"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 • The company has made a significant investment in branding, and this serves as an effective visual attraction for both current and prospective customers.</w:t>
            </w:r>
          </w:p>
        </w:tc>
        <w:tc>
          <w:tcPr>
            <w:tcW w:w="0" w:type="auto"/>
          </w:tcPr>
          <w:p w14:paraId="31F2F7B1"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Weaknesses: </w:t>
            </w:r>
          </w:p>
          <w:p w14:paraId="511521A8"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 In contrast to larger catering brands, RSCS operates with a restricted marketing budget, particularly when it comes to promotional activities on various platforms, including social media. This limitation in budget allocation may pose challenges for RSCS in terms of effectively reaching and engaging a wider audience compared to its larger competitors in the catering industry. </w:t>
            </w:r>
          </w:p>
          <w:p w14:paraId="32B91A80"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RSCS's pricing strategy is comparatively higher than that of certain competitors, particularly fast-food brands, primarily because these brands benefit from economies of scale in their bulk production processes, unlike RSCS</w:t>
            </w:r>
          </w:p>
          <w:p w14:paraId="023A6CA2"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 RSCS has a relatively small team of employees, which could pose a challenge in handling large-scale events and could limit its capacity to expand operations.</w:t>
            </w:r>
          </w:p>
        </w:tc>
      </w:tr>
      <w:tr w:rsidR="008D3090" w:rsidRPr="008D3090" w14:paraId="1B82ACAA" w14:textId="77777777" w:rsidTr="00D00B3F">
        <w:tc>
          <w:tcPr>
            <w:tcW w:w="0" w:type="auto"/>
          </w:tcPr>
          <w:p w14:paraId="67A42431"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Opportunities: </w:t>
            </w:r>
          </w:p>
          <w:p w14:paraId="1F0D5933"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lastRenderedPageBreak/>
              <w:t xml:space="preserve">• The increasing demand for catering services at corporate events, weddings, and other social gatherings presents an opportunity for RSCS to </w:t>
            </w:r>
            <w:proofErr w:type="spellStart"/>
            <w:r w:rsidRPr="008D3090">
              <w:rPr>
                <w:rFonts w:ascii="Times New Roman" w:eastAsia="Aptos" w:hAnsi="Times New Roman" w:cs="Times New Roman"/>
              </w:rPr>
              <w:t>capitalise</w:t>
            </w:r>
            <w:proofErr w:type="spellEnd"/>
            <w:r w:rsidRPr="008D3090">
              <w:rPr>
                <w:rFonts w:ascii="Times New Roman" w:eastAsia="Aptos" w:hAnsi="Times New Roman" w:cs="Times New Roman"/>
              </w:rPr>
              <w:t xml:space="preserve"> on this trend. </w:t>
            </w:r>
          </w:p>
          <w:p w14:paraId="5E23B47F"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The emergence of technology driven solutions such as online ordering and delivery platforms such as Jumia Foods, presents an opportunity for RSCS to leverage these solutions to expand its reach and customer base.</w:t>
            </w:r>
          </w:p>
          <w:p w14:paraId="1AD0441B"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 • The brand presently provides a 24-hour delivery service for its products, but there is an opportunity to expand its customer base by offering shorter delivery times</w:t>
            </w:r>
          </w:p>
        </w:tc>
        <w:tc>
          <w:tcPr>
            <w:tcW w:w="0" w:type="auto"/>
          </w:tcPr>
          <w:p w14:paraId="42D17CBA"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lastRenderedPageBreak/>
              <w:t xml:space="preserve">Threats: </w:t>
            </w:r>
          </w:p>
          <w:p w14:paraId="79AAB8E5"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lastRenderedPageBreak/>
              <w:t xml:space="preserve">• Intense competition from fast food companies and force of new entrants into the catering sector poses a threat to RSCS's market position. </w:t>
            </w:r>
          </w:p>
          <w:p w14:paraId="2584146A"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xml:space="preserve">• Economic downturns, such as those experienced by Nigeria in recent years, could impact consumer spending on catering services, thereby reducing demand for RSCS's offerings. </w:t>
            </w:r>
          </w:p>
          <w:p w14:paraId="570FFDA6" w14:textId="77777777" w:rsidR="008D3090" w:rsidRPr="008D3090" w:rsidRDefault="008D3090" w:rsidP="001A5F7B">
            <w:pPr>
              <w:tabs>
                <w:tab w:val="left" w:pos="3130"/>
              </w:tabs>
              <w:jc w:val="both"/>
              <w:rPr>
                <w:rFonts w:ascii="Times New Roman" w:eastAsia="Aptos" w:hAnsi="Times New Roman" w:cs="Times New Roman"/>
              </w:rPr>
            </w:pPr>
            <w:r w:rsidRPr="008D3090">
              <w:rPr>
                <w:rFonts w:ascii="Times New Roman" w:eastAsia="Aptos" w:hAnsi="Times New Roman" w:cs="Times New Roman"/>
              </w:rPr>
              <w:t>• Changes in government regulations and policies could pose a threat to RSCS's operations, particularly in areas such as importation, taxation, and health and safety regulations.</w:t>
            </w:r>
          </w:p>
        </w:tc>
      </w:tr>
    </w:tbl>
    <w:p w14:paraId="7F26A3AF" w14:textId="77777777" w:rsidR="008D3090" w:rsidRPr="008D3090" w:rsidRDefault="008D3090" w:rsidP="001A5F7B">
      <w:pPr>
        <w:tabs>
          <w:tab w:val="left" w:pos="3130"/>
        </w:tabs>
        <w:spacing w:line="240" w:lineRule="auto"/>
        <w:jc w:val="both"/>
        <w:rPr>
          <w:rFonts w:ascii="Times New Roman" w:eastAsia="Aptos" w:hAnsi="Times New Roman" w:cs="Times New Roman"/>
          <w:b/>
          <w:bCs/>
        </w:rPr>
      </w:pPr>
    </w:p>
    <w:p w14:paraId="08627E0B" w14:textId="77777777" w:rsidR="008D3090" w:rsidRPr="008D3090" w:rsidRDefault="008D3090" w:rsidP="001A5F7B">
      <w:pPr>
        <w:tabs>
          <w:tab w:val="left" w:pos="3130"/>
        </w:tabs>
        <w:spacing w:line="240" w:lineRule="auto"/>
        <w:jc w:val="both"/>
        <w:rPr>
          <w:rFonts w:ascii="Times New Roman" w:eastAsia="Aptos" w:hAnsi="Times New Roman" w:cs="Times New Roman"/>
          <w:b/>
          <w:bCs/>
        </w:rPr>
      </w:pPr>
      <w:r w:rsidRPr="008D3090">
        <w:rPr>
          <w:rFonts w:ascii="Times New Roman" w:eastAsia="Aptos" w:hAnsi="Times New Roman" w:cs="Times New Roman"/>
          <w:b/>
          <w:bCs/>
        </w:rPr>
        <w:t xml:space="preserve">Findings </w:t>
      </w:r>
    </w:p>
    <w:p w14:paraId="458A1D13"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b/>
          <w:bCs/>
        </w:rPr>
        <w:t xml:space="preserve">Strategies Employed by RSCS To Enhance Brand Awareness </w:t>
      </w:r>
      <w:proofErr w:type="gramStart"/>
      <w:r w:rsidRPr="008D3090">
        <w:rPr>
          <w:rFonts w:ascii="Times New Roman" w:eastAsia="Aptos" w:hAnsi="Times New Roman" w:cs="Times New Roman"/>
          <w:b/>
          <w:bCs/>
        </w:rPr>
        <w:t>On</w:t>
      </w:r>
      <w:proofErr w:type="gramEnd"/>
      <w:r w:rsidRPr="008D3090">
        <w:rPr>
          <w:rFonts w:ascii="Times New Roman" w:eastAsia="Aptos" w:hAnsi="Times New Roman" w:cs="Times New Roman"/>
          <w:b/>
          <w:bCs/>
        </w:rPr>
        <w:t xml:space="preserve"> Social Media</w:t>
      </w:r>
      <w:r w:rsidRPr="008D3090">
        <w:rPr>
          <w:rFonts w:ascii="Times New Roman" w:eastAsia="Aptos" w:hAnsi="Times New Roman" w:cs="Times New Roman"/>
        </w:rPr>
        <w:t xml:space="preserve"> </w:t>
      </w:r>
    </w:p>
    <w:p w14:paraId="5E8A3AC4"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The dynamic and evolving nature of social media platforms requires companies to adapt their strategies to effectively connect with their target audience. It is important for brands to employ a variety of social media strategies to increase brand awareness and engage customers. Employing effective social media strategies can help companies to establish a strong connection with </w:t>
      </w:r>
      <w:proofErr w:type="gramStart"/>
      <w:r w:rsidRPr="008D3090">
        <w:rPr>
          <w:rFonts w:ascii="Times New Roman" w:eastAsia="Aptos" w:hAnsi="Times New Roman" w:cs="Times New Roman"/>
        </w:rPr>
        <w:t>their  customers</w:t>
      </w:r>
      <w:proofErr w:type="gramEnd"/>
      <w:r w:rsidRPr="008D3090">
        <w:rPr>
          <w:rFonts w:ascii="Times New Roman" w:eastAsia="Aptos" w:hAnsi="Times New Roman" w:cs="Times New Roman"/>
        </w:rPr>
        <w:t xml:space="preserve">, foster brand loyalty, and ultimately boost sales (Larson and Watson, 2011). RSCS has been successful in acquiring a large percentage of their customers through their social media presence. By leveraging social media platforms, RSCS has been able to increase their brand awareness and engage with their target audience in a cost-effective manner. To achieve this, RSCS has implemented a variety of social media strategies to connect with its customers, build brand loyalty and increase its digital presence. Some of these include: </w:t>
      </w:r>
    </w:p>
    <w:p w14:paraId="77FD5B60"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08416" behindDoc="1" locked="0" layoutInCell="1" allowOverlap="1" wp14:anchorId="012E826E" wp14:editId="704E54FB">
            <wp:simplePos x="0" y="0"/>
            <wp:positionH relativeFrom="margin">
              <wp:posOffset>411480</wp:posOffset>
            </wp:positionH>
            <wp:positionV relativeFrom="page">
              <wp:posOffset>7265396</wp:posOffset>
            </wp:positionV>
            <wp:extent cx="4053205" cy="1787610"/>
            <wp:effectExtent l="0" t="0" r="4445" b="3175"/>
            <wp:wrapNone/>
            <wp:docPr id="438280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6"/>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4053205" cy="1787610"/>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 Hashtags: Hashtags have become an integral part of social media marketing strategies, and they are used to </w:t>
      </w:r>
      <w:proofErr w:type="spellStart"/>
      <w:r w:rsidRPr="008D3090">
        <w:rPr>
          <w:rFonts w:ascii="Times New Roman" w:eastAsia="Aptos" w:hAnsi="Times New Roman" w:cs="Times New Roman"/>
        </w:rPr>
        <w:t>categorise</w:t>
      </w:r>
      <w:proofErr w:type="spellEnd"/>
      <w:r w:rsidRPr="008D3090">
        <w:rPr>
          <w:rFonts w:ascii="Times New Roman" w:eastAsia="Aptos" w:hAnsi="Times New Roman" w:cs="Times New Roman"/>
        </w:rPr>
        <w:t xml:space="preserve"> content and make it more discoverable by users. According to a study by </w:t>
      </w:r>
      <w:proofErr w:type="spellStart"/>
      <w:r w:rsidRPr="008D3090">
        <w:rPr>
          <w:rFonts w:ascii="Times New Roman" w:eastAsia="Aptos" w:hAnsi="Times New Roman" w:cs="Times New Roman"/>
        </w:rPr>
        <w:t>Laucuka</w:t>
      </w:r>
      <w:proofErr w:type="spellEnd"/>
      <w:r w:rsidRPr="008D3090">
        <w:rPr>
          <w:rFonts w:ascii="Times New Roman" w:eastAsia="Aptos" w:hAnsi="Times New Roman" w:cs="Times New Roman"/>
        </w:rPr>
        <w:t xml:space="preserve"> (2018), hashtags are user-generated keywords preceded by a # sign, which are used to </w:t>
      </w:r>
      <w:proofErr w:type="spellStart"/>
      <w:r w:rsidRPr="008D3090">
        <w:rPr>
          <w:rFonts w:ascii="Times New Roman" w:eastAsia="Aptos" w:hAnsi="Times New Roman" w:cs="Times New Roman"/>
        </w:rPr>
        <w:t>organise</w:t>
      </w:r>
      <w:proofErr w:type="spellEnd"/>
      <w:r w:rsidRPr="008D3090">
        <w:rPr>
          <w:rFonts w:ascii="Times New Roman" w:eastAsia="Aptos" w:hAnsi="Times New Roman" w:cs="Times New Roman"/>
        </w:rPr>
        <w:t xml:space="preserve"> and </w:t>
      </w:r>
      <w:proofErr w:type="spellStart"/>
      <w:r w:rsidRPr="008D3090">
        <w:rPr>
          <w:rFonts w:ascii="Times New Roman" w:eastAsia="Aptos" w:hAnsi="Times New Roman" w:cs="Times New Roman"/>
        </w:rPr>
        <w:t>categorise</w:t>
      </w:r>
      <w:proofErr w:type="spellEnd"/>
      <w:r w:rsidRPr="008D3090">
        <w:rPr>
          <w:rFonts w:ascii="Times New Roman" w:eastAsia="Aptos" w:hAnsi="Times New Roman" w:cs="Times New Roman"/>
        </w:rPr>
        <w:t xml:space="preserve"> social media content. The use of hashtags allows users to find and engage with content that is relevant to their interests or needs, while also enabling brands to increase their reach and visibility on social media platforms (Kumar, Qiu, and Kumar, 2022). </w:t>
      </w:r>
    </w:p>
    <w:p w14:paraId="4DA75A7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846C3AD"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DCD9705"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327661F"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69857BCA"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w:t>
      </w:r>
    </w:p>
    <w:p w14:paraId="40EAEDFE"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Figure 5: Screenshot from Instagram </w:t>
      </w:r>
    </w:p>
    <w:p w14:paraId="0FB8FB8C"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lastRenderedPageBreak/>
        <w:drawing>
          <wp:anchor distT="0" distB="0" distL="114300" distR="114300" simplePos="0" relativeHeight="251709440" behindDoc="1" locked="0" layoutInCell="1" allowOverlap="1" wp14:anchorId="081F02AC" wp14:editId="628B183B">
            <wp:simplePos x="0" y="0"/>
            <wp:positionH relativeFrom="page">
              <wp:posOffset>1378619</wp:posOffset>
            </wp:positionH>
            <wp:positionV relativeFrom="margin">
              <wp:posOffset>255373</wp:posOffset>
            </wp:positionV>
            <wp:extent cx="4545543" cy="2193010"/>
            <wp:effectExtent l="0" t="0" r="7620" b="0"/>
            <wp:wrapNone/>
            <wp:docPr id="667575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7"/>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4545543" cy="2193010"/>
                    </a:xfrm>
                    <a:prstGeom prst="rect">
                      <a:avLst/>
                    </a:prstGeom>
                    <a:noFill/>
                  </pic:spPr>
                </pic:pic>
              </a:graphicData>
            </a:graphic>
            <wp14:sizeRelH relativeFrom="page">
              <wp14:pctWidth>0</wp14:pctWidth>
            </wp14:sizeRelH>
            <wp14:sizeRelV relativeFrom="page">
              <wp14:pctHeight>0</wp14:pctHeight>
            </wp14:sizeRelV>
          </wp:anchor>
        </w:drawing>
      </w:r>
    </w:p>
    <w:p w14:paraId="4696EE45"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73FA0B0"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w:t>
      </w:r>
    </w:p>
    <w:p w14:paraId="4F044EB0"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734B8C1A"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44ABD4E"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24D168E" w14:textId="77777777" w:rsidR="008D3090" w:rsidRPr="008D3090" w:rsidRDefault="008D3090" w:rsidP="001A5F7B">
      <w:pPr>
        <w:widowControl w:val="0"/>
        <w:autoSpaceDE w:val="0"/>
        <w:autoSpaceDN w:val="0"/>
        <w:spacing w:after="0" w:line="240" w:lineRule="auto"/>
        <w:rPr>
          <w:rFonts w:ascii="Times New Roman" w:eastAsia="Aptos" w:hAnsi="Times New Roman" w:cs="Times New Roman"/>
          <w:iCs/>
          <w:color w:val="000000"/>
        </w:rPr>
      </w:pPr>
      <w:r w:rsidRPr="008D3090">
        <w:rPr>
          <w:rFonts w:ascii="Times New Roman" w:eastAsia="Aptos" w:hAnsi="Times New Roman" w:cs="Times New Roman"/>
          <w:iCs/>
          <w:color w:val="43536A"/>
          <w:sz w:val="18"/>
        </w:rPr>
        <w:t xml:space="preserve">                    </w:t>
      </w:r>
      <w:r w:rsidRPr="008D3090">
        <w:rPr>
          <w:rFonts w:ascii="Times New Roman" w:eastAsia="Aptos" w:hAnsi="Times New Roman" w:cs="Times New Roman"/>
          <w:iCs/>
          <w:color w:val="43536A"/>
        </w:rPr>
        <w:t xml:space="preserve"> Figure 6: Screenshot from Instagram</w:t>
      </w:r>
    </w:p>
    <w:p w14:paraId="5267086C"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5BAF1F9"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By using relevant hashtags, RSCS is able to improve the discoverability of their social media content to their target audience and expand their brand reach. As seen in figure 6, RSCS content ranks second when the hashtag “</w:t>
      </w:r>
      <w:proofErr w:type="spellStart"/>
      <w:r w:rsidRPr="008D3090">
        <w:rPr>
          <w:rFonts w:ascii="Times New Roman" w:eastAsia="Aptos" w:hAnsi="Times New Roman" w:cs="Times New Roman"/>
        </w:rPr>
        <w:t>ibadansoupbowls</w:t>
      </w:r>
      <w:proofErr w:type="spellEnd"/>
      <w:r w:rsidRPr="008D3090">
        <w:rPr>
          <w:rFonts w:ascii="Times New Roman" w:eastAsia="Aptos" w:hAnsi="Times New Roman" w:cs="Times New Roman"/>
        </w:rPr>
        <w:t>” is searched on Instagram. This strategy has proven to be effective in increasing engagement on social media platforms, as users are able to find and follow relevant content through the use of hashtags.</w:t>
      </w:r>
    </w:p>
    <w:p w14:paraId="7FE1B605"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 Reels: Instagram Reels is a feature that enables users to record and upload short videos which can be edited, enhanced with sound, and adorned with special effects (Dennis, 2022). Reels </w:t>
      </w:r>
      <w:proofErr w:type="gramStart"/>
      <w:r w:rsidRPr="008D3090">
        <w:rPr>
          <w:rFonts w:ascii="Times New Roman" w:eastAsia="Aptos" w:hAnsi="Times New Roman" w:cs="Times New Roman"/>
        </w:rPr>
        <w:t>offers</w:t>
      </w:r>
      <w:proofErr w:type="gramEnd"/>
      <w:r w:rsidRPr="008D3090">
        <w:rPr>
          <w:rFonts w:ascii="Times New Roman" w:eastAsia="Aptos" w:hAnsi="Times New Roman" w:cs="Times New Roman"/>
        </w:rPr>
        <w:t xml:space="preserve"> brands the option to showcase their content creativity, interact with their community, and expand their reach (Anderson, 2020). RSCS has strategically implemented the use of Instagram Reels to effectively showcase their products in a captivating and entertaining way. This feature enables the brand to share various types of content, including behind-the-scenes footage, recipe videos, and kitchen tips videos. </w:t>
      </w:r>
    </w:p>
    <w:p w14:paraId="1110D27C"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4D678B7B"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85EBC83"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572A45E"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A18552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287C369"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0464" behindDoc="1" locked="0" layoutInCell="1" allowOverlap="1" wp14:anchorId="6EC0CF62" wp14:editId="7DA29DC2">
            <wp:simplePos x="0" y="0"/>
            <wp:positionH relativeFrom="margin">
              <wp:posOffset>16476</wp:posOffset>
            </wp:positionH>
            <wp:positionV relativeFrom="page">
              <wp:posOffset>394609</wp:posOffset>
            </wp:positionV>
            <wp:extent cx="5756910" cy="2347993"/>
            <wp:effectExtent l="0" t="0" r="0" b="0"/>
            <wp:wrapNone/>
            <wp:docPr id="105100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8"/>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5756910" cy="2347993"/>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            </w:t>
      </w:r>
    </w:p>
    <w:p w14:paraId="1D6071DB"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7FCA8D1"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2E50DA0"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84899B4"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43D5B6A"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0E8E738"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1488" behindDoc="1" locked="0" layoutInCell="1" allowOverlap="1" wp14:anchorId="4FA907BD" wp14:editId="013587AD">
            <wp:simplePos x="0" y="0"/>
            <wp:positionH relativeFrom="page">
              <wp:posOffset>1394615</wp:posOffset>
            </wp:positionH>
            <wp:positionV relativeFrom="margin">
              <wp:posOffset>2495687</wp:posOffset>
            </wp:positionV>
            <wp:extent cx="5013325" cy="2571750"/>
            <wp:effectExtent l="0" t="0" r="0" b="0"/>
            <wp:wrapNone/>
            <wp:docPr id="132327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9"/>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5013325" cy="2571750"/>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                           Figure 7: Screenshot from RSCS Instagram Page  </w:t>
      </w:r>
    </w:p>
    <w:p w14:paraId="11FB36E6"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6D75CA14"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AD647C4"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698C169F"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E4CCB98"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32B6D66"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4109A1A"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BF4AC31"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Figure 8: RSCS Reels Reach Analysis</w:t>
      </w:r>
    </w:p>
    <w:p w14:paraId="147E97FD" w14:textId="77777777" w:rsidR="008D3090" w:rsidRPr="008D3090" w:rsidRDefault="008D3090" w:rsidP="001A5F7B">
      <w:pPr>
        <w:widowControl w:val="0"/>
        <w:autoSpaceDE w:val="0"/>
        <w:autoSpaceDN w:val="0"/>
        <w:spacing w:after="0" w:line="240" w:lineRule="auto"/>
        <w:jc w:val="both"/>
        <w:rPr>
          <w:rFonts w:ascii="Times New Roman" w:eastAsia="Aptos" w:hAnsi="Times New Roman" w:cs="Times New Roman"/>
          <w:color w:val="000000"/>
        </w:rPr>
      </w:pPr>
      <w:r w:rsidRPr="008D3090">
        <w:rPr>
          <w:rFonts w:ascii="Times New Roman" w:eastAsia="Aptos" w:hAnsi="Times New Roman" w:cs="Times New Roman"/>
          <w:color w:val="000000"/>
        </w:rPr>
        <w:t xml:space="preserve">From the analysis above, it shows that RSCS has been able to reach a large number of </w:t>
      </w:r>
      <w:proofErr w:type="gramStart"/>
      <w:r w:rsidRPr="008D3090">
        <w:rPr>
          <w:rFonts w:ascii="Times New Roman" w:eastAsia="Aptos" w:hAnsi="Times New Roman" w:cs="Times New Roman"/>
          <w:color w:val="000000"/>
        </w:rPr>
        <w:t>audience</w:t>
      </w:r>
      <w:proofErr w:type="gramEnd"/>
      <w:r w:rsidRPr="008D3090">
        <w:rPr>
          <w:rFonts w:ascii="Times New Roman" w:eastAsia="Aptos" w:hAnsi="Times New Roman" w:cs="Times New Roman"/>
          <w:color w:val="000000"/>
        </w:rPr>
        <w:t xml:space="preserve"> in the month of April with more than half of them being non-followers. This has had a significant impact on the brand's social media presence, with some Reels receiving up to 25,000 views, a number that surpasses the brand's actual number of followers by over six times. Such a result demonstrates the effectiveness of </w:t>
      </w:r>
      <w:proofErr w:type="spellStart"/>
      <w:r w:rsidRPr="008D3090">
        <w:rPr>
          <w:rFonts w:ascii="Times New Roman" w:eastAsia="Aptos" w:hAnsi="Times New Roman" w:cs="Times New Roman"/>
          <w:color w:val="000000"/>
        </w:rPr>
        <w:t>utilising</w:t>
      </w:r>
      <w:proofErr w:type="spellEnd"/>
      <w:r w:rsidRPr="008D3090">
        <w:rPr>
          <w:rFonts w:ascii="Times New Roman" w:eastAsia="Aptos" w:hAnsi="Times New Roman" w:cs="Times New Roman"/>
          <w:color w:val="000000"/>
        </w:rPr>
        <w:t xml:space="preserve"> Reels to increase engagement and expand brand awareness on social media platforms.</w:t>
      </w:r>
    </w:p>
    <w:p w14:paraId="579983A0" w14:textId="77777777" w:rsidR="008D3090" w:rsidRPr="008D3090" w:rsidRDefault="008D3090" w:rsidP="001A5F7B">
      <w:pPr>
        <w:widowControl w:val="0"/>
        <w:autoSpaceDE w:val="0"/>
        <w:autoSpaceDN w:val="0"/>
        <w:spacing w:after="0" w:line="240" w:lineRule="auto"/>
        <w:rPr>
          <w:rFonts w:ascii="Times New Roman" w:eastAsia="Aptos" w:hAnsi="Times New Roman" w:cs="Times New Roman"/>
          <w:color w:val="000000"/>
        </w:rPr>
      </w:pPr>
    </w:p>
    <w:p w14:paraId="375B6C3D" w14:textId="77777777" w:rsidR="008D3090" w:rsidRPr="008D3090" w:rsidRDefault="008D3090" w:rsidP="001A5F7B">
      <w:pPr>
        <w:tabs>
          <w:tab w:val="left" w:pos="3130"/>
        </w:tabs>
        <w:spacing w:line="240" w:lineRule="auto"/>
        <w:jc w:val="both"/>
        <w:rPr>
          <w:rFonts w:ascii="Times New Roman" w:eastAsia="Aptos" w:hAnsi="Times New Roman" w:cs="Times New Roman"/>
        </w:rPr>
      </w:pPr>
      <w:proofErr w:type="gramStart"/>
      <w:r w:rsidRPr="008D3090">
        <w:rPr>
          <w:rFonts w:ascii="Times New Roman" w:eastAsia="Aptos" w:hAnsi="Times New Roman" w:cs="Times New Roman"/>
        </w:rPr>
        <w:t>Social Media Bio</w:t>
      </w:r>
      <w:proofErr w:type="gramEnd"/>
      <w:r w:rsidRPr="008D3090">
        <w:rPr>
          <w:rFonts w:ascii="Times New Roman" w:eastAsia="Aptos" w:hAnsi="Times New Roman" w:cs="Times New Roman"/>
        </w:rPr>
        <w:t>: The bio section on social media platforms provides a brief introduction to the brand and its products or services (</w:t>
      </w:r>
      <w:proofErr w:type="spellStart"/>
      <w:r w:rsidRPr="008D3090">
        <w:rPr>
          <w:rFonts w:ascii="Times New Roman" w:eastAsia="Aptos" w:hAnsi="Times New Roman" w:cs="Times New Roman"/>
        </w:rPr>
        <w:t>Östring</w:t>
      </w:r>
      <w:proofErr w:type="spellEnd"/>
      <w:r w:rsidRPr="008D3090">
        <w:rPr>
          <w:rFonts w:ascii="Times New Roman" w:eastAsia="Aptos" w:hAnsi="Times New Roman" w:cs="Times New Roman"/>
        </w:rPr>
        <w:t xml:space="preserve">, 2020). A </w:t>
      </w:r>
      <w:proofErr w:type="spellStart"/>
      <w:proofErr w:type="gramStart"/>
      <w:r w:rsidRPr="008D3090">
        <w:rPr>
          <w:rFonts w:ascii="Times New Roman" w:eastAsia="Aptos" w:hAnsi="Times New Roman" w:cs="Times New Roman"/>
        </w:rPr>
        <w:t>well crafted</w:t>
      </w:r>
      <w:proofErr w:type="spellEnd"/>
      <w:proofErr w:type="gramEnd"/>
      <w:r w:rsidRPr="008D3090">
        <w:rPr>
          <w:rFonts w:ascii="Times New Roman" w:eastAsia="Aptos" w:hAnsi="Times New Roman" w:cs="Times New Roman"/>
        </w:rPr>
        <w:t xml:space="preserve"> bio that includes relevant keywords and information about the brand's mission, values, and unique selling points can help attract potential customers and increase brand awareness (Wong, 2022). RSCS has successfully </w:t>
      </w:r>
      <w:proofErr w:type="spellStart"/>
      <w:r w:rsidRPr="008D3090">
        <w:rPr>
          <w:rFonts w:ascii="Times New Roman" w:eastAsia="Aptos" w:hAnsi="Times New Roman" w:cs="Times New Roman"/>
        </w:rPr>
        <w:t>optimised</w:t>
      </w:r>
      <w:proofErr w:type="spellEnd"/>
      <w:r w:rsidRPr="008D3090">
        <w:rPr>
          <w:rFonts w:ascii="Times New Roman" w:eastAsia="Aptos" w:hAnsi="Times New Roman" w:cs="Times New Roman"/>
        </w:rPr>
        <w:t xml:space="preserve"> their Instagram bio by implementing several key strategies. Firstly, they have provided a clear description of the services they offer. In addition, RSCS has </w:t>
      </w:r>
      <w:proofErr w:type="spellStart"/>
      <w:r w:rsidRPr="008D3090">
        <w:rPr>
          <w:rFonts w:ascii="Times New Roman" w:eastAsia="Aptos" w:hAnsi="Times New Roman" w:cs="Times New Roman"/>
        </w:rPr>
        <w:t>utilised</w:t>
      </w:r>
      <w:proofErr w:type="spellEnd"/>
      <w:r w:rsidRPr="008D3090">
        <w:rPr>
          <w:rFonts w:ascii="Times New Roman" w:eastAsia="Aptos" w:hAnsi="Times New Roman" w:cs="Times New Roman"/>
        </w:rPr>
        <w:t xml:space="preserve"> their unique selling proposition (USP) by incorporating their tagline, "if it isn't fresh, it's illegal" and also included a relevant link to their </w:t>
      </w:r>
      <w:proofErr w:type="spellStart"/>
      <w:r w:rsidRPr="008D3090">
        <w:rPr>
          <w:rFonts w:ascii="Times New Roman" w:eastAsia="Aptos" w:hAnsi="Times New Roman" w:cs="Times New Roman"/>
        </w:rPr>
        <w:t>linktree</w:t>
      </w:r>
      <w:proofErr w:type="spellEnd"/>
      <w:r w:rsidRPr="008D3090">
        <w:rPr>
          <w:rFonts w:ascii="Times New Roman" w:eastAsia="Aptos" w:hAnsi="Times New Roman" w:cs="Times New Roman"/>
        </w:rPr>
        <w:t>, which enables customers to easily access their website/catalogue or WhatsApp for placing orders. Furthermore, RSCS incorporated relevant keywords such as "event catering" and "bulk lunch packs", to enhance their visibility in search results. Lastly, the brand has specified their page category as "food &amp; drink", further improving their discoverability on social media.</w:t>
      </w:r>
    </w:p>
    <w:p w14:paraId="49543534"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6608" behindDoc="1" locked="0" layoutInCell="1" allowOverlap="1" wp14:anchorId="2364C7D9" wp14:editId="56687AA2">
            <wp:simplePos x="0" y="0"/>
            <wp:positionH relativeFrom="page">
              <wp:posOffset>1120346</wp:posOffset>
            </wp:positionH>
            <wp:positionV relativeFrom="page">
              <wp:posOffset>3888259</wp:posOffset>
            </wp:positionV>
            <wp:extent cx="5756910" cy="3286898"/>
            <wp:effectExtent l="0" t="0" r="0" b="8890"/>
            <wp:wrapNone/>
            <wp:docPr id="160763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0"/>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5761207" cy="3289351"/>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 Trends: Jumping on relevant trends on social media helps showcase a brand's personality and portray it as modern and relevant. This can lead to positive brand awareness, increased engagement, and more followers on social media platforms (Marketing Elect, 2022). </w:t>
      </w:r>
    </w:p>
    <w:p w14:paraId="3E89EBF3"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4C2D9DDF"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D0E50A0"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7937D114"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6D5CECFD"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0FCA883"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7D97425"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C497F05"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7A9A928B"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6F4D363" w14:textId="77777777" w:rsidR="008D3090" w:rsidRPr="008D3090" w:rsidRDefault="008D3090" w:rsidP="001A5F7B">
      <w:pPr>
        <w:widowControl w:val="0"/>
        <w:autoSpaceDE w:val="0"/>
        <w:autoSpaceDN w:val="0"/>
        <w:spacing w:after="0" w:line="240" w:lineRule="auto"/>
        <w:rPr>
          <w:rFonts w:ascii="Calibri" w:eastAsia="Aptos" w:hAnsi="Aptos" w:cs="Times New Roman"/>
          <w:i/>
          <w:color w:val="000000"/>
          <w:sz w:val="18"/>
        </w:rPr>
      </w:pPr>
      <w:r w:rsidRPr="008D3090">
        <w:rPr>
          <w:rFonts w:ascii="Calibri" w:eastAsia="Aptos" w:hAnsi="Aptos" w:cs="Times New Roman"/>
          <w:i/>
          <w:color w:val="43536A"/>
          <w:sz w:val="18"/>
        </w:rPr>
        <w:lastRenderedPageBreak/>
        <w:t xml:space="preserve">                                                     Figure 9: Screenshot from RSCS TikTok Page</w:t>
      </w:r>
    </w:p>
    <w:p w14:paraId="495E3E3A"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RSCS has been able to jump on relevant trends on social media by keeping a close eye on popular topics or events such as holidays, and trending sounds that align with their brand identity. Figure 10 demonstrates the successful implementation of a trending sound by RSCS, resulting in the video reaching a substantial audience of 2,428 people. In contrast, the subsequent videos posted without the inclusion of a trending sound garnered only 817 views. This highlights the impact of incorporating trending sounds in social media posts, as it significantly contributed to the higher visibility and engagement of RSCS's content. </w:t>
      </w:r>
    </w:p>
    <w:p w14:paraId="3F8618ED"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 Social Media Ads: Social media ads are a highly effective way of increasing brand awareness for businesses (Bilgin, 2018). Through social media ads, businesses can reach their target audience more easily and effectively. Social media platforms, such as Facebook, Instagram, TikTok and Twitter, offer a range of ad formats and targeting options that can be tailored to specific audiences. Ads can be targeted based on demographics, interests, </w:t>
      </w:r>
      <w:proofErr w:type="spellStart"/>
      <w:r w:rsidRPr="008D3090">
        <w:rPr>
          <w:rFonts w:ascii="Times New Roman" w:eastAsia="Aptos" w:hAnsi="Times New Roman" w:cs="Times New Roman"/>
        </w:rPr>
        <w:t>behaviours</w:t>
      </w:r>
      <w:proofErr w:type="spellEnd"/>
      <w:r w:rsidRPr="008D3090">
        <w:rPr>
          <w:rFonts w:ascii="Times New Roman" w:eastAsia="Aptos" w:hAnsi="Times New Roman" w:cs="Times New Roman"/>
        </w:rPr>
        <w:t>, and even specific locations. Social media ads can be highly cost-effective, and this has been particularly beneficial for small businesses like RSCS with limited marketing budgets.</w:t>
      </w:r>
    </w:p>
    <w:p w14:paraId="16771E7B"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2512" behindDoc="1" locked="0" layoutInCell="1" allowOverlap="1" wp14:anchorId="5DD81D3A" wp14:editId="46E62C30">
            <wp:simplePos x="0" y="0"/>
            <wp:positionH relativeFrom="page">
              <wp:posOffset>1086794</wp:posOffset>
            </wp:positionH>
            <wp:positionV relativeFrom="page">
              <wp:posOffset>3492671</wp:posOffset>
            </wp:positionV>
            <wp:extent cx="5486400" cy="2511948"/>
            <wp:effectExtent l="0" t="0" r="0" b="3175"/>
            <wp:wrapNone/>
            <wp:docPr id="121622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486400" cy="2511948"/>
                    </a:xfrm>
                    <a:prstGeom prst="rect">
                      <a:avLst/>
                    </a:prstGeom>
                    <a:noFill/>
                  </pic:spPr>
                </pic:pic>
              </a:graphicData>
            </a:graphic>
            <wp14:sizeRelH relativeFrom="page">
              <wp14:pctWidth>0</wp14:pctWidth>
            </wp14:sizeRelH>
            <wp14:sizeRelV relativeFrom="page">
              <wp14:pctHeight>0</wp14:pctHeight>
            </wp14:sizeRelV>
          </wp:anchor>
        </w:drawing>
      </w:r>
    </w:p>
    <w:p w14:paraId="72D91B1D"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DF21DDA"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C6FE07B"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B038F93"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2A7B96B"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7810E7F"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4D15E2B2"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3536" behindDoc="1" locked="0" layoutInCell="1" allowOverlap="1" wp14:anchorId="0739F96B" wp14:editId="7AA63C69">
            <wp:simplePos x="0" y="0"/>
            <wp:positionH relativeFrom="page">
              <wp:posOffset>1283129</wp:posOffset>
            </wp:positionH>
            <wp:positionV relativeFrom="margin">
              <wp:posOffset>5391322</wp:posOffset>
            </wp:positionV>
            <wp:extent cx="4597400" cy="2768600"/>
            <wp:effectExtent l="0" t="0" r="0" b="0"/>
            <wp:wrapNone/>
            <wp:docPr id="656454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2"/>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4597400" cy="2768600"/>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                               Figure 10: Screenshot from RSCS Instagram Post Insight </w:t>
      </w:r>
    </w:p>
    <w:p w14:paraId="5BA6A838"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3905937"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73BB69E5"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77DA6B00"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147E61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E5313BE"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4291E84"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884742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6C692A4D"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988AAE9"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Figure 11: Pie Chart Representation </w:t>
      </w:r>
      <w:proofErr w:type="gramStart"/>
      <w:r w:rsidRPr="008D3090">
        <w:rPr>
          <w:rFonts w:ascii="Times New Roman" w:eastAsia="Aptos" w:hAnsi="Times New Roman" w:cs="Times New Roman"/>
        </w:rPr>
        <w:t>Of</w:t>
      </w:r>
      <w:proofErr w:type="gramEnd"/>
      <w:r w:rsidRPr="008D3090">
        <w:rPr>
          <w:rFonts w:ascii="Times New Roman" w:eastAsia="Aptos" w:hAnsi="Times New Roman" w:cs="Times New Roman"/>
        </w:rPr>
        <w:t xml:space="preserve"> RSCS Instagram Post For 2023</w:t>
      </w:r>
    </w:p>
    <w:p w14:paraId="2B116584"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Figures 11 and 12 demonstrate the effectiveness of running Instagram ads for RSCS, as they were able to reach 6,848 and 19,095 individuals respectively, surpassing their follower count of 4,752. </w:t>
      </w:r>
      <w:r w:rsidRPr="008D3090">
        <w:rPr>
          <w:rFonts w:ascii="Times New Roman" w:eastAsia="Aptos" w:hAnsi="Times New Roman" w:cs="Times New Roman"/>
        </w:rPr>
        <w:lastRenderedPageBreak/>
        <w:t>This highlights the power of social media advertising in enabling businesses to reach a larger audience within a specific budget. Additionally, Figure 13 illustrates that RSCS dedicates 33% of their marketing efforts to running ads, while the remaining 67% consists of organic posts for the year 2023. Despite gaining some visibility through reels, RSCS continues to invest in Instagram ads due to the advantages they offer, such as the ability to target specific audiences and set measurable goals for their brand awareness campaigns.</w:t>
      </w:r>
    </w:p>
    <w:p w14:paraId="55704D9F"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4560" behindDoc="1" locked="0" layoutInCell="1" allowOverlap="1" wp14:anchorId="79DA28D8" wp14:editId="09F7989C">
            <wp:simplePos x="0" y="0"/>
            <wp:positionH relativeFrom="page">
              <wp:posOffset>1012242</wp:posOffset>
            </wp:positionH>
            <wp:positionV relativeFrom="page">
              <wp:posOffset>5971076</wp:posOffset>
            </wp:positionV>
            <wp:extent cx="5222240" cy="2512541"/>
            <wp:effectExtent l="0" t="0" r="0" b="2540"/>
            <wp:wrapNone/>
            <wp:docPr id="1473968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3"/>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5222240" cy="2512541"/>
                    </a:xfrm>
                    <a:prstGeom prst="rect">
                      <a:avLst/>
                    </a:prstGeom>
                    <a:noFill/>
                  </pic:spPr>
                </pic:pic>
              </a:graphicData>
            </a:graphic>
            <wp14:sizeRelH relativeFrom="page">
              <wp14:pctWidth>0</wp14:pctWidth>
            </wp14:sizeRelH>
            <wp14:sizeRelV relativeFrom="page">
              <wp14:pctHeight>0</wp14:pctHeight>
            </wp14:sizeRelV>
          </wp:anchor>
        </w:drawing>
      </w:r>
      <w:r w:rsidRPr="008D3090">
        <w:rPr>
          <w:rFonts w:ascii="Times New Roman" w:eastAsia="Aptos" w:hAnsi="Times New Roman" w:cs="Times New Roman"/>
        </w:rPr>
        <w:t xml:space="preserve"> - Engaging Audience: Responding to comments can encourage further conversation and engagement on a post, which can increase its visibility and reach on social media platforms (Solis, 2010). RSCS has been able to effectively engage with their audience by consistently responding to comments on their social media platforms. When RSCS replies to comments, it often results in more users being exposed to the brand's content, as their comments are visible to their own followers as well. Additionally, this helps to build a positive relationship with their followers, and leads to increased engagement, as followers are more likely to continue engaging with a brand that is responsive to their comments. </w:t>
      </w:r>
    </w:p>
    <w:p w14:paraId="505EB057"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5B9FE2CE"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FCCD394"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FDD86F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408FA665"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61EF436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2FA015D"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C132E0B"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Figure 12: Screenshot from RSCS TikTok Page </w:t>
      </w:r>
    </w:p>
    <w:p w14:paraId="46DA2CFE"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3AFCF3AD"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noProof/>
        </w:rPr>
        <w:drawing>
          <wp:anchor distT="0" distB="0" distL="114300" distR="114300" simplePos="0" relativeHeight="251717632" behindDoc="1" locked="0" layoutInCell="1" allowOverlap="1" wp14:anchorId="49C62D79" wp14:editId="240FB74C">
            <wp:simplePos x="0" y="0"/>
            <wp:positionH relativeFrom="margin">
              <wp:align>left</wp:align>
            </wp:positionH>
            <wp:positionV relativeFrom="page">
              <wp:posOffset>617838</wp:posOffset>
            </wp:positionV>
            <wp:extent cx="5073079" cy="2627870"/>
            <wp:effectExtent l="0" t="0" r="0" b="1270"/>
            <wp:wrapNone/>
            <wp:docPr id="88792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4"/>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5073079" cy="2627870"/>
                    </a:xfrm>
                    <a:prstGeom prst="rect">
                      <a:avLst/>
                    </a:prstGeom>
                    <a:noFill/>
                  </pic:spPr>
                </pic:pic>
              </a:graphicData>
            </a:graphic>
            <wp14:sizeRelH relativeFrom="page">
              <wp14:pctWidth>0</wp14:pctWidth>
            </wp14:sizeRelH>
            <wp14:sizeRelV relativeFrom="page">
              <wp14:pctHeight>0</wp14:pctHeight>
            </wp14:sizeRelV>
          </wp:anchor>
        </w:drawing>
      </w:r>
    </w:p>
    <w:p w14:paraId="151D00CD"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4B480DB"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6BC016DD"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433A1D2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277D97EB"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1839ED09" w14:textId="77777777" w:rsidR="008D3090" w:rsidRPr="008D3090" w:rsidRDefault="008D3090" w:rsidP="001A5F7B">
      <w:pPr>
        <w:tabs>
          <w:tab w:val="left" w:pos="3130"/>
        </w:tabs>
        <w:spacing w:line="240" w:lineRule="auto"/>
        <w:jc w:val="both"/>
        <w:rPr>
          <w:rFonts w:ascii="Times New Roman" w:eastAsia="Aptos" w:hAnsi="Times New Roman" w:cs="Times New Roman"/>
        </w:rPr>
      </w:pPr>
    </w:p>
    <w:p w14:paraId="014743DF"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Figure 13: Screenshot from RSCS Instagram Post </w:t>
      </w:r>
    </w:p>
    <w:p w14:paraId="26036E12"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 xml:space="preserve">- High Quality Content: Content is crucial for building brand awareness on social media because media. They use a variety of content formats such as images and videos to showcase their products and promotions and have been able to regularly create content that aligns with their target audience's interests 35 and preferences such as recipe videos and kitchen tips videos. Businesses </w:t>
      </w:r>
      <w:r w:rsidRPr="008D3090">
        <w:rPr>
          <w:rFonts w:ascii="Times New Roman" w:eastAsia="Aptos" w:hAnsi="Times New Roman" w:cs="Times New Roman"/>
        </w:rPr>
        <w:lastRenderedPageBreak/>
        <w:t xml:space="preserve">are able to establish a brand voice and personality that resonates with their target audience through content, which helps to build trust and credibility over time. This encompasses the tone, language, and style of communication used by the brand on social media platforms. RSCS employs an informal and occasionally humorous tone to establish a stronger connection with their audience. Adopting a human tone of voice on social media, as opposed to a traditional corporate tone, fosters a positive attitude towards the brand (Barcelos, Dantas and </w:t>
      </w:r>
      <w:proofErr w:type="spellStart"/>
      <w:r w:rsidRPr="008D3090">
        <w:rPr>
          <w:rFonts w:ascii="Times New Roman" w:eastAsia="Aptos" w:hAnsi="Times New Roman" w:cs="Times New Roman"/>
        </w:rPr>
        <w:t>Sénécal</w:t>
      </w:r>
      <w:proofErr w:type="spellEnd"/>
      <w:r w:rsidRPr="008D3090">
        <w:rPr>
          <w:rFonts w:ascii="Times New Roman" w:eastAsia="Aptos" w:hAnsi="Times New Roman" w:cs="Times New Roman"/>
        </w:rPr>
        <w:t xml:space="preserve">, 2019). 4.3.2 Challenges Faced </w:t>
      </w:r>
      <w:proofErr w:type="gramStart"/>
      <w:r w:rsidRPr="008D3090">
        <w:rPr>
          <w:rFonts w:ascii="Times New Roman" w:eastAsia="Aptos" w:hAnsi="Times New Roman" w:cs="Times New Roman"/>
        </w:rPr>
        <w:t>By</w:t>
      </w:r>
      <w:proofErr w:type="gramEnd"/>
      <w:r w:rsidRPr="008D3090">
        <w:rPr>
          <w:rFonts w:ascii="Times New Roman" w:eastAsia="Aptos" w:hAnsi="Times New Roman" w:cs="Times New Roman"/>
        </w:rPr>
        <w:t xml:space="preserve"> RSCS While Using Social Media Platforms </w:t>
      </w:r>
      <w:proofErr w:type="gramStart"/>
      <w:r w:rsidRPr="008D3090">
        <w:rPr>
          <w:rFonts w:ascii="Times New Roman" w:eastAsia="Aptos" w:hAnsi="Times New Roman" w:cs="Times New Roman"/>
        </w:rPr>
        <w:t>To</w:t>
      </w:r>
      <w:proofErr w:type="gramEnd"/>
      <w:r w:rsidRPr="008D3090">
        <w:rPr>
          <w:rFonts w:ascii="Times New Roman" w:eastAsia="Aptos" w:hAnsi="Times New Roman" w:cs="Times New Roman"/>
        </w:rPr>
        <w:t xml:space="preserve"> Enhance Brand Awareness The advent of social media platforms has brought about a paradigm shift in the way businesses operate and market their products and services (</w:t>
      </w:r>
      <w:proofErr w:type="spellStart"/>
      <w:r w:rsidRPr="008D3090">
        <w:rPr>
          <w:rFonts w:ascii="Times New Roman" w:eastAsia="Aptos" w:hAnsi="Times New Roman" w:cs="Times New Roman"/>
        </w:rPr>
        <w:t>Ayanso</w:t>
      </w:r>
      <w:proofErr w:type="spellEnd"/>
      <w:r w:rsidRPr="008D3090">
        <w:rPr>
          <w:rFonts w:ascii="Times New Roman" w:eastAsia="Aptos" w:hAnsi="Times New Roman" w:cs="Times New Roman"/>
        </w:rPr>
        <w:t xml:space="preserve"> and </w:t>
      </w:r>
      <w:proofErr w:type="spellStart"/>
      <w:r w:rsidRPr="008D3090">
        <w:rPr>
          <w:rFonts w:ascii="Times New Roman" w:eastAsia="Aptos" w:hAnsi="Times New Roman" w:cs="Times New Roman"/>
        </w:rPr>
        <w:t>Lertwachara</w:t>
      </w:r>
      <w:proofErr w:type="spellEnd"/>
      <w:r w:rsidRPr="008D3090">
        <w:rPr>
          <w:rFonts w:ascii="Times New Roman" w:eastAsia="Aptos" w:hAnsi="Times New Roman" w:cs="Times New Roman"/>
        </w:rPr>
        <w:t xml:space="preserve">, 2014). As a catering brand in Nigeria, RSCS has leveraged social media platforms to improve brand awareness, expand its reach, and enhance customer engagement. However, despite the potential advantages, there are several challenges faced by RSCS while using social media platforms to enhance brand awareness. - - Limited Budget: According to Barker et al. (2017), small businesses may face challenges in competing with larger companies when it comes to advertising on social media due to limited budgets. RSCS faces a significant challenge with its limited budget allocation for social media marketing, which affects its ability to invest in more effective paid social media campaigns, hinder their brand awareness, and reach on social media platforms and hire a social media marketing team. Despite currently running social media ads on Instagram, these ads only reach a lower number of the audience due to the budget limitation. This challenge puts RSCS at a disadvantage compared to larger catering brands and may hinder its ability to keep up with the competition in terms of social media presence and attracting potential customers who are more active on social media platforms. Defining Target Audience: Companies may encounter difficulties in identifying and reaching out to their ideal customers on social media platforms. </w:t>
      </w:r>
    </w:p>
    <w:p w14:paraId="6CA27AE2"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Conclusion</w:t>
      </w:r>
    </w:p>
    <w:p w14:paraId="30512D58" w14:textId="77777777" w:rsidR="008D3090" w:rsidRPr="008D3090" w:rsidRDefault="008D3090" w:rsidP="001A5F7B">
      <w:pPr>
        <w:tabs>
          <w:tab w:val="left" w:pos="3130"/>
        </w:tabs>
        <w:spacing w:line="240" w:lineRule="auto"/>
        <w:jc w:val="both"/>
        <w:rPr>
          <w:rFonts w:ascii="Times New Roman" w:eastAsia="Aptos" w:hAnsi="Times New Roman" w:cs="Times New Roman"/>
        </w:rPr>
      </w:pPr>
      <w:r w:rsidRPr="008D3090">
        <w:rPr>
          <w:rFonts w:ascii="Times New Roman" w:eastAsia="Aptos" w:hAnsi="Times New Roman" w:cs="Times New Roman"/>
        </w:rPr>
        <w:t>The results demonstrate that RSCS primarily uses Instagram and TikTok for marketing and customer engagement to build loyalty among its customers and enhance brand awareness. However, the study also identified several challenges, such as intense competition in the market and the challenge of marketing budget restrictions. The paper therefore recommended Among others the following:</w:t>
      </w:r>
    </w:p>
    <w:p w14:paraId="35456728" w14:textId="77777777" w:rsidR="008D3090" w:rsidRPr="008D3090" w:rsidRDefault="008D3090" w:rsidP="001A5F7B">
      <w:pPr>
        <w:numPr>
          <w:ilvl w:val="0"/>
          <w:numId w:val="55"/>
        </w:numPr>
        <w:tabs>
          <w:tab w:val="left" w:pos="3130"/>
        </w:tabs>
        <w:spacing w:line="240" w:lineRule="auto"/>
        <w:contextualSpacing/>
        <w:jc w:val="both"/>
        <w:rPr>
          <w:rFonts w:ascii="Times New Roman" w:eastAsia="Aptos" w:hAnsi="Times New Roman" w:cs="Times New Roman"/>
        </w:rPr>
      </w:pPr>
      <w:r w:rsidRPr="008D3090">
        <w:rPr>
          <w:rFonts w:ascii="Times New Roman" w:eastAsia="Aptos" w:hAnsi="Times New Roman" w:cs="Times New Roman"/>
        </w:rPr>
        <w:t>Expand social media platforms: RSCS may consider expanding their social media presence beyond Instagram and TikTok.</w:t>
      </w:r>
    </w:p>
    <w:p w14:paraId="4293295F" w14:textId="77777777" w:rsidR="008D3090" w:rsidRPr="008D3090" w:rsidRDefault="008D3090" w:rsidP="001A5F7B">
      <w:pPr>
        <w:numPr>
          <w:ilvl w:val="0"/>
          <w:numId w:val="55"/>
        </w:numPr>
        <w:tabs>
          <w:tab w:val="left" w:pos="3130"/>
        </w:tabs>
        <w:spacing w:line="240" w:lineRule="auto"/>
        <w:contextualSpacing/>
        <w:jc w:val="both"/>
        <w:rPr>
          <w:rFonts w:ascii="Times New Roman" w:eastAsia="Aptos" w:hAnsi="Times New Roman" w:cs="Times New Roman"/>
        </w:rPr>
      </w:pPr>
      <w:r w:rsidRPr="008D3090">
        <w:rPr>
          <w:rFonts w:ascii="Times New Roman" w:eastAsia="Aptos" w:hAnsi="Times New Roman" w:cs="Times New Roman"/>
        </w:rPr>
        <w:t>Collaborate with influencers and other businesses: By partnering with relevant influencers</w:t>
      </w:r>
    </w:p>
    <w:p w14:paraId="22A6F210" w14:textId="77777777" w:rsidR="008D3090" w:rsidRPr="008D3090" w:rsidRDefault="008D3090" w:rsidP="001A5F7B">
      <w:pPr>
        <w:numPr>
          <w:ilvl w:val="0"/>
          <w:numId w:val="55"/>
        </w:numPr>
        <w:tabs>
          <w:tab w:val="left" w:pos="3130"/>
        </w:tabs>
        <w:spacing w:line="240" w:lineRule="auto"/>
        <w:contextualSpacing/>
        <w:jc w:val="both"/>
        <w:rPr>
          <w:rFonts w:ascii="Times New Roman" w:eastAsia="Aptos" w:hAnsi="Times New Roman" w:cs="Times New Roman"/>
        </w:rPr>
      </w:pPr>
      <w:proofErr w:type="spellStart"/>
      <w:r w:rsidRPr="008D3090">
        <w:rPr>
          <w:rFonts w:ascii="Times New Roman" w:eastAsia="Aptos" w:hAnsi="Times New Roman" w:cs="Times New Roman"/>
        </w:rPr>
        <w:t>Utilise</w:t>
      </w:r>
      <w:proofErr w:type="spellEnd"/>
      <w:r w:rsidRPr="008D3090">
        <w:rPr>
          <w:rFonts w:ascii="Times New Roman" w:eastAsia="Aptos" w:hAnsi="Times New Roman" w:cs="Times New Roman"/>
        </w:rPr>
        <w:t xml:space="preserve"> user-generated content: Encouraging customers to share their own experiences with RSCS through User-Generated Content (UGC) can help boost brand awareness and credibility.</w:t>
      </w:r>
    </w:p>
    <w:p w14:paraId="79A10D66" w14:textId="77777777" w:rsidR="008D3090" w:rsidRPr="008D3090" w:rsidRDefault="008D3090" w:rsidP="001A5F7B">
      <w:pPr>
        <w:numPr>
          <w:ilvl w:val="0"/>
          <w:numId w:val="55"/>
        </w:numPr>
        <w:tabs>
          <w:tab w:val="left" w:pos="3130"/>
        </w:tabs>
        <w:spacing w:line="240" w:lineRule="auto"/>
        <w:contextualSpacing/>
        <w:jc w:val="both"/>
        <w:rPr>
          <w:rFonts w:ascii="Times New Roman" w:eastAsia="Aptos" w:hAnsi="Times New Roman" w:cs="Times New Roman"/>
        </w:rPr>
      </w:pPr>
      <w:r w:rsidRPr="008D3090">
        <w:rPr>
          <w:rFonts w:ascii="Times New Roman" w:eastAsia="Aptos" w:hAnsi="Times New Roman" w:cs="Times New Roman"/>
        </w:rPr>
        <w:t>Implementing CTA On Bio: RSCS could further improve their brand awareness and drive more traffic to their website/catalogue or WhatsApp by implementing a Call-To-Action (CTA) on their Instagram bio.</w:t>
      </w:r>
    </w:p>
    <w:p w14:paraId="328C0E19" w14:textId="77777777" w:rsidR="008D3090" w:rsidRPr="008D3090" w:rsidRDefault="008D3090" w:rsidP="001A5F7B">
      <w:pPr>
        <w:tabs>
          <w:tab w:val="left" w:pos="3130"/>
        </w:tabs>
        <w:spacing w:line="240" w:lineRule="auto"/>
        <w:ind w:left="360"/>
        <w:jc w:val="both"/>
        <w:rPr>
          <w:rFonts w:ascii="Times New Roman" w:eastAsia="Aptos" w:hAnsi="Times New Roman" w:cs="Times New Roman"/>
        </w:rPr>
      </w:pPr>
      <w:r w:rsidRPr="008D3090">
        <w:rPr>
          <w:rFonts w:ascii="Times New Roman" w:eastAsia="Aptos" w:hAnsi="Times New Roman" w:cs="Times New Roman"/>
        </w:rPr>
        <w:t>References</w:t>
      </w:r>
    </w:p>
    <w:p w14:paraId="42059B4A"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Aaker, D.A. (2002). Building Strong Brands. New York; London: Free. </w:t>
      </w:r>
    </w:p>
    <w:p w14:paraId="6C23474A"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Anderson, D. (2020). Instagram Reels Marketing. [online] Google Books. </w:t>
      </w:r>
      <w:proofErr w:type="spellStart"/>
      <w:r w:rsidRPr="008D3090">
        <w:rPr>
          <w:rFonts w:ascii="Times New Roman" w:eastAsia="Aptos" w:hAnsi="Times New Roman" w:cs="Times New Roman"/>
        </w:rPr>
        <w:t>Estalontech</w:t>
      </w:r>
      <w:proofErr w:type="spellEnd"/>
      <w:r w:rsidRPr="008D3090">
        <w:rPr>
          <w:rFonts w:ascii="Times New Roman" w:eastAsia="Aptos" w:hAnsi="Times New Roman" w:cs="Times New Roman"/>
        </w:rPr>
        <w:t xml:space="preserve">. Available </w:t>
      </w:r>
      <w:proofErr w:type="spellStart"/>
      <w:r w:rsidRPr="008D3090">
        <w:rPr>
          <w:rFonts w:ascii="Times New Roman" w:eastAsia="Aptos" w:hAnsi="Times New Roman" w:cs="Times New Roman"/>
        </w:rPr>
        <w:t>at:</w:t>
      </w:r>
      <w:hyperlink r:id="rId310" w:history="1">
        <w:r w:rsidRPr="008D3090">
          <w:rPr>
            <w:rFonts w:ascii="Times New Roman" w:eastAsia="Aptos" w:hAnsi="Times New Roman" w:cs="Times New Roman"/>
            <w:color w:val="467886"/>
            <w:u w:val="single"/>
          </w:rPr>
          <w:t>https</w:t>
        </w:r>
        <w:proofErr w:type="spellEnd"/>
        <w:r w:rsidRPr="008D3090">
          <w:rPr>
            <w:rFonts w:ascii="Times New Roman" w:eastAsia="Aptos" w:hAnsi="Times New Roman" w:cs="Times New Roman"/>
            <w:color w:val="467886"/>
            <w:u w:val="single"/>
          </w:rPr>
          <w:t>://books.google.co.uk/</w:t>
        </w:r>
        <w:proofErr w:type="spellStart"/>
        <w:r w:rsidRPr="008D3090">
          <w:rPr>
            <w:rFonts w:ascii="Times New Roman" w:eastAsia="Aptos" w:hAnsi="Times New Roman" w:cs="Times New Roman"/>
            <w:color w:val="467886"/>
            <w:u w:val="single"/>
          </w:rPr>
          <w:t>books?hl</w:t>
        </w:r>
        <w:proofErr w:type="spellEnd"/>
        <w:r w:rsidRPr="008D3090">
          <w:rPr>
            <w:rFonts w:ascii="Times New Roman" w:eastAsia="Aptos" w:hAnsi="Times New Roman" w:cs="Times New Roman"/>
            <w:color w:val="467886"/>
            <w:u w:val="single"/>
          </w:rPr>
          <w:t>=</w:t>
        </w:r>
        <w:proofErr w:type="spellStart"/>
        <w:r w:rsidRPr="008D3090">
          <w:rPr>
            <w:rFonts w:ascii="Times New Roman" w:eastAsia="Aptos" w:hAnsi="Times New Roman" w:cs="Times New Roman"/>
            <w:color w:val="467886"/>
            <w:u w:val="single"/>
          </w:rPr>
          <w:t>en&amp;lr</w:t>
        </w:r>
        <w:proofErr w:type="spellEnd"/>
        <w:r w:rsidRPr="008D3090">
          <w:rPr>
            <w:rFonts w:ascii="Times New Roman" w:eastAsia="Aptos" w:hAnsi="Times New Roman" w:cs="Times New Roman"/>
            <w:color w:val="467886"/>
            <w:u w:val="single"/>
          </w:rPr>
          <w:t>=&amp;id=</w:t>
        </w:r>
        <w:proofErr w:type="spellStart"/>
        <w:r w:rsidRPr="008D3090">
          <w:rPr>
            <w:rFonts w:ascii="Times New Roman" w:eastAsia="Aptos" w:hAnsi="Times New Roman" w:cs="Times New Roman"/>
            <w:color w:val="467886"/>
            <w:u w:val="single"/>
          </w:rPr>
          <w:t>XtUDEAAAQBAJ&amp;oi</w:t>
        </w:r>
        <w:proofErr w:type="spellEnd"/>
        <w:r w:rsidRPr="008D3090">
          <w:rPr>
            <w:rFonts w:ascii="Times New Roman" w:eastAsia="Aptos" w:hAnsi="Times New Roman" w:cs="Times New Roman"/>
            <w:color w:val="467886"/>
            <w:u w:val="single"/>
          </w:rPr>
          <w:t xml:space="preserve"> =fnd&amp;pg=PT4&amp;dq=reels+benefits+for+brands+in+instagram&amp;ots=yiT_t15uMa&amp;sig=P5</w:t>
        </w:r>
      </w:hyperlink>
      <w:r w:rsidRPr="008D3090">
        <w:rPr>
          <w:rFonts w:ascii="Times New Roman" w:eastAsia="Aptos" w:hAnsi="Times New Roman" w:cs="Times New Roman"/>
        </w:rPr>
        <w:t xml:space="preserve"> </w:t>
      </w:r>
      <w:r w:rsidRPr="008D3090">
        <w:rPr>
          <w:rFonts w:ascii="Times New Roman" w:eastAsia="Aptos" w:hAnsi="Times New Roman" w:cs="Times New Roman"/>
        </w:rPr>
        <w:lastRenderedPageBreak/>
        <w:t>1VQdU7BmCshMETnexuXjARjVM#v=onepage&amp;q=reels%20benefits%20for%20brands%20in%20instagram&amp;f=false  [Accessed 15 May 2023].</w:t>
      </w:r>
    </w:p>
    <w:p w14:paraId="2072C0D2"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Arya, V., Paul, J. and Sethi, D., (2022). Like it or not! Brand communication on social networking sites triggers consumer-based brand equity. International Journal of Consumer Studies, 46(4), pp.1381-1398. https://onlinelibrary.wiley.com/doi/abs/10.1111/ijcs.12763Tanford, Kim, and Kim, 2020</w:t>
      </w:r>
    </w:p>
    <w:p w14:paraId="6D5BF128"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Cham, T.H., Cheng, B.L., Low, M.P. and Cheok, J.B.C., (2020). Brand Image as the competitive edge for Hospitals in Medical Tourism. European Business Review, 33(1). https://www.emerald.com/insight/content/doi/10.1108/EBR-10 2019-0269</w:t>
      </w:r>
    </w:p>
    <w:p w14:paraId="7B3F868F" w14:textId="77777777" w:rsidR="008D3090" w:rsidRPr="008D3090" w:rsidRDefault="008D3090" w:rsidP="001A5F7B">
      <w:pPr>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Chee, L. and Lian, S. (2019). Customer Engagement in Social Media and Purchase Intentions in the Hotel Industry. International Journal of Academic Research in Business and Social Sciences, 9(1), pp.54–68. </w:t>
      </w:r>
      <w:proofErr w:type="spellStart"/>
      <w:proofErr w:type="gramStart"/>
      <w:r w:rsidRPr="008D3090">
        <w:rPr>
          <w:rFonts w:ascii="Times New Roman" w:eastAsia="Aptos" w:hAnsi="Times New Roman" w:cs="Times New Roman"/>
        </w:rPr>
        <w:t>doi:https</w:t>
      </w:r>
      <w:proofErr w:type="spellEnd"/>
      <w:r w:rsidRPr="008D3090">
        <w:rPr>
          <w:rFonts w:ascii="Times New Roman" w:eastAsia="Aptos" w:hAnsi="Times New Roman" w:cs="Times New Roman"/>
        </w:rPr>
        <w:t>://doi.org/10.6007/IJARBSS/v9-i1/5363</w:t>
      </w:r>
      <w:proofErr w:type="gramEnd"/>
      <w:r w:rsidRPr="008D3090">
        <w:rPr>
          <w:rFonts w:ascii="Times New Roman" w:eastAsia="Aptos" w:hAnsi="Times New Roman" w:cs="Times New Roman"/>
        </w:rPr>
        <w:t>.</w:t>
      </w:r>
    </w:p>
    <w:p w14:paraId="4F1A260B" w14:textId="77777777" w:rsidR="008D3090" w:rsidRPr="008D3090" w:rsidRDefault="008D3090" w:rsidP="001A5F7B">
      <w:pPr>
        <w:spacing w:before="120" w:after="120" w:line="240" w:lineRule="auto"/>
        <w:jc w:val="both"/>
        <w:rPr>
          <w:rFonts w:ascii="Times New Roman" w:eastAsia="Aptos" w:hAnsi="Times New Roman" w:cs="Times New Roman"/>
        </w:rPr>
      </w:pPr>
      <w:proofErr w:type="spellStart"/>
      <w:proofErr w:type="gramStart"/>
      <w:r w:rsidRPr="008D3090">
        <w:rPr>
          <w:rFonts w:ascii="Times New Roman" w:eastAsia="Aptos" w:hAnsi="Times New Roman" w:cs="Times New Roman"/>
        </w:rPr>
        <w:t>doi:https</w:t>
      </w:r>
      <w:proofErr w:type="spellEnd"/>
      <w:r w:rsidRPr="008D3090">
        <w:rPr>
          <w:rFonts w:ascii="Times New Roman" w:eastAsia="Aptos" w:hAnsi="Times New Roman" w:cs="Times New Roman"/>
        </w:rPr>
        <w:t>://doi.org/10.1504/ijtmkt.2021.10038457</w:t>
      </w:r>
      <w:proofErr w:type="gramEnd"/>
      <w:r w:rsidRPr="008D3090">
        <w:rPr>
          <w:rFonts w:ascii="Times New Roman" w:eastAsia="Aptos" w:hAnsi="Times New Roman" w:cs="Times New Roman"/>
        </w:rPr>
        <w:t xml:space="preserve">. </w:t>
      </w:r>
    </w:p>
    <w:p w14:paraId="393244D8" w14:textId="77777777" w:rsidR="008D3090" w:rsidRPr="008D3090" w:rsidRDefault="008D3090" w:rsidP="001A5F7B">
      <w:pPr>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Fekete Farkas, M., Victor, V. and Nathan, R.J. (2021). Consumer Response Towards </w:t>
      </w:r>
      <w:proofErr w:type="spellStart"/>
      <w:r w:rsidRPr="008D3090">
        <w:rPr>
          <w:rFonts w:ascii="Times New Roman" w:eastAsia="Aptos" w:hAnsi="Times New Roman" w:cs="Times New Roman"/>
        </w:rPr>
        <w:t>Personalised</w:t>
      </w:r>
      <w:proofErr w:type="spellEnd"/>
      <w:r w:rsidRPr="008D3090">
        <w:rPr>
          <w:rFonts w:ascii="Times New Roman" w:eastAsia="Aptos" w:hAnsi="Times New Roman" w:cs="Times New Roman"/>
        </w:rPr>
        <w:t xml:space="preserve"> Pricing Strategies in Online Marketing. International Journal of Technology Marketing, 1(1), p.1. </w:t>
      </w:r>
    </w:p>
    <w:p w14:paraId="5887EBEF"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proofErr w:type="spellStart"/>
      <w:r w:rsidRPr="008D3090">
        <w:rPr>
          <w:rFonts w:ascii="Times New Roman" w:eastAsia="Aptos" w:hAnsi="Times New Roman" w:cs="Times New Roman"/>
        </w:rPr>
        <w:t>Foroudi</w:t>
      </w:r>
      <w:proofErr w:type="spellEnd"/>
      <w:r w:rsidRPr="008D3090">
        <w:rPr>
          <w:rFonts w:ascii="Times New Roman" w:eastAsia="Aptos" w:hAnsi="Times New Roman" w:cs="Times New Roman"/>
        </w:rPr>
        <w:t xml:space="preserve">, P., (2019). Influence of brand signature, brand awareness, brand attitude, brand reputation on hotel industry’s brand performance. International journal of hospitality management, 76, pp.271-285. </w:t>
      </w:r>
      <w:hyperlink r:id="rId311" w:history="1">
        <w:r w:rsidRPr="008D3090">
          <w:rPr>
            <w:rFonts w:ascii="Times New Roman" w:eastAsia="Aptos" w:hAnsi="Times New Roman" w:cs="Times New Roman"/>
            <w:color w:val="467886"/>
            <w:u w:val="single"/>
          </w:rPr>
          <w:t>https://www.sciencedirect.com/science/article/pii/S0278431917308411</w:t>
        </w:r>
      </w:hyperlink>
    </w:p>
    <w:p w14:paraId="71730504"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Icha, O. and Agwu, E. (2015). Effectiveness of Social Media Networks as a Strategic Tool for Organizational Marketing Management. [online] Ssrn.com. Available at: https://papers.ssrn.com/sol3/papers.cfm?abstract_id=3122422.Boluwade and Smith, 2022</w:t>
      </w:r>
    </w:p>
    <w:p w14:paraId="64945872" w14:textId="77777777" w:rsidR="008D3090" w:rsidRPr="008D3090" w:rsidRDefault="008D3090" w:rsidP="001A5F7B">
      <w:pPr>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Jorge-Acain, L.R. (2022). Influence of Social Media to the Travelers Choice of </w:t>
      </w:r>
      <w:proofErr w:type="gramStart"/>
      <w:r w:rsidRPr="008D3090">
        <w:rPr>
          <w:rFonts w:ascii="Times New Roman" w:eastAsia="Aptos" w:hAnsi="Times New Roman" w:cs="Times New Roman"/>
        </w:rPr>
        <w:t>Tourist  Destination</w:t>
      </w:r>
      <w:proofErr w:type="gramEnd"/>
      <w:r w:rsidRPr="008D3090">
        <w:rPr>
          <w:rFonts w:ascii="Times New Roman" w:eastAsia="Aptos" w:hAnsi="Times New Roman" w:cs="Times New Roman"/>
        </w:rPr>
        <w:t xml:space="preserve">. Humanities and Social Science Research, 5(2), p.p33. </w:t>
      </w:r>
      <w:proofErr w:type="spellStart"/>
      <w:proofErr w:type="gramStart"/>
      <w:r w:rsidRPr="008D3090">
        <w:rPr>
          <w:rFonts w:ascii="Times New Roman" w:eastAsia="Aptos" w:hAnsi="Times New Roman" w:cs="Times New Roman"/>
        </w:rPr>
        <w:t>doi:https</w:t>
      </w:r>
      <w:proofErr w:type="spellEnd"/>
      <w:r w:rsidRPr="008D3090">
        <w:rPr>
          <w:rFonts w:ascii="Times New Roman" w:eastAsia="Aptos" w:hAnsi="Times New Roman" w:cs="Times New Roman"/>
        </w:rPr>
        <w:t>://doi.org/10.30560/hssr.v5n2p33</w:t>
      </w:r>
      <w:proofErr w:type="gramEnd"/>
      <w:r w:rsidRPr="008D3090">
        <w:rPr>
          <w:rFonts w:ascii="Times New Roman" w:eastAsia="Aptos" w:hAnsi="Times New Roman" w:cs="Times New Roman"/>
        </w:rPr>
        <w:t xml:space="preserve">. </w:t>
      </w:r>
    </w:p>
    <w:p w14:paraId="2A120022"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Kapferer, J.-N. (2012). The New Strategic Brand Management: Advanced Insights and Strategic Thinking. 5th ed. London: Kogan Page González-Mansilla, Berenguer-</w:t>
      </w:r>
      <w:r w:rsidRPr="008D3090">
        <w:rPr>
          <w:rFonts w:ascii="Aptos" w:eastAsia="Aptos" w:hAnsi="Aptos" w:cs="Times New Roman"/>
        </w:rPr>
        <w:t xml:space="preserve"> </w:t>
      </w:r>
      <w:r w:rsidRPr="008D3090">
        <w:rPr>
          <w:rFonts w:ascii="Times New Roman" w:eastAsia="Aptos" w:hAnsi="Times New Roman" w:cs="Times New Roman"/>
        </w:rPr>
        <w:t>González-</w:t>
      </w:r>
    </w:p>
    <w:p w14:paraId="0F9BCF5A"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Kohli, C., Suri, R. and Kapoor, A. (2015). Will </w:t>
      </w:r>
      <w:proofErr w:type="gramStart"/>
      <w:r w:rsidRPr="008D3090">
        <w:rPr>
          <w:rFonts w:ascii="Times New Roman" w:eastAsia="Aptos" w:hAnsi="Times New Roman" w:cs="Times New Roman"/>
        </w:rPr>
        <w:t>Social Media</w:t>
      </w:r>
      <w:proofErr w:type="gramEnd"/>
      <w:r w:rsidRPr="008D3090">
        <w:rPr>
          <w:rFonts w:ascii="Times New Roman" w:eastAsia="Aptos" w:hAnsi="Times New Roman" w:cs="Times New Roman"/>
        </w:rPr>
        <w:t xml:space="preserve"> Kill branding? Business Horizons, 58(1), pp.35–44. </w:t>
      </w:r>
      <w:proofErr w:type="spellStart"/>
      <w:proofErr w:type="gramStart"/>
      <w:r w:rsidRPr="008D3090">
        <w:rPr>
          <w:rFonts w:ascii="Times New Roman" w:eastAsia="Aptos" w:hAnsi="Times New Roman" w:cs="Times New Roman"/>
        </w:rPr>
        <w:t>doi:https</w:t>
      </w:r>
      <w:proofErr w:type="spellEnd"/>
      <w:r w:rsidRPr="008D3090">
        <w:rPr>
          <w:rFonts w:ascii="Times New Roman" w:eastAsia="Aptos" w:hAnsi="Times New Roman" w:cs="Times New Roman"/>
        </w:rPr>
        <w:t>://doi.org/10.1016/j.bushor.2014.08.004</w:t>
      </w:r>
      <w:proofErr w:type="gramEnd"/>
      <w:r w:rsidRPr="008D3090">
        <w:rPr>
          <w:rFonts w:ascii="Times New Roman" w:eastAsia="Aptos" w:hAnsi="Times New Roman" w:cs="Times New Roman"/>
        </w:rPr>
        <w:t xml:space="preserve">. </w:t>
      </w:r>
    </w:p>
    <w:p w14:paraId="676E6F9B"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Kumar, N., Qiu, L. and Kumar, S. (2022). A Hashtag Is Worth a Thousand Words: </w:t>
      </w:r>
      <w:proofErr w:type="gramStart"/>
      <w:r w:rsidRPr="008D3090">
        <w:rPr>
          <w:rFonts w:ascii="Times New Roman" w:eastAsia="Aptos" w:hAnsi="Times New Roman" w:cs="Times New Roman"/>
        </w:rPr>
        <w:t>an</w:t>
      </w:r>
      <w:proofErr w:type="gramEnd"/>
      <w:r w:rsidRPr="008D3090">
        <w:rPr>
          <w:rFonts w:ascii="Times New Roman" w:eastAsia="Aptos" w:hAnsi="Times New Roman" w:cs="Times New Roman"/>
        </w:rPr>
        <w:t xml:space="preserve"> Empirical </w:t>
      </w:r>
      <w:proofErr w:type="spellStart"/>
      <w:r w:rsidRPr="008D3090">
        <w:rPr>
          <w:rFonts w:ascii="Times New Roman" w:eastAsia="Aptos" w:hAnsi="Times New Roman" w:cs="Times New Roman"/>
        </w:rPr>
        <w:t>nvestigation</w:t>
      </w:r>
      <w:proofErr w:type="spellEnd"/>
      <w:r w:rsidRPr="008D3090">
        <w:rPr>
          <w:rFonts w:ascii="Times New Roman" w:eastAsia="Aptos" w:hAnsi="Times New Roman" w:cs="Times New Roman"/>
        </w:rPr>
        <w:t xml:space="preserve"> of Social Media Strategies in Trademarking Hashtags. Information Systems Research, 33(4). </w:t>
      </w:r>
      <w:proofErr w:type="spellStart"/>
      <w:proofErr w:type="gramStart"/>
      <w:r w:rsidRPr="008D3090">
        <w:rPr>
          <w:rFonts w:ascii="Times New Roman" w:eastAsia="Aptos" w:hAnsi="Times New Roman" w:cs="Times New Roman"/>
        </w:rPr>
        <w:t>doi:https</w:t>
      </w:r>
      <w:proofErr w:type="spellEnd"/>
      <w:r w:rsidRPr="008D3090">
        <w:rPr>
          <w:rFonts w:ascii="Times New Roman" w:eastAsia="Aptos" w:hAnsi="Times New Roman" w:cs="Times New Roman"/>
        </w:rPr>
        <w:t>://doi.org/10.1287/isre.2022.1107.Dennis</w:t>
      </w:r>
      <w:proofErr w:type="gramEnd"/>
      <w:r w:rsidRPr="008D3090">
        <w:rPr>
          <w:rFonts w:ascii="Times New Roman" w:eastAsia="Aptos" w:hAnsi="Times New Roman" w:cs="Times New Roman"/>
        </w:rPr>
        <w:t>, 2022</w:t>
      </w:r>
    </w:p>
    <w:p w14:paraId="12BC8B31"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Lau, A., (2020). New technologies used in COVID-19 for business survival: Insights from the Hotel Sector in China. Information Technology &amp; Tourism, 22(4), pp.497-504. </w:t>
      </w:r>
      <w:hyperlink r:id="rId312" w:history="1">
        <w:r w:rsidRPr="008D3090">
          <w:rPr>
            <w:rFonts w:ascii="Times New Roman" w:eastAsia="Aptos" w:hAnsi="Times New Roman" w:cs="Times New Roman"/>
            <w:color w:val="467886"/>
            <w:u w:val="single"/>
          </w:rPr>
          <w:t>https://link.springer.com/article/10.1007/s40558-020-</w:t>
        </w:r>
      </w:hyperlink>
      <w:r w:rsidRPr="008D3090">
        <w:rPr>
          <w:rFonts w:ascii="Times New Roman" w:eastAsia="Aptos" w:hAnsi="Times New Roman" w:cs="Times New Roman"/>
        </w:rPr>
        <w:t xml:space="preserve"> 00193-z</w:t>
      </w:r>
    </w:p>
    <w:p w14:paraId="66349045"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Mansilla, Ó., Berenguer-</w:t>
      </w:r>
      <w:proofErr w:type="spellStart"/>
      <w:r w:rsidRPr="008D3090">
        <w:rPr>
          <w:rFonts w:ascii="Times New Roman" w:eastAsia="Aptos" w:hAnsi="Times New Roman" w:cs="Times New Roman"/>
        </w:rPr>
        <w:t>Contrí</w:t>
      </w:r>
      <w:proofErr w:type="spellEnd"/>
      <w:r w:rsidRPr="008D3090">
        <w:rPr>
          <w:rFonts w:ascii="Times New Roman" w:eastAsia="Aptos" w:hAnsi="Times New Roman" w:cs="Times New Roman"/>
        </w:rPr>
        <w:t>, G. and Serra-</w:t>
      </w:r>
      <w:proofErr w:type="spellStart"/>
      <w:r w:rsidRPr="008D3090">
        <w:rPr>
          <w:rFonts w:ascii="Times New Roman" w:eastAsia="Aptos" w:hAnsi="Times New Roman" w:cs="Times New Roman"/>
        </w:rPr>
        <w:t>Cantallops</w:t>
      </w:r>
      <w:proofErr w:type="spellEnd"/>
      <w:r w:rsidRPr="008D3090">
        <w:rPr>
          <w:rFonts w:ascii="Times New Roman" w:eastAsia="Aptos" w:hAnsi="Times New Roman" w:cs="Times New Roman"/>
        </w:rPr>
        <w:t xml:space="preserve">, A., (2019). The impact of value co-creation on hotel brand equity and customer satisfaction. Tourism Management, 75, pp.51- 65. </w:t>
      </w:r>
      <w:hyperlink r:id="rId313" w:history="1">
        <w:r w:rsidRPr="008D3090">
          <w:rPr>
            <w:rFonts w:ascii="Times New Roman" w:eastAsia="Aptos" w:hAnsi="Times New Roman" w:cs="Times New Roman"/>
            <w:color w:val="467886"/>
            <w:u w:val="single"/>
          </w:rPr>
          <w:t>https://www.sciencedirect.com/science/article/pii/S026151771930086X</w:t>
        </w:r>
      </w:hyperlink>
    </w:p>
    <w:p w14:paraId="098F8D1F"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Moslehpour, M., Ismail, T., </w:t>
      </w:r>
      <w:proofErr w:type="spellStart"/>
      <w:r w:rsidRPr="008D3090">
        <w:rPr>
          <w:rFonts w:ascii="Times New Roman" w:eastAsia="Aptos" w:hAnsi="Times New Roman" w:cs="Times New Roman"/>
        </w:rPr>
        <w:t>Purba</w:t>
      </w:r>
      <w:proofErr w:type="spellEnd"/>
      <w:r w:rsidRPr="008D3090">
        <w:rPr>
          <w:rFonts w:ascii="Times New Roman" w:eastAsia="Aptos" w:hAnsi="Times New Roman" w:cs="Times New Roman"/>
        </w:rPr>
        <w:t xml:space="preserve">, B. and Wong, W.K., (2021). What makes GO-JEK go in Indonesia? The influences of social media marketing activities on purchase intention. Journal of </w:t>
      </w:r>
      <w:r w:rsidRPr="008D3090">
        <w:rPr>
          <w:rFonts w:ascii="Times New Roman" w:eastAsia="Aptos" w:hAnsi="Times New Roman" w:cs="Times New Roman"/>
        </w:rPr>
        <w:lastRenderedPageBreak/>
        <w:t xml:space="preserve">Theoretical and Applied Electronic Commerce Research, 17(1), pp.89-103. </w:t>
      </w:r>
      <w:hyperlink r:id="rId314" w:history="1">
        <w:r w:rsidRPr="008D3090">
          <w:rPr>
            <w:rFonts w:ascii="Times New Roman" w:eastAsia="Aptos" w:hAnsi="Times New Roman" w:cs="Times New Roman"/>
            <w:color w:val="467886"/>
            <w:u w:val="single"/>
          </w:rPr>
          <w:t>https://www.mdpi.com/0718-1876/17/1/5</w:t>
        </w:r>
      </w:hyperlink>
    </w:p>
    <w:p w14:paraId="6325A0DF"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proofErr w:type="spellStart"/>
      <w:r w:rsidRPr="008D3090">
        <w:rPr>
          <w:rFonts w:ascii="Times New Roman" w:eastAsia="Aptos" w:hAnsi="Times New Roman" w:cs="Times New Roman"/>
        </w:rPr>
        <w:t>Östring</w:t>
      </w:r>
      <w:proofErr w:type="spellEnd"/>
      <w:r w:rsidRPr="008D3090">
        <w:rPr>
          <w:rFonts w:ascii="Times New Roman" w:eastAsia="Aptos" w:hAnsi="Times New Roman" w:cs="Times New Roman"/>
        </w:rPr>
        <w:t xml:space="preserve">, H. (2020). Social Media Planning for a Small Business: Case </w:t>
      </w:r>
      <w:proofErr w:type="spellStart"/>
      <w:proofErr w:type="gramStart"/>
      <w:r w:rsidRPr="008D3090">
        <w:rPr>
          <w:rFonts w:ascii="Times New Roman" w:eastAsia="Aptos" w:hAnsi="Times New Roman" w:cs="Times New Roman"/>
        </w:rPr>
        <w:t>Firehawk</w:t>
      </w:r>
      <w:proofErr w:type="spellEnd"/>
      <w:r w:rsidRPr="008D3090">
        <w:rPr>
          <w:rFonts w:ascii="Times New Roman" w:eastAsia="Aptos" w:hAnsi="Times New Roman" w:cs="Times New Roman"/>
        </w:rPr>
        <w:t xml:space="preserve">  Forge</w:t>
      </w:r>
      <w:proofErr w:type="gramEnd"/>
      <w:r w:rsidRPr="008D3090">
        <w:rPr>
          <w:rFonts w:ascii="Times New Roman" w:eastAsia="Aptos" w:hAnsi="Times New Roman" w:cs="Times New Roman"/>
        </w:rPr>
        <w:t>. [online] pp.18–19.</w:t>
      </w:r>
    </w:p>
    <w:p w14:paraId="35997736"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Pratiwi, M. (2021). Business Survivability: Social Media as a Channel in the Pandemic Era. </w:t>
      </w:r>
      <w:proofErr w:type="spellStart"/>
      <w:r w:rsidRPr="008D3090">
        <w:rPr>
          <w:rFonts w:ascii="Times New Roman" w:eastAsia="Aptos" w:hAnsi="Times New Roman" w:cs="Times New Roman"/>
        </w:rPr>
        <w:t>Jurnal</w:t>
      </w:r>
      <w:proofErr w:type="spellEnd"/>
      <w:r w:rsidRPr="008D3090">
        <w:rPr>
          <w:rFonts w:ascii="Times New Roman" w:eastAsia="Aptos" w:hAnsi="Times New Roman" w:cs="Times New Roman"/>
        </w:rPr>
        <w:t xml:space="preserve"> </w:t>
      </w:r>
      <w:proofErr w:type="spellStart"/>
      <w:r w:rsidRPr="008D3090">
        <w:rPr>
          <w:rFonts w:ascii="Times New Roman" w:eastAsia="Aptos" w:hAnsi="Times New Roman" w:cs="Times New Roman"/>
        </w:rPr>
        <w:t>Komunikasi</w:t>
      </w:r>
      <w:proofErr w:type="spellEnd"/>
      <w:r w:rsidRPr="008D3090">
        <w:rPr>
          <w:rFonts w:ascii="Times New Roman" w:eastAsia="Aptos" w:hAnsi="Times New Roman" w:cs="Times New Roman"/>
        </w:rPr>
        <w:t xml:space="preserve"> </w:t>
      </w:r>
      <w:proofErr w:type="spellStart"/>
      <w:r w:rsidRPr="008D3090">
        <w:rPr>
          <w:rFonts w:ascii="Times New Roman" w:eastAsia="Aptos" w:hAnsi="Times New Roman" w:cs="Times New Roman"/>
        </w:rPr>
        <w:t>Ikatan</w:t>
      </w:r>
      <w:proofErr w:type="spellEnd"/>
      <w:r w:rsidRPr="008D3090">
        <w:rPr>
          <w:rFonts w:ascii="Times New Roman" w:eastAsia="Aptos" w:hAnsi="Times New Roman" w:cs="Times New Roman"/>
        </w:rPr>
        <w:t xml:space="preserve"> Sarjana </w:t>
      </w:r>
      <w:proofErr w:type="spellStart"/>
      <w:r w:rsidRPr="008D3090">
        <w:rPr>
          <w:rFonts w:ascii="Times New Roman" w:eastAsia="Aptos" w:hAnsi="Times New Roman" w:cs="Times New Roman"/>
        </w:rPr>
        <w:t>Komunikasi</w:t>
      </w:r>
      <w:proofErr w:type="spellEnd"/>
      <w:r w:rsidRPr="008D3090">
        <w:rPr>
          <w:rFonts w:ascii="Times New Roman" w:eastAsia="Aptos" w:hAnsi="Times New Roman" w:cs="Times New Roman"/>
        </w:rPr>
        <w:t xml:space="preserve"> Indonesia, 6(1), pp.121–128. </w:t>
      </w:r>
      <w:proofErr w:type="spellStart"/>
      <w:proofErr w:type="gramStart"/>
      <w:r w:rsidRPr="008D3090">
        <w:rPr>
          <w:rFonts w:ascii="Times New Roman" w:eastAsia="Aptos" w:hAnsi="Times New Roman" w:cs="Times New Roman"/>
        </w:rPr>
        <w:t>doi:https</w:t>
      </w:r>
      <w:proofErr w:type="spellEnd"/>
      <w:r w:rsidRPr="008D3090">
        <w:rPr>
          <w:rFonts w:ascii="Times New Roman" w:eastAsia="Aptos" w:hAnsi="Times New Roman" w:cs="Times New Roman"/>
        </w:rPr>
        <w:t>://doi.org/10.25008/jkiski.v6i1.498</w:t>
      </w:r>
      <w:proofErr w:type="gramEnd"/>
    </w:p>
    <w:p w14:paraId="5B7F112E"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R.K., Varghese, N. and Singh, V.N., (2020). Integrating social media and digital media as new elements of integrated marketing communication for creating brand equity. Journal of Content, Community &amp; Communication, 11(6), pp.52-64.</w:t>
      </w:r>
    </w:p>
    <w:p w14:paraId="34C30540" w14:textId="77777777" w:rsidR="008D3090" w:rsidRPr="008D3090" w:rsidRDefault="008D3090" w:rsidP="001A5F7B">
      <w:pPr>
        <w:tabs>
          <w:tab w:val="left" w:pos="3130"/>
        </w:tabs>
        <w:spacing w:before="120" w:after="120" w:line="240" w:lineRule="auto"/>
        <w:contextualSpacing/>
        <w:jc w:val="both"/>
        <w:rPr>
          <w:rFonts w:ascii="Times New Roman" w:eastAsia="Aptos" w:hAnsi="Times New Roman" w:cs="Times New Roman"/>
        </w:rPr>
      </w:pPr>
      <w:r w:rsidRPr="008D3090">
        <w:rPr>
          <w:rFonts w:ascii="Times New Roman" w:eastAsia="Aptos" w:hAnsi="Times New Roman" w:cs="Times New Roman"/>
        </w:rPr>
        <w:t xml:space="preserve">Sigala, M. and </w:t>
      </w:r>
      <w:proofErr w:type="spellStart"/>
      <w:r w:rsidRPr="008D3090">
        <w:rPr>
          <w:rFonts w:ascii="Times New Roman" w:eastAsia="Aptos" w:hAnsi="Times New Roman" w:cs="Times New Roman"/>
        </w:rPr>
        <w:t>Gretzel</w:t>
      </w:r>
      <w:proofErr w:type="spellEnd"/>
      <w:r w:rsidRPr="008D3090">
        <w:rPr>
          <w:rFonts w:ascii="Times New Roman" w:eastAsia="Aptos" w:hAnsi="Times New Roman" w:cs="Times New Roman"/>
        </w:rPr>
        <w:t xml:space="preserve">, U. (2017). Advances in Social Media for Travel, Tourism and Hospitality. Routledge. </w:t>
      </w:r>
    </w:p>
    <w:p w14:paraId="38AD4589"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Stewart, D.W. and Kamins, M.A. (1993). Secondary Research: Information Sources and Methods. [online] Google Books. London: SAGE Publications. Available at: ttps://books.google.co.uk/books?hl=en&amp;lr=&amp;id=Oe3MrNsOjkkC&amp;oi=fnd&amp;pg=PA1&amp;dq=secondary+research+&amp;ots=D1--wC6hGf&amp;sig=SRQoN1rSdNCdKlM2oEvvl9Hsk&amp;redir esc=</w:t>
      </w:r>
      <w:proofErr w:type="spellStart"/>
      <w:r w:rsidRPr="008D3090">
        <w:rPr>
          <w:rFonts w:ascii="Times New Roman" w:eastAsia="Aptos" w:hAnsi="Times New Roman" w:cs="Times New Roman"/>
        </w:rPr>
        <w:t>y#v</w:t>
      </w:r>
      <w:proofErr w:type="spellEnd"/>
      <w:proofErr w:type="gramStart"/>
      <w:r w:rsidRPr="008D3090">
        <w:rPr>
          <w:rFonts w:ascii="Times New Roman" w:eastAsia="Aptos" w:hAnsi="Times New Roman" w:cs="Times New Roman"/>
        </w:rPr>
        <w:t xml:space="preserve">=  </w:t>
      </w:r>
      <w:proofErr w:type="spellStart"/>
      <w:r w:rsidRPr="008D3090">
        <w:rPr>
          <w:rFonts w:ascii="Times New Roman" w:eastAsia="Aptos" w:hAnsi="Times New Roman" w:cs="Times New Roman"/>
        </w:rPr>
        <w:t>onepage</w:t>
      </w:r>
      <w:proofErr w:type="gramEnd"/>
      <w:r w:rsidRPr="008D3090">
        <w:rPr>
          <w:rFonts w:ascii="Times New Roman" w:eastAsia="Aptos" w:hAnsi="Times New Roman" w:cs="Times New Roman"/>
        </w:rPr>
        <w:t>&amp;q</w:t>
      </w:r>
      <w:proofErr w:type="spellEnd"/>
      <w:r w:rsidRPr="008D3090">
        <w:rPr>
          <w:rFonts w:ascii="Times New Roman" w:eastAsia="Aptos" w:hAnsi="Times New Roman" w:cs="Times New Roman"/>
        </w:rPr>
        <w:t>=secondary%20research&amp;f=false [Accessed 10 May 2023]</w:t>
      </w:r>
    </w:p>
    <w:p w14:paraId="6A517813" w14:textId="77777777" w:rsidR="008D3090" w:rsidRPr="008D3090" w:rsidRDefault="008D3090" w:rsidP="001A5F7B">
      <w:pPr>
        <w:tabs>
          <w:tab w:val="left" w:pos="3130"/>
        </w:tabs>
        <w:spacing w:before="120" w:after="120" w:line="240" w:lineRule="auto"/>
        <w:jc w:val="both"/>
        <w:rPr>
          <w:rFonts w:ascii="Times New Roman" w:eastAsia="Aptos" w:hAnsi="Times New Roman" w:cs="Times New Roman"/>
        </w:rPr>
      </w:pPr>
      <w:r w:rsidRPr="008D3090">
        <w:rPr>
          <w:rFonts w:ascii="Times New Roman" w:eastAsia="Aptos" w:hAnsi="Times New Roman" w:cs="Times New Roman"/>
        </w:rPr>
        <w:t xml:space="preserve">Syaifullah, J., </w:t>
      </w:r>
      <w:proofErr w:type="spellStart"/>
      <w:r w:rsidRPr="008D3090">
        <w:rPr>
          <w:rFonts w:ascii="Times New Roman" w:eastAsia="Aptos" w:hAnsi="Times New Roman" w:cs="Times New Roman"/>
        </w:rPr>
        <w:t>Syaifudin</w:t>
      </w:r>
      <w:proofErr w:type="spellEnd"/>
      <w:r w:rsidRPr="008D3090">
        <w:rPr>
          <w:rFonts w:ascii="Times New Roman" w:eastAsia="Aptos" w:hAnsi="Times New Roman" w:cs="Times New Roman"/>
        </w:rPr>
        <w:t xml:space="preserve">, M., </w:t>
      </w:r>
      <w:proofErr w:type="spellStart"/>
      <w:r w:rsidRPr="008D3090">
        <w:rPr>
          <w:rFonts w:ascii="Times New Roman" w:eastAsia="Aptos" w:hAnsi="Times New Roman" w:cs="Times New Roman"/>
        </w:rPr>
        <w:t>Sukendar</w:t>
      </w:r>
      <w:proofErr w:type="spellEnd"/>
      <w:r w:rsidRPr="008D3090">
        <w:rPr>
          <w:rFonts w:ascii="Times New Roman" w:eastAsia="Aptos" w:hAnsi="Times New Roman" w:cs="Times New Roman"/>
        </w:rPr>
        <w:t>, M.U. and JUNAEDI, J., (2021). Social media marketing and business performance of MSMEs during the COVID-19 pandemic. The Journal of Asian Finance, Economics and Business, 8(2), pp.523-531.</w:t>
      </w:r>
      <w:hyperlink r:id="rId315" w:history="1">
        <w:r w:rsidRPr="008D3090">
          <w:rPr>
            <w:rFonts w:ascii="Times New Roman" w:eastAsia="Aptos" w:hAnsi="Times New Roman" w:cs="Times New Roman"/>
            <w:color w:val="467886"/>
            <w:u w:val="single"/>
          </w:rPr>
          <w:t>https://www.koreascience.or.kr/article/</w:t>
        </w:r>
      </w:hyperlink>
      <w:r w:rsidRPr="008D3090">
        <w:rPr>
          <w:rFonts w:ascii="Times New Roman" w:eastAsia="Aptos" w:hAnsi="Times New Roman" w:cs="Times New Roman"/>
        </w:rPr>
        <w:t xml:space="preserve"> JAKO202104142220611.pageKushwaha, B.P., Singh, </w:t>
      </w:r>
    </w:p>
    <w:p w14:paraId="090025FA" w14:textId="13D2A0BC" w:rsidR="008D3090" w:rsidRDefault="008D3090" w:rsidP="001A5F7B">
      <w:pPr>
        <w:tabs>
          <w:tab w:val="left" w:pos="3130"/>
        </w:tabs>
        <w:spacing w:before="120" w:after="120" w:line="240" w:lineRule="auto"/>
        <w:jc w:val="both"/>
        <w:rPr>
          <w:rFonts w:ascii="Times New Roman" w:hAnsi="Times New Roman" w:cs="Times New Roman"/>
          <w:b/>
          <w:bCs/>
          <w:sz w:val="36"/>
          <w:szCs w:val="36"/>
        </w:rPr>
      </w:pPr>
      <w:r w:rsidRPr="008D3090">
        <w:rPr>
          <w:rFonts w:ascii="Times New Roman" w:eastAsia="Aptos" w:hAnsi="Times New Roman" w:cs="Times New Roman"/>
        </w:rPr>
        <w:t xml:space="preserve">Wong, L. (2022). How to Write Your Best </w:t>
      </w:r>
      <w:proofErr w:type="gramStart"/>
      <w:r w:rsidRPr="008D3090">
        <w:rPr>
          <w:rFonts w:ascii="Times New Roman" w:eastAsia="Aptos" w:hAnsi="Times New Roman" w:cs="Times New Roman"/>
        </w:rPr>
        <w:t>Social Media Bio</w:t>
      </w:r>
      <w:proofErr w:type="gramEnd"/>
      <w:r w:rsidRPr="008D3090">
        <w:rPr>
          <w:rFonts w:ascii="Times New Roman" w:eastAsia="Aptos" w:hAnsi="Times New Roman" w:cs="Times New Roman"/>
        </w:rPr>
        <w:t xml:space="preserve"> [+28 Free Templates]. [online] Social Media Marketing &amp; Management Dashboard. Available at: https://blog.hootsuite.com/social-media-bio/. </w:t>
      </w:r>
    </w:p>
    <w:p w14:paraId="34E1D0F5" w14:textId="77777777" w:rsidR="008D3090" w:rsidRDefault="008D3090" w:rsidP="00A60822">
      <w:pPr>
        <w:spacing w:after="0" w:line="240" w:lineRule="auto"/>
        <w:jc w:val="both"/>
        <w:rPr>
          <w:rFonts w:ascii="Times New Roman" w:hAnsi="Times New Roman" w:cs="Times New Roman"/>
          <w:b/>
          <w:bCs/>
          <w:sz w:val="36"/>
          <w:szCs w:val="36"/>
        </w:rPr>
      </w:pPr>
    </w:p>
    <w:p w14:paraId="40A1F037" w14:textId="77777777" w:rsidR="008D3090" w:rsidRDefault="008D3090" w:rsidP="00A60822">
      <w:pPr>
        <w:spacing w:after="0" w:line="240" w:lineRule="auto"/>
        <w:jc w:val="both"/>
        <w:rPr>
          <w:rFonts w:ascii="Times New Roman" w:hAnsi="Times New Roman" w:cs="Times New Roman"/>
          <w:b/>
          <w:bCs/>
          <w:sz w:val="36"/>
          <w:szCs w:val="36"/>
        </w:rPr>
      </w:pPr>
    </w:p>
    <w:p w14:paraId="6E72ED88" w14:textId="77777777" w:rsidR="008D3090" w:rsidRDefault="008D3090" w:rsidP="00A60822">
      <w:pPr>
        <w:spacing w:after="0" w:line="240" w:lineRule="auto"/>
        <w:jc w:val="both"/>
        <w:rPr>
          <w:rFonts w:ascii="Times New Roman" w:hAnsi="Times New Roman" w:cs="Times New Roman"/>
          <w:b/>
          <w:bCs/>
          <w:sz w:val="36"/>
          <w:szCs w:val="36"/>
        </w:rPr>
      </w:pPr>
    </w:p>
    <w:p w14:paraId="6C772EFD"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bookmarkStart w:id="87" w:name="_Hlk224067271"/>
    </w:p>
    <w:p w14:paraId="7FD5F852"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0FEEE607"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741E1C4F"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692A390D"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6964C7B2"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78455E31"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3EE1CCBA"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0EB2E808" w14:textId="183B881F" w:rsidR="008D3090" w:rsidRDefault="008D3090" w:rsidP="00641746">
      <w:pPr>
        <w:spacing w:after="0" w:line="240" w:lineRule="auto"/>
        <w:jc w:val="center"/>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lastRenderedPageBreak/>
        <w:t>RELIGIOUS DIGITAL BRAND EQUITY AND LOYALTY OF CHURCH MEMBER IN PORT HARCOURT, RIVERS STATE.</w:t>
      </w:r>
    </w:p>
    <w:p w14:paraId="7FFE86BD" w14:textId="77777777" w:rsidR="00641746" w:rsidRDefault="00641746" w:rsidP="008D3090">
      <w:pPr>
        <w:spacing w:after="0" w:line="480" w:lineRule="auto"/>
        <w:jc w:val="center"/>
        <w:rPr>
          <w:rFonts w:ascii="Times New Roman" w:eastAsia="Calibri" w:hAnsi="Times New Roman" w:cs="Times New Roman"/>
          <w:b/>
          <w:kern w:val="0"/>
          <w:lang w:val="en-GB"/>
          <w14:ligatures w14:val="none"/>
        </w:rPr>
      </w:pPr>
    </w:p>
    <w:p w14:paraId="4A6598C6" w14:textId="3E19D49E" w:rsidR="00641746" w:rsidRPr="008D3090" w:rsidRDefault="00641746" w:rsidP="008D3090">
      <w:pPr>
        <w:spacing w:after="0" w:line="480" w:lineRule="auto"/>
        <w:jc w:val="center"/>
        <w:rPr>
          <w:rFonts w:ascii="Times New Roman" w:eastAsia="Calibri" w:hAnsi="Times New Roman" w:cs="Times New Roman"/>
          <w:b/>
          <w:kern w:val="0"/>
          <w:lang w:val="en-GB"/>
          <w14:ligatures w14:val="none"/>
        </w:rPr>
      </w:pPr>
      <w:r>
        <w:rPr>
          <w:rFonts w:ascii="Times New Roman" w:eastAsia="Calibri" w:hAnsi="Times New Roman" w:cs="Times New Roman"/>
          <w:b/>
          <w:kern w:val="0"/>
          <w:lang w:val="en-GB"/>
          <w14:ligatures w14:val="none"/>
        </w:rPr>
        <w:t>Chioma Gloria Ogbonda (PhD)</w:t>
      </w:r>
    </w:p>
    <w:p w14:paraId="007C3C19" w14:textId="77777777" w:rsidR="008D3090" w:rsidRPr="008D3090" w:rsidRDefault="008D3090" w:rsidP="008D3090">
      <w:pPr>
        <w:spacing w:after="0" w:line="240" w:lineRule="auto"/>
        <w:jc w:val="center"/>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Email address: chiomaogbondag@gmail.com. Phone number 08105134216</w:t>
      </w:r>
    </w:p>
    <w:p w14:paraId="391A3F9C" w14:textId="77777777" w:rsidR="008D3090" w:rsidRPr="008D3090" w:rsidRDefault="008D3090" w:rsidP="008D3090">
      <w:pPr>
        <w:spacing w:after="0" w:line="240" w:lineRule="auto"/>
        <w:jc w:val="center"/>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Department of Marketing, Faculty of Management Sciences</w:t>
      </w:r>
    </w:p>
    <w:p w14:paraId="3F0703D0" w14:textId="77777777" w:rsidR="008D3090" w:rsidRPr="008D3090" w:rsidRDefault="008D3090" w:rsidP="008D3090">
      <w:pPr>
        <w:spacing w:after="0" w:line="240" w:lineRule="auto"/>
        <w:jc w:val="center"/>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University of Port Harcourt, Port Harcourt, Nigeria.</w:t>
      </w:r>
    </w:p>
    <w:p w14:paraId="0B2A1417" w14:textId="77777777" w:rsidR="008D3090" w:rsidRPr="008D3090" w:rsidRDefault="008D3090" w:rsidP="008D3090">
      <w:pPr>
        <w:spacing w:after="200" w:line="240" w:lineRule="auto"/>
        <w:jc w:val="both"/>
        <w:rPr>
          <w:rFonts w:ascii="Times New Roman" w:eastAsia="Calibri" w:hAnsi="Times New Roman" w:cs="Times New Roman"/>
          <w:b/>
          <w:bCs/>
          <w:kern w:val="0"/>
          <w14:ligatures w14:val="none"/>
        </w:rPr>
      </w:pPr>
    </w:p>
    <w:p w14:paraId="68515B71" w14:textId="77777777" w:rsidR="008D3090" w:rsidRPr="008D3090" w:rsidRDefault="008D3090" w:rsidP="008D3090">
      <w:pPr>
        <w:spacing w:after="200" w:line="240" w:lineRule="auto"/>
        <w:jc w:val="both"/>
        <w:rPr>
          <w:rFonts w:ascii="Times New Roman" w:eastAsia="Calibri" w:hAnsi="Times New Roman" w:cs="Times New Roman"/>
          <w:b/>
          <w:bCs/>
          <w:kern w:val="0"/>
          <w14:ligatures w14:val="none"/>
        </w:rPr>
      </w:pPr>
    </w:p>
    <w:p w14:paraId="142DFAE2" w14:textId="77777777" w:rsidR="008D3090" w:rsidRPr="008D3090" w:rsidRDefault="008D3090" w:rsidP="008D3090">
      <w:pPr>
        <w:spacing w:after="200" w:line="240" w:lineRule="auto"/>
        <w:jc w:val="both"/>
        <w:rPr>
          <w:rFonts w:ascii="Times New Roman" w:eastAsia="Calibri" w:hAnsi="Times New Roman" w:cs="Times New Roman"/>
          <w:b/>
          <w:bCs/>
          <w:kern w:val="0"/>
          <w14:ligatures w14:val="none"/>
        </w:rPr>
      </w:pPr>
      <w:r w:rsidRPr="008D3090">
        <w:rPr>
          <w:rFonts w:ascii="Times New Roman" w:eastAsia="Calibri" w:hAnsi="Times New Roman" w:cs="Times New Roman"/>
          <w:b/>
          <w:bCs/>
          <w:kern w:val="0"/>
          <w14:ligatures w14:val="none"/>
        </w:rPr>
        <w:t>Abstract</w:t>
      </w:r>
    </w:p>
    <w:p w14:paraId="42FE7B1B" w14:textId="77777777" w:rsidR="008D3090" w:rsidRPr="008D3090" w:rsidRDefault="008D3090" w:rsidP="008D3090">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This process of digitalizing the process of communication has impacted immensely on the ways through which religious entities communicate with members and the community at large. The use of digital means including social media, websites, livestreaming services and mobile applications in churches </w:t>
      </w:r>
      <w:proofErr w:type="gramStart"/>
      <w:r w:rsidRPr="008D3090">
        <w:rPr>
          <w:rFonts w:ascii="Times New Roman" w:eastAsia="Calibri" w:hAnsi="Times New Roman" w:cs="Times New Roman"/>
          <w:kern w:val="0"/>
          <w14:ligatures w14:val="none"/>
        </w:rPr>
        <w:t>are</w:t>
      </w:r>
      <w:proofErr w:type="gramEnd"/>
      <w:r w:rsidRPr="008D3090">
        <w:rPr>
          <w:rFonts w:ascii="Times New Roman" w:eastAsia="Calibri" w:hAnsi="Times New Roman" w:cs="Times New Roman"/>
          <w:kern w:val="0"/>
          <w14:ligatures w14:val="none"/>
        </w:rPr>
        <w:t xml:space="preserve"> increasingly a means of churches to encourage religious interactions and build relationships with congregants. The paper explores the connection between the religious digital brand equity and loyalty among church members in Port Harcourt, </w:t>
      </w:r>
      <w:proofErr w:type="gramStart"/>
      <w:r w:rsidRPr="008D3090">
        <w:rPr>
          <w:rFonts w:ascii="Times New Roman" w:eastAsia="Calibri" w:hAnsi="Times New Roman" w:cs="Times New Roman"/>
          <w:kern w:val="0"/>
          <w14:ligatures w14:val="none"/>
        </w:rPr>
        <w:t>Rivers</w:t>
      </w:r>
      <w:proofErr w:type="gramEnd"/>
      <w:r w:rsidRPr="008D3090">
        <w:rPr>
          <w:rFonts w:ascii="Times New Roman" w:eastAsia="Calibri" w:hAnsi="Times New Roman" w:cs="Times New Roman"/>
          <w:kern w:val="0"/>
          <w14:ligatures w14:val="none"/>
        </w:rPr>
        <w:t xml:space="preserve"> state, Nigeria. Through a conceptual review technique, the research examines the dimensions of digital brand equity such as the church brand orientation, the religious activities as well as the Digital brand awareness. The paper also examines the impact of these factors on indicator of loyalty of church members like the maintenance of membership. The results indicate that churches that use digital platforms successfully can build the brand image, increase the engagement level of the members, and encourage successful retention. Among the recommendations that the study would make is that churches in Port Harcourt need to embrace organized online communication strategies, enhance online interaction, and have uniform brand communication in order to increase loyalty among the members.</w:t>
      </w:r>
    </w:p>
    <w:p w14:paraId="30DEE1BF" w14:textId="77777777" w:rsidR="008D3090" w:rsidRPr="008D3090" w:rsidRDefault="008D3090" w:rsidP="008D3090">
      <w:pPr>
        <w:spacing w:after="0" w:line="48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b/>
          <w:bCs/>
          <w:kern w:val="0"/>
          <w14:ligatures w14:val="none"/>
        </w:rPr>
        <w:t>Keywords</w:t>
      </w:r>
      <w:r w:rsidRPr="008D3090">
        <w:rPr>
          <w:rFonts w:ascii="Times New Roman" w:eastAsia="Calibri" w:hAnsi="Times New Roman" w:cs="Times New Roman"/>
          <w:kern w:val="0"/>
          <w14:ligatures w14:val="none"/>
        </w:rPr>
        <w:t>: digital branding, brand equity, church loyalty, religious marketing, Port Harcourt.</w:t>
      </w:r>
    </w:p>
    <w:p w14:paraId="5C0A7897" w14:textId="77777777" w:rsidR="008D3090" w:rsidRPr="008D3090" w:rsidRDefault="008D3090" w:rsidP="001A5F7B">
      <w:pPr>
        <w:spacing w:after="0" w:line="240" w:lineRule="auto"/>
        <w:jc w:val="both"/>
        <w:rPr>
          <w:rFonts w:ascii="Times New Roman" w:eastAsia="Calibri" w:hAnsi="Times New Roman" w:cs="Times New Roman"/>
          <w:b/>
          <w:bCs/>
          <w:kern w:val="0"/>
          <w14:ligatures w14:val="none"/>
        </w:rPr>
      </w:pPr>
      <w:r w:rsidRPr="008D3090">
        <w:rPr>
          <w:rFonts w:ascii="Times New Roman" w:eastAsia="Calibri" w:hAnsi="Times New Roman" w:cs="Times New Roman"/>
          <w:b/>
          <w:bCs/>
          <w:kern w:val="0"/>
          <w14:ligatures w14:val="none"/>
        </w:rPr>
        <w:t>INTRODUCTION</w:t>
      </w:r>
    </w:p>
    <w:p w14:paraId="18C10D61"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The pace at which the digital technology is evolving has altered the channel of communication and marketing operations in various industries, including religion. It is interesting to note that religious groups, particularly churches use digital platforms to spread the message, communicate with the followers, and build a better relationship with congregants. This has developed into a digital form of engagement that has now taken the shape of religious digital branding whereby churches apply the strategies of branding to gain more visibility and impact.</w:t>
      </w:r>
    </w:p>
    <w:p w14:paraId="412AF185"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p>
    <w:p w14:paraId="27804665"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Branding of religion is the use of branding concepts to a religious organization. The best value created by a church in their </w:t>
      </w:r>
      <w:proofErr w:type="spellStart"/>
      <w:r w:rsidRPr="008D3090">
        <w:rPr>
          <w:rFonts w:ascii="Times New Roman" w:eastAsia="Calibri" w:hAnsi="Times New Roman" w:cs="Times New Roman"/>
          <w:kern w:val="0"/>
          <w14:ligatures w14:val="none"/>
        </w:rPr>
        <w:t>programmes</w:t>
      </w:r>
      <w:proofErr w:type="spellEnd"/>
      <w:r w:rsidRPr="008D3090">
        <w:rPr>
          <w:rFonts w:ascii="Times New Roman" w:eastAsia="Calibri" w:hAnsi="Times New Roman" w:cs="Times New Roman"/>
          <w:kern w:val="0"/>
          <w14:ligatures w14:val="none"/>
        </w:rPr>
        <w:t xml:space="preserve"> to become a household name and capture good value is explained as religious brand equity. Others in the state who have gained a household name due to the large number of adherents, their presence on social media, influence and major church auditorium include Omega power ministry (OPM) founded by Chibuzor Gift Chinyere, royal house of Grace international church founded by Zilly Aggrey in 1992, salvation ministry founded by David Ibiyeomie in 1997, the redeemed Christian church (popularly known as Redeem) </w:t>
      </w:r>
      <w:r w:rsidRPr="008D3090">
        <w:rPr>
          <w:rFonts w:ascii="Times New Roman" w:eastAsia="Calibri" w:hAnsi="Times New Roman" w:cs="Times New Roman"/>
          <w:kern w:val="0"/>
          <w14:ligatures w14:val="none"/>
        </w:rPr>
        <w:lastRenderedPageBreak/>
        <w:t>founded by Josiah Olufemi Akindayomi and currently led by Enoch Adeboye The elements of brand equity that comprise the consumer perception, the negative or positive impact and the value that is generated (Hayes, 2025) thus affect this new brand-religious branding.</w:t>
      </w:r>
    </w:p>
    <w:p w14:paraId="7F196AAD"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Church refers to the congregation of people who share belief. People can think of the church in two ways and this means a group of believers in Christ, Matthew 16:18 and a building or structure where people congregate to worship, Acts 2:46 (Jackson, 2017).</w:t>
      </w:r>
    </w:p>
    <w:p w14:paraId="0D1E74D3"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A consumer is said to be </w:t>
      </w:r>
      <w:proofErr w:type="spellStart"/>
      <w:r w:rsidRPr="008D3090">
        <w:rPr>
          <w:rFonts w:ascii="Times New Roman" w:eastAsia="Calibri" w:hAnsi="Times New Roman" w:cs="Times New Roman"/>
          <w:kern w:val="0"/>
          <w14:ligatures w14:val="none"/>
        </w:rPr>
        <w:t>band</w:t>
      </w:r>
      <w:proofErr w:type="spellEnd"/>
      <w:r w:rsidRPr="008D3090">
        <w:rPr>
          <w:rFonts w:ascii="Times New Roman" w:eastAsia="Calibri" w:hAnsi="Times New Roman" w:cs="Times New Roman"/>
          <w:kern w:val="0"/>
          <w14:ligatures w14:val="none"/>
        </w:rPr>
        <w:t xml:space="preserve">-loyal when he or she prefers to purchase a specific brand within a given product category. Such perception can be converted to repetitive purchase leading to loyalty. It is the love and inclination of their customer towards the brand (Ishak and Ghani, 2013). Moreover, the degree of attachment of a customer to a brand is the parameter (Aaker, 1991). Religious brand loyalty induces some form of commitment among the members. Due to their commitment towards the church, members invest their time, talents, resources and finances. Others even bequeath their property to the church. In Port </w:t>
      </w:r>
      <w:proofErr w:type="spellStart"/>
      <w:r w:rsidRPr="008D3090">
        <w:rPr>
          <w:rFonts w:ascii="Times New Roman" w:eastAsia="Calibri" w:hAnsi="Times New Roman" w:cs="Times New Roman"/>
          <w:kern w:val="0"/>
          <w14:ligatures w14:val="none"/>
        </w:rPr>
        <w:t>Sotric</w:t>
      </w:r>
      <w:proofErr w:type="spellEnd"/>
      <w:r w:rsidRPr="008D3090">
        <w:rPr>
          <w:rFonts w:ascii="Times New Roman" w:eastAsia="Calibri" w:hAnsi="Times New Roman" w:cs="Times New Roman"/>
          <w:kern w:val="0"/>
          <w14:ligatures w14:val="none"/>
        </w:rPr>
        <w:t>, some of the churches obtain their church land, which is donated by the host communities and individuals. The members who are loyal spread the word of mouth to attract people to their man of God.</w:t>
      </w:r>
    </w:p>
    <w:p w14:paraId="64746D6F"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p>
    <w:p w14:paraId="619730A9"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The actualization of the religious brand and loyalty needs some processes or steps. This is where one church is distinguished by another, that is, the retention of members. The steps are as follows- the physical structure of the church, the message preached, digital strategy, the means of getting new members to join the church, welfarism-the majority of people due to the state of insufficiency of food, money and daily needs have opted to join some churches to have their needs met, signs and wonders, time management- over time churches that spend so much time in church only attract old people, education of kids through the children church, good serene for teenage worship like at the St. </w:t>
      </w:r>
      <w:proofErr w:type="spellStart"/>
      <w:r w:rsidRPr="008D3090">
        <w:rPr>
          <w:rFonts w:ascii="Times New Roman" w:eastAsia="Calibri" w:hAnsi="Times New Roman" w:cs="Times New Roman"/>
          <w:kern w:val="0"/>
          <w14:ligatures w14:val="none"/>
        </w:rPr>
        <w:t>Pauls</w:t>
      </w:r>
      <w:proofErr w:type="spellEnd"/>
      <w:r w:rsidRPr="008D3090">
        <w:rPr>
          <w:rFonts w:ascii="Times New Roman" w:eastAsia="Calibri" w:hAnsi="Times New Roman" w:cs="Times New Roman"/>
          <w:kern w:val="0"/>
          <w14:ligatures w14:val="none"/>
        </w:rPr>
        <w:t xml:space="preserve"> cathedral </w:t>
      </w:r>
      <w:proofErr w:type="spellStart"/>
      <w:r w:rsidRPr="008D3090">
        <w:rPr>
          <w:rFonts w:ascii="Times New Roman" w:eastAsia="Calibri" w:hAnsi="Times New Roman" w:cs="Times New Roman"/>
          <w:kern w:val="0"/>
          <w14:ligatures w14:val="none"/>
        </w:rPr>
        <w:t>Diobu</w:t>
      </w:r>
      <w:proofErr w:type="spellEnd"/>
      <w:r w:rsidRPr="008D3090">
        <w:rPr>
          <w:rFonts w:ascii="Times New Roman" w:eastAsia="Calibri" w:hAnsi="Times New Roman" w:cs="Times New Roman"/>
          <w:kern w:val="0"/>
          <w14:ligatures w14:val="none"/>
        </w:rPr>
        <w:t xml:space="preserve"> which have enough learning facilities among children that make </w:t>
      </w:r>
      <w:r w:rsidRPr="008D3090">
        <w:rPr>
          <w:rFonts w:ascii="Times New Roman" w:eastAsia="Calibri" w:hAnsi="Times New Roman" w:cs="Times New Roman"/>
          <w:kern w:val="0"/>
          <w:lang w:val="en-GB"/>
          <w14:ligatures w14:val="none"/>
        </w:rPr>
        <w:t>them join the church.</w:t>
      </w:r>
    </w:p>
    <w:p w14:paraId="0032AE79"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Although there has been an increased digitization of the church, there is a dearth of literature on the concept of religious digital brand equity and its effect on the loyalty of members of church in Port Harcourt. This paper thus investigates the connection between the digital brand equity and loyalty among the members of the church in Port Harcourt.</w:t>
      </w:r>
    </w:p>
    <w:p w14:paraId="335BFABA" w14:textId="77777777" w:rsidR="008D3090" w:rsidRPr="008D3090" w:rsidRDefault="008D3090" w:rsidP="001A5F7B">
      <w:pPr>
        <w:spacing w:after="0" w:line="240" w:lineRule="auto"/>
        <w:jc w:val="both"/>
        <w:rPr>
          <w:rFonts w:ascii="Times New Roman" w:eastAsia="Calibri" w:hAnsi="Times New Roman" w:cs="Times New Roman"/>
          <w:b/>
          <w:bCs/>
          <w:kern w:val="0"/>
          <w14:ligatures w14:val="none"/>
        </w:rPr>
      </w:pPr>
      <w:r w:rsidRPr="008D3090">
        <w:rPr>
          <w:rFonts w:ascii="Times New Roman" w:eastAsia="Calibri" w:hAnsi="Times New Roman" w:cs="Times New Roman"/>
          <w:b/>
          <w:bCs/>
          <w:kern w:val="0"/>
          <w14:ligatures w14:val="none"/>
        </w:rPr>
        <w:t>Statement of the Problem</w:t>
      </w:r>
    </w:p>
    <w:p w14:paraId="6AAE6FD6"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We live in a city where churches have risen so much and level of competition is escalating in day to day basis, there has been high diversification of doctrines, mobility of congregants whereby some would wish to be general overseer opt to run their own church which has been the case leading to high introduction of new churches in every street at Port Harcourt but with limited efforts to see members loyal to God and doctrines of the church. It has seen the same introduce the concepts of marketing and branding like brand equity to religious institutions in the effort to learn how the churches can establish strong identities and retain committed members. It is rather unfortunate that this aspect of church life is overlooked in most churches. </w:t>
      </w:r>
    </w:p>
    <w:p w14:paraId="41054ACB"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p>
    <w:p w14:paraId="031336BA"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Once again, it involves issues of unhealthy competitions among church leaders, instead of to arrange appropriate </w:t>
      </w:r>
      <w:proofErr w:type="spellStart"/>
      <w:r w:rsidRPr="008D3090">
        <w:rPr>
          <w:rFonts w:ascii="Times New Roman" w:eastAsia="Calibri" w:hAnsi="Times New Roman" w:cs="Times New Roman"/>
          <w:kern w:val="0"/>
          <w14:ligatures w14:val="none"/>
        </w:rPr>
        <w:t>programmes</w:t>
      </w:r>
      <w:proofErr w:type="spellEnd"/>
      <w:r w:rsidRPr="008D3090">
        <w:rPr>
          <w:rFonts w:ascii="Times New Roman" w:eastAsia="Calibri" w:hAnsi="Times New Roman" w:cs="Times New Roman"/>
          <w:kern w:val="0"/>
          <w14:ligatures w14:val="none"/>
        </w:rPr>
        <w:t xml:space="preserve"> that will empower her membership and to project the right image. </w:t>
      </w:r>
    </w:p>
    <w:p w14:paraId="13271D0B"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p>
    <w:p w14:paraId="5E91ED90"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The other critical problem is the correct perception of loyalty. It is vital in the ultimate retention of members. Naturally, it is played around by some church leaders and not even comprehended by all members. An example of this is an instance of the South African Pastor, </w:t>
      </w:r>
      <w:proofErr w:type="spellStart"/>
      <w:r w:rsidRPr="008D3090">
        <w:rPr>
          <w:rFonts w:ascii="Times New Roman" w:eastAsia="Calibri" w:hAnsi="Times New Roman" w:cs="Times New Roman"/>
          <w:kern w:val="0"/>
          <w14:ligatures w14:val="none"/>
        </w:rPr>
        <w:t>Lesego</w:t>
      </w:r>
      <w:proofErr w:type="spellEnd"/>
      <w:r w:rsidRPr="008D3090">
        <w:rPr>
          <w:rFonts w:ascii="Times New Roman" w:eastAsia="Calibri" w:hAnsi="Times New Roman" w:cs="Times New Roman"/>
          <w:kern w:val="0"/>
          <w14:ligatures w14:val="none"/>
        </w:rPr>
        <w:t xml:space="preserve"> Daniel, who has made his congregants drink petrol after he stated that it would somehow turn into a miracle of </w:t>
      </w:r>
      <w:r w:rsidRPr="008D3090">
        <w:rPr>
          <w:rFonts w:ascii="Times New Roman" w:eastAsia="Calibri" w:hAnsi="Times New Roman" w:cs="Times New Roman"/>
          <w:kern w:val="0"/>
          <w14:ligatures w14:val="none"/>
        </w:rPr>
        <w:lastRenderedPageBreak/>
        <w:t>pineapple juice and graze grass as was reported by The Christian Post by Jessica Martinez on September 26, 2014. This raised a question in the minds of many on the distinction between devotion to a Church and to God; and whether devotion to a Church is devotion to God.</w:t>
      </w:r>
    </w:p>
    <w:p w14:paraId="1F53917E"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p>
    <w:p w14:paraId="640162FE" w14:textId="77777777" w:rsidR="008D3090" w:rsidRPr="008D3090" w:rsidRDefault="008D3090" w:rsidP="001A5F7B">
      <w:pPr>
        <w:spacing w:after="0" w:line="240" w:lineRule="auto"/>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Individuals are no longer attached to single churches. They change churches as they see it necessary, as they are not committed and how they assimilate new members. </w:t>
      </w:r>
    </w:p>
    <w:p w14:paraId="243F8A69"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kern w:val="0"/>
          <w14:ligatures w14:val="none"/>
        </w:rPr>
        <w:t>The issue of church building, religious activities, awareness using digital strategies of communication and the impact they have on the retention of members are the gaps that the research has determined must be addressed and which the current study should focus on. The research is conducted to determine the digital brand equity and loyalty of church members in Port Harcourt</w:t>
      </w:r>
      <w:r w:rsidRPr="008D3090">
        <w:rPr>
          <w:rFonts w:ascii="Times New Roman" w:eastAsia="Calibri" w:hAnsi="Times New Roman" w:cs="Times New Roman"/>
          <w:bCs/>
          <w:kern w:val="0"/>
          <w:lang w:val="en-GB"/>
          <w14:ligatures w14:val="none"/>
        </w:rPr>
        <w:t>.</w:t>
      </w:r>
    </w:p>
    <w:p w14:paraId="34AD9358" w14:textId="77777777" w:rsidR="008D3090" w:rsidRPr="008D3090" w:rsidRDefault="008D3090" w:rsidP="008D3090">
      <w:pPr>
        <w:spacing w:after="0" w:line="48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Conceptual Framework</w:t>
      </w:r>
    </w:p>
    <w:p w14:paraId="01FA6F77" w14:textId="77777777" w:rsidR="008D3090" w:rsidRPr="008D3090" w:rsidRDefault="008D3090" w:rsidP="008D3090">
      <w:pPr>
        <w:tabs>
          <w:tab w:val="left" w:pos="2630"/>
        </w:tabs>
        <w:spacing w:after="0" w:line="48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noProof/>
          <w:kern w:val="0"/>
          <w:lang w:val="en-GB" w:eastAsia="en-GB"/>
          <w14:ligatures w14:val="none"/>
        </w:rPr>
        <mc:AlternateContent>
          <mc:Choice Requires="wpg">
            <w:drawing>
              <wp:anchor distT="0" distB="0" distL="0" distR="0" simplePos="0" relativeHeight="251719680" behindDoc="0" locked="0" layoutInCell="1" allowOverlap="1" wp14:anchorId="40196673" wp14:editId="297C2C29">
                <wp:simplePos x="0" y="0"/>
                <wp:positionH relativeFrom="column">
                  <wp:posOffset>818515</wp:posOffset>
                </wp:positionH>
                <wp:positionV relativeFrom="paragraph">
                  <wp:posOffset>5080</wp:posOffset>
                </wp:positionV>
                <wp:extent cx="4791075" cy="2238375"/>
                <wp:effectExtent l="0" t="0" r="28575" b="10160"/>
                <wp:wrapNone/>
                <wp:docPr id="73616665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1075" cy="2238375"/>
                          <a:chOff x="-47625" y="0"/>
                          <a:chExt cx="4791075" cy="2238374"/>
                        </a:xfrm>
                      </wpg:grpSpPr>
                      <wps:wsp>
                        <wps:cNvPr id="1988836250" name="Rectangle 1988836250"/>
                        <wps:cNvSpPr/>
                        <wps:spPr>
                          <a:xfrm>
                            <a:off x="0" y="800099"/>
                            <a:ext cx="2286000" cy="143827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737CF843" w14:textId="77777777" w:rsidR="008D3090" w:rsidRDefault="008D3090" w:rsidP="008D3090"/>
                            <w:p w14:paraId="1C4D1150" w14:textId="77777777" w:rsidR="008D3090" w:rsidRDefault="008D3090" w:rsidP="008D3090"/>
                            <w:p w14:paraId="539DDDFD" w14:textId="77777777" w:rsidR="008D3090" w:rsidRDefault="008D3090" w:rsidP="008D3090"/>
                          </w:txbxContent>
                        </wps:txbx>
                        <wps:bodyPr vert="horz" wrap="square" lIns="91440" tIns="45720" rIns="91440" bIns="45720" anchor="ctr">
                          <a:prstTxWarp prst="textNoShape">
                            <a:avLst/>
                          </a:prstTxWarp>
                          <a:noAutofit/>
                        </wps:bodyPr>
                      </wps:wsp>
                      <wps:wsp>
                        <wps:cNvPr id="1569507001" name="Rectangle 1569507001"/>
                        <wps:cNvSpPr/>
                        <wps:spPr>
                          <a:xfrm>
                            <a:off x="3028950" y="857250"/>
                            <a:ext cx="1714500" cy="1276350"/>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1AF2DB92" w14:textId="77777777" w:rsidR="008D3090" w:rsidRDefault="008D3090" w:rsidP="008D3090">
                              <w:pPr>
                                <w:rPr>
                                  <w:rFonts w:ascii="Times New Roman" w:hAnsi="Times New Roman"/>
                                </w:rPr>
                              </w:pPr>
                              <w:r>
                                <w:rPr>
                                  <w:rFonts w:ascii="Times New Roman" w:hAnsi="Times New Roman"/>
                                </w:rPr>
                                <w:t>Membership Retention</w:t>
                              </w:r>
                            </w:p>
                            <w:p w14:paraId="71DE4082" w14:textId="77777777" w:rsidR="008D3090" w:rsidRDefault="008D3090" w:rsidP="008D3090">
                              <w:pPr>
                                <w:jc w:val="center"/>
                              </w:pPr>
                            </w:p>
                          </w:txbxContent>
                        </wps:txbx>
                        <wps:bodyPr vert="horz" wrap="square" lIns="91440" tIns="45720" rIns="91440" bIns="45720" anchor="ctr">
                          <a:prstTxWarp prst="textNoShape">
                            <a:avLst/>
                          </a:prstTxWarp>
                          <a:noAutofit/>
                        </wps:bodyPr>
                      </wps:wsp>
                      <wps:wsp>
                        <wps:cNvPr id="1592177656" name="Rectangle 1592177656"/>
                        <wps:cNvSpPr/>
                        <wps:spPr>
                          <a:xfrm>
                            <a:off x="228600" y="1362075"/>
                            <a:ext cx="1562100" cy="30480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0564F748" w14:textId="77777777" w:rsidR="008D3090" w:rsidRDefault="008D3090" w:rsidP="008D3090">
                              <w:pPr>
                                <w:spacing w:after="0" w:line="240" w:lineRule="auto"/>
                                <w:rPr>
                                  <w:rFonts w:ascii="Times New Roman" w:hAnsi="Times New Roman"/>
                                </w:rPr>
                              </w:pPr>
                              <w:r>
                                <w:rPr>
                                  <w:rFonts w:ascii="Times New Roman" w:hAnsi="Times New Roman"/>
                                </w:rPr>
                                <w:t>Religious Activities</w:t>
                              </w:r>
                            </w:p>
                          </w:txbxContent>
                        </wps:txbx>
                        <wps:bodyPr vert="horz" wrap="square" lIns="91440" tIns="45720" rIns="91440" bIns="45720" anchor="t">
                          <a:prstTxWarp prst="textNoShape">
                            <a:avLst/>
                          </a:prstTxWarp>
                          <a:noAutofit/>
                        </wps:bodyPr>
                      </wps:wsp>
                      <wps:wsp>
                        <wps:cNvPr id="314558121" name="Rectangle 314558121"/>
                        <wps:cNvSpPr/>
                        <wps:spPr>
                          <a:xfrm>
                            <a:off x="180975" y="837963"/>
                            <a:ext cx="1552575" cy="447912"/>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7CE84706" w14:textId="77777777" w:rsidR="008D3090" w:rsidRDefault="008D3090" w:rsidP="008D3090">
                              <w:pPr>
                                <w:spacing w:after="0" w:line="240" w:lineRule="auto"/>
                                <w:jc w:val="center"/>
                                <w:rPr>
                                  <w:rFonts w:ascii="Times New Roman" w:hAnsi="Times New Roman"/>
                                </w:rPr>
                              </w:pPr>
                              <w:r>
                                <w:rPr>
                                  <w:rFonts w:ascii="Times New Roman" w:hAnsi="Times New Roman"/>
                                </w:rPr>
                                <w:t>Church Brand Orientation</w:t>
                              </w:r>
                            </w:p>
                            <w:p w14:paraId="75F9A517" w14:textId="77777777" w:rsidR="008D3090" w:rsidRDefault="008D3090" w:rsidP="008D3090"/>
                          </w:txbxContent>
                        </wps:txbx>
                        <wps:bodyPr vert="horz" wrap="square" lIns="91440" tIns="45720" rIns="91440" bIns="45720" anchor="t">
                          <a:prstTxWarp prst="textNoShape">
                            <a:avLst/>
                          </a:prstTxWarp>
                          <a:noAutofit/>
                        </wps:bodyPr>
                      </wps:wsp>
                      <wpg:grpSp>
                        <wpg:cNvPr id="1616835719" name="Group 1616835719"/>
                        <wpg:cNvGrpSpPr/>
                        <wpg:grpSpPr>
                          <a:xfrm>
                            <a:off x="-47625" y="0"/>
                            <a:ext cx="4133215" cy="533400"/>
                            <a:chOff x="-304851" y="0"/>
                            <a:chExt cx="4133901" cy="714375"/>
                          </a:xfrm>
                        </wpg:grpSpPr>
                        <wps:wsp>
                          <wps:cNvPr id="1183541676" name="Rectangle 1183541676"/>
                          <wps:cNvSpPr/>
                          <wps:spPr>
                            <a:xfrm>
                              <a:off x="-304851" y="0"/>
                              <a:ext cx="1295451" cy="71437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6BDB36B2" w14:textId="77777777" w:rsidR="008D3090" w:rsidRDefault="008D3090" w:rsidP="008D3090">
                                <w:pPr>
                                  <w:rPr>
                                    <w:rFonts w:ascii="Times New Roman" w:hAnsi="Times New Roman"/>
                                  </w:rPr>
                                </w:pPr>
                                <w:r>
                                  <w:rPr>
                                    <w:rFonts w:ascii="Times New Roman" w:hAnsi="Times New Roman"/>
                                  </w:rPr>
                                  <w:t>Religious Digital Brand Equity</w:t>
                                </w:r>
                              </w:p>
                            </w:txbxContent>
                          </wps:txbx>
                          <wps:bodyPr vert="horz" wrap="square" lIns="91440" tIns="45720" rIns="91440" bIns="45720" anchor="ctr">
                            <a:prstTxWarp prst="textNoShape">
                              <a:avLst/>
                            </a:prstTxWarp>
                            <a:noAutofit/>
                          </wps:bodyPr>
                        </wps:wsp>
                        <wps:wsp>
                          <wps:cNvPr id="1248380571" name="Rectangle 1248380571"/>
                          <wps:cNvSpPr/>
                          <wps:spPr>
                            <a:xfrm>
                              <a:off x="2838450" y="0"/>
                              <a:ext cx="990600" cy="71437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27554F6F" w14:textId="77777777" w:rsidR="008D3090" w:rsidRDefault="008D3090" w:rsidP="008D3090">
                                <w:pPr>
                                  <w:jc w:val="center"/>
                                  <w:rPr>
                                    <w:rFonts w:ascii="Times New Roman" w:hAnsi="Times New Roman"/>
                                  </w:rPr>
                                </w:pPr>
                                <w:r>
                                  <w:rPr>
                                    <w:rFonts w:ascii="Times New Roman" w:hAnsi="Times New Roman"/>
                                  </w:rPr>
                                  <w:t>Loyalty of Church members</w:t>
                                </w:r>
                              </w:p>
                            </w:txbxContent>
                          </wps:txbx>
                          <wps:bodyPr vert="horz" wrap="square" lIns="91440" tIns="45720" rIns="91440" bIns="45720" anchor="ctr">
                            <a:prstTxWarp prst="textNoShape">
                              <a:avLst/>
                            </a:prstTxWarp>
                            <a:noAutofit/>
                          </wps:bodyPr>
                        </wps:wsp>
                        <wps:wsp>
                          <wps:cNvPr id="1257142838" name="Straight Connector 1257142838"/>
                          <wps:cNvCnPr/>
                          <wps:spPr>
                            <a:xfrm>
                              <a:off x="990600" y="323850"/>
                              <a:ext cx="1847850" cy="0"/>
                            </a:xfrm>
                            <a:prstGeom prst="line">
                              <a:avLst/>
                            </a:prstGeom>
                            <a:ln w="28575" cap="flat" cmpd="sng">
                              <a:solidFill>
                                <a:srgbClr val="000000"/>
                              </a:solidFill>
                              <a:prstDash val="solid"/>
                              <a:miter/>
                              <a:headEnd type="none" w="med" len="med"/>
                              <a:tailEnd type="none" w="med" len="med"/>
                            </a:ln>
                          </wps:spPr>
                          <wps:bodyPr/>
                        </wps:wsp>
                      </wpg:grpSp>
                      <wps:wsp>
                        <wps:cNvPr id="1846915835" name="Rectangle 1846915835"/>
                        <wps:cNvSpPr/>
                        <wps:spPr>
                          <a:xfrm>
                            <a:off x="238125" y="1733059"/>
                            <a:ext cx="1609725" cy="361555"/>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2387CF8B" w14:textId="77777777" w:rsidR="008D3090" w:rsidRDefault="008D3090" w:rsidP="008D3090">
                              <w:pPr>
                                <w:rPr>
                                  <w:rFonts w:ascii="Times New Roman" w:hAnsi="Times New Roman"/>
                                </w:rPr>
                              </w:pPr>
                              <w:r>
                                <w:rPr>
                                  <w:rFonts w:ascii="Times New Roman" w:hAnsi="Times New Roman"/>
                                </w:rPr>
                                <w:t>Digital Awareness</w:t>
                              </w:r>
                            </w:p>
                          </w:txbxContent>
                        </wps:txbx>
                        <wps:bodyPr vert="horz" wrap="square" lIns="91440" tIns="45720" rIns="91440" bIns="45720" anchor="t">
                          <a:prstTxWarp prst="textNoShape">
                            <a:avLst/>
                          </a:prstTxWarp>
                          <a:noAutofit/>
                        </wps:bodyPr>
                      </wps:wsp>
                      <wps:wsp>
                        <wps:cNvPr id="1242839284" name="Straight Arrow Connector 1242839284"/>
                        <wps:cNvCnPr/>
                        <wps:spPr>
                          <a:xfrm>
                            <a:off x="1809750" y="1409700"/>
                            <a:ext cx="1190625" cy="76200"/>
                          </a:xfrm>
                          <a:prstGeom prst="straightConnector1">
                            <a:avLst/>
                          </a:prstGeom>
                          <a:ln w="12700" cap="flat" cmpd="sng">
                            <a:solidFill>
                              <a:srgbClr val="000000"/>
                            </a:solidFill>
                            <a:prstDash val="solid"/>
                            <a:miter/>
                            <a:headEnd type="none" w="med" len="med"/>
                            <a:tailEnd type="triangle" w="med" len="med"/>
                          </a:ln>
                        </wps:spPr>
                        <wps:bodyPr/>
                      </wps:wsp>
                      <wps:wsp>
                        <wps:cNvPr id="1447757050" name="Straight Arrow Connector 1447757050"/>
                        <wps:cNvCnPr/>
                        <wps:spPr>
                          <a:xfrm flipV="1">
                            <a:off x="1828800" y="1638300"/>
                            <a:ext cx="1228725" cy="190500"/>
                          </a:xfrm>
                          <a:prstGeom prst="straightConnector1">
                            <a:avLst/>
                          </a:prstGeom>
                          <a:ln w="12700" cap="flat" cmpd="sng">
                            <a:solidFill>
                              <a:srgbClr val="000000"/>
                            </a:solidFill>
                            <a:prstDash val="solid"/>
                            <a:miter/>
                            <a:headEnd type="none" w="med" len="med"/>
                            <a:tailEnd type="triangle" w="med" len="med"/>
                          </a:ln>
                        </wps:spPr>
                        <wps:bodyPr/>
                      </wps:wsp>
                      <wps:wsp>
                        <wps:cNvPr id="1491824499" name="Straight Arrow Connector 1491824499"/>
                        <wps:cNvCnPr/>
                        <wps:spPr>
                          <a:xfrm>
                            <a:off x="1733550" y="1028700"/>
                            <a:ext cx="1238250" cy="314325"/>
                          </a:xfrm>
                          <a:prstGeom prst="straightConnector1">
                            <a:avLst/>
                          </a:prstGeom>
                          <a:ln w="12700" cap="flat" cmpd="sng">
                            <a:solidFill>
                              <a:srgbClr val="000000"/>
                            </a:solidFill>
                            <a:prstDash val="solid"/>
                            <a:miter/>
                            <a:headEnd type="none" w="med" len="med"/>
                            <a:tailEnd type="triangle" w="med" len="med"/>
                          </a:ln>
                        </wps:spPr>
                        <wps:bodyPr/>
                      </wps:wsp>
                      <wps:wsp>
                        <wps:cNvPr id="466642962" name="Straight Connector 466642962"/>
                        <wps:cNvCnPr/>
                        <wps:spPr>
                          <a:xfrm>
                            <a:off x="828675" y="485775"/>
                            <a:ext cx="0" cy="266700"/>
                          </a:xfrm>
                          <a:prstGeom prst="line">
                            <a:avLst/>
                          </a:prstGeom>
                          <a:ln w="28575" cap="flat" cmpd="sng">
                            <a:solidFill>
                              <a:srgbClr val="000000"/>
                            </a:solidFill>
                            <a:prstDash val="solid"/>
                            <a:miter/>
                            <a:headEnd type="none" w="med" len="med"/>
                            <a:tailEnd type="none" w="med" len="med"/>
                          </a:ln>
                        </wps:spPr>
                        <wps:bodyPr/>
                      </wps:wsp>
                      <wps:wsp>
                        <wps:cNvPr id="190351407" name="Straight Connector 190351407"/>
                        <wps:cNvCnPr/>
                        <wps:spPr>
                          <a:xfrm>
                            <a:off x="3638550" y="504825"/>
                            <a:ext cx="9525" cy="342900"/>
                          </a:xfrm>
                          <a:prstGeom prst="line">
                            <a:avLst/>
                          </a:prstGeom>
                          <a:ln w="28575" cap="flat" cmpd="sng">
                            <a:solidFill>
                              <a:srgbClr val="000000"/>
                            </a:solidFill>
                            <a:prstDash val="solid"/>
                            <a:miter/>
                            <a:headEnd type="none" w="med" len="med"/>
                            <a:tailEnd type="none" w="med" len="med"/>
                          </a:ln>
                        </wps:spPr>
                        <wps:bodyPr/>
                      </wps:wsp>
                    </wpg:wgp>
                  </a:graphicData>
                </a:graphic>
              </wp:anchor>
            </w:drawing>
          </mc:Choice>
          <mc:Fallback>
            <w:pict>
              <v:group w14:anchorId="40196673" id="Group 8" o:spid="_x0000_s1062" style="position:absolute;left:0;text-align:left;margin-left:64.45pt;margin-top:.4pt;width:377.25pt;height:176.25pt;z-index:251719680;mso-wrap-distance-left:0;mso-wrap-distance-right:0;mso-position-horizontal-relative:text;mso-position-vertical-relative:text" coordorigin="-476" coordsize="47910,2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">
                <v:rect id="Rectangle 1988836250" o:spid="_x0000_s1063" style="position:absolute;top:8000;width:22860;height:14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" strokeweight="1pt">
                  <v:textbox>
                    <w:txbxContent>
                      <w:p w14:paraId="737CF843" w14:textId="77777777" w:rsidR="008D3090" w:rsidRDefault="008D3090" w:rsidP="008D3090"/>
                      <w:p w14:paraId="1C4D1150" w14:textId="77777777" w:rsidR="008D3090" w:rsidRDefault="008D3090" w:rsidP="008D3090"/>
                      <w:p w14:paraId="539DDDFD" w14:textId="77777777" w:rsidR="008D3090" w:rsidRDefault="008D3090" w:rsidP="008D3090"/>
                    </w:txbxContent>
                  </v:textbox>
                </v:rect>
                <v:rect id="Rectangle 1569507001" o:spid="_x0000_s1064" style="position:absolute;left:30289;top:8572;width:17145;height:1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" strokeweight="1pt">
                  <v:textbox>
                    <w:txbxContent>
                      <w:p w14:paraId="1AF2DB92" w14:textId="77777777" w:rsidR="008D3090" w:rsidRDefault="008D3090" w:rsidP="008D3090">
                        <w:pPr>
                          <w:rPr>
                            <w:rFonts w:ascii="Times New Roman" w:hAnsi="Times New Roman"/>
                          </w:rPr>
                        </w:pPr>
                        <w:r>
                          <w:rPr>
                            <w:rFonts w:ascii="Times New Roman" w:hAnsi="Times New Roman"/>
                          </w:rPr>
                          <w:t>Membership Retention</w:t>
                        </w:r>
                      </w:p>
                      <w:p w14:paraId="71DE4082" w14:textId="77777777" w:rsidR="008D3090" w:rsidRDefault="008D3090" w:rsidP="008D3090">
                        <w:pPr>
                          <w:jc w:val="center"/>
                        </w:pPr>
                      </w:p>
                    </w:txbxContent>
                  </v:textbox>
                </v:rect>
                <v:rect id="Rectangle 1592177656" o:spid="_x0000_s1065" style="position:absolute;left:2286;top:13620;width:1562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" strokeweight=".5pt">
                  <v:stroke joinstyle="round"/>
                  <v:textbox>
                    <w:txbxContent>
                      <w:p w14:paraId="0564F748" w14:textId="77777777" w:rsidR="008D3090" w:rsidRDefault="008D3090" w:rsidP="008D3090">
                        <w:pPr>
                          <w:spacing w:after="0" w:line="240" w:lineRule="auto"/>
                          <w:rPr>
                            <w:rFonts w:ascii="Times New Roman" w:hAnsi="Times New Roman"/>
                          </w:rPr>
                        </w:pPr>
                        <w:r>
                          <w:rPr>
                            <w:rFonts w:ascii="Times New Roman" w:hAnsi="Times New Roman"/>
                          </w:rPr>
                          <w:t>Religious Activities</w:t>
                        </w:r>
                      </w:p>
                    </w:txbxContent>
                  </v:textbox>
                </v:rect>
                <v:rect id="Rectangle 314558121" o:spid="_x0000_s1066" style="position:absolute;left:1809;top:8379;width:15526;height: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" strokeweight=".5pt">
                  <v:stroke joinstyle="round"/>
                  <v:textbox>
                    <w:txbxContent>
                      <w:p w14:paraId="7CE84706" w14:textId="77777777" w:rsidR="008D3090" w:rsidRDefault="008D3090" w:rsidP="008D3090">
                        <w:pPr>
                          <w:spacing w:after="0" w:line="240" w:lineRule="auto"/>
                          <w:jc w:val="center"/>
                          <w:rPr>
                            <w:rFonts w:ascii="Times New Roman" w:hAnsi="Times New Roman"/>
                          </w:rPr>
                        </w:pPr>
                        <w:r>
                          <w:rPr>
                            <w:rFonts w:ascii="Times New Roman" w:hAnsi="Times New Roman"/>
                          </w:rPr>
                          <w:t>Church Brand Orientation</w:t>
                        </w:r>
                      </w:p>
                      <w:p w14:paraId="75F9A517" w14:textId="77777777" w:rsidR="008D3090" w:rsidRDefault="008D3090" w:rsidP="008D3090"/>
                    </w:txbxContent>
                  </v:textbox>
                </v:rect>
                <v:group id="Group 1616835719" o:spid="_x0000_s1067" style="position:absolute;left:-476;width:41331;height:5334" coordorigin="-3048" coordsize="41339,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">
                  <v:rect id="Rectangle 1183541676" o:spid="_x0000_s1068" style="position:absolute;left:-3048;width:12954;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" strokeweight="1pt">
                    <v:textbox>
                      <w:txbxContent>
                        <w:p w14:paraId="6BDB36B2" w14:textId="77777777" w:rsidR="008D3090" w:rsidRDefault="008D3090" w:rsidP="008D3090">
                          <w:pPr>
                            <w:rPr>
                              <w:rFonts w:ascii="Times New Roman" w:hAnsi="Times New Roman"/>
                            </w:rPr>
                          </w:pPr>
                          <w:r>
                            <w:rPr>
                              <w:rFonts w:ascii="Times New Roman" w:hAnsi="Times New Roman"/>
                            </w:rPr>
                            <w:t>Religious Digital Brand Equity</w:t>
                          </w:r>
                        </w:p>
                      </w:txbxContent>
                    </v:textbox>
                  </v:rect>
                  <v:rect id="Rectangle 1248380571" o:spid="_x0000_s1069" style="position:absolute;left:28384;width:9906;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" strokeweight="1pt">
                    <v:textbox>
                      <w:txbxContent>
                        <w:p w14:paraId="27554F6F" w14:textId="77777777" w:rsidR="008D3090" w:rsidRDefault="008D3090" w:rsidP="008D3090">
                          <w:pPr>
                            <w:jc w:val="center"/>
                            <w:rPr>
                              <w:rFonts w:ascii="Times New Roman" w:hAnsi="Times New Roman"/>
                            </w:rPr>
                          </w:pPr>
                          <w:r>
                            <w:rPr>
                              <w:rFonts w:ascii="Times New Roman" w:hAnsi="Times New Roman"/>
                            </w:rPr>
                            <w:t>Loyalty of Church members</w:t>
                          </w:r>
                        </w:p>
                      </w:txbxContent>
                    </v:textbox>
                  </v:rect>
                  <v:line id="Straight Connector 1257142838" o:spid="_x0000_s1070" style="position:absolute;visibility:visible;mso-wrap-style:square" from="9906,3238" to="28384,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" strokeweight="2.25pt">
                    <v:stroke joinstyle="miter"/>
                  </v:line>
                </v:group>
                <v:rect id="Rectangle 1846915835" o:spid="_x0000_s1071" style="position:absolute;left:2381;top:17330;width:16097;height: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" strokeweight=".5pt">
                  <v:stroke joinstyle="round"/>
                  <v:textbox>
                    <w:txbxContent>
                      <w:p w14:paraId="2387CF8B" w14:textId="77777777" w:rsidR="008D3090" w:rsidRDefault="008D3090" w:rsidP="008D3090">
                        <w:pPr>
                          <w:rPr>
                            <w:rFonts w:ascii="Times New Roman" w:hAnsi="Times New Roman"/>
                          </w:rPr>
                        </w:pPr>
                        <w:r>
                          <w:rPr>
                            <w:rFonts w:ascii="Times New Roman" w:hAnsi="Times New Roman"/>
                          </w:rPr>
                          <w:t>Digital Awareness</w:t>
                        </w:r>
                      </w:p>
                    </w:txbxContent>
                  </v:textbox>
                </v:rect>
                <v:shapetype id="_x0000_t32" coordsize="21600,21600" o:spt="32" o:oned="t" path="m,l21600,21600e" filled="f">
                  <v:path arrowok="t" fillok="f" o:connecttype="none"/>
                  <o:lock v:ext="edit" shapetype="t"/>
                </v:shapetype>
                <v:shape id="Straight Arrow Connector 1242839284" o:spid="_x0000_s1072" type="#_x0000_t32" style="position:absolute;left:18097;top:14097;width:11906;height: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" strokeweight="1pt">
                  <v:stroke endarrow="block" joinstyle="miter"/>
                </v:shape>
                <v:shape id="Straight Arrow Connector 1447757050" o:spid="_x0000_s1073" type="#_x0000_t32" style="position:absolute;left:18288;top:16383;width:12287;height:1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" strokeweight="1pt">
                  <v:stroke endarrow="block" joinstyle="miter"/>
                </v:shape>
                <v:shape id="Straight Arrow Connector 1491824499" o:spid="_x0000_s1074" type="#_x0000_t32" style="position:absolute;left:17335;top:10287;width:12383;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" strokeweight="1pt">
                  <v:stroke endarrow="block" joinstyle="miter"/>
                </v:shape>
                <v:line id="Straight Connector 466642962" o:spid="_x0000_s1075" style="position:absolute;visibility:visible;mso-wrap-style:square" from="8286,4857" to="8286,7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" strokeweight="2.25pt">
                  <v:stroke joinstyle="miter"/>
                </v:line>
                <v:line id="Straight Connector 190351407" o:spid="_x0000_s1076" style="position:absolute;visibility:visible;mso-wrap-style:square" from="36385,5048" to="36480,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" strokeweight="2.25pt">
                  <v:stroke joinstyle="miter"/>
                </v:line>
              </v:group>
            </w:pict>
          </mc:Fallback>
        </mc:AlternateContent>
      </w:r>
      <w:r w:rsidRPr="008D3090">
        <w:rPr>
          <w:rFonts w:ascii="Times New Roman" w:eastAsia="Calibri" w:hAnsi="Times New Roman" w:cs="Times New Roman"/>
          <w:kern w:val="0"/>
          <w:lang w:val="en-GB"/>
          <w14:ligatures w14:val="none"/>
        </w:rPr>
        <w:tab/>
      </w:r>
    </w:p>
    <w:p w14:paraId="7F92C932" w14:textId="77777777" w:rsidR="008D3090" w:rsidRPr="008D3090" w:rsidRDefault="008D3090" w:rsidP="008D3090">
      <w:pPr>
        <w:spacing w:after="0" w:line="480" w:lineRule="auto"/>
        <w:jc w:val="both"/>
        <w:rPr>
          <w:rFonts w:ascii="Times New Roman" w:eastAsia="Calibri" w:hAnsi="Times New Roman" w:cs="Times New Roman"/>
          <w:kern w:val="0"/>
          <w:lang w:val="en-GB"/>
          <w14:ligatures w14:val="none"/>
        </w:rPr>
      </w:pPr>
    </w:p>
    <w:p w14:paraId="3D3D805F" w14:textId="77777777" w:rsidR="008D3090" w:rsidRPr="008D3090" w:rsidRDefault="008D3090" w:rsidP="008D3090">
      <w:pPr>
        <w:spacing w:after="0" w:line="480" w:lineRule="auto"/>
        <w:jc w:val="both"/>
        <w:rPr>
          <w:rFonts w:ascii="Times New Roman" w:eastAsia="Calibri" w:hAnsi="Times New Roman" w:cs="Times New Roman"/>
          <w:kern w:val="0"/>
          <w:lang w:val="en-GB"/>
          <w14:ligatures w14:val="none"/>
        </w:rPr>
      </w:pPr>
    </w:p>
    <w:p w14:paraId="7B729AFE" w14:textId="77777777" w:rsidR="008D3090" w:rsidRPr="008D3090" w:rsidRDefault="008D3090" w:rsidP="008D3090">
      <w:pPr>
        <w:spacing w:after="0" w:line="480" w:lineRule="auto"/>
        <w:jc w:val="both"/>
        <w:rPr>
          <w:rFonts w:ascii="Times New Roman" w:eastAsia="Calibri" w:hAnsi="Times New Roman" w:cs="Times New Roman"/>
          <w:kern w:val="0"/>
          <w:lang w:val="en-GB"/>
          <w14:ligatures w14:val="none"/>
        </w:rPr>
      </w:pPr>
    </w:p>
    <w:p w14:paraId="76B10459" w14:textId="77777777" w:rsidR="008D3090" w:rsidRPr="008D3090" w:rsidRDefault="008D3090" w:rsidP="008D3090">
      <w:pPr>
        <w:spacing w:after="0" w:line="480" w:lineRule="auto"/>
        <w:jc w:val="both"/>
        <w:rPr>
          <w:rFonts w:ascii="Times New Roman" w:eastAsia="Calibri" w:hAnsi="Times New Roman" w:cs="Times New Roman"/>
          <w:kern w:val="0"/>
          <w:lang w:val="en-GB"/>
          <w14:ligatures w14:val="none"/>
        </w:rPr>
      </w:pPr>
    </w:p>
    <w:p w14:paraId="0000B0C3" w14:textId="77777777" w:rsidR="008D3090" w:rsidRPr="008D3090" w:rsidRDefault="008D3090" w:rsidP="008D3090">
      <w:pPr>
        <w:spacing w:after="0" w:line="480" w:lineRule="auto"/>
        <w:jc w:val="both"/>
        <w:rPr>
          <w:rFonts w:ascii="Times New Roman" w:eastAsia="Calibri" w:hAnsi="Times New Roman" w:cs="Times New Roman"/>
          <w:kern w:val="0"/>
          <w:lang w:val="en-GB"/>
          <w14:ligatures w14:val="none"/>
        </w:rPr>
      </w:pPr>
    </w:p>
    <w:p w14:paraId="3589E801" w14:textId="77777777" w:rsidR="008D3090" w:rsidRPr="008D3090" w:rsidRDefault="008D3090" w:rsidP="008D3090">
      <w:pPr>
        <w:spacing w:after="0" w:line="480" w:lineRule="auto"/>
        <w:jc w:val="both"/>
        <w:rPr>
          <w:rFonts w:ascii="Times New Roman" w:eastAsia="Calibri" w:hAnsi="Times New Roman" w:cs="Times New Roman"/>
          <w:kern w:val="0"/>
          <w:lang w:val="en-GB"/>
          <w14:ligatures w14:val="none"/>
        </w:rPr>
      </w:pPr>
    </w:p>
    <w:p w14:paraId="06964CEE" w14:textId="77777777" w:rsidR="008D3090" w:rsidRPr="008D3090" w:rsidRDefault="008D3090" w:rsidP="008D3090">
      <w:pPr>
        <w:spacing w:after="0" w:line="48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kern w:val="0"/>
          <w:lang w:val="en-GB"/>
          <w14:ligatures w14:val="none"/>
        </w:rPr>
        <w:t xml:space="preserve">Fig. 1.1 </w:t>
      </w:r>
      <w:r w:rsidRPr="008D3090">
        <w:rPr>
          <w:rFonts w:ascii="Times New Roman" w:eastAsia="Calibri" w:hAnsi="Times New Roman" w:cs="Times New Roman"/>
          <w:i/>
          <w:kern w:val="0"/>
          <w:lang w:val="en-GB"/>
          <w14:ligatures w14:val="none"/>
        </w:rPr>
        <w:t>Conceptual Framework of the study of the relationship between Religious Digital Brand Equity and Loyalty of Church members.</w:t>
      </w:r>
    </w:p>
    <w:p w14:paraId="4F11EA33" w14:textId="77777777" w:rsidR="008D3090" w:rsidRPr="008D3090" w:rsidRDefault="008D3090" w:rsidP="008D3090">
      <w:pPr>
        <w:spacing w:after="0" w:line="48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Source: Researcher, 202</w:t>
      </w:r>
      <w:r w:rsidRPr="008D3090">
        <w:rPr>
          <w:rFonts w:ascii="Times New Roman" w:eastAsia="Calibri" w:hAnsi="Times New Roman" w:cs="Times New Roman"/>
          <w:b/>
          <w:kern w:val="0"/>
          <w14:ligatures w14:val="none"/>
        </w:rPr>
        <w:t>6</w:t>
      </w:r>
      <w:r w:rsidRPr="008D3090">
        <w:rPr>
          <w:rFonts w:ascii="Times New Roman" w:eastAsia="Calibri" w:hAnsi="Times New Roman" w:cs="Times New Roman"/>
          <w:b/>
          <w:kern w:val="0"/>
          <w:lang w:val="en-GB"/>
          <w14:ligatures w14:val="none"/>
        </w:rPr>
        <w:t>.</w:t>
      </w:r>
    </w:p>
    <w:p w14:paraId="7900D2C7"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Aim and Objectives of the Study.</w:t>
      </w:r>
    </w:p>
    <w:p w14:paraId="2FA32005"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This study will focus on exploring the connection between the religious digital brand equity and the loyalty of the church members in Port Harcourt.</w:t>
      </w:r>
    </w:p>
    <w:p w14:paraId="20101FE2"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specific objectives are:</w:t>
      </w:r>
    </w:p>
    <w:p w14:paraId="25A3E03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proofErr w:type="spellStart"/>
      <w:r w:rsidRPr="008D3090">
        <w:rPr>
          <w:rFonts w:ascii="Times New Roman" w:eastAsia="Calibri" w:hAnsi="Times New Roman" w:cs="Times New Roman"/>
          <w:kern w:val="0"/>
          <w:lang w:val="en-GB"/>
          <w14:ligatures w14:val="none"/>
        </w:rPr>
        <w:t>i</w:t>
      </w:r>
      <w:proofErr w:type="spellEnd"/>
      <w:r w:rsidRPr="008D3090">
        <w:rPr>
          <w:rFonts w:ascii="Times New Roman" w:eastAsia="Calibri" w:hAnsi="Times New Roman" w:cs="Times New Roman"/>
          <w:kern w:val="0"/>
          <w:lang w:val="en-GB"/>
          <w14:ligatures w14:val="none"/>
        </w:rPr>
        <w:t>.</w:t>
      </w:r>
      <w:r w:rsidRPr="008D3090">
        <w:rPr>
          <w:rFonts w:ascii="Times New Roman" w:eastAsia="Calibri" w:hAnsi="Times New Roman" w:cs="Times New Roman"/>
          <w:kern w:val="0"/>
          <w:lang w:val="en-GB"/>
          <w14:ligatures w14:val="none"/>
        </w:rPr>
        <w:tab/>
        <w:t>To determine the connection between church brand orientation and retention of members.</w:t>
      </w:r>
    </w:p>
    <w:p w14:paraId="1ADC8F65"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ii. To establish the connection between the relationship between religious activities and membership retention.</w:t>
      </w:r>
    </w:p>
    <w:p w14:paraId="1A75D622" w14:textId="77777777" w:rsidR="008D3090" w:rsidRPr="008D3090" w:rsidRDefault="008D3090" w:rsidP="008D3090">
      <w:pPr>
        <w:autoSpaceDE w:val="0"/>
        <w:autoSpaceDN w:val="0"/>
        <w:adjustRightInd w:val="0"/>
        <w:spacing w:after="0" w:line="48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iii.  To establish the impact of digital awareness of the brand and retention of membership.</w:t>
      </w:r>
    </w:p>
    <w:p w14:paraId="35A491EC"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Research Question</w:t>
      </w:r>
    </w:p>
    <w:p w14:paraId="057ECDB9"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research questions were developed in the following manner;</w:t>
      </w:r>
    </w:p>
    <w:p w14:paraId="6CA6F484"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proofErr w:type="spellStart"/>
      <w:r w:rsidRPr="008D3090">
        <w:rPr>
          <w:rFonts w:ascii="Times New Roman" w:eastAsia="Calibri" w:hAnsi="Times New Roman" w:cs="Times New Roman"/>
          <w:kern w:val="0"/>
          <w:lang w:val="en-GB"/>
          <w14:ligatures w14:val="none"/>
        </w:rPr>
        <w:t>i</w:t>
      </w:r>
      <w:proofErr w:type="spellEnd"/>
      <w:r w:rsidRPr="008D3090">
        <w:rPr>
          <w:rFonts w:ascii="Times New Roman" w:eastAsia="Calibri" w:hAnsi="Times New Roman" w:cs="Times New Roman"/>
          <w:kern w:val="0"/>
          <w:lang w:val="en-GB"/>
          <w14:ligatures w14:val="none"/>
        </w:rPr>
        <w:t>.</w:t>
      </w:r>
      <w:r w:rsidRPr="008D3090">
        <w:rPr>
          <w:rFonts w:ascii="Times New Roman" w:eastAsia="Calibri" w:hAnsi="Times New Roman" w:cs="Times New Roman"/>
          <w:kern w:val="0"/>
          <w:lang w:val="en-GB"/>
          <w14:ligatures w14:val="none"/>
        </w:rPr>
        <w:tab/>
        <w:t>What are the effects of religious activities on retention of members?</w:t>
      </w:r>
    </w:p>
    <w:p w14:paraId="5BFF62A3"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ii.</w:t>
      </w:r>
      <w:r w:rsidRPr="008D3090">
        <w:rPr>
          <w:rFonts w:ascii="Times New Roman" w:eastAsia="Calibri" w:hAnsi="Times New Roman" w:cs="Times New Roman"/>
          <w:kern w:val="0"/>
          <w:lang w:val="en-GB"/>
          <w14:ligatures w14:val="none"/>
        </w:rPr>
        <w:tab/>
        <w:t>What is the level of digital brand awareness as a membership retention factor?</w:t>
      </w:r>
    </w:p>
    <w:p w14:paraId="6F77FCA0"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iii.</w:t>
      </w:r>
      <w:r w:rsidRPr="008D3090">
        <w:rPr>
          <w:rFonts w:ascii="Times New Roman" w:eastAsia="Calibri" w:hAnsi="Times New Roman" w:cs="Times New Roman"/>
          <w:kern w:val="0"/>
          <w:lang w:val="en-GB"/>
          <w14:ligatures w14:val="none"/>
        </w:rPr>
        <w:tab/>
        <w:t>How far can the church brand orientation help in the retention of membership?</w:t>
      </w:r>
    </w:p>
    <w:p w14:paraId="6923782A"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lastRenderedPageBreak/>
        <w:t>Research Hypotheses</w:t>
      </w:r>
    </w:p>
    <w:p w14:paraId="10C5CEC8"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HO1: Religious activities and membership retention have no significant relationship.</w:t>
      </w:r>
    </w:p>
    <w:p w14:paraId="0F9A9B3C"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HO2: There is no linkage between digital brand awareness and retention of membership significantly.</w:t>
      </w:r>
    </w:p>
    <w:p w14:paraId="394218B3"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HO3: The relationship between the church brand orientation and the retention of members is not significant.</w:t>
      </w:r>
    </w:p>
    <w:p w14:paraId="37BA64F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Scope of the Study</w:t>
      </w:r>
    </w:p>
    <w:p w14:paraId="04BF4A32"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Trochim (2006) states that a research study must include three main dimensions or variables that include content, geographical and unit of study/Level of analysis. </w:t>
      </w:r>
    </w:p>
    <w:p w14:paraId="398E0F12"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Content Scope:</w:t>
      </w:r>
      <w:r w:rsidRPr="008D3090">
        <w:rPr>
          <w:rFonts w:ascii="Times New Roman" w:eastAsia="Calibri" w:hAnsi="Times New Roman" w:cs="Times New Roman"/>
          <w:kern w:val="0"/>
          <w:lang w:val="en-GB"/>
          <w14:ligatures w14:val="none"/>
        </w:rPr>
        <w:t xml:space="preserve"> The theoretical ground of the current study </w:t>
      </w:r>
      <w:proofErr w:type="gramStart"/>
      <w:r w:rsidRPr="008D3090">
        <w:rPr>
          <w:rFonts w:ascii="Times New Roman" w:eastAsia="Calibri" w:hAnsi="Times New Roman" w:cs="Times New Roman"/>
          <w:kern w:val="0"/>
          <w:lang w:val="en-GB"/>
          <w14:ligatures w14:val="none"/>
        </w:rPr>
        <w:t>are</w:t>
      </w:r>
      <w:proofErr w:type="gramEnd"/>
      <w:r w:rsidRPr="008D3090">
        <w:rPr>
          <w:rFonts w:ascii="Times New Roman" w:eastAsia="Calibri" w:hAnsi="Times New Roman" w:cs="Times New Roman"/>
          <w:kern w:val="0"/>
          <w:lang w:val="en-GB"/>
          <w14:ligatures w14:val="none"/>
        </w:rPr>
        <w:t xml:space="preserve"> religious digital brand equity, religious devotion of church members, religious activities, digital awareness, church brand orientation, membership retention.</w:t>
      </w:r>
    </w:p>
    <w:p w14:paraId="19E4F424"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Geographical location:</w:t>
      </w:r>
      <w:r w:rsidRPr="008D3090">
        <w:rPr>
          <w:rFonts w:ascii="Times New Roman" w:eastAsia="Calibri" w:hAnsi="Times New Roman" w:cs="Times New Roman"/>
          <w:kern w:val="0"/>
          <w:lang w:val="en-GB"/>
          <w14:ligatures w14:val="none"/>
        </w:rPr>
        <w:t xml:space="preserve"> The geographical location of this research is the members of the church who are located in Port Sector in Rivers State. </w:t>
      </w:r>
    </w:p>
    <w:p w14:paraId="7F76D14E"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Unit of study/level of analysis:</w:t>
      </w:r>
      <w:r w:rsidRPr="008D3090">
        <w:rPr>
          <w:rFonts w:ascii="Times New Roman" w:eastAsia="Calibri" w:hAnsi="Times New Roman" w:cs="Times New Roman"/>
          <w:kern w:val="0"/>
          <w:lang w:val="en-GB"/>
          <w14:ligatures w14:val="none"/>
        </w:rPr>
        <w:t xml:space="preserve"> The present study has been a study of the religious digital brand equity and loyalty of some members of the churches in Port Harcourt and that which can apply to the churches in Port Harcourt. It is anchored on hundred (100) respondents who have been selected among church members in the Christianity Council of Nigeria block (Anglican, Methodist, Presbyterian, Catholic) and the Pentecostal block.  </w:t>
      </w:r>
    </w:p>
    <w:p w14:paraId="0C48A170"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In Port Harcourt (OPM, The Redeemed, Salvation ministry, Winners Chapel, The Lords chosen, Assemblies of God) using questionnaire. Member retention is the operational variable.</w:t>
      </w:r>
    </w:p>
    <w:p w14:paraId="59660227"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Significance of the Study</w:t>
      </w:r>
    </w:p>
    <w:p w14:paraId="396D8269"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This will be applied in church. It will enable church leaders serving God to retain the loyalty of their members and others in order to build working brand name that will make their church a household name. It will make a positive contribution to the Marketing study in schools. It will then be of great help to both the students, researchers, teachers, churches and the whole academia. It will offer a guide through which the religious manager will understand how to retain the members and avoid them swapping to other members hence assist them concentrate on the kingdom of God and also assist manage long lasting money.</w:t>
      </w:r>
    </w:p>
    <w:p w14:paraId="3930D3B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p>
    <w:p w14:paraId="213781C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LITERATURE REVIEW</w:t>
      </w:r>
    </w:p>
    <w:p w14:paraId="69799444" w14:textId="77777777" w:rsidR="008D3090" w:rsidRPr="008D3090" w:rsidRDefault="008D3090" w:rsidP="001A5F7B">
      <w:pPr>
        <w:numPr>
          <w:ilvl w:val="0"/>
          <w:numId w:val="56"/>
        </w:numPr>
        <w:autoSpaceDE w:val="0"/>
        <w:autoSpaceDN w:val="0"/>
        <w:adjustRightInd w:val="0"/>
        <w:spacing w:after="0" w:line="240" w:lineRule="auto"/>
        <w:contextualSpacing/>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Digital branding </w:t>
      </w:r>
      <w:proofErr w:type="gramStart"/>
      <w:r w:rsidRPr="008D3090">
        <w:rPr>
          <w:rFonts w:ascii="Times New Roman" w:eastAsia="Calibri" w:hAnsi="Times New Roman" w:cs="Times New Roman"/>
          <w:b/>
          <w:kern w:val="0"/>
          <w:lang w:val="en-GB"/>
          <w14:ligatures w14:val="none"/>
        </w:rPr>
        <w:t>Religious</w:t>
      </w:r>
      <w:proofErr w:type="gramEnd"/>
      <w:r w:rsidRPr="008D3090">
        <w:rPr>
          <w:rFonts w:ascii="Times New Roman" w:eastAsia="Calibri" w:hAnsi="Times New Roman" w:cs="Times New Roman"/>
          <w:b/>
          <w:kern w:val="0"/>
          <w:lang w:val="en-GB"/>
          <w14:ligatures w14:val="none"/>
        </w:rPr>
        <w:t xml:space="preserve"> concept.</w:t>
      </w:r>
    </w:p>
    <w:p w14:paraId="7839D5A8"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Religious digital branding refers to the use of digital media technologies to convey the religious message, establish the institutional identity, and sustain the connection with the followers. Churches have turned to social media to advertise sermons, give testimonies, and update information concerning the activities of the church.</w:t>
      </w:r>
    </w:p>
    <w:p w14:paraId="5DC68FE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study indicates that social media is now an important resource that churches are using to communicate and establish rapport with members. It is an actual weapon in uniting the members of the church, creating an online community, and finding and appealing to new ones. Moreover, these platforms help churches to distribute content, promote conversations, and create a feeling of community among adherents (Ayeni, 2021; Badmos, 2014). Badmos also defined social media as a term which is used to refer to a range of web-based app and technologies which make individuals communicate with each other socially over the internet. Facebook, Twitter, YouTube, Del.icio.us, Google+, Digg, Blogs, 2go, WhatsApp among others are some examples of Social Media Websites (SMW) and applications that have user-based content and User-Generated Content (UGC). </w:t>
      </w:r>
    </w:p>
    <w:p w14:paraId="258AA2B3"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lastRenderedPageBreak/>
        <w:t>The online religion has also provided new evangelism and outreach possibilities. Religious social media platforms enable Christians to read religious materials, attend prayer hours and engage with church leaders without considering the geographical boundaries.</w:t>
      </w:r>
    </w:p>
    <w:p w14:paraId="52907F73"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Religious digital brand equity concept. </w:t>
      </w:r>
    </w:p>
    <w:p w14:paraId="0C76312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religious digital brand equity is the value attributed to a product, service, or organization through linking the product, service, or organization to the religious values, symbols, and beliefs in the digital market. It takes advantage of the branded-</w:t>
      </w:r>
      <w:proofErr w:type="spellStart"/>
      <w:r w:rsidRPr="008D3090">
        <w:rPr>
          <w:rFonts w:ascii="Times New Roman" w:eastAsia="Calibri" w:hAnsi="Times New Roman" w:cs="Times New Roman"/>
          <w:kern w:val="0"/>
          <w:lang w:val="en-GB"/>
          <w14:ligatures w14:val="none"/>
        </w:rPr>
        <w:t>self concept</w:t>
      </w:r>
      <w:proofErr w:type="spellEnd"/>
      <w:r w:rsidRPr="008D3090">
        <w:rPr>
          <w:rFonts w:ascii="Times New Roman" w:eastAsia="Calibri" w:hAnsi="Times New Roman" w:cs="Times New Roman"/>
          <w:kern w:val="0"/>
          <w:lang w:val="en-GB"/>
          <w14:ligatures w14:val="none"/>
        </w:rPr>
        <w:t xml:space="preserve"> whereby the customers associate themselves with brands that share their personal spiritual beliefs, which allow them to have strong loyalty and trust. Within the context of digital space, this equity is developed by providing regular, authentic, culturally sensitive content that appeals to the target audience in regard to their faith (</w:t>
      </w:r>
      <w:proofErr w:type="spellStart"/>
      <w:r w:rsidRPr="008D3090">
        <w:rPr>
          <w:rFonts w:ascii="Times New Roman" w:eastAsia="Calibri" w:hAnsi="Times New Roman" w:cs="Times New Roman"/>
          <w:kern w:val="0"/>
          <w:lang w:val="en-GB"/>
          <w14:ligatures w14:val="none"/>
        </w:rPr>
        <w:t>Sudarti</w:t>
      </w:r>
      <w:proofErr w:type="spellEnd"/>
      <w:r w:rsidRPr="008D3090">
        <w:rPr>
          <w:rFonts w:ascii="Times New Roman" w:eastAsia="Calibri" w:hAnsi="Times New Roman" w:cs="Times New Roman"/>
          <w:kern w:val="0"/>
          <w:lang w:val="en-GB"/>
          <w14:ligatures w14:val="none"/>
        </w:rPr>
        <w:t xml:space="preserve"> and Hendar, 2024; </w:t>
      </w:r>
      <w:proofErr w:type="spellStart"/>
      <w:r w:rsidRPr="008D3090">
        <w:rPr>
          <w:rFonts w:ascii="Times New Roman" w:eastAsia="Calibri" w:hAnsi="Times New Roman" w:cs="Times New Roman"/>
          <w:kern w:val="0"/>
          <w:lang w:val="en-GB"/>
          <w14:ligatures w14:val="none"/>
        </w:rPr>
        <w:t>Akenzua</w:t>
      </w:r>
      <w:proofErr w:type="spellEnd"/>
      <w:r w:rsidRPr="008D3090">
        <w:rPr>
          <w:rFonts w:ascii="Times New Roman" w:eastAsia="Calibri" w:hAnsi="Times New Roman" w:cs="Times New Roman"/>
          <w:kern w:val="0"/>
          <w:lang w:val="en-GB"/>
          <w14:ligatures w14:val="none"/>
        </w:rPr>
        <w:t xml:space="preserve"> and </w:t>
      </w:r>
      <w:proofErr w:type="spellStart"/>
      <w:r w:rsidRPr="008D3090">
        <w:rPr>
          <w:rFonts w:ascii="Times New Roman" w:eastAsia="Calibri" w:hAnsi="Times New Roman" w:cs="Times New Roman"/>
          <w:kern w:val="0"/>
          <w:lang w:val="en-GB"/>
          <w14:ligatures w14:val="none"/>
        </w:rPr>
        <w:t>Oseyomon</w:t>
      </w:r>
      <w:proofErr w:type="spellEnd"/>
      <w:r w:rsidRPr="008D3090">
        <w:rPr>
          <w:rFonts w:ascii="Times New Roman" w:eastAsia="Calibri" w:hAnsi="Times New Roman" w:cs="Times New Roman"/>
          <w:kern w:val="0"/>
          <w:lang w:val="en-GB"/>
          <w14:ligatures w14:val="none"/>
        </w:rPr>
        <w:t xml:space="preserve">, 2023; Okoh and </w:t>
      </w:r>
      <w:proofErr w:type="spellStart"/>
      <w:r w:rsidRPr="008D3090">
        <w:rPr>
          <w:rFonts w:ascii="Times New Roman" w:eastAsia="Calibri" w:hAnsi="Times New Roman" w:cs="Times New Roman"/>
          <w:kern w:val="0"/>
          <w:lang w:val="en-GB"/>
          <w14:ligatures w14:val="none"/>
        </w:rPr>
        <w:t>Maijimre</w:t>
      </w:r>
      <w:proofErr w:type="spellEnd"/>
      <w:r w:rsidRPr="008D3090">
        <w:rPr>
          <w:rFonts w:ascii="Times New Roman" w:eastAsia="Calibri" w:hAnsi="Times New Roman" w:cs="Times New Roman"/>
          <w:kern w:val="0"/>
          <w:lang w:val="en-GB"/>
          <w14:ligatures w14:val="none"/>
        </w:rPr>
        <w:t>, 2024). The religious digital brand equity includes of the influence to the consumer behaviour; digital trust and credibility; digital content strategy to create the relationship with the people and engage directly with them and ethical consideration of consumption.</w:t>
      </w:r>
    </w:p>
    <w:p w14:paraId="2D47640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26D449DD"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Religious Brand Equity Concept.</w:t>
      </w:r>
    </w:p>
    <w:p w14:paraId="39227269"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Religious brand equity is the value and the strength of a given church that determines its value. Nardella (2014) believes that religion groups use advanced marketing strategies to further appeal to different resources such as members, volunteers, funds, and societal backing. To have a more understanding on the association of religion and marketing, Nardella employed the term, the pole of religion. The pole of religion, according to him, is conceived as a market where religious organizations which are of equal legal status, freely compete with one another. Just like in any market, it is all an exchange of goods as well as the privilege of the customers to decide on the basis of their choice. Religious brand equity is a variation of the marketing term, brand equity, to faith-based organizations. Conventionally, brand equity is the value exhibited on a product or service based on brand awareness, brand relationship, perceived quality, and brand loyalty (Keller, 2013). Brand equity when applied in religion depicts the worth that the people in the congregation as well as the outside community has to the church or religious group depending on the identity, reputation, teachings, and spiritual provisions of the church (Einstein, 2008).</w:t>
      </w:r>
    </w:p>
    <w:p w14:paraId="798BF8CA"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Religious brand equity is a multidimensional concept. In reference to Keller (2013), the primary elements, which are brand awareness, perceived quality, brand associations, and loyalty, can be implemented to churches as follows:</w:t>
      </w:r>
    </w:p>
    <w:p w14:paraId="09D444A3"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1. Brand Awareness-</w:t>
      </w:r>
      <w:r w:rsidRPr="008D3090">
        <w:rPr>
          <w:rFonts w:ascii="Times New Roman" w:eastAsia="Calibri" w:hAnsi="Times New Roman" w:cs="Times New Roman"/>
          <w:kern w:val="0"/>
          <w:lang w:val="en-GB"/>
          <w14:ligatures w14:val="none"/>
        </w:rPr>
        <w:t xml:space="preserve"> This is the level at which a church is recognized and remembered by the existing and prospective members. The awareness is vital since the people would tend to attend and be involved in churches that they familiarized and have confidence in (Einstein, 2008).</w:t>
      </w:r>
    </w:p>
    <w:p w14:paraId="2F59E06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2. Perceived Quality-</w:t>
      </w:r>
      <w:r w:rsidRPr="008D3090">
        <w:rPr>
          <w:rFonts w:ascii="Times New Roman" w:eastAsia="Calibri" w:hAnsi="Times New Roman" w:cs="Times New Roman"/>
          <w:kern w:val="0"/>
          <w:lang w:val="en-GB"/>
          <w14:ligatures w14:val="none"/>
        </w:rPr>
        <w:t xml:space="preserve"> The evaluation of the church services, leadership, spiritual direction, and the community activities. Perceived high quality enhances the confidence of the members towards the church in terms of its effectiveness both spiritually and organizationally (</w:t>
      </w:r>
      <w:proofErr w:type="spellStart"/>
      <w:r w:rsidRPr="008D3090">
        <w:rPr>
          <w:rFonts w:ascii="Times New Roman" w:eastAsia="Calibri" w:hAnsi="Times New Roman" w:cs="Times New Roman"/>
          <w:kern w:val="0"/>
          <w:lang w:val="en-GB"/>
          <w14:ligatures w14:val="none"/>
        </w:rPr>
        <w:t>Baloglu</w:t>
      </w:r>
      <w:proofErr w:type="spellEnd"/>
      <w:r w:rsidRPr="008D3090">
        <w:rPr>
          <w:rFonts w:ascii="Times New Roman" w:eastAsia="Calibri" w:hAnsi="Times New Roman" w:cs="Times New Roman"/>
          <w:kern w:val="0"/>
          <w:lang w:val="en-GB"/>
          <w14:ligatures w14:val="none"/>
        </w:rPr>
        <w:t xml:space="preserve"> and McCleary, 1999).</w:t>
      </w:r>
    </w:p>
    <w:p w14:paraId="2601C7CD"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3. Brand Associations-</w:t>
      </w:r>
      <w:r w:rsidRPr="008D3090">
        <w:rPr>
          <w:rFonts w:ascii="Times New Roman" w:eastAsia="Calibri" w:hAnsi="Times New Roman" w:cs="Times New Roman"/>
          <w:kern w:val="0"/>
          <w:lang w:val="en-GB"/>
          <w14:ligatures w14:val="none"/>
        </w:rPr>
        <w:t xml:space="preserve"> These are the symbolic and emotional ties that people have toward a church, i.e. trust, authenticity, shared values, and belonging to the spiritual community (Einstein, 2008).</w:t>
      </w:r>
    </w:p>
    <w:p w14:paraId="2D5ABFC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4. Brand Loyalty-</w:t>
      </w:r>
      <w:r w:rsidRPr="008D3090">
        <w:rPr>
          <w:rFonts w:ascii="Times New Roman" w:eastAsia="Calibri" w:hAnsi="Times New Roman" w:cs="Times New Roman"/>
          <w:kern w:val="0"/>
          <w:lang w:val="en-GB"/>
          <w14:ligatures w14:val="none"/>
        </w:rPr>
        <w:t xml:space="preserve"> It is dedication of members to take an active role in the activities of the church, stay its members through the years, and promote the church to their social circles (Reichheld and Schefter, 2000).</w:t>
      </w:r>
    </w:p>
    <w:p w14:paraId="0D7C8AB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 Religious Brand Equity is Important.</w:t>
      </w:r>
    </w:p>
    <w:p w14:paraId="7DE167C3"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lastRenderedPageBreak/>
        <w:t>The religious brand equity is significant as it affects the engagement of the members, their satisfaction, and their loyalty. Churches having a good brand equity can retain members, attract more members and become more visible in the religious market (Einstein, 2008). In addition, brand equity could also lead to trust and credibility, which is vital especially in spiritual organizations where moral and ethical uprightness is a major consideration (Keller, 2013).</w:t>
      </w:r>
    </w:p>
    <w:p w14:paraId="4B569E46"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studies indicate that a high brand equity in religious organizations is linked positively with the willingness of the church members to engage themselves in the church activities, contribute to church projects, and stay loyal in the long run (</w:t>
      </w:r>
      <w:proofErr w:type="spellStart"/>
      <w:r w:rsidRPr="008D3090">
        <w:rPr>
          <w:rFonts w:ascii="Times New Roman" w:eastAsia="Calibri" w:hAnsi="Times New Roman" w:cs="Times New Roman"/>
          <w:kern w:val="0"/>
          <w:lang w:val="en-GB"/>
          <w14:ligatures w14:val="none"/>
        </w:rPr>
        <w:t>Baloglu</w:t>
      </w:r>
      <w:proofErr w:type="spellEnd"/>
      <w:r w:rsidRPr="008D3090">
        <w:rPr>
          <w:rFonts w:ascii="Times New Roman" w:eastAsia="Calibri" w:hAnsi="Times New Roman" w:cs="Times New Roman"/>
          <w:kern w:val="0"/>
          <w:lang w:val="en-GB"/>
          <w14:ligatures w14:val="none"/>
        </w:rPr>
        <w:t xml:space="preserve"> and McCleary 1999). As an illustration, the congregants would be more influenced to show loyalty behaviours when they think that the church is real, trustworthy, and rich in spirituality.</w:t>
      </w:r>
    </w:p>
    <w:p w14:paraId="5502B5C6"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p>
    <w:p w14:paraId="64045EA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The issues that have an impact on religious brand equity.</w:t>
      </w:r>
    </w:p>
    <w:p w14:paraId="16B0BBFC"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It has pointed out a number of factors that affect religious brand equity:</w:t>
      </w:r>
    </w:p>
    <w:p w14:paraId="152881AD"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1. Organizational Identity and Leadership -</w:t>
      </w:r>
      <w:r w:rsidRPr="008D3090">
        <w:rPr>
          <w:rFonts w:ascii="Times New Roman" w:eastAsia="Calibri" w:hAnsi="Times New Roman" w:cs="Times New Roman"/>
          <w:kern w:val="0"/>
          <w:lang w:val="en-GB"/>
          <w14:ligatures w14:val="none"/>
        </w:rPr>
        <w:t>Quality and brand associations are greatly enhanced by organizational identity and good leadership (Einstein, 2008).</w:t>
      </w:r>
    </w:p>
    <w:p w14:paraId="4E03762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2. Communication and Engagement -</w:t>
      </w:r>
      <w:r w:rsidRPr="008D3090">
        <w:rPr>
          <w:rFonts w:ascii="Times New Roman" w:eastAsia="Calibri" w:hAnsi="Times New Roman" w:cs="Times New Roman"/>
          <w:kern w:val="0"/>
          <w:lang w:val="en-GB"/>
          <w14:ligatures w14:val="none"/>
        </w:rPr>
        <w:t xml:space="preserve">Regular communication both offline and online assists in creating awareness and strengthening brand identifications. Online sermons, social media, and church apps are digital engagement methods that have gained relevance in defining religious brand equity (Campbell and </w:t>
      </w:r>
      <w:proofErr w:type="spellStart"/>
      <w:r w:rsidRPr="008D3090">
        <w:rPr>
          <w:rFonts w:ascii="Times New Roman" w:eastAsia="Calibri" w:hAnsi="Times New Roman" w:cs="Times New Roman"/>
          <w:kern w:val="0"/>
          <w:lang w:val="en-GB"/>
          <w14:ligatures w14:val="none"/>
        </w:rPr>
        <w:t>Tsuria</w:t>
      </w:r>
      <w:proofErr w:type="spellEnd"/>
      <w:r w:rsidRPr="008D3090">
        <w:rPr>
          <w:rFonts w:ascii="Times New Roman" w:eastAsia="Calibri" w:hAnsi="Times New Roman" w:cs="Times New Roman"/>
          <w:kern w:val="0"/>
          <w:lang w:val="en-GB"/>
          <w14:ligatures w14:val="none"/>
        </w:rPr>
        <w:t>, 2021).</w:t>
      </w:r>
    </w:p>
    <w:p w14:paraId="75D7B73D"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3. Member Experience -</w:t>
      </w:r>
      <w:r w:rsidRPr="008D3090">
        <w:rPr>
          <w:rFonts w:ascii="Times New Roman" w:eastAsia="Calibri" w:hAnsi="Times New Roman" w:cs="Times New Roman"/>
          <w:kern w:val="0"/>
          <w:lang w:val="en-GB"/>
          <w14:ligatures w14:val="none"/>
        </w:rPr>
        <w:t>Perceptions of the church include the quality of worship services, pastoral care, and community activities, which makes members feel connected to the church (Keller, 2013).</w:t>
      </w:r>
    </w:p>
    <w:p w14:paraId="6F9D8489"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4. Reputation and Social Influence -</w:t>
      </w:r>
      <w:r w:rsidRPr="008D3090">
        <w:rPr>
          <w:rFonts w:ascii="Times New Roman" w:eastAsia="Calibri" w:hAnsi="Times New Roman" w:cs="Times New Roman"/>
          <w:kern w:val="0"/>
          <w:lang w:val="en-GB"/>
          <w14:ligatures w14:val="none"/>
        </w:rPr>
        <w:t xml:space="preserve"> The reputation of a church in the community and peer networks makes the church more credible and therefore highly valued by the community which helps in strengthening the brand equity (Einstein, 2008).</w:t>
      </w:r>
    </w:p>
    <w:p w14:paraId="08F272D6"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Loyalty of Churches</w:t>
      </w:r>
    </w:p>
    <w:p w14:paraId="582C20F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retention of members is talked about under the loyalty of churches. </w:t>
      </w:r>
    </w:p>
    <w:p w14:paraId="2FFA2197"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proofErr w:type="spellStart"/>
      <w:r w:rsidRPr="008D3090">
        <w:rPr>
          <w:rFonts w:ascii="Times New Roman" w:eastAsia="Calibri" w:hAnsi="Times New Roman" w:cs="Times New Roman"/>
          <w:b/>
          <w:kern w:val="0"/>
          <w:lang w:val="en-GB"/>
          <w14:ligatures w14:val="none"/>
        </w:rPr>
        <w:t>i</w:t>
      </w:r>
      <w:proofErr w:type="spellEnd"/>
      <w:r w:rsidRPr="008D3090">
        <w:rPr>
          <w:rFonts w:ascii="Times New Roman" w:eastAsia="Calibri" w:hAnsi="Times New Roman" w:cs="Times New Roman"/>
          <w:b/>
          <w:kern w:val="0"/>
          <w:lang w:val="en-GB"/>
          <w14:ligatures w14:val="none"/>
        </w:rPr>
        <w:t>.</w:t>
      </w:r>
      <w:r w:rsidRPr="008D3090">
        <w:rPr>
          <w:rFonts w:ascii="Times New Roman" w:eastAsia="Calibri" w:hAnsi="Times New Roman" w:cs="Times New Roman"/>
          <w:b/>
          <w:kern w:val="0"/>
          <w:lang w:val="en-GB"/>
          <w14:ligatures w14:val="none"/>
        </w:rPr>
        <w:tab/>
        <w:t>Retention of Members</w:t>
      </w:r>
    </w:p>
    <w:p w14:paraId="29E7609E"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reason why people remain in the church are four principles, as pointed out by Rainer (2003), and expounded. They are</w:t>
      </w:r>
    </w:p>
    <w:p w14:paraId="2C72612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a.</w:t>
      </w:r>
      <w:r w:rsidRPr="008D3090">
        <w:rPr>
          <w:rFonts w:ascii="Times New Roman" w:eastAsia="Calibri" w:hAnsi="Times New Roman" w:cs="Times New Roman"/>
          <w:b/>
          <w:kern w:val="0"/>
          <w:lang w:val="en-GB"/>
          <w14:ligatures w14:val="none"/>
        </w:rPr>
        <w:tab/>
        <w:t>The Principle of Expectation:</w:t>
      </w:r>
      <w:r w:rsidRPr="008D3090">
        <w:rPr>
          <w:rFonts w:ascii="Times New Roman" w:eastAsia="Calibri" w:hAnsi="Times New Roman" w:cs="Times New Roman"/>
          <w:kern w:val="0"/>
          <w:lang w:val="en-GB"/>
          <w14:ligatures w14:val="none"/>
        </w:rPr>
        <w:t xml:space="preserve"> One of our research team members did a two-year study of the churches that had good assimilation rates. We were shocked to discover that the expectation of the members and the potential members was one of the major similarities among the churches.</w:t>
      </w:r>
    </w:p>
    <w:p w14:paraId="3B068B4F"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Membership of the church was not the imparting of the name to a roll it was obviously supposed that the member should make a difference through the ministries of the church. Giving was not publicized as something to do but a requirement among the church members. It was frequently these expectations that were least clearly expressed than in membership or inquirer classes.</w:t>
      </w:r>
    </w:p>
    <w:p w14:paraId="051B23A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b.</w:t>
      </w:r>
      <w:r w:rsidRPr="008D3090">
        <w:rPr>
          <w:rFonts w:ascii="Times New Roman" w:eastAsia="Calibri" w:hAnsi="Times New Roman" w:cs="Times New Roman"/>
          <w:b/>
          <w:kern w:val="0"/>
          <w:lang w:val="en-GB"/>
          <w14:ligatures w14:val="none"/>
        </w:rPr>
        <w:tab/>
        <w:t xml:space="preserve">The Principle of Ministry Involvement: </w:t>
      </w:r>
      <w:r w:rsidRPr="008D3090">
        <w:rPr>
          <w:rFonts w:ascii="Times New Roman" w:eastAsia="Calibri" w:hAnsi="Times New Roman" w:cs="Times New Roman"/>
          <w:kern w:val="0"/>
          <w:lang w:val="en-GB"/>
          <w14:ligatures w14:val="none"/>
        </w:rPr>
        <w:t>When a church member fails to get his or her ways meaningfully engaged in any form of ministry in the church, he or she has a high probability of dropping out. However, the leadership of the church cannot afford to wait any longer and transfer new members to ministry locations. When there is a period of over six months between the stages of new membership to ministry involvement, then it is more likely that the individual is already on its way to becoming an inactive member of the church.</w:t>
      </w:r>
    </w:p>
    <w:p w14:paraId="7D32875D"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c.</w:t>
      </w:r>
      <w:r w:rsidRPr="008D3090">
        <w:rPr>
          <w:rFonts w:ascii="Times New Roman" w:eastAsia="Calibri" w:hAnsi="Times New Roman" w:cs="Times New Roman"/>
          <w:b/>
          <w:kern w:val="0"/>
          <w:lang w:val="en-GB"/>
          <w14:ligatures w14:val="none"/>
        </w:rPr>
        <w:tab/>
        <w:t>The Principle of Relationships:</w:t>
      </w:r>
      <w:r w:rsidRPr="008D3090">
        <w:rPr>
          <w:rFonts w:ascii="Times New Roman" w:eastAsia="Calibri" w:hAnsi="Times New Roman" w:cs="Times New Roman"/>
          <w:kern w:val="0"/>
          <w:lang w:val="en-GB"/>
          <w14:ligatures w14:val="none"/>
        </w:rPr>
        <w:t xml:space="preserve"> What most church leaders are not aware, is that, these relationships with the new member are best developed before the member joins.</w:t>
      </w:r>
    </w:p>
    <w:p w14:paraId="167FFD9D"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lastRenderedPageBreak/>
        <w:t>When a new member has no connection with a church member, when he or she joins the church, it becomes extremely hard to establish relationships. This is why it is of paramount importance that church members should become very deliberate in building relationships with unchurched individuals until a time when the latter will visit the church.</w:t>
      </w:r>
    </w:p>
    <w:p w14:paraId="47312935"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d.</w:t>
      </w:r>
      <w:r w:rsidRPr="008D3090">
        <w:rPr>
          <w:rFonts w:ascii="Times New Roman" w:eastAsia="Calibri" w:hAnsi="Times New Roman" w:cs="Times New Roman"/>
          <w:b/>
          <w:kern w:val="0"/>
          <w:lang w:val="en-GB"/>
          <w14:ligatures w14:val="none"/>
        </w:rPr>
        <w:tab/>
        <w:t>The Principles of the Small-group Involvement</w:t>
      </w:r>
      <w:r w:rsidRPr="008D3090">
        <w:rPr>
          <w:rFonts w:ascii="Times New Roman" w:eastAsia="Calibri" w:hAnsi="Times New Roman" w:cs="Times New Roman"/>
          <w:kern w:val="0"/>
          <w:lang w:val="en-GB"/>
          <w14:ligatures w14:val="none"/>
        </w:rPr>
        <w:t>: Such involvement can be done through discipleship groups, home cell groups, ministry teams, and choirs and praise teams, just to mention but a few. The Sunday school is the most effective assimilation group, in our research, which is the open-ended small group that usually convenes on the church campus. An individual who was present on Sunday school class is five times more likely to be an active member of the church five years later, compared to an individual who attends only the worship services.</w:t>
      </w:r>
    </w:p>
    <w:p w14:paraId="4406A06F"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p>
    <w:p w14:paraId="4D45956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Theoretical Framework</w:t>
      </w:r>
    </w:p>
    <w:p w14:paraId="01821493"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Brand Equity Theory</w:t>
      </w:r>
    </w:p>
    <w:p w14:paraId="765BF1B0"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Brand Equity Theory describes the connection between brand value and the perception and experience of consumer. In the theory, companies that establish good brand recognition, </w:t>
      </w:r>
      <w:proofErr w:type="spellStart"/>
      <w:r w:rsidRPr="008D3090">
        <w:rPr>
          <w:rFonts w:ascii="Times New Roman" w:eastAsia="Calibri" w:hAnsi="Times New Roman" w:cs="Times New Roman"/>
          <w:kern w:val="0"/>
          <w:lang w:val="en-GB"/>
          <w14:ligatures w14:val="none"/>
        </w:rPr>
        <w:t>favorable</w:t>
      </w:r>
      <w:proofErr w:type="spellEnd"/>
      <w:r w:rsidRPr="008D3090">
        <w:rPr>
          <w:rFonts w:ascii="Times New Roman" w:eastAsia="Calibri" w:hAnsi="Times New Roman" w:cs="Times New Roman"/>
          <w:kern w:val="0"/>
          <w:lang w:val="en-GB"/>
          <w14:ligatures w14:val="none"/>
        </w:rPr>
        <w:t xml:space="preserve"> associations and perceived quality have better chances of developing loyalty among consumers.</w:t>
      </w:r>
    </w:p>
    <w:p w14:paraId="4053E62C"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Brand equity can be achieved in the church setting by the means of a regular message, inspirational preaching, outreach and successful online communication.</w:t>
      </w:r>
    </w:p>
    <w:p w14:paraId="6DB20750"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Relationship Marketing Theory</w:t>
      </w:r>
    </w:p>
    <w:p w14:paraId="61CF8664"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Relationship Marketing Theory stresses on the significance of the long-term relationship with the stakeholders instead of concentrating on the short-term transactions. By serving its members digitally, churches can increase their chances of building emotional bonds and inculcate long-term commitment.</w:t>
      </w:r>
    </w:p>
    <w:p w14:paraId="71638DC1"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p>
    <w:p w14:paraId="134226BE"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METHODOLOGY</w:t>
      </w:r>
    </w:p>
    <w:p w14:paraId="6BD503CA"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Research Design: </w:t>
      </w:r>
      <w:r w:rsidRPr="008D3090">
        <w:rPr>
          <w:rFonts w:ascii="Times New Roman" w:eastAsia="Calibri" w:hAnsi="Times New Roman" w:cs="Times New Roman"/>
          <w:kern w:val="0"/>
          <w:lang w:val="en-GB"/>
          <w14:ligatures w14:val="none"/>
        </w:rPr>
        <w:t>In this research, the research design taken is the survey and descriptive research design, in order to explore the correlation between religious digital brand equity and the church member loyalty in Port Harcourt.</w:t>
      </w:r>
    </w:p>
    <w:p w14:paraId="65FF4222"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Population in the study:</w:t>
      </w:r>
      <w:r w:rsidRPr="008D3090">
        <w:rPr>
          <w:rFonts w:ascii="Times New Roman" w:eastAsia="Calibri" w:hAnsi="Times New Roman" w:cs="Times New Roman"/>
          <w:kern w:val="0"/>
          <w:lang w:val="en-GB"/>
          <w14:ligatures w14:val="none"/>
        </w:rPr>
        <w:t xml:space="preserve">  It consisted of the ministers of gospel and the members of the churches involved in the study. The population is infinite.</w:t>
      </w:r>
    </w:p>
    <w:p w14:paraId="0C9905F8"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Sample/sampling Techniques’ 100 respondents purposely selected out of the ministers of the gospel and church members in Christian council of Nigeria bloc will be the sample size of this work. </w:t>
      </w:r>
    </w:p>
    <w:p w14:paraId="6586B8FC"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Anglican, Methodist, Presbyterian and the Pentecostal bloc. This study employed the purposive sampling by way of selection.</w:t>
      </w:r>
    </w:p>
    <w:p w14:paraId="7C7376BB"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Instrumentation:</w:t>
      </w:r>
      <w:r w:rsidRPr="008D3090">
        <w:rPr>
          <w:rFonts w:ascii="Times New Roman" w:eastAsia="Calibri" w:hAnsi="Times New Roman" w:cs="Times New Roman"/>
          <w:kern w:val="0"/>
          <w:lang w:val="en-GB"/>
          <w14:ligatures w14:val="none"/>
        </w:rPr>
        <w:t xml:space="preserve"> The research tool that was applied was a questionnaire </w:t>
      </w:r>
      <w:proofErr w:type="spellStart"/>
      <w:r w:rsidRPr="008D3090">
        <w:rPr>
          <w:rFonts w:ascii="Times New Roman" w:eastAsia="Calibri" w:hAnsi="Times New Roman" w:cs="Times New Roman"/>
          <w:kern w:val="0"/>
          <w:lang w:val="en-GB"/>
          <w14:ligatures w14:val="none"/>
        </w:rPr>
        <w:t>questionnaire</w:t>
      </w:r>
      <w:proofErr w:type="spellEnd"/>
      <w:r w:rsidRPr="008D3090">
        <w:rPr>
          <w:rFonts w:ascii="Times New Roman" w:eastAsia="Calibri" w:hAnsi="Times New Roman" w:cs="Times New Roman"/>
          <w:kern w:val="0"/>
          <w:lang w:val="en-GB"/>
          <w14:ligatures w14:val="none"/>
        </w:rPr>
        <w:t xml:space="preserve"> known as the Religious digital brand equity and loyalty of church members Questionnaire.</w:t>
      </w:r>
    </w:p>
    <w:p w14:paraId="749EE64E"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Validity of instrument: Pre-testing was done to a sample group of respondents to optimize the questions to be used and to bring out clarity and relevance.</w:t>
      </w:r>
    </w:p>
    <w:p w14:paraId="0EF640A4"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
          <w:kern w:val="0"/>
          <w:lang w:val="en-GB"/>
          <w14:ligatures w14:val="none"/>
        </w:rPr>
        <w:t>Reliability of Research Instrument:</w:t>
      </w:r>
      <w:r w:rsidRPr="008D3090">
        <w:rPr>
          <w:rFonts w:ascii="Times New Roman" w:eastAsia="Calibri" w:hAnsi="Times New Roman" w:cs="Times New Roman"/>
          <w:kern w:val="0"/>
          <w:lang w:val="en-GB"/>
          <w14:ligatures w14:val="none"/>
        </w:rPr>
        <w:t xml:space="preserve"> The instrument tested was assessed through </w:t>
      </w:r>
      <w:proofErr w:type="gramStart"/>
      <w:r w:rsidRPr="008D3090">
        <w:rPr>
          <w:rFonts w:ascii="Times New Roman" w:eastAsia="Calibri" w:hAnsi="Times New Roman" w:cs="Times New Roman"/>
          <w:kern w:val="0"/>
          <w:lang w:val="en-GB"/>
          <w14:ligatures w14:val="none"/>
        </w:rPr>
        <w:t>test retest</w:t>
      </w:r>
      <w:proofErr w:type="gramEnd"/>
      <w:r w:rsidRPr="008D3090">
        <w:rPr>
          <w:rFonts w:ascii="Times New Roman" w:eastAsia="Calibri" w:hAnsi="Times New Roman" w:cs="Times New Roman"/>
          <w:kern w:val="0"/>
          <w:lang w:val="en-GB"/>
          <w14:ligatures w14:val="none"/>
        </w:rPr>
        <w:t xml:space="preserve"> method and 25 ministers of the participating churches were used. The answers by the test were correlated by the spearman rank Order correlation coefficient.  </w:t>
      </w:r>
    </w:p>
    <w:p w14:paraId="181A8243"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PRESENTATION AND INTERPRETATION OF THE RESULTS.</w:t>
      </w:r>
    </w:p>
    <w:p w14:paraId="4C03FE09"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chapter is related with Data presentation and Analysis of the results obtained during the field work.  The correct data and analysis presentation allow the researcher to make a reasonable conclusion.</w:t>
      </w:r>
    </w:p>
    <w:p w14:paraId="503573DD"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p>
    <w:p w14:paraId="2DAAC1E6"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Data Presentation </w:t>
      </w:r>
    </w:p>
    <w:p w14:paraId="0ADD5B84"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This justifies the number of companies that were invested and the percentage of questionnaire that was retrieved in the field.</w:t>
      </w:r>
    </w:p>
    <w:p w14:paraId="690C8AF4" w14:textId="77777777" w:rsidR="008D3090" w:rsidRPr="008D3090" w:rsidRDefault="008D3090" w:rsidP="001A5F7B">
      <w:pPr>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Table 4.2: Frequency of church distribution </w:t>
      </w:r>
    </w:p>
    <w:tbl>
      <w:tblPr>
        <w:tblW w:w="8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1842"/>
        <w:gridCol w:w="1414"/>
        <w:gridCol w:w="1000"/>
        <w:gridCol w:w="1365"/>
        <w:gridCol w:w="1456"/>
      </w:tblGrid>
      <w:tr w:rsidR="008D3090" w:rsidRPr="008D3090" w14:paraId="04DF587B" w14:textId="77777777" w:rsidTr="00D00B3F">
        <w:trPr>
          <w:cantSplit/>
        </w:trPr>
        <w:tc>
          <w:tcPr>
            <w:tcW w:w="8065" w:type="dxa"/>
            <w:gridSpan w:val="6"/>
            <w:shd w:val="clear" w:color="auto" w:fill="FFFFFF"/>
          </w:tcPr>
          <w:p w14:paraId="213B8EBB" w14:textId="77777777" w:rsidR="008D3090" w:rsidRPr="008D3090" w:rsidRDefault="008D3090" w:rsidP="001A5F7B">
            <w:pPr>
              <w:autoSpaceDE w:val="0"/>
              <w:autoSpaceDN w:val="0"/>
              <w:adjustRightInd w:val="0"/>
              <w:spacing w:after="0" w:line="24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b/>
                <w:bCs/>
                <w:color w:val="000000"/>
                <w:kern w:val="0"/>
                <w:lang w:val="en-GB"/>
                <w14:ligatures w14:val="none"/>
              </w:rPr>
              <w:t>Church</w:t>
            </w:r>
          </w:p>
        </w:tc>
      </w:tr>
      <w:tr w:rsidR="008D3090" w:rsidRPr="008D3090" w14:paraId="1EC95615" w14:textId="77777777" w:rsidTr="00D00B3F">
        <w:trPr>
          <w:cantSplit/>
        </w:trPr>
        <w:tc>
          <w:tcPr>
            <w:tcW w:w="2830" w:type="dxa"/>
            <w:gridSpan w:val="2"/>
            <w:shd w:val="clear" w:color="auto" w:fill="FFFFFF"/>
          </w:tcPr>
          <w:p w14:paraId="0752112C"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p>
        </w:tc>
        <w:tc>
          <w:tcPr>
            <w:tcW w:w="1414" w:type="dxa"/>
            <w:shd w:val="clear" w:color="auto" w:fill="FFFFFF"/>
          </w:tcPr>
          <w:p w14:paraId="72697815" w14:textId="77777777" w:rsidR="008D3090" w:rsidRPr="008D3090" w:rsidRDefault="008D3090" w:rsidP="001A5F7B">
            <w:pPr>
              <w:autoSpaceDE w:val="0"/>
              <w:autoSpaceDN w:val="0"/>
              <w:adjustRightInd w:val="0"/>
              <w:spacing w:after="0" w:line="24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Frequency</w:t>
            </w:r>
          </w:p>
        </w:tc>
        <w:tc>
          <w:tcPr>
            <w:tcW w:w="1000" w:type="dxa"/>
            <w:shd w:val="clear" w:color="auto" w:fill="FFFFFF"/>
          </w:tcPr>
          <w:p w14:paraId="5330B92F" w14:textId="77777777" w:rsidR="008D3090" w:rsidRPr="008D3090" w:rsidRDefault="008D3090" w:rsidP="001A5F7B">
            <w:pPr>
              <w:autoSpaceDE w:val="0"/>
              <w:autoSpaceDN w:val="0"/>
              <w:adjustRightInd w:val="0"/>
              <w:spacing w:after="0" w:line="24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Percent</w:t>
            </w:r>
          </w:p>
        </w:tc>
        <w:tc>
          <w:tcPr>
            <w:tcW w:w="1365" w:type="dxa"/>
            <w:shd w:val="clear" w:color="auto" w:fill="FFFFFF"/>
          </w:tcPr>
          <w:p w14:paraId="0F3D2E26" w14:textId="77777777" w:rsidR="008D3090" w:rsidRPr="008D3090" w:rsidRDefault="008D3090" w:rsidP="001A5F7B">
            <w:pPr>
              <w:autoSpaceDE w:val="0"/>
              <w:autoSpaceDN w:val="0"/>
              <w:adjustRightInd w:val="0"/>
              <w:spacing w:after="0" w:line="24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Valid Percent</w:t>
            </w:r>
          </w:p>
        </w:tc>
        <w:tc>
          <w:tcPr>
            <w:tcW w:w="1456" w:type="dxa"/>
            <w:shd w:val="clear" w:color="auto" w:fill="FFFFFF"/>
          </w:tcPr>
          <w:p w14:paraId="392014C3" w14:textId="77777777" w:rsidR="008D3090" w:rsidRPr="008D3090" w:rsidRDefault="008D3090" w:rsidP="001A5F7B">
            <w:pPr>
              <w:autoSpaceDE w:val="0"/>
              <w:autoSpaceDN w:val="0"/>
              <w:adjustRightInd w:val="0"/>
              <w:spacing w:after="0" w:line="24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Cumulative Percent</w:t>
            </w:r>
          </w:p>
        </w:tc>
      </w:tr>
      <w:tr w:rsidR="008D3090" w:rsidRPr="008D3090" w14:paraId="5EB6944B" w14:textId="77777777" w:rsidTr="00D00B3F">
        <w:trPr>
          <w:cantSplit/>
        </w:trPr>
        <w:tc>
          <w:tcPr>
            <w:tcW w:w="988" w:type="dxa"/>
            <w:vMerge w:val="restart"/>
            <w:shd w:val="clear" w:color="auto" w:fill="FFFFFF"/>
            <w:vAlign w:val="center"/>
          </w:tcPr>
          <w:p w14:paraId="2CF823EB"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Valid</w:t>
            </w:r>
          </w:p>
        </w:tc>
        <w:tc>
          <w:tcPr>
            <w:tcW w:w="1842" w:type="dxa"/>
            <w:shd w:val="clear" w:color="auto" w:fill="FFFFFF"/>
            <w:vAlign w:val="center"/>
          </w:tcPr>
          <w:p w14:paraId="4686C25E"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Anglican</w:t>
            </w:r>
          </w:p>
        </w:tc>
        <w:tc>
          <w:tcPr>
            <w:tcW w:w="1414" w:type="dxa"/>
            <w:shd w:val="clear" w:color="auto" w:fill="FFFFFF"/>
            <w:vAlign w:val="center"/>
          </w:tcPr>
          <w:p w14:paraId="3ADB5B61"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28</w:t>
            </w:r>
          </w:p>
        </w:tc>
        <w:tc>
          <w:tcPr>
            <w:tcW w:w="1000" w:type="dxa"/>
            <w:shd w:val="clear" w:color="auto" w:fill="FFFFFF"/>
            <w:vAlign w:val="center"/>
          </w:tcPr>
          <w:p w14:paraId="0C4D59CE"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32.6</w:t>
            </w:r>
          </w:p>
        </w:tc>
        <w:tc>
          <w:tcPr>
            <w:tcW w:w="1365" w:type="dxa"/>
            <w:shd w:val="clear" w:color="auto" w:fill="FFFFFF"/>
            <w:vAlign w:val="center"/>
          </w:tcPr>
          <w:p w14:paraId="0E7AE4D8"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32.6</w:t>
            </w:r>
          </w:p>
        </w:tc>
        <w:tc>
          <w:tcPr>
            <w:tcW w:w="1456" w:type="dxa"/>
            <w:shd w:val="clear" w:color="auto" w:fill="FFFFFF"/>
            <w:vAlign w:val="center"/>
          </w:tcPr>
          <w:p w14:paraId="1BA9DE01"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32.6</w:t>
            </w:r>
          </w:p>
        </w:tc>
      </w:tr>
      <w:tr w:rsidR="008D3090" w:rsidRPr="008D3090" w14:paraId="56937683" w14:textId="77777777" w:rsidTr="00D00B3F">
        <w:trPr>
          <w:cantSplit/>
        </w:trPr>
        <w:tc>
          <w:tcPr>
            <w:tcW w:w="988" w:type="dxa"/>
            <w:vMerge/>
            <w:shd w:val="clear" w:color="auto" w:fill="FFFFFF"/>
            <w:vAlign w:val="center"/>
          </w:tcPr>
          <w:p w14:paraId="1D63E979"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tc>
        <w:tc>
          <w:tcPr>
            <w:tcW w:w="1842" w:type="dxa"/>
            <w:shd w:val="clear" w:color="auto" w:fill="FFFFFF"/>
            <w:vAlign w:val="center"/>
          </w:tcPr>
          <w:p w14:paraId="1D0093D6"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Methodist</w:t>
            </w:r>
          </w:p>
        </w:tc>
        <w:tc>
          <w:tcPr>
            <w:tcW w:w="1414" w:type="dxa"/>
            <w:shd w:val="clear" w:color="auto" w:fill="FFFFFF"/>
            <w:vAlign w:val="center"/>
          </w:tcPr>
          <w:p w14:paraId="3A343A28"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7</w:t>
            </w:r>
          </w:p>
        </w:tc>
        <w:tc>
          <w:tcPr>
            <w:tcW w:w="1000" w:type="dxa"/>
            <w:shd w:val="clear" w:color="auto" w:fill="FFFFFF"/>
            <w:vAlign w:val="center"/>
          </w:tcPr>
          <w:p w14:paraId="00A7D9F7"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8.1</w:t>
            </w:r>
          </w:p>
        </w:tc>
        <w:tc>
          <w:tcPr>
            <w:tcW w:w="1365" w:type="dxa"/>
            <w:shd w:val="clear" w:color="auto" w:fill="FFFFFF"/>
            <w:vAlign w:val="center"/>
          </w:tcPr>
          <w:p w14:paraId="42618C82"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8.1</w:t>
            </w:r>
          </w:p>
        </w:tc>
        <w:tc>
          <w:tcPr>
            <w:tcW w:w="1456" w:type="dxa"/>
            <w:shd w:val="clear" w:color="auto" w:fill="FFFFFF"/>
            <w:vAlign w:val="center"/>
          </w:tcPr>
          <w:p w14:paraId="33581E69"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40.7</w:t>
            </w:r>
          </w:p>
        </w:tc>
      </w:tr>
      <w:tr w:rsidR="008D3090" w:rsidRPr="008D3090" w14:paraId="69D3CDB0" w14:textId="77777777" w:rsidTr="00D00B3F">
        <w:trPr>
          <w:cantSplit/>
        </w:trPr>
        <w:tc>
          <w:tcPr>
            <w:tcW w:w="988" w:type="dxa"/>
            <w:vMerge/>
            <w:shd w:val="clear" w:color="auto" w:fill="FFFFFF"/>
            <w:vAlign w:val="center"/>
          </w:tcPr>
          <w:p w14:paraId="72366DA8"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tc>
        <w:tc>
          <w:tcPr>
            <w:tcW w:w="1842" w:type="dxa"/>
            <w:shd w:val="clear" w:color="auto" w:fill="FFFFFF"/>
            <w:vAlign w:val="center"/>
          </w:tcPr>
          <w:p w14:paraId="2D19BFB7"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Presbyterian</w:t>
            </w:r>
          </w:p>
        </w:tc>
        <w:tc>
          <w:tcPr>
            <w:tcW w:w="1414" w:type="dxa"/>
            <w:shd w:val="clear" w:color="auto" w:fill="FFFFFF"/>
            <w:vAlign w:val="center"/>
          </w:tcPr>
          <w:p w14:paraId="4FDCA8B8"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3</w:t>
            </w:r>
          </w:p>
        </w:tc>
        <w:tc>
          <w:tcPr>
            <w:tcW w:w="1000" w:type="dxa"/>
            <w:shd w:val="clear" w:color="auto" w:fill="FFFFFF"/>
            <w:vAlign w:val="center"/>
          </w:tcPr>
          <w:p w14:paraId="5F41817E"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3.5</w:t>
            </w:r>
          </w:p>
        </w:tc>
        <w:tc>
          <w:tcPr>
            <w:tcW w:w="1365" w:type="dxa"/>
            <w:shd w:val="clear" w:color="auto" w:fill="FFFFFF"/>
            <w:vAlign w:val="center"/>
          </w:tcPr>
          <w:p w14:paraId="6F11B921"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3.5</w:t>
            </w:r>
          </w:p>
        </w:tc>
        <w:tc>
          <w:tcPr>
            <w:tcW w:w="1456" w:type="dxa"/>
            <w:shd w:val="clear" w:color="auto" w:fill="FFFFFF"/>
            <w:vAlign w:val="center"/>
          </w:tcPr>
          <w:p w14:paraId="15F81895"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44.2</w:t>
            </w:r>
          </w:p>
        </w:tc>
      </w:tr>
      <w:tr w:rsidR="008D3090" w:rsidRPr="008D3090" w14:paraId="27138F09" w14:textId="77777777" w:rsidTr="00D00B3F">
        <w:trPr>
          <w:cantSplit/>
        </w:trPr>
        <w:tc>
          <w:tcPr>
            <w:tcW w:w="988" w:type="dxa"/>
            <w:vMerge/>
            <w:shd w:val="clear" w:color="auto" w:fill="FFFFFF"/>
            <w:vAlign w:val="center"/>
          </w:tcPr>
          <w:p w14:paraId="7D86D6AA"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tc>
        <w:tc>
          <w:tcPr>
            <w:tcW w:w="1842" w:type="dxa"/>
            <w:shd w:val="clear" w:color="auto" w:fill="FFFFFF"/>
            <w:vAlign w:val="center"/>
          </w:tcPr>
          <w:p w14:paraId="38E63005"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Pentecostal</w:t>
            </w:r>
          </w:p>
        </w:tc>
        <w:tc>
          <w:tcPr>
            <w:tcW w:w="1414" w:type="dxa"/>
            <w:shd w:val="clear" w:color="auto" w:fill="FFFFFF"/>
            <w:vAlign w:val="center"/>
          </w:tcPr>
          <w:p w14:paraId="71CCF7D2"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42</w:t>
            </w:r>
          </w:p>
        </w:tc>
        <w:tc>
          <w:tcPr>
            <w:tcW w:w="1000" w:type="dxa"/>
            <w:shd w:val="clear" w:color="auto" w:fill="FFFFFF"/>
            <w:vAlign w:val="center"/>
          </w:tcPr>
          <w:p w14:paraId="5F4C227B"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48.8</w:t>
            </w:r>
          </w:p>
        </w:tc>
        <w:tc>
          <w:tcPr>
            <w:tcW w:w="1365" w:type="dxa"/>
            <w:shd w:val="clear" w:color="auto" w:fill="FFFFFF"/>
            <w:vAlign w:val="center"/>
          </w:tcPr>
          <w:p w14:paraId="06D3B7CE"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48.8</w:t>
            </w:r>
          </w:p>
        </w:tc>
        <w:tc>
          <w:tcPr>
            <w:tcW w:w="1456" w:type="dxa"/>
            <w:shd w:val="clear" w:color="auto" w:fill="FFFFFF"/>
            <w:vAlign w:val="center"/>
          </w:tcPr>
          <w:p w14:paraId="033F1BA1"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93.0</w:t>
            </w:r>
          </w:p>
        </w:tc>
      </w:tr>
      <w:tr w:rsidR="008D3090" w:rsidRPr="008D3090" w14:paraId="7CAF5365" w14:textId="77777777" w:rsidTr="00D00B3F">
        <w:trPr>
          <w:cantSplit/>
        </w:trPr>
        <w:tc>
          <w:tcPr>
            <w:tcW w:w="988" w:type="dxa"/>
            <w:vMerge/>
            <w:shd w:val="clear" w:color="auto" w:fill="FFFFFF"/>
            <w:vAlign w:val="center"/>
          </w:tcPr>
          <w:p w14:paraId="346311CE"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tc>
        <w:tc>
          <w:tcPr>
            <w:tcW w:w="1842" w:type="dxa"/>
            <w:shd w:val="clear" w:color="auto" w:fill="FFFFFF"/>
            <w:vAlign w:val="center"/>
          </w:tcPr>
          <w:p w14:paraId="57AEEBE5"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Catholic</w:t>
            </w:r>
          </w:p>
        </w:tc>
        <w:tc>
          <w:tcPr>
            <w:tcW w:w="1414" w:type="dxa"/>
            <w:shd w:val="clear" w:color="auto" w:fill="FFFFFF"/>
            <w:vAlign w:val="center"/>
          </w:tcPr>
          <w:p w14:paraId="6C9C84C8"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w:t>
            </w:r>
          </w:p>
        </w:tc>
        <w:tc>
          <w:tcPr>
            <w:tcW w:w="1000" w:type="dxa"/>
            <w:shd w:val="clear" w:color="auto" w:fill="FFFFFF"/>
            <w:vAlign w:val="center"/>
          </w:tcPr>
          <w:p w14:paraId="4B9EEFA1"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4.7</w:t>
            </w:r>
          </w:p>
        </w:tc>
        <w:tc>
          <w:tcPr>
            <w:tcW w:w="1365" w:type="dxa"/>
            <w:shd w:val="clear" w:color="auto" w:fill="FFFFFF"/>
            <w:vAlign w:val="center"/>
          </w:tcPr>
          <w:p w14:paraId="2B5BE0CF"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4.7</w:t>
            </w:r>
          </w:p>
        </w:tc>
        <w:tc>
          <w:tcPr>
            <w:tcW w:w="1456" w:type="dxa"/>
            <w:shd w:val="clear" w:color="auto" w:fill="FFFFFF"/>
            <w:vAlign w:val="center"/>
          </w:tcPr>
          <w:p w14:paraId="7ECC3F8F"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97.7</w:t>
            </w:r>
          </w:p>
        </w:tc>
      </w:tr>
      <w:tr w:rsidR="008D3090" w:rsidRPr="008D3090" w14:paraId="16CEFCBB" w14:textId="77777777" w:rsidTr="00D00B3F">
        <w:trPr>
          <w:cantSplit/>
        </w:trPr>
        <w:tc>
          <w:tcPr>
            <w:tcW w:w="988" w:type="dxa"/>
            <w:vMerge/>
            <w:shd w:val="clear" w:color="auto" w:fill="FFFFFF"/>
            <w:vAlign w:val="center"/>
          </w:tcPr>
          <w:p w14:paraId="6D1F5308"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tc>
        <w:tc>
          <w:tcPr>
            <w:tcW w:w="1842" w:type="dxa"/>
            <w:shd w:val="clear" w:color="auto" w:fill="FFFFFF"/>
            <w:vAlign w:val="center"/>
          </w:tcPr>
          <w:p w14:paraId="65C15829"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Christian Council Intl. Chapel.</w:t>
            </w:r>
          </w:p>
        </w:tc>
        <w:tc>
          <w:tcPr>
            <w:tcW w:w="1414" w:type="dxa"/>
            <w:shd w:val="clear" w:color="auto" w:fill="FFFFFF"/>
            <w:vAlign w:val="center"/>
          </w:tcPr>
          <w:p w14:paraId="455FF948"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2</w:t>
            </w:r>
          </w:p>
        </w:tc>
        <w:tc>
          <w:tcPr>
            <w:tcW w:w="1000" w:type="dxa"/>
            <w:shd w:val="clear" w:color="auto" w:fill="FFFFFF"/>
            <w:vAlign w:val="center"/>
          </w:tcPr>
          <w:p w14:paraId="0DEB1793"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2.3</w:t>
            </w:r>
          </w:p>
        </w:tc>
        <w:tc>
          <w:tcPr>
            <w:tcW w:w="1365" w:type="dxa"/>
            <w:shd w:val="clear" w:color="auto" w:fill="FFFFFF"/>
            <w:vAlign w:val="center"/>
          </w:tcPr>
          <w:p w14:paraId="0EF422C5"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2.3</w:t>
            </w:r>
          </w:p>
        </w:tc>
        <w:tc>
          <w:tcPr>
            <w:tcW w:w="1456" w:type="dxa"/>
            <w:shd w:val="clear" w:color="auto" w:fill="FFFFFF"/>
            <w:vAlign w:val="center"/>
          </w:tcPr>
          <w:p w14:paraId="46E6942A"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r>
      <w:tr w:rsidR="008D3090" w:rsidRPr="008D3090" w14:paraId="7262FD4F" w14:textId="77777777" w:rsidTr="00D00B3F">
        <w:trPr>
          <w:cantSplit/>
        </w:trPr>
        <w:tc>
          <w:tcPr>
            <w:tcW w:w="988" w:type="dxa"/>
            <w:vMerge/>
            <w:shd w:val="clear" w:color="auto" w:fill="FFFFFF"/>
            <w:vAlign w:val="center"/>
          </w:tcPr>
          <w:p w14:paraId="1DC253DF"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tc>
        <w:tc>
          <w:tcPr>
            <w:tcW w:w="1842" w:type="dxa"/>
            <w:shd w:val="clear" w:color="auto" w:fill="FFFFFF"/>
            <w:vAlign w:val="center"/>
          </w:tcPr>
          <w:p w14:paraId="431865DB" w14:textId="77777777" w:rsidR="008D3090" w:rsidRPr="008D3090" w:rsidRDefault="008D3090" w:rsidP="001A5F7B">
            <w:pPr>
              <w:autoSpaceDE w:val="0"/>
              <w:autoSpaceDN w:val="0"/>
              <w:adjustRightInd w:val="0"/>
              <w:spacing w:after="0" w:line="24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Total</w:t>
            </w:r>
          </w:p>
        </w:tc>
        <w:tc>
          <w:tcPr>
            <w:tcW w:w="1414" w:type="dxa"/>
            <w:shd w:val="clear" w:color="auto" w:fill="FFFFFF"/>
            <w:vAlign w:val="center"/>
          </w:tcPr>
          <w:p w14:paraId="1A086637"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c>
          <w:tcPr>
            <w:tcW w:w="1000" w:type="dxa"/>
            <w:shd w:val="clear" w:color="auto" w:fill="FFFFFF"/>
            <w:vAlign w:val="center"/>
          </w:tcPr>
          <w:p w14:paraId="4F4615C9"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c>
          <w:tcPr>
            <w:tcW w:w="1365" w:type="dxa"/>
            <w:shd w:val="clear" w:color="auto" w:fill="FFFFFF"/>
            <w:vAlign w:val="center"/>
          </w:tcPr>
          <w:p w14:paraId="4EBE96A3" w14:textId="77777777" w:rsidR="008D3090" w:rsidRPr="008D3090" w:rsidRDefault="008D3090" w:rsidP="001A5F7B">
            <w:pPr>
              <w:autoSpaceDE w:val="0"/>
              <w:autoSpaceDN w:val="0"/>
              <w:adjustRightInd w:val="0"/>
              <w:spacing w:after="0" w:line="24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c>
          <w:tcPr>
            <w:tcW w:w="1456" w:type="dxa"/>
            <w:shd w:val="clear" w:color="auto" w:fill="FFFFFF"/>
          </w:tcPr>
          <w:p w14:paraId="00A5C429"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kern w:val="0"/>
                <w:lang w:val="en-GB"/>
                <w14:ligatures w14:val="none"/>
              </w:rPr>
            </w:pPr>
          </w:p>
        </w:tc>
      </w:tr>
    </w:tbl>
    <w:p w14:paraId="5A9CA42E"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noProof/>
          <w:kern w:val="0"/>
          <w:lang w:val="en-GB" w:eastAsia="en-GB"/>
          <w14:ligatures w14:val="none"/>
        </w:rPr>
      </w:pPr>
      <w:r w:rsidRPr="008D3090">
        <w:rPr>
          <w:rFonts w:ascii="Times New Roman" w:eastAsia="Calibri" w:hAnsi="Times New Roman" w:cs="Times New Roman"/>
          <w:b/>
          <w:i/>
          <w:kern w:val="0"/>
          <w:lang w:val="en-GB"/>
          <w14:ligatures w14:val="none"/>
        </w:rPr>
        <w:t>Source: Research survey, 20</w:t>
      </w:r>
      <w:r w:rsidRPr="008D3090">
        <w:rPr>
          <w:rFonts w:ascii="Times New Roman" w:eastAsia="Calibri" w:hAnsi="Times New Roman" w:cs="Times New Roman"/>
          <w:b/>
          <w:i/>
          <w:kern w:val="0"/>
          <w14:ligatures w14:val="none"/>
        </w:rPr>
        <w:t>26</w:t>
      </w:r>
    </w:p>
    <w:p w14:paraId="46534E0E"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noProof/>
          <w:kern w:val="0"/>
          <w:lang w:val="en-GB" w:eastAsia="en-GB"/>
          <w14:ligatures w14:val="none"/>
        </w:rPr>
      </w:pPr>
    </w:p>
    <w:p w14:paraId="04E644A8"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noProof/>
          <w:kern w:val="0"/>
          <w:lang w:val="en-GB" w:eastAsia="en-GB"/>
          <w14:ligatures w14:val="none"/>
        </w:rPr>
      </w:pPr>
    </w:p>
    <w:p w14:paraId="10E4A525"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noProof/>
          <w:kern w:val="0"/>
          <w:lang w:val="en-GB" w:eastAsia="en-GB"/>
          <w14:ligatures w14:val="none"/>
        </w:rPr>
        <w:lastRenderedPageBreak/>
        <w:drawing>
          <wp:inline distT="0" distB="0" distL="0" distR="0" wp14:anchorId="1BB6E754" wp14:editId="52D55177">
            <wp:extent cx="5730875" cy="4582795"/>
            <wp:effectExtent l="0" t="0" r="3175" b="8255"/>
            <wp:docPr id="20427960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6" cstate="print"/>
                    <a:srcRect/>
                    <a:stretch/>
                  </pic:blipFill>
                  <pic:spPr>
                    <a:xfrm>
                      <a:off x="0" y="0"/>
                      <a:ext cx="5730875" cy="4582795"/>
                    </a:xfrm>
                    <a:prstGeom prst="rect">
                      <a:avLst/>
                    </a:prstGeom>
                    <a:ln>
                      <a:noFill/>
                    </a:ln>
                  </pic:spPr>
                </pic:pic>
              </a:graphicData>
            </a:graphic>
          </wp:inline>
        </w:drawing>
      </w:r>
    </w:p>
    <w:p w14:paraId="2EA03430"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Figure 4.1:  Bar char representing the percentage of church participation</w:t>
      </w:r>
    </w:p>
    <w:p w14:paraId="52FEF4AC" w14:textId="77777777" w:rsidR="008D3090" w:rsidRPr="008D3090" w:rsidRDefault="008D3090" w:rsidP="008D3090">
      <w:pPr>
        <w:spacing w:after="0" w:line="480" w:lineRule="auto"/>
        <w:jc w:val="both"/>
        <w:rPr>
          <w:rFonts w:ascii="Times New Roman" w:eastAsia="Calibri" w:hAnsi="Times New Roman" w:cs="Times New Roman"/>
          <w:kern w:val="0"/>
          <w:lang w:val="en-GB"/>
          <w14:ligatures w14:val="none"/>
        </w:rPr>
      </w:pPr>
    </w:p>
    <w:p w14:paraId="53A51AC4"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370FFB40"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1514A397"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1F5BE63D"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43DC99E7"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51A8D241"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3B7C3A77"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361FEEFA" w14:textId="77777777" w:rsidR="001A5F7B" w:rsidRDefault="001A5F7B" w:rsidP="008D3090">
      <w:pPr>
        <w:spacing w:after="0" w:line="480" w:lineRule="auto"/>
        <w:rPr>
          <w:rFonts w:ascii="Times New Roman" w:eastAsia="Calibri" w:hAnsi="Times New Roman" w:cs="Times New Roman"/>
          <w:b/>
          <w:kern w:val="0"/>
          <w:lang w:val="en-GB"/>
          <w14:ligatures w14:val="none"/>
        </w:rPr>
      </w:pPr>
    </w:p>
    <w:p w14:paraId="19FD3F28" w14:textId="27DBCBA3" w:rsidR="008D3090" w:rsidRPr="008D3090" w:rsidRDefault="008D3090" w:rsidP="008D3090">
      <w:pPr>
        <w:spacing w:after="0" w:line="48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lastRenderedPageBreak/>
        <w:t xml:space="preserve">Analysis of Data </w:t>
      </w:r>
    </w:p>
    <w:p w14:paraId="0657CB3C" w14:textId="77777777" w:rsidR="008D3090" w:rsidRPr="008D3090" w:rsidRDefault="008D3090" w:rsidP="008D3090">
      <w:pPr>
        <w:spacing w:after="0" w:line="48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Table 4.4 Religious Activities </w:t>
      </w:r>
    </w:p>
    <w:tbl>
      <w:tblPr>
        <w:tblW w:w="9634" w:type="dxa"/>
        <w:tblLook w:val="04A0" w:firstRow="1" w:lastRow="0" w:firstColumn="1" w:lastColumn="0" w:noHBand="0" w:noVBand="1"/>
      </w:tblPr>
      <w:tblGrid>
        <w:gridCol w:w="419"/>
        <w:gridCol w:w="4112"/>
        <w:gridCol w:w="851"/>
        <w:gridCol w:w="850"/>
        <w:gridCol w:w="567"/>
        <w:gridCol w:w="709"/>
        <w:gridCol w:w="567"/>
        <w:gridCol w:w="709"/>
        <w:gridCol w:w="850"/>
      </w:tblGrid>
      <w:tr w:rsidR="008D3090" w:rsidRPr="008D3090" w14:paraId="3DEF0851" w14:textId="77777777" w:rsidTr="00D00B3F">
        <w:trPr>
          <w:trHeight w:val="251"/>
        </w:trPr>
        <w:tc>
          <w:tcPr>
            <w:tcW w:w="4531" w:type="dxa"/>
            <w:gridSpan w:val="2"/>
            <w:vMerge w:val="restart"/>
          </w:tcPr>
          <w:p w14:paraId="711C6EFF"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Items</w:t>
            </w:r>
          </w:p>
        </w:tc>
        <w:tc>
          <w:tcPr>
            <w:tcW w:w="851" w:type="dxa"/>
          </w:tcPr>
          <w:p w14:paraId="6ADB214C"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SA </w:t>
            </w:r>
          </w:p>
        </w:tc>
        <w:tc>
          <w:tcPr>
            <w:tcW w:w="850" w:type="dxa"/>
          </w:tcPr>
          <w:p w14:paraId="739959C4"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A</w:t>
            </w:r>
          </w:p>
        </w:tc>
        <w:tc>
          <w:tcPr>
            <w:tcW w:w="567" w:type="dxa"/>
          </w:tcPr>
          <w:p w14:paraId="5D15A97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U</w:t>
            </w:r>
          </w:p>
        </w:tc>
        <w:tc>
          <w:tcPr>
            <w:tcW w:w="709" w:type="dxa"/>
          </w:tcPr>
          <w:p w14:paraId="23131E6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D</w:t>
            </w:r>
          </w:p>
        </w:tc>
        <w:tc>
          <w:tcPr>
            <w:tcW w:w="567" w:type="dxa"/>
          </w:tcPr>
          <w:p w14:paraId="2F82765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SD</w:t>
            </w:r>
          </w:p>
        </w:tc>
        <w:tc>
          <w:tcPr>
            <w:tcW w:w="709" w:type="dxa"/>
            <w:vMerge w:val="restart"/>
          </w:tcPr>
          <w:p w14:paraId="3B03ADEB"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X</w:t>
            </w:r>
          </w:p>
        </w:tc>
        <w:tc>
          <w:tcPr>
            <w:tcW w:w="850" w:type="dxa"/>
            <w:vMerge w:val="restart"/>
          </w:tcPr>
          <w:p w14:paraId="1733EBF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Mean</w:t>
            </w:r>
          </w:p>
        </w:tc>
      </w:tr>
      <w:tr w:rsidR="008D3090" w:rsidRPr="008D3090" w14:paraId="5E8D737E" w14:textId="77777777" w:rsidTr="00D00B3F">
        <w:trPr>
          <w:trHeight w:val="195"/>
        </w:trPr>
        <w:tc>
          <w:tcPr>
            <w:tcW w:w="4531" w:type="dxa"/>
            <w:gridSpan w:val="2"/>
            <w:vMerge/>
          </w:tcPr>
          <w:p w14:paraId="161ED2C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3788335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850" w:type="dxa"/>
          </w:tcPr>
          <w:p w14:paraId="7F25984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567" w:type="dxa"/>
          </w:tcPr>
          <w:p w14:paraId="604F73D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631C0B2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567" w:type="dxa"/>
          </w:tcPr>
          <w:p w14:paraId="45E476F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vMerge/>
          </w:tcPr>
          <w:p w14:paraId="68B3AFA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0" w:type="dxa"/>
            <w:vMerge/>
          </w:tcPr>
          <w:p w14:paraId="5065702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444AA540" w14:textId="77777777" w:rsidTr="00D00B3F">
        <w:tc>
          <w:tcPr>
            <w:tcW w:w="419" w:type="dxa"/>
            <w:vMerge w:val="restart"/>
          </w:tcPr>
          <w:p w14:paraId="7394A05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p w14:paraId="27D8BF5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val="restart"/>
          </w:tcPr>
          <w:p w14:paraId="413239D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Welfares activities of the church retain its members </w:t>
            </w:r>
          </w:p>
        </w:tc>
        <w:tc>
          <w:tcPr>
            <w:tcW w:w="851" w:type="dxa"/>
          </w:tcPr>
          <w:p w14:paraId="3EE0B10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w:t>
            </w:r>
          </w:p>
        </w:tc>
        <w:tc>
          <w:tcPr>
            <w:tcW w:w="850" w:type="dxa"/>
          </w:tcPr>
          <w:p w14:paraId="4CF4834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39</w:t>
            </w:r>
          </w:p>
        </w:tc>
        <w:tc>
          <w:tcPr>
            <w:tcW w:w="567" w:type="dxa"/>
          </w:tcPr>
          <w:p w14:paraId="5B5C3E6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10</w:t>
            </w:r>
          </w:p>
        </w:tc>
        <w:tc>
          <w:tcPr>
            <w:tcW w:w="709" w:type="dxa"/>
          </w:tcPr>
          <w:p w14:paraId="7CD32E43"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17</w:t>
            </w:r>
          </w:p>
        </w:tc>
        <w:tc>
          <w:tcPr>
            <w:tcW w:w="567" w:type="dxa"/>
          </w:tcPr>
          <w:p w14:paraId="4CA2C4A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709" w:type="dxa"/>
          </w:tcPr>
          <w:p w14:paraId="1B5F7F3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399FD8B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3.49</w:t>
            </w:r>
          </w:p>
        </w:tc>
      </w:tr>
      <w:tr w:rsidR="008D3090" w:rsidRPr="008D3090" w14:paraId="426491E5" w14:textId="77777777" w:rsidTr="00D00B3F">
        <w:tc>
          <w:tcPr>
            <w:tcW w:w="419" w:type="dxa"/>
            <w:vMerge/>
          </w:tcPr>
          <w:p w14:paraId="7EB252E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1A22584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32A1943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75</w:t>
            </w:r>
          </w:p>
        </w:tc>
        <w:tc>
          <w:tcPr>
            <w:tcW w:w="850" w:type="dxa"/>
          </w:tcPr>
          <w:p w14:paraId="7BBF64C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156</w:t>
            </w:r>
          </w:p>
        </w:tc>
        <w:tc>
          <w:tcPr>
            <w:tcW w:w="567" w:type="dxa"/>
          </w:tcPr>
          <w:p w14:paraId="7889467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709" w:type="dxa"/>
          </w:tcPr>
          <w:p w14:paraId="4560EA9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w:t>
            </w:r>
          </w:p>
        </w:tc>
        <w:tc>
          <w:tcPr>
            <w:tcW w:w="567" w:type="dxa"/>
          </w:tcPr>
          <w:p w14:paraId="3213A47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709" w:type="dxa"/>
          </w:tcPr>
          <w:p w14:paraId="3698BF92"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300</w:t>
            </w:r>
          </w:p>
        </w:tc>
        <w:tc>
          <w:tcPr>
            <w:tcW w:w="850" w:type="dxa"/>
            <w:vMerge/>
          </w:tcPr>
          <w:p w14:paraId="1CFA1E2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59830501" w14:textId="77777777" w:rsidTr="00D00B3F">
        <w:tc>
          <w:tcPr>
            <w:tcW w:w="419" w:type="dxa"/>
            <w:vMerge w:val="restart"/>
          </w:tcPr>
          <w:p w14:paraId="273DC71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p w14:paraId="080BD9CF"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val="restart"/>
          </w:tcPr>
          <w:p w14:paraId="49AF97D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Special features of a church affect it members financial commitment </w:t>
            </w:r>
          </w:p>
        </w:tc>
        <w:tc>
          <w:tcPr>
            <w:tcW w:w="851" w:type="dxa"/>
          </w:tcPr>
          <w:p w14:paraId="7061E5E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850" w:type="dxa"/>
          </w:tcPr>
          <w:p w14:paraId="76BEC3D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40</w:t>
            </w:r>
          </w:p>
        </w:tc>
        <w:tc>
          <w:tcPr>
            <w:tcW w:w="567" w:type="dxa"/>
          </w:tcPr>
          <w:p w14:paraId="0F6BC3A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9</w:t>
            </w:r>
          </w:p>
        </w:tc>
        <w:tc>
          <w:tcPr>
            <w:tcW w:w="709" w:type="dxa"/>
          </w:tcPr>
          <w:p w14:paraId="343CDE1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567" w:type="dxa"/>
          </w:tcPr>
          <w:p w14:paraId="1E1FFF3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4C8E3D3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07D034B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4.06</w:t>
            </w:r>
          </w:p>
        </w:tc>
      </w:tr>
      <w:tr w:rsidR="008D3090" w:rsidRPr="008D3090" w14:paraId="116B3749" w14:textId="77777777" w:rsidTr="00D00B3F">
        <w:tc>
          <w:tcPr>
            <w:tcW w:w="419" w:type="dxa"/>
            <w:vMerge/>
          </w:tcPr>
          <w:p w14:paraId="1263DDD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1C4353B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5DEF1A3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150</w:t>
            </w:r>
          </w:p>
        </w:tc>
        <w:tc>
          <w:tcPr>
            <w:tcW w:w="850" w:type="dxa"/>
          </w:tcPr>
          <w:p w14:paraId="38CDE3E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160</w:t>
            </w:r>
          </w:p>
        </w:tc>
        <w:tc>
          <w:tcPr>
            <w:tcW w:w="567" w:type="dxa"/>
          </w:tcPr>
          <w:p w14:paraId="4DAC3383"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27</w:t>
            </w:r>
          </w:p>
        </w:tc>
        <w:tc>
          <w:tcPr>
            <w:tcW w:w="709" w:type="dxa"/>
          </w:tcPr>
          <w:p w14:paraId="6240FD5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10</w:t>
            </w:r>
          </w:p>
        </w:tc>
        <w:tc>
          <w:tcPr>
            <w:tcW w:w="567" w:type="dxa"/>
          </w:tcPr>
          <w:p w14:paraId="7243906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25088AA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349</w:t>
            </w:r>
          </w:p>
        </w:tc>
        <w:tc>
          <w:tcPr>
            <w:tcW w:w="850" w:type="dxa"/>
            <w:vMerge/>
          </w:tcPr>
          <w:p w14:paraId="53BCEA0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4276BC93" w14:textId="77777777" w:rsidTr="00D00B3F">
        <w:tc>
          <w:tcPr>
            <w:tcW w:w="419" w:type="dxa"/>
            <w:vMerge w:val="restart"/>
          </w:tcPr>
          <w:p w14:paraId="5934A11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4112" w:type="dxa"/>
            <w:vMerge w:val="restart"/>
          </w:tcPr>
          <w:p w14:paraId="5314EAB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People choose a church due to their numerous religious activities </w:t>
            </w:r>
          </w:p>
        </w:tc>
        <w:tc>
          <w:tcPr>
            <w:tcW w:w="851" w:type="dxa"/>
          </w:tcPr>
          <w:p w14:paraId="647C3B06"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w:t>
            </w:r>
          </w:p>
        </w:tc>
        <w:tc>
          <w:tcPr>
            <w:tcW w:w="850" w:type="dxa"/>
          </w:tcPr>
          <w:p w14:paraId="0CF15443"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36</w:t>
            </w:r>
          </w:p>
        </w:tc>
        <w:tc>
          <w:tcPr>
            <w:tcW w:w="567" w:type="dxa"/>
          </w:tcPr>
          <w:p w14:paraId="213A4437"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w:t>
            </w:r>
          </w:p>
        </w:tc>
        <w:tc>
          <w:tcPr>
            <w:tcW w:w="709" w:type="dxa"/>
          </w:tcPr>
          <w:p w14:paraId="5357BC7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567" w:type="dxa"/>
          </w:tcPr>
          <w:p w14:paraId="67E5C37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7488D32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401A0D2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4.33</w:t>
            </w:r>
          </w:p>
        </w:tc>
      </w:tr>
      <w:tr w:rsidR="008D3090" w:rsidRPr="008D3090" w14:paraId="79BBFE8F" w14:textId="77777777" w:rsidTr="00D00B3F">
        <w:tc>
          <w:tcPr>
            <w:tcW w:w="419" w:type="dxa"/>
            <w:vMerge/>
          </w:tcPr>
          <w:p w14:paraId="602D2A7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3FC319F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3AC88A9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170</w:t>
            </w:r>
          </w:p>
        </w:tc>
        <w:tc>
          <w:tcPr>
            <w:tcW w:w="850" w:type="dxa"/>
          </w:tcPr>
          <w:p w14:paraId="3A79F64F"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144</w:t>
            </w:r>
          </w:p>
        </w:tc>
        <w:tc>
          <w:tcPr>
            <w:tcW w:w="567" w:type="dxa"/>
          </w:tcPr>
          <w:p w14:paraId="73EB0FA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24</w:t>
            </w:r>
          </w:p>
        </w:tc>
        <w:tc>
          <w:tcPr>
            <w:tcW w:w="709" w:type="dxa"/>
          </w:tcPr>
          <w:p w14:paraId="1BC4B3D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32</w:t>
            </w:r>
          </w:p>
        </w:tc>
        <w:tc>
          <w:tcPr>
            <w:tcW w:w="567" w:type="dxa"/>
          </w:tcPr>
          <w:p w14:paraId="64350DA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6259E73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372</w:t>
            </w:r>
          </w:p>
        </w:tc>
        <w:tc>
          <w:tcPr>
            <w:tcW w:w="850" w:type="dxa"/>
            <w:vMerge/>
          </w:tcPr>
          <w:p w14:paraId="2E07BBC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21D02578" w14:textId="77777777" w:rsidTr="00D00B3F">
        <w:tc>
          <w:tcPr>
            <w:tcW w:w="419" w:type="dxa"/>
            <w:vMerge w:val="restart"/>
          </w:tcPr>
          <w:p w14:paraId="3C21AD6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4112" w:type="dxa"/>
            <w:vMerge w:val="restart"/>
          </w:tcPr>
          <w:p w14:paraId="7306598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Most of the churches usually have programmes that make members invite people to attend </w:t>
            </w:r>
          </w:p>
        </w:tc>
        <w:tc>
          <w:tcPr>
            <w:tcW w:w="851" w:type="dxa"/>
          </w:tcPr>
          <w:p w14:paraId="55A6703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25</w:t>
            </w:r>
          </w:p>
        </w:tc>
        <w:tc>
          <w:tcPr>
            <w:tcW w:w="850" w:type="dxa"/>
          </w:tcPr>
          <w:p w14:paraId="6D2B700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567" w:type="dxa"/>
          </w:tcPr>
          <w:p w14:paraId="3674AC8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w:t>
            </w:r>
          </w:p>
        </w:tc>
        <w:tc>
          <w:tcPr>
            <w:tcW w:w="709" w:type="dxa"/>
          </w:tcPr>
          <w:p w14:paraId="350BB30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10</w:t>
            </w:r>
          </w:p>
        </w:tc>
        <w:tc>
          <w:tcPr>
            <w:tcW w:w="567" w:type="dxa"/>
          </w:tcPr>
          <w:p w14:paraId="1CE0C4C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709" w:type="dxa"/>
          </w:tcPr>
          <w:p w14:paraId="75EAC67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4ACC7C7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3.67</w:t>
            </w:r>
          </w:p>
        </w:tc>
      </w:tr>
      <w:tr w:rsidR="008D3090" w:rsidRPr="008D3090" w14:paraId="4CA3F51F" w14:textId="77777777" w:rsidTr="00D00B3F">
        <w:tc>
          <w:tcPr>
            <w:tcW w:w="419" w:type="dxa"/>
            <w:vMerge/>
          </w:tcPr>
          <w:p w14:paraId="493A3B91"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5A0C14BF"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1C84D2E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125</w:t>
            </w:r>
          </w:p>
        </w:tc>
        <w:tc>
          <w:tcPr>
            <w:tcW w:w="850" w:type="dxa"/>
          </w:tcPr>
          <w:p w14:paraId="2E9AE65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120</w:t>
            </w:r>
          </w:p>
        </w:tc>
        <w:tc>
          <w:tcPr>
            <w:tcW w:w="567" w:type="dxa"/>
          </w:tcPr>
          <w:p w14:paraId="07847BD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45</w:t>
            </w:r>
          </w:p>
        </w:tc>
        <w:tc>
          <w:tcPr>
            <w:tcW w:w="709" w:type="dxa"/>
          </w:tcPr>
          <w:p w14:paraId="008EC856"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20</w:t>
            </w:r>
          </w:p>
        </w:tc>
        <w:tc>
          <w:tcPr>
            <w:tcW w:w="567" w:type="dxa"/>
          </w:tcPr>
          <w:p w14:paraId="00A842B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709" w:type="dxa"/>
          </w:tcPr>
          <w:p w14:paraId="521343A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316</w:t>
            </w:r>
          </w:p>
        </w:tc>
        <w:tc>
          <w:tcPr>
            <w:tcW w:w="850" w:type="dxa"/>
            <w:vMerge/>
          </w:tcPr>
          <w:p w14:paraId="48179B0C"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2B162AF8" w14:textId="77777777" w:rsidTr="00D00B3F">
        <w:tc>
          <w:tcPr>
            <w:tcW w:w="8075" w:type="dxa"/>
            <w:gridSpan w:val="7"/>
          </w:tcPr>
          <w:p w14:paraId="48FF975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Average mean </w:t>
            </w:r>
          </w:p>
        </w:tc>
        <w:tc>
          <w:tcPr>
            <w:tcW w:w="709" w:type="dxa"/>
          </w:tcPr>
          <w:p w14:paraId="105D4F0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0" w:type="dxa"/>
          </w:tcPr>
          <w:p w14:paraId="66AD8D64"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3.89</w:t>
            </w:r>
          </w:p>
        </w:tc>
      </w:tr>
    </w:tbl>
    <w:p w14:paraId="0C7B2651"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i/>
          <w:kern w:val="0"/>
          <w:lang w:val="en-GB"/>
          <w14:ligatures w14:val="none"/>
        </w:rPr>
      </w:pPr>
      <w:r w:rsidRPr="008D3090">
        <w:rPr>
          <w:rFonts w:ascii="Times New Roman" w:eastAsia="Calibri" w:hAnsi="Times New Roman" w:cs="Times New Roman"/>
          <w:i/>
          <w:kern w:val="0"/>
          <w:lang w:val="en-GB"/>
          <w14:ligatures w14:val="none"/>
        </w:rPr>
        <w:t>Source: Research survey, 2017</w:t>
      </w:r>
    </w:p>
    <w:p w14:paraId="1A5B69FA"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Presentation and interpretation of the results.</w:t>
      </w:r>
    </w:p>
    <w:p w14:paraId="3FFD56A4"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chapter is related with Data presentation and Analysis of the results obtained during the field work.  The correct data and analysis presentation allow the researcher to make a reasonable conclusion.</w:t>
      </w:r>
    </w:p>
    <w:p w14:paraId="74F19B9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Data Presentation </w:t>
      </w:r>
    </w:p>
    <w:p w14:paraId="73EB74D4"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This justifies the number of companies that were invested and the percentage of questionnaire that was retrieved in the field.</w:t>
      </w:r>
    </w:p>
    <w:p w14:paraId="2AEDDC08" w14:textId="77777777" w:rsidR="008D3090" w:rsidRPr="008D3090" w:rsidRDefault="008D3090" w:rsidP="001A5F7B">
      <w:pPr>
        <w:spacing w:after="0" w:line="240" w:lineRule="auto"/>
        <w:rPr>
          <w:rFonts w:ascii="Times New Roman" w:eastAsia="Calibri" w:hAnsi="Times New Roman" w:cs="Times New Roman"/>
          <w:kern w:val="0"/>
          <w:lang w:val="en-GB"/>
          <w14:ligatures w14:val="none"/>
        </w:rPr>
      </w:pPr>
    </w:p>
    <w:p w14:paraId="021EF1DB" w14:textId="77777777" w:rsidR="008D3090" w:rsidRPr="008D3090" w:rsidRDefault="008D3090" w:rsidP="001A5F7B">
      <w:pPr>
        <w:spacing w:after="0" w:line="24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Table 4.5:  Digital Awareness </w:t>
      </w:r>
    </w:p>
    <w:tbl>
      <w:tblPr>
        <w:tblW w:w="9634" w:type="dxa"/>
        <w:tblLook w:val="04A0" w:firstRow="1" w:lastRow="0" w:firstColumn="1" w:lastColumn="0" w:noHBand="0" w:noVBand="1"/>
      </w:tblPr>
      <w:tblGrid>
        <w:gridCol w:w="419"/>
        <w:gridCol w:w="4112"/>
        <w:gridCol w:w="851"/>
        <w:gridCol w:w="850"/>
        <w:gridCol w:w="567"/>
        <w:gridCol w:w="709"/>
        <w:gridCol w:w="567"/>
        <w:gridCol w:w="709"/>
        <w:gridCol w:w="850"/>
      </w:tblGrid>
      <w:tr w:rsidR="008D3090" w:rsidRPr="008D3090" w14:paraId="1849259F" w14:textId="77777777" w:rsidTr="00D00B3F">
        <w:trPr>
          <w:trHeight w:val="251"/>
        </w:trPr>
        <w:tc>
          <w:tcPr>
            <w:tcW w:w="4531" w:type="dxa"/>
            <w:gridSpan w:val="2"/>
            <w:vMerge w:val="restart"/>
          </w:tcPr>
          <w:p w14:paraId="783114F4"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Items</w:t>
            </w:r>
          </w:p>
        </w:tc>
        <w:tc>
          <w:tcPr>
            <w:tcW w:w="851" w:type="dxa"/>
          </w:tcPr>
          <w:p w14:paraId="0DFDCFE7"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SA </w:t>
            </w:r>
          </w:p>
        </w:tc>
        <w:tc>
          <w:tcPr>
            <w:tcW w:w="850" w:type="dxa"/>
          </w:tcPr>
          <w:p w14:paraId="5D1D93AD"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A</w:t>
            </w:r>
          </w:p>
        </w:tc>
        <w:tc>
          <w:tcPr>
            <w:tcW w:w="567" w:type="dxa"/>
          </w:tcPr>
          <w:p w14:paraId="52B74DFB"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U</w:t>
            </w:r>
          </w:p>
        </w:tc>
        <w:tc>
          <w:tcPr>
            <w:tcW w:w="709" w:type="dxa"/>
          </w:tcPr>
          <w:p w14:paraId="5D3772DE"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D</w:t>
            </w:r>
          </w:p>
        </w:tc>
        <w:tc>
          <w:tcPr>
            <w:tcW w:w="567" w:type="dxa"/>
          </w:tcPr>
          <w:p w14:paraId="333EA2F0"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SD</w:t>
            </w:r>
          </w:p>
        </w:tc>
        <w:tc>
          <w:tcPr>
            <w:tcW w:w="709" w:type="dxa"/>
            <w:vMerge w:val="restart"/>
          </w:tcPr>
          <w:p w14:paraId="04FDA76F"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X</w:t>
            </w:r>
          </w:p>
        </w:tc>
        <w:tc>
          <w:tcPr>
            <w:tcW w:w="850" w:type="dxa"/>
            <w:vMerge w:val="restart"/>
          </w:tcPr>
          <w:p w14:paraId="120D036D"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Mean</w:t>
            </w:r>
          </w:p>
        </w:tc>
      </w:tr>
      <w:tr w:rsidR="008D3090" w:rsidRPr="008D3090" w14:paraId="7C786121" w14:textId="77777777" w:rsidTr="00D00B3F">
        <w:trPr>
          <w:trHeight w:val="195"/>
        </w:trPr>
        <w:tc>
          <w:tcPr>
            <w:tcW w:w="4531" w:type="dxa"/>
            <w:gridSpan w:val="2"/>
            <w:vMerge/>
          </w:tcPr>
          <w:p w14:paraId="49350101"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851" w:type="dxa"/>
          </w:tcPr>
          <w:p w14:paraId="11745EB4"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850" w:type="dxa"/>
          </w:tcPr>
          <w:p w14:paraId="3861E2FA"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567" w:type="dxa"/>
          </w:tcPr>
          <w:p w14:paraId="1E4D6485"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1A15F1AC"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567" w:type="dxa"/>
          </w:tcPr>
          <w:p w14:paraId="56E52588"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vMerge/>
          </w:tcPr>
          <w:p w14:paraId="2FDDA846"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850" w:type="dxa"/>
            <w:vMerge/>
          </w:tcPr>
          <w:p w14:paraId="658D6569"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r>
      <w:tr w:rsidR="008D3090" w:rsidRPr="008D3090" w14:paraId="66D4F20C" w14:textId="77777777" w:rsidTr="00D00B3F">
        <w:tc>
          <w:tcPr>
            <w:tcW w:w="419" w:type="dxa"/>
            <w:vMerge w:val="restart"/>
          </w:tcPr>
          <w:p w14:paraId="31333616"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p w14:paraId="14AEB0A7"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4112" w:type="dxa"/>
            <w:vMerge w:val="restart"/>
          </w:tcPr>
          <w:p w14:paraId="0CBBB529"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level of awareness creation can retain members in the church </w:t>
            </w:r>
          </w:p>
        </w:tc>
        <w:tc>
          <w:tcPr>
            <w:tcW w:w="851" w:type="dxa"/>
          </w:tcPr>
          <w:p w14:paraId="1821AC1B"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w:t>
            </w:r>
          </w:p>
        </w:tc>
        <w:tc>
          <w:tcPr>
            <w:tcW w:w="850" w:type="dxa"/>
          </w:tcPr>
          <w:p w14:paraId="5ED442DA"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19</w:t>
            </w:r>
          </w:p>
        </w:tc>
        <w:tc>
          <w:tcPr>
            <w:tcW w:w="567" w:type="dxa"/>
          </w:tcPr>
          <w:p w14:paraId="10158422"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w:t>
            </w:r>
          </w:p>
        </w:tc>
        <w:tc>
          <w:tcPr>
            <w:tcW w:w="709" w:type="dxa"/>
          </w:tcPr>
          <w:p w14:paraId="247AC526"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20</w:t>
            </w:r>
          </w:p>
        </w:tc>
        <w:tc>
          <w:tcPr>
            <w:tcW w:w="567" w:type="dxa"/>
          </w:tcPr>
          <w:p w14:paraId="14EA1082"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13</w:t>
            </w:r>
          </w:p>
        </w:tc>
        <w:tc>
          <w:tcPr>
            <w:tcW w:w="709" w:type="dxa"/>
          </w:tcPr>
          <w:p w14:paraId="72880C90"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6856D923"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3.48</w:t>
            </w:r>
          </w:p>
        </w:tc>
      </w:tr>
      <w:tr w:rsidR="008D3090" w:rsidRPr="008D3090" w14:paraId="34CE43C3" w14:textId="77777777" w:rsidTr="00D00B3F">
        <w:tc>
          <w:tcPr>
            <w:tcW w:w="419" w:type="dxa"/>
            <w:vMerge/>
          </w:tcPr>
          <w:p w14:paraId="1256AA80"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4112" w:type="dxa"/>
            <w:vMerge/>
          </w:tcPr>
          <w:p w14:paraId="21D7B8CF"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851" w:type="dxa"/>
          </w:tcPr>
          <w:p w14:paraId="6BD99B8A"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170</w:t>
            </w:r>
          </w:p>
        </w:tc>
        <w:tc>
          <w:tcPr>
            <w:tcW w:w="850" w:type="dxa"/>
          </w:tcPr>
          <w:p w14:paraId="1630DBC5"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76</w:t>
            </w:r>
          </w:p>
        </w:tc>
        <w:tc>
          <w:tcPr>
            <w:tcW w:w="567" w:type="dxa"/>
          </w:tcPr>
          <w:p w14:paraId="6B6BD7ED"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w:t>
            </w:r>
          </w:p>
        </w:tc>
        <w:tc>
          <w:tcPr>
            <w:tcW w:w="709" w:type="dxa"/>
          </w:tcPr>
          <w:p w14:paraId="23478441"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40</w:t>
            </w:r>
          </w:p>
        </w:tc>
        <w:tc>
          <w:tcPr>
            <w:tcW w:w="567" w:type="dxa"/>
          </w:tcPr>
          <w:p w14:paraId="09A96D7C"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13</w:t>
            </w:r>
          </w:p>
        </w:tc>
        <w:tc>
          <w:tcPr>
            <w:tcW w:w="709" w:type="dxa"/>
          </w:tcPr>
          <w:p w14:paraId="43D9E68B"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299</w:t>
            </w:r>
          </w:p>
        </w:tc>
        <w:tc>
          <w:tcPr>
            <w:tcW w:w="850" w:type="dxa"/>
            <w:vMerge/>
          </w:tcPr>
          <w:p w14:paraId="196E3AB0"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r>
      <w:tr w:rsidR="008D3090" w:rsidRPr="008D3090" w14:paraId="4481CEE4" w14:textId="77777777" w:rsidTr="00D00B3F">
        <w:tc>
          <w:tcPr>
            <w:tcW w:w="419" w:type="dxa"/>
            <w:vMerge w:val="restart"/>
          </w:tcPr>
          <w:p w14:paraId="680A50CD"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p w14:paraId="6ECAB4D1"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4112" w:type="dxa"/>
            <w:vMerge w:val="restart"/>
          </w:tcPr>
          <w:p w14:paraId="7187A8CA"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Lack of aware of existence of a church affects its will-be members </w:t>
            </w:r>
          </w:p>
        </w:tc>
        <w:tc>
          <w:tcPr>
            <w:tcW w:w="851" w:type="dxa"/>
          </w:tcPr>
          <w:p w14:paraId="7C6338C0"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850" w:type="dxa"/>
          </w:tcPr>
          <w:p w14:paraId="05852932"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52</w:t>
            </w:r>
          </w:p>
        </w:tc>
        <w:tc>
          <w:tcPr>
            <w:tcW w:w="567" w:type="dxa"/>
          </w:tcPr>
          <w:p w14:paraId="608A17FD"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709" w:type="dxa"/>
          </w:tcPr>
          <w:p w14:paraId="2CC720EC"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26</w:t>
            </w:r>
          </w:p>
        </w:tc>
        <w:tc>
          <w:tcPr>
            <w:tcW w:w="567" w:type="dxa"/>
          </w:tcPr>
          <w:p w14:paraId="6E46D9AB"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w:t>
            </w:r>
          </w:p>
        </w:tc>
        <w:tc>
          <w:tcPr>
            <w:tcW w:w="709" w:type="dxa"/>
          </w:tcPr>
          <w:p w14:paraId="2F197074"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7DFBEB60"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3.40</w:t>
            </w:r>
          </w:p>
        </w:tc>
      </w:tr>
      <w:tr w:rsidR="008D3090" w:rsidRPr="008D3090" w14:paraId="26918E73" w14:textId="77777777" w:rsidTr="00D00B3F">
        <w:tc>
          <w:tcPr>
            <w:tcW w:w="419" w:type="dxa"/>
            <w:vMerge/>
          </w:tcPr>
          <w:p w14:paraId="42EAD4F9"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4112" w:type="dxa"/>
            <w:vMerge/>
          </w:tcPr>
          <w:p w14:paraId="45F92D9F"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851" w:type="dxa"/>
          </w:tcPr>
          <w:p w14:paraId="03580C73"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20</w:t>
            </w:r>
          </w:p>
        </w:tc>
        <w:tc>
          <w:tcPr>
            <w:tcW w:w="850" w:type="dxa"/>
          </w:tcPr>
          <w:p w14:paraId="63E24987"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208</w:t>
            </w:r>
          </w:p>
        </w:tc>
        <w:tc>
          <w:tcPr>
            <w:tcW w:w="567" w:type="dxa"/>
          </w:tcPr>
          <w:p w14:paraId="7B2BB142"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w:t>
            </w:r>
          </w:p>
        </w:tc>
        <w:tc>
          <w:tcPr>
            <w:tcW w:w="709" w:type="dxa"/>
          </w:tcPr>
          <w:p w14:paraId="563C1C6C"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52</w:t>
            </w:r>
          </w:p>
        </w:tc>
        <w:tc>
          <w:tcPr>
            <w:tcW w:w="567" w:type="dxa"/>
          </w:tcPr>
          <w:p w14:paraId="5B1B475B"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w:t>
            </w:r>
          </w:p>
        </w:tc>
        <w:tc>
          <w:tcPr>
            <w:tcW w:w="709" w:type="dxa"/>
          </w:tcPr>
          <w:p w14:paraId="408D4C05"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292</w:t>
            </w:r>
          </w:p>
        </w:tc>
        <w:tc>
          <w:tcPr>
            <w:tcW w:w="850" w:type="dxa"/>
            <w:vMerge/>
          </w:tcPr>
          <w:p w14:paraId="07AA2D1E"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r>
      <w:tr w:rsidR="008D3090" w:rsidRPr="008D3090" w14:paraId="7DDAD689" w14:textId="77777777" w:rsidTr="00D00B3F">
        <w:tc>
          <w:tcPr>
            <w:tcW w:w="419" w:type="dxa"/>
            <w:vMerge w:val="restart"/>
          </w:tcPr>
          <w:p w14:paraId="39128E3F"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4112" w:type="dxa"/>
            <w:vMerge w:val="restart"/>
          </w:tcPr>
          <w:p w14:paraId="17E7D0C5"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Awareness of a church enriching programme enhance members financial commitment </w:t>
            </w:r>
          </w:p>
        </w:tc>
        <w:tc>
          <w:tcPr>
            <w:tcW w:w="851" w:type="dxa"/>
          </w:tcPr>
          <w:p w14:paraId="3340CCCA"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14</w:t>
            </w:r>
          </w:p>
        </w:tc>
        <w:tc>
          <w:tcPr>
            <w:tcW w:w="850" w:type="dxa"/>
          </w:tcPr>
          <w:p w14:paraId="57FD3633"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28</w:t>
            </w:r>
          </w:p>
        </w:tc>
        <w:tc>
          <w:tcPr>
            <w:tcW w:w="567" w:type="dxa"/>
          </w:tcPr>
          <w:p w14:paraId="2815340C"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10</w:t>
            </w:r>
          </w:p>
        </w:tc>
        <w:tc>
          <w:tcPr>
            <w:tcW w:w="709" w:type="dxa"/>
          </w:tcPr>
          <w:p w14:paraId="507A6AF4"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28</w:t>
            </w:r>
          </w:p>
        </w:tc>
        <w:tc>
          <w:tcPr>
            <w:tcW w:w="567" w:type="dxa"/>
          </w:tcPr>
          <w:p w14:paraId="0365EE22"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709" w:type="dxa"/>
          </w:tcPr>
          <w:p w14:paraId="786D3982"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1144220C"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3.18</w:t>
            </w:r>
          </w:p>
        </w:tc>
      </w:tr>
      <w:tr w:rsidR="008D3090" w:rsidRPr="008D3090" w14:paraId="734CC53E" w14:textId="77777777" w:rsidTr="00D00B3F">
        <w:tc>
          <w:tcPr>
            <w:tcW w:w="419" w:type="dxa"/>
            <w:vMerge/>
          </w:tcPr>
          <w:p w14:paraId="4F653E1B"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4112" w:type="dxa"/>
            <w:vMerge/>
          </w:tcPr>
          <w:p w14:paraId="7A0C60DB"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851" w:type="dxa"/>
          </w:tcPr>
          <w:p w14:paraId="47ECA399"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70</w:t>
            </w:r>
          </w:p>
        </w:tc>
        <w:tc>
          <w:tcPr>
            <w:tcW w:w="850" w:type="dxa"/>
          </w:tcPr>
          <w:p w14:paraId="5C4D101A"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112</w:t>
            </w:r>
          </w:p>
        </w:tc>
        <w:tc>
          <w:tcPr>
            <w:tcW w:w="567" w:type="dxa"/>
          </w:tcPr>
          <w:p w14:paraId="136FA863"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709" w:type="dxa"/>
          </w:tcPr>
          <w:p w14:paraId="3D9BA9DE"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56</w:t>
            </w:r>
          </w:p>
        </w:tc>
        <w:tc>
          <w:tcPr>
            <w:tcW w:w="567" w:type="dxa"/>
          </w:tcPr>
          <w:p w14:paraId="17D08391"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709" w:type="dxa"/>
          </w:tcPr>
          <w:p w14:paraId="355403F4"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274</w:t>
            </w:r>
          </w:p>
        </w:tc>
        <w:tc>
          <w:tcPr>
            <w:tcW w:w="850" w:type="dxa"/>
            <w:vMerge/>
          </w:tcPr>
          <w:p w14:paraId="73287CE8"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r>
      <w:tr w:rsidR="008D3090" w:rsidRPr="008D3090" w14:paraId="42CD0D0C" w14:textId="77777777" w:rsidTr="00D00B3F">
        <w:tc>
          <w:tcPr>
            <w:tcW w:w="419" w:type="dxa"/>
            <w:vMerge w:val="restart"/>
          </w:tcPr>
          <w:p w14:paraId="6337CA31"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4112" w:type="dxa"/>
            <w:vMerge w:val="restart"/>
          </w:tcPr>
          <w:p w14:paraId="6E549E94"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Awareness of church activities make you refer people to the church</w:t>
            </w:r>
          </w:p>
        </w:tc>
        <w:tc>
          <w:tcPr>
            <w:tcW w:w="851" w:type="dxa"/>
          </w:tcPr>
          <w:p w14:paraId="3F54795E"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w:t>
            </w:r>
          </w:p>
        </w:tc>
        <w:tc>
          <w:tcPr>
            <w:tcW w:w="850" w:type="dxa"/>
          </w:tcPr>
          <w:p w14:paraId="26C0F0AE"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18</w:t>
            </w:r>
          </w:p>
        </w:tc>
        <w:tc>
          <w:tcPr>
            <w:tcW w:w="567" w:type="dxa"/>
          </w:tcPr>
          <w:p w14:paraId="52DDFB68"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20</w:t>
            </w:r>
          </w:p>
        </w:tc>
        <w:tc>
          <w:tcPr>
            <w:tcW w:w="709" w:type="dxa"/>
          </w:tcPr>
          <w:p w14:paraId="2902A777"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33</w:t>
            </w:r>
          </w:p>
        </w:tc>
        <w:tc>
          <w:tcPr>
            <w:tcW w:w="567" w:type="dxa"/>
          </w:tcPr>
          <w:p w14:paraId="65DF3C2C"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401449D0"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656084A1"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3.42</w:t>
            </w:r>
          </w:p>
        </w:tc>
      </w:tr>
      <w:tr w:rsidR="008D3090" w:rsidRPr="008D3090" w14:paraId="2253A403" w14:textId="77777777" w:rsidTr="00D00B3F">
        <w:tc>
          <w:tcPr>
            <w:tcW w:w="419" w:type="dxa"/>
            <w:vMerge/>
          </w:tcPr>
          <w:p w14:paraId="4F7A692A"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4112" w:type="dxa"/>
            <w:vMerge/>
          </w:tcPr>
          <w:p w14:paraId="26214800"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851" w:type="dxa"/>
          </w:tcPr>
          <w:p w14:paraId="65D3F65F"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60</w:t>
            </w:r>
          </w:p>
        </w:tc>
        <w:tc>
          <w:tcPr>
            <w:tcW w:w="850" w:type="dxa"/>
          </w:tcPr>
          <w:p w14:paraId="0F9F9A91"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72</w:t>
            </w:r>
          </w:p>
        </w:tc>
        <w:tc>
          <w:tcPr>
            <w:tcW w:w="567" w:type="dxa"/>
          </w:tcPr>
          <w:p w14:paraId="78F97068"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60</w:t>
            </w:r>
          </w:p>
        </w:tc>
        <w:tc>
          <w:tcPr>
            <w:tcW w:w="709" w:type="dxa"/>
          </w:tcPr>
          <w:p w14:paraId="145A4DC7"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99</w:t>
            </w:r>
          </w:p>
        </w:tc>
        <w:tc>
          <w:tcPr>
            <w:tcW w:w="567" w:type="dxa"/>
          </w:tcPr>
          <w:p w14:paraId="676698D7"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6602703B"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294</w:t>
            </w:r>
          </w:p>
        </w:tc>
        <w:tc>
          <w:tcPr>
            <w:tcW w:w="850" w:type="dxa"/>
            <w:vMerge/>
          </w:tcPr>
          <w:p w14:paraId="06987881"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r>
      <w:tr w:rsidR="008D3090" w:rsidRPr="008D3090" w14:paraId="6F4C2F9F" w14:textId="77777777" w:rsidTr="00D00B3F">
        <w:tc>
          <w:tcPr>
            <w:tcW w:w="8075" w:type="dxa"/>
            <w:gridSpan w:val="7"/>
          </w:tcPr>
          <w:p w14:paraId="7DC7D4F0" w14:textId="77777777" w:rsidR="008D3090" w:rsidRPr="008D3090" w:rsidRDefault="008D3090" w:rsidP="001A5F7B">
            <w:pPr>
              <w:tabs>
                <w:tab w:val="center" w:pos="4680"/>
                <w:tab w:val="right" w:pos="9360"/>
              </w:tabs>
              <w:spacing w:after="0" w:line="24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Average mean </w:t>
            </w:r>
          </w:p>
        </w:tc>
        <w:tc>
          <w:tcPr>
            <w:tcW w:w="709" w:type="dxa"/>
          </w:tcPr>
          <w:p w14:paraId="7640F0D2"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p>
        </w:tc>
        <w:tc>
          <w:tcPr>
            <w:tcW w:w="850" w:type="dxa"/>
          </w:tcPr>
          <w:p w14:paraId="3463AF63" w14:textId="77777777" w:rsidR="008D3090" w:rsidRPr="008D3090" w:rsidRDefault="008D3090" w:rsidP="001A5F7B">
            <w:pPr>
              <w:tabs>
                <w:tab w:val="center" w:pos="4680"/>
                <w:tab w:val="right" w:pos="9360"/>
              </w:tabs>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3.37</w:t>
            </w:r>
          </w:p>
        </w:tc>
      </w:tr>
    </w:tbl>
    <w:p w14:paraId="58CBCB9D"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i/>
          <w:kern w:val="0"/>
          <w:lang w:val="en-GB"/>
          <w14:ligatures w14:val="none"/>
        </w:rPr>
      </w:pPr>
      <w:r w:rsidRPr="008D3090">
        <w:rPr>
          <w:rFonts w:ascii="Times New Roman" w:eastAsia="Calibri" w:hAnsi="Times New Roman" w:cs="Times New Roman"/>
          <w:i/>
          <w:kern w:val="0"/>
          <w:lang w:val="en-GB"/>
          <w14:ligatures w14:val="none"/>
        </w:rPr>
        <w:t>Source: Research survey, 2017</w:t>
      </w:r>
    </w:p>
    <w:p w14:paraId="1D4F32C2"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Table 4.5 question one indicates that there are 34 respondents who strongly agree, 19 respondents who agree, non for undesirable, 20 disagree, 13 strongly disagree.  Question two reveals that 4 of the respondents strongly agree, 52 agree, 4 </w:t>
      </w:r>
      <w:proofErr w:type="gramStart"/>
      <w:r w:rsidRPr="008D3090">
        <w:rPr>
          <w:rFonts w:ascii="Times New Roman" w:eastAsia="Calibri" w:hAnsi="Times New Roman" w:cs="Times New Roman"/>
          <w:kern w:val="0"/>
          <w:lang w:val="en-GB"/>
          <w14:ligatures w14:val="none"/>
        </w:rPr>
        <w:t>undesirable</w:t>
      </w:r>
      <w:proofErr w:type="gramEnd"/>
      <w:r w:rsidRPr="008D3090">
        <w:rPr>
          <w:rFonts w:ascii="Times New Roman" w:eastAsia="Calibri" w:hAnsi="Times New Roman" w:cs="Times New Roman"/>
          <w:kern w:val="0"/>
          <w:lang w:val="en-GB"/>
          <w14:ligatures w14:val="none"/>
        </w:rPr>
        <w:t xml:space="preserve">, 26 disagree and </w:t>
      </w:r>
      <w:proofErr w:type="spellStart"/>
      <w:r w:rsidRPr="008D3090">
        <w:rPr>
          <w:rFonts w:ascii="Times New Roman" w:eastAsia="Calibri" w:hAnsi="Times New Roman" w:cs="Times New Roman"/>
          <w:kern w:val="0"/>
          <w:lang w:val="en-GB"/>
          <w14:ligatures w14:val="none"/>
        </w:rPr>
        <w:t>non strongly</w:t>
      </w:r>
      <w:proofErr w:type="spellEnd"/>
      <w:r w:rsidRPr="008D3090">
        <w:rPr>
          <w:rFonts w:ascii="Times New Roman" w:eastAsia="Calibri" w:hAnsi="Times New Roman" w:cs="Times New Roman"/>
          <w:kern w:val="0"/>
          <w:lang w:val="en-GB"/>
          <w14:ligatures w14:val="none"/>
        </w:rPr>
        <w:t xml:space="preserve"> disagree. Question three reveals that there are 14 respondents who strongly agree, 28 agree, 1 0 undesirable, 28 disagree and 6 strongly disagree. Finally question four indicates that 12 people strongly agree, 18 agree, 20 </w:t>
      </w:r>
      <w:proofErr w:type="gramStart"/>
      <w:r w:rsidRPr="008D3090">
        <w:rPr>
          <w:rFonts w:ascii="Times New Roman" w:eastAsia="Calibri" w:hAnsi="Times New Roman" w:cs="Times New Roman"/>
          <w:kern w:val="0"/>
          <w:lang w:val="en-GB"/>
          <w14:ligatures w14:val="none"/>
        </w:rPr>
        <w:t>undesirable</w:t>
      </w:r>
      <w:proofErr w:type="gramEnd"/>
      <w:r w:rsidRPr="008D3090">
        <w:rPr>
          <w:rFonts w:ascii="Times New Roman" w:eastAsia="Calibri" w:hAnsi="Times New Roman" w:cs="Times New Roman"/>
          <w:kern w:val="0"/>
          <w:lang w:val="en-GB"/>
          <w14:ligatures w14:val="none"/>
        </w:rPr>
        <w:t>, 33 disagree and 3 strongly disagree. These mean values indicate that awareness generates loyalties of church in Rivers State.</w:t>
      </w:r>
    </w:p>
    <w:p w14:paraId="025B0576"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b/>
          <w:kern w:val="0"/>
          <w:lang w:val="en-GB"/>
          <w14:ligatures w14:val="none"/>
        </w:rPr>
      </w:pPr>
    </w:p>
    <w:p w14:paraId="78ED3031" w14:textId="77777777" w:rsidR="008D3090" w:rsidRPr="008D3090" w:rsidRDefault="008D3090" w:rsidP="008D3090">
      <w:pPr>
        <w:spacing w:after="0" w:line="48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Table 4.6: Church Brand Orientation</w:t>
      </w:r>
    </w:p>
    <w:tbl>
      <w:tblPr>
        <w:tblW w:w="9634" w:type="dxa"/>
        <w:tblLook w:val="04A0" w:firstRow="1" w:lastRow="0" w:firstColumn="1" w:lastColumn="0" w:noHBand="0" w:noVBand="1"/>
      </w:tblPr>
      <w:tblGrid>
        <w:gridCol w:w="419"/>
        <w:gridCol w:w="4112"/>
        <w:gridCol w:w="851"/>
        <w:gridCol w:w="850"/>
        <w:gridCol w:w="567"/>
        <w:gridCol w:w="709"/>
        <w:gridCol w:w="567"/>
        <w:gridCol w:w="709"/>
        <w:gridCol w:w="850"/>
      </w:tblGrid>
      <w:tr w:rsidR="008D3090" w:rsidRPr="008D3090" w14:paraId="52A1FE83" w14:textId="77777777" w:rsidTr="00D00B3F">
        <w:trPr>
          <w:trHeight w:val="251"/>
        </w:trPr>
        <w:tc>
          <w:tcPr>
            <w:tcW w:w="4531" w:type="dxa"/>
            <w:gridSpan w:val="2"/>
            <w:vMerge w:val="restart"/>
          </w:tcPr>
          <w:p w14:paraId="3E5ECE13"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Items</w:t>
            </w:r>
          </w:p>
        </w:tc>
        <w:tc>
          <w:tcPr>
            <w:tcW w:w="851" w:type="dxa"/>
          </w:tcPr>
          <w:p w14:paraId="56148CA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SA </w:t>
            </w:r>
          </w:p>
        </w:tc>
        <w:tc>
          <w:tcPr>
            <w:tcW w:w="850" w:type="dxa"/>
          </w:tcPr>
          <w:p w14:paraId="6D642BF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A</w:t>
            </w:r>
          </w:p>
        </w:tc>
        <w:tc>
          <w:tcPr>
            <w:tcW w:w="567" w:type="dxa"/>
          </w:tcPr>
          <w:p w14:paraId="36F7B25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U</w:t>
            </w:r>
          </w:p>
        </w:tc>
        <w:tc>
          <w:tcPr>
            <w:tcW w:w="709" w:type="dxa"/>
          </w:tcPr>
          <w:p w14:paraId="5782A1E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D</w:t>
            </w:r>
          </w:p>
        </w:tc>
        <w:tc>
          <w:tcPr>
            <w:tcW w:w="567" w:type="dxa"/>
          </w:tcPr>
          <w:p w14:paraId="498B02E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SD</w:t>
            </w:r>
          </w:p>
        </w:tc>
        <w:tc>
          <w:tcPr>
            <w:tcW w:w="709" w:type="dxa"/>
            <w:vMerge w:val="restart"/>
          </w:tcPr>
          <w:p w14:paraId="74FA15E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X</w:t>
            </w:r>
          </w:p>
        </w:tc>
        <w:tc>
          <w:tcPr>
            <w:tcW w:w="850" w:type="dxa"/>
            <w:vMerge w:val="restart"/>
          </w:tcPr>
          <w:p w14:paraId="39281B0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Mean</w:t>
            </w:r>
          </w:p>
        </w:tc>
      </w:tr>
      <w:tr w:rsidR="008D3090" w:rsidRPr="008D3090" w14:paraId="7164CD19" w14:textId="77777777" w:rsidTr="00D00B3F">
        <w:trPr>
          <w:trHeight w:val="195"/>
        </w:trPr>
        <w:tc>
          <w:tcPr>
            <w:tcW w:w="4531" w:type="dxa"/>
            <w:gridSpan w:val="2"/>
            <w:vMerge/>
          </w:tcPr>
          <w:p w14:paraId="2BADC40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4447061B"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850" w:type="dxa"/>
          </w:tcPr>
          <w:p w14:paraId="73C21C6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567" w:type="dxa"/>
          </w:tcPr>
          <w:p w14:paraId="78C8E9D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4EBFED7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567" w:type="dxa"/>
          </w:tcPr>
          <w:p w14:paraId="3406D583"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vMerge/>
          </w:tcPr>
          <w:p w14:paraId="0539DB2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0" w:type="dxa"/>
            <w:vMerge/>
          </w:tcPr>
          <w:p w14:paraId="17995BD6"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24BDDE26" w14:textId="77777777" w:rsidTr="00D00B3F">
        <w:tc>
          <w:tcPr>
            <w:tcW w:w="419" w:type="dxa"/>
            <w:vMerge w:val="restart"/>
          </w:tcPr>
          <w:p w14:paraId="431D264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p w14:paraId="5053394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val="restart"/>
          </w:tcPr>
          <w:p w14:paraId="23CA3D4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extent of regular phone/WhatsApp calls from church leader affect retention of its members </w:t>
            </w:r>
          </w:p>
        </w:tc>
        <w:tc>
          <w:tcPr>
            <w:tcW w:w="851" w:type="dxa"/>
          </w:tcPr>
          <w:p w14:paraId="209E964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27</w:t>
            </w:r>
          </w:p>
        </w:tc>
        <w:tc>
          <w:tcPr>
            <w:tcW w:w="850" w:type="dxa"/>
          </w:tcPr>
          <w:p w14:paraId="7EF708F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38</w:t>
            </w:r>
          </w:p>
        </w:tc>
        <w:tc>
          <w:tcPr>
            <w:tcW w:w="567" w:type="dxa"/>
          </w:tcPr>
          <w:p w14:paraId="661ECA6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709" w:type="dxa"/>
          </w:tcPr>
          <w:p w14:paraId="4647F54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13</w:t>
            </w:r>
          </w:p>
        </w:tc>
        <w:tc>
          <w:tcPr>
            <w:tcW w:w="567" w:type="dxa"/>
          </w:tcPr>
          <w:p w14:paraId="5199D4E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158869A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2D4AAC3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3.85</w:t>
            </w:r>
          </w:p>
        </w:tc>
      </w:tr>
      <w:tr w:rsidR="008D3090" w:rsidRPr="008D3090" w14:paraId="2EAA7844" w14:textId="77777777" w:rsidTr="00D00B3F">
        <w:tc>
          <w:tcPr>
            <w:tcW w:w="419" w:type="dxa"/>
            <w:vMerge/>
          </w:tcPr>
          <w:p w14:paraId="230030AC"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5957FA4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1F29F7D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135</w:t>
            </w:r>
          </w:p>
        </w:tc>
        <w:tc>
          <w:tcPr>
            <w:tcW w:w="850" w:type="dxa"/>
          </w:tcPr>
          <w:p w14:paraId="2816093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152</w:t>
            </w:r>
          </w:p>
        </w:tc>
        <w:tc>
          <w:tcPr>
            <w:tcW w:w="567" w:type="dxa"/>
          </w:tcPr>
          <w:p w14:paraId="706B499B"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w:t>
            </w:r>
          </w:p>
        </w:tc>
        <w:tc>
          <w:tcPr>
            <w:tcW w:w="709" w:type="dxa"/>
          </w:tcPr>
          <w:p w14:paraId="5EF3B0F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26</w:t>
            </w:r>
          </w:p>
        </w:tc>
        <w:tc>
          <w:tcPr>
            <w:tcW w:w="567" w:type="dxa"/>
          </w:tcPr>
          <w:p w14:paraId="45D92F6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37FD42D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331</w:t>
            </w:r>
          </w:p>
        </w:tc>
        <w:tc>
          <w:tcPr>
            <w:tcW w:w="850" w:type="dxa"/>
            <w:vMerge/>
          </w:tcPr>
          <w:p w14:paraId="09F8F3B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40E511E4" w14:textId="77777777" w:rsidTr="00D00B3F">
        <w:tc>
          <w:tcPr>
            <w:tcW w:w="419" w:type="dxa"/>
            <w:vMerge w:val="restart"/>
          </w:tcPr>
          <w:p w14:paraId="5CD498C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p w14:paraId="62F6D0F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val="restart"/>
          </w:tcPr>
          <w:p w14:paraId="31BC053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Packaging of the church is the work of the leader and members</w:t>
            </w:r>
          </w:p>
        </w:tc>
        <w:tc>
          <w:tcPr>
            <w:tcW w:w="851" w:type="dxa"/>
          </w:tcPr>
          <w:p w14:paraId="152145F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w:t>
            </w:r>
          </w:p>
        </w:tc>
        <w:tc>
          <w:tcPr>
            <w:tcW w:w="850" w:type="dxa"/>
          </w:tcPr>
          <w:p w14:paraId="38859136"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53</w:t>
            </w:r>
          </w:p>
        </w:tc>
        <w:tc>
          <w:tcPr>
            <w:tcW w:w="567" w:type="dxa"/>
          </w:tcPr>
          <w:p w14:paraId="772089D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709" w:type="dxa"/>
          </w:tcPr>
          <w:p w14:paraId="365543B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13</w:t>
            </w:r>
          </w:p>
        </w:tc>
        <w:tc>
          <w:tcPr>
            <w:tcW w:w="567" w:type="dxa"/>
          </w:tcPr>
          <w:p w14:paraId="001497E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311373FF"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5255CEA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3.70</w:t>
            </w:r>
          </w:p>
        </w:tc>
      </w:tr>
      <w:tr w:rsidR="008D3090" w:rsidRPr="008D3090" w14:paraId="66A37167" w14:textId="77777777" w:rsidTr="00D00B3F">
        <w:tc>
          <w:tcPr>
            <w:tcW w:w="419" w:type="dxa"/>
            <w:vMerge/>
          </w:tcPr>
          <w:p w14:paraId="2EEC270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34A2112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48790EA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60</w:t>
            </w:r>
          </w:p>
        </w:tc>
        <w:tc>
          <w:tcPr>
            <w:tcW w:w="850" w:type="dxa"/>
          </w:tcPr>
          <w:p w14:paraId="67344F2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212</w:t>
            </w:r>
          </w:p>
        </w:tc>
        <w:tc>
          <w:tcPr>
            <w:tcW w:w="567" w:type="dxa"/>
          </w:tcPr>
          <w:p w14:paraId="5CCD31E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18</w:t>
            </w:r>
          </w:p>
        </w:tc>
        <w:tc>
          <w:tcPr>
            <w:tcW w:w="709" w:type="dxa"/>
          </w:tcPr>
          <w:p w14:paraId="4700679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26</w:t>
            </w:r>
          </w:p>
        </w:tc>
        <w:tc>
          <w:tcPr>
            <w:tcW w:w="567" w:type="dxa"/>
          </w:tcPr>
          <w:p w14:paraId="75933C0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2C721A5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318</w:t>
            </w:r>
          </w:p>
        </w:tc>
        <w:tc>
          <w:tcPr>
            <w:tcW w:w="850" w:type="dxa"/>
            <w:vMerge/>
          </w:tcPr>
          <w:p w14:paraId="3069D1D4"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3CB2CD7E" w14:textId="77777777" w:rsidTr="00D00B3F">
        <w:tc>
          <w:tcPr>
            <w:tcW w:w="419" w:type="dxa"/>
            <w:vMerge w:val="restart"/>
          </w:tcPr>
          <w:p w14:paraId="27426FE2"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4112" w:type="dxa"/>
            <w:vMerge w:val="restart"/>
          </w:tcPr>
          <w:p w14:paraId="3ACB076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The extent a church value it name can make people refer others to the church</w:t>
            </w:r>
          </w:p>
        </w:tc>
        <w:tc>
          <w:tcPr>
            <w:tcW w:w="851" w:type="dxa"/>
          </w:tcPr>
          <w:p w14:paraId="19E8774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23</w:t>
            </w:r>
          </w:p>
        </w:tc>
        <w:tc>
          <w:tcPr>
            <w:tcW w:w="850" w:type="dxa"/>
          </w:tcPr>
          <w:p w14:paraId="0635A03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39</w:t>
            </w:r>
          </w:p>
        </w:tc>
        <w:tc>
          <w:tcPr>
            <w:tcW w:w="567" w:type="dxa"/>
          </w:tcPr>
          <w:p w14:paraId="525100C7"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709" w:type="dxa"/>
          </w:tcPr>
          <w:p w14:paraId="0897AA1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19</w:t>
            </w:r>
          </w:p>
        </w:tc>
        <w:tc>
          <w:tcPr>
            <w:tcW w:w="567" w:type="dxa"/>
          </w:tcPr>
          <w:p w14:paraId="3D65C98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tcPr>
          <w:p w14:paraId="04F0A286"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1E97B2C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3.72</w:t>
            </w:r>
          </w:p>
        </w:tc>
      </w:tr>
      <w:tr w:rsidR="008D3090" w:rsidRPr="008D3090" w14:paraId="6A3FBF90" w14:textId="77777777" w:rsidTr="00D00B3F">
        <w:tc>
          <w:tcPr>
            <w:tcW w:w="419" w:type="dxa"/>
            <w:vMerge/>
          </w:tcPr>
          <w:p w14:paraId="32823A02"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48F8336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74D88D4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115</w:t>
            </w:r>
          </w:p>
        </w:tc>
        <w:tc>
          <w:tcPr>
            <w:tcW w:w="850" w:type="dxa"/>
          </w:tcPr>
          <w:p w14:paraId="32B0794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156</w:t>
            </w:r>
          </w:p>
        </w:tc>
        <w:tc>
          <w:tcPr>
            <w:tcW w:w="567" w:type="dxa"/>
          </w:tcPr>
          <w:p w14:paraId="3729007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w:t>
            </w:r>
          </w:p>
        </w:tc>
        <w:tc>
          <w:tcPr>
            <w:tcW w:w="709" w:type="dxa"/>
          </w:tcPr>
          <w:p w14:paraId="3B02C79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38</w:t>
            </w:r>
          </w:p>
        </w:tc>
        <w:tc>
          <w:tcPr>
            <w:tcW w:w="567" w:type="dxa"/>
          </w:tcPr>
          <w:p w14:paraId="74B0C6B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tcPr>
          <w:p w14:paraId="3CC393C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320</w:t>
            </w:r>
          </w:p>
        </w:tc>
        <w:tc>
          <w:tcPr>
            <w:tcW w:w="850" w:type="dxa"/>
            <w:vMerge/>
          </w:tcPr>
          <w:p w14:paraId="3607F49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16030FC6" w14:textId="77777777" w:rsidTr="00D00B3F">
        <w:tc>
          <w:tcPr>
            <w:tcW w:w="419" w:type="dxa"/>
            <w:vMerge w:val="restart"/>
          </w:tcPr>
          <w:p w14:paraId="2AA4EEA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4112" w:type="dxa"/>
            <w:vMerge w:val="restart"/>
          </w:tcPr>
          <w:p w14:paraId="146523E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make-up a church can determine the rate of referral </w:t>
            </w:r>
          </w:p>
        </w:tc>
        <w:tc>
          <w:tcPr>
            <w:tcW w:w="851" w:type="dxa"/>
          </w:tcPr>
          <w:p w14:paraId="071E886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850" w:type="dxa"/>
          </w:tcPr>
          <w:p w14:paraId="3964394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567" w:type="dxa"/>
          </w:tcPr>
          <w:p w14:paraId="54F537E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w:t>
            </w:r>
          </w:p>
        </w:tc>
        <w:tc>
          <w:tcPr>
            <w:tcW w:w="709" w:type="dxa"/>
          </w:tcPr>
          <w:p w14:paraId="5E6F333F"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567" w:type="dxa"/>
          </w:tcPr>
          <w:p w14:paraId="6B0DE1E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7</w:t>
            </w:r>
          </w:p>
        </w:tc>
        <w:tc>
          <w:tcPr>
            <w:tcW w:w="709" w:type="dxa"/>
          </w:tcPr>
          <w:p w14:paraId="0EA0825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3EB3E272"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3.83</w:t>
            </w:r>
          </w:p>
        </w:tc>
      </w:tr>
      <w:tr w:rsidR="008D3090" w:rsidRPr="008D3090" w14:paraId="2F5F5F96" w14:textId="77777777" w:rsidTr="00D00B3F">
        <w:tc>
          <w:tcPr>
            <w:tcW w:w="419" w:type="dxa"/>
            <w:vMerge/>
          </w:tcPr>
          <w:p w14:paraId="0E80E90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0278CA6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6EF9738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150</w:t>
            </w:r>
          </w:p>
        </w:tc>
        <w:tc>
          <w:tcPr>
            <w:tcW w:w="850" w:type="dxa"/>
          </w:tcPr>
          <w:p w14:paraId="72D134D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120</w:t>
            </w:r>
          </w:p>
        </w:tc>
        <w:tc>
          <w:tcPr>
            <w:tcW w:w="567" w:type="dxa"/>
          </w:tcPr>
          <w:p w14:paraId="5EE6161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45</w:t>
            </w:r>
          </w:p>
        </w:tc>
        <w:tc>
          <w:tcPr>
            <w:tcW w:w="709" w:type="dxa"/>
          </w:tcPr>
          <w:p w14:paraId="3BEB6546"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w:t>
            </w:r>
          </w:p>
        </w:tc>
        <w:tc>
          <w:tcPr>
            <w:tcW w:w="567" w:type="dxa"/>
          </w:tcPr>
          <w:p w14:paraId="5099093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7</w:t>
            </w:r>
          </w:p>
        </w:tc>
        <w:tc>
          <w:tcPr>
            <w:tcW w:w="709" w:type="dxa"/>
          </w:tcPr>
          <w:p w14:paraId="1A046F0F"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330</w:t>
            </w:r>
          </w:p>
        </w:tc>
        <w:tc>
          <w:tcPr>
            <w:tcW w:w="850" w:type="dxa"/>
            <w:vMerge/>
          </w:tcPr>
          <w:p w14:paraId="37255CA1"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2F59CDF0" w14:textId="77777777" w:rsidTr="00D00B3F">
        <w:tc>
          <w:tcPr>
            <w:tcW w:w="8075" w:type="dxa"/>
            <w:gridSpan w:val="7"/>
          </w:tcPr>
          <w:p w14:paraId="4FE70A71" w14:textId="77777777" w:rsidR="001A5F7B" w:rsidRDefault="001A5F7B" w:rsidP="008D3090">
            <w:pPr>
              <w:tabs>
                <w:tab w:val="center" w:pos="4680"/>
                <w:tab w:val="right" w:pos="9360"/>
              </w:tabs>
              <w:spacing w:after="0" w:line="480" w:lineRule="auto"/>
              <w:jc w:val="center"/>
              <w:rPr>
                <w:rFonts w:ascii="Times New Roman" w:eastAsia="Calibri" w:hAnsi="Times New Roman" w:cs="Times New Roman"/>
                <w:b/>
                <w:kern w:val="0"/>
                <w:lang w:val="en-GB"/>
                <w14:ligatures w14:val="none"/>
              </w:rPr>
            </w:pPr>
          </w:p>
          <w:p w14:paraId="271D2B9F" w14:textId="77777777" w:rsidR="001A5F7B" w:rsidRDefault="001A5F7B" w:rsidP="008D3090">
            <w:pPr>
              <w:tabs>
                <w:tab w:val="center" w:pos="4680"/>
                <w:tab w:val="right" w:pos="9360"/>
              </w:tabs>
              <w:spacing w:after="0" w:line="480" w:lineRule="auto"/>
              <w:jc w:val="center"/>
              <w:rPr>
                <w:rFonts w:ascii="Times New Roman" w:eastAsia="Calibri" w:hAnsi="Times New Roman" w:cs="Times New Roman"/>
                <w:b/>
                <w:kern w:val="0"/>
                <w:lang w:val="en-GB"/>
                <w14:ligatures w14:val="none"/>
              </w:rPr>
            </w:pPr>
          </w:p>
          <w:p w14:paraId="38CB2FA8" w14:textId="77777777" w:rsidR="001A5F7B" w:rsidRDefault="001A5F7B" w:rsidP="008D3090">
            <w:pPr>
              <w:tabs>
                <w:tab w:val="center" w:pos="4680"/>
                <w:tab w:val="right" w:pos="9360"/>
              </w:tabs>
              <w:spacing w:after="0" w:line="480" w:lineRule="auto"/>
              <w:jc w:val="center"/>
              <w:rPr>
                <w:rFonts w:ascii="Times New Roman" w:eastAsia="Calibri" w:hAnsi="Times New Roman" w:cs="Times New Roman"/>
                <w:b/>
                <w:kern w:val="0"/>
                <w:lang w:val="en-GB"/>
                <w14:ligatures w14:val="none"/>
              </w:rPr>
            </w:pPr>
          </w:p>
          <w:p w14:paraId="78E2C1D3" w14:textId="251F31EE"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lastRenderedPageBreak/>
              <w:t xml:space="preserve">Average mean </w:t>
            </w:r>
          </w:p>
        </w:tc>
        <w:tc>
          <w:tcPr>
            <w:tcW w:w="709" w:type="dxa"/>
          </w:tcPr>
          <w:p w14:paraId="2E32AEAB"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b/>
                <w:kern w:val="0"/>
                <w:lang w:val="en-GB"/>
                <w14:ligatures w14:val="none"/>
              </w:rPr>
            </w:pPr>
          </w:p>
        </w:tc>
        <w:tc>
          <w:tcPr>
            <w:tcW w:w="850" w:type="dxa"/>
          </w:tcPr>
          <w:p w14:paraId="6963A911"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3.78</w:t>
            </w:r>
          </w:p>
        </w:tc>
      </w:tr>
    </w:tbl>
    <w:p w14:paraId="233E4515" w14:textId="77777777" w:rsidR="008D3090" w:rsidRPr="008D3090" w:rsidRDefault="008D3090" w:rsidP="008D3090">
      <w:pPr>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Source: Research survey, 20</w:t>
      </w:r>
      <w:r w:rsidRPr="008D3090">
        <w:rPr>
          <w:rFonts w:ascii="Times New Roman" w:eastAsia="Calibri" w:hAnsi="Times New Roman" w:cs="Times New Roman"/>
          <w:kern w:val="0"/>
          <w14:ligatures w14:val="none"/>
        </w:rPr>
        <w:t>26</w:t>
      </w:r>
    </w:p>
    <w:p w14:paraId="26ED08C1"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6E758A95"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In table 4.6 question one that 27 respondents strongly agree, 38 respondents agree, 5 </w:t>
      </w:r>
      <w:proofErr w:type="gramStart"/>
      <w:r w:rsidRPr="008D3090">
        <w:rPr>
          <w:rFonts w:ascii="Times New Roman" w:eastAsia="Calibri" w:hAnsi="Times New Roman" w:cs="Times New Roman"/>
          <w:kern w:val="0"/>
          <w:lang w:val="en-GB"/>
          <w14:ligatures w14:val="none"/>
        </w:rPr>
        <w:t>undesirable</w:t>
      </w:r>
      <w:proofErr w:type="gramEnd"/>
      <w:r w:rsidRPr="008D3090">
        <w:rPr>
          <w:rFonts w:ascii="Times New Roman" w:eastAsia="Calibri" w:hAnsi="Times New Roman" w:cs="Times New Roman"/>
          <w:kern w:val="0"/>
          <w:lang w:val="en-GB"/>
          <w14:ligatures w14:val="none"/>
        </w:rPr>
        <w:t xml:space="preserve">, 13 disagree, and 3 strongly disagree.  Question two shows that 12 strongly agree, 53 agree, 6 </w:t>
      </w:r>
      <w:proofErr w:type="gramStart"/>
      <w:r w:rsidRPr="008D3090">
        <w:rPr>
          <w:rFonts w:ascii="Times New Roman" w:eastAsia="Calibri" w:hAnsi="Times New Roman" w:cs="Times New Roman"/>
          <w:kern w:val="0"/>
          <w:lang w:val="en-GB"/>
          <w14:ligatures w14:val="none"/>
        </w:rPr>
        <w:t>undesirable</w:t>
      </w:r>
      <w:proofErr w:type="gramEnd"/>
      <w:r w:rsidRPr="008D3090">
        <w:rPr>
          <w:rFonts w:ascii="Times New Roman" w:eastAsia="Calibri" w:hAnsi="Times New Roman" w:cs="Times New Roman"/>
          <w:kern w:val="0"/>
          <w:lang w:val="en-GB"/>
          <w14:ligatures w14:val="none"/>
        </w:rPr>
        <w:t xml:space="preserve">, 13 disagree, and 2 strongly disagree.  Question three shows that 23 strongly agree, 39 agree, 4 </w:t>
      </w:r>
      <w:proofErr w:type="gramStart"/>
      <w:r w:rsidRPr="008D3090">
        <w:rPr>
          <w:rFonts w:ascii="Times New Roman" w:eastAsia="Calibri" w:hAnsi="Times New Roman" w:cs="Times New Roman"/>
          <w:kern w:val="0"/>
          <w:lang w:val="en-GB"/>
          <w14:ligatures w14:val="none"/>
        </w:rPr>
        <w:t>undesirable</w:t>
      </w:r>
      <w:proofErr w:type="gramEnd"/>
      <w:r w:rsidRPr="008D3090">
        <w:rPr>
          <w:rFonts w:ascii="Times New Roman" w:eastAsia="Calibri" w:hAnsi="Times New Roman" w:cs="Times New Roman"/>
          <w:kern w:val="0"/>
          <w:lang w:val="en-GB"/>
          <w14:ligatures w14:val="none"/>
        </w:rPr>
        <w:t xml:space="preserve">, 19 disagree, 1 strongly disagree. Question four shows that 30 strongly agree, 30 also agree, 15 </w:t>
      </w:r>
      <w:proofErr w:type="gramStart"/>
      <w:r w:rsidRPr="008D3090">
        <w:rPr>
          <w:rFonts w:ascii="Times New Roman" w:eastAsia="Calibri" w:hAnsi="Times New Roman" w:cs="Times New Roman"/>
          <w:kern w:val="0"/>
          <w:lang w:val="en-GB"/>
          <w14:ligatures w14:val="none"/>
        </w:rPr>
        <w:t>undesirable</w:t>
      </w:r>
      <w:proofErr w:type="gramEnd"/>
      <w:r w:rsidRPr="008D3090">
        <w:rPr>
          <w:rFonts w:ascii="Times New Roman" w:eastAsia="Calibri" w:hAnsi="Times New Roman" w:cs="Times New Roman"/>
          <w:kern w:val="0"/>
          <w:lang w:val="en-GB"/>
          <w14:ligatures w14:val="none"/>
        </w:rPr>
        <w:t>, 4 disagree and 7 strongly disagree.  The average mean shows that church brand orientation enhances loyalty of churches in Rivers State.</w:t>
      </w:r>
    </w:p>
    <w:p w14:paraId="2E52785B" w14:textId="77777777" w:rsidR="008D3090" w:rsidRPr="008D3090" w:rsidRDefault="008D3090" w:rsidP="001A5F7B">
      <w:pPr>
        <w:spacing w:after="0" w:line="240" w:lineRule="auto"/>
        <w:rPr>
          <w:rFonts w:ascii="Times New Roman" w:eastAsia="Calibri" w:hAnsi="Times New Roman" w:cs="Times New Roman"/>
          <w:kern w:val="0"/>
          <w:lang w:val="en-GB"/>
          <w14:ligatures w14:val="none"/>
        </w:rPr>
      </w:pPr>
    </w:p>
    <w:p w14:paraId="2CE00936" w14:textId="77777777" w:rsidR="008D3090" w:rsidRPr="008D3090" w:rsidRDefault="008D3090" w:rsidP="008D3090">
      <w:pPr>
        <w:spacing w:after="0" w:line="48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Table 4.9:  Membership Retention </w:t>
      </w:r>
    </w:p>
    <w:tbl>
      <w:tblPr>
        <w:tblW w:w="9634" w:type="dxa"/>
        <w:tblLook w:val="04A0" w:firstRow="1" w:lastRow="0" w:firstColumn="1" w:lastColumn="0" w:noHBand="0" w:noVBand="1"/>
      </w:tblPr>
      <w:tblGrid>
        <w:gridCol w:w="419"/>
        <w:gridCol w:w="4112"/>
        <w:gridCol w:w="851"/>
        <w:gridCol w:w="850"/>
        <w:gridCol w:w="567"/>
        <w:gridCol w:w="709"/>
        <w:gridCol w:w="567"/>
        <w:gridCol w:w="709"/>
        <w:gridCol w:w="850"/>
      </w:tblGrid>
      <w:tr w:rsidR="008D3090" w:rsidRPr="008D3090" w14:paraId="57049BDE" w14:textId="77777777" w:rsidTr="00D00B3F">
        <w:trPr>
          <w:trHeight w:val="251"/>
        </w:trPr>
        <w:tc>
          <w:tcPr>
            <w:tcW w:w="4531" w:type="dxa"/>
            <w:gridSpan w:val="2"/>
            <w:vMerge w:val="restart"/>
          </w:tcPr>
          <w:p w14:paraId="29CE2167"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Items</w:t>
            </w:r>
          </w:p>
        </w:tc>
        <w:tc>
          <w:tcPr>
            <w:tcW w:w="851" w:type="dxa"/>
          </w:tcPr>
          <w:p w14:paraId="63E43C84"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SA </w:t>
            </w:r>
          </w:p>
        </w:tc>
        <w:tc>
          <w:tcPr>
            <w:tcW w:w="850" w:type="dxa"/>
          </w:tcPr>
          <w:p w14:paraId="45F27476"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A</w:t>
            </w:r>
          </w:p>
        </w:tc>
        <w:tc>
          <w:tcPr>
            <w:tcW w:w="567" w:type="dxa"/>
          </w:tcPr>
          <w:p w14:paraId="016AAAE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U</w:t>
            </w:r>
          </w:p>
        </w:tc>
        <w:tc>
          <w:tcPr>
            <w:tcW w:w="709" w:type="dxa"/>
          </w:tcPr>
          <w:p w14:paraId="742B708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D</w:t>
            </w:r>
          </w:p>
        </w:tc>
        <w:tc>
          <w:tcPr>
            <w:tcW w:w="567" w:type="dxa"/>
          </w:tcPr>
          <w:p w14:paraId="4188DA9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SD</w:t>
            </w:r>
          </w:p>
        </w:tc>
        <w:tc>
          <w:tcPr>
            <w:tcW w:w="709" w:type="dxa"/>
            <w:vMerge w:val="restart"/>
          </w:tcPr>
          <w:p w14:paraId="3A3789E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X</w:t>
            </w:r>
          </w:p>
        </w:tc>
        <w:tc>
          <w:tcPr>
            <w:tcW w:w="850" w:type="dxa"/>
            <w:vMerge w:val="restart"/>
          </w:tcPr>
          <w:p w14:paraId="7FB17C9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Mean</w:t>
            </w:r>
          </w:p>
        </w:tc>
      </w:tr>
      <w:tr w:rsidR="008D3090" w:rsidRPr="008D3090" w14:paraId="007F5554" w14:textId="77777777" w:rsidTr="00D00B3F">
        <w:trPr>
          <w:trHeight w:val="195"/>
        </w:trPr>
        <w:tc>
          <w:tcPr>
            <w:tcW w:w="4531" w:type="dxa"/>
            <w:gridSpan w:val="2"/>
            <w:vMerge/>
          </w:tcPr>
          <w:p w14:paraId="66DC81B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3469432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850" w:type="dxa"/>
          </w:tcPr>
          <w:p w14:paraId="45427B7F"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567" w:type="dxa"/>
          </w:tcPr>
          <w:p w14:paraId="22889DC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709" w:type="dxa"/>
          </w:tcPr>
          <w:p w14:paraId="6E1A226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567" w:type="dxa"/>
          </w:tcPr>
          <w:p w14:paraId="7BA5AE7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vMerge/>
          </w:tcPr>
          <w:p w14:paraId="1E22F32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0" w:type="dxa"/>
            <w:vMerge/>
          </w:tcPr>
          <w:p w14:paraId="3DD71CF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0A21D0E4" w14:textId="77777777" w:rsidTr="00D00B3F">
        <w:tc>
          <w:tcPr>
            <w:tcW w:w="419" w:type="dxa"/>
            <w:vMerge w:val="restart"/>
          </w:tcPr>
          <w:p w14:paraId="2FF914F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p w14:paraId="01A609F9"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val="restart"/>
          </w:tcPr>
          <w:p w14:paraId="59D943F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peculiarity of a church determines the retention of </w:t>
            </w:r>
            <w:proofErr w:type="spellStart"/>
            <w:proofErr w:type="gramStart"/>
            <w:r w:rsidRPr="008D3090">
              <w:rPr>
                <w:rFonts w:ascii="Times New Roman" w:eastAsia="Calibri" w:hAnsi="Times New Roman" w:cs="Times New Roman"/>
                <w:kern w:val="0"/>
                <w:lang w:val="en-GB"/>
                <w14:ligatures w14:val="none"/>
              </w:rPr>
              <w:t>it</w:t>
            </w:r>
            <w:proofErr w:type="spellEnd"/>
            <w:proofErr w:type="gramEnd"/>
            <w:r w:rsidRPr="008D3090">
              <w:rPr>
                <w:rFonts w:ascii="Times New Roman" w:eastAsia="Calibri" w:hAnsi="Times New Roman" w:cs="Times New Roman"/>
                <w:kern w:val="0"/>
                <w:lang w:val="en-GB"/>
                <w14:ligatures w14:val="none"/>
              </w:rPr>
              <w:t xml:space="preserve"> members </w:t>
            </w:r>
          </w:p>
        </w:tc>
        <w:tc>
          <w:tcPr>
            <w:tcW w:w="851" w:type="dxa"/>
          </w:tcPr>
          <w:p w14:paraId="7F10A31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65</w:t>
            </w:r>
          </w:p>
        </w:tc>
        <w:tc>
          <w:tcPr>
            <w:tcW w:w="850" w:type="dxa"/>
          </w:tcPr>
          <w:p w14:paraId="3C4DCD4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567" w:type="dxa"/>
          </w:tcPr>
          <w:p w14:paraId="0FC9C6F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w:t>
            </w:r>
          </w:p>
        </w:tc>
        <w:tc>
          <w:tcPr>
            <w:tcW w:w="709" w:type="dxa"/>
          </w:tcPr>
          <w:p w14:paraId="4AE18EFF"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567" w:type="dxa"/>
          </w:tcPr>
          <w:p w14:paraId="4A37B41D"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56059074"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2E839CC4"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4.45</w:t>
            </w:r>
          </w:p>
        </w:tc>
      </w:tr>
      <w:tr w:rsidR="008D3090" w:rsidRPr="008D3090" w14:paraId="5B8726B2" w14:textId="77777777" w:rsidTr="00D00B3F">
        <w:tc>
          <w:tcPr>
            <w:tcW w:w="419" w:type="dxa"/>
            <w:vMerge/>
          </w:tcPr>
          <w:p w14:paraId="4E576B7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0AC23CE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58A8064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325</w:t>
            </w:r>
          </w:p>
        </w:tc>
        <w:tc>
          <w:tcPr>
            <w:tcW w:w="850" w:type="dxa"/>
          </w:tcPr>
          <w:p w14:paraId="41056B6B"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20</w:t>
            </w:r>
          </w:p>
        </w:tc>
        <w:tc>
          <w:tcPr>
            <w:tcW w:w="567" w:type="dxa"/>
          </w:tcPr>
          <w:p w14:paraId="07F6C65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24</w:t>
            </w:r>
          </w:p>
        </w:tc>
        <w:tc>
          <w:tcPr>
            <w:tcW w:w="709" w:type="dxa"/>
          </w:tcPr>
          <w:p w14:paraId="21246CC6"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w:t>
            </w:r>
          </w:p>
        </w:tc>
        <w:tc>
          <w:tcPr>
            <w:tcW w:w="567" w:type="dxa"/>
          </w:tcPr>
          <w:p w14:paraId="0D6DA7FF"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42D2A0B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383</w:t>
            </w:r>
          </w:p>
        </w:tc>
        <w:tc>
          <w:tcPr>
            <w:tcW w:w="850" w:type="dxa"/>
            <w:vMerge/>
          </w:tcPr>
          <w:p w14:paraId="256CD72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04A53F52" w14:textId="77777777" w:rsidTr="00D00B3F">
        <w:tc>
          <w:tcPr>
            <w:tcW w:w="419" w:type="dxa"/>
            <w:vMerge w:val="restart"/>
          </w:tcPr>
          <w:p w14:paraId="6AE45C9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p w14:paraId="55C11C91"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val="restart"/>
          </w:tcPr>
          <w:p w14:paraId="6C71CF8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introduction of football clubs in church today is helping the retention of members </w:t>
            </w:r>
          </w:p>
        </w:tc>
        <w:tc>
          <w:tcPr>
            <w:tcW w:w="851" w:type="dxa"/>
          </w:tcPr>
          <w:p w14:paraId="65323FC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850" w:type="dxa"/>
          </w:tcPr>
          <w:p w14:paraId="53C4E2C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40</w:t>
            </w:r>
          </w:p>
        </w:tc>
        <w:tc>
          <w:tcPr>
            <w:tcW w:w="567" w:type="dxa"/>
          </w:tcPr>
          <w:p w14:paraId="433D8679"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9</w:t>
            </w:r>
          </w:p>
        </w:tc>
        <w:tc>
          <w:tcPr>
            <w:tcW w:w="709" w:type="dxa"/>
          </w:tcPr>
          <w:p w14:paraId="2A5CAC0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w:t>
            </w:r>
          </w:p>
        </w:tc>
        <w:tc>
          <w:tcPr>
            <w:tcW w:w="567" w:type="dxa"/>
          </w:tcPr>
          <w:p w14:paraId="404104E7"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1965E2C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74B952A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4.06</w:t>
            </w:r>
          </w:p>
        </w:tc>
      </w:tr>
      <w:tr w:rsidR="008D3090" w:rsidRPr="008D3090" w14:paraId="7D6AEAD4" w14:textId="77777777" w:rsidTr="00D00B3F">
        <w:tc>
          <w:tcPr>
            <w:tcW w:w="419" w:type="dxa"/>
            <w:vMerge/>
          </w:tcPr>
          <w:p w14:paraId="527ACE22"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4C42C1AC"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380CBCB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150</w:t>
            </w:r>
          </w:p>
        </w:tc>
        <w:tc>
          <w:tcPr>
            <w:tcW w:w="850" w:type="dxa"/>
          </w:tcPr>
          <w:p w14:paraId="5BB0EBD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160</w:t>
            </w:r>
          </w:p>
        </w:tc>
        <w:tc>
          <w:tcPr>
            <w:tcW w:w="567" w:type="dxa"/>
          </w:tcPr>
          <w:p w14:paraId="2D552AEB"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27</w:t>
            </w:r>
          </w:p>
        </w:tc>
        <w:tc>
          <w:tcPr>
            <w:tcW w:w="709" w:type="dxa"/>
          </w:tcPr>
          <w:p w14:paraId="375C449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10</w:t>
            </w:r>
          </w:p>
        </w:tc>
        <w:tc>
          <w:tcPr>
            <w:tcW w:w="567" w:type="dxa"/>
          </w:tcPr>
          <w:p w14:paraId="69C08981"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1A68179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349</w:t>
            </w:r>
          </w:p>
        </w:tc>
        <w:tc>
          <w:tcPr>
            <w:tcW w:w="850" w:type="dxa"/>
            <w:vMerge/>
          </w:tcPr>
          <w:p w14:paraId="265DF41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551B22D5" w14:textId="77777777" w:rsidTr="00D00B3F">
        <w:tc>
          <w:tcPr>
            <w:tcW w:w="419" w:type="dxa"/>
            <w:vMerge w:val="restart"/>
          </w:tcPr>
          <w:p w14:paraId="09BFAF3F"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w:t>
            </w:r>
          </w:p>
        </w:tc>
        <w:tc>
          <w:tcPr>
            <w:tcW w:w="4112" w:type="dxa"/>
            <w:vMerge w:val="restart"/>
          </w:tcPr>
          <w:p w14:paraId="19B2AA7A"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Churches with modern structure attracts membership </w:t>
            </w:r>
          </w:p>
        </w:tc>
        <w:tc>
          <w:tcPr>
            <w:tcW w:w="851" w:type="dxa"/>
          </w:tcPr>
          <w:p w14:paraId="7642D2B3"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w:t>
            </w:r>
          </w:p>
        </w:tc>
        <w:tc>
          <w:tcPr>
            <w:tcW w:w="850" w:type="dxa"/>
          </w:tcPr>
          <w:p w14:paraId="7C9A08B2"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30</w:t>
            </w:r>
          </w:p>
        </w:tc>
        <w:tc>
          <w:tcPr>
            <w:tcW w:w="567" w:type="dxa"/>
          </w:tcPr>
          <w:p w14:paraId="3C4C959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14</w:t>
            </w:r>
          </w:p>
        </w:tc>
        <w:tc>
          <w:tcPr>
            <w:tcW w:w="709" w:type="dxa"/>
          </w:tcPr>
          <w:p w14:paraId="6114991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6</w:t>
            </w:r>
          </w:p>
        </w:tc>
        <w:tc>
          <w:tcPr>
            <w:tcW w:w="567" w:type="dxa"/>
          </w:tcPr>
          <w:p w14:paraId="6E4257F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02351FDC"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4B13E3E8"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4.04</w:t>
            </w:r>
          </w:p>
        </w:tc>
      </w:tr>
      <w:tr w:rsidR="008D3090" w:rsidRPr="008D3090" w14:paraId="2513D198" w14:textId="77777777" w:rsidTr="00D00B3F">
        <w:tc>
          <w:tcPr>
            <w:tcW w:w="419" w:type="dxa"/>
            <w:vMerge/>
          </w:tcPr>
          <w:p w14:paraId="0D143746"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5B992F80"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1EC02EBF"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170</w:t>
            </w:r>
          </w:p>
        </w:tc>
        <w:tc>
          <w:tcPr>
            <w:tcW w:w="850" w:type="dxa"/>
          </w:tcPr>
          <w:p w14:paraId="4DCE28C8"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120</w:t>
            </w:r>
          </w:p>
        </w:tc>
        <w:tc>
          <w:tcPr>
            <w:tcW w:w="567" w:type="dxa"/>
          </w:tcPr>
          <w:p w14:paraId="78FF60DC"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24</w:t>
            </w:r>
          </w:p>
        </w:tc>
        <w:tc>
          <w:tcPr>
            <w:tcW w:w="709" w:type="dxa"/>
          </w:tcPr>
          <w:p w14:paraId="7833E0D0"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32</w:t>
            </w:r>
          </w:p>
        </w:tc>
        <w:tc>
          <w:tcPr>
            <w:tcW w:w="567" w:type="dxa"/>
          </w:tcPr>
          <w:p w14:paraId="7944865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w:t>
            </w:r>
          </w:p>
        </w:tc>
        <w:tc>
          <w:tcPr>
            <w:tcW w:w="709" w:type="dxa"/>
          </w:tcPr>
          <w:p w14:paraId="54E3B94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348</w:t>
            </w:r>
          </w:p>
        </w:tc>
        <w:tc>
          <w:tcPr>
            <w:tcW w:w="850" w:type="dxa"/>
            <w:vMerge/>
          </w:tcPr>
          <w:p w14:paraId="3F471595"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66838182" w14:textId="77777777" w:rsidTr="00D00B3F">
        <w:tc>
          <w:tcPr>
            <w:tcW w:w="419" w:type="dxa"/>
            <w:vMerge w:val="restart"/>
          </w:tcPr>
          <w:p w14:paraId="045C6D3E"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4112" w:type="dxa"/>
            <w:vMerge w:val="restart"/>
          </w:tcPr>
          <w:p w14:paraId="68D79FC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level of bible study days in a church </w:t>
            </w:r>
            <w:proofErr w:type="gramStart"/>
            <w:r w:rsidRPr="008D3090">
              <w:rPr>
                <w:rFonts w:ascii="Times New Roman" w:eastAsia="Calibri" w:hAnsi="Times New Roman" w:cs="Times New Roman"/>
                <w:kern w:val="0"/>
                <w:lang w:val="en-GB"/>
                <w14:ligatures w14:val="none"/>
              </w:rPr>
              <w:t>keep</w:t>
            </w:r>
            <w:proofErr w:type="gramEnd"/>
            <w:r w:rsidRPr="008D3090">
              <w:rPr>
                <w:rFonts w:ascii="Times New Roman" w:eastAsia="Calibri" w:hAnsi="Times New Roman" w:cs="Times New Roman"/>
                <w:kern w:val="0"/>
                <w:lang w:val="en-GB"/>
                <w14:ligatures w14:val="none"/>
              </w:rPr>
              <w:t xml:space="preserve"> its members </w:t>
            </w:r>
          </w:p>
        </w:tc>
        <w:tc>
          <w:tcPr>
            <w:tcW w:w="851" w:type="dxa"/>
          </w:tcPr>
          <w:p w14:paraId="3318FD8B"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50</w:t>
            </w:r>
          </w:p>
        </w:tc>
        <w:tc>
          <w:tcPr>
            <w:tcW w:w="850" w:type="dxa"/>
          </w:tcPr>
          <w:p w14:paraId="60C38114"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20</w:t>
            </w:r>
          </w:p>
        </w:tc>
        <w:tc>
          <w:tcPr>
            <w:tcW w:w="567" w:type="dxa"/>
          </w:tcPr>
          <w:p w14:paraId="473BD653"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w:t>
            </w:r>
          </w:p>
        </w:tc>
        <w:tc>
          <w:tcPr>
            <w:tcW w:w="709" w:type="dxa"/>
          </w:tcPr>
          <w:p w14:paraId="5D9A03D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11</w:t>
            </w:r>
          </w:p>
        </w:tc>
        <w:tc>
          <w:tcPr>
            <w:tcW w:w="567" w:type="dxa"/>
          </w:tcPr>
          <w:p w14:paraId="7893540E"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tcPr>
          <w:p w14:paraId="470C9951"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86</w:t>
            </w:r>
          </w:p>
        </w:tc>
        <w:tc>
          <w:tcPr>
            <w:tcW w:w="850" w:type="dxa"/>
            <w:vMerge w:val="restart"/>
          </w:tcPr>
          <w:p w14:paraId="4962988F"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4.24</w:t>
            </w:r>
          </w:p>
        </w:tc>
      </w:tr>
      <w:tr w:rsidR="008D3090" w:rsidRPr="008D3090" w14:paraId="74B2DBDE" w14:textId="77777777" w:rsidTr="00D00B3F">
        <w:tc>
          <w:tcPr>
            <w:tcW w:w="419" w:type="dxa"/>
            <w:vMerge/>
          </w:tcPr>
          <w:p w14:paraId="5E0C5714"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4112" w:type="dxa"/>
            <w:vMerge/>
          </w:tcPr>
          <w:p w14:paraId="1A7587F7"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1" w:type="dxa"/>
          </w:tcPr>
          <w:p w14:paraId="29EDBF36"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250</w:t>
            </w:r>
          </w:p>
        </w:tc>
        <w:tc>
          <w:tcPr>
            <w:tcW w:w="850" w:type="dxa"/>
          </w:tcPr>
          <w:p w14:paraId="20CD421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80</w:t>
            </w:r>
          </w:p>
        </w:tc>
        <w:tc>
          <w:tcPr>
            <w:tcW w:w="567" w:type="dxa"/>
          </w:tcPr>
          <w:p w14:paraId="7D6D9DDB"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12</w:t>
            </w:r>
          </w:p>
        </w:tc>
        <w:tc>
          <w:tcPr>
            <w:tcW w:w="709" w:type="dxa"/>
          </w:tcPr>
          <w:p w14:paraId="714DE686"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22</w:t>
            </w:r>
          </w:p>
        </w:tc>
        <w:tc>
          <w:tcPr>
            <w:tcW w:w="567" w:type="dxa"/>
          </w:tcPr>
          <w:p w14:paraId="54918835"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1</w:t>
            </w:r>
          </w:p>
        </w:tc>
        <w:tc>
          <w:tcPr>
            <w:tcW w:w="709" w:type="dxa"/>
          </w:tcPr>
          <w:p w14:paraId="6E2337E3"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365</w:t>
            </w:r>
          </w:p>
        </w:tc>
        <w:tc>
          <w:tcPr>
            <w:tcW w:w="850" w:type="dxa"/>
            <w:vMerge/>
          </w:tcPr>
          <w:p w14:paraId="5823E91D"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r>
      <w:tr w:rsidR="008D3090" w:rsidRPr="008D3090" w14:paraId="613D11FE" w14:textId="77777777" w:rsidTr="00D00B3F">
        <w:tc>
          <w:tcPr>
            <w:tcW w:w="8075" w:type="dxa"/>
            <w:gridSpan w:val="7"/>
          </w:tcPr>
          <w:p w14:paraId="0CA9C7CA" w14:textId="77777777" w:rsidR="008D3090" w:rsidRPr="008D3090" w:rsidRDefault="008D3090" w:rsidP="008D3090">
            <w:pPr>
              <w:tabs>
                <w:tab w:val="center" w:pos="4680"/>
                <w:tab w:val="right" w:pos="9360"/>
              </w:tabs>
              <w:spacing w:after="0" w:line="480" w:lineRule="auto"/>
              <w:jc w:val="center"/>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Average mean </w:t>
            </w:r>
          </w:p>
        </w:tc>
        <w:tc>
          <w:tcPr>
            <w:tcW w:w="709" w:type="dxa"/>
          </w:tcPr>
          <w:p w14:paraId="686258D6"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p>
        </w:tc>
        <w:tc>
          <w:tcPr>
            <w:tcW w:w="850" w:type="dxa"/>
          </w:tcPr>
          <w:p w14:paraId="1FF6FC62" w14:textId="77777777" w:rsidR="008D3090" w:rsidRPr="008D3090" w:rsidRDefault="008D3090" w:rsidP="008D3090">
            <w:pPr>
              <w:tabs>
                <w:tab w:val="center" w:pos="4680"/>
                <w:tab w:val="right" w:pos="9360"/>
              </w:tabs>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4.20</w:t>
            </w:r>
          </w:p>
        </w:tc>
      </w:tr>
    </w:tbl>
    <w:p w14:paraId="7EE827AB" w14:textId="77777777" w:rsidR="008D3090" w:rsidRPr="008D3090" w:rsidRDefault="008D3090" w:rsidP="008D3090">
      <w:pPr>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Source: Research survey, 2017.</w:t>
      </w:r>
    </w:p>
    <w:p w14:paraId="2B46C8A1" w14:textId="77777777" w:rsidR="008D3090" w:rsidRPr="008D3090" w:rsidRDefault="008D3090" w:rsidP="008D3090">
      <w:pPr>
        <w:spacing w:after="0" w:line="480" w:lineRule="auto"/>
        <w:rPr>
          <w:rFonts w:ascii="Times New Roman" w:eastAsia="Calibri" w:hAnsi="Times New Roman" w:cs="Times New Roman"/>
          <w:kern w:val="0"/>
          <w:lang w:val="en-GB"/>
          <w14:ligatures w14:val="none"/>
        </w:rPr>
      </w:pPr>
    </w:p>
    <w:p w14:paraId="558B858E"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In table 4.9. Question one shows that 65 respondents strongly agree, 5 </w:t>
      </w:r>
      <w:proofErr w:type="gramStart"/>
      <w:r w:rsidRPr="008D3090">
        <w:rPr>
          <w:rFonts w:ascii="Times New Roman" w:eastAsia="Calibri" w:hAnsi="Times New Roman" w:cs="Times New Roman"/>
          <w:kern w:val="0"/>
          <w:lang w:val="en-GB"/>
          <w14:ligatures w14:val="none"/>
        </w:rPr>
        <w:t>respondent</w:t>
      </w:r>
      <w:proofErr w:type="gramEnd"/>
      <w:r w:rsidRPr="008D3090">
        <w:rPr>
          <w:rFonts w:ascii="Times New Roman" w:eastAsia="Calibri" w:hAnsi="Times New Roman" w:cs="Times New Roman"/>
          <w:kern w:val="0"/>
          <w:lang w:val="en-GB"/>
          <w14:ligatures w14:val="none"/>
        </w:rPr>
        <w:t xml:space="preserve"> agree, 8 is undesirable, 6 disagree and 2 </w:t>
      </w:r>
      <w:proofErr w:type="gramStart"/>
      <w:r w:rsidRPr="008D3090">
        <w:rPr>
          <w:rFonts w:ascii="Times New Roman" w:eastAsia="Calibri" w:hAnsi="Times New Roman" w:cs="Times New Roman"/>
          <w:kern w:val="0"/>
          <w:lang w:val="en-GB"/>
          <w14:ligatures w14:val="none"/>
        </w:rPr>
        <w:t>respondent</w:t>
      </w:r>
      <w:proofErr w:type="gramEnd"/>
      <w:r w:rsidRPr="008D3090">
        <w:rPr>
          <w:rFonts w:ascii="Times New Roman" w:eastAsia="Calibri" w:hAnsi="Times New Roman" w:cs="Times New Roman"/>
          <w:kern w:val="0"/>
          <w:lang w:val="en-GB"/>
          <w14:ligatures w14:val="none"/>
        </w:rPr>
        <w:t xml:space="preserve"> strongly disagree.  Question two shows that 30 strongly agree, 40 </w:t>
      </w:r>
      <w:proofErr w:type="gramStart"/>
      <w:r w:rsidRPr="008D3090">
        <w:rPr>
          <w:rFonts w:ascii="Times New Roman" w:eastAsia="Calibri" w:hAnsi="Times New Roman" w:cs="Times New Roman"/>
          <w:kern w:val="0"/>
          <w:lang w:val="en-GB"/>
          <w14:ligatures w14:val="none"/>
        </w:rPr>
        <w:t>respondent</w:t>
      </w:r>
      <w:proofErr w:type="gramEnd"/>
      <w:r w:rsidRPr="008D3090">
        <w:rPr>
          <w:rFonts w:ascii="Times New Roman" w:eastAsia="Calibri" w:hAnsi="Times New Roman" w:cs="Times New Roman"/>
          <w:kern w:val="0"/>
          <w:lang w:val="en-GB"/>
          <w14:ligatures w14:val="none"/>
        </w:rPr>
        <w:t xml:space="preserve"> agree, 9 is undesirable, 5 disagree and 2 strongly disagree. Question three shows that 34 </w:t>
      </w:r>
      <w:proofErr w:type="gramStart"/>
      <w:r w:rsidRPr="008D3090">
        <w:rPr>
          <w:rFonts w:ascii="Times New Roman" w:eastAsia="Calibri" w:hAnsi="Times New Roman" w:cs="Times New Roman"/>
          <w:kern w:val="0"/>
          <w:lang w:val="en-GB"/>
          <w14:ligatures w14:val="none"/>
        </w:rPr>
        <w:t>respondent</w:t>
      </w:r>
      <w:proofErr w:type="gramEnd"/>
      <w:r w:rsidRPr="008D3090">
        <w:rPr>
          <w:rFonts w:ascii="Times New Roman" w:eastAsia="Calibri" w:hAnsi="Times New Roman" w:cs="Times New Roman"/>
          <w:kern w:val="0"/>
          <w:lang w:val="en-GB"/>
          <w14:ligatures w14:val="none"/>
        </w:rPr>
        <w:t xml:space="preserve"> strongly agree, 30 respondents agree, 14 respondent is undesirable, 6 </w:t>
      </w:r>
      <w:proofErr w:type="gramStart"/>
      <w:r w:rsidRPr="008D3090">
        <w:rPr>
          <w:rFonts w:ascii="Times New Roman" w:eastAsia="Calibri" w:hAnsi="Times New Roman" w:cs="Times New Roman"/>
          <w:kern w:val="0"/>
          <w:lang w:val="en-GB"/>
          <w14:ligatures w14:val="none"/>
        </w:rPr>
        <w:lastRenderedPageBreak/>
        <w:t>respondent</w:t>
      </w:r>
      <w:proofErr w:type="gramEnd"/>
      <w:r w:rsidRPr="008D3090">
        <w:rPr>
          <w:rFonts w:ascii="Times New Roman" w:eastAsia="Calibri" w:hAnsi="Times New Roman" w:cs="Times New Roman"/>
          <w:kern w:val="0"/>
          <w:lang w:val="en-GB"/>
          <w14:ligatures w14:val="none"/>
        </w:rPr>
        <w:t xml:space="preserve"> disagree, and 2 </w:t>
      </w:r>
      <w:proofErr w:type="gramStart"/>
      <w:r w:rsidRPr="008D3090">
        <w:rPr>
          <w:rFonts w:ascii="Times New Roman" w:eastAsia="Calibri" w:hAnsi="Times New Roman" w:cs="Times New Roman"/>
          <w:kern w:val="0"/>
          <w:lang w:val="en-GB"/>
          <w14:ligatures w14:val="none"/>
        </w:rPr>
        <w:t>respondent</w:t>
      </w:r>
      <w:proofErr w:type="gramEnd"/>
      <w:r w:rsidRPr="008D3090">
        <w:rPr>
          <w:rFonts w:ascii="Times New Roman" w:eastAsia="Calibri" w:hAnsi="Times New Roman" w:cs="Times New Roman"/>
          <w:kern w:val="0"/>
          <w:lang w:val="en-GB"/>
          <w14:ligatures w14:val="none"/>
        </w:rPr>
        <w:t xml:space="preserve"> strongly disagree.  Question four shows that 50 </w:t>
      </w:r>
      <w:proofErr w:type="gramStart"/>
      <w:r w:rsidRPr="008D3090">
        <w:rPr>
          <w:rFonts w:ascii="Times New Roman" w:eastAsia="Calibri" w:hAnsi="Times New Roman" w:cs="Times New Roman"/>
          <w:kern w:val="0"/>
          <w:lang w:val="en-GB"/>
          <w14:ligatures w14:val="none"/>
        </w:rPr>
        <w:t>respondent</w:t>
      </w:r>
      <w:proofErr w:type="gramEnd"/>
      <w:r w:rsidRPr="008D3090">
        <w:rPr>
          <w:rFonts w:ascii="Times New Roman" w:eastAsia="Calibri" w:hAnsi="Times New Roman" w:cs="Times New Roman"/>
          <w:kern w:val="0"/>
          <w:lang w:val="en-GB"/>
          <w14:ligatures w14:val="none"/>
        </w:rPr>
        <w:t xml:space="preserve"> strongly agree, 20 respondents agree, 4 respondent is undesirable, 11 respondents disagree, while 1 respondent strongly disagree. The average mean shows that there is membership retention in the churches in Rivers State where the independents variables are applicable.</w:t>
      </w:r>
    </w:p>
    <w:p w14:paraId="648F73D9"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Hypothesis Testing </w:t>
      </w:r>
    </w:p>
    <w:p w14:paraId="6E5C2ECF"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H</w:t>
      </w:r>
      <w:r w:rsidRPr="008D3090">
        <w:rPr>
          <w:rFonts w:ascii="Times New Roman" w:eastAsia="Calibri" w:hAnsi="Times New Roman" w:cs="Times New Roman"/>
          <w:kern w:val="0"/>
          <w:vertAlign w:val="subscript"/>
          <w:lang w:val="en-GB"/>
          <w14:ligatures w14:val="none"/>
        </w:rPr>
        <w:t xml:space="preserve">01: </w:t>
      </w:r>
      <w:r w:rsidRPr="008D3090">
        <w:rPr>
          <w:rFonts w:ascii="Times New Roman" w:eastAsia="Calibri" w:hAnsi="Times New Roman" w:cs="Times New Roman"/>
          <w:kern w:val="0"/>
          <w:lang w:val="en-GB"/>
          <w14:ligatures w14:val="none"/>
        </w:rPr>
        <w:t xml:space="preserve">There is no significance relationship between </w:t>
      </w:r>
      <w:proofErr w:type="gramStart"/>
      <w:r w:rsidRPr="008D3090">
        <w:rPr>
          <w:rFonts w:ascii="Times New Roman" w:eastAsia="Calibri" w:hAnsi="Times New Roman" w:cs="Times New Roman"/>
          <w:kern w:val="0"/>
          <w:lang w:val="en-GB"/>
          <w14:ligatures w14:val="none"/>
        </w:rPr>
        <w:t>Religious</w:t>
      </w:r>
      <w:proofErr w:type="gramEnd"/>
      <w:r w:rsidRPr="008D3090">
        <w:rPr>
          <w:rFonts w:ascii="Times New Roman" w:eastAsia="Calibri" w:hAnsi="Times New Roman" w:cs="Times New Roman"/>
          <w:kern w:val="0"/>
          <w:lang w:val="en-GB"/>
          <w14:ligatures w14:val="none"/>
        </w:rPr>
        <w:t xml:space="preserve"> activities and </w:t>
      </w:r>
      <w:r w:rsidRPr="008D3090">
        <w:rPr>
          <w:rFonts w:ascii="Times New Roman" w:eastAsia="Calibri" w:hAnsi="Times New Roman" w:cs="Times New Roman"/>
          <w:kern w:val="0"/>
          <w:lang w:val="en-GB"/>
          <w14:ligatures w14:val="none"/>
        </w:rPr>
        <w:tab/>
        <w:t>Membership retention.</w:t>
      </w:r>
    </w:p>
    <w:p w14:paraId="617CB960"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p w14:paraId="08E09396"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Table 4.11: Religious activities and Membership Retention</w:t>
      </w:r>
    </w:p>
    <w:p w14:paraId="2A8A90B3"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tbl>
      <w:tblPr>
        <w:tblW w:w="9356"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60"/>
        <w:gridCol w:w="2551"/>
        <w:gridCol w:w="2127"/>
        <w:gridCol w:w="1378"/>
        <w:gridCol w:w="1740"/>
      </w:tblGrid>
      <w:tr w:rsidR="008D3090" w:rsidRPr="008D3090" w14:paraId="7BF907D2" w14:textId="77777777" w:rsidTr="00D00B3F">
        <w:trPr>
          <w:cantSplit/>
        </w:trPr>
        <w:tc>
          <w:tcPr>
            <w:tcW w:w="9356" w:type="dxa"/>
            <w:gridSpan w:val="5"/>
            <w:tcBorders>
              <w:top w:val="nil"/>
              <w:left w:val="nil"/>
              <w:bottom w:val="nil"/>
              <w:right w:val="nil"/>
            </w:tcBorders>
            <w:shd w:val="clear" w:color="auto" w:fill="FFFFFF"/>
          </w:tcPr>
          <w:p w14:paraId="20DDE724"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b/>
                <w:bCs/>
                <w:color w:val="000000"/>
                <w:kern w:val="0"/>
                <w:lang w:val="en-GB"/>
                <w14:ligatures w14:val="none"/>
              </w:rPr>
              <w:t>Correlations</w:t>
            </w:r>
          </w:p>
        </w:tc>
      </w:tr>
      <w:tr w:rsidR="008D3090" w:rsidRPr="008D3090" w14:paraId="659A3537" w14:textId="77777777" w:rsidTr="00D00B3F">
        <w:trPr>
          <w:cantSplit/>
        </w:trPr>
        <w:tc>
          <w:tcPr>
            <w:tcW w:w="6238" w:type="dxa"/>
            <w:gridSpan w:val="3"/>
            <w:tcBorders>
              <w:top w:val="single" w:sz="16" w:space="0" w:color="000000"/>
              <w:left w:val="single" w:sz="16" w:space="0" w:color="000000"/>
              <w:bottom w:val="single" w:sz="16" w:space="0" w:color="000000"/>
              <w:right w:val="nil"/>
            </w:tcBorders>
            <w:shd w:val="clear" w:color="auto" w:fill="FFFFFF"/>
          </w:tcPr>
          <w:p w14:paraId="1BAE08E4"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p>
        </w:tc>
        <w:tc>
          <w:tcPr>
            <w:tcW w:w="1378" w:type="dxa"/>
            <w:tcBorders>
              <w:top w:val="single" w:sz="16" w:space="0" w:color="000000"/>
              <w:left w:val="single" w:sz="16" w:space="0" w:color="000000"/>
              <w:bottom w:val="single" w:sz="16" w:space="0" w:color="000000"/>
            </w:tcBorders>
            <w:shd w:val="clear" w:color="auto" w:fill="FFFFFF"/>
          </w:tcPr>
          <w:p w14:paraId="7E97C135"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Religious</w:t>
            </w:r>
          </w:p>
          <w:p w14:paraId="1EDBF8CE"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Activities</w:t>
            </w:r>
          </w:p>
        </w:tc>
        <w:tc>
          <w:tcPr>
            <w:tcW w:w="1740" w:type="dxa"/>
            <w:tcBorders>
              <w:top w:val="single" w:sz="16" w:space="0" w:color="000000"/>
              <w:bottom w:val="single" w:sz="16" w:space="0" w:color="000000"/>
              <w:right w:val="single" w:sz="16" w:space="0" w:color="000000"/>
            </w:tcBorders>
            <w:shd w:val="clear" w:color="auto" w:fill="FFFFFF"/>
          </w:tcPr>
          <w:p w14:paraId="77E4B5B3"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Membership</w:t>
            </w:r>
          </w:p>
          <w:p w14:paraId="1C1B7D14"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Retention</w:t>
            </w:r>
          </w:p>
        </w:tc>
      </w:tr>
      <w:tr w:rsidR="008D3090" w:rsidRPr="008D3090" w14:paraId="3BF5BFD9" w14:textId="77777777" w:rsidTr="00D00B3F">
        <w:trPr>
          <w:cantSplit/>
        </w:trPr>
        <w:tc>
          <w:tcPr>
            <w:tcW w:w="1560" w:type="dxa"/>
            <w:vMerge w:val="restart"/>
            <w:tcBorders>
              <w:top w:val="single" w:sz="16" w:space="0" w:color="000000"/>
              <w:left w:val="single" w:sz="16" w:space="0" w:color="000000"/>
              <w:bottom w:val="single" w:sz="16" w:space="0" w:color="000000"/>
              <w:right w:val="nil"/>
            </w:tcBorders>
            <w:shd w:val="clear" w:color="auto" w:fill="FFFFFF"/>
            <w:vAlign w:val="center"/>
          </w:tcPr>
          <w:p w14:paraId="67F86DB9"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Spearman's rho</w:t>
            </w:r>
          </w:p>
        </w:tc>
        <w:tc>
          <w:tcPr>
            <w:tcW w:w="2551" w:type="dxa"/>
            <w:vMerge w:val="restart"/>
            <w:tcBorders>
              <w:top w:val="single" w:sz="18" w:space="0" w:color="000000"/>
              <w:left w:val="nil"/>
              <w:bottom w:val="nil"/>
              <w:right w:val="nil"/>
            </w:tcBorders>
            <w:shd w:val="clear" w:color="auto" w:fill="FFFFFF"/>
            <w:vAlign w:val="center"/>
          </w:tcPr>
          <w:p w14:paraId="40963DE1"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Religious</w:t>
            </w:r>
          </w:p>
          <w:p w14:paraId="5ED0BB40"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Activities</w:t>
            </w:r>
          </w:p>
        </w:tc>
        <w:tc>
          <w:tcPr>
            <w:tcW w:w="2127" w:type="dxa"/>
            <w:tcBorders>
              <w:top w:val="single" w:sz="18" w:space="0" w:color="000000"/>
              <w:left w:val="nil"/>
              <w:bottom w:val="nil"/>
              <w:right w:val="single" w:sz="16" w:space="0" w:color="000000"/>
            </w:tcBorders>
            <w:shd w:val="clear" w:color="auto" w:fill="FFFFFF"/>
            <w:vAlign w:val="center"/>
          </w:tcPr>
          <w:p w14:paraId="08AC7047"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Coefficient</w:t>
            </w:r>
          </w:p>
        </w:tc>
        <w:tc>
          <w:tcPr>
            <w:tcW w:w="1378" w:type="dxa"/>
            <w:tcBorders>
              <w:top w:val="single" w:sz="18" w:space="0" w:color="000000"/>
              <w:left w:val="single" w:sz="16" w:space="0" w:color="000000"/>
              <w:bottom w:val="nil"/>
            </w:tcBorders>
            <w:shd w:val="clear" w:color="auto" w:fill="FFFFFF"/>
            <w:vAlign w:val="center"/>
          </w:tcPr>
          <w:p w14:paraId="5A5C0817"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c>
          <w:tcPr>
            <w:tcW w:w="1740" w:type="dxa"/>
            <w:tcBorders>
              <w:top w:val="single" w:sz="18" w:space="0" w:color="000000"/>
              <w:bottom w:val="nil"/>
              <w:right w:val="single" w:sz="18" w:space="0" w:color="000000"/>
            </w:tcBorders>
            <w:shd w:val="clear" w:color="auto" w:fill="FFFFFF"/>
            <w:vAlign w:val="center"/>
          </w:tcPr>
          <w:p w14:paraId="17AF5252"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.566</w:t>
            </w:r>
            <w:r w:rsidRPr="008D3090">
              <w:rPr>
                <w:rFonts w:ascii="Times New Roman" w:eastAsia="Calibri" w:hAnsi="Times New Roman" w:cs="Times New Roman"/>
                <w:color w:val="000000"/>
                <w:kern w:val="0"/>
                <w:vertAlign w:val="superscript"/>
                <w:lang w:val="en-GB"/>
                <w14:ligatures w14:val="none"/>
              </w:rPr>
              <w:t>**</w:t>
            </w:r>
          </w:p>
        </w:tc>
      </w:tr>
      <w:tr w:rsidR="008D3090" w:rsidRPr="008D3090" w14:paraId="56086E98" w14:textId="77777777" w:rsidTr="00D00B3F">
        <w:trPr>
          <w:cantSplit/>
        </w:trPr>
        <w:tc>
          <w:tcPr>
            <w:tcW w:w="1560" w:type="dxa"/>
            <w:vMerge/>
            <w:tcBorders>
              <w:top w:val="single" w:sz="16" w:space="0" w:color="000000"/>
              <w:left w:val="single" w:sz="16" w:space="0" w:color="000000"/>
              <w:bottom w:val="single" w:sz="16" w:space="0" w:color="000000"/>
              <w:right w:val="nil"/>
            </w:tcBorders>
            <w:shd w:val="clear" w:color="auto" w:fill="FFFFFF"/>
            <w:vAlign w:val="center"/>
          </w:tcPr>
          <w:p w14:paraId="5DCDBA2D"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551" w:type="dxa"/>
            <w:vMerge/>
            <w:tcBorders>
              <w:top w:val="single" w:sz="16" w:space="0" w:color="000000"/>
              <w:left w:val="nil"/>
              <w:bottom w:val="nil"/>
              <w:right w:val="nil"/>
            </w:tcBorders>
            <w:shd w:val="clear" w:color="auto" w:fill="FFFFFF"/>
            <w:vAlign w:val="center"/>
          </w:tcPr>
          <w:p w14:paraId="386C4217"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127" w:type="dxa"/>
            <w:tcBorders>
              <w:top w:val="nil"/>
              <w:left w:val="nil"/>
              <w:bottom w:val="nil"/>
              <w:right w:val="single" w:sz="16" w:space="0" w:color="000000"/>
            </w:tcBorders>
            <w:shd w:val="clear" w:color="auto" w:fill="FFFFFF"/>
            <w:vAlign w:val="center"/>
          </w:tcPr>
          <w:p w14:paraId="2C303BDB"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Sig. (2-tailed)</w:t>
            </w:r>
          </w:p>
        </w:tc>
        <w:tc>
          <w:tcPr>
            <w:tcW w:w="1378" w:type="dxa"/>
            <w:tcBorders>
              <w:top w:val="nil"/>
              <w:left w:val="single" w:sz="16" w:space="0" w:color="000000"/>
              <w:bottom w:val="nil"/>
            </w:tcBorders>
            <w:shd w:val="clear" w:color="auto" w:fill="FFFFFF"/>
            <w:vAlign w:val="center"/>
          </w:tcPr>
          <w:p w14:paraId="51750FAF"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w:t>
            </w:r>
          </w:p>
        </w:tc>
        <w:tc>
          <w:tcPr>
            <w:tcW w:w="1740" w:type="dxa"/>
            <w:tcBorders>
              <w:top w:val="nil"/>
              <w:bottom w:val="nil"/>
              <w:right w:val="single" w:sz="18" w:space="0" w:color="000000"/>
            </w:tcBorders>
            <w:shd w:val="clear" w:color="auto" w:fill="FFFFFF"/>
            <w:vAlign w:val="center"/>
          </w:tcPr>
          <w:p w14:paraId="12E77F39"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.000</w:t>
            </w:r>
          </w:p>
        </w:tc>
      </w:tr>
      <w:tr w:rsidR="008D3090" w:rsidRPr="008D3090" w14:paraId="6288117B" w14:textId="77777777" w:rsidTr="00D00B3F">
        <w:trPr>
          <w:cantSplit/>
        </w:trPr>
        <w:tc>
          <w:tcPr>
            <w:tcW w:w="1560" w:type="dxa"/>
            <w:vMerge/>
            <w:tcBorders>
              <w:top w:val="single" w:sz="16" w:space="0" w:color="000000"/>
              <w:left w:val="single" w:sz="16" w:space="0" w:color="000000"/>
              <w:bottom w:val="single" w:sz="16" w:space="0" w:color="000000"/>
              <w:right w:val="nil"/>
            </w:tcBorders>
            <w:shd w:val="clear" w:color="auto" w:fill="FFFFFF"/>
            <w:vAlign w:val="center"/>
          </w:tcPr>
          <w:p w14:paraId="1C87A299"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551" w:type="dxa"/>
            <w:vMerge/>
            <w:tcBorders>
              <w:top w:val="single" w:sz="16" w:space="0" w:color="000000"/>
              <w:left w:val="nil"/>
              <w:bottom w:val="single" w:sz="4" w:space="0" w:color="auto"/>
              <w:right w:val="nil"/>
            </w:tcBorders>
            <w:shd w:val="clear" w:color="auto" w:fill="FFFFFF"/>
            <w:vAlign w:val="center"/>
          </w:tcPr>
          <w:p w14:paraId="1A759835"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127" w:type="dxa"/>
            <w:tcBorders>
              <w:top w:val="nil"/>
              <w:left w:val="nil"/>
              <w:bottom w:val="single" w:sz="4" w:space="0" w:color="auto"/>
              <w:right w:val="single" w:sz="16" w:space="0" w:color="000000"/>
            </w:tcBorders>
            <w:shd w:val="clear" w:color="auto" w:fill="FFFFFF"/>
            <w:vAlign w:val="center"/>
          </w:tcPr>
          <w:p w14:paraId="2C5CEDD1"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N</w:t>
            </w:r>
          </w:p>
        </w:tc>
        <w:tc>
          <w:tcPr>
            <w:tcW w:w="1378" w:type="dxa"/>
            <w:tcBorders>
              <w:top w:val="nil"/>
              <w:left w:val="single" w:sz="16" w:space="0" w:color="000000"/>
              <w:bottom w:val="single" w:sz="4" w:space="0" w:color="auto"/>
            </w:tcBorders>
            <w:shd w:val="clear" w:color="auto" w:fill="FFFFFF"/>
            <w:vAlign w:val="center"/>
          </w:tcPr>
          <w:p w14:paraId="041C2620"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c>
          <w:tcPr>
            <w:tcW w:w="1740" w:type="dxa"/>
            <w:tcBorders>
              <w:top w:val="nil"/>
              <w:bottom w:val="single" w:sz="4" w:space="0" w:color="auto"/>
              <w:right w:val="single" w:sz="18" w:space="0" w:color="000000"/>
            </w:tcBorders>
            <w:shd w:val="clear" w:color="auto" w:fill="FFFFFF"/>
            <w:vAlign w:val="center"/>
          </w:tcPr>
          <w:p w14:paraId="46EF39C5"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r>
      <w:tr w:rsidR="008D3090" w:rsidRPr="008D3090" w14:paraId="5A0299EF" w14:textId="77777777" w:rsidTr="00D00B3F">
        <w:trPr>
          <w:cantSplit/>
        </w:trPr>
        <w:tc>
          <w:tcPr>
            <w:tcW w:w="1560" w:type="dxa"/>
            <w:vMerge/>
            <w:tcBorders>
              <w:top w:val="single" w:sz="16" w:space="0" w:color="000000"/>
              <w:left w:val="single" w:sz="16" w:space="0" w:color="000000"/>
              <w:bottom w:val="single" w:sz="16" w:space="0" w:color="000000"/>
              <w:right w:val="nil"/>
            </w:tcBorders>
            <w:shd w:val="clear" w:color="auto" w:fill="FFFFFF"/>
            <w:vAlign w:val="center"/>
          </w:tcPr>
          <w:p w14:paraId="19139080"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551" w:type="dxa"/>
            <w:vMerge w:val="restart"/>
            <w:tcBorders>
              <w:top w:val="single" w:sz="4" w:space="0" w:color="auto"/>
              <w:left w:val="nil"/>
              <w:bottom w:val="single" w:sz="16" w:space="0" w:color="000000"/>
              <w:right w:val="nil"/>
            </w:tcBorders>
            <w:shd w:val="clear" w:color="auto" w:fill="FFFFFF"/>
            <w:vAlign w:val="center"/>
          </w:tcPr>
          <w:p w14:paraId="1E9B38CC"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Membership</w:t>
            </w:r>
          </w:p>
          <w:p w14:paraId="43DEA9B9"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Retention</w:t>
            </w:r>
          </w:p>
        </w:tc>
        <w:tc>
          <w:tcPr>
            <w:tcW w:w="2127" w:type="dxa"/>
            <w:tcBorders>
              <w:top w:val="single" w:sz="4" w:space="0" w:color="auto"/>
              <w:left w:val="nil"/>
              <w:bottom w:val="nil"/>
              <w:right w:val="single" w:sz="16" w:space="0" w:color="000000"/>
            </w:tcBorders>
            <w:shd w:val="clear" w:color="auto" w:fill="FFFFFF"/>
            <w:vAlign w:val="center"/>
          </w:tcPr>
          <w:p w14:paraId="50220036"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Coefficient</w:t>
            </w:r>
          </w:p>
        </w:tc>
        <w:tc>
          <w:tcPr>
            <w:tcW w:w="1378" w:type="dxa"/>
            <w:tcBorders>
              <w:top w:val="single" w:sz="4" w:space="0" w:color="auto"/>
              <w:left w:val="single" w:sz="16" w:space="0" w:color="000000"/>
              <w:bottom w:val="nil"/>
            </w:tcBorders>
            <w:shd w:val="clear" w:color="auto" w:fill="FFFFFF"/>
            <w:vAlign w:val="center"/>
          </w:tcPr>
          <w:p w14:paraId="436F07EF"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.566</w:t>
            </w:r>
            <w:r w:rsidRPr="008D3090">
              <w:rPr>
                <w:rFonts w:ascii="Times New Roman" w:eastAsia="Calibri" w:hAnsi="Times New Roman" w:cs="Times New Roman"/>
                <w:color w:val="000000"/>
                <w:kern w:val="0"/>
                <w:vertAlign w:val="superscript"/>
                <w:lang w:val="en-GB"/>
                <w14:ligatures w14:val="none"/>
              </w:rPr>
              <w:t>**</w:t>
            </w:r>
          </w:p>
        </w:tc>
        <w:tc>
          <w:tcPr>
            <w:tcW w:w="1740" w:type="dxa"/>
            <w:tcBorders>
              <w:top w:val="single" w:sz="4" w:space="0" w:color="auto"/>
              <w:bottom w:val="nil"/>
              <w:right w:val="single" w:sz="16" w:space="0" w:color="000000"/>
            </w:tcBorders>
            <w:shd w:val="clear" w:color="auto" w:fill="FFFFFF"/>
            <w:vAlign w:val="center"/>
          </w:tcPr>
          <w:p w14:paraId="15904062"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r>
      <w:tr w:rsidR="008D3090" w:rsidRPr="008D3090" w14:paraId="78A55601" w14:textId="77777777" w:rsidTr="00D00B3F">
        <w:trPr>
          <w:cantSplit/>
        </w:trPr>
        <w:tc>
          <w:tcPr>
            <w:tcW w:w="1560" w:type="dxa"/>
            <w:vMerge/>
            <w:tcBorders>
              <w:top w:val="single" w:sz="16" w:space="0" w:color="000000"/>
              <w:left w:val="single" w:sz="16" w:space="0" w:color="000000"/>
              <w:bottom w:val="single" w:sz="16" w:space="0" w:color="000000"/>
              <w:right w:val="nil"/>
            </w:tcBorders>
            <w:shd w:val="clear" w:color="auto" w:fill="FFFFFF"/>
            <w:vAlign w:val="center"/>
          </w:tcPr>
          <w:p w14:paraId="30D857B7"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551" w:type="dxa"/>
            <w:vMerge/>
            <w:tcBorders>
              <w:top w:val="nil"/>
              <w:left w:val="nil"/>
              <w:bottom w:val="single" w:sz="16" w:space="0" w:color="000000"/>
              <w:right w:val="nil"/>
            </w:tcBorders>
            <w:shd w:val="clear" w:color="auto" w:fill="FFFFFF"/>
            <w:vAlign w:val="center"/>
          </w:tcPr>
          <w:p w14:paraId="76A9E4EA"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127" w:type="dxa"/>
            <w:tcBorders>
              <w:top w:val="nil"/>
              <w:left w:val="nil"/>
              <w:bottom w:val="nil"/>
              <w:right w:val="single" w:sz="16" w:space="0" w:color="000000"/>
            </w:tcBorders>
            <w:shd w:val="clear" w:color="auto" w:fill="FFFFFF"/>
            <w:vAlign w:val="center"/>
          </w:tcPr>
          <w:p w14:paraId="6EBFD240"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Sig. (2-tailed)</w:t>
            </w:r>
          </w:p>
        </w:tc>
        <w:tc>
          <w:tcPr>
            <w:tcW w:w="1378" w:type="dxa"/>
            <w:tcBorders>
              <w:top w:val="nil"/>
              <w:left w:val="single" w:sz="16" w:space="0" w:color="000000"/>
              <w:bottom w:val="nil"/>
            </w:tcBorders>
            <w:shd w:val="clear" w:color="auto" w:fill="FFFFFF"/>
            <w:vAlign w:val="center"/>
          </w:tcPr>
          <w:p w14:paraId="4FF1DB28"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.000</w:t>
            </w:r>
          </w:p>
        </w:tc>
        <w:tc>
          <w:tcPr>
            <w:tcW w:w="1740" w:type="dxa"/>
            <w:tcBorders>
              <w:top w:val="nil"/>
              <w:bottom w:val="nil"/>
              <w:right w:val="single" w:sz="16" w:space="0" w:color="000000"/>
            </w:tcBorders>
            <w:shd w:val="clear" w:color="auto" w:fill="FFFFFF"/>
            <w:vAlign w:val="center"/>
          </w:tcPr>
          <w:p w14:paraId="0C717BC1"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w:t>
            </w:r>
          </w:p>
        </w:tc>
      </w:tr>
      <w:tr w:rsidR="008D3090" w:rsidRPr="008D3090" w14:paraId="0F38DBDC" w14:textId="77777777" w:rsidTr="00D00B3F">
        <w:trPr>
          <w:cantSplit/>
        </w:trPr>
        <w:tc>
          <w:tcPr>
            <w:tcW w:w="1560" w:type="dxa"/>
            <w:vMerge/>
            <w:tcBorders>
              <w:top w:val="single" w:sz="16" w:space="0" w:color="000000"/>
              <w:left w:val="single" w:sz="16" w:space="0" w:color="000000"/>
              <w:bottom w:val="single" w:sz="16" w:space="0" w:color="000000"/>
              <w:right w:val="nil"/>
            </w:tcBorders>
            <w:shd w:val="clear" w:color="auto" w:fill="FFFFFF"/>
            <w:vAlign w:val="center"/>
          </w:tcPr>
          <w:p w14:paraId="79E15BB9"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551" w:type="dxa"/>
            <w:vMerge/>
            <w:tcBorders>
              <w:top w:val="nil"/>
              <w:left w:val="nil"/>
              <w:bottom w:val="single" w:sz="16" w:space="0" w:color="000000"/>
              <w:right w:val="nil"/>
            </w:tcBorders>
            <w:shd w:val="clear" w:color="auto" w:fill="FFFFFF"/>
            <w:vAlign w:val="center"/>
          </w:tcPr>
          <w:p w14:paraId="5588AFAF"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127" w:type="dxa"/>
            <w:tcBorders>
              <w:top w:val="nil"/>
              <w:left w:val="nil"/>
              <w:bottom w:val="single" w:sz="16" w:space="0" w:color="000000"/>
              <w:right w:val="single" w:sz="16" w:space="0" w:color="000000"/>
            </w:tcBorders>
            <w:shd w:val="clear" w:color="auto" w:fill="FFFFFF"/>
            <w:vAlign w:val="center"/>
          </w:tcPr>
          <w:p w14:paraId="77C8A091"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N</w:t>
            </w:r>
          </w:p>
        </w:tc>
        <w:tc>
          <w:tcPr>
            <w:tcW w:w="1378" w:type="dxa"/>
            <w:tcBorders>
              <w:top w:val="nil"/>
              <w:left w:val="single" w:sz="16" w:space="0" w:color="000000"/>
              <w:bottom w:val="single" w:sz="16" w:space="0" w:color="000000"/>
            </w:tcBorders>
            <w:shd w:val="clear" w:color="auto" w:fill="FFFFFF"/>
            <w:vAlign w:val="center"/>
          </w:tcPr>
          <w:p w14:paraId="66C4CC44"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c>
          <w:tcPr>
            <w:tcW w:w="1740" w:type="dxa"/>
            <w:tcBorders>
              <w:top w:val="nil"/>
              <w:bottom w:val="single" w:sz="16" w:space="0" w:color="000000"/>
              <w:right w:val="single" w:sz="16" w:space="0" w:color="000000"/>
            </w:tcBorders>
            <w:shd w:val="clear" w:color="auto" w:fill="FFFFFF"/>
            <w:vAlign w:val="center"/>
          </w:tcPr>
          <w:p w14:paraId="26DD34A1"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r>
      <w:tr w:rsidR="008D3090" w:rsidRPr="008D3090" w14:paraId="13377A70" w14:textId="77777777" w:rsidTr="00D00B3F">
        <w:trPr>
          <w:cantSplit/>
        </w:trPr>
        <w:tc>
          <w:tcPr>
            <w:tcW w:w="9356" w:type="dxa"/>
            <w:gridSpan w:val="5"/>
            <w:tcBorders>
              <w:top w:val="nil"/>
              <w:left w:val="nil"/>
              <w:bottom w:val="nil"/>
              <w:right w:val="nil"/>
            </w:tcBorders>
            <w:shd w:val="clear" w:color="auto" w:fill="FFFFFF"/>
          </w:tcPr>
          <w:p w14:paraId="13573275"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is significant at the 0.01 level (2-tailed).</w:t>
            </w:r>
          </w:p>
        </w:tc>
      </w:tr>
    </w:tbl>
    <w:p w14:paraId="5260DC8C"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p w14:paraId="68F9DA19"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Table 4.11 shows a strong positive relationship between the independent variable (Religious Activities) and the dependent variable (Membership </w:t>
      </w:r>
      <w:proofErr w:type="gramStart"/>
      <w:r w:rsidRPr="008D3090">
        <w:rPr>
          <w:rFonts w:ascii="Times New Roman" w:eastAsia="Calibri" w:hAnsi="Times New Roman" w:cs="Times New Roman"/>
          <w:kern w:val="0"/>
          <w:lang w:val="en-GB"/>
          <w14:ligatures w14:val="none"/>
        </w:rPr>
        <w:t xml:space="preserve">retention)  </w:t>
      </w:r>
      <w:r w:rsidRPr="008D3090">
        <w:rPr>
          <w:rFonts w:ascii="Times New Roman" w:eastAsia="Calibri" w:hAnsi="Times New Roman" w:cs="Times New Roman"/>
          <w:i/>
          <w:kern w:val="0"/>
          <w:lang w:val="en-GB"/>
          <w14:ligatures w14:val="none"/>
        </w:rPr>
        <w:t>p</w:t>
      </w:r>
      <w:proofErr w:type="gramEnd"/>
      <w:r w:rsidRPr="008D3090">
        <w:rPr>
          <w:rFonts w:ascii="Times New Roman" w:eastAsia="Calibri" w:hAnsi="Times New Roman" w:cs="Times New Roman"/>
          <w:kern w:val="0"/>
          <w:lang w:val="en-GB"/>
          <w14:ligatures w14:val="none"/>
        </w:rPr>
        <w:t xml:space="preserve"> value (= 0.00) less than the level of significance of 0.05. Spearman’s (rho) correlation coefficient is 0.566 above the average of 0.50.  We therefore reject the null hypothesis and accept the alternate hypothesis which says that there is a strong positive relationship between Religious Activities and Membership Retention of Religious Brand Equity and Loyalty of Churches in Rivers State. </w:t>
      </w:r>
    </w:p>
    <w:p w14:paraId="5430D8D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70FC3959" w14:textId="77777777" w:rsidR="008D3090" w:rsidRPr="008D3090" w:rsidRDefault="008D3090" w:rsidP="001A5F7B">
      <w:pPr>
        <w:tabs>
          <w:tab w:val="left" w:pos="567"/>
        </w:tabs>
        <w:autoSpaceDE w:val="0"/>
        <w:autoSpaceDN w:val="0"/>
        <w:adjustRightInd w:val="0"/>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H</w:t>
      </w:r>
      <w:r w:rsidRPr="008D3090">
        <w:rPr>
          <w:rFonts w:ascii="Times New Roman" w:eastAsia="Calibri" w:hAnsi="Times New Roman" w:cs="Times New Roman"/>
          <w:kern w:val="0"/>
          <w:vertAlign w:val="subscript"/>
          <w:lang w:val="en-GB"/>
          <w14:ligatures w14:val="none"/>
        </w:rPr>
        <w:t>02</w:t>
      </w:r>
      <w:r w:rsidRPr="008D3090">
        <w:rPr>
          <w:rFonts w:ascii="Times New Roman" w:eastAsia="Calibri" w:hAnsi="Times New Roman" w:cs="Times New Roman"/>
          <w:kern w:val="0"/>
          <w:lang w:val="en-GB"/>
          <w14:ligatures w14:val="none"/>
        </w:rPr>
        <w:t xml:space="preserve">: There is no significant relationship between awareness and membership retention </w:t>
      </w:r>
    </w:p>
    <w:p w14:paraId="17310BD6"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kern w:val="0"/>
          <w:lang w:val="en-GB"/>
          <w14:ligatures w14:val="none"/>
        </w:rPr>
      </w:pPr>
    </w:p>
    <w:p w14:paraId="4F9FD800"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 xml:space="preserve">Table 4.12: Digital Awareness and Membership Retention </w:t>
      </w:r>
    </w:p>
    <w:p w14:paraId="422E47E0"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tbl>
      <w:tblPr>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607"/>
        <w:gridCol w:w="2229"/>
        <w:gridCol w:w="1834"/>
        <w:gridCol w:w="1500"/>
        <w:gridCol w:w="1902"/>
      </w:tblGrid>
      <w:tr w:rsidR="008D3090" w:rsidRPr="008D3090" w14:paraId="76728639" w14:textId="77777777" w:rsidTr="00D00B3F">
        <w:trPr>
          <w:cantSplit/>
        </w:trPr>
        <w:tc>
          <w:tcPr>
            <w:tcW w:w="9072" w:type="dxa"/>
            <w:gridSpan w:val="5"/>
            <w:tcBorders>
              <w:top w:val="nil"/>
              <w:left w:val="nil"/>
              <w:bottom w:val="nil"/>
              <w:right w:val="nil"/>
            </w:tcBorders>
            <w:shd w:val="clear" w:color="auto" w:fill="FFFFFF"/>
          </w:tcPr>
          <w:p w14:paraId="048827FB"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b/>
                <w:bCs/>
                <w:color w:val="000000"/>
                <w:kern w:val="0"/>
                <w:lang w:val="en-GB"/>
                <w14:ligatures w14:val="none"/>
              </w:rPr>
              <w:t>Correlations</w:t>
            </w:r>
          </w:p>
        </w:tc>
      </w:tr>
      <w:tr w:rsidR="008D3090" w:rsidRPr="008D3090" w14:paraId="1A094B98" w14:textId="77777777" w:rsidTr="00D00B3F">
        <w:trPr>
          <w:cantSplit/>
        </w:trPr>
        <w:tc>
          <w:tcPr>
            <w:tcW w:w="5670" w:type="dxa"/>
            <w:gridSpan w:val="3"/>
            <w:tcBorders>
              <w:top w:val="single" w:sz="16" w:space="0" w:color="000000"/>
              <w:left w:val="single" w:sz="16" w:space="0" w:color="000000"/>
              <w:bottom w:val="single" w:sz="16" w:space="0" w:color="000000"/>
              <w:right w:val="nil"/>
            </w:tcBorders>
            <w:shd w:val="clear" w:color="auto" w:fill="FFFFFF"/>
          </w:tcPr>
          <w:p w14:paraId="229421D5"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p>
        </w:tc>
        <w:tc>
          <w:tcPr>
            <w:tcW w:w="1500" w:type="dxa"/>
            <w:tcBorders>
              <w:top w:val="single" w:sz="16" w:space="0" w:color="000000"/>
              <w:left w:val="single" w:sz="16" w:space="0" w:color="000000"/>
              <w:bottom w:val="single" w:sz="16" w:space="0" w:color="000000"/>
            </w:tcBorders>
            <w:shd w:val="clear" w:color="auto" w:fill="FFFFFF"/>
          </w:tcPr>
          <w:p w14:paraId="27E2BC3A"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Awareness</w:t>
            </w:r>
          </w:p>
        </w:tc>
        <w:tc>
          <w:tcPr>
            <w:tcW w:w="1902" w:type="dxa"/>
            <w:tcBorders>
              <w:top w:val="single" w:sz="16" w:space="0" w:color="000000"/>
              <w:bottom w:val="single" w:sz="16" w:space="0" w:color="000000"/>
              <w:right w:val="single" w:sz="16" w:space="0" w:color="000000"/>
            </w:tcBorders>
            <w:shd w:val="clear" w:color="auto" w:fill="FFFFFF"/>
          </w:tcPr>
          <w:p w14:paraId="405BBA5D"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Membership Retention</w:t>
            </w:r>
          </w:p>
        </w:tc>
      </w:tr>
      <w:tr w:rsidR="008D3090" w:rsidRPr="008D3090" w14:paraId="798BF3C7" w14:textId="77777777" w:rsidTr="00D00B3F">
        <w:trPr>
          <w:cantSplit/>
        </w:trPr>
        <w:tc>
          <w:tcPr>
            <w:tcW w:w="1607" w:type="dxa"/>
            <w:vMerge w:val="restart"/>
            <w:tcBorders>
              <w:top w:val="single" w:sz="16" w:space="0" w:color="000000"/>
              <w:left w:val="single" w:sz="16" w:space="0" w:color="000000"/>
              <w:bottom w:val="single" w:sz="16" w:space="0" w:color="000000"/>
              <w:right w:val="nil"/>
            </w:tcBorders>
            <w:shd w:val="clear" w:color="auto" w:fill="FFFFFF"/>
            <w:vAlign w:val="center"/>
          </w:tcPr>
          <w:p w14:paraId="71A5B678"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Spearman's rho</w:t>
            </w:r>
          </w:p>
        </w:tc>
        <w:tc>
          <w:tcPr>
            <w:tcW w:w="2229" w:type="dxa"/>
            <w:vMerge w:val="restart"/>
            <w:tcBorders>
              <w:top w:val="single" w:sz="18" w:space="0" w:color="000000"/>
              <w:left w:val="nil"/>
              <w:bottom w:val="nil"/>
              <w:right w:val="nil"/>
            </w:tcBorders>
            <w:shd w:val="clear" w:color="auto" w:fill="FFFFFF"/>
            <w:vAlign w:val="center"/>
          </w:tcPr>
          <w:p w14:paraId="7D5618E5"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Awareness</w:t>
            </w:r>
          </w:p>
        </w:tc>
        <w:tc>
          <w:tcPr>
            <w:tcW w:w="1834" w:type="dxa"/>
            <w:tcBorders>
              <w:top w:val="single" w:sz="18" w:space="0" w:color="000000"/>
              <w:left w:val="nil"/>
              <w:bottom w:val="nil"/>
              <w:right w:val="single" w:sz="16" w:space="0" w:color="000000"/>
            </w:tcBorders>
            <w:shd w:val="clear" w:color="auto" w:fill="FFFFFF"/>
            <w:vAlign w:val="center"/>
          </w:tcPr>
          <w:p w14:paraId="6B05FA68"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Coefficient</w:t>
            </w:r>
          </w:p>
        </w:tc>
        <w:tc>
          <w:tcPr>
            <w:tcW w:w="1500" w:type="dxa"/>
            <w:tcBorders>
              <w:top w:val="single" w:sz="18" w:space="0" w:color="000000"/>
              <w:left w:val="single" w:sz="16" w:space="0" w:color="000000"/>
              <w:bottom w:val="nil"/>
            </w:tcBorders>
            <w:shd w:val="clear" w:color="auto" w:fill="FFFFFF"/>
            <w:vAlign w:val="center"/>
          </w:tcPr>
          <w:p w14:paraId="5F64534D"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c>
          <w:tcPr>
            <w:tcW w:w="1902" w:type="dxa"/>
            <w:tcBorders>
              <w:top w:val="single" w:sz="18" w:space="0" w:color="000000"/>
              <w:bottom w:val="nil"/>
              <w:right w:val="single" w:sz="18" w:space="0" w:color="000000"/>
            </w:tcBorders>
            <w:shd w:val="clear" w:color="auto" w:fill="FFFFFF"/>
            <w:vAlign w:val="center"/>
          </w:tcPr>
          <w:p w14:paraId="26DCA3FD"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.707</w:t>
            </w:r>
            <w:r w:rsidRPr="008D3090">
              <w:rPr>
                <w:rFonts w:ascii="Times New Roman" w:eastAsia="Calibri" w:hAnsi="Times New Roman" w:cs="Times New Roman"/>
                <w:color w:val="000000"/>
                <w:kern w:val="0"/>
                <w:vertAlign w:val="superscript"/>
                <w:lang w:val="en-GB"/>
                <w14:ligatures w14:val="none"/>
              </w:rPr>
              <w:t>**</w:t>
            </w:r>
          </w:p>
        </w:tc>
      </w:tr>
      <w:tr w:rsidR="008D3090" w:rsidRPr="008D3090" w14:paraId="5C118E26" w14:textId="77777777" w:rsidTr="00D00B3F">
        <w:trPr>
          <w:cantSplit/>
        </w:trPr>
        <w:tc>
          <w:tcPr>
            <w:tcW w:w="1607" w:type="dxa"/>
            <w:vMerge/>
            <w:tcBorders>
              <w:top w:val="single" w:sz="16" w:space="0" w:color="000000"/>
              <w:left w:val="single" w:sz="16" w:space="0" w:color="000000"/>
              <w:bottom w:val="single" w:sz="16" w:space="0" w:color="000000"/>
              <w:right w:val="nil"/>
            </w:tcBorders>
            <w:shd w:val="clear" w:color="auto" w:fill="FFFFFF"/>
            <w:vAlign w:val="center"/>
          </w:tcPr>
          <w:p w14:paraId="09141574"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229" w:type="dxa"/>
            <w:vMerge/>
            <w:tcBorders>
              <w:top w:val="single" w:sz="16" w:space="0" w:color="000000"/>
              <w:left w:val="nil"/>
              <w:bottom w:val="nil"/>
              <w:right w:val="nil"/>
            </w:tcBorders>
            <w:shd w:val="clear" w:color="auto" w:fill="FFFFFF"/>
            <w:vAlign w:val="center"/>
          </w:tcPr>
          <w:p w14:paraId="6287B5DE"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834" w:type="dxa"/>
            <w:tcBorders>
              <w:top w:val="nil"/>
              <w:left w:val="nil"/>
              <w:bottom w:val="nil"/>
              <w:right w:val="single" w:sz="16" w:space="0" w:color="000000"/>
            </w:tcBorders>
            <w:shd w:val="clear" w:color="auto" w:fill="FFFFFF"/>
            <w:vAlign w:val="center"/>
          </w:tcPr>
          <w:p w14:paraId="0B58DE5E"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Sig. (2-tailed)</w:t>
            </w:r>
          </w:p>
        </w:tc>
        <w:tc>
          <w:tcPr>
            <w:tcW w:w="1500" w:type="dxa"/>
            <w:tcBorders>
              <w:top w:val="nil"/>
              <w:left w:val="single" w:sz="16" w:space="0" w:color="000000"/>
              <w:bottom w:val="nil"/>
            </w:tcBorders>
            <w:shd w:val="clear" w:color="auto" w:fill="FFFFFF"/>
            <w:vAlign w:val="center"/>
          </w:tcPr>
          <w:p w14:paraId="6B577205"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w:t>
            </w:r>
          </w:p>
        </w:tc>
        <w:tc>
          <w:tcPr>
            <w:tcW w:w="1902" w:type="dxa"/>
            <w:tcBorders>
              <w:top w:val="nil"/>
              <w:bottom w:val="nil"/>
              <w:right w:val="single" w:sz="18" w:space="0" w:color="000000"/>
            </w:tcBorders>
            <w:shd w:val="clear" w:color="auto" w:fill="FFFFFF"/>
            <w:vAlign w:val="center"/>
          </w:tcPr>
          <w:p w14:paraId="14BE1AA9"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.000</w:t>
            </w:r>
          </w:p>
        </w:tc>
      </w:tr>
      <w:tr w:rsidR="008D3090" w:rsidRPr="008D3090" w14:paraId="669D31E3" w14:textId="77777777" w:rsidTr="00D00B3F">
        <w:trPr>
          <w:cantSplit/>
        </w:trPr>
        <w:tc>
          <w:tcPr>
            <w:tcW w:w="1607" w:type="dxa"/>
            <w:vMerge/>
            <w:tcBorders>
              <w:top w:val="single" w:sz="16" w:space="0" w:color="000000"/>
              <w:left w:val="single" w:sz="16" w:space="0" w:color="000000"/>
              <w:bottom w:val="single" w:sz="16" w:space="0" w:color="000000"/>
              <w:right w:val="nil"/>
            </w:tcBorders>
            <w:shd w:val="clear" w:color="auto" w:fill="FFFFFF"/>
            <w:vAlign w:val="center"/>
          </w:tcPr>
          <w:p w14:paraId="28872FF5"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229" w:type="dxa"/>
            <w:vMerge/>
            <w:tcBorders>
              <w:top w:val="single" w:sz="16" w:space="0" w:color="000000"/>
              <w:left w:val="nil"/>
              <w:bottom w:val="single" w:sz="4" w:space="0" w:color="auto"/>
              <w:right w:val="nil"/>
            </w:tcBorders>
            <w:shd w:val="clear" w:color="auto" w:fill="FFFFFF"/>
            <w:vAlign w:val="center"/>
          </w:tcPr>
          <w:p w14:paraId="65478FE9"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834" w:type="dxa"/>
            <w:tcBorders>
              <w:top w:val="nil"/>
              <w:left w:val="nil"/>
              <w:bottom w:val="single" w:sz="4" w:space="0" w:color="auto"/>
              <w:right w:val="single" w:sz="16" w:space="0" w:color="000000"/>
            </w:tcBorders>
            <w:shd w:val="clear" w:color="auto" w:fill="FFFFFF"/>
            <w:vAlign w:val="center"/>
          </w:tcPr>
          <w:p w14:paraId="0568C98C"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N</w:t>
            </w:r>
          </w:p>
        </w:tc>
        <w:tc>
          <w:tcPr>
            <w:tcW w:w="1500" w:type="dxa"/>
            <w:tcBorders>
              <w:top w:val="nil"/>
              <w:left w:val="single" w:sz="16" w:space="0" w:color="000000"/>
              <w:bottom w:val="single" w:sz="4" w:space="0" w:color="auto"/>
            </w:tcBorders>
            <w:shd w:val="clear" w:color="auto" w:fill="FFFFFF"/>
            <w:vAlign w:val="center"/>
          </w:tcPr>
          <w:p w14:paraId="2008A28E"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c>
          <w:tcPr>
            <w:tcW w:w="1902" w:type="dxa"/>
            <w:tcBorders>
              <w:top w:val="nil"/>
              <w:bottom w:val="single" w:sz="4" w:space="0" w:color="auto"/>
              <w:right w:val="single" w:sz="18" w:space="0" w:color="000000"/>
            </w:tcBorders>
            <w:shd w:val="clear" w:color="auto" w:fill="FFFFFF"/>
            <w:vAlign w:val="center"/>
          </w:tcPr>
          <w:p w14:paraId="0650D8E3"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r>
      <w:tr w:rsidR="008D3090" w:rsidRPr="008D3090" w14:paraId="5C710ACC" w14:textId="77777777" w:rsidTr="00D00B3F">
        <w:trPr>
          <w:cantSplit/>
        </w:trPr>
        <w:tc>
          <w:tcPr>
            <w:tcW w:w="1607" w:type="dxa"/>
            <w:vMerge/>
            <w:tcBorders>
              <w:top w:val="single" w:sz="16" w:space="0" w:color="000000"/>
              <w:left w:val="single" w:sz="16" w:space="0" w:color="000000"/>
              <w:bottom w:val="single" w:sz="16" w:space="0" w:color="000000"/>
              <w:right w:val="nil"/>
            </w:tcBorders>
            <w:shd w:val="clear" w:color="auto" w:fill="FFFFFF"/>
            <w:vAlign w:val="center"/>
          </w:tcPr>
          <w:p w14:paraId="378FBEDC"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229" w:type="dxa"/>
            <w:vMerge w:val="restart"/>
            <w:tcBorders>
              <w:top w:val="single" w:sz="4" w:space="0" w:color="auto"/>
              <w:left w:val="nil"/>
              <w:bottom w:val="single" w:sz="16" w:space="0" w:color="000000"/>
              <w:right w:val="nil"/>
            </w:tcBorders>
            <w:shd w:val="clear" w:color="auto" w:fill="FFFFFF"/>
            <w:vAlign w:val="center"/>
          </w:tcPr>
          <w:p w14:paraId="2099DF42"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 xml:space="preserve">Membership Retention </w:t>
            </w:r>
          </w:p>
        </w:tc>
        <w:tc>
          <w:tcPr>
            <w:tcW w:w="1834" w:type="dxa"/>
            <w:tcBorders>
              <w:top w:val="single" w:sz="4" w:space="0" w:color="auto"/>
              <w:left w:val="nil"/>
              <w:bottom w:val="nil"/>
              <w:right w:val="single" w:sz="16" w:space="0" w:color="000000"/>
            </w:tcBorders>
            <w:shd w:val="clear" w:color="auto" w:fill="FFFFFF"/>
            <w:vAlign w:val="center"/>
          </w:tcPr>
          <w:p w14:paraId="4A169894"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Coefficient</w:t>
            </w:r>
          </w:p>
        </w:tc>
        <w:tc>
          <w:tcPr>
            <w:tcW w:w="1500" w:type="dxa"/>
            <w:tcBorders>
              <w:top w:val="single" w:sz="4" w:space="0" w:color="auto"/>
              <w:left w:val="single" w:sz="16" w:space="0" w:color="000000"/>
              <w:bottom w:val="nil"/>
            </w:tcBorders>
            <w:shd w:val="clear" w:color="auto" w:fill="FFFFFF"/>
            <w:vAlign w:val="center"/>
          </w:tcPr>
          <w:p w14:paraId="5FE8490B"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.707</w:t>
            </w:r>
            <w:r w:rsidRPr="008D3090">
              <w:rPr>
                <w:rFonts w:ascii="Times New Roman" w:eastAsia="Calibri" w:hAnsi="Times New Roman" w:cs="Times New Roman"/>
                <w:color w:val="000000"/>
                <w:kern w:val="0"/>
                <w:vertAlign w:val="superscript"/>
                <w:lang w:val="en-GB"/>
                <w14:ligatures w14:val="none"/>
              </w:rPr>
              <w:t>**</w:t>
            </w:r>
          </w:p>
        </w:tc>
        <w:tc>
          <w:tcPr>
            <w:tcW w:w="1902" w:type="dxa"/>
            <w:tcBorders>
              <w:top w:val="single" w:sz="4" w:space="0" w:color="auto"/>
              <w:bottom w:val="nil"/>
              <w:right w:val="single" w:sz="16" w:space="0" w:color="000000"/>
            </w:tcBorders>
            <w:shd w:val="clear" w:color="auto" w:fill="FFFFFF"/>
            <w:vAlign w:val="center"/>
          </w:tcPr>
          <w:p w14:paraId="6D471EAF"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r>
      <w:tr w:rsidR="008D3090" w:rsidRPr="008D3090" w14:paraId="63608ABE" w14:textId="77777777" w:rsidTr="00D00B3F">
        <w:trPr>
          <w:cantSplit/>
        </w:trPr>
        <w:tc>
          <w:tcPr>
            <w:tcW w:w="1607" w:type="dxa"/>
            <w:vMerge/>
            <w:tcBorders>
              <w:top w:val="single" w:sz="16" w:space="0" w:color="000000"/>
              <w:left w:val="single" w:sz="16" w:space="0" w:color="000000"/>
              <w:bottom w:val="single" w:sz="16" w:space="0" w:color="000000"/>
              <w:right w:val="nil"/>
            </w:tcBorders>
            <w:shd w:val="clear" w:color="auto" w:fill="FFFFFF"/>
            <w:vAlign w:val="center"/>
          </w:tcPr>
          <w:p w14:paraId="77B80B3F"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229" w:type="dxa"/>
            <w:vMerge/>
            <w:tcBorders>
              <w:top w:val="nil"/>
              <w:left w:val="nil"/>
              <w:bottom w:val="single" w:sz="16" w:space="0" w:color="000000"/>
              <w:right w:val="nil"/>
            </w:tcBorders>
            <w:shd w:val="clear" w:color="auto" w:fill="FFFFFF"/>
            <w:vAlign w:val="center"/>
          </w:tcPr>
          <w:p w14:paraId="6A94799A"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834" w:type="dxa"/>
            <w:tcBorders>
              <w:top w:val="nil"/>
              <w:left w:val="nil"/>
              <w:bottom w:val="nil"/>
              <w:right w:val="single" w:sz="16" w:space="0" w:color="000000"/>
            </w:tcBorders>
            <w:shd w:val="clear" w:color="auto" w:fill="FFFFFF"/>
            <w:vAlign w:val="center"/>
          </w:tcPr>
          <w:p w14:paraId="5D0A03C0"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Sig. (2-tailed)</w:t>
            </w:r>
          </w:p>
        </w:tc>
        <w:tc>
          <w:tcPr>
            <w:tcW w:w="1500" w:type="dxa"/>
            <w:tcBorders>
              <w:top w:val="nil"/>
              <w:left w:val="single" w:sz="16" w:space="0" w:color="000000"/>
              <w:bottom w:val="nil"/>
            </w:tcBorders>
            <w:shd w:val="clear" w:color="auto" w:fill="FFFFFF"/>
            <w:vAlign w:val="center"/>
          </w:tcPr>
          <w:p w14:paraId="643ED1C9"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.000</w:t>
            </w:r>
          </w:p>
        </w:tc>
        <w:tc>
          <w:tcPr>
            <w:tcW w:w="1902" w:type="dxa"/>
            <w:tcBorders>
              <w:top w:val="nil"/>
              <w:bottom w:val="nil"/>
              <w:right w:val="single" w:sz="16" w:space="0" w:color="000000"/>
            </w:tcBorders>
            <w:shd w:val="clear" w:color="auto" w:fill="FFFFFF"/>
            <w:vAlign w:val="center"/>
          </w:tcPr>
          <w:p w14:paraId="59030195"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w:t>
            </w:r>
          </w:p>
        </w:tc>
      </w:tr>
      <w:tr w:rsidR="008D3090" w:rsidRPr="008D3090" w14:paraId="32C3DA01" w14:textId="77777777" w:rsidTr="00D00B3F">
        <w:trPr>
          <w:cantSplit/>
        </w:trPr>
        <w:tc>
          <w:tcPr>
            <w:tcW w:w="1607" w:type="dxa"/>
            <w:vMerge/>
            <w:tcBorders>
              <w:top w:val="single" w:sz="16" w:space="0" w:color="000000"/>
              <w:left w:val="single" w:sz="16" w:space="0" w:color="000000"/>
              <w:bottom w:val="single" w:sz="16" w:space="0" w:color="000000"/>
              <w:right w:val="nil"/>
            </w:tcBorders>
            <w:shd w:val="clear" w:color="auto" w:fill="FFFFFF"/>
            <w:vAlign w:val="center"/>
          </w:tcPr>
          <w:p w14:paraId="09B77E28"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229" w:type="dxa"/>
            <w:vMerge/>
            <w:tcBorders>
              <w:top w:val="nil"/>
              <w:left w:val="nil"/>
              <w:bottom w:val="single" w:sz="16" w:space="0" w:color="000000"/>
              <w:right w:val="nil"/>
            </w:tcBorders>
            <w:shd w:val="clear" w:color="auto" w:fill="FFFFFF"/>
            <w:vAlign w:val="center"/>
          </w:tcPr>
          <w:p w14:paraId="5F6F83EB"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834" w:type="dxa"/>
            <w:tcBorders>
              <w:top w:val="nil"/>
              <w:left w:val="nil"/>
              <w:bottom w:val="single" w:sz="16" w:space="0" w:color="000000"/>
              <w:right w:val="single" w:sz="16" w:space="0" w:color="000000"/>
            </w:tcBorders>
            <w:shd w:val="clear" w:color="auto" w:fill="FFFFFF"/>
            <w:vAlign w:val="center"/>
          </w:tcPr>
          <w:p w14:paraId="5424C1D6"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N</w:t>
            </w:r>
          </w:p>
        </w:tc>
        <w:tc>
          <w:tcPr>
            <w:tcW w:w="1500" w:type="dxa"/>
            <w:tcBorders>
              <w:top w:val="nil"/>
              <w:left w:val="single" w:sz="16" w:space="0" w:color="000000"/>
              <w:bottom w:val="single" w:sz="16" w:space="0" w:color="000000"/>
            </w:tcBorders>
            <w:shd w:val="clear" w:color="auto" w:fill="FFFFFF"/>
            <w:vAlign w:val="center"/>
          </w:tcPr>
          <w:p w14:paraId="212D0510"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c>
          <w:tcPr>
            <w:tcW w:w="1902" w:type="dxa"/>
            <w:tcBorders>
              <w:top w:val="nil"/>
              <w:bottom w:val="single" w:sz="16" w:space="0" w:color="000000"/>
              <w:right w:val="single" w:sz="16" w:space="0" w:color="000000"/>
            </w:tcBorders>
            <w:shd w:val="clear" w:color="auto" w:fill="FFFFFF"/>
            <w:vAlign w:val="center"/>
          </w:tcPr>
          <w:p w14:paraId="5727F3E1"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r>
      <w:tr w:rsidR="008D3090" w:rsidRPr="008D3090" w14:paraId="7224B8FF" w14:textId="77777777" w:rsidTr="00D00B3F">
        <w:trPr>
          <w:cantSplit/>
        </w:trPr>
        <w:tc>
          <w:tcPr>
            <w:tcW w:w="9072" w:type="dxa"/>
            <w:gridSpan w:val="5"/>
            <w:tcBorders>
              <w:top w:val="nil"/>
              <w:left w:val="nil"/>
              <w:bottom w:val="nil"/>
              <w:right w:val="nil"/>
            </w:tcBorders>
            <w:shd w:val="clear" w:color="auto" w:fill="FFFFFF"/>
          </w:tcPr>
          <w:p w14:paraId="1E8F14FC"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is significant at the 0.01 level (2-tailed).</w:t>
            </w:r>
          </w:p>
        </w:tc>
      </w:tr>
    </w:tbl>
    <w:p w14:paraId="05DA0A59"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p w14:paraId="18CBA79D"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p w14:paraId="57E9FD1D"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Table 4.12 shows a strong positive relationship between the independent variable (Awareness) and dependent variable (Membership retention), </w:t>
      </w:r>
      <w:r w:rsidRPr="008D3090">
        <w:rPr>
          <w:rFonts w:ascii="Times New Roman" w:eastAsia="Calibri" w:hAnsi="Times New Roman" w:cs="Times New Roman"/>
          <w:i/>
          <w:kern w:val="0"/>
          <w:lang w:val="en-GB"/>
          <w14:ligatures w14:val="none"/>
        </w:rPr>
        <w:t>p</w:t>
      </w:r>
      <w:r w:rsidRPr="008D3090">
        <w:rPr>
          <w:rFonts w:ascii="Times New Roman" w:eastAsia="Calibri" w:hAnsi="Times New Roman" w:cs="Times New Roman"/>
          <w:kern w:val="0"/>
          <w:lang w:val="en-GB"/>
          <w14:ligatures w14:val="none"/>
        </w:rPr>
        <w:t xml:space="preserve"> value (= 0.000) less than the level of significance of 0.05. Spearman’s (rho) correlation coefficient is 0.707 above the average of 0.50. We therefore reject the null hypothesis and accept the alternate hypothesis which says that, there is a strong positive relationship between Awareness and Membership Retention of Religious Brand Equity and Loyalty of Churches in Rivers State. </w:t>
      </w:r>
    </w:p>
    <w:p w14:paraId="46A01B86"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p>
    <w:p w14:paraId="074CC34B"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H</w:t>
      </w:r>
      <w:r w:rsidRPr="008D3090">
        <w:rPr>
          <w:rFonts w:ascii="Times New Roman" w:eastAsia="Calibri" w:hAnsi="Times New Roman" w:cs="Times New Roman"/>
          <w:kern w:val="0"/>
          <w:vertAlign w:val="subscript"/>
          <w:lang w:val="en-GB"/>
          <w14:ligatures w14:val="none"/>
        </w:rPr>
        <w:t>03</w:t>
      </w:r>
      <w:r w:rsidRPr="008D3090">
        <w:rPr>
          <w:rFonts w:ascii="Times New Roman" w:eastAsia="Calibri" w:hAnsi="Times New Roman" w:cs="Times New Roman"/>
          <w:kern w:val="0"/>
          <w:lang w:val="en-GB"/>
          <w14:ligatures w14:val="none"/>
        </w:rPr>
        <w:t>:  There is no significant relationship between church brand orientation and membership retention.</w:t>
      </w:r>
    </w:p>
    <w:p w14:paraId="26ECBF08" w14:textId="77777777" w:rsidR="008D3090" w:rsidRPr="008D3090" w:rsidRDefault="008D3090" w:rsidP="001A5F7B">
      <w:pPr>
        <w:autoSpaceDE w:val="0"/>
        <w:autoSpaceDN w:val="0"/>
        <w:adjustRightInd w:val="0"/>
        <w:spacing w:after="0" w:line="240" w:lineRule="auto"/>
        <w:rPr>
          <w:rFonts w:ascii="Times New Roman" w:eastAsia="Calibri" w:hAnsi="Times New Roman" w:cs="Times New Roman"/>
          <w:b/>
          <w:kern w:val="0"/>
          <w:lang w:val="en-GB"/>
          <w14:ligatures w14:val="none"/>
        </w:rPr>
      </w:pPr>
    </w:p>
    <w:p w14:paraId="636964E1"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lastRenderedPageBreak/>
        <w:t>Table 4.13:  Church Brand Orientation and membership retention</w:t>
      </w:r>
    </w:p>
    <w:p w14:paraId="5D4FF6CF"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tbl>
      <w:tblPr>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612"/>
        <w:gridCol w:w="2432"/>
        <w:gridCol w:w="1768"/>
        <w:gridCol w:w="1818"/>
        <w:gridCol w:w="1584"/>
      </w:tblGrid>
      <w:tr w:rsidR="008D3090" w:rsidRPr="008D3090" w14:paraId="56BD34EE" w14:textId="77777777" w:rsidTr="00D00B3F">
        <w:trPr>
          <w:cantSplit/>
        </w:trPr>
        <w:tc>
          <w:tcPr>
            <w:tcW w:w="9214" w:type="dxa"/>
            <w:gridSpan w:val="5"/>
            <w:tcBorders>
              <w:top w:val="nil"/>
              <w:left w:val="nil"/>
              <w:bottom w:val="nil"/>
              <w:right w:val="nil"/>
            </w:tcBorders>
            <w:shd w:val="clear" w:color="auto" w:fill="FFFFFF"/>
          </w:tcPr>
          <w:p w14:paraId="5FBC52B1"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b/>
                <w:bCs/>
                <w:color w:val="000000"/>
                <w:kern w:val="0"/>
                <w:lang w:val="en-GB"/>
                <w14:ligatures w14:val="none"/>
              </w:rPr>
              <w:t>Correlations</w:t>
            </w:r>
          </w:p>
        </w:tc>
      </w:tr>
      <w:tr w:rsidR="008D3090" w:rsidRPr="008D3090" w14:paraId="26E97C28" w14:textId="77777777" w:rsidTr="00D00B3F">
        <w:trPr>
          <w:cantSplit/>
        </w:trPr>
        <w:tc>
          <w:tcPr>
            <w:tcW w:w="5812" w:type="dxa"/>
            <w:gridSpan w:val="3"/>
            <w:tcBorders>
              <w:top w:val="single" w:sz="16" w:space="0" w:color="000000"/>
              <w:left w:val="single" w:sz="16" w:space="0" w:color="000000"/>
              <w:bottom w:val="single" w:sz="16" w:space="0" w:color="000000"/>
              <w:right w:val="nil"/>
            </w:tcBorders>
            <w:shd w:val="clear" w:color="auto" w:fill="FFFFFF"/>
          </w:tcPr>
          <w:p w14:paraId="33A46621"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p>
        </w:tc>
        <w:tc>
          <w:tcPr>
            <w:tcW w:w="1818" w:type="dxa"/>
            <w:tcBorders>
              <w:top w:val="single" w:sz="16" w:space="0" w:color="000000"/>
              <w:left w:val="single" w:sz="16" w:space="0" w:color="000000"/>
              <w:bottom w:val="single" w:sz="16" w:space="0" w:color="000000"/>
            </w:tcBorders>
            <w:shd w:val="clear" w:color="auto" w:fill="FFFFFF"/>
          </w:tcPr>
          <w:p w14:paraId="44EEC765"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Church</w:t>
            </w:r>
          </w:p>
          <w:p w14:paraId="17644B81"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Brand Orientation</w:t>
            </w:r>
          </w:p>
        </w:tc>
        <w:tc>
          <w:tcPr>
            <w:tcW w:w="1584" w:type="dxa"/>
            <w:tcBorders>
              <w:top w:val="single" w:sz="16" w:space="0" w:color="000000"/>
              <w:bottom w:val="single" w:sz="16" w:space="0" w:color="000000"/>
              <w:right w:val="single" w:sz="16" w:space="0" w:color="000000"/>
            </w:tcBorders>
            <w:shd w:val="clear" w:color="auto" w:fill="FFFFFF"/>
          </w:tcPr>
          <w:p w14:paraId="7DB15738"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Membership</w:t>
            </w:r>
          </w:p>
          <w:p w14:paraId="176C0ADD" w14:textId="77777777" w:rsidR="008D3090" w:rsidRPr="008D3090" w:rsidRDefault="008D3090" w:rsidP="008D3090">
            <w:pPr>
              <w:autoSpaceDE w:val="0"/>
              <w:autoSpaceDN w:val="0"/>
              <w:adjustRightInd w:val="0"/>
              <w:spacing w:after="0" w:line="480" w:lineRule="auto"/>
              <w:ind w:left="60" w:right="60"/>
              <w:jc w:val="center"/>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Retention</w:t>
            </w:r>
          </w:p>
        </w:tc>
      </w:tr>
      <w:tr w:rsidR="008D3090" w:rsidRPr="008D3090" w14:paraId="7771EAAD" w14:textId="77777777" w:rsidTr="00D00B3F">
        <w:trPr>
          <w:cantSplit/>
        </w:trPr>
        <w:tc>
          <w:tcPr>
            <w:tcW w:w="1612" w:type="dxa"/>
            <w:vMerge w:val="restart"/>
            <w:tcBorders>
              <w:top w:val="single" w:sz="16" w:space="0" w:color="000000"/>
              <w:left w:val="single" w:sz="16" w:space="0" w:color="000000"/>
              <w:bottom w:val="single" w:sz="16" w:space="0" w:color="000000"/>
              <w:right w:val="nil"/>
            </w:tcBorders>
            <w:shd w:val="clear" w:color="auto" w:fill="FFFFFF"/>
            <w:vAlign w:val="center"/>
          </w:tcPr>
          <w:p w14:paraId="664CC306"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Spearman's rho</w:t>
            </w:r>
          </w:p>
        </w:tc>
        <w:tc>
          <w:tcPr>
            <w:tcW w:w="2432" w:type="dxa"/>
            <w:vMerge w:val="restart"/>
            <w:tcBorders>
              <w:top w:val="single" w:sz="18" w:space="0" w:color="000000"/>
              <w:left w:val="nil"/>
              <w:bottom w:val="nil"/>
              <w:right w:val="nil"/>
            </w:tcBorders>
            <w:shd w:val="clear" w:color="auto" w:fill="FFFFFF"/>
            <w:vAlign w:val="center"/>
          </w:tcPr>
          <w:p w14:paraId="29E2BBBC"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Church Brand</w:t>
            </w:r>
          </w:p>
          <w:p w14:paraId="7A48ED1E"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Orientation</w:t>
            </w:r>
          </w:p>
        </w:tc>
        <w:tc>
          <w:tcPr>
            <w:tcW w:w="1768" w:type="dxa"/>
            <w:tcBorders>
              <w:top w:val="single" w:sz="18" w:space="0" w:color="000000"/>
              <w:left w:val="nil"/>
              <w:bottom w:val="nil"/>
              <w:right w:val="single" w:sz="16" w:space="0" w:color="000000"/>
            </w:tcBorders>
            <w:shd w:val="clear" w:color="auto" w:fill="FFFFFF"/>
            <w:vAlign w:val="center"/>
          </w:tcPr>
          <w:p w14:paraId="5ABD7F39"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Coefficient</w:t>
            </w:r>
          </w:p>
        </w:tc>
        <w:tc>
          <w:tcPr>
            <w:tcW w:w="1818" w:type="dxa"/>
            <w:tcBorders>
              <w:top w:val="single" w:sz="18" w:space="0" w:color="000000"/>
              <w:left w:val="single" w:sz="16" w:space="0" w:color="000000"/>
              <w:bottom w:val="nil"/>
            </w:tcBorders>
            <w:shd w:val="clear" w:color="auto" w:fill="FFFFFF"/>
            <w:vAlign w:val="center"/>
          </w:tcPr>
          <w:p w14:paraId="32C69A21"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c>
          <w:tcPr>
            <w:tcW w:w="1584" w:type="dxa"/>
            <w:tcBorders>
              <w:top w:val="single" w:sz="18" w:space="0" w:color="000000"/>
              <w:bottom w:val="nil"/>
              <w:right w:val="single" w:sz="18" w:space="0" w:color="000000"/>
            </w:tcBorders>
            <w:shd w:val="clear" w:color="auto" w:fill="FFFFFF"/>
            <w:vAlign w:val="center"/>
          </w:tcPr>
          <w:p w14:paraId="0813B776"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r w:rsidRPr="008D3090">
              <w:rPr>
                <w:rFonts w:ascii="Times New Roman" w:eastAsia="Calibri" w:hAnsi="Times New Roman" w:cs="Times New Roman"/>
                <w:color w:val="000000"/>
                <w:kern w:val="0"/>
                <w:vertAlign w:val="superscript"/>
                <w:lang w:val="en-GB"/>
                <w14:ligatures w14:val="none"/>
              </w:rPr>
              <w:t>**</w:t>
            </w:r>
          </w:p>
        </w:tc>
      </w:tr>
      <w:tr w:rsidR="008D3090" w:rsidRPr="008D3090" w14:paraId="0CF1A135" w14:textId="77777777" w:rsidTr="00D00B3F">
        <w:trPr>
          <w:cantSplit/>
        </w:trPr>
        <w:tc>
          <w:tcPr>
            <w:tcW w:w="1612" w:type="dxa"/>
            <w:vMerge/>
            <w:tcBorders>
              <w:top w:val="single" w:sz="16" w:space="0" w:color="000000"/>
              <w:left w:val="single" w:sz="16" w:space="0" w:color="000000"/>
              <w:bottom w:val="single" w:sz="16" w:space="0" w:color="000000"/>
              <w:right w:val="nil"/>
            </w:tcBorders>
            <w:shd w:val="clear" w:color="auto" w:fill="FFFFFF"/>
            <w:vAlign w:val="center"/>
          </w:tcPr>
          <w:p w14:paraId="6844F39E"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432" w:type="dxa"/>
            <w:vMerge/>
            <w:tcBorders>
              <w:top w:val="single" w:sz="16" w:space="0" w:color="000000"/>
              <w:left w:val="nil"/>
              <w:bottom w:val="nil"/>
              <w:right w:val="nil"/>
            </w:tcBorders>
            <w:shd w:val="clear" w:color="auto" w:fill="FFFFFF"/>
            <w:vAlign w:val="center"/>
          </w:tcPr>
          <w:p w14:paraId="3842EF82"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768" w:type="dxa"/>
            <w:tcBorders>
              <w:top w:val="nil"/>
              <w:left w:val="nil"/>
              <w:bottom w:val="nil"/>
              <w:right w:val="single" w:sz="16" w:space="0" w:color="000000"/>
            </w:tcBorders>
            <w:shd w:val="clear" w:color="auto" w:fill="FFFFFF"/>
            <w:vAlign w:val="center"/>
          </w:tcPr>
          <w:p w14:paraId="7AEB1268"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Sig. (2-tailed)</w:t>
            </w:r>
          </w:p>
        </w:tc>
        <w:tc>
          <w:tcPr>
            <w:tcW w:w="1818" w:type="dxa"/>
            <w:tcBorders>
              <w:top w:val="nil"/>
              <w:left w:val="single" w:sz="16" w:space="0" w:color="000000"/>
              <w:bottom w:val="nil"/>
            </w:tcBorders>
            <w:shd w:val="clear" w:color="auto" w:fill="FFFFFF"/>
            <w:vAlign w:val="center"/>
          </w:tcPr>
          <w:p w14:paraId="272E2B3A"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w:t>
            </w:r>
          </w:p>
        </w:tc>
        <w:tc>
          <w:tcPr>
            <w:tcW w:w="1584" w:type="dxa"/>
            <w:tcBorders>
              <w:top w:val="nil"/>
              <w:bottom w:val="nil"/>
              <w:right w:val="single" w:sz="18" w:space="0" w:color="000000"/>
            </w:tcBorders>
            <w:shd w:val="clear" w:color="auto" w:fill="FFFFFF"/>
            <w:vAlign w:val="center"/>
          </w:tcPr>
          <w:p w14:paraId="313D04E5"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.000.</w:t>
            </w:r>
          </w:p>
        </w:tc>
      </w:tr>
      <w:tr w:rsidR="008D3090" w:rsidRPr="008D3090" w14:paraId="3123D482" w14:textId="77777777" w:rsidTr="00D00B3F">
        <w:trPr>
          <w:cantSplit/>
        </w:trPr>
        <w:tc>
          <w:tcPr>
            <w:tcW w:w="1612" w:type="dxa"/>
            <w:vMerge/>
            <w:tcBorders>
              <w:top w:val="single" w:sz="16" w:space="0" w:color="000000"/>
              <w:left w:val="single" w:sz="16" w:space="0" w:color="000000"/>
              <w:bottom w:val="single" w:sz="16" w:space="0" w:color="000000"/>
              <w:right w:val="nil"/>
            </w:tcBorders>
            <w:shd w:val="clear" w:color="auto" w:fill="FFFFFF"/>
            <w:vAlign w:val="center"/>
          </w:tcPr>
          <w:p w14:paraId="2CC223D4"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432" w:type="dxa"/>
            <w:vMerge/>
            <w:tcBorders>
              <w:top w:val="single" w:sz="16" w:space="0" w:color="000000"/>
              <w:left w:val="nil"/>
              <w:bottom w:val="single" w:sz="4" w:space="0" w:color="auto"/>
              <w:right w:val="nil"/>
            </w:tcBorders>
            <w:shd w:val="clear" w:color="auto" w:fill="FFFFFF"/>
            <w:vAlign w:val="center"/>
          </w:tcPr>
          <w:p w14:paraId="2EE550FC"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768" w:type="dxa"/>
            <w:tcBorders>
              <w:top w:val="nil"/>
              <w:left w:val="nil"/>
              <w:bottom w:val="single" w:sz="4" w:space="0" w:color="auto"/>
              <w:right w:val="single" w:sz="16" w:space="0" w:color="000000"/>
            </w:tcBorders>
            <w:shd w:val="clear" w:color="auto" w:fill="FFFFFF"/>
            <w:vAlign w:val="center"/>
          </w:tcPr>
          <w:p w14:paraId="2E60ACA3"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N</w:t>
            </w:r>
          </w:p>
        </w:tc>
        <w:tc>
          <w:tcPr>
            <w:tcW w:w="1818" w:type="dxa"/>
            <w:tcBorders>
              <w:top w:val="nil"/>
              <w:left w:val="single" w:sz="16" w:space="0" w:color="000000"/>
              <w:bottom w:val="single" w:sz="4" w:space="0" w:color="auto"/>
            </w:tcBorders>
            <w:shd w:val="clear" w:color="auto" w:fill="FFFFFF"/>
            <w:vAlign w:val="center"/>
          </w:tcPr>
          <w:p w14:paraId="4DCBC1EE"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c>
          <w:tcPr>
            <w:tcW w:w="1584" w:type="dxa"/>
            <w:tcBorders>
              <w:top w:val="nil"/>
              <w:bottom w:val="single" w:sz="4" w:space="0" w:color="auto"/>
              <w:right w:val="single" w:sz="18" w:space="0" w:color="000000"/>
            </w:tcBorders>
            <w:shd w:val="clear" w:color="auto" w:fill="FFFFFF"/>
            <w:vAlign w:val="center"/>
          </w:tcPr>
          <w:p w14:paraId="1CDBA3B3"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r>
      <w:tr w:rsidR="008D3090" w:rsidRPr="008D3090" w14:paraId="59F237A8" w14:textId="77777777" w:rsidTr="00D00B3F">
        <w:trPr>
          <w:cantSplit/>
        </w:trPr>
        <w:tc>
          <w:tcPr>
            <w:tcW w:w="1612" w:type="dxa"/>
            <w:vMerge/>
            <w:tcBorders>
              <w:top w:val="single" w:sz="16" w:space="0" w:color="000000"/>
              <w:left w:val="single" w:sz="16" w:space="0" w:color="000000"/>
              <w:bottom w:val="single" w:sz="16" w:space="0" w:color="000000"/>
              <w:right w:val="nil"/>
            </w:tcBorders>
            <w:shd w:val="clear" w:color="auto" w:fill="FFFFFF"/>
            <w:vAlign w:val="center"/>
          </w:tcPr>
          <w:p w14:paraId="469C47D5"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432" w:type="dxa"/>
            <w:vMerge w:val="restart"/>
            <w:tcBorders>
              <w:top w:val="single" w:sz="4" w:space="0" w:color="auto"/>
              <w:left w:val="nil"/>
              <w:bottom w:val="single" w:sz="16" w:space="0" w:color="000000"/>
              <w:right w:val="nil"/>
            </w:tcBorders>
            <w:shd w:val="clear" w:color="auto" w:fill="FFFFFF"/>
            <w:vAlign w:val="center"/>
          </w:tcPr>
          <w:p w14:paraId="747C9097"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Membership</w:t>
            </w:r>
          </w:p>
          <w:p w14:paraId="69C3E55E"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Retention</w:t>
            </w:r>
          </w:p>
        </w:tc>
        <w:tc>
          <w:tcPr>
            <w:tcW w:w="1768" w:type="dxa"/>
            <w:tcBorders>
              <w:top w:val="single" w:sz="4" w:space="0" w:color="auto"/>
              <w:left w:val="nil"/>
              <w:bottom w:val="nil"/>
              <w:right w:val="single" w:sz="16" w:space="0" w:color="000000"/>
            </w:tcBorders>
            <w:shd w:val="clear" w:color="auto" w:fill="FFFFFF"/>
            <w:vAlign w:val="center"/>
          </w:tcPr>
          <w:p w14:paraId="1B433260"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Coefficient</w:t>
            </w:r>
          </w:p>
        </w:tc>
        <w:tc>
          <w:tcPr>
            <w:tcW w:w="1818" w:type="dxa"/>
            <w:tcBorders>
              <w:top w:val="single" w:sz="4" w:space="0" w:color="auto"/>
              <w:left w:val="single" w:sz="16" w:space="0" w:color="000000"/>
              <w:bottom w:val="nil"/>
            </w:tcBorders>
            <w:shd w:val="clear" w:color="auto" w:fill="FFFFFF"/>
            <w:vAlign w:val="center"/>
          </w:tcPr>
          <w:p w14:paraId="7BF03D93"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r w:rsidRPr="008D3090">
              <w:rPr>
                <w:rFonts w:ascii="Times New Roman" w:eastAsia="Calibri" w:hAnsi="Times New Roman" w:cs="Times New Roman"/>
                <w:color w:val="000000"/>
                <w:kern w:val="0"/>
                <w:vertAlign w:val="superscript"/>
                <w:lang w:val="en-GB"/>
                <w14:ligatures w14:val="none"/>
              </w:rPr>
              <w:t>**</w:t>
            </w:r>
          </w:p>
        </w:tc>
        <w:tc>
          <w:tcPr>
            <w:tcW w:w="1584" w:type="dxa"/>
            <w:tcBorders>
              <w:top w:val="single" w:sz="4" w:space="0" w:color="auto"/>
              <w:bottom w:val="nil"/>
              <w:right w:val="single" w:sz="16" w:space="0" w:color="000000"/>
            </w:tcBorders>
            <w:shd w:val="clear" w:color="auto" w:fill="FFFFFF"/>
            <w:vAlign w:val="center"/>
          </w:tcPr>
          <w:p w14:paraId="4A773327"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1.000</w:t>
            </w:r>
          </w:p>
        </w:tc>
      </w:tr>
      <w:tr w:rsidR="008D3090" w:rsidRPr="008D3090" w14:paraId="5160B6A9" w14:textId="77777777" w:rsidTr="00D00B3F">
        <w:trPr>
          <w:cantSplit/>
        </w:trPr>
        <w:tc>
          <w:tcPr>
            <w:tcW w:w="1612" w:type="dxa"/>
            <w:vMerge/>
            <w:tcBorders>
              <w:top w:val="single" w:sz="16" w:space="0" w:color="000000"/>
              <w:left w:val="single" w:sz="16" w:space="0" w:color="000000"/>
              <w:bottom w:val="single" w:sz="16" w:space="0" w:color="000000"/>
              <w:right w:val="nil"/>
            </w:tcBorders>
            <w:shd w:val="clear" w:color="auto" w:fill="FFFFFF"/>
            <w:vAlign w:val="center"/>
          </w:tcPr>
          <w:p w14:paraId="3C4E15BA"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432" w:type="dxa"/>
            <w:vMerge/>
            <w:tcBorders>
              <w:top w:val="nil"/>
              <w:left w:val="nil"/>
              <w:bottom w:val="single" w:sz="16" w:space="0" w:color="000000"/>
              <w:right w:val="nil"/>
            </w:tcBorders>
            <w:shd w:val="clear" w:color="auto" w:fill="FFFFFF"/>
            <w:vAlign w:val="center"/>
          </w:tcPr>
          <w:p w14:paraId="1AA4576A"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768" w:type="dxa"/>
            <w:tcBorders>
              <w:top w:val="nil"/>
              <w:left w:val="nil"/>
              <w:bottom w:val="nil"/>
              <w:right w:val="single" w:sz="16" w:space="0" w:color="000000"/>
            </w:tcBorders>
            <w:shd w:val="clear" w:color="auto" w:fill="FFFFFF"/>
            <w:vAlign w:val="center"/>
          </w:tcPr>
          <w:p w14:paraId="2DBA44FE"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Sig. (2-tailed)</w:t>
            </w:r>
          </w:p>
        </w:tc>
        <w:tc>
          <w:tcPr>
            <w:tcW w:w="1818" w:type="dxa"/>
            <w:tcBorders>
              <w:top w:val="nil"/>
              <w:left w:val="single" w:sz="16" w:space="0" w:color="000000"/>
              <w:bottom w:val="nil"/>
            </w:tcBorders>
            <w:shd w:val="clear" w:color="auto" w:fill="FFFFFF"/>
            <w:vAlign w:val="center"/>
          </w:tcPr>
          <w:p w14:paraId="5DF582B0"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.000.</w:t>
            </w:r>
          </w:p>
        </w:tc>
        <w:tc>
          <w:tcPr>
            <w:tcW w:w="1584" w:type="dxa"/>
            <w:tcBorders>
              <w:top w:val="nil"/>
              <w:bottom w:val="nil"/>
              <w:right w:val="single" w:sz="16" w:space="0" w:color="000000"/>
            </w:tcBorders>
            <w:shd w:val="clear" w:color="auto" w:fill="FFFFFF"/>
            <w:vAlign w:val="center"/>
          </w:tcPr>
          <w:p w14:paraId="2EA37F8B"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w:t>
            </w:r>
          </w:p>
        </w:tc>
      </w:tr>
      <w:tr w:rsidR="008D3090" w:rsidRPr="008D3090" w14:paraId="693022A8" w14:textId="77777777" w:rsidTr="00D00B3F">
        <w:trPr>
          <w:cantSplit/>
        </w:trPr>
        <w:tc>
          <w:tcPr>
            <w:tcW w:w="1612" w:type="dxa"/>
            <w:vMerge/>
            <w:tcBorders>
              <w:top w:val="single" w:sz="16" w:space="0" w:color="000000"/>
              <w:left w:val="single" w:sz="16" w:space="0" w:color="000000"/>
              <w:bottom w:val="single" w:sz="16" w:space="0" w:color="000000"/>
              <w:right w:val="nil"/>
            </w:tcBorders>
            <w:shd w:val="clear" w:color="auto" w:fill="FFFFFF"/>
            <w:vAlign w:val="center"/>
          </w:tcPr>
          <w:p w14:paraId="064C4FF5"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2432" w:type="dxa"/>
            <w:vMerge/>
            <w:tcBorders>
              <w:top w:val="nil"/>
              <w:left w:val="nil"/>
              <w:bottom w:val="single" w:sz="16" w:space="0" w:color="000000"/>
              <w:right w:val="nil"/>
            </w:tcBorders>
            <w:shd w:val="clear" w:color="auto" w:fill="FFFFFF"/>
            <w:vAlign w:val="center"/>
          </w:tcPr>
          <w:p w14:paraId="38A42652"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color w:val="000000"/>
                <w:kern w:val="0"/>
                <w:lang w:val="en-GB"/>
                <w14:ligatures w14:val="none"/>
              </w:rPr>
            </w:pPr>
          </w:p>
        </w:tc>
        <w:tc>
          <w:tcPr>
            <w:tcW w:w="1768" w:type="dxa"/>
            <w:tcBorders>
              <w:top w:val="nil"/>
              <w:left w:val="nil"/>
              <w:bottom w:val="single" w:sz="16" w:space="0" w:color="000000"/>
              <w:right w:val="single" w:sz="16" w:space="0" w:color="000000"/>
            </w:tcBorders>
            <w:shd w:val="clear" w:color="auto" w:fill="FFFFFF"/>
            <w:vAlign w:val="center"/>
          </w:tcPr>
          <w:p w14:paraId="0C5EFA19"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N</w:t>
            </w:r>
          </w:p>
        </w:tc>
        <w:tc>
          <w:tcPr>
            <w:tcW w:w="1818" w:type="dxa"/>
            <w:tcBorders>
              <w:top w:val="nil"/>
              <w:left w:val="single" w:sz="16" w:space="0" w:color="000000"/>
              <w:bottom w:val="single" w:sz="16" w:space="0" w:color="000000"/>
            </w:tcBorders>
            <w:shd w:val="clear" w:color="auto" w:fill="FFFFFF"/>
            <w:vAlign w:val="center"/>
          </w:tcPr>
          <w:p w14:paraId="32AD508C"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c>
          <w:tcPr>
            <w:tcW w:w="1584" w:type="dxa"/>
            <w:tcBorders>
              <w:top w:val="nil"/>
              <w:bottom w:val="single" w:sz="16" w:space="0" w:color="000000"/>
              <w:right w:val="single" w:sz="16" w:space="0" w:color="000000"/>
            </w:tcBorders>
            <w:shd w:val="clear" w:color="auto" w:fill="FFFFFF"/>
            <w:vAlign w:val="center"/>
          </w:tcPr>
          <w:p w14:paraId="3DF7DEEE" w14:textId="77777777" w:rsidR="008D3090" w:rsidRPr="008D3090" w:rsidRDefault="008D3090" w:rsidP="008D3090">
            <w:pPr>
              <w:autoSpaceDE w:val="0"/>
              <w:autoSpaceDN w:val="0"/>
              <w:adjustRightInd w:val="0"/>
              <w:spacing w:after="0" w:line="480" w:lineRule="auto"/>
              <w:ind w:left="60" w:right="60"/>
              <w:jc w:val="right"/>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86</w:t>
            </w:r>
          </w:p>
        </w:tc>
      </w:tr>
      <w:tr w:rsidR="008D3090" w:rsidRPr="008D3090" w14:paraId="1C456B7C" w14:textId="77777777" w:rsidTr="00D00B3F">
        <w:trPr>
          <w:cantSplit/>
        </w:trPr>
        <w:tc>
          <w:tcPr>
            <w:tcW w:w="9214" w:type="dxa"/>
            <w:gridSpan w:val="5"/>
            <w:tcBorders>
              <w:top w:val="nil"/>
              <w:left w:val="nil"/>
              <w:bottom w:val="nil"/>
              <w:right w:val="nil"/>
            </w:tcBorders>
            <w:shd w:val="clear" w:color="auto" w:fill="FFFFFF"/>
          </w:tcPr>
          <w:p w14:paraId="76AE6AD5" w14:textId="77777777" w:rsidR="008D3090" w:rsidRPr="008D3090" w:rsidRDefault="008D3090" w:rsidP="008D3090">
            <w:pPr>
              <w:autoSpaceDE w:val="0"/>
              <w:autoSpaceDN w:val="0"/>
              <w:adjustRightInd w:val="0"/>
              <w:spacing w:after="0" w:line="480" w:lineRule="auto"/>
              <w:ind w:left="60" w:right="60"/>
              <w:rPr>
                <w:rFonts w:ascii="Times New Roman" w:eastAsia="Calibri" w:hAnsi="Times New Roman" w:cs="Times New Roman"/>
                <w:color w:val="000000"/>
                <w:kern w:val="0"/>
                <w:lang w:val="en-GB"/>
                <w14:ligatures w14:val="none"/>
              </w:rPr>
            </w:pPr>
            <w:r w:rsidRPr="008D3090">
              <w:rPr>
                <w:rFonts w:ascii="Times New Roman" w:eastAsia="Calibri" w:hAnsi="Times New Roman" w:cs="Times New Roman"/>
                <w:color w:val="000000"/>
                <w:kern w:val="0"/>
                <w:lang w:val="en-GB"/>
                <w14:ligatures w14:val="none"/>
              </w:rPr>
              <w:t>Correlation is significant at the 0.01 level (2-tailed).</w:t>
            </w:r>
          </w:p>
        </w:tc>
      </w:tr>
    </w:tbl>
    <w:p w14:paraId="2E394280" w14:textId="77777777" w:rsidR="008D3090" w:rsidRPr="008D3090" w:rsidRDefault="008D3090" w:rsidP="008D3090">
      <w:pPr>
        <w:autoSpaceDE w:val="0"/>
        <w:autoSpaceDN w:val="0"/>
        <w:adjustRightInd w:val="0"/>
        <w:spacing w:after="0" w:line="480" w:lineRule="auto"/>
        <w:rPr>
          <w:rFonts w:ascii="Times New Roman" w:eastAsia="Calibri" w:hAnsi="Times New Roman" w:cs="Times New Roman"/>
          <w:kern w:val="0"/>
          <w:lang w:val="en-GB"/>
          <w14:ligatures w14:val="none"/>
        </w:rPr>
      </w:pPr>
    </w:p>
    <w:p w14:paraId="65B8E2C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Table 4.13 show a perfect relationship between the independent variable (Church Brand Orientation) and the dependent </w:t>
      </w:r>
      <w:proofErr w:type="gramStart"/>
      <w:r w:rsidRPr="008D3090">
        <w:rPr>
          <w:rFonts w:ascii="Times New Roman" w:eastAsia="Calibri" w:hAnsi="Times New Roman" w:cs="Times New Roman"/>
          <w:kern w:val="0"/>
          <w:lang w:val="en-GB"/>
          <w14:ligatures w14:val="none"/>
        </w:rPr>
        <w:t>variable  Membership</w:t>
      </w:r>
      <w:proofErr w:type="gramEnd"/>
      <w:r w:rsidRPr="008D3090">
        <w:rPr>
          <w:rFonts w:ascii="Times New Roman" w:eastAsia="Calibri" w:hAnsi="Times New Roman" w:cs="Times New Roman"/>
          <w:kern w:val="0"/>
          <w:lang w:val="en-GB"/>
          <w14:ligatures w14:val="none"/>
        </w:rPr>
        <w:t xml:space="preserve"> retention, the (</w:t>
      </w:r>
      <w:r w:rsidRPr="008D3090">
        <w:rPr>
          <w:rFonts w:ascii="Times New Roman" w:eastAsia="Calibri" w:hAnsi="Times New Roman" w:cs="Times New Roman"/>
          <w:i/>
          <w:kern w:val="0"/>
          <w:lang w:val="en-GB"/>
          <w14:ligatures w14:val="none"/>
        </w:rPr>
        <w:t>p</w:t>
      </w:r>
      <w:r w:rsidRPr="008D3090">
        <w:rPr>
          <w:rFonts w:ascii="Times New Roman" w:eastAsia="Calibri" w:hAnsi="Times New Roman" w:cs="Times New Roman"/>
          <w:kern w:val="0"/>
          <w:lang w:val="en-GB"/>
          <w14:ligatures w14:val="none"/>
        </w:rPr>
        <w:t xml:space="preserve"> value is 0.000) less than the level of coefficient of 0.05 Spearman’s (rho) correlation coefficient </w:t>
      </w:r>
      <w:proofErr w:type="gramStart"/>
      <w:r w:rsidRPr="008D3090">
        <w:rPr>
          <w:rFonts w:ascii="Times New Roman" w:eastAsia="Calibri" w:hAnsi="Times New Roman" w:cs="Times New Roman"/>
          <w:kern w:val="0"/>
          <w:lang w:val="en-GB"/>
          <w14:ligatures w14:val="none"/>
        </w:rPr>
        <w:t>is  1.000</w:t>
      </w:r>
      <w:proofErr w:type="gramEnd"/>
      <w:r w:rsidRPr="008D3090">
        <w:rPr>
          <w:rFonts w:ascii="Times New Roman" w:eastAsia="Calibri" w:hAnsi="Times New Roman" w:cs="Times New Roman"/>
          <w:kern w:val="0"/>
          <w:lang w:val="en-GB"/>
          <w14:ligatures w14:val="none"/>
        </w:rPr>
        <w:t xml:space="preserve"> twice the average of 0.5. We therefore reject the null hypothesis and accept the alternate hypothesis which says that, there is a strong positive relationship between Church Brand Orientation and Membership Retention of Religious Brand Equity and Loyalty of Churches in Rivers State. </w:t>
      </w:r>
    </w:p>
    <w:p w14:paraId="4870826C" w14:textId="77777777" w:rsidR="001A5F7B" w:rsidRDefault="001A5F7B" w:rsidP="001A5F7B">
      <w:pPr>
        <w:autoSpaceDE w:val="0"/>
        <w:autoSpaceDN w:val="0"/>
        <w:adjustRightInd w:val="0"/>
        <w:spacing w:after="0" w:line="240" w:lineRule="auto"/>
        <w:rPr>
          <w:rFonts w:ascii="Times New Roman" w:eastAsia="Calibri" w:hAnsi="Times New Roman" w:cs="Times New Roman"/>
          <w:b/>
          <w:kern w:val="0"/>
          <w:lang w:val="en-GB"/>
          <w14:ligatures w14:val="none"/>
        </w:rPr>
      </w:pPr>
    </w:p>
    <w:p w14:paraId="0708C83A" w14:textId="65F022B6" w:rsidR="008D3090" w:rsidRPr="008D3090" w:rsidRDefault="008D3090" w:rsidP="001A5F7B">
      <w:pPr>
        <w:autoSpaceDE w:val="0"/>
        <w:autoSpaceDN w:val="0"/>
        <w:adjustRightInd w:val="0"/>
        <w:spacing w:after="0" w:line="240" w:lineRule="auto"/>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4.2</w:t>
      </w:r>
      <w:r w:rsidRPr="008D3090">
        <w:rPr>
          <w:rFonts w:ascii="Times New Roman" w:eastAsia="Calibri" w:hAnsi="Times New Roman" w:cs="Times New Roman"/>
          <w:kern w:val="0"/>
          <w:lang w:val="en-GB"/>
          <w14:ligatures w14:val="none"/>
        </w:rPr>
        <w:t xml:space="preserve"> </w:t>
      </w:r>
      <w:r w:rsidRPr="008D3090">
        <w:rPr>
          <w:rFonts w:ascii="Times New Roman" w:eastAsia="Calibri" w:hAnsi="Times New Roman" w:cs="Times New Roman"/>
          <w:b/>
          <w:kern w:val="0"/>
          <w:lang w:val="en-GB"/>
          <w14:ligatures w14:val="none"/>
        </w:rPr>
        <w:t>Summary of Findings</w:t>
      </w:r>
    </w:p>
    <w:p w14:paraId="76F61ADB"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The first hypotheses showed a strong positive relationship, the second hypotheses showed a strong positive relationship, the third hypotheses showed a perfect relationship between the independent variable (brand orientation) and dependent variable (membership retention). </w:t>
      </w:r>
    </w:p>
    <w:p w14:paraId="5A712FD4" w14:textId="77777777" w:rsidR="008D3090" w:rsidRPr="008D3090" w:rsidRDefault="008D3090" w:rsidP="001A5F7B">
      <w:pPr>
        <w:autoSpaceDE w:val="0"/>
        <w:autoSpaceDN w:val="0"/>
        <w:adjustRightInd w:val="0"/>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lastRenderedPageBreak/>
        <w:t>Therefore, Religious digital brand equity such as (Religious Activities, Digital Awareness, Church Brand Orientation) have impact on loyalty of church member intents of their membership retention.</w:t>
      </w:r>
    </w:p>
    <w:p w14:paraId="340DECE2" w14:textId="77777777" w:rsidR="001A5F7B" w:rsidRDefault="001A5F7B" w:rsidP="001A5F7B">
      <w:pPr>
        <w:spacing w:after="0" w:line="240" w:lineRule="auto"/>
        <w:jc w:val="both"/>
        <w:rPr>
          <w:rFonts w:ascii="Times New Roman" w:eastAsia="Calibri" w:hAnsi="Times New Roman" w:cs="Times New Roman"/>
          <w:b/>
          <w:kern w:val="0"/>
          <w14:ligatures w14:val="none"/>
        </w:rPr>
      </w:pPr>
    </w:p>
    <w:p w14:paraId="401F90EF" w14:textId="1F484F10" w:rsidR="008D3090" w:rsidRPr="008D3090" w:rsidRDefault="008D3090" w:rsidP="001A5F7B">
      <w:pPr>
        <w:spacing w:after="0" w:line="240" w:lineRule="auto"/>
        <w:jc w:val="both"/>
        <w:rPr>
          <w:rFonts w:ascii="Times New Roman" w:eastAsia="Calibri" w:hAnsi="Times New Roman" w:cs="Times New Roman"/>
          <w:b/>
          <w:kern w:val="0"/>
          <w14:ligatures w14:val="none"/>
        </w:rPr>
      </w:pPr>
      <w:r w:rsidRPr="008D3090">
        <w:rPr>
          <w:rFonts w:ascii="Times New Roman" w:eastAsia="Calibri" w:hAnsi="Times New Roman" w:cs="Times New Roman"/>
          <w:b/>
          <w:kern w:val="0"/>
          <w14:ligatures w14:val="none"/>
        </w:rPr>
        <w:t>Conclusion</w:t>
      </w:r>
    </w:p>
    <w:p w14:paraId="1607FA5E" w14:textId="77777777" w:rsidR="008D3090" w:rsidRPr="008D3090" w:rsidRDefault="008D3090" w:rsidP="001A5F7B">
      <w:pPr>
        <w:spacing w:after="0"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14:ligatures w14:val="none"/>
        </w:rPr>
        <w:t>This study examined the relationship between religious digital brand equity and loyalty of church members in Port Harcourt. The study highlights the growing importance of digital platforms in shaping church engagement and member commitment and impact on the retention of members.</w:t>
      </w:r>
    </w:p>
    <w:p w14:paraId="7C7E177A" w14:textId="77777777" w:rsidR="00641746" w:rsidRDefault="00641746" w:rsidP="008D3090">
      <w:pPr>
        <w:autoSpaceDE w:val="0"/>
        <w:autoSpaceDN w:val="0"/>
        <w:adjustRightInd w:val="0"/>
        <w:spacing w:after="0" w:line="360" w:lineRule="auto"/>
        <w:ind w:left="900" w:hanging="900"/>
        <w:jc w:val="center"/>
        <w:rPr>
          <w:rFonts w:ascii="Times New Roman" w:eastAsia="Calibri" w:hAnsi="Times New Roman" w:cs="Times New Roman"/>
          <w:b/>
          <w:kern w:val="0"/>
          <w:lang w:val="en-GB"/>
          <w14:ligatures w14:val="none"/>
        </w:rPr>
      </w:pPr>
    </w:p>
    <w:p w14:paraId="4B1C9DF2" w14:textId="5F79D55F" w:rsidR="008D3090" w:rsidRPr="008D3090" w:rsidRDefault="008D3090" w:rsidP="001A5F7B">
      <w:pPr>
        <w:autoSpaceDE w:val="0"/>
        <w:autoSpaceDN w:val="0"/>
        <w:adjustRightInd w:val="0"/>
        <w:spacing w:after="0" w:line="240" w:lineRule="auto"/>
        <w:ind w:left="900" w:hanging="900"/>
        <w:jc w:val="center"/>
        <w:rPr>
          <w:rFonts w:ascii="Times New Roman" w:eastAsia="Calibri" w:hAnsi="Times New Roman" w:cs="Times New Roman"/>
          <w:b/>
          <w:kern w:val="0"/>
          <w:lang w:val="en-GB"/>
          <w14:ligatures w14:val="none"/>
        </w:rPr>
      </w:pPr>
      <w:r w:rsidRPr="008D3090">
        <w:rPr>
          <w:rFonts w:ascii="Times New Roman" w:eastAsia="Calibri" w:hAnsi="Times New Roman" w:cs="Times New Roman"/>
          <w:b/>
          <w:kern w:val="0"/>
          <w:lang w:val="en-GB"/>
          <w14:ligatures w14:val="none"/>
        </w:rPr>
        <w:t>REFERENCES</w:t>
      </w:r>
    </w:p>
    <w:bookmarkEnd w:id="87"/>
    <w:p w14:paraId="23E436CA" w14:textId="77777777" w:rsidR="008D3090" w:rsidRPr="008D3090" w:rsidRDefault="008D3090" w:rsidP="001A5F7B">
      <w:pPr>
        <w:spacing w:before="100" w:beforeAutospacing="1" w:after="100" w:afterAutospacing="1" w:line="240" w:lineRule="auto"/>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Aaker, D. A. (1991). Managing band equity. The Free Press.</w:t>
      </w:r>
    </w:p>
    <w:p w14:paraId="0516B01D"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14:ligatures w14:val="none"/>
        </w:rPr>
      </w:pPr>
      <w:proofErr w:type="spellStart"/>
      <w:r w:rsidRPr="008D3090">
        <w:rPr>
          <w:rFonts w:ascii="Times New Roman" w:eastAsia="Calibri" w:hAnsi="Times New Roman" w:cs="Times New Roman"/>
          <w:kern w:val="0"/>
          <w14:ligatures w14:val="none"/>
        </w:rPr>
        <w:t>Akenzua</w:t>
      </w:r>
      <w:proofErr w:type="spellEnd"/>
      <w:r w:rsidRPr="008D3090">
        <w:rPr>
          <w:rFonts w:ascii="Times New Roman" w:eastAsia="Calibri" w:hAnsi="Times New Roman" w:cs="Times New Roman"/>
          <w:kern w:val="0"/>
          <w14:ligatures w14:val="none"/>
        </w:rPr>
        <w:t xml:space="preserve">, P. O. U. T &amp; </w:t>
      </w:r>
      <w:proofErr w:type="spellStart"/>
      <w:r w:rsidRPr="008D3090">
        <w:rPr>
          <w:rFonts w:ascii="Times New Roman" w:eastAsia="Calibri" w:hAnsi="Times New Roman" w:cs="Times New Roman"/>
          <w:kern w:val="0"/>
          <w14:ligatures w14:val="none"/>
        </w:rPr>
        <w:t>Oseyomon</w:t>
      </w:r>
      <w:proofErr w:type="spellEnd"/>
      <w:r w:rsidRPr="008D3090">
        <w:rPr>
          <w:rFonts w:ascii="Times New Roman" w:eastAsia="Calibri" w:hAnsi="Times New Roman" w:cs="Times New Roman"/>
          <w:kern w:val="0"/>
          <w14:ligatures w14:val="none"/>
        </w:rPr>
        <w:t xml:space="preserve">, E. P. (2023). Faith-based marketing and online engagement of customers of </w:t>
      </w:r>
      <w:proofErr w:type="spellStart"/>
      <w:r w:rsidRPr="008D3090">
        <w:rPr>
          <w:rFonts w:ascii="Times New Roman" w:eastAsia="Calibri" w:hAnsi="Times New Roman" w:cs="Times New Roman"/>
          <w:kern w:val="0"/>
          <w14:ligatures w14:val="none"/>
        </w:rPr>
        <w:t>healt</w:t>
      </w:r>
      <w:proofErr w:type="spellEnd"/>
      <w:r w:rsidRPr="008D3090">
        <w:rPr>
          <w:rFonts w:ascii="Times New Roman" w:eastAsia="Calibri" w:hAnsi="Times New Roman" w:cs="Times New Roman"/>
          <w:kern w:val="0"/>
          <w14:ligatures w14:val="none"/>
        </w:rPr>
        <w:t xml:space="preserve"> and wellness products in Benin City. </w:t>
      </w:r>
      <w:proofErr w:type="spellStart"/>
      <w:r w:rsidRPr="008D3090">
        <w:rPr>
          <w:rFonts w:ascii="Times New Roman" w:eastAsia="Calibri" w:hAnsi="Times New Roman" w:cs="Times New Roman"/>
          <w:kern w:val="0"/>
          <w14:ligatures w14:val="none"/>
        </w:rPr>
        <w:t>Uniben</w:t>
      </w:r>
      <w:proofErr w:type="spellEnd"/>
      <w:r w:rsidRPr="008D3090">
        <w:rPr>
          <w:rFonts w:ascii="Times New Roman" w:eastAsia="Calibri" w:hAnsi="Times New Roman" w:cs="Times New Roman"/>
          <w:kern w:val="0"/>
          <w14:ligatures w14:val="none"/>
        </w:rPr>
        <w:t xml:space="preserve"> Journal of Marketing, 2 (2), 93-115</w:t>
      </w:r>
    </w:p>
    <w:p w14:paraId="526EFC03"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 xml:space="preserve">Ayeni, O. B. (2021). Marketing in Emerging Economies. In S. </w:t>
      </w:r>
      <w:proofErr w:type="spellStart"/>
      <w:r w:rsidRPr="008D3090">
        <w:rPr>
          <w:rFonts w:ascii="Times New Roman" w:eastAsia="Calibri" w:hAnsi="Times New Roman" w:cs="Times New Roman"/>
          <w:kern w:val="0"/>
          <w14:ligatures w14:val="none"/>
        </w:rPr>
        <w:t>Appau</w:t>
      </w:r>
      <w:proofErr w:type="spellEnd"/>
      <w:r w:rsidRPr="008D3090">
        <w:rPr>
          <w:rFonts w:ascii="Times New Roman" w:eastAsia="Calibri" w:hAnsi="Times New Roman" w:cs="Times New Roman"/>
          <w:kern w:val="0"/>
          <w14:ligatures w14:val="none"/>
        </w:rPr>
        <w:t xml:space="preserve"> (ed.), Marketing Brands in Africa, Palgrave Studies, 99-119. </w:t>
      </w:r>
    </w:p>
    <w:p w14:paraId="06C6D0C4"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Badmos, K. (2014). Effect of social media on the church. Paper presented at the</w:t>
      </w:r>
    </w:p>
    <w:p w14:paraId="1443A23B"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proofErr w:type="spellStart"/>
      <w:r w:rsidRPr="008D3090">
        <w:rPr>
          <w:rFonts w:ascii="Times New Roman" w:eastAsia="Calibri" w:hAnsi="Times New Roman" w:cs="Times New Roman"/>
          <w:kern w:val="0"/>
          <w:lang w:val="en-GB"/>
          <w14:ligatures w14:val="none"/>
        </w:rPr>
        <w:t>Baloglu</w:t>
      </w:r>
      <w:proofErr w:type="spellEnd"/>
      <w:r w:rsidRPr="008D3090">
        <w:rPr>
          <w:rFonts w:ascii="Times New Roman" w:eastAsia="Calibri" w:hAnsi="Times New Roman" w:cs="Times New Roman"/>
          <w:kern w:val="0"/>
          <w:lang w:val="en-GB"/>
          <w14:ligatures w14:val="none"/>
        </w:rPr>
        <w:t>, S. &amp; McCleary, K. W. (1999). A model of destination image formation: Annals of Tourism Research, 26, 868-897. http://dx.doi.org/10.1016/S0160-7383(99)00030-4</w:t>
      </w:r>
    </w:p>
    <w:p w14:paraId="01B37FAA"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Campbell, H. A. &amp; </w:t>
      </w:r>
      <w:proofErr w:type="spellStart"/>
      <w:r w:rsidRPr="008D3090">
        <w:rPr>
          <w:rFonts w:ascii="Times New Roman" w:eastAsia="Calibri" w:hAnsi="Times New Roman" w:cs="Times New Roman"/>
          <w:kern w:val="0"/>
          <w:lang w:val="en-GB"/>
          <w14:ligatures w14:val="none"/>
        </w:rPr>
        <w:t>Tsuria</w:t>
      </w:r>
      <w:proofErr w:type="spellEnd"/>
      <w:r w:rsidRPr="008D3090">
        <w:rPr>
          <w:rFonts w:ascii="Times New Roman" w:eastAsia="Calibri" w:hAnsi="Times New Roman" w:cs="Times New Roman"/>
          <w:kern w:val="0"/>
          <w:lang w:val="en-GB"/>
          <w14:ligatures w14:val="none"/>
        </w:rPr>
        <w:t>, R. (2021). Digital religion: Understanding religious practice in digital media. 2</w:t>
      </w:r>
      <w:r w:rsidRPr="008D3090">
        <w:rPr>
          <w:rFonts w:ascii="Times New Roman" w:eastAsia="Calibri" w:hAnsi="Times New Roman" w:cs="Times New Roman"/>
          <w:kern w:val="0"/>
          <w:vertAlign w:val="superscript"/>
          <w:lang w:val="en-GB"/>
          <w14:ligatures w14:val="none"/>
        </w:rPr>
        <w:t>nd</w:t>
      </w:r>
      <w:r w:rsidRPr="008D3090">
        <w:rPr>
          <w:rFonts w:ascii="Times New Roman" w:eastAsia="Calibri" w:hAnsi="Times New Roman" w:cs="Times New Roman"/>
          <w:kern w:val="0"/>
          <w:lang w:val="en-GB"/>
          <w14:ligatures w14:val="none"/>
        </w:rPr>
        <w:t xml:space="preserve"> ed. Routledge. </w:t>
      </w:r>
    </w:p>
    <w:p w14:paraId="5E354225"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Einstein, M. (2008). Brands of faith: Marketing religion in a commercial age. Routledge.</w:t>
      </w:r>
    </w:p>
    <w:p w14:paraId="3C3777C9" w14:textId="77777777" w:rsidR="008D3090" w:rsidRPr="008D3090" w:rsidRDefault="008D3090" w:rsidP="001A5F7B">
      <w:pPr>
        <w:autoSpaceDE w:val="0"/>
        <w:autoSpaceDN w:val="0"/>
        <w:adjustRightInd w:val="0"/>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Hayes, A. (2025). Brand equity: Definition, importance, effect on profit margins, and examples. https://www.investopedia.com/terms/b/brandequity.asp#</w:t>
      </w:r>
    </w:p>
    <w:p w14:paraId="36FB2B8B"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14:ligatures w14:val="none"/>
        </w:rPr>
        <w:t>http://www.christianitytoday.com/pastors/2007/july-online-only/thom-rainer-four-</w:t>
      </w:r>
      <w:r w:rsidRPr="008D3090">
        <w:rPr>
          <w:rFonts w:ascii="Times New Roman" w:eastAsia="Calibri" w:hAnsi="Times New Roman" w:cs="Times New Roman"/>
          <w:i/>
          <w:kern w:val="0"/>
          <w14:ligatures w14:val="none"/>
        </w:rPr>
        <w:t>principles-membership-retention.html.</w:t>
      </w:r>
    </w:p>
    <w:p w14:paraId="5CC23EF3"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14:ligatures w14:val="none"/>
        </w:rPr>
      </w:pPr>
      <w:r w:rsidRPr="008D3090">
        <w:rPr>
          <w:rFonts w:ascii="Times New Roman" w:eastAsia="Calibri" w:hAnsi="Times New Roman" w:cs="Times New Roman"/>
          <w:kern w:val="0"/>
          <w14:ligatures w14:val="none"/>
        </w:rPr>
        <w:t>https//doi.org/10.1007/978-3-030-77204-8_6</w:t>
      </w:r>
    </w:p>
    <w:p w14:paraId="22F5C6BF"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Ishak, F. &amp; Ghani, N. H. (2023). A review of the literature on brand loyalty and customer loyalty. </w:t>
      </w:r>
      <w:r w:rsidRPr="008D3090">
        <w:rPr>
          <w:rFonts w:ascii="Times New Roman" w:eastAsia="Calibri" w:hAnsi="Times New Roman" w:cs="Times New Roman"/>
          <w:i/>
          <w:kern w:val="0"/>
          <w:lang w:val="en-GB"/>
          <w14:ligatures w14:val="none"/>
        </w:rPr>
        <w:t>Business</w:t>
      </w:r>
      <w:r w:rsidRPr="008D3090">
        <w:rPr>
          <w:rFonts w:ascii="Times New Roman" w:eastAsia="Calibri" w:hAnsi="Times New Roman" w:cs="Times New Roman"/>
          <w:kern w:val="0"/>
          <w:lang w:val="en-GB"/>
          <w14:ligatures w14:val="none"/>
        </w:rPr>
        <w:t>, 186-198.</w:t>
      </w:r>
    </w:p>
    <w:p w14:paraId="49D65864"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Jackson, S. (2017). The Church as building, congregation, and universal body of believers: Semantic change. Article submitted to Ball State University, 1-12</w:t>
      </w:r>
    </w:p>
    <w:p w14:paraId="3F09C759"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Keller, K. L. (2013). Strategic brand management: Building, measuring, and managing brand equity. 4</w:t>
      </w:r>
      <w:r w:rsidRPr="008D3090">
        <w:rPr>
          <w:rFonts w:ascii="Times New Roman" w:eastAsia="Calibri" w:hAnsi="Times New Roman" w:cs="Times New Roman"/>
          <w:kern w:val="0"/>
          <w:vertAlign w:val="superscript"/>
          <w:lang w:val="en-GB"/>
          <w14:ligatures w14:val="none"/>
        </w:rPr>
        <w:t>th</w:t>
      </w:r>
      <w:r w:rsidRPr="008D3090">
        <w:rPr>
          <w:rFonts w:ascii="Times New Roman" w:eastAsia="Calibri" w:hAnsi="Times New Roman" w:cs="Times New Roman"/>
          <w:kern w:val="0"/>
          <w:lang w:val="en-GB"/>
          <w14:ligatures w14:val="none"/>
        </w:rPr>
        <w:t xml:space="preserve"> ed. Pearson Education.</w:t>
      </w:r>
    </w:p>
    <w:p w14:paraId="7531850F"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bCs/>
          <w:color w:val="000000"/>
          <w:kern w:val="0"/>
          <w14:ligatures w14:val="none"/>
        </w:rPr>
        <w:lastRenderedPageBreak/>
        <w:t xml:space="preserve">Nardella, C. (ed) (2014) Studying religion and marketing: </w:t>
      </w:r>
      <w:r w:rsidRPr="008D3090">
        <w:rPr>
          <w:rFonts w:ascii="Times New Roman" w:eastAsia="Calibri" w:hAnsi="Times New Roman" w:cs="Times New Roman"/>
          <w:color w:val="000000"/>
          <w:kern w:val="0"/>
          <w14:ligatures w14:val="none"/>
        </w:rPr>
        <w:t xml:space="preserve">An introduction. </w:t>
      </w:r>
      <w:r w:rsidRPr="008D3090">
        <w:rPr>
          <w:rFonts w:ascii="Times New Roman" w:eastAsia="Calibri" w:hAnsi="Times New Roman" w:cs="Times New Roman"/>
          <w:i/>
          <w:color w:val="000000"/>
          <w:kern w:val="0"/>
          <w14:ligatures w14:val="none"/>
        </w:rPr>
        <w:t>https://www.rivisteweb.it.</w:t>
      </w:r>
    </w:p>
    <w:p w14:paraId="07CA8797"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Okoh, B. U. &amp; </w:t>
      </w:r>
      <w:proofErr w:type="spellStart"/>
      <w:r w:rsidRPr="008D3090">
        <w:rPr>
          <w:rFonts w:ascii="Times New Roman" w:eastAsia="Calibri" w:hAnsi="Times New Roman" w:cs="Times New Roman"/>
          <w:kern w:val="0"/>
          <w:lang w:val="en-GB"/>
          <w14:ligatures w14:val="none"/>
        </w:rPr>
        <w:t>Maijimre</w:t>
      </w:r>
      <w:proofErr w:type="spellEnd"/>
      <w:r w:rsidRPr="008D3090">
        <w:rPr>
          <w:rFonts w:ascii="Times New Roman" w:eastAsia="Calibri" w:hAnsi="Times New Roman" w:cs="Times New Roman"/>
          <w:kern w:val="0"/>
          <w:lang w:val="en-GB"/>
          <w14:ligatures w14:val="none"/>
        </w:rPr>
        <w:t xml:space="preserve">, S. J. (2024). Religious communication in the digital age: Exploring the benefits and challenges of social media in religious expression in the Nigerian society. </w:t>
      </w:r>
      <w:proofErr w:type="spellStart"/>
      <w:r w:rsidRPr="008D3090">
        <w:rPr>
          <w:rFonts w:ascii="Times New Roman" w:eastAsia="Calibri" w:hAnsi="Times New Roman" w:cs="Times New Roman"/>
          <w:kern w:val="0"/>
          <w:lang w:val="en-GB"/>
          <w14:ligatures w14:val="none"/>
        </w:rPr>
        <w:t>Icheke</w:t>
      </w:r>
      <w:proofErr w:type="spellEnd"/>
      <w:r w:rsidRPr="008D3090">
        <w:rPr>
          <w:rFonts w:ascii="Times New Roman" w:eastAsia="Calibri" w:hAnsi="Times New Roman" w:cs="Times New Roman"/>
          <w:kern w:val="0"/>
          <w:lang w:val="en-GB"/>
          <w14:ligatures w14:val="none"/>
        </w:rPr>
        <w:t xml:space="preserve"> Journal of the Faculty of Humanities, 22 (4), 73-86</w:t>
      </w:r>
    </w:p>
    <w:p w14:paraId="7FC05822"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bCs/>
          <w:kern w:val="0"/>
          <w14:ligatures w14:val="none"/>
        </w:rPr>
      </w:pPr>
      <w:r w:rsidRPr="008D3090">
        <w:rPr>
          <w:rFonts w:ascii="Times New Roman" w:eastAsia="Calibri" w:hAnsi="Times New Roman" w:cs="Times New Roman"/>
          <w:kern w:val="0"/>
          <w14:ligatures w14:val="none"/>
        </w:rPr>
        <w:t xml:space="preserve">Rainer, T. (2007). </w:t>
      </w:r>
      <w:r w:rsidRPr="008D3090">
        <w:rPr>
          <w:rFonts w:ascii="Times New Roman" w:eastAsia="Calibri" w:hAnsi="Times New Roman" w:cs="Times New Roman"/>
          <w:bCs/>
          <w:kern w:val="0"/>
          <w14:ligatures w14:val="none"/>
        </w:rPr>
        <w:t xml:space="preserve">Four Principles for Membership Retention </w:t>
      </w:r>
    </w:p>
    <w:p w14:paraId="11021DF8"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Reichheld, F. F. &amp; Schefter, P. (2000). E-loyalty: Your secret weapon on the web. Harvard </w:t>
      </w:r>
      <w:proofErr w:type="spellStart"/>
      <w:r w:rsidRPr="008D3090">
        <w:rPr>
          <w:rFonts w:ascii="Times New Roman" w:eastAsia="Calibri" w:hAnsi="Times New Roman" w:cs="Times New Roman"/>
          <w:kern w:val="0"/>
          <w:lang w:val="en-GB"/>
          <w14:ligatures w14:val="none"/>
        </w:rPr>
        <w:t>Businss</w:t>
      </w:r>
      <w:proofErr w:type="spellEnd"/>
      <w:r w:rsidRPr="008D3090">
        <w:rPr>
          <w:rFonts w:ascii="Times New Roman" w:eastAsia="Calibri" w:hAnsi="Times New Roman" w:cs="Times New Roman"/>
          <w:kern w:val="0"/>
          <w:lang w:val="en-GB"/>
          <w14:ligatures w14:val="none"/>
        </w:rPr>
        <w:t xml:space="preserve"> Review, 78 (4), 105-113.</w:t>
      </w:r>
    </w:p>
    <w:p w14:paraId="19447243"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 xml:space="preserve">Sudarti, K. &amp; </w:t>
      </w:r>
      <w:proofErr w:type="spellStart"/>
      <w:r w:rsidRPr="008D3090">
        <w:rPr>
          <w:rFonts w:ascii="Times New Roman" w:eastAsia="Calibri" w:hAnsi="Times New Roman" w:cs="Times New Roman"/>
          <w:kern w:val="0"/>
          <w:lang w:val="en-GB"/>
          <w14:ligatures w14:val="none"/>
        </w:rPr>
        <w:t>Hendar</w:t>
      </w:r>
      <w:proofErr w:type="spellEnd"/>
      <w:r w:rsidRPr="008D3090">
        <w:rPr>
          <w:rFonts w:ascii="Times New Roman" w:eastAsia="Calibri" w:hAnsi="Times New Roman" w:cs="Times New Roman"/>
          <w:kern w:val="0"/>
          <w:lang w:val="en-GB"/>
          <w14:ligatures w14:val="none"/>
        </w:rPr>
        <w:t xml:space="preserve">, N. T. (2024). The role of religious brand community support to increase value co-creation in market religio-centric. Asia Management and Business Review, 4 (2), 173-186 </w:t>
      </w:r>
    </w:p>
    <w:p w14:paraId="71E02C89" w14:textId="77777777" w:rsidR="008D3090" w:rsidRPr="008D3090" w:rsidRDefault="008D3090" w:rsidP="001A5F7B">
      <w:pPr>
        <w:spacing w:before="100" w:beforeAutospacing="1" w:after="100" w:afterAutospacing="1" w:line="240" w:lineRule="auto"/>
        <w:ind w:left="567" w:hanging="567"/>
        <w:jc w:val="both"/>
        <w:rPr>
          <w:rFonts w:ascii="Times New Roman" w:eastAsia="Calibri" w:hAnsi="Times New Roman" w:cs="Times New Roman"/>
          <w:kern w:val="0"/>
          <w:lang w:val="en-GB"/>
          <w14:ligatures w14:val="none"/>
        </w:rPr>
      </w:pPr>
      <w:r w:rsidRPr="008D3090">
        <w:rPr>
          <w:rFonts w:ascii="Times New Roman" w:eastAsia="Calibri" w:hAnsi="Times New Roman" w:cs="Times New Roman"/>
          <w:kern w:val="0"/>
          <w:lang w:val="en-GB"/>
          <w14:ligatures w14:val="none"/>
        </w:rPr>
        <w:t>Trochim, W. M. (2006). The research methods knowledge base (2</w:t>
      </w:r>
      <w:r w:rsidRPr="008D3090">
        <w:rPr>
          <w:rFonts w:ascii="Times New Roman" w:eastAsia="Calibri" w:hAnsi="Times New Roman" w:cs="Times New Roman"/>
          <w:kern w:val="0"/>
          <w:vertAlign w:val="superscript"/>
          <w:lang w:val="en-GB"/>
          <w14:ligatures w14:val="none"/>
        </w:rPr>
        <w:t>nd</w:t>
      </w:r>
      <w:r w:rsidRPr="008D3090">
        <w:rPr>
          <w:rFonts w:ascii="Times New Roman" w:eastAsia="Calibri" w:hAnsi="Times New Roman" w:cs="Times New Roman"/>
          <w:kern w:val="0"/>
          <w:lang w:val="en-GB"/>
          <w14:ligatures w14:val="none"/>
        </w:rPr>
        <w:t xml:space="preserve"> ed.). http://www.socialresearchmethods.net/kb </w:t>
      </w:r>
    </w:p>
    <w:p w14:paraId="4B6A2C40" w14:textId="77777777" w:rsidR="008D3090" w:rsidRDefault="008D3090" w:rsidP="00A60822">
      <w:pPr>
        <w:spacing w:after="0" w:line="240" w:lineRule="auto"/>
        <w:jc w:val="both"/>
        <w:rPr>
          <w:rFonts w:ascii="Times New Roman" w:hAnsi="Times New Roman" w:cs="Times New Roman"/>
          <w:b/>
          <w:bCs/>
          <w:sz w:val="36"/>
          <w:szCs w:val="36"/>
        </w:rPr>
      </w:pPr>
    </w:p>
    <w:p w14:paraId="2EDBABC8" w14:textId="77777777" w:rsidR="008D3090" w:rsidRDefault="008D3090" w:rsidP="00A60822">
      <w:pPr>
        <w:spacing w:after="0" w:line="240" w:lineRule="auto"/>
        <w:jc w:val="both"/>
        <w:rPr>
          <w:rFonts w:ascii="Times New Roman" w:hAnsi="Times New Roman" w:cs="Times New Roman"/>
          <w:b/>
          <w:bCs/>
          <w:sz w:val="36"/>
          <w:szCs w:val="36"/>
        </w:rPr>
      </w:pPr>
    </w:p>
    <w:p w14:paraId="5E060FAD" w14:textId="77777777" w:rsidR="008D3090" w:rsidRDefault="008D3090" w:rsidP="00A60822">
      <w:pPr>
        <w:spacing w:after="0" w:line="240" w:lineRule="auto"/>
        <w:jc w:val="both"/>
        <w:rPr>
          <w:rFonts w:ascii="Times New Roman" w:hAnsi="Times New Roman" w:cs="Times New Roman"/>
          <w:b/>
          <w:bCs/>
          <w:sz w:val="36"/>
          <w:szCs w:val="36"/>
        </w:rPr>
      </w:pPr>
    </w:p>
    <w:p w14:paraId="36142B02" w14:textId="77777777" w:rsidR="008D3090" w:rsidRDefault="008D3090" w:rsidP="00A60822">
      <w:pPr>
        <w:spacing w:after="0" w:line="240" w:lineRule="auto"/>
        <w:jc w:val="both"/>
        <w:rPr>
          <w:rFonts w:ascii="Times New Roman" w:hAnsi="Times New Roman" w:cs="Times New Roman"/>
          <w:b/>
          <w:bCs/>
          <w:sz w:val="36"/>
          <w:szCs w:val="36"/>
        </w:rPr>
      </w:pPr>
    </w:p>
    <w:p w14:paraId="391B1E0C" w14:textId="77777777" w:rsidR="008D3090" w:rsidRDefault="008D3090" w:rsidP="00A60822">
      <w:pPr>
        <w:spacing w:after="0" w:line="240" w:lineRule="auto"/>
        <w:jc w:val="both"/>
        <w:rPr>
          <w:rFonts w:ascii="Times New Roman" w:hAnsi="Times New Roman" w:cs="Times New Roman"/>
          <w:b/>
          <w:bCs/>
          <w:sz w:val="36"/>
          <w:szCs w:val="36"/>
        </w:rPr>
      </w:pPr>
    </w:p>
    <w:p w14:paraId="580E429F" w14:textId="77777777" w:rsidR="008D3090" w:rsidRDefault="008D3090" w:rsidP="00A60822">
      <w:pPr>
        <w:spacing w:after="0" w:line="240" w:lineRule="auto"/>
        <w:jc w:val="both"/>
        <w:rPr>
          <w:rFonts w:ascii="Times New Roman" w:hAnsi="Times New Roman" w:cs="Times New Roman"/>
          <w:b/>
          <w:bCs/>
          <w:sz w:val="36"/>
          <w:szCs w:val="36"/>
        </w:rPr>
      </w:pPr>
    </w:p>
    <w:p w14:paraId="2855F2FA" w14:textId="77777777" w:rsidR="000B444A" w:rsidRPr="00D8206B" w:rsidRDefault="000B444A" w:rsidP="00A60822">
      <w:pPr>
        <w:spacing w:after="0" w:line="240" w:lineRule="auto"/>
        <w:jc w:val="both"/>
        <w:rPr>
          <w:rFonts w:ascii="Times New Roman" w:hAnsi="Times New Roman" w:cs="Times New Roman"/>
          <w:b/>
          <w:bCs/>
          <w:sz w:val="36"/>
          <w:szCs w:val="36"/>
        </w:rPr>
      </w:pPr>
    </w:p>
    <w:p w14:paraId="5B67E97E" w14:textId="77777777" w:rsidR="00D8206B" w:rsidRDefault="00D8206B" w:rsidP="00A60822">
      <w:pPr>
        <w:spacing w:after="0" w:line="240" w:lineRule="auto"/>
        <w:jc w:val="both"/>
        <w:rPr>
          <w:rFonts w:ascii="Times New Roman" w:hAnsi="Times New Roman" w:cs="Times New Roman"/>
          <w:b/>
          <w:bCs/>
          <w:sz w:val="56"/>
          <w:szCs w:val="56"/>
        </w:rPr>
      </w:pPr>
    </w:p>
    <w:p w14:paraId="2E765DC8" w14:textId="77777777" w:rsidR="00D8206B" w:rsidRDefault="00D8206B" w:rsidP="00A60822">
      <w:pPr>
        <w:spacing w:after="0" w:line="240" w:lineRule="auto"/>
        <w:jc w:val="both"/>
        <w:rPr>
          <w:rFonts w:ascii="Times New Roman" w:hAnsi="Times New Roman" w:cs="Times New Roman"/>
          <w:b/>
          <w:bCs/>
          <w:sz w:val="56"/>
          <w:szCs w:val="56"/>
        </w:rPr>
      </w:pPr>
    </w:p>
    <w:p w14:paraId="70DA11E3" w14:textId="77777777" w:rsidR="00D8206B" w:rsidRPr="00693702" w:rsidRDefault="00D8206B" w:rsidP="00A60822">
      <w:pPr>
        <w:spacing w:after="0" w:line="240" w:lineRule="auto"/>
        <w:jc w:val="both"/>
        <w:rPr>
          <w:rFonts w:ascii="Times New Roman" w:hAnsi="Times New Roman" w:cs="Times New Roman"/>
          <w:b/>
          <w:bCs/>
          <w:sz w:val="56"/>
          <w:szCs w:val="56"/>
        </w:rPr>
      </w:pPr>
    </w:p>
    <w:p w14:paraId="4EF95B5F" w14:textId="77777777" w:rsidR="001A1F9C" w:rsidRPr="00693702" w:rsidRDefault="001A1F9C">
      <w:pPr>
        <w:spacing w:after="0" w:line="240" w:lineRule="auto"/>
        <w:jc w:val="both"/>
        <w:rPr>
          <w:rFonts w:ascii="Times New Roman" w:hAnsi="Times New Roman" w:cs="Times New Roman"/>
          <w:b/>
          <w:bCs/>
          <w:sz w:val="56"/>
          <w:szCs w:val="56"/>
        </w:rPr>
      </w:pPr>
    </w:p>
    <w:sectPr w:rsidR="001A1F9C" w:rsidRPr="00693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FBB11" w14:textId="77777777" w:rsidR="004528FB" w:rsidRDefault="004528FB">
      <w:pPr>
        <w:spacing w:after="0" w:line="240" w:lineRule="auto"/>
      </w:pPr>
      <w:r>
        <w:separator/>
      </w:r>
    </w:p>
  </w:endnote>
  <w:endnote w:type="continuationSeparator" w:id="0">
    <w:p w14:paraId="3E136A51" w14:textId="77777777" w:rsidR="004528FB" w:rsidRDefault="00452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oppins">
    <w:altName w:val="Segoe Print"/>
    <w:charset w:val="00"/>
    <w:family w:val="auto"/>
    <w:pitch w:val="variable"/>
    <w:sig w:usb0="00008007" w:usb1="00000000" w:usb2="00000000" w:usb3="00000000" w:csb0="00000093" w:csb1="00000000"/>
  </w:font>
  <w:font w:name="Bahnschrift">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TimesNewRomanPSMT">
    <w:altName w:val="MS Mincho"/>
    <w:panose1 w:val="00000000000000000000"/>
    <w:charset w:val="80"/>
    <w:family w:val="auto"/>
    <w:notTrueType/>
    <w:pitch w:val="default"/>
    <w:sig w:usb0="00000007" w:usb1="08070000" w:usb2="00000010" w:usb3="00000000" w:csb0="00020003" w:csb1="00000000"/>
  </w:font>
  <w:font w:name="0">
    <w:altName w:val="Segoe Print"/>
    <w:charset w:val="00"/>
    <w:family w:val="auto"/>
    <w:pitch w:val="default"/>
  </w:font>
  <w:font w:name="-webkit-standard">
    <w:altName w:val="Times New Roman"/>
    <w:charset w:val="00"/>
    <w:family w:val="auto"/>
    <w:pitch w:val="default"/>
  </w:font>
  <w:font w:name="TimesNewRomanPS-BoldMT">
    <w:altName w:val="Times New Roman"/>
    <w:charset w:val="00"/>
    <w:family w:val="roman"/>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4A1B" w14:textId="77777777" w:rsidR="00832FF3" w:rsidRDefault="00832FF3">
    <w:pPr>
      <w:pStyle w:val="BodyText"/>
      <w:spacing w:line="14" w:lineRule="auto"/>
      <w:ind w:left="0"/>
      <w:rPr>
        <w:sz w:val="2"/>
      </w:rPr>
    </w:pPr>
    <w:r>
      <w:rPr>
        <w:noProof/>
        <w:sz w:val="2"/>
      </w:rPr>
      <mc:AlternateContent>
        <mc:Choice Requires="wps">
          <w:drawing>
            <wp:anchor distT="0" distB="0" distL="0" distR="0" simplePos="0" relativeHeight="251659264" behindDoc="1" locked="0" layoutInCell="1" allowOverlap="1" wp14:anchorId="3D9818F8" wp14:editId="0F02AED3">
              <wp:simplePos x="0" y="0"/>
              <wp:positionH relativeFrom="page">
                <wp:posOffset>3889375</wp:posOffset>
              </wp:positionH>
              <wp:positionV relativeFrom="page">
                <wp:posOffset>9283395</wp:posOffset>
              </wp:positionV>
              <wp:extent cx="163195" cy="165735"/>
              <wp:effectExtent l="0" t="0" r="0" b="0"/>
              <wp:wrapNone/>
              <wp:docPr id="163823459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14:paraId="6DCD9CCA" w14:textId="77777777" w:rsidR="00832FF3" w:rsidRDefault="00832FF3">
                          <w:pPr>
                            <w:spacing w:line="245" w:lineRule="exact"/>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D9818F8" id="_x0000_t202" coordsize="21600,21600" o:spt="202" path="m,l,21600r21600,l21600,xe">
              <v:stroke joinstyle="miter"/>
              <v:path gradientshapeok="t" o:connecttype="rect"/>
            </v:shapetype>
            <v:shape id="Textbox 1" o:spid="_x0000_s1077" type="#_x0000_t202" style="position:absolute;margin-left:306.25pt;margin-top:731pt;width:12.8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" filled="f" stroked="f">
              <v:textbox inset="0,0,0,0">
                <w:txbxContent>
                  <w:p w14:paraId="6DCD9CCA" w14:textId="77777777" w:rsidR="00832FF3" w:rsidRDefault="00832FF3">
                    <w:pPr>
                      <w:spacing w:line="245" w:lineRule="exact"/>
                      <w:rPr>
                        <w:rFonts w:ascii="Calibri"/>
                      </w:rPr>
                    </w:pPr>
                    <w:r>
                      <w:rPr>
                        <w:rFonts w:ascii="Calibri"/>
                        <w:spacing w:val="-5"/>
                      </w:rPr>
                      <w:fldChar w:fldCharType="begin"/>
                    </w:r>
                    <w:r>
                      <w:rPr>
                        <w:rFonts w:ascii="Calibri"/>
                        <w:spacing w:val="-5"/>
                        <w:sz w:val="22"/>
                      </w:rPr>
                      <w:instrText xml:space="preserve"> PAGE </w:instrText>
                    </w:r>
                    <w:r>
                      <w:rPr>
                        <w:rFonts w:ascii="Calibri"/>
                        <w:spacing w:val="-5"/>
                      </w:rPr>
                      <w:fldChar w:fldCharType="separate"/>
                    </w:r>
                    <w:r>
                      <w:rPr>
                        <w:rFonts w:ascii="Calibri"/>
                        <w:spacing w:val="-5"/>
                        <w:sz w:val="22"/>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0661" w14:textId="77777777" w:rsidR="00070085" w:rsidRDefault="00070085">
    <w:pPr>
      <w:pStyle w:val="Footer"/>
    </w:pPr>
    <w:r>
      <w:rPr>
        <w:noProof/>
      </w:rPr>
      <mc:AlternateContent>
        <mc:Choice Requires="wps">
          <w:drawing>
            <wp:anchor distT="0" distB="0" distL="114300" distR="114300" simplePos="0" relativeHeight="251661312" behindDoc="0" locked="0" layoutInCell="1" allowOverlap="1" wp14:anchorId="66AC0A01" wp14:editId="7108AC9D">
              <wp:simplePos x="0" y="0"/>
              <wp:positionH relativeFrom="margin">
                <wp:align>center</wp:align>
              </wp:positionH>
              <wp:positionV relativeFrom="paragraph">
                <wp:posOffset>0</wp:posOffset>
              </wp:positionV>
              <wp:extent cx="1828800" cy="1828800"/>
              <wp:effectExtent l="0" t="0" r="0" b="0"/>
              <wp:wrapNone/>
              <wp:docPr id="888523417" name="Text Box 8885234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B9CA150" w14:textId="77777777" w:rsidR="00070085" w:rsidRDefault="00070085">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AC0A01" id="_x0000_t202" coordsize="21600,21600" o:spt="202" path="m,l,21600r21600,l21600,xe">
              <v:stroke joinstyle="miter"/>
              <v:path gradientshapeok="t" o:connecttype="rect"/>
            </v:shapetype>
            <v:shape id="Text Box 888523417" o:spid="_x0000_s107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0B9CA150" w14:textId="77777777" w:rsidR="00070085" w:rsidRDefault="00070085">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5E160" w14:textId="77777777" w:rsidR="004528FB" w:rsidRDefault="004528FB">
      <w:pPr>
        <w:spacing w:after="0" w:line="240" w:lineRule="auto"/>
      </w:pPr>
      <w:r>
        <w:separator/>
      </w:r>
    </w:p>
  </w:footnote>
  <w:footnote w:type="continuationSeparator" w:id="0">
    <w:p w14:paraId="07A16EC2" w14:textId="77777777" w:rsidR="004528FB" w:rsidRDefault="00452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95B4A7"/>
    <w:multiLevelType w:val="singleLevel"/>
    <w:tmpl w:val="8D95B4A7"/>
    <w:lvl w:ilvl="0">
      <w:start w:val="1"/>
      <w:numFmt w:val="decimal"/>
      <w:suff w:val="space"/>
      <w:lvlText w:val="%1."/>
      <w:lvlJc w:val="left"/>
      <w:rPr>
        <w:rFonts w:hint="default"/>
        <w:b w:val="0"/>
        <w:bCs w:val="0"/>
      </w:rPr>
    </w:lvl>
  </w:abstractNum>
  <w:abstractNum w:abstractNumId="1" w15:restartNumberingAfterBreak="0">
    <w:nsid w:val="AB8A91EE"/>
    <w:multiLevelType w:val="singleLevel"/>
    <w:tmpl w:val="AB8A91EE"/>
    <w:lvl w:ilvl="0">
      <w:start w:val="1"/>
      <w:numFmt w:val="decimal"/>
      <w:lvlText w:val="%1)"/>
      <w:lvlJc w:val="left"/>
      <w:pPr>
        <w:tabs>
          <w:tab w:val="left" w:pos="425"/>
        </w:tabs>
        <w:ind w:left="425" w:hanging="425"/>
      </w:pPr>
      <w:rPr>
        <w:rFonts w:ascii="Times New Roman" w:hAnsi="Times New Roman" w:cs="Times New Roman" w:hint="default"/>
        <w:b/>
        <w:bCs/>
      </w:rPr>
    </w:lvl>
  </w:abstractNum>
  <w:abstractNum w:abstractNumId="2" w15:restartNumberingAfterBreak="0">
    <w:nsid w:val="AD5E7154"/>
    <w:multiLevelType w:val="singleLevel"/>
    <w:tmpl w:val="AD5E7154"/>
    <w:lvl w:ilvl="0">
      <w:start w:val="1"/>
      <w:numFmt w:val="lowerRoman"/>
      <w:suff w:val="space"/>
      <w:lvlText w:val="%1."/>
      <w:lvlJc w:val="left"/>
    </w:lvl>
  </w:abstractNum>
  <w:abstractNum w:abstractNumId="3" w15:restartNumberingAfterBreak="0">
    <w:nsid w:val="B3E6B4C8"/>
    <w:multiLevelType w:val="singleLevel"/>
    <w:tmpl w:val="B3E6B4C8"/>
    <w:lvl w:ilvl="0">
      <w:start w:val="1"/>
      <w:numFmt w:val="lowerLetter"/>
      <w:lvlText w:val="%1)"/>
      <w:lvlJc w:val="left"/>
      <w:pPr>
        <w:tabs>
          <w:tab w:val="left" w:pos="425"/>
        </w:tabs>
        <w:ind w:left="425" w:hanging="425"/>
      </w:pPr>
      <w:rPr>
        <w:rFonts w:ascii="Times New Roman" w:hAnsi="Times New Roman" w:cs="Times New Roman" w:hint="default"/>
        <w:b/>
        <w:bCs/>
      </w:rPr>
    </w:lvl>
  </w:abstractNum>
  <w:abstractNum w:abstractNumId="4" w15:restartNumberingAfterBreak="0">
    <w:nsid w:val="BCF36F68"/>
    <w:multiLevelType w:val="singleLevel"/>
    <w:tmpl w:val="BCF36F68"/>
    <w:lvl w:ilvl="0">
      <w:start w:val="1"/>
      <w:numFmt w:val="lowerRoman"/>
      <w:lvlText w:val="%1."/>
      <w:lvlJc w:val="right"/>
      <w:pPr>
        <w:ind w:left="720" w:hanging="360"/>
      </w:pPr>
      <w:rPr>
        <w:rFonts w:hint="default"/>
      </w:rPr>
    </w:lvl>
  </w:abstractNum>
  <w:abstractNum w:abstractNumId="5" w15:restartNumberingAfterBreak="0">
    <w:nsid w:val="00000001"/>
    <w:multiLevelType w:val="hybridMultilevel"/>
    <w:tmpl w:val="2C6A58D4"/>
    <w:lvl w:ilvl="0" w:tplc="1ADE40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2"/>
    <w:multiLevelType w:val="hybridMultilevel"/>
    <w:tmpl w:val="2256A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3"/>
    <w:multiLevelType w:val="hybridMultilevel"/>
    <w:tmpl w:val="CBAAC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6"/>
    <w:multiLevelType w:val="hybridMultilevel"/>
    <w:tmpl w:val="B7C0B468"/>
    <w:lvl w:ilvl="0" w:tplc="C69E13A4">
      <w:start w:val="1"/>
      <w:numFmt w:val="lowerRoman"/>
      <w:lvlText w:val="%1."/>
      <w:lvlJc w:val="left"/>
      <w:pPr>
        <w:ind w:left="1080" w:hanging="72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9" w15:restartNumberingAfterBreak="0">
    <w:nsid w:val="00101527"/>
    <w:multiLevelType w:val="hybridMultilevel"/>
    <w:tmpl w:val="666CB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037714A"/>
    <w:multiLevelType w:val="hybridMultilevel"/>
    <w:tmpl w:val="8CC4B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3B14407"/>
    <w:multiLevelType w:val="hybridMultilevel"/>
    <w:tmpl w:val="1B82C1E6"/>
    <w:lvl w:ilvl="0" w:tplc="5A2EF49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45C6026"/>
    <w:multiLevelType w:val="multilevel"/>
    <w:tmpl w:val="785AAA96"/>
    <w:lvl w:ilvl="0">
      <w:start w:val="1"/>
      <w:numFmt w:val="lowerRoman"/>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B60FCE"/>
    <w:multiLevelType w:val="multilevel"/>
    <w:tmpl w:val="92E61C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B450641"/>
    <w:multiLevelType w:val="multilevel"/>
    <w:tmpl w:val="0B45064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E992554"/>
    <w:multiLevelType w:val="hybridMultilevel"/>
    <w:tmpl w:val="858CC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F252713"/>
    <w:multiLevelType w:val="hybridMultilevel"/>
    <w:tmpl w:val="26781334"/>
    <w:lvl w:ilvl="0" w:tplc="0AB89C86">
      <w:start w:val="1"/>
      <w:numFmt w:val="lowerRoman"/>
      <w:lvlText w:val="%1."/>
      <w:lvlJc w:val="righ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5604AF"/>
    <w:multiLevelType w:val="hybridMultilevel"/>
    <w:tmpl w:val="B8D2F0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6F4335"/>
    <w:multiLevelType w:val="hybridMultilevel"/>
    <w:tmpl w:val="6E74B2B2"/>
    <w:lvl w:ilvl="0" w:tplc="EB7C91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DC781F"/>
    <w:multiLevelType w:val="hybridMultilevel"/>
    <w:tmpl w:val="82FC64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5A049DF"/>
    <w:multiLevelType w:val="hybridMultilevel"/>
    <w:tmpl w:val="42DEC274"/>
    <w:lvl w:ilvl="0" w:tplc="65D6277C">
      <w:start w:val="5"/>
      <w:numFmt w:val="decimal"/>
      <w:lvlText w:val="%1."/>
      <w:lvlJc w:val="left"/>
      <w:pPr>
        <w:ind w:left="900" w:hanging="720"/>
        <w:jc w:val="left"/>
      </w:pPr>
      <w:rPr>
        <w:rFonts w:ascii="Times New Roman" w:eastAsia="Times New Roman" w:hAnsi="Times New Roman" w:cs="Times New Roman" w:hint="default"/>
        <w:b/>
        <w:bCs/>
        <w:i w:val="0"/>
        <w:iCs w:val="0"/>
        <w:spacing w:val="0"/>
        <w:w w:val="100"/>
        <w:sz w:val="22"/>
        <w:szCs w:val="22"/>
        <w:lang w:val="en-US" w:eastAsia="en-US" w:bidi="ar-SA"/>
      </w:rPr>
    </w:lvl>
    <w:lvl w:ilvl="1" w:tplc="02B65D96">
      <w:start w:val="1"/>
      <w:numFmt w:val="lowerRoman"/>
      <w:lvlText w:val="%2."/>
      <w:lvlJc w:val="left"/>
      <w:pPr>
        <w:ind w:left="900" w:hanging="48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B90452DC">
      <w:numFmt w:val="bullet"/>
      <w:lvlText w:val="•"/>
      <w:lvlJc w:val="left"/>
      <w:pPr>
        <w:ind w:left="2952" w:hanging="485"/>
      </w:pPr>
      <w:rPr>
        <w:rFonts w:hint="default"/>
        <w:lang w:val="en-US" w:eastAsia="en-US" w:bidi="ar-SA"/>
      </w:rPr>
    </w:lvl>
    <w:lvl w:ilvl="3" w:tplc="1FA2D3C0">
      <w:numFmt w:val="bullet"/>
      <w:lvlText w:val="•"/>
      <w:lvlJc w:val="left"/>
      <w:pPr>
        <w:ind w:left="3978" w:hanging="485"/>
      </w:pPr>
      <w:rPr>
        <w:rFonts w:hint="default"/>
        <w:lang w:val="en-US" w:eastAsia="en-US" w:bidi="ar-SA"/>
      </w:rPr>
    </w:lvl>
    <w:lvl w:ilvl="4" w:tplc="EF46D10E">
      <w:numFmt w:val="bullet"/>
      <w:lvlText w:val="•"/>
      <w:lvlJc w:val="left"/>
      <w:pPr>
        <w:ind w:left="5004" w:hanging="485"/>
      </w:pPr>
      <w:rPr>
        <w:rFonts w:hint="default"/>
        <w:lang w:val="en-US" w:eastAsia="en-US" w:bidi="ar-SA"/>
      </w:rPr>
    </w:lvl>
    <w:lvl w:ilvl="5" w:tplc="B8DC55C0">
      <w:numFmt w:val="bullet"/>
      <w:lvlText w:val="•"/>
      <w:lvlJc w:val="left"/>
      <w:pPr>
        <w:ind w:left="6030" w:hanging="485"/>
      </w:pPr>
      <w:rPr>
        <w:rFonts w:hint="default"/>
        <w:lang w:val="en-US" w:eastAsia="en-US" w:bidi="ar-SA"/>
      </w:rPr>
    </w:lvl>
    <w:lvl w:ilvl="6" w:tplc="FA764040">
      <w:numFmt w:val="bullet"/>
      <w:lvlText w:val="•"/>
      <w:lvlJc w:val="left"/>
      <w:pPr>
        <w:ind w:left="7056" w:hanging="485"/>
      </w:pPr>
      <w:rPr>
        <w:rFonts w:hint="default"/>
        <w:lang w:val="en-US" w:eastAsia="en-US" w:bidi="ar-SA"/>
      </w:rPr>
    </w:lvl>
    <w:lvl w:ilvl="7" w:tplc="4712D9F8">
      <w:numFmt w:val="bullet"/>
      <w:lvlText w:val="•"/>
      <w:lvlJc w:val="left"/>
      <w:pPr>
        <w:ind w:left="8082" w:hanging="485"/>
      </w:pPr>
      <w:rPr>
        <w:rFonts w:hint="default"/>
        <w:lang w:val="en-US" w:eastAsia="en-US" w:bidi="ar-SA"/>
      </w:rPr>
    </w:lvl>
    <w:lvl w:ilvl="8" w:tplc="AFB8BBBA">
      <w:numFmt w:val="bullet"/>
      <w:lvlText w:val="•"/>
      <w:lvlJc w:val="left"/>
      <w:pPr>
        <w:ind w:left="9108" w:hanging="485"/>
      </w:pPr>
      <w:rPr>
        <w:rFonts w:hint="default"/>
        <w:lang w:val="en-US" w:eastAsia="en-US" w:bidi="ar-SA"/>
      </w:rPr>
    </w:lvl>
  </w:abstractNum>
  <w:abstractNum w:abstractNumId="21" w15:restartNumberingAfterBreak="0">
    <w:nsid w:val="16E62489"/>
    <w:multiLevelType w:val="hybridMultilevel"/>
    <w:tmpl w:val="950A15E8"/>
    <w:lvl w:ilvl="0" w:tplc="AE5A685E">
      <w:start w:val="1"/>
      <w:numFmt w:val="lowerRoman"/>
      <w:lvlText w:val="%1."/>
      <w:lvlJc w:val="left"/>
      <w:pPr>
        <w:ind w:left="720" w:hanging="48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2FE153A">
      <w:numFmt w:val="bullet"/>
      <w:lvlText w:val="•"/>
      <w:lvlJc w:val="left"/>
      <w:pPr>
        <w:ind w:left="1584" w:hanging="487"/>
      </w:pPr>
      <w:rPr>
        <w:rFonts w:hint="default"/>
        <w:lang w:val="en-US" w:eastAsia="en-US" w:bidi="ar-SA"/>
      </w:rPr>
    </w:lvl>
    <w:lvl w:ilvl="2" w:tplc="CAB04EF8">
      <w:numFmt w:val="bullet"/>
      <w:lvlText w:val="•"/>
      <w:lvlJc w:val="left"/>
      <w:pPr>
        <w:ind w:left="2448" w:hanging="487"/>
      </w:pPr>
      <w:rPr>
        <w:rFonts w:hint="default"/>
        <w:lang w:val="en-US" w:eastAsia="en-US" w:bidi="ar-SA"/>
      </w:rPr>
    </w:lvl>
    <w:lvl w:ilvl="3" w:tplc="0574A6FE">
      <w:numFmt w:val="bullet"/>
      <w:lvlText w:val="•"/>
      <w:lvlJc w:val="left"/>
      <w:pPr>
        <w:ind w:left="3312" w:hanging="487"/>
      </w:pPr>
      <w:rPr>
        <w:rFonts w:hint="default"/>
        <w:lang w:val="en-US" w:eastAsia="en-US" w:bidi="ar-SA"/>
      </w:rPr>
    </w:lvl>
    <w:lvl w:ilvl="4" w:tplc="F45CF4F6">
      <w:numFmt w:val="bullet"/>
      <w:lvlText w:val="•"/>
      <w:lvlJc w:val="left"/>
      <w:pPr>
        <w:ind w:left="4176" w:hanging="487"/>
      </w:pPr>
      <w:rPr>
        <w:rFonts w:hint="default"/>
        <w:lang w:val="en-US" w:eastAsia="en-US" w:bidi="ar-SA"/>
      </w:rPr>
    </w:lvl>
    <w:lvl w:ilvl="5" w:tplc="1A9AFDDA">
      <w:numFmt w:val="bullet"/>
      <w:lvlText w:val="•"/>
      <w:lvlJc w:val="left"/>
      <w:pPr>
        <w:ind w:left="5040" w:hanging="487"/>
      </w:pPr>
      <w:rPr>
        <w:rFonts w:hint="default"/>
        <w:lang w:val="en-US" w:eastAsia="en-US" w:bidi="ar-SA"/>
      </w:rPr>
    </w:lvl>
    <w:lvl w:ilvl="6" w:tplc="4EE05C86">
      <w:numFmt w:val="bullet"/>
      <w:lvlText w:val="•"/>
      <w:lvlJc w:val="left"/>
      <w:pPr>
        <w:ind w:left="5904" w:hanging="487"/>
      </w:pPr>
      <w:rPr>
        <w:rFonts w:hint="default"/>
        <w:lang w:val="en-US" w:eastAsia="en-US" w:bidi="ar-SA"/>
      </w:rPr>
    </w:lvl>
    <w:lvl w:ilvl="7" w:tplc="FE0CA69E">
      <w:numFmt w:val="bullet"/>
      <w:lvlText w:val="•"/>
      <w:lvlJc w:val="left"/>
      <w:pPr>
        <w:ind w:left="6768" w:hanging="487"/>
      </w:pPr>
      <w:rPr>
        <w:rFonts w:hint="default"/>
        <w:lang w:val="en-US" w:eastAsia="en-US" w:bidi="ar-SA"/>
      </w:rPr>
    </w:lvl>
    <w:lvl w:ilvl="8" w:tplc="AB821722">
      <w:numFmt w:val="bullet"/>
      <w:lvlText w:val="•"/>
      <w:lvlJc w:val="left"/>
      <w:pPr>
        <w:ind w:left="7632" w:hanging="487"/>
      </w:pPr>
      <w:rPr>
        <w:rFonts w:hint="default"/>
        <w:lang w:val="en-US" w:eastAsia="en-US" w:bidi="ar-SA"/>
      </w:rPr>
    </w:lvl>
  </w:abstractNum>
  <w:abstractNum w:abstractNumId="22" w15:restartNumberingAfterBreak="0">
    <w:nsid w:val="17084ED1"/>
    <w:multiLevelType w:val="multilevel"/>
    <w:tmpl w:val="EB74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7135F"/>
    <w:multiLevelType w:val="hybridMultilevel"/>
    <w:tmpl w:val="92C8A1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9F9DC10"/>
    <w:multiLevelType w:val="singleLevel"/>
    <w:tmpl w:val="19F9DC10"/>
    <w:lvl w:ilvl="0">
      <w:start w:val="1"/>
      <w:numFmt w:val="lowerRoman"/>
      <w:suff w:val="space"/>
      <w:lvlText w:val="%1."/>
      <w:lvlJc w:val="left"/>
    </w:lvl>
  </w:abstractNum>
  <w:abstractNum w:abstractNumId="25" w15:restartNumberingAfterBreak="0">
    <w:nsid w:val="1BCB6422"/>
    <w:multiLevelType w:val="hybridMultilevel"/>
    <w:tmpl w:val="5F6C3B10"/>
    <w:lvl w:ilvl="0" w:tplc="D63421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B17A47"/>
    <w:multiLevelType w:val="multilevel"/>
    <w:tmpl w:val="8EAA9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A34F9"/>
    <w:multiLevelType w:val="hybridMultilevel"/>
    <w:tmpl w:val="0652C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1B3FE2"/>
    <w:multiLevelType w:val="hybridMultilevel"/>
    <w:tmpl w:val="0324C5D8"/>
    <w:lvl w:ilvl="0" w:tplc="200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245EF2"/>
    <w:multiLevelType w:val="hybridMultilevel"/>
    <w:tmpl w:val="534CE866"/>
    <w:lvl w:ilvl="0" w:tplc="3BFEE968">
      <w:start w:val="1"/>
      <w:numFmt w:val="lowerRoman"/>
      <w:lvlText w:val="%1."/>
      <w:lvlJc w:val="left"/>
      <w:pPr>
        <w:ind w:left="720" w:hanging="466"/>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E85A5E42">
      <w:numFmt w:val="bullet"/>
      <w:lvlText w:val="•"/>
      <w:lvlJc w:val="left"/>
      <w:pPr>
        <w:ind w:left="1584" w:hanging="466"/>
      </w:pPr>
      <w:rPr>
        <w:rFonts w:hint="default"/>
        <w:lang w:val="en-US" w:eastAsia="en-US" w:bidi="ar-SA"/>
      </w:rPr>
    </w:lvl>
    <w:lvl w:ilvl="2" w:tplc="6C9E6984">
      <w:numFmt w:val="bullet"/>
      <w:lvlText w:val="•"/>
      <w:lvlJc w:val="left"/>
      <w:pPr>
        <w:ind w:left="2448" w:hanging="466"/>
      </w:pPr>
      <w:rPr>
        <w:rFonts w:hint="default"/>
        <w:lang w:val="en-US" w:eastAsia="en-US" w:bidi="ar-SA"/>
      </w:rPr>
    </w:lvl>
    <w:lvl w:ilvl="3" w:tplc="4D227E0A">
      <w:numFmt w:val="bullet"/>
      <w:lvlText w:val="•"/>
      <w:lvlJc w:val="left"/>
      <w:pPr>
        <w:ind w:left="3312" w:hanging="466"/>
      </w:pPr>
      <w:rPr>
        <w:rFonts w:hint="default"/>
        <w:lang w:val="en-US" w:eastAsia="en-US" w:bidi="ar-SA"/>
      </w:rPr>
    </w:lvl>
    <w:lvl w:ilvl="4" w:tplc="E8FA6814">
      <w:numFmt w:val="bullet"/>
      <w:lvlText w:val="•"/>
      <w:lvlJc w:val="left"/>
      <w:pPr>
        <w:ind w:left="4176" w:hanging="466"/>
      </w:pPr>
      <w:rPr>
        <w:rFonts w:hint="default"/>
        <w:lang w:val="en-US" w:eastAsia="en-US" w:bidi="ar-SA"/>
      </w:rPr>
    </w:lvl>
    <w:lvl w:ilvl="5" w:tplc="1E58650C">
      <w:numFmt w:val="bullet"/>
      <w:lvlText w:val="•"/>
      <w:lvlJc w:val="left"/>
      <w:pPr>
        <w:ind w:left="5040" w:hanging="466"/>
      </w:pPr>
      <w:rPr>
        <w:rFonts w:hint="default"/>
        <w:lang w:val="en-US" w:eastAsia="en-US" w:bidi="ar-SA"/>
      </w:rPr>
    </w:lvl>
    <w:lvl w:ilvl="6" w:tplc="09BE30B8">
      <w:numFmt w:val="bullet"/>
      <w:lvlText w:val="•"/>
      <w:lvlJc w:val="left"/>
      <w:pPr>
        <w:ind w:left="5904" w:hanging="466"/>
      </w:pPr>
      <w:rPr>
        <w:rFonts w:hint="default"/>
        <w:lang w:val="en-US" w:eastAsia="en-US" w:bidi="ar-SA"/>
      </w:rPr>
    </w:lvl>
    <w:lvl w:ilvl="7" w:tplc="678CCB82">
      <w:numFmt w:val="bullet"/>
      <w:lvlText w:val="•"/>
      <w:lvlJc w:val="left"/>
      <w:pPr>
        <w:ind w:left="6768" w:hanging="466"/>
      </w:pPr>
      <w:rPr>
        <w:rFonts w:hint="default"/>
        <w:lang w:val="en-US" w:eastAsia="en-US" w:bidi="ar-SA"/>
      </w:rPr>
    </w:lvl>
    <w:lvl w:ilvl="8" w:tplc="BB98438E">
      <w:numFmt w:val="bullet"/>
      <w:lvlText w:val="•"/>
      <w:lvlJc w:val="left"/>
      <w:pPr>
        <w:ind w:left="7632" w:hanging="466"/>
      </w:pPr>
      <w:rPr>
        <w:rFonts w:hint="default"/>
        <w:lang w:val="en-US" w:eastAsia="en-US" w:bidi="ar-SA"/>
      </w:rPr>
    </w:lvl>
  </w:abstractNum>
  <w:abstractNum w:abstractNumId="30" w15:restartNumberingAfterBreak="0">
    <w:nsid w:val="264F5975"/>
    <w:multiLevelType w:val="multilevel"/>
    <w:tmpl w:val="0626200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680900"/>
    <w:multiLevelType w:val="multilevel"/>
    <w:tmpl w:val="492E015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7C4999"/>
    <w:multiLevelType w:val="multilevel"/>
    <w:tmpl w:val="F28A44A8"/>
    <w:lvl w:ilvl="0">
      <w:start w:val="1"/>
      <w:numFmt w:val="low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D612DB3"/>
    <w:multiLevelType w:val="multilevel"/>
    <w:tmpl w:val="2D612DB3"/>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D23613"/>
    <w:multiLevelType w:val="multilevel"/>
    <w:tmpl w:val="5100E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605278"/>
    <w:multiLevelType w:val="hybridMultilevel"/>
    <w:tmpl w:val="85C0818A"/>
    <w:lvl w:ilvl="0" w:tplc="BB6817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871CA5"/>
    <w:multiLevelType w:val="hybridMultilevel"/>
    <w:tmpl w:val="9B56B1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C956B83"/>
    <w:multiLevelType w:val="hybridMultilevel"/>
    <w:tmpl w:val="7CE83114"/>
    <w:lvl w:ilvl="0" w:tplc="257083B2">
      <w:start w:val="1"/>
      <w:numFmt w:val="decimal"/>
      <w:lvlText w:val="%1."/>
      <w:lvlJc w:val="left"/>
      <w:pPr>
        <w:ind w:left="900" w:hanging="720"/>
        <w:jc w:val="left"/>
      </w:pPr>
      <w:rPr>
        <w:rFonts w:hint="default"/>
        <w:spacing w:val="0"/>
        <w:w w:val="100"/>
        <w:lang w:val="en-US" w:eastAsia="en-US" w:bidi="ar-SA"/>
      </w:rPr>
    </w:lvl>
    <w:lvl w:ilvl="1" w:tplc="B6E870B4">
      <w:numFmt w:val="bullet"/>
      <w:lvlText w:val="•"/>
      <w:lvlJc w:val="left"/>
      <w:pPr>
        <w:ind w:left="1926" w:hanging="720"/>
      </w:pPr>
      <w:rPr>
        <w:rFonts w:hint="default"/>
        <w:lang w:val="en-US" w:eastAsia="en-US" w:bidi="ar-SA"/>
      </w:rPr>
    </w:lvl>
    <w:lvl w:ilvl="2" w:tplc="47F4AF58">
      <w:numFmt w:val="bullet"/>
      <w:lvlText w:val="•"/>
      <w:lvlJc w:val="left"/>
      <w:pPr>
        <w:ind w:left="2952" w:hanging="720"/>
      </w:pPr>
      <w:rPr>
        <w:rFonts w:hint="default"/>
        <w:lang w:val="en-US" w:eastAsia="en-US" w:bidi="ar-SA"/>
      </w:rPr>
    </w:lvl>
    <w:lvl w:ilvl="3" w:tplc="3590418E">
      <w:numFmt w:val="bullet"/>
      <w:lvlText w:val="•"/>
      <w:lvlJc w:val="left"/>
      <w:pPr>
        <w:ind w:left="3978" w:hanging="720"/>
      </w:pPr>
      <w:rPr>
        <w:rFonts w:hint="default"/>
        <w:lang w:val="en-US" w:eastAsia="en-US" w:bidi="ar-SA"/>
      </w:rPr>
    </w:lvl>
    <w:lvl w:ilvl="4" w:tplc="5ED21BF0">
      <w:numFmt w:val="bullet"/>
      <w:lvlText w:val="•"/>
      <w:lvlJc w:val="left"/>
      <w:pPr>
        <w:ind w:left="5004" w:hanging="720"/>
      </w:pPr>
      <w:rPr>
        <w:rFonts w:hint="default"/>
        <w:lang w:val="en-US" w:eastAsia="en-US" w:bidi="ar-SA"/>
      </w:rPr>
    </w:lvl>
    <w:lvl w:ilvl="5" w:tplc="0D6AE994">
      <w:numFmt w:val="bullet"/>
      <w:lvlText w:val="•"/>
      <w:lvlJc w:val="left"/>
      <w:pPr>
        <w:ind w:left="6030" w:hanging="720"/>
      </w:pPr>
      <w:rPr>
        <w:rFonts w:hint="default"/>
        <w:lang w:val="en-US" w:eastAsia="en-US" w:bidi="ar-SA"/>
      </w:rPr>
    </w:lvl>
    <w:lvl w:ilvl="6" w:tplc="5AB674A6">
      <w:numFmt w:val="bullet"/>
      <w:lvlText w:val="•"/>
      <w:lvlJc w:val="left"/>
      <w:pPr>
        <w:ind w:left="7056" w:hanging="720"/>
      </w:pPr>
      <w:rPr>
        <w:rFonts w:hint="default"/>
        <w:lang w:val="en-US" w:eastAsia="en-US" w:bidi="ar-SA"/>
      </w:rPr>
    </w:lvl>
    <w:lvl w:ilvl="7" w:tplc="6A84B46E">
      <w:numFmt w:val="bullet"/>
      <w:lvlText w:val="•"/>
      <w:lvlJc w:val="left"/>
      <w:pPr>
        <w:ind w:left="8082" w:hanging="720"/>
      </w:pPr>
      <w:rPr>
        <w:rFonts w:hint="default"/>
        <w:lang w:val="en-US" w:eastAsia="en-US" w:bidi="ar-SA"/>
      </w:rPr>
    </w:lvl>
    <w:lvl w:ilvl="8" w:tplc="7FF67C20">
      <w:numFmt w:val="bullet"/>
      <w:lvlText w:val="•"/>
      <w:lvlJc w:val="left"/>
      <w:pPr>
        <w:ind w:left="9108" w:hanging="720"/>
      </w:pPr>
      <w:rPr>
        <w:rFonts w:hint="default"/>
        <w:lang w:val="en-US" w:eastAsia="en-US" w:bidi="ar-SA"/>
      </w:rPr>
    </w:lvl>
  </w:abstractNum>
  <w:abstractNum w:abstractNumId="38" w15:restartNumberingAfterBreak="0">
    <w:nsid w:val="3EE06BA0"/>
    <w:multiLevelType w:val="singleLevel"/>
    <w:tmpl w:val="3EE06BA0"/>
    <w:lvl w:ilvl="0">
      <w:start w:val="3"/>
      <w:numFmt w:val="decimal"/>
      <w:suff w:val="space"/>
      <w:lvlText w:val="%1."/>
      <w:lvlJc w:val="left"/>
    </w:lvl>
  </w:abstractNum>
  <w:abstractNum w:abstractNumId="39" w15:restartNumberingAfterBreak="0">
    <w:nsid w:val="3F043EE1"/>
    <w:multiLevelType w:val="hybridMultilevel"/>
    <w:tmpl w:val="06924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5A1045"/>
    <w:multiLevelType w:val="hybridMultilevel"/>
    <w:tmpl w:val="D2046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14B10B5"/>
    <w:multiLevelType w:val="hybridMultilevel"/>
    <w:tmpl w:val="611866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1715B62"/>
    <w:multiLevelType w:val="hybridMultilevel"/>
    <w:tmpl w:val="F8741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2D642B1"/>
    <w:multiLevelType w:val="multilevel"/>
    <w:tmpl w:val="8390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FA31E9"/>
    <w:multiLevelType w:val="hybridMultilevel"/>
    <w:tmpl w:val="C4B28368"/>
    <w:lvl w:ilvl="0" w:tplc="200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3AF5BEF"/>
    <w:multiLevelType w:val="hybridMultilevel"/>
    <w:tmpl w:val="2C6A58D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B84650"/>
    <w:multiLevelType w:val="multilevel"/>
    <w:tmpl w:val="6DC8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2F0017"/>
    <w:multiLevelType w:val="hybridMultilevel"/>
    <w:tmpl w:val="3A262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722D22"/>
    <w:multiLevelType w:val="hybridMultilevel"/>
    <w:tmpl w:val="17A67A8A"/>
    <w:lvl w:ilvl="0" w:tplc="44980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B943D1D"/>
    <w:multiLevelType w:val="multilevel"/>
    <w:tmpl w:val="0674F23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50743BA8"/>
    <w:multiLevelType w:val="multilevel"/>
    <w:tmpl w:val="9EBE661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2D32442"/>
    <w:multiLevelType w:val="multilevel"/>
    <w:tmpl w:val="E0943CDC"/>
    <w:lvl w:ilvl="0">
      <w:start w:val="1"/>
      <w:numFmt w:val="lowerRoman"/>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F77D21"/>
    <w:multiLevelType w:val="multilevel"/>
    <w:tmpl w:val="53F77D21"/>
    <w:lvl w:ilvl="0">
      <w:start w:val="1"/>
      <w:numFmt w:val="lowerLetter"/>
      <w:lvlText w:val="%1."/>
      <w:lvlJc w:val="left"/>
      <w:pPr>
        <w:ind w:left="720" w:hanging="360"/>
      </w:pPr>
      <w:rPr>
        <w:rFonts w:ascii="Times New Roman" w:hAnsi="Times New Roman" w:cs="Times New Roman"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53C297D"/>
    <w:multiLevelType w:val="multilevel"/>
    <w:tmpl w:val="553C297D"/>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96D7937"/>
    <w:multiLevelType w:val="multilevel"/>
    <w:tmpl w:val="29C6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04D8C"/>
    <w:multiLevelType w:val="hybridMultilevel"/>
    <w:tmpl w:val="E1421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5D56DA"/>
    <w:multiLevelType w:val="multilevel"/>
    <w:tmpl w:val="5B5D56DA"/>
    <w:lvl w:ilvl="0">
      <w:start w:val="1"/>
      <w:numFmt w:val="decimal"/>
      <w:suff w:val="space"/>
      <w:lvlText w:val="%1."/>
      <w:lvlJc w:val="left"/>
      <w:pPr>
        <w:ind w:left="0" w:firstLine="0"/>
      </w:pPr>
      <w:rPr>
        <w:rFonts w:ascii="Times New Roman" w:hAnsi="Times New Roman" w:cs="Times New Roman" w:hint="default"/>
        <w:b w:val="0"/>
        <w:b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5CC53F0F"/>
    <w:multiLevelType w:val="hybridMultilevel"/>
    <w:tmpl w:val="CFC092EE"/>
    <w:lvl w:ilvl="0" w:tplc="0EC2A2D8">
      <w:start w:val="1"/>
      <w:numFmt w:val="decimal"/>
      <w:lvlText w:val="%1."/>
      <w:lvlJc w:val="left"/>
      <w:pPr>
        <w:ind w:left="414" w:hanging="360"/>
      </w:pPr>
      <w:rPr>
        <w:rFonts w:hint="default"/>
      </w:rPr>
    </w:lvl>
    <w:lvl w:ilvl="1" w:tplc="04090019" w:tentative="1">
      <w:start w:val="1"/>
      <w:numFmt w:val="lowerLetter"/>
      <w:lvlText w:val="%2."/>
      <w:lvlJc w:val="left"/>
      <w:pPr>
        <w:ind w:left="1134" w:hanging="360"/>
      </w:pPr>
    </w:lvl>
    <w:lvl w:ilvl="2" w:tplc="0409001B" w:tentative="1">
      <w:start w:val="1"/>
      <w:numFmt w:val="lowerRoman"/>
      <w:lvlText w:val="%3."/>
      <w:lvlJc w:val="right"/>
      <w:pPr>
        <w:ind w:left="1854" w:hanging="180"/>
      </w:pPr>
    </w:lvl>
    <w:lvl w:ilvl="3" w:tplc="0409000F" w:tentative="1">
      <w:start w:val="1"/>
      <w:numFmt w:val="decimal"/>
      <w:lvlText w:val="%4."/>
      <w:lvlJc w:val="left"/>
      <w:pPr>
        <w:ind w:left="2574" w:hanging="360"/>
      </w:pPr>
    </w:lvl>
    <w:lvl w:ilvl="4" w:tplc="04090019" w:tentative="1">
      <w:start w:val="1"/>
      <w:numFmt w:val="lowerLetter"/>
      <w:lvlText w:val="%5."/>
      <w:lvlJc w:val="left"/>
      <w:pPr>
        <w:ind w:left="3294" w:hanging="360"/>
      </w:pPr>
    </w:lvl>
    <w:lvl w:ilvl="5" w:tplc="0409001B" w:tentative="1">
      <w:start w:val="1"/>
      <w:numFmt w:val="lowerRoman"/>
      <w:lvlText w:val="%6."/>
      <w:lvlJc w:val="right"/>
      <w:pPr>
        <w:ind w:left="4014" w:hanging="180"/>
      </w:pPr>
    </w:lvl>
    <w:lvl w:ilvl="6" w:tplc="0409000F" w:tentative="1">
      <w:start w:val="1"/>
      <w:numFmt w:val="decimal"/>
      <w:lvlText w:val="%7."/>
      <w:lvlJc w:val="left"/>
      <w:pPr>
        <w:ind w:left="4734" w:hanging="360"/>
      </w:pPr>
    </w:lvl>
    <w:lvl w:ilvl="7" w:tplc="04090019" w:tentative="1">
      <w:start w:val="1"/>
      <w:numFmt w:val="lowerLetter"/>
      <w:lvlText w:val="%8."/>
      <w:lvlJc w:val="left"/>
      <w:pPr>
        <w:ind w:left="5454" w:hanging="360"/>
      </w:pPr>
    </w:lvl>
    <w:lvl w:ilvl="8" w:tplc="0409001B" w:tentative="1">
      <w:start w:val="1"/>
      <w:numFmt w:val="lowerRoman"/>
      <w:lvlText w:val="%9."/>
      <w:lvlJc w:val="right"/>
      <w:pPr>
        <w:ind w:left="6174" w:hanging="180"/>
      </w:pPr>
    </w:lvl>
  </w:abstractNum>
  <w:abstractNum w:abstractNumId="58" w15:restartNumberingAfterBreak="0">
    <w:nsid w:val="5CFA3BAE"/>
    <w:multiLevelType w:val="multilevel"/>
    <w:tmpl w:val="5A249994"/>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eastAsia="Calibri"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080" w:hanging="72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440" w:hanging="108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1800" w:hanging="1440"/>
      </w:pPr>
      <w:rPr>
        <w:rFonts w:eastAsia="Calibri" w:hint="default"/>
      </w:rPr>
    </w:lvl>
    <w:lvl w:ilvl="8">
      <w:start w:val="1"/>
      <w:numFmt w:val="decimal"/>
      <w:isLgl/>
      <w:lvlText w:val="%1.%2.%3.%4.%5.%6.%7.%8.%9"/>
      <w:lvlJc w:val="left"/>
      <w:pPr>
        <w:ind w:left="2160" w:hanging="1800"/>
      </w:pPr>
      <w:rPr>
        <w:rFonts w:eastAsia="Calibri" w:hint="default"/>
      </w:rPr>
    </w:lvl>
  </w:abstractNum>
  <w:abstractNum w:abstractNumId="59" w15:restartNumberingAfterBreak="0">
    <w:nsid w:val="5D217AAF"/>
    <w:multiLevelType w:val="hybridMultilevel"/>
    <w:tmpl w:val="CAD03E7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0" w15:restartNumberingAfterBreak="0">
    <w:nsid w:val="5E164696"/>
    <w:multiLevelType w:val="hybridMultilevel"/>
    <w:tmpl w:val="56F67260"/>
    <w:lvl w:ilvl="0" w:tplc="2000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FAF0C2C"/>
    <w:multiLevelType w:val="hybridMultilevel"/>
    <w:tmpl w:val="10284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FC12C0D"/>
    <w:multiLevelType w:val="hybridMultilevel"/>
    <w:tmpl w:val="EF8C66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35D2E88"/>
    <w:multiLevelType w:val="multilevel"/>
    <w:tmpl w:val="A1C0E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1D71C7"/>
    <w:multiLevelType w:val="hybridMultilevel"/>
    <w:tmpl w:val="42DC7508"/>
    <w:lvl w:ilvl="0" w:tplc="4F665462">
      <w:start w:val="1"/>
      <w:numFmt w:val="lowerRoman"/>
      <w:lvlText w:val="%1."/>
      <w:lvlJc w:val="left"/>
      <w:pPr>
        <w:ind w:left="720" w:hanging="466"/>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A34ABC20">
      <w:numFmt w:val="bullet"/>
      <w:lvlText w:val="•"/>
      <w:lvlJc w:val="left"/>
      <w:pPr>
        <w:ind w:left="1584" w:hanging="466"/>
      </w:pPr>
      <w:rPr>
        <w:rFonts w:hint="default"/>
        <w:lang w:val="en-US" w:eastAsia="en-US" w:bidi="ar-SA"/>
      </w:rPr>
    </w:lvl>
    <w:lvl w:ilvl="2" w:tplc="CD54B7EC">
      <w:numFmt w:val="bullet"/>
      <w:lvlText w:val="•"/>
      <w:lvlJc w:val="left"/>
      <w:pPr>
        <w:ind w:left="2448" w:hanging="466"/>
      </w:pPr>
      <w:rPr>
        <w:rFonts w:hint="default"/>
        <w:lang w:val="en-US" w:eastAsia="en-US" w:bidi="ar-SA"/>
      </w:rPr>
    </w:lvl>
    <w:lvl w:ilvl="3" w:tplc="4738A35A">
      <w:numFmt w:val="bullet"/>
      <w:lvlText w:val="•"/>
      <w:lvlJc w:val="left"/>
      <w:pPr>
        <w:ind w:left="3312" w:hanging="466"/>
      </w:pPr>
      <w:rPr>
        <w:rFonts w:hint="default"/>
        <w:lang w:val="en-US" w:eastAsia="en-US" w:bidi="ar-SA"/>
      </w:rPr>
    </w:lvl>
    <w:lvl w:ilvl="4" w:tplc="2A02F544">
      <w:numFmt w:val="bullet"/>
      <w:lvlText w:val="•"/>
      <w:lvlJc w:val="left"/>
      <w:pPr>
        <w:ind w:left="4176" w:hanging="466"/>
      </w:pPr>
      <w:rPr>
        <w:rFonts w:hint="default"/>
        <w:lang w:val="en-US" w:eastAsia="en-US" w:bidi="ar-SA"/>
      </w:rPr>
    </w:lvl>
    <w:lvl w:ilvl="5" w:tplc="D67A8578">
      <w:numFmt w:val="bullet"/>
      <w:lvlText w:val="•"/>
      <w:lvlJc w:val="left"/>
      <w:pPr>
        <w:ind w:left="5040" w:hanging="466"/>
      </w:pPr>
      <w:rPr>
        <w:rFonts w:hint="default"/>
        <w:lang w:val="en-US" w:eastAsia="en-US" w:bidi="ar-SA"/>
      </w:rPr>
    </w:lvl>
    <w:lvl w:ilvl="6" w:tplc="DA929C00">
      <w:numFmt w:val="bullet"/>
      <w:lvlText w:val="•"/>
      <w:lvlJc w:val="left"/>
      <w:pPr>
        <w:ind w:left="5904" w:hanging="466"/>
      </w:pPr>
      <w:rPr>
        <w:rFonts w:hint="default"/>
        <w:lang w:val="en-US" w:eastAsia="en-US" w:bidi="ar-SA"/>
      </w:rPr>
    </w:lvl>
    <w:lvl w:ilvl="7" w:tplc="1BE81888">
      <w:numFmt w:val="bullet"/>
      <w:lvlText w:val="•"/>
      <w:lvlJc w:val="left"/>
      <w:pPr>
        <w:ind w:left="6768" w:hanging="466"/>
      </w:pPr>
      <w:rPr>
        <w:rFonts w:hint="default"/>
        <w:lang w:val="en-US" w:eastAsia="en-US" w:bidi="ar-SA"/>
      </w:rPr>
    </w:lvl>
    <w:lvl w:ilvl="8" w:tplc="84AA15AA">
      <w:numFmt w:val="bullet"/>
      <w:lvlText w:val="•"/>
      <w:lvlJc w:val="left"/>
      <w:pPr>
        <w:ind w:left="7632" w:hanging="466"/>
      </w:pPr>
      <w:rPr>
        <w:rFonts w:hint="default"/>
        <w:lang w:val="en-US" w:eastAsia="en-US" w:bidi="ar-SA"/>
      </w:rPr>
    </w:lvl>
  </w:abstractNum>
  <w:abstractNum w:abstractNumId="65" w15:restartNumberingAfterBreak="0">
    <w:nsid w:val="67FC32DC"/>
    <w:multiLevelType w:val="singleLevel"/>
    <w:tmpl w:val="67FC32DC"/>
    <w:lvl w:ilvl="0">
      <w:start w:val="2"/>
      <w:numFmt w:val="lowerLetter"/>
      <w:lvlText w:val="%1."/>
      <w:lvlJc w:val="left"/>
    </w:lvl>
  </w:abstractNum>
  <w:abstractNum w:abstractNumId="66" w15:restartNumberingAfterBreak="0">
    <w:nsid w:val="69827C2A"/>
    <w:multiLevelType w:val="hybridMultilevel"/>
    <w:tmpl w:val="8EB88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DC458D"/>
    <w:multiLevelType w:val="multilevel"/>
    <w:tmpl w:val="6ADC458D"/>
    <w:lvl w:ilvl="0">
      <w:start w:val="1"/>
      <w:numFmt w:val="decimal"/>
      <w:suff w:val="space"/>
      <w:lvlText w:val="%1."/>
      <w:lvlJc w:val="left"/>
      <w:pPr>
        <w:ind w:left="0" w:firstLine="0"/>
      </w:pPr>
      <w:rPr>
        <w:rFonts w:ascii="Times New Roman" w:hAnsi="Times New Roman" w:cs="Times New Roman" w:hint="default"/>
        <w:b w:val="0"/>
        <w:b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15:restartNumberingAfterBreak="0">
    <w:nsid w:val="6C8623AE"/>
    <w:multiLevelType w:val="multilevel"/>
    <w:tmpl w:val="E376B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517F2E"/>
    <w:multiLevelType w:val="hybridMultilevel"/>
    <w:tmpl w:val="B3A8E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117597F"/>
    <w:multiLevelType w:val="multilevel"/>
    <w:tmpl w:val="F73A16A8"/>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73D03EA1"/>
    <w:multiLevelType w:val="hybridMultilevel"/>
    <w:tmpl w:val="C576E5A6"/>
    <w:lvl w:ilvl="0" w:tplc="2000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5324664"/>
    <w:multiLevelType w:val="hybridMultilevel"/>
    <w:tmpl w:val="B8D2F06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5726EE0"/>
    <w:multiLevelType w:val="multilevel"/>
    <w:tmpl w:val="B22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A86DD0"/>
    <w:multiLevelType w:val="hybridMultilevel"/>
    <w:tmpl w:val="EB32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E5185E"/>
    <w:multiLevelType w:val="hybridMultilevel"/>
    <w:tmpl w:val="16BEDA06"/>
    <w:lvl w:ilvl="0" w:tplc="44FAA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7E5A932"/>
    <w:multiLevelType w:val="singleLevel"/>
    <w:tmpl w:val="77E5A932"/>
    <w:lvl w:ilvl="0">
      <w:start w:val="1"/>
      <w:numFmt w:val="decimal"/>
      <w:lvlText w:val="%1)"/>
      <w:lvlJc w:val="left"/>
      <w:pPr>
        <w:tabs>
          <w:tab w:val="left" w:pos="425"/>
        </w:tabs>
        <w:ind w:left="425" w:hanging="425"/>
      </w:pPr>
      <w:rPr>
        <w:rFonts w:hint="default"/>
      </w:rPr>
    </w:lvl>
  </w:abstractNum>
  <w:abstractNum w:abstractNumId="77" w15:restartNumberingAfterBreak="0">
    <w:nsid w:val="782B49A0"/>
    <w:multiLevelType w:val="hybridMultilevel"/>
    <w:tmpl w:val="DAF8E6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A17159C"/>
    <w:multiLevelType w:val="hybridMultilevel"/>
    <w:tmpl w:val="084ED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611FE6"/>
    <w:multiLevelType w:val="singleLevel"/>
    <w:tmpl w:val="7A611FE6"/>
    <w:lvl w:ilvl="0">
      <w:start w:val="1"/>
      <w:numFmt w:val="lowerRoman"/>
      <w:lvlText w:val="%1."/>
      <w:lvlJc w:val="right"/>
      <w:pPr>
        <w:ind w:left="360" w:hanging="360"/>
      </w:pPr>
      <w:rPr>
        <w:rFonts w:hint="default"/>
      </w:rPr>
    </w:lvl>
  </w:abstractNum>
  <w:abstractNum w:abstractNumId="80" w15:restartNumberingAfterBreak="0">
    <w:nsid w:val="7CF93A2E"/>
    <w:multiLevelType w:val="hybridMultilevel"/>
    <w:tmpl w:val="9EBE7C86"/>
    <w:lvl w:ilvl="0" w:tplc="D6E6D86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1" w15:restartNumberingAfterBreak="0">
    <w:nsid w:val="7EA678FD"/>
    <w:multiLevelType w:val="hybridMultilevel"/>
    <w:tmpl w:val="78F48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EE85604"/>
    <w:multiLevelType w:val="multilevel"/>
    <w:tmpl w:val="54A0E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60475C"/>
    <w:multiLevelType w:val="multilevel"/>
    <w:tmpl w:val="C63430A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727841">
    <w:abstractNumId w:val="55"/>
  </w:num>
  <w:num w:numId="2" w16cid:durableId="601110504">
    <w:abstractNumId w:val="78"/>
  </w:num>
  <w:num w:numId="3" w16cid:durableId="933517912">
    <w:abstractNumId w:val="7"/>
  </w:num>
  <w:num w:numId="4" w16cid:durableId="1186598932">
    <w:abstractNumId w:val="5"/>
  </w:num>
  <w:num w:numId="5" w16cid:durableId="942541317">
    <w:abstractNumId w:val="35"/>
  </w:num>
  <w:num w:numId="6" w16cid:durableId="2127040383">
    <w:abstractNumId w:val="6"/>
  </w:num>
  <w:num w:numId="7" w16cid:durableId="102304409">
    <w:abstractNumId w:val="50"/>
  </w:num>
  <w:num w:numId="8" w16cid:durableId="1393389452">
    <w:abstractNumId w:val="13"/>
  </w:num>
  <w:num w:numId="9" w16cid:durableId="344285341">
    <w:abstractNumId w:val="54"/>
  </w:num>
  <w:num w:numId="10" w16cid:durableId="883828937">
    <w:abstractNumId w:val="82"/>
  </w:num>
  <w:num w:numId="11" w16cid:durableId="1984121794">
    <w:abstractNumId w:val="58"/>
  </w:num>
  <w:num w:numId="12" w16cid:durableId="2088335087">
    <w:abstractNumId w:val="23"/>
  </w:num>
  <w:num w:numId="13" w16cid:durableId="1196381758">
    <w:abstractNumId w:val="15"/>
  </w:num>
  <w:num w:numId="14" w16cid:durableId="770391651">
    <w:abstractNumId w:val="9"/>
  </w:num>
  <w:num w:numId="15" w16cid:durableId="884557910">
    <w:abstractNumId w:val="42"/>
  </w:num>
  <w:num w:numId="16" w16cid:durableId="16808709">
    <w:abstractNumId w:val="36"/>
  </w:num>
  <w:num w:numId="17" w16cid:durableId="543520454">
    <w:abstractNumId w:val="19"/>
  </w:num>
  <w:num w:numId="18" w16cid:durableId="302278310">
    <w:abstractNumId w:val="70"/>
  </w:num>
  <w:num w:numId="19" w16cid:durableId="1984582355">
    <w:abstractNumId w:val="62"/>
  </w:num>
  <w:num w:numId="20" w16cid:durableId="1450049988">
    <w:abstractNumId w:val="77"/>
  </w:num>
  <w:num w:numId="21" w16cid:durableId="1755083662">
    <w:abstractNumId w:val="80"/>
  </w:num>
  <w:num w:numId="22" w16cid:durableId="1575242154">
    <w:abstractNumId w:val="41"/>
  </w:num>
  <w:num w:numId="23" w16cid:durableId="1053232611">
    <w:abstractNumId w:val="11"/>
  </w:num>
  <w:num w:numId="24" w16cid:durableId="83259514">
    <w:abstractNumId w:val="47"/>
  </w:num>
  <w:num w:numId="25" w16cid:durableId="1770158877">
    <w:abstractNumId w:val="69"/>
  </w:num>
  <w:num w:numId="26" w16cid:durableId="1851289600">
    <w:abstractNumId w:val="51"/>
  </w:num>
  <w:num w:numId="27" w16cid:durableId="1440026465">
    <w:abstractNumId w:val="43"/>
  </w:num>
  <w:num w:numId="28" w16cid:durableId="445544385">
    <w:abstractNumId w:val="12"/>
  </w:num>
  <w:num w:numId="29" w16cid:durableId="631209670">
    <w:abstractNumId w:val="2"/>
  </w:num>
  <w:num w:numId="30" w16cid:durableId="334304175">
    <w:abstractNumId w:val="38"/>
  </w:num>
  <w:num w:numId="31" w16cid:durableId="2043046719">
    <w:abstractNumId w:val="24"/>
  </w:num>
  <w:num w:numId="32" w16cid:durableId="1496677917">
    <w:abstractNumId w:val="17"/>
  </w:num>
  <w:num w:numId="33" w16cid:durableId="951328069">
    <w:abstractNumId w:val="72"/>
  </w:num>
  <w:num w:numId="34" w16cid:durableId="843858773">
    <w:abstractNumId w:val="8"/>
  </w:num>
  <w:num w:numId="35" w16cid:durableId="1662275879">
    <w:abstractNumId w:val="27"/>
  </w:num>
  <w:num w:numId="36" w16cid:durableId="476148445">
    <w:abstractNumId w:val="74"/>
  </w:num>
  <w:num w:numId="37" w16cid:durableId="990405204">
    <w:abstractNumId w:val="25"/>
  </w:num>
  <w:num w:numId="38" w16cid:durableId="1022124108">
    <w:abstractNumId w:val="75"/>
  </w:num>
  <w:num w:numId="39" w16cid:durableId="710618068">
    <w:abstractNumId w:val="48"/>
  </w:num>
  <w:num w:numId="40" w16cid:durableId="1111822925">
    <w:abstractNumId w:val="18"/>
  </w:num>
  <w:num w:numId="41" w16cid:durableId="536432016">
    <w:abstractNumId w:val="45"/>
  </w:num>
  <w:num w:numId="42" w16cid:durableId="887373890">
    <w:abstractNumId w:val="14"/>
  </w:num>
  <w:num w:numId="43" w16cid:durableId="1806923683">
    <w:abstractNumId w:val="32"/>
  </w:num>
  <w:num w:numId="44" w16cid:durableId="5208806">
    <w:abstractNumId w:val="33"/>
  </w:num>
  <w:num w:numId="45" w16cid:durableId="221642780">
    <w:abstractNumId w:val="65"/>
  </w:num>
  <w:num w:numId="46" w16cid:durableId="541674224">
    <w:abstractNumId w:val="71"/>
  </w:num>
  <w:num w:numId="47" w16cid:durableId="1835142172">
    <w:abstractNumId w:val="44"/>
  </w:num>
  <w:num w:numId="48" w16cid:durableId="557863061">
    <w:abstractNumId w:val="28"/>
  </w:num>
  <w:num w:numId="49" w16cid:durableId="1175613921">
    <w:abstractNumId w:val="60"/>
  </w:num>
  <w:num w:numId="50" w16cid:durableId="1040014758">
    <w:abstractNumId w:val="76"/>
  </w:num>
  <w:num w:numId="51" w16cid:durableId="2050641107">
    <w:abstractNumId w:val="29"/>
  </w:num>
  <w:num w:numId="52" w16cid:durableId="1920210890">
    <w:abstractNumId w:val="21"/>
  </w:num>
  <w:num w:numId="53" w16cid:durableId="1243030280">
    <w:abstractNumId w:val="64"/>
  </w:num>
  <w:num w:numId="54" w16cid:durableId="89468156">
    <w:abstractNumId w:val="57"/>
  </w:num>
  <w:num w:numId="55" w16cid:durableId="1518620144">
    <w:abstractNumId w:val="39"/>
  </w:num>
  <w:num w:numId="56" w16cid:durableId="1768767875">
    <w:abstractNumId w:val="10"/>
  </w:num>
  <w:num w:numId="57" w16cid:durableId="1025792732">
    <w:abstractNumId w:val="40"/>
  </w:num>
  <w:num w:numId="58" w16cid:durableId="1446971382">
    <w:abstractNumId w:val="61"/>
  </w:num>
  <w:num w:numId="59" w16cid:durableId="1913612719">
    <w:abstractNumId w:val="81"/>
  </w:num>
  <w:num w:numId="60" w16cid:durableId="1185360853">
    <w:abstractNumId w:val="66"/>
  </w:num>
  <w:num w:numId="61" w16cid:durableId="949434151">
    <w:abstractNumId w:val="49"/>
  </w:num>
  <w:num w:numId="62" w16cid:durableId="2022463055">
    <w:abstractNumId w:val="20"/>
  </w:num>
  <w:num w:numId="63" w16cid:durableId="315228485">
    <w:abstractNumId w:val="37"/>
  </w:num>
  <w:num w:numId="64" w16cid:durableId="92931835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8224139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43988319">
    <w:abstractNumId w:val="0"/>
  </w:num>
  <w:num w:numId="67" w16cid:durableId="1781753512">
    <w:abstractNumId w:val="79"/>
  </w:num>
  <w:num w:numId="68" w16cid:durableId="59796275">
    <w:abstractNumId w:val="4"/>
  </w:num>
  <w:num w:numId="69" w16cid:durableId="454761950">
    <w:abstractNumId w:val="53"/>
  </w:num>
  <w:num w:numId="70" w16cid:durableId="1439717300">
    <w:abstractNumId w:val="52"/>
  </w:num>
  <w:num w:numId="71" w16cid:durableId="1231503456">
    <w:abstractNumId w:val="1"/>
  </w:num>
  <w:num w:numId="72" w16cid:durableId="824709128">
    <w:abstractNumId w:val="3"/>
  </w:num>
  <w:num w:numId="73" w16cid:durableId="1452167325">
    <w:abstractNumId w:val="16"/>
  </w:num>
  <w:num w:numId="74" w16cid:durableId="480541366">
    <w:abstractNumId w:val="46"/>
  </w:num>
  <w:num w:numId="75" w16cid:durableId="211158660">
    <w:abstractNumId w:val="68"/>
  </w:num>
  <w:num w:numId="76" w16cid:durableId="342099922">
    <w:abstractNumId w:val="63"/>
  </w:num>
  <w:num w:numId="77" w16cid:durableId="1021205247">
    <w:abstractNumId w:val="34"/>
  </w:num>
  <w:num w:numId="78" w16cid:durableId="375934633">
    <w:abstractNumId w:val="73"/>
  </w:num>
  <w:num w:numId="79" w16cid:durableId="401753936">
    <w:abstractNumId w:val="22"/>
  </w:num>
  <w:num w:numId="80" w16cid:durableId="1217427257">
    <w:abstractNumId w:val="26"/>
  </w:num>
  <w:num w:numId="81" w16cid:durableId="806359320">
    <w:abstractNumId w:val="30"/>
  </w:num>
  <w:num w:numId="82" w16cid:durableId="1776709104">
    <w:abstractNumId w:val="83"/>
  </w:num>
  <w:num w:numId="83" w16cid:durableId="1983806065">
    <w:abstractNumId w:val="31"/>
  </w:num>
  <w:num w:numId="84" w16cid:durableId="187665060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0B"/>
    <w:rsid w:val="0003419D"/>
    <w:rsid w:val="00070085"/>
    <w:rsid w:val="00083887"/>
    <w:rsid w:val="000914F4"/>
    <w:rsid w:val="000B2B80"/>
    <w:rsid w:val="000B444A"/>
    <w:rsid w:val="000C0C53"/>
    <w:rsid w:val="00120BA4"/>
    <w:rsid w:val="00141FCF"/>
    <w:rsid w:val="0015036C"/>
    <w:rsid w:val="00186526"/>
    <w:rsid w:val="001A1F9C"/>
    <w:rsid w:val="001A5F7B"/>
    <w:rsid w:val="001A734D"/>
    <w:rsid w:val="001C4BAD"/>
    <w:rsid w:val="00236392"/>
    <w:rsid w:val="002610CA"/>
    <w:rsid w:val="00280800"/>
    <w:rsid w:val="00280939"/>
    <w:rsid w:val="002C3670"/>
    <w:rsid w:val="00310523"/>
    <w:rsid w:val="003F2F14"/>
    <w:rsid w:val="00431C94"/>
    <w:rsid w:val="0044629C"/>
    <w:rsid w:val="004528FB"/>
    <w:rsid w:val="00480896"/>
    <w:rsid w:val="004F02C8"/>
    <w:rsid w:val="0053526A"/>
    <w:rsid w:val="005726E4"/>
    <w:rsid w:val="00583609"/>
    <w:rsid w:val="005E7DC2"/>
    <w:rsid w:val="005F7B2F"/>
    <w:rsid w:val="00624175"/>
    <w:rsid w:val="00641746"/>
    <w:rsid w:val="00666CAD"/>
    <w:rsid w:val="00693702"/>
    <w:rsid w:val="006B730B"/>
    <w:rsid w:val="006F39E0"/>
    <w:rsid w:val="00705102"/>
    <w:rsid w:val="007223FC"/>
    <w:rsid w:val="00744876"/>
    <w:rsid w:val="0076104D"/>
    <w:rsid w:val="00794504"/>
    <w:rsid w:val="00832FF3"/>
    <w:rsid w:val="00887216"/>
    <w:rsid w:val="00891AB4"/>
    <w:rsid w:val="008D3090"/>
    <w:rsid w:val="0094260B"/>
    <w:rsid w:val="00A00954"/>
    <w:rsid w:val="00A60822"/>
    <w:rsid w:val="00A618DE"/>
    <w:rsid w:val="00AB41C7"/>
    <w:rsid w:val="00AE7FA9"/>
    <w:rsid w:val="00B82A08"/>
    <w:rsid w:val="00C259D6"/>
    <w:rsid w:val="00C302CE"/>
    <w:rsid w:val="00C37842"/>
    <w:rsid w:val="00C41F0A"/>
    <w:rsid w:val="00C67A48"/>
    <w:rsid w:val="00CA26B4"/>
    <w:rsid w:val="00D0294C"/>
    <w:rsid w:val="00D24E0B"/>
    <w:rsid w:val="00D3026B"/>
    <w:rsid w:val="00D8206B"/>
    <w:rsid w:val="00DA5AE9"/>
    <w:rsid w:val="00DB6A40"/>
    <w:rsid w:val="00E30D1B"/>
    <w:rsid w:val="00E737DB"/>
    <w:rsid w:val="00E93D6C"/>
    <w:rsid w:val="00F2321A"/>
    <w:rsid w:val="00F448E1"/>
    <w:rsid w:val="00FA49DC"/>
    <w:rsid w:val="00FA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92C8A"/>
  <w15:chartTrackingRefBased/>
  <w15:docId w15:val="{5EE4DDE6-6CE7-4CB6-A055-A2DF00AE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7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6B7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7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6B7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B7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6B7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6B7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qFormat/>
    <w:rsid w:val="006B7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0B"/>
    <w:rPr>
      <w:rFonts w:eastAsiaTheme="majorEastAsia" w:cstheme="majorBidi"/>
      <w:color w:val="272727" w:themeColor="text1" w:themeTint="D8"/>
    </w:rPr>
  </w:style>
  <w:style w:type="paragraph" w:styleId="Title">
    <w:name w:val="Title"/>
    <w:basedOn w:val="Normal"/>
    <w:next w:val="Normal"/>
    <w:link w:val="TitleChar"/>
    <w:uiPriority w:val="10"/>
    <w:qFormat/>
    <w:rsid w:val="006B7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0B"/>
    <w:pPr>
      <w:spacing w:before="160"/>
      <w:jc w:val="center"/>
    </w:pPr>
    <w:rPr>
      <w:i/>
      <w:iCs/>
      <w:color w:val="404040" w:themeColor="text1" w:themeTint="BF"/>
    </w:rPr>
  </w:style>
  <w:style w:type="character" w:customStyle="1" w:styleId="QuoteChar">
    <w:name w:val="Quote Char"/>
    <w:basedOn w:val="DefaultParagraphFont"/>
    <w:link w:val="Quote"/>
    <w:uiPriority w:val="29"/>
    <w:rsid w:val="006B730B"/>
    <w:rPr>
      <w:i/>
      <w:iCs/>
      <w:color w:val="404040" w:themeColor="text1" w:themeTint="BF"/>
    </w:rPr>
  </w:style>
  <w:style w:type="paragraph" w:styleId="ListParagraph">
    <w:name w:val="List Paragraph"/>
    <w:basedOn w:val="Normal"/>
    <w:uiPriority w:val="34"/>
    <w:qFormat/>
    <w:rsid w:val="006B730B"/>
    <w:pPr>
      <w:ind w:left="720"/>
      <w:contextualSpacing/>
    </w:pPr>
  </w:style>
  <w:style w:type="character" w:styleId="IntenseEmphasis">
    <w:name w:val="Intense Emphasis"/>
    <w:basedOn w:val="DefaultParagraphFont"/>
    <w:uiPriority w:val="21"/>
    <w:qFormat/>
    <w:rsid w:val="006B730B"/>
    <w:rPr>
      <w:i/>
      <w:iCs/>
      <w:color w:val="2F5496" w:themeColor="accent1" w:themeShade="BF"/>
    </w:rPr>
  </w:style>
  <w:style w:type="paragraph" w:styleId="IntenseQuote">
    <w:name w:val="Intense Quote"/>
    <w:basedOn w:val="Normal"/>
    <w:next w:val="Normal"/>
    <w:link w:val="IntenseQuoteChar"/>
    <w:uiPriority w:val="30"/>
    <w:qFormat/>
    <w:rsid w:val="006B7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30B"/>
    <w:rPr>
      <w:i/>
      <w:iCs/>
      <w:color w:val="2F5496" w:themeColor="accent1" w:themeShade="BF"/>
    </w:rPr>
  </w:style>
  <w:style w:type="character" w:styleId="IntenseReference">
    <w:name w:val="Intense Reference"/>
    <w:basedOn w:val="DefaultParagraphFont"/>
    <w:uiPriority w:val="32"/>
    <w:qFormat/>
    <w:rsid w:val="006B730B"/>
    <w:rPr>
      <w:b/>
      <w:bCs/>
      <w:smallCaps/>
      <w:color w:val="2F5496" w:themeColor="accent1" w:themeShade="BF"/>
      <w:spacing w:val="5"/>
    </w:rPr>
  </w:style>
  <w:style w:type="table" w:styleId="TableGrid">
    <w:name w:val="Table Grid"/>
    <w:basedOn w:val="TableNormal"/>
    <w:uiPriority w:val="39"/>
    <w:rsid w:val="00A6082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60822"/>
  </w:style>
  <w:style w:type="character" w:styleId="Strong">
    <w:name w:val="Strong"/>
    <w:basedOn w:val="DefaultParagraphFont"/>
    <w:uiPriority w:val="22"/>
    <w:qFormat/>
    <w:rsid w:val="00A60822"/>
    <w:rPr>
      <w:b/>
      <w:bCs/>
    </w:rPr>
  </w:style>
  <w:style w:type="character" w:customStyle="1" w:styleId="Hyperlink1">
    <w:name w:val="Hyperlink1"/>
    <w:basedOn w:val="DefaultParagraphFont"/>
    <w:uiPriority w:val="99"/>
    <w:unhideWhenUsed/>
    <w:rsid w:val="00A60822"/>
    <w:rPr>
      <w:color w:val="0000FF"/>
      <w:u w:val="single"/>
    </w:rPr>
  </w:style>
  <w:style w:type="character" w:customStyle="1" w:styleId="extn-css-0">
    <w:name w:val="extn-css-0"/>
    <w:basedOn w:val="DefaultParagraphFont"/>
    <w:rsid w:val="00A60822"/>
  </w:style>
  <w:style w:type="character" w:customStyle="1" w:styleId="extn-css-1tmeul0">
    <w:name w:val="extn-css-1tmeul0"/>
    <w:basedOn w:val="DefaultParagraphFont"/>
    <w:rsid w:val="00A60822"/>
  </w:style>
  <w:style w:type="character" w:customStyle="1" w:styleId="extn-css-10o52y0">
    <w:name w:val="extn-css-10o52y0"/>
    <w:basedOn w:val="DefaultParagraphFont"/>
    <w:rsid w:val="00A60822"/>
  </w:style>
  <w:style w:type="character" w:customStyle="1" w:styleId="extn-css-h5d7i9">
    <w:name w:val="extn-css-h5d7i9"/>
    <w:basedOn w:val="DefaultParagraphFont"/>
    <w:rsid w:val="00A60822"/>
  </w:style>
  <w:style w:type="character" w:customStyle="1" w:styleId="extn-css-1g9q2al">
    <w:name w:val="extn-css-1g9q2al"/>
    <w:basedOn w:val="DefaultParagraphFont"/>
    <w:rsid w:val="00A60822"/>
  </w:style>
  <w:style w:type="paragraph" w:styleId="Header">
    <w:name w:val="header"/>
    <w:basedOn w:val="Normal"/>
    <w:link w:val="HeaderChar"/>
    <w:unhideWhenUsed/>
    <w:qFormat/>
    <w:rsid w:val="00A60822"/>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rsid w:val="00A60822"/>
    <w:rPr>
      <w:kern w:val="0"/>
      <w:sz w:val="22"/>
      <w:szCs w:val="22"/>
      <w14:ligatures w14:val="none"/>
    </w:rPr>
  </w:style>
  <w:style w:type="paragraph" w:styleId="Footer">
    <w:name w:val="footer"/>
    <w:basedOn w:val="Normal"/>
    <w:link w:val="FooterChar"/>
    <w:unhideWhenUsed/>
    <w:qFormat/>
    <w:rsid w:val="00A60822"/>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qFormat/>
    <w:rsid w:val="00A60822"/>
    <w:rPr>
      <w:kern w:val="0"/>
      <w:sz w:val="22"/>
      <w:szCs w:val="22"/>
      <w14:ligatures w14:val="none"/>
    </w:rPr>
  </w:style>
  <w:style w:type="character" w:styleId="Hyperlink">
    <w:name w:val="Hyperlink"/>
    <w:basedOn w:val="DefaultParagraphFont"/>
    <w:uiPriority w:val="99"/>
    <w:unhideWhenUsed/>
    <w:qFormat/>
    <w:rsid w:val="00A60822"/>
    <w:rPr>
      <w:color w:val="0563C1" w:themeColor="hyperlink"/>
      <w:u w:val="single"/>
    </w:rPr>
  </w:style>
  <w:style w:type="character" w:styleId="Emphasis">
    <w:name w:val="Emphasis"/>
    <w:basedOn w:val="DefaultParagraphFont"/>
    <w:uiPriority w:val="20"/>
    <w:qFormat/>
    <w:rsid w:val="00A60822"/>
    <w:rPr>
      <w:i/>
      <w:iCs/>
    </w:rPr>
  </w:style>
  <w:style w:type="paragraph" w:styleId="NoSpacing">
    <w:name w:val="No Spacing"/>
    <w:aliases w:val="paragraph"/>
    <w:link w:val="NoSpacingChar"/>
    <w:uiPriority w:val="1"/>
    <w:qFormat/>
    <w:rsid w:val="00A60822"/>
    <w:pPr>
      <w:spacing w:after="0" w:line="240" w:lineRule="auto"/>
    </w:pPr>
  </w:style>
  <w:style w:type="character" w:styleId="UnresolvedMention">
    <w:name w:val="Unresolved Mention"/>
    <w:basedOn w:val="DefaultParagraphFont"/>
    <w:uiPriority w:val="99"/>
    <w:semiHidden/>
    <w:unhideWhenUsed/>
    <w:rsid w:val="00A60822"/>
    <w:rPr>
      <w:color w:val="605E5C"/>
      <w:shd w:val="clear" w:color="auto" w:fill="E1DFDD"/>
    </w:rPr>
  </w:style>
  <w:style w:type="paragraph" w:styleId="NormalWeb">
    <w:name w:val="Normal (Web)"/>
    <w:basedOn w:val="Normal"/>
    <w:uiPriority w:val="99"/>
    <w:unhideWhenUsed/>
    <w:qFormat/>
    <w:rsid w:val="00A60822"/>
    <w:rPr>
      <w:rFonts w:ascii="Times New Roman" w:hAnsi="Times New Roman" w:cs="Times New Roman"/>
    </w:rPr>
  </w:style>
  <w:style w:type="character" w:customStyle="1" w:styleId="font-600">
    <w:name w:val="font-[600]"/>
    <w:basedOn w:val="DefaultParagraphFont"/>
    <w:rsid w:val="00A60822"/>
  </w:style>
  <w:style w:type="table" w:customStyle="1" w:styleId="TableGrid1">
    <w:name w:val="Table Grid1"/>
    <w:basedOn w:val="TableNormal"/>
    <w:next w:val="TableGrid"/>
    <w:uiPriority w:val="59"/>
    <w:rsid w:val="00A60822"/>
    <w:pPr>
      <w:spacing w:after="0" w:line="240" w:lineRule="auto"/>
    </w:pPr>
    <w:rPr>
      <w:rFonts w:eastAsiaTheme="minorEastAsia"/>
      <w:kern w:val="0"/>
      <w:sz w:val="22"/>
      <w:szCs w:val="22"/>
      <w:lang w:val="en-GB" w:eastAsia="en-GB"/>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39"/>
    <w:rsid w:val="00DB6A4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B6A4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B6A40"/>
  </w:style>
  <w:style w:type="character" w:customStyle="1" w:styleId="UnresolvedMention1">
    <w:name w:val="Unresolved Mention1"/>
    <w:basedOn w:val="DefaultParagraphFont"/>
    <w:uiPriority w:val="99"/>
    <w:semiHidden/>
    <w:unhideWhenUsed/>
    <w:rsid w:val="00DB6A40"/>
    <w:rPr>
      <w:color w:val="605E5C"/>
      <w:shd w:val="clear" w:color="auto" w:fill="E1DFDD"/>
    </w:rPr>
  </w:style>
  <w:style w:type="table" w:customStyle="1" w:styleId="PlainTable21">
    <w:name w:val="Plain Table 21"/>
    <w:basedOn w:val="TableNormal"/>
    <w:uiPriority w:val="42"/>
    <w:rsid w:val="00DB6A40"/>
    <w:pPr>
      <w:spacing w:after="0" w:line="240" w:lineRule="auto"/>
    </w:pPr>
    <w:rPr>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BodyText7">
    <w:name w:val="Body Text7"/>
    <w:basedOn w:val="Normal"/>
    <w:rsid w:val="00D8206B"/>
    <w:pPr>
      <w:widowControl w:val="0"/>
      <w:shd w:val="clear" w:color="auto" w:fill="FFFFFF"/>
      <w:spacing w:after="120" w:line="456" w:lineRule="exact"/>
      <w:ind w:hanging="640"/>
      <w:jc w:val="both"/>
    </w:pPr>
    <w:rPr>
      <w:rFonts w:ascii="Times New Roman" w:eastAsia="Times New Roman" w:hAnsi="Times New Roman" w:cs="Times New Roman"/>
      <w:color w:val="000000"/>
      <w:kern w:val="0"/>
      <w:sz w:val="25"/>
      <w:szCs w:val="25"/>
      <w14:ligatures w14:val="none"/>
    </w:rPr>
  </w:style>
  <w:style w:type="numbering" w:customStyle="1" w:styleId="NoList3">
    <w:name w:val="No List3"/>
    <w:next w:val="NoList"/>
    <w:uiPriority w:val="99"/>
    <w:semiHidden/>
    <w:unhideWhenUsed/>
    <w:rsid w:val="00D8206B"/>
  </w:style>
  <w:style w:type="numbering" w:customStyle="1" w:styleId="NoList4">
    <w:name w:val="No List4"/>
    <w:next w:val="NoList"/>
    <w:uiPriority w:val="99"/>
    <w:semiHidden/>
    <w:unhideWhenUsed/>
    <w:rsid w:val="00D8206B"/>
  </w:style>
  <w:style w:type="character" w:customStyle="1" w:styleId="NoSpacingChar">
    <w:name w:val="No Spacing Char"/>
    <w:aliases w:val="paragraph Char"/>
    <w:basedOn w:val="DefaultParagraphFont"/>
    <w:link w:val="NoSpacing"/>
    <w:uiPriority w:val="1"/>
    <w:locked/>
    <w:rsid w:val="00D8206B"/>
  </w:style>
  <w:style w:type="table" w:customStyle="1" w:styleId="TableGrid4">
    <w:name w:val="Table Grid4"/>
    <w:basedOn w:val="TableNormal"/>
    <w:next w:val="TableGrid"/>
    <w:uiPriority w:val="39"/>
    <w:rsid w:val="008D3090"/>
    <w:pPr>
      <w:spacing w:after="0" w:line="240" w:lineRule="auto"/>
    </w:pPr>
    <w:rPr>
      <w:rFonts w:ascii="Calibri" w:eastAsia="Calibri" w:hAnsi="Calibri" w:cs="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8D3090"/>
  </w:style>
  <w:style w:type="paragraph" w:styleId="BodyText">
    <w:name w:val="Body Text"/>
    <w:basedOn w:val="Normal"/>
    <w:link w:val="BodyTextChar"/>
    <w:uiPriority w:val="1"/>
    <w:qFormat/>
    <w:rsid w:val="008D3090"/>
    <w:pPr>
      <w:widowControl w:val="0"/>
      <w:autoSpaceDE w:val="0"/>
      <w:autoSpaceDN w:val="0"/>
      <w:spacing w:after="0" w:line="240" w:lineRule="auto"/>
      <w:ind w:left="113"/>
    </w:pPr>
    <w:rPr>
      <w:rFonts w:ascii="Times New Roman" w:eastAsia="Times New Roman" w:hAnsi="Times New Roman" w:cs="Times New Roman"/>
      <w:kern w:val="0"/>
      <w:lang w:val="en-GB"/>
      <w14:ligatures w14:val="none"/>
    </w:rPr>
  </w:style>
  <w:style w:type="character" w:customStyle="1" w:styleId="BodyTextChar">
    <w:name w:val="Body Text Char"/>
    <w:basedOn w:val="DefaultParagraphFont"/>
    <w:link w:val="BodyText"/>
    <w:rsid w:val="008D3090"/>
    <w:rPr>
      <w:rFonts w:ascii="Times New Roman" w:eastAsia="Times New Roman" w:hAnsi="Times New Roman" w:cs="Times New Roman"/>
      <w:kern w:val="0"/>
      <w:lang w:val="en-GB"/>
      <w14:ligatures w14:val="none"/>
    </w:rPr>
  </w:style>
  <w:style w:type="paragraph" w:styleId="CommentText">
    <w:name w:val="annotation text"/>
    <w:basedOn w:val="Normal"/>
    <w:link w:val="CommentTextChar"/>
    <w:rsid w:val="008D3090"/>
    <w:pPr>
      <w:widowControl w:val="0"/>
      <w:spacing w:line="259" w:lineRule="auto"/>
    </w:pPr>
    <w:rPr>
      <w:rFonts w:eastAsia="SimSun"/>
      <w:sz w:val="21"/>
      <w:lang w:val="en-GB" w:eastAsia="zh-CN"/>
      <w14:ligatures w14:val="none"/>
    </w:rPr>
  </w:style>
  <w:style w:type="character" w:customStyle="1" w:styleId="CommentTextChar">
    <w:name w:val="Comment Text Char"/>
    <w:basedOn w:val="DefaultParagraphFont"/>
    <w:link w:val="CommentText"/>
    <w:rsid w:val="008D3090"/>
    <w:rPr>
      <w:rFonts w:eastAsia="SimSun"/>
      <w:sz w:val="21"/>
      <w:lang w:val="en-GB" w:eastAsia="zh-CN"/>
      <w14:ligatures w14:val="none"/>
    </w:rPr>
  </w:style>
  <w:style w:type="paragraph" w:styleId="HTMLPreformatted">
    <w:name w:val="HTML Preformatted"/>
    <w:link w:val="HTMLPreformattedChar"/>
    <w:qFormat/>
    <w:rsid w:val="008D3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pPr>
    <w:rPr>
      <w:rFonts w:ascii="Courier New" w:eastAsia="SimSun" w:hAnsi="Courier New" w:cs="Times New Roman"/>
      <w:kern w:val="0"/>
      <w:sz w:val="20"/>
      <w:szCs w:val="20"/>
      <w:lang w:eastAsia="zh-CN"/>
      <w14:ligatures w14:val="none"/>
    </w:rPr>
  </w:style>
  <w:style w:type="character" w:customStyle="1" w:styleId="HTMLPreformattedChar">
    <w:name w:val="HTML Preformatted Char"/>
    <w:basedOn w:val="DefaultParagraphFont"/>
    <w:link w:val="HTMLPreformatted"/>
    <w:qFormat/>
    <w:rsid w:val="008D3090"/>
    <w:rPr>
      <w:rFonts w:ascii="Courier New" w:eastAsia="SimSun" w:hAnsi="Courier New" w:cs="Times New Roman"/>
      <w:kern w:val="0"/>
      <w:sz w:val="20"/>
      <w:szCs w:val="20"/>
      <w:lang w:eastAsia="zh-CN"/>
      <w14:ligatures w14:val="none"/>
    </w:rPr>
  </w:style>
  <w:style w:type="character" w:styleId="HTMLCode">
    <w:name w:val="HTML Code"/>
    <w:basedOn w:val="DefaultParagraphFont"/>
    <w:qFormat/>
    <w:rsid w:val="008D3090"/>
    <w:rPr>
      <w:rFonts w:ascii="Courier New" w:hAnsi="Courier New" w:cs="Courier New"/>
      <w:sz w:val="20"/>
      <w:szCs w:val="20"/>
    </w:rPr>
  </w:style>
  <w:style w:type="table" w:customStyle="1" w:styleId="TableGrid5">
    <w:name w:val="Table Grid5"/>
    <w:basedOn w:val="TableNormal"/>
    <w:next w:val="TableGrid"/>
    <w:uiPriority w:val="59"/>
    <w:rsid w:val="008D3090"/>
    <w:pPr>
      <w:spacing w:after="0" w:line="240" w:lineRule="auto"/>
    </w:pPr>
    <w:rPr>
      <w:rFonts w:ascii="Aptos" w:eastAsia="Aptos" w:hAnsi="Aptos" w:cs="SimSun"/>
      <w:kern w:val="0"/>
      <w:sz w:val="22"/>
      <w:szCs w:val="22"/>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99"/>
    <w:rsid w:val="008D3090"/>
    <w:pPr>
      <w:widowControl w:val="0"/>
      <w:spacing w:line="259" w:lineRule="auto"/>
      <w:ind w:left="720"/>
      <w:contextualSpacing/>
      <w:jc w:val="both"/>
    </w:pPr>
    <w:rPr>
      <w:rFonts w:eastAsia="SimSun"/>
      <w:sz w:val="21"/>
      <w:lang w:val="en-GB" w:eastAsia="zh-CN"/>
      <w14:ligatures w14:val="none"/>
    </w:rPr>
  </w:style>
  <w:style w:type="paragraph" w:customStyle="1" w:styleId="ListParagraph2">
    <w:name w:val="List Paragraph2"/>
    <w:basedOn w:val="Normal"/>
    <w:uiPriority w:val="99"/>
    <w:unhideWhenUsed/>
    <w:rsid w:val="008D3090"/>
    <w:pPr>
      <w:widowControl w:val="0"/>
      <w:spacing w:line="259" w:lineRule="auto"/>
      <w:ind w:left="720"/>
      <w:contextualSpacing/>
      <w:jc w:val="both"/>
    </w:pPr>
    <w:rPr>
      <w:rFonts w:eastAsia="SimSun"/>
      <w:sz w:val="21"/>
      <w:lang w:val="en-GB" w:eastAsia="zh-CN"/>
      <w14:ligatures w14:val="none"/>
    </w:rPr>
  </w:style>
  <w:style w:type="paragraph" w:styleId="List">
    <w:name w:val="List"/>
    <w:basedOn w:val="Normal"/>
    <w:rsid w:val="008D3090"/>
    <w:pPr>
      <w:widowControl w:val="0"/>
      <w:spacing w:line="259" w:lineRule="auto"/>
      <w:ind w:left="283" w:hanging="283"/>
      <w:contextualSpacing/>
      <w:jc w:val="both"/>
    </w:pPr>
    <w:rPr>
      <w:rFonts w:eastAsia="SimSun"/>
      <w:sz w:val="21"/>
      <w:lang w:val="en-GB" w:eastAsia="zh-CN"/>
      <w14:ligatures w14:val="none"/>
    </w:rPr>
  </w:style>
  <w:style w:type="paragraph" w:customStyle="1" w:styleId="TOCHeading1">
    <w:name w:val="TOC Heading1"/>
    <w:basedOn w:val="Heading1"/>
    <w:next w:val="Normal"/>
    <w:uiPriority w:val="39"/>
    <w:unhideWhenUsed/>
    <w:qFormat/>
    <w:rsid w:val="008D3090"/>
    <w:pPr>
      <w:spacing w:before="0" w:after="0" w:line="259" w:lineRule="auto"/>
      <w:outlineLvl w:val="9"/>
    </w:pPr>
    <w:rPr>
      <w:rFonts w:eastAsia="SimSun" w:cs="Times New Roman"/>
      <w:kern w:val="0"/>
      <w:sz w:val="32"/>
      <w:szCs w:val="24"/>
      <w:lang w:val="en-GB" w:eastAsia="en-GB"/>
      <w14:ligatures w14:val="none"/>
    </w:rPr>
  </w:style>
  <w:style w:type="paragraph" w:styleId="TOC1">
    <w:name w:val="toc 1"/>
    <w:basedOn w:val="Normal"/>
    <w:next w:val="Normal"/>
    <w:autoRedefine/>
    <w:uiPriority w:val="39"/>
    <w:rsid w:val="008D3090"/>
    <w:pPr>
      <w:widowControl w:val="0"/>
      <w:spacing w:after="100" w:line="259" w:lineRule="auto"/>
      <w:jc w:val="both"/>
    </w:pPr>
    <w:rPr>
      <w:rFonts w:eastAsia="SimSun"/>
      <w:sz w:val="21"/>
      <w:lang w:val="en-GB" w:eastAsia="zh-CN"/>
      <w14:ligatures w14:val="none"/>
    </w:rPr>
  </w:style>
  <w:style w:type="paragraph" w:styleId="Caption">
    <w:name w:val="caption"/>
    <w:basedOn w:val="TableofFigures"/>
    <w:next w:val="Normal"/>
    <w:link w:val="CaptionChar"/>
    <w:uiPriority w:val="35"/>
    <w:unhideWhenUsed/>
    <w:qFormat/>
    <w:rsid w:val="008D3090"/>
    <w:pPr>
      <w:tabs>
        <w:tab w:val="right" w:leader="dot" w:pos="9016"/>
      </w:tabs>
    </w:pPr>
    <w:rPr>
      <w:noProof/>
    </w:rPr>
  </w:style>
  <w:style w:type="table" w:customStyle="1" w:styleId="PlainTable211">
    <w:name w:val="Plain Table 211"/>
    <w:basedOn w:val="TableNormal"/>
    <w:uiPriority w:val="42"/>
    <w:rsid w:val="008D3090"/>
    <w:pPr>
      <w:spacing w:after="0" w:line="240" w:lineRule="auto"/>
    </w:pPr>
    <w:rPr>
      <w:rFonts w:ascii="Times New Roman" w:eastAsia="SimSun" w:hAnsi="Times New Roman" w:cs="Times New Roman"/>
      <w:kern w:val="0"/>
      <w:sz w:val="20"/>
      <w:szCs w:val="20"/>
      <w:lang w:val="en-GB" w:eastAsia="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ableofFigures">
    <w:name w:val="table of figures"/>
    <w:basedOn w:val="Normal"/>
    <w:next w:val="Normal"/>
    <w:uiPriority w:val="99"/>
    <w:rsid w:val="008D3090"/>
    <w:pPr>
      <w:widowControl w:val="0"/>
      <w:spacing w:after="0" w:line="259" w:lineRule="auto"/>
      <w:jc w:val="both"/>
    </w:pPr>
    <w:rPr>
      <w:rFonts w:eastAsia="SimSun"/>
      <w:sz w:val="21"/>
      <w:lang w:val="en-GB" w:eastAsia="zh-CN"/>
      <w14:ligatures w14:val="none"/>
    </w:rPr>
  </w:style>
  <w:style w:type="paragraph" w:styleId="BalloonText">
    <w:name w:val="Balloon Text"/>
    <w:basedOn w:val="Normal"/>
    <w:link w:val="BalloonTextChar"/>
    <w:uiPriority w:val="99"/>
    <w:rsid w:val="008D3090"/>
    <w:pPr>
      <w:widowControl w:val="0"/>
      <w:spacing w:after="0" w:line="240" w:lineRule="auto"/>
      <w:jc w:val="both"/>
    </w:pPr>
    <w:rPr>
      <w:rFonts w:ascii="Tahoma" w:eastAsia="SimSun" w:hAnsi="Tahoma" w:cs="Tahoma"/>
      <w:sz w:val="16"/>
      <w:szCs w:val="16"/>
      <w:lang w:val="en-GB" w:eastAsia="zh-CN"/>
      <w14:ligatures w14:val="none"/>
    </w:rPr>
  </w:style>
  <w:style w:type="character" w:customStyle="1" w:styleId="BalloonTextChar">
    <w:name w:val="Balloon Text Char"/>
    <w:basedOn w:val="DefaultParagraphFont"/>
    <w:link w:val="BalloonText"/>
    <w:uiPriority w:val="99"/>
    <w:rsid w:val="008D3090"/>
    <w:rPr>
      <w:rFonts w:ascii="Tahoma" w:eastAsia="SimSun" w:hAnsi="Tahoma" w:cs="Tahoma"/>
      <w:sz w:val="16"/>
      <w:szCs w:val="16"/>
      <w:lang w:val="en-GB" w:eastAsia="zh-CN"/>
      <w14:ligatures w14:val="none"/>
    </w:rPr>
  </w:style>
  <w:style w:type="table" w:customStyle="1" w:styleId="TableGrid6">
    <w:name w:val="Table Grid6"/>
    <w:basedOn w:val="TableNormal"/>
    <w:next w:val="TableGrid"/>
    <w:qFormat/>
    <w:rsid w:val="008D3090"/>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8D3090"/>
  </w:style>
  <w:style w:type="paragraph" w:customStyle="1" w:styleId="TableParagraph">
    <w:name w:val="Table Paragraph"/>
    <w:basedOn w:val="Normal"/>
    <w:uiPriority w:val="1"/>
    <w:qFormat/>
    <w:rsid w:val="008D3090"/>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table" w:customStyle="1" w:styleId="TableGrid7">
    <w:name w:val="Table Grid7"/>
    <w:basedOn w:val="TableNormal"/>
    <w:next w:val="TableGrid"/>
    <w:uiPriority w:val="39"/>
    <w:rsid w:val="008D3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832FF3"/>
  </w:style>
  <w:style w:type="numbering" w:customStyle="1" w:styleId="NoList8">
    <w:name w:val="No List8"/>
    <w:next w:val="NoList"/>
    <w:uiPriority w:val="99"/>
    <w:semiHidden/>
    <w:unhideWhenUsed/>
    <w:rsid w:val="00CA26B4"/>
  </w:style>
  <w:style w:type="character" w:customStyle="1" w:styleId="15">
    <w:name w:val="15"/>
    <w:basedOn w:val="DefaultParagraphFont"/>
    <w:rsid w:val="00CA26B4"/>
    <w:rPr>
      <w:rFonts w:ascii="Times New Roman" w:hAnsi="Times New Roman" w:cs="Times New Roman" w:hint="default"/>
      <w:b/>
      <w:bCs/>
    </w:rPr>
  </w:style>
  <w:style w:type="character" w:customStyle="1" w:styleId="16">
    <w:name w:val="16"/>
    <w:basedOn w:val="DefaultParagraphFont"/>
    <w:rsid w:val="00CA26B4"/>
    <w:rPr>
      <w:rFonts w:ascii="Times New Roman" w:hAnsi="Times New Roman" w:cs="Times New Roman" w:hint="default"/>
      <w:color w:val="0000FF"/>
      <w:u w:val="single"/>
    </w:rPr>
  </w:style>
  <w:style w:type="character" w:customStyle="1" w:styleId="17">
    <w:name w:val="17"/>
    <w:basedOn w:val="DefaultParagraphFont"/>
    <w:qFormat/>
    <w:rsid w:val="00CA26B4"/>
    <w:rPr>
      <w:rFonts w:ascii="Times New Roman" w:hAnsi="Times New Roman" w:cs="Times New Roman" w:hint="default"/>
    </w:rPr>
  </w:style>
  <w:style w:type="character" w:customStyle="1" w:styleId="18">
    <w:name w:val="18"/>
    <w:basedOn w:val="DefaultParagraphFont"/>
    <w:rsid w:val="00CA26B4"/>
    <w:rPr>
      <w:rFonts w:ascii="Times New Roman" w:hAnsi="Times New Roman" w:cs="Times New Roman" w:hint="default"/>
    </w:rPr>
  </w:style>
  <w:style w:type="character" w:customStyle="1" w:styleId="19">
    <w:name w:val="19"/>
    <w:basedOn w:val="DefaultParagraphFont"/>
    <w:rsid w:val="00CA26B4"/>
    <w:rPr>
      <w:rFonts w:ascii="Times New Roman" w:hAnsi="Times New Roman" w:cs="Times New Roman" w:hint="default"/>
      <w:i/>
      <w:iCs/>
    </w:rPr>
  </w:style>
  <w:style w:type="character" w:customStyle="1" w:styleId="vkekvd">
    <w:name w:val="vkekvd"/>
    <w:basedOn w:val="DefaultParagraphFont"/>
    <w:qFormat/>
    <w:rsid w:val="00CA26B4"/>
  </w:style>
  <w:style w:type="character" w:customStyle="1" w:styleId="nova-legacy-e-badge">
    <w:name w:val="nova-legacy-e-badge"/>
    <w:basedOn w:val="DefaultParagraphFont"/>
    <w:rsid w:val="00CA26B4"/>
  </w:style>
  <w:style w:type="character" w:customStyle="1" w:styleId="anchor-text">
    <w:name w:val="anchor-text"/>
    <w:basedOn w:val="DefaultParagraphFont"/>
    <w:qFormat/>
    <w:rsid w:val="00CA26B4"/>
  </w:style>
  <w:style w:type="character" w:customStyle="1" w:styleId="title-text">
    <w:name w:val="title-text"/>
    <w:basedOn w:val="DefaultParagraphFont"/>
    <w:qFormat/>
    <w:rsid w:val="00CA26B4"/>
  </w:style>
  <w:style w:type="character" w:customStyle="1" w:styleId="sr-only">
    <w:name w:val="sr-only"/>
    <w:basedOn w:val="DefaultParagraphFont"/>
    <w:rsid w:val="00CA26B4"/>
  </w:style>
  <w:style w:type="character" w:customStyle="1" w:styleId="react-xocs-alternative-link">
    <w:name w:val="react-xocs-alternative-link"/>
    <w:basedOn w:val="DefaultParagraphFont"/>
    <w:rsid w:val="00CA26B4"/>
  </w:style>
  <w:style w:type="character" w:customStyle="1" w:styleId="given-name">
    <w:name w:val="given-name"/>
    <w:basedOn w:val="DefaultParagraphFont"/>
    <w:qFormat/>
    <w:rsid w:val="00CA26B4"/>
  </w:style>
  <w:style w:type="character" w:customStyle="1" w:styleId="text">
    <w:name w:val="text"/>
    <w:basedOn w:val="DefaultParagraphFont"/>
    <w:rsid w:val="00CA26B4"/>
  </w:style>
  <w:style w:type="character" w:customStyle="1" w:styleId="author-ref">
    <w:name w:val="author-ref"/>
    <w:basedOn w:val="DefaultParagraphFont"/>
    <w:rsid w:val="00CA26B4"/>
  </w:style>
  <w:style w:type="character" w:customStyle="1" w:styleId="button-link-text">
    <w:name w:val="button-link-text"/>
    <w:basedOn w:val="DefaultParagraphFont"/>
    <w:qFormat/>
    <w:rsid w:val="00CA26B4"/>
  </w:style>
  <w:style w:type="character" w:customStyle="1" w:styleId="t286pc">
    <w:name w:val="t286pc"/>
    <w:basedOn w:val="DefaultParagraphFont"/>
    <w:qFormat/>
    <w:rsid w:val="00CA26B4"/>
  </w:style>
  <w:style w:type="numbering" w:customStyle="1" w:styleId="NoList9">
    <w:name w:val="No List9"/>
    <w:next w:val="NoList"/>
    <w:uiPriority w:val="99"/>
    <w:semiHidden/>
    <w:unhideWhenUsed/>
    <w:rsid w:val="00070085"/>
  </w:style>
  <w:style w:type="table" w:customStyle="1" w:styleId="TableGrid8">
    <w:name w:val="Table Grid8"/>
    <w:basedOn w:val="TableNormal"/>
    <w:next w:val="TableGrid"/>
    <w:uiPriority w:val="39"/>
    <w:qFormat/>
    <w:rsid w:val="00070085"/>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sid w:val="00070085"/>
    <w:pPr>
      <w:spacing w:after="0" w:line="240" w:lineRule="auto"/>
    </w:pPr>
    <w:rPr>
      <w:rFonts w:ascii="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Caption"/>
    <w:link w:val="Style1Char"/>
    <w:qFormat/>
    <w:rsid w:val="00070085"/>
    <w:pPr>
      <w:widowControl/>
      <w:tabs>
        <w:tab w:val="clear" w:pos="9016"/>
      </w:tabs>
      <w:spacing w:line="240" w:lineRule="auto"/>
      <w:jc w:val="left"/>
    </w:pPr>
    <w:rPr>
      <w:b/>
      <w:i/>
      <w:iCs/>
      <w:noProof w:val="0"/>
      <w:kern w:val="0"/>
      <w:sz w:val="22"/>
      <w:szCs w:val="18"/>
      <w:lang w:val="en-US"/>
    </w:rPr>
  </w:style>
  <w:style w:type="character" w:customStyle="1" w:styleId="markedcontent">
    <w:name w:val="markedcontent"/>
    <w:basedOn w:val="DefaultParagraphFont"/>
    <w:qFormat/>
    <w:rsid w:val="00070085"/>
  </w:style>
  <w:style w:type="character" w:customStyle="1" w:styleId="url">
    <w:name w:val="url"/>
    <w:basedOn w:val="DefaultParagraphFont"/>
    <w:qFormat/>
    <w:rsid w:val="00070085"/>
  </w:style>
  <w:style w:type="paragraph" w:customStyle="1" w:styleId="zuc5j">
    <w:name w:val="zuc5j"/>
    <w:basedOn w:val="Normal"/>
    <w:qFormat/>
    <w:rsid w:val="000700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j7p">
    <w:name w:val="dej7p"/>
    <w:basedOn w:val="DefaultParagraphFont"/>
    <w:qFormat/>
    <w:rsid w:val="00070085"/>
  </w:style>
  <w:style w:type="paragraph" w:customStyle="1" w:styleId="Style2">
    <w:name w:val="Style2"/>
    <w:basedOn w:val="Caption"/>
    <w:link w:val="Style2Char"/>
    <w:autoRedefine/>
    <w:qFormat/>
    <w:rsid w:val="00070085"/>
    <w:pPr>
      <w:widowControl/>
      <w:tabs>
        <w:tab w:val="clear" w:pos="9016"/>
      </w:tabs>
      <w:spacing w:line="240" w:lineRule="auto"/>
      <w:jc w:val="left"/>
    </w:pPr>
    <w:rPr>
      <w:rFonts w:ascii="Times New Roman" w:hAnsi="Times New Roman"/>
      <w:i/>
      <w:kern w:val="0"/>
    </w:rPr>
  </w:style>
  <w:style w:type="character" w:customStyle="1" w:styleId="CaptionChar">
    <w:name w:val="Caption Char"/>
    <w:basedOn w:val="DefaultParagraphFont"/>
    <w:link w:val="Caption"/>
    <w:uiPriority w:val="35"/>
    <w:qFormat/>
    <w:rsid w:val="00070085"/>
    <w:rPr>
      <w:rFonts w:eastAsia="SimSun"/>
      <w:noProof/>
      <w:sz w:val="21"/>
      <w:lang w:val="en-GB" w:eastAsia="zh-CN"/>
      <w14:ligatures w14:val="none"/>
    </w:rPr>
  </w:style>
  <w:style w:type="character" w:customStyle="1" w:styleId="Style2Char">
    <w:name w:val="Style2 Char"/>
    <w:basedOn w:val="CaptionChar"/>
    <w:link w:val="Style2"/>
    <w:qFormat/>
    <w:rsid w:val="00070085"/>
    <w:rPr>
      <w:rFonts w:ascii="Times New Roman" w:eastAsia="SimSun" w:hAnsi="Times New Roman"/>
      <w:i/>
      <w:noProof/>
      <w:kern w:val="0"/>
      <w:sz w:val="21"/>
      <w:lang w:val="en-GB" w:eastAsia="zh-CN"/>
      <w14:ligatures w14:val="none"/>
    </w:rPr>
  </w:style>
  <w:style w:type="table" w:customStyle="1" w:styleId="TableGridLight1">
    <w:name w:val="Table Grid Light1"/>
    <w:basedOn w:val="TableNormal"/>
    <w:uiPriority w:val="40"/>
    <w:qFormat/>
    <w:rsid w:val="00070085"/>
    <w:pPr>
      <w:spacing w:after="0" w:line="240" w:lineRule="auto"/>
    </w:pPr>
    <w:rPr>
      <w:rFonts w:ascii="Times New Roman" w:eastAsia="SimSu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claude-response-body">
    <w:name w:val="font-claude-response-body"/>
    <w:basedOn w:val="Normal"/>
    <w:qFormat/>
    <w:rsid w:val="000700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yle1Char">
    <w:name w:val="Style1 Char"/>
    <w:basedOn w:val="DefaultParagraphFont"/>
    <w:link w:val="Style1"/>
    <w:qFormat/>
    <w:rsid w:val="00070085"/>
    <w:rPr>
      <w:rFonts w:eastAsia="SimSun"/>
      <w:b/>
      <w:i/>
      <w:iCs/>
      <w:kern w:val="0"/>
      <w:sz w:val="22"/>
      <w:szCs w:val="18"/>
      <w:lang w:eastAsia="zh-CN"/>
      <w14:ligatures w14:val="none"/>
    </w:rPr>
  </w:style>
  <w:style w:type="character" w:customStyle="1" w:styleId="whitespace-normal">
    <w:name w:val="whitespace-normal"/>
    <w:basedOn w:val="DefaultParagraphFont"/>
    <w:qFormat/>
    <w:rsid w:val="00070085"/>
  </w:style>
  <w:style w:type="table" w:customStyle="1" w:styleId="TableGrid0">
    <w:name w:val="TableGrid"/>
    <w:autoRedefine/>
    <w:qFormat/>
    <w:rsid w:val="00070085"/>
    <w:pPr>
      <w:spacing w:after="0" w:line="240" w:lineRule="auto"/>
    </w:pPr>
    <w:rPr>
      <w:rFonts w:ascii="Times New Roman" w:eastAsia="SimSun" w:hAnsi="Times New Roman" w:cs="Times New Roman"/>
      <w:kern w:val="0"/>
      <w:sz w:val="20"/>
      <w:szCs w:val="20"/>
      <w14:ligatures w14:val="none"/>
    </w:rPr>
    <w:tblPr>
      <w:tblCellMar>
        <w:top w:w="0" w:type="dxa"/>
        <w:left w:w="0" w:type="dxa"/>
        <w:bottom w:w="0" w:type="dxa"/>
        <w:right w:w="0" w:type="dxa"/>
      </w:tblCellMar>
    </w:tblPr>
  </w:style>
  <w:style w:type="character" w:customStyle="1" w:styleId="font61">
    <w:name w:val="font61"/>
    <w:qFormat/>
    <w:rsid w:val="00070085"/>
    <w:rPr>
      <w:rFonts w:ascii="Arial" w:hAnsi="Arial" w:cs="Arial" w:hint="default"/>
      <w:color w:val="000000"/>
      <w:sz w:val="24"/>
      <w:szCs w:val="24"/>
      <w:u w:val="none"/>
    </w:rPr>
  </w:style>
  <w:style w:type="character" w:customStyle="1" w:styleId="font51">
    <w:name w:val="font51"/>
    <w:qFormat/>
    <w:rsid w:val="00070085"/>
    <w:rPr>
      <w:rFonts w:ascii="Arial" w:hAnsi="Arial" w:cs="Arial" w:hint="default"/>
      <w:color w:val="000000"/>
      <w:sz w:val="24"/>
      <w:szCs w:val="24"/>
      <w:u w:val="none"/>
    </w:rPr>
  </w:style>
  <w:style w:type="table" w:customStyle="1" w:styleId="PlainTable212">
    <w:name w:val="Plain Table 212"/>
    <w:basedOn w:val="TableNormal"/>
    <w:uiPriority w:val="42"/>
    <w:rsid w:val="001C4BAD"/>
    <w:pPr>
      <w:spacing w:after="0" w:line="240" w:lineRule="auto"/>
    </w:pPr>
    <w:rPr>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CommentReference">
    <w:name w:val="annotation reference"/>
    <w:basedOn w:val="DefaultParagraphFont"/>
    <w:uiPriority w:val="99"/>
    <w:semiHidden/>
    <w:unhideWhenUsed/>
    <w:rsid w:val="001A5F7B"/>
    <w:rPr>
      <w:sz w:val="16"/>
      <w:szCs w:val="16"/>
    </w:rPr>
  </w:style>
  <w:style w:type="paragraph" w:styleId="CommentSubject">
    <w:name w:val="annotation subject"/>
    <w:basedOn w:val="CommentText"/>
    <w:next w:val="CommentText"/>
    <w:link w:val="CommentSubjectChar"/>
    <w:uiPriority w:val="99"/>
    <w:semiHidden/>
    <w:unhideWhenUsed/>
    <w:rsid w:val="001A5F7B"/>
    <w:pPr>
      <w:widowControl/>
      <w:spacing w:line="240" w:lineRule="auto"/>
    </w:pPr>
    <w:rPr>
      <w:rFonts w:eastAsiaTheme="minorHAnsi"/>
      <w:b/>
      <w:bCs/>
      <w:sz w:val="20"/>
      <w:szCs w:val="20"/>
      <w:lang w:val="en-US" w:eastAsia="en-US"/>
      <w14:ligatures w14:val="standardContextual"/>
    </w:rPr>
  </w:style>
  <w:style w:type="character" w:customStyle="1" w:styleId="CommentSubjectChar">
    <w:name w:val="Comment Subject Char"/>
    <w:basedOn w:val="CommentTextChar"/>
    <w:link w:val="CommentSubject"/>
    <w:uiPriority w:val="99"/>
    <w:semiHidden/>
    <w:rsid w:val="001A5F7B"/>
    <w:rPr>
      <w:rFonts w:eastAsia="SimSun"/>
      <w:b/>
      <w:bCs/>
      <w:sz w:val="20"/>
      <w:szCs w:val="20"/>
      <w:lang w:val="en-GB" w:eastAsia="zh-CN"/>
      <w14:ligatures w14:val="none"/>
    </w:rPr>
  </w:style>
  <w:style w:type="table" w:customStyle="1" w:styleId="TableGrid9">
    <w:name w:val="Table Grid9"/>
    <w:basedOn w:val="TableNormal"/>
    <w:next w:val="TableGrid"/>
    <w:uiPriority w:val="59"/>
    <w:qFormat/>
    <w:rsid w:val="000C0C53"/>
    <w:pPr>
      <w:spacing w:after="0" w:line="240" w:lineRule="auto"/>
    </w:pPr>
    <w:rPr>
      <w:rFonts w:ascii="Calibri" w:eastAsia="Calibri" w:hAnsi="Calibri"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ebele.ifionu@uniport.edu.ng" TargetMode="External"/><Relationship Id="rId299" Type="http://schemas.openxmlformats.org/officeDocument/2006/relationships/image" Target="media/image45.jpeg"/><Relationship Id="rId21" Type="http://schemas.openxmlformats.org/officeDocument/2006/relationships/image" Target="media/image2.png"/><Relationship Id="rId63" Type="http://schemas.openxmlformats.org/officeDocument/2006/relationships/image" Target="media/image8.wmf"/><Relationship Id="rId159" Type="http://schemas.openxmlformats.org/officeDocument/2006/relationships/hyperlink" Target="https://doi.org/10.1016/j.im.2022.103686" TargetMode="External"/><Relationship Id="rId170" Type="http://schemas.openxmlformats.org/officeDocument/2006/relationships/hyperlink" Target="https://doi.org/10.1080/09669582.2010.490300" TargetMode="External"/><Relationship Id="rId226" Type="http://schemas.openxmlformats.org/officeDocument/2006/relationships/hyperlink" Target="https://doi.org/10.30892/gtg.482spl15-1081" TargetMode="External"/><Relationship Id="rId268" Type="http://schemas.openxmlformats.org/officeDocument/2006/relationships/hyperlink" Target="mailto:zion.diboye-suku@uniport.edu.ng" TargetMode="External"/><Relationship Id="rId32" Type="http://schemas.openxmlformats.org/officeDocument/2006/relationships/hyperlink" Target="https://www.tandfonline.com/author/Hassanein,+Ahmed" TargetMode="External"/><Relationship Id="rId74" Type="http://schemas.openxmlformats.org/officeDocument/2006/relationships/oleObject" Target="embeddings/oleObject11.bin"/><Relationship Id="rId128" Type="http://schemas.openxmlformats.org/officeDocument/2006/relationships/hyperlink" Target="https://www.journal.lembagakita.org/ijsecs/article/view/2656" TargetMode="External"/><Relationship Id="rId5" Type="http://schemas.openxmlformats.org/officeDocument/2006/relationships/footnotes" Target="footnotes.xml"/><Relationship Id="rId181" Type="http://schemas.openxmlformats.org/officeDocument/2006/relationships/hyperlink" Target="https://doi.org/10.13106/jafeb.2020.vol7.no10.897" TargetMode="External"/><Relationship Id="rId237" Type="http://schemas.openxmlformats.org/officeDocument/2006/relationships/hyperlink" Target="https://doi.org/10.53982/ajsms.2024.0501.09" TargetMode="External"/><Relationship Id="rId279" Type="http://schemas.openxmlformats.org/officeDocument/2006/relationships/hyperlink" Target="https://doi.org/10.1177/002224378101800104" TargetMode="External"/><Relationship Id="rId43" Type="http://schemas.openxmlformats.org/officeDocument/2006/relationships/hyperlink" Target="mailto:emmanuel.makwe@uniport.edu.ng" TargetMode="External"/><Relationship Id="rId139" Type="http://schemas.openxmlformats.org/officeDocument/2006/relationships/hyperlink" Target="https://doi.org/10.3390/jrfm17030108" TargetMode="External"/><Relationship Id="rId290" Type="http://schemas.openxmlformats.org/officeDocument/2006/relationships/image" Target="media/image39.png"/><Relationship Id="rId304" Type="http://schemas.openxmlformats.org/officeDocument/2006/relationships/image" Target="media/image50.jpeg"/><Relationship Id="rId85" Type="http://schemas.openxmlformats.org/officeDocument/2006/relationships/hyperlink" Target="mailto:akpokerereeo@dsust.edu.ng" TargetMode="External"/><Relationship Id="rId150" Type="http://schemas.openxmlformats.org/officeDocument/2006/relationships/hyperlink" Target="https://doi.org/10.1016/j.ssaho.2023.100662" TargetMode="External"/><Relationship Id="rId192" Type="http://schemas.openxmlformats.org/officeDocument/2006/relationships/hyperlink" Target="https://doi.org/10.1080/23322039.2022.2132631" TargetMode="External"/><Relationship Id="rId206" Type="http://schemas.openxmlformats.org/officeDocument/2006/relationships/hyperlink" Target="https://doi.org/10.1016/j.jhtmr.2018.04.009" TargetMode="External"/><Relationship Id="rId248" Type="http://schemas.openxmlformats.org/officeDocument/2006/relationships/hyperlink" Target="https://doi.org/10.71276/stbad.1714657" TargetMode="External"/><Relationship Id="rId12" Type="http://schemas.openxmlformats.org/officeDocument/2006/relationships/hyperlink" Target="https://www.tandfonline.com/author/Hassanein,+Ahmed" TargetMode="External"/><Relationship Id="rId108" Type="http://schemas.openxmlformats.org/officeDocument/2006/relationships/image" Target="media/image26.wmf"/><Relationship Id="rId315" Type="http://schemas.openxmlformats.org/officeDocument/2006/relationships/hyperlink" Target="https://www.koreascience.or.kr/article/" TargetMode="External"/><Relationship Id="rId54" Type="http://schemas.openxmlformats.org/officeDocument/2006/relationships/oleObject" Target="embeddings/oleObject1.bin"/><Relationship Id="rId96" Type="http://schemas.openxmlformats.org/officeDocument/2006/relationships/image" Target="media/image20.wmf"/><Relationship Id="rId161" Type="http://schemas.openxmlformats.org/officeDocument/2006/relationships/hyperlink" Target="https://doi.org/10.1016/j.jbusres.2019.11.069" TargetMode="External"/><Relationship Id="rId217" Type="http://schemas.openxmlformats.org/officeDocument/2006/relationships/hyperlink" Target="https://doi.org/10.3390/XXXXX" TargetMode="External"/><Relationship Id="rId259" Type="http://schemas.openxmlformats.org/officeDocument/2006/relationships/hyperlink" Target="https://doi.org/10.5937/ekonomika2501001V" TargetMode="External"/><Relationship Id="rId23" Type="http://schemas.openxmlformats.org/officeDocument/2006/relationships/hyperlink" Target="http://en.wikipedia.org/wiki/T-statistic" TargetMode="External"/><Relationship Id="rId119" Type="http://schemas.openxmlformats.org/officeDocument/2006/relationships/hyperlink" Target="mailto:%20victorchibuikeeberechi@gmail.com" TargetMode="External"/><Relationship Id="rId270" Type="http://schemas.openxmlformats.org/officeDocument/2006/relationships/image" Target="media/image32.png"/><Relationship Id="rId65" Type="http://schemas.openxmlformats.org/officeDocument/2006/relationships/image" Target="media/image9.wmf"/><Relationship Id="rId130" Type="http://schemas.openxmlformats.org/officeDocument/2006/relationships/hyperlink" Target="http://aip.vse.cz/pdfs/aip/2022/03/08.pdf" TargetMode="External"/><Relationship Id="rId172" Type="http://schemas.openxmlformats.org/officeDocument/2006/relationships/hyperlink" Target="https://doi.org/10.1016/j.bir.2022.09.012" TargetMode="External"/><Relationship Id="rId228" Type="http://schemas.openxmlformats.org/officeDocument/2006/relationships/hyperlink" Target="https://doi.org/10.3390/technologies11010028" TargetMode="External"/><Relationship Id="rId13" Type="http://schemas.openxmlformats.org/officeDocument/2006/relationships/image" Target="media/image1.png"/><Relationship Id="rId109" Type="http://schemas.openxmlformats.org/officeDocument/2006/relationships/oleObject" Target="embeddings/oleObject24.bin"/><Relationship Id="rId260" Type="http://schemas.openxmlformats.org/officeDocument/2006/relationships/hyperlink" Target="https://doi.org/10.1016/j.tmp.2024.101299" TargetMode="External"/><Relationship Id="rId281" Type="http://schemas.openxmlformats.org/officeDocument/2006/relationships/hyperlink" Target="https://doi.org/10.1007/s11747-014-0403-8" TargetMode="External"/><Relationship Id="rId316" Type="http://schemas.openxmlformats.org/officeDocument/2006/relationships/image" Target="media/image56.png"/><Relationship Id="rId34" Type="http://schemas.openxmlformats.org/officeDocument/2006/relationships/hyperlink" Target="https://doi.org/10.1080/23311975.2025.2513638" TargetMode="External"/><Relationship Id="rId55" Type="http://schemas.openxmlformats.org/officeDocument/2006/relationships/image" Target="media/image4.wmf"/><Relationship Id="rId76" Type="http://schemas.openxmlformats.org/officeDocument/2006/relationships/oleObject" Target="embeddings/oleObject12.bin"/><Relationship Id="rId97" Type="http://schemas.openxmlformats.org/officeDocument/2006/relationships/oleObject" Target="embeddings/oleObject18.bin"/><Relationship Id="rId120" Type="http://schemas.openxmlformats.org/officeDocument/2006/relationships/hyperlink" Target="mailto:ebele.ifionu@uniport.edu.ng" TargetMode="External"/><Relationship Id="rId141" Type="http://schemas.openxmlformats.org/officeDocument/2006/relationships/hyperlink" Target="https://doi.org/10.3390/fintech3010006" TargetMode="External"/><Relationship Id="rId7" Type="http://schemas.openxmlformats.org/officeDocument/2006/relationships/hyperlink" Target="mailto:Mgodknows37@gmail.com" TargetMode="External"/><Relationship Id="rId162" Type="http://schemas.openxmlformats.org/officeDocument/2006/relationships/hyperlink" Target="https://doi.org/10.1108/EBR-11-2018-0203" TargetMode="External"/><Relationship Id="rId183" Type="http://schemas.openxmlformats.org/officeDocument/2006/relationships/hyperlink" Target="https://doi.org/10.3390/joitmc8040208" TargetMode="External"/><Relationship Id="rId218" Type="http://schemas.openxmlformats.org/officeDocument/2006/relationships/hyperlink" Target="https://doi.org/10.1108/JHOM-06-2020-0241" TargetMode="External"/><Relationship Id="rId239" Type="http://schemas.openxmlformats.org/officeDocument/2006/relationships/hyperlink" Target="https://doi.org/10.56910/ictmt.v1i2.176" TargetMode="External"/><Relationship Id="rId250" Type="http://schemas.openxmlformats.org/officeDocument/2006/relationships/hyperlink" Target="https://pmarketresearch.com/it/digital-transformation-in-the-travel-and-tourism-market?utm_source=chatgpt.com" TargetMode="External"/><Relationship Id="rId271" Type="http://schemas.openxmlformats.org/officeDocument/2006/relationships/image" Target="media/image33.png"/><Relationship Id="rId292" Type="http://schemas.openxmlformats.org/officeDocument/2006/relationships/image" Target="media/image320.png"/><Relationship Id="rId306" Type="http://schemas.openxmlformats.org/officeDocument/2006/relationships/image" Target="media/image52.jpeg"/><Relationship Id="rId24" Type="http://schemas.openxmlformats.org/officeDocument/2006/relationships/hyperlink" Target="http://en.wikipedia.org/wiki/P-value" TargetMode="External"/><Relationship Id="rId45" Type="http://schemas.openxmlformats.org/officeDocument/2006/relationships/hyperlink" Target="https://doi.org/10.1088/1755-1315/331/1/012014" TargetMode="External"/><Relationship Id="rId66" Type="http://schemas.openxmlformats.org/officeDocument/2006/relationships/oleObject" Target="embeddings/oleObject7.bin"/><Relationship Id="rId87" Type="http://schemas.openxmlformats.org/officeDocument/2006/relationships/hyperlink" Target="mailto:ibebicharles@gmail.com" TargetMode="External"/><Relationship Id="rId110" Type="http://schemas.openxmlformats.org/officeDocument/2006/relationships/image" Target="media/image27.wmf"/><Relationship Id="rId131" Type="http://schemas.openxmlformats.org/officeDocument/2006/relationships/hyperlink" Target="https://bitcoin.org/bitcoin.pdf" TargetMode="External"/><Relationship Id="rId152" Type="http://schemas.openxmlformats.org/officeDocument/2006/relationships/hyperlink" Target="https://doi.org/10.1177/2394901520907728" TargetMode="External"/><Relationship Id="rId173" Type="http://schemas.openxmlformats.org/officeDocument/2006/relationships/hyperlink" Target="https://doi.org/10.1016/j.resourpol.2023.103366" TargetMode="External"/><Relationship Id="rId194" Type="http://schemas.openxmlformats.org/officeDocument/2006/relationships/hyperlink" Target="https://doi.org/10.3390/ijfs11030108" TargetMode="External"/><Relationship Id="rId208" Type="http://schemas.openxmlformats.org/officeDocument/2006/relationships/hyperlink" Target="https://doi.org/10.1177/2158244024122770" TargetMode="External"/><Relationship Id="rId229" Type="http://schemas.openxmlformats.org/officeDocument/2006/relationships/hyperlink" Target="https://doi.org/10.38124/ijisrt/25jun407" TargetMode="External"/><Relationship Id="rId240" Type="http://schemas.openxmlformats.org/officeDocument/2006/relationships/hyperlink" Target="https://www.linkedin.com/pulse/7-travel-industry-challenges-solved-ai-transform-your-uma-karwa-motkf?utm_source=chatgpt.com" TargetMode="External"/><Relationship Id="rId261" Type="http://schemas.openxmlformats.org/officeDocument/2006/relationships/hyperlink" Target="https://doi.org/10.20900/jsr20240041" TargetMode="External"/><Relationship Id="rId14" Type="http://schemas.openxmlformats.org/officeDocument/2006/relationships/hyperlink" Target="http://en.wikipedia.org/wiki/Standard_error" TargetMode="External"/><Relationship Id="rId35" Type="http://schemas.openxmlformats.org/officeDocument/2006/relationships/hyperlink" Target="https://doi.org/10.59075/b143qf48" TargetMode="External"/><Relationship Id="rId56" Type="http://schemas.openxmlformats.org/officeDocument/2006/relationships/oleObject" Target="embeddings/oleObject2.bin"/><Relationship Id="rId77" Type="http://schemas.openxmlformats.org/officeDocument/2006/relationships/image" Target="media/image15.emf"/><Relationship Id="rId100" Type="http://schemas.openxmlformats.org/officeDocument/2006/relationships/image" Target="media/image22.wmf"/><Relationship Id="rId282" Type="http://schemas.openxmlformats.org/officeDocument/2006/relationships/hyperlink" Target="https://www.rsisinternational.org/journals/ijrsi/articles/issue-3/123-135.pdf" TargetMode="External"/><Relationship Id="rId317" Type="http://schemas.openxmlformats.org/officeDocument/2006/relationships/fontTable" Target="fontTable.xml"/><Relationship Id="rId8" Type="http://schemas.openxmlformats.org/officeDocument/2006/relationships/hyperlink" Target="mailto:inuadume.syder@uniport.edu.ng" TargetMode="External"/><Relationship Id="rId98" Type="http://schemas.openxmlformats.org/officeDocument/2006/relationships/image" Target="media/image21.wmf"/><Relationship Id="rId121" Type="http://schemas.openxmlformats.org/officeDocument/2006/relationships/hyperlink" Target="mailto:godfrey.omojefe@uniport.edu.ng" TargetMode="External"/><Relationship Id="rId142" Type="http://schemas.openxmlformats.org/officeDocument/2006/relationships/hyperlink" Target="https://doi.org/10.1016/j.digbus.2022.100028" TargetMode="External"/><Relationship Id="rId163" Type="http://schemas.openxmlformats.org/officeDocument/2006/relationships/hyperlink" Target="https://doi.org/10.1007/s13132-022-00936-9" TargetMode="External"/><Relationship Id="rId184" Type="http://schemas.openxmlformats.org/officeDocument/2006/relationships/hyperlink" Target="https://doi.org/10.1108/DPRG-09-2021-0111" TargetMode="External"/><Relationship Id="rId219" Type="http://schemas.openxmlformats.org/officeDocument/2006/relationships/hyperlink" Target="https://doi.org/10.3390/tourhosp6030147" TargetMode="External"/><Relationship Id="rId230" Type="http://schemas.openxmlformats.org/officeDocument/2006/relationships/hyperlink" Target="https://doi.org/10.70651/3083-6018/2025.4.17" TargetMode="External"/><Relationship Id="rId251" Type="http://schemas.openxmlformats.org/officeDocument/2006/relationships/hyperlink" Target="https://doi.org/10.47772/IJRISS" TargetMode="External"/><Relationship Id="rId25" Type="http://schemas.openxmlformats.org/officeDocument/2006/relationships/hyperlink" Target="http://en.wikipedia.org/wiki/Coefficient_of_determination" TargetMode="External"/><Relationship Id="rId46" Type="http://schemas.openxmlformats.org/officeDocument/2006/relationships/hyperlink" Target="https://openknowledge.worldbank.org/server/api/core/bitstreams/0baad5fb-56f0-564ebb69-69dd5c240934/content" TargetMode="External"/><Relationship Id="rId67" Type="http://schemas.openxmlformats.org/officeDocument/2006/relationships/image" Target="media/image10.wmf"/><Relationship Id="rId272" Type="http://schemas.openxmlformats.org/officeDocument/2006/relationships/footer" Target="footer1.xml"/><Relationship Id="rId293" Type="http://schemas.openxmlformats.org/officeDocument/2006/relationships/image" Target="media/image330.png"/><Relationship Id="rId307" Type="http://schemas.openxmlformats.org/officeDocument/2006/relationships/image" Target="media/image53.jpeg"/><Relationship Id="rId88" Type="http://schemas.openxmlformats.org/officeDocument/2006/relationships/image" Target="media/image16.wmf"/><Relationship Id="rId111" Type="http://schemas.openxmlformats.org/officeDocument/2006/relationships/oleObject" Target="embeddings/oleObject25.bin"/><Relationship Id="rId132" Type="http://schemas.openxmlformats.org/officeDocument/2006/relationships/hyperlink" Target="https://www.researchgate.net/publication/373146898" TargetMode="External"/><Relationship Id="rId153" Type="http://schemas.openxmlformats.org/officeDocument/2006/relationships/hyperlink" Target="https://doi.org/10.2307/249008" TargetMode="External"/><Relationship Id="rId174" Type="http://schemas.openxmlformats.org/officeDocument/2006/relationships/hyperlink" Target="https://doi.org/10.1016/j.heliyon.2021.e07821" TargetMode="External"/><Relationship Id="rId195" Type="http://schemas.openxmlformats.org/officeDocument/2006/relationships/hyperlink" Target="https://doi.org/10.1016/j.technovation.2020.102155" TargetMode="External"/><Relationship Id="rId209" Type="http://schemas.openxmlformats.org/officeDocument/2006/relationships/hyperlink" Target="https://doi.org/10.1080/1331677X.2022.2106278" TargetMode="External"/><Relationship Id="rId220" Type="http://schemas.openxmlformats.org/officeDocument/2006/relationships/image" Target="media/image30.png"/><Relationship Id="rId241" Type="http://schemas.openxmlformats.org/officeDocument/2006/relationships/hyperlink" Target="https://doi.org/10.1002/smj.3387" TargetMode="External"/><Relationship Id="rId15" Type="http://schemas.openxmlformats.org/officeDocument/2006/relationships/hyperlink" Target="http://en.wikipedia.org/wiki/T-statistic" TargetMode="External"/><Relationship Id="rId36" Type="http://schemas.openxmlformats.org/officeDocument/2006/relationships/hyperlink" Target="https://doi.org/10.1371/journal.pone.0298210" TargetMode="External"/><Relationship Id="rId57" Type="http://schemas.openxmlformats.org/officeDocument/2006/relationships/image" Target="media/image5.wmf"/><Relationship Id="rId262" Type="http://schemas.openxmlformats.org/officeDocument/2006/relationships/hyperlink" Target="mailto:john.ekeke@uniport.edu.ng" TargetMode="External"/><Relationship Id="rId283" Type="http://schemas.openxmlformats.org/officeDocument/2006/relationships/hyperlink" Target="https://repo.journalnx.com/index.php/nx/article/view/5150" TargetMode="External"/><Relationship Id="rId318" Type="http://schemas.openxmlformats.org/officeDocument/2006/relationships/theme" Target="theme/theme1.xml"/><Relationship Id="rId78" Type="http://schemas.openxmlformats.org/officeDocument/2006/relationships/oleObject" Target="embeddings/oleObject13.bin"/><Relationship Id="rId99" Type="http://schemas.openxmlformats.org/officeDocument/2006/relationships/oleObject" Target="embeddings/oleObject19.bin"/><Relationship Id="rId101" Type="http://schemas.openxmlformats.org/officeDocument/2006/relationships/oleObject" Target="embeddings/oleObject20.bin"/><Relationship Id="rId122" Type="http://schemas.openxmlformats.org/officeDocument/2006/relationships/hyperlink" Target="mailto:elwanabdul4u@gmail.com" TargetMode="External"/><Relationship Id="rId143" Type="http://schemas.openxmlformats.org/officeDocument/2006/relationships/hyperlink" Target="https://doi.org/10.1016/j.jksuci.2022.08.033" TargetMode="External"/><Relationship Id="rId164" Type="http://schemas.openxmlformats.org/officeDocument/2006/relationships/hyperlink" Target="https://doi.org/10.3390/sym11030340" TargetMode="External"/><Relationship Id="rId185" Type="http://schemas.openxmlformats.org/officeDocument/2006/relationships/hyperlink" Target="https://www.ojk.go.id/id/berita-dan-kegiatan/publikasi/Documents" TargetMode="External"/><Relationship Id="rId9" Type="http://schemas.openxmlformats.org/officeDocument/2006/relationships/hyperlink" Target="mailto:chidi.elee@uniport.edu.ng" TargetMode="External"/><Relationship Id="rId210" Type="http://schemas.openxmlformats.org/officeDocument/2006/relationships/hyperlink" Target="https://doi.org/10.1108/IJBM-07-2022-0325" TargetMode="External"/><Relationship Id="rId26" Type="http://schemas.openxmlformats.org/officeDocument/2006/relationships/hyperlink" Target="http://en.wikipedia.org/wiki/Durbin%E2%80%93Watson_statistic" TargetMode="External"/><Relationship Id="rId231" Type="http://schemas.openxmlformats.org/officeDocument/2006/relationships/hyperlink" Target="https://doi.org/10.24294/jipd.v8i6.4065" TargetMode="External"/><Relationship Id="rId252" Type="http://schemas.openxmlformats.org/officeDocument/2006/relationships/hyperlink" Target="https://doi.org/10.1007/978-0-387-85820-3" TargetMode="External"/><Relationship Id="rId273" Type="http://schemas.openxmlformats.org/officeDocument/2006/relationships/image" Target="media/image34.png"/><Relationship Id="rId294" Type="http://schemas.openxmlformats.org/officeDocument/2006/relationships/image" Target="media/image340.png"/><Relationship Id="rId308" Type="http://schemas.openxmlformats.org/officeDocument/2006/relationships/image" Target="media/image54.jpeg"/><Relationship Id="rId47" Type="http://schemas.openxmlformats.org/officeDocument/2006/relationships/hyperlink" Target="https://www.cbn.gov.ng/documents/QuarterlyStatbulletin.asp" TargetMode="External"/><Relationship Id="rId68" Type="http://schemas.openxmlformats.org/officeDocument/2006/relationships/oleObject" Target="embeddings/oleObject8.bin"/><Relationship Id="rId89" Type="http://schemas.openxmlformats.org/officeDocument/2006/relationships/oleObject" Target="embeddings/oleObject14.bin"/><Relationship Id="rId112" Type="http://schemas.openxmlformats.org/officeDocument/2006/relationships/image" Target="media/image28.emf"/><Relationship Id="rId133" Type="http://schemas.openxmlformats.org/officeDocument/2006/relationships/hyperlink" Target="https://doi.org/10.1007/s11135-021-01276-7" TargetMode="External"/><Relationship Id="rId154" Type="http://schemas.openxmlformats.org/officeDocument/2006/relationships/hyperlink" Target="https://doi.org/10.1007/s40685-020-00136-8" TargetMode="External"/><Relationship Id="rId175" Type="http://schemas.openxmlformats.org/officeDocument/2006/relationships/hyperlink" Target="https://doi.org/10.1016/j.frl.2023.104278" TargetMode="External"/><Relationship Id="rId196" Type="http://schemas.openxmlformats.org/officeDocument/2006/relationships/hyperlink" Target="https://doi.org/10.3390/joitmc7030188" TargetMode="External"/><Relationship Id="rId200" Type="http://schemas.openxmlformats.org/officeDocument/2006/relationships/hyperlink" Target="https://doi.org/10.2139/ssrn.3916514" TargetMode="External"/><Relationship Id="rId16" Type="http://schemas.openxmlformats.org/officeDocument/2006/relationships/hyperlink" Target="http://en.wikipedia.org/wiki/P-value" TargetMode="External"/><Relationship Id="rId221" Type="http://schemas.openxmlformats.org/officeDocument/2006/relationships/hyperlink" Target="http://www.ahla.com" TargetMode="External"/><Relationship Id="rId242" Type="http://schemas.openxmlformats.org/officeDocument/2006/relationships/hyperlink" Target="https://doi.org/10.1007/978-3-319-28231-2_21" TargetMode="External"/><Relationship Id="rId263" Type="http://schemas.openxmlformats.org/officeDocument/2006/relationships/hyperlink" Target="mailto:nelsonwilly79@gmail.com" TargetMode="External"/><Relationship Id="rId284" Type="http://schemas.openxmlformats.org/officeDocument/2006/relationships/hyperlink" Target="https://doi.org/10.1108/IJESM-12-2024-0032" TargetMode="External"/><Relationship Id="rId37" Type="http://schemas.openxmlformats.org/officeDocument/2006/relationships/hyperlink" Target="https://www.sciencedirect.com/journal/international-review-of-economics-and-finance" TargetMode="External"/><Relationship Id="rId58" Type="http://schemas.openxmlformats.org/officeDocument/2006/relationships/oleObject" Target="embeddings/oleObject3.bin"/><Relationship Id="rId79" Type="http://schemas.openxmlformats.org/officeDocument/2006/relationships/hyperlink" Target="https://doi.org/10.14738/abr.104.12195" TargetMode="External"/><Relationship Id="rId102" Type="http://schemas.openxmlformats.org/officeDocument/2006/relationships/image" Target="media/image23.wmf"/><Relationship Id="rId123" Type="http://schemas.openxmlformats.org/officeDocument/2006/relationships/hyperlink" Target="https://academicjournals.org/journal/AJBM/article-full-text/33C387270404" TargetMode="External"/><Relationship Id="rId144" Type="http://schemas.openxmlformats.org/officeDocument/2006/relationships/hyperlink" Target="https://doi.org/10.1080/15228916.2017.1416214" TargetMode="External"/><Relationship Id="rId90" Type="http://schemas.openxmlformats.org/officeDocument/2006/relationships/image" Target="media/image17.wmf"/><Relationship Id="rId165" Type="http://schemas.openxmlformats.org/officeDocument/2006/relationships/hyperlink" Target="https://doi.org/10.1080/1351847X.2020.1811131" TargetMode="External"/><Relationship Id="rId186" Type="http://schemas.openxmlformats.org/officeDocument/2006/relationships/hyperlink" Target="https://doi.org/10.1016/j.ijinfomgt.2020.102144" TargetMode="External"/><Relationship Id="rId211" Type="http://schemas.openxmlformats.org/officeDocument/2006/relationships/hyperlink" Target="https://doi.org/10.1080/1331677X.2023.2212028" TargetMode="External"/><Relationship Id="rId232" Type="http://schemas.openxmlformats.org/officeDocument/2006/relationships/hyperlink" Target="https://doi.org/10.4018/978-1-6684-7368-5.ch023" TargetMode="External"/><Relationship Id="rId253" Type="http://schemas.openxmlformats.org/officeDocument/2006/relationships/hyperlink" Target="https://doi.org/10.47392/IRJAEM.2024.0221" TargetMode="External"/><Relationship Id="rId274" Type="http://schemas.openxmlformats.org/officeDocument/2006/relationships/image" Target="media/image35.png"/><Relationship Id="rId295" Type="http://schemas.openxmlformats.org/officeDocument/2006/relationships/image" Target="media/image41.png"/><Relationship Id="rId309" Type="http://schemas.openxmlformats.org/officeDocument/2006/relationships/image" Target="media/image55.jpeg"/><Relationship Id="rId27" Type="http://schemas.openxmlformats.org/officeDocument/2006/relationships/hyperlink" Target="http://en.wikipedia.org/wiki/Akaike_information_criterion" TargetMode="External"/><Relationship Id="rId48" Type="http://schemas.openxmlformats.org/officeDocument/2006/relationships/hyperlink" Target="http://eprints.gouni.edu.ng/id/eprint/565" TargetMode="External"/><Relationship Id="rId69" Type="http://schemas.openxmlformats.org/officeDocument/2006/relationships/image" Target="media/image11.wmf"/><Relationship Id="rId113" Type="http://schemas.openxmlformats.org/officeDocument/2006/relationships/oleObject" Target="embeddings/oleObject26.bin"/><Relationship Id="rId134" Type="http://schemas.openxmlformats.org/officeDocument/2006/relationships/hyperlink" Target="https://doi.org/10.3390/joitmc6030081" TargetMode="External"/><Relationship Id="rId80" Type="http://schemas.openxmlformats.org/officeDocument/2006/relationships/hyperlink" Target="https://doi.org/10.5281/zenodo.13221206" TargetMode="External"/><Relationship Id="rId155" Type="http://schemas.openxmlformats.org/officeDocument/2006/relationships/hyperlink" Target="https://doi.org/10.1016/j.pdisas.2020.100091" TargetMode="External"/><Relationship Id="rId176" Type="http://schemas.openxmlformats.org/officeDocument/2006/relationships/hyperlink" Target="https://doi.org/10.1016/j.ememar.2021.100842" TargetMode="External"/><Relationship Id="rId197" Type="http://schemas.openxmlformats.org/officeDocument/2006/relationships/hyperlink" Target="https://doi.org/10.1057/s41264-023-00217-9" TargetMode="External"/><Relationship Id="rId201" Type="http://schemas.openxmlformats.org/officeDocument/2006/relationships/hyperlink" Target="https://doi.org/10.3390/info11120590" TargetMode="External"/><Relationship Id="rId222" Type="http://schemas.openxmlformats.org/officeDocument/2006/relationships/hyperlink" Target="https://doi.org/10.3390/tourhosp6030147" TargetMode="External"/><Relationship Id="rId243" Type="http://schemas.openxmlformats.org/officeDocument/2006/relationships/hyperlink" Target="https://doi.org/10.1016/j.procs.2024.04.182" TargetMode="External"/><Relationship Id="rId264" Type="http://schemas.openxmlformats.org/officeDocument/2006/relationships/hyperlink" Target="mailto:ayoogunleye97@gmail.com" TargetMode="External"/><Relationship Id="rId285" Type="http://schemas.openxmlformats.org/officeDocument/2006/relationships/hyperlink" Target="https://ijsab.com/wp-content/uploads/2196.pdf" TargetMode="External"/><Relationship Id="rId17" Type="http://schemas.openxmlformats.org/officeDocument/2006/relationships/hyperlink" Target="http://en.wikipedia.org/wiki/Coefficient_of_determination" TargetMode="External"/><Relationship Id="rId38" Type="http://schemas.openxmlformats.org/officeDocument/2006/relationships/hyperlink" Target="https://doi.org/10.1016/j.iref.2025.103971" TargetMode="External"/><Relationship Id="rId59" Type="http://schemas.openxmlformats.org/officeDocument/2006/relationships/image" Target="media/image6.wmf"/><Relationship Id="rId103" Type="http://schemas.openxmlformats.org/officeDocument/2006/relationships/oleObject" Target="embeddings/oleObject21.bin"/><Relationship Id="rId124" Type="http://schemas.openxmlformats.org/officeDocument/2006/relationships/hyperlink" Target="https://doi.org/10.1108/JEAS-10-2021-0200" TargetMode="External"/><Relationship Id="rId310" Type="http://schemas.openxmlformats.org/officeDocument/2006/relationships/hyperlink" Target="https://books.google.co.uk/books?hl=en&amp;lr=&amp;id=XtUDEAAAQBAJ&amp;oi%20=fnd&amp;pg=PT4&amp;dq=reels+benefits+for+brands+in+instagram&amp;ots=yiT_t15uMa&amp;sig=P5" TargetMode="External"/><Relationship Id="rId70" Type="http://schemas.openxmlformats.org/officeDocument/2006/relationships/oleObject" Target="embeddings/oleObject9.bin"/><Relationship Id="rId91" Type="http://schemas.openxmlformats.org/officeDocument/2006/relationships/oleObject" Target="embeddings/oleObject15.bin"/><Relationship Id="rId145" Type="http://schemas.openxmlformats.org/officeDocument/2006/relationships/hyperlink" Target="https://doi.org/10.1016/j.pacfin.2024.102264" TargetMode="External"/><Relationship Id="rId166" Type="http://schemas.openxmlformats.org/officeDocument/2006/relationships/hyperlink" Target="https://doi.org/10.1016/j.ijinfomgt.2021.102399" TargetMode="External"/><Relationship Id="rId187" Type="http://schemas.openxmlformats.org/officeDocument/2006/relationships/hyperlink" Target="https://doi.org/10.1146/annurev-psych-120710-100452" TargetMode="External"/><Relationship Id="rId1" Type="http://schemas.openxmlformats.org/officeDocument/2006/relationships/numbering" Target="numbering.xml"/><Relationship Id="rId212" Type="http://schemas.openxmlformats.org/officeDocument/2006/relationships/hyperlink" Target="https://doi.org/10.1016/j.jbef.2022.100739" TargetMode="External"/><Relationship Id="rId233" Type="http://schemas.openxmlformats.org/officeDocument/2006/relationships/hyperlink" Target="https://doi.org/10.2307/249008" TargetMode="External"/><Relationship Id="rId254" Type="http://schemas.openxmlformats.org/officeDocument/2006/relationships/hyperlink" Target="https://doi.org/10.1007/978-3-031-21448-6_2" TargetMode="External"/><Relationship Id="rId28" Type="http://schemas.openxmlformats.org/officeDocument/2006/relationships/hyperlink" Target="http://en.wikipedia.org/wiki/Schwarz_criterion" TargetMode="External"/><Relationship Id="rId49" Type="http://schemas.openxmlformats.org/officeDocument/2006/relationships/hyperlink" Target="https://doi.org/10.18502/kss.v3i2.1545" TargetMode="External"/><Relationship Id="rId114" Type="http://schemas.openxmlformats.org/officeDocument/2006/relationships/hyperlink" Target="https://ink.library.smu.edu.sg/do/search/?q=author_lname%3A%22SORIANO%22%20author_fname%3A%22Miguel%20Angel%22&amp;start=0&amp;context=1445438" TargetMode="External"/><Relationship Id="rId275" Type="http://schemas.openxmlformats.org/officeDocument/2006/relationships/hyperlink" Target="mailto:okoisamatom@gmail.com;" TargetMode="External"/><Relationship Id="rId296" Type="http://schemas.openxmlformats.org/officeDocument/2006/relationships/image" Target="media/image42.png"/><Relationship Id="rId300" Type="http://schemas.openxmlformats.org/officeDocument/2006/relationships/image" Target="media/image46.jpeg"/><Relationship Id="rId60" Type="http://schemas.openxmlformats.org/officeDocument/2006/relationships/oleObject" Target="embeddings/oleObject4.bin"/><Relationship Id="rId81" Type="http://schemas.openxmlformats.org/officeDocument/2006/relationships/hyperlink" Target="https://doi.org/10.14738/abr.108.12500" TargetMode="External"/><Relationship Id="rId135" Type="http://schemas.openxmlformats.org/officeDocument/2006/relationships/hyperlink" Target="https://doi.org/10.3390/fintech2040037" TargetMode="External"/><Relationship Id="rId156" Type="http://schemas.openxmlformats.org/officeDocument/2006/relationships/hyperlink" Target="https://doi.org/10.1016/j.jfi.2021.100945" TargetMode="External"/><Relationship Id="rId177" Type="http://schemas.openxmlformats.org/officeDocument/2006/relationships/hyperlink" Target="https://doi.org/10.3390/ijfs11010009" TargetMode="External"/><Relationship Id="rId198" Type="http://schemas.openxmlformats.org/officeDocument/2006/relationships/hyperlink" Target="https://doi.org/10.1108/MD-09-2019-1318" TargetMode="External"/><Relationship Id="rId202" Type="http://schemas.openxmlformats.org/officeDocument/2006/relationships/hyperlink" Target="https://doi.org/10.1016/j.irfa.2022.102057" TargetMode="External"/><Relationship Id="rId223" Type="http://schemas.openxmlformats.org/officeDocument/2006/relationships/hyperlink" Target="https://doi.org/10.1007/s12525-020-00414-7" TargetMode="External"/><Relationship Id="rId244" Type="http://schemas.openxmlformats.org/officeDocument/2006/relationships/hyperlink" Target="https://doi.org/10.3390/su17177673" TargetMode="External"/><Relationship Id="rId18" Type="http://schemas.openxmlformats.org/officeDocument/2006/relationships/hyperlink" Target="http://en.wikipedia.org/wiki/Durbin%E2%80%93Watson_statistic" TargetMode="External"/><Relationship Id="rId39" Type="http://schemas.openxmlformats.org/officeDocument/2006/relationships/hyperlink" Target="https://doi.org/10.61838/bmfopen.293" TargetMode="External"/><Relationship Id="rId265" Type="http://schemas.openxmlformats.org/officeDocument/2006/relationships/hyperlink" Target="mailto:okoisamatom@gmail.com;" TargetMode="External"/><Relationship Id="rId286" Type="http://schemas.openxmlformats.org/officeDocument/2006/relationships/hyperlink" Target="https://doi.org/10.1234/abr.2021.112" TargetMode="External"/><Relationship Id="rId50" Type="http://schemas.openxmlformats.org/officeDocument/2006/relationships/hyperlink" Target="https://dx.doi.org/10.2139/ssrn.3306164" TargetMode="External"/><Relationship Id="rId104" Type="http://schemas.openxmlformats.org/officeDocument/2006/relationships/image" Target="media/image24.wmf"/><Relationship Id="rId125" Type="http://schemas.openxmlformats.org/officeDocument/2006/relationships/hyperlink" Target="https://www.cbn.gov.ng/Out/2021/CCD/CBN%20Sandbox%20Framework.pdf" TargetMode="External"/><Relationship Id="rId146" Type="http://schemas.openxmlformats.org/officeDocument/2006/relationships/hyperlink" Target="https://doi.org/10.14707/ajbr.200087" TargetMode="External"/><Relationship Id="rId167" Type="http://schemas.openxmlformats.org/officeDocument/2006/relationships/hyperlink" Target="https://doi.org/10.1016/j.joitmc.2024.100236" TargetMode="External"/><Relationship Id="rId188" Type="http://schemas.openxmlformats.org/officeDocument/2006/relationships/hyperlink" Target="https://doi.org/10.1016/j.econlet.2022.110378" TargetMode="External"/><Relationship Id="rId311" Type="http://schemas.openxmlformats.org/officeDocument/2006/relationships/hyperlink" Target="https://www.sciencedirect.com/science/article/pii/S0278431917308411" TargetMode="External"/><Relationship Id="rId71" Type="http://schemas.openxmlformats.org/officeDocument/2006/relationships/image" Target="media/image12.emf"/><Relationship Id="rId92" Type="http://schemas.openxmlformats.org/officeDocument/2006/relationships/image" Target="media/image18.wmf"/><Relationship Id="rId213" Type="http://schemas.openxmlformats.org/officeDocument/2006/relationships/image" Target="media/image29.png"/><Relationship Id="rId234" Type="http://schemas.openxmlformats.org/officeDocument/2006/relationships/hyperlink" Target="https://doi.org/10.1609/aimag.v43i3.19116" TargetMode="External"/><Relationship Id="rId2" Type="http://schemas.openxmlformats.org/officeDocument/2006/relationships/styles" Target="styles.xml"/><Relationship Id="rId29" Type="http://schemas.openxmlformats.org/officeDocument/2006/relationships/hyperlink" Target="https://doi.org/10.3390/su17104658" TargetMode="External"/><Relationship Id="rId255" Type="http://schemas.openxmlformats.org/officeDocument/2006/relationships/hyperlink" Target="https://www.techtarget.com/searchcustomerexperience/definition/chatbot" TargetMode="External"/><Relationship Id="rId276" Type="http://schemas.openxmlformats.org/officeDocument/2006/relationships/footer" Target="footer2.xml"/><Relationship Id="rId297" Type="http://schemas.openxmlformats.org/officeDocument/2006/relationships/image" Target="media/image43.jpeg"/><Relationship Id="rId40" Type="http://schemas.openxmlformats.org/officeDocument/2006/relationships/hyperlink" Target="https://www.researchgate.net/publication/" TargetMode="External"/><Relationship Id="rId115" Type="http://schemas.openxmlformats.org/officeDocument/2006/relationships/hyperlink" Target="http://www.worldbank.org/en/topic/financialinclusion/brief/achieving-universal-financialaccess-" TargetMode="External"/><Relationship Id="rId136" Type="http://schemas.openxmlformats.org/officeDocument/2006/relationships/hyperlink" Target="https://doi.org/10.3390/joitmc6040153" TargetMode="External"/><Relationship Id="rId157" Type="http://schemas.openxmlformats.org/officeDocument/2006/relationships/hyperlink" Target="https://doi.org/10.1016/j.jbusres.2015.12.008" TargetMode="External"/><Relationship Id="rId178" Type="http://schemas.openxmlformats.org/officeDocument/2006/relationships/hyperlink" Target="https://doi.org/10.1108/JEIM-10-2015-0094" TargetMode="External"/><Relationship Id="rId301" Type="http://schemas.openxmlformats.org/officeDocument/2006/relationships/image" Target="media/image47.jpeg"/><Relationship Id="rId61" Type="http://schemas.openxmlformats.org/officeDocument/2006/relationships/image" Target="media/image7.wmf"/><Relationship Id="rId82" Type="http://schemas.openxmlformats.org/officeDocument/2006/relationships/hyperlink" Target="https://www.bwjournal.org/index.php/bsjournal/article/view/187?utm_source=chatgpt.com" TargetMode="External"/><Relationship Id="rId199" Type="http://schemas.openxmlformats.org/officeDocument/2006/relationships/hyperlink" Target="https://doi.org/10.1002/mar.20823" TargetMode="External"/><Relationship Id="rId203" Type="http://schemas.openxmlformats.org/officeDocument/2006/relationships/hyperlink" Target="https://doi.org/10.1016/j.joitmc.2024.100322" TargetMode="External"/><Relationship Id="rId19" Type="http://schemas.openxmlformats.org/officeDocument/2006/relationships/hyperlink" Target="http://en.wikipedia.org/wiki/Akaike_information_criterion" TargetMode="External"/><Relationship Id="rId224" Type="http://schemas.openxmlformats.org/officeDocument/2006/relationships/hyperlink" Target="https://doi.org/10.54660/IJFEI.2024.1.1.93-100" TargetMode="External"/><Relationship Id="rId245" Type="http://schemas.openxmlformats.org/officeDocument/2006/relationships/hyperlink" Target="https://www.mckinsey.com" TargetMode="External"/><Relationship Id="rId266" Type="http://schemas.openxmlformats.org/officeDocument/2006/relationships/hyperlink" Target="https://doi.org/10.1108/HESWBL-07-2024-0209" TargetMode="External"/><Relationship Id="rId287" Type="http://schemas.openxmlformats.org/officeDocument/2006/relationships/hyperlink" Target="https://doi.org/10.1509/jm.15.0420" TargetMode="External"/><Relationship Id="rId30" Type="http://schemas.openxmlformats.org/officeDocument/2006/relationships/hyperlink" Target="https://www.sciencedirect.com/journal/sustainable-operations-and-computers" TargetMode="External"/><Relationship Id="rId105" Type="http://schemas.openxmlformats.org/officeDocument/2006/relationships/oleObject" Target="embeddings/oleObject22.bin"/><Relationship Id="rId126" Type="http://schemas.openxmlformats.org/officeDocument/2006/relationships/hyperlink" Target="https://doi.org/10.1108/JEIM-02-2020-0044" TargetMode="External"/><Relationship Id="rId147" Type="http://schemas.openxmlformats.org/officeDocument/2006/relationships/hyperlink" Target="https://doi.org/10.1016/j.frl.2023.104438" TargetMode="External"/><Relationship Id="rId168" Type="http://schemas.openxmlformats.org/officeDocument/2006/relationships/hyperlink" Target="https://doi.org/10.1016/j.jbusres.2018.01.058" TargetMode="External"/><Relationship Id="rId312" Type="http://schemas.openxmlformats.org/officeDocument/2006/relationships/hyperlink" Target="https://link.springer.com/article/10.1007/s40558-020-" TargetMode="External"/><Relationship Id="rId51" Type="http://schemas.openxmlformats.org/officeDocument/2006/relationships/hyperlink" Target="mailto:ifeanyi.mgbataogu@uniport.edu.ng" TargetMode="External"/><Relationship Id="rId72" Type="http://schemas.openxmlformats.org/officeDocument/2006/relationships/oleObject" Target="embeddings/oleObject10.bin"/><Relationship Id="rId93" Type="http://schemas.openxmlformats.org/officeDocument/2006/relationships/oleObject" Target="embeddings/oleObject16.bin"/><Relationship Id="rId189" Type="http://schemas.openxmlformats.org/officeDocument/2006/relationships/hyperlink" Target="https://doi.org/10.3390/su13169218" TargetMode="External"/><Relationship Id="rId3" Type="http://schemas.openxmlformats.org/officeDocument/2006/relationships/settings" Target="settings.xml"/><Relationship Id="rId214" Type="http://schemas.openxmlformats.org/officeDocument/2006/relationships/hyperlink" Target="https://doi.org/10.1016/j.XXXXXXX" TargetMode="External"/><Relationship Id="rId235" Type="http://schemas.openxmlformats.org/officeDocument/2006/relationships/hyperlink" Target="https://denkwerk.online/media/1029/artitificial_intelligence_in_nederland_juli_2018.pdf" TargetMode="External"/><Relationship Id="rId256" Type="http://schemas.openxmlformats.org/officeDocument/2006/relationships/hyperlink" Target="https://doi.org/10.5772/intechopen.1007343" TargetMode="External"/><Relationship Id="rId277" Type="http://schemas.openxmlformats.org/officeDocument/2006/relationships/image" Target="media/image36.png"/><Relationship Id="rId298" Type="http://schemas.openxmlformats.org/officeDocument/2006/relationships/image" Target="media/image44.jpeg"/><Relationship Id="rId116" Type="http://schemas.openxmlformats.org/officeDocument/2006/relationships/hyperlink" Target="mailto:%20victorchibuikeeberechi@gmail.com" TargetMode="External"/><Relationship Id="rId137" Type="http://schemas.openxmlformats.org/officeDocument/2006/relationships/hyperlink" Target="https://doi.org/10.1080/23311886.2023.2256536" TargetMode="External"/><Relationship Id="rId158" Type="http://schemas.openxmlformats.org/officeDocument/2006/relationships/hyperlink" Target="https://doi.org/10.1016/j.ememar.2020.100727" TargetMode="External"/><Relationship Id="rId302" Type="http://schemas.openxmlformats.org/officeDocument/2006/relationships/image" Target="media/image48.jpeg"/><Relationship Id="rId20" Type="http://schemas.openxmlformats.org/officeDocument/2006/relationships/hyperlink" Target="http://en.wikipedia.org/wiki/Schwarz_criterion" TargetMode="External"/><Relationship Id="rId41" Type="http://schemas.openxmlformats.org/officeDocument/2006/relationships/hyperlink" Target="https://www.sciencedirect.com/journal/journal-of-innovation-and-knowledge" TargetMode="External"/><Relationship Id="rId62" Type="http://schemas.openxmlformats.org/officeDocument/2006/relationships/oleObject" Target="embeddings/oleObject5.bin"/><Relationship Id="rId83" Type="http://schemas.openxmlformats.org/officeDocument/2006/relationships/hyperlink" Target="https://doi.org/10.21511/ppm.19(4).2021.15" TargetMode="External"/><Relationship Id="rId179" Type="http://schemas.openxmlformats.org/officeDocument/2006/relationships/hyperlink" Target="https://doi.org/10.1016/j.joitmc.2024.100301" TargetMode="External"/><Relationship Id="rId190" Type="http://schemas.openxmlformats.org/officeDocument/2006/relationships/hyperlink" Target="https://doi.org/10.1007/s12599-017-0464-6" TargetMode="External"/><Relationship Id="rId204" Type="http://schemas.openxmlformats.org/officeDocument/2006/relationships/hyperlink" Target="https://www.unsgsa.org/publications/early-lessons-regulatory-innovations-enable-inclusive-fintech-innovation-offices-regulatory-sandboxes-and-regtech" TargetMode="External"/><Relationship Id="rId225" Type="http://schemas.openxmlformats.org/officeDocument/2006/relationships/hyperlink" Target="https://doi.org/10.22161/ijaems.104.6" TargetMode="External"/><Relationship Id="rId246" Type="http://schemas.openxmlformats.org/officeDocument/2006/relationships/hyperlink" Target="https://doi.org/10.22161/ijaems.105.14" TargetMode="External"/><Relationship Id="rId267" Type="http://schemas.openxmlformats.org/officeDocument/2006/relationships/hyperlink" Target="mailto:enoughsorow@yahoo.com" TargetMode="External"/><Relationship Id="rId288" Type="http://schemas.openxmlformats.org/officeDocument/2006/relationships/hyperlink" Target="mailto:Kpormonmene@Gmail.com" TargetMode="External"/><Relationship Id="rId106" Type="http://schemas.openxmlformats.org/officeDocument/2006/relationships/image" Target="media/image25.wmf"/><Relationship Id="rId127" Type="http://schemas.openxmlformats.org/officeDocument/2006/relationships/hyperlink" Target="https://aru.figshare.com/articles/journal_contribution/27901848" TargetMode="External"/><Relationship Id="rId313" Type="http://schemas.openxmlformats.org/officeDocument/2006/relationships/hyperlink" Target="https://www.sciencedirect.com/science/article/pii/S026151771930086X" TargetMode="External"/><Relationship Id="rId10" Type="http://schemas.openxmlformats.org/officeDocument/2006/relationships/hyperlink" Target="https://fjam.fuoye.edu.ng/index.php/fjam/issue/view/10" TargetMode="External"/><Relationship Id="rId31" Type="http://schemas.openxmlformats.org/officeDocument/2006/relationships/hyperlink" Target="https://doi.org/10.1016/j.susoc.2023.08.005" TargetMode="External"/><Relationship Id="rId52" Type="http://schemas.openxmlformats.org/officeDocument/2006/relationships/hyperlink" Target="https://www.google.com/search?q=Efficient+Market+Hypothesis&amp;oq=Efficient+market+hypothesis+and+assumptions&amp;gs_lcrp=EgZjaHJvbWUyBggAEEUYOTIICAEQABgWGB4yCAgCEAAYFhgeMg0IAxAAGIYDGIAEGIoFMg0IBBAAGIYDGIAEGIoFMg0IBRAAGIYDGIAEGIoFMgoIBhAAGKIEGIkFMgoIBxAAGKIEGIkFMgoICBAAGIAEGKIE0gEKMjgzNThqMGoxNagCCLACAfEF3qzRAjW3s5jxBd6s0QI1t7OY&amp;sourceid=chrome&amp;ie=UTF-8&amp;mstk=AUtExfDyqpO9rpDFFyDGFYytkes5FWAsGu8NhESd3PQ4MZv83u825fjW64JvzgaSE-heOlMg3CCxI-8uGZDr6FwUTs9mCkMWkcSCd-Zo7e98qK1CTTn3HuRrNSepu5pOAhwtXtwezMNlRl_tvPQZgEDLUqdnCEpHEQZWxukIXahZ8ShXpPi-kePEi-m_HrlgyjAx-fuhcPbneRmM9al9FQFibcWppLIUru2Jp2dcD79gT7IgygjK5qyS2yq028rw3JrPwT2_LhRP_95SCrYHZ-38Xom6&amp;csui=3&amp;ved=2ahUKEwjvjoHzjsKSAxXUQUEAHaXJMQMQgK4QegQIARAB" TargetMode="External"/><Relationship Id="rId73" Type="http://schemas.openxmlformats.org/officeDocument/2006/relationships/image" Target="media/image13.emf"/><Relationship Id="rId94" Type="http://schemas.openxmlformats.org/officeDocument/2006/relationships/image" Target="media/image19.wmf"/><Relationship Id="rId148" Type="http://schemas.openxmlformats.org/officeDocument/2006/relationships/hyperlink" Target="https://doi.org/10.1016/j.techfore.2021.121179" TargetMode="External"/><Relationship Id="rId169" Type="http://schemas.openxmlformats.org/officeDocument/2006/relationships/hyperlink" Target="https://doi.org/10.1016/j.eclinm.2022.101284" TargetMode="External"/><Relationship Id="rId4" Type="http://schemas.openxmlformats.org/officeDocument/2006/relationships/webSettings" Target="webSettings.xml"/><Relationship Id="rId180" Type="http://schemas.openxmlformats.org/officeDocument/2006/relationships/hyperlink" Target="https://doi.org/10.3390/su12145648" TargetMode="External"/><Relationship Id="rId215" Type="http://schemas.openxmlformats.org/officeDocument/2006/relationships/hyperlink" Target="http://www.ahla.com" TargetMode="External"/><Relationship Id="rId236" Type="http://schemas.openxmlformats.org/officeDocument/2006/relationships/hyperlink" Target="https://www.europarl.europa.eu/topics/en/article/20200827STO85804/what-is-artificial-intelligenceand-how-is-it-used" TargetMode="External"/><Relationship Id="rId257" Type="http://schemas.openxmlformats.org/officeDocument/2006/relationships/hyperlink" Target="https://blog.travelcarma.com/2015/07/07/challenges-faced-by-traditional-travel-agencies-and-how-technology-can-help?utm_source=chatgpt.com" TargetMode="External"/><Relationship Id="rId278" Type="http://schemas.openxmlformats.org/officeDocument/2006/relationships/image" Target="media/image37.png"/><Relationship Id="rId303" Type="http://schemas.openxmlformats.org/officeDocument/2006/relationships/image" Target="media/image49.jpeg"/><Relationship Id="rId42" Type="http://schemas.openxmlformats.org/officeDocument/2006/relationships/hyperlink" Target="https://doi.org/10.1016/j.jik.2021.04.001" TargetMode="External"/><Relationship Id="rId84" Type="http://schemas.openxmlformats.org/officeDocument/2006/relationships/hyperlink" Target="mailto:Akpokerereemma@gmail.com" TargetMode="External"/><Relationship Id="rId138" Type="http://schemas.openxmlformats.org/officeDocument/2006/relationships/hyperlink" Target="https://doi.org/10.1002/bse.3393" TargetMode="External"/><Relationship Id="rId191" Type="http://schemas.openxmlformats.org/officeDocument/2006/relationships/hyperlink" Target="https://doi.org/10.17512/pjms.2023.27.1.17" TargetMode="External"/><Relationship Id="rId205" Type="http://schemas.openxmlformats.org/officeDocument/2006/relationships/hyperlink" Target="https://doi.org/10.2307/30036540" TargetMode="External"/><Relationship Id="rId247" Type="http://schemas.openxmlformats.org/officeDocument/2006/relationships/hyperlink" Target="https://doi.org/10.55214/25768484.v9i1.4291" TargetMode="External"/><Relationship Id="rId107" Type="http://schemas.openxmlformats.org/officeDocument/2006/relationships/oleObject" Target="embeddings/oleObject23.bin"/><Relationship Id="rId289" Type="http://schemas.openxmlformats.org/officeDocument/2006/relationships/image" Target="media/image38.png"/><Relationship Id="rId11" Type="http://schemas.openxmlformats.org/officeDocument/2006/relationships/hyperlink" Target="https://cjni.net/journal/?p=1444" TargetMode="External"/><Relationship Id="rId53" Type="http://schemas.openxmlformats.org/officeDocument/2006/relationships/image" Target="media/image3.wmf"/><Relationship Id="rId149" Type="http://schemas.openxmlformats.org/officeDocument/2006/relationships/hyperlink" Target="https://doi.org/10.1142/S0217590817430032" TargetMode="External"/><Relationship Id="rId314" Type="http://schemas.openxmlformats.org/officeDocument/2006/relationships/hyperlink" Target="https://www.mdpi.com/0718-1876/17/1/5" TargetMode="External"/><Relationship Id="rId95" Type="http://schemas.openxmlformats.org/officeDocument/2006/relationships/oleObject" Target="embeddings/oleObject17.bin"/><Relationship Id="rId160" Type="http://schemas.openxmlformats.org/officeDocument/2006/relationships/hyperlink" Target="https://doi.org/10.1007/s11356-022-23956-z" TargetMode="External"/><Relationship Id="rId216" Type="http://schemas.openxmlformats.org/officeDocument/2006/relationships/hyperlink" Target="https://doi.org/10.1007/s11301-025-00497-6" TargetMode="External"/><Relationship Id="rId258" Type="http://schemas.openxmlformats.org/officeDocument/2006/relationships/hyperlink" Target="https://www.trip.com/newsroom/what-is-next-for-travel-innovation-trip-com-group-leads-with-ai-toolkit-at-itb-asia-2024/?utm_source=chatgpt.com" TargetMode="External"/><Relationship Id="rId22" Type="http://schemas.openxmlformats.org/officeDocument/2006/relationships/hyperlink" Target="http://en.wikipedia.org/wiki/Standard_error" TargetMode="External"/><Relationship Id="rId64" Type="http://schemas.openxmlformats.org/officeDocument/2006/relationships/oleObject" Target="embeddings/oleObject6.bin"/><Relationship Id="rId118" Type="http://schemas.openxmlformats.org/officeDocument/2006/relationships/hyperlink" Target="mailto:godfrey.omojefe@uniport.edu.ng" TargetMode="External"/><Relationship Id="rId171" Type="http://schemas.openxmlformats.org/officeDocument/2006/relationships/hyperlink" Target="https://doi.org/10.1111/isj.12131" TargetMode="External"/><Relationship Id="rId227" Type="http://schemas.openxmlformats.org/officeDocument/2006/relationships/hyperlink" Target="https://doi.org/10.1016/j.ijhm.2023.103588" TargetMode="External"/><Relationship Id="rId269" Type="http://schemas.openxmlformats.org/officeDocument/2006/relationships/image" Target="media/image31.png"/><Relationship Id="rId33" Type="http://schemas.openxmlformats.org/officeDocument/2006/relationships/hyperlink" Target="https://ideas.repec.org/s/taf/oabmxx.html" TargetMode="External"/><Relationship Id="rId129" Type="http://schemas.openxmlformats.org/officeDocument/2006/relationships/hyperlink" Target="https://doi.org/10.1108/QRFM-01-2022-0003" TargetMode="External"/><Relationship Id="rId280" Type="http://schemas.openxmlformats.org/officeDocument/2006/relationships/hyperlink" Target="https://doi.org/10.1007/978-3-030-80519-7" TargetMode="External"/><Relationship Id="rId75" Type="http://schemas.openxmlformats.org/officeDocument/2006/relationships/image" Target="media/image14.emf"/><Relationship Id="rId140" Type="http://schemas.openxmlformats.org/officeDocument/2006/relationships/hyperlink" Target="https://doi.org/10.3390/jrfm16100453" TargetMode="External"/><Relationship Id="rId182" Type="http://schemas.openxmlformats.org/officeDocument/2006/relationships/hyperlink" Target="https://doi.org/10.36941/ajis-2021-0166" TargetMode="External"/><Relationship Id="rId6" Type="http://schemas.openxmlformats.org/officeDocument/2006/relationships/endnotes" Target="endnotes.xml"/><Relationship Id="rId238" Type="http://schemas.openxmlformats.org/officeDocument/2006/relationships/hyperlink" Target="https://doi.org/10.1007/s10796-023-10417-4" TargetMode="External"/><Relationship Id="rId291" Type="http://schemas.openxmlformats.org/officeDocument/2006/relationships/image" Target="media/image40.png"/><Relationship Id="rId305" Type="http://schemas.openxmlformats.org/officeDocument/2006/relationships/image" Target="media/image51.jpeg"/><Relationship Id="rId44" Type="http://schemas.openxmlformats.org/officeDocument/2006/relationships/hyperlink" Target="mailto:oc.ibechiole@unizik.edu.ng" TargetMode="External"/><Relationship Id="rId86" Type="http://schemas.openxmlformats.org/officeDocument/2006/relationships/hyperlink" Target="mailto:bomabob13@gmail.com" TargetMode="External"/><Relationship Id="rId151" Type="http://schemas.openxmlformats.org/officeDocument/2006/relationships/hyperlink" Target="https://doi.org/10.1016/j.techsoc.2023.102207" TargetMode="External"/><Relationship Id="rId193" Type="http://schemas.openxmlformats.org/officeDocument/2006/relationships/hyperlink" Target="https://doi.org/10.1016/j.techfore.2023.123112" TargetMode="External"/><Relationship Id="rId207" Type="http://schemas.openxmlformats.org/officeDocument/2006/relationships/hyperlink" Target="https://www.worldbank.org/en/news/press-release/2022/06/29/covid-19-drives-global-surge-in-use-of-digital-payments" TargetMode="External"/><Relationship Id="rId249" Type="http://schemas.openxmlformats.org/officeDocument/2006/relationships/hyperlink" Target="https://futouristic.scholasticahq.com/article/127037.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986</TotalTime>
  <Pages>493</Pages>
  <Words>233305</Words>
  <Characters>1329845</Characters>
  <Application>Microsoft Office Word</Application>
  <DocSecurity>0</DocSecurity>
  <Lines>11082</Lines>
  <Paragraphs>3120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IFEANYI</dc:creator>
  <cp:keywords/>
  <dc:description/>
  <cp:lastModifiedBy>IFEANYI</cp:lastModifiedBy>
  <cp:revision>32</cp:revision>
  <dcterms:created xsi:type="dcterms:W3CDTF">2026-03-18T18:07:00Z</dcterms:created>
  <dcterms:modified xsi:type="dcterms:W3CDTF">2026-03-20T17:46:00Z</dcterms:modified>
</cp:coreProperties>
</file>